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color w:val="auto"/>
          <w:highlight w:val="none"/>
        </w:rPr>
      </w:pPr>
      <w:r>
        <w:rPr>
          <w:rFonts w:hint="eastAsia"/>
          <w:b/>
          <w:color w:val="auto"/>
          <w:spacing w:val="-6"/>
          <w:sz w:val="52"/>
          <w:szCs w:val="52"/>
          <w:highlight w:val="none"/>
          <w:lang w:eastAsia="zh-CN"/>
        </w:rPr>
        <w:t>杭州市富阳区更高水平气象现代化项目（二期）-区域气象站和农业气象站观测及传输设备项目</w:t>
      </w:r>
    </w:p>
    <w:p>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项目编号：ZJZCCG2022-018</w:t>
      </w:r>
    </w:p>
    <w:p>
      <w:pPr>
        <w:pStyle w:val="38"/>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开</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before="120" w:after="100" w:afterAutospacing="1" w:line="800" w:lineRule="exact"/>
        <w:ind w:right="-108"/>
        <w:jc w:val="center"/>
        <w:rPr>
          <w:rFonts w:ascii="宋体" w:hAnsi="宋体"/>
          <w:b/>
          <w:color w:val="auto"/>
          <w:spacing w:val="40"/>
          <w:sz w:val="84"/>
          <w:szCs w:val="84"/>
          <w:highlight w:val="none"/>
        </w:rPr>
      </w:pPr>
    </w:p>
    <w:p>
      <w:pPr>
        <w:pStyle w:val="49"/>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采购人：</w:t>
      </w:r>
      <w:r>
        <w:rPr>
          <w:rFonts w:hint="eastAsia" w:ascii="仿宋" w:hAnsi="仿宋"/>
          <w:color w:val="auto"/>
          <w:sz w:val="32"/>
          <w:szCs w:val="32"/>
          <w:highlight w:val="none"/>
          <w:lang w:eastAsia="zh-CN"/>
        </w:rPr>
        <w:t>杭州市富阳区气象局</w:t>
      </w:r>
      <w:r>
        <w:rPr>
          <w:rFonts w:hint="eastAsia" w:ascii="仿宋" w:hAnsi="仿宋"/>
          <w:color w:val="auto"/>
          <w:sz w:val="32"/>
          <w:szCs w:val="32"/>
          <w:highlight w:val="none"/>
        </w:rPr>
        <w:t>(盖章)</w:t>
      </w:r>
    </w:p>
    <w:p>
      <w:pPr>
        <w:spacing w:line="500" w:lineRule="exact"/>
        <w:ind w:right="105"/>
        <w:jc w:val="center"/>
        <w:rPr>
          <w:color w:val="auto"/>
          <w:highlight w:val="none"/>
        </w:rPr>
      </w:pPr>
      <w:r>
        <w:rPr>
          <w:rFonts w:hint="eastAsia"/>
          <w:color w:val="auto"/>
          <w:sz w:val="32"/>
          <w:szCs w:val="32"/>
          <w:highlight w:val="none"/>
        </w:rPr>
        <w:t>采购代理机构：</w:t>
      </w:r>
      <w:r>
        <w:rPr>
          <w:rFonts w:hint="eastAsia"/>
          <w:color w:val="auto"/>
          <w:sz w:val="32"/>
          <w:szCs w:val="32"/>
          <w:highlight w:val="none"/>
          <w:lang w:eastAsia="zh-CN"/>
        </w:rPr>
        <w:t>浙江正成招标采购咨询有限公司</w:t>
      </w:r>
      <w:r>
        <w:rPr>
          <w:rFonts w:hint="eastAsia"/>
          <w:color w:val="auto"/>
          <w:sz w:val="32"/>
          <w:szCs w:val="32"/>
          <w:highlight w:val="none"/>
        </w:rPr>
        <w:t>(盖章)</w:t>
      </w:r>
    </w:p>
    <w:p>
      <w:pPr>
        <w:spacing w:before="120"/>
        <w:rPr>
          <w:color w:val="auto"/>
          <w:sz w:val="30"/>
          <w:szCs w:val="30"/>
          <w:highlight w:val="none"/>
        </w:rPr>
      </w:pPr>
    </w:p>
    <w:p>
      <w:pPr>
        <w:pStyle w:val="49"/>
        <w:spacing w:before="156" w:after="156" w:line="360" w:lineRule="auto"/>
        <w:ind w:left="1900" w:hanging="640"/>
        <w:rPr>
          <w:rFonts w:ascii="仿宋" w:hAnsi="仿宋"/>
          <w:color w:val="auto"/>
          <w:sz w:val="32"/>
          <w:szCs w:val="32"/>
          <w:highlight w:val="none"/>
        </w:rPr>
      </w:pPr>
    </w:p>
    <w:p>
      <w:pPr>
        <w:pStyle w:val="49"/>
        <w:spacing w:before="156" w:after="156" w:line="360" w:lineRule="auto"/>
        <w:ind w:left="1900" w:hanging="640"/>
        <w:rPr>
          <w:rFonts w:ascii="仿宋" w:hAnsi="仿宋"/>
          <w:color w:val="auto"/>
          <w:sz w:val="32"/>
          <w:szCs w:val="32"/>
          <w:highlight w:val="none"/>
        </w:rPr>
      </w:pPr>
    </w:p>
    <w:p>
      <w:pPr>
        <w:pStyle w:val="49"/>
        <w:spacing w:before="156" w:after="156" w:line="360" w:lineRule="auto"/>
        <w:ind w:left="2143" w:hanging="883"/>
        <w:jc w:val="center"/>
        <w:rPr>
          <w:rFonts w:ascii="仿宋" w:hAnsi="仿宋"/>
          <w:b/>
          <w:color w:val="auto"/>
          <w:sz w:val="44"/>
          <w:szCs w:val="44"/>
          <w:highlight w:val="none"/>
        </w:rPr>
      </w:pPr>
    </w:p>
    <w:p>
      <w:pPr>
        <w:pStyle w:val="49"/>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pPr>
        <w:pStyle w:val="49"/>
        <w:spacing w:before="156" w:after="156" w:line="360" w:lineRule="auto"/>
        <w:ind w:left="1900" w:hanging="640"/>
        <w:jc w:val="center"/>
        <w:rPr>
          <w:rFonts w:ascii="仿宋" w:hAnsi="仿宋"/>
          <w:color w:val="auto"/>
          <w:sz w:val="32"/>
          <w:szCs w:val="32"/>
          <w:highlight w:val="none"/>
        </w:rPr>
      </w:pPr>
    </w:p>
    <w:p>
      <w:pPr>
        <w:spacing w:before="120" w:line="480" w:lineRule="exact"/>
        <w:ind w:firstLine="300" w:firstLineChars="100"/>
        <w:rPr>
          <w:color w:val="auto"/>
          <w:sz w:val="30"/>
          <w:szCs w:val="30"/>
          <w:highlight w:val="none"/>
        </w:rPr>
      </w:pPr>
      <w:r>
        <w:rPr>
          <w:rFonts w:hint="eastAsia"/>
          <w:color w:val="auto"/>
          <w:sz w:val="30"/>
          <w:szCs w:val="30"/>
          <w:highlight w:val="none"/>
        </w:rPr>
        <w:t>第一章    招标公告……………………………………… 3</w:t>
      </w:r>
    </w:p>
    <w:p>
      <w:pPr>
        <w:spacing w:before="120" w:line="480" w:lineRule="exact"/>
        <w:ind w:firstLine="300" w:firstLineChars="100"/>
        <w:rPr>
          <w:color w:val="auto"/>
          <w:sz w:val="30"/>
          <w:szCs w:val="30"/>
          <w:highlight w:val="none"/>
        </w:rPr>
      </w:pPr>
      <w:r>
        <w:rPr>
          <w:rFonts w:hint="eastAsia"/>
          <w:color w:val="auto"/>
          <w:sz w:val="30"/>
          <w:szCs w:val="30"/>
          <w:highlight w:val="none"/>
        </w:rPr>
        <w:t>第二章    投标人须知…………………………………… 8</w:t>
      </w:r>
    </w:p>
    <w:p>
      <w:pPr>
        <w:spacing w:before="120" w:line="480" w:lineRule="exact"/>
        <w:ind w:firstLine="300" w:firstLineChars="100"/>
        <w:rPr>
          <w:color w:val="auto"/>
          <w:sz w:val="30"/>
          <w:szCs w:val="30"/>
          <w:highlight w:val="none"/>
        </w:rPr>
      </w:pPr>
      <w:r>
        <w:rPr>
          <w:rFonts w:hint="eastAsia"/>
          <w:color w:val="auto"/>
          <w:sz w:val="30"/>
          <w:szCs w:val="30"/>
          <w:highlight w:val="none"/>
        </w:rPr>
        <w:t>第三章    评标办法及评分标准………………………… 27</w:t>
      </w:r>
    </w:p>
    <w:p>
      <w:pPr>
        <w:spacing w:before="120" w:line="480" w:lineRule="exact"/>
        <w:ind w:firstLine="300" w:firstLineChars="100"/>
        <w:rPr>
          <w:color w:val="auto"/>
          <w:sz w:val="30"/>
          <w:szCs w:val="30"/>
          <w:highlight w:val="none"/>
        </w:rPr>
      </w:pPr>
      <w:r>
        <w:rPr>
          <w:rFonts w:hint="eastAsia"/>
          <w:color w:val="auto"/>
          <w:sz w:val="30"/>
          <w:szCs w:val="30"/>
          <w:highlight w:val="none"/>
        </w:rPr>
        <w:t>第四章    采购需求……………………………………… 30</w:t>
      </w:r>
    </w:p>
    <w:p>
      <w:pPr>
        <w:spacing w:before="120" w:line="480" w:lineRule="exact"/>
        <w:ind w:firstLine="300" w:firstLineChars="100"/>
        <w:rPr>
          <w:color w:val="auto"/>
          <w:sz w:val="30"/>
          <w:szCs w:val="30"/>
          <w:highlight w:val="none"/>
        </w:rPr>
      </w:pPr>
      <w:r>
        <w:rPr>
          <w:rFonts w:hint="eastAsia"/>
          <w:color w:val="auto"/>
          <w:sz w:val="30"/>
          <w:szCs w:val="30"/>
          <w:highlight w:val="none"/>
        </w:rPr>
        <w:t>第五章    杭州市富阳区政府采购合同主要条款……… 59</w:t>
      </w:r>
    </w:p>
    <w:p>
      <w:pPr>
        <w:spacing w:before="120" w:line="480" w:lineRule="exact"/>
        <w:ind w:firstLine="300" w:firstLineChars="100"/>
        <w:rPr>
          <w:color w:val="auto"/>
          <w:sz w:val="30"/>
          <w:szCs w:val="30"/>
          <w:highlight w:val="none"/>
        </w:rPr>
      </w:pPr>
      <w:r>
        <w:rPr>
          <w:rFonts w:hint="eastAsia"/>
          <w:color w:val="auto"/>
          <w:sz w:val="30"/>
          <w:szCs w:val="30"/>
          <w:highlight w:val="none"/>
        </w:rPr>
        <w:t>第六章    投标文件格式附件…………………………… 64</w:t>
      </w:r>
    </w:p>
    <w:p>
      <w:pPr>
        <w:rPr>
          <w:color w:val="auto"/>
          <w:highlight w:val="none"/>
        </w:rPr>
      </w:pPr>
    </w:p>
    <w:p>
      <w:pPr>
        <w:pStyle w:val="5"/>
        <w:pageBreakBefore w:val="0"/>
        <w:kinsoku/>
        <w:bidi w:val="0"/>
        <w:spacing w:beforeAutospacing="0" w:afterAutospacing="0" w:line="440" w:lineRule="exact"/>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杭州市富阳区更高水平气象现代化项目（二期）-区域气象站和农业气象站观测及传输设备项目</w:t>
            </w:r>
            <w:r>
              <w:rPr>
                <w:rFonts w:hint="eastAsia" w:ascii="仿宋" w:hAnsi="仿宋" w:eastAsia="仿宋" w:cs="仿宋"/>
                <w:color w:val="auto"/>
                <w:highlight w:val="none"/>
              </w:rPr>
              <w:t>的潜在投标人应在政采云平台（https://www.zcygov.cn/）获取（下载）招标文件，并于</w:t>
            </w:r>
            <w:r>
              <w:rPr>
                <w:rFonts w:hint="eastAsia" w:cs="仿宋"/>
                <w:color w:val="auto"/>
                <w:highlight w:val="none"/>
                <w:u w:val="single"/>
                <w:lang w:val="en-US" w:eastAsia="zh-CN"/>
              </w:rPr>
              <w:t>2022</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23</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9:30</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项目编号：ZJZCCG2022-018</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：杭州市富阳区更高水平气象现代化项目（二期）-区域气象站和农业气象站观测及传输设备项目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cs="仿宋"/>
          <w:color w:val="auto"/>
          <w:highlight w:val="none"/>
          <w:lang w:eastAsia="zh-CN"/>
        </w:rPr>
        <w:t>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cs="仿宋"/>
          <w:color w:val="auto"/>
          <w:highlight w:val="none"/>
          <w:lang w:val="en-US" w:eastAsia="zh-CN"/>
        </w:rPr>
        <w:t>5550000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最高限价（元）：</w:t>
      </w:r>
      <w:r>
        <w:rPr>
          <w:rFonts w:hint="eastAsia" w:cs="仿宋"/>
          <w:color w:val="auto"/>
          <w:highlight w:val="none"/>
          <w:lang w:val="en-US" w:eastAsia="zh-CN"/>
        </w:rPr>
        <w:t>5550000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采购需求：杭州市富阳区更高水平气象现代化项目（二期）-区域气象站和农业气象站观测及传输设备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标项名称</w:t>
      </w:r>
      <w:r>
        <w:rPr>
          <w:rFonts w:hint="eastAsia" w:cs="仿宋"/>
          <w:color w:val="auto"/>
          <w:highlight w:val="none"/>
          <w:lang w:eastAsia="zh-CN"/>
        </w:rPr>
        <w:t>：杭州市富阳区更高水平气象现代化项目（二期）-区域气象站和农业气象站观测及传输设备项目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数量:</w:t>
      </w:r>
      <w:r>
        <w:rPr>
          <w:rFonts w:hint="eastAsia" w:cs="仿宋"/>
          <w:color w:val="auto"/>
          <w:highlight w:val="none"/>
          <w:lang w:val="en-US" w:eastAsia="zh-CN"/>
        </w:rPr>
        <w:t>1项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val="en-US" w:eastAsia="zh-CN"/>
        </w:rPr>
        <w:t>5550000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加密全区地面自动气象站网，全区四要素及以上地面自动气象站点平均网格间距小于4.0km，气象灾害易发关键区实现温雨监测全覆盖。对于移动信号不稳定或者无信号地区，使用基层台站北斗通信终端进行数据传输。在富阳国家气象观测站新建气象辐射站，在水稻和农业园区建设特色农业气象服务站。</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备注：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合同履约期限：合同签订之后起</w:t>
      </w:r>
      <w:r>
        <w:rPr>
          <w:rFonts w:hint="eastAsia" w:cs="仿宋"/>
          <w:color w:val="auto"/>
          <w:highlight w:val="none"/>
          <w:lang w:val="en-US" w:eastAsia="zh-CN"/>
        </w:rPr>
        <w:t>90</w:t>
      </w:r>
      <w:r>
        <w:rPr>
          <w:rFonts w:hint="eastAsia" w:ascii="仿宋" w:hAnsi="仿宋" w:eastAsia="仿宋" w:cs="仿宋"/>
          <w:color w:val="auto"/>
          <w:highlight w:val="none"/>
        </w:rPr>
        <w:t>天内完成</w:t>
      </w:r>
      <w:r>
        <w:rPr>
          <w:rFonts w:hint="eastAsia" w:cs="仿宋"/>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cs="仿宋"/>
          <w:b/>
          <w:bCs/>
          <w:color w:val="auto"/>
          <w:highlight w:val="none"/>
          <w:lang w:val="en-US" w:eastAsia="zh-CN"/>
        </w:rPr>
        <w:t>不</w:t>
      </w:r>
      <w:r>
        <w:rPr>
          <w:rFonts w:hint="eastAsia" w:ascii="仿宋" w:hAnsi="仿宋" w:eastAsia="仿宋" w:cs="仿宋"/>
          <w:color w:val="auto"/>
          <w:highlight w:val="none"/>
        </w:rPr>
        <w:t>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落实政府采购政策需满足的资格要求：</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货物全部由符合政策要求的中小企业制造，提供中小企业声明函；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货物全部由符合政策要求的小微企业制造，提供中小企业声明函；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服务全部由符合政策要求的中小企业承接，提供中小企业声明函；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服务全部由符合政策要求的小微企业承接，提供中小企业声明函；</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.本项目的特定资格要求：无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5</w:t>
      </w:r>
      <w:r>
        <w:rPr>
          <w:rFonts w:hint="eastAsia" w:ascii="仿宋" w:hAnsi="仿宋" w:eastAsia="仿宋" w:cs="仿宋"/>
          <w:color w:val="auto"/>
          <w:highlight w:val="none"/>
          <w:lang w:val="en-US" w:eastAsia="zh-CN"/>
        </w:rPr>
        <w:t>.为本采购项目提供整体设计、规范编制或者项目管理、监理、检测等服务的供应商,不得再参加该采购项目的其他采购活动。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1.</w:t>
      </w:r>
      <w:r>
        <w:rPr>
          <w:rFonts w:hint="eastAsia" w:ascii="仿宋" w:hAnsi="仿宋" w:eastAsia="仿宋" w:cs="仿宋"/>
          <w:color w:val="auto"/>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2022</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23</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9:30</w:t>
      </w:r>
      <w:r>
        <w:rPr>
          <w:rFonts w:hint="eastAsia" w:ascii="仿宋" w:hAnsi="仿宋" w:eastAsia="仿宋" w:cs="仿宋"/>
          <w:color w:val="auto"/>
          <w:highlight w:val="none"/>
        </w:rPr>
        <w:t>，</w:t>
      </w:r>
      <w:r>
        <w:rPr>
          <w:rFonts w:hint="eastAsia" w:ascii="仿宋" w:hAnsi="仿宋" w:eastAsia="仿宋" w:cs="仿宋"/>
          <w:color w:val="auto"/>
          <w:highlight w:val="none"/>
        </w:rPr>
        <w:t>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w:t>
      </w:r>
      <w:r>
        <w:rPr>
          <w:rFonts w:hint="eastAsia" w:ascii="仿宋" w:hAnsi="仿宋" w:eastAsia="仿宋" w:cs="仿宋"/>
          <w:color w:val="auto"/>
          <w:highlight w:val="none"/>
        </w:rPr>
        <w:t>地点（网址）：政采云平台（https://www.zcygov.cn/）</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1.</w:t>
      </w: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rPr>
        <w:t>：</w:t>
      </w:r>
      <w:r>
        <w:rPr>
          <w:rFonts w:hint="eastAsia" w:cs="仿宋"/>
          <w:color w:val="auto"/>
          <w:highlight w:val="none"/>
          <w:u w:val="single"/>
          <w:lang w:val="en-US" w:eastAsia="zh-CN"/>
        </w:rPr>
        <w:t>2022</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23</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9:30</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2022</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23</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9:30</w:t>
      </w:r>
      <w:r>
        <w:rPr>
          <w:rFonts w:hint="eastAsia" w:ascii="仿宋" w:hAnsi="仿宋" w:eastAsia="仿宋" w:cs="仿宋"/>
          <w:color w:val="auto"/>
          <w:highlight w:val="none"/>
          <w:u w:val="singl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开标地点（网址）：杭州市富阳区江连街27号行政服务中心A座4楼</w:t>
      </w:r>
      <w:r>
        <w:rPr>
          <w:rFonts w:hint="eastAsia" w:cs="仿宋"/>
          <w:color w:val="auto"/>
          <w:highlight w:val="none"/>
          <w:lang w:val="en-US" w:eastAsia="zh-CN"/>
        </w:rPr>
        <w:t>3</w:t>
      </w:r>
      <w:r>
        <w:rPr>
          <w:rFonts w:hint="eastAsia" w:ascii="仿宋" w:hAnsi="仿宋" w:eastAsia="仿宋" w:cs="仿宋"/>
          <w:color w:val="auto"/>
          <w:highlight w:val="none"/>
        </w:rPr>
        <w:t>号开标室，政采云平台（https://www.zcygov.cn/）。</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18"/>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"https://zfcg.czt.zj.gov.cn/innerUsed_noticeDetails/index.html?noticeId=8602951" </w:instrText>
      </w:r>
      <w:r>
        <w:rPr>
          <w:rFonts w:hint="eastAsia" w:ascii="仿宋" w:hAnsi="仿宋" w:eastAsia="仿宋" w:cs="仿宋"/>
          <w:color w:val="auto"/>
          <w:highlight w:val="none"/>
          <w:lang w:val="en-US" w:eastAsia="zh-CN"/>
        </w:rPr>
        <w:fldChar w:fldCharType="separate"/>
      </w:r>
      <w:r>
        <w:rPr>
          <w:rStyle w:val="102"/>
          <w:rFonts w:hint="eastAsia" w:ascii="仿宋" w:hAnsi="仿宋" w:eastAsia="仿宋" w:cs="仿宋"/>
          <w:color w:val="auto"/>
          <w:highlight w:val="none"/>
          <w:lang w:val="en-US" w:eastAsia="zh-CN"/>
        </w:rPr>
        <w:t>https://zfcg.czt.zj.gov.cn/innerUsed_noticeDetails/index.html?noticeId=8602951</w:t>
      </w:r>
      <w:r>
        <w:rPr>
          <w:rFonts w:hint="eastAsia" w:ascii="仿宋" w:hAnsi="仿宋" w:eastAsia="仿宋" w:cs="仿宋"/>
          <w:color w:val="auto"/>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18"/>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六、公告期限</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.其他事项：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eastAsia="zh-CN"/>
        </w:rPr>
        <w:t>（</w:t>
      </w:r>
      <w:r>
        <w:rPr>
          <w:rFonts w:hint="eastAsia" w:cs="仿宋"/>
          <w:color w:val="auto"/>
          <w:highlight w:val="none"/>
          <w:lang w:val="en-US" w:eastAsia="zh-CN"/>
        </w:rPr>
        <w:t>1</w:t>
      </w:r>
      <w:r>
        <w:rPr>
          <w:rFonts w:hint="eastAsia" w:cs="仿宋"/>
          <w:color w:val="auto"/>
          <w:highlight w:val="none"/>
          <w:lang w:eastAsia="zh-CN"/>
        </w:rPr>
        <w:t>）</w:t>
      </w:r>
      <w:r>
        <w:rPr>
          <w:rFonts w:hint="eastAsia" w:ascii="仿宋" w:hAnsi="仿宋" w:eastAsia="仿宋" w:cs="仿宋"/>
          <w:color w:val="auto"/>
          <w:highlight w:val="none"/>
        </w:rPr>
        <w:t>落实政府采购政策：包括保护环境、节约能源、促进中小企业发展等。详见招标文件投标人须知。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w:t>
      </w:r>
      <w:r>
        <w:rPr>
          <w:rFonts w:hint="eastAsia" w:ascii="仿宋" w:hAnsi="仿宋" w:eastAsia="仿宋" w:cs="仿宋"/>
          <w:color w:val="auto"/>
          <w:highlight w:val="none"/>
        </w:rPr>
        <w:t>本采购项目，中标单位与采购人签订的政府采购合同适用于杭州市富阳区政府采购贷款政策，简称“政采贷”，具体内容可参阅《富阳区“政采贷”办理指引》http://www.fuyang.gov.cn/art/2022/4/6/art_1228923243_59258040.html</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 xml:space="preserve">，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9"/>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highlight w:val="none"/>
          <w:lang w:val="en-US" w:eastAsia="zh-CN"/>
        </w:rPr>
      </w:pP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名</w:t>
      </w:r>
      <w:r>
        <w:rPr>
          <w:rFonts w:hint="eastAsia" w:cs="仿宋"/>
          <w:color w:val="auto"/>
          <w:highlight w:val="none"/>
          <w:lang w:val="en-US" w:eastAsia="zh-CN"/>
        </w:rPr>
        <w:t xml:space="preserve"> </w:t>
      </w:r>
      <w:r>
        <w:rPr>
          <w:rFonts w:hint="eastAsia" w:ascii="仿宋" w:hAnsi="仿宋" w:eastAsia="仿宋" w:cs="仿宋"/>
          <w:color w:val="auto"/>
          <w:highlight w:val="none"/>
        </w:rPr>
        <w:t xml:space="preserve"> 称：</w:t>
      </w:r>
      <w:r>
        <w:rPr>
          <w:rFonts w:hint="eastAsia" w:cs="仿宋"/>
          <w:color w:val="auto"/>
          <w:highlight w:val="none"/>
          <w:lang w:eastAsia="zh-CN"/>
        </w:rPr>
        <w:t>杭州市富阳区气象局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地</w:t>
      </w:r>
      <w:r>
        <w:rPr>
          <w:rFonts w:hint="eastAsia" w:cs="仿宋"/>
          <w:color w:val="auto"/>
          <w:highlight w:val="none"/>
          <w:lang w:val="en-US" w:eastAsia="zh-CN"/>
        </w:rPr>
        <w:t xml:space="preserve"> </w:t>
      </w:r>
      <w:r>
        <w:rPr>
          <w:rFonts w:hint="eastAsia" w:ascii="仿宋" w:hAnsi="仿宋" w:eastAsia="仿宋" w:cs="仿宋"/>
          <w:color w:val="auto"/>
          <w:highlight w:val="none"/>
        </w:rPr>
        <w:t xml:space="preserve"> 址：</w:t>
      </w:r>
      <w:r>
        <w:rPr>
          <w:rFonts w:hint="eastAsia" w:cs="仿宋"/>
          <w:color w:val="auto"/>
          <w:highlight w:val="none"/>
          <w:lang w:val="en-US" w:eastAsia="zh-CN"/>
        </w:rPr>
        <w:t>杭州市富阳区恩波大道158号</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传</w:t>
      </w:r>
      <w:r>
        <w:rPr>
          <w:rFonts w:hint="eastAsia" w:cs="仿宋"/>
          <w:color w:val="auto"/>
          <w:highlight w:val="none"/>
          <w:lang w:val="en-US" w:eastAsia="zh-CN"/>
        </w:rPr>
        <w:t xml:space="preserve">  </w:t>
      </w:r>
      <w:r>
        <w:rPr>
          <w:rFonts w:hint="eastAsia" w:ascii="仿宋" w:hAnsi="仿宋" w:eastAsia="仿宋" w:cs="仿宋"/>
          <w:color w:val="auto"/>
          <w:highlight w:val="none"/>
        </w:rPr>
        <w:t>真：</w:t>
      </w:r>
      <w:r>
        <w:rPr>
          <w:rFonts w:hint="eastAsia" w:cs="仿宋"/>
          <w:color w:val="auto"/>
          <w:highlight w:val="none"/>
          <w:lang w:val="en-US" w:eastAsia="zh-CN"/>
        </w:rPr>
        <w:t>0571-63314941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cs="仿宋"/>
          <w:color w:val="auto"/>
          <w:highlight w:val="none"/>
          <w:lang w:val="en-US" w:eastAsia="zh-CN"/>
        </w:rPr>
        <w:t>张日佳</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项目联系方式（询问）：</w:t>
      </w:r>
      <w:r>
        <w:rPr>
          <w:rFonts w:hint="eastAsia" w:cs="仿宋"/>
          <w:color w:val="auto"/>
          <w:highlight w:val="none"/>
          <w:lang w:val="en-US" w:eastAsia="zh-CN"/>
        </w:rPr>
        <w:t>0571-63323532</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质疑联系人：</w:t>
      </w:r>
      <w:r>
        <w:rPr>
          <w:rFonts w:hint="eastAsia" w:cs="仿宋"/>
          <w:color w:val="auto"/>
          <w:highlight w:val="none"/>
          <w:lang w:val="en-US" w:eastAsia="zh-CN"/>
        </w:rPr>
        <w:t>谢筠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质疑联系方式：</w:t>
      </w:r>
      <w:r>
        <w:rPr>
          <w:rFonts w:hint="eastAsia" w:cs="仿宋"/>
          <w:color w:val="auto"/>
          <w:highlight w:val="none"/>
          <w:lang w:val="en-US" w:eastAsia="zh-CN"/>
        </w:rPr>
        <w:t>0571-61732279</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名</w:t>
      </w:r>
      <w:r>
        <w:rPr>
          <w:rFonts w:hint="eastAsia" w:cs="仿宋"/>
          <w:color w:val="auto"/>
          <w:highlight w:val="none"/>
          <w:lang w:val="en-US" w:eastAsia="zh-CN"/>
        </w:rPr>
        <w:t xml:space="preserve">  </w:t>
      </w:r>
      <w:r>
        <w:rPr>
          <w:rFonts w:hint="eastAsia" w:ascii="仿宋" w:hAnsi="仿宋" w:eastAsia="仿宋" w:cs="仿宋"/>
          <w:color w:val="auto"/>
          <w:highlight w:val="none"/>
        </w:rPr>
        <w:t>称：</w:t>
      </w:r>
      <w:r>
        <w:rPr>
          <w:rFonts w:hint="eastAsia" w:cs="仿宋"/>
          <w:color w:val="auto"/>
          <w:highlight w:val="none"/>
          <w:lang w:eastAsia="zh-CN"/>
        </w:rPr>
        <w:t>浙江正成招标采购咨询有限公司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w:t>
      </w:r>
      <w:r>
        <w:rPr>
          <w:rFonts w:hint="eastAsia" w:cs="仿宋"/>
          <w:color w:val="auto"/>
          <w:highlight w:val="none"/>
          <w:lang w:val="en-US" w:eastAsia="zh-CN"/>
        </w:rPr>
        <w:t xml:space="preserve">  </w:t>
      </w:r>
      <w:r>
        <w:rPr>
          <w:rFonts w:hint="eastAsia" w:ascii="仿宋" w:hAnsi="仿宋" w:eastAsia="仿宋" w:cs="仿宋"/>
          <w:color w:val="auto"/>
          <w:highlight w:val="none"/>
        </w:rPr>
        <w:t>址：</w:t>
      </w:r>
      <w:r>
        <w:rPr>
          <w:rFonts w:hint="eastAsia" w:ascii="仿宋" w:hAnsi="仿宋" w:eastAsia="仿宋" w:cs="仿宋"/>
          <w:b w:val="0"/>
          <w:bCs/>
          <w:color w:val="auto"/>
          <w:sz w:val="24"/>
          <w:szCs w:val="24"/>
          <w:highlight w:val="none"/>
        </w:rPr>
        <w:t>杭州市富阳区富春街道恩波大道677号金富春大厦7楼</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传</w:t>
      </w:r>
      <w:r>
        <w:rPr>
          <w:rFonts w:hint="eastAsia" w:cs="仿宋"/>
          <w:color w:val="auto"/>
          <w:highlight w:val="none"/>
          <w:lang w:val="en-US" w:eastAsia="zh-CN"/>
        </w:rPr>
        <w:t xml:space="preserve">  </w:t>
      </w:r>
      <w:r>
        <w:rPr>
          <w:rFonts w:hint="eastAsia" w:ascii="仿宋" w:hAnsi="仿宋" w:eastAsia="仿宋" w:cs="仿宋"/>
          <w:color w:val="auto"/>
          <w:highlight w:val="none"/>
        </w:rPr>
        <w:t>真：</w:t>
      </w:r>
      <w:r>
        <w:rPr>
          <w:rFonts w:hint="eastAsia" w:cs="仿宋"/>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项目联系人（询问）：</w:t>
      </w:r>
      <w:r>
        <w:rPr>
          <w:rFonts w:hint="eastAsia" w:cs="仿宋"/>
          <w:color w:val="auto"/>
          <w:highlight w:val="none"/>
          <w:lang w:val="en-US" w:eastAsia="zh-CN"/>
        </w:rPr>
        <w:t>陆楚祎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项目联系方式（询问）：</w:t>
      </w:r>
      <w:r>
        <w:rPr>
          <w:rFonts w:hint="eastAsia" w:cs="仿宋"/>
          <w:color w:val="auto"/>
          <w:highlight w:val="none"/>
          <w:lang w:val="en-US" w:eastAsia="zh-CN"/>
        </w:rPr>
        <w:t>18268005770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质疑联系人：</w:t>
      </w:r>
      <w:r>
        <w:rPr>
          <w:rFonts w:hint="eastAsia" w:cs="仿宋"/>
          <w:color w:val="auto"/>
          <w:highlight w:val="none"/>
          <w:lang w:val="en-US" w:eastAsia="zh-CN"/>
        </w:rPr>
        <w:t>徐琳婧</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质疑联系方式：</w:t>
      </w:r>
      <w:r>
        <w:rPr>
          <w:rFonts w:hint="eastAsia" w:cs="仿宋"/>
          <w:color w:val="auto"/>
          <w:highlight w:val="none"/>
          <w:lang w:val="en-US" w:eastAsia="zh-CN"/>
        </w:rPr>
        <w:t>0571-62051531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名</w:t>
      </w:r>
      <w:r>
        <w:rPr>
          <w:rFonts w:hint="eastAsia" w:cs="仿宋"/>
          <w:color w:val="auto"/>
          <w:highlight w:val="none"/>
          <w:lang w:val="en-US" w:eastAsia="zh-CN"/>
        </w:rPr>
        <w:t xml:space="preserve">  </w:t>
      </w:r>
      <w:r>
        <w:rPr>
          <w:rFonts w:hint="eastAsia" w:ascii="仿宋" w:hAnsi="仿宋" w:eastAsia="仿宋" w:cs="仿宋"/>
          <w:color w:val="auto"/>
          <w:highlight w:val="none"/>
        </w:rPr>
        <w:t>称：杭州市富阳区财政局采监科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w:t>
      </w:r>
      <w:r>
        <w:rPr>
          <w:rFonts w:hint="eastAsia" w:cs="仿宋"/>
          <w:color w:val="auto"/>
          <w:highlight w:val="none"/>
          <w:lang w:val="en-US" w:eastAsia="zh-CN"/>
        </w:rPr>
        <w:t xml:space="preserve">  </w:t>
      </w:r>
      <w:r>
        <w:rPr>
          <w:rFonts w:hint="eastAsia" w:ascii="仿宋" w:hAnsi="仿宋" w:eastAsia="仿宋" w:cs="仿宋"/>
          <w:color w:val="auto"/>
          <w:highlight w:val="none"/>
        </w:rPr>
        <w:t>址：杭州市富阳区富春路11号</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传</w:t>
      </w:r>
      <w:r>
        <w:rPr>
          <w:rFonts w:hint="eastAsia" w:cs="仿宋"/>
          <w:color w:val="auto"/>
          <w:highlight w:val="none"/>
          <w:lang w:val="en-US" w:eastAsia="zh-CN"/>
        </w:rPr>
        <w:t xml:space="preserve">  </w:t>
      </w:r>
      <w:r>
        <w:rPr>
          <w:rFonts w:hint="eastAsia" w:ascii="仿宋" w:hAnsi="仿宋" w:eastAsia="仿宋" w:cs="仿宋"/>
          <w:color w:val="auto"/>
          <w:highlight w:val="none"/>
        </w:rPr>
        <w:t>真：/</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 ：</w:t>
      </w:r>
      <w:r>
        <w:rPr>
          <w:rFonts w:hint="eastAsia" w:cs="仿宋"/>
          <w:color w:val="auto"/>
          <w:highlight w:val="none"/>
          <w:lang w:eastAsia="zh-CN"/>
        </w:rPr>
        <w:t>赵靓</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监督投诉电话：</w:t>
      </w:r>
      <w:r>
        <w:rPr>
          <w:rFonts w:hint="eastAsia" w:cs="仿宋"/>
          <w:color w:val="auto"/>
          <w:highlight w:val="none"/>
          <w:lang w:val="en-US" w:eastAsia="zh-CN"/>
        </w:rPr>
        <w:t>0</w:t>
      </w:r>
      <w:r>
        <w:rPr>
          <w:rFonts w:hint="eastAsia" w:ascii="仿宋" w:hAnsi="仿宋" w:eastAsia="仿宋" w:cs="仿宋"/>
          <w:color w:val="auto"/>
          <w:highlight w:val="none"/>
        </w:rPr>
        <w:t>571-61772959</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若对项目采购电子交易系统操作有疑问，可登录政采</w:t>
      </w:r>
      <w:r>
        <w:rPr>
          <w:rFonts w:hint="eastAsia" w:ascii="仿宋" w:hAnsi="仿宋" w:eastAsia="仿宋" w:cs="仿宋"/>
          <w:color w:val="auto"/>
          <w:highlight w:val="none"/>
          <w:lang w:val="en-US" w:eastAsia="zh-CN"/>
        </w:rPr>
        <w:t>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CA问题联系电话（人工）：汇信CA 400-888-4636；天谷CA 400-087-8198。</w:t>
      </w:r>
    </w:p>
    <w:p>
      <w:pPr>
        <w:pageBreakBefore w:val="0"/>
        <w:kinsoku/>
        <w:bidi w:val="0"/>
        <w:spacing w:beforeAutospacing="0" w:afterAutospacing="0" w:line="440" w:lineRule="exact"/>
        <w:jc w:val="right"/>
        <w:rPr>
          <w:rFonts w:hint="eastAsia"/>
          <w:color w:val="auto"/>
          <w:highlight w:val="none"/>
          <w:lang w:eastAsia="zh-CN"/>
        </w:rPr>
      </w:pPr>
    </w:p>
    <w:p>
      <w:pPr>
        <w:pageBreakBefore w:val="0"/>
        <w:kinsoku/>
        <w:bidi w:val="0"/>
        <w:spacing w:beforeAutospacing="0" w:afterAutospacing="0" w:line="440" w:lineRule="exact"/>
        <w:jc w:val="right"/>
        <w:rPr>
          <w:rFonts w:hint="eastAsia"/>
          <w:color w:val="auto"/>
          <w:highlight w:val="none"/>
          <w:lang w:eastAsia="zh-CN"/>
        </w:rPr>
      </w:pP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杭州市富阳区气象局</w:t>
      </w: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浙江正成招标采购咨询有限公司</w:t>
      </w:r>
    </w:p>
    <w:p>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rPr>
        <w:t xml:space="preserve">  </w:t>
      </w:r>
      <w:r>
        <w:rPr>
          <w:rFonts w:hint="eastAsia"/>
          <w:color w:val="auto"/>
          <w:highlight w:val="none"/>
          <w:u w:val="none"/>
        </w:rPr>
        <w:t>202</w:t>
      </w:r>
      <w:r>
        <w:rPr>
          <w:rFonts w:hint="eastAsia"/>
          <w:color w:val="auto"/>
          <w:highlight w:val="none"/>
          <w:u w:val="none"/>
          <w:lang w:val="en-US" w:eastAsia="zh-CN"/>
        </w:rPr>
        <w:t>2</w:t>
      </w:r>
      <w:r>
        <w:rPr>
          <w:rFonts w:hint="eastAsia"/>
          <w:color w:val="auto"/>
          <w:highlight w:val="none"/>
          <w:u w:val="none"/>
        </w:rPr>
        <w:t>年</w:t>
      </w:r>
      <w:r>
        <w:rPr>
          <w:rFonts w:hint="eastAsia"/>
          <w:color w:val="auto"/>
          <w:highlight w:val="none"/>
          <w:u w:val="none"/>
          <w:lang w:val="en-US" w:eastAsia="zh-CN"/>
        </w:rPr>
        <w:t>9</w:t>
      </w:r>
      <w:r>
        <w:rPr>
          <w:rFonts w:hint="eastAsia"/>
          <w:color w:val="auto"/>
          <w:highlight w:val="none"/>
          <w:u w:val="none"/>
        </w:rPr>
        <w:t>月</w:t>
      </w:r>
      <w:r>
        <w:rPr>
          <w:rFonts w:hint="eastAsia"/>
          <w:color w:val="auto"/>
          <w:highlight w:val="none"/>
          <w:u w:val="none"/>
          <w:lang w:val="en-US" w:eastAsia="zh-CN"/>
        </w:rPr>
        <w:t>1</w:t>
      </w:r>
      <w:r>
        <w:rPr>
          <w:rFonts w:hint="eastAsia"/>
          <w:color w:val="auto"/>
          <w:highlight w:val="none"/>
          <w:u w:val="none"/>
        </w:rPr>
        <w:t>日</w:t>
      </w:r>
    </w:p>
    <w:p>
      <w:pPr>
        <w:pageBreakBefore w:val="0"/>
        <w:kinsoku/>
        <w:bidi w:val="0"/>
        <w:spacing w:beforeAutospacing="0" w:afterAutospacing="0" w:line="440" w:lineRule="exact"/>
        <w:rPr>
          <w:b/>
          <w:color w:val="auto"/>
          <w:sz w:val="36"/>
          <w:szCs w:val="36"/>
          <w:highlight w:val="none"/>
        </w:rPr>
      </w:pPr>
      <w:r>
        <w:rPr>
          <w:b/>
          <w:color w:val="auto"/>
          <w:sz w:val="36"/>
          <w:szCs w:val="36"/>
          <w:highlight w:val="none"/>
        </w:rPr>
        <w:br w:type="page"/>
      </w:r>
    </w:p>
    <w:p>
      <w:pPr>
        <w:pStyle w:val="5"/>
        <w:pageBreakBefore w:val="0"/>
        <w:kinsoku/>
        <w:bidi w:val="0"/>
        <w:spacing w:beforeAutospacing="0" w:afterAutospacing="0" w:line="440" w:lineRule="exact"/>
        <w:rPr>
          <w:color w:val="auto"/>
          <w:highlight w:val="none"/>
        </w:rPr>
      </w:pPr>
      <w:bookmarkStart w:id="1" w:name="_Toc236940849"/>
      <w:r>
        <w:rPr>
          <w:rFonts w:hint="eastAsia"/>
          <w:color w:val="auto"/>
          <w:highlight w:val="none"/>
        </w:rPr>
        <w:t>第二章  投标人须知</w:t>
      </w:r>
      <w:bookmarkEnd w:id="1"/>
    </w:p>
    <w:p>
      <w:pPr>
        <w:pStyle w:val="6"/>
        <w:pageBreakBefore w:val="0"/>
        <w:kinsoku/>
        <w:bidi w:val="0"/>
        <w:spacing w:before="0" w:beforeAutospacing="0" w:after="0" w:afterAutospacing="0" w:line="440" w:lineRule="exact"/>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488"/>
        <w:gridCol w:w="7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杭州市富阳区更高水平气象现代化项目（二期）-区域气象站和农业气象站观测及传输设备项目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lang w:val="en-US" w:eastAsia="zh-CN"/>
              </w:rPr>
              <w:t xml:space="preserve">  555  </w:t>
            </w:r>
            <w:r>
              <w:rPr>
                <w:rFonts w:hint="eastAsia"/>
                <w:color w:val="auto"/>
                <w:highlight w:val="none"/>
              </w:rPr>
              <w:t>万元，最高限价为</w:t>
            </w:r>
            <w:r>
              <w:rPr>
                <w:rFonts w:hint="eastAsia"/>
                <w:color w:val="auto"/>
                <w:highlight w:val="none"/>
                <w:u w:val="single"/>
                <w:lang w:val="en-US" w:eastAsia="zh-CN"/>
              </w:rPr>
              <w:t xml:space="preserve">  555  </w:t>
            </w:r>
            <w:r>
              <w:rPr>
                <w:rFonts w:hint="eastAsia"/>
                <w:color w:val="auto"/>
                <w:highlight w:val="none"/>
              </w:rPr>
              <w:t xml:space="preserve">万元 </w:t>
            </w:r>
            <w:r>
              <w:rPr>
                <w:rFonts w:hint="eastAsia"/>
                <w:color w:val="auto"/>
                <w:highlight w:val="none"/>
                <w:lang w:eastAsia="zh-CN"/>
              </w:rPr>
              <w:t>，超过最高限价的投标无效。</w:t>
            </w:r>
          </w:p>
          <w:p>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2</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23</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pPr>
              <w:pStyle w:val="107"/>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4</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开标时间与地点</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2021</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23</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pPr>
              <w:pStyle w:val="107"/>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开标地点：杭州市富阳区江连街27号行政服务中心A座4楼</w:t>
            </w:r>
            <w:r>
              <w:rPr>
                <w:rFonts w:hint="eastAsia" w:ascii="仿宋" w:hAnsi="仿宋" w:cs="Arial"/>
                <w:color w:val="auto"/>
                <w:szCs w:val="24"/>
                <w:highlight w:val="none"/>
                <w:lang w:val="en-US" w:eastAsia="zh-CN"/>
              </w:rPr>
              <w:t>3</w:t>
            </w:r>
            <w:r>
              <w:rPr>
                <w:rFonts w:hint="eastAsia" w:ascii="仿宋" w:hAnsi="仿宋" w:cs="Arial"/>
                <w:color w:val="auto"/>
                <w:szCs w:val="24"/>
                <w:highlight w:val="none"/>
              </w:rPr>
              <w:t>号开标室</w:t>
            </w:r>
            <w:r>
              <w:rPr>
                <w:rFonts w:hint="eastAsia" w:ascii="仿宋" w:hAnsi="仿宋" w:cs="Arial"/>
                <w:color w:val="auto"/>
                <w:szCs w:val="24"/>
                <w:highlight w:val="none"/>
              </w:rPr>
              <w:t>。</w:t>
            </w:r>
            <w:r>
              <w:rPr>
                <w:rFonts w:hint="eastAsia" w:ascii="仿宋" w:hAnsi="仿宋"/>
                <w:color w:val="auto"/>
                <w:szCs w:val="24"/>
                <w:highlight w:val="none"/>
              </w:rPr>
              <w:t>政采云平台(https://www.zcygov.cn/)；本项目全流程电子标，无须参加现场开标会议</w:t>
            </w:r>
            <w:r>
              <w:rPr>
                <w:rFonts w:hint="eastAsia" w:cs="仿宋"/>
                <w:b w:val="0"/>
                <w:bCs w:val="0"/>
                <w:color w:val="auto"/>
                <w:sz w:val="24"/>
                <w:szCs w:val="24"/>
                <w:highlight w:val="none"/>
                <w:lang w:eastAsia="zh-CN"/>
              </w:rPr>
              <w:t>（</w:t>
            </w:r>
            <w:r>
              <w:rPr>
                <w:rFonts w:hint="eastAsia"/>
                <w:b/>
                <w:bCs/>
                <w:color w:val="auto"/>
                <w:highlight w:val="none"/>
                <w:lang w:val="en-US" w:eastAsia="zh-CN"/>
              </w:rPr>
              <w:t>需</w:t>
            </w:r>
            <w:r>
              <w:rPr>
                <w:rFonts w:hint="eastAsia"/>
                <w:b/>
                <w:bCs/>
                <w:color w:val="auto"/>
                <w:highlight w:val="none"/>
              </w:rPr>
              <w:t>现场演示</w:t>
            </w:r>
            <w:r>
              <w:rPr>
                <w:rFonts w:hint="eastAsia"/>
                <w:b/>
                <w:bCs/>
                <w:color w:val="auto"/>
                <w:highlight w:val="none"/>
                <w:lang w:val="en-US" w:eastAsia="zh-CN"/>
              </w:rPr>
              <w:t>除外</w:t>
            </w:r>
            <w:r>
              <w:rPr>
                <w:rFonts w:hint="eastAsia" w:cs="仿宋"/>
                <w:b w:val="0"/>
                <w:bCs w:val="0"/>
                <w:color w:val="auto"/>
                <w:sz w:val="24"/>
                <w:szCs w:val="24"/>
                <w:highlight w:val="none"/>
                <w:lang w:eastAsia="zh-CN"/>
              </w:rPr>
              <w:t>）</w:t>
            </w:r>
            <w:r>
              <w:rPr>
                <w:rFonts w:hint="eastAsia" w:ascii="仿宋" w:hAnsi="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5</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（2）不论投标结果如何，投标人均应自行承担所有与投标有关的全部费用。</w:t>
            </w:r>
          </w:p>
          <w:p>
            <w:pPr>
              <w:pStyle w:val="107"/>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6</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cs="Arial"/>
                <w:b/>
                <w:bCs/>
                <w:color w:val="auto"/>
                <w:highlight w:val="none"/>
              </w:rPr>
            </w:pPr>
            <w:r>
              <w:rPr>
                <w:rFonts w:hint="eastAsia" w:cs="Arial"/>
                <w:b/>
                <w:bCs/>
                <w:color w:val="auto"/>
                <w:highlight w:val="none"/>
              </w:rPr>
              <w:t>转包与分包</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（1）本项目不允许转包</w:t>
            </w:r>
          </w:p>
          <w:p>
            <w:pPr>
              <w:pStyle w:val="107"/>
              <w:pageBreakBefore w:val="0"/>
              <w:kinsoku/>
              <w:wordWrap w:val="0"/>
              <w:topLinePunct/>
              <w:bidi w:val="0"/>
              <w:spacing w:before="0" w:beforeAutospacing="0" w:after="0" w:afterAutospacing="0" w:line="440" w:lineRule="exact"/>
              <w:ind w:left="0"/>
              <w:rPr>
                <w:rFonts w:hint="eastAsia" w:ascii="仿宋" w:hAnsi="仿宋" w:eastAsia="仿宋"/>
                <w:color w:val="auto"/>
                <w:szCs w:val="24"/>
                <w:highlight w:val="none"/>
                <w:lang w:val="en-US" w:eastAsia="zh-CN"/>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7</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开标前答疑会或现场踏勘</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val="0"/>
              <w:topLinePunct/>
              <w:bidi w:val="0"/>
              <w:snapToGrid w:val="0"/>
              <w:spacing w:beforeAutospacing="0" w:afterAutospacing="0" w:line="440" w:lineRule="exact"/>
              <w:rPr>
                <w:color w:val="auto"/>
                <w:highlight w:val="none"/>
              </w:rPr>
            </w:pPr>
            <w:r>
              <w:rPr>
                <w:rFonts w:hint="eastAsia"/>
                <w:color w:val="auto"/>
                <w:highlight w:val="none"/>
              </w:rPr>
              <w:t>开标前答疑会：不组织</w:t>
            </w:r>
          </w:p>
          <w:p>
            <w:pPr>
              <w:pageBreakBefore w:val="0"/>
              <w:numPr>
                <w:ilvl w:val="0"/>
                <w:numId w:val="1"/>
              </w:numPr>
              <w:kinsoku/>
              <w:wordWrap w:val="0"/>
              <w:topLinePunct/>
              <w:bidi w:val="0"/>
              <w:snapToGrid w:val="0"/>
              <w:spacing w:beforeAutospacing="0" w:afterAutospacing="0" w:line="440" w:lineRule="exact"/>
              <w:rPr>
                <w:color w:val="auto"/>
                <w:highlight w:val="none"/>
              </w:rPr>
            </w:pPr>
            <w:r>
              <w:rPr>
                <w:rFonts w:hint="eastAsia"/>
                <w:color w:val="auto"/>
                <w:highlight w:val="none"/>
              </w:rPr>
              <w:t>现场踏勘：不统一组织，如需现场踏勘，请潜在投标人自行联系采购人进行踏勘。</w:t>
            </w:r>
          </w:p>
          <w:p>
            <w:pPr>
              <w:pageBreakBefore w:val="0"/>
              <w:kinsoku/>
              <w:wordWrap w:val="0"/>
              <w:topLinePunct/>
              <w:bidi w:val="0"/>
              <w:snapToGrid w:val="0"/>
              <w:spacing w:beforeAutospacing="0" w:afterAutospacing="0" w:line="440" w:lineRule="exact"/>
              <w:rPr>
                <w:rFonts w:hint="default" w:eastAsia="仿宋" w:cs="Arial"/>
                <w:color w:val="auto"/>
                <w:highlight w:val="none"/>
                <w:lang w:val="en-US" w:eastAsia="zh-CN"/>
              </w:rPr>
            </w:pPr>
            <w:r>
              <w:rPr>
                <w:rFonts w:hint="eastAsia" w:cs="Arial"/>
                <w:color w:val="auto"/>
                <w:highlight w:val="none"/>
              </w:rPr>
              <w:t>采购人联系方式：</w:t>
            </w:r>
            <w:r>
              <w:rPr>
                <w:rFonts w:hint="eastAsia" w:cs="Arial"/>
                <w:color w:val="auto"/>
                <w:highlight w:val="none"/>
              </w:rPr>
              <w:t>联系人：</w:t>
            </w:r>
            <w:r>
              <w:rPr>
                <w:rFonts w:hint="eastAsia" w:cs="宋体"/>
                <w:bCs/>
                <w:color w:val="auto"/>
                <w:kern w:val="0"/>
                <w:sz w:val="24"/>
                <w:szCs w:val="24"/>
                <w:highlight w:val="none"/>
                <w:u w:val="single"/>
                <w:lang w:val="en-US" w:eastAsia="zh-CN"/>
              </w:rPr>
              <w:t>张日佳</w:t>
            </w:r>
            <w:r>
              <w:rPr>
                <w:rFonts w:hint="eastAsia" w:cs="Arial"/>
                <w:color w:val="auto"/>
                <w:highlight w:val="none"/>
              </w:rPr>
              <w:t>联系电话：</w:t>
            </w:r>
            <w:r>
              <w:rPr>
                <w:rFonts w:hint="eastAsia"/>
                <w:color w:val="auto"/>
                <w:highlight w:val="none"/>
                <w:u w:val="single"/>
                <w:lang w:val="en-US" w:eastAsia="zh-CN"/>
              </w:rPr>
              <w:t>0571-</w:t>
            </w:r>
            <w:r>
              <w:rPr>
                <w:rFonts w:hint="eastAsia" w:cs="宋体"/>
                <w:bCs/>
                <w:color w:val="auto"/>
                <w:kern w:val="0"/>
                <w:sz w:val="24"/>
                <w:szCs w:val="24"/>
                <w:highlight w:val="none"/>
                <w:u w:val="single"/>
                <w:lang w:val="en-US" w:eastAsia="zh-CN"/>
              </w:rPr>
              <w:t>63323532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8</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评标办法及标准</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cs="Arial"/>
                <w:color w:val="auto"/>
                <w:highlight w:val="none"/>
              </w:rPr>
            </w:pPr>
            <w:r>
              <w:rPr>
                <w:rFonts w:hint="eastAsia"/>
                <w:color w:val="auto"/>
                <w:highlight w:val="none"/>
                <w:lang w:eastAsia="zh-CN"/>
              </w:rPr>
              <w:t>综合评分法。具</w:t>
            </w:r>
            <w:r>
              <w:rPr>
                <w:rFonts w:hint="eastAsia"/>
                <w:color w:val="auto"/>
                <w:highlight w:val="none"/>
                <w:lang w:eastAsia="zh-CN"/>
              </w:rPr>
              <w:t>体详见</w:t>
            </w:r>
            <w:r>
              <w:rPr>
                <w:rFonts w:hint="eastAsia"/>
                <w:color w:val="auto"/>
                <w:highlight w:val="none"/>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9</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样品提供</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color w:val="auto"/>
                <w:highlight w:val="none"/>
              </w:rPr>
              <w:t>不要求提供样品</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10</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项目属性</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b/>
                <w:bCs/>
                <w:color w:val="auto"/>
                <w:highlight w:val="none"/>
                <w:u w:val="single"/>
                <w:lang w:eastAsia="zh-CN"/>
              </w:rPr>
            </w:pPr>
            <w:r>
              <w:rPr>
                <w:rFonts w:hint="eastAsia" w:ascii="仿宋" w:hAnsi="仿宋" w:eastAsia="仿宋" w:cs="仿宋"/>
                <w:color w:val="auto"/>
                <w:sz w:val="24"/>
                <w:highlight w:val="none"/>
                <w:u w:val="none"/>
              </w:rPr>
              <w:sym w:font="Wingdings" w:char="00FE"/>
            </w:r>
            <w:r>
              <w:rPr>
                <w:rFonts w:hint="eastAsia"/>
                <w:b/>
                <w:bCs/>
                <w:color w:val="auto"/>
                <w:highlight w:val="none"/>
                <w:lang w:val="en-US" w:eastAsia="zh-CN"/>
              </w:rPr>
              <w:t>货物类，</w:t>
            </w:r>
            <w:r>
              <w:rPr>
                <w:rFonts w:hint="eastAsia" w:ascii="仿宋" w:hAnsi="仿宋" w:eastAsia="仿宋" w:cs="仿宋"/>
                <w:b w:val="0"/>
                <w:bCs/>
                <w:color w:val="auto"/>
                <w:kern w:val="2"/>
                <w:sz w:val="24"/>
                <w:szCs w:val="24"/>
                <w:highlight w:val="none"/>
                <w:lang w:val="en-US" w:eastAsia="zh-CN" w:bidi="ar-SA"/>
              </w:rPr>
              <w:t>单一产品或核心产品为</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u w:val="single"/>
                <w:lang w:val="en-US" w:eastAsia="zh-CN" w:bidi="ar-SA"/>
              </w:rPr>
              <w:t>多要素自动气象站</w:t>
            </w:r>
            <w:r>
              <w:rPr>
                <w:rFonts w:hint="eastAsia" w:ascii="仿宋_GB2312" w:hAnsi="仿宋" w:eastAsia="仿宋_GB2312"/>
                <w:color w:val="auto"/>
                <w:sz w:val="24"/>
                <w:highlight w:val="none"/>
                <w:u w:val="single"/>
              </w:rPr>
              <w:t>。</w:t>
            </w:r>
          </w:p>
          <w:p>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ascii="仿宋" w:hAnsi="仿宋" w:eastAsia="仿宋" w:cs="仿宋"/>
                <w:color w:val="auto"/>
                <w:sz w:val="24"/>
                <w:highlight w:val="none"/>
                <w:u w:val="none"/>
              </w:rPr>
              <w:sym w:font="Wingdings" w:char="00A8"/>
            </w:r>
            <w:r>
              <w:rPr>
                <w:rFonts w:hint="eastAsia"/>
                <w:b/>
                <w:bCs/>
                <w:color w:val="auto"/>
                <w:highlight w:val="none"/>
                <w:lang w:eastAsia="zh-CN"/>
              </w:rPr>
              <w:t>服务</w:t>
            </w:r>
            <w:r>
              <w:rPr>
                <w:rFonts w:hint="eastAsia"/>
                <w:b/>
                <w:bCs/>
                <w:color w:val="auto"/>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11</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是否适宜中小企业情况</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根据《政府采购促进中小企业发展管理办法》（财库[2020]46号）文件的规定</w:t>
            </w:r>
            <w:r>
              <w:rPr>
                <w:rFonts w:hint="eastAsia"/>
                <w:color w:val="auto"/>
                <w:highlight w:val="none"/>
              </w:rPr>
              <w:t>，</w:t>
            </w:r>
            <w:r>
              <w:rPr>
                <w:rFonts w:hint="eastAsia"/>
                <w:b/>
                <w:bCs/>
                <w:color w:val="auto"/>
                <w:highlight w:val="none"/>
              </w:rPr>
              <w:t>本项目专门面向中小</w:t>
            </w:r>
            <w:r>
              <w:rPr>
                <w:rFonts w:hint="eastAsia"/>
                <w:b/>
                <w:bCs/>
                <w:color w:val="auto"/>
                <w:highlight w:val="none"/>
                <w:lang w:eastAsia="zh-CN"/>
              </w:rPr>
              <w:t>微</w:t>
            </w:r>
            <w:r>
              <w:rPr>
                <w:rFonts w:hint="eastAsia"/>
                <w:b/>
                <w:bCs/>
                <w:color w:val="auto"/>
                <w:highlight w:val="none"/>
              </w:rPr>
              <w:t>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2</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中小企业划分标准所属行业</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《关于印发中小企业划型标准规定的通知》（工信部联企业〔2011〕300号）规定的划分标准。</w:t>
            </w:r>
          </w:p>
          <w:p>
            <w:pPr>
              <w:pageBreakBefore w:val="0"/>
              <w:kinsoku/>
              <w:wordWrap w:val="0"/>
              <w:topLinePunct/>
              <w:bidi w:val="0"/>
              <w:snapToGrid w:val="0"/>
              <w:spacing w:beforeAutospacing="0" w:afterAutospacing="0" w:line="440" w:lineRule="exact"/>
              <w:rPr>
                <w:rFonts w:hint="eastAsia" w:eastAsia="仿宋"/>
                <w:b/>
                <w:bCs/>
                <w:color w:val="auto"/>
                <w:highlight w:val="none"/>
                <w:lang w:val="en-US" w:eastAsia="zh-CN"/>
              </w:rPr>
            </w:pPr>
            <w:r>
              <w:rPr>
                <w:rFonts w:hint="eastAsia"/>
                <w:b/>
                <w:bCs/>
                <w:color w:val="auto"/>
                <w:highlight w:val="none"/>
              </w:rPr>
              <w:t>（1）采购标的：</w:t>
            </w:r>
            <w:r>
              <w:rPr>
                <w:rFonts w:hint="eastAsia"/>
                <w:b/>
                <w:bCs/>
                <w:color w:val="auto"/>
                <w:highlight w:val="none"/>
                <w:lang w:val="en-US" w:eastAsia="zh-CN"/>
              </w:rPr>
              <w:t>详见采购需求</w:t>
            </w:r>
          </w:p>
          <w:p>
            <w:pPr>
              <w:pageBreakBefore w:val="0"/>
              <w:kinsoku/>
              <w:wordWrap w:val="0"/>
              <w:topLinePunct/>
              <w:bidi w:val="0"/>
              <w:snapToGrid w:val="0"/>
              <w:spacing w:beforeAutospacing="0" w:afterAutospacing="0" w:line="440" w:lineRule="exact"/>
              <w:rPr>
                <w:rFonts w:hint="eastAsia" w:eastAsia="仿宋" w:cs="Arial"/>
                <w:color w:val="auto"/>
                <w:highlight w:val="none"/>
                <w:lang w:val="en-US" w:eastAsia="zh-CN"/>
              </w:rPr>
            </w:pPr>
            <w:r>
              <w:rPr>
                <w:rFonts w:hint="eastAsia"/>
                <w:b/>
                <w:bCs/>
                <w:color w:val="auto"/>
                <w:highlight w:val="none"/>
              </w:rPr>
              <w:t>（2）所属行业：</w:t>
            </w:r>
            <w:r>
              <w:rPr>
                <w:rFonts w:hint="eastAsia"/>
                <w:b/>
                <w:bCs/>
                <w:color w:val="auto"/>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13</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促进中小企业发展政策</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2"/>
              </w:numPr>
              <w:kinsoku/>
              <w:wordWrap w:val="0"/>
              <w:topLinePunct/>
              <w:bidi w:val="0"/>
              <w:spacing w:beforeAutospacing="0" w:afterAutospacing="0" w:line="440" w:lineRule="exact"/>
              <w:jc w:val="left"/>
              <w:rPr>
                <w:b/>
                <w:bCs/>
                <w:color w:val="auto"/>
                <w:highlight w:val="none"/>
              </w:rPr>
            </w:pPr>
            <w:r>
              <w:rPr>
                <w:rFonts w:hint="eastAsia"/>
                <w:b/>
                <w:bCs/>
                <w:color w:val="auto"/>
                <w:highlight w:val="none"/>
              </w:rPr>
              <w:t>根据财库〔2020〕46号的相关规定</w:t>
            </w:r>
            <w:r>
              <w:rPr>
                <w:rFonts w:hint="eastAsia"/>
                <w:b/>
                <w:bCs/>
                <w:color w:val="auto"/>
                <w:highlight w:val="none"/>
                <w:lang w:eastAsia="zh-CN"/>
              </w:rPr>
              <w:t>：</w:t>
            </w:r>
          </w:p>
          <w:p>
            <w:pPr>
              <w:keepNext/>
              <w:keepLines/>
              <w:pageBreakBefore w:val="0"/>
              <w:kinsoku/>
              <w:wordWrap w:val="0"/>
              <w:topLinePunct/>
              <w:bidi w:val="0"/>
              <w:spacing w:beforeAutospacing="0" w:afterAutospacing="0" w:line="440" w:lineRule="exact"/>
              <w:ind w:firstLine="470" w:firstLineChars="196"/>
              <w:rPr>
                <w:rFonts w:hint="eastAsia"/>
                <w:b/>
                <w:bCs/>
                <w:color w:val="auto"/>
                <w:kern w:val="2"/>
                <w:highlight w:val="none"/>
              </w:rPr>
            </w:pPr>
            <w:r>
              <w:rPr>
                <w:rFonts w:hint="eastAsia" w:ascii="仿宋" w:hAnsi="仿宋" w:eastAsia="仿宋" w:cs="仿宋"/>
                <w:color w:val="auto"/>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20</w:t>
            </w:r>
            <w:r>
              <w:rPr>
                <w:rFonts w:hint="eastAsia"/>
                <w:b/>
                <w:bCs/>
                <w:color w:val="auto"/>
                <w:kern w:val="2"/>
                <w:highlight w:val="none"/>
              </w:rPr>
              <w:t>%的扣除，用扣除后的价格参与评审。</w:t>
            </w:r>
          </w:p>
          <w:p>
            <w:pPr>
              <w:keepNext/>
              <w:keepLines/>
              <w:pageBreakBefore w:val="0"/>
              <w:kinsoku/>
              <w:wordWrap w:val="0"/>
              <w:topLinePunct/>
              <w:bidi w:val="0"/>
              <w:spacing w:beforeAutospacing="0" w:afterAutospacing="0" w:line="440" w:lineRule="exact"/>
              <w:ind w:firstLine="470" w:firstLineChars="196"/>
              <w:rPr>
                <w:b/>
                <w:bCs/>
                <w:color w:val="auto"/>
                <w:kern w:val="2"/>
                <w:highlight w:val="none"/>
              </w:rPr>
            </w:pPr>
            <w:r>
              <w:rPr>
                <w:rFonts w:hint="eastAsia" w:ascii="仿宋" w:hAnsi="仿宋" w:eastAsia="仿宋" w:cs="仿宋"/>
                <w:color w:val="auto"/>
                <w:sz w:val="24"/>
                <w:highlight w:val="none"/>
                <w:u w:val="none"/>
              </w:rPr>
              <w:sym w:font="Wingdings" w:char="00FE"/>
            </w:r>
            <w:r>
              <w:rPr>
                <w:rFonts w:hint="eastAsia"/>
                <w:b/>
                <w:bCs/>
                <w:color w:val="auto"/>
                <w:kern w:val="2"/>
                <w:highlight w:val="none"/>
              </w:rPr>
              <w:t>对于专门面向中、小、微型企业或者监狱企业或者残疾人福利性单位，符合资格条件的不再执行价格评审优惠的扶持政策。</w:t>
            </w:r>
          </w:p>
          <w:p>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9"/>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在货物采购项目中，投标人提供的货物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topLinePunct/>
              <w:bidi w:val="0"/>
              <w:spacing w:beforeAutospacing="0" w:afterAutospacing="0" w:line="440" w:lineRule="exact"/>
              <w:ind w:firstLine="482" w:firstLineChars="200"/>
              <w:jc w:val="left"/>
              <w:rPr>
                <w:b/>
                <w:bCs/>
                <w:color w:val="auto"/>
                <w:highlight w:val="none"/>
              </w:rPr>
            </w:pPr>
            <w:r>
              <w:rPr>
                <w:rFonts w:hint="eastAsia"/>
                <w:b/>
                <w:bCs/>
                <w:color w:val="auto"/>
                <w:highlight w:val="none"/>
                <w:lang w:val="zh-CN"/>
              </w:rPr>
              <w:t>符合上述条件的，请填写中小企业声明函。</w:t>
            </w:r>
          </w:p>
          <w:p>
            <w:pPr>
              <w:pageBreakBefore w:val="0"/>
              <w:kinsoku/>
              <w:wordWrap w:val="0"/>
              <w:topLinePunct/>
              <w:autoSpaceDE w:val="0"/>
              <w:autoSpaceDN w:val="0"/>
              <w:bidi w:val="0"/>
              <w:snapToGrid w:val="0"/>
              <w:spacing w:beforeAutospacing="0" w:afterAutospacing="0" w:line="440" w:lineRule="exact"/>
              <w:textAlignment w:val="bottom"/>
              <w:rPr>
                <w:color w:val="auto"/>
                <w:highlight w:val="none"/>
              </w:rPr>
            </w:pPr>
            <w:r>
              <w:rPr>
                <w:rFonts w:hint="eastAsia"/>
                <w:color w:val="auto"/>
                <w:highlight w:val="none"/>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val="0"/>
              <w:topLinePunct/>
              <w:bidi w:val="0"/>
              <w:spacing w:beforeAutospacing="0" w:afterAutospacing="0" w:line="440" w:lineRule="exact"/>
              <w:jc w:val="left"/>
              <w:rPr>
                <w:color w:val="auto"/>
                <w:highlight w:val="none"/>
              </w:rPr>
            </w:pPr>
            <w:r>
              <w:rPr>
                <w:rFonts w:hint="eastAsia"/>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pPr>
              <w:pageBreakBefore w:val="0"/>
              <w:kinsoku/>
              <w:wordWrap w:val="0"/>
              <w:topLinePunct/>
              <w:bidi w:val="0"/>
              <w:spacing w:beforeAutospacing="0" w:afterAutospacing="0" w:line="440" w:lineRule="exact"/>
              <w:jc w:val="left"/>
              <w:rPr>
                <w:b/>
                <w:bCs/>
                <w:color w:val="auto"/>
                <w:highlight w:val="none"/>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color w:val="auto"/>
                <w:highlight w:val="none"/>
              </w:rPr>
              <w:t>微企业、监狱企业、残疾人福利性单位的，其《中小企业声明函》、监狱企业证明文件、《残疾人福利性单位声明函》随中标结果同时公告，接受社会监督。</w:t>
            </w:r>
          </w:p>
          <w:p>
            <w:pPr>
              <w:pageBreakBefore w:val="0"/>
              <w:kinsoku/>
              <w:wordWrap w:val="0"/>
              <w:topLinePunct/>
              <w:bidi w:val="0"/>
              <w:snapToGrid w:val="0"/>
              <w:spacing w:beforeAutospacing="0" w:afterAutospacing="0" w:line="440" w:lineRule="exact"/>
              <w:ind w:firstLine="482" w:firstLineChars="200"/>
              <w:rPr>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color w:val="auto"/>
                <w:highlight w:val="none"/>
                <w:lang w:eastAsia="zh-CN"/>
              </w:rPr>
            </w:pPr>
            <w:r>
              <w:rPr>
                <w:rFonts w:hint="eastAsia"/>
                <w:b/>
                <w:bCs/>
                <w:color w:val="auto"/>
                <w:highlight w:val="none"/>
              </w:rPr>
              <w:t>1</w:t>
            </w:r>
            <w:r>
              <w:rPr>
                <w:rFonts w:hint="eastAsia"/>
                <w:b/>
                <w:bCs/>
                <w:color w:val="auto"/>
                <w:highlight w:val="none"/>
                <w:lang w:val="en-US" w:eastAsia="zh-CN"/>
              </w:rPr>
              <w:t>4</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color w:val="auto"/>
                <w:highlight w:val="none"/>
              </w:rPr>
              <w:t>节</w:t>
            </w:r>
            <w:r>
              <w:rPr>
                <w:rFonts w:hint="eastAsia"/>
                <w:b/>
                <w:bCs/>
                <w:color w:val="auto"/>
                <w:highlight w:val="none"/>
              </w:rPr>
              <w:t>能、环保要求</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kinsoku/>
              <w:wordWrap w:val="0"/>
              <w:topLinePunct/>
              <w:bidi w:val="0"/>
              <w:spacing w:beforeAutospacing="0" w:afterAutospacing="0" w:line="440" w:lineRule="exact"/>
              <w:rPr>
                <w:rFonts w:hint="eastAsia"/>
                <w:color w:val="auto"/>
                <w:sz w:val="24"/>
                <w:szCs w:val="24"/>
                <w:highlight w:val="none"/>
                <w:shd w:val="clear" w:color="auto" w:fill="FFFFFF"/>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9"/>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pPr>
              <w:pStyle w:val="9"/>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9"/>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pPr>
              <w:pStyle w:val="9"/>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pPr>
              <w:pStyle w:val="9"/>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15</w:t>
            </w:r>
          </w:p>
        </w:tc>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color w:val="auto"/>
                <w:highlight w:val="none"/>
              </w:rPr>
            </w:pPr>
            <w:r>
              <w:rPr>
                <w:rFonts w:hint="eastAsia" w:ascii="仿宋" w:hAnsi="仿宋" w:eastAsia="仿宋" w:cs="仿宋"/>
                <w:b/>
                <w:color w:val="auto"/>
                <w:sz w:val="22"/>
                <w:szCs w:val="22"/>
                <w:highlight w:val="none"/>
                <w:lang w:val="en-US" w:eastAsia="zh-CN"/>
              </w:rPr>
              <w:t>支持绿色发展</w:t>
            </w:r>
          </w:p>
        </w:tc>
        <w:tc>
          <w:tcPr>
            <w:tcW w:w="7058"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（1）修缮、装修类项目采购建材的，采购人应将绿色建筑和绿色建材性能、指标等作为实质性条件纳入招标文件和合同。</w:t>
            </w:r>
          </w:p>
          <w:p>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Style w:val="102"/>
                <w:rFonts w:hint="eastAsia"/>
                <w:b w:val="0"/>
                <w:bCs w:val="0"/>
                <w:color w:val="auto"/>
                <w:sz w:val="24"/>
                <w:szCs w:val="24"/>
                <w:highlight w:val="none"/>
              </w:rPr>
            </w:pPr>
            <w:r>
              <w:rPr>
                <w:rFonts w:hint="eastAsia" w:ascii="仿宋" w:hAnsi="仿宋" w:eastAsia="仿宋" w:cs="仿宋"/>
                <w:bCs/>
                <w:color w:val="auto"/>
                <w:kern w:val="2"/>
                <w:sz w:val="24"/>
                <w:szCs w:val="24"/>
                <w:highlight w:val="none"/>
                <w:lang w:val="en-US" w:eastAsia="zh-CN" w:bidi="ar-S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16</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ascii="仿宋" w:hAnsi="仿宋" w:eastAsia="仿宋" w:cs="仿宋"/>
                <w:color w:val="auto"/>
                <w:kern w:val="3"/>
                <w:sz w:val="24"/>
                <w:szCs w:val="24"/>
                <w:highlight w:val="none"/>
                <w:lang w:val="en-US" w:eastAsia="zh-CN" w:bidi="ar-SA"/>
              </w:rPr>
            </w:pPr>
            <w:r>
              <w:rPr>
                <w:rFonts w:hint="eastAsia"/>
                <w:b/>
                <w:bCs/>
                <w:color w:val="auto"/>
                <w:highlight w:val="none"/>
                <w:lang w:eastAsia="zh-CN"/>
              </w:rPr>
              <w:t>支持创新发展</w:t>
            </w:r>
          </w:p>
        </w:tc>
        <w:tc>
          <w:tcPr>
            <w:tcW w:w="7058"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（1）采购人优先采购被认定为首台套产品和“制造精品”的自主创新产品。</w:t>
            </w:r>
          </w:p>
          <w:p>
            <w:pPr>
              <w:pageBreakBefore w:val="0"/>
              <w:kinsoku/>
              <w:wordWrap w:val="0"/>
              <w:topLinePunct/>
              <w:bidi w:val="0"/>
              <w:snapToGrid w:val="0"/>
              <w:spacing w:beforeAutospacing="0" w:afterAutospacing="0" w:line="440" w:lineRule="exac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17</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进口产品规定</w:t>
            </w:r>
          </w:p>
        </w:tc>
        <w:tc>
          <w:tcPr>
            <w:tcW w:w="7058"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Cs/>
                <w:color w:val="auto"/>
                <w:kern w:val="2"/>
                <w:sz w:val="24"/>
                <w:szCs w:val="24"/>
                <w:highlight w:val="none"/>
                <w:lang w:val="zh-TW" w:eastAsia="zh-CN" w:bidi="ar-SA"/>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textAlignment w:val="auto"/>
              <w:rPr>
                <w:rStyle w:val="102"/>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2" w:char="00A3"/>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18</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评标结果公示、公告</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评标结束后</w:t>
            </w:r>
            <w:r>
              <w:rPr>
                <w:rFonts w:hint="eastAsia"/>
                <w:color w:val="auto"/>
                <w:highlight w:val="none"/>
                <w:lang w:val="en-US" w:eastAsia="zh-CN"/>
              </w:rPr>
              <w:t>7</w:t>
            </w:r>
            <w:r>
              <w:rPr>
                <w:rFonts w:hint="eastAsia"/>
                <w:color w:val="auto"/>
                <w:highlight w:val="none"/>
              </w:rPr>
              <w:t>个工作日内发布</w:t>
            </w:r>
            <w:r>
              <w:rPr>
                <w:rFonts w:hint="eastAsia"/>
                <w:color w:val="auto"/>
                <w:highlight w:val="none"/>
                <w:lang w:val="en-US" w:eastAsia="zh-CN"/>
              </w:rPr>
              <w:t>中标、成交</w:t>
            </w:r>
            <w:r>
              <w:rPr>
                <w:rFonts w:hint="eastAsia"/>
                <w:color w:val="auto"/>
                <w:highlight w:val="none"/>
              </w:rPr>
              <w:t>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2"/>
                <w:rFonts w:hint="eastAsia" w:cs="Arial"/>
                <w:color w:val="auto"/>
                <w:highlight w:val="none"/>
              </w:rPr>
              <w:t>http://www.zjzfcg.gov.cn</w:t>
            </w:r>
            <w:r>
              <w:rPr>
                <w:rStyle w:val="102"/>
                <w:rFonts w:hint="eastAsia" w:cs="Arial"/>
                <w:color w:val="auto"/>
                <w:highlight w:val="none"/>
              </w:rPr>
              <w:fldChar w:fldCharType="end"/>
            </w:r>
            <w:r>
              <w:rPr>
                <w:rFonts w:hint="eastAsia" w:cs="Arial"/>
                <w:color w:val="auto"/>
                <w:highlight w:val="none"/>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19</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签订合同时间</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20</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履约保证金的收取及退还</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（1）签订合同时中标人应向采购人缴</w:t>
            </w:r>
            <w:r>
              <w:rPr>
                <w:rFonts w:hint="eastAsia"/>
                <w:color w:val="auto"/>
                <w:highlight w:val="none"/>
              </w:rPr>
              <w:t>纳</w:t>
            </w:r>
            <w:r>
              <w:rPr>
                <w:rFonts w:hint="eastAsia"/>
                <w:color w:val="auto"/>
                <w:highlight w:val="none"/>
              </w:rPr>
              <w:t>合同金额的</w:t>
            </w:r>
            <w:r>
              <w:rPr>
                <w:rFonts w:hint="eastAsia"/>
                <w:color w:val="auto"/>
                <w:highlight w:val="none"/>
                <w:lang w:val="en-US" w:eastAsia="zh-CN"/>
              </w:rPr>
              <w:t>1</w:t>
            </w:r>
            <w:r>
              <w:rPr>
                <w:rFonts w:hint="eastAsia"/>
                <w:color w:val="auto"/>
                <w:highlight w:val="none"/>
              </w:rPr>
              <w:t>%</w:t>
            </w:r>
            <w:r>
              <w:rPr>
                <w:rFonts w:hint="eastAsia"/>
                <w:color w:val="auto"/>
                <w:highlight w:val="none"/>
              </w:rPr>
              <w:t>作为履约保证金，中标人在合同签订后5日内交付至指定账户。</w:t>
            </w:r>
            <w:r>
              <w:rPr>
                <w:rFonts w:hint="eastAsia"/>
                <w:color w:val="auto"/>
                <w:highlight w:val="none"/>
              </w:rPr>
              <w:t>履约期结束，采购人无息退还履约保证金。</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21</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投标保证金</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22</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投标有效期</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根据《政府采购货物和服务招</w:t>
            </w:r>
            <w:r>
              <w:rPr>
                <w:rFonts w:hint="eastAsia"/>
                <w:color w:val="auto"/>
                <w:highlight w:val="none"/>
              </w:rPr>
              <w:t>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val="en-US" w:eastAsia="zh-CN"/>
              </w:rPr>
            </w:pPr>
            <w:r>
              <w:rPr>
                <w:rFonts w:hint="eastAsia"/>
                <w:b/>
                <w:bCs/>
                <w:color w:val="auto"/>
                <w:highlight w:val="none"/>
              </w:rPr>
              <w:t>2</w:t>
            </w:r>
            <w:r>
              <w:rPr>
                <w:rFonts w:hint="eastAsia"/>
                <w:b/>
                <w:bCs/>
                <w:color w:val="auto"/>
                <w:highlight w:val="none"/>
                <w:lang w:val="en-US" w:eastAsia="zh-CN"/>
              </w:rPr>
              <w:t>3</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全流程电子化项目投标说明</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topLinePunct/>
              <w:bidi w:val="0"/>
              <w:snapToGrid w:val="0"/>
              <w:spacing w:beforeAutospacing="0" w:afterAutospacing="0" w:line="440" w:lineRule="exact"/>
              <w:rPr>
                <w:b/>
                <w:bCs/>
                <w:color w:val="auto"/>
                <w:highlight w:val="none"/>
              </w:rPr>
            </w:pPr>
            <w:r>
              <w:rPr>
                <w:rFonts w:hint="eastAsia"/>
                <w:b/>
                <w:bCs/>
                <w:color w:val="auto"/>
                <w:highlight w:val="none"/>
              </w:rPr>
              <w:t>▲投标人须按时自行解密，规定时间内解密失败的，投标无效。</w:t>
            </w:r>
          </w:p>
          <w:p>
            <w:pPr>
              <w:pageBreakBefore w:val="0"/>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24</w:t>
            </w:r>
          </w:p>
        </w:tc>
        <w:tc>
          <w:tcPr>
            <w:tcW w:w="1488" w:type="dxa"/>
            <w:tcBorders>
              <w:top w:val="single" w:color="auto" w:sz="4" w:space="0"/>
              <w:left w:val="single" w:color="auto" w:sz="4" w:space="0"/>
              <w:bottom w:val="single" w:color="auto" w:sz="4" w:space="0"/>
              <w:right w:val="single" w:color="auto" w:sz="4" w:space="0"/>
            </w:tcBorders>
            <w:vAlign w:val="center"/>
          </w:tcPr>
          <w:p>
            <w:pPr>
              <w:pStyle w:val="7"/>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w:t>
            </w:r>
          </w:p>
          <w:p>
            <w:pPr>
              <w:pStyle w:val="7"/>
              <w:pageBreakBefore w:val="0"/>
              <w:widowControl w:val="0"/>
              <w:tabs>
                <w:tab w:val="left" w:pos="-945"/>
                <w:tab w:val="left" w:pos="0"/>
                <w:tab w:val="clear" w:pos="720"/>
              </w:tabs>
              <w:kinsoku/>
              <w:wordWrap/>
              <w:overflowPunct/>
              <w:topLinePunct w:val="0"/>
              <w:bidi w:val="0"/>
              <w:snapToGrid/>
              <w:jc w:val="center"/>
              <w:textAlignment w:val="auto"/>
              <w:rPr>
                <w:rFonts w:hint="eastAsia"/>
                <w:color w:val="auto"/>
                <w:highlight w:val="none"/>
              </w:rPr>
            </w:pPr>
            <w:r>
              <w:rPr>
                <w:rFonts w:hint="eastAsia" w:ascii="仿宋" w:hAnsi="仿宋" w:eastAsia="仿宋" w:cs="仿宋"/>
                <w:i w:val="0"/>
                <w:iCs w:val="0"/>
                <w:color w:val="auto"/>
                <w:sz w:val="24"/>
                <w:szCs w:val="24"/>
                <w:highlight w:val="none"/>
                <w:shd w:val="clear" w:color="auto" w:fill="auto"/>
              </w:rPr>
              <w:t>投标文件</w:t>
            </w:r>
          </w:p>
        </w:tc>
        <w:tc>
          <w:tcPr>
            <w:tcW w:w="7058"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color w:val="auto"/>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color w:val="auto"/>
                <w:highlight w:val="none"/>
              </w:rPr>
            </w:pPr>
            <w:r>
              <w:rPr>
                <w:rFonts w:hint="eastAsia"/>
                <w:color w:val="auto"/>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27</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eastAsia="zh-CN"/>
              </w:rPr>
              <w:t>代理服务费</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Autospacing="0" w:afterAutospacing="0" w:line="440" w:lineRule="exact"/>
              <w:rPr>
                <w:rFonts w:hint="eastAsia" w:eastAsia="仿宋"/>
                <w:color w:val="auto"/>
                <w:highlight w:val="none"/>
                <w:lang w:eastAsia="zh-CN"/>
              </w:rPr>
            </w:pPr>
            <w:r>
              <w:rPr>
                <w:rFonts w:hint="eastAsia" w:eastAsia="仿宋"/>
                <w:color w:val="auto"/>
                <w:highlight w:val="none"/>
                <w:lang w:eastAsia="zh-CN"/>
              </w:rPr>
              <w:t>本项目采购代理费由中标人支付，根据“发改价格【2011】534号文件”规定计取，中标人在领取中标通知书时支付给采购代理机构。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25</w:t>
            </w:r>
          </w:p>
        </w:tc>
        <w:tc>
          <w:tcPr>
            <w:tcW w:w="148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autoSpaceDE w:val="0"/>
              <w:autoSpaceDN w:val="0"/>
              <w:bidi w:val="0"/>
              <w:snapToGrid w:val="0"/>
              <w:spacing w:beforeAutospacing="0" w:afterAutospacing="0" w:line="440" w:lineRule="exact"/>
              <w:jc w:val="center"/>
              <w:textAlignment w:val="bottom"/>
              <w:rPr>
                <w:b/>
                <w:bCs/>
                <w:color w:val="auto"/>
                <w:highlight w:val="none"/>
              </w:rPr>
            </w:pPr>
            <w:r>
              <w:rPr>
                <w:rFonts w:hint="eastAsia"/>
                <w:b/>
                <w:bCs/>
                <w:color w:val="auto"/>
                <w:highlight w:val="none"/>
              </w:rPr>
              <w:t>解释</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autoSpaceDE w:val="0"/>
              <w:autoSpaceDN w:val="0"/>
              <w:bidi w:val="0"/>
              <w:snapToGrid w:val="0"/>
              <w:spacing w:beforeAutospacing="0" w:afterAutospacing="0" w:line="440" w:lineRule="exact"/>
              <w:textAlignment w:val="bottom"/>
              <w:rPr>
                <w:color w:val="auto"/>
                <w:highlight w:val="none"/>
              </w:rPr>
            </w:pPr>
            <w:r>
              <w:rPr>
                <w:rFonts w:hint="eastAsia"/>
                <w:color w:val="auto"/>
                <w:highlight w:val="none"/>
              </w:rPr>
              <w:t>本招标文件的解释权属于</w:t>
            </w:r>
            <w:r>
              <w:rPr>
                <w:rFonts w:hint="eastAsia"/>
                <w:color w:val="auto"/>
                <w:highlight w:val="none"/>
                <w:lang w:eastAsia="zh-CN"/>
              </w:rPr>
              <w:t>浙江正成招标采购咨询有限公司</w:t>
            </w:r>
            <w:r>
              <w:rPr>
                <w:rFonts w:hint="eastAsia"/>
                <w:color w:val="auto"/>
                <w:highlight w:val="none"/>
              </w:rPr>
              <w:t>和采购人。</w:t>
            </w:r>
          </w:p>
        </w:tc>
      </w:tr>
    </w:tbl>
    <w:p>
      <w:pPr>
        <w:pStyle w:val="6"/>
        <w:keepNext w:val="0"/>
        <w:keepLines w:val="0"/>
        <w:pageBreakBefore w:val="0"/>
        <w:kinsoku/>
        <w:wordWrap w:val="0"/>
        <w:topLinePunct/>
        <w:bidi w:val="0"/>
        <w:spacing w:before="0" w:beforeAutospacing="0" w:after="0" w:afterAutospacing="0" w:line="440" w:lineRule="exact"/>
        <w:ind w:left="0" w:firstLine="0"/>
        <w:jc w:val="both"/>
        <w:rPr>
          <w:color w:val="auto"/>
          <w:highlight w:val="none"/>
        </w:rPr>
      </w:pPr>
      <w:r>
        <w:rPr>
          <w:color w:val="auto"/>
          <w:sz w:val="30"/>
          <w:szCs w:val="30"/>
          <w:highlight w:val="none"/>
        </w:rPr>
        <w:br w:type="page"/>
      </w:r>
      <w:r>
        <w:rPr>
          <w:rFonts w:hint="eastAsia"/>
          <w:color w:val="auto"/>
          <w:sz w:val="30"/>
          <w:szCs w:val="30"/>
          <w:highlight w:val="none"/>
          <w:lang w:val="en-US" w:eastAsia="zh-CN"/>
        </w:rPr>
        <w:t xml:space="preserve">  </w:t>
      </w:r>
      <w:r>
        <w:rPr>
          <w:rStyle w:val="249"/>
          <w:rFonts w:hint="eastAsia"/>
          <w:b/>
          <w:bCs/>
          <w:color w:val="auto"/>
          <w:highlight w:val="none"/>
        </w:rPr>
        <w:t>一、总则</w:t>
      </w:r>
    </w:p>
    <w:p>
      <w:pPr>
        <w:pageBreakBefore w:val="0"/>
        <w:kinsoku/>
        <w:wordWrap w:val="0"/>
        <w:topLinePunct/>
        <w:bidi w:val="0"/>
        <w:spacing w:beforeAutospacing="0" w:afterAutospacing="0" w:line="440" w:lineRule="exact"/>
        <w:ind w:firstLine="482" w:firstLineChars="200"/>
        <w:jc w:val="both"/>
        <w:rPr>
          <w:b/>
          <w:bCs/>
          <w:color w:val="auto"/>
          <w:highlight w:val="none"/>
        </w:rPr>
      </w:pPr>
      <w:r>
        <w:rPr>
          <w:rFonts w:hint="eastAsia"/>
          <w:b/>
          <w:bCs/>
          <w:color w:val="auto"/>
          <w:highlight w:val="none"/>
        </w:rPr>
        <w:t>（一）适用范围</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（二）定义</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1.“采购人”系指按政府采购有关规定，</w:t>
      </w:r>
      <w:r>
        <w:rPr>
          <w:rFonts w:hint="eastAsia"/>
          <w:color w:val="auto"/>
          <w:highlight w:val="none"/>
          <w:lang w:eastAsia="zh-CN"/>
        </w:rPr>
        <w:t>委</w:t>
      </w:r>
      <w:r>
        <w:rPr>
          <w:rFonts w:hint="eastAsia"/>
          <w:color w:val="auto"/>
          <w:highlight w:val="none"/>
          <w:lang w:eastAsia="zh-CN"/>
        </w:rPr>
        <w:t>托</w:t>
      </w:r>
      <w:r>
        <w:rPr>
          <w:rFonts w:hint="eastAsia"/>
          <w:color w:val="auto"/>
          <w:highlight w:val="none"/>
        </w:rPr>
        <w:t>本次</w:t>
      </w:r>
      <w:r>
        <w:rPr>
          <w:rFonts w:hint="eastAsia"/>
          <w:color w:val="auto"/>
          <w:highlight w:val="none"/>
          <w:lang w:eastAsia="zh-CN"/>
        </w:rPr>
        <w:t>项目</w:t>
      </w:r>
      <w:r>
        <w:rPr>
          <w:rFonts w:hint="eastAsia"/>
          <w:color w:val="auto"/>
          <w:highlight w:val="none"/>
        </w:rPr>
        <w:t>招</w:t>
      </w:r>
      <w:r>
        <w:rPr>
          <w:rFonts w:hint="eastAsia"/>
          <w:color w:val="auto"/>
          <w:highlight w:val="none"/>
        </w:rPr>
        <w:t>标的</w:t>
      </w:r>
      <w:r>
        <w:rPr>
          <w:rFonts w:hint="eastAsia"/>
          <w:color w:val="auto"/>
          <w:highlight w:val="none"/>
          <w:lang w:eastAsia="zh-CN"/>
        </w:rPr>
        <w:t>杭州市富阳区气象局</w:t>
      </w:r>
      <w:r>
        <w:rPr>
          <w:rFonts w:hint="eastAsia"/>
          <w:color w:val="auto"/>
          <w:highlight w:val="none"/>
        </w:rPr>
        <w:t>。</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2.</w:t>
      </w:r>
      <w:r>
        <w:rPr>
          <w:rFonts w:hint="eastAsia"/>
          <w:color w:val="auto"/>
          <w:highlight w:val="none"/>
        </w:rPr>
        <w:t>“采购代理机构”系指</w:t>
      </w:r>
      <w:r>
        <w:rPr>
          <w:rFonts w:hint="eastAsia"/>
          <w:color w:val="auto"/>
          <w:highlight w:val="none"/>
          <w:lang w:eastAsia="zh-CN"/>
        </w:rPr>
        <w:t>浙江正成招标采购咨询有限公司</w:t>
      </w:r>
      <w:r>
        <w:rPr>
          <w:rFonts w:hint="eastAsia"/>
          <w:color w:val="auto"/>
          <w:highlight w:val="none"/>
        </w:rPr>
        <w:t>。</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3</w:t>
      </w:r>
      <w:r>
        <w:rPr>
          <w:rFonts w:hint="eastAsia"/>
          <w:color w:val="auto"/>
          <w:highlight w:val="none"/>
        </w:rPr>
        <w:t>.“投标人”系</w:t>
      </w:r>
      <w:r>
        <w:rPr>
          <w:rFonts w:hint="eastAsia"/>
          <w:color w:val="auto"/>
          <w:highlight w:val="none"/>
        </w:rPr>
        <w:t>指</w:t>
      </w:r>
      <w:r>
        <w:rPr>
          <w:rFonts w:hint="eastAsia" w:ascii="仿宋" w:hAnsi="仿宋" w:eastAsia="仿宋"/>
          <w:color w:val="auto"/>
          <w:sz w:val="24"/>
          <w:highlight w:val="none"/>
        </w:rPr>
        <w:t>响应招标、参加投标竞争的法人、其他组织或者自然人。</w:t>
      </w:r>
    </w:p>
    <w:p>
      <w:pPr>
        <w:pageBreakBefore w:val="0"/>
        <w:kinsoku/>
        <w:bidi w:val="0"/>
        <w:spacing w:beforeAutospacing="0" w:afterAutospacing="0" w:line="440" w:lineRule="exact"/>
        <w:ind w:firstLine="480" w:firstLineChars="200"/>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4.“产品”系指供方按招标文件规定，须向采购人提供的一切货物、材料、设备、保险、税金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5.“服务”系指招标文件规定投标人须承担的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pPr>
        <w:pageBreakBefore w:val="0"/>
        <w:kinsoku/>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rPr>
        <w:t>6.“项目”系指投标人按招标文件规定向采购人提供的产品和服务</w:t>
      </w:r>
      <w:r>
        <w:rPr>
          <w:rFonts w:hint="eastAsia"/>
          <w:color w:val="auto"/>
          <w:highlight w:val="none"/>
          <w:lang w:eastAsia="zh-CN"/>
        </w:rPr>
        <w:t>。</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7.“电子签名”系指数据电文中以电子形式所含、所附用于识别签名人身份并表明签名人认可其中内容的数据。</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8.“电子交易平台”是指本项目政府采购活动所依托的政府采购云平台（https://www.zcygov.cn/）。</w:t>
      </w:r>
    </w:p>
    <w:p>
      <w:pPr>
        <w:pageBreakBefore w:val="0"/>
        <w:kinsoku/>
        <w:bidi w:val="0"/>
        <w:spacing w:beforeAutospacing="0" w:afterAutospacing="0" w:line="440" w:lineRule="exact"/>
        <w:ind w:firstLine="480" w:firstLineChars="200"/>
        <w:rPr>
          <w:rFonts w:hint="eastAsia"/>
          <w:b/>
          <w:bCs/>
          <w:color w:val="auto"/>
          <w:highlight w:val="none"/>
        </w:rPr>
      </w:pPr>
      <w:r>
        <w:rPr>
          <w:rFonts w:hint="eastAsia"/>
          <w:color w:val="auto"/>
          <w:sz w:val="24"/>
          <w:highlight w:val="none"/>
          <w:lang w:val="en-US" w:eastAsia="zh-CN"/>
        </w:rPr>
        <w:t>9.“▲” 系指实质性要求条款，“★”系产品采购项目中重要技术参数。</w:t>
      </w:r>
    </w:p>
    <w:p>
      <w:pPr>
        <w:pageBreakBefore w:val="0"/>
        <w:kinsoku/>
        <w:wordWrap w:val="0"/>
        <w:topLinePunct/>
        <w:bidi w:val="0"/>
        <w:spacing w:beforeAutospacing="0" w:afterAutospacing="0" w:line="440" w:lineRule="exact"/>
        <w:ind w:firstLine="482" w:firstLineChars="200"/>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pPr>
        <w:pageBreakBefore w:val="0"/>
        <w:kinsoku/>
        <w:wordWrap w:val="0"/>
        <w:topLinePunct/>
        <w:bidi w:val="0"/>
        <w:spacing w:beforeAutospacing="0" w:afterAutospacing="0" w:line="440" w:lineRule="exact"/>
        <w:ind w:firstLine="482" w:firstLineChars="200"/>
        <w:rPr>
          <w:rFonts w:hint="eastAsia"/>
          <w:b/>
          <w:bCs/>
          <w:color w:val="auto"/>
          <w:highlight w:val="none"/>
        </w:rPr>
      </w:pPr>
      <w:r>
        <w:rPr>
          <w:rFonts w:hint="eastAsia"/>
          <w:b/>
          <w:bCs/>
          <w:color w:val="auto"/>
          <w:highlight w:val="none"/>
        </w:rPr>
        <w:t>投标人可由法定代表人或其委托人进行投标，投标时须提供有效证明文件。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（四）投标费用</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无论投标过程和结果如何，投标人均应自行承担所有与投标有关的全部费用。</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（五）特别说明</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pPr>
        <w:pageBreakBefore w:val="0"/>
        <w:kinsoku/>
        <w:bidi w:val="0"/>
        <w:spacing w:beforeAutospacing="0" w:afterAutospacing="0" w:line="440" w:lineRule="exact"/>
        <w:ind w:firstLine="482" w:firstLineChars="200"/>
        <w:rPr>
          <w:color w:val="auto"/>
          <w:highlight w:val="none"/>
        </w:rPr>
      </w:pPr>
      <w:r>
        <w:rPr>
          <w:rFonts w:hint="eastAsia" w:ascii="仿宋" w:hAnsi="仿宋" w:eastAsia="仿宋" w:cs="仿宋"/>
          <w:b/>
          <w:bCs/>
          <w:color w:val="auto"/>
          <w:sz w:val="24"/>
          <w:szCs w:val="24"/>
          <w:highlight w:val="none"/>
          <w:u w:val="none"/>
          <w:lang w:eastAsia="zh-CN"/>
        </w:rPr>
        <w:t>▲</w:t>
      </w:r>
      <w:r>
        <w:rPr>
          <w:rFonts w:hint="eastAsia"/>
          <w:color w:val="auto"/>
          <w:highlight w:val="none"/>
        </w:rPr>
        <w:t>2.价格是评标的重要因素之一，但最低报价不是中标的唯一依据。</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 采购代理机构将视情况确定是否有必要在开标前对招标文件进行澄清，如有必要，将通过政采云平</w:t>
      </w:r>
      <w:r>
        <w:rPr>
          <w:rFonts w:hint="eastAsia"/>
          <w:color w:val="auto"/>
          <w:highlight w:val="none"/>
        </w:rPr>
        <w:t>台</w:t>
      </w:r>
      <w:r>
        <w:rPr>
          <w:rFonts w:hint="eastAsia"/>
          <w:color w:val="auto"/>
          <w:highlight w:val="none"/>
          <w:lang w:eastAsia="zh-CN"/>
        </w:rPr>
        <w:t>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（二）招标文件的修改</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 更正公告的内容将作为招标文件的组成部分，对所有投标人均具有约束力。</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▲投标文件未按招标文件的最终澄清、修改的内容进行编制的</w:t>
      </w:r>
      <w:r>
        <w:rPr>
          <w:rFonts w:hint="eastAsia"/>
          <w:b/>
          <w:bCs/>
          <w:color w:val="auto"/>
          <w:highlight w:val="none"/>
        </w:rPr>
        <w:t>，</w:t>
      </w:r>
      <w:r>
        <w:rPr>
          <w:rFonts w:hint="eastAsia"/>
          <w:b/>
          <w:bCs/>
          <w:color w:val="auto"/>
          <w:highlight w:val="none"/>
          <w:lang w:eastAsia="zh-CN"/>
        </w:rPr>
        <w:t>又不符合实质性要求的，</w:t>
      </w:r>
      <w:r>
        <w:rPr>
          <w:rFonts w:hint="eastAsia"/>
          <w:b/>
          <w:bCs/>
          <w:color w:val="auto"/>
          <w:highlight w:val="none"/>
        </w:rPr>
        <w:t>投标无效。</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三、投标文件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投标人进行电子投标应安装客户端软件—“政采云电子交易客户端”，并按照招标文件和电子交易平台的要求编制并加密投标文件。</w:t>
      </w:r>
      <w:r>
        <w:rPr>
          <w:rFonts w:hint="eastAsia"/>
          <w:b/>
          <w:bCs/>
          <w:color w:val="auto"/>
          <w:highlight w:val="none"/>
        </w:rPr>
        <w:t>投标人未按规定加密的投标文件，电子交易平台将拒收并提示。</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使用“政采云电子交易客户端”需要提前申领CA数字证书，申领流程请自行前往“浙江政府采购网-下载专区-电子交易客户端-CA驱动和申领流程”进行查阅。</w:t>
      </w:r>
    </w:p>
    <w:p>
      <w:pPr>
        <w:pStyle w:val="7"/>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（一）投标文件的语言及计量</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pageBreakBefore w:val="0"/>
        <w:kinsoku/>
        <w:wordWrap w:val="0"/>
        <w:topLinePunct/>
        <w:bidi w:val="0"/>
        <w:spacing w:beforeAutospacing="0" w:afterAutospacing="0" w:line="440" w:lineRule="exa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（二）投标文件的组成</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pPr>
        <w:pageBreakBefore w:val="0"/>
        <w:kinsoku/>
        <w:wordWrap w:val="0"/>
        <w:topLinePunct/>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ascii="仿宋" w:hAnsi="仿宋" w:eastAsia="仿宋" w:cs="仿宋"/>
          <w:b w:val="0"/>
          <w:bCs w:val="0"/>
          <w:color w:val="auto"/>
          <w:sz w:val="24"/>
          <w:highlight w:val="none"/>
          <w:u w:val="none"/>
        </w:rPr>
        <w:t>符合参加政府采购活动应当具备的一般条件的承诺函（格式见附件）</w:t>
      </w:r>
      <w:r>
        <w:rPr>
          <w:rFonts w:hint="eastAsia" w:ascii="仿宋" w:hAnsi="仿宋" w:eastAsia="仿宋" w:cs="仿宋"/>
          <w:b w:val="0"/>
          <w:bCs w:val="0"/>
          <w:color w:val="auto"/>
          <w:sz w:val="24"/>
          <w:highlight w:val="none"/>
          <w:u w:val="none"/>
          <w:lang w:eastAsia="zh-CN"/>
        </w:rPr>
        <w:t>；</w:t>
      </w:r>
    </w:p>
    <w:p>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3</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eastAsia="zh-CN"/>
        </w:rPr>
        <w:t>货物制造商全部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）符合特定资格条件（如果项目要求）的有关证明材料（复印件）。</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color w:val="auto"/>
          <w:highlight w:val="none"/>
        </w:rPr>
        <w:t>政府采购供应商廉洁自律承诺书 （格式见附件）；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）廉政承诺书（格式见附件）；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）投标人情况介绍(格式见附件)；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）投标人认为有必要提供的其他资信文件或说明。</w:t>
      </w:r>
    </w:p>
    <w:p>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（以下内容按项目评标内容提供）</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val="en-US" w:eastAsia="zh-CN"/>
        </w:rPr>
        <w:t>（7）投标产品技术性能</w:t>
      </w:r>
      <w:r>
        <w:rPr>
          <w:rFonts w:hint="eastAsia"/>
          <w:color w:val="auto"/>
          <w:highlight w:val="none"/>
        </w:rPr>
        <w:t>；</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rFonts w:hint="eastAsia"/>
          <w:color w:val="auto"/>
          <w:highlight w:val="none"/>
          <w:lang w:eastAsia="zh-CN"/>
        </w:rPr>
        <w:t>技术规格</w:t>
      </w:r>
      <w:r>
        <w:rPr>
          <w:rFonts w:hint="eastAsia"/>
          <w:color w:val="auto"/>
          <w:highlight w:val="none"/>
        </w:rPr>
        <w:t>偏离表(格式见附件)；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）投标产品配置表：详细列明投标产品设备清单，完整配置方案及技术指标，必须明确投标产品的品牌、规格型号、规格配置详细说明等具体技术指标，任何含糊不清的表述对评标结果的影</w:t>
      </w:r>
      <w:r>
        <w:rPr>
          <w:rFonts w:hint="eastAsia"/>
          <w:bCs/>
          <w:color w:val="auto"/>
          <w:highlight w:val="none"/>
        </w:rPr>
        <w:t>响将是投标人的责任(格式见附件)；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10</w:t>
      </w:r>
      <w:r>
        <w:rPr>
          <w:rFonts w:hint="eastAsia"/>
          <w:bCs/>
          <w:color w:val="auto"/>
          <w:highlight w:val="none"/>
        </w:rPr>
        <w:t>）</w:t>
      </w:r>
      <w:r>
        <w:rPr>
          <w:rFonts w:hint="eastAsia"/>
          <w:bCs/>
          <w:color w:val="auto"/>
          <w:highlight w:val="none"/>
          <w:lang w:val="en-US" w:eastAsia="zh-CN"/>
        </w:rPr>
        <w:t>投标产品的环境适应性</w:t>
      </w:r>
      <w:r>
        <w:rPr>
          <w:rFonts w:hint="eastAsia"/>
          <w:bCs/>
          <w:color w:val="auto"/>
          <w:highlight w:val="none"/>
        </w:rPr>
        <w:t>；</w:t>
      </w:r>
    </w:p>
    <w:p>
      <w:pPr>
        <w:pageBreakBefore w:val="0"/>
        <w:kinsoku/>
        <w:wordWrap w:val="0"/>
        <w:topLinePunct/>
        <w:bidi w:val="0"/>
        <w:spacing w:beforeAutospacing="0" w:afterAutospacing="0" w:line="440" w:lineRule="exact"/>
        <w:ind w:firstLine="480" w:firstLineChars="200"/>
        <w:rPr>
          <w:rFonts w:hint="eastAsia"/>
          <w:bCs/>
          <w:color w:val="auto"/>
          <w:highlight w:val="none"/>
          <w:lang w:val="en-US" w:eastAsia="zh-CN"/>
        </w:rPr>
      </w:pPr>
      <w:r>
        <w:rPr>
          <w:rFonts w:hint="eastAsia"/>
          <w:bCs/>
          <w:color w:val="auto"/>
          <w:highlight w:val="none"/>
          <w:lang w:eastAsia="zh-CN"/>
        </w:rPr>
        <w:t>（</w:t>
      </w:r>
      <w:r>
        <w:rPr>
          <w:rFonts w:hint="eastAsia"/>
          <w:bCs/>
          <w:color w:val="auto"/>
          <w:highlight w:val="none"/>
          <w:lang w:val="en-US" w:eastAsia="zh-CN"/>
        </w:rPr>
        <w:t>11</w:t>
      </w:r>
      <w:r>
        <w:rPr>
          <w:rFonts w:hint="eastAsia"/>
          <w:bCs/>
          <w:color w:val="auto"/>
          <w:highlight w:val="none"/>
          <w:lang w:eastAsia="zh-CN"/>
        </w:rPr>
        <w:t>）</w:t>
      </w:r>
      <w:r>
        <w:rPr>
          <w:rFonts w:hint="eastAsia"/>
          <w:bCs/>
          <w:color w:val="auto"/>
          <w:highlight w:val="none"/>
          <w:lang w:val="en-US" w:eastAsia="zh-CN"/>
        </w:rPr>
        <w:t>投标产品的安全性；</w:t>
      </w:r>
    </w:p>
    <w:p>
      <w:pPr>
        <w:pageBreakBefore w:val="0"/>
        <w:kinsoku/>
        <w:wordWrap w:val="0"/>
        <w:topLinePunct/>
        <w:bidi w:val="0"/>
        <w:spacing w:beforeAutospacing="0" w:afterAutospacing="0" w:line="440" w:lineRule="exact"/>
        <w:ind w:firstLine="480" w:firstLineChars="200"/>
        <w:rPr>
          <w:rFonts w:hint="eastAsia"/>
          <w:bCs/>
          <w:color w:val="auto"/>
          <w:highlight w:val="none"/>
          <w:lang w:val="en-US" w:eastAsia="zh-CN"/>
        </w:rPr>
      </w:pPr>
      <w:r>
        <w:rPr>
          <w:rFonts w:hint="eastAsia"/>
          <w:bCs/>
          <w:color w:val="auto"/>
          <w:highlight w:val="none"/>
          <w:lang w:val="en-US" w:eastAsia="zh-CN"/>
        </w:rPr>
        <w:t>（12）投标产品的兼容性；</w:t>
      </w:r>
    </w:p>
    <w:p>
      <w:pPr>
        <w:pageBreakBefore w:val="0"/>
        <w:kinsoku/>
        <w:wordWrap w:val="0"/>
        <w:topLinePunct/>
        <w:bidi w:val="0"/>
        <w:spacing w:beforeAutospacing="0" w:afterAutospacing="0" w:line="440" w:lineRule="exact"/>
        <w:ind w:firstLine="480" w:firstLineChars="200"/>
        <w:rPr>
          <w:rFonts w:hint="eastAsia"/>
          <w:bCs/>
          <w:color w:val="auto"/>
          <w:highlight w:val="none"/>
          <w:lang w:val="en-US" w:eastAsia="zh-CN"/>
        </w:rPr>
      </w:pPr>
      <w:r>
        <w:rPr>
          <w:rFonts w:hint="eastAsia"/>
          <w:bCs/>
          <w:color w:val="auto"/>
          <w:highlight w:val="none"/>
          <w:lang w:val="en-US" w:eastAsia="zh-CN"/>
        </w:rPr>
        <w:t>（13）投标产品软件性能；</w:t>
      </w:r>
    </w:p>
    <w:p>
      <w:pPr>
        <w:pageBreakBefore w:val="0"/>
        <w:kinsoku/>
        <w:wordWrap w:val="0"/>
        <w:topLinePunct/>
        <w:bidi w:val="0"/>
        <w:spacing w:beforeAutospacing="0" w:afterAutospacing="0" w:line="440" w:lineRule="exact"/>
        <w:ind w:firstLine="480" w:firstLineChars="200"/>
        <w:rPr>
          <w:rFonts w:hint="default"/>
          <w:bCs/>
          <w:color w:val="auto"/>
          <w:highlight w:val="none"/>
          <w:lang w:val="en-US" w:eastAsia="zh-CN"/>
        </w:rPr>
      </w:pPr>
      <w:r>
        <w:rPr>
          <w:rFonts w:hint="eastAsia"/>
          <w:bCs/>
          <w:color w:val="auto"/>
          <w:highlight w:val="none"/>
          <w:lang w:val="en-US" w:eastAsia="zh-CN"/>
        </w:rPr>
        <w:t>（14）投标人信息管理方案；</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15</w:t>
      </w:r>
      <w:r>
        <w:rPr>
          <w:rFonts w:hint="eastAsia"/>
          <w:bCs/>
          <w:color w:val="auto"/>
          <w:highlight w:val="none"/>
        </w:rPr>
        <w:t>）项目实施人员（主要从业人员及其技术资格）一览表(格式见附件)；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lang w:val="en-US" w:eastAsia="zh-CN"/>
        </w:rPr>
      </w:pPr>
      <w:r>
        <w:rPr>
          <w:rFonts w:hint="eastAsia"/>
          <w:bCs/>
          <w:color w:val="auto"/>
          <w:highlight w:val="none"/>
          <w:lang w:eastAsia="zh-CN"/>
        </w:rPr>
        <w:t>（</w:t>
      </w:r>
      <w:r>
        <w:rPr>
          <w:rFonts w:hint="eastAsia"/>
          <w:bCs/>
          <w:color w:val="auto"/>
          <w:highlight w:val="none"/>
          <w:lang w:val="en-US" w:eastAsia="zh-CN"/>
        </w:rPr>
        <w:t>16）投标产品的技术保障能力；</w:t>
      </w:r>
    </w:p>
    <w:p>
      <w:pPr>
        <w:pageBreakBefore w:val="0"/>
        <w:kinsoku/>
        <w:wordWrap w:val="0"/>
        <w:topLinePunct/>
        <w:bidi w:val="0"/>
        <w:spacing w:beforeAutospacing="0" w:afterAutospacing="0" w:line="440" w:lineRule="exact"/>
        <w:ind w:firstLine="480" w:firstLineChars="200"/>
        <w:rPr>
          <w:rFonts w:hint="eastAsia"/>
          <w:bCs/>
          <w:color w:val="auto"/>
          <w:highlight w:val="none"/>
          <w:lang w:val="en-US" w:eastAsia="zh-CN"/>
        </w:rPr>
      </w:pPr>
      <w:r>
        <w:rPr>
          <w:rFonts w:hint="eastAsia"/>
          <w:bCs/>
          <w:color w:val="auto"/>
          <w:highlight w:val="none"/>
          <w:lang w:val="en-US" w:eastAsia="zh-CN"/>
        </w:rPr>
        <w:t>（17）技术支持；</w:t>
      </w:r>
    </w:p>
    <w:p>
      <w:pPr>
        <w:pageBreakBefore w:val="0"/>
        <w:kinsoku/>
        <w:wordWrap w:val="0"/>
        <w:topLinePunct/>
        <w:bidi w:val="0"/>
        <w:spacing w:beforeAutospacing="0" w:afterAutospacing="0" w:line="440" w:lineRule="exact"/>
        <w:ind w:firstLine="480" w:firstLineChars="200"/>
        <w:rPr>
          <w:rFonts w:hint="eastAsia"/>
          <w:bCs/>
          <w:color w:val="auto"/>
          <w:highlight w:val="none"/>
          <w:lang w:val="en-US" w:eastAsia="zh-CN"/>
        </w:rPr>
      </w:pPr>
      <w:r>
        <w:rPr>
          <w:rFonts w:hint="eastAsia"/>
          <w:bCs/>
          <w:color w:val="auto"/>
          <w:highlight w:val="none"/>
          <w:lang w:val="en-US" w:eastAsia="zh-CN"/>
        </w:rPr>
        <w:t>（18）培训计划；</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（19）售后服务；</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（20）质量检测负责人；</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（21）项目实施方案；</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（22）企业荣誉；</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（23）体系认证证书；</w:t>
      </w:r>
    </w:p>
    <w:p>
      <w:pPr>
        <w:pageBreakBefore w:val="0"/>
        <w:kinsoku/>
        <w:wordWrap w:val="0"/>
        <w:topLinePunct/>
        <w:bidi w:val="0"/>
        <w:spacing w:beforeAutospacing="0" w:afterAutospacing="0" w:line="440" w:lineRule="exact"/>
        <w:ind w:firstLine="480" w:firstLineChars="200"/>
        <w:rPr>
          <w:rFonts w:hint="default"/>
          <w:color w:val="auto"/>
          <w:highlight w:val="none"/>
          <w:lang w:val="en-US" w:eastAsia="zh-CN"/>
        </w:rPr>
      </w:pPr>
      <w:r>
        <w:rPr>
          <w:rFonts w:hint="eastAsia"/>
          <w:color w:val="auto"/>
          <w:highlight w:val="none"/>
          <w:lang w:val="en-US" w:eastAsia="zh-CN"/>
        </w:rPr>
        <w:t>（24）保障能力；</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（25）投标人同类项目实施业绩一览表(格式见附件)；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（26）投标人承诺给予采购人的各种优惠措施或优惠方案；</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27</w:t>
      </w:r>
      <w:r>
        <w:rPr>
          <w:rFonts w:hint="eastAsia"/>
          <w:color w:val="auto"/>
          <w:highlight w:val="none"/>
        </w:rPr>
        <w:t>）投标人认为有必要提供的其他文件和说明（格式自拟）。</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）投标人针对报价需要说明的其他文件和资料（格式自拟）。</w:t>
      </w:r>
    </w:p>
    <w:p>
      <w:pPr>
        <w:pStyle w:val="7"/>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（三）投标文件的编制、签署</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组成投标文件的各项资料均应遵守本条：</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1.投标文件的</w:t>
      </w:r>
      <w:r>
        <w:rPr>
          <w:rFonts w:hint="eastAsia"/>
          <w:color w:val="auto"/>
          <w:highlight w:val="none"/>
          <w:lang w:eastAsia="zh-CN"/>
        </w:rPr>
        <w:t>编制</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w:t>
      </w:r>
      <w:r>
        <w:rPr>
          <w:rFonts w:hint="eastAsia" w:ascii="仿宋" w:hAnsi="仿宋" w:eastAsia="仿宋" w:cs="仿宋"/>
          <w:b/>
          <w:bCs/>
          <w:color w:val="auto"/>
          <w:kern w:val="0"/>
          <w:sz w:val="24"/>
          <w:szCs w:val="22"/>
          <w:highlight w:val="none"/>
          <w:lang w:val="en-US" w:eastAsia="zh-CN"/>
        </w:rPr>
        <w:t>导致影响评标的，</w:t>
      </w:r>
      <w:r>
        <w:rPr>
          <w:rFonts w:hint="eastAsia" w:ascii="仿宋" w:hAnsi="仿宋" w:eastAsia="仿宋" w:cs="仿宋"/>
          <w:b/>
          <w:bCs/>
          <w:color w:val="auto"/>
          <w:kern w:val="0"/>
          <w:sz w:val="24"/>
          <w:szCs w:val="22"/>
          <w:highlight w:val="none"/>
        </w:rPr>
        <w:t>投标无效；</w:t>
      </w:r>
    </w:p>
    <w:p>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pPr>
        <w:pStyle w:val="7"/>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w:t>
      </w:r>
      <w:r>
        <w:rPr>
          <w:rFonts w:hint="eastAsia"/>
          <w:color w:val="auto"/>
          <w:highlight w:val="none"/>
        </w:rPr>
        <w:t>该已经扣除所有同业折扣以及现金折扣。投标报价应包括所需缴纳的所有税费、项目实施所需的一切费用。</w:t>
      </w:r>
    </w:p>
    <w:p>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w:t>
      </w:r>
      <w:r>
        <w:rPr>
          <w:rFonts w:hint="eastAsia"/>
          <w:b/>
          <w:bCs/>
          <w:color w:val="auto"/>
          <w:highlight w:val="none"/>
        </w:rPr>
        <w:t>环节10分钟内</w:t>
      </w:r>
      <w:r>
        <w:rPr>
          <w:rFonts w:hint="eastAsia"/>
          <w:b/>
          <w:bCs/>
          <w:color w:val="auto"/>
          <w:highlight w:val="none"/>
        </w:rPr>
        <w:t>进行在线核实的，视作确认报价，不影响评标过程和结果。</w:t>
      </w:r>
    </w:p>
    <w:p>
      <w:pPr>
        <w:pStyle w:val="7"/>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（五）投标文件的递交、补充和修改</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2.投标文件的补充和修改</w:t>
      </w:r>
    </w:p>
    <w:p>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6"/>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r>
        <w:rPr>
          <w:rFonts w:hint="eastAsia"/>
          <w:b/>
          <w:bCs/>
          <w:color w:val="auto"/>
          <w:highlight w:val="none"/>
          <w:lang w:eastAsia="zh-CN"/>
        </w:rPr>
        <w:t>响应</w:t>
      </w:r>
      <w:r>
        <w:rPr>
          <w:rFonts w:hint="eastAsia"/>
          <w:b/>
          <w:bCs/>
          <w:color w:val="auto"/>
          <w:highlight w:val="none"/>
        </w:rPr>
        <w:t>投标人不足3家的，不得开标。</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rPr>
        <w:t>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color w:val="auto"/>
          <w:highlight w:val="none"/>
        </w:rPr>
        <w:t>30分钟内</w:t>
      </w:r>
      <w:r>
        <w:rPr>
          <w:rFonts w:hint="eastAsia"/>
          <w:color w:val="auto"/>
          <w:highlight w:val="none"/>
        </w:rPr>
        <w:t>。所有投标人均应当准时在线参加</w:t>
      </w:r>
      <w:r>
        <w:rPr>
          <w:rFonts w:hint="eastAsia"/>
          <w:b/>
          <w:bCs/>
          <w:color w:val="auto"/>
          <w:highlight w:val="none"/>
        </w:rPr>
        <w:t>。</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color w:val="auto"/>
          <w:highlight w:val="none"/>
        </w:rPr>
        <w:t>开标解密后，采购人</w:t>
      </w:r>
      <w:r>
        <w:rPr>
          <w:rFonts w:hint="eastAsia"/>
          <w:color w:val="auto"/>
          <w:highlight w:val="none"/>
          <w:lang w:eastAsia="zh-CN"/>
        </w:rPr>
        <w:t>和（或）</w:t>
      </w:r>
      <w:r>
        <w:rPr>
          <w:rFonts w:hint="eastAsia"/>
          <w:color w:val="auto"/>
          <w:highlight w:val="none"/>
        </w:rPr>
        <w:t>采购代理机构依法对投标人的资格进行审查，依据法律法规和招标文件的规定，对投标人的</w:t>
      </w:r>
      <w:r>
        <w:rPr>
          <w:rFonts w:hint="eastAsia"/>
          <w:color w:val="auto"/>
          <w:highlight w:val="none"/>
          <w:lang w:val="en-US" w:eastAsia="zh-CN"/>
        </w:rPr>
        <w:t>资格文件</w:t>
      </w:r>
      <w:r>
        <w:rPr>
          <w:rFonts w:hint="eastAsia"/>
          <w:color w:val="auto"/>
          <w:highlight w:val="none"/>
        </w:rPr>
        <w:t>进</w:t>
      </w:r>
      <w:r>
        <w:rPr>
          <w:rFonts w:hint="eastAsia"/>
          <w:color w:val="auto"/>
          <w:highlight w:val="none"/>
        </w:rPr>
        <w:t>行审查。</w:t>
      </w:r>
      <w:r>
        <w:rPr>
          <w:rFonts w:hint="eastAsia" w:ascii="仿宋" w:hAnsi="仿宋" w:eastAsia="仿宋" w:cs="仿宋"/>
          <w:b/>
          <w:bCs/>
          <w:color w:val="auto"/>
          <w:sz w:val="24"/>
          <w:szCs w:val="24"/>
          <w:highlight w:val="none"/>
          <w:u w:val="none"/>
          <w:lang w:eastAsia="zh-CN"/>
        </w:rPr>
        <w:t>▲</w:t>
      </w:r>
      <w:r>
        <w:rPr>
          <w:rFonts w:hint="eastAsia"/>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color w:val="auto"/>
          <w:highlight w:val="none"/>
        </w:rPr>
        <w:t>对未通过资格审查的投标人，采购人或采购代理机构告知其未通过的原因。评标委员会对通过资格审查的投标人的商务技术响应文件进行评审。</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_GB2312" w:eastAsia="仿宋_GB2312" w:cs="仿宋_GB2312"/>
          <w:color w:val="auto"/>
          <w:sz w:val="24"/>
          <w:highlight w:val="none"/>
          <w:lang w:eastAsia="zh-CN"/>
        </w:rPr>
        <w:t>（四）</w:t>
      </w:r>
      <w:r>
        <w:rPr>
          <w:rFonts w:hint="eastAsia" w:ascii="仿宋_GB2312" w:hAnsi="仿宋" w:eastAsia="仿宋_GB2312" w:cs="仿宋_GB2312"/>
          <w:color w:val="auto"/>
          <w:sz w:val="24"/>
          <w:highlight w:val="none"/>
        </w:rPr>
        <w:t>合格投标人不足3家的，不再评标。</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pPr>
        <w:pStyle w:val="7"/>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pPr>
        <w:pageBreakBefore w:val="0"/>
        <w:kinsoku/>
        <w:wordWrap w:val="0"/>
        <w:topLinePunct/>
        <w:bidi w:val="0"/>
        <w:spacing w:beforeAutospacing="0" w:afterAutospacing="0" w:line="440" w:lineRule="exa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pageBreakBefore w:val="0"/>
        <w:kinsoku/>
        <w:wordWrap w:val="0"/>
        <w:topLinePunct/>
        <w:bidi w:val="0"/>
        <w:spacing w:beforeAutospacing="0" w:afterAutospacing="0" w:line="440" w:lineRule="exact"/>
        <w:ind w:firstLine="472" w:firstLineChars="196"/>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在政府采购活动中，评标委员会的组成人员与供应商有下列利害关系之一的，应当回避：</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（5）与供应商有其他可能影响政府采购活动公平、公正进行的关系。</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（二）评标原则</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5、评标方法及评分标准等，详见招标文件“第三章  评标办法及评分标准”。</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（三）评标程序</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1.投标文件初审</w:t>
      </w:r>
    </w:p>
    <w:p>
      <w:pPr>
        <w:pageBreakBefore w:val="0"/>
        <w:kinsoku/>
        <w:wordWrap w:val="0"/>
        <w:topLinePunct/>
        <w:bidi w:val="0"/>
        <w:spacing w:beforeAutospacing="0" w:afterAutospacing="0" w:line="440" w:lineRule="exact"/>
        <w:ind w:firstLine="482" w:firstLineChars="200"/>
        <w:rPr>
          <w:rFonts w:hint="eastAsia" w:eastAsia="仿宋"/>
          <w:color w:val="auto"/>
          <w:highlight w:val="none"/>
          <w:lang w:eastAsia="zh-CN"/>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r>
        <w:rPr>
          <w:rFonts w:hint="eastAsia"/>
          <w:color w:val="auto"/>
          <w:highlight w:val="none"/>
        </w:rPr>
        <w:t>：由采购人代表</w:t>
      </w:r>
      <w:r>
        <w:rPr>
          <w:rFonts w:hint="eastAsia"/>
          <w:color w:val="auto"/>
          <w:highlight w:val="none"/>
          <w:lang w:eastAsia="zh-CN"/>
        </w:rPr>
        <w:t>和（或）</w:t>
      </w:r>
      <w:r>
        <w:rPr>
          <w:rFonts w:hint="eastAsia"/>
          <w:color w:val="auto"/>
          <w:highlight w:val="none"/>
        </w:rPr>
        <w:t>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b/>
          <w:bCs/>
          <w:color w:val="auto"/>
          <w:highlight w:val="none"/>
        </w:rPr>
        <w:t>信用信息的使用规则</w:t>
      </w:r>
      <w:r>
        <w:rPr>
          <w:rFonts w:hint="eastAsia"/>
          <w:color w:val="auto"/>
          <w:highlight w:val="none"/>
        </w:rPr>
        <w:t>：经查询列入失信被执行人名单、重大税收违法案件当事人名单、政府采购严重违法失信行为记录名单的投标人将被拒绝参与政府采购活动</w:t>
      </w:r>
      <w:r>
        <w:rPr>
          <w:rFonts w:hint="eastAsia" w:cs="仿宋_GB2312"/>
          <w:b/>
          <w:bCs/>
          <w:color w:val="auto"/>
          <w:kern w:val="0"/>
          <w:sz w:val="24"/>
          <w:szCs w:val="22"/>
          <w:highlight w:val="none"/>
          <w:u w:val="none"/>
          <w:lang w:val="en-US" w:eastAsia="zh-CN" w:bidi="ar-SA"/>
        </w:rPr>
        <w:t>。</w:t>
      </w:r>
    </w:p>
    <w:p>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b/>
          <w:color w:val="auto"/>
          <w:highlight w:val="none"/>
        </w:rPr>
        <w:t>（2）符合性</w:t>
      </w:r>
      <w:r>
        <w:rPr>
          <w:rFonts w:hint="eastAsia"/>
          <w:b/>
          <w:color w:val="auto"/>
          <w:highlight w:val="none"/>
          <w:lang w:eastAsia="zh-CN"/>
        </w:rPr>
        <w:t>审</w:t>
      </w:r>
      <w:r>
        <w:rPr>
          <w:rFonts w:hint="eastAsia"/>
          <w:b/>
          <w:color w:val="auto"/>
          <w:highlight w:val="none"/>
        </w:rPr>
        <w:t>查：</w:t>
      </w: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pPr>
        <w:pageBreakBefore w:val="0"/>
        <w:kinsoku/>
        <w:wordWrap w:val="0"/>
        <w:topLinePunct/>
        <w:bidi w:val="0"/>
        <w:spacing w:beforeAutospacing="0" w:afterAutospacing="0" w:line="440" w:lineRule="exact"/>
        <w:ind w:firstLine="472" w:firstLineChars="196"/>
        <w:rPr>
          <w:b/>
          <w:color w:val="auto"/>
          <w:highlight w:val="none"/>
        </w:rPr>
      </w:pPr>
      <w:r>
        <w:rPr>
          <w:b/>
          <w:bCs/>
          <w:color w:val="auto"/>
          <w:sz w:val="24"/>
          <w:szCs w:val="24"/>
          <w:highlight w:val="none"/>
        </w:rPr>
        <w:t>2</w:t>
      </w:r>
      <w:r>
        <w:rPr>
          <w:rFonts w:hint="eastAsia"/>
          <w:b/>
          <w:bCs/>
          <w:color w:val="auto"/>
          <w:highlight w:val="none"/>
        </w:rPr>
        <w:t>.</w:t>
      </w:r>
      <w:r>
        <w:rPr>
          <w:rFonts w:hint="eastAsia"/>
          <w:b/>
          <w:color w:val="auto"/>
          <w:highlight w:val="none"/>
        </w:rPr>
        <w:t>投标文件的澄清</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3</w:t>
      </w:r>
      <w:r>
        <w:rPr>
          <w:rFonts w:hint="eastAsia"/>
          <w:b/>
          <w:color w:val="auto"/>
          <w:highlight w:val="none"/>
        </w:rPr>
        <w:t>.商务及技术文件的比较与评价</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8"/>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highlight w:val="none"/>
        </w:rPr>
      </w:pPr>
      <w:r>
        <w:rPr>
          <w:rFonts w:hint="eastAsia"/>
          <w:bCs w:val="0"/>
          <w:color w:val="auto"/>
          <w:sz w:val="24"/>
          <w:szCs w:val="24"/>
          <w:highlight w:val="none"/>
          <w:lang w:val="en-US" w:eastAsia="zh-CN"/>
        </w:rPr>
        <w:t>4</w:t>
      </w:r>
      <w:r>
        <w:rPr>
          <w:rFonts w:hint="eastAsia"/>
          <w:bCs w:val="0"/>
          <w:color w:val="auto"/>
          <w:sz w:val="24"/>
          <w:szCs w:val="24"/>
          <w:highlight w:val="none"/>
        </w:rPr>
        <w:t>.报价文件的比较与评审</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color w:val="auto"/>
          <w:highlight w:val="none"/>
        </w:rPr>
        <w:t>10分钟内</w:t>
      </w:r>
      <w:r>
        <w:rPr>
          <w:rFonts w:hint="eastAsia"/>
          <w:color w:val="auto"/>
          <w:highlight w:val="none"/>
        </w:rPr>
        <w:t>进行在线核实的，视作无异议，不影响评标过程和结果。</w:t>
      </w:r>
    </w:p>
    <w:p>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color w:val="auto"/>
          <w:highlight w:val="none"/>
        </w:rPr>
        <w:t>根据财政部发布的《政府采购促进中小企业发展管理办法》规定，对于非专门面向中小微企业的项目，对小型和微型企业产品的价格给予一定的扣除，用扣除后的价格参与评审。</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color w:val="auto"/>
          <w:highlight w:val="none"/>
          <w:lang w:eastAsia="zh-CN"/>
        </w:rPr>
        <w:t>开标一览表</w:t>
      </w:r>
      <w:r>
        <w:rPr>
          <w:rFonts w:hint="eastAsia"/>
          <w:color w:val="auto"/>
          <w:highlight w:val="none"/>
        </w:rPr>
        <w:t>内容与投标文件中相应内容不一致的，以</w:t>
      </w:r>
      <w:r>
        <w:rPr>
          <w:rFonts w:hint="eastAsia"/>
          <w:color w:val="auto"/>
          <w:highlight w:val="none"/>
          <w:lang w:eastAsia="zh-CN"/>
        </w:rPr>
        <w:t>开标</w:t>
      </w:r>
      <w:r>
        <w:rPr>
          <w:rFonts w:hint="eastAsia"/>
          <w:color w:val="auto"/>
          <w:highlight w:val="none"/>
        </w:rPr>
        <w:t>一览表为准；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color w:val="auto"/>
          <w:highlight w:val="none"/>
          <w:lang w:eastAsia="zh-CN"/>
        </w:rPr>
        <w:t>开标一览表</w:t>
      </w:r>
      <w:r>
        <w:rPr>
          <w:rFonts w:hint="eastAsia"/>
          <w:color w:val="auto"/>
          <w:highlight w:val="none"/>
        </w:rPr>
        <w:t>的总价为准，并修改单价；</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（4）总价金额与按单价汇总金额不一致的，以单价金额计算结果为准；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（5）政采云电子交易平台-开标记录模块的报价与投标响应文件中的报价不一致的，以投标响应文件中的报价为准。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5</w:t>
      </w:r>
      <w:r>
        <w:rPr>
          <w:rFonts w:hint="eastAsia"/>
          <w:b/>
          <w:color w:val="auto"/>
          <w:highlight w:val="none"/>
        </w:rPr>
        <w:t>.推荐中标候选人与编写评标报告</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rPr>
        <w:t>说明：供应商拒绝澄清或者澄清的内容改变了投标文件的实质性内容或者需要现场演示的授权代表未到场的，评标委员会有权对该投标文件作出不利于投标人的评判。</w:t>
      </w:r>
    </w:p>
    <w:p>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w:t>
      </w:r>
      <w:r>
        <w:rPr>
          <w:rFonts w:hint="eastAsia" w:ascii="仿宋" w:hAnsi="仿宋" w:eastAsia="仿宋" w:cs="仿宋"/>
          <w:b/>
          <w:bCs/>
          <w:color w:val="auto"/>
          <w:sz w:val="24"/>
          <w:szCs w:val="24"/>
          <w:highlight w:val="none"/>
        </w:rPr>
        <w:t>提供相同品牌产品</w:t>
      </w:r>
      <w:r>
        <w:rPr>
          <w:rFonts w:hint="eastAsia" w:ascii="仿宋" w:hAnsi="仿宋" w:eastAsia="仿宋" w:cs="仿宋"/>
          <w:b/>
          <w:bCs/>
          <w:color w:val="auto"/>
          <w:sz w:val="24"/>
          <w:szCs w:val="24"/>
          <w:highlight w:val="none"/>
        </w:rPr>
        <w:t>（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topLinePunct/>
        <w:bidi w:val="0"/>
        <w:spacing w:beforeAutospacing="0" w:afterAutospacing="0" w:line="440" w:lineRule="exact"/>
        <w:ind w:firstLine="643" w:firstLineChars="200"/>
        <w:jc w:val="both"/>
        <w:outlineLvl w:val="0"/>
        <w:rPr>
          <w:rFonts w:hint="eastAsia"/>
          <w:b/>
          <w:bCs/>
          <w:color w:val="auto"/>
          <w:sz w:val="32"/>
          <w:szCs w:val="32"/>
          <w:highlight w:val="none"/>
        </w:rPr>
      </w:pPr>
    </w:p>
    <w:p>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（三）投标文件组成漏项或未按规定的格式编制，内容不全或内容字迹模糊辨认不清影响评标的；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（四）投标人未能通过资格审查的：未按照招标文件要求提供与基本资格条件、特定资格条件相应的有效资格证明材料的；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（五）根据《中华人民共和国政府采购法》第二十二条</w:t>
      </w:r>
      <w:r>
        <w:rPr>
          <w:rFonts w:hint="eastAsia" w:cs="仿宋_GB2312"/>
          <w:color w:val="auto"/>
          <w:kern w:val="0"/>
          <w:highlight w:val="none"/>
        </w:rPr>
        <w:t>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（六）</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kern w:val="0"/>
          <w:sz w:val="24"/>
          <w:szCs w:val="24"/>
          <w:highlight w:val="none"/>
          <w:u w:val="singl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七</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八</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cs="仿宋_GB2312"/>
          <w:color w:val="auto"/>
          <w:kern w:val="0"/>
          <w:highlight w:val="none"/>
        </w:rPr>
        <w:t>（</w:t>
      </w:r>
      <w:r>
        <w:rPr>
          <w:rFonts w:hint="eastAsia" w:cs="仿宋_GB2312"/>
          <w:color w:val="auto"/>
          <w:kern w:val="0"/>
          <w:highlight w:val="none"/>
          <w:lang w:eastAsia="zh-CN"/>
        </w:rPr>
        <w:t>九</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rPr>
        <w:t>）技术规格</w:t>
      </w:r>
      <w:r>
        <w:rPr>
          <w:rFonts w:hint="eastAsia" w:ascii="仿宋" w:hAnsi="仿宋" w:eastAsia="仿宋" w:cs="仿宋_GB2312"/>
          <w:color w:val="auto"/>
          <w:kern w:val="0"/>
          <w:szCs w:val="22"/>
          <w:highlight w:val="none"/>
          <w:lang w:val="en-US" w:eastAsia="zh-CN"/>
        </w:rPr>
        <w:t>/服务条款</w:t>
      </w:r>
      <w:r>
        <w:rPr>
          <w:rFonts w:hint="eastAsia" w:ascii="仿宋" w:hAnsi="仿宋" w:eastAsia="仿宋" w:cs="仿宋_GB2312"/>
          <w:color w:val="auto"/>
          <w:kern w:val="0"/>
          <w:szCs w:val="22"/>
          <w:highlight w:val="none"/>
        </w:rPr>
        <w:t>偏离表中内容与实际不符的；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二</w:t>
      </w:r>
      <w:r>
        <w:rPr>
          <w:rFonts w:hint="eastAsia" w:ascii="仿宋" w:hAnsi="仿宋" w:eastAsia="仿宋" w:cs="仿宋_GB2312"/>
          <w:color w:val="auto"/>
          <w:kern w:val="0"/>
          <w:szCs w:val="22"/>
          <w:highlight w:val="none"/>
        </w:rPr>
        <w:t>）投标文件必须由法定代表人或其授权代表签署部分，未进行签名或电子签名的；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）投标报价超过本项目采购预算价或最高限价的；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五</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六</w:t>
      </w:r>
      <w:r>
        <w:rPr>
          <w:rFonts w:hint="eastAsia" w:ascii="仿宋" w:hAnsi="仿宋" w:eastAsia="仿宋" w:cs="仿宋_GB2312"/>
          <w:color w:val="auto"/>
          <w:kern w:val="0"/>
          <w:szCs w:val="22"/>
          <w:highlight w:val="none"/>
        </w:rPr>
        <w:t>）报价文件中有0报价的；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七</w:t>
      </w:r>
      <w:r>
        <w:rPr>
          <w:rFonts w:hint="eastAsia" w:ascii="仿宋" w:hAnsi="仿宋" w:eastAsia="仿宋" w:cs="仿宋_GB2312"/>
          <w:color w:val="auto"/>
          <w:kern w:val="0"/>
          <w:szCs w:val="22"/>
          <w:highlight w:val="none"/>
        </w:rPr>
        <w:t>）投标人对根据修正原则修正后的报价不确认的；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八</w:t>
      </w:r>
      <w:r>
        <w:rPr>
          <w:rFonts w:hint="eastAsia" w:ascii="仿宋" w:hAnsi="仿宋" w:eastAsia="仿宋" w:cs="仿宋_GB2312"/>
          <w:color w:val="auto"/>
          <w:kern w:val="0"/>
          <w:szCs w:val="22"/>
          <w:highlight w:val="none"/>
        </w:rPr>
        <w:t>）商务及技术文件和报价文件中的投标产品或服务不一致的；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九</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rPr>
        <w:t xml:space="preserve">）为采购项目提供整体设计、规范编制或者项目管理、监理、检测等服务的供应商再参加该采购项目的； </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）采购人拟采购的产品属于政府强制采购的节能产品品目清单范围的，投标人未按招标文件要求提供国家确定的认证机构出具的、处于有效期之内的节能产品认证证书的；</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（二十二）投标文件中承诺的投标有效期不足招标文件中载明的投标有效期的。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）投标人提供虚假材料投标的（包括但不限于以下情节）：</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）投标人有恶意串通、妨碍其他投标人的竞争行为、损害采购人或者其他投标人的合法权益情形的，有下列情形之一的，属于或视为恶意串通，其投标无效：</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1.供应商直接或者间接从采购人或者采购机构</w:t>
      </w:r>
      <w:r>
        <w:rPr>
          <w:rFonts w:hint="eastAsia" w:ascii="仿宋" w:hAnsi="仿宋" w:eastAsia="仿宋" w:cs="仿宋_GB2312"/>
          <w:color w:val="auto"/>
          <w:kern w:val="0"/>
          <w:szCs w:val="22"/>
          <w:highlight w:val="none"/>
        </w:rPr>
        <w:t>处获得其他供应商的相关情况并修改其投标文件或者响应文件的；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2.供应商按照采购人或者采购机构的授意撤换、修改投标文件或者响应文件的；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3.供应商之间协商报价、技术方案等投标文件或者响应文件的实质性内容的；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4.属于同一集团、协会、商会等组织成员的供应商按照该组织要求协同参加政府采购活动的；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5.供应商之间事先约定由某一特定供应商中标、成交的；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6.供应商之间商定部分供应商放弃参加政府采购活动或者放弃中标、成交的；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7.供应商与采购人或者采购代理机构之间、供应商相互之间，为谋求特定供应商中标、成交或者排斥其他供应商的其他串通行为的。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8.不同投标人的投标文件由同一单位或者个人编制的；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9.不同投标人委托同一单位或者个人办理投标事宜的；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10.不同投标人的投标文件载明的项目管理成员或者联系人员为同一人的；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11.不同投标人的投标文件异常一致或者投标报价呈规律性差异的；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12.不同投标人的投标文件相互混装的；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eastAsia="zh-CN"/>
        </w:rPr>
        <w:t>五</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（二十</w:t>
      </w:r>
      <w:r>
        <w:rPr>
          <w:rFonts w:hint="eastAsia"/>
          <w:color w:val="auto"/>
          <w:kern w:val="0"/>
          <w:highlight w:val="none"/>
          <w:lang w:eastAsia="zh-CN"/>
        </w:rPr>
        <w:t>六</w:t>
      </w:r>
      <w:r>
        <w:rPr>
          <w:rFonts w:hint="eastAsia"/>
          <w:color w:val="auto"/>
          <w:kern w:val="0"/>
          <w:highlight w:val="none"/>
        </w:rPr>
        <w:t>）出现影响采购公正的违法违规行为；</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（二十</w:t>
      </w:r>
      <w:r>
        <w:rPr>
          <w:rFonts w:hint="eastAsia"/>
          <w:color w:val="auto"/>
          <w:kern w:val="0"/>
          <w:highlight w:val="none"/>
          <w:lang w:eastAsia="zh-CN"/>
        </w:rPr>
        <w:t>七</w:t>
      </w:r>
      <w:r>
        <w:rPr>
          <w:rFonts w:hint="eastAsia"/>
          <w:color w:val="auto"/>
          <w:kern w:val="0"/>
          <w:highlight w:val="none"/>
        </w:rPr>
        <w:t>）投标文件含有采购人不能接受的附加条件的；</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（二十</w:t>
      </w:r>
      <w:r>
        <w:rPr>
          <w:rFonts w:hint="eastAsia"/>
          <w:color w:val="auto"/>
          <w:kern w:val="0"/>
          <w:highlight w:val="none"/>
          <w:lang w:eastAsia="zh-CN"/>
        </w:rPr>
        <w:t>八</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pPr>
        <w:pStyle w:val="6"/>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pPr>
        <w:pStyle w:val="6"/>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pPr>
        <w:pStyle w:val="6"/>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1.未确定中标或者成交供应商的，终止本次政府采购活动，重新开展政府采购活动。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4.政府采购合同已经履行，给采购人、供应商造成损失的，由责任人承担赔偿责任。</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5.因质疑答复，改变原中标结果，重新开展政府采购活动。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.政府采购当事人有其他违反政府采购法或者本条例规定的行为，经改正后仍然影响或者可能影响中标、成交结果或者依法被认定为中标、成交无效的，依照1-5条规定处理。</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w:t>
      </w:r>
      <w:r>
        <w:rPr>
          <w:rFonts w:hint="eastAsia"/>
          <w:color w:val="auto"/>
          <w:highlight w:val="none"/>
        </w:rPr>
        <w:t>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w:t>
      </w:r>
      <w:r>
        <w:rPr>
          <w:rFonts w:hint="eastAsia" w:ascii="宋体" w:hAnsi="宋体" w:cs="宋体"/>
          <w:color w:val="auto"/>
          <w:sz w:val="24"/>
          <w:highlight w:val="none"/>
        </w:rPr>
        <w:t>资格审查情况、评审专家抽取规则、符合性审查情况、未中标情况说明、中标公告期限以及评审专家名单、评分汇总及明细</w:t>
      </w:r>
      <w:r>
        <w:rPr>
          <w:rFonts w:hint="eastAsia"/>
          <w:color w:val="auto"/>
          <w:highlight w:val="none"/>
        </w:rPr>
        <w:t>。</w:t>
      </w:r>
      <w:r>
        <w:rPr>
          <w:rFonts w:hint="eastAsia"/>
          <w:color w:val="auto"/>
          <w:highlight w:val="none"/>
        </w:rPr>
        <w:t>公告期限为1个工作日。</w:t>
      </w:r>
    </w:p>
    <w:p>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w:t>
      </w:r>
      <w:r>
        <w:rPr>
          <w:rFonts w:hint="eastAsia" w:ascii="仿宋" w:hAnsi="仿宋" w:eastAsia="仿宋" w:cs="仿宋"/>
          <w:color w:val="auto"/>
          <w:sz w:val="24"/>
          <w:szCs w:val="24"/>
          <w:highlight w:val="none"/>
        </w:rPr>
        <w:t>招标文件、中标人的投标文件、澄清文件及中标通知书等，均为签订合同的依据。</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9"/>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浙江正成招标采购咨询有限公司</w:t>
      </w:r>
      <w:r>
        <w:rPr>
          <w:rFonts w:hint="eastAsia" w:ascii="仿宋" w:hAnsi="仿宋" w:eastAsia="仿宋" w:cs="仿宋"/>
          <w:b/>
          <w:bCs/>
          <w:color w:val="auto"/>
          <w:kern w:val="0"/>
          <w:sz w:val="24"/>
          <w:highlight w:val="none"/>
        </w:rPr>
        <w:t>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eastAsia="仿宋" w:cs="仿宋"/>
          <w:color w:val="auto"/>
          <w:highlight w:val="none"/>
          <w:u w:val="none"/>
          <w:lang w:eastAsia="zh-CN"/>
        </w:rPr>
        <w:t>履约期（验收合格）结束后5个工作日内</w:t>
      </w:r>
      <w:r>
        <w:rPr>
          <w:rFonts w:hint="eastAsia" w:ascii="仿宋" w:hAnsi="仿宋" w:eastAsia="仿宋" w:cs="仿宋"/>
          <w:color w:val="auto"/>
          <w:highlight w:val="none"/>
          <w:u w:val="none"/>
        </w:rPr>
        <w:t>，采购人</w:t>
      </w:r>
      <w:r>
        <w:rPr>
          <w:rFonts w:hint="eastAsia" w:ascii="仿宋" w:hAnsi="仿宋" w:eastAsia="仿宋" w:cs="仿宋"/>
          <w:color w:val="auto"/>
          <w:highlight w:val="none"/>
          <w:u w:val="none"/>
          <w:lang w:eastAsia="zh-CN"/>
        </w:rPr>
        <w:t>无息</w:t>
      </w:r>
      <w:r>
        <w:rPr>
          <w:rFonts w:hint="eastAsia" w:ascii="仿宋" w:hAnsi="仿宋" w:eastAsia="仿宋" w:cs="仿宋"/>
          <w:color w:val="auto"/>
          <w:highlight w:val="none"/>
          <w:u w:val="none"/>
        </w:rPr>
        <w:t>退付履约保证金。鼓励和支持供应商以银行、保险公司出具的保函形式提供履约保证金。采购人不得拒收履约保函。</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highlight w:val="none"/>
          <w:u w:val="none"/>
          <w:lang w:val="en-US" w:eastAsia="zh-CN"/>
        </w:rPr>
        <w:t>对中小企业合同</w:t>
      </w:r>
      <w:r>
        <w:rPr>
          <w:rFonts w:hint="eastAsia" w:ascii="仿宋" w:hAnsi="仿宋" w:eastAsia="仿宋" w:cs="仿宋"/>
          <w:color w:val="auto"/>
          <w:highlight w:val="none"/>
          <w:u w:val="none"/>
          <w:lang w:val="en-US" w:eastAsia="zh-CN"/>
        </w:rPr>
        <w:t>预付款比例原则上不低于合同金额的</w:t>
      </w:r>
      <w:r>
        <w:rPr>
          <w:rFonts w:hint="eastAsia" w:ascii="仿宋" w:hAnsi="仿宋" w:cs="仿宋"/>
          <w:color w:val="auto"/>
          <w:highlight w:val="none"/>
          <w:u w:val="none"/>
          <w:lang w:val="en-US" w:eastAsia="zh-CN"/>
        </w:rPr>
        <w:t>4</w:t>
      </w:r>
      <w:r>
        <w:rPr>
          <w:rFonts w:hint="eastAsia" w:ascii="仿宋" w:hAnsi="仿宋" w:eastAsia="仿宋" w:cs="仿宋"/>
          <w:color w:val="auto"/>
          <w:highlight w:val="none"/>
          <w:u w:val="none"/>
          <w:lang w:val="en-US" w:eastAsia="zh-CN"/>
        </w:rPr>
        <w:t>0％</w:t>
      </w:r>
      <w:r>
        <w:rPr>
          <w:rFonts w:hint="eastAsia" w:ascii="仿宋" w:hAnsi="仿宋" w:cs="仿宋"/>
          <w:color w:val="auto"/>
          <w:highlight w:val="none"/>
          <w:u w:val="none"/>
          <w:lang w:val="en-US" w:eastAsia="zh-CN"/>
        </w:rPr>
        <w:t>，不高于合同金额的70%</w:t>
      </w:r>
      <w:r>
        <w:rPr>
          <w:rFonts w:hint="eastAsia" w:ascii="仿宋" w:hAnsi="仿宋" w:eastAsia="仿宋" w:cs="仿宋"/>
          <w:color w:val="auto"/>
          <w:highlight w:val="none"/>
          <w:u w:val="none"/>
          <w:lang w:val="en-US" w:eastAsia="zh-CN"/>
        </w:rPr>
        <w:t>；项目分年安排预算的，每年预付款比例不低于项目年度计划支付资金额的</w:t>
      </w:r>
      <w:r>
        <w:rPr>
          <w:rFonts w:hint="eastAsia" w:ascii="仿宋" w:hAnsi="仿宋" w:cs="仿宋"/>
          <w:color w:val="auto"/>
          <w:highlight w:val="none"/>
          <w:u w:val="none"/>
          <w:lang w:val="en-US" w:eastAsia="zh-CN"/>
        </w:rPr>
        <w:t>4</w:t>
      </w:r>
      <w:r>
        <w:rPr>
          <w:rFonts w:hint="eastAsia" w:ascii="仿宋" w:hAnsi="仿宋" w:eastAsia="仿宋" w:cs="仿宋"/>
          <w:color w:val="auto"/>
          <w:highlight w:val="none"/>
          <w:u w:val="none"/>
          <w:lang w:val="en-US" w:eastAsia="zh-CN"/>
        </w:rPr>
        <w:t>0％</w:t>
      </w:r>
      <w:r>
        <w:rPr>
          <w:rFonts w:hint="eastAsia" w:ascii="仿宋" w:hAnsi="仿宋" w:cs="仿宋"/>
          <w:color w:val="auto"/>
          <w:highlight w:val="none"/>
          <w:u w:val="none"/>
          <w:lang w:val="en-US" w:eastAsia="zh-CN"/>
        </w:rPr>
        <w:t>，不高于年度计划支付金额的70%；</w:t>
      </w:r>
      <w:r>
        <w:rPr>
          <w:rFonts w:hint="eastAsia" w:ascii="仿宋" w:hAnsi="仿宋" w:eastAsia="仿宋" w:cs="仿宋"/>
          <w:color w:val="auto"/>
          <w:highlight w:val="none"/>
          <w:u w:val="none"/>
          <w:lang w:val="en-US" w:eastAsia="zh-CN"/>
        </w:rPr>
        <w:t>采购项目实施以人工投入为主的，可适当降低预付款比例，但不得低于</w:t>
      </w:r>
      <w:r>
        <w:rPr>
          <w:rFonts w:hint="eastAsia" w:ascii="仿宋" w:hAnsi="仿宋" w:cs="仿宋"/>
          <w:color w:val="auto"/>
          <w:highlight w:val="none"/>
          <w:u w:val="none"/>
          <w:lang w:val="en-US" w:eastAsia="zh-CN"/>
        </w:rPr>
        <w:t>2</w:t>
      </w:r>
      <w:r>
        <w:rPr>
          <w:rFonts w:hint="eastAsia" w:ascii="仿宋" w:hAnsi="仿宋" w:eastAsia="仿宋" w:cs="仿宋"/>
          <w:color w:val="auto"/>
          <w:highlight w:val="none"/>
          <w:u w:val="none"/>
          <w:lang w:val="en-US" w:eastAsia="zh-CN"/>
        </w:rPr>
        <w:t>0%。</w:t>
      </w:r>
      <w:r>
        <w:rPr>
          <w:rFonts w:hint="eastAsia" w:ascii="仿宋" w:hAnsi="仿宋" w:cs="仿宋"/>
          <w:color w:val="auto"/>
          <w:highlight w:val="none"/>
          <w:u w:val="none"/>
          <w:lang w:val="en-US" w:eastAsia="zh-CN"/>
        </w:rPr>
        <w:t>对供应商为大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r>
        <w:rPr>
          <w:rFonts w:hint="eastAsia" w:ascii="仿宋" w:hAnsi="仿宋" w:eastAsia="仿宋" w:cs="仿宋"/>
          <w:color w:val="auto"/>
          <w:highlight w:val="none"/>
          <w:u w:val="none"/>
          <w:lang w:val="en-US" w:eastAsia="zh-CN"/>
        </w:rPr>
        <w:t>采购单位根据项目特点、供应商信用等</w:t>
      </w:r>
      <w:r>
        <w:rPr>
          <w:rFonts w:hint="eastAsia" w:ascii="仿宋" w:hAnsi="仿宋" w:cs="仿宋"/>
          <w:color w:val="auto"/>
          <w:highlight w:val="none"/>
          <w:u w:val="none"/>
          <w:lang w:val="en-US" w:eastAsia="zh-CN"/>
        </w:rPr>
        <w:t>因素，可以要求供应商提交银行、保险公司等金融机构出具的预付款保函或其他担保措施。</w:t>
      </w:r>
      <w:r>
        <w:rPr>
          <w:rFonts w:hint="eastAsia" w:ascii="仿宋" w:hAnsi="仿宋" w:eastAsia="仿宋" w:cs="仿宋"/>
          <w:color w:val="auto"/>
          <w:highlight w:val="none"/>
          <w:u w:val="none"/>
          <w:lang w:val="en-US" w:eastAsia="zh-CN"/>
        </w:rPr>
        <w:t>鼓励和支持采购单位根据项目特点、供应商信用等实际情况提高预付款比例，最高预付比例可以达到</w:t>
      </w:r>
      <w:r>
        <w:rPr>
          <w:rFonts w:hint="eastAsia" w:ascii="仿宋" w:hAnsi="仿宋" w:cs="仿宋"/>
          <w:color w:val="auto"/>
          <w:highlight w:val="none"/>
          <w:u w:val="none"/>
          <w:lang w:val="en-US" w:eastAsia="zh-CN"/>
        </w:rPr>
        <w:t>7</w:t>
      </w:r>
      <w:r>
        <w:rPr>
          <w:rFonts w:hint="eastAsia" w:ascii="仿宋" w:hAnsi="仿宋" w:eastAsia="仿宋" w:cs="仿宋"/>
          <w:color w:val="auto"/>
          <w:highlight w:val="none"/>
          <w:u w:val="none"/>
          <w:lang w:val="en-US" w:eastAsia="zh-CN"/>
        </w:rPr>
        <w:t>0%。采购人应在合同生效以及具备实施条件后</w:t>
      </w:r>
      <w:r>
        <w:rPr>
          <w:rFonts w:hint="eastAsia" w:ascii="仿宋" w:hAnsi="仿宋" w:cs="仿宋"/>
          <w:color w:val="auto"/>
          <w:highlight w:val="none"/>
          <w:u w:val="none"/>
          <w:lang w:val="en-US" w:eastAsia="zh-CN"/>
        </w:rPr>
        <w:t>7个工作</w:t>
      </w:r>
      <w:r>
        <w:rPr>
          <w:rFonts w:hint="eastAsia" w:ascii="仿宋" w:hAnsi="仿宋" w:eastAsia="仿宋" w:cs="仿宋"/>
          <w:color w:val="auto"/>
          <w:highlight w:val="none"/>
          <w:u w:val="none"/>
          <w:lang w:val="en-US" w:eastAsia="zh-CN"/>
        </w:rPr>
        <w:t>日内，支付预付款。</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3.采购人应积极履行合同，及时组织验收，验收合格后应及时将合同款支付完毕。采购项目实施以人工投入为主的，可按季度支付合同款。对于满足合同约定支付条件的，采购人应自收到发票后</w:t>
      </w:r>
      <w:r>
        <w:rPr>
          <w:rFonts w:hint="eastAsia" w:ascii="仿宋" w:hAnsi="仿宋" w:cs="仿宋"/>
          <w:color w:val="auto"/>
          <w:highlight w:val="none"/>
          <w:u w:val="none"/>
          <w:lang w:val="en-US" w:eastAsia="zh-CN"/>
        </w:rPr>
        <w:t>7</w:t>
      </w:r>
      <w:r>
        <w:rPr>
          <w:rFonts w:hint="eastAsia" w:ascii="仿宋" w:hAnsi="仿宋" w:eastAsia="仿宋" w:cs="仿宋"/>
          <w:color w:val="auto"/>
          <w:highlight w:val="none"/>
          <w:u w:val="none"/>
          <w:lang w:val="en-US" w:eastAsia="zh-CN"/>
        </w:rPr>
        <w:t>个工作日内将资金支付到合同约定的供应商账户，有条件的采购人可以即时支付。不得以机构变动、人员更替、政策调整、单位放假等为由延迟付款。</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p>
    <w:p>
      <w:pPr>
        <w:pageBreakBefore w:val="0"/>
        <w:widowControl/>
        <w:kinsoku/>
        <w:bidi w:val="0"/>
        <w:spacing w:beforeAutospacing="0" w:afterAutospacing="0" w:line="440" w:lineRule="exact"/>
        <w:ind w:firstLine="480" w:firstLineChars="200"/>
        <w:jc w:val="left"/>
        <w:rPr>
          <w:rFonts w:hint="eastAsia"/>
          <w:color w:val="auto"/>
          <w:highlight w:val="none"/>
          <w:lang w:val="en-US" w:eastAsia="zh-CN"/>
        </w:rPr>
      </w:pPr>
      <w:r>
        <w:rPr>
          <w:rFonts w:hint="eastAsia" w:ascii="仿宋" w:hAnsi="仿宋" w:eastAsia="仿宋" w:cs="仿宋"/>
          <w:color w:val="auto"/>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（五）询问、质疑和投诉</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ascii="仿宋" w:hAnsi="仿宋" w:eastAsia="仿宋" w:cs="仿宋"/>
          <w:b/>
          <w:bCs/>
          <w:color w:val="auto"/>
          <w:sz w:val="24"/>
          <w:szCs w:val="22"/>
          <w:highlight w:val="none"/>
          <w:lang w:val="en-US" w:eastAsia="zh-CN"/>
        </w:rPr>
        <w:t>2</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供应商认为招标文件、采购过程和中标结果使自己的合法权益受到损害的，可以自知道或者应知其权益受到损害之日起七个工作日内，</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3</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5"/>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的规定：对采购文件中特定资格条件、采购需求、评分办法提出的质疑，由采购人负责答复；对采购文件中其他内容提出的质疑，由</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负责答复。</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提出质疑的，质疑期限为各采购程序环节结束之日起计算。对同一采购程序环节的质疑，供应商须一次性提出。对采购过程中有关现场考察</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事项提出的质疑，由采购人负责答复；对采购过程中其它事项提出的质疑，由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color w:val="auto"/>
          <w:highlight w:val="none"/>
          <w:lang w:eastAsia="zh-CN"/>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采购结果</w:t>
      </w:r>
      <w:r>
        <w:rPr>
          <w:rFonts w:hint="eastAsia" w:ascii="仿宋" w:hAnsi="仿宋" w:eastAsia="仿宋"/>
          <w:color w:val="auto"/>
          <w:sz w:val="24"/>
          <w:highlight w:val="none"/>
        </w:rPr>
        <w:t>提出质疑的，质疑期限自采购结果公告期限届满之日起计算。对采购结果提出质疑的，由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详见附件4或</w:t>
      </w:r>
      <w:r>
        <w:rPr>
          <w:rFonts w:hint="eastAsia" w:ascii="仿宋" w:hAnsi="仿宋" w:eastAsia="仿宋" w:cs="仿宋"/>
          <w:b/>
          <w:bCs/>
          <w:color w:val="auto"/>
          <w:sz w:val="24"/>
          <w:szCs w:val="22"/>
          <w:highlight w:val="none"/>
          <w:lang w:val="en-US" w:eastAsia="zh-CN"/>
        </w:rPr>
        <w:t>请到浙江政府采购网下载专区下载。</w:t>
      </w:r>
    </w:p>
    <w:p>
      <w:pPr>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br w:type="page"/>
      </w:r>
    </w:p>
    <w:p>
      <w:pPr>
        <w:pageBreakBefore w:val="0"/>
        <w:kinsoku/>
        <w:bidi w:val="0"/>
        <w:spacing w:beforeAutospacing="0" w:afterAutospacing="0" w:line="440" w:lineRule="exact"/>
        <w:jc w:val="center"/>
        <w:rPr>
          <w:b/>
          <w:bCs/>
          <w:color w:val="auto"/>
          <w:sz w:val="44"/>
          <w:szCs w:val="44"/>
          <w:highlight w:val="none"/>
        </w:rPr>
      </w:pPr>
      <w:r>
        <w:rPr>
          <w:rFonts w:hint="eastAsia"/>
          <w:b/>
          <w:bCs/>
          <w:color w:val="auto"/>
          <w:sz w:val="44"/>
          <w:szCs w:val="44"/>
          <w:highlight w:val="none"/>
        </w:rPr>
        <w:t>第三章  评标办法及评分标准</w:t>
      </w:r>
      <w:bookmarkEnd w:id="2"/>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auto"/>
          <w:highlight w:val="none"/>
        </w:rPr>
      </w:pPr>
      <w:r>
        <w:rPr>
          <w:rFonts w:hint="eastAsia"/>
          <w:color w:val="auto"/>
          <w:highlight w:val="none"/>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投标人评标</w:t>
      </w:r>
      <w:r>
        <w:rPr>
          <w:rFonts w:hint="eastAsia" w:ascii="仿宋" w:hAnsi="仿宋" w:eastAsia="仿宋"/>
          <w:bCs/>
          <w:color w:val="auto"/>
          <w:sz w:val="24"/>
          <w:szCs w:val="24"/>
          <w:highlight w:val="none"/>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4.综合得分排名第一的投标人为中</w:t>
      </w:r>
      <w:r>
        <w:rPr>
          <w:rFonts w:hint="eastAsia" w:ascii="仿宋" w:hAnsi="仿宋" w:eastAsia="仿宋"/>
          <w:color w:val="auto"/>
          <w:sz w:val="24"/>
          <w:szCs w:val="24"/>
          <w:highlight w:val="none"/>
        </w:rPr>
        <w:t>标候选人，次高分的投标人为候补中标人，依次类推。</w:t>
      </w:r>
    </w:p>
    <w:p>
      <w:pPr>
        <w:pStyle w:val="25"/>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auto"/>
          <w:sz w:val="24"/>
          <w:highlight w:val="none"/>
        </w:rPr>
      </w:pPr>
      <w:r>
        <w:rPr>
          <w:rFonts w:hint="eastAsia" w:ascii="仿宋" w:hAnsi="仿宋" w:eastAsia="仿宋"/>
          <w:color w:val="auto"/>
          <w:sz w:val="24"/>
          <w:szCs w:val="24"/>
          <w:highlight w:val="none"/>
        </w:rPr>
        <w:t>5.评分过程中采用四舍五入法，</w:t>
      </w:r>
      <w:r>
        <w:rPr>
          <w:rFonts w:hint="eastAsia" w:ascii="仿宋" w:hAnsi="仿宋" w:eastAsia="仿宋"/>
          <w:bCs/>
          <w:color w:val="auto"/>
          <w:sz w:val="24"/>
          <w:szCs w:val="24"/>
          <w:highlight w:val="none"/>
        </w:rPr>
        <w:t>并保留小数2位。</w:t>
      </w:r>
    </w:p>
    <w:p>
      <w:pPr>
        <w:pageBreakBefore w:val="0"/>
        <w:kinsoku/>
        <w:bidi w:val="0"/>
        <w:spacing w:beforeAutospacing="0" w:afterAutospacing="0" w:line="440" w:lineRule="exact"/>
        <w:ind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二、评分内容及标准</w:t>
      </w:r>
    </w:p>
    <w:p>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（一）价格评</w:t>
      </w:r>
      <w:r>
        <w:rPr>
          <w:rFonts w:hint="eastAsia" w:ascii="仿宋" w:hAnsi="仿宋" w:eastAsia="仿宋"/>
          <w:b/>
          <w:color w:val="auto"/>
          <w:sz w:val="24"/>
          <w:szCs w:val="24"/>
          <w:highlight w:val="none"/>
        </w:rPr>
        <w:t>分(</w:t>
      </w:r>
      <w:r>
        <w:rPr>
          <w:rFonts w:hint="eastAsia"/>
          <w:b/>
          <w:color w:val="auto"/>
          <w:sz w:val="24"/>
          <w:szCs w:val="24"/>
          <w:highlight w:val="none"/>
          <w:lang w:val="en-US" w:eastAsia="zh-CN"/>
        </w:rPr>
        <w:t>3</w:t>
      </w:r>
      <w:r>
        <w:rPr>
          <w:rFonts w:hint="eastAsia" w:ascii="仿宋" w:hAnsi="仿宋" w:eastAsia="仿宋"/>
          <w:b/>
          <w:color w:val="auto"/>
          <w:sz w:val="24"/>
          <w:szCs w:val="24"/>
          <w:highlight w:val="none"/>
        </w:rPr>
        <w:t>0分)</w:t>
      </w:r>
    </w:p>
    <w:p>
      <w:pPr>
        <w:pageBreakBefore w:val="0"/>
        <w:kinsoku/>
        <w:bidi w:val="0"/>
        <w:spacing w:beforeAutospacing="0" w:afterAutospacing="0" w:line="440" w:lineRule="exact"/>
        <w:ind w:firstLine="482" w:firstLineChars="200"/>
        <w:rPr>
          <w:rFonts w:ascii="仿宋" w:hAnsi="仿宋" w:eastAsia="仿宋"/>
          <w:color w:val="auto"/>
          <w:sz w:val="24"/>
          <w:szCs w:val="24"/>
          <w:highlight w:val="none"/>
        </w:rPr>
      </w:pPr>
      <w:r>
        <w:rPr>
          <w:rFonts w:hint="eastAsia" w:ascii="仿宋" w:hAnsi="仿宋" w:eastAsia="仿宋"/>
          <w:b/>
          <w:color w:val="auto"/>
          <w:sz w:val="24"/>
          <w:szCs w:val="24"/>
          <w:highlight w:val="none"/>
        </w:rPr>
        <w:t>1.报价的合理性：</w:t>
      </w:r>
      <w:r>
        <w:rPr>
          <w:rFonts w:hint="eastAsia" w:ascii="仿宋" w:hAnsi="仿宋" w:eastAsia="仿宋"/>
          <w:color w:val="auto"/>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ageBreakBefore w:val="0"/>
        <w:kinsoku/>
        <w:bidi w:val="0"/>
        <w:spacing w:beforeAutospacing="0" w:afterAutospacing="0" w:line="440" w:lineRule="exact"/>
        <w:ind w:firstLine="482" w:firstLineChars="200"/>
        <w:rPr>
          <w:rFonts w:hint="eastAsia" w:ascii="仿宋" w:hAnsi="仿宋" w:eastAsia="仿宋"/>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highlight w:val="none"/>
          <w:lang w:val="zh-CN"/>
        </w:rPr>
        <w:t>价格</w:t>
      </w:r>
      <w:r>
        <w:rPr>
          <w:rFonts w:hint="eastAsia" w:ascii="仿宋" w:hAnsi="仿宋" w:eastAsia="仿宋" w:cs="仿宋_GB2312"/>
          <w:b/>
          <w:color w:val="auto"/>
          <w:sz w:val="24"/>
          <w:highlight w:val="none"/>
          <w:lang w:val="zh-CN"/>
        </w:rPr>
        <w:t>分的计算：</w:t>
      </w:r>
      <w:r>
        <w:rPr>
          <w:rFonts w:ascii="仿宋" w:hAnsi="仿宋" w:eastAsia="仿宋"/>
          <w:b/>
          <w:bCs/>
          <w:color w:val="auto"/>
          <w:sz w:val="24"/>
          <w:szCs w:val="24"/>
          <w:highlight w:val="none"/>
        </w:rPr>
        <w:t xml:space="preserve"> </w:t>
      </w:r>
      <w:r>
        <w:rPr>
          <w:rFonts w:hint="eastAsia" w:ascii="仿宋" w:hAnsi="仿宋" w:eastAsia="仿宋"/>
          <w:color w:val="auto"/>
          <w:sz w:val="24"/>
          <w:highlight w:val="none"/>
        </w:rPr>
        <w:t>根据各投标人的有效投标报价，</w:t>
      </w:r>
      <w:r>
        <w:rPr>
          <w:rFonts w:hint="eastAsia" w:ascii="仿宋" w:hAnsi="仿宋" w:eastAsia="仿宋"/>
          <w:color w:val="auto"/>
          <w:sz w:val="24"/>
          <w:szCs w:val="24"/>
          <w:highlight w:val="none"/>
        </w:rPr>
        <w:t>满足招标文件要求且投标价格最低的投标报价为评标基准价，其价格分为满分。其他投标人的价格分统一按照下列公式计算：投</w:t>
      </w:r>
      <w:r>
        <w:rPr>
          <w:rFonts w:hint="eastAsia" w:ascii="仿宋" w:hAnsi="仿宋" w:eastAsia="仿宋"/>
          <w:color w:val="auto"/>
          <w:sz w:val="24"/>
          <w:szCs w:val="24"/>
          <w:highlight w:val="none"/>
        </w:rPr>
        <w:t>标报价得分=(评标基准价／有效投标报价)×</w:t>
      </w:r>
      <w:r>
        <w:rPr>
          <w:rFonts w:hint="eastAsia"/>
          <w:color w:val="auto"/>
          <w:sz w:val="24"/>
          <w:szCs w:val="24"/>
          <w:highlight w:val="none"/>
          <w:lang w:val="en-US" w:eastAsia="zh-CN"/>
        </w:rPr>
        <w:t>30</w:t>
      </w:r>
      <w:r>
        <w:rPr>
          <w:rFonts w:hint="eastAsia" w:ascii="仿宋" w:hAnsi="仿宋" w:eastAsia="仿宋"/>
          <w:color w:val="auto"/>
          <w:sz w:val="24"/>
          <w:szCs w:val="24"/>
          <w:highlight w:val="none"/>
        </w:rPr>
        <w:t>%×100；</w:t>
      </w:r>
    </w:p>
    <w:p>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（二）商务及技术评分（</w:t>
      </w:r>
      <w:r>
        <w:rPr>
          <w:rFonts w:hint="eastAsia"/>
          <w:b/>
          <w:color w:val="auto"/>
          <w:sz w:val="24"/>
          <w:szCs w:val="24"/>
          <w:highlight w:val="none"/>
          <w:lang w:val="en-US" w:eastAsia="zh-CN"/>
        </w:rPr>
        <w:t>7</w:t>
      </w:r>
      <w:r>
        <w:rPr>
          <w:rFonts w:hint="eastAsia" w:ascii="仿宋" w:hAnsi="仿宋" w:eastAsia="仿宋"/>
          <w:b/>
          <w:color w:val="auto"/>
          <w:sz w:val="24"/>
          <w:szCs w:val="24"/>
          <w:highlight w:val="none"/>
        </w:rPr>
        <w:t>0分）</w:t>
      </w:r>
    </w:p>
    <w:p>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1.商务及技术分的计算。</w:t>
      </w:r>
    </w:p>
    <w:p>
      <w:pPr>
        <w:pageBreakBefore w:val="0"/>
        <w:kinsoku/>
        <w:bidi w:val="0"/>
        <w:spacing w:beforeAutospacing="0" w:afterAutospacing="0" w:line="440" w:lineRule="exact"/>
        <w:ind w:firstLine="480" w:firstLineChars="200"/>
        <w:rPr>
          <w:rStyle w:val="96"/>
          <w:rFonts w:hint="eastAsia" w:ascii="Arial" w:hAnsi="Arial" w:eastAsia="宋体" w:cs="Arial"/>
          <w:color w:val="auto"/>
          <w:sz w:val="22"/>
          <w:szCs w:val="22"/>
          <w:highlight w:val="none"/>
          <w:shd w:val="clear" w:color="auto" w:fill="FFFFFF"/>
        </w:rPr>
      </w:pPr>
      <w:r>
        <w:rPr>
          <w:rFonts w:hint="eastAsia" w:ascii="仿宋" w:hAnsi="仿宋" w:eastAsia="仿宋"/>
          <w:color w:val="auto"/>
          <w:sz w:val="24"/>
          <w:szCs w:val="24"/>
          <w:highlight w:val="none"/>
        </w:rPr>
        <w:t>商务及技术评分按照评标委员会成员的独立评分结果汇总后的算术平均分计算，计算公式为：商务及技术评分＝评标委员会所有成员评分合计数/评标委员会组成人员数。</w:t>
      </w:r>
    </w:p>
    <w:p>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auto"/>
          <w:sz w:val="22"/>
          <w:szCs w:val="22"/>
          <w:highlight w:val="none"/>
          <w:shd w:val="clear" w:color="auto" w:fill="FFFFFF"/>
        </w:rPr>
      </w:pPr>
      <w:r>
        <w:rPr>
          <w:rFonts w:hint="eastAsia" w:ascii="仿宋" w:hAnsi="仿宋" w:eastAsia="仿宋"/>
          <w:b/>
          <w:color w:val="auto"/>
          <w:sz w:val="24"/>
          <w:szCs w:val="24"/>
          <w:highlight w:val="none"/>
        </w:rPr>
        <w:t>评分细则</w:t>
      </w:r>
    </w:p>
    <w:tbl>
      <w:tblPr>
        <w:tblStyle w:val="89"/>
        <w:tblW w:w="941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240"/>
        <w:gridCol w:w="6467"/>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240"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w:t>
            </w:r>
          </w:p>
        </w:tc>
        <w:tc>
          <w:tcPr>
            <w:tcW w:w="6467"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920"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cs="仿宋"/>
                <w:b/>
                <w:bCs/>
                <w:color w:val="auto"/>
                <w:kern w:val="0"/>
                <w:sz w:val="24"/>
                <w:szCs w:val="24"/>
                <w:highlight w:val="none"/>
                <w:lang w:val="en-US" w:eastAsia="zh-CN"/>
              </w:rPr>
              <w:t>1</w:t>
            </w:r>
          </w:p>
        </w:tc>
        <w:tc>
          <w:tcPr>
            <w:tcW w:w="1240"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仿宋" w:hAnsi="仿宋" w:eastAsia="仿宋" w:cs="仿宋"/>
                <w:b/>
                <w:bCs/>
                <w:color w:val="auto"/>
                <w:kern w:val="0"/>
                <w:sz w:val="24"/>
                <w:szCs w:val="24"/>
                <w:highlight w:val="none"/>
              </w:rPr>
            </w:pPr>
            <w:r>
              <w:rPr>
                <w:rFonts w:ascii="宋体" w:hAnsi="宋体"/>
                <w:color w:val="auto"/>
                <w:highlight w:val="none"/>
              </w:rPr>
              <w:t>投标产品技术性能</w:t>
            </w:r>
          </w:p>
        </w:tc>
        <w:tc>
          <w:tcPr>
            <w:tcW w:w="6467" w:type="dxa"/>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rPr>
              <w:t>所投产品具体配置表、技术参数及偏离情况：产品参数配置等所有指标均满足的得基本分20分，带“★”号的技术参数负偏离或未响应的，每项扣</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分；其余技术参数负偏离或未响应的，每项扣1分，扣完为止；</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cs="仿宋"/>
                <w:b/>
                <w:bCs/>
                <w:color w:val="auto"/>
                <w:kern w:val="0"/>
                <w:sz w:val="24"/>
                <w:szCs w:val="24"/>
                <w:highlight w:val="none"/>
                <w:lang w:val="en-US" w:eastAsia="zh-CN"/>
              </w:rPr>
              <w:t>2</w:t>
            </w:r>
          </w:p>
        </w:tc>
        <w:tc>
          <w:tcPr>
            <w:tcW w:w="1240" w:type="dxa"/>
            <w:vAlign w:val="center"/>
          </w:tcPr>
          <w:p>
            <w:pPr>
              <w:pStyle w:val="191"/>
              <w:keepNext w:val="0"/>
              <w:keepLines w:val="0"/>
              <w:pageBreakBefore w:val="0"/>
              <w:kinsoku/>
              <w:wordWrap/>
              <w:overflowPunct/>
              <w:topLinePunct w:val="0"/>
              <w:autoSpaceDE/>
              <w:autoSpaceDN/>
              <w:bidi w:val="0"/>
              <w:adjustRightInd/>
              <w:spacing w:before="0" w:line="400" w:lineRule="exact"/>
              <w:ind w:firstLine="0" w:firstLineChars="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投标产品的环境适应性</w:t>
            </w:r>
          </w:p>
        </w:tc>
        <w:tc>
          <w:tcPr>
            <w:tcW w:w="6467" w:type="dxa"/>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1）投标人所投核心产品适应高、低温条件下连续观测的得2分；</w:t>
            </w:r>
            <w:r>
              <w:rPr>
                <w:rFonts w:hint="eastAsia"/>
                <w:b/>
                <w:bCs/>
                <w:color w:val="auto"/>
                <w:kern w:val="0"/>
                <w:highlight w:val="none"/>
              </w:rPr>
              <w:t>投标文件中提供</w:t>
            </w:r>
            <w:r>
              <w:rPr>
                <w:rFonts w:hint="eastAsia"/>
                <w:b/>
                <w:bCs/>
                <w:color w:val="auto"/>
                <w:kern w:val="0"/>
                <w:highlight w:val="none"/>
                <w:lang w:val="en-US" w:eastAsia="zh-CN"/>
              </w:rPr>
              <w:t>第三方机构出具的</w:t>
            </w:r>
            <w:r>
              <w:rPr>
                <w:rFonts w:hint="eastAsia"/>
                <w:b/>
                <w:bCs/>
                <w:color w:val="auto"/>
                <w:kern w:val="0"/>
                <w:highlight w:val="none"/>
              </w:rPr>
              <w:t>检测报告</w:t>
            </w:r>
            <w:r>
              <w:rPr>
                <w:rFonts w:hint="eastAsia"/>
                <w:b/>
                <w:bCs/>
                <w:color w:val="auto"/>
                <w:highlight w:val="none"/>
              </w:rPr>
              <w:t>复印件并加盖公章；</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0"/>
                <w:sz w:val="24"/>
                <w:szCs w:val="24"/>
                <w:highlight w:val="none"/>
              </w:rPr>
              <w:t>2）投标人所投核心产品便于维修维护，</w:t>
            </w:r>
            <w:r>
              <w:rPr>
                <w:rFonts w:hint="eastAsia" w:ascii="仿宋" w:hAnsi="仿宋" w:eastAsia="仿宋" w:cs="仿宋"/>
                <w:color w:val="auto"/>
                <w:kern w:val="0"/>
                <w:sz w:val="24"/>
                <w:szCs w:val="24"/>
                <w:highlight w:val="none"/>
                <w:lang w:val="en-US" w:eastAsia="zh-CN"/>
              </w:rPr>
              <w:t>承诺</w:t>
            </w:r>
            <w:r>
              <w:rPr>
                <w:rFonts w:hint="eastAsia" w:ascii="仿宋" w:hAnsi="仿宋" w:eastAsia="仿宋" w:cs="仿宋"/>
                <w:color w:val="auto"/>
                <w:kern w:val="0"/>
                <w:sz w:val="24"/>
                <w:szCs w:val="24"/>
                <w:highlight w:val="none"/>
              </w:rPr>
              <w:t>设备平均维修时间小于40分钟的得2分；设备维修时间小于20分钟的得3分；</w:t>
            </w:r>
            <w:r>
              <w:rPr>
                <w:rFonts w:hint="eastAsia"/>
                <w:b/>
                <w:bCs/>
                <w:color w:val="auto"/>
                <w:kern w:val="0"/>
                <w:highlight w:val="none"/>
              </w:rPr>
              <w:t>投标文件中提供</w:t>
            </w:r>
            <w:r>
              <w:rPr>
                <w:rFonts w:hint="eastAsia"/>
                <w:b/>
                <w:bCs/>
                <w:color w:val="auto"/>
                <w:kern w:val="0"/>
                <w:highlight w:val="none"/>
                <w:lang w:val="en-US" w:eastAsia="zh-CN"/>
              </w:rPr>
              <w:t>第三方机构出具的</w:t>
            </w:r>
            <w:r>
              <w:rPr>
                <w:rFonts w:hint="eastAsia"/>
                <w:b/>
                <w:bCs/>
                <w:color w:val="auto"/>
                <w:kern w:val="0"/>
                <w:highlight w:val="none"/>
              </w:rPr>
              <w:t>检测报告</w:t>
            </w:r>
            <w:r>
              <w:rPr>
                <w:rFonts w:hint="eastAsia"/>
                <w:b/>
                <w:bCs/>
                <w:color w:val="auto"/>
                <w:highlight w:val="none"/>
              </w:rPr>
              <w:t>复印件并加盖公章；</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p>
        </w:tc>
        <w:tc>
          <w:tcPr>
            <w:tcW w:w="1240"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szCs w:val="24"/>
                <w:highlight w:val="none"/>
              </w:rPr>
              <w:t>投标产品的安全性</w:t>
            </w:r>
          </w:p>
        </w:tc>
        <w:tc>
          <w:tcPr>
            <w:tcW w:w="6467"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多要素自动气象站核心部件（数据采集器）具有第三方CE检测认证证书且符合安全方面的基本要求的得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auto"/>
                <w:kern w:val="3"/>
                <w:sz w:val="24"/>
                <w:szCs w:val="24"/>
                <w:highlight w:val="none"/>
                <w:lang w:val="en-US" w:eastAsia="zh-CN" w:bidi="ar-SA"/>
              </w:rPr>
            </w:pPr>
            <w:r>
              <w:rPr>
                <w:rFonts w:hint="eastAsia"/>
                <w:b/>
                <w:bCs/>
                <w:color w:val="auto"/>
                <w:kern w:val="0"/>
                <w:highlight w:val="none"/>
              </w:rPr>
              <w:t>投标文件中提供</w:t>
            </w:r>
            <w:r>
              <w:rPr>
                <w:rFonts w:hint="eastAsia"/>
                <w:b/>
                <w:bCs/>
                <w:color w:val="auto"/>
                <w:kern w:val="0"/>
                <w:highlight w:val="none"/>
                <w:lang w:val="en-US" w:eastAsia="zh-CN"/>
              </w:rPr>
              <w:t>第三方机构出具的</w:t>
            </w:r>
            <w:r>
              <w:rPr>
                <w:rFonts w:hint="eastAsia"/>
                <w:b/>
                <w:bCs/>
                <w:color w:val="auto"/>
                <w:kern w:val="0"/>
                <w:highlight w:val="none"/>
              </w:rPr>
              <w:t>检测报告</w:t>
            </w:r>
            <w:r>
              <w:rPr>
                <w:rFonts w:hint="eastAsia"/>
                <w:b/>
                <w:bCs/>
                <w:color w:val="auto"/>
                <w:highlight w:val="none"/>
              </w:rPr>
              <w:t>复印件并加盖公章；</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4</w:t>
            </w:r>
          </w:p>
        </w:tc>
        <w:tc>
          <w:tcPr>
            <w:tcW w:w="1240" w:type="dxa"/>
            <w:vAlign w:val="center"/>
          </w:tcPr>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w:t>
            </w:r>
            <w:r>
              <w:rPr>
                <w:rFonts w:hint="eastAsia" w:cs="仿宋"/>
                <w:color w:val="auto"/>
                <w:sz w:val="24"/>
                <w:szCs w:val="24"/>
                <w:highlight w:val="none"/>
                <w:lang w:val="en-US" w:eastAsia="zh-CN"/>
              </w:rPr>
              <w:t>得</w:t>
            </w:r>
            <w:r>
              <w:rPr>
                <w:rFonts w:hint="eastAsia" w:cs="Times New Roman"/>
                <w:color w:val="auto"/>
                <w:highlight w:val="none"/>
              </w:rPr>
              <w:t>兼容性</w:t>
            </w:r>
          </w:p>
        </w:tc>
        <w:tc>
          <w:tcPr>
            <w:tcW w:w="6467" w:type="dxa"/>
            <w:vAlign w:val="center"/>
          </w:tcPr>
          <w:p>
            <w:pPr>
              <w:spacing w:line="46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投标产品多要素自动气象站及前项散射式能见度仪为同一厂家生产，产品兼容性强，</w:t>
            </w:r>
            <w:r>
              <w:rPr>
                <w:rFonts w:hint="eastAsia" w:cs="仿宋"/>
                <w:b/>
                <w:bCs/>
                <w:color w:val="auto"/>
                <w:kern w:val="0"/>
                <w:sz w:val="24"/>
                <w:szCs w:val="24"/>
                <w:highlight w:val="none"/>
                <w:lang w:val="en-US" w:eastAsia="zh-CN"/>
              </w:rPr>
              <w:t>且</w:t>
            </w:r>
            <w:r>
              <w:rPr>
                <w:rFonts w:hint="eastAsia" w:ascii="仿宋" w:hAnsi="仿宋" w:eastAsia="仿宋" w:cs="仿宋"/>
                <w:b/>
                <w:bCs/>
                <w:color w:val="auto"/>
                <w:kern w:val="0"/>
                <w:sz w:val="24"/>
                <w:szCs w:val="24"/>
                <w:highlight w:val="none"/>
              </w:rPr>
              <w:t>具有前项散射式能见度仪《气象专用技术装备使用许可证》的，得2分；</w:t>
            </w:r>
          </w:p>
          <w:p>
            <w:pPr>
              <w:spacing w:line="46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投标文件中提供证明文件或证书复印件并加盖公章；</w:t>
            </w:r>
          </w:p>
        </w:tc>
        <w:tc>
          <w:tcPr>
            <w:tcW w:w="920" w:type="dxa"/>
            <w:vAlign w:val="center"/>
          </w:tcPr>
          <w:p>
            <w:pPr>
              <w:widowControl/>
              <w:jc w:val="center"/>
              <w:rPr>
                <w:rFonts w:hint="eastAsia" w:ascii="仿宋" w:hAnsi="仿宋" w:eastAsia="仿宋" w:cs="仿宋"/>
                <w:color w:val="auto"/>
                <w:sz w:val="24"/>
                <w:szCs w:val="24"/>
                <w:highlight w:val="none"/>
              </w:rPr>
            </w:pPr>
            <w:r>
              <w:rPr>
                <w:rFonts w:hint="eastAsia"/>
                <w:b w:val="0"/>
                <w:bCs w:val="0"/>
                <w:color w:val="auto"/>
                <w:kern w:val="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5</w:t>
            </w:r>
          </w:p>
        </w:tc>
        <w:tc>
          <w:tcPr>
            <w:tcW w:w="1240" w:type="dxa"/>
            <w:vAlign w:val="center"/>
          </w:tcPr>
          <w:p>
            <w:pPr>
              <w:spacing w:line="460" w:lineRule="exact"/>
              <w:rPr>
                <w:rFonts w:hint="eastAsia" w:ascii="仿宋" w:hAnsi="仿宋" w:eastAsia="仿宋" w:cs="仿宋"/>
                <w:color w:val="auto"/>
                <w:sz w:val="24"/>
                <w:szCs w:val="24"/>
                <w:highlight w:val="none"/>
              </w:rPr>
            </w:pPr>
            <w:r>
              <w:rPr>
                <w:rFonts w:hint="eastAsia"/>
                <w:color w:val="auto"/>
                <w:highlight w:val="none"/>
              </w:rPr>
              <w:t>投标产品软件性能</w:t>
            </w:r>
          </w:p>
        </w:tc>
        <w:tc>
          <w:tcPr>
            <w:tcW w:w="6467" w:type="dxa"/>
            <w:vAlign w:val="center"/>
          </w:tcPr>
          <w:p>
            <w:pPr>
              <w:spacing w:line="460" w:lineRule="exact"/>
              <w:rPr>
                <w:rFonts w:hint="default" w:eastAsia="仿宋"/>
                <w:bCs/>
                <w:color w:val="auto"/>
                <w:kern w:val="0"/>
                <w:highlight w:val="none"/>
                <w:lang w:val="en-US" w:eastAsia="zh-CN"/>
              </w:rPr>
            </w:pPr>
            <w:r>
              <w:rPr>
                <w:rFonts w:hint="eastAsia"/>
                <w:bCs/>
                <w:color w:val="auto"/>
                <w:kern w:val="0"/>
                <w:highlight w:val="none"/>
              </w:rPr>
              <w:t>投标人</w:t>
            </w:r>
            <w:r>
              <w:rPr>
                <w:rFonts w:hint="eastAsia"/>
                <w:bCs/>
                <w:color w:val="auto"/>
                <w:kern w:val="0"/>
                <w:highlight w:val="none"/>
                <w:lang w:val="en-US" w:eastAsia="zh-CN"/>
              </w:rPr>
              <w:t>承诺</w:t>
            </w:r>
            <w:r>
              <w:rPr>
                <w:rFonts w:hint="eastAsia"/>
                <w:bCs/>
                <w:color w:val="auto"/>
                <w:kern w:val="0"/>
                <w:highlight w:val="none"/>
              </w:rPr>
              <w:t>所投核心产品观测数据能够无缝接入区域自动站统一数据收集平台软件</w:t>
            </w:r>
            <w:r>
              <w:rPr>
                <w:rFonts w:hint="eastAsia"/>
                <w:bCs/>
                <w:color w:val="auto"/>
                <w:kern w:val="0"/>
                <w:highlight w:val="none"/>
                <w:lang w:val="en-US" w:eastAsia="zh-CN"/>
              </w:rPr>
              <w:t>得1分。</w:t>
            </w:r>
          </w:p>
          <w:p>
            <w:pPr>
              <w:spacing w:line="460" w:lineRule="exact"/>
              <w:rPr>
                <w:bCs/>
                <w:color w:val="auto"/>
                <w:kern w:val="0"/>
                <w:highlight w:val="none"/>
              </w:rPr>
            </w:pPr>
            <w:r>
              <w:rPr>
                <w:rFonts w:hint="eastAsia"/>
                <w:bCs/>
                <w:color w:val="auto"/>
                <w:kern w:val="0"/>
                <w:highlight w:val="none"/>
              </w:rPr>
              <w:t>软件可兼容适应不同厂家同类产品的数据接入</w:t>
            </w:r>
            <w:r>
              <w:rPr>
                <w:bCs/>
                <w:color w:val="auto"/>
                <w:kern w:val="0"/>
                <w:highlight w:val="none"/>
              </w:rPr>
              <w:t>，并且投标人对该软件有较强的开发基础与定制开发能力，</w:t>
            </w:r>
            <w:r>
              <w:rPr>
                <w:rFonts w:hint="eastAsia"/>
                <w:bCs/>
                <w:color w:val="auto"/>
                <w:kern w:val="0"/>
                <w:highlight w:val="none"/>
              </w:rPr>
              <w:t>得0-</w:t>
            </w:r>
            <w:r>
              <w:rPr>
                <w:rFonts w:hint="eastAsia"/>
                <w:bCs/>
                <w:color w:val="auto"/>
                <w:kern w:val="0"/>
                <w:highlight w:val="none"/>
                <w:lang w:val="en-US" w:eastAsia="zh-CN"/>
              </w:rPr>
              <w:t>2</w:t>
            </w:r>
            <w:r>
              <w:rPr>
                <w:rFonts w:hint="eastAsia"/>
                <w:bCs/>
                <w:color w:val="auto"/>
                <w:kern w:val="0"/>
                <w:highlight w:val="none"/>
              </w:rPr>
              <w:t>分；</w:t>
            </w:r>
          </w:p>
          <w:p>
            <w:pPr>
              <w:pStyle w:val="2"/>
              <w:rPr>
                <w:rFonts w:hint="eastAsia" w:ascii="仿宋" w:hAnsi="仿宋" w:eastAsia="仿宋" w:cs="仿宋"/>
                <w:b/>
                <w:bCs/>
                <w:color w:val="auto"/>
                <w:kern w:val="0"/>
                <w:sz w:val="24"/>
                <w:szCs w:val="24"/>
                <w:highlight w:val="none"/>
              </w:rPr>
            </w:pPr>
            <w:r>
              <w:rPr>
                <w:rFonts w:hint="eastAsia"/>
                <w:b/>
                <w:bCs/>
                <w:color w:val="auto"/>
                <w:kern w:val="0"/>
                <w:sz w:val="24"/>
                <w:highlight w:val="none"/>
              </w:rPr>
              <w:t>投标文件中提供证明文件或证书复印件并加盖公章；</w:t>
            </w:r>
          </w:p>
        </w:tc>
        <w:tc>
          <w:tcPr>
            <w:tcW w:w="920" w:type="dxa"/>
            <w:vAlign w:val="center"/>
          </w:tcPr>
          <w:p>
            <w:pPr>
              <w:widowControl/>
              <w:jc w:val="center"/>
              <w:rPr>
                <w:rFonts w:hint="eastAsia"/>
                <w:b w:val="0"/>
                <w:bCs w:val="0"/>
                <w:color w:val="auto"/>
                <w:kern w:val="0"/>
                <w:highlight w:val="none"/>
                <w:lang w:val="en-US" w:eastAsia="zh-CN"/>
              </w:rPr>
            </w:pPr>
            <w:r>
              <w:rPr>
                <w:rFonts w:hint="eastAsia"/>
                <w:color w:val="auto"/>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6</w:t>
            </w:r>
          </w:p>
        </w:tc>
        <w:tc>
          <w:tcPr>
            <w:tcW w:w="1240" w:type="dxa"/>
            <w:vAlign w:val="center"/>
          </w:tcPr>
          <w:p>
            <w:pPr>
              <w:spacing w:line="400" w:lineRule="exact"/>
              <w:jc w:val="left"/>
              <w:rPr>
                <w:rFonts w:hint="eastAsia" w:ascii="仿宋" w:hAnsi="仿宋" w:eastAsia="仿宋" w:cs="仿宋"/>
                <w:color w:val="auto"/>
                <w:sz w:val="24"/>
                <w:szCs w:val="24"/>
                <w:highlight w:val="none"/>
              </w:rPr>
            </w:pPr>
            <w:r>
              <w:rPr>
                <w:rFonts w:hint="eastAsia"/>
                <w:color w:val="auto"/>
                <w:highlight w:val="none"/>
                <w:lang w:val="zh-CN"/>
              </w:rPr>
              <w:t>投标人信息管理方案</w:t>
            </w:r>
          </w:p>
        </w:tc>
        <w:tc>
          <w:tcPr>
            <w:tcW w:w="6467" w:type="dxa"/>
            <w:vAlign w:val="center"/>
          </w:tcPr>
          <w:p>
            <w:pPr>
              <w:spacing w:line="400" w:lineRule="exact"/>
              <w:jc w:val="left"/>
              <w:rPr>
                <w:rFonts w:hint="eastAsia" w:ascii="仿宋" w:hAnsi="仿宋" w:eastAsia="仿宋" w:cs="仿宋"/>
                <w:b/>
                <w:bCs/>
                <w:color w:val="auto"/>
                <w:kern w:val="0"/>
                <w:sz w:val="24"/>
                <w:szCs w:val="24"/>
                <w:highlight w:val="none"/>
              </w:rPr>
            </w:pPr>
            <w:r>
              <w:rPr>
                <w:color w:val="auto"/>
                <w:highlight w:val="none"/>
                <w:lang w:val="zh-CN"/>
              </w:rPr>
              <w:t>投标人具备完善的信息安全管理组织体系，系统的信息安全管理服务流程和信息安全控制策略</w:t>
            </w:r>
            <w:r>
              <w:rPr>
                <w:rFonts w:hint="eastAsia"/>
                <w:color w:val="auto"/>
                <w:highlight w:val="none"/>
                <w:lang w:val="zh-CN"/>
              </w:rPr>
              <w:t>，能够提供本项目信息安全管理方案（</w:t>
            </w:r>
            <w:r>
              <w:rPr>
                <w:rFonts w:hint="eastAsia"/>
                <w:color w:val="auto"/>
                <w:highlight w:val="none"/>
                <w:lang w:val="en-US" w:eastAsia="zh-CN"/>
              </w:rPr>
              <w:t>0-2分</w:t>
            </w:r>
            <w:r>
              <w:rPr>
                <w:rFonts w:hint="eastAsia"/>
                <w:color w:val="auto"/>
                <w:highlight w:val="none"/>
                <w:lang w:val="zh-CN"/>
              </w:rPr>
              <w:t>）</w:t>
            </w:r>
          </w:p>
        </w:tc>
        <w:tc>
          <w:tcPr>
            <w:tcW w:w="920" w:type="dxa"/>
            <w:vAlign w:val="center"/>
          </w:tcPr>
          <w:p>
            <w:pPr>
              <w:spacing w:line="240" w:lineRule="auto"/>
              <w:jc w:val="center"/>
              <w:rPr>
                <w:rFonts w:hint="eastAsia" w:eastAsia="仿宋"/>
                <w:b w:val="0"/>
                <w:bCs w:val="0"/>
                <w:color w:val="auto"/>
                <w:kern w:val="0"/>
                <w:highlight w:val="none"/>
                <w:lang w:val="en-US" w:eastAsia="zh-CN"/>
              </w:rPr>
            </w:pPr>
            <w:r>
              <w:rPr>
                <w:rFonts w:hint="eastAsia"/>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7</w:t>
            </w:r>
          </w:p>
        </w:tc>
        <w:tc>
          <w:tcPr>
            <w:tcW w:w="1240"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kern w:val="0"/>
                <w:sz w:val="24"/>
                <w:szCs w:val="24"/>
                <w:highlight w:val="none"/>
              </w:rPr>
              <w:t>投标</w:t>
            </w:r>
            <w:r>
              <w:rPr>
                <w:rFonts w:hint="eastAsia"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的技术保障能力</w:t>
            </w:r>
          </w:p>
        </w:tc>
        <w:tc>
          <w:tcPr>
            <w:tcW w:w="6467" w:type="dxa"/>
            <w:vAlign w:val="center"/>
          </w:tcPr>
          <w:p>
            <w:pPr>
              <w:spacing w:line="400" w:lineRule="exact"/>
              <w:jc w:val="left"/>
              <w:rPr>
                <w:rFonts w:hint="eastAsia" w:cs="仿宋"/>
                <w:color w:val="auto"/>
                <w:kern w:val="0"/>
                <w:sz w:val="24"/>
                <w:szCs w:val="24"/>
                <w:highlight w:val="none"/>
                <w:lang w:eastAsia="zh-CN"/>
              </w:rPr>
            </w:pPr>
            <w:r>
              <w:rPr>
                <w:rFonts w:hint="eastAsia"/>
                <w:color w:val="auto"/>
                <w:highlight w:val="none"/>
                <w:lang w:val="en-US" w:eastAsia="zh-CN"/>
              </w:rPr>
              <w:t>1</w:t>
            </w:r>
            <w:r>
              <w:rPr>
                <w:rFonts w:hint="eastAsia"/>
                <w:color w:val="auto"/>
                <w:highlight w:val="none"/>
                <w:lang w:val="zh-CN"/>
              </w:rPr>
              <w:t>）</w:t>
            </w:r>
            <w:r>
              <w:rPr>
                <w:rFonts w:hint="eastAsia" w:ascii="仿宋" w:hAnsi="仿宋" w:eastAsia="仿宋" w:cs="仿宋"/>
                <w:color w:val="auto"/>
                <w:kern w:val="0"/>
                <w:sz w:val="24"/>
                <w:szCs w:val="24"/>
                <w:highlight w:val="none"/>
              </w:rPr>
              <w:t>投标人拟派项目组人员</w:t>
            </w:r>
            <w:r>
              <w:rPr>
                <w:rFonts w:hint="eastAsia" w:cs="仿宋"/>
                <w:color w:val="auto"/>
                <w:kern w:val="0"/>
                <w:sz w:val="24"/>
                <w:szCs w:val="24"/>
                <w:highlight w:val="none"/>
                <w:lang w:val="en-US" w:eastAsia="zh-CN"/>
              </w:rPr>
              <w:t>中</w:t>
            </w:r>
            <w:r>
              <w:rPr>
                <w:rFonts w:hint="eastAsia"/>
                <w:color w:val="auto"/>
                <w:highlight w:val="none"/>
                <w:lang w:val="en-US" w:eastAsia="zh-CN"/>
              </w:rPr>
              <w:t>具有</w:t>
            </w:r>
            <w:r>
              <w:rPr>
                <w:rFonts w:hint="eastAsia"/>
                <w:color w:val="auto"/>
                <w:highlight w:val="none"/>
                <w:lang w:val="zh-CN"/>
              </w:rPr>
              <w:t>信息安全资格证书的得</w:t>
            </w:r>
            <w:r>
              <w:rPr>
                <w:rFonts w:hint="eastAsia"/>
                <w:color w:val="auto"/>
                <w:highlight w:val="none"/>
                <w:lang w:val="en-US" w:eastAsia="zh-CN"/>
              </w:rPr>
              <w:t>1分</w:t>
            </w:r>
            <w:r>
              <w:rPr>
                <w:rFonts w:hint="eastAsia"/>
                <w:color w:val="auto"/>
                <w:highlight w:val="none"/>
                <w:lang w:val="zh-CN"/>
              </w:rPr>
              <w:t>；</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auto"/>
                <w:kern w:val="0"/>
                <w:sz w:val="24"/>
                <w:szCs w:val="24"/>
                <w:highlight w:val="none"/>
                <w:lang w:eastAsia="zh-CN"/>
              </w:rPr>
            </w:pPr>
            <w:r>
              <w:rPr>
                <w:rFonts w:hint="eastAsia" w:cs="仿宋"/>
                <w:color w:val="auto"/>
                <w:kern w:val="0"/>
                <w:sz w:val="24"/>
                <w:szCs w:val="24"/>
                <w:highlight w:val="none"/>
                <w:lang w:val="en-US" w:eastAsia="zh-CN"/>
              </w:rPr>
              <w:t>2</w:t>
            </w:r>
            <w:r>
              <w:rPr>
                <w:rFonts w:hint="eastAsia"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投标人拟派项目组人员</w:t>
            </w:r>
            <w:r>
              <w:rPr>
                <w:rFonts w:hint="eastAsia" w:cs="仿宋"/>
                <w:color w:val="auto"/>
                <w:kern w:val="0"/>
                <w:sz w:val="24"/>
                <w:szCs w:val="24"/>
                <w:highlight w:val="none"/>
                <w:lang w:val="en-US" w:eastAsia="zh-CN"/>
              </w:rPr>
              <w:t>中</w:t>
            </w:r>
            <w:r>
              <w:rPr>
                <w:rFonts w:hint="eastAsia" w:ascii="仿宋" w:hAnsi="仿宋" w:eastAsia="仿宋" w:cs="仿宋"/>
                <w:color w:val="auto"/>
                <w:kern w:val="0"/>
                <w:sz w:val="24"/>
                <w:szCs w:val="24"/>
                <w:highlight w:val="none"/>
              </w:rPr>
              <w:t>具有气象（或环保类）中级及以上职称</w:t>
            </w:r>
            <w:r>
              <w:rPr>
                <w:rFonts w:hint="eastAsia" w:cs="仿宋"/>
                <w:color w:val="auto"/>
                <w:kern w:val="0"/>
                <w:sz w:val="24"/>
                <w:szCs w:val="24"/>
                <w:highlight w:val="none"/>
                <w:lang w:val="en-US" w:eastAsia="zh-CN"/>
              </w:rPr>
              <w:t>同时</w:t>
            </w:r>
            <w:r>
              <w:rPr>
                <w:rFonts w:hint="eastAsia" w:ascii="仿宋" w:hAnsi="仿宋" w:eastAsia="仿宋" w:cs="仿宋"/>
                <w:color w:val="auto"/>
                <w:kern w:val="0"/>
                <w:sz w:val="24"/>
                <w:szCs w:val="24"/>
                <w:highlight w:val="none"/>
              </w:rPr>
              <w:t>具备项目管理PMP证书的，每提供一人得1分，最多得</w:t>
            </w:r>
            <w:r>
              <w:rPr>
                <w:rFonts w:hint="eastAsia"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如一人只有其中一本证书的</w:t>
            </w:r>
            <w:r>
              <w:rPr>
                <w:rFonts w:hint="eastAsia" w:ascii="仿宋" w:hAnsi="仿宋" w:eastAsia="仿宋" w:cs="仿宋"/>
                <w:color w:val="auto"/>
                <w:kern w:val="0"/>
                <w:sz w:val="24"/>
                <w:szCs w:val="24"/>
                <w:highlight w:val="none"/>
              </w:rPr>
              <w:t>每提供一人得</w:t>
            </w:r>
            <w:r>
              <w:rPr>
                <w:rFonts w:hint="eastAsia"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分，最多得</w:t>
            </w:r>
            <w:r>
              <w:rPr>
                <w:rFonts w:hint="eastAsia"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eastAsia="zh-CN"/>
              </w:rPr>
              <w:t>。</w:t>
            </w:r>
            <w:r>
              <w:rPr>
                <w:rFonts w:hint="eastAsia"/>
                <w:color w:val="auto"/>
                <w:highlight w:val="none"/>
                <w:lang w:val="zh-CN"/>
              </w:rPr>
              <w:t>（</w:t>
            </w:r>
            <w:r>
              <w:rPr>
                <w:rFonts w:hint="eastAsia"/>
                <w:color w:val="auto"/>
                <w:highlight w:val="none"/>
                <w:lang w:val="en-US" w:eastAsia="zh-CN"/>
              </w:rPr>
              <w:t>0-3分</w:t>
            </w:r>
            <w:r>
              <w:rPr>
                <w:rFonts w:hint="eastAsia"/>
                <w:color w:val="auto"/>
                <w:highlight w:val="none"/>
                <w:lang w:val="zh-CN"/>
              </w:rPr>
              <w:t>）</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投标文件中提供</w:t>
            </w:r>
            <w:r>
              <w:rPr>
                <w:rFonts w:hint="eastAsia" w:ascii="仿宋" w:hAnsi="仿宋" w:eastAsia="仿宋" w:cs="仿宋"/>
                <w:b/>
                <w:bCs/>
                <w:color w:val="auto"/>
                <w:sz w:val="24"/>
                <w:szCs w:val="24"/>
                <w:highlight w:val="none"/>
                <w:lang w:val="zh-CN"/>
              </w:rPr>
              <w:t>相关人员证书复印件</w:t>
            </w:r>
            <w:r>
              <w:rPr>
                <w:rFonts w:hint="eastAsia" w:ascii="仿宋" w:hAnsi="仿宋" w:eastAsia="仿宋" w:cs="仿宋"/>
                <w:b/>
                <w:bCs/>
                <w:color w:val="auto"/>
                <w:sz w:val="24"/>
                <w:szCs w:val="24"/>
                <w:highlight w:val="none"/>
              </w:rPr>
              <w:t>并加盖公章</w:t>
            </w:r>
            <w:r>
              <w:rPr>
                <w:rFonts w:hint="eastAsia" w:ascii="仿宋" w:hAnsi="仿宋" w:eastAsia="仿宋" w:cs="仿宋"/>
                <w:b/>
                <w:bCs/>
                <w:color w:val="auto"/>
                <w:sz w:val="24"/>
                <w:szCs w:val="24"/>
                <w:highlight w:val="none"/>
                <w:lang w:val="zh-CN"/>
              </w:rPr>
              <w:t>及</w:t>
            </w:r>
            <w:r>
              <w:rPr>
                <w:rFonts w:hint="eastAsia" w:ascii="仿宋" w:hAnsi="仿宋" w:eastAsia="仿宋" w:cs="仿宋"/>
                <w:b/>
                <w:bCs/>
                <w:color w:val="auto"/>
                <w:sz w:val="24"/>
                <w:szCs w:val="24"/>
                <w:highlight w:val="none"/>
              </w:rPr>
              <w:t>社保缴纳证明复印件并加盖公章；</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8</w:t>
            </w:r>
          </w:p>
        </w:tc>
        <w:tc>
          <w:tcPr>
            <w:tcW w:w="1240"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kern w:val="0"/>
                <w:sz w:val="24"/>
                <w:szCs w:val="24"/>
                <w:highlight w:val="none"/>
              </w:rPr>
              <w:t>技术支持</w:t>
            </w:r>
          </w:p>
        </w:tc>
        <w:tc>
          <w:tcPr>
            <w:tcW w:w="6467" w:type="dxa"/>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w:t>
            </w:r>
            <w:r>
              <w:rPr>
                <w:rFonts w:hint="eastAsia" w:cs="仿宋"/>
                <w:color w:val="auto"/>
                <w:sz w:val="24"/>
                <w:szCs w:val="24"/>
                <w:highlight w:val="none"/>
                <w:lang w:val="en-US" w:eastAsia="zh-CN"/>
              </w:rPr>
              <w:t>承诺</w:t>
            </w:r>
            <w:r>
              <w:rPr>
                <w:rFonts w:hint="eastAsia" w:ascii="仿宋" w:hAnsi="仿宋" w:eastAsia="仿宋" w:cs="仿宋"/>
                <w:color w:val="auto"/>
                <w:sz w:val="24"/>
                <w:szCs w:val="24"/>
                <w:highlight w:val="none"/>
              </w:rPr>
              <w:t>提供7*24小时技术支持的得1分，没有不得分；承诺函格式自拟；</w:t>
            </w:r>
            <w:r>
              <w:rPr>
                <w:rFonts w:hint="eastAsia" w:ascii="仿宋" w:hAnsi="仿宋" w:eastAsia="仿宋" w:cs="仿宋"/>
                <w:b/>
                <w:bCs/>
                <w:color w:val="auto"/>
                <w:sz w:val="24"/>
                <w:szCs w:val="24"/>
                <w:highlight w:val="none"/>
              </w:rPr>
              <w:t>投标文件中提供承诺函复印件并加盖公章；</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w:t>
            </w:r>
            <w:r>
              <w:rPr>
                <w:rFonts w:hint="eastAsia" w:cs="仿宋"/>
                <w:color w:val="auto"/>
                <w:kern w:val="0"/>
                <w:sz w:val="24"/>
                <w:szCs w:val="24"/>
                <w:highlight w:val="none"/>
                <w:lang w:val="en-US" w:eastAsia="zh-CN"/>
              </w:rPr>
              <w:t>承诺</w:t>
            </w:r>
            <w:r>
              <w:rPr>
                <w:rFonts w:hint="eastAsia" w:ascii="仿宋" w:hAnsi="仿宋" w:eastAsia="仿宋" w:cs="仿宋"/>
                <w:color w:val="auto"/>
                <w:kern w:val="0"/>
                <w:sz w:val="24"/>
                <w:szCs w:val="24"/>
                <w:highlight w:val="none"/>
              </w:rPr>
              <w:t>提供（指技术服务本身免费）热线服务电话、网站论坛、电话、传真、电子邮件地址、软硬件工程师的具体姓名及联系方式、保障服务设备收发联系部门及人员的名称和联系方式</w:t>
            </w:r>
            <w:r>
              <w:rPr>
                <w:rFonts w:hint="eastAsia" w:ascii="仿宋" w:hAnsi="仿宋" w:eastAsia="仿宋" w:cs="仿宋"/>
                <w:color w:val="auto"/>
                <w:sz w:val="24"/>
                <w:szCs w:val="24"/>
                <w:highlight w:val="none"/>
              </w:rPr>
              <w:t>的得2分，没有不得分；承诺函格式自拟；</w:t>
            </w:r>
            <w:r>
              <w:rPr>
                <w:rFonts w:hint="eastAsia" w:ascii="仿宋" w:hAnsi="仿宋" w:eastAsia="仿宋" w:cs="仿宋"/>
                <w:b/>
                <w:bCs/>
                <w:color w:val="auto"/>
                <w:sz w:val="24"/>
                <w:szCs w:val="24"/>
                <w:highlight w:val="none"/>
              </w:rPr>
              <w:t>投标文件中提供承诺函复印件并加盖公章；</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3）投标人提供质保期内上门巡检的时间及内容，技术支持方案；（0—</w:t>
            </w:r>
            <w:r>
              <w:rPr>
                <w:rFonts w:hint="eastAsia"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cs="仿宋"/>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9</w:t>
            </w:r>
          </w:p>
        </w:tc>
        <w:tc>
          <w:tcPr>
            <w:tcW w:w="1240" w:type="dxa"/>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szCs w:val="24"/>
                <w:highlight w:val="none"/>
              </w:rPr>
              <w:t>培训计划</w:t>
            </w:r>
          </w:p>
        </w:tc>
        <w:tc>
          <w:tcPr>
            <w:tcW w:w="6467" w:type="dxa"/>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1）能提供明确合理的培训计划，包括但不限于培训大纲、课表（含授课人员）和培训手册的样本，包含封面、目录、主要内容；（0—2分）</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2）培训时免费提供完整的培训资料，包括但不限于包括使用说明、工作原理、技术图纸、注意事项、安装调试方法和维修指南等；（0—2分）</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10</w:t>
            </w:r>
          </w:p>
        </w:tc>
        <w:tc>
          <w:tcPr>
            <w:tcW w:w="1240"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szCs w:val="24"/>
                <w:highlight w:val="none"/>
              </w:rPr>
              <w:t>售后服务</w:t>
            </w:r>
          </w:p>
        </w:tc>
        <w:tc>
          <w:tcPr>
            <w:tcW w:w="6467" w:type="dxa"/>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1）有详细可行的售后服务计划：包括但不限于售后服务企业承诺的期限，售后服务队伍情况，列出售后服务的组织机构、人员名单、备件储备清单；</w:t>
            </w:r>
            <w:r>
              <w:rPr>
                <w:rFonts w:hint="eastAsia" w:ascii="仿宋" w:hAnsi="仿宋" w:eastAsia="仿宋" w:cs="仿宋"/>
                <w:color w:val="auto"/>
                <w:sz w:val="24"/>
                <w:szCs w:val="24"/>
                <w:highlight w:val="none"/>
              </w:rPr>
              <w:t>（0—</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2）投标人提供产品免费升级服务承诺函的得1分，没有不得分；承诺函格式自拟；</w:t>
            </w:r>
            <w:r>
              <w:rPr>
                <w:rFonts w:hint="eastAsia" w:ascii="仿宋" w:hAnsi="仿宋" w:eastAsia="仿宋" w:cs="仿宋"/>
                <w:b/>
                <w:bCs/>
                <w:color w:val="auto"/>
                <w:sz w:val="24"/>
                <w:szCs w:val="24"/>
                <w:highlight w:val="none"/>
              </w:rPr>
              <w:t>投标文件中提供承诺函复印件并加盖公章；</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3）保修期、服务响应时间情况：承诺接到故障报告后到达故障现场时间不超过48小时，提供质保期内切实可行的修复方案；（0—1分）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4）投标人提供质保期外详细的零配件供应、维修服务计划的方案；（0—1分）</w:t>
            </w:r>
          </w:p>
          <w:p>
            <w:pPr>
              <w:spacing w:line="400" w:lineRule="exact"/>
              <w:jc w:val="left"/>
              <w:rPr>
                <w:color w:val="auto"/>
                <w:highlight w:val="none"/>
              </w:rPr>
            </w:pPr>
            <w:r>
              <w:rPr>
                <w:rFonts w:hint="eastAsia"/>
                <w:color w:val="auto"/>
                <w:highlight w:val="none"/>
              </w:rPr>
              <w:t>5）投标人售后服务负责人具备商品售后服务管理师资格证书</w:t>
            </w:r>
            <w:r>
              <w:rPr>
                <w:rFonts w:hint="eastAsia"/>
                <w:color w:val="auto"/>
                <w:highlight w:val="none"/>
                <w:lang w:val="en-US" w:eastAsia="zh-CN"/>
              </w:rPr>
              <w:t>且</w:t>
            </w:r>
            <w:r>
              <w:rPr>
                <w:rFonts w:hint="eastAsia"/>
                <w:color w:val="auto"/>
                <w:highlight w:val="none"/>
              </w:rPr>
              <w:t>同时具备气象类中级或以上职称的得</w:t>
            </w:r>
            <w:r>
              <w:rPr>
                <w:rFonts w:hint="eastAsia"/>
                <w:color w:val="auto"/>
                <w:highlight w:val="none"/>
                <w:lang w:val="en-US" w:eastAsia="zh-CN"/>
              </w:rPr>
              <w:t>2</w:t>
            </w:r>
            <w:r>
              <w:rPr>
                <w:color w:val="auto"/>
                <w:highlight w:val="none"/>
              </w:rPr>
              <w:t>分；只有其中一本证书的得1分。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kern w:val="3"/>
                <w:sz w:val="24"/>
                <w:szCs w:val="24"/>
                <w:highlight w:val="none"/>
                <w:lang w:val="zh-CN" w:eastAsia="zh-CN" w:bidi="ar-SA"/>
              </w:rPr>
            </w:pPr>
            <w:r>
              <w:rPr>
                <w:rFonts w:hint="eastAsia" w:ascii="仿宋" w:hAnsi="仿宋" w:eastAsia="仿宋" w:cs="仿宋"/>
                <w:b/>
                <w:bCs/>
                <w:color w:val="auto"/>
                <w:sz w:val="24"/>
                <w:szCs w:val="24"/>
                <w:highlight w:val="none"/>
              </w:rPr>
              <w:t>投标文件中提供</w:t>
            </w:r>
            <w:r>
              <w:rPr>
                <w:rFonts w:hint="eastAsia" w:ascii="仿宋" w:hAnsi="仿宋" w:eastAsia="仿宋" w:cs="仿宋"/>
                <w:b/>
                <w:bCs/>
                <w:color w:val="auto"/>
                <w:sz w:val="24"/>
                <w:szCs w:val="24"/>
                <w:highlight w:val="none"/>
                <w:lang w:val="zh-CN"/>
              </w:rPr>
              <w:t>相关人员证书复印件</w:t>
            </w:r>
            <w:r>
              <w:rPr>
                <w:rFonts w:hint="eastAsia" w:ascii="仿宋" w:hAnsi="仿宋" w:eastAsia="仿宋" w:cs="仿宋"/>
                <w:b/>
                <w:bCs/>
                <w:color w:val="auto"/>
                <w:sz w:val="24"/>
                <w:szCs w:val="24"/>
                <w:highlight w:val="none"/>
              </w:rPr>
              <w:t>并加盖公章</w:t>
            </w:r>
            <w:r>
              <w:rPr>
                <w:rFonts w:hint="eastAsia" w:ascii="仿宋" w:hAnsi="仿宋" w:eastAsia="仿宋" w:cs="仿宋"/>
                <w:b/>
                <w:bCs/>
                <w:color w:val="auto"/>
                <w:sz w:val="24"/>
                <w:szCs w:val="24"/>
                <w:highlight w:val="none"/>
                <w:lang w:val="zh-CN"/>
              </w:rPr>
              <w:t>及</w:t>
            </w:r>
            <w:r>
              <w:rPr>
                <w:rFonts w:hint="eastAsia" w:cs="仿宋"/>
                <w:b/>
                <w:bCs/>
                <w:color w:val="auto"/>
                <w:sz w:val="24"/>
                <w:szCs w:val="24"/>
                <w:highlight w:val="none"/>
                <w:lang w:val="en-US" w:eastAsia="zh-CN"/>
              </w:rPr>
              <w:t>近三个月任一一个月</w:t>
            </w:r>
            <w:r>
              <w:rPr>
                <w:rFonts w:hint="eastAsia" w:ascii="仿宋" w:hAnsi="仿宋" w:eastAsia="仿宋" w:cs="仿宋"/>
                <w:b/>
                <w:bCs/>
                <w:color w:val="auto"/>
                <w:sz w:val="24"/>
                <w:szCs w:val="24"/>
                <w:highlight w:val="none"/>
              </w:rPr>
              <w:t>社保缴纳证明复印件并加盖公章；</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cs="仿宋"/>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11</w:t>
            </w:r>
          </w:p>
        </w:tc>
        <w:tc>
          <w:tcPr>
            <w:tcW w:w="1240"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质量检测负责人</w:t>
            </w:r>
          </w:p>
        </w:tc>
        <w:tc>
          <w:tcPr>
            <w:tcW w:w="6467"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eastAsia="仿宋"/>
                <w:color w:val="auto"/>
                <w:highlight w:val="none"/>
                <w:lang w:eastAsia="zh-CN"/>
              </w:rPr>
            </w:pPr>
            <w:r>
              <w:rPr>
                <w:rFonts w:hint="eastAsia"/>
                <w:color w:val="auto"/>
                <w:highlight w:val="none"/>
              </w:rPr>
              <w:t>投标人具有生产测试及环境测试条件，投标人质量检测负责人具备注册计量师资格证书</w:t>
            </w:r>
            <w:r>
              <w:rPr>
                <w:rFonts w:hint="eastAsia"/>
                <w:color w:val="auto"/>
                <w:highlight w:val="none"/>
                <w:lang w:val="en-US" w:eastAsia="zh-CN"/>
              </w:rPr>
              <w:t>的得1分</w:t>
            </w:r>
            <w:r>
              <w:rPr>
                <w:rFonts w:hint="eastAsia"/>
                <w:color w:val="auto"/>
                <w:highlight w:val="none"/>
              </w:rPr>
              <w:t>，同时具备气象类中级或以上职称的得</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；只有其中一本证书的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
                <w:bCs/>
                <w:color w:val="auto"/>
                <w:sz w:val="24"/>
                <w:szCs w:val="24"/>
                <w:highlight w:val="none"/>
              </w:rPr>
              <w:t>投标文件中提供</w:t>
            </w:r>
            <w:r>
              <w:rPr>
                <w:rFonts w:hint="eastAsia" w:ascii="仿宋" w:hAnsi="仿宋" w:eastAsia="仿宋" w:cs="仿宋"/>
                <w:b/>
                <w:bCs/>
                <w:color w:val="auto"/>
                <w:sz w:val="24"/>
                <w:szCs w:val="24"/>
                <w:highlight w:val="none"/>
                <w:lang w:val="zh-CN"/>
              </w:rPr>
              <w:t>相关人员证书复印件</w:t>
            </w:r>
            <w:r>
              <w:rPr>
                <w:rFonts w:hint="eastAsia" w:ascii="仿宋" w:hAnsi="仿宋" w:eastAsia="仿宋" w:cs="仿宋"/>
                <w:b/>
                <w:bCs/>
                <w:color w:val="auto"/>
                <w:sz w:val="24"/>
                <w:szCs w:val="24"/>
                <w:highlight w:val="none"/>
              </w:rPr>
              <w:t>并加盖公章</w:t>
            </w:r>
            <w:r>
              <w:rPr>
                <w:rFonts w:hint="eastAsia" w:ascii="仿宋" w:hAnsi="仿宋" w:eastAsia="仿宋" w:cs="仿宋"/>
                <w:b/>
                <w:bCs/>
                <w:color w:val="auto"/>
                <w:sz w:val="24"/>
                <w:szCs w:val="24"/>
                <w:highlight w:val="none"/>
                <w:lang w:val="zh-CN"/>
              </w:rPr>
              <w:t>及</w:t>
            </w:r>
            <w:r>
              <w:rPr>
                <w:rFonts w:hint="eastAsia" w:cs="仿宋"/>
                <w:b/>
                <w:bCs/>
                <w:color w:val="auto"/>
                <w:sz w:val="24"/>
                <w:szCs w:val="24"/>
                <w:highlight w:val="none"/>
                <w:lang w:val="en-US" w:eastAsia="zh-CN"/>
              </w:rPr>
              <w:t>近三个月任一一个月</w:t>
            </w:r>
            <w:r>
              <w:rPr>
                <w:rFonts w:hint="eastAsia" w:ascii="仿宋" w:hAnsi="仿宋" w:eastAsia="仿宋" w:cs="仿宋"/>
                <w:b/>
                <w:bCs/>
                <w:color w:val="auto"/>
                <w:sz w:val="24"/>
                <w:szCs w:val="24"/>
                <w:highlight w:val="none"/>
              </w:rPr>
              <w:t>社保缴纳证明复印件并加盖公章；</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12</w:t>
            </w:r>
          </w:p>
        </w:tc>
        <w:tc>
          <w:tcPr>
            <w:tcW w:w="1240" w:type="dxa"/>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b w:val="0"/>
                <w:bCs w:val="0"/>
                <w:color w:val="auto"/>
                <w:kern w:val="0"/>
                <w:sz w:val="24"/>
                <w:szCs w:val="24"/>
                <w:highlight w:val="none"/>
              </w:rPr>
            </w:pPr>
            <w:r>
              <w:rPr>
                <w:rFonts w:hint="eastAsia"/>
                <w:color w:val="auto"/>
                <w:highlight w:val="none"/>
                <w:lang w:val="zh-CN"/>
              </w:rPr>
              <w:t>项目实施方案</w:t>
            </w:r>
          </w:p>
        </w:tc>
        <w:tc>
          <w:tcPr>
            <w:tcW w:w="6467" w:type="dxa"/>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kern w:val="3"/>
                <w:sz w:val="24"/>
                <w:szCs w:val="24"/>
                <w:highlight w:val="none"/>
                <w:lang w:val="en-US" w:eastAsia="zh-CN" w:bidi="ar-SA"/>
              </w:rPr>
            </w:pPr>
            <w:r>
              <w:rPr>
                <w:rFonts w:hint="eastAsia"/>
                <w:color w:val="auto"/>
                <w:highlight w:val="none"/>
                <w:lang w:val="zh-CN"/>
              </w:rPr>
              <w:t>提供按期交货的项目实施</w:t>
            </w:r>
            <w:r>
              <w:rPr>
                <w:rFonts w:hint="eastAsia"/>
                <w:color w:val="auto"/>
                <w:highlight w:val="none"/>
              </w:rPr>
              <w:t>方案；</w:t>
            </w:r>
            <w:r>
              <w:rPr>
                <w:rFonts w:hint="eastAsia"/>
                <w:color w:val="auto"/>
                <w:highlight w:val="none"/>
                <w:lang w:val="zh-CN"/>
              </w:rPr>
              <w:t>（</w:t>
            </w:r>
            <w:r>
              <w:rPr>
                <w:rFonts w:hint="eastAsia"/>
                <w:color w:val="auto"/>
                <w:highlight w:val="none"/>
              </w:rPr>
              <w:t>0—3分</w:t>
            </w:r>
            <w:r>
              <w:rPr>
                <w:rFonts w:hint="eastAsia"/>
                <w:color w:val="auto"/>
                <w:highlight w:val="none"/>
                <w:lang w:val="zh-CN"/>
              </w:rPr>
              <w:t>）</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13</w:t>
            </w:r>
          </w:p>
        </w:tc>
        <w:tc>
          <w:tcPr>
            <w:tcW w:w="1240" w:type="dxa"/>
            <w:vAlign w:val="center"/>
          </w:tcPr>
          <w:p>
            <w:pPr>
              <w:widowControl/>
              <w:jc w:val="left"/>
              <w:textAlignment w:val="center"/>
              <w:rPr>
                <w:rFonts w:hint="eastAsia" w:ascii="宋体" w:hAnsi="宋体" w:eastAsia="仿宋" w:cs="仿宋"/>
                <w:color w:val="auto"/>
                <w:kern w:val="0"/>
                <w:sz w:val="24"/>
                <w:szCs w:val="24"/>
                <w:highlight w:val="none"/>
                <w:lang w:val="en-US" w:eastAsia="zh-CN" w:bidi="ar-SA"/>
              </w:rPr>
            </w:pPr>
            <w:r>
              <w:rPr>
                <w:rFonts w:hint="eastAsia"/>
                <w:color w:val="auto"/>
                <w:kern w:val="0"/>
                <w:highlight w:val="none"/>
                <w:lang w:bidi="ar"/>
              </w:rPr>
              <w:t>企业荣誉</w:t>
            </w:r>
          </w:p>
        </w:tc>
        <w:tc>
          <w:tcPr>
            <w:tcW w:w="6467" w:type="dxa"/>
            <w:vAlign w:val="center"/>
          </w:tcPr>
          <w:p>
            <w:pPr>
              <w:widowControl/>
              <w:jc w:val="left"/>
              <w:textAlignment w:val="center"/>
              <w:rPr>
                <w:color w:val="auto"/>
                <w:highlight w:val="none"/>
                <w:lang w:val="zh-CN"/>
              </w:rPr>
            </w:pPr>
            <w:r>
              <w:rPr>
                <w:rFonts w:hint="eastAsia"/>
                <w:color w:val="auto"/>
                <w:highlight w:val="none"/>
                <w:lang w:val="zh-CN"/>
              </w:rPr>
              <w:t>投标人在技术方面具备自主创新能力，技术能力强、工艺先进、可行性强，在2016年1月1日以来，获得</w:t>
            </w:r>
            <w:r>
              <w:rPr>
                <w:rFonts w:hint="eastAsia"/>
                <w:color w:val="auto"/>
                <w:highlight w:val="none"/>
              </w:rPr>
              <w:t>国家级</w:t>
            </w:r>
            <w:r>
              <w:rPr>
                <w:rFonts w:hint="eastAsia"/>
                <w:color w:val="auto"/>
                <w:highlight w:val="none"/>
                <w:lang w:val="zh-CN"/>
              </w:rPr>
              <w:t>地面综合气象观测业务科学技术奖项并提供证明材料</w:t>
            </w:r>
            <w:r>
              <w:rPr>
                <w:rFonts w:hint="eastAsia"/>
                <w:color w:val="auto"/>
                <w:highlight w:val="none"/>
              </w:rPr>
              <w:t>的</w:t>
            </w:r>
            <w:r>
              <w:rPr>
                <w:rFonts w:hint="eastAsia"/>
                <w:color w:val="auto"/>
                <w:highlight w:val="none"/>
                <w:lang w:val="zh-CN"/>
              </w:rPr>
              <w:t>得</w:t>
            </w:r>
            <w:r>
              <w:rPr>
                <w:rFonts w:hint="eastAsia"/>
                <w:color w:val="auto"/>
                <w:highlight w:val="none"/>
              </w:rPr>
              <w:t>1</w:t>
            </w:r>
            <w:r>
              <w:rPr>
                <w:rFonts w:hint="eastAsia"/>
                <w:color w:val="auto"/>
                <w:highlight w:val="none"/>
                <w:lang w:val="zh-CN"/>
              </w:rPr>
              <w:t>分，否则不得分。</w:t>
            </w:r>
          </w:p>
          <w:p>
            <w:pPr>
              <w:widowControl/>
              <w:jc w:val="left"/>
              <w:textAlignment w:val="center"/>
              <w:rPr>
                <w:rFonts w:hint="eastAsia" w:ascii="宋体" w:hAnsi="宋体" w:eastAsia="仿宋" w:cs="仿宋"/>
                <w:color w:val="auto"/>
                <w:kern w:val="3"/>
                <w:sz w:val="24"/>
                <w:szCs w:val="24"/>
                <w:highlight w:val="none"/>
                <w:lang w:val="en-US" w:eastAsia="zh-CN" w:bidi="ar-SA"/>
              </w:rPr>
            </w:pPr>
            <w:r>
              <w:rPr>
                <w:rFonts w:hint="eastAsia"/>
                <w:b/>
                <w:bCs/>
                <w:color w:val="auto"/>
                <w:highlight w:val="none"/>
                <w:lang w:val="zh-CN"/>
              </w:rPr>
              <w:t>投标文件中提供证明文件或证书复印件并加盖公章；</w:t>
            </w:r>
          </w:p>
        </w:tc>
        <w:tc>
          <w:tcPr>
            <w:tcW w:w="92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14</w:t>
            </w:r>
          </w:p>
        </w:tc>
        <w:tc>
          <w:tcPr>
            <w:tcW w:w="1240" w:type="dxa"/>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szCs w:val="24"/>
                <w:highlight w:val="none"/>
                <w:lang w:val="zh-CN"/>
              </w:rPr>
              <w:t>体系认证</w:t>
            </w:r>
            <w:r>
              <w:rPr>
                <w:rFonts w:hint="eastAsia" w:ascii="仿宋" w:hAnsi="仿宋" w:eastAsia="仿宋" w:cs="仿宋"/>
                <w:color w:val="auto"/>
                <w:sz w:val="24"/>
                <w:szCs w:val="24"/>
                <w:highlight w:val="none"/>
              </w:rPr>
              <w:t>证书</w:t>
            </w:r>
          </w:p>
        </w:tc>
        <w:tc>
          <w:tcPr>
            <w:tcW w:w="6467" w:type="dxa"/>
            <w:vAlign w:val="center"/>
          </w:tcPr>
          <w:p>
            <w:pPr>
              <w:spacing w:line="400" w:lineRule="exact"/>
              <w:jc w:val="left"/>
              <w:rPr>
                <w:color w:val="auto"/>
                <w:highlight w:val="none"/>
              </w:rPr>
            </w:pPr>
            <w:r>
              <w:rPr>
                <w:rFonts w:hint="eastAsia"/>
                <w:color w:val="auto"/>
                <w:highlight w:val="none"/>
              </w:rPr>
              <w:t>1）</w:t>
            </w:r>
            <w:r>
              <w:rPr>
                <w:rFonts w:hint="eastAsia"/>
                <w:color w:val="auto"/>
                <w:highlight w:val="none"/>
                <w:lang w:val="zh-CN"/>
              </w:rPr>
              <w:t>投标人具有信息安全管理体系认证</w:t>
            </w:r>
            <w:r>
              <w:rPr>
                <w:rFonts w:hint="eastAsia"/>
                <w:color w:val="auto"/>
                <w:highlight w:val="none"/>
              </w:rPr>
              <w:t>证书</w:t>
            </w:r>
            <w:r>
              <w:rPr>
                <w:rFonts w:hint="eastAsia"/>
                <w:color w:val="auto"/>
                <w:highlight w:val="none"/>
                <w:lang w:val="zh-CN"/>
              </w:rPr>
              <w:t>的得</w:t>
            </w:r>
            <w:r>
              <w:rPr>
                <w:rFonts w:hint="eastAsia"/>
                <w:color w:val="auto"/>
                <w:highlight w:val="none"/>
              </w:rPr>
              <w:t>1</w:t>
            </w:r>
            <w:r>
              <w:rPr>
                <w:rFonts w:hint="eastAsia"/>
                <w:color w:val="auto"/>
                <w:highlight w:val="none"/>
                <w:lang w:val="zh-CN"/>
              </w:rPr>
              <w:t>分；</w:t>
            </w:r>
          </w:p>
          <w:p>
            <w:pPr>
              <w:spacing w:line="400" w:lineRule="exact"/>
              <w:jc w:val="left"/>
              <w:rPr>
                <w:color w:val="auto"/>
                <w:highlight w:val="none"/>
                <w:lang w:val="zh-CN"/>
              </w:rPr>
            </w:pPr>
            <w:r>
              <w:rPr>
                <w:rFonts w:hint="eastAsia"/>
                <w:color w:val="auto"/>
                <w:highlight w:val="none"/>
              </w:rPr>
              <w:t>2）</w:t>
            </w:r>
            <w:r>
              <w:rPr>
                <w:rFonts w:hint="eastAsia"/>
                <w:color w:val="auto"/>
                <w:highlight w:val="none"/>
                <w:lang w:val="zh-CN"/>
              </w:rPr>
              <w:t>投标人具有信息技术服务管理体系认证</w:t>
            </w:r>
            <w:r>
              <w:rPr>
                <w:rFonts w:hint="eastAsia"/>
                <w:color w:val="auto"/>
                <w:highlight w:val="none"/>
              </w:rPr>
              <w:t>证书</w:t>
            </w:r>
            <w:r>
              <w:rPr>
                <w:rFonts w:hint="eastAsia"/>
                <w:color w:val="auto"/>
                <w:highlight w:val="none"/>
                <w:lang w:val="zh-CN"/>
              </w:rPr>
              <w:t>的得</w:t>
            </w:r>
            <w:r>
              <w:rPr>
                <w:rFonts w:hint="eastAsia"/>
                <w:color w:val="auto"/>
                <w:highlight w:val="none"/>
              </w:rPr>
              <w:t>1</w:t>
            </w:r>
            <w:r>
              <w:rPr>
                <w:rFonts w:hint="eastAsia"/>
                <w:color w:val="auto"/>
                <w:highlight w:val="none"/>
                <w:lang w:val="zh-CN"/>
              </w:rPr>
              <w:t>分；</w:t>
            </w:r>
          </w:p>
          <w:p>
            <w:pPr>
              <w:spacing w:line="400" w:lineRule="exact"/>
              <w:jc w:val="left"/>
              <w:rPr>
                <w:color w:val="auto"/>
                <w:highlight w:val="none"/>
              </w:rPr>
            </w:pPr>
            <w:r>
              <w:rPr>
                <w:rFonts w:hint="eastAsia"/>
                <w:color w:val="auto"/>
                <w:highlight w:val="none"/>
              </w:rPr>
              <w:t>3）投标人具有核心产品新技术新产品</w:t>
            </w:r>
            <w:r>
              <w:rPr>
                <w:color w:val="auto"/>
                <w:highlight w:val="none"/>
              </w:rPr>
              <w:t>(服务)证书得1分</w:t>
            </w:r>
            <w:r>
              <w:rPr>
                <w:rFonts w:hint="eastAsia"/>
                <w:color w:val="auto"/>
                <w:highlight w:val="none"/>
              </w:rPr>
              <w:t>；</w:t>
            </w:r>
          </w:p>
          <w:p>
            <w:pPr>
              <w:spacing w:line="400" w:lineRule="exact"/>
              <w:jc w:val="left"/>
              <w:rPr>
                <w:color w:val="auto"/>
                <w:highlight w:val="none"/>
                <w:lang w:val="zh-CN"/>
              </w:rPr>
            </w:pPr>
            <w:r>
              <w:rPr>
                <w:rFonts w:hint="eastAsia"/>
                <w:color w:val="auto"/>
                <w:highlight w:val="none"/>
              </w:rPr>
              <w:t>4）投标人具有职业健康安全管理体系认证证书</w:t>
            </w:r>
            <w:r>
              <w:rPr>
                <w:rFonts w:hint="eastAsia"/>
                <w:color w:val="auto"/>
                <w:highlight w:val="none"/>
                <w:lang w:val="zh-CN"/>
              </w:rPr>
              <w:t>的得</w:t>
            </w:r>
            <w:r>
              <w:rPr>
                <w:rFonts w:hint="eastAsia"/>
                <w:color w:val="auto"/>
                <w:highlight w:val="none"/>
              </w:rPr>
              <w:t>1</w:t>
            </w:r>
            <w:r>
              <w:rPr>
                <w:rFonts w:hint="eastAsia"/>
                <w:color w:val="auto"/>
                <w:highlight w:val="none"/>
                <w:lang w:val="zh-CN"/>
              </w:rPr>
              <w:t>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kern w:val="3"/>
                <w:sz w:val="24"/>
                <w:szCs w:val="24"/>
                <w:highlight w:val="none"/>
                <w:lang w:val="zh-CN" w:eastAsia="zh-CN" w:bidi="ar-SA"/>
              </w:rPr>
            </w:pPr>
            <w:r>
              <w:rPr>
                <w:rFonts w:hint="eastAsia" w:ascii="仿宋" w:hAnsi="仿宋" w:eastAsia="仿宋" w:cs="仿宋"/>
                <w:b/>
                <w:bCs/>
                <w:color w:val="auto"/>
                <w:sz w:val="24"/>
                <w:szCs w:val="24"/>
                <w:highlight w:val="none"/>
                <w:lang w:val="zh-CN"/>
              </w:rPr>
              <w:t>投标文件中提供证书</w:t>
            </w:r>
            <w:r>
              <w:rPr>
                <w:rFonts w:hint="eastAsia" w:ascii="仿宋" w:hAnsi="仿宋" w:eastAsia="仿宋" w:cs="仿宋"/>
                <w:b/>
                <w:bCs/>
                <w:color w:val="auto"/>
                <w:sz w:val="24"/>
                <w:szCs w:val="24"/>
                <w:highlight w:val="none"/>
              </w:rPr>
              <w:t>复印</w:t>
            </w:r>
            <w:r>
              <w:rPr>
                <w:rFonts w:hint="eastAsia" w:ascii="仿宋" w:hAnsi="仿宋" w:eastAsia="仿宋" w:cs="仿宋"/>
                <w:b/>
                <w:bCs/>
                <w:color w:val="auto"/>
                <w:sz w:val="24"/>
                <w:szCs w:val="24"/>
                <w:highlight w:val="none"/>
                <w:lang w:val="zh-CN"/>
              </w:rPr>
              <w:t>件</w:t>
            </w:r>
            <w:r>
              <w:rPr>
                <w:rFonts w:hint="eastAsia" w:ascii="仿宋" w:hAnsi="仿宋" w:eastAsia="仿宋" w:cs="仿宋"/>
                <w:b/>
                <w:bCs/>
                <w:color w:val="auto"/>
                <w:sz w:val="24"/>
                <w:szCs w:val="24"/>
                <w:highlight w:val="none"/>
              </w:rPr>
              <w:t>并加盖公章；</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15</w:t>
            </w:r>
          </w:p>
        </w:tc>
        <w:tc>
          <w:tcPr>
            <w:tcW w:w="1240" w:type="dxa"/>
            <w:vAlign w:val="center"/>
          </w:tcPr>
          <w:p>
            <w:pPr>
              <w:widowControl/>
              <w:spacing w:line="400" w:lineRule="exact"/>
              <w:jc w:val="left"/>
              <w:rPr>
                <w:rFonts w:hint="eastAsia" w:ascii="仿宋" w:hAnsi="仿宋" w:eastAsia="仿宋" w:cs="仿宋"/>
                <w:b w:val="0"/>
                <w:bCs w:val="0"/>
                <w:color w:val="auto"/>
                <w:kern w:val="0"/>
                <w:sz w:val="24"/>
                <w:szCs w:val="24"/>
                <w:highlight w:val="none"/>
              </w:rPr>
            </w:pPr>
            <w:r>
              <w:rPr>
                <w:rFonts w:hint="eastAsia"/>
                <w:color w:val="auto"/>
                <w:highlight w:val="none"/>
              </w:rPr>
              <w:t>保障能力</w:t>
            </w:r>
          </w:p>
        </w:tc>
        <w:tc>
          <w:tcPr>
            <w:tcW w:w="6467" w:type="dxa"/>
            <w:vAlign w:val="center"/>
          </w:tcPr>
          <w:p>
            <w:pPr>
              <w:spacing w:line="400" w:lineRule="exact"/>
              <w:jc w:val="left"/>
              <w:rPr>
                <w:color w:val="auto"/>
                <w:highlight w:val="none"/>
              </w:rPr>
            </w:pPr>
            <w:r>
              <w:rPr>
                <w:rFonts w:hint="eastAsia"/>
                <w:color w:val="auto"/>
                <w:highlight w:val="none"/>
              </w:rPr>
              <w:t>投标人自2019年1月1日至今（时间以获奖文件或证书时间为准）从事重大气象保障服务工作，提供一项</w:t>
            </w:r>
            <w:r>
              <w:rPr>
                <w:rFonts w:hint="eastAsia"/>
                <w:color w:val="auto"/>
                <w:highlight w:val="none"/>
                <w:lang w:val="en-US" w:eastAsia="zh-CN"/>
              </w:rPr>
              <w:t>市级及以上</w:t>
            </w:r>
            <w:r>
              <w:rPr>
                <w:rFonts w:hint="eastAsia"/>
                <w:color w:val="auto"/>
                <w:highlight w:val="none"/>
              </w:rPr>
              <w:t>获奖文件或证书</w:t>
            </w:r>
            <w:r>
              <w:rPr>
                <w:rFonts w:hint="eastAsia"/>
                <w:color w:val="auto"/>
                <w:highlight w:val="none"/>
                <w:lang w:val="en-US" w:eastAsia="zh-CN"/>
              </w:rPr>
              <w:t>的</w:t>
            </w:r>
            <w:r>
              <w:rPr>
                <w:rFonts w:hint="eastAsia"/>
                <w:color w:val="auto"/>
                <w:highlight w:val="none"/>
              </w:rPr>
              <w:t>得1分</w:t>
            </w:r>
            <w:r>
              <w:rPr>
                <w:rFonts w:hint="eastAsia"/>
                <w:color w:val="auto"/>
                <w:highlight w:val="none"/>
                <w:lang w:eastAsia="zh-CN"/>
              </w:rPr>
              <w:t>，</w:t>
            </w:r>
            <w:r>
              <w:rPr>
                <w:rFonts w:hint="eastAsia"/>
                <w:color w:val="auto"/>
                <w:highlight w:val="none"/>
                <w:lang w:val="en-US" w:eastAsia="zh-CN"/>
              </w:rPr>
              <w:t>省级及以上</w:t>
            </w:r>
            <w:r>
              <w:rPr>
                <w:rFonts w:hint="eastAsia"/>
                <w:color w:val="auto"/>
                <w:highlight w:val="none"/>
              </w:rPr>
              <w:t>获奖文件或证书</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pPr>
              <w:spacing w:line="400" w:lineRule="exact"/>
              <w:jc w:val="left"/>
              <w:rPr>
                <w:rFonts w:hint="eastAsia" w:ascii="仿宋" w:hAnsi="仿宋" w:eastAsia="仿宋" w:cs="仿宋"/>
                <w:b/>
                <w:bCs/>
                <w:color w:val="auto"/>
                <w:kern w:val="3"/>
                <w:sz w:val="24"/>
                <w:szCs w:val="24"/>
                <w:highlight w:val="none"/>
                <w:lang w:val="zh-CN" w:eastAsia="zh-CN" w:bidi="ar-SA"/>
              </w:rPr>
            </w:pPr>
            <w:r>
              <w:rPr>
                <w:rFonts w:hint="eastAsia"/>
                <w:b/>
                <w:bCs/>
                <w:color w:val="auto"/>
                <w:kern w:val="0"/>
                <w:highlight w:val="none"/>
              </w:rPr>
              <w:t>投标文件中提供证明文件或证书</w:t>
            </w:r>
            <w:r>
              <w:rPr>
                <w:rFonts w:hint="eastAsia"/>
                <w:b/>
                <w:bCs/>
                <w:color w:val="auto"/>
                <w:highlight w:val="none"/>
              </w:rPr>
              <w:t>复印件并加盖公章；</w:t>
            </w:r>
          </w:p>
        </w:tc>
        <w:tc>
          <w:tcPr>
            <w:tcW w:w="920" w:type="dxa"/>
            <w:vAlign w:val="center"/>
          </w:tcPr>
          <w:p>
            <w:pPr>
              <w:spacing w:line="240" w:lineRule="auto"/>
              <w:jc w:val="center"/>
              <w:rPr>
                <w:rFonts w:hint="eastAsia" w:ascii="仿宋" w:hAnsi="仿宋" w:eastAsia="仿宋" w:cs="仿宋"/>
                <w:color w:val="auto"/>
                <w:kern w:val="3"/>
                <w:sz w:val="24"/>
                <w:szCs w:val="24"/>
                <w:highlight w:val="none"/>
                <w:lang w:val="en-US" w:eastAsia="zh-CN" w:bidi="ar-SA"/>
              </w:rPr>
            </w:pPr>
            <w:r>
              <w:rPr>
                <w:rFonts w:hint="eastAsia"/>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16</w:t>
            </w:r>
          </w:p>
        </w:tc>
        <w:tc>
          <w:tcPr>
            <w:tcW w:w="1240"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业绩情况</w:t>
            </w:r>
          </w:p>
        </w:tc>
        <w:tc>
          <w:tcPr>
            <w:tcW w:w="6467" w:type="dxa"/>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类似项目实施业绩一览表：投标人自2019年1月1日至今（时间以合同签订时间为准）承担过同类项目成功案例，每提供一个得1分，最多得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
                <w:bCs/>
                <w:color w:val="auto"/>
                <w:sz w:val="24"/>
                <w:szCs w:val="24"/>
                <w:highlight w:val="none"/>
              </w:rPr>
              <w:t>投标文件中提供合同复印件并加盖公章；</w:t>
            </w:r>
          </w:p>
        </w:tc>
        <w:tc>
          <w:tcPr>
            <w:tcW w:w="92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3"/>
                <w:sz w:val="24"/>
                <w:szCs w:val="24"/>
                <w:highlight w:val="none"/>
                <w:lang w:val="en-US" w:eastAsia="zh-CN" w:bidi="ar-SA"/>
              </w:rPr>
            </w:pPr>
            <w:r>
              <w:rPr>
                <w:rFonts w:hint="eastAsia"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17</w:t>
            </w:r>
          </w:p>
        </w:tc>
        <w:tc>
          <w:tcPr>
            <w:tcW w:w="1240" w:type="dxa"/>
            <w:vAlign w:val="center"/>
          </w:tcPr>
          <w:p>
            <w:pPr>
              <w:spacing w:line="460" w:lineRule="exact"/>
              <w:rPr>
                <w:rFonts w:hint="eastAsia" w:ascii="仿宋" w:hAnsi="仿宋" w:eastAsia="仿宋" w:cs="仿宋"/>
                <w:color w:val="auto"/>
                <w:kern w:val="0"/>
                <w:sz w:val="24"/>
                <w:szCs w:val="24"/>
                <w:highlight w:val="none"/>
                <w:lang w:val="en-US" w:eastAsia="zh-CN" w:bidi="ar"/>
              </w:rPr>
            </w:pPr>
            <w:r>
              <w:rPr>
                <w:rFonts w:hint="eastAsia" w:cs="Times New Roman"/>
                <w:color w:val="auto"/>
                <w:highlight w:val="none"/>
              </w:rPr>
              <w:t>优惠方案</w:t>
            </w:r>
          </w:p>
        </w:tc>
        <w:tc>
          <w:tcPr>
            <w:tcW w:w="6467" w:type="dxa"/>
            <w:vAlign w:val="center"/>
          </w:tcPr>
          <w:p>
            <w:pPr>
              <w:spacing w:line="460" w:lineRule="exact"/>
              <w:rPr>
                <w:rFonts w:hint="eastAsia" w:ascii="仿宋" w:hAnsi="仿宋" w:eastAsia="仿宋" w:cs="仿宋"/>
                <w:color w:val="auto"/>
                <w:kern w:val="0"/>
                <w:sz w:val="24"/>
                <w:szCs w:val="24"/>
                <w:highlight w:val="none"/>
                <w:lang w:val="en-US" w:eastAsia="zh-CN" w:bidi="ar"/>
              </w:rPr>
            </w:pPr>
            <w:r>
              <w:rPr>
                <w:rFonts w:hint="eastAsia" w:cs="Times New Roman"/>
                <w:color w:val="auto"/>
                <w:highlight w:val="none"/>
              </w:rPr>
              <w:t>针对采购人的需求提出切实可行的优惠措施或优惠方案</w:t>
            </w:r>
            <w:r>
              <w:rPr>
                <w:rFonts w:hint="eastAsia"/>
                <w:color w:val="auto"/>
                <w:highlight w:val="none"/>
                <w:lang w:val="zh-CN"/>
              </w:rPr>
              <w:t>的得</w:t>
            </w:r>
            <w:r>
              <w:rPr>
                <w:rFonts w:hint="eastAsia"/>
                <w:color w:val="auto"/>
                <w:highlight w:val="none"/>
                <w:lang w:val="en-US" w:eastAsia="zh-CN"/>
              </w:rPr>
              <w:t>0-</w:t>
            </w:r>
            <w:bookmarkStart w:id="36" w:name="_GoBack"/>
            <w:bookmarkEnd w:id="36"/>
            <w:r>
              <w:rPr>
                <w:rFonts w:hint="eastAsia"/>
                <w:color w:val="auto"/>
                <w:highlight w:val="none"/>
                <w:lang w:val="en-US" w:eastAsia="zh-CN"/>
              </w:rPr>
              <w:t>1</w:t>
            </w:r>
            <w:r>
              <w:rPr>
                <w:rFonts w:hint="eastAsia"/>
                <w:color w:val="auto"/>
                <w:highlight w:val="none"/>
                <w:lang w:val="zh-CN"/>
              </w:rPr>
              <w:t>分</w:t>
            </w:r>
            <w:r>
              <w:rPr>
                <w:rFonts w:hint="eastAsia" w:cs="Times New Roman"/>
                <w:color w:val="auto"/>
                <w:highlight w:val="none"/>
                <w:lang w:eastAsia="zh-CN"/>
              </w:rPr>
              <w:t>。</w:t>
            </w:r>
          </w:p>
        </w:tc>
        <w:tc>
          <w:tcPr>
            <w:tcW w:w="920" w:type="dxa"/>
            <w:vAlign w:val="center"/>
          </w:tcPr>
          <w:p>
            <w:pPr>
              <w:widowControl/>
              <w:jc w:val="center"/>
              <w:rPr>
                <w:rFonts w:hint="default" w:ascii="仿宋" w:hAnsi="仿宋" w:eastAsia="仿宋" w:cs="仿宋"/>
                <w:b/>
                <w:bCs/>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bidi="ar-SA"/>
              </w:rPr>
              <w:t>1</w:t>
            </w:r>
          </w:p>
        </w:tc>
      </w:tr>
    </w:tbl>
    <w:p>
      <w:pPr>
        <w:pageBreakBefore w:val="0"/>
        <w:kinsoku/>
        <w:bidi w:val="0"/>
        <w:spacing w:beforeAutospacing="0" w:afterAutospacing="0" w:line="440" w:lineRule="exact"/>
        <w:ind w:firstLine="241" w:firstLineChars="100"/>
        <w:rPr>
          <w:rStyle w:val="1032"/>
          <w:rFonts w:ascii="仿宋" w:hAnsi="仿宋" w:eastAsia="仿宋"/>
          <w:b w:val="0"/>
          <w:i w:val="0"/>
          <w:caps w:val="0"/>
          <w:color w:val="auto"/>
          <w:spacing w:val="0"/>
          <w:w w:val="100"/>
          <w:kern w:val="2"/>
          <w:sz w:val="24"/>
          <w:szCs w:val="24"/>
          <w:highlight w:val="none"/>
          <w:lang w:val="en-US" w:eastAsia="zh-CN" w:bidi="ar-SA"/>
        </w:rPr>
      </w:pPr>
      <w:r>
        <w:rPr>
          <w:rFonts w:hint="eastAsia" w:ascii="仿宋" w:hAnsi="仿宋" w:eastAsia="仿宋" w:cs="仿宋"/>
          <w:b/>
          <w:color w:val="auto"/>
          <w:sz w:val="24"/>
          <w:szCs w:val="24"/>
          <w:highlight w:val="none"/>
          <w:lang w:eastAsia="zh-CN"/>
        </w:rPr>
        <w:t>注：</w:t>
      </w:r>
      <w:r>
        <w:rPr>
          <w:rStyle w:val="1032"/>
          <w:rFonts w:ascii="仿宋" w:hAnsi="仿宋" w:eastAsia="仿宋"/>
          <w:b w:val="0"/>
          <w:i w:val="0"/>
          <w:caps w:val="0"/>
          <w:color w:val="auto"/>
          <w:spacing w:val="0"/>
          <w:w w:val="100"/>
          <w:kern w:val="2"/>
          <w:sz w:val="24"/>
          <w:szCs w:val="24"/>
          <w:highlight w:val="none"/>
          <w:lang w:val="en-US" w:eastAsia="zh-CN" w:bidi="ar-SA"/>
        </w:rPr>
        <w:t>1、投标人弄虚作假的，报</w:t>
      </w:r>
      <w:r>
        <w:rPr>
          <w:rStyle w:val="1032"/>
          <w:rFonts w:ascii="仿宋" w:hAnsi="仿宋" w:eastAsia="仿宋"/>
          <w:b w:val="0"/>
          <w:i w:val="0"/>
          <w:caps w:val="0"/>
          <w:color w:val="auto"/>
          <w:spacing w:val="0"/>
          <w:w w:val="100"/>
          <w:kern w:val="2"/>
          <w:sz w:val="24"/>
          <w:szCs w:val="24"/>
          <w:highlight w:val="none"/>
          <w:lang w:val="en-US" w:eastAsia="zh-CN" w:bidi="ar-SA"/>
        </w:rPr>
        <w:t>政府采购监督部门查处。</w:t>
      </w:r>
    </w:p>
    <w:p>
      <w:pPr>
        <w:rPr>
          <w:rFonts w:hint="eastAsia"/>
          <w:color w:val="auto"/>
          <w:highlight w:val="none"/>
        </w:rPr>
      </w:pPr>
    </w:p>
    <w:p>
      <w:pPr>
        <w:pStyle w:val="2"/>
        <w:rPr>
          <w:rFonts w:hint="eastAsia"/>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pageBreakBefore w:val="0"/>
        <w:kinsoku/>
        <w:bidi w:val="0"/>
        <w:spacing w:beforeAutospacing="0" w:afterAutospacing="0" w:line="440" w:lineRule="exact"/>
        <w:ind w:left="0" w:leftChars="0" w:firstLine="0" w:firstLineChars="0"/>
        <w:jc w:val="center"/>
        <w:rPr>
          <w:rFonts w:hint="eastAsia"/>
          <w:b/>
          <w:color w:val="auto"/>
          <w:kern w:val="0"/>
          <w:sz w:val="24"/>
          <w:szCs w:val="22"/>
          <w:highlight w:val="none"/>
        </w:rPr>
      </w:pPr>
      <w:bookmarkStart w:id="3" w:name="_Toc425682676"/>
      <w:r>
        <w:rPr>
          <w:rFonts w:hint="eastAsia"/>
          <w:color w:val="auto"/>
          <w:highlight w:val="none"/>
          <w:lang w:val="en-US" w:eastAsia="zh-CN"/>
        </w:rPr>
        <w:t xml:space="preserve">第四章 </w:t>
      </w:r>
      <w:r>
        <w:rPr>
          <w:rFonts w:hint="eastAsia"/>
          <w:color w:val="auto"/>
          <w:highlight w:val="none"/>
        </w:rPr>
        <w:t>采购需求</w:t>
      </w:r>
      <w:bookmarkEnd w:id="3"/>
      <w:bookmarkStart w:id="4" w:name="_Toc292375921"/>
      <w:bookmarkEnd w:id="4"/>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一、项目概述：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着富阳区经济社会的快速发展和全球气候变化加剧引起的极端气象灾害不断增多，气象灾害造成的损失也不断增多，气象事业发展不平衡不充分的问题日益凸显，因此，需要推进更高水平气象现代化建设来解决富阳区气象事业发展中的短板和瓶颈。2019年区政府印发了《杭州市富阳区推进更高水平气象现代化和亚运会气象服务能力提升实施方案（2018-2022年）》（富政办【2019】11号），明确提出了推进更高水平气象现代化建设的目标任务，同时《浙江省人民政府防汛防台抗旱指挥部关于开展基层防汛防台体系标准化建设的意见》（浙防指【2021】5号）和杭州市富阳区人民政府防汛抗旱指挥部《关于进一步加强小流域山洪和地质灾害防御工作的意见》（富防指办【2021】8号）等一系列文件精神，开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杭州市富阳区更高水平气象现代化项目（二期）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建设，全区地面气象观测能力大幅提升，实现行政村温雨监测全覆盖和区域气象灾害监测基本无盲区的目标。具体目标如下：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加密全区地面自动气象站网，全区四要素及以上地面自动气象站点平均网格间距小于4.0km，气象灾害易发关键区实现温雨监测全覆盖。对于移动信号不稳定或者无信号地区，使用基层台站北斗通信终端进行数据传输。</w:t>
      </w:r>
      <w:r>
        <w:rPr>
          <w:rFonts w:hint="eastAsia" w:ascii="仿宋" w:hAnsi="仿宋" w:eastAsia="仿宋" w:cs="仿宋"/>
          <w:color w:val="auto"/>
          <w:sz w:val="24"/>
          <w:szCs w:val="24"/>
          <w:highlight w:val="none"/>
          <w:lang w:val="en-US" w:eastAsia="zh-CN"/>
        </w:rPr>
        <w:t>在富阳国家气象观测站新建气象辐射站，在水稻和农业园区建设特色农业气象服务站。</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二、总体要求：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（1）投标人提供的各类设备与软件必须满足标书提出的功能和规格描述，并提供相应的调试安装等技术服务。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（2）投标人提供的系统软、硬件的性能应达到或超过招标书所列技术指标。投标人在响应建议中必须就有关技术指标列出具体数值，否则将视为不符合技术性能需求。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仿宋"/>
          <w:color w:val="auto"/>
          <w:sz w:val="24"/>
          <w:szCs w:val="24"/>
          <w:highlight w:val="none"/>
          <w:lang w:eastAsia="zh-CN"/>
        </w:rPr>
      </w:pPr>
      <w:r>
        <w:rPr>
          <w:rFonts w:hint="eastAsia" w:ascii="仿宋" w:hAnsi="仿宋" w:eastAsia="仿宋" w:cs="仿宋"/>
          <w:color w:val="auto"/>
          <w:sz w:val="24"/>
          <w:szCs w:val="24"/>
          <w:highlight w:val="none"/>
        </w:rPr>
        <w:t>（3）所列性能指标要求只是最低标准</w:t>
      </w:r>
      <w:r>
        <w:rPr>
          <w:rFonts w:hint="eastAsia"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（4）供货商提供的设备的性能指标，按照投标时实际性能指标参数如实填写，填写“将来支持或未来支持等不确切的性能指标参数”，即为不支持</w:t>
      </w:r>
      <w:r>
        <w:rPr>
          <w:rFonts w:hint="eastAsia"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（5）设备及相应的配套设施，应具有良好的防潮、防锈和防腐蚀能力，产品寿命为不少于5年，无故障连续工作时间不少于4000工作小时。</w:t>
      </w:r>
    </w:p>
    <w:p>
      <w:pPr>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三、采购清单：</w:t>
      </w:r>
    </w:p>
    <w:tbl>
      <w:tblPr>
        <w:tblStyle w:val="89"/>
        <w:tblpPr w:leftFromText="180" w:rightFromText="180" w:vertAnchor="text" w:horzAnchor="page" w:tblpX="1556" w:tblpY="389"/>
        <w:tblOverlap w:val="never"/>
        <w:tblW w:w="51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2"/>
        <w:gridCol w:w="4275"/>
        <w:gridCol w:w="1179"/>
        <w:gridCol w:w="937"/>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中小企业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划分所属</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两要素自动气象站</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包含雨量传感器、温度传感器、数据采集器、太阳能电源系统、温湿度通风罩及支架等设备，以及运输、安装、保险和安装附件等使站点正常运行所有得一切费用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多要素自动气象站</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（核心产品）</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包含雨量传感器、温度传感器、风速传感器、风向传感器、数据采集器、太阳能电源系统、通讯系统、10米风杆、百叶箱等设备，以及运输、安装、保险和安装附件等使站点正常运行所有得一切费用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5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气象辐射站</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包含热电式数字总辐射表、热电式数字直接辐射表、强制加热通风罩、太阳跟踪器、基准辐射采集器、供电系统等设备，以及运输、安装、保险和安装附件等使站点正常运行所有得一切费用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自动气象站北斗通讯传输设备</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包含北斗多频天线、射频、基带以及主控板等设备，以及运输、安装、保险和安装附件等使设备正常运行所有得一切费用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农业气象观测站（水稻）</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包含雨量传感器、温湿度传感器、风速传感器、风向传感器、气压传感器、总辐射传感器、光合有效辐射传感器、日照传感器、二氧化碳传感器、地温传感器、高清摄像机、</w:t>
            </w:r>
            <w:r>
              <w:rPr>
                <w:rFonts w:hint="eastAsia" w:ascii="仿宋" w:hAnsi="仿宋" w:eastAsia="仿宋" w:cs="仿宋"/>
                <w:i w:val="0"/>
                <w:iCs w:val="0"/>
                <w:color w:val="auto"/>
                <w:kern w:val="0"/>
                <w:sz w:val="24"/>
                <w:szCs w:val="24"/>
                <w:highlight w:val="none"/>
                <w:u w:val="none"/>
                <w:lang w:val="en-US" w:eastAsia="zh-CN" w:bidi="ar"/>
              </w:rPr>
              <w:t>显示</w:t>
            </w:r>
            <w:r>
              <w:rPr>
                <w:rFonts w:hint="eastAsia" w:cs="仿宋"/>
                <w:i w:val="0"/>
                <w:iCs w:val="0"/>
                <w:color w:val="auto"/>
                <w:kern w:val="0"/>
                <w:sz w:val="24"/>
                <w:szCs w:val="24"/>
                <w:highlight w:val="none"/>
                <w:u w:val="none"/>
                <w:lang w:val="en-US" w:eastAsia="zh-CN" w:bidi="ar"/>
              </w:rPr>
              <w:t>终端</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数据主采集系统、地温分采集系统、供电系统、通讯系统等设备，以及运输、安装、保险和安装附件等使站点正常运行所有得一切费用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农业气象观测站（园区）</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包含温湿度传感器、地温传感器、数据采集系统、数据采集器、太阳能供电系统、通讯系统等设备，以及运输、安装、保险和安装附件等使站点正常运行所有得一切费用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气象仪器备件</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雨量传感器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温度传感器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温湿度传感器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风速传感器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风向传感器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气压传感器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前项散射式能见度仪（含天气现象）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总辐射传感器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两要素数据采集器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多要素</w:t>
            </w:r>
            <w:r>
              <w:rPr>
                <w:rFonts w:hint="eastAsia" w:ascii="仿宋" w:hAnsi="仿宋" w:eastAsia="仿宋" w:cs="仿宋"/>
                <w:i w:val="0"/>
                <w:iCs w:val="0"/>
                <w:color w:val="auto"/>
                <w:kern w:val="0"/>
                <w:sz w:val="24"/>
                <w:szCs w:val="24"/>
                <w:highlight w:val="none"/>
                <w:u w:val="none"/>
                <w:lang w:val="en-US" w:eastAsia="zh-CN" w:bidi="ar"/>
              </w:rPr>
              <w:t>数据采集器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地温分采系统</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太阳能电源系统</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通讯系统</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百叶箱</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能见度立杆及横臂</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highlight w:val="none"/>
                <w:u w:val="none"/>
              </w:rPr>
            </w:pP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辐射横臂及托盘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w:t>
            </w:r>
          </w:p>
        </w:tc>
      </w:tr>
    </w:tbl>
    <w:p>
      <w:pPr>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四、技术要求: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（一）两要素自动气象站技术要求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1、雨量传感器技术要求</w:t>
      </w:r>
    </w:p>
    <w:tbl>
      <w:tblPr>
        <w:tblStyle w:val="89"/>
        <w:tblW w:w="5000" w:type="pct"/>
        <w:tblInd w:w="0" w:type="dxa"/>
        <w:tblLayout w:type="autofit"/>
        <w:tblCellMar>
          <w:top w:w="0" w:type="dxa"/>
          <w:left w:w="108" w:type="dxa"/>
          <w:bottom w:w="0" w:type="dxa"/>
          <w:right w:w="108" w:type="dxa"/>
        </w:tblCellMar>
      </w:tblPr>
      <w:tblGrid>
        <w:gridCol w:w="2617"/>
        <w:gridCol w:w="6499"/>
      </w:tblGrid>
      <w:tr>
        <w:tblPrEx>
          <w:tblCellMar>
            <w:top w:w="0" w:type="dxa"/>
            <w:left w:w="108" w:type="dxa"/>
            <w:bottom w:w="0" w:type="dxa"/>
            <w:right w:w="108" w:type="dxa"/>
          </w:tblCellMar>
        </w:tblPrEx>
        <w:trPr>
          <w:trHeight w:val="454" w:hRule="atLeast"/>
        </w:trPr>
        <w:tc>
          <w:tcPr>
            <w:tcW w:w="244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spacing w:line="400" w:lineRule="exact"/>
              <w:ind w:left="0" w:right="0" w:firstLine="0" w:firstLineChars="0"/>
              <w:jc w:val="center"/>
              <w:rPr>
                <w:rFonts w:cs="仿宋"/>
                <w:b/>
                <w:bCs/>
                <w:color w:val="auto"/>
                <w:highlight w:val="none"/>
              </w:rPr>
            </w:pPr>
            <w:r>
              <w:rPr>
                <w:rFonts w:hint="eastAsia" w:cs="仿宋"/>
                <w:b/>
                <w:bCs/>
                <w:color w:val="auto"/>
                <w:highlight w:val="none"/>
              </w:rPr>
              <w:t>参数</w:t>
            </w:r>
          </w:p>
        </w:tc>
        <w:tc>
          <w:tcPr>
            <w:tcW w:w="6076" w:type="dxa"/>
            <w:tcBorders>
              <w:top w:val="single" w:color="auto" w:sz="4" w:space="0"/>
              <w:left w:val="nil"/>
              <w:bottom w:val="single" w:color="auto" w:sz="4" w:space="0"/>
              <w:right w:val="single" w:color="auto" w:sz="4" w:space="0"/>
            </w:tcBorders>
            <w:shd w:val="clear" w:color="auto" w:fill="auto"/>
            <w:noWrap/>
            <w:vAlign w:val="center"/>
          </w:tcPr>
          <w:p>
            <w:pPr>
              <w:pStyle w:val="1033"/>
              <w:spacing w:line="400" w:lineRule="exact"/>
              <w:ind w:left="0" w:right="0" w:firstLine="0" w:firstLineChars="0"/>
              <w:jc w:val="center"/>
              <w:rPr>
                <w:rFonts w:cs="仿宋"/>
                <w:b/>
                <w:bCs/>
                <w:color w:val="auto"/>
                <w:highlight w:val="none"/>
              </w:rPr>
            </w:pPr>
            <w:r>
              <w:rPr>
                <w:rFonts w:hint="eastAsia" w:cs="仿宋"/>
                <w:b/>
                <w:bCs/>
                <w:color w:val="auto"/>
                <w:highlight w:val="none"/>
              </w:rPr>
              <w:t>指标</w:t>
            </w:r>
          </w:p>
        </w:tc>
      </w:tr>
      <w:tr>
        <w:tblPrEx>
          <w:tblCellMar>
            <w:top w:w="0" w:type="dxa"/>
            <w:left w:w="108" w:type="dxa"/>
            <w:bottom w:w="0" w:type="dxa"/>
            <w:right w:w="108" w:type="dxa"/>
          </w:tblCellMar>
        </w:tblPrEx>
        <w:trPr>
          <w:trHeight w:val="454" w:hRule="atLeast"/>
        </w:trPr>
        <w:tc>
          <w:tcPr>
            <w:tcW w:w="143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color w:val="auto"/>
                <w:highlight w:val="none"/>
              </w:rPr>
            </w:pPr>
            <w:r>
              <w:rPr>
                <w:rFonts w:hint="eastAsia"/>
                <w:color w:val="auto"/>
                <w:highlight w:val="none"/>
              </w:rPr>
              <w:t>雨口直径</w:t>
            </w:r>
          </w:p>
        </w:tc>
        <w:tc>
          <w:tcPr>
            <w:tcW w:w="3564"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color w:val="auto"/>
                <w:highlight w:val="none"/>
              </w:rPr>
            </w:pPr>
            <w:r>
              <w:rPr>
                <w:rFonts w:hint="eastAsia"/>
                <w:color w:val="auto"/>
                <w:highlight w:val="none"/>
              </w:rPr>
              <w:t>Φ200</w:t>
            </w:r>
            <w:r>
              <w:rPr>
                <w:rFonts w:hint="eastAsia"/>
                <w:color w:val="auto"/>
                <w:highlight w:val="none"/>
                <w:vertAlign w:val="subscript"/>
              </w:rPr>
              <w:t>0</w:t>
            </w:r>
            <w:r>
              <w:rPr>
                <w:rFonts w:hint="eastAsia"/>
                <w:color w:val="auto"/>
                <w:highlight w:val="none"/>
                <w:vertAlign w:val="superscript"/>
              </w:rPr>
              <w:t xml:space="preserve">+0.6 </w:t>
            </w:r>
            <w:r>
              <w:rPr>
                <w:rFonts w:hint="eastAsia"/>
                <w:color w:val="auto"/>
                <w:highlight w:val="none"/>
              </w:rPr>
              <w:t>mm，刃口锐角角度40°～45°</w:t>
            </w:r>
          </w:p>
        </w:tc>
      </w:tr>
      <w:tr>
        <w:tblPrEx>
          <w:tblCellMar>
            <w:top w:w="0" w:type="dxa"/>
            <w:left w:w="108" w:type="dxa"/>
            <w:bottom w:w="0" w:type="dxa"/>
            <w:right w:w="108" w:type="dxa"/>
          </w:tblCellMar>
        </w:tblPrEx>
        <w:trPr>
          <w:trHeight w:val="454" w:hRule="atLeast"/>
        </w:trPr>
        <w:tc>
          <w:tcPr>
            <w:tcW w:w="1435" w:type="pc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color w:val="auto"/>
                <w:highlight w:val="none"/>
              </w:rPr>
            </w:pPr>
            <w:r>
              <w:rPr>
                <w:rFonts w:hint="eastAsia"/>
                <w:color w:val="auto"/>
                <w:highlight w:val="none"/>
              </w:rPr>
              <w:t>分辨率</w:t>
            </w:r>
          </w:p>
        </w:tc>
        <w:tc>
          <w:tcPr>
            <w:tcW w:w="3564" w:type="pct"/>
            <w:tcBorders>
              <w:top w:val="nil"/>
              <w:left w:val="nil"/>
              <w:bottom w:val="single" w:color="auto" w:sz="4" w:space="0"/>
              <w:right w:val="single" w:color="auto" w:sz="4" w:space="0"/>
            </w:tcBorders>
            <w:shd w:val="clear" w:color="auto" w:fill="auto"/>
            <w:noWrap/>
            <w:vAlign w:val="center"/>
          </w:tcPr>
          <w:p>
            <w:pPr>
              <w:spacing w:line="400" w:lineRule="exact"/>
              <w:rPr>
                <w:color w:val="auto"/>
                <w:highlight w:val="none"/>
              </w:rPr>
            </w:pPr>
            <w:r>
              <w:rPr>
                <w:rFonts w:hint="eastAsia"/>
                <w:color w:val="auto"/>
                <w:highlight w:val="none"/>
              </w:rPr>
              <w:t>0.1mm</w:t>
            </w:r>
          </w:p>
        </w:tc>
      </w:tr>
      <w:tr>
        <w:tblPrEx>
          <w:tblCellMar>
            <w:top w:w="0" w:type="dxa"/>
            <w:left w:w="108" w:type="dxa"/>
            <w:bottom w:w="0" w:type="dxa"/>
            <w:right w:w="108" w:type="dxa"/>
          </w:tblCellMar>
        </w:tblPrEx>
        <w:trPr>
          <w:trHeight w:val="454" w:hRule="atLeast"/>
        </w:trPr>
        <w:tc>
          <w:tcPr>
            <w:tcW w:w="1435" w:type="pc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color w:val="auto"/>
                <w:highlight w:val="none"/>
              </w:rPr>
            </w:pPr>
            <w:r>
              <w:rPr>
                <w:rFonts w:hint="eastAsia"/>
                <w:color w:val="auto"/>
                <w:highlight w:val="none"/>
              </w:rPr>
              <w:t>雨强测量范围</w:t>
            </w:r>
          </w:p>
        </w:tc>
        <w:tc>
          <w:tcPr>
            <w:tcW w:w="3564" w:type="pct"/>
            <w:tcBorders>
              <w:top w:val="nil"/>
              <w:left w:val="nil"/>
              <w:bottom w:val="single" w:color="auto" w:sz="4" w:space="0"/>
              <w:right w:val="single" w:color="auto" w:sz="4" w:space="0"/>
            </w:tcBorders>
            <w:shd w:val="clear" w:color="auto" w:fill="auto"/>
            <w:noWrap/>
            <w:vAlign w:val="center"/>
          </w:tcPr>
          <w:p>
            <w:pPr>
              <w:spacing w:line="400" w:lineRule="exact"/>
              <w:rPr>
                <w:color w:val="auto"/>
                <w:highlight w:val="none"/>
              </w:rPr>
            </w:pPr>
            <w:r>
              <w:rPr>
                <w:rFonts w:hint="eastAsia"/>
                <w:color w:val="auto"/>
                <w:highlight w:val="none"/>
              </w:rPr>
              <w:t>0mm/min～4mm/min</w:t>
            </w:r>
          </w:p>
        </w:tc>
      </w:tr>
      <w:tr>
        <w:tblPrEx>
          <w:tblCellMar>
            <w:top w:w="0" w:type="dxa"/>
            <w:left w:w="108" w:type="dxa"/>
            <w:bottom w:w="0" w:type="dxa"/>
            <w:right w:w="108" w:type="dxa"/>
          </w:tblCellMar>
        </w:tblPrEx>
        <w:trPr>
          <w:trHeight w:val="454" w:hRule="atLeast"/>
        </w:trPr>
        <w:tc>
          <w:tcPr>
            <w:tcW w:w="1435" w:type="pc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color w:val="auto"/>
                <w:highlight w:val="none"/>
              </w:rPr>
            </w:pPr>
            <w:r>
              <w:rPr>
                <w:rFonts w:hint="eastAsia"/>
                <w:color w:val="auto"/>
                <w:highlight w:val="none"/>
              </w:rPr>
              <w:t>最大允许误差</w:t>
            </w:r>
          </w:p>
        </w:tc>
        <w:tc>
          <w:tcPr>
            <w:tcW w:w="3564" w:type="pct"/>
            <w:tcBorders>
              <w:top w:val="nil"/>
              <w:left w:val="nil"/>
              <w:bottom w:val="single" w:color="auto" w:sz="4" w:space="0"/>
              <w:right w:val="single" w:color="auto" w:sz="4" w:space="0"/>
            </w:tcBorders>
            <w:shd w:val="clear" w:color="auto" w:fill="auto"/>
            <w:noWrap/>
            <w:vAlign w:val="center"/>
          </w:tcPr>
          <w:p>
            <w:pPr>
              <w:spacing w:line="400" w:lineRule="exact"/>
              <w:rPr>
                <w:color w:val="auto"/>
                <w:highlight w:val="none"/>
              </w:rPr>
            </w:pPr>
            <w:r>
              <w:rPr>
                <w:rFonts w:hint="eastAsia"/>
                <w:color w:val="auto"/>
                <w:highlight w:val="none"/>
              </w:rPr>
              <w:t>±0.4mm(≤10mm)，±4%(＞10mm)</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2、温度传感器技术要求</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pStyle w:val="1033"/>
              <w:spacing w:line="400" w:lineRule="exact"/>
              <w:ind w:left="0" w:right="0" w:firstLine="0" w:firstLineChars="0"/>
              <w:jc w:val="center"/>
              <w:rPr>
                <w:rFonts w:cs="仿宋"/>
                <w:b/>
                <w:bCs/>
                <w:color w:val="auto"/>
                <w:highlight w:val="none"/>
              </w:rPr>
            </w:pPr>
            <w:r>
              <w:rPr>
                <w:rFonts w:hint="eastAsia" w:cs="仿宋"/>
                <w:b/>
                <w:bCs/>
                <w:color w:val="auto"/>
                <w:highlight w:val="none"/>
              </w:rPr>
              <w:t>参数</w:t>
            </w:r>
          </w:p>
        </w:tc>
        <w:tc>
          <w:tcPr>
            <w:tcW w:w="3777" w:type="pct"/>
            <w:shd w:val="clear" w:color="auto" w:fill="auto"/>
            <w:vAlign w:val="center"/>
          </w:tcPr>
          <w:p>
            <w:pPr>
              <w:pStyle w:val="1033"/>
              <w:spacing w:line="400" w:lineRule="exact"/>
              <w:ind w:left="0" w:right="0" w:firstLine="0" w:firstLineChars="0"/>
              <w:jc w:val="center"/>
              <w:rPr>
                <w:rFonts w:cs="仿宋"/>
                <w:b/>
                <w:bCs/>
                <w:color w:val="auto"/>
                <w:highlight w:val="none"/>
              </w:rPr>
            </w:pPr>
            <w:r>
              <w:rPr>
                <w:rFonts w:hint="eastAsia" w:cs="仿宋"/>
                <w:b/>
                <w:bCs/>
                <w:color w:val="auto"/>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pStyle w:val="1033"/>
              <w:spacing w:line="400" w:lineRule="exact"/>
              <w:ind w:left="0" w:right="0" w:firstLine="0" w:firstLineChars="0"/>
              <w:jc w:val="center"/>
              <w:rPr>
                <w:rFonts w:cs="仿宋"/>
                <w:color w:val="auto"/>
                <w:highlight w:val="none"/>
              </w:rPr>
            </w:pPr>
            <w:r>
              <w:rPr>
                <w:rFonts w:hint="eastAsia" w:cs="仿宋"/>
                <w:color w:val="auto"/>
                <w:highlight w:val="none"/>
              </w:rPr>
              <w:t>精度</w:t>
            </w:r>
          </w:p>
        </w:tc>
        <w:tc>
          <w:tcPr>
            <w:tcW w:w="3777" w:type="pct"/>
            <w:shd w:val="clear" w:color="auto" w:fill="auto"/>
            <w:vAlign w:val="center"/>
          </w:tcPr>
          <w:p>
            <w:pPr>
              <w:pStyle w:val="1033"/>
              <w:spacing w:line="400" w:lineRule="exact"/>
              <w:ind w:left="0" w:right="0" w:firstLine="0" w:firstLineChars="0"/>
              <w:jc w:val="center"/>
              <w:rPr>
                <w:rFonts w:cs="仿宋"/>
                <w:color w:val="auto"/>
                <w:highlight w:val="none"/>
              </w:rPr>
            </w:pPr>
            <w:r>
              <w:rPr>
                <w:rFonts w:hint="eastAsia" w:cs="仿宋"/>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pStyle w:val="1033"/>
              <w:spacing w:line="400" w:lineRule="exact"/>
              <w:ind w:left="0" w:right="0" w:firstLine="0" w:firstLineChars="0"/>
              <w:jc w:val="center"/>
              <w:rPr>
                <w:rFonts w:cs="仿宋"/>
                <w:color w:val="auto"/>
                <w:highlight w:val="none"/>
              </w:rPr>
            </w:pPr>
            <w:r>
              <w:rPr>
                <w:rFonts w:hint="eastAsia" w:cs="仿宋"/>
                <w:color w:val="auto"/>
                <w:highlight w:val="none"/>
              </w:rPr>
              <w:t>灵敏度</w:t>
            </w:r>
          </w:p>
        </w:tc>
        <w:tc>
          <w:tcPr>
            <w:tcW w:w="3777" w:type="pct"/>
            <w:shd w:val="clear" w:color="auto" w:fill="auto"/>
            <w:vAlign w:val="center"/>
          </w:tcPr>
          <w:p>
            <w:pPr>
              <w:pStyle w:val="1033"/>
              <w:spacing w:line="400" w:lineRule="exact"/>
              <w:ind w:left="0" w:right="0" w:firstLine="0" w:firstLineChars="0"/>
              <w:jc w:val="center"/>
              <w:rPr>
                <w:rFonts w:cs="仿宋"/>
                <w:color w:val="auto"/>
                <w:highlight w:val="none"/>
              </w:rPr>
            </w:pPr>
            <w:r>
              <w:rPr>
                <w:rFonts w:hint="eastAsia" w:cs="仿宋"/>
                <w:color w:val="auto"/>
                <w:highlight w:val="none"/>
              </w:rPr>
              <w:t>0.385Ω/℃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pStyle w:val="1033"/>
              <w:spacing w:line="400" w:lineRule="exact"/>
              <w:ind w:left="0" w:right="0" w:firstLine="0" w:firstLineChars="0"/>
              <w:jc w:val="center"/>
              <w:rPr>
                <w:rFonts w:cs="仿宋"/>
                <w:color w:val="auto"/>
                <w:highlight w:val="none"/>
              </w:rPr>
            </w:pPr>
            <w:r>
              <w:rPr>
                <w:rFonts w:hint="eastAsia" w:cs="仿宋"/>
                <w:color w:val="auto"/>
                <w:highlight w:val="none"/>
              </w:rPr>
              <w:t>测量范围</w:t>
            </w:r>
          </w:p>
        </w:tc>
        <w:tc>
          <w:tcPr>
            <w:tcW w:w="3777" w:type="pct"/>
            <w:shd w:val="clear" w:color="auto" w:fill="auto"/>
            <w:vAlign w:val="center"/>
          </w:tcPr>
          <w:p>
            <w:pPr>
              <w:pStyle w:val="1033"/>
              <w:spacing w:line="400" w:lineRule="exact"/>
              <w:ind w:left="0" w:right="0" w:firstLine="0" w:firstLineChars="0"/>
              <w:jc w:val="center"/>
              <w:rPr>
                <w:rFonts w:cs="仿宋"/>
                <w:color w:val="auto"/>
                <w:highlight w:val="none"/>
              </w:rPr>
            </w:pPr>
            <w:r>
              <w:rPr>
                <w:rFonts w:hint="eastAsia" w:cs="仿宋"/>
                <w:color w:val="auto"/>
                <w:highlight w:val="none"/>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spacing w:line="400" w:lineRule="exact"/>
              <w:jc w:val="center"/>
              <w:rPr>
                <w:color w:val="auto"/>
                <w:highlight w:val="none"/>
              </w:rPr>
            </w:pPr>
            <w:r>
              <w:rPr>
                <w:rFonts w:hint="eastAsia"/>
                <w:color w:val="auto"/>
                <w:highlight w:val="none"/>
              </w:rPr>
              <w:t>分辨率</w:t>
            </w:r>
          </w:p>
        </w:tc>
        <w:tc>
          <w:tcPr>
            <w:tcW w:w="3777" w:type="pct"/>
            <w:shd w:val="clear" w:color="auto" w:fill="auto"/>
            <w:vAlign w:val="center"/>
          </w:tcPr>
          <w:p>
            <w:pPr>
              <w:spacing w:line="400" w:lineRule="exact"/>
              <w:jc w:val="center"/>
              <w:rPr>
                <w:color w:val="auto"/>
                <w:highlight w:val="none"/>
              </w:rPr>
            </w:pPr>
            <w:r>
              <w:rPr>
                <w:rFonts w:hint="eastAsia"/>
                <w:color w:val="auto"/>
                <w:highlight w:val="none"/>
              </w:rPr>
              <w:t>0.1℃</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3、数据采集器技术要求</w:t>
      </w:r>
    </w:p>
    <w:p>
      <w:pPr>
        <w:spacing w:line="400" w:lineRule="exact"/>
        <w:ind w:firstLine="480" w:firstLineChars="200"/>
        <w:rPr>
          <w:color w:val="auto"/>
          <w:kern w:val="0"/>
          <w:highlight w:val="none"/>
        </w:rPr>
      </w:pPr>
      <w:r>
        <w:rPr>
          <w:rFonts w:hint="eastAsia"/>
          <w:color w:val="auto"/>
          <w:kern w:val="0"/>
          <w:highlight w:val="none"/>
        </w:rPr>
        <w:t>数据采集器是自动气象站的核心，由硬件和嵌入式软件组成。硬件包含高性能的嵌入式处理器、高精度的A/D 电路、高精度的实时时钟电路、大容量的程序和数据存储器、传感器接口、通信接口、监测电路、指示灯等。</w:t>
      </w:r>
    </w:p>
    <w:p>
      <w:pPr>
        <w:spacing w:line="400" w:lineRule="exact"/>
        <w:ind w:firstLine="482" w:firstLineChars="200"/>
        <w:rPr>
          <w:b/>
          <w:color w:val="auto"/>
          <w:kern w:val="0"/>
          <w:highlight w:val="none"/>
        </w:rPr>
      </w:pPr>
      <w:r>
        <w:rPr>
          <w:rFonts w:hint="eastAsia"/>
          <w:b/>
          <w:color w:val="auto"/>
          <w:kern w:val="0"/>
          <w:highlight w:val="none"/>
        </w:rPr>
        <w:t>功能要求：</w:t>
      </w:r>
    </w:p>
    <w:p>
      <w:pPr>
        <w:spacing w:line="400" w:lineRule="exact"/>
        <w:ind w:firstLine="480" w:firstLineChars="200"/>
        <w:rPr>
          <w:color w:val="auto"/>
          <w:kern w:val="0"/>
          <w:highlight w:val="none"/>
        </w:rPr>
      </w:pPr>
      <w:r>
        <w:rPr>
          <w:rFonts w:hint="eastAsia"/>
          <w:color w:val="auto"/>
          <w:kern w:val="0"/>
          <w:highlight w:val="none"/>
        </w:rPr>
        <w:t>a.数据采集</w:t>
      </w:r>
    </w:p>
    <w:p>
      <w:pPr>
        <w:spacing w:line="400" w:lineRule="exact"/>
        <w:ind w:firstLine="480" w:firstLineChars="200"/>
        <w:rPr>
          <w:color w:val="auto"/>
          <w:kern w:val="0"/>
          <w:highlight w:val="none"/>
        </w:rPr>
      </w:pPr>
      <w:r>
        <w:rPr>
          <w:rFonts w:hint="eastAsia"/>
          <w:color w:val="auto"/>
          <w:kern w:val="0"/>
          <w:highlight w:val="none"/>
        </w:rPr>
        <w:t>对传感器按预定的采样频率进行扫描和将获得的电信号转换成微控制器可读信号，得到气象变量测量值序列；对气象变量测量值进行转换，使传感器输出的电信号转换成气象单位量，得到采样瞬时值。</w:t>
      </w:r>
    </w:p>
    <w:p>
      <w:pPr>
        <w:spacing w:line="400" w:lineRule="exact"/>
        <w:ind w:firstLine="480" w:firstLineChars="200"/>
        <w:rPr>
          <w:color w:val="auto"/>
          <w:kern w:val="0"/>
          <w:highlight w:val="none"/>
        </w:rPr>
      </w:pPr>
      <w:r>
        <w:rPr>
          <w:rFonts w:hint="eastAsia"/>
          <w:color w:val="auto"/>
          <w:kern w:val="0"/>
          <w:highlight w:val="none"/>
        </w:rPr>
        <w:t>b.数据处理</w:t>
      </w:r>
    </w:p>
    <w:p>
      <w:pPr>
        <w:spacing w:line="400" w:lineRule="exact"/>
        <w:ind w:firstLine="480" w:firstLineChars="200"/>
        <w:rPr>
          <w:color w:val="auto"/>
          <w:kern w:val="0"/>
          <w:highlight w:val="none"/>
        </w:rPr>
      </w:pPr>
      <w:r>
        <w:rPr>
          <w:rFonts w:hint="eastAsia"/>
          <w:color w:val="auto"/>
          <w:kern w:val="0"/>
          <w:highlight w:val="none"/>
        </w:rPr>
        <w:t>根据气象要素采样值，计算出气象观测需要的统计量，如一个小时内的极值、滑动平均、算数平均值以及累计量等；由采集器生成气象值（分钟）数据、小时正点数据和监控数据，并写入存储器。</w:t>
      </w:r>
    </w:p>
    <w:p>
      <w:pPr>
        <w:spacing w:line="400" w:lineRule="exact"/>
        <w:ind w:firstLine="480" w:firstLineChars="200"/>
        <w:rPr>
          <w:color w:val="auto"/>
          <w:kern w:val="0"/>
          <w:highlight w:val="none"/>
        </w:rPr>
      </w:pPr>
      <w:r>
        <w:rPr>
          <w:rFonts w:hint="eastAsia"/>
          <w:color w:val="auto"/>
          <w:kern w:val="0"/>
          <w:highlight w:val="none"/>
        </w:rPr>
        <w:t>c.数据存储</w:t>
      </w:r>
    </w:p>
    <w:p>
      <w:pPr>
        <w:spacing w:line="400" w:lineRule="exact"/>
        <w:ind w:firstLine="480" w:firstLineChars="200"/>
        <w:rPr>
          <w:color w:val="auto"/>
          <w:kern w:val="0"/>
          <w:highlight w:val="none"/>
        </w:rPr>
      </w:pPr>
      <w:r>
        <w:rPr>
          <w:rFonts w:hint="eastAsia"/>
          <w:color w:val="auto"/>
          <w:kern w:val="0"/>
          <w:highlight w:val="none"/>
        </w:rPr>
        <w:t>数据采集器存储7天的瞬时气象（分钟）值、1月的正点气象要素值等。数据存储可以使用循环式存储器结构，即允许最新的数据覆盖旧数据。采集器内部的数据存储器容量应留有50%的余量。采集器内部的数据存贮器应具备掉电保存功能。</w:t>
      </w:r>
    </w:p>
    <w:p>
      <w:pPr>
        <w:spacing w:line="400" w:lineRule="exact"/>
        <w:ind w:firstLine="480" w:firstLineChars="200"/>
        <w:rPr>
          <w:color w:val="auto"/>
          <w:kern w:val="0"/>
          <w:highlight w:val="none"/>
        </w:rPr>
      </w:pPr>
      <w:r>
        <w:rPr>
          <w:rFonts w:hint="eastAsia"/>
          <w:color w:val="auto"/>
          <w:kern w:val="0"/>
          <w:highlight w:val="none"/>
        </w:rPr>
        <w:t>d.数据传输</w:t>
      </w:r>
    </w:p>
    <w:p>
      <w:pPr>
        <w:spacing w:line="400" w:lineRule="exact"/>
        <w:ind w:firstLine="480" w:firstLineChars="200"/>
        <w:rPr>
          <w:color w:val="auto"/>
          <w:kern w:val="0"/>
          <w:highlight w:val="none"/>
        </w:rPr>
      </w:pPr>
      <w:r>
        <w:rPr>
          <w:rFonts w:hint="eastAsia"/>
          <w:color w:val="auto"/>
          <w:kern w:val="0"/>
          <w:highlight w:val="none"/>
        </w:rPr>
        <w:t>自动气象站应具备通过无线方式或串口直连方式进行数据传输的功能。通过微机终端实现远程通信传输的功能在业务软件中实现。</w:t>
      </w:r>
    </w:p>
    <w:p>
      <w:pPr>
        <w:spacing w:line="400" w:lineRule="exact"/>
        <w:ind w:firstLine="480" w:firstLineChars="200"/>
        <w:rPr>
          <w:color w:val="auto"/>
          <w:kern w:val="0"/>
          <w:highlight w:val="none"/>
        </w:rPr>
      </w:pPr>
      <w:r>
        <w:rPr>
          <w:rFonts w:hint="eastAsia"/>
          <w:color w:val="auto"/>
          <w:kern w:val="0"/>
          <w:highlight w:val="none"/>
        </w:rPr>
        <w:t>e、通讯要求</w:t>
      </w:r>
    </w:p>
    <w:p>
      <w:pPr>
        <w:spacing w:line="400" w:lineRule="exact"/>
        <w:ind w:firstLine="480" w:firstLineChars="200"/>
        <w:jc w:val="left"/>
        <w:rPr>
          <w:bCs/>
          <w:color w:val="auto"/>
          <w:highlight w:val="none"/>
        </w:rPr>
      </w:pPr>
      <w:r>
        <w:rPr>
          <w:rFonts w:hint="eastAsia"/>
          <w:bCs/>
          <w:color w:val="auto"/>
          <w:highlight w:val="none"/>
        </w:rPr>
        <w:t>可支持4G全网通无线通讯，投标产品需能无缝接入浙江省气象局中心站平台软件。</w:t>
      </w:r>
    </w:p>
    <w:p>
      <w:pPr>
        <w:spacing w:line="400" w:lineRule="exact"/>
        <w:ind w:firstLine="482" w:firstLineChars="200"/>
        <w:rPr>
          <w:b/>
          <w:color w:val="auto"/>
          <w:kern w:val="0"/>
          <w:highlight w:val="none"/>
        </w:rPr>
      </w:pPr>
      <w:r>
        <w:rPr>
          <w:b/>
          <w:color w:val="auto"/>
          <w:kern w:val="0"/>
          <w:highlight w:val="none"/>
        </w:rPr>
        <w:t>指标要求：</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rPr>
                <w:color w:val="auto"/>
                <w:sz w:val="24"/>
                <w:highlight w:val="none"/>
              </w:rPr>
            </w:pPr>
            <w:r>
              <w:rPr>
                <w:rFonts w:hint="eastAsia"/>
                <w:color w:val="auto"/>
                <w:kern w:val="0"/>
                <w:sz w:val="24"/>
                <w:highlight w:val="none"/>
              </w:rPr>
              <w:t>具备无线数据通信功能</w:t>
            </w:r>
          </w:p>
        </w:tc>
        <w:tc>
          <w:tcPr>
            <w:tcW w:w="0" w:type="auto"/>
          </w:tcPr>
          <w:p>
            <w:pPr>
              <w:pStyle w:val="2"/>
              <w:rPr>
                <w:color w:val="auto"/>
                <w:sz w:val="24"/>
                <w:highlight w:val="none"/>
              </w:rPr>
            </w:pPr>
            <w:r>
              <w:rPr>
                <w:rFonts w:hint="eastAsia"/>
                <w:color w:val="auto"/>
                <w:kern w:val="0"/>
                <w:sz w:val="24"/>
                <w:highlight w:val="none"/>
              </w:rPr>
              <w:t>可支持</w:t>
            </w:r>
            <w:r>
              <w:rPr>
                <w:color w:val="auto"/>
                <w:kern w:val="0"/>
                <w:sz w:val="24"/>
                <w:highlight w:val="none"/>
              </w:rPr>
              <w:t>FDD LTE: B1/B3、TDD LTE: B38/B39/B40/B41、TDSCDMA: B34/B39、WCDMA: B1、CDMA2000 1x/EVDO: BC0、GSM: 900/1800MHz无线网络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rPr>
                <w:color w:val="auto"/>
                <w:sz w:val="24"/>
                <w:highlight w:val="none"/>
              </w:rPr>
            </w:pPr>
            <w:r>
              <w:rPr>
                <w:color w:val="auto"/>
                <w:sz w:val="24"/>
                <w:highlight w:val="none"/>
              </w:rPr>
              <w:t>处理器</w:t>
            </w:r>
          </w:p>
        </w:tc>
        <w:tc>
          <w:tcPr>
            <w:tcW w:w="0" w:type="auto"/>
          </w:tcPr>
          <w:p>
            <w:pPr>
              <w:pStyle w:val="2"/>
              <w:rPr>
                <w:color w:val="auto"/>
                <w:sz w:val="24"/>
                <w:highlight w:val="none"/>
              </w:rPr>
            </w:pPr>
            <w:r>
              <w:rPr>
                <w:color w:val="auto"/>
                <w:sz w:val="24"/>
                <w:highlight w:val="none"/>
              </w:rPr>
              <w:t>Cortex-M3内核，512K FLASH 64K 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rPr>
                <w:color w:val="auto"/>
                <w:sz w:val="24"/>
                <w:highlight w:val="none"/>
              </w:rPr>
            </w:pPr>
            <w:r>
              <w:rPr>
                <w:color w:val="auto"/>
                <w:sz w:val="24"/>
                <w:highlight w:val="none"/>
              </w:rPr>
              <w:t>调试串口</w:t>
            </w:r>
          </w:p>
        </w:tc>
        <w:tc>
          <w:tcPr>
            <w:tcW w:w="0" w:type="auto"/>
          </w:tcPr>
          <w:p>
            <w:pPr>
              <w:pStyle w:val="2"/>
              <w:rPr>
                <w:color w:val="auto"/>
                <w:sz w:val="24"/>
                <w:highlight w:val="none"/>
              </w:rPr>
            </w:pPr>
            <w:r>
              <w:rPr>
                <w:rFonts w:hint="eastAsia"/>
                <w:color w:val="auto"/>
                <w:sz w:val="24"/>
                <w:highlight w:val="none"/>
              </w:rPr>
              <w:t>用于设备调试，固定为波特率：</w:t>
            </w:r>
            <w:r>
              <w:rPr>
                <w:color w:val="auto"/>
                <w:sz w:val="24"/>
                <w:highlight w:val="none"/>
              </w:rPr>
              <w:t>9600，校验位：NONE，数据位：8，停止位：1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rPr>
                <w:color w:val="auto"/>
                <w:sz w:val="24"/>
                <w:highlight w:val="none"/>
              </w:rPr>
            </w:pPr>
            <w:r>
              <w:rPr>
                <w:rFonts w:hint="eastAsia"/>
                <w:color w:val="auto"/>
                <w:sz w:val="24"/>
                <w:highlight w:val="none"/>
              </w:rPr>
              <w:t>时钟精度</w:t>
            </w:r>
          </w:p>
        </w:tc>
        <w:tc>
          <w:tcPr>
            <w:tcW w:w="0" w:type="auto"/>
          </w:tcPr>
          <w:p>
            <w:pPr>
              <w:pStyle w:val="2"/>
              <w:rPr>
                <w:color w:val="auto"/>
                <w:sz w:val="24"/>
                <w:highlight w:val="none"/>
              </w:rPr>
            </w:pPr>
            <w:r>
              <w:rPr>
                <w:rFonts w:hint="eastAsia"/>
                <w:color w:val="auto"/>
                <w:sz w:val="24"/>
                <w:highlight w:val="none"/>
              </w:rPr>
              <w:t>误差为</w:t>
            </w:r>
            <w:r>
              <w:rPr>
                <w:color w:val="auto"/>
                <w:sz w:val="24"/>
                <w:highlight w:val="none"/>
              </w:rPr>
              <w:t>15s每月</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4、太阳能电源系统技术要求</w:t>
      </w:r>
    </w:p>
    <w:p>
      <w:pPr>
        <w:spacing w:line="400" w:lineRule="exact"/>
        <w:ind w:firstLine="480" w:firstLineChars="200"/>
        <w:jc w:val="left"/>
        <w:rPr>
          <w:bCs/>
          <w:color w:val="auto"/>
          <w:highlight w:val="none"/>
        </w:rPr>
      </w:pPr>
      <w:r>
        <w:rPr>
          <w:rFonts w:hint="eastAsia"/>
          <w:bCs/>
          <w:color w:val="auto"/>
          <w:highlight w:val="none"/>
        </w:rPr>
        <w:t>自动气象站需采用太阳能供电，供电电源为 12 V 蓄电池。</w:t>
      </w:r>
    </w:p>
    <w:p>
      <w:pPr>
        <w:spacing w:line="400" w:lineRule="exact"/>
        <w:ind w:firstLine="480" w:firstLineChars="200"/>
        <w:jc w:val="left"/>
        <w:rPr>
          <w:bCs/>
          <w:color w:val="auto"/>
          <w:highlight w:val="none"/>
        </w:rPr>
      </w:pPr>
      <w:r>
        <w:rPr>
          <w:rFonts w:hint="eastAsia"/>
          <w:bCs/>
          <w:color w:val="auto"/>
          <w:highlight w:val="none"/>
        </w:rPr>
        <w:t>蓄电池的容量必须保证自动气象站能在脱离辅助电源的条件下连续工作7天。并在蓄电池电压低到不足以维持符合质量要求的观测工作前两天发出报警信息。</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5、观测设施基础建设及安装</w:t>
      </w:r>
    </w:p>
    <w:p>
      <w:pPr>
        <w:spacing w:line="400" w:lineRule="exact"/>
        <w:ind w:firstLine="480" w:firstLineChars="200"/>
        <w:jc w:val="left"/>
        <w:rPr>
          <w:color w:val="auto"/>
          <w:highlight w:val="none"/>
        </w:rPr>
      </w:pPr>
      <w:r>
        <w:rPr>
          <w:rFonts w:hint="eastAsia"/>
          <w:bCs/>
          <w:color w:val="auto"/>
          <w:highlight w:val="none"/>
        </w:rPr>
        <w:t>为确保温雨站气象数据稳定、数据采集</w:t>
      </w:r>
      <w:r>
        <w:rPr>
          <w:rFonts w:hint="eastAsia"/>
          <w:color w:val="auto"/>
          <w:highlight w:val="none"/>
        </w:rPr>
        <w:t>符合针对性和代表性要求，需中标单位承担基础建设、以及安装调试且设备正常运行所需的一切费用。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（二）多要素自动气象站技术要求</w:t>
      </w:r>
    </w:p>
    <w:p>
      <w:pPr>
        <w:spacing w:line="400" w:lineRule="exact"/>
        <w:ind w:firstLine="480" w:firstLineChars="200"/>
        <w:rPr>
          <w:color w:val="auto"/>
          <w:highlight w:val="none"/>
        </w:rPr>
      </w:pPr>
      <w:r>
        <w:rPr>
          <w:rFonts w:hint="eastAsia"/>
          <w:color w:val="auto"/>
          <w:highlight w:val="none"/>
        </w:rPr>
        <w:t>▲投标设备须为国产设备，投标的</w:t>
      </w:r>
      <w:r>
        <w:rPr>
          <w:rFonts w:hint="eastAsia"/>
          <w:color w:val="auto"/>
          <w:highlight w:val="none"/>
          <w:lang w:val="en-US" w:eastAsia="zh-CN"/>
        </w:rPr>
        <w:t>多要素</w:t>
      </w:r>
      <w:r>
        <w:rPr>
          <w:rFonts w:hint="eastAsia"/>
          <w:color w:val="auto"/>
          <w:highlight w:val="none"/>
        </w:rPr>
        <w:t>自动气象站产品需具备中国气象局颁发的《气象专用技术装备使用许可证》。</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1、自动气象站性能指标</w:t>
      </w:r>
    </w:p>
    <w:tbl>
      <w:tblPr>
        <w:tblStyle w:val="8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230"/>
        <w:gridCol w:w="1748"/>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spacing w:line="400" w:lineRule="exact"/>
              <w:jc w:val="center"/>
              <w:rPr>
                <w:color w:val="auto"/>
                <w:highlight w:val="none"/>
              </w:rPr>
            </w:pPr>
            <w:r>
              <w:rPr>
                <w:rFonts w:hint="eastAsia"/>
                <w:color w:val="auto"/>
                <w:highlight w:val="none"/>
              </w:rPr>
              <w:t>设备名称</w:t>
            </w:r>
          </w:p>
        </w:tc>
        <w:tc>
          <w:tcPr>
            <w:tcW w:w="1223" w:type="pct"/>
            <w:vAlign w:val="center"/>
          </w:tcPr>
          <w:p>
            <w:pPr>
              <w:spacing w:line="400" w:lineRule="exact"/>
              <w:jc w:val="center"/>
              <w:rPr>
                <w:color w:val="auto"/>
                <w:highlight w:val="none"/>
              </w:rPr>
            </w:pPr>
            <w:r>
              <w:rPr>
                <w:rFonts w:hint="eastAsia"/>
                <w:color w:val="auto"/>
                <w:highlight w:val="none"/>
              </w:rPr>
              <w:t>范围</w:t>
            </w:r>
          </w:p>
        </w:tc>
        <w:tc>
          <w:tcPr>
            <w:tcW w:w="959" w:type="pct"/>
            <w:vAlign w:val="center"/>
          </w:tcPr>
          <w:p>
            <w:pPr>
              <w:spacing w:line="400" w:lineRule="exact"/>
              <w:jc w:val="center"/>
              <w:rPr>
                <w:color w:val="auto"/>
                <w:highlight w:val="none"/>
              </w:rPr>
            </w:pPr>
            <w:r>
              <w:rPr>
                <w:rFonts w:hint="eastAsia"/>
                <w:color w:val="auto"/>
                <w:highlight w:val="none"/>
              </w:rPr>
              <w:t>分辨力</w:t>
            </w:r>
          </w:p>
        </w:tc>
        <w:tc>
          <w:tcPr>
            <w:tcW w:w="1900" w:type="pct"/>
            <w:vAlign w:val="center"/>
          </w:tcPr>
          <w:p>
            <w:pPr>
              <w:spacing w:line="400" w:lineRule="exact"/>
              <w:jc w:val="center"/>
              <w:rPr>
                <w:color w:val="auto"/>
                <w:highlight w:val="none"/>
              </w:rPr>
            </w:pPr>
            <w:r>
              <w:rPr>
                <w:rFonts w:hint="eastAsia"/>
                <w:color w:val="auto"/>
                <w:highlight w:val="none"/>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spacing w:line="400" w:lineRule="exact"/>
              <w:jc w:val="left"/>
              <w:rPr>
                <w:color w:val="auto"/>
                <w:highlight w:val="none"/>
              </w:rPr>
            </w:pPr>
            <w:r>
              <w:rPr>
                <w:rFonts w:hint="eastAsia" w:ascii="仿宋" w:hAnsi="仿宋" w:eastAsia="仿宋" w:cs="仿宋"/>
                <w:b/>
                <w:bCs/>
                <w:color w:val="auto"/>
                <w:sz w:val="24"/>
                <w:szCs w:val="24"/>
                <w:highlight w:val="none"/>
              </w:rPr>
              <w:t>★</w:t>
            </w:r>
            <w:r>
              <w:rPr>
                <w:rFonts w:hint="eastAsia"/>
                <w:color w:val="auto"/>
                <w:highlight w:val="none"/>
              </w:rPr>
              <w:t>雨量传感器</w:t>
            </w:r>
          </w:p>
        </w:tc>
        <w:tc>
          <w:tcPr>
            <w:tcW w:w="1223" w:type="pct"/>
            <w:vAlign w:val="center"/>
          </w:tcPr>
          <w:p>
            <w:pPr>
              <w:spacing w:line="400" w:lineRule="exact"/>
              <w:jc w:val="left"/>
              <w:rPr>
                <w:color w:val="auto"/>
                <w:highlight w:val="none"/>
              </w:rPr>
            </w:pPr>
            <w:r>
              <w:rPr>
                <w:rFonts w:hint="eastAsia"/>
                <w:color w:val="auto"/>
                <w:highlight w:val="none"/>
              </w:rPr>
              <w:t>雨强0～4mm/min</w:t>
            </w:r>
          </w:p>
        </w:tc>
        <w:tc>
          <w:tcPr>
            <w:tcW w:w="959" w:type="pct"/>
            <w:vAlign w:val="center"/>
          </w:tcPr>
          <w:p>
            <w:pPr>
              <w:spacing w:line="400" w:lineRule="exact"/>
              <w:jc w:val="left"/>
              <w:rPr>
                <w:color w:val="auto"/>
                <w:highlight w:val="none"/>
              </w:rPr>
            </w:pPr>
            <w:r>
              <w:rPr>
                <w:rFonts w:hint="eastAsia"/>
                <w:color w:val="auto"/>
                <w:highlight w:val="none"/>
              </w:rPr>
              <w:t>0.1mm</w:t>
            </w:r>
          </w:p>
        </w:tc>
        <w:tc>
          <w:tcPr>
            <w:tcW w:w="1900" w:type="pct"/>
            <w:vAlign w:val="center"/>
          </w:tcPr>
          <w:p>
            <w:pPr>
              <w:spacing w:line="400" w:lineRule="exact"/>
              <w:jc w:val="left"/>
              <w:rPr>
                <w:color w:val="auto"/>
                <w:highlight w:val="none"/>
              </w:rPr>
            </w:pPr>
            <w:r>
              <w:rPr>
                <w:rFonts w:hint="eastAsia"/>
                <w:color w:val="auto"/>
                <w:highlight w:val="none"/>
              </w:rPr>
              <w:t>±0.4mm（≤10mm）±4%（＞10mm）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spacing w:line="400" w:lineRule="exact"/>
              <w:jc w:val="left"/>
              <w:rPr>
                <w:color w:val="auto"/>
                <w:highlight w:val="none"/>
              </w:rPr>
            </w:pPr>
            <w:r>
              <w:rPr>
                <w:rFonts w:hint="eastAsia" w:ascii="仿宋" w:hAnsi="仿宋" w:eastAsia="仿宋" w:cs="仿宋"/>
                <w:b/>
                <w:bCs/>
                <w:color w:val="auto"/>
                <w:sz w:val="24"/>
                <w:szCs w:val="24"/>
                <w:highlight w:val="none"/>
              </w:rPr>
              <w:t>★</w:t>
            </w:r>
            <w:r>
              <w:rPr>
                <w:rFonts w:hint="eastAsia"/>
                <w:color w:val="auto"/>
                <w:highlight w:val="none"/>
              </w:rPr>
              <w:t>温度传感器</w:t>
            </w:r>
          </w:p>
        </w:tc>
        <w:tc>
          <w:tcPr>
            <w:tcW w:w="1223" w:type="pct"/>
            <w:vAlign w:val="center"/>
          </w:tcPr>
          <w:p>
            <w:pPr>
              <w:spacing w:line="400" w:lineRule="exact"/>
              <w:jc w:val="left"/>
              <w:rPr>
                <w:color w:val="auto"/>
                <w:highlight w:val="none"/>
              </w:rPr>
            </w:pPr>
            <w:r>
              <w:rPr>
                <w:rFonts w:hint="eastAsia"/>
                <w:color w:val="auto"/>
                <w:highlight w:val="none"/>
              </w:rPr>
              <w:t>-50℃～50℃</w:t>
            </w:r>
          </w:p>
        </w:tc>
        <w:tc>
          <w:tcPr>
            <w:tcW w:w="959" w:type="pct"/>
            <w:vAlign w:val="center"/>
          </w:tcPr>
          <w:p>
            <w:pPr>
              <w:spacing w:line="400" w:lineRule="exact"/>
              <w:jc w:val="left"/>
              <w:rPr>
                <w:color w:val="auto"/>
                <w:highlight w:val="none"/>
              </w:rPr>
            </w:pPr>
            <w:r>
              <w:rPr>
                <w:rFonts w:hint="eastAsia"/>
                <w:color w:val="auto"/>
                <w:highlight w:val="none"/>
              </w:rPr>
              <w:t>0.1℃</w:t>
            </w:r>
          </w:p>
        </w:tc>
        <w:tc>
          <w:tcPr>
            <w:tcW w:w="1900" w:type="pct"/>
            <w:vAlign w:val="center"/>
          </w:tcPr>
          <w:p>
            <w:pPr>
              <w:spacing w:line="400" w:lineRule="exact"/>
              <w:jc w:val="left"/>
              <w:rPr>
                <w:color w:val="auto"/>
                <w:highlight w:val="none"/>
              </w:rPr>
            </w:pPr>
            <w:r>
              <w:rPr>
                <w:rFonts w:hint="eastAsia"/>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spacing w:line="400" w:lineRule="exact"/>
              <w:jc w:val="left"/>
              <w:rPr>
                <w:color w:val="auto"/>
                <w:highlight w:val="none"/>
              </w:rPr>
            </w:pPr>
            <w:r>
              <w:rPr>
                <w:rFonts w:hint="eastAsia" w:ascii="仿宋" w:hAnsi="仿宋" w:eastAsia="仿宋" w:cs="仿宋"/>
                <w:b/>
                <w:bCs/>
                <w:color w:val="auto"/>
                <w:sz w:val="24"/>
                <w:szCs w:val="24"/>
                <w:highlight w:val="none"/>
              </w:rPr>
              <w:t>★</w:t>
            </w:r>
            <w:r>
              <w:rPr>
                <w:rFonts w:hint="eastAsia"/>
                <w:color w:val="auto"/>
                <w:highlight w:val="none"/>
              </w:rPr>
              <w:t>风速传感器</w:t>
            </w:r>
          </w:p>
        </w:tc>
        <w:tc>
          <w:tcPr>
            <w:tcW w:w="1223" w:type="pct"/>
            <w:vAlign w:val="center"/>
          </w:tcPr>
          <w:p>
            <w:pPr>
              <w:spacing w:line="400" w:lineRule="exact"/>
              <w:jc w:val="left"/>
              <w:rPr>
                <w:color w:val="auto"/>
                <w:highlight w:val="none"/>
              </w:rPr>
            </w:pPr>
            <w:r>
              <w:rPr>
                <w:rFonts w:hint="eastAsia"/>
                <w:color w:val="auto"/>
                <w:highlight w:val="none"/>
              </w:rPr>
              <w:t>0～60m/s</w:t>
            </w:r>
          </w:p>
        </w:tc>
        <w:tc>
          <w:tcPr>
            <w:tcW w:w="959" w:type="pct"/>
            <w:vAlign w:val="center"/>
          </w:tcPr>
          <w:p>
            <w:pPr>
              <w:spacing w:line="400" w:lineRule="exact"/>
              <w:jc w:val="left"/>
              <w:rPr>
                <w:color w:val="auto"/>
                <w:highlight w:val="none"/>
              </w:rPr>
            </w:pPr>
            <w:r>
              <w:rPr>
                <w:rFonts w:hint="eastAsia"/>
                <w:color w:val="auto"/>
                <w:highlight w:val="none"/>
              </w:rPr>
              <w:t>0.1m/s</w:t>
            </w:r>
          </w:p>
        </w:tc>
        <w:tc>
          <w:tcPr>
            <w:tcW w:w="1900" w:type="pct"/>
            <w:vAlign w:val="center"/>
          </w:tcPr>
          <w:p>
            <w:pPr>
              <w:spacing w:line="400" w:lineRule="exact"/>
              <w:jc w:val="left"/>
              <w:rPr>
                <w:color w:val="auto"/>
                <w:highlight w:val="none"/>
              </w:rPr>
            </w:pPr>
            <w:r>
              <w:rPr>
                <w:rFonts w:hint="eastAsia"/>
                <w:color w:val="auto"/>
                <w:highlight w:val="none"/>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pct"/>
            <w:vAlign w:val="center"/>
          </w:tcPr>
          <w:p>
            <w:pPr>
              <w:spacing w:line="400" w:lineRule="exact"/>
              <w:jc w:val="left"/>
              <w:rPr>
                <w:color w:val="auto"/>
                <w:highlight w:val="none"/>
              </w:rPr>
            </w:pPr>
            <w:r>
              <w:rPr>
                <w:rFonts w:hint="eastAsia" w:ascii="仿宋" w:hAnsi="仿宋" w:eastAsia="仿宋" w:cs="仿宋"/>
                <w:b/>
                <w:bCs/>
                <w:color w:val="auto"/>
                <w:sz w:val="24"/>
                <w:szCs w:val="24"/>
                <w:highlight w:val="none"/>
              </w:rPr>
              <w:t>★</w:t>
            </w:r>
            <w:r>
              <w:rPr>
                <w:rFonts w:hint="eastAsia"/>
                <w:color w:val="auto"/>
                <w:highlight w:val="none"/>
              </w:rPr>
              <w:t>风向传感器</w:t>
            </w:r>
          </w:p>
        </w:tc>
        <w:tc>
          <w:tcPr>
            <w:tcW w:w="1223" w:type="pct"/>
            <w:vAlign w:val="center"/>
          </w:tcPr>
          <w:p>
            <w:pPr>
              <w:spacing w:line="400" w:lineRule="exact"/>
              <w:jc w:val="left"/>
              <w:rPr>
                <w:color w:val="auto"/>
                <w:highlight w:val="none"/>
              </w:rPr>
            </w:pPr>
            <w:r>
              <w:rPr>
                <w:rFonts w:hint="eastAsia"/>
                <w:color w:val="auto"/>
                <w:highlight w:val="none"/>
              </w:rPr>
              <w:t>0～360°</w:t>
            </w:r>
          </w:p>
        </w:tc>
        <w:tc>
          <w:tcPr>
            <w:tcW w:w="959" w:type="pct"/>
            <w:vAlign w:val="center"/>
          </w:tcPr>
          <w:p>
            <w:pPr>
              <w:spacing w:line="400" w:lineRule="exact"/>
              <w:jc w:val="left"/>
              <w:rPr>
                <w:color w:val="auto"/>
                <w:highlight w:val="none"/>
              </w:rPr>
            </w:pPr>
            <w:r>
              <w:rPr>
                <w:rFonts w:hint="eastAsia"/>
                <w:color w:val="auto"/>
                <w:highlight w:val="none"/>
              </w:rPr>
              <w:t>3°</w:t>
            </w:r>
          </w:p>
        </w:tc>
        <w:tc>
          <w:tcPr>
            <w:tcW w:w="1900" w:type="pct"/>
            <w:vAlign w:val="center"/>
          </w:tcPr>
          <w:p>
            <w:pPr>
              <w:spacing w:line="400" w:lineRule="exact"/>
              <w:jc w:val="left"/>
              <w:rPr>
                <w:color w:val="auto"/>
                <w:highlight w:val="none"/>
              </w:rPr>
            </w:pPr>
            <w:r>
              <w:rPr>
                <w:rFonts w:hint="eastAsia"/>
                <w:color w:val="auto"/>
                <w:highlight w:val="none"/>
              </w:rPr>
              <w:t>±5°</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2、数据采集器技术要求</w:t>
      </w:r>
    </w:p>
    <w:p>
      <w:pPr>
        <w:spacing w:line="400" w:lineRule="exact"/>
        <w:ind w:firstLine="480" w:firstLineChars="200"/>
        <w:rPr>
          <w:color w:val="auto"/>
          <w:highlight w:val="none"/>
        </w:rPr>
      </w:pPr>
      <w:r>
        <w:rPr>
          <w:rFonts w:hint="eastAsia"/>
          <w:color w:val="auto"/>
          <w:highlight w:val="none"/>
        </w:rPr>
        <w:t>数据采集器是自动气象站的核心，由硬件和嵌入式软件组成。硬件包含高性能的嵌入式处理器、高精度的A/D 电路、高精度的实时时钟电路、大容量的程序和数据存储器、传感器接口、通信接口、监测电路、指示灯等。</w:t>
      </w:r>
    </w:p>
    <w:p>
      <w:pPr>
        <w:spacing w:line="400" w:lineRule="exact"/>
        <w:ind w:firstLine="482" w:firstLineChars="200"/>
        <w:rPr>
          <w:b/>
          <w:color w:val="auto"/>
          <w:kern w:val="0"/>
          <w:highlight w:val="none"/>
        </w:rPr>
      </w:pPr>
      <w:r>
        <w:rPr>
          <w:rFonts w:hint="eastAsia"/>
          <w:b/>
          <w:color w:val="auto"/>
          <w:kern w:val="0"/>
          <w:highlight w:val="none"/>
        </w:rPr>
        <w:t>功能要求：</w:t>
      </w:r>
    </w:p>
    <w:p>
      <w:pPr>
        <w:spacing w:line="400" w:lineRule="exact"/>
        <w:ind w:firstLine="480" w:firstLineChars="200"/>
        <w:rPr>
          <w:color w:val="auto"/>
          <w:highlight w:val="none"/>
        </w:rPr>
      </w:pPr>
      <w:r>
        <w:rPr>
          <w:rFonts w:hint="eastAsia"/>
          <w:color w:val="auto"/>
          <w:highlight w:val="none"/>
        </w:rPr>
        <w:t>a.数据采集</w:t>
      </w:r>
    </w:p>
    <w:p>
      <w:pPr>
        <w:spacing w:line="400" w:lineRule="exact"/>
        <w:ind w:firstLine="480" w:firstLineChars="200"/>
        <w:rPr>
          <w:color w:val="auto"/>
          <w:highlight w:val="none"/>
        </w:rPr>
      </w:pPr>
      <w:r>
        <w:rPr>
          <w:rFonts w:hint="eastAsia"/>
          <w:color w:val="auto"/>
          <w:highlight w:val="none"/>
        </w:rPr>
        <w:t>对传感器按预定的采样频率进行扫描和将获得的电信号转换成微控制器可读信号，得到气象变量测量值序列；对气象变量测量值进行转换，使传感器输出的电信号转换成气象单位量，得到采样瞬时值。</w:t>
      </w:r>
    </w:p>
    <w:p>
      <w:pPr>
        <w:spacing w:line="400" w:lineRule="exact"/>
        <w:ind w:firstLine="480" w:firstLineChars="200"/>
        <w:rPr>
          <w:color w:val="auto"/>
          <w:highlight w:val="none"/>
        </w:rPr>
      </w:pPr>
      <w:r>
        <w:rPr>
          <w:rFonts w:hint="eastAsia"/>
          <w:color w:val="auto"/>
          <w:highlight w:val="none"/>
        </w:rPr>
        <w:t>b.数据处理</w:t>
      </w:r>
    </w:p>
    <w:p>
      <w:pPr>
        <w:spacing w:line="400" w:lineRule="exact"/>
        <w:ind w:firstLine="480" w:firstLineChars="200"/>
        <w:rPr>
          <w:color w:val="auto"/>
          <w:highlight w:val="none"/>
        </w:rPr>
      </w:pPr>
      <w:r>
        <w:rPr>
          <w:rFonts w:hint="eastAsia"/>
          <w:color w:val="auto"/>
          <w:highlight w:val="none"/>
        </w:rPr>
        <w:t>根据气象要素采样值，计算出气象观测需要的统计量，如一个小时内的极值、滑动平均、算数平均值以及累计量等；由采集器生成气象值（分钟）数据、小时正点数据和监控数据，并写入存储器。</w:t>
      </w:r>
    </w:p>
    <w:p>
      <w:pPr>
        <w:spacing w:line="400" w:lineRule="exact"/>
        <w:ind w:firstLine="480" w:firstLineChars="200"/>
        <w:rPr>
          <w:color w:val="auto"/>
          <w:highlight w:val="none"/>
        </w:rPr>
      </w:pPr>
      <w:r>
        <w:rPr>
          <w:rFonts w:hint="eastAsia"/>
          <w:color w:val="auto"/>
          <w:highlight w:val="none"/>
        </w:rPr>
        <w:t>c.数据存储</w:t>
      </w:r>
    </w:p>
    <w:p>
      <w:pPr>
        <w:spacing w:line="400" w:lineRule="exact"/>
        <w:ind w:firstLine="480" w:firstLineChars="200"/>
        <w:rPr>
          <w:color w:val="auto"/>
          <w:highlight w:val="none"/>
        </w:rPr>
      </w:pPr>
      <w:r>
        <w:rPr>
          <w:rFonts w:hint="eastAsia"/>
          <w:color w:val="auto"/>
          <w:highlight w:val="none"/>
        </w:rPr>
        <w:t>数据采集器存储7天的瞬时气象（分钟）值、1月的正点气象要素值等。数据存储可以使用循环式存储器结构，即允许最新的数据覆盖旧数据。采集器内部的数据存储器容量应留有50%的余量。采集器内部的数据存贮器应具备掉电保存功能。</w:t>
      </w:r>
    </w:p>
    <w:p>
      <w:pPr>
        <w:spacing w:line="400" w:lineRule="exact"/>
        <w:ind w:firstLine="480" w:firstLineChars="200"/>
        <w:rPr>
          <w:color w:val="auto"/>
          <w:highlight w:val="none"/>
        </w:rPr>
      </w:pPr>
      <w:r>
        <w:rPr>
          <w:rFonts w:hint="eastAsia"/>
          <w:color w:val="auto"/>
          <w:highlight w:val="none"/>
        </w:rPr>
        <w:t>d.数据传输</w:t>
      </w:r>
    </w:p>
    <w:p>
      <w:pPr>
        <w:spacing w:line="400" w:lineRule="exact"/>
        <w:ind w:firstLine="480" w:firstLineChars="200"/>
        <w:rPr>
          <w:color w:val="auto"/>
          <w:highlight w:val="none"/>
        </w:rPr>
      </w:pPr>
      <w:r>
        <w:rPr>
          <w:rFonts w:hint="eastAsia"/>
          <w:color w:val="auto"/>
          <w:highlight w:val="none"/>
        </w:rPr>
        <w:t>自动气象站应具备通过无线方式或串口直连方式进行数据传输的功能。通过微机终端实现远程通信传输的功能在业务软件中实现。</w:t>
      </w:r>
    </w:p>
    <w:p>
      <w:pPr>
        <w:spacing w:line="400" w:lineRule="exact"/>
        <w:ind w:firstLine="482" w:firstLineChars="200"/>
        <w:rPr>
          <w:b/>
          <w:color w:val="auto"/>
          <w:kern w:val="0"/>
          <w:highlight w:val="none"/>
        </w:rPr>
      </w:pPr>
      <w:r>
        <w:rPr>
          <w:rFonts w:hint="eastAsia"/>
          <w:b/>
          <w:color w:val="auto"/>
          <w:kern w:val="0"/>
          <w:highlight w:val="none"/>
        </w:rPr>
        <w:t>数据</w:t>
      </w:r>
      <w:r>
        <w:rPr>
          <w:b/>
          <w:color w:val="auto"/>
          <w:kern w:val="0"/>
          <w:highlight w:val="none"/>
        </w:rPr>
        <w:t>采集系统指标要求：</w:t>
      </w:r>
    </w:p>
    <w:p>
      <w:pPr>
        <w:spacing w:line="400" w:lineRule="exact"/>
        <w:ind w:firstLine="480" w:firstLineChars="200"/>
        <w:rPr>
          <w:color w:val="auto"/>
          <w:highlight w:val="none"/>
        </w:rPr>
      </w:pPr>
      <w:r>
        <w:rPr>
          <w:color w:val="auto"/>
          <w:highlight w:val="none"/>
        </w:rPr>
        <w:t>RS232串行口×3：</w:t>
      </w:r>
    </w:p>
    <w:p>
      <w:pPr>
        <w:spacing w:line="400" w:lineRule="exact"/>
        <w:ind w:firstLine="480" w:firstLineChars="200"/>
        <w:rPr>
          <w:color w:val="auto"/>
          <w:highlight w:val="none"/>
        </w:rPr>
      </w:pPr>
      <w:r>
        <w:rPr>
          <w:color w:val="auto"/>
          <w:highlight w:val="none"/>
        </w:rPr>
        <w:t>波特率、数据位、停止位、校验位可设，速率范围9600～115200；</w:t>
      </w:r>
    </w:p>
    <w:p>
      <w:pPr>
        <w:spacing w:line="400" w:lineRule="exact"/>
        <w:ind w:firstLine="480" w:firstLineChars="200"/>
        <w:rPr>
          <w:color w:val="auto"/>
          <w:highlight w:val="none"/>
        </w:rPr>
      </w:pPr>
      <w:r>
        <w:rPr>
          <w:color w:val="auto"/>
          <w:highlight w:val="none"/>
        </w:rPr>
        <w:t>RS485总线接口：波特率、数据位、停止位、校验位可设，速率范围9600～115200；</w:t>
      </w:r>
    </w:p>
    <w:p>
      <w:pPr>
        <w:spacing w:line="400" w:lineRule="exact"/>
        <w:ind w:firstLine="480" w:firstLineChars="200"/>
        <w:rPr>
          <w:color w:val="auto"/>
          <w:highlight w:val="none"/>
        </w:rPr>
      </w:pPr>
      <w:r>
        <w:rPr>
          <w:color w:val="auto"/>
          <w:highlight w:val="none"/>
        </w:rPr>
        <w:t>调试串口：用于设备调试，默认为波特率：9600，校验位：NONE，数据位：8，停止位：1；</w:t>
      </w:r>
    </w:p>
    <w:p>
      <w:pPr>
        <w:spacing w:line="400" w:lineRule="exact"/>
        <w:ind w:firstLine="480" w:firstLineChars="200"/>
        <w:rPr>
          <w:color w:val="auto"/>
          <w:highlight w:val="none"/>
        </w:rPr>
      </w:pPr>
      <w:r>
        <w:rPr>
          <w:color w:val="auto"/>
          <w:highlight w:val="none"/>
        </w:rPr>
        <w:t>扩展存储卡接口：用于连接TF扩展卡（micorSD卡），标准配置容量2G；</w:t>
      </w:r>
    </w:p>
    <w:p>
      <w:pPr>
        <w:spacing w:line="400" w:lineRule="exact"/>
        <w:ind w:firstLine="480" w:firstLineChars="200"/>
        <w:rPr>
          <w:color w:val="auto"/>
          <w:highlight w:val="none"/>
        </w:rPr>
      </w:pPr>
      <w:r>
        <w:rPr>
          <w:color w:val="auto"/>
          <w:highlight w:val="none"/>
        </w:rPr>
        <w:t>电池/电源接口：均为两芯5.08mm插座。</w:t>
      </w:r>
    </w:p>
    <w:p>
      <w:pPr>
        <w:spacing w:line="400" w:lineRule="exact"/>
        <w:ind w:firstLine="480" w:firstLineChars="200"/>
        <w:rPr>
          <w:color w:val="auto"/>
          <w:highlight w:val="none"/>
        </w:rPr>
      </w:pPr>
      <w:r>
        <w:rPr>
          <w:color w:val="auto"/>
          <w:highlight w:val="none"/>
        </w:rPr>
        <w:t>电源输入范围7V～15V；</w:t>
      </w:r>
    </w:p>
    <w:p>
      <w:pPr>
        <w:spacing w:line="400" w:lineRule="exact"/>
        <w:ind w:firstLine="480" w:firstLineChars="200"/>
        <w:rPr>
          <w:color w:val="auto"/>
          <w:highlight w:val="none"/>
        </w:rPr>
      </w:pPr>
      <w:r>
        <w:rPr>
          <w:color w:val="auto"/>
          <w:highlight w:val="none"/>
        </w:rPr>
        <w:t>CAN接口：使用CAN2.0A/B通用协议；</w:t>
      </w:r>
    </w:p>
    <w:p>
      <w:pPr>
        <w:spacing w:line="400" w:lineRule="exact"/>
        <w:ind w:firstLine="480" w:firstLineChars="200"/>
        <w:rPr>
          <w:color w:val="auto"/>
          <w:highlight w:val="none"/>
        </w:rPr>
      </w:pPr>
      <w:r>
        <w:rPr>
          <w:color w:val="auto"/>
          <w:highlight w:val="none"/>
        </w:rPr>
        <w:t>整机功耗：30mA。（不包括CAN（20 mA）、RS-485（20 mA）、LAN接口（100 mA））；</w:t>
      </w:r>
    </w:p>
    <w:p>
      <w:pPr>
        <w:spacing w:line="400" w:lineRule="exact"/>
        <w:ind w:firstLine="480" w:firstLineChars="200"/>
        <w:rPr>
          <w:color w:val="auto"/>
          <w:highlight w:val="none"/>
        </w:rPr>
      </w:pPr>
      <w:r>
        <w:rPr>
          <w:color w:val="auto"/>
          <w:highlight w:val="none"/>
        </w:rPr>
        <w:t>LAN接口：支持ETHERNET 10/100M，TCP/IP</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3、太阳能电源系统技术要求</w:t>
      </w:r>
    </w:p>
    <w:p>
      <w:pPr>
        <w:spacing w:line="400" w:lineRule="exact"/>
        <w:ind w:firstLine="480" w:firstLineChars="200"/>
        <w:rPr>
          <w:color w:val="auto"/>
          <w:highlight w:val="none"/>
        </w:rPr>
      </w:pPr>
      <w:r>
        <w:rPr>
          <w:rFonts w:hint="eastAsia"/>
          <w:color w:val="auto"/>
          <w:highlight w:val="none"/>
        </w:rPr>
        <w:t>自动气象站须采用太阳能供电。</w:t>
      </w:r>
    </w:p>
    <w:p>
      <w:pPr>
        <w:spacing w:line="400" w:lineRule="exact"/>
        <w:ind w:firstLine="480" w:firstLineChars="200"/>
        <w:rPr>
          <w:color w:val="auto"/>
          <w:highlight w:val="none"/>
        </w:rPr>
      </w:pPr>
      <w:r>
        <w:rPr>
          <w:rFonts w:hint="eastAsia"/>
          <w:color w:val="auto"/>
          <w:highlight w:val="none"/>
        </w:rPr>
        <w:t>蓄电池的容量必须保证自动气象站能在脱离辅助电源的条件下连续工作7天。并在蓄电池电压低到不足以维持符合质量要求的观测工作前两天发出报警信息。</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2"/>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000" w:type="pct"/>
            <w:gridSpan w:val="2"/>
            <w:vAlign w:val="center"/>
          </w:tcPr>
          <w:p>
            <w:pPr>
              <w:spacing w:line="400" w:lineRule="exact"/>
              <w:jc w:val="center"/>
              <w:rPr>
                <w:color w:val="auto"/>
                <w:highlight w:val="none"/>
              </w:rPr>
            </w:pPr>
            <w:r>
              <w:rPr>
                <w:rFonts w:hint="eastAsia"/>
                <w:color w:val="auto"/>
                <w:highlight w:val="none"/>
              </w:rPr>
              <w:t>太阳能充电控制器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vAlign w:val="center"/>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电压</w:t>
            </w:r>
          </w:p>
        </w:tc>
        <w:tc>
          <w:tcPr>
            <w:tcW w:w="2953" w:type="pct"/>
          </w:tcPr>
          <w:p>
            <w:pPr>
              <w:spacing w:line="400" w:lineRule="exact"/>
              <w:rPr>
                <w:color w:val="auto"/>
                <w:highlight w:val="none"/>
              </w:rPr>
            </w:pPr>
            <w:r>
              <w:rPr>
                <w:rFonts w:hint="eastAsia"/>
                <w:color w:val="auto"/>
                <w:highlight w:val="none"/>
                <w:lang w:bidi="ar"/>
              </w:rPr>
              <w:t>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组件最大输入电流</w:t>
            </w:r>
          </w:p>
        </w:tc>
        <w:tc>
          <w:tcPr>
            <w:tcW w:w="2953" w:type="pct"/>
          </w:tcPr>
          <w:p>
            <w:pPr>
              <w:spacing w:line="400" w:lineRule="exact"/>
              <w:rPr>
                <w:color w:val="auto"/>
                <w:highlight w:val="none"/>
              </w:rPr>
            </w:pPr>
            <w:r>
              <w:rPr>
                <w:rFonts w:hint="eastAsia"/>
                <w:color w:val="auto"/>
                <w:highlight w:val="none"/>
                <w:lang w:bidi="ar"/>
              </w:rPr>
              <w:t>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最大负载电流</w:t>
            </w:r>
          </w:p>
        </w:tc>
        <w:tc>
          <w:tcPr>
            <w:tcW w:w="2953" w:type="pct"/>
          </w:tcPr>
          <w:p>
            <w:pPr>
              <w:spacing w:line="400" w:lineRule="exact"/>
              <w:jc w:val="left"/>
              <w:rPr>
                <w:color w:val="auto"/>
                <w:highlight w:val="none"/>
              </w:rPr>
            </w:pPr>
            <w:r>
              <w:rPr>
                <w:rFonts w:hint="eastAsia"/>
                <w:color w:val="auto"/>
                <w:highlight w:val="none"/>
                <w:lang w:bidi="ar"/>
              </w:rPr>
              <w:t>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深放电保护功能</w:t>
            </w:r>
          </w:p>
        </w:tc>
        <w:tc>
          <w:tcPr>
            <w:tcW w:w="2953" w:type="pct"/>
          </w:tcPr>
          <w:p>
            <w:pPr>
              <w:spacing w:line="400" w:lineRule="exact"/>
              <w:rPr>
                <w:color w:val="auto"/>
                <w:highlight w:val="none"/>
              </w:rPr>
            </w:pPr>
            <w:r>
              <w:rPr>
                <w:rFonts w:hint="eastAsia"/>
                <w:color w:val="auto"/>
                <w:highlight w:val="none"/>
                <w:lang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组件最大电压</w:t>
            </w:r>
          </w:p>
        </w:tc>
        <w:tc>
          <w:tcPr>
            <w:tcW w:w="2953" w:type="pct"/>
          </w:tcPr>
          <w:p>
            <w:pPr>
              <w:spacing w:line="400" w:lineRule="exact"/>
              <w:rPr>
                <w:color w:val="auto"/>
                <w:highlight w:val="none"/>
              </w:rPr>
            </w:pPr>
            <w:r>
              <w:rPr>
                <w:rFonts w:hint="eastAsia"/>
                <w:color w:val="auto"/>
                <w:highlight w:val="none"/>
                <w:lang w:bidi="ar"/>
              </w:rPr>
              <w:t>47V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最大自损耗</w:t>
            </w:r>
          </w:p>
        </w:tc>
        <w:tc>
          <w:tcPr>
            <w:tcW w:w="2953" w:type="pct"/>
          </w:tcPr>
          <w:p>
            <w:pPr>
              <w:spacing w:line="400" w:lineRule="exact"/>
              <w:rPr>
                <w:color w:val="auto"/>
                <w:highlight w:val="none"/>
                <w:lang w:bidi="ar"/>
              </w:rPr>
            </w:pPr>
            <w:r>
              <w:rPr>
                <w:rFonts w:hint="eastAsia"/>
                <w:color w:val="auto"/>
                <w:highlight w:val="none"/>
                <w:lang w:bidi="ar"/>
              </w:rPr>
              <w:t>&lt;4mA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深放电保护电压值（LED）</w:t>
            </w:r>
          </w:p>
        </w:tc>
        <w:tc>
          <w:tcPr>
            <w:tcW w:w="2953" w:type="pct"/>
          </w:tcPr>
          <w:p>
            <w:pPr>
              <w:spacing w:line="400" w:lineRule="exact"/>
              <w:rPr>
                <w:color w:val="auto"/>
                <w:highlight w:val="none"/>
                <w:lang w:bidi="ar"/>
              </w:rPr>
            </w:pPr>
            <w:r>
              <w:rPr>
                <w:rFonts w:hint="eastAsia"/>
                <w:color w:val="auto"/>
                <w:highlight w:val="none"/>
                <w:lang w:bidi="ar"/>
              </w:rPr>
              <w:t>11.1V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000" w:type="pct"/>
            <w:gridSpan w:val="2"/>
          </w:tcPr>
          <w:p>
            <w:pPr>
              <w:spacing w:line="400" w:lineRule="exact"/>
              <w:jc w:val="center"/>
              <w:rPr>
                <w:color w:val="auto"/>
                <w:highlight w:val="none"/>
                <w:lang w:bidi="ar"/>
              </w:rPr>
            </w:pPr>
            <w:r>
              <w:rPr>
                <w:rFonts w:hint="eastAsia"/>
                <w:color w:val="auto"/>
                <w:highlight w:val="none"/>
                <w:lang w:bidi="ar"/>
              </w:rPr>
              <w:t>太阳能电池板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vAlign w:val="center"/>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峰值功率</w:t>
            </w:r>
          </w:p>
        </w:tc>
        <w:tc>
          <w:tcPr>
            <w:tcW w:w="2953" w:type="pct"/>
          </w:tcPr>
          <w:p>
            <w:pPr>
              <w:spacing w:line="400" w:lineRule="exact"/>
              <w:rPr>
                <w:color w:val="auto"/>
                <w:highlight w:val="none"/>
              </w:rPr>
            </w:pPr>
            <w:r>
              <w:rPr>
                <w:rFonts w:hint="eastAsia"/>
                <w:color w:val="auto"/>
                <w:highlight w:val="none"/>
                <w:lang w:bidi="ar"/>
              </w:rPr>
              <w:t>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功差</w:t>
            </w:r>
          </w:p>
        </w:tc>
        <w:tc>
          <w:tcPr>
            <w:tcW w:w="2953" w:type="pct"/>
          </w:tcPr>
          <w:p>
            <w:pPr>
              <w:spacing w:line="400" w:lineRule="exact"/>
              <w:rPr>
                <w:color w:val="auto"/>
                <w:highlight w:val="none"/>
              </w:rPr>
            </w:pPr>
            <w:r>
              <w:rPr>
                <w:rFonts w:hint="eastAsia"/>
                <w:color w:val="auto"/>
                <w:highlight w:val="none"/>
                <w:lang w:bidi="ar"/>
              </w:rPr>
              <w:t>+3%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工作电压</w:t>
            </w:r>
          </w:p>
        </w:tc>
        <w:tc>
          <w:tcPr>
            <w:tcW w:w="2953" w:type="pct"/>
          </w:tcPr>
          <w:p>
            <w:pPr>
              <w:spacing w:line="400" w:lineRule="exact"/>
              <w:rPr>
                <w:color w:val="auto"/>
                <w:highlight w:val="none"/>
              </w:rPr>
            </w:pPr>
            <w:r>
              <w:rPr>
                <w:rFonts w:hint="eastAsia"/>
                <w:color w:val="auto"/>
                <w:highlight w:val="none"/>
                <w:lang w:bidi="ar"/>
              </w:rPr>
              <w:t>17.5V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工作电流</w:t>
            </w:r>
          </w:p>
        </w:tc>
        <w:tc>
          <w:tcPr>
            <w:tcW w:w="2953" w:type="pct"/>
          </w:tcPr>
          <w:p>
            <w:pPr>
              <w:spacing w:line="400" w:lineRule="exact"/>
              <w:rPr>
                <w:color w:val="auto"/>
                <w:highlight w:val="none"/>
              </w:rPr>
            </w:pPr>
            <w:r>
              <w:rPr>
                <w:rFonts w:hint="eastAsia"/>
                <w:color w:val="auto"/>
                <w:highlight w:val="none"/>
                <w:lang w:bidi="ar"/>
              </w:rPr>
              <w:t>1.18A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开路电压</w:t>
            </w:r>
          </w:p>
        </w:tc>
        <w:tc>
          <w:tcPr>
            <w:tcW w:w="2953" w:type="pct"/>
          </w:tcPr>
          <w:p>
            <w:pPr>
              <w:spacing w:line="400" w:lineRule="exact"/>
              <w:rPr>
                <w:color w:val="auto"/>
                <w:highlight w:val="none"/>
              </w:rPr>
            </w:pPr>
            <w:r>
              <w:rPr>
                <w:rFonts w:hint="eastAsia"/>
                <w:color w:val="auto"/>
                <w:highlight w:val="none"/>
                <w:lang w:bidi="ar"/>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短路电流</w:t>
            </w:r>
          </w:p>
        </w:tc>
        <w:tc>
          <w:tcPr>
            <w:tcW w:w="2953" w:type="pct"/>
          </w:tcPr>
          <w:p>
            <w:pPr>
              <w:spacing w:line="400" w:lineRule="exact"/>
              <w:rPr>
                <w:color w:val="auto"/>
                <w:highlight w:val="none"/>
                <w:lang w:bidi="ar"/>
              </w:rPr>
            </w:pPr>
            <w:r>
              <w:rPr>
                <w:rFonts w:hint="eastAsia"/>
                <w:color w:val="auto"/>
                <w:highlight w:val="none"/>
                <w:lang w:bidi="ar"/>
              </w:rPr>
              <w:t>1.28A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最大功率点电压</w:t>
            </w:r>
          </w:p>
        </w:tc>
        <w:tc>
          <w:tcPr>
            <w:tcW w:w="2953" w:type="pct"/>
          </w:tcPr>
          <w:p>
            <w:pPr>
              <w:spacing w:line="400" w:lineRule="exact"/>
              <w:rPr>
                <w:color w:val="auto"/>
                <w:highlight w:val="none"/>
                <w:lang w:bidi="ar"/>
              </w:rPr>
            </w:pPr>
            <w:r>
              <w:rPr>
                <w:rFonts w:hint="eastAsia"/>
                <w:color w:val="auto"/>
                <w:highlight w:val="none"/>
                <w:lang w:bidi="ar"/>
              </w:rPr>
              <w:t>17V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二极管</w:t>
            </w:r>
          </w:p>
        </w:tc>
        <w:tc>
          <w:tcPr>
            <w:tcW w:w="2953" w:type="pct"/>
          </w:tcPr>
          <w:p>
            <w:pPr>
              <w:spacing w:line="400" w:lineRule="exact"/>
              <w:rPr>
                <w:color w:val="auto"/>
                <w:highlight w:val="none"/>
                <w:lang w:bidi="ar"/>
              </w:rPr>
            </w:pPr>
            <w:r>
              <w:rPr>
                <w:rFonts w:hint="eastAsia"/>
                <w:color w:val="auto"/>
                <w:highlight w:val="none"/>
                <w:lang w:bidi="ar"/>
              </w:rPr>
              <w:t>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接线盒类型</w:t>
            </w:r>
          </w:p>
        </w:tc>
        <w:tc>
          <w:tcPr>
            <w:tcW w:w="2953" w:type="pct"/>
          </w:tcPr>
          <w:p>
            <w:pPr>
              <w:spacing w:line="400" w:lineRule="exact"/>
              <w:rPr>
                <w:color w:val="auto"/>
                <w:highlight w:val="none"/>
                <w:lang w:bidi="ar"/>
              </w:rPr>
            </w:pPr>
            <w:r>
              <w:rPr>
                <w:rFonts w:hint="eastAsia"/>
                <w:color w:val="auto"/>
                <w:highlight w:val="none"/>
                <w:lang w:bidi="ar"/>
              </w:rPr>
              <w:t>通过TUV认证的接线盒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短路电流温度系数</w:t>
            </w:r>
          </w:p>
        </w:tc>
        <w:tc>
          <w:tcPr>
            <w:tcW w:w="2953" w:type="pct"/>
          </w:tcPr>
          <w:p>
            <w:pPr>
              <w:spacing w:line="400" w:lineRule="exact"/>
              <w:rPr>
                <w:color w:val="auto"/>
                <w:highlight w:val="none"/>
                <w:lang w:bidi="ar"/>
              </w:rPr>
            </w:pPr>
            <w:r>
              <w:rPr>
                <w:rFonts w:hint="eastAsia"/>
                <w:color w:val="auto"/>
                <w:highlight w:val="none"/>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开路电压温度系数</w:t>
            </w:r>
          </w:p>
        </w:tc>
        <w:tc>
          <w:tcPr>
            <w:tcW w:w="2953" w:type="pct"/>
          </w:tcPr>
          <w:p>
            <w:pPr>
              <w:spacing w:line="400" w:lineRule="exact"/>
              <w:rPr>
                <w:color w:val="auto"/>
                <w:highlight w:val="none"/>
                <w:lang w:bidi="ar"/>
              </w:rPr>
            </w:pPr>
            <w:r>
              <w:rPr>
                <w:rFonts w:hint="eastAsia"/>
                <w:color w:val="auto"/>
                <w:highlight w:val="none"/>
                <w:lang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功率温度系数</w:t>
            </w:r>
          </w:p>
        </w:tc>
        <w:tc>
          <w:tcPr>
            <w:tcW w:w="2953" w:type="pct"/>
          </w:tcPr>
          <w:p>
            <w:pPr>
              <w:spacing w:line="400" w:lineRule="exact"/>
              <w:jc w:val="left"/>
              <w:rPr>
                <w:color w:val="auto"/>
                <w:highlight w:val="none"/>
                <w:lang w:bidi="ar"/>
              </w:rPr>
            </w:pPr>
            <w:r>
              <w:rPr>
                <w:rFonts w:hint="eastAsia"/>
                <w:color w:val="auto"/>
                <w:highlight w:val="none"/>
                <w:lang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工作电流温度系数</w:t>
            </w:r>
          </w:p>
        </w:tc>
        <w:tc>
          <w:tcPr>
            <w:tcW w:w="2953" w:type="pct"/>
          </w:tcPr>
          <w:p>
            <w:pPr>
              <w:spacing w:line="400" w:lineRule="exact"/>
              <w:jc w:val="left"/>
              <w:rPr>
                <w:color w:val="auto"/>
                <w:highlight w:val="none"/>
                <w:lang w:bidi="ar"/>
              </w:rPr>
            </w:pPr>
            <w:r>
              <w:rPr>
                <w:rFonts w:hint="eastAsia"/>
                <w:color w:val="auto"/>
                <w:highlight w:val="none"/>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环境温度</w:t>
            </w:r>
          </w:p>
        </w:tc>
        <w:tc>
          <w:tcPr>
            <w:tcW w:w="2953" w:type="pct"/>
          </w:tcPr>
          <w:p>
            <w:pPr>
              <w:spacing w:line="400" w:lineRule="exact"/>
              <w:jc w:val="left"/>
              <w:rPr>
                <w:color w:val="auto"/>
                <w:highlight w:val="none"/>
                <w:lang w:bidi="ar"/>
              </w:rPr>
            </w:pPr>
            <w:r>
              <w:rPr>
                <w:rFonts w:hint="eastAsia"/>
                <w:color w:val="auto"/>
                <w:highlight w:val="none"/>
                <w:lang w:bidi="ar"/>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绝缘系数</w:t>
            </w:r>
          </w:p>
        </w:tc>
        <w:tc>
          <w:tcPr>
            <w:tcW w:w="2953" w:type="pct"/>
          </w:tcPr>
          <w:p>
            <w:pPr>
              <w:spacing w:line="400" w:lineRule="exact"/>
              <w:jc w:val="left"/>
              <w:rPr>
                <w:color w:val="auto"/>
                <w:highlight w:val="none"/>
                <w:lang w:bidi="ar"/>
              </w:rPr>
            </w:pPr>
            <w:r>
              <w:rPr>
                <w:rFonts w:hint="eastAsia"/>
                <w:color w:val="auto"/>
                <w:highlight w:val="none"/>
                <w:lang w:bidi="ar"/>
              </w:rPr>
              <w:t>﹥﹦100MOhm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击穿电压</w:t>
            </w:r>
          </w:p>
        </w:tc>
        <w:tc>
          <w:tcPr>
            <w:tcW w:w="2953" w:type="pct"/>
          </w:tcPr>
          <w:p>
            <w:pPr>
              <w:spacing w:line="400" w:lineRule="exact"/>
              <w:rPr>
                <w:color w:val="auto"/>
                <w:highlight w:val="none"/>
                <w:lang w:bidi="ar"/>
              </w:rPr>
            </w:pPr>
            <w:r>
              <w:rPr>
                <w:rFonts w:hint="eastAsia"/>
                <w:color w:val="auto"/>
                <w:highlight w:val="none"/>
                <w:lang w:bidi="ar"/>
              </w:rPr>
              <w:t>AC2000V, DC 3000V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抗风力系数</w:t>
            </w:r>
          </w:p>
        </w:tc>
        <w:tc>
          <w:tcPr>
            <w:tcW w:w="2953" w:type="pct"/>
          </w:tcPr>
          <w:p>
            <w:pPr>
              <w:spacing w:line="400" w:lineRule="exact"/>
              <w:rPr>
                <w:color w:val="auto"/>
                <w:highlight w:val="none"/>
                <w:lang w:bidi="ar"/>
              </w:rPr>
            </w:pPr>
            <w:r>
              <w:rPr>
                <w:rFonts w:hint="eastAsia"/>
                <w:color w:val="auto"/>
                <w:highlight w:val="none"/>
                <w:lang w:bidi="ar"/>
              </w:rPr>
              <w:t>60m/s(200kg/sq.m)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耐冲击冰雹撞击系数</w:t>
            </w:r>
          </w:p>
        </w:tc>
        <w:tc>
          <w:tcPr>
            <w:tcW w:w="2953" w:type="pct"/>
          </w:tcPr>
          <w:p>
            <w:pPr>
              <w:spacing w:line="400" w:lineRule="exact"/>
              <w:rPr>
                <w:color w:val="auto"/>
                <w:highlight w:val="none"/>
                <w:lang w:bidi="ar"/>
              </w:rPr>
            </w:pPr>
            <w:r>
              <w:rPr>
                <w:rFonts w:hint="eastAsia"/>
                <w:color w:val="auto"/>
                <w:highlight w:val="none"/>
                <w:lang w:bidi="ar"/>
              </w:rPr>
              <w:t>能承受227g钢球从1m高掉下的撞击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换效率</w:t>
            </w:r>
          </w:p>
        </w:tc>
        <w:tc>
          <w:tcPr>
            <w:tcW w:w="2953" w:type="pct"/>
          </w:tcPr>
          <w:p>
            <w:pPr>
              <w:spacing w:line="400" w:lineRule="exact"/>
              <w:rPr>
                <w:color w:val="auto"/>
                <w:highlight w:val="none"/>
                <w:lang w:bidi="ar"/>
              </w:rPr>
            </w:pPr>
            <w:r>
              <w:rPr>
                <w:rFonts w:hint="eastAsia"/>
                <w:color w:val="auto"/>
                <w:highlight w:val="none"/>
                <w:lang w:bidi="ar"/>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000" w:type="pct"/>
            <w:gridSpan w:val="2"/>
          </w:tcPr>
          <w:p>
            <w:pPr>
              <w:spacing w:line="400" w:lineRule="exact"/>
              <w:jc w:val="center"/>
              <w:rPr>
                <w:color w:val="auto"/>
                <w:highlight w:val="none"/>
                <w:lang w:bidi="ar"/>
              </w:rPr>
            </w:pPr>
            <w:r>
              <w:rPr>
                <w:rFonts w:hint="eastAsia"/>
                <w:color w:val="auto"/>
                <w:highlight w:val="none"/>
                <w:lang w:bidi="ar"/>
              </w:rPr>
              <w:t>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vAlign w:val="center"/>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额定电压</w:t>
            </w:r>
          </w:p>
        </w:tc>
        <w:tc>
          <w:tcPr>
            <w:tcW w:w="2953" w:type="pct"/>
          </w:tcPr>
          <w:p>
            <w:pPr>
              <w:spacing w:line="400" w:lineRule="exact"/>
              <w:rPr>
                <w:color w:val="auto"/>
                <w:highlight w:val="none"/>
              </w:rPr>
            </w:pPr>
            <w:r>
              <w:rPr>
                <w:rFonts w:hint="eastAsia"/>
                <w:color w:val="auto"/>
                <w:highlight w:val="none"/>
                <w:lang w:bidi="ar"/>
              </w:rPr>
              <w:t>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额定容量(20小时率)</w:t>
            </w:r>
          </w:p>
        </w:tc>
        <w:tc>
          <w:tcPr>
            <w:tcW w:w="2953" w:type="pct"/>
          </w:tcPr>
          <w:p>
            <w:pPr>
              <w:spacing w:line="400" w:lineRule="exact"/>
              <w:rPr>
                <w:color w:val="auto"/>
                <w:highlight w:val="none"/>
              </w:rPr>
            </w:pPr>
            <w:r>
              <w:rPr>
                <w:rFonts w:hint="eastAsia"/>
                <w:color w:val="auto"/>
                <w:highlight w:val="none"/>
                <w:lang w:bidi="ar"/>
              </w:rPr>
              <w:t>65Ah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密封程度</w:t>
            </w:r>
          </w:p>
        </w:tc>
        <w:tc>
          <w:tcPr>
            <w:tcW w:w="2953" w:type="pct"/>
          </w:tcPr>
          <w:p>
            <w:pPr>
              <w:spacing w:line="400" w:lineRule="exact"/>
              <w:rPr>
                <w:color w:val="auto"/>
                <w:highlight w:val="none"/>
              </w:rPr>
            </w:pPr>
            <w:r>
              <w:rPr>
                <w:rFonts w:hint="eastAsia"/>
                <w:color w:val="auto"/>
                <w:highlight w:val="none"/>
                <w:lang w:bidi="ar"/>
              </w:rPr>
              <w:t>全密封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内阻</w:t>
            </w:r>
          </w:p>
        </w:tc>
        <w:tc>
          <w:tcPr>
            <w:tcW w:w="2953" w:type="pct"/>
          </w:tcPr>
          <w:p>
            <w:pPr>
              <w:spacing w:line="400" w:lineRule="exact"/>
              <w:rPr>
                <w:color w:val="auto"/>
                <w:highlight w:val="none"/>
              </w:rPr>
            </w:pPr>
            <w:r>
              <w:rPr>
                <w:rFonts w:hint="eastAsia"/>
                <w:color w:val="auto"/>
                <w:highlight w:val="none"/>
                <w:lang w:bidi="ar"/>
              </w:rPr>
              <w:t>毫欧量级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免充电存放时间</w:t>
            </w:r>
          </w:p>
        </w:tc>
        <w:tc>
          <w:tcPr>
            <w:tcW w:w="2953" w:type="pct"/>
          </w:tcPr>
          <w:p>
            <w:pPr>
              <w:spacing w:line="400" w:lineRule="exact"/>
              <w:rPr>
                <w:color w:val="auto"/>
                <w:highlight w:val="none"/>
              </w:rPr>
            </w:pPr>
            <w:r>
              <w:rPr>
                <w:rFonts w:hint="eastAsia"/>
                <w:color w:val="auto"/>
                <w:highlight w:val="none"/>
                <w:lang w:bidi="ar"/>
              </w:rPr>
              <w:t>大于6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蓄电池结构</w:t>
            </w:r>
          </w:p>
        </w:tc>
        <w:tc>
          <w:tcPr>
            <w:tcW w:w="2953" w:type="pct"/>
          </w:tcPr>
          <w:p>
            <w:pPr>
              <w:spacing w:line="400" w:lineRule="exact"/>
              <w:rPr>
                <w:color w:val="auto"/>
                <w:highlight w:val="none"/>
                <w:lang w:bidi="ar"/>
              </w:rPr>
            </w:pPr>
            <w:r>
              <w:rPr>
                <w:rFonts w:hint="eastAsia"/>
                <w:color w:val="auto"/>
                <w:highlight w:val="none"/>
                <w:lang w:bidi="ar"/>
              </w:rPr>
              <w:t>蓄电池的正、负极端子应便于连接，有明显标志；蓄电池端子用螺栓、螺母连接。蓄电池间的连接电压降△U≦10mV。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大电流放电能力</w:t>
            </w:r>
          </w:p>
        </w:tc>
        <w:tc>
          <w:tcPr>
            <w:tcW w:w="2953" w:type="pct"/>
          </w:tcPr>
          <w:p>
            <w:pPr>
              <w:spacing w:line="400" w:lineRule="exact"/>
              <w:rPr>
                <w:color w:val="auto"/>
                <w:highlight w:val="none"/>
                <w:lang w:bidi="ar"/>
              </w:rPr>
            </w:pPr>
            <w:r>
              <w:rPr>
                <w:rFonts w:hint="eastAsia"/>
                <w:color w:val="auto"/>
                <w:highlight w:val="none"/>
                <w:lang w:bidi="ar"/>
              </w:rPr>
              <w:t>3～7C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储备容量</w:t>
            </w:r>
          </w:p>
        </w:tc>
        <w:tc>
          <w:tcPr>
            <w:tcW w:w="2953" w:type="pct"/>
          </w:tcPr>
          <w:p>
            <w:pPr>
              <w:spacing w:line="400" w:lineRule="exact"/>
              <w:rPr>
                <w:color w:val="auto"/>
                <w:highlight w:val="none"/>
                <w:lang w:bidi="ar"/>
              </w:rPr>
            </w:pPr>
            <w:r>
              <w:rPr>
                <w:rFonts w:hint="eastAsia"/>
                <w:color w:val="auto"/>
                <w:highlight w:val="none"/>
                <w:lang w:bidi="ar"/>
              </w:rPr>
              <w:t>62～69min  10.5V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低温起动能力</w:t>
            </w:r>
          </w:p>
        </w:tc>
        <w:tc>
          <w:tcPr>
            <w:tcW w:w="2953" w:type="pct"/>
          </w:tcPr>
          <w:p>
            <w:pPr>
              <w:spacing w:line="400" w:lineRule="exact"/>
              <w:rPr>
                <w:color w:val="auto"/>
                <w:highlight w:val="none"/>
                <w:lang w:bidi="ar"/>
              </w:rPr>
            </w:pPr>
            <w:r>
              <w:rPr>
                <w:rFonts w:hint="eastAsia"/>
                <w:color w:val="auto"/>
                <w:highlight w:val="none"/>
                <w:lang w:bidi="ar"/>
              </w:rPr>
              <w:t>5S  9.82V  60S  9.47V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循环耐久能力</w:t>
            </w:r>
          </w:p>
        </w:tc>
        <w:tc>
          <w:tcPr>
            <w:tcW w:w="2953" w:type="pct"/>
          </w:tcPr>
          <w:p>
            <w:pPr>
              <w:spacing w:line="400" w:lineRule="exact"/>
              <w:rPr>
                <w:color w:val="auto"/>
                <w:highlight w:val="none"/>
                <w:lang w:bidi="ar"/>
              </w:rPr>
            </w:pPr>
            <w:r>
              <w:rPr>
                <w:rFonts w:hint="eastAsia"/>
                <w:color w:val="auto"/>
                <w:highlight w:val="none"/>
                <w:lang w:bidi="ar"/>
              </w:rPr>
              <w:t>30S  10.44V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封口剂性能</w:t>
            </w:r>
          </w:p>
        </w:tc>
        <w:tc>
          <w:tcPr>
            <w:tcW w:w="2953" w:type="pct"/>
          </w:tcPr>
          <w:p>
            <w:pPr>
              <w:spacing w:line="400" w:lineRule="exact"/>
              <w:rPr>
                <w:color w:val="auto"/>
                <w:highlight w:val="none"/>
                <w:lang w:bidi="ar"/>
              </w:rPr>
            </w:pPr>
            <w:r>
              <w:rPr>
                <w:rFonts w:hint="eastAsia"/>
                <w:color w:val="auto"/>
                <w:highlight w:val="none"/>
                <w:lang w:bidi="ar"/>
              </w:rPr>
              <w:t>在温度-30℃～+65℃之间，封口不应有裂纹与溢流现象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自放电25℃(77°F)</w:t>
            </w:r>
          </w:p>
        </w:tc>
        <w:tc>
          <w:tcPr>
            <w:tcW w:w="2953" w:type="pct"/>
          </w:tcPr>
          <w:p>
            <w:pPr>
              <w:spacing w:line="400" w:lineRule="exact"/>
              <w:jc w:val="left"/>
              <w:rPr>
                <w:color w:val="auto"/>
                <w:highlight w:val="none"/>
                <w:lang w:bidi="ar"/>
              </w:rPr>
            </w:pPr>
            <w:r>
              <w:rPr>
                <w:rFonts w:hint="eastAsia"/>
                <w:color w:val="auto"/>
                <w:highlight w:val="none"/>
                <w:lang w:bidi="ar"/>
              </w:rPr>
              <w:t>贮存3个月后剩余容量90%;贮存6个月后剩余容量80%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充电时电池温度</w:t>
            </w:r>
          </w:p>
        </w:tc>
        <w:tc>
          <w:tcPr>
            <w:tcW w:w="2953" w:type="pct"/>
          </w:tcPr>
          <w:p>
            <w:pPr>
              <w:spacing w:line="400" w:lineRule="exact"/>
              <w:jc w:val="left"/>
              <w:rPr>
                <w:color w:val="auto"/>
                <w:highlight w:val="none"/>
                <w:lang w:bidi="ar"/>
              </w:rPr>
            </w:pPr>
            <w:r>
              <w:rPr>
                <w:rFonts w:hint="eastAsia"/>
                <w:color w:val="auto"/>
                <w:highlight w:val="none"/>
                <w:lang w:bidi="ar"/>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其它</w:t>
            </w:r>
          </w:p>
        </w:tc>
        <w:tc>
          <w:tcPr>
            <w:tcW w:w="2953" w:type="pct"/>
          </w:tcPr>
          <w:p>
            <w:pPr>
              <w:spacing w:line="400" w:lineRule="exact"/>
              <w:rPr>
                <w:color w:val="auto"/>
                <w:highlight w:val="none"/>
                <w:lang w:bidi="ar"/>
              </w:rPr>
            </w:pPr>
            <w:r>
              <w:rPr>
                <w:rFonts w:hint="eastAsia"/>
                <w:color w:val="auto"/>
                <w:highlight w:val="none"/>
                <w:lang w:bidi="ar"/>
              </w:rPr>
              <w:t>蓄电池能承受50kPa 的正压而不破裂、不开胶，压力释放后壳体无残余变形。</w:t>
            </w:r>
          </w:p>
          <w:p>
            <w:pPr>
              <w:spacing w:line="400" w:lineRule="exact"/>
              <w:rPr>
                <w:color w:val="auto"/>
                <w:highlight w:val="none"/>
                <w:lang w:bidi="ar"/>
              </w:rPr>
            </w:pPr>
            <w:r>
              <w:rPr>
                <w:rFonts w:hint="eastAsia"/>
                <w:color w:val="auto"/>
                <w:highlight w:val="none"/>
                <w:lang w:bidi="ar"/>
              </w:rPr>
              <w:t>安全阀具有自动开启和自动关闭的功能，其开阀压应是10kPa～49kPa，闭阀压应是1kPa～10kPa。</w:t>
            </w:r>
          </w:p>
          <w:p>
            <w:pPr>
              <w:spacing w:line="400" w:lineRule="exact"/>
              <w:rPr>
                <w:color w:val="auto"/>
                <w:highlight w:val="none"/>
                <w:lang w:bidi="ar"/>
              </w:rPr>
            </w:pPr>
            <w:r>
              <w:rPr>
                <w:rFonts w:hint="eastAsia"/>
                <w:color w:val="auto"/>
                <w:highlight w:val="none"/>
                <w:lang w:bidi="ar"/>
              </w:rPr>
              <w:t>蓄电池在充电过程中遇有明火，内部不引爆。</w:t>
            </w:r>
          </w:p>
          <w:p>
            <w:pPr>
              <w:spacing w:line="400" w:lineRule="exact"/>
              <w:rPr>
                <w:color w:val="auto"/>
                <w:highlight w:val="none"/>
                <w:lang w:bidi="ar"/>
              </w:rPr>
            </w:pPr>
            <w:r>
              <w:rPr>
                <w:rFonts w:hint="eastAsia"/>
                <w:color w:val="auto"/>
                <w:highlight w:val="none"/>
                <w:lang w:bidi="ar"/>
              </w:rPr>
              <w:t>电池在正常工作过程中无酸雾逸出</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4、通讯系统技术要求</w:t>
      </w:r>
    </w:p>
    <w:p>
      <w:pPr>
        <w:spacing w:line="400" w:lineRule="exact"/>
        <w:ind w:firstLine="480" w:firstLineChars="200"/>
        <w:rPr>
          <w:color w:val="auto"/>
          <w:highlight w:val="none"/>
        </w:rPr>
      </w:pPr>
      <w:r>
        <w:rPr>
          <w:rFonts w:hint="eastAsia"/>
          <w:color w:val="auto"/>
          <w:highlight w:val="none"/>
        </w:rPr>
        <w:t>自动气象站具备通过无线方式进行数据远程传输的功能。这种传输一般是通过主采集器的远程通信接口（RS 232）外加远程通信设备实现。产品数据必须可以接入中国气象局部署的统一版中心站软件,通讯应具备全面支持国内所有的运营商网络服务及 2G、3G、4G网络至少三路传输。</w:t>
      </w:r>
    </w:p>
    <w:p>
      <w:pPr>
        <w:spacing w:line="400" w:lineRule="exact"/>
        <w:ind w:firstLine="480" w:firstLineChars="200"/>
        <w:rPr>
          <w:color w:val="auto"/>
          <w:highlight w:val="none"/>
        </w:rPr>
      </w:pPr>
      <w:r>
        <w:rPr>
          <w:rFonts w:hint="eastAsia"/>
          <w:color w:val="auto"/>
          <w:highlight w:val="none"/>
        </w:rPr>
        <w:t>终端技术要求：</w:t>
      </w:r>
    </w:p>
    <w:p>
      <w:pPr>
        <w:spacing w:line="400" w:lineRule="exact"/>
        <w:ind w:firstLine="480" w:firstLineChars="200"/>
        <w:rPr>
          <w:color w:val="auto"/>
          <w:highlight w:val="none"/>
        </w:rPr>
      </w:pPr>
      <w:r>
        <w:rPr>
          <w:rFonts w:hint="eastAsia"/>
          <w:color w:val="auto"/>
          <w:highlight w:val="none"/>
        </w:rPr>
        <w:t>支持 RS-232/485 接口,使用方便、灵活、可靠,数据终端永远在线,支持 2G、3G、4G 网络自动识别并切换,供电要求：电压 +6~16VDC，纹波小于 300mV功耗 50mA,通信中 平均170mA空闲时 50mA。</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5、10米风杆技术要求</w:t>
      </w:r>
    </w:p>
    <w:p>
      <w:pPr>
        <w:spacing w:line="400" w:lineRule="exact"/>
        <w:ind w:firstLine="480" w:firstLineChars="200"/>
        <w:rPr>
          <w:color w:val="auto"/>
          <w:highlight w:val="none"/>
        </w:rPr>
      </w:pPr>
      <w:r>
        <w:rPr>
          <w:rFonts w:hint="eastAsia"/>
          <w:color w:val="auto"/>
          <w:highlight w:val="none"/>
        </w:rPr>
        <w:t>用于固定安装风横臂，应满足现用风设备的安装条件。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6、百叶箱技术要求</w:t>
      </w:r>
    </w:p>
    <w:tbl>
      <w:tblPr>
        <w:tblStyle w:val="8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5"/>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包装尺寸</w:t>
            </w:r>
          </w:p>
        </w:tc>
        <w:tc>
          <w:tcPr>
            <w:tcW w:w="2813" w:type="pct"/>
            <w:vAlign w:val="center"/>
          </w:tcPr>
          <w:p>
            <w:pPr>
              <w:spacing w:before="72" w:after="72" w:line="400" w:lineRule="exact"/>
              <w:jc w:val="center"/>
              <w:rPr>
                <w:color w:val="auto"/>
                <w:highlight w:val="none"/>
              </w:rPr>
            </w:pPr>
            <w:r>
              <w:rPr>
                <w:rFonts w:hint="eastAsia"/>
                <w:color w:val="auto"/>
                <w:highlight w:val="none"/>
              </w:rPr>
              <w:t>710*720*920毫米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箱内尺寸</w:t>
            </w:r>
          </w:p>
        </w:tc>
        <w:tc>
          <w:tcPr>
            <w:tcW w:w="2813" w:type="pct"/>
            <w:vAlign w:val="center"/>
          </w:tcPr>
          <w:p>
            <w:pPr>
              <w:spacing w:before="72" w:after="72" w:line="400" w:lineRule="exact"/>
              <w:jc w:val="center"/>
              <w:rPr>
                <w:color w:val="auto"/>
                <w:highlight w:val="none"/>
              </w:rPr>
            </w:pPr>
            <w:r>
              <w:rPr>
                <w:rFonts w:hint="eastAsia"/>
                <w:color w:val="auto"/>
                <w:highlight w:val="none"/>
              </w:rPr>
              <w:t>466*462*618毫米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安装尺寸</w:t>
            </w:r>
          </w:p>
        </w:tc>
        <w:tc>
          <w:tcPr>
            <w:tcW w:w="2813" w:type="pct"/>
            <w:vAlign w:val="center"/>
          </w:tcPr>
          <w:p>
            <w:pPr>
              <w:spacing w:before="72" w:after="72" w:line="400" w:lineRule="exact"/>
              <w:jc w:val="center"/>
              <w:rPr>
                <w:color w:val="auto"/>
                <w:highlight w:val="none"/>
              </w:rPr>
            </w:pPr>
            <w:r>
              <w:rPr>
                <w:rFonts w:hint="eastAsia"/>
                <w:color w:val="auto"/>
                <w:highlight w:val="none"/>
              </w:rPr>
              <w:t>430*430毫米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顶盖尺寸</w:t>
            </w:r>
          </w:p>
        </w:tc>
        <w:tc>
          <w:tcPr>
            <w:tcW w:w="2813" w:type="pct"/>
            <w:vAlign w:val="center"/>
          </w:tcPr>
          <w:p>
            <w:pPr>
              <w:spacing w:before="72" w:after="72" w:line="400" w:lineRule="exact"/>
              <w:jc w:val="center"/>
              <w:rPr>
                <w:color w:val="auto"/>
                <w:highlight w:val="none"/>
              </w:rPr>
            </w:pPr>
            <w:r>
              <w:rPr>
                <w:rFonts w:hint="eastAsia"/>
                <w:color w:val="auto"/>
                <w:highlight w:val="none"/>
              </w:rPr>
              <w:t>720*780*21毫米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重量</w:t>
            </w:r>
          </w:p>
        </w:tc>
        <w:tc>
          <w:tcPr>
            <w:tcW w:w="2813" w:type="pct"/>
            <w:vAlign w:val="center"/>
          </w:tcPr>
          <w:p>
            <w:pPr>
              <w:spacing w:before="72" w:after="72" w:line="400" w:lineRule="exact"/>
              <w:jc w:val="center"/>
              <w:rPr>
                <w:color w:val="auto"/>
                <w:highlight w:val="none"/>
              </w:rPr>
            </w:pPr>
            <w:r>
              <w:rPr>
                <w:rFonts w:hint="eastAsia"/>
                <w:color w:val="auto"/>
                <w:highlight w:val="none"/>
              </w:rPr>
              <w:t>40±2kg</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、工作环境适应性要求</w:t>
      </w:r>
    </w:p>
    <w:p>
      <w:pPr>
        <w:spacing w:line="400" w:lineRule="exact"/>
        <w:ind w:firstLine="480" w:firstLineChars="200"/>
        <w:rPr>
          <w:color w:val="auto"/>
          <w:highlight w:val="none"/>
        </w:rPr>
      </w:pPr>
      <w:r>
        <w:rPr>
          <w:rFonts w:hint="eastAsia"/>
          <w:color w:val="auto"/>
          <w:highlight w:val="none"/>
        </w:rPr>
        <w:t>气候条件：</w:t>
      </w:r>
    </w:p>
    <w:p>
      <w:pPr>
        <w:spacing w:line="400" w:lineRule="exact"/>
        <w:ind w:firstLine="480" w:firstLineChars="200"/>
        <w:rPr>
          <w:color w:val="auto"/>
          <w:highlight w:val="none"/>
        </w:rPr>
      </w:pPr>
      <w:r>
        <w:rPr>
          <w:rFonts w:hint="eastAsia"/>
          <w:color w:val="auto"/>
          <w:highlight w:val="none"/>
        </w:rPr>
        <w:t>气    温：-35℃～＋50℃；</w:t>
      </w:r>
    </w:p>
    <w:p>
      <w:pPr>
        <w:spacing w:line="400" w:lineRule="exact"/>
        <w:ind w:firstLine="480" w:firstLineChars="200"/>
        <w:rPr>
          <w:color w:val="auto"/>
          <w:highlight w:val="none"/>
        </w:rPr>
      </w:pPr>
      <w:r>
        <w:rPr>
          <w:rFonts w:hint="eastAsia"/>
          <w:color w:val="auto"/>
          <w:highlight w:val="none"/>
        </w:rPr>
        <w:t>地面温度：-40℃～＋80℃；</w:t>
      </w:r>
    </w:p>
    <w:p>
      <w:pPr>
        <w:spacing w:line="400" w:lineRule="exact"/>
        <w:ind w:firstLine="480" w:firstLineChars="200"/>
        <w:rPr>
          <w:color w:val="auto"/>
          <w:highlight w:val="none"/>
        </w:rPr>
      </w:pPr>
      <w:r>
        <w:rPr>
          <w:rFonts w:hint="eastAsia"/>
          <w:color w:val="auto"/>
          <w:highlight w:val="none"/>
        </w:rPr>
        <w:t>相对湿度：10%～100%；</w:t>
      </w:r>
    </w:p>
    <w:p>
      <w:pPr>
        <w:spacing w:line="400" w:lineRule="exact"/>
        <w:ind w:firstLine="480" w:firstLineChars="200"/>
        <w:rPr>
          <w:color w:val="auto"/>
          <w:highlight w:val="none"/>
        </w:rPr>
      </w:pPr>
      <w:r>
        <w:rPr>
          <w:rFonts w:hint="eastAsia"/>
          <w:color w:val="auto"/>
          <w:highlight w:val="none"/>
        </w:rPr>
        <w:t>大气压力：450～1060hPa；</w:t>
      </w:r>
    </w:p>
    <w:p>
      <w:pPr>
        <w:spacing w:line="400" w:lineRule="exact"/>
        <w:ind w:firstLine="480" w:firstLineChars="200"/>
        <w:rPr>
          <w:color w:val="auto"/>
          <w:highlight w:val="none"/>
        </w:rPr>
      </w:pPr>
      <w:r>
        <w:rPr>
          <w:rFonts w:hint="eastAsia"/>
          <w:color w:val="auto"/>
          <w:highlight w:val="none"/>
        </w:rPr>
        <w:t>太阳辐射：1120w/m2；</w:t>
      </w:r>
    </w:p>
    <w:p>
      <w:pPr>
        <w:spacing w:line="400" w:lineRule="exact"/>
        <w:ind w:firstLine="480" w:firstLineChars="200"/>
        <w:rPr>
          <w:color w:val="auto"/>
          <w:highlight w:val="none"/>
        </w:rPr>
      </w:pPr>
      <w:r>
        <w:rPr>
          <w:rFonts w:hint="eastAsia"/>
          <w:color w:val="auto"/>
          <w:highlight w:val="none"/>
        </w:rPr>
        <w:t>抗风能力：0～75m/s；</w:t>
      </w:r>
    </w:p>
    <w:p>
      <w:pPr>
        <w:spacing w:line="400" w:lineRule="exact"/>
        <w:ind w:firstLine="480" w:firstLineChars="200"/>
        <w:rPr>
          <w:color w:val="auto"/>
          <w:highlight w:val="none"/>
        </w:rPr>
      </w:pPr>
      <w:r>
        <w:rPr>
          <w:rFonts w:hint="eastAsia"/>
          <w:color w:val="auto"/>
          <w:highlight w:val="none"/>
        </w:rPr>
        <w:t>降水强度：6 mm/min。</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8</w:t>
      </w:r>
      <w:r>
        <w:rPr>
          <w:rFonts w:hint="eastAsia" w:ascii="仿宋" w:hAnsi="仿宋" w:eastAsia="仿宋" w:cs="仿宋"/>
          <w:b/>
          <w:bCs/>
          <w:color w:val="auto"/>
          <w:sz w:val="24"/>
          <w:szCs w:val="24"/>
          <w:highlight w:val="none"/>
        </w:rPr>
        <w:t>、设备防雷要求</w:t>
      </w:r>
    </w:p>
    <w:p>
      <w:pPr>
        <w:spacing w:line="400" w:lineRule="exact"/>
        <w:ind w:firstLine="480" w:firstLineChars="200"/>
        <w:rPr>
          <w:color w:val="auto"/>
          <w:highlight w:val="none"/>
        </w:rPr>
      </w:pPr>
      <w:r>
        <w:rPr>
          <w:rFonts w:hint="eastAsia"/>
          <w:color w:val="auto"/>
          <w:highlight w:val="none"/>
        </w:rPr>
        <w:t>电源系统防雷、传感器通道防雷、通讯系统防雷、设备整体防雷，符合中国气象局自动站防雷标准。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cs="仿宋"/>
          <w:b/>
          <w:bCs/>
          <w:color w:val="auto"/>
          <w:sz w:val="24"/>
          <w:szCs w:val="24"/>
          <w:highlight w:val="none"/>
          <w:lang w:val="en-US" w:eastAsia="zh-CN"/>
        </w:rPr>
        <w:t>9</w:t>
      </w:r>
      <w:r>
        <w:rPr>
          <w:rFonts w:hint="eastAsia" w:ascii="仿宋" w:hAnsi="仿宋" w:eastAsia="仿宋" w:cs="仿宋"/>
          <w:b/>
          <w:bCs/>
          <w:color w:val="auto"/>
          <w:sz w:val="24"/>
          <w:szCs w:val="24"/>
          <w:highlight w:val="none"/>
        </w:rPr>
        <w:t>、可靠性与可维护性要求</w:t>
      </w:r>
    </w:p>
    <w:p>
      <w:pPr>
        <w:spacing w:line="400" w:lineRule="exact"/>
        <w:ind w:firstLine="480" w:firstLineChars="200"/>
        <w:rPr>
          <w:color w:val="auto"/>
          <w:highlight w:val="none"/>
        </w:rPr>
      </w:pPr>
      <w:r>
        <w:rPr>
          <w:rFonts w:hint="eastAsia"/>
          <w:color w:val="auto"/>
          <w:highlight w:val="none"/>
        </w:rPr>
        <w:t>平均无故障工作时间（MTBF）大于4000h。</w:t>
      </w:r>
    </w:p>
    <w:p>
      <w:pPr>
        <w:spacing w:line="400" w:lineRule="exact"/>
        <w:ind w:firstLine="480" w:firstLineChars="200"/>
        <w:rPr>
          <w:color w:val="auto"/>
          <w:highlight w:val="none"/>
        </w:rPr>
      </w:pPr>
      <w:r>
        <w:rPr>
          <w:rFonts w:hint="eastAsia"/>
          <w:color w:val="auto"/>
          <w:highlight w:val="none"/>
        </w:rPr>
        <w:t>平均维修时间（MTTR）小于40 min。</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cs="仿宋"/>
          <w:b/>
          <w:bCs/>
          <w:color w:val="auto"/>
          <w:sz w:val="24"/>
          <w:szCs w:val="24"/>
          <w:highlight w:val="none"/>
          <w:lang w:val="en-US" w:eastAsia="zh-CN"/>
        </w:rPr>
        <w:t>0</w:t>
      </w:r>
      <w:r>
        <w:rPr>
          <w:rFonts w:hint="eastAsia" w:ascii="仿宋" w:hAnsi="仿宋" w:eastAsia="仿宋" w:cs="仿宋"/>
          <w:b/>
          <w:bCs/>
          <w:color w:val="auto"/>
          <w:sz w:val="24"/>
          <w:szCs w:val="24"/>
          <w:highlight w:val="none"/>
        </w:rPr>
        <w:t>、观测设施基础建设及安装</w:t>
      </w:r>
    </w:p>
    <w:p>
      <w:pPr>
        <w:spacing w:line="400" w:lineRule="exact"/>
        <w:ind w:firstLine="480" w:firstLineChars="200"/>
        <w:rPr>
          <w:color w:val="auto"/>
          <w:highlight w:val="none"/>
        </w:rPr>
      </w:pPr>
      <w:r>
        <w:rPr>
          <w:rFonts w:hint="eastAsia"/>
          <w:color w:val="auto"/>
          <w:highlight w:val="none"/>
        </w:rPr>
        <w:t>为确保自动气象站气象数据稳定、数据采集符合针对性和代表性要求，需中标单位承担多要素自动气象站的基础建设以及安装调试且设备正常运行所需的一切费用。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（三）气象辐射站技术要求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1、热电式数字总辐射表技术要求</w:t>
      </w:r>
    </w:p>
    <w:tbl>
      <w:tblPr>
        <w:tblStyle w:val="8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vAlign w:val="center"/>
          </w:tcPr>
          <w:p>
            <w:pPr>
              <w:spacing w:line="400" w:lineRule="exact"/>
              <w:contextualSpacing/>
              <w:jc w:val="center"/>
              <w:rPr>
                <w:b/>
                <w:color w:val="auto"/>
                <w:highlight w:val="none"/>
              </w:rPr>
            </w:pPr>
            <w:r>
              <w:rPr>
                <w:rFonts w:hint="eastAsia"/>
                <w:b/>
                <w:color w:val="auto"/>
                <w:highlight w:val="none"/>
              </w:rPr>
              <w:t>技术特性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bookmarkStart w:id="5" w:name="_Toc371672898"/>
            <w:r>
              <w:rPr>
                <w:rFonts w:hint="eastAsia"/>
                <w:color w:val="auto"/>
                <w:highlight w:val="none"/>
              </w:rPr>
              <w:t>响应时间（95%响应）</w:t>
            </w:r>
            <w:bookmarkEnd w:id="5"/>
          </w:p>
        </w:tc>
        <w:tc>
          <w:tcPr>
            <w:tcW w:w="1138" w:type="pct"/>
          </w:tcPr>
          <w:p>
            <w:pPr>
              <w:spacing w:line="400" w:lineRule="exact"/>
              <w:contextualSpacing/>
              <w:rPr>
                <w:color w:val="auto"/>
                <w:highlight w:val="none"/>
              </w:rPr>
            </w:pPr>
            <w:bookmarkStart w:id="6" w:name="_Toc371672900"/>
            <w:r>
              <w:rPr>
                <w:rFonts w:hint="eastAsia"/>
                <w:color w:val="auto"/>
                <w:highlight w:val="none"/>
              </w:rPr>
              <w:t>20s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bookmarkStart w:id="7" w:name="_Toc371672902"/>
            <w:r>
              <w:rPr>
                <w:rFonts w:hint="eastAsia"/>
                <w:color w:val="auto"/>
                <w:highlight w:val="none"/>
              </w:rPr>
              <w:t>零点偏置：</w:t>
            </w:r>
            <w:bookmarkEnd w:id="7"/>
          </w:p>
        </w:tc>
        <w:tc>
          <w:tcPr>
            <w:tcW w:w="1138" w:type="pct"/>
          </w:tcPr>
          <w:p>
            <w:pPr>
              <w:spacing w:line="400" w:lineRule="exact"/>
              <w:contextualSpacing/>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bookmarkStart w:id="8" w:name="_Toc371672903"/>
            <w:r>
              <w:rPr>
                <w:rFonts w:hint="eastAsia"/>
                <w:color w:val="auto"/>
                <w:highlight w:val="none"/>
              </w:rPr>
              <w:t>（a）相应于200Wm</w:t>
            </w:r>
            <w:r>
              <w:rPr>
                <w:rFonts w:hint="eastAsia"/>
                <w:color w:val="auto"/>
                <w:highlight w:val="none"/>
                <w:vertAlign w:val="superscript"/>
              </w:rPr>
              <w:t>-2</w:t>
            </w:r>
            <w:r>
              <w:rPr>
                <w:rFonts w:hint="eastAsia"/>
                <w:color w:val="auto"/>
                <w:highlight w:val="none"/>
              </w:rPr>
              <w:t>净热辐射（通风）</w:t>
            </w:r>
            <w:bookmarkEnd w:id="8"/>
          </w:p>
        </w:tc>
        <w:tc>
          <w:tcPr>
            <w:tcW w:w="1138" w:type="pct"/>
          </w:tcPr>
          <w:p>
            <w:pPr>
              <w:spacing w:line="400" w:lineRule="exact"/>
              <w:contextualSpacing/>
              <w:rPr>
                <w:color w:val="auto"/>
                <w:highlight w:val="none"/>
              </w:rPr>
            </w:pPr>
            <w:bookmarkStart w:id="9" w:name="_Toc371672905"/>
            <w:r>
              <w:rPr>
                <w:rFonts w:hint="eastAsia"/>
                <w:color w:val="auto"/>
                <w:highlight w:val="none"/>
              </w:rPr>
              <w:t>±15W m</w:t>
            </w:r>
            <w:r>
              <w:rPr>
                <w:rFonts w:hint="eastAsia"/>
                <w:color w:val="auto"/>
                <w:highlight w:val="none"/>
                <w:vertAlign w:val="superscript"/>
              </w:rPr>
              <w:t>-2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bookmarkStart w:id="10" w:name="_Toc371672906"/>
            <w:r>
              <w:rPr>
                <w:rFonts w:hint="eastAsia"/>
                <w:color w:val="auto"/>
                <w:highlight w:val="none"/>
              </w:rPr>
              <w:t>（b）相应于环境温度变化5K h</w:t>
            </w:r>
            <w:r>
              <w:rPr>
                <w:rFonts w:hint="eastAsia"/>
                <w:color w:val="auto"/>
                <w:highlight w:val="none"/>
                <w:vertAlign w:val="superscript"/>
              </w:rPr>
              <w:t>-1</w:t>
            </w:r>
            <w:bookmarkEnd w:id="10"/>
          </w:p>
        </w:tc>
        <w:tc>
          <w:tcPr>
            <w:tcW w:w="1138" w:type="pct"/>
          </w:tcPr>
          <w:p>
            <w:pPr>
              <w:spacing w:line="400" w:lineRule="exact"/>
              <w:contextualSpacing/>
              <w:rPr>
                <w:color w:val="auto"/>
                <w:highlight w:val="none"/>
              </w:rPr>
            </w:pPr>
            <w:bookmarkStart w:id="11" w:name="_Toc371672908"/>
            <w:r>
              <w:rPr>
                <w:rFonts w:hint="eastAsia"/>
                <w:color w:val="auto"/>
                <w:highlight w:val="none"/>
              </w:rPr>
              <w:t>±4W m</w:t>
            </w:r>
            <w:r>
              <w:rPr>
                <w:rFonts w:hint="eastAsia"/>
                <w:color w:val="auto"/>
                <w:highlight w:val="none"/>
                <w:vertAlign w:val="superscript"/>
              </w:rPr>
              <w:t>-2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bookmarkStart w:id="12" w:name="_Toc371672914"/>
            <w:r>
              <w:rPr>
                <w:rFonts w:hint="eastAsia"/>
                <w:color w:val="auto"/>
                <w:highlight w:val="none"/>
              </w:rPr>
              <w:t>稳定性（变化/年</w:t>
            </w:r>
            <w:bookmarkEnd w:id="12"/>
            <w:r>
              <w:rPr>
                <w:rFonts w:hint="eastAsia"/>
                <w:color w:val="auto"/>
                <w:highlight w:val="none"/>
              </w:rPr>
              <w:t>）</w:t>
            </w:r>
          </w:p>
        </w:tc>
        <w:tc>
          <w:tcPr>
            <w:tcW w:w="1138" w:type="pct"/>
          </w:tcPr>
          <w:p>
            <w:pPr>
              <w:spacing w:line="400" w:lineRule="exact"/>
              <w:contextualSpacing/>
              <w:rPr>
                <w:color w:val="auto"/>
                <w:highlight w:val="none"/>
              </w:rPr>
            </w:pPr>
            <w:bookmarkStart w:id="13" w:name="_Toc371672916"/>
            <w:r>
              <w:rPr>
                <w:rFonts w:hint="eastAsia"/>
                <w:color w:val="auto"/>
                <w:highlight w:val="none"/>
              </w:rPr>
              <w:t>±1.5%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bookmarkStart w:id="14" w:name="_Toc371672918"/>
            <w:r>
              <w:rPr>
                <w:rFonts w:hint="eastAsia"/>
                <w:color w:val="auto"/>
                <w:highlight w:val="none"/>
              </w:rPr>
              <w:t>方向性响应(假定垂直入射的响应对所有方向都是有效的，当垂直入射的辐照度为1000 W m</w:t>
            </w:r>
            <w:r>
              <w:rPr>
                <w:rFonts w:hint="eastAsia"/>
                <w:color w:val="auto"/>
                <w:highlight w:val="none"/>
                <w:vertAlign w:val="superscript"/>
              </w:rPr>
              <w:t>-2</w:t>
            </w:r>
            <w:r>
              <w:rPr>
                <w:rFonts w:hint="eastAsia"/>
                <w:color w:val="auto"/>
                <w:highlight w:val="none"/>
              </w:rPr>
              <w:t>时，所引起的误差范围)</w:t>
            </w:r>
            <w:bookmarkEnd w:id="14"/>
          </w:p>
        </w:tc>
        <w:tc>
          <w:tcPr>
            <w:tcW w:w="1138" w:type="pct"/>
            <w:vAlign w:val="center"/>
          </w:tcPr>
          <w:p>
            <w:pPr>
              <w:spacing w:line="400" w:lineRule="exact"/>
              <w:contextualSpacing/>
              <w:rPr>
                <w:color w:val="auto"/>
                <w:highlight w:val="none"/>
              </w:rPr>
            </w:pPr>
            <w:bookmarkStart w:id="15" w:name="_Toc371672920"/>
            <w:r>
              <w:rPr>
                <w:rFonts w:hint="eastAsia"/>
                <w:color w:val="auto"/>
                <w:highlight w:val="none"/>
              </w:rPr>
              <w:t>±10 W m</w:t>
            </w:r>
            <w:r>
              <w:rPr>
                <w:rFonts w:hint="eastAsia"/>
                <w:color w:val="auto"/>
                <w:highlight w:val="none"/>
                <w:vertAlign w:val="superscript"/>
              </w:rPr>
              <w:t>-2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r>
              <w:rPr>
                <w:rFonts w:hint="eastAsia"/>
                <w:color w:val="auto"/>
                <w:highlight w:val="none"/>
              </w:rPr>
              <w:t>灵敏度温度依赖性</w:t>
            </w:r>
          </w:p>
        </w:tc>
        <w:tc>
          <w:tcPr>
            <w:tcW w:w="1138" w:type="pct"/>
            <w:vAlign w:val="center"/>
          </w:tcPr>
          <w:p>
            <w:pPr>
              <w:spacing w:line="400" w:lineRule="exact"/>
              <w:contextualSpacing/>
              <w:rPr>
                <w:color w:val="auto"/>
                <w:highlight w:val="none"/>
              </w:rPr>
            </w:pPr>
            <w:bookmarkStart w:id="16" w:name="_Toc371672924"/>
            <w:r>
              <w:rPr>
                <w:rFonts w:hint="eastAsia"/>
                <w:color w:val="auto"/>
                <w:highlight w:val="none"/>
              </w:rPr>
              <w:t>±4%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bookmarkStart w:id="17" w:name="_Toc371672926"/>
            <w:r>
              <w:rPr>
                <w:rFonts w:hint="eastAsia"/>
                <w:color w:val="auto"/>
                <w:highlight w:val="none"/>
              </w:rPr>
              <w:t>非线性（由于辐照度在（100-1000）W/m</w:t>
            </w:r>
            <w:r>
              <w:rPr>
                <w:rFonts w:hint="eastAsia"/>
                <w:color w:val="auto"/>
                <w:highlight w:val="none"/>
                <w:vertAlign w:val="superscript"/>
              </w:rPr>
              <w:t>2</w:t>
            </w:r>
            <w:r>
              <w:rPr>
                <w:rFonts w:hint="eastAsia"/>
                <w:color w:val="auto"/>
                <w:highlight w:val="none"/>
              </w:rPr>
              <w:t>范围内的变化引起的对500 W/m</w:t>
            </w:r>
            <w:r>
              <w:rPr>
                <w:rFonts w:hint="eastAsia"/>
                <w:color w:val="auto"/>
                <w:highlight w:val="none"/>
                <w:vertAlign w:val="superscript"/>
              </w:rPr>
              <w:t>2</w:t>
            </w:r>
            <w:r>
              <w:rPr>
                <w:rFonts w:hint="eastAsia"/>
                <w:color w:val="auto"/>
                <w:highlight w:val="none"/>
              </w:rPr>
              <w:t>响应度的百分率偏差）</w:t>
            </w:r>
            <w:bookmarkEnd w:id="17"/>
          </w:p>
        </w:tc>
        <w:tc>
          <w:tcPr>
            <w:tcW w:w="1138" w:type="pct"/>
            <w:vAlign w:val="center"/>
          </w:tcPr>
          <w:p>
            <w:pPr>
              <w:spacing w:line="400" w:lineRule="exact"/>
              <w:contextualSpacing/>
              <w:rPr>
                <w:color w:val="auto"/>
                <w:highlight w:val="none"/>
              </w:rPr>
            </w:pPr>
            <w:bookmarkStart w:id="18" w:name="_Toc371672928"/>
            <w:r>
              <w:rPr>
                <w:rFonts w:hint="eastAsia"/>
                <w:color w:val="auto"/>
                <w:highlight w:val="none"/>
              </w:rPr>
              <w:t>±1%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bookmarkStart w:id="19" w:name="_Toc371672930"/>
            <w:r>
              <w:rPr>
                <w:rFonts w:hint="eastAsia"/>
                <w:color w:val="auto"/>
                <w:highlight w:val="none"/>
              </w:rPr>
              <w:t>倾斜响应（在1000W/m</w:t>
            </w:r>
            <w:r>
              <w:rPr>
                <w:rFonts w:hint="eastAsia"/>
                <w:color w:val="auto"/>
                <w:highlight w:val="none"/>
                <w:vertAlign w:val="superscript"/>
              </w:rPr>
              <w:t>2</w:t>
            </w:r>
            <w:r>
              <w:rPr>
                <w:rFonts w:hint="eastAsia"/>
                <w:color w:val="auto"/>
                <w:highlight w:val="none"/>
              </w:rPr>
              <w:t>辐照度时，由于从0°到90°的倾斜变化，相对于0°倾斜（水平）的响应度的百分率偏差）</w:t>
            </w:r>
            <w:bookmarkEnd w:id="19"/>
          </w:p>
        </w:tc>
        <w:tc>
          <w:tcPr>
            <w:tcW w:w="1138" w:type="pct"/>
            <w:vAlign w:val="center"/>
          </w:tcPr>
          <w:p>
            <w:pPr>
              <w:spacing w:line="400" w:lineRule="exact"/>
              <w:contextualSpacing/>
              <w:rPr>
                <w:color w:val="auto"/>
                <w:highlight w:val="none"/>
              </w:rPr>
            </w:pPr>
            <w:bookmarkStart w:id="20" w:name="_Toc371672932"/>
            <w:r>
              <w:rPr>
                <w:rFonts w:hint="eastAsia"/>
                <w:color w:val="auto"/>
                <w:highlight w:val="none"/>
              </w:rPr>
              <w:t>±2%</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1" w:type="pct"/>
          </w:tcPr>
          <w:p>
            <w:pPr>
              <w:spacing w:line="400" w:lineRule="exact"/>
              <w:contextualSpacing/>
              <w:rPr>
                <w:color w:val="auto"/>
                <w:highlight w:val="none"/>
              </w:rPr>
            </w:pPr>
            <w:r>
              <w:rPr>
                <w:rFonts w:hint="eastAsia"/>
                <w:color w:val="auto"/>
                <w:highlight w:val="none"/>
              </w:rPr>
              <w:t>灵敏度允许范围</w:t>
            </w:r>
          </w:p>
        </w:tc>
        <w:tc>
          <w:tcPr>
            <w:tcW w:w="1138" w:type="pct"/>
            <w:vAlign w:val="center"/>
          </w:tcPr>
          <w:p>
            <w:pPr>
              <w:spacing w:line="400" w:lineRule="exact"/>
              <w:contextualSpacing/>
              <w:rPr>
                <w:color w:val="auto"/>
                <w:highlight w:val="none"/>
              </w:rPr>
            </w:pPr>
            <w:r>
              <w:rPr>
                <w:rFonts w:hint="eastAsia"/>
                <w:color w:val="auto"/>
                <w:highlight w:val="none"/>
              </w:rPr>
              <w:t>≥</w:t>
            </w:r>
            <w:r>
              <w:rPr>
                <w:color w:val="auto"/>
                <w:highlight w:val="none"/>
              </w:rPr>
              <w:t>7μV/(W/m2)</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2、热电式数字直接辐射表技术要求</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vAlign w:val="center"/>
          </w:tcPr>
          <w:p>
            <w:pPr>
              <w:spacing w:line="400" w:lineRule="exact"/>
              <w:contextualSpacing/>
              <w:jc w:val="center"/>
              <w:rPr>
                <w:color w:val="auto"/>
                <w:highlight w:val="none"/>
              </w:rPr>
            </w:pPr>
            <w:r>
              <w:rPr>
                <w:rFonts w:hint="eastAsia"/>
                <w:b/>
                <w:color w:val="auto"/>
                <w:highlight w:val="none"/>
              </w:rPr>
              <w:t>技术特性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9" w:type="pct"/>
          </w:tcPr>
          <w:p>
            <w:pPr>
              <w:spacing w:line="400" w:lineRule="exact"/>
              <w:contextualSpacing/>
              <w:rPr>
                <w:color w:val="auto"/>
                <w:highlight w:val="none"/>
              </w:rPr>
            </w:pPr>
            <w:bookmarkStart w:id="21" w:name="_Toc371672948"/>
            <w:r>
              <w:rPr>
                <w:rFonts w:hint="eastAsia"/>
                <w:color w:val="auto"/>
                <w:highlight w:val="none"/>
              </w:rPr>
              <w:t>响应时间（95%响应）</w:t>
            </w:r>
            <w:bookmarkEnd w:id="21"/>
          </w:p>
        </w:tc>
        <w:tc>
          <w:tcPr>
            <w:tcW w:w="1120" w:type="pct"/>
          </w:tcPr>
          <w:p>
            <w:pPr>
              <w:spacing w:line="400" w:lineRule="exact"/>
              <w:contextualSpacing/>
              <w:rPr>
                <w:color w:val="auto"/>
                <w:highlight w:val="none"/>
              </w:rPr>
            </w:pPr>
            <w:bookmarkStart w:id="22" w:name="_Toc371672950"/>
            <w:r>
              <w:rPr>
                <w:rFonts w:hint="eastAsia"/>
                <w:color w:val="auto"/>
                <w:highlight w:val="none"/>
              </w:rPr>
              <w:t>&lt;20s</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9" w:type="pct"/>
          </w:tcPr>
          <w:p>
            <w:pPr>
              <w:spacing w:line="400" w:lineRule="exact"/>
              <w:contextualSpacing/>
              <w:rPr>
                <w:color w:val="auto"/>
                <w:highlight w:val="none"/>
              </w:rPr>
            </w:pPr>
            <w:bookmarkStart w:id="23" w:name="_Toc371672952"/>
            <w:r>
              <w:rPr>
                <w:rFonts w:hint="eastAsia"/>
                <w:color w:val="auto"/>
                <w:highlight w:val="none"/>
              </w:rPr>
              <w:t>零点偏置（对于环境温度5K h</w:t>
            </w:r>
            <w:r>
              <w:rPr>
                <w:rFonts w:hint="eastAsia"/>
                <w:color w:val="auto"/>
                <w:highlight w:val="none"/>
                <w:vertAlign w:val="superscript"/>
              </w:rPr>
              <w:t>-1</w:t>
            </w:r>
            <w:r>
              <w:rPr>
                <w:rFonts w:hint="eastAsia"/>
                <w:color w:val="auto"/>
                <w:highlight w:val="none"/>
              </w:rPr>
              <w:t>变化的响应）</w:t>
            </w:r>
            <w:bookmarkEnd w:id="23"/>
          </w:p>
        </w:tc>
        <w:tc>
          <w:tcPr>
            <w:tcW w:w="1120" w:type="pct"/>
            <w:vAlign w:val="center"/>
          </w:tcPr>
          <w:p>
            <w:pPr>
              <w:spacing w:line="400" w:lineRule="exact"/>
              <w:contextualSpacing/>
              <w:rPr>
                <w:color w:val="auto"/>
                <w:highlight w:val="none"/>
              </w:rPr>
            </w:pPr>
            <w:bookmarkStart w:id="24" w:name="_Toc371672954"/>
            <w:r>
              <w:rPr>
                <w:rFonts w:hint="eastAsia"/>
                <w:color w:val="auto"/>
                <w:highlight w:val="none"/>
              </w:rPr>
              <w:t>±4W/m</w:t>
            </w:r>
            <w:r>
              <w:rPr>
                <w:rFonts w:hint="eastAsia"/>
                <w:color w:val="auto"/>
                <w:highlight w:val="none"/>
                <w:vertAlign w:val="superscript"/>
              </w:rPr>
              <w:t>-2</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9" w:type="pct"/>
          </w:tcPr>
          <w:p>
            <w:pPr>
              <w:spacing w:line="400" w:lineRule="exact"/>
              <w:contextualSpacing/>
              <w:rPr>
                <w:color w:val="auto"/>
                <w:highlight w:val="none"/>
              </w:rPr>
            </w:pPr>
            <w:bookmarkStart w:id="25" w:name="_Toc371672960"/>
            <w:r>
              <w:rPr>
                <w:rFonts w:hint="eastAsia"/>
                <w:color w:val="auto"/>
                <w:highlight w:val="none"/>
              </w:rPr>
              <w:t>年稳定</w:t>
            </w:r>
            <w:bookmarkEnd w:id="25"/>
            <w:r>
              <w:rPr>
                <w:rFonts w:hint="eastAsia"/>
                <w:color w:val="auto"/>
                <w:highlight w:val="none"/>
              </w:rPr>
              <w:t>性</w:t>
            </w:r>
          </w:p>
        </w:tc>
        <w:tc>
          <w:tcPr>
            <w:tcW w:w="1120" w:type="pct"/>
          </w:tcPr>
          <w:p>
            <w:pPr>
              <w:spacing w:line="400" w:lineRule="exact"/>
              <w:contextualSpacing/>
              <w:rPr>
                <w:color w:val="auto"/>
                <w:highlight w:val="none"/>
              </w:rPr>
            </w:pPr>
            <w:bookmarkStart w:id="26" w:name="_Toc371672962"/>
            <w:r>
              <w:rPr>
                <w:rFonts w:hint="eastAsia"/>
                <w:color w:val="auto"/>
                <w:highlight w:val="none"/>
              </w:rPr>
              <w:t>±0.5%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9" w:type="pct"/>
          </w:tcPr>
          <w:p>
            <w:pPr>
              <w:spacing w:line="400" w:lineRule="exact"/>
              <w:contextualSpacing/>
              <w:rPr>
                <w:color w:val="auto"/>
                <w:highlight w:val="none"/>
              </w:rPr>
            </w:pPr>
            <w:bookmarkStart w:id="27" w:name="_Toc371672964"/>
            <w:r>
              <w:rPr>
                <w:rFonts w:hint="eastAsia"/>
                <w:color w:val="auto"/>
                <w:highlight w:val="none"/>
              </w:rPr>
              <w:t>温度响应</w:t>
            </w:r>
            <w:bookmarkEnd w:id="27"/>
            <w:bookmarkStart w:id="28" w:name="_Toc371672965"/>
            <w:r>
              <w:rPr>
                <w:rFonts w:hint="eastAsia"/>
                <w:color w:val="auto"/>
                <w:highlight w:val="none"/>
              </w:rPr>
              <w:t>（由于环境温度在间隔50K内的变化引起的最大百分率误差）</w:t>
            </w:r>
            <w:bookmarkEnd w:id="28"/>
          </w:p>
        </w:tc>
        <w:tc>
          <w:tcPr>
            <w:tcW w:w="1120" w:type="pct"/>
            <w:vAlign w:val="center"/>
          </w:tcPr>
          <w:p>
            <w:pPr>
              <w:spacing w:line="400" w:lineRule="exact"/>
              <w:contextualSpacing/>
              <w:rPr>
                <w:color w:val="auto"/>
                <w:highlight w:val="none"/>
              </w:rPr>
            </w:pPr>
            <w:bookmarkStart w:id="29" w:name="_Toc371672967"/>
            <w:r>
              <w:rPr>
                <w:rFonts w:hint="eastAsia"/>
                <w:color w:val="auto"/>
                <w:highlight w:val="none"/>
              </w:rPr>
              <w:t>±2%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9" w:type="pct"/>
          </w:tcPr>
          <w:p>
            <w:pPr>
              <w:spacing w:line="400" w:lineRule="exact"/>
              <w:contextualSpacing/>
              <w:rPr>
                <w:color w:val="auto"/>
                <w:highlight w:val="none"/>
              </w:rPr>
            </w:pPr>
            <w:bookmarkStart w:id="30" w:name="_Toc371672969"/>
            <w:r>
              <w:rPr>
                <w:rFonts w:hint="eastAsia"/>
                <w:color w:val="auto"/>
                <w:highlight w:val="none"/>
              </w:rPr>
              <w:t>非线性（由于辐照度在（100-1000）W/m</w:t>
            </w:r>
            <w:r>
              <w:rPr>
                <w:rFonts w:hint="eastAsia"/>
                <w:color w:val="auto"/>
                <w:highlight w:val="none"/>
                <w:vertAlign w:val="superscript"/>
              </w:rPr>
              <w:t>2</w:t>
            </w:r>
            <w:r>
              <w:rPr>
                <w:rFonts w:hint="eastAsia"/>
                <w:color w:val="auto"/>
                <w:highlight w:val="none"/>
              </w:rPr>
              <w:t>范围内的变化引起的对500 W/m</w:t>
            </w:r>
            <w:r>
              <w:rPr>
                <w:rFonts w:hint="eastAsia"/>
                <w:color w:val="auto"/>
                <w:highlight w:val="none"/>
                <w:vertAlign w:val="superscript"/>
              </w:rPr>
              <w:t>2</w:t>
            </w:r>
            <w:r>
              <w:rPr>
                <w:rFonts w:hint="eastAsia"/>
                <w:color w:val="auto"/>
                <w:highlight w:val="none"/>
              </w:rPr>
              <w:t>响应度的百分率偏差）</w:t>
            </w:r>
            <w:bookmarkEnd w:id="30"/>
          </w:p>
        </w:tc>
        <w:tc>
          <w:tcPr>
            <w:tcW w:w="1120" w:type="pct"/>
            <w:vAlign w:val="center"/>
          </w:tcPr>
          <w:p>
            <w:pPr>
              <w:spacing w:line="400" w:lineRule="exact"/>
              <w:contextualSpacing/>
              <w:rPr>
                <w:color w:val="auto"/>
                <w:highlight w:val="none"/>
              </w:rPr>
            </w:pPr>
            <w:bookmarkStart w:id="31" w:name="_Toc371672971"/>
            <w:r>
              <w:rPr>
                <w:rFonts w:hint="eastAsia"/>
                <w:color w:val="auto"/>
                <w:highlight w:val="none"/>
              </w:rPr>
              <w:t>±0.5%</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9" w:type="pct"/>
          </w:tcPr>
          <w:p>
            <w:pPr>
              <w:spacing w:line="400" w:lineRule="exact"/>
              <w:contextualSpacing/>
              <w:rPr>
                <w:color w:val="auto"/>
                <w:highlight w:val="none"/>
              </w:rPr>
            </w:pPr>
            <w:bookmarkStart w:id="32" w:name="_Toc371672973"/>
            <w:r>
              <w:rPr>
                <w:rFonts w:hint="eastAsia"/>
                <w:color w:val="auto"/>
                <w:highlight w:val="none"/>
              </w:rPr>
              <w:t>倾斜响应（在1000W/m</w:t>
            </w:r>
            <w:r>
              <w:rPr>
                <w:rFonts w:hint="eastAsia"/>
                <w:color w:val="auto"/>
                <w:highlight w:val="none"/>
                <w:vertAlign w:val="superscript"/>
              </w:rPr>
              <w:t>2</w:t>
            </w:r>
            <w:r>
              <w:rPr>
                <w:rFonts w:hint="eastAsia"/>
                <w:color w:val="auto"/>
                <w:highlight w:val="none"/>
              </w:rPr>
              <w:t>辐照度时，由于从0°到90°的倾斜变化，相对于0°倾斜（水平）的响应度的百分率偏差）</w:t>
            </w:r>
            <w:bookmarkEnd w:id="32"/>
          </w:p>
        </w:tc>
        <w:tc>
          <w:tcPr>
            <w:tcW w:w="1120" w:type="pct"/>
            <w:vAlign w:val="center"/>
          </w:tcPr>
          <w:p>
            <w:pPr>
              <w:spacing w:line="400" w:lineRule="exact"/>
              <w:contextualSpacing/>
              <w:rPr>
                <w:color w:val="auto"/>
                <w:highlight w:val="none"/>
              </w:rPr>
            </w:pPr>
            <w:r>
              <w:rPr>
                <w:rFonts w:hint="eastAsia"/>
                <w:color w:val="auto"/>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9" w:type="pct"/>
          </w:tcPr>
          <w:p>
            <w:pPr>
              <w:spacing w:line="400" w:lineRule="exact"/>
              <w:contextualSpacing/>
              <w:rPr>
                <w:color w:val="auto"/>
                <w:highlight w:val="none"/>
              </w:rPr>
            </w:pPr>
            <w:r>
              <w:rPr>
                <w:rFonts w:hint="eastAsia"/>
                <w:color w:val="auto"/>
                <w:highlight w:val="none"/>
              </w:rPr>
              <w:t>半开敞角α</w:t>
            </w:r>
          </w:p>
        </w:tc>
        <w:tc>
          <w:tcPr>
            <w:tcW w:w="1120" w:type="pct"/>
            <w:vAlign w:val="center"/>
          </w:tcPr>
          <w:p>
            <w:pPr>
              <w:spacing w:line="400" w:lineRule="exact"/>
              <w:contextualSpacing/>
              <w:rPr>
                <w:color w:val="auto"/>
                <w:highlight w:val="none"/>
              </w:rPr>
            </w:pPr>
            <w:r>
              <w:rPr>
                <w:rFonts w:hint="eastAsia"/>
                <w:color w:val="auto"/>
                <w:highlight w:val="none"/>
              </w:rPr>
              <w:t>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9" w:type="pct"/>
          </w:tcPr>
          <w:p>
            <w:pPr>
              <w:spacing w:line="400" w:lineRule="exact"/>
              <w:contextualSpacing/>
              <w:rPr>
                <w:color w:val="auto"/>
                <w:highlight w:val="none"/>
              </w:rPr>
            </w:pPr>
            <w:r>
              <w:rPr>
                <w:rFonts w:hint="eastAsia"/>
                <w:color w:val="auto"/>
                <w:highlight w:val="none"/>
              </w:rPr>
              <w:t>斜角β</w:t>
            </w:r>
          </w:p>
        </w:tc>
        <w:tc>
          <w:tcPr>
            <w:tcW w:w="1120" w:type="pct"/>
            <w:vAlign w:val="center"/>
          </w:tcPr>
          <w:p>
            <w:pPr>
              <w:spacing w:line="400" w:lineRule="exact"/>
              <w:contextualSpacing/>
              <w:rPr>
                <w:color w:val="auto"/>
                <w:highlight w:val="none"/>
              </w:rPr>
            </w:pPr>
            <w:r>
              <w:rPr>
                <w:rFonts w:hint="eastAsia"/>
                <w:color w:val="auto"/>
                <w:highlight w:val="none"/>
              </w:rPr>
              <w:t>1°±0.1°</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3、强制加热通风罩技术要求</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3"/>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vAlign w:val="center"/>
          </w:tcPr>
          <w:p>
            <w:pPr>
              <w:spacing w:line="400" w:lineRule="exact"/>
              <w:contextualSpacing/>
              <w:jc w:val="center"/>
              <w:rPr>
                <w:color w:val="auto"/>
                <w:highlight w:val="none"/>
              </w:rPr>
            </w:pPr>
            <w:r>
              <w:rPr>
                <w:rFonts w:hint="eastAsia"/>
                <w:b/>
                <w:color w:val="auto"/>
                <w:highlight w:val="none"/>
              </w:rPr>
              <w:t>技术特性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pct"/>
            <w:vAlign w:val="center"/>
          </w:tcPr>
          <w:p>
            <w:pPr>
              <w:spacing w:line="400" w:lineRule="exact"/>
              <w:contextualSpacing/>
              <w:rPr>
                <w:color w:val="auto"/>
                <w:highlight w:val="none"/>
              </w:rPr>
            </w:pPr>
            <w:r>
              <w:rPr>
                <w:rFonts w:hint="eastAsia"/>
                <w:color w:val="auto"/>
                <w:highlight w:val="none"/>
              </w:rPr>
              <w:t>通电功率</w:t>
            </w:r>
          </w:p>
        </w:tc>
        <w:tc>
          <w:tcPr>
            <w:tcW w:w="2584" w:type="pct"/>
            <w:vAlign w:val="center"/>
          </w:tcPr>
          <w:p>
            <w:pPr>
              <w:spacing w:line="400" w:lineRule="exact"/>
              <w:contextualSpacing/>
              <w:rPr>
                <w:color w:val="auto"/>
                <w:highlight w:val="none"/>
              </w:rPr>
            </w:pPr>
            <w:r>
              <w:rPr>
                <w:rFonts w:hint="eastAsia"/>
                <w:color w:val="auto"/>
                <w:highlight w:val="none"/>
              </w:rPr>
              <w:t>连续5瓦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pct"/>
            <w:vAlign w:val="center"/>
          </w:tcPr>
          <w:p>
            <w:pPr>
              <w:spacing w:line="400" w:lineRule="exact"/>
              <w:contextualSpacing/>
              <w:rPr>
                <w:color w:val="auto"/>
                <w:highlight w:val="none"/>
              </w:rPr>
            </w:pPr>
            <w:r>
              <w:rPr>
                <w:rFonts w:hint="eastAsia"/>
                <w:color w:val="auto"/>
                <w:highlight w:val="none"/>
              </w:rPr>
              <w:t>加热（可选）功率</w:t>
            </w:r>
          </w:p>
        </w:tc>
        <w:tc>
          <w:tcPr>
            <w:tcW w:w="2584" w:type="pct"/>
            <w:vAlign w:val="center"/>
          </w:tcPr>
          <w:p>
            <w:pPr>
              <w:spacing w:line="400" w:lineRule="exact"/>
              <w:contextualSpacing/>
              <w:rPr>
                <w:color w:val="auto"/>
                <w:highlight w:val="none"/>
              </w:rPr>
            </w:pPr>
            <w:r>
              <w:rPr>
                <w:rFonts w:hint="eastAsia"/>
                <w:color w:val="auto"/>
                <w:highlight w:val="none"/>
              </w:rPr>
              <w:t>5-10W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pct"/>
            <w:vAlign w:val="center"/>
          </w:tcPr>
          <w:p>
            <w:pPr>
              <w:spacing w:line="400" w:lineRule="exact"/>
              <w:contextualSpacing/>
              <w:rPr>
                <w:color w:val="auto"/>
                <w:highlight w:val="none"/>
              </w:rPr>
            </w:pPr>
            <w:r>
              <w:rPr>
                <w:rFonts w:hint="eastAsia"/>
                <w:color w:val="auto"/>
                <w:highlight w:val="none"/>
              </w:rPr>
              <w:t>工作环境温度</w:t>
            </w:r>
          </w:p>
        </w:tc>
        <w:tc>
          <w:tcPr>
            <w:tcW w:w="2584" w:type="pct"/>
            <w:vAlign w:val="center"/>
          </w:tcPr>
          <w:p>
            <w:pPr>
              <w:spacing w:line="400" w:lineRule="exact"/>
              <w:contextualSpacing/>
              <w:rPr>
                <w:color w:val="auto"/>
                <w:highlight w:val="none"/>
              </w:rPr>
            </w:pPr>
            <w:r>
              <w:rPr>
                <w:rFonts w:hint="eastAsia"/>
                <w:color w:val="auto"/>
                <w:highlight w:val="none"/>
              </w:rPr>
              <w:t>-30℃到+70℃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pct"/>
            <w:vAlign w:val="center"/>
          </w:tcPr>
          <w:p>
            <w:pPr>
              <w:spacing w:line="400" w:lineRule="exact"/>
              <w:contextualSpacing/>
              <w:rPr>
                <w:color w:val="auto"/>
                <w:highlight w:val="none"/>
              </w:rPr>
            </w:pPr>
            <w:r>
              <w:rPr>
                <w:rFonts w:hint="eastAsia"/>
                <w:color w:val="auto"/>
                <w:highlight w:val="none"/>
              </w:rPr>
              <w:t>PVS1加热器多造成的空气温度上升</w:t>
            </w:r>
          </w:p>
        </w:tc>
        <w:tc>
          <w:tcPr>
            <w:tcW w:w="2584" w:type="pct"/>
            <w:vAlign w:val="center"/>
          </w:tcPr>
          <w:p>
            <w:pPr>
              <w:spacing w:line="400" w:lineRule="exact"/>
              <w:contextualSpacing/>
              <w:rPr>
                <w:color w:val="auto"/>
                <w:highlight w:val="none"/>
              </w:rPr>
            </w:pPr>
            <w:r>
              <w:rPr>
                <w:rFonts w:hint="eastAsia"/>
                <w:color w:val="auto"/>
                <w:highlight w:val="none"/>
              </w:rPr>
              <w:t>&lt;0.25K@0W（只有通风系统）</w:t>
            </w:r>
          </w:p>
          <w:p>
            <w:pPr>
              <w:spacing w:line="400" w:lineRule="exact"/>
              <w:contextualSpacing/>
              <w:rPr>
                <w:color w:val="auto"/>
                <w:highlight w:val="none"/>
              </w:rPr>
            </w:pPr>
            <w:r>
              <w:rPr>
                <w:rFonts w:hint="eastAsia"/>
                <w:color w:val="auto"/>
                <w:highlight w:val="none"/>
              </w:rPr>
              <w:t>&lt;0.5K@5W（加热器）</w:t>
            </w:r>
          </w:p>
          <w:p>
            <w:pPr>
              <w:spacing w:line="400" w:lineRule="exact"/>
              <w:contextualSpacing/>
              <w:rPr>
                <w:color w:val="auto"/>
                <w:highlight w:val="none"/>
              </w:rPr>
            </w:pPr>
            <w:r>
              <w:rPr>
                <w:rFonts w:hint="eastAsia"/>
                <w:color w:val="auto"/>
                <w:highlight w:val="none"/>
              </w:rPr>
              <w:t>&lt;1K@10W（加热器）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pct"/>
            <w:vAlign w:val="center"/>
          </w:tcPr>
          <w:p>
            <w:pPr>
              <w:spacing w:line="400" w:lineRule="exact"/>
              <w:contextualSpacing/>
              <w:rPr>
                <w:color w:val="auto"/>
                <w:highlight w:val="none"/>
              </w:rPr>
            </w:pPr>
            <w:r>
              <w:rPr>
                <w:rFonts w:hint="eastAsia"/>
                <w:color w:val="auto"/>
                <w:highlight w:val="none"/>
              </w:rPr>
              <w:t>加热器多造成的漂移（10瓦）</w:t>
            </w:r>
          </w:p>
        </w:tc>
        <w:tc>
          <w:tcPr>
            <w:tcW w:w="2584" w:type="pct"/>
            <w:vAlign w:val="center"/>
          </w:tcPr>
          <w:p>
            <w:pPr>
              <w:spacing w:line="400" w:lineRule="exact"/>
              <w:contextualSpacing/>
              <w:rPr>
                <w:color w:val="auto"/>
                <w:highlight w:val="none"/>
              </w:rPr>
            </w:pPr>
            <w:r>
              <w:rPr>
                <w:rFonts w:hint="eastAsia"/>
                <w:color w:val="auto"/>
                <w:highlight w:val="none"/>
              </w:rPr>
              <w:t>&lt;1W/m2使用CM11型辐射表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pct"/>
            <w:vAlign w:val="center"/>
          </w:tcPr>
          <w:p>
            <w:pPr>
              <w:spacing w:line="400" w:lineRule="exact"/>
              <w:contextualSpacing/>
              <w:rPr>
                <w:color w:val="auto"/>
                <w:highlight w:val="none"/>
              </w:rPr>
            </w:pPr>
            <w:r>
              <w:rPr>
                <w:rFonts w:hint="eastAsia"/>
                <w:color w:val="auto"/>
                <w:highlight w:val="none"/>
              </w:rPr>
              <w:t>电缆长度</w:t>
            </w:r>
          </w:p>
        </w:tc>
        <w:tc>
          <w:tcPr>
            <w:tcW w:w="2584" w:type="pct"/>
            <w:vAlign w:val="center"/>
          </w:tcPr>
          <w:p>
            <w:pPr>
              <w:spacing w:line="400" w:lineRule="exact"/>
              <w:contextualSpacing/>
              <w:rPr>
                <w:color w:val="auto"/>
                <w:highlight w:val="none"/>
              </w:rPr>
            </w:pPr>
            <w:r>
              <w:rPr>
                <w:rFonts w:hint="eastAsia"/>
                <w:color w:val="auto"/>
                <w:highlight w:val="none"/>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5" w:type="pct"/>
            <w:vAlign w:val="center"/>
          </w:tcPr>
          <w:p>
            <w:pPr>
              <w:spacing w:line="400" w:lineRule="exact"/>
              <w:contextualSpacing/>
              <w:rPr>
                <w:color w:val="auto"/>
                <w:highlight w:val="none"/>
              </w:rPr>
            </w:pPr>
            <w:r>
              <w:rPr>
                <w:rFonts w:hint="eastAsia"/>
                <w:color w:val="auto"/>
                <w:highlight w:val="none"/>
              </w:rPr>
              <w:t>电源需求</w:t>
            </w:r>
          </w:p>
        </w:tc>
        <w:tc>
          <w:tcPr>
            <w:tcW w:w="2584" w:type="pct"/>
            <w:vAlign w:val="center"/>
          </w:tcPr>
          <w:p>
            <w:pPr>
              <w:spacing w:line="400" w:lineRule="exact"/>
              <w:contextualSpacing/>
              <w:rPr>
                <w:color w:val="auto"/>
                <w:highlight w:val="none"/>
              </w:rPr>
            </w:pPr>
            <w:r>
              <w:rPr>
                <w:rFonts w:hint="eastAsia"/>
                <w:color w:val="auto"/>
                <w:highlight w:val="none"/>
              </w:rPr>
              <w:t>12V（直流），1.25A（10W加热器）</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4、太阳跟踪器技术要求</w:t>
      </w:r>
    </w:p>
    <w:tbl>
      <w:tblPr>
        <w:tblStyle w:val="89"/>
        <w:tblW w:w="5006" w:type="pct"/>
        <w:jc w:val="center"/>
        <w:tblLayout w:type="autofit"/>
        <w:tblCellMar>
          <w:top w:w="0" w:type="dxa"/>
          <w:left w:w="0" w:type="dxa"/>
          <w:bottom w:w="0" w:type="dxa"/>
          <w:right w:w="0" w:type="dxa"/>
        </w:tblCellMar>
      </w:tblPr>
      <w:tblGrid>
        <w:gridCol w:w="2355"/>
        <w:gridCol w:w="6566"/>
      </w:tblGrid>
      <w:tr>
        <w:tblPrEx>
          <w:tblCellMar>
            <w:top w:w="0" w:type="dxa"/>
            <w:left w:w="0" w:type="dxa"/>
            <w:bottom w:w="0" w:type="dxa"/>
            <w:right w:w="0" w:type="dxa"/>
          </w:tblCellMar>
        </w:tblPrEx>
        <w:trPr>
          <w:trHeight w:val="454"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jc w:val="center"/>
              <w:rPr>
                <w:color w:val="auto"/>
                <w:highlight w:val="none"/>
              </w:rPr>
            </w:pPr>
            <w:r>
              <w:rPr>
                <w:rFonts w:hint="eastAsia"/>
                <w:b/>
                <w:color w:val="auto"/>
                <w:highlight w:val="none"/>
              </w:rPr>
              <w:t>技术特性</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驱动电机</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步进电机</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准确度</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＜0.2°</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旋转</w:t>
            </w:r>
          </w:p>
        </w:tc>
        <w:tc>
          <w:tcPr>
            <w:tcW w:w="3679" w:type="pct"/>
            <w:tcBorders>
              <w:top w:val="single" w:color="000000" w:sz="4" w:space="0"/>
              <w:left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天顶角：90°</w:t>
            </w:r>
          </w:p>
          <w:p>
            <w:pPr>
              <w:spacing w:line="400" w:lineRule="exact"/>
              <w:contextualSpacing/>
              <w:rPr>
                <w:color w:val="auto"/>
                <w:highlight w:val="none"/>
              </w:rPr>
            </w:pPr>
            <w:r>
              <w:rPr>
                <w:rFonts w:hint="eastAsia"/>
                <w:color w:val="auto"/>
                <w:highlight w:val="none"/>
              </w:rPr>
              <w:t>方位：350°</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工作温度</w:t>
            </w:r>
          </w:p>
        </w:tc>
        <w:tc>
          <w:tcPr>
            <w:tcW w:w="3679" w:type="pct"/>
            <w:tcBorders>
              <w:top w:val="single" w:color="000000" w:sz="4" w:space="0"/>
              <w:left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正常：-20℃—+50℃</w:t>
            </w:r>
          </w:p>
          <w:p>
            <w:pPr>
              <w:spacing w:line="400" w:lineRule="exact"/>
              <w:contextualSpacing/>
              <w:rPr>
                <w:color w:val="auto"/>
                <w:highlight w:val="none"/>
              </w:rPr>
            </w:pPr>
            <w:r>
              <w:rPr>
                <w:rFonts w:hint="eastAsia"/>
                <w:color w:val="auto"/>
                <w:highlight w:val="none"/>
              </w:rPr>
              <w:t>特殊：-50℃—+50℃(带加热器)</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光电瞄准器</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4象限光电传感器</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环境温度</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-20°Ｃ～+50°Ｃ</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跟踪精度</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0.1°</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输出扭矩</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50Ｎ·ｍ</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供电电压</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直流</w:t>
            </w:r>
            <w:r>
              <w:rPr>
                <w:color w:val="auto"/>
                <w:highlight w:val="none"/>
              </w:rPr>
              <w:t>12V</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电机</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步进电机</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电机驱动</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半步/全驱动</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highlight w:val="none"/>
              </w:rPr>
              <w:t>转动限位</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kern w:val="0"/>
                <w:highlight w:val="none"/>
              </w:rPr>
              <w:t>光学开关/2个</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highlight w:val="none"/>
              </w:rPr>
            </w:pPr>
            <w:r>
              <w:rPr>
                <w:rFonts w:hint="eastAsia"/>
                <w:color w:val="auto"/>
                <w:kern w:val="0"/>
                <w:highlight w:val="none"/>
              </w:rPr>
              <w:t>位置定位</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光学开关/2个</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步进分辨率</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0.002°</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尺寸</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280×280×260</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重量</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20Ｋｇ</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功耗</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5Ｗ</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通讯</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232串口， 3芯，波特率9600</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速比</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 xml:space="preserve">240：1 </w:t>
            </w:r>
          </w:p>
        </w:tc>
      </w:tr>
      <w:tr>
        <w:tblPrEx>
          <w:tblCellMar>
            <w:top w:w="0" w:type="dxa"/>
            <w:left w:w="0" w:type="dxa"/>
            <w:bottom w:w="0" w:type="dxa"/>
            <w:right w:w="0" w:type="dxa"/>
          </w:tblCellMar>
        </w:tblPrEx>
        <w:trPr>
          <w:trHeight w:val="454" w:hRule="atLeast"/>
          <w:jc w:val="center"/>
        </w:trPr>
        <w:tc>
          <w:tcPr>
            <w:tcW w:w="1320"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载荷</w:t>
            </w:r>
          </w:p>
        </w:tc>
        <w:tc>
          <w:tcPr>
            <w:tcW w:w="3679" w:type="pct"/>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rPr>
                <w:color w:val="auto"/>
                <w:kern w:val="0"/>
                <w:highlight w:val="none"/>
              </w:rPr>
            </w:pPr>
            <w:r>
              <w:rPr>
                <w:rFonts w:hint="eastAsia"/>
                <w:color w:val="auto"/>
                <w:kern w:val="0"/>
                <w:highlight w:val="none"/>
              </w:rPr>
              <w:t>30Ｋｇ（平衡）</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5、辐射采集器技术要求</w:t>
      </w:r>
    </w:p>
    <w:p>
      <w:pPr>
        <w:spacing w:line="400" w:lineRule="exact"/>
        <w:ind w:firstLine="480" w:firstLineChars="200"/>
        <w:rPr>
          <w:color w:val="auto"/>
          <w:highlight w:val="none"/>
        </w:rPr>
      </w:pPr>
      <w:r>
        <w:rPr>
          <w:rFonts w:hint="eastAsia"/>
          <w:color w:val="auto"/>
          <w:highlight w:val="none"/>
        </w:rPr>
        <w:t>电源：12V输入，系统内部供电5V、3.3V。</w:t>
      </w:r>
    </w:p>
    <w:p>
      <w:pPr>
        <w:spacing w:line="400" w:lineRule="exact"/>
        <w:ind w:firstLine="480" w:firstLineChars="200"/>
        <w:rPr>
          <w:color w:val="auto"/>
          <w:highlight w:val="none"/>
        </w:rPr>
      </w:pPr>
      <w:r>
        <w:rPr>
          <w:rFonts w:hint="eastAsia"/>
          <w:color w:val="auto"/>
          <w:highlight w:val="none"/>
        </w:rPr>
        <w:t>工作温度：工业级-40~80℃。</w:t>
      </w:r>
    </w:p>
    <w:p>
      <w:pPr>
        <w:spacing w:line="400" w:lineRule="exact"/>
        <w:ind w:firstLine="480" w:firstLineChars="200"/>
        <w:rPr>
          <w:color w:val="auto"/>
          <w:highlight w:val="none"/>
        </w:rPr>
      </w:pPr>
      <w:r>
        <w:rPr>
          <w:rFonts w:hint="eastAsia"/>
          <w:color w:val="auto"/>
          <w:highlight w:val="none"/>
        </w:rPr>
        <w:t>处理器：cortex-M3内核的STM32F103ZET6，32位处理器，64KB的RAM，512KB的flash存储空间。5个UART接口。</w:t>
      </w:r>
    </w:p>
    <w:p>
      <w:pPr>
        <w:spacing w:line="400" w:lineRule="exact"/>
        <w:ind w:firstLine="480" w:firstLineChars="200"/>
        <w:rPr>
          <w:color w:val="auto"/>
          <w:highlight w:val="none"/>
        </w:rPr>
      </w:pPr>
      <w:r>
        <w:rPr>
          <w:rFonts w:hint="eastAsia"/>
          <w:color w:val="auto"/>
          <w:highlight w:val="none"/>
        </w:rPr>
        <w:t>外扩RAM：2MB大小的SRAM——IS62WV51216BLL-55TLI</w:t>
      </w:r>
    </w:p>
    <w:p>
      <w:pPr>
        <w:spacing w:line="400" w:lineRule="exact"/>
        <w:ind w:firstLine="480" w:firstLineChars="200"/>
        <w:rPr>
          <w:color w:val="auto"/>
          <w:highlight w:val="none"/>
        </w:rPr>
      </w:pPr>
      <w:r>
        <w:rPr>
          <w:rFonts w:hint="eastAsia"/>
          <w:color w:val="auto"/>
          <w:highlight w:val="none"/>
        </w:rPr>
        <w:t>实时时钟：DS3231，误差10s/月。</w:t>
      </w:r>
    </w:p>
    <w:p>
      <w:pPr>
        <w:spacing w:line="400" w:lineRule="exact"/>
        <w:ind w:firstLine="480" w:firstLineChars="200"/>
        <w:rPr>
          <w:color w:val="auto"/>
          <w:highlight w:val="none"/>
        </w:rPr>
      </w:pPr>
      <w:r>
        <w:rPr>
          <w:rFonts w:hint="eastAsia"/>
          <w:color w:val="auto"/>
          <w:highlight w:val="none"/>
        </w:rPr>
        <w:t>扩展串口：采用SPI转串口芯片进行扩展。</w:t>
      </w:r>
    </w:p>
    <w:p>
      <w:pPr>
        <w:spacing w:line="400" w:lineRule="exact"/>
        <w:ind w:firstLine="480" w:firstLineChars="200"/>
        <w:rPr>
          <w:color w:val="auto"/>
          <w:highlight w:val="none"/>
        </w:rPr>
      </w:pPr>
      <w:r>
        <w:rPr>
          <w:rFonts w:hint="eastAsia"/>
          <w:color w:val="auto"/>
          <w:highlight w:val="none"/>
        </w:rPr>
        <w:t>通信接口：8路RS232接口加4路扩展串口</w:t>
      </w:r>
    </w:p>
    <w:p>
      <w:pPr>
        <w:spacing w:line="400" w:lineRule="exact"/>
        <w:ind w:firstLine="480" w:firstLineChars="200"/>
        <w:rPr>
          <w:color w:val="auto"/>
          <w:highlight w:val="none"/>
        </w:rPr>
      </w:pPr>
      <w:r>
        <w:rPr>
          <w:rFonts w:hint="eastAsia"/>
          <w:color w:val="auto"/>
          <w:highlight w:val="none"/>
        </w:rPr>
        <w:t>存储：外扩SD卡存储。</w:t>
      </w:r>
    </w:p>
    <w:p>
      <w:pPr>
        <w:spacing w:line="400" w:lineRule="exact"/>
        <w:ind w:firstLine="480" w:firstLineChars="200"/>
        <w:rPr>
          <w:color w:val="auto"/>
          <w:highlight w:val="none"/>
        </w:rPr>
      </w:pPr>
      <w:r>
        <w:rPr>
          <w:rFonts w:hint="eastAsia"/>
          <w:color w:val="auto"/>
          <w:highlight w:val="none"/>
        </w:rPr>
        <w:t>系统参数存储（EEPROM芯片AT24C512）：存储系统参数。</w:t>
      </w:r>
    </w:p>
    <w:p>
      <w:pPr>
        <w:spacing w:line="400" w:lineRule="exact"/>
        <w:ind w:firstLine="480" w:firstLineChars="200"/>
        <w:rPr>
          <w:color w:val="auto"/>
          <w:highlight w:val="none"/>
        </w:rPr>
      </w:pPr>
      <w:r>
        <w:rPr>
          <w:rFonts w:hint="eastAsia"/>
          <w:color w:val="auto"/>
          <w:highlight w:val="none"/>
        </w:rPr>
        <w:t>系统功耗：小于0.5W</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6、供电系统技术要求</w:t>
      </w:r>
    </w:p>
    <w:p>
      <w:pPr>
        <w:spacing w:line="400" w:lineRule="exact"/>
        <w:ind w:firstLine="480" w:firstLineChars="200"/>
        <w:rPr>
          <w:color w:val="auto"/>
          <w:highlight w:val="none"/>
        </w:rPr>
      </w:pPr>
      <w:r>
        <w:rPr>
          <w:rFonts w:hint="eastAsia"/>
          <w:color w:val="auto"/>
          <w:highlight w:val="none"/>
        </w:rPr>
        <w:t>供电系统支持交流供电方式，由电源控制器、防雷器、开关及蓄电池四部分组成。</w:t>
      </w:r>
    </w:p>
    <w:p>
      <w:pPr>
        <w:spacing w:line="400" w:lineRule="exact"/>
        <w:ind w:firstLine="480" w:firstLineChars="200"/>
        <w:rPr>
          <w:color w:val="auto"/>
          <w:highlight w:val="none"/>
        </w:rPr>
      </w:pPr>
      <w:r>
        <w:rPr>
          <w:rFonts w:hint="eastAsia"/>
          <w:color w:val="auto"/>
          <w:highlight w:val="none"/>
        </w:rPr>
        <w:t>（1）交流电源电压：220V（±15%）；</w:t>
      </w:r>
    </w:p>
    <w:p>
      <w:pPr>
        <w:spacing w:line="400" w:lineRule="exact"/>
        <w:ind w:firstLine="480" w:firstLineChars="200"/>
        <w:rPr>
          <w:color w:val="auto"/>
          <w:highlight w:val="none"/>
        </w:rPr>
      </w:pPr>
      <w:r>
        <w:rPr>
          <w:rFonts w:hint="eastAsia"/>
          <w:color w:val="auto"/>
          <w:highlight w:val="none"/>
        </w:rPr>
        <w:t>（2）直流工作电压：11VDC-14VDC；</w:t>
      </w:r>
    </w:p>
    <w:p>
      <w:pPr>
        <w:spacing w:line="400" w:lineRule="exact"/>
        <w:ind w:firstLine="480" w:firstLineChars="200"/>
        <w:rPr>
          <w:color w:val="auto"/>
          <w:highlight w:val="none"/>
        </w:rPr>
      </w:pPr>
      <w:r>
        <w:rPr>
          <w:rFonts w:hint="eastAsia"/>
          <w:color w:val="auto"/>
          <w:highlight w:val="none"/>
        </w:rPr>
        <w:t>（3）在无交流电源充电的情况下，蓄电池应保障辐射传感器正常工作至少4天以上。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7、辐射站基础建设及安装</w:t>
      </w:r>
    </w:p>
    <w:p>
      <w:pPr>
        <w:spacing w:line="400" w:lineRule="exact"/>
        <w:ind w:firstLine="480" w:firstLineChars="200"/>
        <w:rPr>
          <w:color w:val="auto"/>
          <w:highlight w:val="none"/>
        </w:rPr>
      </w:pPr>
      <w:r>
        <w:rPr>
          <w:rFonts w:hint="eastAsia"/>
          <w:color w:val="auto"/>
          <w:highlight w:val="none"/>
        </w:rPr>
        <w:t>（1）装调试结果应该符合有关标准的要求。</w:t>
      </w:r>
    </w:p>
    <w:p>
      <w:pPr>
        <w:spacing w:line="400" w:lineRule="exact"/>
        <w:ind w:firstLine="480" w:firstLineChars="200"/>
        <w:rPr>
          <w:color w:val="auto"/>
          <w:highlight w:val="none"/>
        </w:rPr>
      </w:pPr>
      <w:r>
        <w:rPr>
          <w:rFonts w:hint="eastAsia"/>
          <w:color w:val="auto"/>
          <w:highlight w:val="none"/>
        </w:rPr>
        <w:t>（2）设备安装调试过程中，应作详细检验记录。</w:t>
      </w:r>
    </w:p>
    <w:p>
      <w:pPr>
        <w:spacing w:line="400" w:lineRule="exact"/>
        <w:ind w:firstLine="480" w:firstLineChars="200"/>
        <w:rPr>
          <w:color w:val="auto"/>
          <w:highlight w:val="none"/>
        </w:rPr>
      </w:pPr>
      <w:r>
        <w:rPr>
          <w:rFonts w:hint="eastAsia"/>
          <w:color w:val="auto"/>
          <w:highlight w:val="none"/>
        </w:rPr>
        <w:t>（3）所用的工具、设备等必须符合相关规定，合格。</w:t>
      </w:r>
    </w:p>
    <w:p>
      <w:pPr>
        <w:spacing w:line="400" w:lineRule="exact"/>
        <w:ind w:firstLine="480" w:firstLineChars="200"/>
        <w:rPr>
          <w:color w:val="auto"/>
          <w:highlight w:val="none"/>
        </w:rPr>
      </w:pPr>
      <w:r>
        <w:rPr>
          <w:rFonts w:hint="eastAsia"/>
          <w:color w:val="auto"/>
          <w:highlight w:val="none"/>
        </w:rPr>
        <w:t>（4）中标单位提供全部安装、调试过程中所需的特殊工具和易损件，并自带专用仪器仪表设备。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（四）自动气象站北斗通讯传输设备技术需求</w:t>
      </w:r>
    </w:p>
    <w:p>
      <w:pPr>
        <w:spacing w:line="400" w:lineRule="exact"/>
        <w:ind w:firstLine="480" w:firstLineChars="200"/>
        <w:rPr>
          <w:color w:val="auto"/>
          <w:highlight w:val="none"/>
        </w:rPr>
      </w:pPr>
      <w:r>
        <w:rPr>
          <w:rFonts w:hint="eastAsia"/>
          <w:color w:val="auto"/>
          <w:highlight w:val="none"/>
        </w:rPr>
        <w:t>终端内部集成北斗多频天线、射频、基带以及主控板，可实现RDSS定位、短报文通信和RNSS导航定位等功能。</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1、性能要求</w:t>
      </w:r>
    </w:p>
    <w:tbl>
      <w:tblPr>
        <w:tblStyle w:val="89"/>
        <w:tblW w:w="4965" w:type="pct"/>
        <w:tblInd w:w="-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98"/>
        <w:gridCol w:w="1307"/>
        <w:gridCol w:w="581"/>
        <w:gridCol w:w="1977"/>
        <w:gridCol w:w="1191"/>
        <w:gridCol w:w="3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tcBorders>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c>
          <w:tcPr>
            <w:tcW w:w="1066" w:type="pct"/>
            <w:gridSpan w:val="2"/>
            <w:tcBorders>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b/>
                <w:color w:val="auto"/>
                <w:sz w:val="24"/>
                <w:szCs w:val="24"/>
                <w:highlight w:val="none"/>
              </w:rPr>
            </w:pPr>
            <w:r>
              <w:rPr>
                <w:rFonts w:hint="eastAsia" w:ascii="仿宋" w:hAnsi="仿宋"/>
                <w:b/>
                <w:color w:val="auto"/>
                <w:sz w:val="24"/>
                <w:szCs w:val="24"/>
                <w:highlight w:val="none"/>
              </w:rPr>
              <w:t>指标项</w:t>
            </w:r>
          </w:p>
        </w:tc>
        <w:tc>
          <w:tcPr>
            <w:tcW w:w="1788" w:type="pct"/>
            <w:gridSpan w:val="2"/>
            <w:tcBorders>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b/>
                <w:color w:val="auto"/>
                <w:sz w:val="24"/>
                <w:szCs w:val="24"/>
                <w:highlight w:val="none"/>
              </w:rPr>
            </w:pPr>
            <w:r>
              <w:rPr>
                <w:rFonts w:hint="eastAsia" w:ascii="仿宋" w:hAnsi="仿宋"/>
                <w:b/>
                <w:color w:val="auto"/>
                <w:sz w:val="24"/>
                <w:szCs w:val="24"/>
                <w:highlight w:val="none"/>
              </w:rPr>
              <w:t>性能指标</w:t>
            </w:r>
          </w:p>
        </w:tc>
        <w:tc>
          <w:tcPr>
            <w:tcW w:w="1752" w:type="pct"/>
            <w:tcBorders>
              <w:left w:val="single" w:color="000000" w:sz="4" w:space="0"/>
              <w:bottom w:val="single" w:color="000000" w:sz="4" w:space="0"/>
            </w:tcBorders>
            <w:vAlign w:val="center"/>
          </w:tcPr>
          <w:p>
            <w:pPr>
              <w:pStyle w:val="1028"/>
              <w:autoSpaceDE w:val="0"/>
              <w:autoSpaceDN w:val="0"/>
              <w:spacing w:line="400" w:lineRule="exact"/>
              <w:jc w:val="center"/>
              <w:rPr>
                <w:rFonts w:ascii="仿宋" w:hAnsi="仿宋"/>
                <w:b/>
                <w:color w:val="auto"/>
                <w:sz w:val="24"/>
                <w:szCs w:val="24"/>
                <w:highlight w:val="none"/>
              </w:rPr>
            </w:pPr>
            <w:r>
              <w:rPr>
                <w:rFonts w:hint="eastAsia" w:ascii="仿宋" w:hAnsi="仿宋"/>
                <w:b/>
                <w:color w:val="auto"/>
                <w:sz w:val="24"/>
                <w:szCs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restart"/>
            <w:tcBorders>
              <w:top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RDSS</w:t>
            </w:r>
          </w:p>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参数</w:t>
            </w:r>
          </w:p>
        </w:tc>
        <w:tc>
          <w:tcPr>
            <w:tcW w:w="1066"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接收信号灵敏</w:t>
            </w:r>
          </w:p>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度</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-127.6dBm</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发射功率</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≥39dBm</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载波抑制</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≥30dBc</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调制相位误差</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≤3°</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定位/通信</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定位、通信成功率：≥95%</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无明显干扰情况下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vMerge w:val="continue"/>
            <w:tcBorders>
              <w:top w:val="nil"/>
              <w:left w:val="single" w:color="000000" w:sz="4" w:space="0"/>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定位精度：≤100 米</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锁定时间</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lang w:eastAsia="zh-CN"/>
              </w:rPr>
            </w:pPr>
            <w:r>
              <w:rPr>
                <w:rFonts w:hint="eastAsia" w:ascii="仿宋" w:hAnsi="仿宋"/>
                <w:color w:val="auto"/>
                <w:sz w:val="24"/>
                <w:szCs w:val="24"/>
                <w:highlight w:val="none"/>
                <w:lang w:eastAsia="zh-CN"/>
              </w:rPr>
              <w:t>冷启动首捕时间： ≤2 s</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vMerge w:val="continue"/>
            <w:tcBorders>
              <w:top w:val="nil"/>
              <w:left w:val="single" w:color="000000" w:sz="4" w:space="0"/>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失锁重捕时间： ≤1 s</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restart"/>
            <w:tcBorders>
              <w:top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RNSS</w:t>
            </w:r>
          </w:p>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参数</w:t>
            </w:r>
          </w:p>
        </w:tc>
        <w:tc>
          <w:tcPr>
            <w:tcW w:w="1066"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输入频点</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RNSS B1 + GPS L1</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数据更新率</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≥1Hz</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默认1Hz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首次定位时间</w:t>
            </w:r>
          </w:p>
        </w:tc>
        <w:tc>
          <w:tcPr>
            <w:tcW w:w="1116"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冷启动时间：</w:t>
            </w:r>
          </w:p>
        </w:tc>
        <w:tc>
          <w:tcPr>
            <w:tcW w:w="672"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≤35s</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vMerge w:val="continue"/>
            <w:tcBorders>
              <w:top w:val="nil"/>
              <w:left w:val="single" w:color="000000" w:sz="4" w:space="0"/>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116"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热启动时间：</w:t>
            </w:r>
          </w:p>
        </w:tc>
        <w:tc>
          <w:tcPr>
            <w:tcW w:w="672"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≤2s</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vMerge w:val="continue"/>
            <w:tcBorders>
              <w:top w:val="nil"/>
              <w:left w:val="single" w:color="000000" w:sz="4" w:space="0"/>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116"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重捕获时间：</w:t>
            </w:r>
          </w:p>
        </w:tc>
        <w:tc>
          <w:tcPr>
            <w:tcW w:w="672"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≤2s</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738" w:type="pct"/>
            <w:vMerge w:val="restar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定位精度</w:t>
            </w:r>
          </w:p>
        </w:tc>
        <w:tc>
          <w:tcPr>
            <w:tcW w:w="328"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水平</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≤5m</w:t>
            </w:r>
          </w:p>
        </w:tc>
        <w:tc>
          <w:tcPr>
            <w:tcW w:w="1752" w:type="pct"/>
            <w:vMerge w:val="restar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开阔地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738" w:type="pct"/>
            <w:vMerge w:val="continue"/>
            <w:tcBorders>
              <w:top w:val="nil"/>
              <w:left w:val="single" w:color="000000" w:sz="4" w:space="0"/>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328"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高程</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≤10m</w:t>
            </w:r>
          </w:p>
        </w:tc>
        <w:tc>
          <w:tcPr>
            <w:tcW w:w="1752" w:type="pct"/>
            <w:vMerge w:val="continue"/>
            <w:tcBorders>
              <w:top w:val="nil"/>
              <w:left w:val="single" w:color="000000" w:sz="4" w:space="0"/>
              <w:bottom w:val="single" w:color="000000" w:sz="4" w:space="0"/>
            </w:tcBorders>
            <w:vAlign w:val="center"/>
          </w:tcPr>
          <w:p>
            <w:pPr>
              <w:autoSpaceDE w:val="0"/>
              <w:autoSpaceDN w:val="0"/>
              <w:spacing w:line="400" w:lineRule="exact"/>
              <w:jc w:val="cente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1066"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测速精度</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≤1.0m/s</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738" w:type="pct"/>
            <w:vMerge w:val="restar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灵敏度</w:t>
            </w:r>
          </w:p>
        </w:tc>
        <w:tc>
          <w:tcPr>
            <w:tcW w:w="328"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捕获</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-144dBm</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394" w:type="pct"/>
            <w:vMerge w:val="continue"/>
            <w:tcBorders>
              <w:top w:val="nil"/>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738" w:type="pct"/>
            <w:vMerge w:val="continue"/>
            <w:tcBorders>
              <w:top w:val="nil"/>
              <w:left w:val="single" w:color="000000" w:sz="4" w:space="0"/>
              <w:bottom w:val="single" w:color="000000" w:sz="4" w:space="0"/>
              <w:right w:val="single" w:color="000000" w:sz="4" w:space="0"/>
            </w:tcBorders>
            <w:vAlign w:val="center"/>
          </w:tcPr>
          <w:p>
            <w:pPr>
              <w:autoSpaceDE w:val="0"/>
              <w:autoSpaceDN w:val="0"/>
              <w:spacing w:line="400" w:lineRule="exact"/>
              <w:jc w:val="center"/>
              <w:rPr>
                <w:color w:val="auto"/>
                <w:highlight w:val="none"/>
              </w:rPr>
            </w:pPr>
          </w:p>
        </w:tc>
        <w:tc>
          <w:tcPr>
            <w:tcW w:w="328" w:type="pct"/>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跟踪</w:t>
            </w:r>
          </w:p>
        </w:tc>
        <w:tc>
          <w:tcPr>
            <w:tcW w:w="1788" w:type="pct"/>
            <w:gridSpan w:val="2"/>
            <w:tcBorders>
              <w:top w:val="single" w:color="000000" w:sz="4" w:space="0"/>
              <w:left w:val="single" w:color="000000" w:sz="4" w:space="0"/>
              <w:bottom w:val="single" w:color="000000" w:sz="4" w:space="0"/>
              <w:right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-159dBm</w:t>
            </w:r>
          </w:p>
        </w:tc>
        <w:tc>
          <w:tcPr>
            <w:tcW w:w="1752" w:type="pct"/>
            <w:tcBorders>
              <w:top w:val="single" w:color="000000" w:sz="4" w:space="0"/>
              <w:left w:val="single" w:color="000000" w:sz="4" w:space="0"/>
              <w:bottom w:val="single" w:color="000000" w:sz="4" w:space="0"/>
            </w:tcBorders>
            <w:vAlign w:val="center"/>
          </w:tcPr>
          <w:p>
            <w:pPr>
              <w:pStyle w:val="1028"/>
              <w:autoSpaceDE w:val="0"/>
              <w:autoSpaceDN w:val="0"/>
              <w:spacing w:line="400" w:lineRule="exact"/>
              <w:jc w:val="center"/>
              <w:rPr>
                <w:rFonts w:ascii="仿宋" w:hAnsi="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2、电气参数要求</w:t>
      </w:r>
    </w:p>
    <w:tbl>
      <w:tblPr>
        <w:tblStyle w:val="8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7"/>
        <w:gridCol w:w="670"/>
        <w:gridCol w:w="2810"/>
        <w:gridCol w:w="4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587" w:type="pct"/>
            <w:vAlign w:val="center"/>
          </w:tcPr>
          <w:p>
            <w:pPr>
              <w:pStyle w:val="1028"/>
              <w:autoSpaceDE w:val="0"/>
              <w:autoSpaceDN w:val="0"/>
              <w:spacing w:line="400" w:lineRule="exact"/>
              <w:jc w:val="center"/>
              <w:rPr>
                <w:rFonts w:ascii="仿宋" w:hAnsi="仿宋"/>
                <w:b/>
                <w:color w:val="auto"/>
                <w:sz w:val="24"/>
                <w:szCs w:val="24"/>
                <w:highlight w:val="none"/>
              </w:rPr>
            </w:pPr>
            <w:r>
              <w:rPr>
                <w:rFonts w:hint="eastAsia" w:ascii="仿宋" w:hAnsi="仿宋"/>
                <w:b/>
                <w:color w:val="auto"/>
                <w:sz w:val="24"/>
                <w:szCs w:val="24"/>
                <w:highlight w:val="none"/>
              </w:rPr>
              <w:t>指标项</w:t>
            </w:r>
          </w:p>
        </w:tc>
        <w:tc>
          <w:tcPr>
            <w:tcW w:w="1951" w:type="pct"/>
            <w:gridSpan w:val="2"/>
            <w:vAlign w:val="center"/>
          </w:tcPr>
          <w:p>
            <w:pPr>
              <w:pStyle w:val="1028"/>
              <w:autoSpaceDE w:val="0"/>
              <w:autoSpaceDN w:val="0"/>
              <w:spacing w:line="400" w:lineRule="exact"/>
              <w:jc w:val="center"/>
              <w:rPr>
                <w:rFonts w:ascii="仿宋" w:hAnsi="仿宋"/>
                <w:b/>
                <w:color w:val="auto"/>
                <w:sz w:val="24"/>
                <w:szCs w:val="24"/>
                <w:highlight w:val="none"/>
              </w:rPr>
            </w:pPr>
            <w:r>
              <w:rPr>
                <w:rFonts w:hint="eastAsia" w:ascii="仿宋" w:hAnsi="仿宋"/>
                <w:b/>
                <w:color w:val="auto"/>
                <w:sz w:val="24"/>
                <w:szCs w:val="24"/>
                <w:highlight w:val="none"/>
              </w:rPr>
              <w:t>指标值</w:t>
            </w:r>
          </w:p>
        </w:tc>
        <w:tc>
          <w:tcPr>
            <w:tcW w:w="2461" w:type="pct"/>
            <w:tcBorders>
              <w:right w:val="single" w:color="000000" w:sz="8" w:space="0"/>
            </w:tcBorders>
          </w:tcPr>
          <w:p>
            <w:pPr>
              <w:pStyle w:val="1028"/>
              <w:spacing w:before="123" w:line="400" w:lineRule="exact"/>
              <w:ind w:left="1281" w:right="1281"/>
              <w:jc w:val="center"/>
              <w:rPr>
                <w:rFonts w:ascii="仿宋" w:hAnsi="仿宋"/>
                <w:b/>
                <w:color w:val="auto"/>
                <w:sz w:val="24"/>
                <w:szCs w:val="24"/>
                <w:highlight w:val="none"/>
              </w:rPr>
            </w:pPr>
            <w:r>
              <w:rPr>
                <w:rFonts w:hint="eastAsia" w:ascii="仿宋" w:hAnsi="仿宋"/>
                <w:b/>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87" w:type="pct"/>
            <w:vAlign w:val="center"/>
          </w:tcPr>
          <w:p>
            <w:pPr>
              <w:pStyle w:val="1028"/>
              <w:autoSpaceDE w:val="0"/>
              <w:autoSpaceDN w:val="0"/>
              <w:spacing w:line="400" w:lineRule="exact"/>
              <w:jc w:val="center"/>
              <w:rPr>
                <w:rFonts w:ascii="仿宋" w:hAnsi="仿宋"/>
                <w:color w:val="auto"/>
                <w:sz w:val="24"/>
                <w:szCs w:val="24"/>
                <w:highlight w:val="none"/>
              </w:rPr>
            </w:pPr>
            <w:r>
              <w:rPr>
                <w:rFonts w:hint="eastAsia" w:ascii="仿宋" w:hAnsi="仿宋"/>
                <w:color w:val="auto"/>
                <w:sz w:val="24"/>
                <w:szCs w:val="24"/>
                <w:highlight w:val="none"/>
              </w:rPr>
              <w:t>工作电压</w:t>
            </w:r>
          </w:p>
        </w:tc>
        <w:tc>
          <w:tcPr>
            <w:tcW w:w="1951" w:type="pct"/>
            <w:gridSpan w:val="2"/>
            <w:vAlign w:val="center"/>
          </w:tcPr>
          <w:p>
            <w:pPr>
              <w:pStyle w:val="1028"/>
              <w:spacing w:before="135" w:line="400" w:lineRule="exact"/>
              <w:ind w:left="114"/>
              <w:jc w:val="center"/>
              <w:rPr>
                <w:rFonts w:ascii="仿宋" w:hAnsi="仿宋"/>
                <w:color w:val="auto"/>
                <w:sz w:val="24"/>
                <w:szCs w:val="24"/>
                <w:highlight w:val="none"/>
              </w:rPr>
            </w:pPr>
            <w:r>
              <w:rPr>
                <w:rFonts w:hint="eastAsia" w:ascii="仿宋" w:hAnsi="仿宋"/>
                <w:color w:val="auto"/>
                <w:sz w:val="24"/>
                <w:szCs w:val="24"/>
                <w:highlight w:val="none"/>
              </w:rPr>
              <w:t>12V~28V</w:t>
            </w:r>
          </w:p>
        </w:tc>
        <w:tc>
          <w:tcPr>
            <w:tcW w:w="2461" w:type="pct"/>
            <w:tcBorders>
              <w:right w:val="single" w:color="000000" w:sz="8" w:space="0"/>
            </w:tcBorders>
          </w:tcPr>
          <w:p>
            <w:pPr>
              <w:pStyle w:val="1028"/>
              <w:spacing w:line="400" w:lineRule="exact"/>
              <w:rPr>
                <w:rFonts w:ascii="仿宋" w:hAnsi="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87" w:type="pct"/>
            <w:vMerge w:val="restart"/>
            <w:vAlign w:val="center"/>
          </w:tcPr>
          <w:p>
            <w:pPr>
              <w:pStyle w:val="1028"/>
              <w:spacing w:line="400" w:lineRule="exact"/>
              <w:ind w:left="115"/>
              <w:jc w:val="center"/>
              <w:rPr>
                <w:rFonts w:ascii="仿宋" w:hAnsi="仿宋"/>
                <w:color w:val="auto"/>
                <w:sz w:val="24"/>
                <w:szCs w:val="24"/>
                <w:highlight w:val="none"/>
              </w:rPr>
            </w:pPr>
            <w:r>
              <w:rPr>
                <w:rFonts w:hint="eastAsia" w:ascii="仿宋" w:hAnsi="仿宋"/>
                <w:color w:val="auto"/>
                <w:sz w:val="24"/>
                <w:szCs w:val="24"/>
                <w:highlight w:val="none"/>
              </w:rPr>
              <w:t>功耗</w:t>
            </w:r>
          </w:p>
        </w:tc>
        <w:tc>
          <w:tcPr>
            <w:tcW w:w="376" w:type="pct"/>
            <w:vAlign w:val="center"/>
          </w:tcPr>
          <w:p>
            <w:pPr>
              <w:pStyle w:val="1028"/>
              <w:spacing w:before="80" w:line="400" w:lineRule="exact"/>
              <w:ind w:left="114"/>
              <w:jc w:val="center"/>
              <w:rPr>
                <w:rFonts w:ascii="仿宋" w:hAnsi="仿宋"/>
                <w:color w:val="auto"/>
                <w:sz w:val="24"/>
                <w:szCs w:val="24"/>
                <w:highlight w:val="none"/>
              </w:rPr>
            </w:pPr>
            <w:r>
              <w:rPr>
                <w:rFonts w:hint="eastAsia" w:ascii="仿宋" w:hAnsi="仿宋"/>
                <w:color w:val="auto"/>
                <w:sz w:val="24"/>
                <w:szCs w:val="24"/>
                <w:highlight w:val="none"/>
              </w:rPr>
              <w:t>待机</w:t>
            </w:r>
          </w:p>
        </w:tc>
        <w:tc>
          <w:tcPr>
            <w:tcW w:w="1576" w:type="pct"/>
            <w:vAlign w:val="center"/>
          </w:tcPr>
          <w:p>
            <w:pPr>
              <w:pStyle w:val="1028"/>
              <w:spacing w:before="87" w:line="400" w:lineRule="exact"/>
              <w:ind w:left="114"/>
              <w:jc w:val="center"/>
              <w:rPr>
                <w:rFonts w:ascii="仿宋" w:hAnsi="仿宋"/>
                <w:color w:val="auto"/>
                <w:sz w:val="24"/>
                <w:szCs w:val="24"/>
                <w:highlight w:val="none"/>
              </w:rPr>
            </w:pPr>
            <w:r>
              <w:rPr>
                <w:rFonts w:hint="eastAsia" w:ascii="仿宋" w:hAnsi="仿宋"/>
                <w:color w:val="auto"/>
                <w:sz w:val="24"/>
                <w:szCs w:val="24"/>
                <w:highlight w:val="none"/>
              </w:rPr>
              <w:t>≤2.5W</w:t>
            </w:r>
          </w:p>
        </w:tc>
        <w:tc>
          <w:tcPr>
            <w:tcW w:w="2461" w:type="pct"/>
            <w:vMerge w:val="restart"/>
            <w:tcBorders>
              <w:right w:val="single" w:color="000000" w:sz="8" w:space="0"/>
            </w:tcBorders>
          </w:tcPr>
          <w:p>
            <w:pPr>
              <w:pStyle w:val="1028"/>
              <w:spacing w:before="152" w:line="400" w:lineRule="exact"/>
              <w:ind w:left="125" w:right="787"/>
              <w:rPr>
                <w:rFonts w:ascii="仿宋" w:hAnsi="仿宋"/>
                <w:color w:val="auto"/>
                <w:sz w:val="24"/>
                <w:szCs w:val="24"/>
                <w:highlight w:val="none"/>
                <w:lang w:eastAsia="zh-CN"/>
              </w:rPr>
            </w:pPr>
            <w:r>
              <w:rPr>
                <w:rFonts w:hint="eastAsia" w:ascii="仿宋" w:hAnsi="仿宋"/>
                <w:b/>
                <w:color w:val="auto"/>
                <w:sz w:val="24"/>
                <w:szCs w:val="24"/>
                <w:highlight w:val="none"/>
                <w:lang w:eastAsia="zh-CN"/>
              </w:rPr>
              <w:t>电源的供电参考要求： 电源输出能力</w:t>
            </w:r>
            <w:r>
              <w:rPr>
                <w:rFonts w:hint="eastAsia" w:ascii="仿宋" w:hAnsi="仿宋"/>
                <w:color w:val="auto"/>
                <w:sz w:val="24"/>
                <w:szCs w:val="24"/>
                <w:highlight w:val="none"/>
                <w:lang w:eastAsia="zh-CN"/>
              </w:rPr>
              <w:t>≥50W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587" w:type="pct"/>
            <w:vMerge w:val="continue"/>
            <w:tcBorders>
              <w:top w:val="nil"/>
            </w:tcBorders>
          </w:tcPr>
          <w:p>
            <w:pPr>
              <w:autoSpaceDE w:val="0"/>
              <w:autoSpaceDN w:val="0"/>
              <w:spacing w:line="400" w:lineRule="exact"/>
              <w:rPr>
                <w:color w:val="auto"/>
                <w:highlight w:val="none"/>
              </w:rPr>
            </w:pPr>
          </w:p>
        </w:tc>
        <w:tc>
          <w:tcPr>
            <w:tcW w:w="376" w:type="pct"/>
            <w:vAlign w:val="center"/>
          </w:tcPr>
          <w:p>
            <w:pPr>
              <w:pStyle w:val="1028"/>
              <w:spacing w:before="68" w:line="400" w:lineRule="exact"/>
              <w:ind w:left="114"/>
              <w:jc w:val="center"/>
              <w:rPr>
                <w:rFonts w:ascii="仿宋" w:hAnsi="仿宋"/>
                <w:color w:val="auto"/>
                <w:sz w:val="24"/>
                <w:szCs w:val="24"/>
                <w:highlight w:val="none"/>
              </w:rPr>
            </w:pPr>
            <w:r>
              <w:rPr>
                <w:rFonts w:hint="eastAsia" w:ascii="仿宋" w:hAnsi="仿宋"/>
                <w:color w:val="auto"/>
                <w:sz w:val="24"/>
                <w:szCs w:val="24"/>
                <w:highlight w:val="none"/>
              </w:rPr>
              <w:t>发射</w:t>
            </w:r>
          </w:p>
        </w:tc>
        <w:tc>
          <w:tcPr>
            <w:tcW w:w="1576" w:type="pct"/>
            <w:vAlign w:val="center"/>
          </w:tcPr>
          <w:p>
            <w:pPr>
              <w:pStyle w:val="1028"/>
              <w:spacing w:before="68" w:line="400" w:lineRule="exact"/>
              <w:ind w:left="114"/>
              <w:jc w:val="center"/>
              <w:rPr>
                <w:rFonts w:ascii="仿宋" w:hAnsi="仿宋"/>
                <w:color w:val="auto"/>
                <w:sz w:val="24"/>
                <w:szCs w:val="24"/>
                <w:highlight w:val="none"/>
              </w:rPr>
            </w:pPr>
            <w:r>
              <w:rPr>
                <w:rFonts w:hint="eastAsia" w:ascii="仿宋" w:hAnsi="仿宋"/>
                <w:color w:val="auto"/>
                <w:sz w:val="24"/>
                <w:szCs w:val="24"/>
                <w:highlight w:val="none"/>
              </w:rPr>
              <w:t>≤40W（瞬态功耗，≤200mS）</w:t>
            </w:r>
          </w:p>
        </w:tc>
        <w:tc>
          <w:tcPr>
            <w:tcW w:w="2461" w:type="pct"/>
            <w:vMerge w:val="continue"/>
            <w:tcBorders>
              <w:top w:val="nil"/>
              <w:right w:val="single" w:color="000000" w:sz="8" w:space="0"/>
            </w:tcBorders>
          </w:tcPr>
          <w:p>
            <w:pPr>
              <w:autoSpaceDE w:val="0"/>
              <w:autoSpaceDN w:val="0"/>
              <w:spacing w:line="400" w:lineRule="exact"/>
              <w:rPr>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3、环境适应性要求</w:t>
      </w:r>
    </w:p>
    <w:p>
      <w:pPr>
        <w:spacing w:line="400" w:lineRule="exact"/>
        <w:ind w:firstLine="480" w:firstLineChars="200"/>
        <w:rPr>
          <w:color w:val="auto"/>
          <w:highlight w:val="none"/>
        </w:rPr>
      </w:pPr>
      <w:r>
        <w:rPr>
          <w:rFonts w:hint="eastAsia"/>
          <w:color w:val="auto"/>
          <w:highlight w:val="none"/>
        </w:rPr>
        <w:t>北斗通讯终端需采用防水设计 IP67，工作温度为-25~+70℃，可在室外可靠工作。</w:t>
      </w:r>
    </w:p>
    <w:p>
      <w:pPr>
        <w:pStyle w:val="39"/>
        <w:spacing w:line="400" w:lineRule="exact"/>
        <w:ind w:firstLine="482"/>
        <w:jc w:val="center"/>
        <w:rPr>
          <w:rFonts w:ascii="仿宋" w:hAnsi="仿宋"/>
          <w:b/>
          <w:color w:val="auto"/>
          <w:sz w:val="24"/>
          <w:szCs w:val="24"/>
          <w:highlight w:val="none"/>
        </w:rPr>
      </w:pPr>
      <w:r>
        <w:rPr>
          <w:rFonts w:hint="eastAsia" w:ascii="仿宋" w:hAnsi="仿宋"/>
          <w:b/>
          <w:color w:val="auto"/>
          <w:sz w:val="24"/>
          <w:szCs w:val="24"/>
          <w:highlight w:val="none"/>
        </w:rPr>
        <w:t>温度范围</w:t>
      </w:r>
    </w:p>
    <w:tbl>
      <w:tblPr>
        <w:tblStyle w:val="89"/>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09"/>
        <w:gridCol w:w="868"/>
        <w:gridCol w:w="4761"/>
        <w:gridCol w:w="1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221" w:type="pct"/>
            <w:gridSpan w:val="2"/>
          </w:tcPr>
          <w:p>
            <w:pPr>
              <w:pStyle w:val="1028"/>
              <w:spacing w:before="137" w:line="400" w:lineRule="exact"/>
              <w:ind w:left="649" w:right="640"/>
              <w:jc w:val="center"/>
              <w:rPr>
                <w:rFonts w:ascii="仿宋" w:hAnsi="仿宋"/>
                <w:b/>
                <w:color w:val="auto"/>
                <w:sz w:val="24"/>
                <w:szCs w:val="24"/>
                <w:highlight w:val="none"/>
              </w:rPr>
            </w:pPr>
            <w:r>
              <w:rPr>
                <w:rFonts w:hint="eastAsia" w:ascii="仿宋" w:hAnsi="仿宋"/>
                <w:b/>
                <w:color w:val="auto"/>
                <w:sz w:val="24"/>
                <w:szCs w:val="24"/>
                <w:highlight w:val="none"/>
              </w:rPr>
              <w:t>指标项</w:t>
            </w:r>
          </w:p>
        </w:tc>
        <w:tc>
          <w:tcPr>
            <w:tcW w:w="2670" w:type="pct"/>
          </w:tcPr>
          <w:p>
            <w:pPr>
              <w:pStyle w:val="1028"/>
              <w:spacing w:before="137" w:line="400" w:lineRule="exact"/>
              <w:ind w:left="1794" w:right="1787"/>
              <w:jc w:val="center"/>
              <w:rPr>
                <w:rFonts w:ascii="仿宋" w:hAnsi="仿宋"/>
                <w:b/>
                <w:color w:val="auto"/>
                <w:sz w:val="24"/>
                <w:szCs w:val="24"/>
                <w:highlight w:val="none"/>
              </w:rPr>
            </w:pPr>
            <w:r>
              <w:rPr>
                <w:rFonts w:hint="eastAsia" w:ascii="仿宋" w:hAnsi="仿宋"/>
                <w:b/>
                <w:color w:val="auto"/>
                <w:sz w:val="24"/>
                <w:szCs w:val="24"/>
                <w:highlight w:val="none"/>
              </w:rPr>
              <w:t>指标值</w:t>
            </w:r>
          </w:p>
        </w:tc>
        <w:tc>
          <w:tcPr>
            <w:tcW w:w="1109" w:type="pct"/>
            <w:tcBorders>
              <w:right w:val="single" w:color="000000" w:sz="8" w:space="0"/>
            </w:tcBorders>
          </w:tcPr>
          <w:p>
            <w:pPr>
              <w:pStyle w:val="1028"/>
              <w:spacing w:before="137" w:line="400" w:lineRule="exact"/>
              <w:ind w:left="666" w:right="652"/>
              <w:jc w:val="center"/>
              <w:rPr>
                <w:rFonts w:ascii="仿宋" w:hAnsi="仿宋"/>
                <w:b/>
                <w:color w:val="auto"/>
                <w:sz w:val="24"/>
                <w:szCs w:val="24"/>
                <w:highlight w:val="none"/>
              </w:rPr>
            </w:pPr>
            <w:r>
              <w:rPr>
                <w:rFonts w:hint="eastAsia" w:ascii="仿宋" w:hAnsi="仿宋"/>
                <w:b/>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4" w:type="pct"/>
            <w:vMerge w:val="restart"/>
            <w:vAlign w:val="center"/>
          </w:tcPr>
          <w:p>
            <w:pPr>
              <w:pStyle w:val="1028"/>
              <w:spacing w:line="400" w:lineRule="exact"/>
              <w:ind w:left="114"/>
              <w:jc w:val="center"/>
              <w:rPr>
                <w:rFonts w:ascii="仿宋" w:hAnsi="仿宋"/>
                <w:color w:val="auto"/>
                <w:sz w:val="24"/>
                <w:szCs w:val="24"/>
                <w:highlight w:val="none"/>
              </w:rPr>
            </w:pPr>
            <w:r>
              <w:rPr>
                <w:rFonts w:hint="eastAsia" w:ascii="仿宋" w:hAnsi="仿宋"/>
                <w:color w:val="auto"/>
                <w:sz w:val="24"/>
                <w:szCs w:val="24"/>
                <w:highlight w:val="none"/>
              </w:rPr>
              <w:t>温度范围</w:t>
            </w:r>
          </w:p>
        </w:tc>
        <w:tc>
          <w:tcPr>
            <w:tcW w:w="487" w:type="pct"/>
          </w:tcPr>
          <w:p>
            <w:pPr>
              <w:pStyle w:val="1028"/>
              <w:spacing w:before="164" w:line="400" w:lineRule="exact"/>
              <w:ind w:left="115"/>
              <w:rPr>
                <w:rFonts w:ascii="仿宋" w:hAnsi="仿宋"/>
                <w:color w:val="auto"/>
                <w:sz w:val="24"/>
                <w:szCs w:val="24"/>
                <w:highlight w:val="none"/>
              </w:rPr>
            </w:pPr>
            <w:r>
              <w:rPr>
                <w:rFonts w:hint="eastAsia" w:ascii="仿宋" w:hAnsi="仿宋"/>
                <w:color w:val="auto"/>
                <w:sz w:val="24"/>
                <w:szCs w:val="24"/>
                <w:highlight w:val="none"/>
              </w:rPr>
              <w:t xml:space="preserve">工作 </w:t>
            </w:r>
          </w:p>
        </w:tc>
        <w:tc>
          <w:tcPr>
            <w:tcW w:w="2670" w:type="pct"/>
          </w:tcPr>
          <w:p>
            <w:pPr>
              <w:pStyle w:val="1028"/>
              <w:spacing w:before="164" w:line="400" w:lineRule="exact"/>
              <w:ind w:left="115"/>
              <w:rPr>
                <w:rFonts w:ascii="仿宋" w:hAnsi="仿宋"/>
                <w:color w:val="auto"/>
                <w:sz w:val="24"/>
                <w:szCs w:val="24"/>
                <w:highlight w:val="none"/>
              </w:rPr>
            </w:pPr>
            <w:r>
              <w:rPr>
                <w:rFonts w:hint="eastAsia" w:ascii="仿宋" w:hAnsi="仿宋"/>
                <w:color w:val="auto"/>
                <w:sz w:val="24"/>
                <w:szCs w:val="24"/>
                <w:highlight w:val="none"/>
              </w:rPr>
              <w:t xml:space="preserve">-25~+70℃（SIM 卡推荐工作温度） </w:t>
            </w:r>
          </w:p>
        </w:tc>
        <w:tc>
          <w:tcPr>
            <w:tcW w:w="1109" w:type="pct"/>
            <w:tcBorders>
              <w:right w:val="single" w:color="000000" w:sz="8" w:space="0"/>
            </w:tcBorders>
          </w:tcPr>
          <w:p>
            <w:pPr>
              <w:pStyle w:val="1028"/>
              <w:spacing w:line="400" w:lineRule="exact"/>
              <w:rPr>
                <w:rFonts w:ascii="仿宋" w:hAnsi="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4" w:type="pct"/>
            <w:vMerge w:val="continue"/>
            <w:tcBorders>
              <w:top w:val="nil"/>
            </w:tcBorders>
          </w:tcPr>
          <w:p>
            <w:pPr>
              <w:autoSpaceDE w:val="0"/>
              <w:autoSpaceDN w:val="0"/>
              <w:spacing w:line="400" w:lineRule="exact"/>
              <w:rPr>
                <w:color w:val="auto"/>
                <w:highlight w:val="none"/>
              </w:rPr>
            </w:pPr>
          </w:p>
        </w:tc>
        <w:tc>
          <w:tcPr>
            <w:tcW w:w="487" w:type="pct"/>
          </w:tcPr>
          <w:p>
            <w:pPr>
              <w:pStyle w:val="1028"/>
              <w:spacing w:before="145" w:line="400" w:lineRule="exact"/>
              <w:ind w:left="115"/>
              <w:rPr>
                <w:rFonts w:ascii="仿宋" w:hAnsi="仿宋"/>
                <w:color w:val="auto"/>
                <w:sz w:val="24"/>
                <w:szCs w:val="24"/>
                <w:highlight w:val="none"/>
              </w:rPr>
            </w:pPr>
            <w:r>
              <w:rPr>
                <w:rFonts w:hint="eastAsia" w:ascii="仿宋" w:hAnsi="仿宋"/>
                <w:color w:val="auto"/>
                <w:sz w:val="24"/>
                <w:szCs w:val="24"/>
                <w:highlight w:val="none"/>
              </w:rPr>
              <w:t xml:space="preserve">存储 </w:t>
            </w:r>
          </w:p>
        </w:tc>
        <w:tc>
          <w:tcPr>
            <w:tcW w:w="2670" w:type="pct"/>
          </w:tcPr>
          <w:p>
            <w:pPr>
              <w:pStyle w:val="1028"/>
              <w:spacing w:before="145" w:line="400" w:lineRule="exact"/>
              <w:ind w:left="115"/>
              <w:rPr>
                <w:rFonts w:ascii="仿宋" w:hAnsi="仿宋"/>
                <w:color w:val="auto"/>
                <w:sz w:val="24"/>
                <w:szCs w:val="24"/>
                <w:highlight w:val="none"/>
              </w:rPr>
            </w:pPr>
            <w:r>
              <w:rPr>
                <w:rFonts w:hint="eastAsia" w:ascii="仿宋" w:hAnsi="仿宋"/>
                <w:color w:val="auto"/>
                <w:sz w:val="24"/>
                <w:szCs w:val="24"/>
                <w:highlight w:val="none"/>
              </w:rPr>
              <w:t xml:space="preserve">-40~+85℃ </w:t>
            </w:r>
          </w:p>
        </w:tc>
        <w:tc>
          <w:tcPr>
            <w:tcW w:w="1109" w:type="pct"/>
            <w:tcBorders>
              <w:right w:val="single" w:color="000000" w:sz="8" w:space="0"/>
            </w:tcBorders>
          </w:tcPr>
          <w:p>
            <w:pPr>
              <w:pStyle w:val="1028"/>
              <w:spacing w:line="400" w:lineRule="exact"/>
              <w:rPr>
                <w:rFonts w:ascii="仿宋" w:hAnsi="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4" w:type="pct"/>
            <w:vAlign w:val="center"/>
          </w:tcPr>
          <w:p>
            <w:pPr>
              <w:pStyle w:val="1028"/>
              <w:spacing w:before="145" w:line="400" w:lineRule="exact"/>
              <w:ind w:left="114"/>
              <w:jc w:val="center"/>
              <w:rPr>
                <w:rFonts w:ascii="仿宋" w:hAnsi="仿宋"/>
                <w:color w:val="auto"/>
                <w:sz w:val="24"/>
                <w:szCs w:val="24"/>
                <w:highlight w:val="none"/>
              </w:rPr>
            </w:pPr>
            <w:r>
              <w:rPr>
                <w:rFonts w:hint="eastAsia" w:ascii="仿宋" w:hAnsi="仿宋"/>
                <w:color w:val="auto"/>
                <w:sz w:val="24"/>
                <w:szCs w:val="24"/>
                <w:highlight w:val="none"/>
              </w:rPr>
              <w:t>湿度</w:t>
            </w:r>
          </w:p>
        </w:tc>
        <w:tc>
          <w:tcPr>
            <w:tcW w:w="487" w:type="pct"/>
          </w:tcPr>
          <w:p>
            <w:pPr>
              <w:pStyle w:val="1028"/>
              <w:spacing w:line="400" w:lineRule="exact"/>
              <w:rPr>
                <w:rFonts w:ascii="仿宋" w:hAnsi="仿宋"/>
                <w:color w:val="auto"/>
                <w:sz w:val="24"/>
                <w:szCs w:val="24"/>
                <w:highlight w:val="none"/>
              </w:rPr>
            </w:pPr>
          </w:p>
        </w:tc>
        <w:tc>
          <w:tcPr>
            <w:tcW w:w="2670" w:type="pct"/>
          </w:tcPr>
          <w:p>
            <w:pPr>
              <w:pStyle w:val="1028"/>
              <w:spacing w:before="145" w:line="400" w:lineRule="exact"/>
              <w:ind w:left="115"/>
              <w:rPr>
                <w:rFonts w:ascii="仿宋" w:hAnsi="仿宋"/>
                <w:color w:val="auto"/>
                <w:sz w:val="24"/>
                <w:szCs w:val="24"/>
                <w:highlight w:val="none"/>
              </w:rPr>
            </w:pPr>
            <w:r>
              <w:rPr>
                <w:rFonts w:hint="eastAsia" w:ascii="仿宋" w:hAnsi="仿宋"/>
                <w:color w:val="auto"/>
                <w:sz w:val="24"/>
                <w:szCs w:val="24"/>
                <w:highlight w:val="none"/>
              </w:rPr>
              <w:t xml:space="preserve">93%（+40°C） </w:t>
            </w:r>
          </w:p>
        </w:tc>
        <w:tc>
          <w:tcPr>
            <w:tcW w:w="1109" w:type="pct"/>
            <w:tcBorders>
              <w:right w:val="single" w:color="000000" w:sz="8" w:space="0"/>
            </w:tcBorders>
          </w:tcPr>
          <w:p>
            <w:pPr>
              <w:pStyle w:val="1028"/>
              <w:spacing w:line="400" w:lineRule="exact"/>
              <w:rPr>
                <w:rFonts w:ascii="仿宋" w:hAnsi="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4、观测设施基础建设及安装</w:t>
      </w:r>
    </w:p>
    <w:p>
      <w:pPr>
        <w:spacing w:line="400" w:lineRule="exact"/>
        <w:ind w:firstLine="480" w:firstLineChars="200"/>
        <w:rPr>
          <w:color w:val="auto"/>
          <w:highlight w:val="none"/>
        </w:rPr>
      </w:pPr>
      <w:r>
        <w:rPr>
          <w:rFonts w:hint="eastAsia"/>
          <w:color w:val="auto"/>
          <w:highlight w:val="none"/>
        </w:rPr>
        <w:t>为确保</w:t>
      </w:r>
      <w:bookmarkStart w:id="33" w:name="_Hlk103693821"/>
      <w:r>
        <w:rPr>
          <w:rFonts w:hint="eastAsia"/>
          <w:color w:val="auto"/>
          <w:highlight w:val="none"/>
        </w:rPr>
        <w:t>北斗通信终端</w:t>
      </w:r>
      <w:bookmarkEnd w:id="33"/>
      <w:r>
        <w:rPr>
          <w:rFonts w:hint="eastAsia"/>
          <w:color w:val="auto"/>
          <w:highlight w:val="none"/>
        </w:rPr>
        <w:t>气象数据稳定、数据采集符合针对性和代表性要求，需中标单位承担基础建设、以及安装调试且设备正常运行所需的一切费用。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（五）农业气象观测站（水稻）技术需求</w:t>
      </w:r>
    </w:p>
    <w:p>
      <w:pPr>
        <w:spacing w:line="400" w:lineRule="exact"/>
        <w:ind w:firstLine="480" w:firstLineChars="200"/>
        <w:rPr>
          <w:color w:val="auto"/>
          <w:highlight w:val="none"/>
        </w:rPr>
      </w:pPr>
      <w:r>
        <w:rPr>
          <w:rFonts w:hint="eastAsia"/>
          <w:color w:val="auto"/>
          <w:highlight w:val="none"/>
        </w:rPr>
        <w:t>在水稻园区新建粮食观测站，观测要素包括：温度、湿度、风向、风速、辐射、作物冠层红外温度、雨量等。</w:t>
      </w:r>
    </w:p>
    <w:p>
      <w:pPr>
        <w:spacing w:line="400" w:lineRule="exact"/>
        <w:ind w:firstLine="480" w:firstLineChars="200"/>
        <w:rPr>
          <w:color w:val="auto"/>
          <w:highlight w:val="none"/>
        </w:rPr>
      </w:pPr>
      <w:r>
        <w:rPr>
          <w:rFonts w:hint="eastAsia"/>
          <w:color w:val="auto"/>
          <w:highlight w:val="none"/>
        </w:rPr>
        <w:t>（1）空气温度、湿度：在作物冠层上部、中部和底部设置3层，观测高度分别为25、60、150cm，可根据不同时期进行调整高度；</w:t>
      </w:r>
    </w:p>
    <w:p>
      <w:pPr>
        <w:spacing w:line="400" w:lineRule="exact"/>
        <w:ind w:firstLine="480" w:firstLineChars="200"/>
        <w:rPr>
          <w:color w:val="auto"/>
          <w:highlight w:val="none"/>
        </w:rPr>
      </w:pPr>
      <w:r>
        <w:rPr>
          <w:rFonts w:hint="eastAsia"/>
          <w:color w:val="auto"/>
          <w:highlight w:val="none"/>
        </w:rPr>
        <w:t>（2）风向、风速、太阳辐射、光合有效辐射、作物冠层红外温度在作物冠层设置1层，可调整高度；</w:t>
      </w:r>
    </w:p>
    <w:p>
      <w:pPr>
        <w:spacing w:line="400" w:lineRule="exact"/>
        <w:ind w:firstLine="480" w:firstLineChars="200"/>
        <w:rPr>
          <w:color w:val="auto"/>
          <w:highlight w:val="none"/>
        </w:rPr>
      </w:pPr>
      <w:r>
        <w:rPr>
          <w:rFonts w:hint="eastAsia"/>
          <w:color w:val="auto"/>
          <w:highlight w:val="none"/>
        </w:rPr>
        <w:t>（3）雨量：设置1层，观测高度为150cm，放置不遮挡地方，避免影响数值。</w:t>
      </w:r>
    </w:p>
    <w:tbl>
      <w:tblPr>
        <w:tblStyle w:val="89"/>
        <w:tblW w:w="4999" w:type="pct"/>
        <w:tblInd w:w="0" w:type="dxa"/>
        <w:tblLayout w:type="autofit"/>
        <w:tblCellMar>
          <w:top w:w="0" w:type="dxa"/>
          <w:left w:w="108" w:type="dxa"/>
          <w:bottom w:w="0" w:type="dxa"/>
          <w:right w:w="108" w:type="dxa"/>
        </w:tblCellMar>
      </w:tblPr>
      <w:tblGrid>
        <w:gridCol w:w="1674"/>
        <w:gridCol w:w="7440"/>
      </w:tblGrid>
      <w:tr>
        <w:tblPrEx>
          <w:tblCellMar>
            <w:top w:w="0" w:type="dxa"/>
            <w:left w:w="108" w:type="dxa"/>
            <w:bottom w:w="0" w:type="dxa"/>
            <w:right w:w="108" w:type="dxa"/>
          </w:tblCellMar>
        </w:tblPrEx>
        <w:trPr>
          <w:trHeight w:val="108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雨量传感器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雨口直径：Φ2000+0.6 mm，刃口锐角角度40º～45º；分辨率：0.1mm；雨强测量范围：0mm/min～4mm/min；最大允许误差：±0.4mm(≤10mm)，±4%(＞10mm)；外形尺寸：高度：520mm，直径：Φ218；输出方式：开关信号；接触功率：0.5W（最大）；触电间耐电压：50VDC（最大）；触电间单次接触时间：≥20ms；工作温度：0℃～＋60℃；存储温度：-45℃～+60℃；环境湿度：10%RH～100%RH；环境气压：450hPa～1060hPa。</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温湿度传感器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kern w:val="0"/>
                <w:highlight w:val="none"/>
                <w:lang w:bidi="ar"/>
              </w:rPr>
            </w:pPr>
            <w:r>
              <w:rPr>
                <w:rFonts w:hint="eastAsia"/>
                <w:color w:val="auto"/>
                <w:kern w:val="0"/>
                <w:highlight w:val="none"/>
                <w:lang w:bidi="ar"/>
              </w:rPr>
              <w:t>准确度：气温±0.2℃，相对湿度±3%（≤80%）、±5%（＞80%）；</w:t>
            </w:r>
          </w:p>
          <w:p>
            <w:pPr>
              <w:widowControl/>
              <w:spacing w:line="400" w:lineRule="exact"/>
              <w:jc w:val="left"/>
              <w:textAlignment w:val="center"/>
              <w:rPr>
                <w:color w:val="auto"/>
                <w:kern w:val="0"/>
                <w:highlight w:val="none"/>
                <w:lang w:bidi="ar"/>
              </w:rPr>
            </w:pPr>
            <w:r>
              <w:rPr>
                <w:rFonts w:hint="eastAsia"/>
                <w:color w:val="auto"/>
                <w:kern w:val="0"/>
                <w:highlight w:val="none"/>
                <w:lang w:bidi="ar"/>
              </w:rPr>
              <w:t>分辨力：气温0.1℃、相对湿度1%；</w:t>
            </w:r>
          </w:p>
          <w:p>
            <w:pPr>
              <w:widowControl/>
              <w:spacing w:line="400" w:lineRule="exact"/>
              <w:jc w:val="left"/>
              <w:textAlignment w:val="center"/>
              <w:rPr>
                <w:color w:val="auto"/>
                <w:highlight w:val="none"/>
              </w:rPr>
            </w:pPr>
            <w:r>
              <w:rPr>
                <w:rFonts w:hint="eastAsia"/>
                <w:color w:val="auto"/>
                <w:kern w:val="0"/>
                <w:highlight w:val="none"/>
                <w:lang w:bidi="ar"/>
              </w:rPr>
              <w:t>测量范围：气温-50℃～+50℃，相对湿度5%～100%RH。</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风速传感器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准确度：±（0.5+0.03V）m/s；分辨力：0.1m/s；范围：0～60m/s。</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风向传感器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准确度：±5°；分辨力：3°；范围：0～360°。</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气压传感器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准确度：±0.3hPa；分辨力：0.1hPa；范围：500hPa～1100hPa。</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总辐射传感器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准确度：±5%；分辨力：1W/m²；范围：0 W/m²～1400W/m²。</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光合有效辐射传感器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准确度：±10%(日累计)；分辨力：1µmol m-2 s-1；范围：2～2000µmol m-2 s-1。</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日照传感器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准确度：±24w/m²；分辨力：1w/m²；范围：0～120w/m²。</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二氧化碳传感器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准确度：±3%测量值；分辨力：1ppm；范围：0～2000ppm。</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地温传感器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Style w:val="1022"/>
                <w:rFonts w:hint="default" w:ascii="仿宋" w:hAnsi="仿宋" w:eastAsia="仿宋" w:cs="仿宋"/>
                <w:color w:val="auto"/>
                <w:sz w:val="24"/>
                <w:szCs w:val="24"/>
                <w:highlight w:val="none"/>
                <w:lang w:bidi="ar"/>
              </w:rPr>
              <w:t>精度：±0.2℃；灵敏度：0.385</w:t>
            </w:r>
            <w:r>
              <w:rPr>
                <w:rStyle w:val="199"/>
                <w:rFonts w:hint="default" w:ascii="仿宋" w:hAnsi="仿宋" w:eastAsia="仿宋" w:cs="仿宋"/>
                <w:color w:val="auto"/>
                <w:sz w:val="24"/>
                <w:szCs w:val="24"/>
                <w:highlight w:val="none"/>
                <w:lang w:bidi="ar"/>
              </w:rPr>
              <w:t>Ω</w:t>
            </w:r>
            <w:r>
              <w:rPr>
                <w:rStyle w:val="1022"/>
                <w:rFonts w:hint="default" w:ascii="仿宋" w:hAnsi="仿宋" w:eastAsia="仿宋" w:cs="仿宋"/>
                <w:color w:val="auto"/>
                <w:sz w:val="24"/>
                <w:szCs w:val="24"/>
                <w:highlight w:val="none"/>
                <w:lang w:bidi="ar"/>
              </w:rPr>
              <w:t>/℃；测量范围：-50℃～+50℃；</w:t>
            </w:r>
            <w:r>
              <w:rPr>
                <w:rFonts w:hint="eastAsia"/>
                <w:color w:val="auto"/>
                <w:kern w:val="0"/>
                <w:highlight w:val="none"/>
                <w:lang w:bidi="ar"/>
              </w:rPr>
              <w:t>分辨力：0.1℃</w:t>
            </w:r>
          </w:p>
        </w:tc>
      </w:tr>
      <w:tr>
        <w:tblPrEx>
          <w:tblCellMar>
            <w:top w:w="0" w:type="dxa"/>
            <w:left w:w="108" w:type="dxa"/>
            <w:bottom w:w="0" w:type="dxa"/>
            <w:right w:w="108" w:type="dxa"/>
          </w:tblCellMar>
        </w:tblPrEx>
        <w:trPr>
          <w:trHeight w:val="81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高清摄像机</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工作温度：-30℃～60℃；感光元件类型：CMOS；有效像素：400万；图像预处理：自动对焦、自动曝光、自动白平衡等；文件格式：支持JPEG、TIFF等；数据接口：RJ45；电源：DC,11.5V～14V；采集频率：自动采集时间为每日9:00,10:00,11:00,12:00,</w:t>
            </w:r>
            <w:r>
              <w:rPr>
                <w:rFonts w:hint="eastAsia"/>
                <w:color w:val="auto"/>
                <w:kern w:val="0"/>
                <w:highlight w:val="none"/>
                <w:lang w:bidi="ar"/>
              </w:rPr>
              <w:br w:type="textWrapping"/>
            </w:r>
            <w:r>
              <w:rPr>
                <w:rFonts w:hint="eastAsia"/>
                <w:color w:val="auto"/>
                <w:kern w:val="0"/>
                <w:highlight w:val="none"/>
                <w:lang w:bidi="ar"/>
              </w:rPr>
              <w:t>13:00,14:00,15:00,16:00.根据观测目标的不同，可以设定图像采集频率和采集时间。</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显示屏</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192*128点阵/8行12字，交流供电。</w:t>
            </w:r>
          </w:p>
        </w:tc>
      </w:tr>
      <w:tr>
        <w:tblPrEx>
          <w:tblCellMar>
            <w:top w:w="0" w:type="dxa"/>
            <w:left w:w="108" w:type="dxa"/>
            <w:bottom w:w="0" w:type="dxa"/>
            <w:right w:w="108" w:type="dxa"/>
          </w:tblCellMar>
        </w:tblPrEx>
        <w:trPr>
          <w:trHeight w:val="135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数据主采集系统</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包含采集器处理单元、机箱及防辐射罩、防雷抗干扰单元、采集系统附件等。RS232串行口×3：波特率、数据位、停止位、校验位可设，速率范围9600～115200。RS485总线接口：波特率、数据位、停止位、校验位可设，速率范围9600～115200。调试串口：用于设备调试，默认为波特率：9600，校验位：NONE，数据位：8，停止位：1。扩展存储卡接口：用于连接TF扩展卡（micorSD卡），标准配置容量2G。电池/电源接口：均为两芯5.08mm插座。电源输入范围7V～15V。CAN接口：使用CAN2.0A/B通用协议。整机功耗：30mA。（不包括CAN（20 mA）、RS-485（20 mA）、LAN接口（100 mA））。LAN接口：支持ETHERNET 10/100M，TCP/IP</w:t>
            </w:r>
          </w:p>
        </w:tc>
      </w:tr>
      <w:tr>
        <w:tblPrEx>
          <w:tblCellMar>
            <w:top w:w="0" w:type="dxa"/>
            <w:left w:w="108" w:type="dxa"/>
            <w:bottom w:w="0" w:type="dxa"/>
            <w:right w:w="108" w:type="dxa"/>
          </w:tblCellMar>
        </w:tblPrEx>
        <w:trPr>
          <w:trHeight w:val="81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地温分采集系统</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调试串口：用于设备调试，固定为波特率9600，校验位NONE，数据位8，停止位1。工作温度：工业级-40～80℃。处理器：Mega64处理器。AD分辨率：16位。通道容量：12路电阻输入。电阻测量精度：0.04Ω。电阻采样范围：70Ω~150Ω。电源输入电压：输入电压7V-15V，额定12V。电压分布结构：5V±1%。整机功耗：18±2mA</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供电系统</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电压范围：(1±20％)×220V；电源频率：(1±10％)×50Hz；电源电压：DC，9V～15V；电源功耗(采集器)：≤2W。</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通讯系统</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支持 RS-232/485 接口；支持 2G、3G、4G 网络自动识别并切换。</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kern w:val="0"/>
                <w:highlight w:val="none"/>
                <w:lang w:bidi="ar"/>
              </w:rPr>
            </w:pPr>
            <w:r>
              <w:rPr>
                <w:rFonts w:hint="eastAsia"/>
                <w:color w:val="auto"/>
                <w:kern w:val="0"/>
                <w:highlight w:val="none"/>
                <w:lang w:bidi="ar"/>
              </w:rPr>
              <w:t>工作环境适应性</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kern w:val="0"/>
                <w:highlight w:val="none"/>
                <w:lang w:bidi="ar"/>
              </w:rPr>
            </w:pPr>
            <w:r>
              <w:rPr>
                <w:rFonts w:hint="eastAsia"/>
                <w:color w:val="auto"/>
                <w:kern w:val="0"/>
                <w:highlight w:val="none"/>
                <w:lang w:bidi="ar"/>
              </w:rPr>
              <w:t>气温-35℃～＋50℃，地面温度-40℃～＋80℃，相对湿度10%～100%，大气压力450～1060hPa，太阳辐射1120w/m2，抗风能力0～75m/s，降水强度：6 mm/min。</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）农业气象观测站（园区）技术需求</w:t>
      </w:r>
    </w:p>
    <w:p>
      <w:pPr>
        <w:spacing w:line="400" w:lineRule="exact"/>
        <w:ind w:firstLine="480" w:firstLineChars="200"/>
        <w:rPr>
          <w:color w:val="auto"/>
          <w:highlight w:val="none"/>
        </w:rPr>
      </w:pPr>
      <w:r>
        <w:rPr>
          <w:rFonts w:hint="eastAsia"/>
          <w:color w:val="auto"/>
          <w:highlight w:val="none"/>
        </w:rPr>
        <w:t>在农业园区新建农业小气候站，观测要素包括空气温度、空气湿度、地温等。各层次的观测高度和观测要素可根据作物观测需求进行选配。</w:t>
      </w:r>
    </w:p>
    <w:tbl>
      <w:tblPr>
        <w:tblStyle w:val="89"/>
        <w:tblW w:w="4999" w:type="pct"/>
        <w:tblInd w:w="0" w:type="dxa"/>
        <w:tblLayout w:type="autofit"/>
        <w:tblCellMar>
          <w:top w:w="0" w:type="dxa"/>
          <w:left w:w="108" w:type="dxa"/>
          <w:bottom w:w="0" w:type="dxa"/>
          <w:right w:w="108" w:type="dxa"/>
        </w:tblCellMar>
      </w:tblPr>
      <w:tblGrid>
        <w:gridCol w:w="1674"/>
        <w:gridCol w:w="7440"/>
      </w:tblGrid>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温湿度传感器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kern w:val="0"/>
                <w:highlight w:val="none"/>
                <w:lang w:bidi="ar"/>
              </w:rPr>
            </w:pPr>
            <w:r>
              <w:rPr>
                <w:rFonts w:hint="eastAsia"/>
                <w:color w:val="auto"/>
                <w:kern w:val="0"/>
                <w:highlight w:val="none"/>
                <w:lang w:bidi="ar"/>
              </w:rPr>
              <w:t>准确度：气温±0.2℃，相对湿度±3%（≤80%）、±5%（＞80%）；</w:t>
            </w:r>
          </w:p>
          <w:p>
            <w:pPr>
              <w:widowControl/>
              <w:spacing w:line="400" w:lineRule="exact"/>
              <w:jc w:val="left"/>
              <w:textAlignment w:val="center"/>
              <w:rPr>
                <w:color w:val="auto"/>
                <w:kern w:val="0"/>
                <w:highlight w:val="none"/>
                <w:lang w:bidi="ar"/>
              </w:rPr>
            </w:pPr>
            <w:r>
              <w:rPr>
                <w:rFonts w:hint="eastAsia"/>
                <w:color w:val="auto"/>
                <w:kern w:val="0"/>
                <w:highlight w:val="none"/>
                <w:lang w:bidi="ar"/>
              </w:rPr>
              <w:t>分辨力：气温0.1℃、相对湿度1%；</w:t>
            </w:r>
          </w:p>
          <w:p>
            <w:pPr>
              <w:widowControl/>
              <w:spacing w:line="400" w:lineRule="exact"/>
              <w:jc w:val="left"/>
              <w:textAlignment w:val="center"/>
              <w:rPr>
                <w:color w:val="auto"/>
                <w:highlight w:val="none"/>
              </w:rPr>
            </w:pPr>
            <w:r>
              <w:rPr>
                <w:rFonts w:hint="eastAsia"/>
                <w:color w:val="auto"/>
                <w:kern w:val="0"/>
                <w:highlight w:val="none"/>
                <w:lang w:bidi="ar"/>
              </w:rPr>
              <w:t>范围：气温-50℃～+50℃，相对湿度5%～100%RH。</w:t>
            </w:r>
          </w:p>
        </w:tc>
      </w:tr>
      <w:tr>
        <w:tblPrEx>
          <w:tblCellMar>
            <w:top w:w="0" w:type="dxa"/>
            <w:left w:w="108" w:type="dxa"/>
            <w:bottom w:w="0" w:type="dxa"/>
            <w:right w:w="108" w:type="dxa"/>
          </w:tblCellMar>
        </w:tblPrEx>
        <w:trPr>
          <w:trHeight w:val="2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地温传感器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精度：±0.2℃；灵敏度：0.385Ω/℃；测量范围：-50℃～+50℃；分辨力：0.1℃</w:t>
            </w:r>
          </w:p>
        </w:tc>
      </w:tr>
      <w:tr>
        <w:tblPrEx>
          <w:tblCellMar>
            <w:top w:w="0" w:type="dxa"/>
            <w:left w:w="108" w:type="dxa"/>
            <w:bottom w:w="0" w:type="dxa"/>
            <w:right w:w="108" w:type="dxa"/>
          </w:tblCellMar>
        </w:tblPrEx>
        <w:trPr>
          <w:trHeight w:val="135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数据采集系统</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包含采集器处理单元、机箱及防辐射罩、防雷抗干扰单元、采集系统附件等。RS232串行口×3：波特率、数据位、停止位、校验位可设，速率范围9600～115200。RS485总线接口：波特率、数据位、停止位、校验位可设，速率范围9600～115200。调试串口：用于设备调试，默认为波特率：9600，校验位：NONE，数据位：8，停止位：1。扩展存储卡接口：用于连接TF扩展卡（micorSD卡），标准配置容量2G。电池/电源接口：均为两芯5.08mm插座。电源输入范围7V～15V。CAN接口：使用CAN2.0A/B通用协议。整机功耗：30mA。（不包括CAN（20 mA）、RS-485（20 mA）、LAN接口（100 mA））。LAN接口：支持ETHERNET 10/100M，TCP/IP</w:t>
            </w:r>
          </w:p>
        </w:tc>
      </w:tr>
      <w:tr>
        <w:tblPrEx>
          <w:tblCellMar>
            <w:top w:w="0" w:type="dxa"/>
            <w:left w:w="108" w:type="dxa"/>
            <w:bottom w:w="0" w:type="dxa"/>
            <w:right w:w="108" w:type="dxa"/>
          </w:tblCellMar>
        </w:tblPrEx>
        <w:trPr>
          <w:trHeight w:val="135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数据采集器</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RS232串行口×3：波特率、数据位、停止位、校验位可设，速率范围9600～115200。RS485总线接口：波特率、数据位、停止位、校验位可设，速率范围9600～115200。调试串口：用于设备调试，默认为波特率：9600，校验位：NONE，数据位：8，停止位：1。扩展存储卡接口：用于连接TF扩展卡（micorSD卡），标准配置容量2G。电池/电源接口：均为两芯5.08mm插座。电源输入范围7V～15V。CAN接口：使用CAN2.0A/B通用协议。整机功耗：30mA。（不包括CAN（20 mA）、RS-485（20 mA）、LAN接口（100 mA））。LAN接口：支持ETHERNET 10/100M，TCP/IP</w:t>
            </w:r>
          </w:p>
        </w:tc>
      </w:tr>
      <w:tr>
        <w:tblPrEx>
          <w:tblCellMar>
            <w:top w:w="0" w:type="dxa"/>
            <w:left w:w="108" w:type="dxa"/>
            <w:bottom w:w="0" w:type="dxa"/>
            <w:right w:w="108" w:type="dxa"/>
          </w:tblCellMar>
        </w:tblPrEx>
        <w:trPr>
          <w:trHeight w:val="135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太阳能供电系统</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太阳能电源板：峰值功率：50W；功差：+3% /-3%；工作电压：17.5V；工作电流：1.18A；开路电压：22.0V；短路电流：1.28A；最大功率点电压：17V。二极管：10A；接线盒类型：通过TUV认证的接线盒；环境温度：-25℃～＋50℃；击穿电压：AC2000V, DC 3000V；抗风力系数：60m/s(200kg/sq.m)；耐冲击冰雹撞击系数：能承受227g钢球从1m高掉下的撞击；换效率：﹥15.25%。太阳能电源控制器：电压：12V；组件最大输入电流：8A；最大负载电流：8A；深放电保护功能：有；组件最大电压：47V；最大自损耗：&lt;4mA；深放电保护电压值（LED）：11.1V。。蓄电池：12V65Ah。</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color w:val="auto"/>
                <w:highlight w:val="none"/>
              </w:rPr>
            </w:pPr>
            <w:r>
              <w:rPr>
                <w:rFonts w:hint="eastAsia"/>
                <w:color w:val="auto"/>
                <w:kern w:val="0"/>
                <w:highlight w:val="none"/>
                <w:lang w:bidi="ar"/>
              </w:rPr>
              <w:t>通讯系统</w:t>
            </w:r>
          </w:p>
        </w:tc>
        <w:tc>
          <w:tcPr>
            <w:tcW w:w="4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color w:val="auto"/>
                <w:highlight w:val="none"/>
              </w:rPr>
            </w:pPr>
            <w:r>
              <w:rPr>
                <w:rFonts w:hint="eastAsia"/>
                <w:color w:val="auto"/>
                <w:kern w:val="0"/>
                <w:highlight w:val="none"/>
                <w:lang w:bidi="ar"/>
              </w:rPr>
              <w:t>电压：+6～16VDC，纹波小于300mV。功耗：通信中平均 170mA；空闲时50mA。其他：支持 RS-232/485 接口、使用方便、灵活、可靠、数据终端永远在线、支持 2G、3G、4G 网络自动识别并切换</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）气象仪器备件技术需求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1、传感器</w:t>
      </w:r>
      <w:r>
        <w:rPr>
          <w:rFonts w:hint="eastAsia" w:ascii="仿宋" w:hAnsi="仿宋" w:eastAsia="仿宋" w:cs="仿宋"/>
          <w:b/>
          <w:bCs/>
          <w:color w:val="auto"/>
          <w:sz w:val="24"/>
          <w:szCs w:val="24"/>
          <w:highlight w:val="none"/>
        </w:rPr>
        <w:t>性能指标</w:t>
      </w:r>
    </w:p>
    <w:tbl>
      <w:tblPr>
        <w:tblStyle w:val="8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229"/>
        <w:gridCol w:w="1748"/>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pct"/>
            <w:vAlign w:val="center"/>
          </w:tcPr>
          <w:p>
            <w:pPr>
              <w:spacing w:line="400" w:lineRule="exact"/>
              <w:jc w:val="center"/>
              <w:rPr>
                <w:color w:val="auto"/>
                <w:highlight w:val="none"/>
              </w:rPr>
            </w:pPr>
            <w:r>
              <w:rPr>
                <w:rFonts w:hint="eastAsia"/>
                <w:color w:val="auto"/>
                <w:highlight w:val="none"/>
              </w:rPr>
              <w:t>设备名称</w:t>
            </w:r>
          </w:p>
        </w:tc>
        <w:tc>
          <w:tcPr>
            <w:tcW w:w="1223" w:type="pct"/>
            <w:vAlign w:val="center"/>
          </w:tcPr>
          <w:p>
            <w:pPr>
              <w:spacing w:line="400" w:lineRule="exact"/>
              <w:jc w:val="center"/>
              <w:rPr>
                <w:color w:val="auto"/>
                <w:highlight w:val="none"/>
              </w:rPr>
            </w:pPr>
            <w:r>
              <w:rPr>
                <w:rFonts w:hint="eastAsia"/>
                <w:color w:val="auto"/>
                <w:highlight w:val="none"/>
              </w:rPr>
              <w:t>范围</w:t>
            </w:r>
          </w:p>
        </w:tc>
        <w:tc>
          <w:tcPr>
            <w:tcW w:w="959" w:type="pct"/>
            <w:vAlign w:val="center"/>
          </w:tcPr>
          <w:p>
            <w:pPr>
              <w:spacing w:line="400" w:lineRule="exact"/>
              <w:jc w:val="center"/>
              <w:rPr>
                <w:color w:val="auto"/>
                <w:highlight w:val="none"/>
              </w:rPr>
            </w:pPr>
            <w:r>
              <w:rPr>
                <w:rFonts w:hint="eastAsia"/>
                <w:color w:val="auto"/>
                <w:highlight w:val="none"/>
              </w:rPr>
              <w:t>分辨力</w:t>
            </w:r>
          </w:p>
        </w:tc>
        <w:tc>
          <w:tcPr>
            <w:tcW w:w="1901" w:type="pct"/>
            <w:vAlign w:val="center"/>
          </w:tcPr>
          <w:p>
            <w:pPr>
              <w:spacing w:line="400" w:lineRule="exact"/>
              <w:jc w:val="center"/>
              <w:rPr>
                <w:color w:val="auto"/>
                <w:highlight w:val="none"/>
              </w:rPr>
            </w:pPr>
            <w:r>
              <w:rPr>
                <w:rFonts w:hint="eastAsia"/>
                <w:color w:val="auto"/>
                <w:highlight w:val="none"/>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pct"/>
            <w:vAlign w:val="center"/>
          </w:tcPr>
          <w:p>
            <w:pPr>
              <w:spacing w:line="400" w:lineRule="exact"/>
              <w:jc w:val="left"/>
              <w:rPr>
                <w:color w:val="auto"/>
                <w:highlight w:val="none"/>
              </w:rPr>
            </w:pPr>
            <w:r>
              <w:rPr>
                <w:rFonts w:hint="eastAsia"/>
                <w:color w:val="auto"/>
                <w:highlight w:val="none"/>
              </w:rPr>
              <w:t>雨量传感器</w:t>
            </w:r>
          </w:p>
        </w:tc>
        <w:tc>
          <w:tcPr>
            <w:tcW w:w="1223" w:type="pct"/>
            <w:vAlign w:val="center"/>
          </w:tcPr>
          <w:p>
            <w:pPr>
              <w:spacing w:line="400" w:lineRule="exact"/>
              <w:jc w:val="left"/>
              <w:rPr>
                <w:color w:val="auto"/>
                <w:highlight w:val="none"/>
              </w:rPr>
            </w:pPr>
            <w:r>
              <w:rPr>
                <w:rFonts w:hint="eastAsia"/>
                <w:color w:val="auto"/>
                <w:highlight w:val="none"/>
              </w:rPr>
              <w:t>雨强0～4mm/min</w:t>
            </w:r>
          </w:p>
        </w:tc>
        <w:tc>
          <w:tcPr>
            <w:tcW w:w="959" w:type="pct"/>
            <w:vAlign w:val="center"/>
          </w:tcPr>
          <w:p>
            <w:pPr>
              <w:spacing w:line="400" w:lineRule="exact"/>
              <w:jc w:val="left"/>
              <w:rPr>
                <w:color w:val="auto"/>
                <w:highlight w:val="none"/>
              </w:rPr>
            </w:pPr>
            <w:r>
              <w:rPr>
                <w:rFonts w:hint="eastAsia"/>
                <w:color w:val="auto"/>
                <w:highlight w:val="none"/>
              </w:rPr>
              <w:t>0.1mm</w:t>
            </w:r>
          </w:p>
        </w:tc>
        <w:tc>
          <w:tcPr>
            <w:tcW w:w="1901" w:type="pct"/>
            <w:vAlign w:val="center"/>
          </w:tcPr>
          <w:p>
            <w:pPr>
              <w:spacing w:line="400" w:lineRule="exact"/>
              <w:jc w:val="left"/>
              <w:rPr>
                <w:color w:val="auto"/>
                <w:highlight w:val="none"/>
              </w:rPr>
            </w:pPr>
            <w:r>
              <w:rPr>
                <w:rFonts w:hint="eastAsia"/>
                <w:color w:val="auto"/>
                <w:highlight w:val="none"/>
              </w:rPr>
              <w:t>±0.4mm（≤10mm）±4%（＞10mm）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pct"/>
            <w:vAlign w:val="center"/>
          </w:tcPr>
          <w:p>
            <w:pPr>
              <w:spacing w:line="400" w:lineRule="exact"/>
              <w:jc w:val="left"/>
              <w:rPr>
                <w:color w:val="auto"/>
                <w:highlight w:val="none"/>
              </w:rPr>
            </w:pPr>
            <w:r>
              <w:rPr>
                <w:rFonts w:hint="eastAsia"/>
                <w:color w:val="auto"/>
                <w:highlight w:val="none"/>
              </w:rPr>
              <w:t>温度传感器</w:t>
            </w:r>
          </w:p>
        </w:tc>
        <w:tc>
          <w:tcPr>
            <w:tcW w:w="1223" w:type="pct"/>
            <w:vAlign w:val="center"/>
          </w:tcPr>
          <w:p>
            <w:pPr>
              <w:spacing w:line="400" w:lineRule="exact"/>
              <w:jc w:val="left"/>
              <w:rPr>
                <w:color w:val="auto"/>
                <w:highlight w:val="none"/>
              </w:rPr>
            </w:pPr>
            <w:r>
              <w:rPr>
                <w:rFonts w:hint="eastAsia"/>
                <w:color w:val="auto"/>
                <w:highlight w:val="none"/>
              </w:rPr>
              <w:t>-50℃～50℃</w:t>
            </w:r>
          </w:p>
        </w:tc>
        <w:tc>
          <w:tcPr>
            <w:tcW w:w="959" w:type="pct"/>
            <w:vAlign w:val="center"/>
          </w:tcPr>
          <w:p>
            <w:pPr>
              <w:spacing w:line="400" w:lineRule="exact"/>
              <w:jc w:val="left"/>
              <w:rPr>
                <w:color w:val="auto"/>
                <w:highlight w:val="none"/>
              </w:rPr>
            </w:pPr>
            <w:r>
              <w:rPr>
                <w:rFonts w:hint="eastAsia"/>
                <w:color w:val="auto"/>
                <w:highlight w:val="none"/>
              </w:rPr>
              <w:t>0.1℃</w:t>
            </w:r>
          </w:p>
        </w:tc>
        <w:tc>
          <w:tcPr>
            <w:tcW w:w="1901" w:type="pct"/>
            <w:vAlign w:val="center"/>
          </w:tcPr>
          <w:p>
            <w:pPr>
              <w:spacing w:line="400" w:lineRule="exact"/>
              <w:jc w:val="left"/>
              <w:rPr>
                <w:color w:val="auto"/>
                <w:highlight w:val="none"/>
              </w:rPr>
            </w:pPr>
            <w:r>
              <w:rPr>
                <w:rFonts w:hint="eastAsia"/>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pct"/>
            <w:vAlign w:val="center"/>
          </w:tcPr>
          <w:p>
            <w:pPr>
              <w:spacing w:line="400" w:lineRule="exact"/>
              <w:jc w:val="left"/>
              <w:rPr>
                <w:color w:val="auto"/>
                <w:highlight w:val="none"/>
              </w:rPr>
            </w:pPr>
            <w:r>
              <w:rPr>
                <w:rFonts w:hint="eastAsia"/>
                <w:color w:val="auto"/>
                <w:highlight w:val="none"/>
              </w:rPr>
              <w:t>温湿度传感器</w:t>
            </w:r>
          </w:p>
        </w:tc>
        <w:tc>
          <w:tcPr>
            <w:tcW w:w="1223" w:type="pct"/>
            <w:vAlign w:val="center"/>
          </w:tcPr>
          <w:p>
            <w:pPr>
              <w:spacing w:line="400" w:lineRule="exact"/>
              <w:jc w:val="left"/>
              <w:rPr>
                <w:color w:val="auto"/>
                <w:highlight w:val="none"/>
              </w:rPr>
            </w:pPr>
            <w:r>
              <w:rPr>
                <w:rFonts w:hint="eastAsia"/>
                <w:color w:val="auto"/>
                <w:highlight w:val="none"/>
              </w:rPr>
              <w:t>气温: -50℃～50℃；</w:t>
            </w:r>
          </w:p>
          <w:p>
            <w:pPr>
              <w:spacing w:line="400" w:lineRule="exact"/>
              <w:jc w:val="left"/>
              <w:rPr>
                <w:color w:val="auto"/>
                <w:highlight w:val="none"/>
              </w:rPr>
            </w:pPr>
            <w:r>
              <w:rPr>
                <w:rFonts w:hint="eastAsia"/>
                <w:color w:val="auto"/>
                <w:highlight w:val="none"/>
              </w:rPr>
              <w:t>相对湿度：5%～100%RH</w:t>
            </w:r>
          </w:p>
        </w:tc>
        <w:tc>
          <w:tcPr>
            <w:tcW w:w="959" w:type="pct"/>
            <w:vAlign w:val="center"/>
          </w:tcPr>
          <w:p>
            <w:pPr>
              <w:spacing w:line="400" w:lineRule="exact"/>
              <w:jc w:val="left"/>
              <w:rPr>
                <w:color w:val="auto"/>
                <w:highlight w:val="none"/>
              </w:rPr>
            </w:pPr>
            <w:r>
              <w:rPr>
                <w:rFonts w:hint="eastAsia"/>
                <w:color w:val="auto"/>
                <w:highlight w:val="none"/>
              </w:rPr>
              <w:t>气温: 0.1℃；</w:t>
            </w:r>
          </w:p>
          <w:p>
            <w:pPr>
              <w:pStyle w:val="39"/>
              <w:spacing w:line="400" w:lineRule="exact"/>
              <w:ind w:firstLine="0"/>
              <w:jc w:val="left"/>
              <w:rPr>
                <w:rFonts w:ascii="仿宋" w:hAnsi="仿宋"/>
                <w:color w:val="auto"/>
                <w:sz w:val="24"/>
                <w:szCs w:val="24"/>
                <w:highlight w:val="none"/>
              </w:rPr>
            </w:pPr>
            <w:r>
              <w:rPr>
                <w:rFonts w:hint="eastAsia" w:ascii="仿宋" w:hAnsi="仿宋"/>
                <w:color w:val="auto"/>
                <w:sz w:val="24"/>
                <w:szCs w:val="24"/>
                <w:highlight w:val="none"/>
              </w:rPr>
              <w:t>相对湿度：1%</w:t>
            </w:r>
          </w:p>
        </w:tc>
        <w:tc>
          <w:tcPr>
            <w:tcW w:w="1901" w:type="pct"/>
            <w:vAlign w:val="center"/>
          </w:tcPr>
          <w:p>
            <w:pPr>
              <w:spacing w:line="400" w:lineRule="exact"/>
              <w:jc w:val="left"/>
              <w:rPr>
                <w:color w:val="auto"/>
                <w:highlight w:val="none"/>
              </w:rPr>
            </w:pPr>
            <w:r>
              <w:rPr>
                <w:rFonts w:hint="eastAsia"/>
                <w:color w:val="auto"/>
                <w:highlight w:val="none"/>
              </w:rPr>
              <w:t>气温：±0.2℃</w:t>
            </w:r>
          </w:p>
          <w:p>
            <w:pPr>
              <w:spacing w:line="400" w:lineRule="exact"/>
              <w:jc w:val="left"/>
              <w:rPr>
                <w:color w:val="auto"/>
                <w:highlight w:val="none"/>
              </w:rPr>
            </w:pPr>
            <w:r>
              <w:rPr>
                <w:rFonts w:hint="eastAsia"/>
                <w:color w:val="auto"/>
                <w:highlight w:val="none"/>
              </w:rPr>
              <w:t>相对湿度：</w:t>
            </w:r>
          </w:p>
          <w:p>
            <w:pPr>
              <w:spacing w:line="400" w:lineRule="exact"/>
              <w:jc w:val="left"/>
              <w:rPr>
                <w:color w:val="auto"/>
                <w:highlight w:val="none"/>
              </w:rPr>
            </w:pPr>
            <w:r>
              <w:rPr>
                <w:rFonts w:hint="eastAsia"/>
                <w:color w:val="auto"/>
                <w:highlight w:val="none"/>
              </w:rPr>
              <w:t>±3%（≤80%）</w:t>
            </w:r>
          </w:p>
          <w:p>
            <w:pPr>
              <w:spacing w:line="400" w:lineRule="exact"/>
              <w:jc w:val="left"/>
              <w:rPr>
                <w:color w:val="auto"/>
                <w:highlight w:val="none"/>
              </w:rPr>
            </w:pPr>
            <w:r>
              <w:rPr>
                <w:rFonts w:hint="eastAsia"/>
                <w:color w:val="auto"/>
                <w:highlight w:val="none"/>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pct"/>
            <w:vAlign w:val="center"/>
          </w:tcPr>
          <w:p>
            <w:pPr>
              <w:spacing w:line="400" w:lineRule="exact"/>
              <w:jc w:val="left"/>
              <w:rPr>
                <w:color w:val="auto"/>
                <w:highlight w:val="none"/>
              </w:rPr>
            </w:pPr>
            <w:r>
              <w:rPr>
                <w:rFonts w:hint="eastAsia"/>
                <w:color w:val="auto"/>
                <w:highlight w:val="none"/>
              </w:rPr>
              <w:t>风速传感器</w:t>
            </w:r>
          </w:p>
        </w:tc>
        <w:tc>
          <w:tcPr>
            <w:tcW w:w="1223" w:type="pct"/>
            <w:vAlign w:val="center"/>
          </w:tcPr>
          <w:p>
            <w:pPr>
              <w:spacing w:line="400" w:lineRule="exact"/>
              <w:jc w:val="left"/>
              <w:rPr>
                <w:color w:val="auto"/>
                <w:highlight w:val="none"/>
              </w:rPr>
            </w:pPr>
            <w:r>
              <w:rPr>
                <w:rFonts w:hint="eastAsia"/>
                <w:color w:val="auto"/>
                <w:highlight w:val="none"/>
              </w:rPr>
              <w:t>0～60m/s</w:t>
            </w:r>
          </w:p>
        </w:tc>
        <w:tc>
          <w:tcPr>
            <w:tcW w:w="959" w:type="pct"/>
            <w:vAlign w:val="center"/>
          </w:tcPr>
          <w:p>
            <w:pPr>
              <w:spacing w:line="400" w:lineRule="exact"/>
              <w:jc w:val="left"/>
              <w:rPr>
                <w:color w:val="auto"/>
                <w:highlight w:val="none"/>
              </w:rPr>
            </w:pPr>
            <w:r>
              <w:rPr>
                <w:rFonts w:hint="eastAsia"/>
                <w:color w:val="auto"/>
                <w:highlight w:val="none"/>
              </w:rPr>
              <w:t>0.1m/s</w:t>
            </w:r>
          </w:p>
        </w:tc>
        <w:tc>
          <w:tcPr>
            <w:tcW w:w="1901" w:type="pct"/>
            <w:vAlign w:val="center"/>
          </w:tcPr>
          <w:p>
            <w:pPr>
              <w:spacing w:line="400" w:lineRule="exact"/>
              <w:jc w:val="left"/>
              <w:rPr>
                <w:color w:val="auto"/>
                <w:highlight w:val="none"/>
              </w:rPr>
            </w:pPr>
            <w:r>
              <w:rPr>
                <w:rFonts w:hint="eastAsia"/>
                <w:color w:val="auto"/>
                <w:highlight w:val="none"/>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pct"/>
            <w:vAlign w:val="center"/>
          </w:tcPr>
          <w:p>
            <w:pPr>
              <w:spacing w:line="400" w:lineRule="exact"/>
              <w:jc w:val="left"/>
              <w:rPr>
                <w:color w:val="auto"/>
                <w:highlight w:val="none"/>
              </w:rPr>
            </w:pPr>
            <w:r>
              <w:rPr>
                <w:rFonts w:hint="eastAsia"/>
                <w:color w:val="auto"/>
                <w:highlight w:val="none"/>
              </w:rPr>
              <w:t>风向传感器</w:t>
            </w:r>
          </w:p>
        </w:tc>
        <w:tc>
          <w:tcPr>
            <w:tcW w:w="1223" w:type="pct"/>
            <w:vAlign w:val="center"/>
          </w:tcPr>
          <w:p>
            <w:pPr>
              <w:spacing w:line="400" w:lineRule="exact"/>
              <w:jc w:val="left"/>
              <w:rPr>
                <w:color w:val="auto"/>
                <w:highlight w:val="none"/>
              </w:rPr>
            </w:pPr>
            <w:r>
              <w:rPr>
                <w:rFonts w:hint="eastAsia"/>
                <w:color w:val="auto"/>
                <w:highlight w:val="none"/>
              </w:rPr>
              <w:t>0～360°</w:t>
            </w:r>
          </w:p>
        </w:tc>
        <w:tc>
          <w:tcPr>
            <w:tcW w:w="959" w:type="pct"/>
            <w:vAlign w:val="center"/>
          </w:tcPr>
          <w:p>
            <w:pPr>
              <w:spacing w:line="400" w:lineRule="exact"/>
              <w:jc w:val="left"/>
              <w:rPr>
                <w:color w:val="auto"/>
                <w:highlight w:val="none"/>
              </w:rPr>
            </w:pPr>
            <w:r>
              <w:rPr>
                <w:rFonts w:hint="eastAsia"/>
                <w:color w:val="auto"/>
                <w:highlight w:val="none"/>
              </w:rPr>
              <w:t>3°</w:t>
            </w:r>
          </w:p>
        </w:tc>
        <w:tc>
          <w:tcPr>
            <w:tcW w:w="1901" w:type="pct"/>
            <w:vAlign w:val="center"/>
          </w:tcPr>
          <w:p>
            <w:pPr>
              <w:spacing w:line="400" w:lineRule="exact"/>
              <w:jc w:val="left"/>
              <w:rPr>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pct"/>
            <w:vAlign w:val="center"/>
          </w:tcPr>
          <w:p>
            <w:pPr>
              <w:spacing w:line="400" w:lineRule="exact"/>
              <w:jc w:val="left"/>
              <w:rPr>
                <w:color w:val="auto"/>
                <w:highlight w:val="none"/>
              </w:rPr>
            </w:pPr>
            <w:r>
              <w:rPr>
                <w:rFonts w:hint="eastAsia"/>
                <w:color w:val="auto"/>
                <w:highlight w:val="none"/>
              </w:rPr>
              <w:t>气压传感器</w:t>
            </w:r>
          </w:p>
        </w:tc>
        <w:tc>
          <w:tcPr>
            <w:tcW w:w="1223" w:type="pct"/>
            <w:vAlign w:val="center"/>
          </w:tcPr>
          <w:p>
            <w:pPr>
              <w:spacing w:line="400" w:lineRule="exact"/>
              <w:jc w:val="left"/>
              <w:rPr>
                <w:color w:val="auto"/>
                <w:highlight w:val="none"/>
              </w:rPr>
            </w:pPr>
            <w:r>
              <w:rPr>
                <w:rFonts w:hint="eastAsia"/>
                <w:color w:val="auto"/>
                <w:highlight w:val="none"/>
              </w:rPr>
              <w:t>500hPa～1100hPa</w:t>
            </w:r>
          </w:p>
        </w:tc>
        <w:tc>
          <w:tcPr>
            <w:tcW w:w="959" w:type="pct"/>
            <w:vAlign w:val="center"/>
          </w:tcPr>
          <w:p>
            <w:pPr>
              <w:spacing w:line="400" w:lineRule="exact"/>
              <w:jc w:val="left"/>
              <w:rPr>
                <w:color w:val="auto"/>
                <w:highlight w:val="none"/>
              </w:rPr>
            </w:pPr>
            <w:r>
              <w:rPr>
                <w:rFonts w:hint="eastAsia"/>
                <w:color w:val="auto"/>
                <w:highlight w:val="none"/>
              </w:rPr>
              <w:t>0.1hPa</w:t>
            </w:r>
          </w:p>
        </w:tc>
        <w:tc>
          <w:tcPr>
            <w:tcW w:w="1901" w:type="pct"/>
            <w:vAlign w:val="center"/>
          </w:tcPr>
          <w:p>
            <w:pPr>
              <w:spacing w:line="400" w:lineRule="exact"/>
              <w:jc w:val="left"/>
              <w:rPr>
                <w:color w:val="auto"/>
                <w:highlight w:val="none"/>
              </w:rPr>
            </w:pPr>
            <w:r>
              <w:rPr>
                <w:rFonts w:hint="eastAsia"/>
                <w:color w:val="auto"/>
                <w:highlight w:val="none"/>
              </w:rPr>
              <w:t>±0.3hPa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pct"/>
            <w:vAlign w:val="center"/>
          </w:tcPr>
          <w:p>
            <w:pPr>
              <w:spacing w:line="400" w:lineRule="exact"/>
              <w:jc w:val="left"/>
              <w:rPr>
                <w:color w:val="auto"/>
                <w:highlight w:val="none"/>
              </w:rPr>
            </w:pPr>
            <w:r>
              <w:rPr>
                <w:rFonts w:hint="eastAsia"/>
                <w:color w:val="auto"/>
                <w:highlight w:val="none"/>
              </w:rPr>
              <w:t>前项散射式能见度仪（含天气现象）</w:t>
            </w:r>
          </w:p>
        </w:tc>
        <w:tc>
          <w:tcPr>
            <w:tcW w:w="1223" w:type="pct"/>
            <w:vAlign w:val="center"/>
          </w:tcPr>
          <w:p>
            <w:pPr>
              <w:spacing w:line="400" w:lineRule="exact"/>
              <w:jc w:val="left"/>
              <w:rPr>
                <w:color w:val="auto"/>
                <w:highlight w:val="none"/>
              </w:rPr>
            </w:pPr>
            <w:r>
              <w:rPr>
                <w:rFonts w:hint="eastAsia"/>
                <w:color w:val="auto"/>
                <w:highlight w:val="none"/>
              </w:rPr>
              <w:t>10m～50km</w:t>
            </w:r>
          </w:p>
        </w:tc>
        <w:tc>
          <w:tcPr>
            <w:tcW w:w="959" w:type="pct"/>
            <w:vAlign w:val="center"/>
          </w:tcPr>
          <w:p>
            <w:pPr>
              <w:spacing w:line="400" w:lineRule="exact"/>
              <w:jc w:val="left"/>
              <w:rPr>
                <w:color w:val="auto"/>
                <w:highlight w:val="none"/>
              </w:rPr>
            </w:pPr>
            <w:r>
              <w:rPr>
                <w:rFonts w:hint="eastAsia"/>
                <w:color w:val="auto"/>
                <w:highlight w:val="none"/>
              </w:rPr>
              <w:t>1m</w:t>
            </w:r>
          </w:p>
        </w:tc>
        <w:tc>
          <w:tcPr>
            <w:tcW w:w="1901" w:type="pct"/>
            <w:vAlign w:val="center"/>
          </w:tcPr>
          <w:p>
            <w:pPr>
              <w:spacing w:line="400" w:lineRule="exact"/>
              <w:jc w:val="left"/>
              <w:rPr>
                <w:color w:val="auto"/>
                <w:highlight w:val="none"/>
              </w:rPr>
            </w:pPr>
            <w:r>
              <w:rPr>
                <w:rFonts w:hint="eastAsia"/>
                <w:color w:val="auto"/>
                <w:highlight w:val="none"/>
              </w:rPr>
              <w:t>±10%（≤1.5km）</w:t>
            </w:r>
          </w:p>
          <w:p>
            <w:pPr>
              <w:spacing w:line="400" w:lineRule="exact"/>
              <w:jc w:val="left"/>
              <w:rPr>
                <w:color w:val="auto"/>
                <w:highlight w:val="none"/>
              </w:rPr>
            </w:pPr>
            <w:r>
              <w:rPr>
                <w:rFonts w:hint="eastAsia"/>
                <w:color w:val="auto"/>
                <w:highlight w:val="none"/>
              </w:rPr>
              <w:t>±20%（＞1.5km）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7" w:type="pct"/>
            <w:vAlign w:val="center"/>
          </w:tcPr>
          <w:p>
            <w:pPr>
              <w:spacing w:line="400" w:lineRule="exact"/>
              <w:jc w:val="left"/>
              <w:rPr>
                <w:color w:val="auto"/>
                <w:highlight w:val="none"/>
              </w:rPr>
            </w:pPr>
            <w:r>
              <w:rPr>
                <w:rFonts w:hint="eastAsia"/>
                <w:color w:val="auto"/>
                <w:highlight w:val="none"/>
              </w:rPr>
              <w:t>总辐射传感器</w:t>
            </w:r>
          </w:p>
        </w:tc>
        <w:tc>
          <w:tcPr>
            <w:tcW w:w="1223" w:type="pct"/>
            <w:vAlign w:val="center"/>
          </w:tcPr>
          <w:p>
            <w:pPr>
              <w:spacing w:line="400" w:lineRule="exact"/>
              <w:jc w:val="left"/>
              <w:rPr>
                <w:color w:val="auto"/>
                <w:highlight w:val="none"/>
              </w:rPr>
            </w:pPr>
            <w:r>
              <w:rPr>
                <w:rFonts w:hint="eastAsia"/>
                <w:color w:val="auto"/>
                <w:highlight w:val="none"/>
              </w:rPr>
              <w:t>光谱波长（50%点）: 285nm～2800nm；</w:t>
            </w:r>
          </w:p>
          <w:p>
            <w:pPr>
              <w:spacing w:line="400" w:lineRule="exact"/>
              <w:jc w:val="left"/>
              <w:rPr>
                <w:color w:val="auto"/>
                <w:highlight w:val="none"/>
              </w:rPr>
            </w:pPr>
            <w:r>
              <w:rPr>
                <w:rFonts w:hint="eastAsia"/>
                <w:color w:val="auto"/>
                <w:highlight w:val="none"/>
              </w:rPr>
              <w:t>最大辐射强度：2000 W/m2</w:t>
            </w:r>
          </w:p>
        </w:tc>
        <w:tc>
          <w:tcPr>
            <w:tcW w:w="959" w:type="pct"/>
            <w:vAlign w:val="center"/>
          </w:tcPr>
          <w:p>
            <w:pPr>
              <w:spacing w:line="400" w:lineRule="exact"/>
              <w:jc w:val="left"/>
              <w:rPr>
                <w:color w:val="auto"/>
                <w:highlight w:val="none"/>
              </w:rPr>
            </w:pPr>
            <w:r>
              <w:rPr>
                <w:rFonts w:hint="eastAsia"/>
                <w:color w:val="auto"/>
                <w:highlight w:val="none"/>
              </w:rPr>
              <w:t>灵敏度：5μV/W/m2～20μV/W/m2</w:t>
            </w:r>
          </w:p>
        </w:tc>
        <w:tc>
          <w:tcPr>
            <w:tcW w:w="1901" w:type="pct"/>
            <w:vAlign w:val="center"/>
          </w:tcPr>
          <w:p>
            <w:pPr>
              <w:spacing w:line="400" w:lineRule="exact"/>
              <w:jc w:val="left"/>
              <w:rPr>
                <w:color w:val="auto"/>
                <w:highlight w:val="none"/>
              </w:rPr>
            </w:pPr>
            <w:r>
              <w:rPr>
                <w:rFonts w:hint="eastAsia"/>
                <w:color w:val="auto"/>
                <w:highlight w:val="none"/>
              </w:rPr>
              <w:t>水平精度：&lt;0.1°；</w:t>
            </w:r>
          </w:p>
          <w:p>
            <w:pPr>
              <w:spacing w:line="400" w:lineRule="exact"/>
              <w:jc w:val="left"/>
              <w:rPr>
                <w:color w:val="auto"/>
                <w:highlight w:val="none"/>
              </w:rPr>
            </w:pPr>
            <w:r>
              <w:rPr>
                <w:rFonts w:hint="eastAsia"/>
                <w:color w:val="auto"/>
                <w:highlight w:val="none"/>
              </w:rPr>
              <w:t>零点偏移：&lt;12 W/m2（热辐射在200W/m2）；</w:t>
            </w:r>
          </w:p>
          <w:p>
            <w:pPr>
              <w:pStyle w:val="39"/>
              <w:spacing w:line="400" w:lineRule="exact"/>
              <w:ind w:firstLine="0"/>
              <w:jc w:val="left"/>
              <w:rPr>
                <w:rFonts w:ascii="仿宋" w:hAnsi="仿宋"/>
                <w:color w:val="auto"/>
                <w:sz w:val="24"/>
                <w:szCs w:val="24"/>
                <w:highlight w:val="none"/>
              </w:rPr>
            </w:pPr>
            <w:r>
              <w:rPr>
                <w:rFonts w:hint="eastAsia" w:ascii="仿宋" w:hAnsi="仿宋"/>
                <w:color w:val="auto"/>
                <w:sz w:val="24"/>
                <w:szCs w:val="24"/>
                <w:highlight w:val="none"/>
              </w:rPr>
              <w:t>温度偏移：&lt;4 W/m2（温度在5K/h）；</w:t>
            </w:r>
          </w:p>
          <w:p>
            <w:pPr>
              <w:pStyle w:val="39"/>
              <w:spacing w:line="400" w:lineRule="exact"/>
              <w:ind w:firstLine="0"/>
              <w:jc w:val="left"/>
              <w:rPr>
                <w:rFonts w:ascii="仿宋" w:hAnsi="仿宋"/>
                <w:color w:val="auto"/>
                <w:sz w:val="24"/>
                <w:szCs w:val="24"/>
                <w:highlight w:val="none"/>
              </w:rPr>
            </w:pPr>
            <w:r>
              <w:rPr>
                <w:rFonts w:hint="eastAsia" w:ascii="仿宋" w:hAnsi="仿宋"/>
                <w:color w:val="auto"/>
                <w:sz w:val="24"/>
                <w:szCs w:val="24"/>
                <w:highlight w:val="none"/>
              </w:rPr>
              <w:t>年稳定性：&lt;1%</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、两要素数据采集器技术要求</w:t>
      </w:r>
    </w:p>
    <w:p>
      <w:pPr>
        <w:spacing w:line="400" w:lineRule="exact"/>
        <w:ind w:firstLine="480" w:firstLineChars="200"/>
        <w:rPr>
          <w:color w:val="auto"/>
          <w:kern w:val="0"/>
          <w:highlight w:val="none"/>
        </w:rPr>
      </w:pPr>
      <w:r>
        <w:rPr>
          <w:rFonts w:hint="eastAsia"/>
          <w:color w:val="auto"/>
          <w:kern w:val="0"/>
          <w:highlight w:val="none"/>
        </w:rPr>
        <w:t>数据采集器是自动气象站的核心，由硬件和嵌入式软件组成。硬件包含高性能的嵌入式处理器、高精度的A/D 电路、高精度的实时时钟电路、大容量的程序和数据存储器、传感器接口、通信接口、监测电路、指示灯等。</w:t>
      </w:r>
    </w:p>
    <w:p>
      <w:pPr>
        <w:spacing w:line="400" w:lineRule="exact"/>
        <w:ind w:firstLine="482" w:firstLineChars="200"/>
        <w:rPr>
          <w:b/>
          <w:color w:val="auto"/>
          <w:kern w:val="0"/>
          <w:highlight w:val="none"/>
        </w:rPr>
      </w:pPr>
      <w:r>
        <w:rPr>
          <w:rFonts w:hint="eastAsia"/>
          <w:b/>
          <w:color w:val="auto"/>
          <w:kern w:val="0"/>
          <w:highlight w:val="none"/>
        </w:rPr>
        <w:t>功能要求：</w:t>
      </w:r>
    </w:p>
    <w:p>
      <w:pPr>
        <w:spacing w:line="400" w:lineRule="exact"/>
        <w:ind w:firstLine="480" w:firstLineChars="200"/>
        <w:rPr>
          <w:color w:val="auto"/>
          <w:kern w:val="0"/>
          <w:highlight w:val="none"/>
        </w:rPr>
      </w:pPr>
      <w:r>
        <w:rPr>
          <w:rFonts w:hint="eastAsia"/>
          <w:color w:val="auto"/>
          <w:kern w:val="0"/>
          <w:highlight w:val="none"/>
        </w:rPr>
        <w:t>a.数据采集</w:t>
      </w:r>
    </w:p>
    <w:p>
      <w:pPr>
        <w:spacing w:line="400" w:lineRule="exact"/>
        <w:ind w:firstLine="480" w:firstLineChars="200"/>
        <w:rPr>
          <w:color w:val="auto"/>
          <w:kern w:val="0"/>
          <w:highlight w:val="none"/>
        </w:rPr>
      </w:pPr>
      <w:r>
        <w:rPr>
          <w:rFonts w:hint="eastAsia"/>
          <w:color w:val="auto"/>
          <w:kern w:val="0"/>
          <w:highlight w:val="none"/>
        </w:rPr>
        <w:t>对传感器按预定的采样频率进行扫描和将获得的电信号转换成微控制器可读信号，得到气象变量测量值序列；对气象变量测量值进行转换，使传感器输出的电信号转换成气象单位量，得到采样瞬时值。</w:t>
      </w:r>
    </w:p>
    <w:p>
      <w:pPr>
        <w:spacing w:line="400" w:lineRule="exact"/>
        <w:ind w:firstLine="480" w:firstLineChars="200"/>
        <w:rPr>
          <w:color w:val="auto"/>
          <w:kern w:val="0"/>
          <w:highlight w:val="none"/>
        </w:rPr>
      </w:pPr>
      <w:r>
        <w:rPr>
          <w:rFonts w:hint="eastAsia"/>
          <w:color w:val="auto"/>
          <w:kern w:val="0"/>
          <w:highlight w:val="none"/>
        </w:rPr>
        <w:t>b.数据处理</w:t>
      </w:r>
    </w:p>
    <w:p>
      <w:pPr>
        <w:spacing w:line="400" w:lineRule="exact"/>
        <w:ind w:firstLine="480" w:firstLineChars="200"/>
        <w:rPr>
          <w:color w:val="auto"/>
          <w:kern w:val="0"/>
          <w:highlight w:val="none"/>
        </w:rPr>
      </w:pPr>
      <w:r>
        <w:rPr>
          <w:rFonts w:hint="eastAsia"/>
          <w:color w:val="auto"/>
          <w:kern w:val="0"/>
          <w:highlight w:val="none"/>
        </w:rPr>
        <w:t>根据气象要素采样值，计算出气象观测需要的统计量，如一个小时内的极值、滑动平均、算数平均值以及累计量等；由采集器生成气象值（分钟）数据、小时正点数据和监控数据，并写入存储器。</w:t>
      </w:r>
    </w:p>
    <w:p>
      <w:pPr>
        <w:spacing w:line="400" w:lineRule="exact"/>
        <w:ind w:firstLine="480" w:firstLineChars="200"/>
        <w:rPr>
          <w:color w:val="auto"/>
          <w:kern w:val="0"/>
          <w:highlight w:val="none"/>
        </w:rPr>
      </w:pPr>
      <w:r>
        <w:rPr>
          <w:rFonts w:hint="eastAsia"/>
          <w:color w:val="auto"/>
          <w:kern w:val="0"/>
          <w:highlight w:val="none"/>
        </w:rPr>
        <w:t>c.数据存储</w:t>
      </w:r>
    </w:p>
    <w:p>
      <w:pPr>
        <w:spacing w:line="400" w:lineRule="exact"/>
        <w:ind w:firstLine="480" w:firstLineChars="200"/>
        <w:rPr>
          <w:color w:val="auto"/>
          <w:kern w:val="0"/>
          <w:highlight w:val="none"/>
        </w:rPr>
      </w:pPr>
      <w:r>
        <w:rPr>
          <w:rFonts w:hint="eastAsia"/>
          <w:color w:val="auto"/>
          <w:kern w:val="0"/>
          <w:highlight w:val="none"/>
        </w:rPr>
        <w:t>数据采集器存储7天的瞬时气象（分钟）值、1月的正点气象要素值等。数据存储可以使用循环式存储器结构，即允许最新的数据覆盖旧数据。采集器内部的数据存储器容量应留有50%的余量。采集器内部的数据存贮器应具备掉电保存功能。</w:t>
      </w:r>
    </w:p>
    <w:p>
      <w:pPr>
        <w:spacing w:line="400" w:lineRule="exact"/>
        <w:ind w:firstLine="480" w:firstLineChars="200"/>
        <w:rPr>
          <w:color w:val="auto"/>
          <w:kern w:val="0"/>
          <w:highlight w:val="none"/>
        </w:rPr>
      </w:pPr>
      <w:r>
        <w:rPr>
          <w:rFonts w:hint="eastAsia"/>
          <w:color w:val="auto"/>
          <w:kern w:val="0"/>
          <w:highlight w:val="none"/>
        </w:rPr>
        <w:t>d.数据传输</w:t>
      </w:r>
    </w:p>
    <w:p>
      <w:pPr>
        <w:spacing w:line="400" w:lineRule="exact"/>
        <w:ind w:firstLine="480" w:firstLineChars="200"/>
        <w:rPr>
          <w:color w:val="auto"/>
          <w:kern w:val="0"/>
          <w:highlight w:val="none"/>
        </w:rPr>
      </w:pPr>
      <w:r>
        <w:rPr>
          <w:rFonts w:hint="eastAsia"/>
          <w:color w:val="auto"/>
          <w:kern w:val="0"/>
          <w:highlight w:val="none"/>
        </w:rPr>
        <w:t>自动气象站应具备通过无线方式或串口直连方式进行数据传输的功能。通过微机终端实现远程通信传输的功能在业务软件中实现。</w:t>
      </w:r>
    </w:p>
    <w:p>
      <w:pPr>
        <w:spacing w:line="400" w:lineRule="exact"/>
        <w:ind w:firstLine="480" w:firstLineChars="200"/>
        <w:rPr>
          <w:color w:val="auto"/>
          <w:kern w:val="0"/>
          <w:highlight w:val="none"/>
        </w:rPr>
      </w:pPr>
      <w:r>
        <w:rPr>
          <w:rFonts w:hint="eastAsia"/>
          <w:color w:val="auto"/>
          <w:kern w:val="0"/>
          <w:highlight w:val="none"/>
        </w:rPr>
        <w:t>e、通讯要求</w:t>
      </w:r>
    </w:p>
    <w:p>
      <w:pPr>
        <w:spacing w:line="400" w:lineRule="exact"/>
        <w:ind w:firstLine="480" w:firstLineChars="200"/>
        <w:jc w:val="left"/>
        <w:rPr>
          <w:bCs/>
          <w:color w:val="auto"/>
          <w:highlight w:val="none"/>
        </w:rPr>
      </w:pPr>
      <w:r>
        <w:rPr>
          <w:rFonts w:hint="eastAsia"/>
          <w:bCs/>
          <w:color w:val="auto"/>
          <w:highlight w:val="none"/>
        </w:rPr>
        <w:t>可支持4G全网通无线通讯，投标产品需能无缝接入浙江省气象局中心站平台软件。</w:t>
      </w:r>
    </w:p>
    <w:p>
      <w:pPr>
        <w:spacing w:line="400" w:lineRule="exact"/>
        <w:ind w:firstLine="482" w:firstLineChars="200"/>
        <w:rPr>
          <w:b/>
          <w:color w:val="auto"/>
          <w:kern w:val="0"/>
          <w:highlight w:val="none"/>
        </w:rPr>
      </w:pPr>
      <w:r>
        <w:rPr>
          <w:b/>
          <w:color w:val="auto"/>
          <w:kern w:val="0"/>
          <w:highlight w:val="none"/>
        </w:rPr>
        <w:t>指标要求：</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rPr>
                <w:color w:val="auto"/>
                <w:sz w:val="24"/>
                <w:highlight w:val="none"/>
              </w:rPr>
            </w:pPr>
            <w:r>
              <w:rPr>
                <w:rFonts w:hint="eastAsia"/>
                <w:color w:val="auto"/>
                <w:kern w:val="0"/>
                <w:sz w:val="24"/>
                <w:highlight w:val="none"/>
              </w:rPr>
              <w:t>具备无线数据通信功能</w:t>
            </w:r>
          </w:p>
        </w:tc>
        <w:tc>
          <w:tcPr>
            <w:tcW w:w="0" w:type="auto"/>
          </w:tcPr>
          <w:p>
            <w:pPr>
              <w:pStyle w:val="2"/>
              <w:rPr>
                <w:color w:val="auto"/>
                <w:sz w:val="24"/>
                <w:highlight w:val="none"/>
              </w:rPr>
            </w:pPr>
            <w:r>
              <w:rPr>
                <w:rFonts w:hint="eastAsia"/>
                <w:color w:val="auto"/>
                <w:kern w:val="0"/>
                <w:sz w:val="24"/>
                <w:highlight w:val="none"/>
              </w:rPr>
              <w:t>可支持</w:t>
            </w:r>
            <w:r>
              <w:rPr>
                <w:color w:val="auto"/>
                <w:kern w:val="0"/>
                <w:sz w:val="24"/>
                <w:highlight w:val="none"/>
              </w:rPr>
              <w:t>FDD LTE: B1/B3、TDD LTE: B38/B39/B40/B41、TDSCDMA: B34/B39、WCDMA: B1、CDMA2000 1x/EVDO: BC0、GSM: 900/1800MHz无线网络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rPr>
                <w:color w:val="auto"/>
                <w:sz w:val="24"/>
                <w:highlight w:val="none"/>
              </w:rPr>
            </w:pPr>
            <w:r>
              <w:rPr>
                <w:color w:val="auto"/>
                <w:sz w:val="24"/>
                <w:highlight w:val="none"/>
              </w:rPr>
              <w:t>处理器</w:t>
            </w:r>
          </w:p>
        </w:tc>
        <w:tc>
          <w:tcPr>
            <w:tcW w:w="0" w:type="auto"/>
          </w:tcPr>
          <w:p>
            <w:pPr>
              <w:pStyle w:val="2"/>
              <w:rPr>
                <w:color w:val="auto"/>
                <w:sz w:val="24"/>
                <w:highlight w:val="none"/>
              </w:rPr>
            </w:pPr>
            <w:r>
              <w:rPr>
                <w:color w:val="auto"/>
                <w:sz w:val="24"/>
                <w:highlight w:val="none"/>
              </w:rPr>
              <w:t>Cortex-M3内核，512K FLASH 64K 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rPr>
                <w:color w:val="auto"/>
                <w:sz w:val="24"/>
                <w:highlight w:val="none"/>
              </w:rPr>
            </w:pPr>
            <w:r>
              <w:rPr>
                <w:color w:val="auto"/>
                <w:sz w:val="24"/>
                <w:highlight w:val="none"/>
              </w:rPr>
              <w:t>调试串口</w:t>
            </w:r>
          </w:p>
        </w:tc>
        <w:tc>
          <w:tcPr>
            <w:tcW w:w="0" w:type="auto"/>
          </w:tcPr>
          <w:p>
            <w:pPr>
              <w:pStyle w:val="2"/>
              <w:rPr>
                <w:color w:val="auto"/>
                <w:sz w:val="24"/>
                <w:highlight w:val="none"/>
              </w:rPr>
            </w:pPr>
            <w:r>
              <w:rPr>
                <w:rFonts w:hint="eastAsia"/>
                <w:color w:val="auto"/>
                <w:sz w:val="24"/>
                <w:highlight w:val="none"/>
              </w:rPr>
              <w:t>用于设备调试，固定为波特率：</w:t>
            </w:r>
            <w:r>
              <w:rPr>
                <w:color w:val="auto"/>
                <w:sz w:val="24"/>
                <w:highlight w:val="none"/>
              </w:rPr>
              <w:t>9600，校验位：NONE，数据位：8，停止位：1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rPr>
                <w:color w:val="auto"/>
                <w:sz w:val="24"/>
                <w:highlight w:val="none"/>
              </w:rPr>
            </w:pPr>
            <w:r>
              <w:rPr>
                <w:rFonts w:hint="eastAsia"/>
                <w:color w:val="auto"/>
                <w:sz w:val="24"/>
                <w:highlight w:val="none"/>
              </w:rPr>
              <w:t>时钟精度</w:t>
            </w:r>
          </w:p>
        </w:tc>
        <w:tc>
          <w:tcPr>
            <w:tcW w:w="0" w:type="auto"/>
          </w:tcPr>
          <w:p>
            <w:pPr>
              <w:pStyle w:val="2"/>
              <w:rPr>
                <w:color w:val="auto"/>
                <w:sz w:val="24"/>
                <w:highlight w:val="none"/>
              </w:rPr>
            </w:pPr>
            <w:r>
              <w:rPr>
                <w:rFonts w:hint="eastAsia"/>
                <w:color w:val="auto"/>
                <w:sz w:val="24"/>
                <w:highlight w:val="none"/>
              </w:rPr>
              <w:t>误差为</w:t>
            </w:r>
            <w:r>
              <w:rPr>
                <w:color w:val="auto"/>
                <w:sz w:val="24"/>
                <w:highlight w:val="none"/>
              </w:rPr>
              <w:t>15s每月</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cs="仿宋"/>
          <w:b/>
          <w:bCs/>
          <w:color w:val="auto"/>
          <w:sz w:val="24"/>
          <w:szCs w:val="24"/>
          <w:highlight w:val="none"/>
          <w:lang w:val="en-US" w:eastAsia="zh-CN"/>
        </w:rPr>
        <w:t>多要素</w:t>
      </w:r>
      <w:r>
        <w:rPr>
          <w:rFonts w:hint="eastAsia" w:ascii="仿宋" w:hAnsi="仿宋" w:eastAsia="仿宋" w:cs="仿宋"/>
          <w:b/>
          <w:bCs/>
          <w:color w:val="auto"/>
          <w:sz w:val="24"/>
          <w:szCs w:val="24"/>
          <w:highlight w:val="none"/>
        </w:rPr>
        <w:t>数据采集器技术要求</w:t>
      </w:r>
    </w:p>
    <w:p>
      <w:pPr>
        <w:spacing w:line="400" w:lineRule="exact"/>
        <w:ind w:firstLine="480" w:firstLineChars="200"/>
        <w:rPr>
          <w:color w:val="auto"/>
          <w:highlight w:val="none"/>
        </w:rPr>
      </w:pPr>
      <w:r>
        <w:rPr>
          <w:rFonts w:hint="eastAsia"/>
          <w:color w:val="auto"/>
          <w:highlight w:val="none"/>
        </w:rPr>
        <w:t>数据采集器是自动气象站的核心，由硬件和嵌入式软件组成。硬件包含高性能的嵌入式处理器、高精度的A/D 电路、高精度的实时时钟电路、大容量的程序和数据存储器、传感器接口、通信接口、监测电路、指示灯等。</w:t>
      </w:r>
    </w:p>
    <w:p>
      <w:pPr>
        <w:spacing w:line="400" w:lineRule="exact"/>
        <w:ind w:firstLine="482" w:firstLineChars="200"/>
        <w:rPr>
          <w:b/>
          <w:color w:val="auto"/>
          <w:kern w:val="0"/>
          <w:highlight w:val="none"/>
        </w:rPr>
      </w:pPr>
      <w:r>
        <w:rPr>
          <w:rFonts w:hint="eastAsia"/>
          <w:b/>
          <w:color w:val="auto"/>
          <w:kern w:val="0"/>
          <w:highlight w:val="none"/>
        </w:rPr>
        <w:t>功能要求：</w:t>
      </w:r>
    </w:p>
    <w:p>
      <w:pPr>
        <w:spacing w:line="400" w:lineRule="exact"/>
        <w:ind w:firstLine="480" w:firstLineChars="200"/>
        <w:rPr>
          <w:color w:val="auto"/>
          <w:highlight w:val="none"/>
        </w:rPr>
      </w:pPr>
      <w:r>
        <w:rPr>
          <w:rFonts w:hint="eastAsia"/>
          <w:color w:val="auto"/>
          <w:highlight w:val="none"/>
        </w:rPr>
        <w:t>a.数据采集</w:t>
      </w:r>
    </w:p>
    <w:p>
      <w:pPr>
        <w:spacing w:line="400" w:lineRule="exact"/>
        <w:ind w:firstLine="480" w:firstLineChars="200"/>
        <w:rPr>
          <w:color w:val="auto"/>
          <w:highlight w:val="none"/>
        </w:rPr>
      </w:pPr>
      <w:r>
        <w:rPr>
          <w:rFonts w:hint="eastAsia"/>
          <w:color w:val="auto"/>
          <w:highlight w:val="none"/>
        </w:rPr>
        <w:t>对传感器按预定的采样频率进行扫描和将获得的电信号转换成微控制器可读信号，得到气象变量测量值序列；对气象变量测量值进行转换，使传感器输出的电信号转换成气象单位量，得到采样瞬时值。</w:t>
      </w:r>
    </w:p>
    <w:p>
      <w:pPr>
        <w:spacing w:line="400" w:lineRule="exact"/>
        <w:ind w:firstLine="480" w:firstLineChars="200"/>
        <w:rPr>
          <w:color w:val="auto"/>
          <w:highlight w:val="none"/>
        </w:rPr>
      </w:pPr>
      <w:r>
        <w:rPr>
          <w:rFonts w:hint="eastAsia"/>
          <w:color w:val="auto"/>
          <w:highlight w:val="none"/>
        </w:rPr>
        <w:t>b.数据处理</w:t>
      </w:r>
    </w:p>
    <w:p>
      <w:pPr>
        <w:spacing w:line="400" w:lineRule="exact"/>
        <w:ind w:firstLine="480" w:firstLineChars="200"/>
        <w:rPr>
          <w:color w:val="auto"/>
          <w:highlight w:val="none"/>
        </w:rPr>
      </w:pPr>
      <w:r>
        <w:rPr>
          <w:rFonts w:hint="eastAsia"/>
          <w:color w:val="auto"/>
          <w:highlight w:val="none"/>
        </w:rPr>
        <w:t>根据气象要素采样值，计算出气象观测需要的统计量，如一个小时内的极值、滑动平均、算数平均值以及累计量等；由采集器生成气象值（分钟）数据、小时正点数据和监控数据，并写入存储器。</w:t>
      </w:r>
    </w:p>
    <w:p>
      <w:pPr>
        <w:spacing w:line="400" w:lineRule="exact"/>
        <w:ind w:firstLine="480" w:firstLineChars="200"/>
        <w:rPr>
          <w:color w:val="auto"/>
          <w:highlight w:val="none"/>
        </w:rPr>
      </w:pPr>
      <w:r>
        <w:rPr>
          <w:rFonts w:hint="eastAsia"/>
          <w:color w:val="auto"/>
          <w:highlight w:val="none"/>
        </w:rPr>
        <w:t>c.数据存储</w:t>
      </w:r>
    </w:p>
    <w:p>
      <w:pPr>
        <w:spacing w:line="400" w:lineRule="exact"/>
        <w:ind w:firstLine="480" w:firstLineChars="200"/>
        <w:rPr>
          <w:color w:val="auto"/>
          <w:highlight w:val="none"/>
        </w:rPr>
      </w:pPr>
      <w:r>
        <w:rPr>
          <w:rFonts w:hint="eastAsia"/>
          <w:color w:val="auto"/>
          <w:highlight w:val="none"/>
        </w:rPr>
        <w:t>数据采集器存储7天的瞬时气象（分钟）值、1月的正点气象要素值等。数据存储可以使用循环式存储器结构，即允许最新的数据覆盖旧数据。采集器内部的数据存储器容量应留有50%的余量。采集器内部的数据存贮器应具备掉电保存功能。</w:t>
      </w:r>
    </w:p>
    <w:p>
      <w:pPr>
        <w:spacing w:line="400" w:lineRule="exact"/>
        <w:ind w:firstLine="480" w:firstLineChars="200"/>
        <w:rPr>
          <w:color w:val="auto"/>
          <w:highlight w:val="none"/>
        </w:rPr>
      </w:pPr>
      <w:r>
        <w:rPr>
          <w:rFonts w:hint="eastAsia"/>
          <w:color w:val="auto"/>
          <w:highlight w:val="none"/>
        </w:rPr>
        <w:t>d.数据传输</w:t>
      </w:r>
    </w:p>
    <w:p>
      <w:pPr>
        <w:spacing w:line="400" w:lineRule="exact"/>
        <w:ind w:firstLine="480" w:firstLineChars="200"/>
        <w:rPr>
          <w:color w:val="auto"/>
          <w:highlight w:val="none"/>
        </w:rPr>
      </w:pPr>
      <w:r>
        <w:rPr>
          <w:rFonts w:hint="eastAsia"/>
          <w:color w:val="auto"/>
          <w:highlight w:val="none"/>
        </w:rPr>
        <w:t>自动气象站应具备通过无线方式或串口直连方式进行数据传输的功能。通过微机终端实现远程通信传输的功能在业务软件中实现。</w:t>
      </w:r>
    </w:p>
    <w:p>
      <w:pPr>
        <w:spacing w:line="400" w:lineRule="exact"/>
        <w:ind w:firstLine="482" w:firstLineChars="200"/>
        <w:rPr>
          <w:b/>
          <w:color w:val="auto"/>
          <w:kern w:val="0"/>
          <w:highlight w:val="none"/>
        </w:rPr>
      </w:pPr>
      <w:r>
        <w:rPr>
          <w:rFonts w:hint="eastAsia"/>
          <w:b/>
          <w:color w:val="auto"/>
          <w:kern w:val="0"/>
          <w:highlight w:val="none"/>
        </w:rPr>
        <w:t>数据</w:t>
      </w:r>
      <w:r>
        <w:rPr>
          <w:b/>
          <w:color w:val="auto"/>
          <w:kern w:val="0"/>
          <w:highlight w:val="none"/>
        </w:rPr>
        <w:t>采集系统指标要求：</w:t>
      </w:r>
    </w:p>
    <w:p>
      <w:pPr>
        <w:spacing w:line="400" w:lineRule="exact"/>
        <w:ind w:firstLine="480" w:firstLineChars="200"/>
        <w:rPr>
          <w:color w:val="auto"/>
          <w:highlight w:val="none"/>
        </w:rPr>
      </w:pPr>
      <w:r>
        <w:rPr>
          <w:color w:val="auto"/>
          <w:highlight w:val="none"/>
        </w:rPr>
        <w:t>RS232串行口×3：</w:t>
      </w:r>
    </w:p>
    <w:p>
      <w:pPr>
        <w:spacing w:line="400" w:lineRule="exact"/>
        <w:ind w:firstLine="480" w:firstLineChars="200"/>
        <w:rPr>
          <w:color w:val="auto"/>
          <w:highlight w:val="none"/>
        </w:rPr>
      </w:pPr>
      <w:r>
        <w:rPr>
          <w:color w:val="auto"/>
          <w:highlight w:val="none"/>
        </w:rPr>
        <w:t>波特率、数据位、停止位、校验位可设，速率范围9600～115200；</w:t>
      </w:r>
    </w:p>
    <w:p>
      <w:pPr>
        <w:spacing w:line="400" w:lineRule="exact"/>
        <w:ind w:firstLine="480" w:firstLineChars="200"/>
        <w:rPr>
          <w:color w:val="auto"/>
          <w:highlight w:val="none"/>
        </w:rPr>
      </w:pPr>
      <w:r>
        <w:rPr>
          <w:color w:val="auto"/>
          <w:highlight w:val="none"/>
        </w:rPr>
        <w:t>RS485总线接口：波特率、数据位、停止位、校验位可设，速率范围9600～115200；</w:t>
      </w:r>
    </w:p>
    <w:p>
      <w:pPr>
        <w:spacing w:line="400" w:lineRule="exact"/>
        <w:ind w:firstLine="480" w:firstLineChars="200"/>
        <w:rPr>
          <w:color w:val="auto"/>
          <w:highlight w:val="none"/>
        </w:rPr>
      </w:pPr>
      <w:r>
        <w:rPr>
          <w:color w:val="auto"/>
          <w:highlight w:val="none"/>
        </w:rPr>
        <w:t>调试串口：用于设备调试，默认为波特率：9600，校验位：NONE，数据位：8，停止位：1；</w:t>
      </w:r>
    </w:p>
    <w:p>
      <w:pPr>
        <w:spacing w:line="400" w:lineRule="exact"/>
        <w:ind w:firstLine="480" w:firstLineChars="200"/>
        <w:rPr>
          <w:color w:val="auto"/>
          <w:highlight w:val="none"/>
        </w:rPr>
      </w:pPr>
      <w:r>
        <w:rPr>
          <w:color w:val="auto"/>
          <w:highlight w:val="none"/>
        </w:rPr>
        <w:t>扩展存储卡接口：用于连接TF扩展卡（micorSD卡），标准配置容量2G；</w:t>
      </w:r>
    </w:p>
    <w:p>
      <w:pPr>
        <w:spacing w:line="400" w:lineRule="exact"/>
        <w:ind w:firstLine="480" w:firstLineChars="200"/>
        <w:rPr>
          <w:color w:val="auto"/>
          <w:highlight w:val="none"/>
        </w:rPr>
      </w:pPr>
      <w:r>
        <w:rPr>
          <w:color w:val="auto"/>
          <w:highlight w:val="none"/>
        </w:rPr>
        <w:t>电池/电源接口：均为两芯5.08mm插座。</w:t>
      </w:r>
    </w:p>
    <w:p>
      <w:pPr>
        <w:spacing w:line="400" w:lineRule="exact"/>
        <w:ind w:firstLine="480" w:firstLineChars="200"/>
        <w:rPr>
          <w:color w:val="auto"/>
          <w:highlight w:val="none"/>
        </w:rPr>
      </w:pPr>
      <w:r>
        <w:rPr>
          <w:color w:val="auto"/>
          <w:highlight w:val="none"/>
        </w:rPr>
        <w:t>电源输入范围7V～15V；</w:t>
      </w:r>
    </w:p>
    <w:p>
      <w:pPr>
        <w:spacing w:line="400" w:lineRule="exact"/>
        <w:ind w:firstLine="480" w:firstLineChars="200"/>
        <w:rPr>
          <w:color w:val="auto"/>
          <w:highlight w:val="none"/>
        </w:rPr>
      </w:pPr>
      <w:r>
        <w:rPr>
          <w:color w:val="auto"/>
          <w:highlight w:val="none"/>
        </w:rPr>
        <w:t>CAN接口：使用CAN2.0A/B通用协议；</w:t>
      </w:r>
    </w:p>
    <w:p>
      <w:pPr>
        <w:spacing w:line="400" w:lineRule="exact"/>
        <w:ind w:firstLine="480" w:firstLineChars="200"/>
        <w:rPr>
          <w:color w:val="auto"/>
          <w:highlight w:val="none"/>
        </w:rPr>
      </w:pPr>
      <w:r>
        <w:rPr>
          <w:color w:val="auto"/>
          <w:highlight w:val="none"/>
        </w:rPr>
        <w:t>整机功耗：30mA。（不包括CAN（20 mA）、RS-485（20 mA）、LAN接口（100 mA））；</w:t>
      </w:r>
    </w:p>
    <w:p>
      <w:pPr>
        <w:spacing w:line="400" w:lineRule="exact"/>
        <w:ind w:firstLine="480" w:firstLineChars="200"/>
        <w:rPr>
          <w:color w:val="auto"/>
          <w:highlight w:val="none"/>
        </w:rPr>
      </w:pPr>
      <w:r>
        <w:rPr>
          <w:color w:val="auto"/>
          <w:highlight w:val="none"/>
        </w:rPr>
        <w:t>LAN接口：支持ETHERNET 10/100M，TCP/IP</w:t>
      </w:r>
    </w:p>
    <w:p>
      <w:pPr>
        <w:spacing w:line="400" w:lineRule="exact"/>
        <w:ind w:firstLine="482" w:firstLineChars="200"/>
        <w:rPr>
          <w:b/>
          <w:color w:val="auto"/>
          <w:kern w:val="0"/>
          <w:highlight w:val="none"/>
        </w:rPr>
      </w:pPr>
      <w:r>
        <w:rPr>
          <w:rFonts w:hint="eastAsia"/>
          <w:b/>
          <w:color w:val="auto"/>
          <w:kern w:val="0"/>
          <w:highlight w:val="none"/>
          <w:lang w:val="en-US" w:eastAsia="zh-CN"/>
        </w:rPr>
        <w:t>4、</w:t>
      </w:r>
      <w:r>
        <w:rPr>
          <w:b/>
          <w:color w:val="auto"/>
          <w:kern w:val="0"/>
          <w:highlight w:val="none"/>
        </w:rPr>
        <w:t>地温</w:t>
      </w:r>
      <w:r>
        <w:rPr>
          <w:rFonts w:hint="eastAsia"/>
          <w:b/>
          <w:color w:val="auto"/>
          <w:kern w:val="0"/>
          <w:highlight w:val="none"/>
        </w:rPr>
        <w:t>分采</w:t>
      </w:r>
      <w:r>
        <w:rPr>
          <w:b/>
          <w:color w:val="auto"/>
          <w:kern w:val="0"/>
          <w:highlight w:val="none"/>
        </w:rPr>
        <w:t>系统指标要求：</w:t>
      </w:r>
    </w:p>
    <w:p>
      <w:pPr>
        <w:spacing w:line="400" w:lineRule="exact"/>
        <w:ind w:firstLine="480" w:firstLineChars="200"/>
        <w:rPr>
          <w:color w:val="auto"/>
          <w:highlight w:val="none"/>
        </w:rPr>
      </w:pPr>
      <w:r>
        <w:rPr>
          <w:rFonts w:hint="eastAsia"/>
          <w:color w:val="auto"/>
          <w:highlight w:val="none"/>
        </w:rPr>
        <w:t>调试串口：用于设备调试，固定为波特率</w:t>
      </w:r>
      <w:r>
        <w:rPr>
          <w:color w:val="auto"/>
          <w:highlight w:val="none"/>
        </w:rPr>
        <w:t>9600，校验位NONE，数据位8，停止位1；</w:t>
      </w:r>
    </w:p>
    <w:p>
      <w:pPr>
        <w:spacing w:line="400" w:lineRule="exact"/>
        <w:ind w:firstLine="480" w:firstLineChars="200"/>
        <w:rPr>
          <w:color w:val="auto"/>
          <w:highlight w:val="none"/>
        </w:rPr>
      </w:pPr>
      <w:r>
        <w:rPr>
          <w:color w:val="auto"/>
          <w:highlight w:val="none"/>
        </w:rPr>
        <w:t>工作温度：工业级-40～80℃；</w:t>
      </w:r>
    </w:p>
    <w:p>
      <w:pPr>
        <w:spacing w:line="400" w:lineRule="exact"/>
        <w:ind w:firstLine="480" w:firstLineChars="200"/>
        <w:rPr>
          <w:color w:val="auto"/>
          <w:highlight w:val="none"/>
        </w:rPr>
      </w:pPr>
      <w:r>
        <w:rPr>
          <w:color w:val="auto"/>
          <w:highlight w:val="none"/>
        </w:rPr>
        <w:t>处理器：Mega64处理器；</w:t>
      </w:r>
    </w:p>
    <w:p>
      <w:pPr>
        <w:spacing w:line="400" w:lineRule="exact"/>
        <w:ind w:firstLine="480" w:firstLineChars="200"/>
        <w:rPr>
          <w:color w:val="auto"/>
          <w:highlight w:val="none"/>
        </w:rPr>
      </w:pPr>
      <w:r>
        <w:rPr>
          <w:color w:val="auto"/>
          <w:highlight w:val="none"/>
        </w:rPr>
        <w:t>AD分辨率：16位；</w:t>
      </w:r>
    </w:p>
    <w:p>
      <w:pPr>
        <w:spacing w:line="400" w:lineRule="exact"/>
        <w:ind w:firstLine="480" w:firstLineChars="200"/>
        <w:rPr>
          <w:color w:val="auto"/>
          <w:highlight w:val="none"/>
        </w:rPr>
      </w:pPr>
      <w:r>
        <w:rPr>
          <w:color w:val="auto"/>
          <w:highlight w:val="none"/>
        </w:rPr>
        <w:t>通道容量：12路电阻输入；</w:t>
      </w:r>
    </w:p>
    <w:p>
      <w:pPr>
        <w:spacing w:line="400" w:lineRule="exact"/>
        <w:ind w:firstLine="480" w:firstLineChars="200"/>
        <w:rPr>
          <w:color w:val="auto"/>
          <w:highlight w:val="none"/>
        </w:rPr>
      </w:pPr>
      <w:r>
        <w:rPr>
          <w:color w:val="auto"/>
          <w:highlight w:val="none"/>
        </w:rPr>
        <w:t>电阻测量精度：0.04Ω；</w:t>
      </w:r>
    </w:p>
    <w:p>
      <w:pPr>
        <w:spacing w:line="400" w:lineRule="exact"/>
        <w:ind w:firstLine="480" w:firstLineChars="200"/>
        <w:rPr>
          <w:color w:val="auto"/>
          <w:highlight w:val="none"/>
        </w:rPr>
      </w:pPr>
      <w:r>
        <w:rPr>
          <w:color w:val="auto"/>
          <w:highlight w:val="none"/>
        </w:rPr>
        <w:t>电阻采样范围：70Ω~150Ω；</w:t>
      </w:r>
    </w:p>
    <w:p>
      <w:pPr>
        <w:spacing w:line="400" w:lineRule="exact"/>
        <w:ind w:firstLine="480" w:firstLineChars="200"/>
        <w:rPr>
          <w:color w:val="auto"/>
          <w:highlight w:val="none"/>
        </w:rPr>
      </w:pPr>
      <w:r>
        <w:rPr>
          <w:color w:val="auto"/>
          <w:highlight w:val="none"/>
        </w:rPr>
        <w:t>电源输入电压：输入电压7V-15V，额定12V；</w:t>
      </w:r>
    </w:p>
    <w:p>
      <w:pPr>
        <w:spacing w:line="400" w:lineRule="exact"/>
        <w:ind w:firstLine="480" w:firstLineChars="200"/>
        <w:rPr>
          <w:color w:val="auto"/>
          <w:highlight w:val="none"/>
        </w:rPr>
      </w:pPr>
      <w:r>
        <w:rPr>
          <w:color w:val="auto"/>
          <w:highlight w:val="none"/>
        </w:rPr>
        <w:t>电压分布结构：5V±1%；</w:t>
      </w:r>
    </w:p>
    <w:p>
      <w:pPr>
        <w:spacing w:line="400" w:lineRule="exact"/>
        <w:ind w:firstLine="480" w:firstLineChars="200"/>
        <w:rPr>
          <w:color w:val="auto"/>
          <w:highlight w:val="none"/>
        </w:rPr>
      </w:pPr>
      <w:r>
        <w:rPr>
          <w:color w:val="auto"/>
          <w:highlight w:val="none"/>
        </w:rPr>
        <w:t>整机功耗：18±2mA</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、太阳能电源系统技术要求</w:t>
      </w:r>
    </w:p>
    <w:p>
      <w:pPr>
        <w:spacing w:line="400" w:lineRule="exact"/>
        <w:ind w:firstLine="480" w:firstLineChars="200"/>
        <w:rPr>
          <w:color w:val="auto"/>
          <w:highlight w:val="none"/>
        </w:rPr>
      </w:pPr>
      <w:r>
        <w:rPr>
          <w:rFonts w:hint="eastAsia"/>
          <w:color w:val="auto"/>
          <w:highlight w:val="none"/>
        </w:rPr>
        <w:t>自动气象站须采用太阳能供电。</w:t>
      </w:r>
    </w:p>
    <w:p>
      <w:pPr>
        <w:spacing w:line="400" w:lineRule="exact"/>
        <w:ind w:firstLine="480" w:firstLineChars="200"/>
        <w:rPr>
          <w:color w:val="auto"/>
          <w:highlight w:val="none"/>
        </w:rPr>
      </w:pPr>
      <w:r>
        <w:rPr>
          <w:rFonts w:hint="eastAsia"/>
          <w:color w:val="auto"/>
          <w:highlight w:val="none"/>
        </w:rPr>
        <w:t>蓄电池的容量必须保证自动气象站能在脱离辅助电源的条件下连续工作7天。并在蓄电池电压低到不足以维持符合质量要求的观测工作前两天发出报警信息。</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2"/>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000" w:type="pct"/>
            <w:gridSpan w:val="2"/>
            <w:vAlign w:val="center"/>
          </w:tcPr>
          <w:p>
            <w:pPr>
              <w:spacing w:line="400" w:lineRule="exact"/>
              <w:jc w:val="center"/>
              <w:rPr>
                <w:color w:val="auto"/>
                <w:highlight w:val="none"/>
              </w:rPr>
            </w:pPr>
            <w:r>
              <w:rPr>
                <w:rFonts w:hint="eastAsia"/>
                <w:color w:val="auto"/>
                <w:highlight w:val="none"/>
              </w:rPr>
              <w:t>太阳能充电控制器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vAlign w:val="center"/>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电压</w:t>
            </w:r>
          </w:p>
        </w:tc>
        <w:tc>
          <w:tcPr>
            <w:tcW w:w="2953" w:type="pct"/>
          </w:tcPr>
          <w:p>
            <w:pPr>
              <w:spacing w:line="400" w:lineRule="exact"/>
              <w:rPr>
                <w:color w:val="auto"/>
                <w:highlight w:val="none"/>
              </w:rPr>
            </w:pPr>
            <w:r>
              <w:rPr>
                <w:rFonts w:hint="eastAsia"/>
                <w:color w:val="auto"/>
                <w:highlight w:val="none"/>
                <w:lang w:bidi="ar"/>
              </w:rPr>
              <w:t>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组件最大输入电流</w:t>
            </w:r>
          </w:p>
        </w:tc>
        <w:tc>
          <w:tcPr>
            <w:tcW w:w="2953" w:type="pct"/>
          </w:tcPr>
          <w:p>
            <w:pPr>
              <w:spacing w:line="400" w:lineRule="exact"/>
              <w:rPr>
                <w:color w:val="auto"/>
                <w:highlight w:val="none"/>
              </w:rPr>
            </w:pPr>
            <w:r>
              <w:rPr>
                <w:rFonts w:hint="eastAsia"/>
                <w:color w:val="auto"/>
                <w:highlight w:val="none"/>
                <w:lang w:bidi="ar"/>
              </w:rPr>
              <w:t>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最大负载电流</w:t>
            </w:r>
          </w:p>
        </w:tc>
        <w:tc>
          <w:tcPr>
            <w:tcW w:w="2953" w:type="pct"/>
          </w:tcPr>
          <w:p>
            <w:pPr>
              <w:spacing w:line="400" w:lineRule="exact"/>
              <w:jc w:val="left"/>
              <w:rPr>
                <w:color w:val="auto"/>
                <w:highlight w:val="none"/>
              </w:rPr>
            </w:pPr>
            <w:r>
              <w:rPr>
                <w:rFonts w:hint="eastAsia"/>
                <w:color w:val="auto"/>
                <w:highlight w:val="none"/>
                <w:lang w:bidi="ar"/>
              </w:rPr>
              <w:t>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深放电保护功能</w:t>
            </w:r>
          </w:p>
        </w:tc>
        <w:tc>
          <w:tcPr>
            <w:tcW w:w="2953" w:type="pct"/>
          </w:tcPr>
          <w:p>
            <w:pPr>
              <w:spacing w:line="400" w:lineRule="exact"/>
              <w:rPr>
                <w:color w:val="auto"/>
                <w:highlight w:val="none"/>
              </w:rPr>
            </w:pPr>
            <w:r>
              <w:rPr>
                <w:rFonts w:hint="eastAsia"/>
                <w:color w:val="auto"/>
                <w:highlight w:val="none"/>
                <w:lang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组件最大电压</w:t>
            </w:r>
          </w:p>
        </w:tc>
        <w:tc>
          <w:tcPr>
            <w:tcW w:w="2953" w:type="pct"/>
          </w:tcPr>
          <w:p>
            <w:pPr>
              <w:spacing w:line="400" w:lineRule="exact"/>
              <w:rPr>
                <w:color w:val="auto"/>
                <w:highlight w:val="none"/>
              </w:rPr>
            </w:pPr>
            <w:r>
              <w:rPr>
                <w:rFonts w:hint="eastAsia"/>
                <w:color w:val="auto"/>
                <w:highlight w:val="none"/>
                <w:lang w:bidi="ar"/>
              </w:rPr>
              <w:t>47V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最大自损耗</w:t>
            </w:r>
          </w:p>
        </w:tc>
        <w:tc>
          <w:tcPr>
            <w:tcW w:w="2953" w:type="pct"/>
          </w:tcPr>
          <w:p>
            <w:pPr>
              <w:spacing w:line="400" w:lineRule="exact"/>
              <w:rPr>
                <w:color w:val="auto"/>
                <w:highlight w:val="none"/>
                <w:lang w:bidi="ar"/>
              </w:rPr>
            </w:pPr>
            <w:r>
              <w:rPr>
                <w:rFonts w:hint="eastAsia"/>
                <w:color w:val="auto"/>
                <w:highlight w:val="none"/>
                <w:lang w:bidi="ar"/>
              </w:rPr>
              <w:t>&lt;4mA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深放电保护电压值（LED）</w:t>
            </w:r>
          </w:p>
        </w:tc>
        <w:tc>
          <w:tcPr>
            <w:tcW w:w="2953" w:type="pct"/>
          </w:tcPr>
          <w:p>
            <w:pPr>
              <w:spacing w:line="400" w:lineRule="exact"/>
              <w:rPr>
                <w:color w:val="auto"/>
                <w:highlight w:val="none"/>
                <w:lang w:bidi="ar"/>
              </w:rPr>
            </w:pPr>
            <w:r>
              <w:rPr>
                <w:rFonts w:hint="eastAsia"/>
                <w:color w:val="auto"/>
                <w:highlight w:val="none"/>
                <w:lang w:bidi="ar"/>
              </w:rPr>
              <w:t>11.1V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000" w:type="pct"/>
            <w:gridSpan w:val="2"/>
          </w:tcPr>
          <w:p>
            <w:pPr>
              <w:spacing w:line="400" w:lineRule="exact"/>
              <w:jc w:val="center"/>
              <w:rPr>
                <w:color w:val="auto"/>
                <w:highlight w:val="none"/>
                <w:lang w:bidi="ar"/>
              </w:rPr>
            </w:pPr>
            <w:r>
              <w:rPr>
                <w:rFonts w:hint="eastAsia"/>
                <w:color w:val="auto"/>
                <w:highlight w:val="none"/>
                <w:lang w:bidi="ar"/>
              </w:rPr>
              <w:t>太阳能电池板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vAlign w:val="center"/>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峰值功率</w:t>
            </w:r>
          </w:p>
        </w:tc>
        <w:tc>
          <w:tcPr>
            <w:tcW w:w="2953" w:type="pct"/>
          </w:tcPr>
          <w:p>
            <w:pPr>
              <w:spacing w:line="400" w:lineRule="exact"/>
              <w:rPr>
                <w:color w:val="auto"/>
                <w:highlight w:val="none"/>
              </w:rPr>
            </w:pPr>
            <w:r>
              <w:rPr>
                <w:rFonts w:hint="eastAsia"/>
                <w:color w:val="auto"/>
                <w:highlight w:val="none"/>
                <w:lang w:bidi="ar"/>
              </w:rPr>
              <w:t>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功差</w:t>
            </w:r>
          </w:p>
        </w:tc>
        <w:tc>
          <w:tcPr>
            <w:tcW w:w="2953" w:type="pct"/>
          </w:tcPr>
          <w:p>
            <w:pPr>
              <w:spacing w:line="400" w:lineRule="exact"/>
              <w:rPr>
                <w:color w:val="auto"/>
                <w:highlight w:val="none"/>
              </w:rPr>
            </w:pPr>
            <w:r>
              <w:rPr>
                <w:rFonts w:hint="eastAsia"/>
                <w:color w:val="auto"/>
                <w:highlight w:val="none"/>
                <w:lang w:bidi="ar"/>
              </w:rPr>
              <w:t>+3%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工作电压</w:t>
            </w:r>
          </w:p>
        </w:tc>
        <w:tc>
          <w:tcPr>
            <w:tcW w:w="2953" w:type="pct"/>
          </w:tcPr>
          <w:p>
            <w:pPr>
              <w:spacing w:line="400" w:lineRule="exact"/>
              <w:rPr>
                <w:color w:val="auto"/>
                <w:highlight w:val="none"/>
              </w:rPr>
            </w:pPr>
            <w:r>
              <w:rPr>
                <w:rFonts w:hint="eastAsia"/>
                <w:color w:val="auto"/>
                <w:highlight w:val="none"/>
                <w:lang w:bidi="ar"/>
              </w:rPr>
              <w:t>17.5V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工作电流</w:t>
            </w:r>
          </w:p>
        </w:tc>
        <w:tc>
          <w:tcPr>
            <w:tcW w:w="2953" w:type="pct"/>
          </w:tcPr>
          <w:p>
            <w:pPr>
              <w:spacing w:line="400" w:lineRule="exact"/>
              <w:rPr>
                <w:color w:val="auto"/>
                <w:highlight w:val="none"/>
              </w:rPr>
            </w:pPr>
            <w:r>
              <w:rPr>
                <w:rFonts w:hint="eastAsia"/>
                <w:color w:val="auto"/>
                <w:highlight w:val="none"/>
                <w:lang w:bidi="ar"/>
              </w:rPr>
              <w:t>1.18A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开路电压</w:t>
            </w:r>
          </w:p>
        </w:tc>
        <w:tc>
          <w:tcPr>
            <w:tcW w:w="2953" w:type="pct"/>
          </w:tcPr>
          <w:p>
            <w:pPr>
              <w:spacing w:line="400" w:lineRule="exact"/>
              <w:rPr>
                <w:color w:val="auto"/>
                <w:highlight w:val="none"/>
              </w:rPr>
            </w:pPr>
            <w:r>
              <w:rPr>
                <w:rFonts w:hint="eastAsia"/>
                <w:color w:val="auto"/>
                <w:highlight w:val="none"/>
                <w:lang w:bidi="ar"/>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短路电流</w:t>
            </w:r>
          </w:p>
        </w:tc>
        <w:tc>
          <w:tcPr>
            <w:tcW w:w="2953" w:type="pct"/>
          </w:tcPr>
          <w:p>
            <w:pPr>
              <w:spacing w:line="400" w:lineRule="exact"/>
              <w:rPr>
                <w:color w:val="auto"/>
                <w:highlight w:val="none"/>
                <w:lang w:bidi="ar"/>
              </w:rPr>
            </w:pPr>
            <w:r>
              <w:rPr>
                <w:rFonts w:hint="eastAsia"/>
                <w:color w:val="auto"/>
                <w:highlight w:val="none"/>
                <w:lang w:bidi="ar"/>
              </w:rPr>
              <w:t>1.28A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最大功率点电压</w:t>
            </w:r>
          </w:p>
        </w:tc>
        <w:tc>
          <w:tcPr>
            <w:tcW w:w="2953" w:type="pct"/>
          </w:tcPr>
          <w:p>
            <w:pPr>
              <w:spacing w:line="400" w:lineRule="exact"/>
              <w:rPr>
                <w:color w:val="auto"/>
                <w:highlight w:val="none"/>
                <w:lang w:bidi="ar"/>
              </w:rPr>
            </w:pPr>
            <w:r>
              <w:rPr>
                <w:rFonts w:hint="eastAsia"/>
                <w:color w:val="auto"/>
                <w:highlight w:val="none"/>
                <w:lang w:bidi="ar"/>
              </w:rPr>
              <w:t>17V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二极管</w:t>
            </w:r>
          </w:p>
        </w:tc>
        <w:tc>
          <w:tcPr>
            <w:tcW w:w="2953" w:type="pct"/>
          </w:tcPr>
          <w:p>
            <w:pPr>
              <w:spacing w:line="400" w:lineRule="exact"/>
              <w:rPr>
                <w:color w:val="auto"/>
                <w:highlight w:val="none"/>
                <w:lang w:bidi="ar"/>
              </w:rPr>
            </w:pPr>
            <w:r>
              <w:rPr>
                <w:rFonts w:hint="eastAsia"/>
                <w:color w:val="auto"/>
                <w:highlight w:val="none"/>
                <w:lang w:bidi="ar"/>
              </w:rPr>
              <w:t>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接线盒类型</w:t>
            </w:r>
          </w:p>
        </w:tc>
        <w:tc>
          <w:tcPr>
            <w:tcW w:w="2953" w:type="pct"/>
          </w:tcPr>
          <w:p>
            <w:pPr>
              <w:spacing w:line="400" w:lineRule="exact"/>
              <w:rPr>
                <w:color w:val="auto"/>
                <w:highlight w:val="none"/>
                <w:lang w:bidi="ar"/>
              </w:rPr>
            </w:pPr>
            <w:r>
              <w:rPr>
                <w:rFonts w:hint="eastAsia"/>
                <w:color w:val="auto"/>
                <w:highlight w:val="none"/>
                <w:lang w:bidi="ar"/>
              </w:rPr>
              <w:t>通过TUV认证的接线盒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短路电流温度系数</w:t>
            </w:r>
          </w:p>
        </w:tc>
        <w:tc>
          <w:tcPr>
            <w:tcW w:w="2953" w:type="pct"/>
          </w:tcPr>
          <w:p>
            <w:pPr>
              <w:spacing w:line="400" w:lineRule="exact"/>
              <w:rPr>
                <w:color w:val="auto"/>
                <w:highlight w:val="none"/>
                <w:lang w:bidi="ar"/>
              </w:rPr>
            </w:pPr>
            <w:r>
              <w:rPr>
                <w:rFonts w:hint="eastAsia"/>
                <w:color w:val="auto"/>
                <w:highlight w:val="none"/>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开路电压温度系数</w:t>
            </w:r>
          </w:p>
        </w:tc>
        <w:tc>
          <w:tcPr>
            <w:tcW w:w="2953" w:type="pct"/>
          </w:tcPr>
          <w:p>
            <w:pPr>
              <w:spacing w:line="400" w:lineRule="exact"/>
              <w:rPr>
                <w:color w:val="auto"/>
                <w:highlight w:val="none"/>
                <w:lang w:bidi="ar"/>
              </w:rPr>
            </w:pPr>
            <w:r>
              <w:rPr>
                <w:rFonts w:hint="eastAsia"/>
                <w:color w:val="auto"/>
                <w:highlight w:val="none"/>
                <w:lang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功率温度系数</w:t>
            </w:r>
          </w:p>
        </w:tc>
        <w:tc>
          <w:tcPr>
            <w:tcW w:w="2953" w:type="pct"/>
          </w:tcPr>
          <w:p>
            <w:pPr>
              <w:spacing w:line="400" w:lineRule="exact"/>
              <w:jc w:val="left"/>
              <w:rPr>
                <w:color w:val="auto"/>
                <w:highlight w:val="none"/>
                <w:lang w:bidi="ar"/>
              </w:rPr>
            </w:pPr>
            <w:r>
              <w:rPr>
                <w:rFonts w:hint="eastAsia"/>
                <w:color w:val="auto"/>
                <w:highlight w:val="none"/>
                <w:lang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工作电流温度系数</w:t>
            </w:r>
          </w:p>
        </w:tc>
        <w:tc>
          <w:tcPr>
            <w:tcW w:w="2953" w:type="pct"/>
          </w:tcPr>
          <w:p>
            <w:pPr>
              <w:spacing w:line="400" w:lineRule="exact"/>
              <w:jc w:val="left"/>
              <w:rPr>
                <w:color w:val="auto"/>
                <w:highlight w:val="none"/>
                <w:lang w:bidi="ar"/>
              </w:rPr>
            </w:pPr>
            <w:r>
              <w:rPr>
                <w:rFonts w:hint="eastAsia"/>
                <w:color w:val="auto"/>
                <w:highlight w:val="none"/>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环境温度</w:t>
            </w:r>
          </w:p>
        </w:tc>
        <w:tc>
          <w:tcPr>
            <w:tcW w:w="2953" w:type="pct"/>
          </w:tcPr>
          <w:p>
            <w:pPr>
              <w:spacing w:line="400" w:lineRule="exact"/>
              <w:jc w:val="left"/>
              <w:rPr>
                <w:color w:val="auto"/>
                <w:highlight w:val="none"/>
                <w:lang w:bidi="ar"/>
              </w:rPr>
            </w:pPr>
            <w:r>
              <w:rPr>
                <w:rFonts w:hint="eastAsia"/>
                <w:color w:val="auto"/>
                <w:highlight w:val="none"/>
                <w:lang w:bidi="ar"/>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绝缘系数</w:t>
            </w:r>
          </w:p>
        </w:tc>
        <w:tc>
          <w:tcPr>
            <w:tcW w:w="2953" w:type="pct"/>
          </w:tcPr>
          <w:p>
            <w:pPr>
              <w:spacing w:line="400" w:lineRule="exact"/>
              <w:jc w:val="left"/>
              <w:rPr>
                <w:color w:val="auto"/>
                <w:highlight w:val="none"/>
                <w:lang w:bidi="ar"/>
              </w:rPr>
            </w:pPr>
            <w:r>
              <w:rPr>
                <w:rFonts w:hint="eastAsia"/>
                <w:color w:val="auto"/>
                <w:highlight w:val="none"/>
                <w:lang w:bidi="ar"/>
              </w:rPr>
              <w:t>﹥﹦100MOhm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击穿电压</w:t>
            </w:r>
          </w:p>
        </w:tc>
        <w:tc>
          <w:tcPr>
            <w:tcW w:w="2953" w:type="pct"/>
          </w:tcPr>
          <w:p>
            <w:pPr>
              <w:spacing w:line="400" w:lineRule="exact"/>
              <w:rPr>
                <w:color w:val="auto"/>
                <w:highlight w:val="none"/>
                <w:lang w:bidi="ar"/>
              </w:rPr>
            </w:pPr>
            <w:r>
              <w:rPr>
                <w:rFonts w:hint="eastAsia"/>
                <w:color w:val="auto"/>
                <w:highlight w:val="none"/>
                <w:lang w:bidi="ar"/>
              </w:rPr>
              <w:t>AC2000V, DC 3000V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抗风力系数</w:t>
            </w:r>
          </w:p>
        </w:tc>
        <w:tc>
          <w:tcPr>
            <w:tcW w:w="2953" w:type="pct"/>
          </w:tcPr>
          <w:p>
            <w:pPr>
              <w:spacing w:line="400" w:lineRule="exact"/>
              <w:rPr>
                <w:color w:val="auto"/>
                <w:highlight w:val="none"/>
                <w:lang w:bidi="ar"/>
              </w:rPr>
            </w:pPr>
            <w:r>
              <w:rPr>
                <w:rFonts w:hint="eastAsia"/>
                <w:color w:val="auto"/>
                <w:highlight w:val="none"/>
                <w:lang w:bidi="ar"/>
              </w:rPr>
              <w:t>60m/s(200kg/sq.m)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耐冲击冰雹撞击系数</w:t>
            </w:r>
          </w:p>
        </w:tc>
        <w:tc>
          <w:tcPr>
            <w:tcW w:w="2953" w:type="pct"/>
          </w:tcPr>
          <w:p>
            <w:pPr>
              <w:spacing w:line="400" w:lineRule="exact"/>
              <w:rPr>
                <w:color w:val="auto"/>
                <w:highlight w:val="none"/>
                <w:lang w:bidi="ar"/>
              </w:rPr>
            </w:pPr>
            <w:r>
              <w:rPr>
                <w:rFonts w:hint="eastAsia"/>
                <w:color w:val="auto"/>
                <w:highlight w:val="none"/>
                <w:lang w:bidi="ar"/>
              </w:rPr>
              <w:t>能承受227g钢球从1m高掉下的撞击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换效率</w:t>
            </w:r>
          </w:p>
        </w:tc>
        <w:tc>
          <w:tcPr>
            <w:tcW w:w="2953" w:type="pct"/>
          </w:tcPr>
          <w:p>
            <w:pPr>
              <w:spacing w:line="400" w:lineRule="exact"/>
              <w:rPr>
                <w:color w:val="auto"/>
                <w:highlight w:val="none"/>
                <w:lang w:bidi="ar"/>
              </w:rPr>
            </w:pPr>
            <w:r>
              <w:rPr>
                <w:rFonts w:hint="eastAsia"/>
                <w:color w:val="auto"/>
                <w:highlight w:val="none"/>
                <w:lang w:bidi="ar"/>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000" w:type="pct"/>
            <w:gridSpan w:val="2"/>
          </w:tcPr>
          <w:p>
            <w:pPr>
              <w:spacing w:line="400" w:lineRule="exact"/>
              <w:jc w:val="center"/>
              <w:rPr>
                <w:color w:val="auto"/>
                <w:highlight w:val="none"/>
                <w:lang w:bidi="ar"/>
              </w:rPr>
            </w:pPr>
            <w:r>
              <w:rPr>
                <w:rFonts w:hint="eastAsia"/>
                <w:color w:val="auto"/>
                <w:highlight w:val="none"/>
                <w:lang w:bidi="ar"/>
              </w:rPr>
              <w:t>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vAlign w:val="center"/>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额定电压</w:t>
            </w:r>
          </w:p>
        </w:tc>
        <w:tc>
          <w:tcPr>
            <w:tcW w:w="2953" w:type="pct"/>
          </w:tcPr>
          <w:p>
            <w:pPr>
              <w:spacing w:line="400" w:lineRule="exact"/>
              <w:rPr>
                <w:color w:val="auto"/>
                <w:highlight w:val="none"/>
              </w:rPr>
            </w:pPr>
            <w:r>
              <w:rPr>
                <w:rFonts w:hint="eastAsia"/>
                <w:color w:val="auto"/>
                <w:highlight w:val="none"/>
                <w:lang w:bidi="ar"/>
              </w:rPr>
              <w:t>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额定容量(20小时率)</w:t>
            </w:r>
          </w:p>
        </w:tc>
        <w:tc>
          <w:tcPr>
            <w:tcW w:w="2953" w:type="pct"/>
          </w:tcPr>
          <w:p>
            <w:pPr>
              <w:spacing w:line="400" w:lineRule="exact"/>
              <w:rPr>
                <w:color w:val="auto"/>
                <w:highlight w:val="none"/>
              </w:rPr>
            </w:pPr>
            <w:r>
              <w:rPr>
                <w:rFonts w:hint="eastAsia"/>
                <w:color w:val="auto"/>
                <w:highlight w:val="none"/>
                <w:lang w:bidi="ar"/>
              </w:rPr>
              <w:t>65Ah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密封程度</w:t>
            </w:r>
          </w:p>
        </w:tc>
        <w:tc>
          <w:tcPr>
            <w:tcW w:w="2953" w:type="pct"/>
          </w:tcPr>
          <w:p>
            <w:pPr>
              <w:spacing w:line="400" w:lineRule="exact"/>
              <w:rPr>
                <w:color w:val="auto"/>
                <w:highlight w:val="none"/>
              </w:rPr>
            </w:pPr>
            <w:r>
              <w:rPr>
                <w:rFonts w:hint="eastAsia"/>
                <w:color w:val="auto"/>
                <w:highlight w:val="none"/>
                <w:lang w:bidi="ar"/>
              </w:rPr>
              <w:t>全密封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内阻</w:t>
            </w:r>
          </w:p>
        </w:tc>
        <w:tc>
          <w:tcPr>
            <w:tcW w:w="2953" w:type="pct"/>
          </w:tcPr>
          <w:p>
            <w:pPr>
              <w:spacing w:line="400" w:lineRule="exact"/>
              <w:rPr>
                <w:color w:val="auto"/>
                <w:highlight w:val="none"/>
              </w:rPr>
            </w:pPr>
            <w:r>
              <w:rPr>
                <w:rFonts w:hint="eastAsia"/>
                <w:color w:val="auto"/>
                <w:highlight w:val="none"/>
                <w:lang w:bidi="ar"/>
              </w:rPr>
              <w:t>毫欧量级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bidi="ar"/>
              </w:rPr>
              <w:t>免充电存放时间</w:t>
            </w:r>
          </w:p>
        </w:tc>
        <w:tc>
          <w:tcPr>
            <w:tcW w:w="2953" w:type="pct"/>
          </w:tcPr>
          <w:p>
            <w:pPr>
              <w:spacing w:line="400" w:lineRule="exact"/>
              <w:rPr>
                <w:color w:val="auto"/>
                <w:highlight w:val="none"/>
              </w:rPr>
            </w:pPr>
            <w:r>
              <w:rPr>
                <w:rFonts w:hint="eastAsia"/>
                <w:color w:val="auto"/>
                <w:highlight w:val="none"/>
                <w:lang w:bidi="ar"/>
              </w:rPr>
              <w:t>大于6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蓄电池结构</w:t>
            </w:r>
          </w:p>
        </w:tc>
        <w:tc>
          <w:tcPr>
            <w:tcW w:w="2953" w:type="pct"/>
          </w:tcPr>
          <w:p>
            <w:pPr>
              <w:spacing w:line="400" w:lineRule="exact"/>
              <w:rPr>
                <w:color w:val="auto"/>
                <w:highlight w:val="none"/>
                <w:lang w:bidi="ar"/>
              </w:rPr>
            </w:pPr>
            <w:r>
              <w:rPr>
                <w:rFonts w:hint="eastAsia"/>
                <w:color w:val="auto"/>
                <w:highlight w:val="none"/>
                <w:lang w:bidi="ar"/>
              </w:rPr>
              <w:t>蓄电池的正、负极端子应便于连接，有明显标志；蓄电池端子用螺栓、螺母连接。蓄电池间的连接电压降△U≦10mV。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大电流放电能力</w:t>
            </w:r>
          </w:p>
        </w:tc>
        <w:tc>
          <w:tcPr>
            <w:tcW w:w="2953" w:type="pct"/>
          </w:tcPr>
          <w:p>
            <w:pPr>
              <w:spacing w:line="400" w:lineRule="exact"/>
              <w:rPr>
                <w:color w:val="auto"/>
                <w:highlight w:val="none"/>
                <w:lang w:bidi="ar"/>
              </w:rPr>
            </w:pPr>
            <w:r>
              <w:rPr>
                <w:rFonts w:hint="eastAsia"/>
                <w:color w:val="auto"/>
                <w:highlight w:val="none"/>
                <w:lang w:bidi="ar"/>
              </w:rPr>
              <w:t>3～7C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储备容量</w:t>
            </w:r>
          </w:p>
        </w:tc>
        <w:tc>
          <w:tcPr>
            <w:tcW w:w="2953" w:type="pct"/>
          </w:tcPr>
          <w:p>
            <w:pPr>
              <w:spacing w:line="400" w:lineRule="exact"/>
              <w:rPr>
                <w:color w:val="auto"/>
                <w:highlight w:val="none"/>
                <w:lang w:bidi="ar"/>
              </w:rPr>
            </w:pPr>
            <w:r>
              <w:rPr>
                <w:rFonts w:hint="eastAsia"/>
                <w:color w:val="auto"/>
                <w:highlight w:val="none"/>
                <w:lang w:bidi="ar"/>
              </w:rPr>
              <w:t>62～69min  10.5V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低温起动能力</w:t>
            </w:r>
          </w:p>
        </w:tc>
        <w:tc>
          <w:tcPr>
            <w:tcW w:w="2953" w:type="pct"/>
          </w:tcPr>
          <w:p>
            <w:pPr>
              <w:spacing w:line="400" w:lineRule="exact"/>
              <w:rPr>
                <w:color w:val="auto"/>
                <w:highlight w:val="none"/>
                <w:lang w:bidi="ar"/>
              </w:rPr>
            </w:pPr>
            <w:r>
              <w:rPr>
                <w:rFonts w:hint="eastAsia"/>
                <w:color w:val="auto"/>
                <w:highlight w:val="none"/>
                <w:lang w:bidi="ar"/>
              </w:rPr>
              <w:t>5S  9.82V  60S  9.47V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循环耐久能力</w:t>
            </w:r>
          </w:p>
        </w:tc>
        <w:tc>
          <w:tcPr>
            <w:tcW w:w="2953" w:type="pct"/>
          </w:tcPr>
          <w:p>
            <w:pPr>
              <w:spacing w:line="400" w:lineRule="exact"/>
              <w:rPr>
                <w:color w:val="auto"/>
                <w:highlight w:val="none"/>
                <w:lang w:bidi="ar"/>
              </w:rPr>
            </w:pPr>
            <w:r>
              <w:rPr>
                <w:rFonts w:hint="eastAsia"/>
                <w:color w:val="auto"/>
                <w:highlight w:val="none"/>
                <w:lang w:bidi="ar"/>
              </w:rPr>
              <w:t>30S  10.44V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封口剂性能</w:t>
            </w:r>
          </w:p>
        </w:tc>
        <w:tc>
          <w:tcPr>
            <w:tcW w:w="2953" w:type="pct"/>
          </w:tcPr>
          <w:p>
            <w:pPr>
              <w:spacing w:line="400" w:lineRule="exact"/>
              <w:rPr>
                <w:color w:val="auto"/>
                <w:highlight w:val="none"/>
                <w:lang w:bidi="ar"/>
              </w:rPr>
            </w:pPr>
            <w:r>
              <w:rPr>
                <w:rFonts w:hint="eastAsia"/>
                <w:color w:val="auto"/>
                <w:highlight w:val="none"/>
                <w:lang w:bidi="ar"/>
              </w:rPr>
              <w:t>在温度-30℃～+65℃之间，封口不应有裂纹与溢流现象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自放电25℃(77°F)</w:t>
            </w:r>
          </w:p>
        </w:tc>
        <w:tc>
          <w:tcPr>
            <w:tcW w:w="2953" w:type="pct"/>
          </w:tcPr>
          <w:p>
            <w:pPr>
              <w:spacing w:line="400" w:lineRule="exact"/>
              <w:jc w:val="left"/>
              <w:rPr>
                <w:color w:val="auto"/>
                <w:highlight w:val="none"/>
                <w:lang w:bidi="ar"/>
              </w:rPr>
            </w:pPr>
            <w:r>
              <w:rPr>
                <w:rFonts w:hint="eastAsia"/>
                <w:color w:val="auto"/>
                <w:highlight w:val="none"/>
                <w:lang w:bidi="ar"/>
              </w:rPr>
              <w:t>贮存3个月后剩余容量90%;贮存6个月后剩余容量80%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充电时电池温度</w:t>
            </w:r>
          </w:p>
        </w:tc>
        <w:tc>
          <w:tcPr>
            <w:tcW w:w="2953" w:type="pct"/>
          </w:tcPr>
          <w:p>
            <w:pPr>
              <w:spacing w:line="400" w:lineRule="exact"/>
              <w:jc w:val="left"/>
              <w:rPr>
                <w:color w:val="auto"/>
                <w:highlight w:val="none"/>
                <w:lang w:bidi="ar"/>
              </w:rPr>
            </w:pPr>
            <w:r>
              <w:rPr>
                <w:rFonts w:hint="eastAsia"/>
                <w:color w:val="auto"/>
                <w:highlight w:val="none"/>
                <w:lang w:bidi="ar"/>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47" w:type="pct"/>
          </w:tcPr>
          <w:p>
            <w:pPr>
              <w:pStyle w:val="893"/>
              <w:widowControl w:val="0"/>
              <w:tabs>
                <w:tab w:val="center" w:pos="612"/>
              </w:tabs>
              <w:spacing w:before="0" w:line="400" w:lineRule="exact"/>
              <w:jc w:val="both"/>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其它</w:t>
            </w:r>
          </w:p>
        </w:tc>
        <w:tc>
          <w:tcPr>
            <w:tcW w:w="2953" w:type="pct"/>
          </w:tcPr>
          <w:p>
            <w:pPr>
              <w:spacing w:line="400" w:lineRule="exact"/>
              <w:rPr>
                <w:color w:val="auto"/>
                <w:highlight w:val="none"/>
                <w:lang w:bidi="ar"/>
              </w:rPr>
            </w:pPr>
            <w:r>
              <w:rPr>
                <w:rFonts w:hint="eastAsia"/>
                <w:color w:val="auto"/>
                <w:highlight w:val="none"/>
                <w:lang w:bidi="ar"/>
              </w:rPr>
              <w:t>蓄电池能承受50kPa 的正压而不破裂、不开胶，压力释放后壳体无残余变形。</w:t>
            </w:r>
          </w:p>
          <w:p>
            <w:pPr>
              <w:spacing w:line="400" w:lineRule="exact"/>
              <w:rPr>
                <w:color w:val="auto"/>
                <w:highlight w:val="none"/>
                <w:lang w:bidi="ar"/>
              </w:rPr>
            </w:pPr>
            <w:r>
              <w:rPr>
                <w:rFonts w:hint="eastAsia"/>
                <w:color w:val="auto"/>
                <w:highlight w:val="none"/>
                <w:lang w:bidi="ar"/>
              </w:rPr>
              <w:t>安全阀具有自动开启和自动关闭的功能，其开阀压应是10kPa～49kPa，闭阀压应是1kPa～10kPa。</w:t>
            </w:r>
          </w:p>
          <w:p>
            <w:pPr>
              <w:spacing w:line="400" w:lineRule="exact"/>
              <w:rPr>
                <w:color w:val="auto"/>
                <w:highlight w:val="none"/>
                <w:lang w:bidi="ar"/>
              </w:rPr>
            </w:pPr>
            <w:r>
              <w:rPr>
                <w:rFonts w:hint="eastAsia"/>
                <w:color w:val="auto"/>
                <w:highlight w:val="none"/>
                <w:lang w:bidi="ar"/>
              </w:rPr>
              <w:t>蓄电池在充电过程中遇有明火，内部不引爆。</w:t>
            </w:r>
          </w:p>
          <w:p>
            <w:pPr>
              <w:spacing w:line="400" w:lineRule="exact"/>
              <w:rPr>
                <w:color w:val="auto"/>
                <w:highlight w:val="none"/>
                <w:lang w:bidi="ar"/>
              </w:rPr>
            </w:pPr>
            <w:r>
              <w:rPr>
                <w:rFonts w:hint="eastAsia"/>
                <w:color w:val="auto"/>
                <w:highlight w:val="none"/>
                <w:lang w:bidi="ar"/>
              </w:rPr>
              <w:t>电池在正常工作过程中无酸雾逸出</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6</w:t>
      </w:r>
      <w:r>
        <w:rPr>
          <w:rFonts w:hint="eastAsia" w:ascii="仿宋" w:hAnsi="仿宋" w:eastAsia="仿宋" w:cs="仿宋"/>
          <w:b/>
          <w:bCs/>
          <w:color w:val="auto"/>
          <w:sz w:val="24"/>
          <w:szCs w:val="24"/>
          <w:highlight w:val="none"/>
        </w:rPr>
        <w:t>、通讯系统技术要求</w:t>
      </w:r>
    </w:p>
    <w:p>
      <w:pPr>
        <w:spacing w:line="400" w:lineRule="exact"/>
        <w:ind w:firstLine="480" w:firstLineChars="200"/>
        <w:rPr>
          <w:color w:val="auto"/>
          <w:highlight w:val="none"/>
        </w:rPr>
      </w:pPr>
      <w:r>
        <w:rPr>
          <w:rFonts w:hint="eastAsia"/>
          <w:color w:val="auto"/>
          <w:highlight w:val="none"/>
        </w:rPr>
        <w:t>自动气象站具备通过无线方式进行数据远程传输的功能。这种传输一般是通过主采集器的远程通信接口（RS 232）外加远程通信设备实现。产品数据必须可以接入中国气象局部署的统一版中心站软件,通讯应具备全面支持国内所有的运营商网络服务及 2G、3G、4G网络至少三路传输。</w:t>
      </w:r>
    </w:p>
    <w:p>
      <w:pPr>
        <w:spacing w:line="400" w:lineRule="exact"/>
        <w:ind w:firstLine="480" w:firstLineChars="200"/>
        <w:rPr>
          <w:color w:val="auto"/>
          <w:highlight w:val="none"/>
        </w:rPr>
      </w:pPr>
      <w:r>
        <w:rPr>
          <w:rFonts w:hint="eastAsia"/>
          <w:color w:val="auto"/>
          <w:highlight w:val="none"/>
        </w:rPr>
        <w:t>终端技术要求：</w:t>
      </w:r>
    </w:p>
    <w:p>
      <w:pPr>
        <w:spacing w:line="400" w:lineRule="exact"/>
        <w:ind w:firstLine="480" w:firstLineChars="200"/>
        <w:rPr>
          <w:color w:val="auto"/>
          <w:highlight w:val="none"/>
        </w:rPr>
      </w:pPr>
      <w:r>
        <w:rPr>
          <w:rFonts w:hint="eastAsia"/>
          <w:color w:val="auto"/>
          <w:highlight w:val="none"/>
        </w:rPr>
        <w:t>支持 RS-232/485 接口,使用方便、灵活、可靠,数据终端永远在线,支持 2G、3G、4G 网络自动识别并切换,供电要求：电压 +6~16VDC，纹波小于 300mV功耗 50mA,通信中 平均170mA空闲时 50mA。</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7</w:t>
      </w:r>
      <w:r>
        <w:rPr>
          <w:rFonts w:hint="eastAsia" w:ascii="仿宋" w:hAnsi="仿宋" w:eastAsia="仿宋" w:cs="仿宋"/>
          <w:b/>
          <w:bCs/>
          <w:color w:val="auto"/>
          <w:sz w:val="24"/>
          <w:szCs w:val="24"/>
          <w:highlight w:val="none"/>
        </w:rPr>
        <w:t>、百叶箱技术要求</w:t>
      </w:r>
    </w:p>
    <w:tbl>
      <w:tblPr>
        <w:tblStyle w:val="8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5"/>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包装尺寸</w:t>
            </w:r>
          </w:p>
        </w:tc>
        <w:tc>
          <w:tcPr>
            <w:tcW w:w="2813" w:type="pct"/>
            <w:vAlign w:val="center"/>
          </w:tcPr>
          <w:p>
            <w:pPr>
              <w:spacing w:before="72" w:after="72" w:line="400" w:lineRule="exact"/>
              <w:jc w:val="center"/>
              <w:rPr>
                <w:color w:val="auto"/>
                <w:highlight w:val="none"/>
              </w:rPr>
            </w:pPr>
            <w:r>
              <w:rPr>
                <w:rFonts w:hint="eastAsia"/>
                <w:color w:val="auto"/>
                <w:highlight w:val="none"/>
              </w:rPr>
              <w:t>710*720*920毫米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箱内尺寸</w:t>
            </w:r>
          </w:p>
        </w:tc>
        <w:tc>
          <w:tcPr>
            <w:tcW w:w="2813" w:type="pct"/>
            <w:vAlign w:val="center"/>
          </w:tcPr>
          <w:p>
            <w:pPr>
              <w:spacing w:before="72" w:after="72" w:line="400" w:lineRule="exact"/>
              <w:jc w:val="center"/>
              <w:rPr>
                <w:color w:val="auto"/>
                <w:highlight w:val="none"/>
              </w:rPr>
            </w:pPr>
            <w:r>
              <w:rPr>
                <w:rFonts w:hint="eastAsia"/>
                <w:color w:val="auto"/>
                <w:highlight w:val="none"/>
              </w:rPr>
              <w:t>466*462*618毫米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安装尺寸</w:t>
            </w:r>
          </w:p>
        </w:tc>
        <w:tc>
          <w:tcPr>
            <w:tcW w:w="2813" w:type="pct"/>
            <w:vAlign w:val="center"/>
          </w:tcPr>
          <w:p>
            <w:pPr>
              <w:spacing w:before="72" w:after="72" w:line="400" w:lineRule="exact"/>
              <w:jc w:val="center"/>
              <w:rPr>
                <w:color w:val="auto"/>
                <w:highlight w:val="none"/>
              </w:rPr>
            </w:pPr>
            <w:r>
              <w:rPr>
                <w:rFonts w:hint="eastAsia"/>
                <w:color w:val="auto"/>
                <w:highlight w:val="none"/>
              </w:rPr>
              <w:t>430*430毫米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顶盖尺寸</w:t>
            </w:r>
          </w:p>
        </w:tc>
        <w:tc>
          <w:tcPr>
            <w:tcW w:w="2813" w:type="pct"/>
            <w:vAlign w:val="center"/>
          </w:tcPr>
          <w:p>
            <w:pPr>
              <w:spacing w:before="72" w:after="72" w:line="400" w:lineRule="exact"/>
              <w:jc w:val="center"/>
              <w:rPr>
                <w:color w:val="auto"/>
                <w:highlight w:val="none"/>
              </w:rPr>
            </w:pPr>
            <w:r>
              <w:rPr>
                <w:rFonts w:hint="eastAsia"/>
                <w:color w:val="auto"/>
                <w:highlight w:val="none"/>
              </w:rPr>
              <w:t>720*780*21毫米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86" w:type="pct"/>
            <w:vAlign w:val="center"/>
          </w:tcPr>
          <w:p>
            <w:pPr>
              <w:spacing w:before="72" w:after="72" w:line="400" w:lineRule="exact"/>
              <w:jc w:val="center"/>
              <w:rPr>
                <w:color w:val="auto"/>
                <w:highlight w:val="none"/>
              </w:rPr>
            </w:pPr>
            <w:r>
              <w:rPr>
                <w:rFonts w:hint="eastAsia"/>
                <w:color w:val="auto"/>
                <w:highlight w:val="none"/>
              </w:rPr>
              <w:t>重量</w:t>
            </w:r>
          </w:p>
        </w:tc>
        <w:tc>
          <w:tcPr>
            <w:tcW w:w="2813" w:type="pct"/>
            <w:vAlign w:val="center"/>
          </w:tcPr>
          <w:p>
            <w:pPr>
              <w:spacing w:before="72" w:after="72" w:line="400" w:lineRule="exact"/>
              <w:jc w:val="center"/>
              <w:rPr>
                <w:color w:val="auto"/>
                <w:highlight w:val="none"/>
              </w:rPr>
            </w:pPr>
            <w:r>
              <w:rPr>
                <w:rFonts w:hint="eastAsia"/>
                <w:color w:val="auto"/>
                <w:highlight w:val="none"/>
              </w:rPr>
              <w:t>40±2kg</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8</w:t>
      </w:r>
      <w:r>
        <w:rPr>
          <w:rFonts w:hint="eastAsia" w:ascii="仿宋" w:hAnsi="仿宋" w:eastAsia="仿宋" w:cs="仿宋"/>
          <w:b/>
          <w:bCs/>
          <w:color w:val="auto"/>
          <w:sz w:val="24"/>
          <w:szCs w:val="24"/>
          <w:highlight w:val="none"/>
        </w:rPr>
        <w:t>、能见度立杆及横臂技术要求</w:t>
      </w:r>
    </w:p>
    <w:p>
      <w:pPr>
        <w:spacing w:line="400" w:lineRule="exact"/>
        <w:ind w:firstLine="480" w:firstLineChars="200"/>
        <w:rPr>
          <w:color w:val="auto"/>
          <w:highlight w:val="none"/>
        </w:rPr>
      </w:pPr>
      <w:r>
        <w:rPr>
          <w:rFonts w:hint="eastAsia"/>
          <w:color w:val="auto"/>
          <w:highlight w:val="none"/>
        </w:rPr>
        <w:t>用于固定安装能见度传感器，应满足现用能见度设备的安装条件。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、辐射横臂及托盘技术要求</w:t>
      </w:r>
    </w:p>
    <w:p>
      <w:pPr>
        <w:spacing w:line="400" w:lineRule="exact"/>
        <w:ind w:firstLine="480" w:firstLineChars="200"/>
        <w:rPr>
          <w:color w:val="auto"/>
          <w:highlight w:val="none"/>
        </w:rPr>
      </w:pPr>
      <w:r>
        <w:rPr>
          <w:rFonts w:hint="eastAsia"/>
          <w:color w:val="auto"/>
          <w:highlight w:val="none"/>
        </w:rPr>
        <w:t>用于固定安装辐射传感器，应满足现用辐射设备的安装条件。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五、交货期</w:t>
      </w:r>
    </w:p>
    <w:p>
      <w:pPr>
        <w:pStyle w:val="85"/>
        <w:wordWrap w:val="0"/>
        <w:overflowPunct/>
        <w:topLinePunct/>
        <w:autoSpaceDE/>
        <w:autoSpaceDN/>
        <w:ind w:firstLine="482" w:firstLineChars="200"/>
        <w:jc w:val="both"/>
        <w:rPr>
          <w:rFonts w:hint="eastAsia" w:ascii="仿宋_GB2312" w:eastAsia="仿宋_GB2312"/>
          <w:b/>
          <w:color w:val="auto"/>
          <w:kern w:val="0"/>
          <w:sz w:val="24"/>
          <w:szCs w:val="22"/>
          <w:highlight w:val="none"/>
          <w:lang w:eastAsia="zh-CN"/>
        </w:rPr>
      </w:pPr>
      <w:r>
        <w:rPr>
          <w:rFonts w:hint="eastAsia" w:ascii="仿宋_GB2312" w:eastAsia="仿宋_GB2312"/>
          <w:b/>
          <w:color w:val="auto"/>
          <w:kern w:val="0"/>
          <w:sz w:val="24"/>
          <w:szCs w:val="22"/>
          <w:highlight w:val="none"/>
        </w:rPr>
        <w:t>交货时间：</w:t>
      </w:r>
      <w:r>
        <w:rPr>
          <w:rFonts w:hint="eastAsia" w:ascii="仿宋_GB2312" w:hAnsi="宋体" w:eastAsia="仿宋_GB2312" w:cs="宋体"/>
          <w:color w:val="auto"/>
          <w:sz w:val="24"/>
          <w:szCs w:val="24"/>
          <w:highlight w:val="none"/>
        </w:rPr>
        <w:t>合同签订之后起</w:t>
      </w:r>
      <w:r>
        <w:rPr>
          <w:rFonts w:hint="eastAsia" w:ascii="仿宋_GB2312" w:hAnsi="宋体" w:eastAsia="仿宋_GB2312" w:cs="宋体"/>
          <w:color w:val="auto"/>
          <w:sz w:val="24"/>
          <w:szCs w:val="24"/>
          <w:highlight w:val="none"/>
          <w:lang w:val="en-US" w:eastAsia="zh-CN"/>
        </w:rPr>
        <w:t>90</w:t>
      </w:r>
      <w:r>
        <w:rPr>
          <w:rFonts w:hint="eastAsia" w:ascii="仿宋_GB2312" w:hAnsi="宋体" w:eastAsia="仿宋_GB2312" w:cs="宋体"/>
          <w:color w:val="auto"/>
          <w:sz w:val="24"/>
          <w:szCs w:val="24"/>
          <w:highlight w:val="none"/>
        </w:rPr>
        <w:t>天内完成</w:t>
      </w:r>
      <w:r>
        <w:rPr>
          <w:rFonts w:hint="eastAsia" w:ascii="仿宋_GB2312" w:hAnsi="宋体" w:eastAsia="仿宋_GB2312" w:cs="宋体"/>
          <w:color w:val="auto"/>
          <w:sz w:val="24"/>
          <w:szCs w:val="24"/>
          <w:highlight w:val="none"/>
          <w:lang w:eastAsia="zh-CN"/>
        </w:rPr>
        <w:t>。</w:t>
      </w:r>
    </w:p>
    <w:p>
      <w:pPr>
        <w:pStyle w:val="85"/>
        <w:wordWrap w:val="0"/>
        <w:overflowPunct/>
        <w:topLinePunct/>
        <w:autoSpaceDE/>
        <w:autoSpaceDN/>
        <w:ind w:firstLine="482" w:firstLineChars="200"/>
        <w:jc w:val="both"/>
        <w:rPr>
          <w:rFonts w:hint="eastAsia" w:ascii="仿宋_GB2312" w:eastAsia="仿宋_GB2312"/>
          <w:b/>
          <w:color w:val="auto"/>
          <w:kern w:val="0"/>
          <w:sz w:val="24"/>
          <w:szCs w:val="22"/>
          <w:highlight w:val="none"/>
        </w:rPr>
      </w:pPr>
      <w:r>
        <w:rPr>
          <w:rFonts w:hint="eastAsia" w:ascii="仿宋_GB2312" w:eastAsia="仿宋_GB2312"/>
          <w:b/>
          <w:color w:val="auto"/>
          <w:kern w:val="0"/>
          <w:sz w:val="24"/>
          <w:szCs w:val="22"/>
          <w:highlight w:val="none"/>
        </w:rPr>
        <w:t>交货地址：杭州市富阳区</w:t>
      </w:r>
    </w:p>
    <w:p>
      <w:pPr>
        <w:pStyle w:val="85"/>
        <w:wordWrap w:val="0"/>
        <w:overflowPunct/>
        <w:topLinePunct/>
        <w:autoSpaceDE/>
        <w:autoSpaceDN/>
        <w:ind w:firstLine="482" w:firstLineChars="200"/>
        <w:jc w:val="left"/>
        <w:rPr>
          <w:rFonts w:ascii="仿宋_GB2312" w:eastAsia="仿宋_GB2312"/>
          <w:bCs/>
          <w:color w:val="auto"/>
          <w:kern w:val="0"/>
          <w:sz w:val="24"/>
          <w:szCs w:val="22"/>
          <w:highlight w:val="none"/>
        </w:rPr>
      </w:pPr>
      <w:r>
        <w:rPr>
          <w:rFonts w:hint="eastAsia" w:ascii="仿宋_GB2312" w:eastAsia="仿宋_GB2312"/>
          <w:b/>
          <w:color w:val="auto"/>
          <w:kern w:val="0"/>
          <w:sz w:val="24"/>
          <w:szCs w:val="22"/>
          <w:highlight w:val="none"/>
          <w:lang w:val="en-US" w:eastAsia="zh-CN"/>
        </w:rPr>
        <w:t>六、质保期：</w:t>
      </w:r>
      <w:r>
        <w:rPr>
          <w:rFonts w:hint="eastAsia" w:ascii="仿宋_GB2312" w:eastAsia="仿宋_GB2312"/>
          <w:bCs/>
          <w:color w:val="auto"/>
          <w:kern w:val="0"/>
          <w:sz w:val="24"/>
          <w:szCs w:val="22"/>
          <w:highlight w:val="none"/>
        </w:rPr>
        <w:t>所有投标产品质保期</w:t>
      </w:r>
      <w:r>
        <w:rPr>
          <w:rFonts w:hint="eastAsia" w:ascii="仿宋_GB2312" w:eastAsia="仿宋_GB2312"/>
          <w:bCs/>
          <w:color w:val="auto"/>
          <w:kern w:val="0"/>
          <w:sz w:val="24"/>
          <w:szCs w:val="22"/>
          <w:highlight w:val="none"/>
          <w:u w:val="single"/>
        </w:rPr>
        <w:t>3</w:t>
      </w:r>
      <w:r>
        <w:rPr>
          <w:rFonts w:hint="eastAsia" w:ascii="仿宋_GB2312" w:eastAsia="仿宋_GB2312"/>
          <w:bCs/>
          <w:color w:val="auto"/>
          <w:kern w:val="0"/>
          <w:sz w:val="24"/>
          <w:szCs w:val="22"/>
          <w:highlight w:val="none"/>
        </w:rPr>
        <w:t>年。如保质期内因本身缺陷造成各种故障应由卖方免费技术服务和维修，并在投标文件中说明在保质期内提供的服务计划。质保期内如遇频繁的质量问题，供货公司应当予以全新更换或全面检修，并延长相应的保修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七、项目验收方式</w:t>
      </w:r>
    </w:p>
    <w:p>
      <w:pPr>
        <w:pageBreakBefore w:val="0"/>
        <w:kinsoku/>
        <w:wordWrap w:val="0"/>
        <w:topLinePunct/>
        <w:bidi w:val="0"/>
        <w:adjustRightInd w:val="0"/>
        <w:spacing w:beforeAutospacing="0" w:afterAutospacing="0" w:line="440" w:lineRule="exact"/>
        <w:ind w:firstLine="480" w:firstLineChars="200"/>
        <w:rPr>
          <w:color w:val="auto"/>
          <w:kern w:val="0"/>
          <w:highlight w:val="none"/>
        </w:rPr>
      </w:pPr>
      <w:r>
        <w:rPr>
          <w:rFonts w:hint="eastAsia"/>
          <w:color w:val="auto"/>
          <w:kern w:val="0"/>
          <w:highlight w:val="none"/>
        </w:rPr>
        <w:t>乙方</w:t>
      </w:r>
      <w:r>
        <w:rPr>
          <w:rFonts w:hint="eastAsia"/>
          <w:color w:val="auto"/>
          <w:kern w:val="0"/>
          <w:highlight w:val="none"/>
          <w:lang w:val="en-US" w:eastAsia="zh-CN"/>
        </w:rPr>
        <w:t>在完成服务内容后</w:t>
      </w:r>
      <w:r>
        <w:rPr>
          <w:rFonts w:hint="eastAsia"/>
          <w:color w:val="auto"/>
          <w:kern w:val="0"/>
          <w:highlight w:val="none"/>
        </w:rPr>
        <w:t>，由甲方单位负责验收。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八、验收要求、标准</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Cs/>
          <w:color w:val="auto"/>
          <w:kern w:val="0"/>
          <w:sz w:val="24"/>
          <w:szCs w:val="22"/>
          <w:highlight w:val="none"/>
          <w:lang w:val="en-US" w:eastAsia="zh-CN"/>
        </w:rPr>
      </w:pPr>
      <w:r>
        <w:rPr>
          <w:rFonts w:hint="eastAsia"/>
          <w:bCs/>
          <w:color w:val="auto"/>
          <w:kern w:val="0"/>
          <w:sz w:val="24"/>
          <w:szCs w:val="22"/>
          <w:highlight w:val="none"/>
          <w:lang w:val="en-US" w:eastAsia="zh-CN"/>
        </w:rPr>
        <w:t>根据采购文件要求、投标文件承诺及甲方要求进行验收。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九、备品备件及耗材等要求</w:t>
      </w:r>
    </w:p>
    <w:p>
      <w:pPr>
        <w:pStyle w:val="85"/>
        <w:wordWrap w:val="0"/>
        <w:overflowPunct/>
        <w:topLinePunct/>
        <w:autoSpaceDE/>
        <w:autoSpaceDN/>
        <w:ind w:firstLine="480" w:firstLineChars="200"/>
        <w:jc w:val="left"/>
        <w:rPr>
          <w:rFonts w:hint="eastAsia"/>
          <w:b/>
          <w:bCs/>
          <w:color w:val="auto"/>
          <w:highlight w:val="none"/>
          <w:lang w:val="en-US" w:eastAsia="zh-CN"/>
        </w:rPr>
      </w:pPr>
      <w:r>
        <w:rPr>
          <w:rFonts w:hint="eastAsia" w:ascii="仿宋_GB2312" w:eastAsia="仿宋_GB2312"/>
          <w:bCs/>
          <w:color w:val="auto"/>
          <w:kern w:val="0"/>
          <w:sz w:val="24"/>
          <w:szCs w:val="22"/>
          <w:highlight w:val="none"/>
        </w:rPr>
        <w:t>投标时商务报价文件内另附表格标明常用备品备件及耗材的价格，不计入投标报价，质保期免费更换，质保期后按投标时耗材的价格结算。</w:t>
      </w:r>
    </w:p>
    <w:p>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color w:val="auto"/>
          <w:highlight w:val="none"/>
          <w:lang w:val="en-US" w:eastAsia="zh-CN"/>
        </w:rPr>
      </w:pPr>
      <w:r>
        <w:rPr>
          <w:rFonts w:hint="eastAsia"/>
          <w:b/>
          <w:color w:val="auto"/>
          <w:highlight w:val="none"/>
          <w:lang w:val="en-US" w:eastAsia="zh-CN"/>
        </w:rPr>
        <w:t>十</w:t>
      </w:r>
      <w:r>
        <w:rPr>
          <w:rFonts w:hint="eastAsia"/>
          <w:b/>
          <w:color w:val="auto"/>
          <w:highlight w:val="none"/>
        </w:rPr>
        <w:t>、付款方式</w:t>
      </w:r>
      <w:r>
        <w:rPr>
          <w:rFonts w:hint="eastAsia"/>
          <w:b/>
          <w:color w:val="auto"/>
          <w:highlight w:val="none"/>
          <w:lang w:eastAsia="zh-CN"/>
        </w:rPr>
        <w:t>：</w:t>
      </w:r>
      <w:r>
        <w:rPr>
          <w:rFonts w:hint="eastAsia" w:ascii="仿宋_GB2312" w:eastAsia="仿宋_GB2312"/>
          <w:color w:val="auto"/>
          <w:kern w:val="0"/>
          <w:highlight w:val="none"/>
        </w:rPr>
        <w:t>政府采购的资金结算按照《富阳区财政局关于政府采购资金支付实行报备制的通知》执行。</w:t>
      </w:r>
      <w:r>
        <w:rPr>
          <w:rFonts w:hint="eastAsia" w:ascii="仿宋_GB2312" w:eastAsia="仿宋_GB2312"/>
          <w:color w:val="auto"/>
          <w:highlight w:val="none"/>
        </w:rPr>
        <w:t>合同生效后7个工作日内甲方向乙方支付合同价款的</w:t>
      </w:r>
      <w:r>
        <w:rPr>
          <w:rFonts w:hint="eastAsia" w:ascii="仿宋_GB2312" w:eastAsia="仿宋_GB2312"/>
          <w:color w:val="auto"/>
          <w:highlight w:val="none"/>
          <w:lang w:val="en-US" w:eastAsia="zh-CN"/>
        </w:rPr>
        <w:t>4</w:t>
      </w:r>
      <w:r>
        <w:rPr>
          <w:rFonts w:hint="eastAsia" w:ascii="仿宋_GB2312" w:eastAsia="仿宋_GB2312"/>
          <w:color w:val="auto"/>
          <w:highlight w:val="none"/>
        </w:rPr>
        <w:t>0%作为预付款，安装调试完毕后支付合同价款的</w:t>
      </w:r>
      <w:r>
        <w:rPr>
          <w:rFonts w:hint="eastAsia" w:ascii="仿宋_GB2312" w:eastAsia="仿宋_GB2312"/>
          <w:color w:val="auto"/>
          <w:highlight w:val="none"/>
          <w:lang w:val="en-US" w:eastAsia="zh-CN"/>
        </w:rPr>
        <w:t>30</w:t>
      </w:r>
      <w:r>
        <w:rPr>
          <w:rFonts w:hint="eastAsia" w:ascii="仿宋_GB2312" w:eastAsia="仿宋_GB2312"/>
          <w:color w:val="auto"/>
          <w:highlight w:val="none"/>
        </w:rPr>
        <w:t>%，经最终验收合格后支付剩余款项。</w:t>
      </w:r>
    </w:p>
    <w:p>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rPr>
        <w:t>十</w:t>
      </w:r>
      <w:r>
        <w:rPr>
          <w:rFonts w:hint="eastAsia"/>
          <w:b/>
          <w:color w:val="auto"/>
          <w:highlight w:val="none"/>
          <w:lang w:val="en-US" w:eastAsia="zh-CN"/>
        </w:rPr>
        <w:t>一</w:t>
      </w:r>
      <w:r>
        <w:rPr>
          <w:rFonts w:hint="eastAsia"/>
          <w:b/>
          <w:color w:val="auto"/>
          <w:highlight w:val="none"/>
        </w:rPr>
        <w:t>、</w:t>
      </w:r>
      <w:r>
        <w:rPr>
          <w:rFonts w:hint="eastAsia"/>
          <w:b/>
          <w:color w:val="auto"/>
          <w:highlight w:val="none"/>
          <w:lang w:val="en-US" w:eastAsia="zh-CN"/>
        </w:rPr>
        <w:t>后期</w:t>
      </w:r>
      <w:r>
        <w:rPr>
          <w:rFonts w:hint="eastAsia"/>
          <w:b/>
          <w:color w:val="auto"/>
          <w:highlight w:val="none"/>
        </w:rPr>
        <w:t>服务要求</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投标人应具备与本项目匹配的服务能力，以响应采购人的服务要求。</w:t>
      </w:r>
    </w:p>
    <w:p>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rPr>
        <w:t>十</w:t>
      </w:r>
      <w:r>
        <w:rPr>
          <w:rFonts w:hint="eastAsia"/>
          <w:b/>
          <w:color w:val="auto"/>
          <w:highlight w:val="none"/>
          <w:lang w:val="en-US" w:eastAsia="zh-CN"/>
        </w:rPr>
        <w:t>二</w:t>
      </w:r>
      <w:r>
        <w:rPr>
          <w:rFonts w:hint="eastAsia"/>
          <w:b/>
          <w:color w:val="auto"/>
          <w:highlight w:val="none"/>
        </w:rPr>
        <w:t>、履约保证金</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color w:val="auto"/>
          <w:highlight w:val="none"/>
        </w:rPr>
      </w:pPr>
      <w:r>
        <w:rPr>
          <w:rFonts w:hint="eastAsia"/>
          <w:color w:val="auto"/>
          <w:highlight w:val="none"/>
        </w:rPr>
        <w:t>1.本项目的履约保证金按合同价</w:t>
      </w:r>
      <w:r>
        <w:rPr>
          <w:rFonts w:hint="eastAsia"/>
          <w:color w:val="auto"/>
          <w:highlight w:val="none"/>
          <w:lang w:val="en-US" w:eastAsia="zh-CN"/>
        </w:rPr>
        <w:t>1</w:t>
      </w:r>
      <w:r>
        <w:rPr>
          <w:rFonts w:hint="eastAsia"/>
          <w:color w:val="auto"/>
          <w:highlight w:val="none"/>
        </w:rPr>
        <w:t>%收取，中标人在合同签</w:t>
      </w:r>
      <w:r>
        <w:rPr>
          <w:rFonts w:hint="eastAsia"/>
          <w:color w:val="auto"/>
          <w:highlight w:val="none"/>
        </w:rPr>
        <w:t>订后5日内交付至指定账户。履约期结束，采购人无息退还履约保证金。</w:t>
      </w:r>
    </w:p>
    <w:p>
      <w:pPr>
        <w:pStyle w:val="49"/>
        <w:pageBreakBefore w:val="0"/>
        <w:widowControl/>
        <w:kinsoku/>
        <w:wordWrap w:val="0"/>
        <w:topLinePunct/>
        <w:bidi w:val="0"/>
        <w:adjustRightInd w:val="0"/>
        <w:spacing w:beforeLines="0" w:beforeAutospacing="0" w:afterLines="0" w:afterAutospacing="0" w:line="440" w:lineRule="exact"/>
        <w:ind w:firstLine="480" w:firstLineChars="200"/>
        <w:jc w:val="left"/>
        <w:textAlignment w:val="baseline"/>
        <w:rPr>
          <w:rFonts w:ascii="仿宋" w:hAnsi="仿宋"/>
          <w:color w:val="auto"/>
          <w:highlight w:val="none"/>
        </w:rPr>
      </w:pPr>
      <w:r>
        <w:rPr>
          <w:rFonts w:hint="eastAsia" w:ascii="仿宋" w:hAnsi="仿宋"/>
          <w:color w:val="auto"/>
          <w:highlight w:val="none"/>
        </w:rPr>
        <w:t>2.缴纳方式：可采用转账或履约保函形式。</w:t>
      </w:r>
    </w:p>
    <w:p>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rPr>
        <w:t>十</w:t>
      </w:r>
      <w:r>
        <w:rPr>
          <w:rFonts w:hint="eastAsia"/>
          <w:b/>
          <w:color w:val="auto"/>
          <w:highlight w:val="none"/>
          <w:lang w:val="en-US" w:eastAsia="zh-CN"/>
        </w:rPr>
        <w:t>三</w:t>
      </w:r>
      <w:r>
        <w:rPr>
          <w:rFonts w:hint="eastAsia"/>
          <w:b/>
          <w:color w:val="auto"/>
          <w:highlight w:val="none"/>
        </w:rPr>
        <w:t>、转让和分包</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rFonts w:hint="eastAsia" w:eastAsia="仿宋"/>
          <w:b/>
          <w:bCs/>
          <w:color w:val="auto"/>
          <w:highlight w:val="none"/>
          <w:lang w:eastAsia="zh-CN"/>
        </w:rPr>
      </w:pPr>
      <w:r>
        <w:rPr>
          <w:rFonts w:hint="eastAsia"/>
          <w:b/>
          <w:bCs/>
          <w:color w:val="auto"/>
          <w:highlight w:val="none"/>
        </w:rPr>
        <w:t>本项目不得以任何形式进行转包及分包</w:t>
      </w:r>
      <w:r>
        <w:rPr>
          <w:rFonts w:hint="eastAsia"/>
          <w:b/>
          <w:bCs/>
          <w:color w:val="auto"/>
          <w:highlight w:val="none"/>
          <w:lang w:eastAsia="zh-CN"/>
        </w:rPr>
        <w:t>。</w:t>
      </w:r>
    </w:p>
    <w:p>
      <w:pPr>
        <w:pageBreakBefore w:val="0"/>
        <w:kinsoku/>
        <w:wordWrap w:val="0"/>
        <w:topLinePunct/>
        <w:bidi w:val="0"/>
        <w:spacing w:beforeAutospacing="0" w:afterAutospacing="0" w:line="440" w:lineRule="exact"/>
        <w:rPr>
          <w:b/>
          <w:bCs/>
          <w:color w:val="auto"/>
          <w:kern w:val="2"/>
          <w:highlight w:val="none"/>
        </w:rPr>
      </w:pPr>
      <w:r>
        <w:rPr>
          <w:b/>
          <w:bCs/>
          <w:color w:val="auto"/>
          <w:kern w:val="2"/>
          <w:highlight w:val="none"/>
        </w:rPr>
        <w:br w:type="page"/>
      </w:r>
    </w:p>
    <w:p>
      <w:pPr>
        <w:pStyle w:val="5"/>
        <w:pageBreakBefore w:val="0"/>
        <w:kinsoku/>
        <w:bidi w:val="0"/>
        <w:spacing w:beforeAutospacing="0" w:afterAutospacing="0" w:line="440" w:lineRule="exact"/>
        <w:rPr>
          <w:color w:val="auto"/>
          <w:highlight w:val="none"/>
        </w:rPr>
      </w:pPr>
      <w:bookmarkStart w:id="34" w:name="_Toc1180707375"/>
      <w:r>
        <w:rPr>
          <w:rFonts w:hint="eastAsia"/>
          <w:color w:val="auto"/>
          <w:highlight w:val="none"/>
        </w:rPr>
        <w:t>第五章  杭州市富阳区政府采购合同主要条款</w:t>
      </w:r>
      <w:bookmarkEnd w:id="34"/>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color w:val="auto"/>
          <w:kern w:val="0"/>
          <w:sz w:val="28"/>
          <w:szCs w:val="28"/>
          <w:highlight w:val="none"/>
        </w:rPr>
      </w:pPr>
      <w:r>
        <w:rPr>
          <w:rFonts w:hint="eastAsia" w:cs="仿宋_GB2312"/>
          <w:color w:val="auto"/>
          <w:kern w:val="0"/>
          <w:sz w:val="28"/>
          <w:szCs w:val="28"/>
          <w:highlight w:val="none"/>
        </w:rPr>
        <w:t>（本合同为合同样稿，最终稿由三方协商后确定）</w:t>
      </w:r>
    </w:p>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bookmarkStart w:id="35" w:name="_Toc1399953345"/>
    </w:p>
    <w:p>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甲  方（采购人）：</w:t>
      </w:r>
    </w:p>
    <w:p>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乙  方（中标人）：</w:t>
      </w:r>
    </w:p>
    <w:p>
      <w:pPr>
        <w:pageBreakBefore w:val="0"/>
        <w:kinsoku/>
        <w:bidi w:val="0"/>
        <w:spacing w:beforeAutospacing="0" w:afterAutospacing="0" w:line="440" w:lineRule="exact"/>
        <w:ind w:firstLine="480" w:firstLineChars="200"/>
        <w:rPr>
          <w:rFonts w:ascii="仿宋" w:hAnsi="仿宋"/>
          <w:color w:val="auto"/>
          <w:highlight w:val="none"/>
        </w:rPr>
      </w:pPr>
      <w:r>
        <w:rPr>
          <w:rFonts w:hint="eastAsia" w:ascii="仿宋" w:hAnsi="仿宋"/>
          <w:color w:val="auto"/>
          <w:highlight w:val="none"/>
        </w:rPr>
        <w:t>经过公开招标采购（编号：      ），确定***********为中标人，</w:t>
      </w: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color w:val="auto"/>
          <w:sz w:val="24"/>
          <w:highlight w:val="none"/>
          <w:u w:val="none"/>
          <w:lang w:eastAsia="zh-CN"/>
        </w:rPr>
        <w:t>甲乙双方</w:t>
      </w:r>
      <w:r>
        <w:rPr>
          <w:rFonts w:ascii="仿宋" w:hAnsi="仿宋" w:eastAsia="仿宋"/>
          <w:color w:val="auto"/>
          <w:sz w:val="24"/>
          <w:highlight w:val="none"/>
          <w:lang w:val="zh-CN"/>
        </w:rPr>
        <w:t>协商一致，约定以下合同</w:t>
      </w:r>
      <w:r>
        <w:rPr>
          <w:rFonts w:hint="eastAsia" w:ascii="仿宋" w:hAnsi="仿宋" w:eastAsia="仿宋"/>
          <w:color w:val="auto"/>
          <w:sz w:val="24"/>
          <w:highlight w:val="none"/>
        </w:rPr>
        <w:t>条款，以兹共同遵守、全面履行。</w:t>
      </w:r>
    </w:p>
    <w:p>
      <w:pPr>
        <w:pageBreakBefore w:val="0"/>
        <w:shd w:val="clear" w:color="auto" w:fill="FFFFFF"/>
        <w:kinsoku/>
        <w:wordWrap w:val="0"/>
        <w:topLinePunct/>
        <w:bidi w:val="0"/>
        <w:adjustRightInd w:val="0"/>
        <w:spacing w:beforeAutospacing="0" w:afterAutospacing="0" w:line="440" w:lineRule="exact"/>
        <w:ind w:firstLine="482" w:firstLineChars="200"/>
        <w:rPr>
          <w:b/>
          <w:bCs/>
          <w:color w:val="auto"/>
          <w:highlight w:val="none"/>
        </w:rPr>
      </w:pPr>
      <w:r>
        <w:rPr>
          <w:rFonts w:hint="eastAsia"/>
          <w:b/>
          <w:bCs/>
          <w:color w:val="auto"/>
          <w:highlight w:val="none"/>
        </w:rPr>
        <w:t>第一条：采购清单及合同价格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本合同总价为：人民币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分项价格：                                                  </w:t>
      </w:r>
      <w:r>
        <w:rPr>
          <w:rFonts w:hint="eastAsia" w:ascii="仿宋" w:hAnsi="仿宋" w:eastAsia="仿宋" w:cs="仿宋"/>
          <w:b w:val="0"/>
          <w:bCs w:val="0"/>
          <w:color w:val="auto"/>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规格型号（或服务需求）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r>
        <w:rPr>
          <w:rFonts w:hint="eastAsia"/>
          <w:color w:val="auto"/>
          <w:kern w:val="0"/>
          <w:highlight w:val="none"/>
        </w:rPr>
        <w:t>注：</w:t>
      </w:r>
      <w:r>
        <w:rPr>
          <w:rFonts w:hint="eastAsia"/>
          <w:bCs/>
          <w:color w:val="auto"/>
          <w:kern w:val="0"/>
          <w:highlight w:val="none"/>
        </w:rPr>
        <w:t>以上合同价包含本项目实施所需的一切费用，乙方需提供本项目采购明细清单（若项目要求）。</w:t>
      </w:r>
    </w:p>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lang w:val="en-US" w:eastAsia="zh-CN"/>
        </w:rPr>
      </w:pPr>
      <w:r>
        <w:rPr>
          <w:rFonts w:hint="eastAsia"/>
          <w:bCs/>
          <w:color w:val="auto"/>
          <w:kern w:val="0"/>
          <w:highlight w:val="none"/>
          <w:lang w:val="en-US" w:eastAsia="zh-CN"/>
        </w:rPr>
        <w:t>合同形式：</w:t>
      </w:r>
      <w:r>
        <w:rPr>
          <w:rFonts w:hint="eastAsia"/>
          <w:bCs/>
          <w:color w:val="auto"/>
          <w:kern w:val="0"/>
          <w:highlight w:val="none"/>
          <w:lang w:val="en-US" w:eastAsia="zh-CN"/>
        </w:rPr>
        <w:t>固定单价合同。</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第二条：质量保证</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本项目标的物的质保期为：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r>
        <w:rPr>
          <w:rFonts w:hint="eastAsia"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b/>
          <w:bCs/>
          <w:color w:val="auto"/>
          <w:kern w:val="0"/>
          <w:highlight w:val="none"/>
        </w:rPr>
        <w:t>第三条：</w:t>
      </w:r>
      <w:r>
        <w:rPr>
          <w:rFonts w:hint="eastAsia" w:ascii="仿宋" w:hAnsi="仿宋" w:eastAsia="仿宋" w:cs="仿宋"/>
          <w:b/>
          <w:bCs/>
          <w:color w:val="auto"/>
          <w:sz w:val="24"/>
          <w:szCs w:val="24"/>
          <w:highlight w:val="none"/>
          <w:lang w:val="en-US" w:eastAsia="zh-CN"/>
        </w:rPr>
        <w:t>标的物交付期限、地点、方式</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交付期限：</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交付地点：</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交付方式：</w:t>
      </w:r>
      <w:r>
        <w:rPr>
          <w:rFonts w:hint="eastAsia" w:ascii="仿宋" w:hAnsi="仿宋" w:eastAsia="仿宋" w:cs="仿宋"/>
          <w:color w:val="auto"/>
          <w:sz w:val="24"/>
          <w:szCs w:val="24"/>
          <w:highlight w:val="none"/>
          <w:u w:val="single"/>
          <w:lang w:val="en-US" w:eastAsia="zh-CN"/>
        </w:rPr>
        <w:t xml:space="preserve">                                 </w:t>
      </w:r>
    </w:p>
    <w:p>
      <w:pPr>
        <w:pageBreakBefore w:val="0"/>
        <w:widowControl w:val="0"/>
        <w:kinsoku/>
        <w:wordWrap/>
        <w:overflowPunct/>
        <w:topLinePunct w:val="0"/>
        <w:bidi w:val="0"/>
        <w:adjustRightInd/>
        <w:spacing w:beforeAutospacing="0" w:afterAutospacing="0" w:line="44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交付说明：</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标的物</w:t>
      </w:r>
      <w:r>
        <w:rPr>
          <w:rFonts w:hint="eastAsia" w:ascii="仿宋" w:hAnsi="仿宋" w:eastAsia="仿宋" w:cs="仿宋"/>
          <w:color w:val="auto"/>
          <w:sz w:val="24"/>
          <w:szCs w:val="24"/>
          <w:highlight w:val="none"/>
        </w:rPr>
        <w:t>交付使用时，乙方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向甲方提供发票、产品合格证、使用维修说明书、质量保证书、保修卡等</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具备的相关资料和必备的附件。为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办理设备保修手续，并向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提供原产服务承诺书原件。乙方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提供切实、高效、优质的售后服务，主要产品按要求提供原厂家质保承诺书。供货时，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在商品的右侧面显著位置粘贴公司标签，注明公司名称、地址、服务电话及供货日期等。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第四条：</w:t>
      </w:r>
      <w:r>
        <w:rPr>
          <w:rFonts w:hint="eastAsia" w:ascii="仿宋" w:hAnsi="仿宋" w:eastAsia="仿宋" w:cs="仿宋"/>
          <w:b/>
          <w:bCs/>
          <w:color w:val="auto"/>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第五条：</w:t>
      </w:r>
      <w:r>
        <w:rPr>
          <w:rFonts w:hint="eastAsia" w:ascii="仿宋" w:hAnsi="仿宋" w:eastAsia="仿宋" w:cs="仿宋"/>
          <w:b/>
          <w:bCs/>
          <w:color w:val="auto"/>
          <w:sz w:val="24"/>
          <w:szCs w:val="24"/>
          <w:highlight w:val="none"/>
          <w:lang w:val="en-US" w:eastAsia="zh-CN"/>
        </w:rPr>
        <w:t>知识产权</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具有知识产权的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等标的物的知识产权归属，详见以下专用条款：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第六条：</w:t>
      </w:r>
      <w:r>
        <w:rPr>
          <w:rFonts w:hint="eastAsia" w:ascii="仿宋" w:hAnsi="仿宋" w:eastAsia="仿宋" w:cs="仿宋"/>
          <w:b/>
          <w:bCs/>
          <w:color w:val="auto"/>
          <w:sz w:val="24"/>
          <w:szCs w:val="24"/>
          <w:highlight w:val="none"/>
          <w:lang w:val="en-US" w:eastAsia="zh-CN"/>
        </w:rPr>
        <w:t>技术资料和保密义务</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第七条：</w:t>
      </w:r>
      <w:r>
        <w:rPr>
          <w:rFonts w:hint="eastAsia" w:ascii="仿宋" w:hAnsi="仿宋" w:eastAsia="仿宋" w:cs="仿宋"/>
          <w:b/>
          <w:bCs/>
          <w:color w:val="auto"/>
          <w:sz w:val="24"/>
          <w:szCs w:val="24"/>
          <w:highlight w:val="none"/>
          <w:lang w:val="en-US" w:eastAsia="zh-CN"/>
        </w:rPr>
        <w:t>包装和运输（货物类）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b/>
          <w:bCs/>
          <w:color w:val="auto"/>
          <w:kern w:val="0"/>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另有约定外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乙方交付的全部标的物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b/>
          <w:bCs/>
          <w:color w:val="auto"/>
          <w:kern w:val="0"/>
          <w:highlight w:val="none"/>
        </w:rPr>
        <w:t>第</w:t>
      </w:r>
      <w:r>
        <w:rPr>
          <w:rFonts w:hint="eastAsia"/>
          <w:b/>
          <w:bCs/>
          <w:color w:val="auto"/>
          <w:kern w:val="0"/>
          <w:highlight w:val="none"/>
          <w:lang w:eastAsia="zh-CN"/>
        </w:rPr>
        <w:t>八</w:t>
      </w:r>
      <w:r>
        <w:rPr>
          <w:rFonts w:hint="eastAsia"/>
          <w:b/>
          <w:bCs/>
          <w:color w:val="auto"/>
          <w:kern w:val="0"/>
          <w:highlight w:val="none"/>
        </w:rPr>
        <w:t>条：</w:t>
      </w:r>
      <w:r>
        <w:rPr>
          <w:rFonts w:hint="eastAsia" w:ascii="仿宋" w:hAnsi="仿宋" w:eastAsia="仿宋" w:cs="仿宋"/>
          <w:b/>
          <w:bCs/>
          <w:color w:val="auto"/>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检验和验收</w:t>
      </w:r>
      <w:r>
        <w:rPr>
          <w:rFonts w:hint="eastAsia" w:ascii="仿宋" w:hAnsi="仿宋" w:eastAsia="仿宋" w:cs="仿宋"/>
          <w:color w:val="auto"/>
          <w:sz w:val="24"/>
          <w:szCs w:val="24"/>
          <w:highlight w:val="none"/>
          <w:lang w:eastAsia="zh-CN"/>
        </w:rPr>
        <w:t>的时间、方案及</w:t>
      </w:r>
      <w:r>
        <w:rPr>
          <w:rFonts w:hint="eastAsia" w:ascii="仿宋" w:hAnsi="仿宋" w:eastAsia="仿宋" w:cs="仿宋"/>
          <w:color w:val="auto"/>
          <w:sz w:val="24"/>
          <w:szCs w:val="24"/>
          <w:highlight w:val="none"/>
        </w:rPr>
        <w:t>标准、程序</w:t>
      </w:r>
      <w:r>
        <w:rPr>
          <w:rFonts w:hint="eastAsia" w:ascii="仿宋" w:hAnsi="仿宋" w:eastAsia="仿宋" w:cs="仿宋"/>
          <w:color w:val="auto"/>
          <w:sz w:val="24"/>
          <w:szCs w:val="24"/>
          <w:highlight w:val="none"/>
          <w:lang w:eastAsia="zh-CN"/>
        </w:rPr>
        <w:t>、费用</w:t>
      </w:r>
      <w:r>
        <w:rPr>
          <w:rFonts w:hint="eastAsia" w:ascii="仿宋" w:hAnsi="仿宋" w:eastAsia="仿宋" w:cs="仿宋"/>
          <w:color w:val="auto"/>
          <w:sz w:val="24"/>
          <w:szCs w:val="24"/>
          <w:highlight w:val="none"/>
        </w:rPr>
        <w:t>等具体内容以及前述</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的效力</w:t>
      </w:r>
      <w:r>
        <w:rPr>
          <w:rFonts w:hint="eastAsia" w:ascii="仿宋" w:hAnsi="仿宋" w:eastAsia="仿宋" w:cs="仿宋"/>
          <w:color w:val="auto"/>
          <w:sz w:val="24"/>
          <w:szCs w:val="24"/>
          <w:highlight w:val="none"/>
          <w:lang w:eastAsia="zh-CN"/>
        </w:rPr>
        <w:t>如下：</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lang w:val="en-US" w:eastAsia="zh-CN"/>
        </w:rPr>
        <w:t>请参考采购文件要求。）</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九</w:t>
      </w:r>
      <w:r>
        <w:rPr>
          <w:rFonts w:hint="eastAsia"/>
          <w:b/>
          <w:bCs/>
          <w:color w:val="auto"/>
          <w:kern w:val="0"/>
          <w:highlight w:val="none"/>
        </w:rPr>
        <w:t>条：</w:t>
      </w:r>
      <w:r>
        <w:rPr>
          <w:rFonts w:hint="eastAsia"/>
          <w:b/>
          <w:bCs/>
          <w:color w:val="auto"/>
          <w:kern w:val="0"/>
          <w:highlight w:val="none"/>
          <w:lang w:val="en-US" w:eastAsia="zh-CN"/>
        </w:rPr>
        <w:t>合同</w:t>
      </w:r>
      <w:r>
        <w:rPr>
          <w:rFonts w:hint="eastAsia"/>
          <w:b/>
          <w:bCs/>
          <w:color w:val="auto"/>
          <w:kern w:val="0"/>
          <w:highlight w:val="none"/>
        </w:rPr>
        <w:t>款的支付</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kern w:val="0"/>
          <w:highlight w:val="none"/>
        </w:rPr>
        <w:t>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eastAsia="zh-CN"/>
        </w:rPr>
        <w:t>验收合格后支付</w:t>
      </w:r>
      <w:r>
        <w:rPr>
          <w:rFonts w:hint="eastAsia"/>
          <w:color w:val="auto"/>
          <w:highlight w:val="none"/>
          <w:lang w:val="en-US" w:eastAsia="zh-CN"/>
        </w:rPr>
        <w:t>剩余</w:t>
      </w:r>
      <w:r>
        <w:rPr>
          <w:rFonts w:hint="eastAsia"/>
          <w:color w:val="auto"/>
          <w:highlight w:val="none"/>
        </w:rPr>
        <w:t>款</w:t>
      </w:r>
      <w:r>
        <w:rPr>
          <w:rFonts w:hint="eastAsia"/>
          <w:color w:val="auto"/>
          <w:highlight w:val="none"/>
          <w:lang w:eastAsia="zh-CN"/>
        </w:rPr>
        <w:t>项</w:t>
      </w:r>
      <w:r>
        <w:rPr>
          <w:rFonts w:hint="eastAsia"/>
          <w:color w:val="auto"/>
          <w:highlight w:val="none"/>
        </w:rPr>
        <w:t>。</w:t>
      </w:r>
    </w:p>
    <w:p>
      <w:pPr>
        <w:pageBreakBefore w:val="0"/>
        <w:kinsoku/>
        <w:wordWrap w:val="0"/>
        <w:topLinePunct/>
        <w:bidi w:val="0"/>
        <w:adjustRightInd w:val="0"/>
        <w:spacing w:beforeAutospacing="0" w:afterAutospacing="0" w:line="440" w:lineRule="exact"/>
        <w:ind w:firstLine="480" w:firstLineChars="200"/>
        <w:rPr>
          <w:color w:val="auto"/>
          <w:kern w:val="0"/>
          <w:highlight w:val="none"/>
        </w:rPr>
      </w:pPr>
      <w:r>
        <w:rPr>
          <w:rFonts w:hint="eastAsia"/>
          <w:color w:val="auto"/>
          <w:kern w:val="0"/>
          <w:highlight w:val="none"/>
        </w:rPr>
        <w:t>乙方开户行名称：_____________________</w:t>
      </w:r>
    </w:p>
    <w:p>
      <w:pPr>
        <w:pageBreakBefore w:val="0"/>
        <w:kinsoku/>
        <w:wordWrap w:val="0"/>
        <w:topLinePunct/>
        <w:bidi w:val="0"/>
        <w:adjustRightInd w:val="0"/>
        <w:spacing w:beforeAutospacing="0" w:afterAutospacing="0" w:line="440" w:lineRule="exact"/>
        <w:ind w:firstLine="480" w:firstLineChars="200"/>
        <w:rPr>
          <w:color w:val="auto"/>
          <w:highlight w:val="none"/>
        </w:rPr>
      </w:pPr>
      <w:r>
        <w:rPr>
          <w:rFonts w:hint="eastAsia"/>
          <w:color w:val="auto"/>
          <w:kern w:val="0"/>
          <w:highlight w:val="none"/>
        </w:rPr>
        <w:t>开户行账号：_____________________</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b/>
                <w:color w:val="auto"/>
                <w:highlight w:val="none"/>
              </w:rPr>
            </w:pPr>
            <w:r>
              <w:rPr>
                <w:rFonts w:hint="eastAsia"/>
                <w:b/>
                <w:color w:val="auto"/>
                <w:highlight w:val="none"/>
              </w:rPr>
              <w:t>付款阶段</w:t>
            </w:r>
          </w:p>
        </w:tc>
        <w:tc>
          <w:tcPr>
            <w:tcW w:w="3827" w:type="dxa"/>
            <w:vAlign w:val="center"/>
          </w:tcPr>
          <w:p>
            <w:pPr>
              <w:pageBreakBefore w:val="0"/>
              <w:kinsoku/>
              <w:wordWrap w:val="0"/>
              <w:topLinePunct/>
              <w:bidi w:val="0"/>
              <w:spacing w:beforeAutospacing="0" w:afterAutospacing="0" w:line="440" w:lineRule="exact"/>
              <w:jc w:val="center"/>
              <w:rPr>
                <w:b/>
                <w:color w:val="auto"/>
                <w:highlight w:val="none"/>
              </w:rPr>
            </w:pPr>
            <w:r>
              <w:rPr>
                <w:rFonts w:hint="eastAsia"/>
                <w:b/>
                <w:color w:val="auto"/>
                <w:highlight w:val="none"/>
              </w:rPr>
              <w:t>付款额度</w:t>
            </w:r>
          </w:p>
        </w:tc>
        <w:tc>
          <w:tcPr>
            <w:tcW w:w="3402" w:type="dxa"/>
            <w:vAlign w:val="center"/>
          </w:tcPr>
          <w:p>
            <w:pPr>
              <w:pageBreakBefore w:val="0"/>
              <w:kinsoku/>
              <w:wordWrap w:val="0"/>
              <w:topLinePunct/>
              <w:bidi w:val="0"/>
              <w:spacing w:beforeAutospacing="0" w:afterAutospacing="0" w:line="440" w:lineRule="exact"/>
              <w:jc w:val="center"/>
              <w:rPr>
                <w:b/>
                <w:color w:val="auto"/>
                <w:highlight w:val="none"/>
              </w:rPr>
            </w:pPr>
            <w:r>
              <w:rPr>
                <w:rFonts w:hint="eastAsia"/>
                <w:b/>
                <w:color w:val="auto"/>
                <w:highlight w:val="none"/>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预付款</w:t>
            </w: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合同金额的____%,即____元。</w:t>
            </w:r>
          </w:p>
        </w:tc>
        <w:tc>
          <w:tcPr>
            <w:tcW w:w="3402" w:type="dxa"/>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二期款</w:t>
            </w: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合同金额的____%,即____元。</w:t>
            </w:r>
          </w:p>
        </w:tc>
        <w:tc>
          <w:tcPr>
            <w:tcW w:w="3402" w:type="dxa"/>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lang w:val="en-US" w:eastAsia="zh-CN"/>
              </w:rPr>
              <w:t>收到发票后5</w:t>
            </w:r>
            <w:r>
              <w:rPr>
                <w:rFonts w:hint="eastAsia"/>
                <w:color w:val="auto"/>
                <w:highlight w:val="none"/>
              </w:rPr>
              <w:t>个工作日内，</w:t>
            </w:r>
          </w:p>
          <w:p>
            <w:pPr>
              <w:pageBreakBefore w:val="0"/>
              <w:kinsoku/>
              <w:wordWrap w:val="0"/>
              <w:topLinePunct/>
              <w:bidi w:val="0"/>
              <w:spacing w:beforeAutospacing="0" w:afterAutospacing="0" w:line="440" w:lineRule="exact"/>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三期款</w:t>
            </w: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合同金额的____%,即____元。</w:t>
            </w:r>
          </w:p>
        </w:tc>
        <w:tc>
          <w:tcPr>
            <w:tcW w:w="3402" w:type="dxa"/>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lang w:val="en-US" w:eastAsia="zh-CN"/>
              </w:rPr>
              <w:t>收到发票后5</w:t>
            </w:r>
            <w:r>
              <w:rPr>
                <w:rFonts w:hint="eastAsia"/>
                <w:color w:val="auto"/>
                <w:highlight w:val="none"/>
              </w:rPr>
              <w:t>个工作日内，</w:t>
            </w:r>
          </w:p>
          <w:p>
            <w:pPr>
              <w:pageBreakBefore w:val="0"/>
              <w:kinsoku/>
              <w:wordWrap w:val="0"/>
              <w:topLinePunct/>
              <w:bidi w:val="0"/>
              <w:spacing w:beforeAutospacing="0" w:afterAutospacing="0" w:line="440" w:lineRule="exact"/>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w:t>
            </w:r>
          </w:p>
        </w:tc>
        <w:tc>
          <w:tcPr>
            <w:tcW w:w="3402" w:type="dxa"/>
            <w:vAlign w:val="center"/>
          </w:tcPr>
          <w:p>
            <w:pPr>
              <w:pageBreakBefore w:val="0"/>
              <w:kinsoku/>
              <w:wordWrap w:val="0"/>
              <w:topLinePunct/>
              <w:bidi w:val="0"/>
              <w:spacing w:beforeAutospacing="0" w:afterAutospacing="0" w:line="440" w:lineRule="exact"/>
              <w:rPr>
                <w:color w:val="auto"/>
                <w:highlight w:val="none"/>
              </w:rPr>
            </w:pPr>
          </w:p>
        </w:tc>
      </w:tr>
    </w:tbl>
    <w:p>
      <w:pPr>
        <w:pageBreakBefore w:val="0"/>
        <w:kinsoku/>
        <w:wordWrap w:val="0"/>
        <w:topLinePunct/>
        <w:bidi w:val="0"/>
        <w:adjustRightInd w:val="0"/>
        <w:spacing w:beforeAutospacing="0" w:afterAutospacing="0" w:line="440" w:lineRule="exact"/>
        <w:ind w:firstLine="480" w:firstLineChars="200"/>
        <w:rPr>
          <w:rFonts w:hint="eastAsia"/>
          <w:b/>
          <w:bCs/>
          <w:color w:val="auto"/>
          <w:kern w:val="0"/>
          <w:highlight w:val="none"/>
        </w:rPr>
      </w:pPr>
      <w:r>
        <w:rPr>
          <w:rFonts w:hint="eastAsia" w:ascii="仿宋" w:hAnsi="仿宋" w:eastAsia="仿宋" w:cs="仿宋"/>
          <w:color w:val="auto"/>
          <w:sz w:val="24"/>
          <w:szCs w:val="24"/>
          <w:highlight w:val="none"/>
          <w:lang w:val="en-US" w:eastAsia="zh-CN"/>
        </w:rPr>
        <w:t>（特别说明：采购人应积极履行合同，及时组织验收，验收合格后应及时将合同款支付完毕。</w:t>
      </w:r>
      <w:r>
        <w:rPr>
          <w:rFonts w:hint="eastAsia" w:ascii="仿宋" w:hAnsi="仿宋" w:eastAsia="仿宋" w:cs="仿宋"/>
          <w:b w:val="0"/>
          <w:bCs w:val="0"/>
          <w:color w:val="auto"/>
          <w:kern w:val="2"/>
          <w:sz w:val="24"/>
          <w:szCs w:val="24"/>
          <w:highlight w:val="none"/>
          <w:lang w:val="en-US" w:eastAsia="zh-CN" w:bidi="ar-SA"/>
        </w:rPr>
        <w:t>采购项目实施以人工投入为主的，可按季度支付</w:t>
      </w:r>
      <w:r>
        <w:rPr>
          <w:rFonts w:hint="eastAsia" w:ascii="仿宋" w:hAnsi="仿宋" w:eastAsia="仿宋" w:cs="仿宋"/>
          <w:color w:val="auto"/>
          <w:sz w:val="24"/>
          <w:szCs w:val="24"/>
          <w:highlight w:val="none"/>
          <w:lang w:val="en-US" w:eastAsia="zh-CN"/>
        </w:rPr>
        <w:t>合同款</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对于满足合同约定支付条件的，采购人应自收到发票后</w:t>
      </w:r>
      <w:r>
        <w:rPr>
          <w:rFonts w:hint="eastAsia" w:cs="仿宋"/>
          <w:b/>
          <w:bCs/>
          <w:color w:val="auto"/>
          <w:sz w:val="24"/>
          <w:szCs w:val="24"/>
          <w:highlight w:val="none"/>
          <w:lang w:val="en-US" w:eastAsia="zh-CN"/>
        </w:rPr>
        <w:t>7</w:t>
      </w:r>
      <w:r>
        <w:rPr>
          <w:rFonts w:hint="eastAsia" w:ascii="仿宋" w:hAnsi="仿宋" w:eastAsia="仿宋" w:cs="仿宋"/>
          <w:b/>
          <w:bCs/>
          <w:color w:val="auto"/>
          <w:sz w:val="24"/>
          <w:szCs w:val="24"/>
          <w:highlight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不得以机构变动、人员更替、政策调整、单位放假等为由延迟付款。</w:t>
      </w:r>
      <w:r>
        <w:rPr>
          <w:rFonts w:hint="eastAsia" w:ascii="仿宋" w:hAnsi="仿宋" w:cs="仿宋"/>
          <w:color w:val="auto"/>
          <w:sz w:val="24"/>
          <w:szCs w:val="24"/>
          <w:highlight w:val="none"/>
          <w:lang w:val="en-US" w:eastAsia="zh-CN"/>
        </w:rPr>
        <w:t>）</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十</w:t>
      </w:r>
      <w:r>
        <w:rPr>
          <w:rFonts w:hint="eastAsia"/>
          <w:b/>
          <w:bCs/>
          <w:color w:val="auto"/>
          <w:kern w:val="0"/>
          <w:highlight w:val="none"/>
        </w:rPr>
        <w:t>条：履约保证金</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乙方需</w:t>
      </w:r>
      <w:r>
        <w:rPr>
          <w:rFonts w:hint="eastAsia" w:ascii="仿宋" w:hAnsi="仿宋" w:eastAsia="仿宋" w:cs="仿宋"/>
          <w:color w:val="auto"/>
          <w:sz w:val="24"/>
          <w:szCs w:val="24"/>
          <w:highlight w:val="none"/>
        </w:rPr>
        <w:t>提交合同价</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应在合同签订后</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zh-CN"/>
        </w:rPr>
        <w:t>个工作日内</w:t>
      </w:r>
      <w:r>
        <w:rPr>
          <w:rFonts w:hint="eastAsia" w:ascii="仿宋" w:hAnsi="仿宋" w:eastAsia="仿宋" w:cs="仿宋"/>
          <w:color w:val="auto"/>
          <w:sz w:val="24"/>
          <w:szCs w:val="24"/>
          <w:highlight w:val="none"/>
        </w:rPr>
        <w:t>，以支票、汇票、本票或者金融机构、担保机构出具的保函等非现金形式</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u w:val="none"/>
        </w:rPr>
        <w:t>鼓励和支持供应商以银行、保险公司出具的保函形式提供履约保证金。</w:t>
      </w:r>
      <w:r>
        <w:rPr>
          <w:rFonts w:hint="eastAsia" w:ascii="仿宋" w:hAnsi="仿宋" w:eastAsia="仿宋" w:cs="仿宋"/>
          <w:color w:val="auto"/>
          <w:sz w:val="24"/>
          <w:szCs w:val="24"/>
          <w:highlight w:val="none"/>
          <w:lang w:eastAsia="zh-CN"/>
        </w:rPr>
        <w:t>采</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可根据杭州市政府采购网公布的供应商履约评价情况减免履约保证金。</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color w:val="auto"/>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个工作日内退还乙方履约保证金。甲方无故逾期退还的，按照每逾期一日支付履约保证金5‰的额度承担违约责任。</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第十一条：</w:t>
      </w:r>
      <w:r>
        <w:rPr>
          <w:rFonts w:hint="eastAsia" w:ascii="仿宋" w:hAnsi="仿宋" w:eastAsia="仿宋" w:cs="仿宋"/>
          <w:b/>
          <w:bCs/>
          <w:color w:val="auto"/>
          <w:sz w:val="24"/>
          <w:szCs w:val="24"/>
          <w:highlight w:val="none"/>
          <w:lang w:val="en-US" w:eastAsia="zh-CN"/>
        </w:rPr>
        <w:t>售后服务</w:t>
      </w:r>
    </w:p>
    <w:p>
      <w:pPr>
        <w:pStyle w:val="477"/>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w:t>
      </w:r>
      <w:r>
        <w:rPr>
          <w:rFonts w:hint="eastAsia" w:ascii="仿宋" w:hAnsi="仿宋" w:eastAsia="仿宋" w:cs="仿宋"/>
          <w:color w:val="auto"/>
          <w:sz w:val="24"/>
          <w:szCs w:val="24"/>
          <w:highlight w:val="none"/>
          <w:lang w:val="en-US" w:eastAsia="zh-CN"/>
        </w:rPr>
        <w:t>根据投标文件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售后服务承诺：</w:t>
      </w:r>
    </w:p>
    <w:p>
      <w:pPr>
        <w:pStyle w:val="477"/>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本合同项下货物的</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为最终验收合格之日起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w:t>
      </w:r>
    </w:p>
    <w:p>
      <w:pPr>
        <w:pStyle w:val="477"/>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内应对提供的所有货物进行常规检查、调整等。</w:t>
      </w:r>
    </w:p>
    <w:p>
      <w:pPr>
        <w:pStyle w:val="477"/>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乙方负责对甲方人员的全免（含交通食宿）集中技术培训（≥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人），及不少于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年的免费售后现场技术服务。</w:t>
      </w:r>
    </w:p>
    <w:p>
      <w:pPr>
        <w:pStyle w:val="477"/>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7"/>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满后，乙方仍提供维护服务，收取成本费。</w:t>
      </w:r>
    </w:p>
    <w:p>
      <w:pPr>
        <w:pStyle w:val="477"/>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内或在应当由乙方负责的其他情况下，若由于乙方原因而造成货物不得不停止使用的情形，货物</w:t>
      </w:r>
      <w:r>
        <w:rPr>
          <w:rFonts w:hint="eastAsia" w:ascii="仿宋" w:hAnsi="仿宋" w:eastAsia="仿宋" w:cs="仿宋"/>
          <w:color w:val="auto"/>
          <w:sz w:val="24"/>
          <w:szCs w:val="24"/>
          <w:highlight w:val="none"/>
          <w:lang w:eastAsia="zh-CN"/>
        </w:rPr>
        <w:t>售后服务期及质保期</w:t>
      </w:r>
      <w:r>
        <w:rPr>
          <w:rFonts w:hint="eastAsia" w:ascii="仿宋" w:hAnsi="仿宋" w:eastAsia="仿宋" w:cs="仿宋"/>
          <w:color w:val="auto"/>
          <w:sz w:val="24"/>
          <w:szCs w:val="24"/>
          <w:highlight w:val="none"/>
        </w:rPr>
        <w:t>应依照停止使用的实际时间加以延长，由此给甲方造成的损失由乙方承担。</w:t>
      </w:r>
    </w:p>
    <w:p>
      <w:pPr>
        <w:pStyle w:val="477"/>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小时内赶赴现场处理问题。一般故障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小时内解决，重大故障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w:t>
      </w:r>
    </w:p>
    <w:p>
      <w:pPr>
        <w:pStyle w:val="477"/>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如投标文件中承诺优于本条规定或其他本条未涉及的承诺，按投标文件中承诺执行。</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十一</w:t>
      </w:r>
      <w:r>
        <w:rPr>
          <w:rFonts w:hint="eastAsia"/>
          <w:b/>
          <w:bCs/>
          <w:color w:val="auto"/>
          <w:kern w:val="0"/>
          <w:highlight w:val="none"/>
        </w:rPr>
        <w:t>条：违约责任</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十二</w:t>
      </w:r>
      <w:r>
        <w:rPr>
          <w:rFonts w:hint="eastAsia"/>
          <w:b/>
          <w:bCs/>
          <w:color w:val="auto"/>
          <w:highlight w:val="none"/>
        </w:rPr>
        <w:t>条：不可抗力事件处理</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第十三条：</w:t>
      </w:r>
      <w:r>
        <w:rPr>
          <w:rFonts w:hint="eastAsia" w:ascii="仿宋" w:hAnsi="仿宋" w:eastAsia="仿宋" w:cs="仿宋"/>
          <w:b/>
          <w:bCs/>
          <w:color w:val="auto"/>
          <w:sz w:val="24"/>
          <w:szCs w:val="24"/>
          <w:highlight w:val="none"/>
          <w:lang w:val="en-US" w:eastAsia="zh-CN"/>
        </w:rPr>
        <w:t>合同的变更、中止和终止</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双方当事人不得擅自中止或者终止合同；</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中止或者终止合同。有过错的一方应当承担赔偿责任，双方当事人都有过错的，各自承担相应的责任。</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b/>
          <w:bCs/>
          <w:color w:val="auto"/>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若乙方因破产或经营不善导致合同不能</w:t>
      </w:r>
      <w:r>
        <w:rPr>
          <w:rFonts w:hint="eastAsia" w:ascii="仿宋" w:hAnsi="仿宋" w:eastAsia="仿宋" w:cs="仿宋"/>
          <w:color w:val="auto"/>
          <w:sz w:val="24"/>
          <w:szCs w:val="24"/>
          <w:highlight w:val="none"/>
          <w:lang w:val="en-US" w:eastAsia="zh-CN"/>
        </w:rPr>
        <w:t>继续</w:t>
      </w:r>
      <w:r>
        <w:rPr>
          <w:rFonts w:hint="eastAsia" w:ascii="仿宋" w:hAnsi="仿宋" w:eastAsia="仿宋" w:cs="仿宋"/>
          <w:color w:val="auto"/>
          <w:sz w:val="24"/>
          <w:szCs w:val="24"/>
          <w:highlight w:val="none"/>
        </w:rPr>
        <w:t>履行，乙方应书面通知甲方终止合同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在甲方知情而未收到乙方终止合同书面通知时，甲方可在任何时候书面通知乙方终止合同。</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十四</w:t>
      </w:r>
      <w:r>
        <w:rPr>
          <w:rFonts w:hint="eastAsia"/>
          <w:b/>
          <w:bCs/>
          <w:color w:val="auto"/>
          <w:highlight w:val="none"/>
        </w:rPr>
        <w:t>条：争议的解决</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本合同为政府采购之合同，在发生</w:t>
      </w:r>
      <w:r>
        <w:rPr>
          <w:rFonts w:hint="eastAsia"/>
          <w:bCs/>
          <w:color w:val="auto"/>
          <w:highlight w:val="none"/>
          <w:lang w:eastAsia="zh-CN"/>
        </w:rPr>
        <w:t>产品</w:t>
      </w:r>
      <w:r>
        <w:rPr>
          <w:rFonts w:hint="eastAsia"/>
          <w:bCs/>
          <w:color w:val="auto"/>
          <w:highlight w:val="none"/>
          <w:lang w:val="en-US" w:eastAsia="zh-CN"/>
        </w:rPr>
        <w:t>/</w:t>
      </w:r>
      <w:r>
        <w:rPr>
          <w:rFonts w:hint="eastAsia"/>
          <w:bCs/>
          <w:color w:val="auto"/>
          <w:highlight w:val="none"/>
        </w:rPr>
        <w:t>服务</w:t>
      </w:r>
      <w:r>
        <w:rPr>
          <w:rFonts w:hint="eastAsia"/>
          <w:bCs/>
          <w:color w:val="auto"/>
          <w:highlight w:val="none"/>
          <w:lang w:val="en-US" w:eastAsia="zh-CN"/>
        </w:rPr>
        <w:t>质量</w:t>
      </w:r>
      <w:r>
        <w:rPr>
          <w:rFonts w:hint="eastAsia"/>
          <w:bCs/>
          <w:color w:val="auto"/>
          <w:highlight w:val="none"/>
        </w:rPr>
        <w:t>问题时，甲</w:t>
      </w:r>
      <w:r>
        <w:rPr>
          <w:rFonts w:hint="eastAsia"/>
          <w:bCs/>
          <w:color w:val="auto"/>
          <w:highlight w:val="none"/>
        </w:rPr>
        <w:t>方有权直接向</w:t>
      </w:r>
      <w:r>
        <w:rPr>
          <w:rFonts w:hint="eastAsia"/>
          <w:bCs/>
          <w:color w:val="auto"/>
          <w:highlight w:val="none"/>
          <w:lang w:eastAsia="zh-CN"/>
        </w:rPr>
        <w:t>乙</w:t>
      </w:r>
      <w:r>
        <w:rPr>
          <w:rFonts w:hint="eastAsia"/>
          <w:bCs/>
          <w:color w:val="auto"/>
          <w:highlight w:val="none"/>
        </w:rPr>
        <w:t>方索赔，签订必要的书面处理协议。如协商不成，任何一方有权在合同签约地选择</w:t>
      </w:r>
      <w:r>
        <w:rPr>
          <w:rFonts w:hint="eastAsia"/>
          <w:bCs/>
          <w:color w:val="auto"/>
          <w:highlight w:val="none"/>
        </w:rPr>
        <w:t>仲裁或诉讼的途径解决。</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color w:val="auto"/>
          <w:kern w:val="0"/>
          <w:highlight w:val="none"/>
        </w:rPr>
      </w:pPr>
      <w:r>
        <w:rPr>
          <w:rFonts w:hint="eastAsia"/>
          <w:b/>
          <w:bCs/>
          <w:color w:val="auto"/>
          <w:highlight w:val="none"/>
        </w:rPr>
        <w:t>第十</w:t>
      </w:r>
      <w:r>
        <w:rPr>
          <w:rFonts w:hint="eastAsia"/>
          <w:b/>
          <w:bCs/>
          <w:color w:val="auto"/>
          <w:highlight w:val="none"/>
          <w:lang w:eastAsia="zh-CN"/>
        </w:rPr>
        <w:t>五</w:t>
      </w:r>
      <w:r>
        <w:rPr>
          <w:rFonts w:hint="eastAsia"/>
          <w:b/>
          <w:bCs/>
          <w:color w:val="auto"/>
          <w:highlight w:val="none"/>
        </w:rPr>
        <w:t>条：</w:t>
      </w:r>
      <w:r>
        <w:rPr>
          <w:rFonts w:hint="eastAsia"/>
          <w:b/>
          <w:color w:val="auto"/>
          <w:kern w:val="0"/>
          <w:highlight w:val="none"/>
        </w:rPr>
        <w:t>合同的生效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本合同经甲方、乙方法定代表人或其委托人签字并加盖</w:t>
      </w:r>
      <w:r>
        <w:rPr>
          <w:rFonts w:hint="eastAsia"/>
          <w:bCs/>
          <w:color w:val="auto"/>
          <w:highlight w:val="none"/>
          <w:lang w:eastAsia="zh-CN"/>
        </w:rPr>
        <w:t>双</w:t>
      </w:r>
      <w:r>
        <w:rPr>
          <w:rFonts w:hint="eastAsia"/>
          <w:bCs/>
          <w:color w:val="auto"/>
          <w:highlight w:val="none"/>
        </w:rPr>
        <w:t>方公章后生效。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cs="仿宋_GB2312"/>
          <w:color w:val="auto"/>
          <w:kern w:val="0"/>
          <w:highlight w:val="none"/>
        </w:rPr>
      </w:pPr>
      <w:r>
        <w:rPr>
          <w:rFonts w:hint="eastAsia" w:cs="仿宋_GB2312"/>
          <w:color w:val="auto"/>
          <w:kern w:val="0"/>
          <w:highlight w:val="none"/>
        </w:rPr>
        <w:t>本合同壹式</w:t>
      </w:r>
      <w:r>
        <w:rPr>
          <w:rFonts w:hint="eastAsia" w:cs="仿宋_GB2312"/>
          <w:color w:val="auto"/>
          <w:kern w:val="0"/>
          <w:highlight w:val="none"/>
          <w:lang w:eastAsia="zh-CN"/>
        </w:rPr>
        <w:t>肆</w:t>
      </w:r>
      <w:r>
        <w:rPr>
          <w:rFonts w:hint="eastAsia" w:cs="仿宋_GB2312"/>
          <w:color w:val="auto"/>
          <w:kern w:val="0"/>
          <w:highlight w:val="none"/>
        </w:rPr>
        <w:t>份，甲乙双方各执贰份。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第十六条：</w:t>
      </w:r>
      <w:r>
        <w:rPr>
          <w:rFonts w:hint="eastAsia" w:ascii="仿宋" w:hAnsi="仿宋" w:eastAsia="仿宋" w:cs="仿宋"/>
          <w:b/>
          <w:bCs/>
          <w:color w:val="auto"/>
          <w:sz w:val="24"/>
          <w:szCs w:val="24"/>
          <w:highlight w:val="none"/>
          <w:lang w:val="en-US" w:eastAsia="zh-CN"/>
        </w:rPr>
        <w:t>适用法律</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本合同按照中华人民共和国现行法律、法规进行解释。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第十七条：</w:t>
      </w:r>
      <w:r>
        <w:rPr>
          <w:rFonts w:hint="eastAsia" w:ascii="仿宋" w:hAnsi="仿宋" w:eastAsia="仿宋" w:cs="仿宋"/>
          <w:b/>
          <w:bCs/>
          <w:color w:val="auto"/>
          <w:sz w:val="24"/>
          <w:szCs w:val="24"/>
          <w:highlight w:val="none"/>
          <w:lang w:val="en-US" w:eastAsia="zh-CN"/>
        </w:rPr>
        <w:t>特别说明</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第十八条：</w:t>
      </w:r>
      <w:r>
        <w:rPr>
          <w:rFonts w:hint="eastAsia" w:ascii="仿宋" w:hAnsi="仿宋" w:eastAsia="仿宋" w:cs="仿宋"/>
          <w:b/>
          <w:bCs/>
          <w:color w:val="auto"/>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本合同（□是  □否）为可融资合同，关于中小企业信用融资事项可登陆</w:t>
      </w:r>
      <w:r>
        <w:rPr>
          <w:rFonts w:hint="eastAsia" w:ascii="仿宋" w:hAnsi="仿宋" w:eastAsia="仿宋" w:cs="仿宋"/>
          <w:color w:val="auto"/>
          <w:sz w:val="24"/>
          <w:szCs w:val="24"/>
          <w:highlight w:val="none"/>
          <w:lang w:val="en-US" w:eastAsia="zh-CN"/>
        </w:rPr>
        <w:t>《富阳区“政采贷”办理指引》https://mp.weixin.qq.com/s/6tyZ8daXvRqkU-EEVarAlQ</w:t>
      </w:r>
      <w:r>
        <w:rPr>
          <w:rFonts w:hint="eastAsia" w:ascii="仿宋" w:hAnsi="仿宋" w:eastAsia="仿宋" w:cs="仿宋"/>
          <w:color w:val="auto"/>
          <w:sz w:val="24"/>
          <w:szCs w:val="24"/>
          <w:highlight w:val="none"/>
          <w:lang w:val="zh-CN"/>
        </w:rPr>
        <w:t>进行查询。</w:t>
      </w:r>
    </w:p>
    <w:p>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default"/>
          <w:color w:val="auto"/>
          <w:highlight w:val="none"/>
          <w:lang w:val="en-US" w:eastAsia="zh-CN"/>
        </w:rPr>
      </w:pPr>
      <w:r>
        <w:rPr>
          <w:rFonts w:hint="eastAsia" w:ascii="仿宋" w:hAnsi="仿宋" w:eastAsia="仿宋" w:cs="仿宋"/>
          <w:color w:val="auto"/>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w:t>
      </w:r>
      <w:r>
        <w:rPr>
          <w:rFonts w:hint="eastAsia" w:cs="仿宋_GB2312"/>
          <w:color w:val="auto"/>
          <w:kern w:val="0"/>
          <w:highlight w:val="none"/>
          <w:lang w:val="en-US" w:eastAsia="zh-CN"/>
        </w:rPr>
        <w:t>或盖章</w:t>
      </w:r>
      <w:r>
        <w:rPr>
          <w:rFonts w:hint="eastAsia" w:cs="仿宋_GB2312"/>
          <w:color w:val="auto"/>
          <w:kern w:val="0"/>
          <w:highlight w:val="none"/>
        </w:rPr>
        <w:t>）         法定代表人或受委托人（签字</w:t>
      </w:r>
      <w:r>
        <w:rPr>
          <w:rFonts w:hint="eastAsia" w:cs="仿宋_GB2312"/>
          <w:color w:val="auto"/>
          <w:kern w:val="0"/>
          <w:highlight w:val="none"/>
          <w:lang w:val="en-US" w:eastAsia="zh-CN"/>
        </w:rPr>
        <w:t>或盖章</w:t>
      </w:r>
      <w:r>
        <w:rPr>
          <w:rFonts w:hint="eastAsia" w:cs="仿宋_GB2312"/>
          <w:color w:val="auto"/>
          <w:kern w:val="0"/>
          <w:highlight w:val="none"/>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color w:val="auto"/>
          <w:kern w:val="0"/>
          <w:highlight w:val="none"/>
        </w:rPr>
      </w:pPr>
      <w:r>
        <w:rPr>
          <w:rFonts w:hint="eastAsia" w:cs="仿宋_GB2312"/>
          <w:color w:val="auto"/>
          <w:kern w:val="0"/>
          <w:highlight w:val="none"/>
        </w:rPr>
        <w:t>电话：                               电话：</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color w:val="auto"/>
          <w:kern w:val="0"/>
          <w:highlight w:val="none"/>
        </w:rPr>
      </w:pPr>
      <w:r>
        <w:rPr>
          <w:rFonts w:cs="仿宋_GB2312"/>
          <w:color w:val="auto"/>
          <w:kern w:val="0"/>
          <w:highlight w:val="none"/>
        </w:rPr>
        <w:t xml:space="preserve">                                 </w:t>
      </w:r>
      <w:r>
        <w:rPr>
          <w:rFonts w:hint="eastAsia" w:cs="仿宋_GB2312"/>
          <w:color w:val="auto"/>
          <w:kern w:val="0"/>
          <w:highlight w:val="none"/>
        </w:rPr>
        <w:t xml:space="preserve"> 　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5"/>
        <w:pageBreakBefore w:val="0"/>
        <w:kinsoku/>
        <w:bidi w:val="0"/>
        <w:spacing w:beforeAutospacing="0" w:afterAutospacing="0" w:line="440" w:lineRule="exact"/>
        <w:rPr>
          <w:color w:val="auto"/>
          <w:highlight w:val="none"/>
        </w:rPr>
      </w:pPr>
      <w:r>
        <w:rPr>
          <w:rFonts w:hint="eastAsia"/>
          <w:color w:val="auto"/>
          <w:highlight w:val="none"/>
        </w:rPr>
        <w:t>第六章 投标文件格式附件</w:t>
      </w:r>
      <w:bookmarkEnd w:id="35"/>
    </w:p>
    <w:p>
      <w:pPr>
        <w:pageBreakBefore w:val="0"/>
        <w:widowControl/>
        <w:kinsoku/>
        <w:wordWrap w:val="0"/>
        <w:topLinePunct/>
        <w:bidi w:val="0"/>
        <w:snapToGrid w:val="0"/>
        <w:spacing w:beforeAutospacing="0" w:afterAutospacing="0" w:line="440" w:lineRule="exact"/>
        <w:rPr>
          <w:b/>
          <w:color w:val="auto"/>
          <w:kern w:val="0"/>
          <w:sz w:val="28"/>
          <w:highlight w:val="none"/>
        </w:rPr>
      </w:pP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投标人提交投标文件须知：</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（二）所附表格中要求回答的全部问题、信息都必须正面回答。</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（三）本声明书和投标响应函的签字人应保证全部声明和问题的回答是真实的和准确的。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（四）评标委员会将应用投标人提交的资料作出自己的判断。</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（五）投标人提交的材料将在一定期限内被保密保存，但不退还。</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pageBreakBefore w:val="0"/>
        <w:kinsoku/>
        <w:bidi w:val="0"/>
        <w:spacing w:beforeAutospacing="0" w:afterAutospacing="0" w:line="440" w:lineRule="exact"/>
        <w:rPr>
          <w:b/>
          <w:color w:val="auto"/>
          <w:sz w:val="36"/>
          <w:szCs w:val="36"/>
          <w:highlight w:val="none"/>
        </w:rPr>
      </w:pPr>
      <w:r>
        <w:rPr>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pPr>
        <w:pageBreakBefore w:val="0"/>
        <w:kinsoku/>
        <w:bidi w:val="0"/>
        <w:spacing w:beforeAutospacing="0" w:afterAutospacing="0" w:line="440" w:lineRule="exact"/>
        <w:jc w:val="left"/>
        <w:rPr>
          <w:color w:val="auto"/>
          <w:highlight w:val="none"/>
        </w:rPr>
      </w:pPr>
    </w:p>
    <w:p>
      <w:pPr>
        <w:pageBreakBefore w:val="0"/>
        <w:kinsoku/>
        <w:bidi w:val="0"/>
        <w:snapToGrid w:val="0"/>
        <w:spacing w:beforeAutospacing="0" w:afterAutospacing="0" w:line="440" w:lineRule="exact"/>
        <w:ind w:firstLine="630" w:firstLineChars="196"/>
        <w:rPr>
          <w:rFonts w:hint="eastAsia"/>
          <w:b/>
          <w:color w:val="auto"/>
          <w:sz w:val="32"/>
          <w:highlight w:val="none"/>
        </w:rPr>
      </w:pPr>
      <w:r>
        <w:rPr>
          <w:rFonts w:hint="eastAsia"/>
          <w:b/>
          <w:color w:val="auto"/>
          <w:sz w:val="32"/>
          <w:highlight w:val="none"/>
        </w:rPr>
        <w:br w:type="page"/>
      </w:r>
    </w:p>
    <w:p>
      <w:pPr>
        <w:pageBreakBefore w:val="0"/>
        <w:kinsoku/>
        <w:bidi w:val="0"/>
        <w:snapToGrid w:val="0"/>
        <w:spacing w:beforeAutospacing="0" w:afterAutospacing="0" w:line="440" w:lineRule="exact"/>
        <w:ind w:firstLine="630" w:firstLineChars="196"/>
        <w:rPr>
          <w:rFonts w:hint="eastAsia"/>
          <w:b/>
          <w:color w:val="auto"/>
          <w:sz w:val="32"/>
          <w:highlight w:val="none"/>
        </w:rPr>
      </w:pPr>
    </w:p>
    <w:p>
      <w:pPr>
        <w:pageBreakBefore w:val="0"/>
        <w:kinsoku/>
        <w:bidi w:val="0"/>
        <w:snapToGrid w:val="0"/>
        <w:spacing w:beforeAutospacing="0" w:afterAutospacing="0" w:line="440" w:lineRule="exact"/>
        <w:ind w:firstLine="630" w:firstLineChars="196"/>
        <w:rPr>
          <w:rFonts w:hint="eastAsia"/>
          <w:b/>
          <w:color w:val="auto"/>
          <w:sz w:val="32"/>
          <w:highlight w:val="none"/>
        </w:rPr>
      </w:pPr>
    </w:p>
    <w:p>
      <w:pPr>
        <w:pageBreakBefore w:val="0"/>
        <w:kinsoku/>
        <w:bidi w:val="0"/>
        <w:snapToGrid w:val="0"/>
        <w:spacing w:beforeAutospacing="0" w:afterAutospacing="0" w:line="440" w:lineRule="exact"/>
        <w:ind w:firstLine="630" w:firstLineChars="196"/>
        <w:rPr>
          <w:b/>
          <w:color w:val="auto"/>
          <w:sz w:val="32"/>
          <w:szCs w:val="32"/>
          <w:highlight w:val="none"/>
        </w:rPr>
      </w:pP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bidi w:val="0"/>
        <w:snapToGrid w:val="0"/>
        <w:spacing w:beforeAutospacing="0" w:afterAutospacing="0" w:line="440" w:lineRule="exact"/>
        <w:jc w:val="center"/>
        <w:rPr>
          <w:rFonts w:ascii="仿宋_GB2312" w:eastAsia="仿宋_GB2312"/>
          <w:color w:val="auto"/>
          <w:highlight w:val="none"/>
        </w:rPr>
      </w:pPr>
    </w:p>
    <w:p>
      <w:pPr>
        <w:pStyle w:val="49"/>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2" w:firstLineChars="20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
        <w:pageBreakBefore w:val="0"/>
        <w:kinsoku/>
        <w:bidi w:val="0"/>
        <w:spacing w:before="0" w:beforeAutospacing="0" w:after="0" w:afterAutospacing="0" w:line="440" w:lineRule="exact"/>
        <w:rPr>
          <w:rFonts w:ascii="仿宋_GB2312" w:eastAsia="仿宋_GB2312"/>
          <w:color w:val="auto"/>
          <w:highlight w:val="none"/>
        </w:rPr>
      </w:pPr>
    </w:p>
    <w:p>
      <w:pPr>
        <w:pageBreakBefore w:val="0"/>
        <w:kinsoku/>
        <w:bidi w:val="0"/>
        <w:spacing w:beforeAutospacing="0" w:afterAutospacing="0" w:line="440" w:lineRule="exact"/>
        <w:rPr>
          <w:color w:val="auto"/>
          <w:highlight w:val="none"/>
        </w:rPr>
      </w:pPr>
    </w:p>
    <w:p>
      <w:pPr>
        <w:pStyle w:val="106"/>
        <w:rPr>
          <w:color w:val="auto"/>
          <w:highlight w:val="none"/>
        </w:rPr>
      </w:pPr>
    </w:p>
    <w:p>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color w:val="auto"/>
          <w:highlight w:val="none"/>
          <w:u w:val="single"/>
        </w:rPr>
      </w:pPr>
      <w:r>
        <w:rPr>
          <w:rFonts w:hint="eastAsia"/>
          <w:color w:val="auto"/>
          <w:highlight w:val="none"/>
        </w:rPr>
        <w:t>日期：</w:t>
      </w:r>
      <w:r>
        <w:rPr>
          <w:rFonts w:hint="eastAsia"/>
          <w:color w:val="auto"/>
          <w:highlight w:val="none"/>
          <w:u w:val="single"/>
        </w:rPr>
        <w:t xml:space="preserve">       年     月     日</w:t>
      </w:r>
    </w:p>
    <w:p>
      <w:pPr>
        <w:pStyle w:val="9"/>
        <w:pageBreakBefore w:val="0"/>
        <w:kinsoku/>
        <w:bidi w:val="0"/>
        <w:spacing w:before="0" w:beforeAutospacing="0" w:after="0" w:afterAutospacing="0" w:line="440" w:lineRule="exact"/>
        <w:rPr>
          <w:color w:val="auto"/>
          <w:highlight w:val="none"/>
          <w:u w:val="single"/>
        </w:rPr>
      </w:pPr>
    </w:p>
    <w:p>
      <w:pPr>
        <w:pageBreakBefore w:val="0"/>
        <w:kinsoku/>
        <w:bidi w:val="0"/>
        <w:spacing w:beforeAutospacing="0" w:afterAutospacing="0" w:line="440" w:lineRule="exact"/>
        <w:rPr>
          <w:color w:val="auto"/>
          <w:highlight w:val="none"/>
          <w:u w:val="single"/>
        </w:rPr>
      </w:pPr>
    </w:p>
    <w:p>
      <w:pPr>
        <w:pStyle w:val="9"/>
        <w:pageBreakBefore w:val="0"/>
        <w:kinsoku/>
        <w:bidi w:val="0"/>
        <w:spacing w:before="0" w:beforeAutospacing="0" w:after="0" w:afterAutospacing="0" w:line="440" w:lineRule="exact"/>
        <w:ind w:left="0" w:firstLine="0"/>
        <w:rPr>
          <w:color w:val="auto"/>
          <w:highlight w:val="none"/>
        </w:rPr>
      </w:pPr>
    </w:p>
    <w:p>
      <w:pPr>
        <w:pageBreakBefore w:val="0"/>
        <w:kinsoku/>
        <w:bidi w:val="0"/>
        <w:spacing w:beforeAutospacing="0" w:afterAutospacing="0" w:line="440" w:lineRule="exact"/>
        <w:rPr>
          <w:color w:val="auto"/>
          <w:highlight w:val="none"/>
        </w:rPr>
      </w:pPr>
    </w:p>
    <w:p>
      <w:pPr>
        <w:pStyle w:val="6"/>
        <w:pageBreakBefore w:val="0"/>
        <w:kinsoku/>
        <w:bidi w:val="0"/>
        <w:spacing w:before="0" w:beforeAutospacing="0" w:after="0" w:afterAutospacing="0" w:line="440" w:lineRule="exact"/>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snapToGrid w:val="0"/>
        <w:spacing w:beforeAutospacing="0" w:afterAutospacing="0" w:line="440" w:lineRule="exact"/>
        <w:jc w:val="both"/>
        <w:rPr>
          <w:rFonts w:hint="eastAsia"/>
          <w:b/>
          <w:color w:val="auto"/>
          <w:sz w:val="32"/>
          <w:szCs w:val="32"/>
          <w:highlight w:val="none"/>
        </w:rPr>
      </w:pPr>
    </w:p>
    <w:p>
      <w:pPr>
        <w:pStyle w:val="106"/>
        <w:rPr>
          <w:rFonts w:hint="eastAsia"/>
          <w:b/>
          <w:color w:val="auto"/>
          <w:sz w:val="32"/>
          <w:szCs w:val="32"/>
          <w:highlight w:val="none"/>
        </w:rPr>
      </w:pPr>
    </w:p>
    <w:p>
      <w:pPr>
        <w:rPr>
          <w:rFonts w:hint="eastAsia"/>
          <w:b/>
          <w:color w:val="auto"/>
          <w:sz w:val="32"/>
          <w:szCs w:val="32"/>
          <w:highlight w:val="none"/>
        </w:rPr>
      </w:pPr>
    </w:p>
    <w:p>
      <w:pPr>
        <w:pageBreakBefore w:val="0"/>
        <w:kinsoku/>
        <w:bidi w:val="0"/>
        <w:snapToGrid w:val="0"/>
        <w:spacing w:beforeAutospacing="0" w:afterAutospacing="0" w:line="440" w:lineRule="exact"/>
        <w:jc w:val="center"/>
        <w:rPr>
          <w:rFonts w:hint="eastAsia"/>
          <w:b/>
          <w:color w:val="auto"/>
          <w:sz w:val="32"/>
          <w:szCs w:val="32"/>
          <w:highlight w:val="none"/>
        </w:rPr>
      </w:pPr>
    </w:p>
    <w:p>
      <w:pPr>
        <w:pageBreakBefore w:val="0"/>
        <w:kinsoku/>
        <w:bidi w:val="0"/>
        <w:snapToGrid w:val="0"/>
        <w:spacing w:beforeAutospacing="0" w:afterAutospacing="0" w:line="440" w:lineRule="exact"/>
        <w:jc w:val="center"/>
        <w:rPr>
          <w:rFonts w:hint="eastAsia"/>
          <w:b/>
          <w:color w:val="auto"/>
          <w:sz w:val="32"/>
          <w:szCs w:val="32"/>
          <w:highlight w:val="none"/>
        </w:rPr>
      </w:pPr>
    </w:p>
    <w:p>
      <w:pPr>
        <w:snapToGrid w:val="0"/>
        <w:spacing w:line="360" w:lineRule="auto"/>
        <w:ind w:right="480"/>
        <w:jc w:val="center"/>
        <w:rPr>
          <w:rFonts w:hint="eastAsia" w:ascii="仿宋" w:hAnsi="仿宋" w:eastAsia="仿宋" w:cs="仿宋"/>
          <w:b/>
          <w:color w:val="auto"/>
          <w:kern w:val="0"/>
          <w:sz w:val="24"/>
          <w:szCs w:val="24"/>
          <w:highlight w:val="none"/>
        </w:rPr>
      </w:pPr>
      <w:r>
        <w:rPr>
          <w:rFonts w:hint="eastAsia" w:ascii="仿宋_GB2312" w:hAnsi="宋体" w:eastAsia="仿宋_GB2312" w:cs="Times New Roman"/>
          <w:b/>
          <w:bCs w:val="0"/>
          <w:color w:val="auto"/>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highlight w:val="none"/>
        </w:rPr>
      </w:pPr>
      <w:r>
        <w:rPr>
          <w:rFonts w:hint="eastAsia" w:cs="仿宋"/>
          <w:bCs/>
          <w:color w:val="auto"/>
          <w:sz w:val="24"/>
          <w:szCs w:val="24"/>
          <w:highlight w:val="none"/>
          <w:lang w:eastAsia="zh-CN"/>
        </w:rPr>
        <w:t>浙江正成招标采购咨询有限公司</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u w:val="single"/>
          <w:lang w:val="en-US" w:eastAsia="zh-CN"/>
        </w:rPr>
        <w:t xml:space="preserve"> </w:t>
      </w:r>
      <w:r>
        <w:rPr>
          <w:rFonts w:hint="eastAsia" w:cs="仿宋"/>
          <w:color w:val="auto"/>
          <w:sz w:val="24"/>
          <w:szCs w:val="24"/>
          <w:highlight w:val="none"/>
          <w:u w:val="single"/>
          <w:lang w:eastAsia="zh-CN"/>
        </w:rPr>
        <w:t>杭州市富阳区更高水平气象现代化项目（二期）-区域气象站和农业气象站观测及传输设备项目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lang w:val="en-US" w:eastAsia="zh-CN"/>
        </w:rPr>
        <w:t xml:space="preserve">   项目</w:t>
      </w:r>
      <w:r>
        <w:rPr>
          <w:rFonts w:hint="eastAsia" w:ascii="仿宋" w:hAnsi="仿宋" w:eastAsia="仿宋" w:cs="仿宋"/>
          <w:color w:val="auto"/>
          <w:sz w:val="24"/>
          <w:szCs w:val="24"/>
          <w:highlight w:val="none"/>
          <w:u w:val="singl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】政府采购活动，郑重承诺：</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pPr>
        <w:pStyle w:val="838"/>
        <w:snapToGrid w:val="0"/>
        <w:spacing w:before="156" w:line="360" w:lineRule="auto"/>
        <w:ind w:firstLine="3120" w:firstLineChars="1300"/>
        <w:rPr>
          <w:rFonts w:hint="eastAsia" w:ascii="仿宋" w:hAnsi="仿宋" w:eastAsia="仿宋" w:cs="仿宋"/>
          <w:color w:val="auto"/>
          <w:sz w:val="24"/>
          <w:szCs w:val="24"/>
          <w:highlight w:val="none"/>
        </w:rPr>
      </w:pPr>
    </w:p>
    <w:p>
      <w:pPr>
        <w:pStyle w:val="838"/>
        <w:snapToGrid w:val="0"/>
        <w:spacing w:before="156"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6"/>
        <w:rPr>
          <w:rFonts w:hint="eastAsia" w:ascii="仿宋" w:hAnsi="仿宋" w:eastAsia="仿宋" w:cs="仿宋"/>
          <w:color w:val="auto"/>
          <w:sz w:val="24"/>
          <w:szCs w:val="24"/>
          <w:highlight w:val="none"/>
          <w:u w:val="single"/>
        </w:rPr>
      </w:pPr>
    </w:p>
    <w:p>
      <w:pPr>
        <w:ind w:firstLine="480" w:firstLineChars="200"/>
        <w:rPr>
          <w:rFonts w:hint="eastAsia" w:eastAsia="仿宋"/>
          <w:color w:val="auto"/>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u w:val="none"/>
          <w:lang w:eastAsia="zh-CN"/>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sz w:val="24"/>
          <w:szCs w:val="24"/>
          <w:highlight w:val="none"/>
          <w:u w:val="single"/>
          <w:lang w:eastAsia="zh-CN"/>
        </w:rPr>
        <w:t>可不对本承诺函第（一）款第</w:t>
      </w:r>
      <w:r>
        <w:rPr>
          <w:rFonts w:hint="eastAsia" w:ascii="仿宋" w:hAnsi="仿宋" w:eastAsia="仿宋" w:cs="仿宋"/>
          <w:b/>
          <w:bCs/>
          <w:color w:val="auto"/>
          <w:sz w:val="24"/>
          <w:szCs w:val="24"/>
          <w:highlight w:val="none"/>
          <w:u w:val="single"/>
          <w:lang w:val="en-US" w:eastAsia="zh-CN"/>
        </w:rPr>
        <w:t>4点进行承诺</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color w:val="auto"/>
          <w:sz w:val="24"/>
          <w:szCs w:val="24"/>
          <w:highlight w:val="none"/>
          <w:u w:val="none"/>
          <w:lang w:eastAsia="zh-CN"/>
        </w:rPr>
        <w:t>但须详细说明失信记录的情况，否则按无效标处理。</w:t>
      </w:r>
    </w:p>
    <w:p>
      <w:pPr>
        <w:numPr>
          <w:ilvl w:val="0"/>
          <w:numId w:val="0"/>
        </w:numPr>
        <w:spacing w:before="156" w:line="360" w:lineRule="auto"/>
        <w:ind w:leftChars="0"/>
        <w:jc w:val="center"/>
        <w:rPr>
          <w:rFonts w:hint="eastAsia" w:ascii="仿宋_GB2312" w:hAnsi="仿宋" w:eastAsia="仿宋_GB2312"/>
          <w:b/>
          <w:color w:val="auto"/>
          <w:sz w:val="32"/>
          <w:szCs w:val="32"/>
          <w:highlight w:val="none"/>
          <w:u w:val="none"/>
          <w:lang w:val="en-US" w:eastAsia="zh-CN"/>
        </w:rPr>
      </w:pPr>
    </w:p>
    <w:p>
      <w:pPr>
        <w:numPr>
          <w:ilvl w:val="0"/>
          <w:numId w:val="0"/>
        </w:numPr>
        <w:spacing w:before="156" w:line="360" w:lineRule="auto"/>
        <w:ind w:leftChars="0"/>
        <w:jc w:val="center"/>
        <w:rPr>
          <w:rFonts w:hint="eastAsia" w:ascii="仿宋_GB2312" w:hAnsi="仿宋" w:eastAsia="仿宋_GB2312"/>
          <w:b/>
          <w:color w:val="auto"/>
          <w:sz w:val="32"/>
          <w:szCs w:val="32"/>
          <w:highlight w:val="none"/>
          <w:u w:val="none"/>
          <w:lang w:val="en-US" w:eastAsia="zh-CN"/>
        </w:rPr>
      </w:pPr>
      <w:r>
        <w:rPr>
          <w:rFonts w:hint="eastAsia" w:ascii="仿宋_GB2312" w:hAnsi="仿宋" w:eastAsia="仿宋_GB2312"/>
          <w:b/>
          <w:color w:val="auto"/>
          <w:sz w:val="32"/>
          <w:szCs w:val="32"/>
          <w:highlight w:val="none"/>
          <w:u w:val="none"/>
          <w:lang w:val="en-US" w:eastAsia="zh-CN"/>
        </w:rPr>
        <w:t>中小企业声明函（货物）</w:t>
      </w:r>
    </w:p>
    <w:p>
      <w:pPr>
        <w:pStyle w:val="81"/>
        <w:ind w:firstLine="480" w:firstLineChars="200"/>
        <w:rPr>
          <w:rFonts w:hint="eastAsia" w:ascii="仿宋" w:hAnsi="仿宋" w:eastAsia="仿宋" w:cs="宋体"/>
          <w:color w:val="auto"/>
          <w:kern w:val="0"/>
          <w:sz w:val="24"/>
          <w:highlight w:val="none"/>
        </w:rPr>
      </w:pPr>
      <w:r>
        <w:rPr>
          <w:rFonts w:hint="eastAsia" w:ascii="仿宋" w:hAnsi="仿宋" w:eastAsia="仿宋" w:cs="仿宋"/>
          <w:color w:val="auto"/>
          <w:kern w:val="0"/>
          <w:sz w:val="24"/>
          <w:szCs w:val="24"/>
          <w:highlight w:val="none"/>
          <w:lang w:val="en-US" w:eastAsia="zh-CN" w:bidi="ar"/>
        </w:rPr>
        <w:t>本公司（联合体）郑重声明，根据《政府采购促进中小企业发展管理办法》（财库﹝2020﹞46 号）的规定，本公司（联合体）参加</w:t>
      </w:r>
      <w:r>
        <w:rPr>
          <w:rFonts w:hint="eastAsia" w:ascii="仿宋" w:hAnsi="仿宋" w:eastAsia="仿宋" w:cs="仿宋"/>
          <w:b/>
          <w:bCs/>
          <w:i w:val="0"/>
          <w:iCs/>
          <w:color w:val="auto"/>
          <w:kern w:val="0"/>
          <w:sz w:val="24"/>
          <w:szCs w:val="24"/>
          <w:highlight w:val="none"/>
          <w:u w:val="single"/>
          <w:lang w:val="en-US" w:eastAsia="zh-CN" w:bidi="ar"/>
        </w:rPr>
        <w:t>（        单位名称      ）</w:t>
      </w:r>
      <w:r>
        <w:rPr>
          <w:rFonts w:hint="eastAsia" w:ascii="仿宋" w:hAnsi="仿宋" w:eastAsia="仿宋" w:cs="仿宋"/>
          <w:i w:val="0"/>
          <w:iCs/>
          <w:color w:val="auto"/>
          <w:kern w:val="0"/>
          <w:sz w:val="24"/>
          <w:szCs w:val="24"/>
          <w:highlight w:val="none"/>
          <w:lang w:val="en-US" w:eastAsia="zh-CN" w:bidi="ar"/>
        </w:rPr>
        <w:t>的</w:t>
      </w:r>
      <w:r>
        <w:rPr>
          <w:rFonts w:hint="eastAsia" w:ascii="仿宋" w:hAnsi="仿宋" w:eastAsia="仿宋" w:cs="仿宋"/>
          <w:b/>
          <w:bCs/>
          <w:i w:val="0"/>
          <w:iCs/>
          <w:color w:val="auto"/>
          <w:kern w:val="0"/>
          <w:sz w:val="24"/>
          <w:szCs w:val="24"/>
          <w:highlight w:val="none"/>
          <w:u w:val="single"/>
          <w:lang w:val="en-US" w:eastAsia="zh-CN" w:bidi="ar"/>
        </w:rPr>
        <w:t>（      项目名称      ）</w:t>
      </w:r>
      <w:r>
        <w:rPr>
          <w:rFonts w:hint="eastAsia" w:ascii="仿宋" w:hAnsi="仿宋" w:eastAsia="仿宋" w:cs="仿宋"/>
          <w:color w:val="auto"/>
          <w:kern w:val="0"/>
          <w:sz w:val="24"/>
          <w:szCs w:val="24"/>
          <w:highlight w:val="none"/>
          <w:lang w:val="en-US" w:eastAsia="zh-CN" w:bidi="ar"/>
        </w:rPr>
        <w:t>采购活动，提供的货物全部由符合政策要求的中小企业制造。相关企业 （含联合体中的中小企业、签订分包意向协议的中小企业） 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40"/>
        <w:gridCol w:w="1020"/>
        <w:gridCol w:w="1683"/>
        <w:gridCol w:w="1062"/>
        <w:gridCol w:w="1172"/>
        <w:gridCol w:w="10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66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103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710"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6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8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6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329"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6" w:type="dxa"/>
            <w:noWrap w:val="0"/>
            <w:vAlign w:val="top"/>
          </w:tcPr>
          <w:p>
            <w:pPr>
              <w:pStyle w:val="107"/>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65" w:type="dxa"/>
            <w:noWrap w:val="0"/>
            <w:vAlign w:val="top"/>
          </w:tcPr>
          <w:p>
            <w:pPr>
              <w:pStyle w:val="107"/>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pPr>
              <w:pStyle w:val="107"/>
              <w:spacing w:before="0" w:after="0" w:line="240" w:lineRule="auto"/>
              <w:ind w:left="0"/>
              <w:rPr>
                <w:rFonts w:hint="eastAsia" w:eastAsia="仿宋"/>
                <w:color w:val="auto"/>
                <w:highlight w:val="none"/>
                <w:vertAlign w:val="baseline"/>
                <w:lang w:eastAsia="zh-CN"/>
              </w:rPr>
            </w:pPr>
          </w:p>
        </w:tc>
        <w:tc>
          <w:tcPr>
            <w:tcW w:w="1710" w:type="dxa"/>
            <w:noWrap w:val="0"/>
            <w:vAlign w:val="top"/>
          </w:tcPr>
          <w:p>
            <w:pPr>
              <w:pStyle w:val="107"/>
              <w:rPr>
                <w:rFonts w:hint="eastAsia"/>
                <w:color w:val="auto"/>
                <w:highlight w:val="none"/>
                <w:vertAlign w:val="baseline"/>
              </w:rPr>
            </w:pPr>
          </w:p>
        </w:tc>
        <w:tc>
          <w:tcPr>
            <w:tcW w:w="1065" w:type="dxa"/>
            <w:noWrap w:val="0"/>
            <w:vAlign w:val="top"/>
          </w:tcPr>
          <w:p>
            <w:pPr>
              <w:pStyle w:val="107"/>
              <w:rPr>
                <w:rFonts w:hint="eastAsia"/>
                <w:color w:val="auto"/>
                <w:highlight w:val="none"/>
                <w:vertAlign w:val="baseline"/>
              </w:rPr>
            </w:pPr>
          </w:p>
        </w:tc>
        <w:tc>
          <w:tcPr>
            <w:tcW w:w="1185" w:type="dxa"/>
            <w:noWrap w:val="0"/>
            <w:vAlign w:val="top"/>
          </w:tcPr>
          <w:p>
            <w:pPr>
              <w:pStyle w:val="107"/>
              <w:rPr>
                <w:rFonts w:hint="eastAsia"/>
                <w:color w:val="auto"/>
                <w:highlight w:val="none"/>
                <w:vertAlign w:val="baseline"/>
              </w:rPr>
            </w:pPr>
          </w:p>
        </w:tc>
        <w:tc>
          <w:tcPr>
            <w:tcW w:w="1065" w:type="dxa"/>
            <w:noWrap w:val="0"/>
            <w:vAlign w:val="top"/>
          </w:tcPr>
          <w:p>
            <w:pPr>
              <w:pStyle w:val="107"/>
              <w:rPr>
                <w:rFonts w:hint="eastAsia"/>
                <w:color w:val="auto"/>
                <w:highlight w:val="none"/>
                <w:vertAlign w:val="baseline"/>
              </w:rPr>
            </w:pPr>
          </w:p>
        </w:tc>
        <w:tc>
          <w:tcPr>
            <w:tcW w:w="1329"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 w:type="dxa"/>
            <w:noWrap w:val="0"/>
            <w:vAlign w:val="top"/>
          </w:tcPr>
          <w:p>
            <w:pPr>
              <w:pStyle w:val="107"/>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w:t>
            </w:r>
          </w:p>
        </w:tc>
        <w:tc>
          <w:tcPr>
            <w:tcW w:w="1665" w:type="dxa"/>
            <w:noWrap w:val="0"/>
            <w:vAlign w:val="top"/>
          </w:tcPr>
          <w:p>
            <w:pPr>
              <w:pStyle w:val="107"/>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pPr>
              <w:pStyle w:val="107"/>
              <w:spacing w:before="0" w:after="0" w:line="240" w:lineRule="auto"/>
              <w:ind w:left="0"/>
              <w:rPr>
                <w:rFonts w:hint="eastAsia" w:eastAsia="仿宋"/>
                <w:color w:val="auto"/>
                <w:highlight w:val="none"/>
                <w:vertAlign w:val="baseline"/>
                <w:lang w:eastAsia="zh-CN"/>
              </w:rPr>
            </w:pPr>
          </w:p>
        </w:tc>
        <w:tc>
          <w:tcPr>
            <w:tcW w:w="1710" w:type="dxa"/>
            <w:noWrap w:val="0"/>
            <w:vAlign w:val="top"/>
          </w:tcPr>
          <w:p>
            <w:pPr>
              <w:pStyle w:val="107"/>
              <w:rPr>
                <w:rFonts w:hint="eastAsia"/>
                <w:color w:val="auto"/>
                <w:highlight w:val="none"/>
                <w:vertAlign w:val="baseline"/>
              </w:rPr>
            </w:pPr>
          </w:p>
        </w:tc>
        <w:tc>
          <w:tcPr>
            <w:tcW w:w="1065" w:type="dxa"/>
            <w:noWrap w:val="0"/>
            <w:vAlign w:val="top"/>
          </w:tcPr>
          <w:p>
            <w:pPr>
              <w:pStyle w:val="107"/>
              <w:rPr>
                <w:rFonts w:hint="eastAsia"/>
                <w:color w:val="auto"/>
                <w:highlight w:val="none"/>
                <w:vertAlign w:val="baseline"/>
              </w:rPr>
            </w:pPr>
          </w:p>
        </w:tc>
        <w:tc>
          <w:tcPr>
            <w:tcW w:w="1185" w:type="dxa"/>
            <w:noWrap w:val="0"/>
            <w:vAlign w:val="top"/>
          </w:tcPr>
          <w:p>
            <w:pPr>
              <w:pStyle w:val="107"/>
              <w:rPr>
                <w:rFonts w:hint="eastAsia"/>
                <w:color w:val="auto"/>
                <w:highlight w:val="none"/>
                <w:vertAlign w:val="baseline"/>
              </w:rPr>
            </w:pPr>
          </w:p>
        </w:tc>
        <w:tc>
          <w:tcPr>
            <w:tcW w:w="1065" w:type="dxa"/>
            <w:noWrap w:val="0"/>
            <w:vAlign w:val="top"/>
          </w:tcPr>
          <w:p>
            <w:pPr>
              <w:pStyle w:val="107"/>
              <w:rPr>
                <w:rFonts w:hint="eastAsia"/>
                <w:color w:val="auto"/>
                <w:highlight w:val="none"/>
                <w:vertAlign w:val="baseline"/>
              </w:rPr>
            </w:pPr>
          </w:p>
        </w:tc>
        <w:tc>
          <w:tcPr>
            <w:tcW w:w="1329" w:type="dxa"/>
            <w:noWrap w:val="0"/>
            <w:vAlign w:val="top"/>
          </w:tcPr>
          <w:p>
            <w:pPr>
              <w:pStyle w:val="107"/>
              <w:rPr>
                <w:rFonts w:hint="eastAsia" w:eastAsia="仿宋"/>
                <w:color w:val="auto"/>
                <w:highlight w:val="none"/>
                <w:vertAlign w:val="baseline"/>
                <w:lang w:eastAsia="zh-CN"/>
              </w:rPr>
            </w:pPr>
          </w:p>
        </w:tc>
      </w:tr>
    </w:tbl>
    <w:p>
      <w:pPr>
        <w:pStyle w:val="81"/>
        <w:pageBreakBefore w:val="0"/>
        <w:kinsoku/>
        <w:bidi w:val="0"/>
        <w:spacing w:beforeAutospacing="0" w:afterAutospacing="0" w:line="440" w:lineRule="exact"/>
        <w:ind w:firstLine="480" w:firstLineChars="200"/>
        <w:rPr>
          <w:rFonts w:ascii="仿宋" w:hAnsi="仿宋"/>
          <w:color w:val="auto"/>
          <w:sz w:val="24"/>
          <w:szCs w:val="24"/>
          <w:highlight w:val="none"/>
        </w:rPr>
      </w:pPr>
      <w:r>
        <w:rPr>
          <w:rFonts w:hint="eastAsia" w:ascii="仿宋" w:hAnsi="仿宋"/>
          <w:color w:val="auto"/>
          <w:sz w:val="24"/>
          <w:szCs w:val="24"/>
          <w:highlight w:val="none"/>
        </w:rPr>
        <w:t>以上企业，不属于大企业的分支机构，不存在控股股东为大企业的情形，也不存在与大企业的负责人为同一人的情形。</w:t>
      </w:r>
    </w:p>
    <w:p>
      <w:pPr>
        <w:pStyle w:val="81"/>
        <w:pageBreakBefore w:val="0"/>
        <w:kinsoku/>
        <w:bidi w:val="0"/>
        <w:spacing w:beforeAutospacing="0" w:afterAutospacing="0" w:line="440" w:lineRule="exact"/>
        <w:ind w:firstLine="480" w:firstLineChars="200"/>
        <w:rPr>
          <w:rFonts w:hint="eastAsia" w:ascii="仿宋" w:hAnsi="仿宋"/>
          <w:color w:val="auto"/>
          <w:sz w:val="24"/>
          <w:szCs w:val="24"/>
          <w:highlight w:val="none"/>
        </w:rPr>
      </w:pPr>
      <w:r>
        <w:rPr>
          <w:rFonts w:hint="eastAsia" w:ascii="仿宋" w:hAnsi="仿宋"/>
          <w:color w:val="auto"/>
          <w:sz w:val="24"/>
          <w:szCs w:val="24"/>
          <w:highlight w:val="none"/>
        </w:rPr>
        <w:t>本企业对上述声明内容的真实性负责。如有虚假，将依法承担相应责任。</w:t>
      </w:r>
    </w:p>
    <w:p>
      <w:pPr>
        <w:pStyle w:val="838"/>
        <w:pageBreakBefore w:val="0"/>
        <w:kinsoku/>
        <w:bidi w:val="0"/>
        <w:snapToGrid w:val="0"/>
        <w:spacing w:beforeAutospacing="0" w:afterAutospacing="0"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pageBreakBefore w:val="0"/>
        <w:kinsoku/>
        <w:bidi w:val="0"/>
        <w:snapToGrid w:val="0"/>
        <w:spacing w:beforeAutospacing="0" w:afterAutospacing="0" w:line="440" w:lineRule="exact"/>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firstLine="480" w:firstLineChars="200"/>
        <w:rPr>
          <w:rFonts w:hint="eastAsia"/>
          <w:b/>
          <w:color w:val="auto"/>
          <w:highlight w:val="none"/>
        </w:rPr>
      </w:pPr>
      <w:r>
        <w:rPr>
          <w:rFonts w:hint="eastAsia"/>
          <w:color w:val="auto"/>
          <w:highlight w:val="none"/>
        </w:rPr>
        <w:t>注：从业人员、营业收入、资产总额填报上一年度数据，无上一年度数据的新成立企业可不填报。</w:t>
      </w:r>
    </w:p>
    <w:p>
      <w:pPr>
        <w:pageBreakBefore w:val="0"/>
        <w:kinsoku/>
        <w:bidi w:val="0"/>
        <w:snapToGrid w:val="0"/>
        <w:spacing w:beforeAutospacing="0" w:afterAutospacing="0" w:line="440" w:lineRule="exact"/>
        <w:ind w:firstLine="472" w:firstLineChars="196"/>
        <w:rPr>
          <w:b/>
          <w:color w:val="auto"/>
          <w:szCs w:val="24"/>
          <w:highlight w:val="none"/>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highlight w:val="none"/>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highlight w:val="none"/>
        </w:rPr>
        <w:t>《中小企业声明函》、监狱企业</w:t>
      </w:r>
      <w:r>
        <w:rPr>
          <w:rFonts w:hint="eastAsia"/>
          <w:b/>
          <w:color w:val="auto"/>
          <w:szCs w:val="24"/>
          <w:highlight w:val="none"/>
          <w:lang w:eastAsia="zh-CN"/>
        </w:rPr>
        <w:t>证明文件</w:t>
      </w:r>
      <w:r>
        <w:rPr>
          <w:rFonts w:hint="eastAsia"/>
          <w:b/>
          <w:color w:val="auto"/>
          <w:szCs w:val="24"/>
          <w:highlight w:val="none"/>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5"/>
        <w:pageBreakBefore w:val="0"/>
        <w:kinsoku/>
        <w:bidi w:val="0"/>
        <w:spacing w:beforeAutospacing="0" w:afterAutospacing="0" w:line="440" w:lineRule="exact"/>
        <w:ind w:right="480" w:firstLine="0"/>
        <w:jc w:val="center"/>
        <w:rPr>
          <w:rFonts w:hint="eastAsia"/>
          <w:b/>
          <w:color w:val="auto"/>
          <w:sz w:val="32"/>
          <w:szCs w:val="32"/>
          <w:highlight w:val="none"/>
        </w:rPr>
      </w:pPr>
    </w:p>
    <w:p>
      <w:pPr>
        <w:pStyle w:val="25"/>
        <w:pageBreakBefore w:val="0"/>
        <w:kinsoku/>
        <w:bidi w:val="0"/>
        <w:spacing w:beforeAutospacing="0" w:afterAutospacing="0" w:line="440" w:lineRule="exact"/>
        <w:ind w:right="480" w:firstLine="0"/>
        <w:jc w:val="center"/>
        <w:rPr>
          <w:rFonts w:hint="eastAsia"/>
          <w:b/>
          <w:color w:val="auto"/>
          <w:sz w:val="32"/>
          <w:szCs w:val="32"/>
          <w:highlight w:val="none"/>
        </w:rPr>
      </w:pPr>
    </w:p>
    <w:p>
      <w:pPr>
        <w:pStyle w:val="25"/>
        <w:pageBreakBefore w:val="0"/>
        <w:kinsoku/>
        <w:bidi w:val="0"/>
        <w:spacing w:beforeAutospacing="0" w:afterAutospacing="0" w:line="440" w:lineRule="exact"/>
        <w:ind w:right="480" w:firstLine="0"/>
        <w:jc w:val="center"/>
        <w:rPr>
          <w:rFonts w:hint="eastAsia"/>
          <w:b/>
          <w:color w:val="auto"/>
          <w:sz w:val="32"/>
          <w:szCs w:val="32"/>
          <w:highlight w:val="none"/>
        </w:rPr>
      </w:pPr>
    </w:p>
    <w:p>
      <w:pPr>
        <w:pStyle w:val="25"/>
        <w:pageBreakBefore w:val="0"/>
        <w:kinsoku/>
        <w:bidi w:val="0"/>
        <w:spacing w:beforeAutospacing="0" w:afterAutospacing="0" w:line="440" w:lineRule="exact"/>
        <w:ind w:right="480" w:firstLine="0"/>
        <w:jc w:val="center"/>
        <w:rPr>
          <w:rFonts w:hint="eastAsia"/>
          <w:b/>
          <w:color w:val="auto"/>
          <w:sz w:val="32"/>
          <w:szCs w:val="32"/>
          <w:highlight w:val="none"/>
        </w:rPr>
      </w:pPr>
    </w:p>
    <w:p>
      <w:pPr>
        <w:pStyle w:val="25"/>
        <w:pageBreakBefore w:val="0"/>
        <w:kinsoku/>
        <w:bidi w:val="0"/>
        <w:spacing w:beforeAutospacing="0" w:afterAutospacing="0" w:line="440" w:lineRule="exact"/>
        <w:ind w:right="480" w:firstLine="0"/>
        <w:jc w:val="center"/>
        <w:rPr>
          <w:rFonts w:hint="eastAsia"/>
          <w:b/>
          <w:color w:val="auto"/>
          <w:sz w:val="32"/>
          <w:szCs w:val="32"/>
          <w:highlight w:val="none"/>
        </w:rPr>
      </w:pPr>
    </w:p>
    <w:p>
      <w:pPr>
        <w:pStyle w:val="25"/>
        <w:pageBreakBefore w:val="0"/>
        <w:kinsoku/>
        <w:bidi w:val="0"/>
        <w:spacing w:beforeAutospacing="0" w:afterAutospacing="0" w:line="440" w:lineRule="exact"/>
        <w:ind w:right="480" w:firstLine="0"/>
        <w:jc w:val="center"/>
        <w:rPr>
          <w:color w:val="auto"/>
          <w:szCs w:val="24"/>
          <w:highlight w:val="none"/>
        </w:rPr>
      </w:pPr>
      <w:r>
        <w:rPr>
          <w:rFonts w:hint="eastAsia"/>
          <w:b/>
          <w:color w:val="auto"/>
          <w:sz w:val="32"/>
          <w:szCs w:val="32"/>
          <w:highlight w:val="none"/>
        </w:rPr>
        <w:t>残疾人福利性单位声明函</w:t>
      </w:r>
    </w:p>
    <w:p>
      <w:pPr>
        <w:pStyle w:val="25"/>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w:t>
      </w:r>
      <w:r>
        <w:rPr>
          <w:rFonts w:hint="eastAsia" w:ascii="宋体" w:hAnsi="宋体" w:cs="宋体"/>
          <w:color w:val="auto"/>
          <w:szCs w:val="24"/>
          <w:highlight w:val="none"/>
        </w:rPr>
        <w:t> </w:t>
      </w:r>
      <w:r>
        <w:rPr>
          <w:rFonts w:hint="eastAsia"/>
          <w:color w:val="auto"/>
          <w:szCs w:val="24"/>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pPr>
        <w:pStyle w:val="838"/>
        <w:pageBreakBefore w:val="0"/>
        <w:kinsoku/>
        <w:bidi w:val="0"/>
        <w:snapToGrid w:val="0"/>
        <w:spacing w:beforeAutospacing="0" w:afterAutospacing="0" w:line="440" w:lineRule="exact"/>
        <w:rPr>
          <w:rFonts w:ascii="仿宋" w:hAnsi="仿宋"/>
          <w:color w:val="auto"/>
          <w:szCs w:val="24"/>
          <w:highlight w:val="none"/>
        </w:rPr>
      </w:pPr>
      <w:r>
        <w:rPr>
          <w:rFonts w:hint="eastAsia"/>
          <w:color w:val="auto"/>
          <w:szCs w:val="24"/>
          <w:highlight w:val="none"/>
        </w:rPr>
        <w:br w:type="textWrapping"/>
      </w: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pageBreakBefore w:val="0"/>
        <w:kinsoku/>
        <w:bidi w:val="0"/>
        <w:snapToGrid w:val="0"/>
        <w:spacing w:beforeAutospacing="0" w:afterAutospacing="0" w:line="440" w:lineRule="exact"/>
        <w:ind w:right="600"/>
        <w:rPr>
          <w:color w:val="auto"/>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ind w:firstLine="482" w:firstLineChars="200"/>
        <w:jc w:val="center"/>
        <w:rPr>
          <w:b/>
          <w:color w:val="auto"/>
          <w:highlight w:val="none"/>
        </w:rPr>
      </w:pPr>
    </w:p>
    <w:p>
      <w:pPr>
        <w:pageBreakBefore w:val="0"/>
        <w:widowControl/>
        <w:kinsoku/>
        <w:bidi w:val="0"/>
        <w:spacing w:beforeAutospacing="0" w:afterAutospacing="0" w:line="440" w:lineRule="exact"/>
        <w:jc w:val="left"/>
        <w:rPr>
          <w:b/>
          <w:color w:val="auto"/>
          <w:sz w:val="32"/>
          <w:szCs w:val="32"/>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color w:val="auto"/>
          <w:sz w:val="32"/>
          <w:szCs w:val="32"/>
          <w:highlight w:val="none"/>
        </w:rPr>
      </w:pPr>
      <w:r>
        <w:rPr>
          <w:b/>
          <w:color w:val="auto"/>
          <w:sz w:val="32"/>
          <w:szCs w:val="32"/>
          <w:highlight w:val="none"/>
        </w:rPr>
        <w:br w:type="page"/>
      </w:r>
    </w:p>
    <w:p>
      <w:pPr>
        <w:pageBreakBefore w:val="0"/>
        <w:kinsoku/>
        <w:bidi w:val="0"/>
        <w:spacing w:beforeAutospacing="0" w:afterAutospacing="0" w:line="440" w:lineRule="exact"/>
        <w:jc w:val="center"/>
        <w:rPr>
          <w:rFonts w:hint="eastAsia"/>
          <w:b/>
          <w:bCs/>
          <w:color w:val="auto"/>
          <w:sz w:val="30"/>
          <w:szCs w:val="30"/>
          <w:highlight w:val="none"/>
        </w:rPr>
      </w:pPr>
    </w:p>
    <w:p>
      <w:pPr>
        <w:pageBreakBefore w:val="0"/>
        <w:kinsoku/>
        <w:bidi w:val="0"/>
        <w:spacing w:beforeAutospacing="0" w:afterAutospacing="0" w:line="440" w:lineRule="exact"/>
        <w:jc w:val="center"/>
        <w:rPr>
          <w:b/>
          <w:bCs/>
          <w:color w:val="auto"/>
          <w:sz w:val="30"/>
          <w:szCs w:val="30"/>
          <w:highlight w:val="none"/>
        </w:rPr>
      </w:pPr>
      <w:r>
        <w:rPr>
          <w:rFonts w:hint="eastAsia"/>
          <w:b/>
          <w:bCs/>
          <w:color w:val="auto"/>
          <w:sz w:val="30"/>
          <w:szCs w:val="30"/>
          <w:highlight w:val="none"/>
        </w:rPr>
        <w:t>商务技术评分索引</w:t>
      </w:r>
    </w:p>
    <w:p>
      <w:pPr>
        <w:pageBreakBefore w:val="0"/>
        <w:kinsoku/>
        <w:bidi w:val="0"/>
        <w:spacing w:beforeAutospacing="0" w:afterAutospacing="0" w:line="440" w:lineRule="exact"/>
        <w:jc w:val="center"/>
        <w:rPr>
          <w:color w:val="auto"/>
          <w:highlight w:val="none"/>
        </w:rPr>
      </w:pPr>
      <w:r>
        <w:rPr>
          <w:rFonts w:hint="eastAsia"/>
          <w:color w:val="auto"/>
          <w:highlight w:val="none"/>
        </w:rPr>
        <w:t>（此表请放于商务技术投标文件正文首页）</w:t>
      </w:r>
    </w:p>
    <w:p>
      <w:pPr>
        <w:pageBreakBefore w:val="0"/>
        <w:kinsoku/>
        <w:bidi w:val="0"/>
        <w:spacing w:beforeAutospacing="0" w:afterAutospacing="0" w:line="440" w:lineRule="exact"/>
        <w:jc w:val="both"/>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杭州市富阳区更高水平气象现代化项目（二期）-区域气象站和农业气象站观测及传输设备项目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 xml:space="preserve">投标文件内容 </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法定代表人授权委托书（格式见附件）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lang w:eastAsia="zh-CN"/>
              </w:rPr>
              <w:t>投标响应函</w:t>
            </w:r>
            <w:r>
              <w:rPr>
                <w:rFonts w:hint="eastAsia"/>
                <w:color w:val="auto"/>
                <w:highlight w:val="none"/>
              </w:rPr>
              <w:t>（格式见附件）；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4</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rPr>
              <w:t>廉政承诺书</w:t>
            </w:r>
            <w:r>
              <w:rPr>
                <w:rFonts w:hint="eastAsia"/>
                <w:color w:val="auto"/>
                <w:highlight w:val="none"/>
              </w:rPr>
              <w:t>（格式见附件）；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5</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投标人情况介绍(格式见附件)；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6</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7</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8</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9</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10</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r>
    </w:tbl>
    <w:p>
      <w:pPr>
        <w:pageBreakBefore w:val="0"/>
        <w:kinsoku/>
        <w:bidi w:val="0"/>
        <w:spacing w:beforeAutospacing="0" w:afterAutospacing="0" w:line="440" w:lineRule="exact"/>
        <w:rPr>
          <w:b/>
          <w:color w:val="auto"/>
          <w:sz w:val="32"/>
          <w:szCs w:val="32"/>
          <w:highlight w:val="none"/>
        </w:rPr>
      </w:pPr>
    </w:p>
    <w:p>
      <w:pPr>
        <w:pStyle w:val="9"/>
        <w:pageBreakBefore w:val="0"/>
        <w:kinsoku/>
        <w:bidi w:val="0"/>
        <w:spacing w:before="0" w:beforeAutospacing="0" w:after="0" w:afterAutospacing="0" w:line="440" w:lineRule="exact"/>
        <w:rPr>
          <w:b/>
          <w:color w:val="auto"/>
          <w:sz w:val="32"/>
          <w:szCs w:val="32"/>
          <w:highlight w:val="none"/>
        </w:rPr>
      </w:pPr>
    </w:p>
    <w:p>
      <w:pPr>
        <w:pageBreakBefore w:val="0"/>
        <w:kinsoku/>
        <w:bidi w:val="0"/>
        <w:spacing w:beforeAutospacing="0" w:afterAutospacing="0" w:line="440" w:lineRule="exact"/>
        <w:rPr>
          <w:b/>
          <w:color w:val="auto"/>
          <w:sz w:val="32"/>
          <w:szCs w:val="32"/>
          <w:highlight w:val="none"/>
        </w:rPr>
      </w:pPr>
    </w:p>
    <w:p>
      <w:pPr>
        <w:pStyle w:val="106"/>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snapToGrid w:val="0"/>
        <w:spacing w:beforeAutospacing="0" w:afterAutospacing="0" w:line="440" w:lineRule="exact"/>
        <w:jc w:val="center"/>
        <w:rPr>
          <w:rFonts w:hint="eastAsia"/>
          <w:b/>
          <w:color w:val="auto"/>
          <w:sz w:val="32"/>
          <w:szCs w:val="32"/>
          <w:highlight w:val="none"/>
        </w:rPr>
      </w:pPr>
    </w:p>
    <w:p>
      <w:pPr>
        <w:pageBreakBefore w:val="0"/>
        <w:kinsoku/>
        <w:bidi w:val="0"/>
        <w:snapToGrid w:val="0"/>
        <w:spacing w:beforeAutospacing="0" w:afterAutospacing="0" w:line="440" w:lineRule="exact"/>
        <w:jc w:val="center"/>
        <w:rPr>
          <w:b/>
          <w:color w:val="auto"/>
          <w:sz w:val="32"/>
          <w:szCs w:val="32"/>
          <w:highlight w:val="none"/>
        </w:rPr>
      </w:pPr>
      <w:r>
        <w:rPr>
          <w:rFonts w:hint="eastAsia"/>
          <w:b/>
          <w:color w:val="auto"/>
          <w:sz w:val="32"/>
          <w:szCs w:val="32"/>
          <w:highlight w:val="none"/>
        </w:rPr>
        <w:t>法定代表人授权委托书</w:t>
      </w:r>
    </w:p>
    <w:p>
      <w:pPr>
        <w:pStyle w:val="49"/>
        <w:pageBreakBefore w:val="0"/>
        <w:kinsoku/>
        <w:bidi w:val="0"/>
        <w:spacing w:beforeLines="0" w:beforeAutospacing="0" w:afterLines="0" w:afterAutospacing="0" w:line="440" w:lineRule="exact"/>
        <w:rPr>
          <w:rFonts w:ascii="仿宋" w:hAnsi="仿宋"/>
          <w:color w:val="auto"/>
          <w:highlight w:val="none"/>
        </w:rPr>
      </w:pPr>
      <w:r>
        <w:rPr>
          <w:rFonts w:hint="eastAsia" w:ascii="仿宋" w:hAnsi="仿宋"/>
          <w:color w:val="auto"/>
          <w:highlight w:val="none"/>
          <w:lang w:eastAsia="zh-CN"/>
        </w:rPr>
        <w:t>浙江正成招标采购咨询有限公司</w:t>
      </w:r>
      <w:r>
        <w:rPr>
          <w:rFonts w:hint="eastAsia" w:ascii="仿宋" w:hAnsi="仿宋"/>
          <w:color w:val="auto"/>
          <w:highlight w:val="none"/>
        </w:rPr>
        <w:t>：</w:t>
      </w:r>
    </w:p>
    <w:p>
      <w:pPr>
        <w:pageBreakBefore w:val="0"/>
        <w:kinsoku/>
        <w:wordWrap w:val="0"/>
        <w:topLinePunct/>
        <w:bidi w:val="0"/>
        <w:snapToGrid w:val="0"/>
        <w:spacing w:beforeAutospacing="0" w:afterAutospacing="0" w:line="440" w:lineRule="exact"/>
        <w:ind w:firstLine="720" w:firstLineChars="300"/>
        <w:rPr>
          <w:color w:val="auto"/>
          <w:highlight w:val="none"/>
        </w:rPr>
      </w:pPr>
      <w:r>
        <w:rPr>
          <w:rFonts w:hint="eastAsia"/>
          <w:color w:val="auto"/>
          <w:highlight w:val="none"/>
        </w:rPr>
        <w:t>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 xml:space="preserve">（投标人名称）的法定代表人，现授权委托本单位在职职工 </w:t>
      </w:r>
      <w:r>
        <w:rPr>
          <w:rFonts w:hint="eastAsia"/>
          <w:color w:val="auto"/>
          <w:highlight w:val="none"/>
          <w:u w:val="single"/>
        </w:rPr>
        <w:t xml:space="preserve">         </w:t>
      </w:r>
      <w:r>
        <w:rPr>
          <w:rFonts w:hint="eastAsia"/>
          <w:color w:val="auto"/>
          <w:highlight w:val="none"/>
        </w:rPr>
        <w:t>（姓名）为授权代表，以我方的名义参加项目编号：</w:t>
      </w: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项目的投标活动，并代表我方全权办理针对上述项目投标过程中的一切与之有关的事务，其在投标中的一切活动本公司均予承认。我方对授权代表的签名事项负全部责任。</w:t>
      </w:r>
    </w:p>
    <w:p>
      <w:pPr>
        <w:pageBreakBefore w:val="0"/>
        <w:kinsoku/>
        <w:bidi w:val="0"/>
        <w:snapToGrid w:val="0"/>
        <w:spacing w:beforeAutospacing="0" w:afterAutospacing="0" w:line="440" w:lineRule="exact"/>
        <w:ind w:firstLine="480"/>
        <w:rPr>
          <w:color w:val="auto"/>
          <w:highlight w:val="none"/>
        </w:rPr>
      </w:pPr>
      <w:r>
        <w:rPr>
          <w:rFonts w:hint="eastAsia"/>
          <w:color w:val="auto"/>
          <w:highlight w:val="none"/>
        </w:rPr>
        <w:t>在撤销授权的书面通知以前，本授权书一直有效。授权代表在授权书有效期内签署的所有文件不因授权的撤销而失效。</w:t>
      </w:r>
    </w:p>
    <w:p>
      <w:pPr>
        <w:pageBreakBefore w:val="0"/>
        <w:kinsoku/>
        <w:bidi w:val="0"/>
        <w:snapToGrid w:val="0"/>
        <w:spacing w:beforeAutospacing="0" w:afterAutospacing="0" w:line="440" w:lineRule="exact"/>
        <w:ind w:firstLine="480"/>
        <w:rPr>
          <w:color w:val="auto"/>
          <w:highlight w:val="none"/>
        </w:rPr>
      </w:pPr>
      <w:r>
        <w:rPr>
          <w:rFonts w:hint="eastAsia"/>
          <w:color w:val="auto"/>
          <w:highlight w:val="none"/>
        </w:rPr>
        <w:t>授权代表无转委托权，特此委托。</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ageBreakBefore w:val="0"/>
        <w:kinsoku/>
        <w:bidi w:val="0"/>
        <w:snapToGrid w:val="0"/>
        <w:spacing w:beforeAutospacing="0" w:afterAutospacing="0" w:line="440" w:lineRule="exact"/>
        <w:rPr>
          <w:rFonts w:ascii="仿宋_GB2312" w:hAnsi="宋体" w:eastAsia="仿宋_GB2312"/>
          <w:color w:val="auto"/>
          <w:sz w:val="24"/>
          <w:szCs w:val="24"/>
          <w:highlight w:val="none"/>
        </w:rPr>
      </w:pPr>
      <w:r>
        <w:rPr>
          <w:rFonts w:hint="eastAsia" w:ascii="仿宋" w:hAnsi="仿宋" w:eastAsia="仿宋" w:cs="仿宋"/>
          <w:color w:val="auto"/>
          <w:sz w:val="24"/>
          <w:szCs w:val="24"/>
          <w:highlight w:val="none"/>
        </w:rPr>
        <w:t>法定代表人（签名或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kern w:val="0"/>
          <w:sz w:val="24"/>
          <w:highlight w:val="none"/>
          <w:u w:val="none"/>
          <w:lang w:val="zh-CN"/>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授权日期：</w:t>
      </w:r>
      <w:r>
        <w:rPr>
          <w:rFonts w:hint="eastAsia" w:ascii="仿宋" w:hAnsi="仿宋" w:eastAsia="仿宋" w:cs="仿宋"/>
          <w:color w:val="auto"/>
          <w:sz w:val="24"/>
          <w:szCs w:val="24"/>
          <w:highlight w:val="none"/>
          <w:u w:val="single"/>
        </w:rPr>
        <w:t xml:space="preserve">     年   月   日</w:t>
      </w:r>
    </w:p>
    <w:p>
      <w:pPr>
        <w:pStyle w:val="1025"/>
        <w:pageBreakBefore w:val="0"/>
        <w:kinsoku/>
        <w:bidi w:val="0"/>
        <w:spacing w:beforeAutospacing="0" w:afterAutospacing="0" w:line="440" w:lineRule="exact"/>
        <w:ind w:firstLine="482" w:firstLineChars="200"/>
        <w:rPr>
          <w:rFonts w:hint="eastAsia" w:ascii="仿宋" w:hAnsi="仿宋" w:eastAsia="仿宋" w:cs="仿宋"/>
          <w:b/>
          <w:bCs w:val="0"/>
          <w:color w:val="auto"/>
          <w:sz w:val="24"/>
          <w:highlight w:val="none"/>
          <w:lang w:eastAsia="zh-CN"/>
        </w:rPr>
      </w:pPr>
    </w:p>
    <w:p>
      <w:pPr>
        <w:pStyle w:val="1025"/>
        <w:pageBreakBefore w:val="0"/>
        <w:kinsoku/>
        <w:bidi w:val="0"/>
        <w:spacing w:beforeAutospacing="0" w:afterAutospacing="0" w:line="440" w:lineRule="exact"/>
        <w:rPr>
          <w:rFonts w:ascii="仿宋" w:hAnsi="仿宋" w:eastAsia="仿宋"/>
          <w:bCs/>
          <w:color w:val="auto"/>
          <w:sz w:val="24"/>
          <w:highlight w:val="none"/>
        </w:rPr>
      </w:pPr>
      <w:r>
        <w:rPr>
          <w:rFonts w:hint="eastAsia" w:ascii="仿宋" w:hAnsi="仿宋" w:eastAsia="仿宋" w:cs="仿宋"/>
          <w:b/>
          <w:bCs w:val="0"/>
          <w:color w:val="auto"/>
          <w:sz w:val="24"/>
          <w:highlight w:val="none"/>
          <w:lang w:eastAsia="zh-CN"/>
        </w:rPr>
        <w:t>附授权代表的身份</w:t>
      </w:r>
      <w:r>
        <w:rPr>
          <w:rFonts w:hint="eastAsia" w:ascii="仿宋" w:hAnsi="仿宋" w:eastAsia="仿宋" w:cs="仿宋"/>
          <w:b/>
          <w:bCs w:val="0"/>
          <w:color w:val="auto"/>
          <w:sz w:val="24"/>
          <w:highlight w:val="none"/>
        </w:rPr>
        <w:t>证件</w:t>
      </w:r>
      <w:r>
        <w:rPr>
          <w:rFonts w:hint="eastAsia" w:ascii="仿宋" w:hAnsi="仿宋" w:eastAsia="仿宋" w:cs="仿宋"/>
          <w:b/>
          <w:bCs w:val="0"/>
          <w:color w:val="auto"/>
          <w:sz w:val="24"/>
          <w:highlight w:val="none"/>
          <w:lang w:eastAsia="zh-CN"/>
        </w:rPr>
        <w:t>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4" w:hRule="atLeast"/>
          <w:jc w:val="center"/>
        </w:trPr>
        <w:tc>
          <w:tcPr>
            <w:tcW w:w="9102" w:type="dxa"/>
            <w:noWrap w:val="0"/>
            <w:vAlign w:val="top"/>
          </w:tcPr>
          <w:p>
            <w:pPr>
              <w:pStyle w:val="1025"/>
              <w:pageBreakBefore w:val="0"/>
              <w:kinsoku/>
              <w:bidi w:val="0"/>
              <w:spacing w:beforeAutospacing="0" w:afterAutospacing="0" w:line="440" w:lineRule="exact"/>
              <w:rPr>
                <w:rFonts w:ascii="仿宋" w:hAnsi="仿宋" w:eastAsia="仿宋"/>
                <w:bCs/>
                <w:color w:val="auto"/>
                <w:sz w:val="24"/>
                <w:highlight w:val="none"/>
              </w:rPr>
            </w:pPr>
            <w:r>
              <w:rPr>
                <w:rFonts w:hint="eastAsia" w:ascii="仿宋" w:hAnsi="仿宋" w:eastAsia="仿宋"/>
                <w:bCs/>
                <w:color w:val="auto"/>
                <w:sz w:val="24"/>
                <w:highlight w:val="none"/>
              </w:rPr>
              <w:t>正面：                                 反面：</w:t>
            </w:r>
          </w:p>
        </w:tc>
      </w:tr>
    </w:tbl>
    <w:p>
      <w:pPr>
        <w:pStyle w:val="838"/>
        <w:pageBreakBefore w:val="0"/>
        <w:kinsoku/>
        <w:bidi w:val="0"/>
        <w:snapToGrid w:val="0"/>
        <w:spacing w:beforeAutospacing="0" w:afterAutospacing="0" w:line="440" w:lineRule="exact"/>
        <w:jc w:val="left"/>
        <w:rPr>
          <w:rFonts w:hint="eastAsia" w:ascii="仿宋" w:hAnsi="仿宋" w:eastAsia="仿宋" w:cs="仿宋"/>
          <w:b/>
          <w:bCs w:val="0"/>
          <w:color w:val="auto"/>
          <w:kern w:val="2"/>
          <w:sz w:val="24"/>
          <w:szCs w:val="21"/>
          <w:highlight w:val="none"/>
          <w:lang w:val="zh-CN" w:eastAsia="zh-CN" w:bidi="ar-SA"/>
        </w:rPr>
        <w:sectPr>
          <w:headerReference r:id="rId15" w:type="default"/>
          <w:footerReference r:id="rId16"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bCs w:val="0"/>
          <w:color w:val="auto"/>
          <w:kern w:val="2"/>
          <w:sz w:val="24"/>
          <w:szCs w:val="21"/>
          <w:highlight w:val="none"/>
          <w:lang w:val="zh-CN" w:eastAsia="zh-CN" w:bidi="ar-SA"/>
        </w:rPr>
        <w:t>（</w:t>
      </w:r>
      <w:r>
        <w:rPr>
          <w:rFonts w:hint="eastAsia" w:ascii="仿宋" w:hAnsi="仿宋" w:eastAsia="仿宋" w:cs="仿宋"/>
          <w:b/>
          <w:bCs w:val="0"/>
          <w:color w:val="auto"/>
          <w:kern w:val="2"/>
          <w:sz w:val="24"/>
          <w:szCs w:val="21"/>
          <w:highlight w:val="none"/>
          <w:lang w:val="en-US" w:eastAsia="zh-CN" w:bidi="ar-SA"/>
        </w:rPr>
        <w:t>注：如法定代表人直接参加投标并对相应文件签字的，只需提供其身份证复印件正反面</w:t>
      </w:r>
      <w:r>
        <w:rPr>
          <w:rFonts w:hint="eastAsia" w:ascii="仿宋" w:hAnsi="仿宋" w:eastAsia="仿宋" w:cs="仿宋"/>
          <w:b/>
          <w:bCs w:val="0"/>
          <w:color w:val="auto"/>
          <w:kern w:val="2"/>
          <w:sz w:val="24"/>
          <w:szCs w:val="21"/>
          <w:highlight w:val="none"/>
          <w:lang w:val="en-US" w:eastAsia="zh-CN" w:bidi="ar-SA"/>
        </w:rPr>
        <w:t>。</w:t>
      </w:r>
      <w:r>
        <w:rPr>
          <w:rFonts w:hint="eastAsia" w:ascii="仿宋" w:hAnsi="仿宋" w:eastAsia="仿宋" w:cs="仿宋"/>
          <w:b/>
          <w:bCs w:val="0"/>
          <w:color w:val="auto"/>
          <w:kern w:val="2"/>
          <w:sz w:val="24"/>
          <w:szCs w:val="21"/>
          <w:highlight w:val="none"/>
          <w:lang w:val="zh-CN" w:eastAsia="zh-CN" w:bidi="ar-SA"/>
        </w:rPr>
        <w:t>）</w:t>
      </w:r>
      <w:r>
        <w:rPr>
          <w:rFonts w:hint="eastAsia" w:ascii="仿宋" w:hAnsi="仿宋" w:eastAsia="仿宋" w:cs="Times New Roman"/>
          <w:b/>
          <w:bCs/>
          <w:color w:val="auto"/>
          <w:sz w:val="24"/>
          <w:highlight w:val="none"/>
        </w:rPr>
        <w:t>▲投标文件中法定代表人授权委托书所载内容与本项目内容有异的，投标无效</w:t>
      </w:r>
      <w:r>
        <w:rPr>
          <w:rFonts w:hint="eastAsia" w:ascii="仿宋" w:hAnsi="仿宋" w:eastAsia="仿宋" w:cs="Times New Roman"/>
          <w:b/>
          <w:bCs/>
          <w:color w:val="auto"/>
          <w:sz w:val="24"/>
          <w:highlight w:val="none"/>
          <w:lang w:eastAsia="zh-CN"/>
        </w:rPr>
        <w:t>。</w:t>
      </w:r>
    </w:p>
    <w:p>
      <w:pPr>
        <w:pageBreakBefore w:val="0"/>
        <w:kinsoku/>
        <w:bidi w:val="0"/>
        <w:spacing w:beforeAutospacing="0" w:afterAutospacing="0" w:line="440" w:lineRule="exact"/>
        <w:jc w:val="center"/>
        <w:rPr>
          <w:rFonts w:hint="eastAsia"/>
          <w:b/>
          <w:bCs/>
          <w:color w:val="auto"/>
          <w:sz w:val="30"/>
          <w:szCs w:val="30"/>
          <w:highlight w:val="none"/>
          <w:lang w:eastAsia="zh-CN"/>
        </w:rPr>
      </w:pPr>
    </w:p>
    <w:p>
      <w:pPr>
        <w:pageBreakBefore w:val="0"/>
        <w:kinsoku/>
        <w:bidi w:val="0"/>
        <w:spacing w:beforeAutospacing="0" w:afterAutospacing="0" w:line="440" w:lineRule="exact"/>
        <w:jc w:val="center"/>
        <w:rPr>
          <w:rFonts w:hint="eastAsia"/>
          <w:b/>
          <w:bCs/>
          <w:color w:val="auto"/>
          <w:sz w:val="30"/>
          <w:szCs w:val="30"/>
          <w:highlight w:val="none"/>
          <w:lang w:eastAsia="zh-CN"/>
        </w:rPr>
      </w:pPr>
    </w:p>
    <w:p>
      <w:pPr>
        <w:pageBreakBefore w:val="0"/>
        <w:kinsoku/>
        <w:bidi w:val="0"/>
        <w:spacing w:beforeAutospacing="0" w:afterAutospacing="0" w:line="440" w:lineRule="exact"/>
        <w:jc w:val="center"/>
        <w:rPr>
          <w:rFonts w:hint="eastAsia"/>
          <w:b/>
          <w:bCs/>
          <w:color w:val="auto"/>
          <w:sz w:val="30"/>
          <w:szCs w:val="30"/>
          <w:highlight w:val="none"/>
          <w:lang w:eastAsia="zh-CN"/>
        </w:rPr>
      </w:pPr>
    </w:p>
    <w:p>
      <w:pPr>
        <w:pageBreakBefore w:val="0"/>
        <w:kinsoku/>
        <w:bidi w:val="0"/>
        <w:spacing w:beforeAutospacing="0" w:afterAutospacing="0" w:line="440" w:lineRule="exact"/>
        <w:jc w:val="center"/>
        <w:rPr>
          <w:rFonts w:hint="eastAsia"/>
          <w:b/>
          <w:bCs/>
          <w:color w:val="auto"/>
          <w:sz w:val="30"/>
          <w:szCs w:val="30"/>
          <w:highlight w:val="none"/>
          <w:lang w:eastAsia="zh-CN"/>
        </w:rPr>
      </w:pPr>
      <w:r>
        <w:rPr>
          <w:rFonts w:hint="eastAsia"/>
          <w:b/>
          <w:bCs/>
          <w:color w:val="auto"/>
          <w:sz w:val="30"/>
          <w:szCs w:val="30"/>
          <w:highlight w:val="none"/>
          <w:lang w:eastAsia="zh-CN"/>
        </w:rPr>
        <w:t>投标响应函</w:t>
      </w:r>
    </w:p>
    <w:p>
      <w:pPr>
        <w:pStyle w:val="49"/>
        <w:pageBreakBefore w:val="0"/>
        <w:kinsoku/>
        <w:bidi w:val="0"/>
        <w:spacing w:beforeLines="0" w:beforeAutospacing="0" w:afterLines="0" w:afterAutospacing="0" w:line="440" w:lineRule="exact"/>
        <w:rPr>
          <w:rFonts w:ascii="仿宋" w:hAnsi="仿宋"/>
          <w:color w:val="auto"/>
          <w:sz w:val="24"/>
          <w:szCs w:val="24"/>
          <w:highlight w:val="none"/>
        </w:rPr>
      </w:pPr>
      <w:r>
        <w:rPr>
          <w:rFonts w:hint="eastAsia" w:ascii="仿宋" w:hAnsi="仿宋"/>
          <w:color w:val="auto"/>
          <w:sz w:val="24"/>
          <w:szCs w:val="24"/>
          <w:highlight w:val="none"/>
          <w:lang w:eastAsia="zh-CN"/>
        </w:rPr>
        <w:t>浙江正成招标采购咨询有限公司</w:t>
      </w:r>
      <w:r>
        <w:rPr>
          <w:rFonts w:hint="eastAsia" w:ascii="仿宋" w:hAnsi="仿宋"/>
          <w:color w:val="auto"/>
          <w:sz w:val="24"/>
          <w:szCs w:val="24"/>
          <w:highlight w:val="none"/>
        </w:rPr>
        <w:t>：</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我</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的法定代表人，授权</w:t>
      </w:r>
      <w:r>
        <w:rPr>
          <w:rFonts w:hint="eastAsia" w:ascii="仿宋" w:hAnsi="仿宋" w:eastAsia="仿宋" w:cs="仿宋"/>
          <w:color w:val="auto"/>
          <w:sz w:val="24"/>
          <w:szCs w:val="24"/>
          <w:highlight w:val="none"/>
          <w:u w:val="single"/>
        </w:rPr>
        <w:t xml:space="preserve">  （全名、职务）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为全权代表，参加贵方组织的</w:t>
      </w:r>
      <w:r>
        <w:rPr>
          <w:rFonts w:hint="eastAsia" w:ascii="仿宋" w:hAnsi="仿宋" w:eastAsia="仿宋" w:cs="仿宋"/>
          <w:color w:val="auto"/>
          <w:sz w:val="24"/>
          <w:szCs w:val="24"/>
          <w:highlight w:val="none"/>
          <w:u w:val="single"/>
        </w:rPr>
        <w:t xml:space="preserve">           （招标项目名称）        项目（项目编号：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）采购的有关活动，并对此项目进行投标。为此，我方就本次投标有关事项郑重声明如下：</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1.我方承诺已经具备《中华人民共和国政府采购法》中规定的参加政府采购活动的供应商应当具备的条件：</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（1）具有独立承担民事责任能力；</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lang w:eastAsia="zh-CN"/>
        </w:rPr>
      </w:pPr>
      <w:r>
        <w:rPr>
          <w:rFonts w:hint="eastAsia" w:ascii="仿宋" w:hAnsi="仿宋" w:eastAsia="仿宋" w:cs="仿宋"/>
          <w:color w:val="auto"/>
          <w:kern w:val="0"/>
          <w:sz w:val="24"/>
          <w:szCs w:val="24"/>
          <w:highlight w:val="none"/>
        </w:rPr>
        <w:t>（2）遵守国家法律、行政法规，具有良好</w:t>
      </w:r>
      <w:r>
        <w:rPr>
          <w:rFonts w:hint="eastAsia" w:ascii="仿宋" w:hAnsi="仿宋" w:eastAsia="仿宋" w:cs="仿宋"/>
          <w:color w:val="auto"/>
          <w:kern w:val="0"/>
          <w:sz w:val="24"/>
          <w:szCs w:val="24"/>
          <w:highlight w:val="none"/>
          <w:u w:val="none"/>
        </w:rPr>
        <w:t>的商业信誉</w:t>
      </w:r>
      <w:r>
        <w:rPr>
          <w:rFonts w:hint="eastAsia" w:ascii="仿宋" w:hAnsi="仿宋" w:eastAsia="仿宋" w:cs="仿宋"/>
          <w:color w:val="auto"/>
          <w:kern w:val="0"/>
          <w:sz w:val="24"/>
          <w:szCs w:val="24"/>
          <w:highlight w:val="none"/>
          <w:u w:val="none"/>
          <w:lang w:eastAsia="zh-CN"/>
        </w:rPr>
        <w:t>、商业道德</w:t>
      </w:r>
      <w:r>
        <w:rPr>
          <w:rFonts w:hint="eastAsia" w:ascii="仿宋" w:hAnsi="仿宋" w:eastAsia="仿宋" w:cs="仿宋"/>
          <w:color w:val="auto"/>
          <w:kern w:val="0"/>
          <w:sz w:val="24"/>
          <w:szCs w:val="24"/>
          <w:highlight w:val="none"/>
          <w:u w:val="none"/>
        </w:rPr>
        <w:t>和健全的财务会计制度；</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（3）具有履行合同所必需的设备和专业技术能力</w:t>
      </w:r>
      <w:r>
        <w:rPr>
          <w:rFonts w:hint="eastAsia" w:ascii="仿宋" w:hAnsi="仿宋" w:eastAsia="仿宋" w:cs="仿宋_GB2312"/>
          <w:color w:val="auto"/>
          <w:sz w:val="24"/>
          <w:szCs w:val="24"/>
          <w:highlight w:val="none"/>
          <w:u w:val="none"/>
        </w:rPr>
        <w:t>；</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（5）遵守中华人民共和国政府采购有关规定，没有违反政府采购法规、政策的记录；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（6）具有良好的财务状况以及良好的履行合同的能力和记录；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（7）产品及生产所需装备符合中国政府规定的相应技术标准和环保标准；</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u w:val="none"/>
        </w:rPr>
        <w:t>（8）没有违反政府采购法规、政策的记录</w:t>
      </w:r>
      <w:r>
        <w:rPr>
          <w:rFonts w:hint="eastAsia" w:ascii="仿宋" w:hAnsi="仿宋" w:eastAsia="仿宋" w:cs="仿宋"/>
          <w:color w:val="auto"/>
          <w:kern w:val="0"/>
          <w:sz w:val="24"/>
          <w:szCs w:val="24"/>
          <w:highlight w:val="none"/>
          <w:u w:val="none"/>
          <w:lang w:eastAsia="zh-CN"/>
        </w:rPr>
        <w:t>。</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2.我方同意在招标文件规定的开标日期起遵守本投标文件中的承诺且在投标有效期满之前均具有约束力。</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3.本项目实行电子投标，须提供投标人须知规定的全部投标文件，供应商应准备电子投标文件</w:t>
      </w:r>
      <w:r>
        <w:rPr>
          <w:rFonts w:hint="eastAsia" w:ascii="仿宋" w:hAnsi="仿宋" w:eastAsia="仿宋" w:cs="仿宋"/>
          <w:color w:val="auto"/>
          <w:kern w:val="0"/>
          <w:sz w:val="24"/>
          <w:szCs w:val="24"/>
          <w:highlight w:val="none"/>
          <w:u w:val="none"/>
          <w:lang w:eastAsia="zh-CN"/>
        </w:rPr>
        <w:t>及</w:t>
      </w:r>
      <w:r>
        <w:rPr>
          <w:rFonts w:hint="eastAsia" w:ascii="仿宋" w:hAnsi="仿宋" w:eastAsia="仿宋" w:cs="仿宋"/>
          <w:color w:val="auto"/>
          <w:sz w:val="24"/>
          <w:szCs w:val="24"/>
          <w:highlight w:val="none"/>
          <w:u w:val="none"/>
        </w:rPr>
        <w:t>其他要求投标人提交的全部</w:t>
      </w:r>
      <w:r>
        <w:rPr>
          <w:rFonts w:hint="eastAsia" w:ascii="仿宋" w:hAnsi="仿宋" w:eastAsia="仿宋" w:cs="仿宋"/>
          <w:color w:val="auto"/>
          <w:sz w:val="24"/>
          <w:szCs w:val="24"/>
          <w:highlight w:val="none"/>
          <w:u w:val="none"/>
          <w:lang w:eastAsia="zh-CN"/>
        </w:rPr>
        <w:t>材料</w:t>
      </w:r>
      <w:r>
        <w:rPr>
          <w:rFonts w:hint="eastAsia" w:ascii="仿宋" w:hAnsi="仿宋" w:eastAsia="仿宋" w:cs="仿宋"/>
          <w:color w:val="auto"/>
          <w:kern w:val="0"/>
          <w:sz w:val="24"/>
          <w:szCs w:val="24"/>
          <w:highlight w:val="none"/>
          <w:u w:val="none"/>
        </w:rPr>
        <w:t>，按政采云平台项目采购-电子招投标操作指南及本招标文件要求递交。</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4.按招标文件要求提供和交付的货物和服务的投标报价详见</w:t>
      </w:r>
      <w:r>
        <w:rPr>
          <w:rFonts w:hint="eastAsia" w:cs="仿宋"/>
          <w:color w:val="auto"/>
          <w:sz w:val="24"/>
          <w:szCs w:val="24"/>
          <w:highlight w:val="none"/>
          <w:u w:val="none"/>
          <w:lang w:val="en-US" w:eastAsia="zh-CN"/>
        </w:rPr>
        <w:t>开标</w:t>
      </w:r>
      <w:r>
        <w:rPr>
          <w:rFonts w:hint="eastAsia" w:ascii="仿宋" w:hAnsi="仿宋" w:eastAsia="仿宋" w:cs="仿宋"/>
          <w:color w:val="auto"/>
          <w:sz w:val="24"/>
          <w:szCs w:val="24"/>
          <w:highlight w:val="none"/>
          <w:u w:val="none"/>
        </w:rPr>
        <w:t>一览表。</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5.我方已详细审查全部招标文件，</w:t>
      </w:r>
      <w:r>
        <w:rPr>
          <w:rFonts w:hint="eastAsia" w:ascii="仿宋" w:hAnsi="仿宋" w:eastAsia="仿宋" w:cs="仿宋_GB2312"/>
          <w:color w:val="auto"/>
          <w:sz w:val="24"/>
          <w:szCs w:val="24"/>
          <w:highlight w:val="none"/>
          <w:u w:val="none"/>
        </w:rPr>
        <w:t>包括招标文件</w:t>
      </w:r>
      <w:r>
        <w:rPr>
          <w:rFonts w:hint="eastAsia" w:ascii="仿宋" w:hAnsi="仿宋" w:eastAsia="仿宋" w:cs="仿宋_GB2312"/>
          <w:color w:val="auto"/>
          <w:sz w:val="24"/>
          <w:szCs w:val="24"/>
          <w:highlight w:val="none"/>
          <w:u w:val="none"/>
          <w:lang w:eastAsia="zh-CN"/>
        </w:rPr>
        <w:t>澄清修改内容</w:t>
      </w:r>
      <w:r>
        <w:rPr>
          <w:rFonts w:hint="eastAsia" w:ascii="仿宋" w:hAnsi="仿宋" w:eastAsia="仿宋" w:cs="仿宋_GB2312"/>
          <w:color w:val="auto"/>
          <w:sz w:val="24"/>
          <w:szCs w:val="24"/>
          <w:highlight w:val="none"/>
          <w:u w:val="none"/>
        </w:rPr>
        <w:t>(如果有)、参考资料及有关附件，</w:t>
      </w:r>
      <w:r>
        <w:rPr>
          <w:rFonts w:hint="eastAsia" w:ascii="仿宋" w:hAnsi="仿宋" w:eastAsia="仿宋" w:cs="仿宋"/>
          <w:color w:val="auto"/>
          <w:sz w:val="24"/>
          <w:szCs w:val="24"/>
          <w:highlight w:val="none"/>
          <w:u w:val="none"/>
        </w:rPr>
        <w:t>确认无误，同意并保证遵守招标文件（包括答疑文件、补充文件等）的各项规定和要求。</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6.</w:t>
      </w:r>
      <w:r>
        <w:rPr>
          <w:rFonts w:hint="eastAsia" w:ascii="仿宋" w:hAnsi="仿宋" w:eastAsia="仿宋" w:cs="仿宋"/>
          <w:color w:val="auto"/>
          <w:sz w:val="24"/>
          <w:szCs w:val="24"/>
          <w:highlight w:val="none"/>
          <w:u w:val="none"/>
          <w:lang w:eastAsia="zh-CN"/>
        </w:rPr>
        <w:t>我方同意在中标后按时签订合同</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sz w:val="24"/>
          <w:szCs w:val="24"/>
          <w:highlight w:val="none"/>
          <w:u w:val="none"/>
          <w:lang w:eastAsia="zh-CN"/>
        </w:rPr>
        <w:t>我方</w:t>
      </w:r>
      <w:r>
        <w:rPr>
          <w:rFonts w:hint="eastAsia" w:ascii="仿宋" w:hAnsi="仿宋" w:eastAsia="仿宋" w:cs="仿宋"/>
          <w:color w:val="auto"/>
          <w:kern w:val="0"/>
          <w:sz w:val="24"/>
          <w:szCs w:val="24"/>
          <w:highlight w:val="none"/>
        </w:rPr>
        <w:t>保证遵守招标文件中的其他有关规定。</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8.我方愿意向贵方提供任何与该项投标有关的数据、情况和技术资料。若贵方需要，我方愿意提供我方作出的一切承诺的证明材料</w:t>
      </w:r>
      <w:r>
        <w:rPr>
          <w:rFonts w:hint="eastAsia" w:ascii="仿宋" w:hAnsi="仿宋" w:eastAsia="仿宋" w:cs="仿宋"/>
          <w:color w:val="auto"/>
          <w:kern w:val="0"/>
          <w:sz w:val="24"/>
          <w:szCs w:val="24"/>
          <w:highlight w:val="none"/>
          <w:lang w:eastAsia="zh-CN"/>
        </w:rPr>
        <w:t>。我方</w:t>
      </w:r>
      <w:r>
        <w:rPr>
          <w:rFonts w:hint="eastAsia" w:ascii="仿宋" w:hAnsi="仿宋" w:eastAsia="仿宋" w:cs="仿宋"/>
          <w:color w:val="auto"/>
          <w:kern w:val="0"/>
          <w:sz w:val="24"/>
          <w:szCs w:val="24"/>
          <w:highlight w:val="none"/>
        </w:rPr>
        <w:t>理解贵方不一定要接受最低价的投标或收到的任何投标。</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9.我方向贵方提交的所有投标文件、资料都是准确的和真实的。</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我方承诺投标有效期从提交投标文件的截止之日起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天，不少于招标文件中载明的投标有效期（从提交投标文件的截止之日起90天）。</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（1)提供虚假材料谋取中标、成交的；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（3)与采购人、其它供应商或者采购代理机构恶意串通的；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（5)在招标采购过程中与采购人进行协商谈判的；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（6)拒绝有关部门监督检查或提供虚假情况的。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供应商有前款第（1)至（5)项情形之一的，中标、成交无效。</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以上事项如有虚假或隐瞒，我方愿意承担一切后果，并不再寻求任何旨在减轻或免除法律责任的辩解。</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与本投标有关的一切正式往来通讯请</w:t>
      </w:r>
      <w:r>
        <w:rPr>
          <w:rFonts w:hint="eastAsia" w:ascii="仿宋" w:hAnsi="仿宋" w:eastAsia="仿宋" w:cs="仿宋"/>
          <w:color w:val="auto"/>
          <w:sz w:val="24"/>
          <w:szCs w:val="24"/>
          <w:highlight w:val="none"/>
          <w:u w:val="none"/>
          <w:lang w:eastAsia="zh-CN"/>
        </w:rPr>
        <w:t>联系</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color w:val="auto"/>
          <w:highlight w:val="none"/>
        </w:rPr>
        <w:t>法定代表人或授权代表</w:t>
      </w:r>
      <w:r>
        <w:rPr>
          <w:rFonts w:hint="eastAsia" w:ascii="仿宋" w:hAnsi="仿宋" w:eastAsia="仿宋" w:cs="仿宋"/>
          <w:color w:val="auto"/>
          <w:sz w:val="24"/>
          <w:szCs w:val="24"/>
          <w:highlight w:val="none"/>
        </w:rPr>
        <w:t>（签名或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邮箱</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_GB2312" w:hAnsi="仿宋" w:eastAsia="仿宋_GB2312"/>
          <w:b/>
          <w:color w:val="auto"/>
          <w:sz w:val="24"/>
          <w:szCs w:val="24"/>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▲注：未按照本投标响应函要求填报的将被视为非实质性响应投标。</w:t>
      </w: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color w:val="auto"/>
          <w:sz w:val="24"/>
          <w:highlight w:val="none"/>
        </w:rPr>
      </w:pPr>
      <w:r>
        <w:rPr>
          <w:rFonts w:hint="eastAsia" w:ascii="仿宋_GB2312" w:hAnsi="宋体" w:eastAsia="仿宋_GB2312" w:cs="Times New Roman"/>
          <w:b/>
          <w:color w:val="auto"/>
          <w:kern w:val="2"/>
          <w:sz w:val="32"/>
          <w:szCs w:val="32"/>
          <w:highlight w:val="none"/>
          <w:lang w:val="en-US" w:eastAsia="zh-CN" w:bidi="ar-SA"/>
        </w:rPr>
        <w:t>政府采购供应商廉洁自律承诺书</w:t>
      </w:r>
      <w:r>
        <w:rPr>
          <w:rFonts w:hint="eastAsia" w:ascii="宋体" w:hAnsi="宋体" w:cs="宋体"/>
          <w:color w:val="auto"/>
          <w:sz w:val="24"/>
          <w:highlight w:val="none"/>
        </w:rPr>
        <w:t> </w:t>
      </w:r>
    </w:p>
    <w:p>
      <w:pPr>
        <w:pageBreakBefore w:val="0"/>
        <w:kinsoku/>
        <w:bidi w:val="0"/>
        <w:spacing w:beforeAutospacing="0" w:afterAutospacing="0" w:line="440" w:lineRule="exact"/>
        <w:rPr>
          <w:rFonts w:hint="eastAsia" w:ascii="仿宋_GB2312" w:eastAsia="仿宋_GB2312" w:cs="仿宋_GB2312"/>
          <w:color w:val="auto"/>
          <w:sz w:val="28"/>
          <w:szCs w:val="28"/>
          <w:highlight w:val="none"/>
          <w:lang w:eastAsia="zh-CN"/>
        </w:rPr>
      </w:pPr>
    </w:p>
    <w:p>
      <w:pPr>
        <w:pageBreakBefore w:val="0"/>
        <w:kinsoku/>
        <w:bidi w:val="0"/>
        <w:spacing w:beforeAutospacing="0" w:afterAutospacing="0" w:line="440" w:lineRule="exact"/>
        <w:rPr>
          <w:rFonts w:hint="eastAsia" w:ascii="仿宋" w:hAnsi="仿宋" w:eastAsia="仿宋" w:cs="仿宋"/>
          <w:color w:val="auto"/>
          <w:sz w:val="24"/>
          <w:szCs w:val="24"/>
          <w:highlight w:val="none"/>
        </w:rPr>
      </w:pPr>
      <w:r>
        <w:rPr>
          <w:rFonts w:hint="eastAsia" w:cs="仿宋"/>
          <w:color w:val="auto"/>
          <w:sz w:val="24"/>
          <w:szCs w:val="24"/>
          <w:highlight w:val="none"/>
          <w:lang w:eastAsia="zh-CN"/>
        </w:rPr>
        <w:t>浙江正成招标采购咨询有限公司</w:t>
      </w:r>
      <w:r>
        <w:rPr>
          <w:rFonts w:hint="eastAsia" w:ascii="仿宋" w:hAnsi="仿宋" w:eastAsia="仿宋" w:cs="仿宋"/>
          <w:color w:val="auto"/>
          <w:sz w:val="24"/>
          <w:szCs w:val="24"/>
          <w:highlight w:val="none"/>
        </w:rPr>
        <w:t>：</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本单位合法参加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color w:val="auto"/>
          <w:sz w:val="24"/>
          <w:szCs w:val="24"/>
          <w:highlight w:val="none"/>
        </w:rPr>
      </w:pPr>
    </w:p>
    <w:p>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Style w:val="6"/>
        <w:pageBreakBefore w:val="0"/>
        <w:kinsoku/>
        <w:bidi w:val="0"/>
        <w:spacing w:before="0" w:beforeAutospacing="0" w:after="0" w:afterAutospacing="0" w:line="440" w:lineRule="exact"/>
        <w:rPr>
          <w:rFonts w:hint="eastAsia" w:ascii="仿宋" w:hAnsi="仿宋" w:eastAsia="仿宋" w:cs="仿宋"/>
          <w:color w:val="auto"/>
          <w:sz w:val="24"/>
          <w:szCs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highlight w:val="none"/>
        </w:rPr>
        <w:sectPr>
          <w:headerReference r:id="rId19" w:type="default"/>
          <w:footerReference r:id="rId20"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color w:val="auto"/>
          <w:sz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cs="仿宋"/>
          <w:color w:val="auto"/>
          <w:sz w:val="24"/>
          <w:szCs w:val="24"/>
          <w:highlight w:val="none"/>
          <w:lang w:eastAsia="zh-CN"/>
        </w:rPr>
        <w:t>浙江正成招标采购咨询有限公司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color w:val="auto"/>
          <w:sz w:val="24"/>
          <w:highlight w:val="none"/>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pPr>
        <w:pStyle w:val="106"/>
        <w:rPr>
          <w:rFonts w:hint="eastAsia" w:ascii="仿宋_GB2312" w:hAnsi="宋体" w:eastAsia="仿宋_GB2312" w:cs="Times New Roman"/>
          <w:b/>
          <w:color w:val="auto"/>
          <w:kern w:val="2"/>
          <w:sz w:val="32"/>
          <w:szCs w:val="32"/>
          <w:highlight w:val="none"/>
          <w:lang w:val="en-US" w:eastAsia="zh-CN" w:bidi="ar-SA"/>
        </w:rPr>
      </w:pPr>
    </w:p>
    <w:p>
      <w:pPr>
        <w:rPr>
          <w:rFonts w:hint="eastAsia" w:ascii="仿宋_GB2312" w:hAnsi="宋体" w:eastAsia="仿宋_GB2312" w:cs="Times New Roman"/>
          <w:b/>
          <w:color w:val="auto"/>
          <w:kern w:val="2"/>
          <w:sz w:val="32"/>
          <w:szCs w:val="32"/>
          <w:highlight w:val="none"/>
          <w:lang w:val="en-US" w:eastAsia="zh-CN" w:bidi="ar-SA"/>
        </w:rPr>
      </w:pPr>
    </w:p>
    <w:p>
      <w:pPr>
        <w:pStyle w:val="106"/>
        <w:rPr>
          <w:rFonts w:hint="eastAsia" w:ascii="仿宋_GB2312" w:hAnsi="宋体" w:eastAsia="仿宋_GB2312" w:cs="Times New Roman"/>
          <w:b/>
          <w:color w:val="auto"/>
          <w:kern w:val="2"/>
          <w:sz w:val="32"/>
          <w:szCs w:val="32"/>
          <w:highlight w:val="none"/>
          <w:lang w:val="en-US" w:eastAsia="zh-CN" w:bidi="ar-SA"/>
        </w:rPr>
      </w:pPr>
    </w:p>
    <w:p>
      <w:pPr>
        <w:rPr>
          <w:rFonts w:hint="eastAsia" w:ascii="仿宋_GB2312" w:hAnsi="宋体" w:eastAsia="仿宋_GB2312" w:cs="Times New Roman"/>
          <w:b/>
          <w:color w:val="auto"/>
          <w:kern w:val="2"/>
          <w:sz w:val="32"/>
          <w:szCs w:val="32"/>
          <w:highlight w:val="none"/>
          <w:lang w:val="en-US" w:eastAsia="zh-CN" w:bidi="ar-SA"/>
        </w:rPr>
      </w:pPr>
    </w:p>
    <w:p>
      <w:pPr>
        <w:pStyle w:val="106"/>
        <w:rPr>
          <w:rFonts w:hint="eastAsia"/>
          <w:color w:val="auto"/>
          <w:highlight w:val="none"/>
          <w:lang w:val="en-US" w:eastAsia="zh-C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color w:val="auto"/>
          <w:sz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cs="仿宋"/>
          <w:color w:val="auto"/>
          <w:sz w:val="24"/>
          <w:szCs w:val="24"/>
          <w:highlight w:val="none"/>
          <w:lang w:eastAsia="zh-CN"/>
        </w:rPr>
        <w:t>浙江正成招标采购咨询有限公司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sectPr>
          <w:pgSz w:w="11906" w:h="16838"/>
          <w:pgMar w:top="1247" w:right="1418" w:bottom="1276" w:left="1418" w:header="851" w:footer="992" w:gutter="0"/>
          <w:cols w:space="720" w:num="1"/>
          <w:titlePg/>
          <w:docGrid w:linePitch="312" w:charSpace="0"/>
        </w:sectPr>
      </w:pPr>
    </w:p>
    <w:p>
      <w:pPr>
        <w:pageBreakBefore w:val="0"/>
        <w:kinsoku/>
        <w:bidi w:val="0"/>
        <w:spacing w:beforeAutospacing="0" w:afterAutospacing="0" w:line="440" w:lineRule="exact"/>
        <w:jc w:val="center"/>
        <w:rPr>
          <w:b/>
          <w:color w:val="auto"/>
          <w:sz w:val="32"/>
          <w:szCs w:val="32"/>
          <w:highlight w:val="none"/>
        </w:rPr>
      </w:pPr>
      <w:r>
        <w:rPr>
          <w:rFonts w:hint="eastAsia"/>
          <w:b/>
          <w:color w:val="auto"/>
          <w:sz w:val="32"/>
          <w:szCs w:val="32"/>
          <w:highlight w:val="none"/>
        </w:rPr>
        <w:t>投标人情况介绍</w:t>
      </w:r>
    </w:p>
    <w:p>
      <w:pPr>
        <w:pageBreakBefore w:val="0"/>
        <w:kinsoku/>
        <w:bidi w:val="0"/>
        <w:spacing w:beforeAutospacing="0" w:afterAutospacing="0" w:line="440" w:lineRule="exact"/>
        <w:jc w:val="center"/>
        <w:rPr>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投标人名称</w:t>
            </w:r>
          </w:p>
        </w:tc>
        <w:tc>
          <w:tcPr>
            <w:tcW w:w="6339" w:type="dxa"/>
            <w:gridSpan w:val="5"/>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地址</w:t>
            </w:r>
          </w:p>
        </w:tc>
        <w:tc>
          <w:tcPr>
            <w:tcW w:w="6339" w:type="dxa"/>
            <w:gridSpan w:val="5"/>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经营范围</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企业类型</w:t>
            </w:r>
          </w:p>
        </w:tc>
        <w:tc>
          <w:tcPr>
            <w:tcW w:w="2241" w:type="dxa"/>
            <w:gridSpan w:val="3"/>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成立时间</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经济性质</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法定代表人</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联系电话</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注册资本</w:t>
            </w:r>
          </w:p>
        </w:tc>
        <w:tc>
          <w:tcPr>
            <w:tcW w:w="2118" w:type="dxa"/>
            <w:vMerge w:val="restart"/>
            <w:vAlign w:val="center"/>
          </w:tcPr>
          <w:p>
            <w:pPr>
              <w:pageBreakBefore w:val="0"/>
              <w:kinsoku/>
              <w:bidi w:val="0"/>
              <w:spacing w:beforeAutospacing="0" w:afterAutospacing="0" w:line="440" w:lineRule="exact"/>
              <w:jc w:val="center"/>
              <w:rPr>
                <w:color w:val="auto"/>
                <w:highlight w:val="none"/>
              </w:rPr>
            </w:pPr>
          </w:p>
        </w:tc>
        <w:tc>
          <w:tcPr>
            <w:tcW w:w="1980" w:type="dxa"/>
            <w:vMerge w:val="restart"/>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技术人员数</w:t>
            </w:r>
          </w:p>
        </w:tc>
        <w:tc>
          <w:tcPr>
            <w:tcW w:w="72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高级</w:t>
            </w:r>
          </w:p>
        </w:tc>
        <w:tc>
          <w:tcPr>
            <w:tcW w:w="72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中级</w:t>
            </w:r>
          </w:p>
        </w:tc>
        <w:tc>
          <w:tcPr>
            <w:tcW w:w="801"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rPr>
                <w:color w:val="auto"/>
                <w:highlight w:val="none"/>
              </w:rPr>
            </w:pPr>
          </w:p>
        </w:tc>
        <w:tc>
          <w:tcPr>
            <w:tcW w:w="2118" w:type="dxa"/>
            <w:vMerge w:val="continue"/>
            <w:vAlign w:val="center"/>
          </w:tcPr>
          <w:p>
            <w:pPr>
              <w:pageBreakBefore w:val="0"/>
              <w:kinsoku/>
              <w:bidi w:val="0"/>
              <w:spacing w:beforeAutospacing="0" w:afterAutospacing="0" w:line="440" w:lineRule="exact"/>
              <w:jc w:val="center"/>
              <w:rPr>
                <w:color w:val="auto"/>
                <w:highlight w:val="none"/>
              </w:rPr>
            </w:pPr>
          </w:p>
        </w:tc>
        <w:tc>
          <w:tcPr>
            <w:tcW w:w="1980" w:type="dxa"/>
            <w:vMerge w:val="continue"/>
            <w:vAlign w:val="center"/>
          </w:tcPr>
          <w:p>
            <w:pPr>
              <w:pageBreakBefore w:val="0"/>
              <w:kinsoku/>
              <w:bidi w:val="0"/>
              <w:spacing w:beforeAutospacing="0" w:afterAutospacing="0" w:line="440" w:lineRule="exact"/>
              <w:jc w:val="center"/>
              <w:rPr>
                <w:color w:val="auto"/>
                <w:highlight w:val="none"/>
              </w:rPr>
            </w:pPr>
          </w:p>
        </w:tc>
        <w:tc>
          <w:tcPr>
            <w:tcW w:w="720" w:type="dxa"/>
            <w:vAlign w:val="center"/>
          </w:tcPr>
          <w:p>
            <w:pPr>
              <w:pageBreakBefore w:val="0"/>
              <w:kinsoku/>
              <w:bidi w:val="0"/>
              <w:spacing w:beforeAutospacing="0" w:afterAutospacing="0" w:line="440" w:lineRule="exact"/>
              <w:jc w:val="center"/>
              <w:rPr>
                <w:color w:val="auto"/>
                <w:highlight w:val="none"/>
              </w:rPr>
            </w:pPr>
          </w:p>
        </w:tc>
        <w:tc>
          <w:tcPr>
            <w:tcW w:w="720" w:type="dxa"/>
            <w:vAlign w:val="center"/>
          </w:tcPr>
          <w:p>
            <w:pPr>
              <w:pageBreakBefore w:val="0"/>
              <w:kinsoku/>
              <w:bidi w:val="0"/>
              <w:spacing w:beforeAutospacing="0" w:afterAutospacing="0" w:line="440" w:lineRule="exact"/>
              <w:jc w:val="center"/>
              <w:rPr>
                <w:color w:val="auto"/>
                <w:highlight w:val="none"/>
              </w:rPr>
            </w:pPr>
          </w:p>
        </w:tc>
        <w:tc>
          <w:tcPr>
            <w:tcW w:w="801" w:type="dxa"/>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资产总额</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所有者权益</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工商登记号</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税务登记号</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是否依法纳税</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是否参加社保</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售后服务机构情况</w:t>
            </w:r>
          </w:p>
        </w:tc>
        <w:tc>
          <w:tcPr>
            <w:tcW w:w="6339" w:type="dxa"/>
            <w:gridSpan w:val="5"/>
            <w:vAlign w:val="center"/>
          </w:tcPr>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名称：</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地址：</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人员状况：</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联系方式：</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（可另附纸说明）</w:t>
            </w:r>
          </w:p>
        </w:tc>
      </w:tr>
    </w:tbl>
    <w:p>
      <w:pPr>
        <w:pageBreakBefore w:val="0"/>
        <w:kinsoku/>
        <w:bidi w:val="0"/>
        <w:spacing w:beforeAutospacing="0" w:afterAutospacing="0" w:line="440" w:lineRule="exact"/>
        <w:ind w:firstLine="480" w:firstLineChars="200"/>
        <w:rPr>
          <w:color w:val="auto"/>
          <w:highlight w:val="none"/>
        </w:rPr>
      </w:pPr>
    </w:p>
    <w:p>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right="600"/>
        <w:rPr>
          <w:color w:val="auto"/>
          <w:highlight w:val="none"/>
          <w:u w:val="single"/>
        </w:rPr>
      </w:pPr>
    </w:p>
    <w:p>
      <w:pPr>
        <w:pStyle w:val="6"/>
        <w:pageBreakBefore w:val="0"/>
        <w:kinsoku/>
        <w:bidi w:val="0"/>
        <w:spacing w:before="0" w:beforeAutospacing="0" w:after="0" w:afterAutospacing="0" w:line="440" w:lineRule="exact"/>
        <w:ind w:left="0" w:leftChars="0" w:firstLine="0" w:firstLineChars="0"/>
        <w:jc w:val="both"/>
        <w:rPr>
          <w:color w:val="auto"/>
          <w:highlight w:val="none"/>
        </w:rPr>
      </w:pPr>
      <w:r>
        <w:rPr>
          <w:rFonts w:ascii="仿宋_GB2312" w:hAnsi="仿宋" w:eastAsia="仿宋_GB2312"/>
          <w:b/>
          <w:color w:val="auto"/>
          <w:sz w:val="32"/>
          <w:highlight w:val="none"/>
        </w:rPr>
        <w:br w:type="page"/>
      </w:r>
    </w:p>
    <w:p>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p>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类似项目业绩表</w:t>
      </w: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项目类型</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简要描述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项目投资（万元）</w:t>
            </w:r>
          </w:p>
        </w:tc>
        <w:tc>
          <w:tcPr>
            <w:tcW w:w="1218" w:type="dxa"/>
          </w:tcPr>
          <w:p>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起止日期</w:t>
            </w:r>
          </w:p>
        </w:tc>
        <w:tc>
          <w:tcPr>
            <w:tcW w:w="1417"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项目地址与建设单位联系电话</w:t>
            </w:r>
          </w:p>
        </w:tc>
        <w:tc>
          <w:tcPr>
            <w:tcW w:w="1253"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bl>
    <w:p>
      <w:pPr>
        <w:pStyle w:val="838"/>
        <w:pageBreakBefore w:val="0"/>
        <w:kinsoku/>
        <w:bidi w:val="0"/>
        <w:snapToGrid w:val="0"/>
        <w:spacing w:beforeAutospacing="0" w:afterAutospacing="0" w:line="440" w:lineRule="exact"/>
        <w:rPr>
          <w:rFonts w:hint="default"/>
          <w:b/>
          <w:color w:val="auto"/>
          <w:sz w:val="24"/>
          <w:szCs w:val="24"/>
          <w:highlight w:val="none"/>
          <w:lang w:val="en-US" w:eastAsia="zh-CN"/>
        </w:rPr>
      </w:pPr>
      <w:r>
        <w:rPr>
          <w:rFonts w:hint="eastAsia"/>
          <w:b/>
          <w:color w:val="auto"/>
          <w:sz w:val="24"/>
          <w:szCs w:val="24"/>
          <w:highlight w:val="none"/>
          <w:lang w:val="en-US" w:eastAsia="zh-CN"/>
        </w:rPr>
        <w:t>注：响应人可按上述的格式自行编制，须随表提交相应的证明材料复印件，并加盖投标单位公章。</w:t>
      </w:r>
    </w:p>
    <w:p>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right="600"/>
        <w:rPr>
          <w:color w:val="auto"/>
          <w:highlight w:val="none"/>
          <w:u w:val="single"/>
        </w:rPr>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106"/>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106"/>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106"/>
        <w:rPr>
          <w:rFonts w:ascii="仿宋_GB2312" w:hAnsi="仿宋" w:eastAsia="仿宋_GB2312"/>
          <w:b/>
          <w:color w:val="auto"/>
          <w:sz w:val="32"/>
          <w:highlight w:val="none"/>
        </w:rPr>
      </w:pPr>
    </w:p>
    <w:p>
      <w:pPr>
        <w:rPr>
          <w:color w:val="auto"/>
          <w:highlight w:val="none"/>
        </w:rPr>
      </w:pPr>
    </w:p>
    <w:p>
      <w:pPr>
        <w:spacing w:before="156" w:line="360" w:lineRule="auto"/>
        <w:jc w:val="center"/>
        <w:rPr>
          <w:rFonts w:ascii="仿宋_GB2312" w:hAnsi="仿宋" w:eastAsia="仿宋_GB2312"/>
          <w:b/>
          <w:color w:val="auto"/>
          <w:sz w:val="32"/>
          <w:highlight w:val="none"/>
        </w:rPr>
      </w:pPr>
      <w:r>
        <w:rPr>
          <w:rFonts w:hint="eastAsia" w:ascii="仿宋_GB2312" w:hAnsi="仿宋" w:eastAsia="仿宋_GB2312"/>
          <w:b/>
          <w:color w:val="auto"/>
          <w:sz w:val="32"/>
          <w:highlight w:val="none"/>
        </w:rPr>
        <w:t>投标产品配置表</w:t>
      </w:r>
    </w:p>
    <w:p>
      <w:pPr>
        <w:spacing w:before="156"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24"/>
          <w:szCs w:val="24"/>
          <w:highlight w:val="none"/>
        </w:rPr>
        <w:t>项目</w:t>
      </w:r>
      <w:r>
        <w:rPr>
          <w:rFonts w:hint="eastAsia" w:cs="仿宋"/>
          <w:b/>
          <w:color w:val="auto"/>
          <w:sz w:val="24"/>
          <w:szCs w:val="24"/>
          <w:highlight w:val="none"/>
          <w:lang w:eastAsia="zh-CN"/>
        </w:rPr>
        <w:t>名称</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cs="仿宋"/>
          <w:b/>
          <w:color w:val="auto"/>
          <w:sz w:val="24"/>
          <w:szCs w:val="24"/>
          <w:highlight w:val="none"/>
          <w:lang w:eastAsia="zh-CN"/>
        </w:rPr>
        <w:t>项目编号：</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p>
    <w:tbl>
      <w:tblPr>
        <w:tblStyle w:val="89"/>
        <w:tblW w:w="96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2" w:type="dxa"/>
            <w:noWrap w:val="0"/>
            <w:vAlign w:val="center"/>
          </w:tcPr>
          <w:p>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84" w:type="dxa"/>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2040" w:type="dxa"/>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品牌和规格型号</w:t>
            </w:r>
          </w:p>
        </w:tc>
        <w:tc>
          <w:tcPr>
            <w:tcW w:w="2232" w:type="dxa"/>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规格配置详细说明</w:t>
            </w:r>
          </w:p>
        </w:tc>
        <w:tc>
          <w:tcPr>
            <w:tcW w:w="792" w:type="dxa"/>
            <w:noWrap w:val="0"/>
            <w:vAlign w:val="center"/>
          </w:tcPr>
          <w:p>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780" w:type="dxa"/>
            <w:noWrap w:val="0"/>
            <w:vAlign w:val="center"/>
          </w:tcPr>
          <w:p>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768" w:type="dxa"/>
            <w:noWrap w:val="0"/>
            <w:vAlign w:val="center"/>
          </w:tcPr>
          <w:p>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产地</w:t>
            </w:r>
          </w:p>
        </w:tc>
        <w:tc>
          <w:tcPr>
            <w:tcW w:w="756" w:type="dxa"/>
            <w:noWrap w:val="0"/>
            <w:vAlign w:val="center"/>
          </w:tcPr>
          <w:p>
            <w:pPr>
              <w:spacing w:before="156"/>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32" w:type="dxa"/>
            <w:noWrap w:val="0"/>
            <w:vAlign w:val="center"/>
          </w:tcPr>
          <w:p>
            <w:pPr>
              <w:spacing w:before="156"/>
              <w:jc w:val="center"/>
              <w:rPr>
                <w:rFonts w:hint="eastAsia" w:ascii="仿宋" w:hAnsi="仿宋" w:eastAsia="仿宋" w:cs="仿宋"/>
                <w:color w:val="auto"/>
                <w:sz w:val="24"/>
                <w:highlight w:val="none"/>
              </w:rPr>
            </w:pPr>
          </w:p>
        </w:tc>
        <w:tc>
          <w:tcPr>
            <w:tcW w:w="792"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768" w:type="dxa"/>
            <w:noWrap w:val="0"/>
            <w:vAlign w:val="center"/>
          </w:tcPr>
          <w:p>
            <w:pPr>
              <w:spacing w:before="156"/>
              <w:jc w:val="center"/>
              <w:rPr>
                <w:rFonts w:hint="eastAsia" w:ascii="仿宋" w:hAnsi="仿宋" w:eastAsia="仿宋" w:cs="仿宋"/>
                <w:color w:val="auto"/>
                <w:sz w:val="24"/>
                <w:highlight w:val="none"/>
              </w:rPr>
            </w:pPr>
          </w:p>
        </w:tc>
        <w:tc>
          <w:tcPr>
            <w:tcW w:w="756" w:type="dxa"/>
            <w:noWrap w:val="0"/>
            <w:vAlign w:val="center"/>
          </w:tcPr>
          <w:p>
            <w:pPr>
              <w:spacing w:before="156"/>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32" w:type="dxa"/>
            <w:noWrap w:val="0"/>
            <w:vAlign w:val="center"/>
          </w:tcPr>
          <w:p>
            <w:pPr>
              <w:spacing w:before="156"/>
              <w:jc w:val="center"/>
              <w:rPr>
                <w:rFonts w:hint="eastAsia" w:ascii="仿宋" w:hAnsi="仿宋" w:eastAsia="仿宋" w:cs="仿宋"/>
                <w:color w:val="auto"/>
                <w:sz w:val="24"/>
                <w:highlight w:val="none"/>
              </w:rPr>
            </w:pPr>
          </w:p>
        </w:tc>
        <w:tc>
          <w:tcPr>
            <w:tcW w:w="792"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768"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756"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32" w:type="dxa"/>
            <w:noWrap w:val="0"/>
            <w:vAlign w:val="center"/>
          </w:tcPr>
          <w:p>
            <w:pPr>
              <w:spacing w:before="156"/>
              <w:jc w:val="center"/>
              <w:rPr>
                <w:rFonts w:hint="eastAsia" w:ascii="仿宋" w:hAnsi="仿宋" w:eastAsia="仿宋" w:cs="仿宋"/>
                <w:color w:val="auto"/>
                <w:sz w:val="24"/>
                <w:highlight w:val="none"/>
              </w:rPr>
            </w:pPr>
          </w:p>
        </w:tc>
        <w:tc>
          <w:tcPr>
            <w:tcW w:w="792"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768"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756"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32" w:type="dxa"/>
            <w:noWrap w:val="0"/>
            <w:vAlign w:val="center"/>
          </w:tcPr>
          <w:p>
            <w:pPr>
              <w:spacing w:before="156"/>
              <w:jc w:val="center"/>
              <w:rPr>
                <w:rFonts w:hint="eastAsia" w:ascii="仿宋" w:hAnsi="仿宋" w:eastAsia="仿宋" w:cs="仿宋"/>
                <w:color w:val="auto"/>
                <w:sz w:val="24"/>
                <w:highlight w:val="none"/>
              </w:rPr>
            </w:pPr>
          </w:p>
        </w:tc>
        <w:tc>
          <w:tcPr>
            <w:tcW w:w="792"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768"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756"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32" w:type="dxa"/>
            <w:noWrap w:val="0"/>
            <w:vAlign w:val="center"/>
          </w:tcPr>
          <w:p>
            <w:pPr>
              <w:spacing w:before="156"/>
              <w:jc w:val="center"/>
              <w:rPr>
                <w:rFonts w:hint="eastAsia" w:ascii="仿宋" w:hAnsi="仿宋" w:eastAsia="仿宋" w:cs="仿宋"/>
                <w:color w:val="auto"/>
                <w:sz w:val="24"/>
                <w:highlight w:val="none"/>
              </w:rPr>
            </w:pPr>
          </w:p>
        </w:tc>
        <w:tc>
          <w:tcPr>
            <w:tcW w:w="792"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768"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756"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r>
    </w:tbl>
    <w:p>
      <w:pPr>
        <w:spacing w:before="156"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before="156"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eastAsia="zh-CN"/>
        </w:rPr>
        <w:t>如本项目涉及硬件设备采购，须在技术文件中提供此配置清单。须</w:t>
      </w:r>
      <w:r>
        <w:rPr>
          <w:rFonts w:hint="eastAsia" w:ascii="仿宋" w:hAnsi="仿宋" w:eastAsia="仿宋" w:cs="仿宋"/>
          <w:color w:val="auto"/>
          <w:sz w:val="24"/>
          <w:szCs w:val="22"/>
          <w:highlight w:val="none"/>
        </w:rPr>
        <w:t>针对本项目的需求清单一一对应填写投标产品配置表。</w:t>
      </w:r>
    </w:p>
    <w:p>
      <w:pPr>
        <w:spacing w:before="156"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w:t>
      </w:r>
      <w:r>
        <w:rPr>
          <w:rFonts w:hint="eastAsia" w:ascii="仿宋" w:hAnsi="仿宋" w:eastAsia="仿宋" w:cs="仿宋"/>
          <w:color w:val="auto"/>
          <w:sz w:val="24"/>
          <w:szCs w:val="22"/>
          <w:highlight w:val="none"/>
        </w:rPr>
        <w:t>中</w:t>
      </w:r>
      <w:r>
        <w:rPr>
          <w:rFonts w:hint="eastAsia" w:ascii="仿宋" w:hAnsi="仿宋" w:eastAsia="仿宋" w:cs="仿宋"/>
          <w:color w:val="auto"/>
          <w:sz w:val="24"/>
          <w:szCs w:val="22"/>
          <w:highlight w:val="none"/>
          <w:lang w:eastAsia="zh-CN"/>
        </w:rPr>
        <w:t>须</w:t>
      </w:r>
      <w:r>
        <w:rPr>
          <w:rFonts w:hint="eastAsia" w:ascii="仿宋" w:hAnsi="仿宋" w:eastAsia="仿宋" w:cs="仿宋"/>
          <w:color w:val="auto"/>
          <w:sz w:val="24"/>
          <w:szCs w:val="22"/>
          <w:highlight w:val="none"/>
        </w:rPr>
        <w:t>明确主要产品的品牌、规格型号、</w:t>
      </w:r>
      <w:r>
        <w:rPr>
          <w:rFonts w:hint="eastAsia" w:ascii="仿宋" w:hAnsi="仿宋" w:eastAsia="仿宋" w:cs="仿宋"/>
          <w:color w:val="auto"/>
          <w:sz w:val="24"/>
          <w:szCs w:val="22"/>
          <w:highlight w:val="none"/>
          <w:lang w:eastAsia="zh-CN"/>
        </w:rPr>
        <w:t>规格配置如</w:t>
      </w:r>
      <w:r>
        <w:rPr>
          <w:rFonts w:hint="eastAsia" w:ascii="仿宋" w:hAnsi="仿宋" w:eastAsia="仿宋" w:cs="仿宋"/>
          <w:color w:val="auto"/>
          <w:sz w:val="24"/>
          <w:szCs w:val="22"/>
          <w:highlight w:val="none"/>
        </w:rPr>
        <w:t>配置参数、性能指标等内容。可附投</w:t>
      </w:r>
      <w:r>
        <w:rPr>
          <w:rFonts w:hint="eastAsia" w:ascii="仿宋" w:hAnsi="仿宋" w:eastAsia="仿宋" w:cs="仿宋"/>
          <w:color w:val="auto"/>
          <w:sz w:val="24"/>
          <w:highlight w:val="none"/>
        </w:rPr>
        <w:t>标产品介绍图文资料。</w:t>
      </w:r>
    </w:p>
    <w:p>
      <w:pPr>
        <w:pStyle w:val="49"/>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所有技术指标表述均应采用中文</w:t>
      </w:r>
      <w:r>
        <w:rPr>
          <w:rFonts w:hint="eastAsia" w:ascii="仿宋" w:hAnsi="仿宋" w:eastAsia="仿宋" w:cs="仿宋"/>
          <w:b w:val="0"/>
          <w:bCs/>
          <w:color w:val="auto"/>
          <w:sz w:val="24"/>
          <w:highlight w:val="none"/>
          <w:lang w:eastAsia="zh-CN"/>
        </w:rPr>
        <w:t>汉语</w:t>
      </w:r>
      <w:r>
        <w:rPr>
          <w:rFonts w:hint="eastAsia" w:ascii="仿宋" w:hAnsi="仿宋" w:eastAsia="仿宋" w:cs="仿宋"/>
          <w:b w:val="0"/>
          <w:bCs/>
          <w:color w:val="auto"/>
          <w:sz w:val="24"/>
          <w:highlight w:val="none"/>
        </w:rPr>
        <w:t>，如当前公布的技术指标只有</w:t>
      </w:r>
      <w:r>
        <w:rPr>
          <w:rFonts w:hint="eastAsia" w:ascii="仿宋" w:hAnsi="仿宋" w:eastAsia="仿宋" w:cs="仿宋"/>
          <w:b w:val="0"/>
          <w:bCs/>
          <w:color w:val="auto"/>
          <w:sz w:val="24"/>
          <w:highlight w:val="none"/>
          <w:lang w:eastAsia="zh-CN"/>
        </w:rPr>
        <w:t>外文或少数民族文字</w:t>
      </w:r>
      <w:r>
        <w:rPr>
          <w:rFonts w:hint="eastAsia" w:ascii="仿宋" w:hAnsi="仿宋" w:eastAsia="仿宋" w:cs="仿宋"/>
          <w:b w:val="0"/>
          <w:bCs/>
          <w:color w:val="auto"/>
          <w:sz w:val="24"/>
          <w:highlight w:val="none"/>
        </w:rPr>
        <w:t>表述的，</w:t>
      </w:r>
      <w:r>
        <w:rPr>
          <w:rFonts w:hint="eastAsia" w:ascii="仿宋" w:hAnsi="仿宋" w:eastAsia="仿宋" w:cs="仿宋"/>
          <w:b w:val="0"/>
          <w:bCs/>
          <w:color w:val="auto"/>
          <w:sz w:val="24"/>
          <w:highlight w:val="none"/>
          <w:lang w:eastAsia="zh-CN"/>
        </w:rPr>
        <w:t>须</w:t>
      </w:r>
      <w:r>
        <w:rPr>
          <w:rFonts w:hint="eastAsia" w:ascii="仿宋" w:hAnsi="仿宋" w:eastAsia="仿宋" w:cs="仿宋"/>
          <w:b w:val="0"/>
          <w:bCs/>
          <w:color w:val="auto"/>
          <w:sz w:val="24"/>
          <w:highlight w:val="none"/>
        </w:rPr>
        <w:t>由投标人作出中文</w:t>
      </w:r>
      <w:r>
        <w:rPr>
          <w:rFonts w:hint="eastAsia" w:ascii="仿宋" w:hAnsi="仿宋" w:eastAsia="仿宋" w:cs="仿宋"/>
          <w:b w:val="0"/>
          <w:bCs/>
          <w:color w:val="auto"/>
          <w:sz w:val="24"/>
          <w:highlight w:val="none"/>
          <w:lang w:eastAsia="zh-CN"/>
        </w:rPr>
        <w:t>汉语翻译</w:t>
      </w:r>
      <w:r>
        <w:rPr>
          <w:rFonts w:hint="eastAsia" w:ascii="仿宋" w:hAnsi="仿宋" w:eastAsia="仿宋" w:cs="仿宋"/>
          <w:b w:val="0"/>
          <w:bCs/>
          <w:color w:val="auto"/>
          <w:sz w:val="24"/>
          <w:highlight w:val="none"/>
        </w:rPr>
        <w:t>（评审时以中文</w:t>
      </w:r>
      <w:r>
        <w:rPr>
          <w:rFonts w:hint="eastAsia" w:ascii="仿宋" w:hAnsi="仿宋" w:eastAsia="仿宋" w:cs="仿宋"/>
          <w:b w:val="0"/>
          <w:bCs/>
          <w:color w:val="auto"/>
          <w:sz w:val="24"/>
          <w:highlight w:val="none"/>
          <w:lang w:eastAsia="zh-CN"/>
        </w:rPr>
        <w:t>汉语翻译</w:t>
      </w:r>
      <w:r>
        <w:rPr>
          <w:rFonts w:hint="eastAsia" w:ascii="仿宋" w:hAnsi="仿宋" w:eastAsia="仿宋" w:cs="仿宋"/>
          <w:b w:val="0"/>
          <w:bCs/>
          <w:color w:val="auto"/>
          <w:sz w:val="24"/>
          <w:highlight w:val="none"/>
        </w:rPr>
        <w:t>为准）</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否则</w:t>
      </w:r>
      <w:r>
        <w:rPr>
          <w:rFonts w:hint="eastAsia" w:ascii="仿宋" w:hAnsi="仿宋" w:eastAsia="仿宋" w:cs="仿宋"/>
          <w:b w:val="0"/>
          <w:bCs/>
          <w:color w:val="auto"/>
          <w:sz w:val="24"/>
          <w:highlight w:val="none"/>
          <w:lang w:val="zh-CN"/>
        </w:rPr>
        <w:t>任何含糊不清的</w:t>
      </w:r>
      <w:r>
        <w:rPr>
          <w:rFonts w:hint="eastAsia" w:ascii="仿宋" w:hAnsi="仿宋" w:eastAsia="仿宋" w:cs="仿宋"/>
          <w:b w:val="0"/>
          <w:bCs/>
          <w:color w:val="auto"/>
          <w:sz w:val="24"/>
          <w:highlight w:val="none"/>
        </w:rPr>
        <w:t>表述导致</w:t>
      </w:r>
      <w:r>
        <w:rPr>
          <w:rFonts w:hint="eastAsia" w:ascii="仿宋" w:hAnsi="仿宋" w:eastAsia="仿宋" w:cs="仿宋"/>
          <w:b w:val="0"/>
          <w:bCs/>
          <w:color w:val="auto"/>
          <w:sz w:val="24"/>
          <w:highlight w:val="none"/>
          <w:lang w:val="zh-CN"/>
        </w:rPr>
        <w:t>评标委员会技术扣分直至认定为投标无效都将是投标人的责任</w:t>
      </w:r>
      <w:r>
        <w:rPr>
          <w:rFonts w:hint="eastAsia" w:ascii="仿宋" w:hAnsi="仿宋" w:eastAsia="仿宋" w:cs="仿宋"/>
          <w:b w:val="0"/>
          <w:bCs/>
          <w:color w:val="auto"/>
          <w:sz w:val="24"/>
          <w:highlight w:val="none"/>
        </w:rPr>
        <w:t>。</w:t>
      </w:r>
    </w:p>
    <w:p>
      <w:pPr>
        <w:pStyle w:val="49"/>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本项目如需采购政府强制采购的节能产品的或投标人提供的产品是环境标志产品，投标人按格式提供节能产品、环境标志产品认证证书复印件。</w:t>
      </w:r>
    </w:p>
    <w:p>
      <w:pPr>
        <w:spacing w:before="156" w:line="360" w:lineRule="auto"/>
        <w:ind w:left="480"/>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.此表可在不改变格式的情况下自行制作。 </w:t>
      </w:r>
    </w:p>
    <w:p>
      <w:pPr>
        <w:pStyle w:val="838"/>
        <w:snapToGrid w:val="0"/>
        <w:spacing w:before="156" w:line="360" w:lineRule="auto"/>
        <w:rPr>
          <w:rFonts w:hint="eastAsia" w:ascii="仿宋" w:hAnsi="仿宋" w:eastAsia="仿宋" w:cs="仿宋"/>
          <w:color w:val="auto"/>
          <w:szCs w:val="24"/>
          <w:highlight w:val="none"/>
        </w:rPr>
      </w:pPr>
    </w:p>
    <w:p>
      <w:pPr>
        <w:pStyle w:val="838"/>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before="120"/>
        <w:jc w:val="center"/>
        <w:rPr>
          <w:rFonts w:hint="eastAsia" w:ascii="仿宋_GB2312" w:eastAsia="仿宋_GB2312"/>
          <w:b/>
          <w:color w:val="auto"/>
          <w:sz w:val="32"/>
          <w:highlight w:val="none"/>
        </w:rPr>
      </w:pPr>
    </w:p>
    <w:p>
      <w:pPr>
        <w:spacing w:before="120"/>
        <w:jc w:val="center"/>
        <w:rPr>
          <w:rFonts w:ascii="仿宋_GB2312" w:eastAsia="仿宋_GB2312"/>
          <w:b/>
          <w:color w:val="auto"/>
          <w:sz w:val="32"/>
          <w:highlight w:val="none"/>
        </w:rPr>
      </w:pPr>
      <w:r>
        <w:rPr>
          <w:rFonts w:hint="eastAsia" w:ascii="仿宋_GB2312" w:eastAsia="仿宋_GB2312"/>
          <w:b/>
          <w:color w:val="auto"/>
          <w:sz w:val="32"/>
          <w:highlight w:val="none"/>
        </w:rPr>
        <w:t>技术</w:t>
      </w:r>
      <w:r>
        <w:rPr>
          <w:rFonts w:hint="eastAsia" w:ascii="仿宋_GB2312" w:eastAsia="仿宋_GB2312"/>
          <w:b/>
          <w:color w:val="auto"/>
          <w:sz w:val="32"/>
          <w:highlight w:val="none"/>
          <w:lang w:eastAsia="zh-CN"/>
        </w:rPr>
        <w:t>规格</w:t>
      </w:r>
      <w:r>
        <w:rPr>
          <w:rFonts w:hint="eastAsia" w:ascii="仿宋_GB2312" w:eastAsia="仿宋_GB2312"/>
          <w:b/>
          <w:color w:val="auto"/>
          <w:sz w:val="32"/>
          <w:highlight w:val="none"/>
        </w:rPr>
        <w:t>偏离</w:t>
      </w:r>
      <w:r>
        <w:rPr>
          <w:rFonts w:hint="eastAsia" w:ascii="仿宋_GB2312" w:eastAsia="仿宋_GB2312"/>
          <w:b/>
          <w:color w:val="auto"/>
          <w:sz w:val="32"/>
          <w:highlight w:val="none"/>
        </w:rPr>
        <w:t>表</w:t>
      </w:r>
    </w:p>
    <w:p>
      <w:pPr>
        <w:spacing w:before="120"/>
        <w:jc w:val="left"/>
        <w:rPr>
          <w:rFonts w:ascii="仿宋_GB2312" w:eastAsia="仿宋_GB2312" w:cs="仿宋_GB2312"/>
          <w:b/>
          <w:bCs/>
          <w:color w:val="auto"/>
          <w:sz w:val="18"/>
          <w:szCs w:val="18"/>
          <w:highlight w:val="none"/>
        </w:rPr>
      </w:pPr>
      <w:r>
        <w:rPr>
          <w:rFonts w:hint="eastAsia"/>
          <w:b/>
          <w:color w:val="auto"/>
          <w:highlight w:val="none"/>
          <w:lang w:eastAsia="zh-CN"/>
        </w:rPr>
        <w:t>项目名称：</w:t>
      </w:r>
      <w:r>
        <w:rPr>
          <w:rFonts w:hint="eastAsia"/>
          <w:b/>
          <w:color w:val="auto"/>
          <w:highlight w:val="none"/>
          <w:u w:val="single"/>
          <w:lang w:val="en-US" w:eastAsia="zh-CN"/>
        </w:rPr>
        <w:t xml:space="preserve">                 </w:t>
      </w:r>
      <w:r>
        <w:rPr>
          <w:rFonts w:hint="eastAsia"/>
          <w:b/>
          <w:color w:val="auto"/>
          <w:highlight w:val="none"/>
          <w:u w:val="none"/>
          <w:lang w:val="en-US" w:eastAsia="zh-CN"/>
        </w:rPr>
        <w:t xml:space="preserve">    </w:t>
      </w:r>
      <w:r>
        <w:rPr>
          <w:rFonts w:hint="eastAsia"/>
          <w:b/>
          <w:color w:val="auto"/>
          <w:highlight w:val="none"/>
        </w:rPr>
        <w:t>项目编号：</w:t>
      </w:r>
      <w:r>
        <w:rPr>
          <w:rFonts w:hint="eastAsia"/>
          <w:b/>
          <w:color w:val="auto"/>
          <w:highlight w:val="none"/>
          <w:u w:val="single"/>
        </w:rPr>
        <w:t xml:space="preserve">             </w:t>
      </w:r>
      <w:r>
        <w:rPr>
          <w:rFonts w:hint="eastAsia"/>
          <w:color w:val="auto"/>
          <w:highlight w:val="none"/>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偏离情况</w:t>
            </w:r>
          </w:p>
          <w:p>
            <w:pPr>
              <w:spacing w:before="120"/>
              <w:jc w:val="center"/>
              <w:rPr>
                <w:color w:val="auto"/>
                <w:highlight w:val="none"/>
              </w:rPr>
            </w:pPr>
            <w:r>
              <w:rPr>
                <w:rFonts w:hint="eastAsia"/>
                <w:color w:val="auto"/>
                <w:highlight w:val="none"/>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bl>
    <w:p>
      <w:pPr>
        <w:spacing w:line="480" w:lineRule="auto"/>
        <w:ind w:firstLine="480" w:firstLineChars="200"/>
        <w:rPr>
          <w:color w:val="auto"/>
          <w:highlight w:val="none"/>
        </w:rPr>
      </w:pPr>
      <w:r>
        <w:rPr>
          <w:rFonts w:hint="eastAsia"/>
          <w:color w:val="auto"/>
          <w:highlight w:val="none"/>
        </w:rPr>
        <w:t>1.偏离表中</w:t>
      </w:r>
      <w:r>
        <w:rPr>
          <w:rFonts w:hint="eastAsia"/>
          <w:b/>
          <w:bCs/>
          <w:color w:val="auto"/>
          <w:highlight w:val="none"/>
        </w:rPr>
        <w:t>仅填写与招标文件要求有差异的条款。</w:t>
      </w:r>
    </w:p>
    <w:p>
      <w:pPr>
        <w:spacing w:line="480" w:lineRule="auto"/>
        <w:ind w:firstLine="480" w:firstLineChars="200"/>
        <w:rPr>
          <w:color w:val="auto"/>
          <w:highlight w:val="none"/>
        </w:rPr>
      </w:pPr>
      <w:r>
        <w:rPr>
          <w:rFonts w:hint="eastAsia"/>
          <w:color w:val="auto"/>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color w:val="auto"/>
          <w:highlight w:val="none"/>
        </w:rPr>
      </w:pPr>
      <w:r>
        <w:rPr>
          <w:rFonts w:hint="eastAsia"/>
          <w:color w:val="auto"/>
          <w:highlight w:val="none"/>
        </w:rPr>
        <w:t>3.</w:t>
      </w:r>
      <w:r>
        <w:rPr>
          <w:rFonts w:hint="eastAsia"/>
          <w:b/>
          <w:color w:val="auto"/>
          <w:highlight w:val="none"/>
        </w:rPr>
        <w:t>没有填写在偏离表中的其它所有技术或商务(不包含报价)条款都默认为完全响应招标要求。</w:t>
      </w:r>
    </w:p>
    <w:p>
      <w:pPr>
        <w:spacing w:line="480" w:lineRule="auto"/>
        <w:ind w:firstLine="480" w:firstLineChars="200"/>
        <w:rPr>
          <w:color w:val="auto"/>
          <w:highlight w:val="none"/>
        </w:rPr>
      </w:pPr>
      <w:r>
        <w:rPr>
          <w:rFonts w:hint="eastAsia"/>
          <w:color w:val="auto"/>
          <w:highlight w:val="none"/>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rPr>
          <w:color w:val="auto"/>
          <w:highlight w:val="none"/>
        </w:rPr>
      </w:pPr>
    </w:p>
    <w:p>
      <w:pPr>
        <w:pStyle w:val="838"/>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80" w:lineRule="auto"/>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snapToGrid w:val="0"/>
        <w:spacing w:line="480" w:lineRule="auto"/>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pStyle w:val="6"/>
        <w:pageBreakBefore w:val="0"/>
        <w:kinsoku/>
        <w:bidi w:val="0"/>
        <w:spacing w:before="0" w:beforeAutospacing="0" w:after="0" w:afterAutospacing="0" w:line="440" w:lineRule="exact"/>
        <w:ind w:left="0" w:leftChars="0" w:firstLine="0" w:firstLineChars="0"/>
        <w:jc w:val="both"/>
        <w:rPr>
          <w:color w:val="auto"/>
          <w:highlight w:val="none"/>
        </w:rPr>
      </w:pPr>
      <w:r>
        <w:rPr>
          <w:rFonts w:ascii="仿宋_GB2312" w:hAnsi="仿宋" w:eastAsia="仿宋_GB2312"/>
          <w:b/>
          <w:color w:val="auto"/>
          <w:sz w:val="32"/>
          <w:highlight w:val="none"/>
        </w:rPr>
        <w:br w:type="page"/>
      </w:r>
    </w:p>
    <w:p>
      <w:pPr>
        <w:pageBreakBefore w:val="0"/>
        <w:kinsoku/>
        <w:bidi w:val="0"/>
        <w:snapToGrid w:val="0"/>
        <w:spacing w:beforeAutospacing="0" w:afterAutospacing="0" w:line="440" w:lineRule="exact"/>
        <w:ind w:right="600"/>
        <w:jc w:val="center"/>
        <w:rPr>
          <w:rFonts w:hint="eastAsia"/>
          <w:b/>
          <w:color w:val="auto"/>
          <w:sz w:val="30"/>
          <w:szCs w:val="30"/>
          <w:highlight w:val="none"/>
        </w:rPr>
      </w:pPr>
    </w:p>
    <w:p>
      <w:pPr>
        <w:pageBreakBefore w:val="0"/>
        <w:kinsoku/>
        <w:bidi w:val="0"/>
        <w:snapToGrid w:val="0"/>
        <w:spacing w:beforeAutospacing="0" w:afterAutospacing="0" w:line="440" w:lineRule="exact"/>
        <w:ind w:right="600"/>
        <w:jc w:val="center"/>
        <w:rPr>
          <w:rFonts w:hint="eastAsia"/>
          <w:b/>
          <w:color w:val="auto"/>
          <w:sz w:val="30"/>
          <w:szCs w:val="30"/>
          <w:highlight w:val="none"/>
        </w:rPr>
      </w:pPr>
    </w:p>
    <w:p>
      <w:pPr>
        <w:pageBreakBefore w:val="0"/>
        <w:kinsoku/>
        <w:bidi w:val="0"/>
        <w:snapToGrid w:val="0"/>
        <w:spacing w:beforeAutospacing="0" w:afterAutospacing="0" w:line="440" w:lineRule="exact"/>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pPr>
        <w:pStyle w:val="26"/>
        <w:pageBreakBefore w:val="0"/>
        <w:kinsoku/>
        <w:bidi w:val="0"/>
        <w:snapToGrid w:val="0"/>
        <w:spacing w:before="0" w:beforeAutospacing="0" w:after="0" w:afterAutospacing="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参加本单位</w:t>
            </w:r>
          </w:p>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劳动合</w:t>
            </w:r>
          </w:p>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53"/>
              <w:pageBreakBefore w:val="0"/>
              <w:kinsoku/>
              <w:bidi w:val="0"/>
              <w:snapToGrid w:val="0"/>
              <w:spacing w:beforeAutospacing="0" w:afterAutospacing="0"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bl>
    <w:p>
      <w:pPr>
        <w:pageBreakBefore w:val="0"/>
        <w:kinsoku/>
        <w:bidi w:val="0"/>
        <w:snapToGrid w:val="0"/>
        <w:spacing w:beforeAutospacing="0" w:afterAutospacing="0" w:line="440" w:lineRule="exact"/>
        <w:jc w:val="left"/>
        <w:rPr>
          <w:color w:val="auto"/>
          <w:highlight w:val="none"/>
        </w:rPr>
      </w:pPr>
      <w:r>
        <w:rPr>
          <w:rFonts w:hint="eastAsia"/>
          <w:color w:val="auto"/>
          <w:highlight w:val="none"/>
        </w:rPr>
        <w:t xml:space="preserve">注：1、在填写时，如本表格不适合投标人的实际情况，可根据本表格式自行划表填写。 </w:t>
      </w:r>
    </w:p>
    <w:p>
      <w:pPr>
        <w:pageBreakBefore w:val="0"/>
        <w:kinsoku/>
        <w:bidi w:val="0"/>
        <w:snapToGrid w:val="0"/>
        <w:spacing w:beforeAutospacing="0" w:afterAutospacing="0" w:line="440" w:lineRule="exact"/>
        <w:ind w:firstLine="480" w:firstLineChars="200"/>
        <w:jc w:val="left"/>
        <w:rPr>
          <w:color w:val="auto"/>
          <w:highlight w:val="none"/>
        </w:rPr>
      </w:pPr>
      <w:r>
        <w:rPr>
          <w:rFonts w:hint="eastAsia"/>
          <w:color w:val="auto"/>
          <w:highlight w:val="none"/>
        </w:rPr>
        <w:t>2、本表结合“第三章 评标办法及评分标准”中相关人员要求，后附人员证书等证明材料复印件。</w:t>
      </w:r>
    </w:p>
    <w:p>
      <w:pPr>
        <w:pStyle w:val="838"/>
        <w:pageBreakBefore w:val="0"/>
        <w:kinsoku/>
        <w:bidi w:val="0"/>
        <w:snapToGrid w:val="0"/>
        <w:spacing w:beforeAutospacing="0" w:afterAutospacing="0" w:line="440" w:lineRule="exact"/>
        <w:rPr>
          <w:rFonts w:hint="eastAsia" w:ascii="仿宋" w:hAnsi="仿宋"/>
          <w:color w:val="auto"/>
          <w:szCs w:val="24"/>
          <w:highlight w:val="none"/>
        </w:rPr>
      </w:pPr>
    </w:p>
    <w:p>
      <w:pPr>
        <w:pStyle w:val="838"/>
        <w:pageBreakBefore w:val="0"/>
        <w:kinsoku/>
        <w:bidi w:val="0"/>
        <w:snapToGrid w:val="0"/>
        <w:spacing w:beforeAutospacing="0" w:afterAutospacing="0" w:line="440" w:lineRule="exact"/>
        <w:rPr>
          <w:rFonts w:ascii="仿宋" w:hAnsi="仿宋"/>
          <w:color w:val="auto"/>
          <w:szCs w:val="24"/>
          <w:highlight w:val="none"/>
        </w:rPr>
      </w:pPr>
      <w:r>
        <w:rPr>
          <w:rFonts w:hint="eastAsia" w:ascii="仿宋" w:hAnsi="仿宋"/>
          <w:color w:val="auto"/>
          <w:szCs w:val="24"/>
          <w:highlight w:val="none"/>
        </w:rPr>
        <w:t>投标人全称（电子签章）：</w:t>
      </w:r>
      <w:r>
        <w:rPr>
          <w:rFonts w:hint="eastAsia" w:ascii="仿宋" w:hAnsi="仿宋"/>
          <w:color w:val="auto"/>
          <w:szCs w:val="24"/>
          <w:highlight w:val="none"/>
          <w:u w:val="single"/>
        </w:rPr>
        <w:t xml:space="preserve">                      </w:t>
      </w:r>
    </w:p>
    <w:p>
      <w:pPr>
        <w:pageBreakBefore w:val="0"/>
        <w:kinsoku/>
        <w:bidi w:val="0"/>
        <w:snapToGrid w:val="0"/>
        <w:spacing w:beforeAutospacing="0" w:afterAutospacing="0" w:line="440" w:lineRule="exact"/>
        <w:ind w:right="600"/>
        <w:rPr>
          <w:rFonts w:hint="eastAsia"/>
          <w:color w:val="auto"/>
          <w:highlight w:val="none"/>
        </w:rPr>
      </w:pPr>
    </w:p>
    <w:p>
      <w:pPr>
        <w:pageBreakBefore w:val="0"/>
        <w:kinsoku/>
        <w:bidi w:val="0"/>
        <w:snapToGrid w:val="0"/>
        <w:spacing w:beforeAutospacing="0" w:afterAutospacing="0" w:line="440" w:lineRule="exact"/>
        <w:ind w:right="600"/>
        <w:rPr>
          <w:rFonts w:hint="eastAsia"/>
          <w:color w:val="auto"/>
          <w:highlight w:val="none"/>
          <w:u w:val="single"/>
        </w:rPr>
      </w:pPr>
      <w:r>
        <w:rPr>
          <w:rFonts w:hint="eastAsia"/>
          <w:color w:val="auto"/>
          <w:highlight w:val="none"/>
        </w:rPr>
        <w:t>投标日期：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color w:val="auto"/>
          <w:sz w:val="28"/>
          <w:szCs w:val="28"/>
          <w:highlight w:val="none"/>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auto"/>
          <w:highlight w:val="none"/>
        </w:rPr>
      </w:pPr>
    </w:p>
    <w:p>
      <w:pPr>
        <w:pStyle w:val="6"/>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none"/>
        </w:rPr>
      </w:pPr>
      <w:r>
        <w:rPr>
          <w:rFonts w:hint="eastAsia"/>
          <w:color w:val="auto"/>
          <w:highlight w:val="none"/>
          <w:u w:val="single"/>
        </w:rPr>
        <w:br w:type="page"/>
      </w:r>
    </w:p>
    <w:p>
      <w:pPr>
        <w:pStyle w:val="25"/>
        <w:pageBreakBefore w:val="0"/>
        <w:kinsoku/>
        <w:bidi w:val="0"/>
        <w:spacing w:beforeAutospacing="0" w:afterAutospacing="0" w:line="440" w:lineRule="exact"/>
        <w:ind w:right="482" w:firstLine="0"/>
        <w:rPr>
          <w:b/>
          <w:color w:val="auto"/>
          <w:szCs w:val="24"/>
          <w:highlight w:val="none"/>
        </w:rPr>
      </w:pPr>
    </w:p>
    <w:p>
      <w:pPr>
        <w:snapToGrid w:val="0"/>
        <w:spacing w:before="156" w:after="50" w:line="460" w:lineRule="exact"/>
        <w:jc w:val="center"/>
        <w:rPr>
          <w:rFonts w:ascii="仿宋_GB2312" w:hAnsi="仿宋" w:eastAsia="仿宋_GB2312"/>
          <w:b/>
          <w:color w:val="auto"/>
          <w:sz w:val="32"/>
          <w:highlight w:val="none"/>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p>
    <w:p>
      <w:pPr>
        <w:spacing w:before="156"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262"/>
        <w:gridCol w:w="708"/>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产品品牌</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cs="仿宋"/>
                <w:b/>
                <w:color w:val="auto"/>
                <w:sz w:val="24"/>
                <w:szCs w:val="24"/>
                <w:highlight w:val="none"/>
                <w:lang w:eastAsia="zh-CN"/>
              </w:rPr>
              <w:t>合</w:t>
            </w:r>
            <w:r>
              <w:rPr>
                <w:rFonts w:hint="eastAsia" w:ascii="仿宋" w:hAnsi="仿宋" w:eastAsia="仿宋" w:cs="仿宋"/>
                <w:b/>
                <w:color w:val="auto"/>
                <w:sz w:val="24"/>
                <w:szCs w:val="24"/>
                <w:highlight w:val="none"/>
              </w:rPr>
              <w:t>价（元）</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质保</w:t>
            </w:r>
            <w:r>
              <w:rPr>
                <w:rFonts w:hint="eastAsia" w:ascii="仿宋" w:hAnsi="仿宋" w:eastAsia="仿宋" w:cs="仿宋"/>
                <w:b/>
                <w:color w:val="auto"/>
                <w:sz w:val="24"/>
                <w:szCs w:val="24"/>
                <w:highlight w:val="none"/>
                <w:lang w:eastAsia="zh-CN"/>
              </w:rPr>
              <w:t>要求</w:t>
            </w:r>
          </w:p>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ind w:firstLine="120" w:firstLineChars="50"/>
              <w:rPr>
                <w:rFonts w:hint="eastAsia" w:ascii="仿宋" w:hAnsi="仿宋" w:eastAsia="仿宋" w:cs="仿宋"/>
                <w:color w:val="auto"/>
                <w:highlight w:val="none"/>
                <w:lang w:val="en-US"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jc w:val="center"/>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ind w:firstLine="120" w:firstLineChars="50"/>
              <w:rPr>
                <w:rFonts w:hint="eastAsia" w:ascii="仿宋" w:hAnsi="仿宋" w:eastAsia="仿宋" w:cs="仿宋"/>
                <w:color w:val="auto"/>
                <w:highlight w:val="none"/>
                <w:lang w:val="en-US"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jc w:val="center"/>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528" w:type="dxa"/>
            <w:gridSpan w:val="7"/>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default" w:ascii="仿宋" w:hAnsi="仿宋" w:eastAsia="仿宋" w:cs="仿宋"/>
                <w:b/>
                <w:bCs/>
                <w:color w:val="auto"/>
                <w:sz w:val="24"/>
                <w:szCs w:val="24"/>
                <w:highlight w:val="none"/>
                <w:u w:val="single"/>
                <w:lang w:val="en-US" w:eastAsia="zh-CN"/>
              </w:rPr>
            </w:pPr>
            <w:r>
              <w:rPr>
                <w:rFonts w:hint="eastAsia" w:cs="仿宋"/>
                <w:b/>
                <w:bCs/>
                <w:color w:val="auto"/>
                <w:sz w:val="24"/>
                <w:szCs w:val="24"/>
                <w:highlight w:val="none"/>
                <w:lang w:eastAsia="zh-CN"/>
              </w:rPr>
              <w:t>本项目核心产品为</w:t>
            </w:r>
            <w:r>
              <w:rPr>
                <w:rFonts w:hint="eastAsia" w:cs="仿宋"/>
                <w:b/>
                <w:bCs/>
                <w:color w:val="auto"/>
                <w:sz w:val="24"/>
                <w:szCs w:val="24"/>
                <w:highlight w:val="none"/>
                <w:u w:val="single"/>
                <w:lang w:val="en-US" w:eastAsia="zh-CN"/>
              </w:rPr>
              <w:t xml:space="preserve">          </w:t>
            </w:r>
            <w:r>
              <w:rPr>
                <w:rFonts w:hint="eastAsia" w:cs="仿宋"/>
                <w:b/>
                <w:bCs/>
                <w:color w:val="auto"/>
                <w:sz w:val="24"/>
                <w:szCs w:val="24"/>
                <w:highlight w:val="none"/>
                <w:u w:val="none"/>
                <w:lang w:val="en-US" w:eastAsia="zh-CN"/>
              </w:rPr>
              <w:t>，投标品牌为</w:t>
            </w:r>
            <w:r>
              <w:rPr>
                <w:rFonts w:hint="eastAsia" w:cs="仿宋"/>
                <w:b/>
                <w:bCs/>
                <w:color w:val="auto"/>
                <w:sz w:val="24"/>
                <w:szCs w:val="24"/>
                <w:highlight w:val="none"/>
                <w:u w:val="single"/>
                <w:lang w:val="en-US" w:eastAsia="zh-CN"/>
              </w:rPr>
              <w:t xml:space="preserve">           。</w:t>
            </w:r>
          </w:p>
          <w:p>
            <w:pPr>
              <w:spacing w:before="156"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spacing w:before="156"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bl>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lang w:val="zh-CN"/>
        </w:rPr>
      </w:pPr>
    </w:p>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投标报价应包括所需缴纳的所有税费、项目实施所需的一切费用。</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3、以上表格要求细分项目及报价，在“规格型号”一栏中，货物类项目填写规格型号务。</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4、特别提示：采购代理机构将对项目名称和项目编号，中标人名称、地址和中标金额，主要中标标的的名称、规格型号、数量、单价、服务要求等予以公示。</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仿宋" w:hAnsi="仿宋" w:eastAsia="仿宋" w:cs="仿宋_GB2312"/>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各项明细费用请按实填写（不得出现“0元”“免费赠送”等形式的无偿报价），否则投标无效。</w:t>
      </w:r>
    </w:p>
    <w:p>
      <w:pPr>
        <w:pStyle w:val="838"/>
        <w:keepNext w:val="0"/>
        <w:keepLines w:val="0"/>
        <w:pageBreakBefore w:val="0"/>
        <w:widowControl w:val="0"/>
        <w:kinsoku/>
        <w:wordWrap/>
        <w:overflowPunct/>
        <w:topLinePunct w:val="0"/>
        <w:autoSpaceDE/>
        <w:autoSpaceDN/>
        <w:bidi w:val="0"/>
        <w:adjustRightInd/>
        <w:snapToGrid w:val="0"/>
        <w:spacing w:before="156" w:line="240" w:lineRule="auto"/>
        <w:ind w:firstLine="3360" w:firstLineChars="1400"/>
        <w:textAlignment w:val="auto"/>
        <w:rPr>
          <w:rFonts w:hint="eastAsia" w:ascii="仿宋" w:hAnsi="仿宋" w:eastAsia="仿宋" w:cs="仿宋"/>
          <w:color w:val="auto"/>
          <w:szCs w:val="24"/>
          <w:highlight w:val="none"/>
          <w:u w:val="none"/>
        </w:rPr>
      </w:pPr>
    </w:p>
    <w:p>
      <w:pPr>
        <w:pStyle w:val="838"/>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jc w:val="center"/>
        <w:rPr>
          <w:rFonts w:hint="eastAsia" w:ascii="仿宋_GB2312" w:eastAsia="仿宋_GB2312"/>
          <w:b/>
          <w:color w:val="auto"/>
          <w:sz w:val="32"/>
          <w:szCs w:val="32"/>
          <w:highlight w:val="none"/>
        </w:rPr>
      </w:pPr>
    </w:p>
    <w:p>
      <w:pPr>
        <w:pageBreakBefore w:val="0"/>
        <w:kinsoku/>
        <w:bidi w:val="0"/>
        <w:spacing w:beforeAutospacing="0" w:afterAutospacing="0" w:line="440" w:lineRule="exact"/>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br w:type="page"/>
      </w:r>
    </w:p>
    <w:p>
      <w:pPr>
        <w:pageBreakBefore w:val="0"/>
        <w:kinsoku/>
        <w:bidi w:val="0"/>
        <w:adjustRightInd w:val="0"/>
        <w:snapToGrid w:val="0"/>
        <w:spacing w:beforeAutospacing="0" w:afterAutospacing="0" w:line="440" w:lineRule="exact"/>
        <w:jc w:val="both"/>
        <w:rPr>
          <w:rFonts w:hint="eastAsia"/>
          <w:b/>
          <w:color w:val="auto"/>
          <w:sz w:val="32"/>
          <w:szCs w:val="32"/>
          <w:highlight w:val="none"/>
          <w:lang w:eastAsia="zh-CN"/>
        </w:rPr>
      </w:pPr>
    </w:p>
    <w:p>
      <w:pPr>
        <w:pStyle w:val="106"/>
        <w:rPr>
          <w:rFonts w:hint="eastAsia"/>
          <w:color w:val="auto"/>
          <w:highlight w:val="none"/>
          <w:lang w:eastAsia="zh-CN"/>
        </w:rPr>
      </w:pPr>
    </w:p>
    <w:p>
      <w:pPr>
        <w:pageBreakBefore w:val="0"/>
        <w:kinsoku/>
        <w:bidi w:val="0"/>
        <w:adjustRightInd w:val="0"/>
        <w:snapToGrid w:val="0"/>
        <w:spacing w:beforeAutospacing="0" w:afterAutospacing="0" w:line="440" w:lineRule="exact"/>
        <w:jc w:val="both"/>
        <w:rPr>
          <w:rFonts w:hint="default" w:eastAsia="仿宋"/>
          <w:b/>
          <w:color w:val="auto"/>
          <w:sz w:val="32"/>
          <w:szCs w:val="32"/>
          <w:highlight w:val="none"/>
          <w:lang w:val="en-US" w:eastAsia="zh-CN"/>
        </w:rPr>
      </w:pPr>
      <w:r>
        <w:rPr>
          <w:rFonts w:hint="eastAsia"/>
          <w:b/>
          <w:color w:val="auto"/>
          <w:sz w:val="32"/>
          <w:szCs w:val="32"/>
          <w:highlight w:val="none"/>
          <w:lang w:eastAsia="zh-CN"/>
        </w:rPr>
        <w:t>附件</w:t>
      </w:r>
      <w:r>
        <w:rPr>
          <w:rFonts w:hint="eastAsia"/>
          <w:b/>
          <w:color w:val="auto"/>
          <w:sz w:val="32"/>
          <w:szCs w:val="32"/>
          <w:highlight w:val="none"/>
          <w:lang w:val="en-US" w:eastAsia="zh-CN"/>
        </w:rPr>
        <w:t>1</w:t>
      </w:r>
    </w:p>
    <w:p>
      <w:pPr>
        <w:pageBreakBefore w:val="0"/>
        <w:kinsoku/>
        <w:bidi w:val="0"/>
        <w:adjustRightInd w:val="0"/>
        <w:snapToGrid w:val="0"/>
        <w:spacing w:beforeAutospacing="0" w:afterAutospacing="0" w:line="440" w:lineRule="exact"/>
        <w:jc w:val="center"/>
        <w:rPr>
          <w:rFonts w:hint="eastAsia"/>
          <w:b/>
          <w:color w:val="auto"/>
          <w:sz w:val="32"/>
          <w:szCs w:val="32"/>
          <w:highlight w:val="none"/>
        </w:rPr>
      </w:pPr>
    </w:p>
    <w:p>
      <w:pPr>
        <w:pageBreakBefore w:val="0"/>
        <w:kinsoku/>
        <w:bidi w:val="0"/>
        <w:adjustRightInd w:val="0"/>
        <w:snapToGrid w:val="0"/>
        <w:spacing w:beforeAutospacing="0" w:afterAutospacing="0" w:line="440" w:lineRule="exact"/>
        <w:jc w:val="center"/>
        <w:rPr>
          <w:color w:val="auto"/>
          <w:highlight w:val="none"/>
        </w:rPr>
      </w:pPr>
      <w:r>
        <w:rPr>
          <w:rFonts w:hint="eastAsia"/>
          <w:b/>
          <w:color w:val="auto"/>
          <w:sz w:val="32"/>
          <w:szCs w:val="32"/>
          <w:highlight w:val="none"/>
        </w:rPr>
        <w:t>参与政府采购活动健康承诺书</w:t>
      </w:r>
    </w:p>
    <w:p>
      <w:pPr>
        <w:pageBreakBefore w:val="0"/>
        <w:kinsoku/>
        <w:bidi w:val="0"/>
        <w:spacing w:beforeAutospacing="0" w:afterAutospacing="0" w:line="440" w:lineRule="exact"/>
        <w:rPr>
          <w:color w:val="auto"/>
          <w:sz w:val="28"/>
          <w:szCs w:val="28"/>
          <w:highlight w:val="none"/>
          <w:shd w:val="clear" w:color="auto" w:fill="FFFFFF"/>
        </w:rPr>
      </w:pP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我（姓名）：</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身份证号：</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所属单位（公司） ：</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本人现郑重承诺：</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（一）不是来自（或途经）疫情重点地区，或最近14天未有国外旅居史；</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（二）未接触过新型冠状病毒感染的疑似或确诊病例；</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（三）近期无发热、咳嗽、呼吸困难等新型冠状病毒感染可疑症状；</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（四）健康码显示为绿色。</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 xml:space="preserve"> 如上述承诺不实而导致不良后果(如：出现疫情防控重大风险，出现确诊病例等)的，本人自愿承担相关法律责任。 </w:t>
      </w:r>
    </w:p>
    <w:p>
      <w:pPr>
        <w:pageBreakBefore w:val="0"/>
        <w:kinsoku/>
        <w:bidi w:val="0"/>
        <w:snapToGrid w:val="0"/>
        <w:spacing w:beforeAutospacing="0" w:afterAutospacing="0" w:line="440" w:lineRule="exact"/>
        <w:ind w:firstLine="720" w:firstLineChars="300"/>
        <w:jc w:val="both"/>
        <w:rPr>
          <w:rFonts w:hint="eastAsia"/>
          <w:color w:val="auto"/>
          <w:highlight w:val="none"/>
        </w:rPr>
      </w:pPr>
      <w:r>
        <w:rPr>
          <w:rFonts w:hint="eastAsia"/>
          <w:color w:val="auto"/>
          <w:highlight w:val="none"/>
        </w:rPr>
        <w:t xml:space="preserve">                                           </w:t>
      </w:r>
    </w:p>
    <w:p>
      <w:pPr>
        <w:pageBreakBefore w:val="0"/>
        <w:kinsoku/>
        <w:bidi w:val="0"/>
        <w:snapToGrid w:val="0"/>
        <w:spacing w:beforeAutospacing="0" w:afterAutospacing="0" w:line="440" w:lineRule="exact"/>
        <w:ind w:firstLine="720" w:firstLineChars="300"/>
        <w:jc w:val="both"/>
        <w:rPr>
          <w:rFonts w:hint="eastAsia"/>
          <w:color w:val="auto"/>
          <w:highlight w:val="none"/>
        </w:rPr>
      </w:pPr>
    </w:p>
    <w:p>
      <w:pPr>
        <w:pageBreakBefore w:val="0"/>
        <w:kinsoku/>
        <w:bidi w:val="0"/>
        <w:snapToGrid w:val="0"/>
        <w:spacing w:beforeAutospacing="0" w:afterAutospacing="0" w:line="440" w:lineRule="exact"/>
        <w:ind w:firstLine="5760" w:firstLineChars="2400"/>
        <w:jc w:val="both"/>
        <w:rPr>
          <w:rFonts w:hint="eastAsia"/>
          <w:color w:val="auto"/>
          <w:highlight w:val="none"/>
        </w:rPr>
      </w:pPr>
      <w:r>
        <w:rPr>
          <w:rFonts w:hint="eastAsia"/>
          <w:color w:val="auto"/>
          <w:highlight w:val="none"/>
        </w:rPr>
        <w:t xml:space="preserve">承诺人： </w:t>
      </w:r>
    </w:p>
    <w:p>
      <w:pPr>
        <w:pageBreakBefore w:val="0"/>
        <w:kinsoku/>
        <w:bidi w:val="0"/>
        <w:snapToGrid w:val="0"/>
        <w:spacing w:beforeAutospacing="0" w:afterAutospacing="0" w:line="440" w:lineRule="exact"/>
        <w:ind w:firstLine="5760" w:firstLineChars="2400"/>
        <w:jc w:val="both"/>
        <w:rPr>
          <w:color w:val="auto"/>
          <w:sz w:val="20"/>
          <w:highlight w:val="none"/>
        </w:rPr>
      </w:pPr>
      <w:r>
        <w:rPr>
          <w:rFonts w:hint="eastAsia"/>
          <w:color w:val="auto"/>
          <w:highlight w:val="none"/>
        </w:rPr>
        <w:t>时</w:t>
      </w:r>
      <w:r>
        <w:rPr>
          <w:rFonts w:hint="eastAsia"/>
          <w:color w:val="auto"/>
          <w:highlight w:val="none"/>
          <w:lang w:val="en-US" w:eastAsia="zh-CN"/>
        </w:rPr>
        <w:t xml:space="preserve">  </w:t>
      </w:r>
      <w:r>
        <w:rPr>
          <w:rFonts w:hint="eastAsia"/>
          <w:color w:val="auto"/>
          <w:highlight w:val="none"/>
        </w:rPr>
        <w:t>间：</w:t>
      </w:r>
    </w:p>
    <w:p>
      <w:pPr>
        <w:pageBreakBefore w:val="0"/>
        <w:kinsoku/>
        <w:bidi w:val="0"/>
        <w:adjustRightInd w:val="0"/>
        <w:snapToGrid w:val="0"/>
        <w:spacing w:beforeAutospacing="0" w:afterAutospacing="0" w:line="440" w:lineRule="exact"/>
        <w:jc w:val="center"/>
        <w:rPr>
          <w:color w:val="auto"/>
          <w:highlight w:val="none"/>
        </w:rPr>
      </w:pPr>
    </w:p>
    <w:p>
      <w:pPr>
        <w:pageBreakBefore w:val="0"/>
        <w:kinsoku/>
        <w:bidi w:val="0"/>
        <w:adjustRightInd w:val="0"/>
        <w:snapToGrid w:val="0"/>
        <w:spacing w:beforeAutospacing="0" w:afterAutospacing="0" w:line="440" w:lineRule="exact"/>
        <w:jc w:val="center"/>
        <w:rPr>
          <w:color w:val="auto"/>
          <w:highlight w:val="none"/>
        </w:rPr>
      </w:pPr>
    </w:p>
    <w:p>
      <w:pPr>
        <w:pageBreakBefore w:val="0"/>
        <w:kinsoku/>
        <w:bidi w:val="0"/>
        <w:adjustRightInd w:val="0"/>
        <w:snapToGrid w:val="0"/>
        <w:spacing w:beforeAutospacing="0" w:afterAutospacing="0" w:line="440" w:lineRule="exact"/>
        <w:jc w:val="left"/>
        <w:rPr>
          <w:b/>
          <w:bCs/>
          <w:color w:val="auto"/>
          <w:highlight w:val="none"/>
        </w:rPr>
      </w:pPr>
      <w:r>
        <w:rPr>
          <w:rFonts w:hint="eastAsia"/>
          <w:b/>
          <w:bCs/>
          <w:color w:val="auto"/>
          <w:highlight w:val="none"/>
        </w:rPr>
        <w:t>注：本承诺函按疫情防控需要提供</w:t>
      </w:r>
    </w:p>
    <w:p>
      <w:pPr>
        <w:pageBreakBefore w:val="0"/>
        <w:kinsoku/>
        <w:bidi w:val="0"/>
        <w:adjustRightInd w:val="0"/>
        <w:snapToGrid w:val="0"/>
        <w:spacing w:beforeAutospacing="0" w:afterAutospacing="0" w:line="440" w:lineRule="exact"/>
        <w:jc w:val="center"/>
        <w:rPr>
          <w:color w:val="auto"/>
          <w:highlight w:val="none"/>
        </w:rPr>
      </w:pPr>
    </w:p>
    <w:p>
      <w:pPr>
        <w:pageBreakBefore w:val="0"/>
        <w:kinsoku/>
        <w:bidi w:val="0"/>
        <w:adjustRightInd w:val="0"/>
        <w:snapToGrid w:val="0"/>
        <w:spacing w:beforeAutospacing="0" w:afterAutospacing="0" w:line="440" w:lineRule="exact"/>
        <w:jc w:val="both"/>
        <w:rPr>
          <w:rFonts w:hint="eastAsia"/>
          <w:b/>
          <w:color w:val="auto"/>
          <w:sz w:val="32"/>
          <w:szCs w:val="32"/>
          <w:highlight w:val="none"/>
          <w:lang w:eastAsia="zh-CN"/>
        </w:rPr>
      </w:pPr>
    </w:p>
    <w:p>
      <w:pPr>
        <w:pStyle w:val="106"/>
        <w:rPr>
          <w:rFonts w:hint="eastAsia"/>
          <w:b/>
          <w:color w:val="auto"/>
          <w:sz w:val="32"/>
          <w:szCs w:val="32"/>
          <w:highlight w:val="none"/>
          <w:lang w:eastAsia="zh-CN"/>
        </w:rPr>
      </w:pPr>
    </w:p>
    <w:p>
      <w:pPr>
        <w:rPr>
          <w:rFonts w:hint="eastAsia"/>
          <w:b/>
          <w:color w:val="auto"/>
          <w:sz w:val="32"/>
          <w:szCs w:val="32"/>
          <w:highlight w:val="none"/>
          <w:lang w:eastAsia="zh-CN"/>
        </w:rPr>
      </w:pPr>
    </w:p>
    <w:p>
      <w:pPr>
        <w:pStyle w:val="106"/>
        <w:rPr>
          <w:rFonts w:hint="eastAsia"/>
          <w:b/>
          <w:color w:val="auto"/>
          <w:sz w:val="32"/>
          <w:szCs w:val="32"/>
          <w:highlight w:val="none"/>
          <w:lang w:eastAsia="zh-CN"/>
        </w:rPr>
      </w:pPr>
    </w:p>
    <w:p>
      <w:pPr>
        <w:rPr>
          <w:rFonts w:hint="eastAsia"/>
          <w:color w:val="auto"/>
          <w:highlight w:val="none"/>
          <w:lang w:eastAsia="zh-CN"/>
        </w:rPr>
      </w:pPr>
    </w:p>
    <w:p>
      <w:pPr>
        <w:pageBreakBefore w:val="0"/>
        <w:kinsoku/>
        <w:bidi w:val="0"/>
        <w:adjustRightInd w:val="0"/>
        <w:snapToGrid w:val="0"/>
        <w:spacing w:beforeAutospacing="0" w:afterAutospacing="0" w:line="440" w:lineRule="exact"/>
        <w:jc w:val="both"/>
        <w:rPr>
          <w:rFonts w:hint="eastAsia"/>
          <w:b/>
          <w:color w:val="auto"/>
          <w:sz w:val="32"/>
          <w:szCs w:val="32"/>
          <w:highlight w:val="none"/>
          <w:lang w:eastAsia="zh-CN"/>
        </w:rPr>
      </w:pPr>
    </w:p>
    <w:p>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附件</w:t>
      </w:r>
      <w:r>
        <w:rPr>
          <w:rFonts w:hint="eastAsia"/>
          <w:b/>
          <w:color w:val="auto"/>
          <w:sz w:val="32"/>
          <w:szCs w:val="32"/>
          <w:highlight w:val="none"/>
          <w:lang w:val="en-US" w:eastAsia="zh-CN"/>
        </w:rPr>
        <w:t>2</w:t>
      </w:r>
    </w:p>
    <w:p>
      <w:pPr>
        <w:pStyle w:val="39"/>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pPr>
        <w:pStyle w:val="39"/>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pPr>
        <w:pStyle w:val="39"/>
        <w:pageBreakBefore w:val="0"/>
        <w:kinsoku/>
        <w:bidi w:val="0"/>
        <w:spacing w:beforeAutospacing="0" w:afterAutospacing="0" w:line="440" w:lineRule="exact"/>
        <w:ind w:firstLine="0"/>
        <w:rPr>
          <w:rFonts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pPr>
        <w:pageBreakBefore w:val="0"/>
        <w:kinsoku/>
        <w:bidi w:val="0"/>
        <w:spacing w:beforeAutospacing="0" w:afterAutospacing="0" w:line="440" w:lineRule="exact"/>
        <w:rPr>
          <w:color w:val="auto"/>
          <w:highlight w:val="none"/>
        </w:rPr>
      </w:pPr>
    </w:p>
    <w:p>
      <w:pPr>
        <w:pStyle w:val="107"/>
        <w:pageBreakBefore w:val="0"/>
        <w:kinsoku/>
        <w:bidi w:val="0"/>
        <w:spacing w:before="0" w:beforeAutospacing="0" w:after="0" w:afterAutospacing="0" w:line="440" w:lineRule="exact"/>
        <w:rPr>
          <w:color w:val="auto"/>
          <w:highlight w:val="none"/>
        </w:rPr>
      </w:pPr>
    </w:p>
    <w:p>
      <w:pPr>
        <w:pageBreakBefore w:val="0"/>
        <w:kinsoku/>
        <w:bidi w:val="0"/>
        <w:spacing w:beforeAutospacing="0" w:afterAutospacing="0" w:line="440" w:lineRule="exact"/>
        <w:jc w:val="center"/>
        <w:rPr>
          <w:color w:val="auto"/>
          <w:highlight w:val="none"/>
        </w:rPr>
      </w:pPr>
      <w:r>
        <w:rPr>
          <w:rFonts w:hint="eastAsia"/>
          <w:color w:val="auto"/>
          <w:highlight w:val="none"/>
        </w:rPr>
        <w:t>关于XXX项目公开招标的询问函</w:t>
      </w:r>
    </w:p>
    <w:p>
      <w:pPr>
        <w:pageBreakBefore w:val="0"/>
        <w:kinsoku/>
        <w:bidi w:val="0"/>
        <w:snapToGrid w:val="0"/>
        <w:spacing w:beforeAutospacing="0" w:afterAutospacing="0" w:line="440" w:lineRule="exact"/>
        <w:ind w:firstLine="480" w:firstLineChars="200"/>
        <w:rPr>
          <w:color w:val="auto"/>
          <w:highlight w:val="none"/>
        </w:rPr>
      </w:pPr>
    </w:p>
    <w:p>
      <w:pPr>
        <w:pageBreakBefore w:val="0"/>
        <w:kinsoku/>
        <w:bidi w:val="0"/>
        <w:snapToGrid w:val="0"/>
        <w:spacing w:beforeAutospacing="0" w:afterAutospacing="0" w:line="440" w:lineRule="exact"/>
        <w:ind w:firstLine="480" w:firstLineChars="200"/>
        <w:rPr>
          <w:rFonts w:hint="eastAsia"/>
          <w:color w:val="auto"/>
          <w:highlight w:val="none"/>
        </w:rPr>
      </w:pP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关于</w:t>
      </w:r>
      <w:r>
        <w:rPr>
          <w:rFonts w:hint="eastAsia"/>
          <w:color w:val="auto"/>
          <w:highlight w:val="none"/>
          <w:lang w:eastAsia="zh-CN"/>
        </w:rPr>
        <w:t>杭州市富阳区更高水平气象现代化项目（二期）-区域气象站和农业气象站观测及传输设备项目</w:t>
      </w:r>
      <w:r>
        <w:rPr>
          <w:rFonts w:hint="eastAsia"/>
          <w:color w:val="auto"/>
          <w:highlight w:val="none"/>
        </w:rPr>
        <w:t>（项目编号）（项目标项）我公司有以下几点疑问：</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询问事项二：  ...</w:t>
      </w:r>
    </w:p>
    <w:p>
      <w:pPr>
        <w:pageBreakBefore w:val="0"/>
        <w:kinsoku/>
        <w:bidi w:val="0"/>
        <w:spacing w:beforeAutospacing="0" w:afterAutospacing="0" w:line="440" w:lineRule="exact"/>
        <w:rPr>
          <w:color w:val="auto"/>
          <w:highlight w:val="none"/>
        </w:rPr>
      </w:pPr>
    </w:p>
    <w:p>
      <w:pPr>
        <w:pStyle w:val="6"/>
        <w:pageBreakBefore w:val="0"/>
        <w:kinsoku/>
        <w:bidi w:val="0"/>
        <w:spacing w:before="0" w:beforeAutospacing="0" w:after="0" w:afterAutospacing="0" w:line="440" w:lineRule="exact"/>
        <w:rPr>
          <w:color w:val="auto"/>
          <w:highlight w:val="none"/>
        </w:rPr>
      </w:pPr>
    </w:p>
    <w:p>
      <w:pPr>
        <w:pStyle w:val="39"/>
        <w:pageBreakBefore w:val="0"/>
        <w:kinsoku/>
        <w:bidi w:val="0"/>
        <w:spacing w:beforeAutospacing="0" w:afterAutospacing="0" w:line="440" w:lineRule="exact"/>
        <w:rPr>
          <w:rFonts w:ascii="仿宋" w:hAnsi="仿宋"/>
          <w:color w:val="auto"/>
          <w:sz w:val="24"/>
          <w:highlight w:val="none"/>
        </w:rPr>
      </w:pP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供应商全称（盖章）：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法定代表人（签名或签章）：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授权代表（签名）：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联系电话（手机）：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电子邮箱：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询问日期：                        </w:t>
      </w:r>
    </w:p>
    <w:p>
      <w:pPr>
        <w:pageBreakBefore w:val="0"/>
        <w:kinsoku/>
        <w:bidi w:val="0"/>
        <w:spacing w:beforeAutospacing="0" w:afterAutospacing="0" w:line="440" w:lineRule="exact"/>
        <w:rPr>
          <w:color w:val="auto"/>
          <w:highlight w:val="none"/>
        </w:rPr>
      </w:pPr>
      <w:r>
        <w:rPr>
          <w:rFonts w:hint="eastAsia"/>
          <w:color w:val="auto"/>
          <w:highlight w:val="none"/>
        </w:rPr>
        <w:t xml:space="preserve"> </w:t>
      </w:r>
    </w:p>
    <w:p>
      <w:pPr>
        <w:pageBreakBefore w:val="0"/>
        <w:kinsoku/>
        <w:bidi w:val="0"/>
        <w:spacing w:beforeAutospacing="0" w:afterAutospacing="0" w:line="440" w:lineRule="exact"/>
        <w:rPr>
          <w:color w:val="auto"/>
          <w:highlight w:val="none"/>
        </w:rPr>
      </w:pPr>
    </w:p>
    <w:p>
      <w:pPr>
        <w:pageBreakBefore w:val="0"/>
        <w:kinsoku/>
        <w:bidi w:val="0"/>
        <w:adjustRightInd w:val="0"/>
        <w:snapToGrid w:val="0"/>
        <w:spacing w:beforeAutospacing="0" w:afterAutospacing="0" w:line="440" w:lineRule="exact"/>
        <w:jc w:val="center"/>
        <w:rPr>
          <w:color w:val="auto"/>
          <w:highlight w:val="none"/>
        </w:rPr>
      </w:pPr>
    </w:p>
    <w:p>
      <w:pPr>
        <w:pStyle w:val="107"/>
        <w:pageBreakBefore w:val="0"/>
        <w:kinsoku/>
        <w:bidi w:val="0"/>
        <w:spacing w:before="0" w:beforeAutospacing="0" w:after="0" w:afterAutospacing="0" w:line="440" w:lineRule="exact"/>
        <w:rPr>
          <w:rFonts w:ascii="仿宋" w:hAnsi="仿宋"/>
          <w:color w:val="auto"/>
          <w:highlight w:val="none"/>
        </w:rPr>
      </w:pPr>
    </w:p>
    <w:p>
      <w:pPr>
        <w:pageBreakBefore w:val="0"/>
        <w:kinsoku/>
        <w:bidi w:val="0"/>
        <w:spacing w:beforeAutospacing="0" w:afterAutospacing="0" w:line="440" w:lineRule="exact"/>
        <w:rPr>
          <w:color w:val="auto"/>
          <w:highlight w:val="none"/>
        </w:rPr>
      </w:pPr>
    </w:p>
    <w:p>
      <w:pPr>
        <w:pStyle w:val="106"/>
        <w:rPr>
          <w:color w:val="auto"/>
          <w:highlight w:val="none"/>
        </w:rPr>
      </w:pPr>
    </w:p>
    <w:p>
      <w:pPr>
        <w:rPr>
          <w:color w:val="auto"/>
          <w:highlight w:val="none"/>
        </w:rPr>
      </w:pPr>
    </w:p>
    <w:p>
      <w:pPr>
        <w:pStyle w:val="106"/>
        <w:rPr>
          <w:color w:val="auto"/>
          <w:highlight w:val="none"/>
        </w:rPr>
      </w:pPr>
    </w:p>
    <w:p>
      <w:pPr>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件3</w:t>
      </w:r>
    </w:p>
    <w:p>
      <w:pPr>
        <w:pStyle w:val="88"/>
        <w:pageBreakBefore w:val="0"/>
        <w:kinsoku/>
        <w:bidi w:val="0"/>
        <w:spacing w:beforeAutospacing="0" w:after="0" w:afterAutospacing="0" w:line="440" w:lineRule="exact"/>
        <w:ind w:left="480"/>
        <w:rPr>
          <w:color w:val="auto"/>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质疑供应商：</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地址：</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联系人：</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授权代表：</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地址： </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质疑项目的名称：</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质疑项目的编号：</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包号：</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采购人名称：</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采购文件获取日期：</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质疑事项1：</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事实依据：</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法律依据：</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质疑事项2</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请求：</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color w:val="auto"/>
          <w:sz w:val="24"/>
          <w:szCs w:val="24"/>
          <w:highlight w:val="none"/>
        </w:rPr>
      </w:pPr>
      <w:r>
        <w:rPr>
          <w:rFonts w:ascii="仿宋_GB2312" w:hAnsi="仿宋" w:eastAsia="仿宋_GB2312" w:cs="Times New Roman"/>
          <w:b/>
          <w:color w:val="auto"/>
          <w:sz w:val="24"/>
          <w:szCs w:val="24"/>
          <w:highlight w:val="none"/>
        </w:rPr>
        <w:br w:type="page"/>
      </w: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szCs w:val="24"/>
          <w:highlight w:val="none"/>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color w:val="auto"/>
          <w:sz w:val="30"/>
          <w:szCs w:val="30"/>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widowControl/>
        <w:kinsoku/>
        <w:bidi w:val="0"/>
        <w:spacing w:beforeAutospacing="0" w:afterAutospacing="0" w:line="440" w:lineRule="exact"/>
        <w:jc w:val="left"/>
        <w:rPr>
          <w:rFonts w:ascii="仿宋_GB2312" w:hAnsi="仿宋" w:eastAsia="仿宋_GB2312" w:cs="Times New Roman"/>
          <w:b/>
          <w:color w:val="auto"/>
          <w:spacing w:val="6"/>
          <w:sz w:val="32"/>
          <w:szCs w:val="32"/>
          <w:highlight w:val="none"/>
        </w:rPr>
      </w:pPr>
      <w:r>
        <w:rPr>
          <w:rFonts w:ascii="仿宋_GB2312" w:hAnsi="仿宋" w:eastAsia="仿宋_GB2312" w:cs="Times New Roman"/>
          <w:b/>
          <w:color w:val="auto"/>
          <w:spacing w:val="6"/>
          <w:sz w:val="32"/>
          <w:szCs w:val="32"/>
          <w:highlight w:val="none"/>
        </w:rPr>
        <w:br w:type="page"/>
      </w:r>
    </w:p>
    <w:p>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件4</w:t>
      </w:r>
    </w:p>
    <w:p>
      <w:pPr>
        <w:pageBreakBefore w:val="0"/>
        <w:kinsoku/>
        <w:bidi w:val="0"/>
        <w:adjustRightInd w:val="0"/>
        <w:spacing w:beforeAutospacing="0" w:afterAutospacing="0" w:line="440" w:lineRule="exact"/>
        <w:jc w:val="center"/>
        <w:rPr>
          <w:rFonts w:hint="eastAsia"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color w:val="auto"/>
          <w:sz w:val="24"/>
          <w:szCs w:val="24"/>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法定代表人/主要负责人：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授权代表：</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被投诉人1：</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被投诉人2</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相关供应商：</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二、投诉项目基本情况</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采购项目名称：</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采购项目编号：</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包号：</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采购人名称：</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代理机构名称：</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采购文件公告: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采购结果公告: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日,向</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提出质疑，质疑事项为：</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u w:val="dotted"/>
        </w:rPr>
        <w:t>采购人/代理机构</w:t>
      </w:r>
      <w:r>
        <w:rPr>
          <w:rFonts w:hint="eastAsia" w:ascii="仿宋_GB2312" w:hAnsi="仿宋" w:eastAsia="仿宋_GB2312" w:cs="Times New Roman"/>
          <w:color w:val="auto"/>
          <w:sz w:val="24"/>
          <w:szCs w:val="24"/>
          <w:highlight w:val="none"/>
        </w:rPr>
        <w:t>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四、投诉事项具体内容</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投诉事项 1：</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事实依据：</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法律依据：</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投诉事项2</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请求：</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szCs w:val="24"/>
          <w:highlight w:val="none"/>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sectPr>
      <w:footerReference r:id="rId24" w:type="first"/>
      <w:headerReference r:id="rId21" w:type="default"/>
      <w:footerReference r:id="rId22" w:type="default"/>
      <w:footerReference r:id="rId23"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7"/>
      </w:rPr>
    </w:pPr>
    <w:r>
      <w:fldChar w:fldCharType="begin"/>
    </w:r>
    <w:r>
      <w:rPr>
        <w:rStyle w:val="97"/>
      </w:rPr>
      <w:instrText xml:space="preserve">PAGE  </w:instrText>
    </w:r>
    <w:r>
      <w:fldChar w:fldCharType="end"/>
    </w:r>
  </w:p>
  <w:p>
    <w:pPr>
      <w:pStyle w:val="57"/>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A749441"/>
    <w:multiLevelType w:val="singleLevel"/>
    <w:tmpl w:val="DA749441"/>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6C1608D0"/>
    <w:multiLevelType w:val="singleLevel"/>
    <w:tmpl w:val="6C1608D0"/>
    <w:lvl w:ilvl="0" w:tentative="0">
      <w:start w:val="1"/>
      <w:numFmt w:val="decimal"/>
      <w:lvlText w:val="%1."/>
      <w:lvlJc w:val="left"/>
      <w:pPr>
        <w:ind w:left="425" w:hanging="425"/>
      </w:pPr>
      <w:rPr>
        <w:rFonts w:hint="default"/>
      </w:rPr>
    </w:lvl>
  </w:abstractNum>
  <w:num w:numId="1">
    <w:abstractNumId w:val="2"/>
  </w:num>
  <w:num w:numId="2">
    <w:abstractNumId w:val="7"/>
  </w:num>
  <w:num w:numId="3">
    <w:abstractNumId w:val="8"/>
  </w:num>
  <w:num w:numId="4">
    <w:abstractNumId w:val="3"/>
  </w:num>
  <w:num w:numId="5">
    <w:abstractNumId w:val="6"/>
  </w:num>
  <w:num w:numId="6">
    <w:abstractNumId w:val="10"/>
  </w:num>
  <w:num w:numId="7">
    <w:abstractNumId w:val="1"/>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ZkOTU1ODJkODBlOGI3NjM4NGQwZGEyMWI4MGQwZDc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5DF"/>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409"/>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1D96AAB"/>
    <w:rsid w:val="020E02AA"/>
    <w:rsid w:val="022D1BC3"/>
    <w:rsid w:val="0236353C"/>
    <w:rsid w:val="025C7268"/>
    <w:rsid w:val="026D739D"/>
    <w:rsid w:val="0282299F"/>
    <w:rsid w:val="02B80732"/>
    <w:rsid w:val="02BC38D2"/>
    <w:rsid w:val="02C37AC6"/>
    <w:rsid w:val="02C86BF7"/>
    <w:rsid w:val="02E77227"/>
    <w:rsid w:val="02EB08BF"/>
    <w:rsid w:val="02ED2E83"/>
    <w:rsid w:val="03316FCB"/>
    <w:rsid w:val="03373980"/>
    <w:rsid w:val="03375332"/>
    <w:rsid w:val="036E19E4"/>
    <w:rsid w:val="038A6195"/>
    <w:rsid w:val="03925809"/>
    <w:rsid w:val="03C25CCE"/>
    <w:rsid w:val="03D33559"/>
    <w:rsid w:val="04075304"/>
    <w:rsid w:val="041D2F46"/>
    <w:rsid w:val="04280D0C"/>
    <w:rsid w:val="044A4D37"/>
    <w:rsid w:val="045955B0"/>
    <w:rsid w:val="04610A59"/>
    <w:rsid w:val="04644DB3"/>
    <w:rsid w:val="0468245D"/>
    <w:rsid w:val="04925926"/>
    <w:rsid w:val="049306BE"/>
    <w:rsid w:val="04E62E18"/>
    <w:rsid w:val="04EF19AA"/>
    <w:rsid w:val="050866B0"/>
    <w:rsid w:val="050E0405"/>
    <w:rsid w:val="053A4FF9"/>
    <w:rsid w:val="054A5317"/>
    <w:rsid w:val="054C5424"/>
    <w:rsid w:val="05537BA4"/>
    <w:rsid w:val="05767156"/>
    <w:rsid w:val="0578283B"/>
    <w:rsid w:val="057857F0"/>
    <w:rsid w:val="05867A5F"/>
    <w:rsid w:val="05AA75F9"/>
    <w:rsid w:val="05BF1195"/>
    <w:rsid w:val="05D821AC"/>
    <w:rsid w:val="05E64BAC"/>
    <w:rsid w:val="0609156B"/>
    <w:rsid w:val="0620235A"/>
    <w:rsid w:val="06256E72"/>
    <w:rsid w:val="063E7FBE"/>
    <w:rsid w:val="06454049"/>
    <w:rsid w:val="064E1E01"/>
    <w:rsid w:val="065065CB"/>
    <w:rsid w:val="066111B0"/>
    <w:rsid w:val="0668445E"/>
    <w:rsid w:val="067030A9"/>
    <w:rsid w:val="067F09B5"/>
    <w:rsid w:val="06837E0B"/>
    <w:rsid w:val="06856661"/>
    <w:rsid w:val="06927340"/>
    <w:rsid w:val="06994A84"/>
    <w:rsid w:val="069B2375"/>
    <w:rsid w:val="06D933E0"/>
    <w:rsid w:val="06EA60E0"/>
    <w:rsid w:val="070729D4"/>
    <w:rsid w:val="07184CB5"/>
    <w:rsid w:val="07386C6B"/>
    <w:rsid w:val="076C6F78"/>
    <w:rsid w:val="07A969DE"/>
    <w:rsid w:val="07DF3928"/>
    <w:rsid w:val="07EE746B"/>
    <w:rsid w:val="07F77F32"/>
    <w:rsid w:val="08236132"/>
    <w:rsid w:val="082A6DEC"/>
    <w:rsid w:val="086026F5"/>
    <w:rsid w:val="08977063"/>
    <w:rsid w:val="08AB2FDA"/>
    <w:rsid w:val="08C51D33"/>
    <w:rsid w:val="08F540F1"/>
    <w:rsid w:val="0920642C"/>
    <w:rsid w:val="092B4E76"/>
    <w:rsid w:val="09380C46"/>
    <w:rsid w:val="09A20E16"/>
    <w:rsid w:val="09B23D32"/>
    <w:rsid w:val="09B951D7"/>
    <w:rsid w:val="09F07FF9"/>
    <w:rsid w:val="09F6497A"/>
    <w:rsid w:val="0A015264"/>
    <w:rsid w:val="0A092218"/>
    <w:rsid w:val="0AAC3DBD"/>
    <w:rsid w:val="0AB61297"/>
    <w:rsid w:val="0AF72FE3"/>
    <w:rsid w:val="0B36521C"/>
    <w:rsid w:val="0B4D3B6E"/>
    <w:rsid w:val="0B650CF4"/>
    <w:rsid w:val="0B6940EA"/>
    <w:rsid w:val="0BFF569C"/>
    <w:rsid w:val="0C196F62"/>
    <w:rsid w:val="0C587987"/>
    <w:rsid w:val="0C7E214D"/>
    <w:rsid w:val="0C865E84"/>
    <w:rsid w:val="0C8C32F3"/>
    <w:rsid w:val="0C9E0643"/>
    <w:rsid w:val="0CAE3F07"/>
    <w:rsid w:val="0CB6050B"/>
    <w:rsid w:val="0CC61495"/>
    <w:rsid w:val="0CD143AE"/>
    <w:rsid w:val="0CDC732C"/>
    <w:rsid w:val="0CE03E45"/>
    <w:rsid w:val="0CE82A48"/>
    <w:rsid w:val="0CFB0B17"/>
    <w:rsid w:val="0D044784"/>
    <w:rsid w:val="0D0530F8"/>
    <w:rsid w:val="0D0C5A0C"/>
    <w:rsid w:val="0D3A63F7"/>
    <w:rsid w:val="0D531FED"/>
    <w:rsid w:val="0D6A76E4"/>
    <w:rsid w:val="0D6D2BE9"/>
    <w:rsid w:val="0DBE0DD6"/>
    <w:rsid w:val="0DC47BD4"/>
    <w:rsid w:val="0DD2058B"/>
    <w:rsid w:val="0DD70BBE"/>
    <w:rsid w:val="0DF63C8E"/>
    <w:rsid w:val="0E007287"/>
    <w:rsid w:val="0E2A4EBB"/>
    <w:rsid w:val="0E2E4511"/>
    <w:rsid w:val="0E3E10C3"/>
    <w:rsid w:val="0E71212C"/>
    <w:rsid w:val="0E725829"/>
    <w:rsid w:val="0E786D01"/>
    <w:rsid w:val="0E792B8A"/>
    <w:rsid w:val="0EB45CE0"/>
    <w:rsid w:val="0EBF6523"/>
    <w:rsid w:val="0EDC3095"/>
    <w:rsid w:val="0EE54141"/>
    <w:rsid w:val="0EF95FD9"/>
    <w:rsid w:val="0F237467"/>
    <w:rsid w:val="0F312A57"/>
    <w:rsid w:val="0F424644"/>
    <w:rsid w:val="0F4C41C0"/>
    <w:rsid w:val="0F5F63AE"/>
    <w:rsid w:val="0F7148DF"/>
    <w:rsid w:val="0F952D09"/>
    <w:rsid w:val="0FA01970"/>
    <w:rsid w:val="0FA936AF"/>
    <w:rsid w:val="0FBF1235"/>
    <w:rsid w:val="0FC47870"/>
    <w:rsid w:val="0FC86C70"/>
    <w:rsid w:val="0FCF6761"/>
    <w:rsid w:val="0FD032B4"/>
    <w:rsid w:val="0FFD54BA"/>
    <w:rsid w:val="101027B0"/>
    <w:rsid w:val="103055A6"/>
    <w:rsid w:val="107C1802"/>
    <w:rsid w:val="10863CAA"/>
    <w:rsid w:val="10926863"/>
    <w:rsid w:val="10B15F38"/>
    <w:rsid w:val="10F35875"/>
    <w:rsid w:val="10F5707C"/>
    <w:rsid w:val="111666F6"/>
    <w:rsid w:val="111C017B"/>
    <w:rsid w:val="114F2E95"/>
    <w:rsid w:val="11525130"/>
    <w:rsid w:val="11561F57"/>
    <w:rsid w:val="116A40D1"/>
    <w:rsid w:val="116F4AFA"/>
    <w:rsid w:val="117071F7"/>
    <w:rsid w:val="118A59F2"/>
    <w:rsid w:val="11984A56"/>
    <w:rsid w:val="11CC783A"/>
    <w:rsid w:val="11CD69F4"/>
    <w:rsid w:val="12000975"/>
    <w:rsid w:val="120E1C01"/>
    <w:rsid w:val="122114BC"/>
    <w:rsid w:val="122E093D"/>
    <w:rsid w:val="125E6BD9"/>
    <w:rsid w:val="129E11D6"/>
    <w:rsid w:val="12B86A79"/>
    <w:rsid w:val="12D559C7"/>
    <w:rsid w:val="12D80A40"/>
    <w:rsid w:val="12DB66FD"/>
    <w:rsid w:val="12DE0A65"/>
    <w:rsid w:val="12E3504E"/>
    <w:rsid w:val="13023655"/>
    <w:rsid w:val="13213D92"/>
    <w:rsid w:val="13397FAD"/>
    <w:rsid w:val="135703C9"/>
    <w:rsid w:val="13623FB2"/>
    <w:rsid w:val="13631A10"/>
    <w:rsid w:val="13652F65"/>
    <w:rsid w:val="139C2569"/>
    <w:rsid w:val="139D0602"/>
    <w:rsid w:val="13A30D27"/>
    <w:rsid w:val="13D608C4"/>
    <w:rsid w:val="13D87C72"/>
    <w:rsid w:val="13E1642A"/>
    <w:rsid w:val="13E37517"/>
    <w:rsid w:val="13ED7281"/>
    <w:rsid w:val="14011D4D"/>
    <w:rsid w:val="14301D37"/>
    <w:rsid w:val="14393AD1"/>
    <w:rsid w:val="143C0CA7"/>
    <w:rsid w:val="14771CDF"/>
    <w:rsid w:val="14813A64"/>
    <w:rsid w:val="14991C55"/>
    <w:rsid w:val="14B54B01"/>
    <w:rsid w:val="14C52FE6"/>
    <w:rsid w:val="14F77BF1"/>
    <w:rsid w:val="14FF642C"/>
    <w:rsid w:val="154021BC"/>
    <w:rsid w:val="15490ECD"/>
    <w:rsid w:val="15734D76"/>
    <w:rsid w:val="15B64A89"/>
    <w:rsid w:val="15FE54DC"/>
    <w:rsid w:val="16207125"/>
    <w:rsid w:val="16281D9C"/>
    <w:rsid w:val="1635775C"/>
    <w:rsid w:val="16650B45"/>
    <w:rsid w:val="168144CE"/>
    <w:rsid w:val="16971E47"/>
    <w:rsid w:val="16A1400D"/>
    <w:rsid w:val="16B667DA"/>
    <w:rsid w:val="16BA0E4A"/>
    <w:rsid w:val="16C371C2"/>
    <w:rsid w:val="170D40E3"/>
    <w:rsid w:val="1727550D"/>
    <w:rsid w:val="173739A8"/>
    <w:rsid w:val="17801A73"/>
    <w:rsid w:val="17D55010"/>
    <w:rsid w:val="181152FA"/>
    <w:rsid w:val="18323011"/>
    <w:rsid w:val="186D4557"/>
    <w:rsid w:val="18981A6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9026A6"/>
    <w:rsid w:val="1A941212"/>
    <w:rsid w:val="1AC32548"/>
    <w:rsid w:val="1AC67331"/>
    <w:rsid w:val="1ACB51FD"/>
    <w:rsid w:val="1ACC0364"/>
    <w:rsid w:val="1AE03B14"/>
    <w:rsid w:val="1AE46980"/>
    <w:rsid w:val="1AFB0015"/>
    <w:rsid w:val="1B0940A8"/>
    <w:rsid w:val="1B125895"/>
    <w:rsid w:val="1B17268B"/>
    <w:rsid w:val="1B3E356A"/>
    <w:rsid w:val="1B4C1F6E"/>
    <w:rsid w:val="1B4D356B"/>
    <w:rsid w:val="1B643160"/>
    <w:rsid w:val="1B760734"/>
    <w:rsid w:val="1B7B678F"/>
    <w:rsid w:val="1BA10E42"/>
    <w:rsid w:val="1BAD248A"/>
    <w:rsid w:val="1BBE0365"/>
    <w:rsid w:val="1BC44F86"/>
    <w:rsid w:val="1BD80238"/>
    <w:rsid w:val="1BD97FC2"/>
    <w:rsid w:val="1BEB47F2"/>
    <w:rsid w:val="1C1A08A4"/>
    <w:rsid w:val="1C1C2E82"/>
    <w:rsid w:val="1C1C4F1A"/>
    <w:rsid w:val="1C3D7633"/>
    <w:rsid w:val="1C49396E"/>
    <w:rsid w:val="1C5C77AB"/>
    <w:rsid w:val="1C677676"/>
    <w:rsid w:val="1C7443B6"/>
    <w:rsid w:val="1C7A0440"/>
    <w:rsid w:val="1CD07AAC"/>
    <w:rsid w:val="1CE21541"/>
    <w:rsid w:val="1CF6385D"/>
    <w:rsid w:val="1CFD467A"/>
    <w:rsid w:val="1D0571E1"/>
    <w:rsid w:val="1D392781"/>
    <w:rsid w:val="1D5C2402"/>
    <w:rsid w:val="1D750D86"/>
    <w:rsid w:val="1DA148E3"/>
    <w:rsid w:val="1DD65F2E"/>
    <w:rsid w:val="1DEF321D"/>
    <w:rsid w:val="1DF35654"/>
    <w:rsid w:val="1E0026D8"/>
    <w:rsid w:val="1E042BDD"/>
    <w:rsid w:val="1E16695D"/>
    <w:rsid w:val="1E24762D"/>
    <w:rsid w:val="1E284B2B"/>
    <w:rsid w:val="1E535274"/>
    <w:rsid w:val="1E6A3E74"/>
    <w:rsid w:val="1E7471FB"/>
    <w:rsid w:val="1E8474D2"/>
    <w:rsid w:val="1E9F255E"/>
    <w:rsid w:val="1EAA1138"/>
    <w:rsid w:val="1EB008AA"/>
    <w:rsid w:val="1EB07A6C"/>
    <w:rsid w:val="1ECF4C15"/>
    <w:rsid w:val="1EDA3BD8"/>
    <w:rsid w:val="1EE44415"/>
    <w:rsid w:val="1EED583E"/>
    <w:rsid w:val="1EED6B26"/>
    <w:rsid w:val="1F182311"/>
    <w:rsid w:val="1F430143"/>
    <w:rsid w:val="1F492724"/>
    <w:rsid w:val="1F5A6485"/>
    <w:rsid w:val="1FDB6B40"/>
    <w:rsid w:val="202B3AD6"/>
    <w:rsid w:val="20467B64"/>
    <w:rsid w:val="204834A0"/>
    <w:rsid w:val="20AB3475"/>
    <w:rsid w:val="20BB10DA"/>
    <w:rsid w:val="20DE682E"/>
    <w:rsid w:val="20F00F7A"/>
    <w:rsid w:val="210B1133"/>
    <w:rsid w:val="21203C37"/>
    <w:rsid w:val="21233350"/>
    <w:rsid w:val="21254871"/>
    <w:rsid w:val="21480C86"/>
    <w:rsid w:val="21677BAA"/>
    <w:rsid w:val="21787096"/>
    <w:rsid w:val="21952A82"/>
    <w:rsid w:val="219D2323"/>
    <w:rsid w:val="21A91391"/>
    <w:rsid w:val="21C37930"/>
    <w:rsid w:val="21F42BC1"/>
    <w:rsid w:val="220014EE"/>
    <w:rsid w:val="22043EB8"/>
    <w:rsid w:val="223574A2"/>
    <w:rsid w:val="228F7F35"/>
    <w:rsid w:val="22925F36"/>
    <w:rsid w:val="22984F2B"/>
    <w:rsid w:val="229A4D72"/>
    <w:rsid w:val="22BA6D16"/>
    <w:rsid w:val="22D731FA"/>
    <w:rsid w:val="22EF2871"/>
    <w:rsid w:val="22F31289"/>
    <w:rsid w:val="22F37347"/>
    <w:rsid w:val="22F97D63"/>
    <w:rsid w:val="232708E7"/>
    <w:rsid w:val="235B1AEC"/>
    <w:rsid w:val="236C2F23"/>
    <w:rsid w:val="23786F7A"/>
    <w:rsid w:val="23811D74"/>
    <w:rsid w:val="23A3699F"/>
    <w:rsid w:val="23E01126"/>
    <w:rsid w:val="23E01397"/>
    <w:rsid w:val="241C4982"/>
    <w:rsid w:val="242C2446"/>
    <w:rsid w:val="243A5A22"/>
    <w:rsid w:val="24570100"/>
    <w:rsid w:val="2480705F"/>
    <w:rsid w:val="248912CB"/>
    <w:rsid w:val="24A42751"/>
    <w:rsid w:val="24A73F1B"/>
    <w:rsid w:val="24D12E80"/>
    <w:rsid w:val="24D3778F"/>
    <w:rsid w:val="24D93FBB"/>
    <w:rsid w:val="24DD7BD6"/>
    <w:rsid w:val="25022F8D"/>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274B5"/>
    <w:rsid w:val="27C34E9E"/>
    <w:rsid w:val="27C5753F"/>
    <w:rsid w:val="27CB43C4"/>
    <w:rsid w:val="282D2A05"/>
    <w:rsid w:val="283B31B5"/>
    <w:rsid w:val="28743B4B"/>
    <w:rsid w:val="28A92821"/>
    <w:rsid w:val="28B23351"/>
    <w:rsid w:val="28CA7DEE"/>
    <w:rsid w:val="28D1580C"/>
    <w:rsid w:val="28E05C4D"/>
    <w:rsid w:val="28FC5319"/>
    <w:rsid w:val="290C0606"/>
    <w:rsid w:val="29235AE3"/>
    <w:rsid w:val="293807E2"/>
    <w:rsid w:val="294A4462"/>
    <w:rsid w:val="29AB42A1"/>
    <w:rsid w:val="29B61E26"/>
    <w:rsid w:val="29D03F99"/>
    <w:rsid w:val="29EC35DB"/>
    <w:rsid w:val="29ED1DB9"/>
    <w:rsid w:val="2A003335"/>
    <w:rsid w:val="2A0E2346"/>
    <w:rsid w:val="2A257F5A"/>
    <w:rsid w:val="2A273408"/>
    <w:rsid w:val="2A28357D"/>
    <w:rsid w:val="2A2C5EF9"/>
    <w:rsid w:val="2A3B4D38"/>
    <w:rsid w:val="2A78362C"/>
    <w:rsid w:val="2A8225E0"/>
    <w:rsid w:val="2A843B22"/>
    <w:rsid w:val="2AA43158"/>
    <w:rsid w:val="2ABA4F2F"/>
    <w:rsid w:val="2AFC7F9D"/>
    <w:rsid w:val="2B03695D"/>
    <w:rsid w:val="2B151618"/>
    <w:rsid w:val="2B240ED4"/>
    <w:rsid w:val="2B2C58D7"/>
    <w:rsid w:val="2B5740BA"/>
    <w:rsid w:val="2B7A2BBA"/>
    <w:rsid w:val="2B8A6344"/>
    <w:rsid w:val="2C124F40"/>
    <w:rsid w:val="2C1E6A63"/>
    <w:rsid w:val="2C210716"/>
    <w:rsid w:val="2C5373DC"/>
    <w:rsid w:val="2C814B16"/>
    <w:rsid w:val="2C9104A3"/>
    <w:rsid w:val="2CAE6752"/>
    <w:rsid w:val="2CD91BE2"/>
    <w:rsid w:val="2D01620B"/>
    <w:rsid w:val="2D0820CF"/>
    <w:rsid w:val="2D16195F"/>
    <w:rsid w:val="2D4E142C"/>
    <w:rsid w:val="2D636E9F"/>
    <w:rsid w:val="2D6A03D8"/>
    <w:rsid w:val="2D8E0752"/>
    <w:rsid w:val="2DC62F01"/>
    <w:rsid w:val="2DDA5716"/>
    <w:rsid w:val="2DE846A1"/>
    <w:rsid w:val="2E097E07"/>
    <w:rsid w:val="2E3031D3"/>
    <w:rsid w:val="2E421BC1"/>
    <w:rsid w:val="2E586286"/>
    <w:rsid w:val="2E6D1303"/>
    <w:rsid w:val="2E8632E1"/>
    <w:rsid w:val="2E87783F"/>
    <w:rsid w:val="2E9A7AE7"/>
    <w:rsid w:val="2EB02FB3"/>
    <w:rsid w:val="2EBF49DB"/>
    <w:rsid w:val="2EE463B9"/>
    <w:rsid w:val="2EED65AA"/>
    <w:rsid w:val="2EF04EC3"/>
    <w:rsid w:val="2F0B457E"/>
    <w:rsid w:val="2F0F17E1"/>
    <w:rsid w:val="2F226C62"/>
    <w:rsid w:val="2F2D4FF3"/>
    <w:rsid w:val="2F384D18"/>
    <w:rsid w:val="2F3939B4"/>
    <w:rsid w:val="2F3A6DCF"/>
    <w:rsid w:val="2F4C3F51"/>
    <w:rsid w:val="2F4E2935"/>
    <w:rsid w:val="2F5B5C8B"/>
    <w:rsid w:val="2F6A36EA"/>
    <w:rsid w:val="2F776026"/>
    <w:rsid w:val="2FAA42A7"/>
    <w:rsid w:val="2FBA6CFA"/>
    <w:rsid w:val="2FCE021A"/>
    <w:rsid w:val="2FEC6BC4"/>
    <w:rsid w:val="2FEE1054"/>
    <w:rsid w:val="2FFC27E2"/>
    <w:rsid w:val="30064604"/>
    <w:rsid w:val="30182EF1"/>
    <w:rsid w:val="30243BFD"/>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1FA21EB"/>
    <w:rsid w:val="32074121"/>
    <w:rsid w:val="321766AE"/>
    <w:rsid w:val="324B3775"/>
    <w:rsid w:val="3257790D"/>
    <w:rsid w:val="32653D88"/>
    <w:rsid w:val="327F26A5"/>
    <w:rsid w:val="32850A3A"/>
    <w:rsid w:val="328829CA"/>
    <w:rsid w:val="3295140A"/>
    <w:rsid w:val="32A777DC"/>
    <w:rsid w:val="32C215B3"/>
    <w:rsid w:val="32FA3DAF"/>
    <w:rsid w:val="33064502"/>
    <w:rsid w:val="330C52A8"/>
    <w:rsid w:val="33181DAF"/>
    <w:rsid w:val="33184147"/>
    <w:rsid w:val="33395897"/>
    <w:rsid w:val="334671E1"/>
    <w:rsid w:val="335E7861"/>
    <w:rsid w:val="33743B62"/>
    <w:rsid w:val="33A7521A"/>
    <w:rsid w:val="33B56090"/>
    <w:rsid w:val="34023DD2"/>
    <w:rsid w:val="345C7BA2"/>
    <w:rsid w:val="345E0C5E"/>
    <w:rsid w:val="34620949"/>
    <w:rsid w:val="3473401C"/>
    <w:rsid w:val="34A94C8A"/>
    <w:rsid w:val="34B24A2F"/>
    <w:rsid w:val="34CD0C0B"/>
    <w:rsid w:val="34E50629"/>
    <w:rsid w:val="34F138B2"/>
    <w:rsid w:val="351C3AC1"/>
    <w:rsid w:val="351E4524"/>
    <w:rsid w:val="351F3A34"/>
    <w:rsid w:val="35366152"/>
    <w:rsid w:val="3546508A"/>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206F5B"/>
    <w:rsid w:val="37533C5A"/>
    <w:rsid w:val="3755686B"/>
    <w:rsid w:val="37557BBE"/>
    <w:rsid w:val="37860E6B"/>
    <w:rsid w:val="37983666"/>
    <w:rsid w:val="37B3316C"/>
    <w:rsid w:val="37D13BBF"/>
    <w:rsid w:val="37D90437"/>
    <w:rsid w:val="38002855"/>
    <w:rsid w:val="380D6A28"/>
    <w:rsid w:val="3814652D"/>
    <w:rsid w:val="38291A7F"/>
    <w:rsid w:val="38546316"/>
    <w:rsid w:val="3860038E"/>
    <w:rsid w:val="38634F5B"/>
    <w:rsid w:val="388C1B7E"/>
    <w:rsid w:val="38B80E59"/>
    <w:rsid w:val="38BC39AE"/>
    <w:rsid w:val="38D343A6"/>
    <w:rsid w:val="38FC52CA"/>
    <w:rsid w:val="392B0449"/>
    <w:rsid w:val="39380D2F"/>
    <w:rsid w:val="393C7183"/>
    <w:rsid w:val="39521B20"/>
    <w:rsid w:val="3953748C"/>
    <w:rsid w:val="39566218"/>
    <w:rsid w:val="39773E35"/>
    <w:rsid w:val="398F4F22"/>
    <w:rsid w:val="399A0149"/>
    <w:rsid w:val="39A2115A"/>
    <w:rsid w:val="39B2168C"/>
    <w:rsid w:val="39DF73EC"/>
    <w:rsid w:val="3A026AFB"/>
    <w:rsid w:val="3A0F700B"/>
    <w:rsid w:val="3A1408AF"/>
    <w:rsid w:val="3A140FF4"/>
    <w:rsid w:val="3A285E70"/>
    <w:rsid w:val="3A2D246A"/>
    <w:rsid w:val="3A3349BD"/>
    <w:rsid w:val="3A376124"/>
    <w:rsid w:val="3A41003D"/>
    <w:rsid w:val="3A641E70"/>
    <w:rsid w:val="3A804B9A"/>
    <w:rsid w:val="3A863661"/>
    <w:rsid w:val="3AAA4C5C"/>
    <w:rsid w:val="3AEB0F20"/>
    <w:rsid w:val="3B08311F"/>
    <w:rsid w:val="3B0E6055"/>
    <w:rsid w:val="3B611AE5"/>
    <w:rsid w:val="3B7E03CD"/>
    <w:rsid w:val="3B8E6CFB"/>
    <w:rsid w:val="3B9C7F8B"/>
    <w:rsid w:val="3B9E66EB"/>
    <w:rsid w:val="3BDB2700"/>
    <w:rsid w:val="3BE178BA"/>
    <w:rsid w:val="3BEE1E23"/>
    <w:rsid w:val="3BF54015"/>
    <w:rsid w:val="3C1E54E9"/>
    <w:rsid w:val="3C236125"/>
    <w:rsid w:val="3C415BC1"/>
    <w:rsid w:val="3C4F1540"/>
    <w:rsid w:val="3C6920E6"/>
    <w:rsid w:val="3C8B75CB"/>
    <w:rsid w:val="3C8E44DC"/>
    <w:rsid w:val="3CE2773D"/>
    <w:rsid w:val="3CE94CFE"/>
    <w:rsid w:val="3CF70042"/>
    <w:rsid w:val="3CFE4428"/>
    <w:rsid w:val="3D0A283C"/>
    <w:rsid w:val="3D0F7A78"/>
    <w:rsid w:val="3D1A29C0"/>
    <w:rsid w:val="3D261297"/>
    <w:rsid w:val="3D3F6339"/>
    <w:rsid w:val="3D4F112B"/>
    <w:rsid w:val="3D563144"/>
    <w:rsid w:val="3D6700C8"/>
    <w:rsid w:val="3D6A0C9C"/>
    <w:rsid w:val="3D6B6FFC"/>
    <w:rsid w:val="3D6C3F8F"/>
    <w:rsid w:val="3D78424E"/>
    <w:rsid w:val="3D80381B"/>
    <w:rsid w:val="3D965592"/>
    <w:rsid w:val="3D9B69D7"/>
    <w:rsid w:val="3DA921CE"/>
    <w:rsid w:val="3DAA3846"/>
    <w:rsid w:val="3DC6513E"/>
    <w:rsid w:val="3DCC1B3F"/>
    <w:rsid w:val="3E3654C6"/>
    <w:rsid w:val="3E425E9E"/>
    <w:rsid w:val="3E433461"/>
    <w:rsid w:val="3E622B56"/>
    <w:rsid w:val="3E7D27A9"/>
    <w:rsid w:val="3E832EAB"/>
    <w:rsid w:val="3EA07C1D"/>
    <w:rsid w:val="3EB4528A"/>
    <w:rsid w:val="3EB83E8C"/>
    <w:rsid w:val="3EE65813"/>
    <w:rsid w:val="3F281C8B"/>
    <w:rsid w:val="3F3643C1"/>
    <w:rsid w:val="3F490E2C"/>
    <w:rsid w:val="3F8A11C4"/>
    <w:rsid w:val="3FA21E68"/>
    <w:rsid w:val="3FA51E2D"/>
    <w:rsid w:val="3FC21B60"/>
    <w:rsid w:val="3FEC7045"/>
    <w:rsid w:val="40176E56"/>
    <w:rsid w:val="401B1A9A"/>
    <w:rsid w:val="402B24D9"/>
    <w:rsid w:val="40583AA7"/>
    <w:rsid w:val="4063752F"/>
    <w:rsid w:val="40791B32"/>
    <w:rsid w:val="408E6128"/>
    <w:rsid w:val="40B25CC9"/>
    <w:rsid w:val="40B7580A"/>
    <w:rsid w:val="40E8658C"/>
    <w:rsid w:val="40EA0A47"/>
    <w:rsid w:val="40F41E3E"/>
    <w:rsid w:val="41120914"/>
    <w:rsid w:val="41122359"/>
    <w:rsid w:val="41583781"/>
    <w:rsid w:val="41590F18"/>
    <w:rsid w:val="41905E35"/>
    <w:rsid w:val="41B75F56"/>
    <w:rsid w:val="41DD0677"/>
    <w:rsid w:val="41EA1107"/>
    <w:rsid w:val="41EC1C07"/>
    <w:rsid w:val="420D0BFB"/>
    <w:rsid w:val="42135081"/>
    <w:rsid w:val="42325536"/>
    <w:rsid w:val="424C0DDC"/>
    <w:rsid w:val="425965CC"/>
    <w:rsid w:val="42745CCA"/>
    <w:rsid w:val="42981E02"/>
    <w:rsid w:val="435D0552"/>
    <w:rsid w:val="43A538C3"/>
    <w:rsid w:val="43B43389"/>
    <w:rsid w:val="43CA50D8"/>
    <w:rsid w:val="43CE758C"/>
    <w:rsid w:val="43E47C30"/>
    <w:rsid w:val="43ED2A01"/>
    <w:rsid w:val="43ED41F8"/>
    <w:rsid w:val="4415186B"/>
    <w:rsid w:val="44205379"/>
    <w:rsid w:val="442B21C2"/>
    <w:rsid w:val="442F3C55"/>
    <w:rsid w:val="4448074F"/>
    <w:rsid w:val="44670EDC"/>
    <w:rsid w:val="44763D18"/>
    <w:rsid w:val="4487082B"/>
    <w:rsid w:val="44935E12"/>
    <w:rsid w:val="44D644A6"/>
    <w:rsid w:val="44EB79FC"/>
    <w:rsid w:val="44FA6FBA"/>
    <w:rsid w:val="4524790E"/>
    <w:rsid w:val="45251A0E"/>
    <w:rsid w:val="457D0EE3"/>
    <w:rsid w:val="45905EAD"/>
    <w:rsid w:val="45940C6E"/>
    <w:rsid w:val="45990D03"/>
    <w:rsid w:val="45B50FCD"/>
    <w:rsid w:val="45C46374"/>
    <w:rsid w:val="45C46C52"/>
    <w:rsid w:val="45C85BFA"/>
    <w:rsid w:val="45DE7D14"/>
    <w:rsid w:val="45F44B62"/>
    <w:rsid w:val="45F92185"/>
    <w:rsid w:val="46112DA2"/>
    <w:rsid w:val="46165921"/>
    <w:rsid w:val="46201AB9"/>
    <w:rsid w:val="46205EC3"/>
    <w:rsid w:val="46270ACB"/>
    <w:rsid w:val="462D60CB"/>
    <w:rsid w:val="46545338"/>
    <w:rsid w:val="466E4D67"/>
    <w:rsid w:val="4678062E"/>
    <w:rsid w:val="46870808"/>
    <w:rsid w:val="46A2058E"/>
    <w:rsid w:val="46E21A9F"/>
    <w:rsid w:val="46E75105"/>
    <w:rsid w:val="46EC357A"/>
    <w:rsid w:val="46EC79A0"/>
    <w:rsid w:val="47152CBF"/>
    <w:rsid w:val="474433F3"/>
    <w:rsid w:val="47480144"/>
    <w:rsid w:val="474C2536"/>
    <w:rsid w:val="474E5743"/>
    <w:rsid w:val="47585533"/>
    <w:rsid w:val="47633B87"/>
    <w:rsid w:val="47810CC8"/>
    <w:rsid w:val="479A729D"/>
    <w:rsid w:val="47CC3A50"/>
    <w:rsid w:val="480B64F6"/>
    <w:rsid w:val="481D43A9"/>
    <w:rsid w:val="48341101"/>
    <w:rsid w:val="48450FFC"/>
    <w:rsid w:val="4860600B"/>
    <w:rsid w:val="486B4979"/>
    <w:rsid w:val="4880599F"/>
    <w:rsid w:val="488E4926"/>
    <w:rsid w:val="48C0308B"/>
    <w:rsid w:val="48FC68D1"/>
    <w:rsid w:val="48FE2934"/>
    <w:rsid w:val="490948F4"/>
    <w:rsid w:val="490F4A1B"/>
    <w:rsid w:val="49166B02"/>
    <w:rsid w:val="49234B7F"/>
    <w:rsid w:val="493A060A"/>
    <w:rsid w:val="497004D0"/>
    <w:rsid w:val="49813938"/>
    <w:rsid w:val="49877E1D"/>
    <w:rsid w:val="49BD1E5B"/>
    <w:rsid w:val="49CD3F23"/>
    <w:rsid w:val="49D2778F"/>
    <w:rsid w:val="4A4A3B86"/>
    <w:rsid w:val="4A871534"/>
    <w:rsid w:val="4A9C1E58"/>
    <w:rsid w:val="4ADE0BBB"/>
    <w:rsid w:val="4AE43967"/>
    <w:rsid w:val="4AE629AF"/>
    <w:rsid w:val="4AF6715E"/>
    <w:rsid w:val="4B0F2A62"/>
    <w:rsid w:val="4B20778C"/>
    <w:rsid w:val="4B734FCB"/>
    <w:rsid w:val="4B7F5330"/>
    <w:rsid w:val="4B9261F2"/>
    <w:rsid w:val="4BBA3F83"/>
    <w:rsid w:val="4BBE1D9B"/>
    <w:rsid w:val="4BDE56B2"/>
    <w:rsid w:val="4BEA2685"/>
    <w:rsid w:val="4BEF1B80"/>
    <w:rsid w:val="4BFE6267"/>
    <w:rsid w:val="4C691265"/>
    <w:rsid w:val="4C6B6F86"/>
    <w:rsid w:val="4C82218F"/>
    <w:rsid w:val="4C9D5A7F"/>
    <w:rsid w:val="4CAE1A3B"/>
    <w:rsid w:val="4CBD27F7"/>
    <w:rsid w:val="4CC8576A"/>
    <w:rsid w:val="4CE731CB"/>
    <w:rsid w:val="4D137AF0"/>
    <w:rsid w:val="4D140AFF"/>
    <w:rsid w:val="4D4F4080"/>
    <w:rsid w:val="4D524A2E"/>
    <w:rsid w:val="4D550108"/>
    <w:rsid w:val="4D7C6465"/>
    <w:rsid w:val="4D8B4016"/>
    <w:rsid w:val="4DBF630B"/>
    <w:rsid w:val="4DC95FEB"/>
    <w:rsid w:val="4E092CA1"/>
    <w:rsid w:val="4E2D4B0B"/>
    <w:rsid w:val="4E5F48B6"/>
    <w:rsid w:val="4EA54FF4"/>
    <w:rsid w:val="4EA8070C"/>
    <w:rsid w:val="4EAD70C9"/>
    <w:rsid w:val="4EB96D3A"/>
    <w:rsid w:val="4EBE0BED"/>
    <w:rsid w:val="4ECE2332"/>
    <w:rsid w:val="4EF0521B"/>
    <w:rsid w:val="4F01230F"/>
    <w:rsid w:val="4F0C7728"/>
    <w:rsid w:val="4F1E1AE0"/>
    <w:rsid w:val="4F32649A"/>
    <w:rsid w:val="4F3460FE"/>
    <w:rsid w:val="4F534DF8"/>
    <w:rsid w:val="4F661FC7"/>
    <w:rsid w:val="4F776F22"/>
    <w:rsid w:val="4FFC5272"/>
    <w:rsid w:val="501E4A7F"/>
    <w:rsid w:val="5020585D"/>
    <w:rsid w:val="50275690"/>
    <w:rsid w:val="506802DF"/>
    <w:rsid w:val="506C25D0"/>
    <w:rsid w:val="5080057E"/>
    <w:rsid w:val="509D67B6"/>
    <w:rsid w:val="50A73956"/>
    <w:rsid w:val="50AE73B1"/>
    <w:rsid w:val="50C418BE"/>
    <w:rsid w:val="50E90CE5"/>
    <w:rsid w:val="51332C9A"/>
    <w:rsid w:val="513D15DF"/>
    <w:rsid w:val="515D42F8"/>
    <w:rsid w:val="51800E1F"/>
    <w:rsid w:val="518C4FEB"/>
    <w:rsid w:val="519A7B89"/>
    <w:rsid w:val="51A97CBF"/>
    <w:rsid w:val="51B7614C"/>
    <w:rsid w:val="51D94D95"/>
    <w:rsid w:val="51F25B66"/>
    <w:rsid w:val="51F31543"/>
    <w:rsid w:val="52127A77"/>
    <w:rsid w:val="52192AB0"/>
    <w:rsid w:val="521C0E43"/>
    <w:rsid w:val="52215C50"/>
    <w:rsid w:val="522349CD"/>
    <w:rsid w:val="526130AB"/>
    <w:rsid w:val="5265735D"/>
    <w:rsid w:val="5269105C"/>
    <w:rsid w:val="5276494B"/>
    <w:rsid w:val="52A83907"/>
    <w:rsid w:val="52B94C95"/>
    <w:rsid w:val="52C67A35"/>
    <w:rsid w:val="52D61478"/>
    <w:rsid w:val="52D7336D"/>
    <w:rsid w:val="52F24289"/>
    <w:rsid w:val="530E2DF9"/>
    <w:rsid w:val="53203FDF"/>
    <w:rsid w:val="53321AFB"/>
    <w:rsid w:val="53413510"/>
    <w:rsid w:val="537961D3"/>
    <w:rsid w:val="53B21D92"/>
    <w:rsid w:val="53B97671"/>
    <w:rsid w:val="53DC242E"/>
    <w:rsid w:val="53E25011"/>
    <w:rsid w:val="54033236"/>
    <w:rsid w:val="540D23E2"/>
    <w:rsid w:val="542E16B3"/>
    <w:rsid w:val="542F18EE"/>
    <w:rsid w:val="544832CE"/>
    <w:rsid w:val="54516A3D"/>
    <w:rsid w:val="54531EE2"/>
    <w:rsid w:val="546834BD"/>
    <w:rsid w:val="549C3CA0"/>
    <w:rsid w:val="54A87CBF"/>
    <w:rsid w:val="54BC3CC5"/>
    <w:rsid w:val="54E029AD"/>
    <w:rsid w:val="54E13A1D"/>
    <w:rsid w:val="54ED5120"/>
    <w:rsid w:val="55002C50"/>
    <w:rsid w:val="55197C6D"/>
    <w:rsid w:val="55460217"/>
    <w:rsid w:val="554967A4"/>
    <w:rsid w:val="55541FE5"/>
    <w:rsid w:val="556E7AEA"/>
    <w:rsid w:val="5573623D"/>
    <w:rsid w:val="55B76E8B"/>
    <w:rsid w:val="55C4064A"/>
    <w:rsid w:val="55CC1183"/>
    <w:rsid w:val="56040FDB"/>
    <w:rsid w:val="560F57AD"/>
    <w:rsid w:val="56A24FEE"/>
    <w:rsid w:val="56B72191"/>
    <w:rsid w:val="570A3DA3"/>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C41D0"/>
    <w:rsid w:val="591E2E5A"/>
    <w:rsid w:val="592940E3"/>
    <w:rsid w:val="593A010E"/>
    <w:rsid w:val="594E4627"/>
    <w:rsid w:val="59604390"/>
    <w:rsid w:val="596F1D6D"/>
    <w:rsid w:val="59861D78"/>
    <w:rsid w:val="5989006F"/>
    <w:rsid w:val="59907946"/>
    <w:rsid w:val="59972F13"/>
    <w:rsid w:val="59C43A48"/>
    <w:rsid w:val="59E864F3"/>
    <w:rsid w:val="59FA6411"/>
    <w:rsid w:val="59FA6EB5"/>
    <w:rsid w:val="59FC4889"/>
    <w:rsid w:val="5A0D2F69"/>
    <w:rsid w:val="5A2A464D"/>
    <w:rsid w:val="5A3D107F"/>
    <w:rsid w:val="5A3E78D4"/>
    <w:rsid w:val="5A44201E"/>
    <w:rsid w:val="5A4B6512"/>
    <w:rsid w:val="5A6F4506"/>
    <w:rsid w:val="5A850088"/>
    <w:rsid w:val="5A997ACC"/>
    <w:rsid w:val="5AA60A01"/>
    <w:rsid w:val="5AD6708D"/>
    <w:rsid w:val="5B080EF4"/>
    <w:rsid w:val="5B0D0A72"/>
    <w:rsid w:val="5B1213E7"/>
    <w:rsid w:val="5B156B57"/>
    <w:rsid w:val="5B2933A2"/>
    <w:rsid w:val="5B423CA3"/>
    <w:rsid w:val="5B5D75AF"/>
    <w:rsid w:val="5B664347"/>
    <w:rsid w:val="5B6854AA"/>
    <w:rsid w:val="5B915E2F"/>
    <w:rsid w:val="5B9F15AA"/>
    <w:rsid w:val="5BA945B6"/>
    <w:rsid w:val="5BAC4388"/>
    <w:rsid w:val="5BB4249E"/>
    <w:rsid w:val="5BC12BCC"/>
    <w:rsid w:val="5BD00ECD"/>
    <w:rsid w:val="5BDE15B3"/>
    <w:rsid w:val="5C0640D6"/>
    <w:rsid w:val="5C1B3D9C"/>
    <w:rsid w:val="5C2C386A"/>
    <w:rsid w:val="5C2E2250"/>
    <w:rsid w:val="5C4E1232"/>
    <w:rsid w:val="5C8747C8"/>
    <w:rsid w:val="5CC35640"/>
    <w:rsid w:val="5CE01400"/>
    <w:rsid w:val="5D064BB6"/>
    <w:rsid w:val="5D201D45"/>
    <w:rsid w:val="5D230805"/>
    <w:rsid w:val="5D243F74"/>
    <w:rsid w:val="5D2C556F"/>
    <w:rsid w:val="5D6210FF"/>
    <w:rsid w:val="5D6736A1"/>
    <w:rsid w:val="5D6C57C7"/>
    <w:rsid w:val="5D775E79"/>
    <w:rsid w:val="5DA4012C"/>
    <w:rsid w:val="5DBF61E0"/>
    <w:rsid w:val="5DC714A4"/>
    <w:rsid w:val="5DC7295C"/>
    <w:rsid w:val="5DDD3161"/>
    <w:rsid w:val="5DEE7EF0"/>
    <w:rsid w:val="5DF5171A"/>
    <w:rsid w:val="5E0F4E23"/>
    <w:rsid w:val="5E741480"/>
    <w:rsid w:val="5E8548E7"/>
    <w:rsid w:val="5E931C97"/>
    <w:rsid w:val="5EA133CE"/>
    <w:rsid w:val="5EB43A7B"/>
    <w:rsid w:val="5EC40D2A"/>
    <w:rsid w:val="5ED456F4"/>
    <w:rsid w:val="5ED8453E"/>
    <w:rsid w:val="5EDB2012"/>
    <w:rsid w:val="5EDD73F4"/>
    <w:rsid w:val="5EEC7DCA"/>
    <w:rsid w:val="5EF774F9"/>
    <w:rsid w:val="5F0228C7"/>
    <w:rsid w:val="5F097502"/>
    <w:rsid w:val="5F0C2975"/>
    <w:rsid w:val="5F170343"/>
    <w:rsid w:val="5F233DB9"/>
    <w:rsid w:val="5F25297B"/>
    <w:rsid w:val="5F2F4A52"/>
    <w:rsid w:val="5F3F0B7E"/>
    <w:rsid w:val="5F3F1DD6"/>
    <w:rsid w:val="5F42773D"/>
    <w:rsid w:val="5F4650C3"/>
    <w:rsid w:val="5F4D1300"/>
    <w:rsid w:val="5F4E5E14"/>
    <w:rsid w:val="5F4F0D4C"/>
    <w:rsid w:val="5F4F545C"/>
    <w:rsid w:val="5F5A3F05"/>
    <w:rsid w:val="5F6138D2"/>
    <w:rsid w:val="5F833A67"/>
    <w:rsid w:val="5F887EC9"/>
    <w:rsid w:val="5F945CAA"/>
    <w:rsid w:val="5FA144ED"/>
    <w:rsid w:val="5FC03B6F"/>
    <w:rsid w:val="5FD41360"/>
    <w:rsid w:val="5FE445EE"/>
    <w:rsid w:val="603806E6"/>
    <w:rsid w:val="604A14D9"/>
    <w:rsid w:val="608B44BF"/>
    <w:rsid w:val="608F5FC8"/>
    <w:rsid w:val="60BA591C"/>
    <w:rsid w:val="60C25F34"/>
    <w:rsid w:val="60D513B9"/>
    <w:rsid w:val="60F35B17"/>
    <w:rsid w:val="60F577E0"/>
    <w:rsid w:val="612D0B66"/>
    <w:rsid w:val="614F7CC5"/>
    <w:rsid w:val="615677DD"/>
    <w:rsid w:val="61582975"/>
    <w:rsid w:val="61725A9D"/>
    <w:rsid w:val="619A1895"/>
    <w:rsid w:val="61A33FF9"/>
    <w:rsid w:val="61C55F81"/>
    <w:rsid w:val="61CC6169"/>
    <w:rsid w:val="61CD238F"/>
    <w:rsid w:val="61FA3ECE"/>
    <w:rsid w:val="6207667E"/>
    <w:rsid w:val="62387844"/>
    <w:rsid w:val="623A31A1"/>
    <w:rsid w:val="624B44C8"/>
    <w:rsid w:val="624D43A8"/>
    <w:rsid w:val="62791D4B"/>
    <w:rsid w:val="629175BB"/>
    <w:rsid w:val="62996886"/>
    <w:rsid w:val="62B9686D"/>
    <w:rsid w:val="62C622F5"/>
    <w:rsid w:val="62D326E3"/>
    <w:rsid w:val="62D46B9E"/>
    <w:rsid w:val="62DB0B1C"/>
    <w:rsid w:val="62DE6052"/>
    <w:rsid w:val="62F12229"/>
    <w:rsid w:val="63052873"/>
    <w:rsid w:val="631657EC"/>
    <w:rsid w:val="632C4010"/>
    <w:rsid w:val="63363C32"/>
    <w:rsid w:val="63365FD2"/>
    <w:rsid w:val="6353075B"/>
    <w:rsid w:val="63594A26"/>
    <w:rsid w:val="636F7193"/>
    <w:rsid w:val="63827325"/>
    <w:rsid w:val="63887AC2"/>
    <w:rsid w:val="6392012A"/>
    <w:rsid w:val="63A90BE4"/>
    <w:rsid w:val="63AE5BC7"/>
    <w:rsid w:val="63B83339"/>
    <w:rsid w:val="63C14E26"/>
    <w:rsid w:val="64026B3F"/>
    <w:rsid w:val="640351D3"/>
    <w:rsid w:val="640E6D7E"/>
    <w:rsid w:val="64371836"/>
    <w:rsid w:val="64455230"/>
    <w:rsid w:val="64572560"/>
    <w:rsid w:val="6460157C"/>
    <w:rsid w:val="6471535D"/>
    <w:rsid w:val="64846585"/>
    <w:rsid w:val="648773C0"/>
    <w:rsid w:val="648C2213"/>
    <w:rsid w:val="64A40329"/>
    <w:rsid w:val="64A946EF"/>
    <w:rsid w:val="64AC230D"/>
    <w:rsid w:val="64C01D89"/>
    <w:rsid w:val="64C86ACD"/>
    <w:rsid w:val="64CA0F84"/>
    <w:rsid w:val="651D1DC2"/>
    <w:rsid w:val="651F5D45"/>
    <w:rsid w:val="65531F20"/>
    <w:rsid w:val="655B70F7"/>
    <w:rsid w:val="655C67DE"/>
    <w:rsid w:val="65C94588"/>
    <w:rsid w:val="65D56535"/>
    <w:rsid w:val="65EC449B"/>
    <w:rsid w:val="66230A1E"/>
    <w:rsid w:val="66892DBC"/>
    <w:rsid w:val="66B37C22"/>
    <w:rsid w:val="66C22275"/>
    <w:rsid w:val="66D07C4E"/>
    <w:rsid w:val="66D63366"/>
    <w:rsid w:val="66E07A35"/>
    <w:rsid w:val="670C7BD0"/>
    <w:rsid w:val="6729107E"/>
    <w:rsid w:val="67310C06"/>
    <w:rsid w:val="674D53C6"/>
    <w:rsid w:val="676F7865"/>
    <w:rsid w:val="67881F69"/>
    <w:rsid w:val="67982C74"/>
    <w:rsid w:val="67A80BB7"/>
    <w:rsid w:val="67BA095D"/>
    <w:rsid w:val="67F359BF"/>
    <w:rsid w:val="68127402"/>
    <w:rsid w:val="68320C29"/>
    <w:rsid w:val="683E06EB"/>
    <w:rsid w:val="684F4F95"/>
    <w:rsid w:val="685D060D"/>
    <w:rsid w:val="68630615"/>
    <w:rsid w:val="68742678"/>
    <w:rsid w:val="689F3A7C"/>
    <w:rsid w:val="68A14604"/>
    <w:rsid w:val="68C117F4"/>
    <w:rsid w:val="68C469F7"/>
    <w:rsid w:val="68D05A8B"/>
    <w:rsid w:val="68DA686A"/>
    <w:rsid w:val="68DB5BCE"/>
    <w:rsid w:val="68F4037D"/>
    <w:rsid w:val="68F66432"/>
    <w:rsid w:val="69163C3C"/>
    <w:rsid w:val="695849A2"/>
    <w:rsid w:val="698A3C4F"/>
    <w:rsid w:val="699E3578"/>
    <w:rsid w:val="69AA597C"/>
    <w:rsid w:val="69D74A2D"/>
    <w:rsid w:val="69E57583"/>
    <w:rsid w:val="69EA3D78"/>
    <w:rsid w:val="69FB4B3D"/>
    <w:rsid w:val="6A192B41"/>
    <w:rsid w:val="6A31794F"/>
    <w:rsid w:val="6A412E9B"/>
    <w:rsid w:val="6A593A14"/>
    <w:rsid w:val="6A5F7488"/>
    <w:rsid w:val="6A624042"/>
    <w:rsid w:val="6A9516EC"/>
    <w:rsid w:val="6AC56663"/>
    <w:rsid w:val="6AD06124"/>
    <w:rsid w:val="6AE9375D"/>
    <w:rsid w:val="6AFA20DD"/>
    <w:rsid w:val="6B2660F3"/>
    <w:rsid w:val="6B4C6148"/>
    <w:rsid w:val="6B600D2D"/>
    <w:rsid w:val="6B7D0E3F"/>
    <w:rsid w:val="6B820818"/>
    <w:rsid w:val="6BA666A4"/>
    <w:rsid w:val="6BAD1029"/>
    <w:rsid w:val="6BDB3A77"/>
    <w:rsid w:val="6BDD334B"/>
    <w:rsid w:val="6BF85955"/>
    <w:rsid w:val="6C0905E4"/>
    <w:rsid w:val="6C2458E5"/>
    <w:rsid w:val="6C3A2120"/>
    <w:rsid w:val="6C450EF0"/>
    <w:rsid w:val="6C6527EF"/>
    <w:rsid w:val="6C786FF5"/>
    <w:rsid w:val="6C85541D"/>
    <w:rsid w:val="6C89702F"/>
    <w:rsid w:val="6C8A6FA0"/>
    <w:rsid w:val="6C8C14EE"/>
    <w:rsid w:val="6CB01BBD"/>
    <w:rsid w:val="6CE401DB"/>
    <w:rsid w:val="6CEE18BF"/>
    <w:rsid w:val="6D1F5636"/>
    <w:rsid w:val="6D2706B7"/>
    <w:rsid w:val="6D2E2B6D"/>
    <w:rsid w:val="6D4056B0"/>
    <w:rsid w:val="6D536C7D"/>
    <w:rsid w:val="6D7E1A57"/>
    <w:rsid w:val="6D900B54"/>
    <w:rsid w:val="6D9C5109"/>
    <w:rsid w:val="6DA1076F"/>
    <w:rsid w:val="6DC24EEE"/>
    <w:rsid w:val="6DD17D81"/>
    <w:rsid w:val="6E302EF0"/>
    <w:rsid w:val="6E334775"/>
    <w:rsid w:val="6E361438"/>
    <w:rsid w:val="6E363B46"/>
    <w:rsid w:val="6E4539AB"/>
    <w:rsid w:val="6ECA14A5"/>
    <w:rsid w:val="6EF84EB7"/>
    <w:rsid w:val="6EFA159E"/>
    <w:rsid w:val="6F0137F4"/>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47EB1"/>
    <w:rsid w:val="71351762"/>
    <w:rsid w:val="71552D10"/>
    <w:rsid w:val="716442E9"/>
    <w:rsid w:val="71B318F8"/>
    <w:rsid w:val="71B7087E"/>
    <w:rsid w:val="71B74DFA"/>
    <w:rsid w:val="71BD2ACE"/>
    <w:rsid w:val="71C9237C"/>
    <w:rsid w:val="71D23226"/>
    <w:rsid w:val="71E34B28"/>
    <w:rsid w:val="71F56214"/>
    <w:rsid w:val="72076A30"/>
    <w:rsid w:val="723C0660"/>
    <w:rsid w:val="72543AEC"/>
    <w:rsid w:val="7260003C"/>
    <w:rsid w:val="72785B7B"/>
    <w:rsid w:val="72AF7142"/>
    <w:rsid w:val="72D22FDD"/>
    <w:rsid w:val="72D735AD"/>
    <w:rsid w:val="72E0464A"/>
    <w:rsid w:val="73060B04"/>
    <w:rsid w:val="730944EC"/>
    <w:rsid w:val="73095DD8"/>
    <w:rsid w:val="730A35E7"/>
    <w:rsid w:val="731E7C07"/>
    <w:rsid w:val="731F2ADD"/>
    <w:rsid w:val="73371579"/>
    <w:rsid w:val="739444AA"/>
    <w:rsid w:val="73B475CC"/>
    <w:rsid w:val="73CB1EA3"/>
    <w:rsid w:val="73EE3133"/>
    <w:rsid w:val="73FC31D8"/>
    <w:rsid w:val="73FC5DA2"/>
    <w:rsid w:val="74542522"/>
    <w:rsid w:val="74597D1C"/>
    <w:rsid w:val="74BE21E6"/>
    <w:rsid w:val="74CD114F"/>
    <w:rsid w:val="75132CB2"/>
    <w:rsid w:val="75625289"/>
    <w:rsid w:val="757B534A"/>
    <w:rsid w:val="758A423F"/>
    <w:rsid w:val="75941CF4"/>
    <w:rsid w:val="75A60C51"/>
    <w:rsid w:val="75C4089A"/>
    <w:rsid w:val="75D43E4C"/>
    <w:rsid w:val="75EE584D"/>
    <w:rsid w:val="75FC051E"/>
    <w:rsid w:val="760E4653"/>
    <w:rsid w:val="764A5A81"/>
    <w:rsid w:val="76745657"/>
    <w:rsid w:val="76821659"/>
    <w:rsid w:val="768C0857"/>
    <w:rsid w:val="769374F5"/>
    <w:rsid w:val="76CA39CC"/>
    <w:rsid w:val="76D66A0B"/>
    <w:rsid w:val="76E17369"/>
    <w:rsid w:val="76F43195"/>
    <w:rsid w:val="770D6993"/>
    <w:rsid w:val="774615E8"/>
    <w:rsid w:val="774F05B4"/>
    <w:rsid w:val="77795FC5"/>
    <w:rsid w:val="778C339B"/>
    <w:rsid w:val="778C3E77"/>
    <w:rsid w:val="77B0693E"/>
    <w:rsid w:val="77DB4976"/>
    <w:rsid w:val="77E01900"/>
    <w:rsid w:val="77E23331"/>
    <w:rsid w:val="77EB042B"/>
    <w:rsid w:val="77F66378"/>
    <w:rsid w:val="78105FE1"/>
    <w:rsid w:val="781D1021"/>
    <w:rsid w:val="78296451"/>
    <w:rsid w:val="7895695A"/>
    <w:rsid w:val="78A35FA6"/>
    <w:rsid w:val="78C814F1"/>
    <w:rsid w:val="78DD3C0F"/>
    <w:rsid w:val="78F61612"/>
    <w:rsid w:val="78F746CD"/>
    <w:rsid w:val="790838F9"/>
    <w:rsid w:val="790B7602"/>
    <w:rsid w:val="79525DD0"/>
    <w:rsid w:val="79544034"/>
    <w:rsid w:val="79684030"/>
    <w:rsid w:val="79B77FBE"/>
    <w:rsid w:val="79ED0FE1"/>
    <w:rsid w:val="79EF15AD"/>
    <w:rsid w:val="7A006755"/>
    <w:rsid w:val="7A067AFF"/>
    <w:rsid w:val="7A385137"/>
    <w:rsid w:val="7A454EDD"/>
    <w:rsid w:val="7A455228"/>
    <w:rsid w:val="7AAD58D6"/>
    <w:rsid w:val="7AE77D42"/>
    <w:rsid w:val="7AEA5035"/>
    <w:rsid w:val="7AF20636"/>
    <w:rsid w:val="7AF85651"/>
    <w:rsid w:val="7B033E9B"/>
    <w:rsid w:val="7B0B7EA2"/>
    <w:rsid w:val="7B4D0CE7"/>
    <w:rsid w:val="7B5E08D0"/>
    <w:rsid w:val="7B65594C"/>
    <w:rsid w:val="7B656EB9"/>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2A4E4A"/>
    <w:rsid w:val="7D4A1795"/>
    <w:rsid w:val="7D636E1C"/>
    <w:rsid w:val="7D6531A0"/>
    <w:rsid w:val="7D6A0D4C"/>
    <w:rsid w:val="7D6F58E0"/>
    <w:rsid w:val="7D7B6AC6"/>
    <w:rsid w:val="7D80192E"/>
    <w:rsid w:val="7DD11A81"/>
    <w:rsid w:val="7DD17ABC"/>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B268B9"/>
    <w:rsid w:val="7ED32079"/>
    <w:rsid w:val="7F082BC8"/>
    <w:rsid w:val="7F295DA0"/>
    <w:rsid w:val="7F47036D"/>
    <w:rsid w:val="7F7431CA"/>
    <w:rsid w:val="7F8554C3"/>
    <w:rsid w:val="7F930548"/>
    <w:rsid w:val="7F994D6B"/>
    <w:rsid w:val="7FA06127"/>
    <w:rsid w:val="7FA906E9"/>
    <w:rsid w:val="7FAB79E7"/>
    <w:rsid w:val="7FCA62C5"/>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3"/>
    <w:qFormat/>
    <w:uiPriority w:val="0"/>
    <w:pPr>
      <w:keepNext/>
      <w:keepLines/>
      <w:tabs>
        <w:tab w:val="left" w:pos="864"/>
      </w:tabs>
      <w:ind w:left="862" w:hanging="862"/>
      <w:outlineLvl w:val="3"/>
    </w:pPr>
    <w:rPr>
      <w:b/>
      <w:bCs/>
      <w:sz w:val="28"/>
      <w:szCs w:val="28"/>
    </w:rPr>
  </w:style>
  <w:style w:type="paragraph" w:styleId="9">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sz w:val="30"/>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4"/>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link w:val="197"/>
    <w:qFormat/>
    <w:uiPriority w:val="0"/>
    <w:pPr>
      <w:ind w:firstLine="420"/>
    </w:pPr>
    <w:rPr>
      <w:szCs w:val="20"/>
    </w:rPr>
  </w:style>
  <w:style w:type="paragraph" w:styleId="26">
    <w:name w:val="caption"/>
    <w:basedOn w:val="1"/>
    <w:next w:val="1"/>
    <w:link w:val="189"/>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6"/>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5"/>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6"/>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w:basedOn w:val="1"/>
    <w:link w:val="290"/>
    <w:qFormat/>
    <w:uiPriority w:val="0"/>
    <w:pPr>
      <w:spacing w:after="120"/>
    </w:pPr>
    <w:rPr>
      <w:sz w:val="28"/>
    </w:rPr>
  </w:style>
  <w:style w:type="paragraph" w:styleId="39">
    <w:name w:val="Body Text Indent"/>
    <w:basedOn w:val="1"/>
    <w:next w:val="25"/>
    <w:link w:val="151"/>
    <w:qFormat/>
    <w:uiPriority w:val="0"/>
    <w:pPr>
      <w:spacing w:line="200" w:lineRule="exact"/>
      <w:ind w:firstLine="301"/>
    </w:pPr>
    <w:rPr>
      <w:rFonts w:ascii="宋体" w:hAnsi="Courier New"/>
      <w:spacing w:val="-4"/>
      <w:sz w:val="18"/>
      <w:szCs w:val="20"/>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link w:val="329"/>
    <w:qFormat/>
    <w:uiPriority w:val="0"/>
    <w:pPr>
      <w:spacing w:beforeLines="50" w:afterLines="50" w:line="400" w:lineRule="exact"/>
    </w:pPr>
    <w:rPr>
      <w:rFonts w:ascii="宋体" w:hAnsi="Courier New"/>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Date"/>
    <w:basedOn w:val="1"/>
    <w:next w:val="1"/>
    <w:link w:val="228"/>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footer"/>
    <w:basedOn w:val="1"/>
    <w:link w:val="357"/>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2"/>
    <w:next w:val="32"/>
    <w:semiHidden/>
    <w:qFormat/>
    <w:uiPriority w:val="0"/>
    <w:rPr>
      <w:b/>
      <w:bCs/>
    </w:rPr>
  </w:style>
  <w:style w:type="paragraph" w:styleId="87">
    <w:name w:val="Body Text First Indent"/>
    <w:basedOn w:val="38"/>
    <w:link w:val="144"/>
    <w:qFormat/>
    <w:uiPriority w:val="0"/>
    <w:pPr>
      <w:ind w:firstLine="420" w:firstLineChars="100"/>
    </w:pPr>
    <w:rPr>
      <w:rFonts w:ascii="Calibri" w:hAnsi="Calibri"/>
      <w:sz w:val="21"/>
      <w:szCs w:val="22"/>
    </w:rPr>
  </w:style>
  <w:style w:type="paragraph" w:styleId="88">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5"/>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2"/>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2"/>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5"/>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9"/>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30"/>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6"/>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1"/>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9"/>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6"/>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6"/>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6"/>
    <w:link w:val="195"/>
    <w:qFormat/>
    <w:uiPriority w:val="0"/>
    <w:pPr>
      <w:spacing w:beforeLines="40" w:afterLines="40"/>
      <w:jc w:val="center"/>
    </w:pPr>
    <w:rPr>
      <w:rFonts w:cs="Arial"/>
      <w:sz w:val="21"/>
    </w:rPr>
  </w:style>
  <w:style w:type="character" w:customStyle="1" w:styleId="197">
    <w:name w:val="正文缩进 Char2"/>
    <w:link w:val="25"/>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6"/>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6"/>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9"/>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3"/>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7"/>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6"/>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4"/>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6"/>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3"/>
    <w:qFormat/>
    <w:uiPriority w:val="0"/>
    <w:rPr>
      <w:rFonts w:ascii="Arial" w:hAnsi="Arial" w:eastAsia="黑体"/>
      <w:sz w:val="28"/>
    </w:rPr>
  </w:style>
  <w:style w:type="character" w:customStyle="1" w:styleId="273">
    <w:name w:val="标题 4 Char"/>
    <w:link w:val="8"/>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6"/>
    <w:link w:val="279"/>
    <w:qFormat/>
    <w:uiPriority w:val="0"/>
    <w:pPr>
      <w:spacing w:beforeLines="40" w:afterLines="40"/>
      <w:jc w:val="center"/>
    </w:pPr>
    <w:rPr>
      <w:rFonts w:ascii="黑体" w:hAnsi="黑体" w:cs="Arial"/>
      <w:sz w:val="21"/>
    </w:rPr>
  </w:style>
  <w:style w:type="character" w:customStyle="1" w:styleId="281">
    <w:name w:val="正文文本缩进 3 Char"/>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8"/>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9"/>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3"/>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6"/>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10"/>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7"/>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5"/>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5"/>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8"/>
    <w:qFormat/>
    <w:uiPriority w:val="0"/>
    <w:pPr>
      <w:suppressLineNumbers/>
      <w:suppressAutoHyphens/>
    </w:pPr>
    <w:rPr>
      <w:kern w:val="1"/>
      <w:sz w:val="21"/>
      <w:lang w:eastAsia="ar-SA"/>
    </w:rPr>
  </w:style>
  <w:style w:type="paragraph" w:customStyle="1" w:styleId="396">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7"/>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9"/>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6"/>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7"/>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6"/>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7"/>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0"/>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7"/>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6"/>
    <w:next w:val="38"/>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7"/>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6"/>
    <w:next w:val="38"/>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6"/>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7"/>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6"/>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5"/>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5"/>
    <w:qFormat/>
    <w:uiPriority w:val="0"/>
    <w:pPr>
      <w:tabs>
        <w:tab w:val="left" w:pos="1440"/>
      </w:tabs>
      <w:spacing w:afterLines="50"/>
    </w:pPr>
    <w:rPr>
      <w:b/>
    </w:rPr>
  </w:style>
  <w:style w:type="paragraph" w:customStyle="1" w:styleId="721">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8"/>
    <w:next w:val="51"/>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7"/>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6"/>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9"/>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38"/>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9"/>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6"/>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6"/>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5"/>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8"/>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9"/>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8"/>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8"/>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2"/>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7"/>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7">
    <w:name w:val="正文首行缩进1"/>
    <w:basedOn w:val="38"/>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4"/>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8"/>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4"/>
    <w:qFormat/>
    <w:uiPriority w:val="0"/>
    <w:rPr>
      <w:kern w:val="2"/>
      <w:sz w:val="24"/>
      <w:szCs w:val="24"/>
    </w:rPr>
  </w:style>
  <w:style w:type="character" w:customStyle="1" w:styleId="1017">
    <w:name w:val="标题 5 Char"/>
    <w:basedOn w:val="95"/>
    <w:link w:val="9"/>
    <w:qFormat/>
    <w:uiPriority w:val="9"/>
    <w:rPr>
      <w:b/>
      <w:bCs/>
      <w:kern w:val="2"/>
      <w:sz w:val="28"/>
      <w:szCs w:val="28"/>
    </w:rPr>
  </w:style>
  <w:style w:type="character" w:customStyle="1" w:styleId="1018">
    <w:name w:val="普通(网站) Char"/>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paragraph" w:customStyle="1" w:styleId="1033">
    <w:name w:val="样式 样式5 + 五号 左 左侧:  0.01 厘米 右侧:  -0.03 厘米"/>
    <w:basedOn w:val="1"/>
    <w:qFormat/>
    <w:uiPriority w:val="0"/>
    <w:pPr>
      <w:ind w:left="4" w:right="-16" w:firstLine="420" w:firstLineChars="200"/>
      <w:jc w:val="left"/>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100"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93</Pages>
  <Words>52006</Words>
  <Characters>56611</Characters>
  <Lines>280</Lines>
  <Paragraphs>78</Paragraphs>
  <TotalTime>48</TotalTime>
  <ScaleCrop>false</ScaleCrop>
  <LinksUpToDate>false</LinksUpToDate>
  <CharactersWithSpaces>61547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华诚工程咨询集团公司</cp:lastModifiedBy>
  <cp:lastPrinted>2022-09-01T01:43:38Z</cp:lastPrinted>
  <dcterms:modified xsi:type="dcterms:W3CDTF">2022-09-01T01:48:57Z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E38830965A5A478FAC473EF8D723D37E</vt:lpwstr>
  </property>
  <property fmtid="{D5CDD505-2E9C-101B-9397-08002B2CF9AE}" pid="4" name="commondata">
    <vt:lpwstr>eyJoZGlkIjoiOWJiOGJlZmQ4Y2I5Mzg4ZmQ1MDU4OWVlOGY5Y2E4MTcifQ==</vt:lpwstr>
  </property>
</Properties>
</file>