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hint="eastAsia" w:hAnsi="宋体"/>
          <w:b/>
          <w:bCs/>
          <w:sz w:val="52"/>
          <w:szCs w:val="52"/>
        </w:rPr>
      </w:pPr>
      <w:bookmarkStart w:id="80" w:name="_GoBack"/>
      <w:bookmarkEnd w:id="80"/>
      <w:r>
        <w:rPr>
          <w:rFonts w:hint="eastAsia" w:hAnsi="宋体"/>
          <w:b/>
          <w:bCs/>
          <w:sz w:val="52"/>
          <w:szCs w:val="52"/>
        </w:rPr>
        <w:t xml:space="preserve">   </w:t>
      </w:r>
    </w:p>
    <w:p>
      <w:pPr>
        <w:spacing w:line="360" w:lineRule="auto"/>
        <w:jc w:val="center"/>
        <w:rPr>
          <w:rFonts w:hint="eastAsia" w:ascii="宋体" w:hAnsi="宋体"/>
          <w:b/>
          <w:bCs/>
          <w:sz w:val="52"/>
          <w:szCs w:val="52"/>
        </w:rPr>
      </w:pPr>
      <w:r>
        <w:rPr>
          <w:rFonts w:hint="eastAsia" w:ascii="宋体" w:hAnsi="宋体"/>
          <w:b/>
          <w:bCs/>
          <w:sz w:val="52"/>
          <w:szCs w:val="52"/>
        </w:rPr>
        <w:t xml:space="preserve">桐庐县公安局**通租赁服务项目 </w:t>
      </w:r>
    </w:p>
    <w:p>
      <w:pPr>
        <w:pStyle w:val="18"/>
        <w:ind w:firstLine="2880" w:firstLineChars="400"/>
        <w:jc w:val="right"/>
        <w:rPr>
          <w:rFonts w:hint="eastAsia" w:hAnsi="宋体"/>
          <w:sz w:val="72"/>
          <w:szCs w:val="72"/>
        </w:rPr>
      </w:pPr>
    </w:p>
    <w:p>
      <w:pPr>
        <w:pStyle w:val="18"/>
        <w:ind w:firstLine="2520" w:firstLineChars="350"/>
        <w:rPr>
          <w:rFonts w:hint="eastAsia" w:hAnsi="宋体"/>
          <w:sz w:val="72"/>
          <w:szCs w:val="72"/>
        </w:rPr>
      </w:pPr>
      <w:r>
        <w:rPr>
          <w:rFonts w:hint="eastAsia" w:hAnsi="宋体"/>
          <w:sz w:val="72"/>
          <w:szCs w:val="72"/>
        </w:rPr>
        <w:t>竞争性磋商文件</w:t>
      </w:r>
    </w:p>
    <w:p>
      <w:pPr>
        <w:spacing w:line="480" w:lineRule="auto"/>
        <w:jc w:val="center"/>
        <w:rPr>
          <w:rFonts w:hint="eastAsia" w:ascii="宋体" w:hAnsi="宋体"/>
          <w:sz w:val="28"/>
          <w:szCs w:val="28"/>
        </w:rPr>
      </w:pPr>
    </w:p>
    <w:p>
      <w:pPr>
        <w:spacing w:line="480" w:lineRule="auto"/>
        <w:jc w:val="center"/>
        <w:rPr>
          <w:rFonts w:ascii="宋体" w:hAnsi="宋体"/>
          <w:color w:val="000000"/>
          <w:sz w:val="28"/>
          <w:szCs w:val="28"/>
        </w:rPr>
      </w:pPr>
      <w:r>
        <w:rPr>
          <w:rFonts w:hint="eastAsia" w:ascii="宋体" w:hAnsi="宋体"/>
          <w:sz w:val="28"/>
          <w:szCs w:val="28"/>
        </w:rPr>
        <w:t>（编号:TLXXZFCG2019-CS-002）</w:t>
      </w:r>
    </w:p>
    <w:p>
      <w:pPr>
        <w:spacing w:line="480" w:lineRule="auto"/>
        <w:rPr>
          <w:rFonts w:ascii="宋体" w:hAnsi="宋体"/>
          <w:color w:val="000000"/>
          <w:sz w:val="28"/>
          <w:szCs w:val="28"/>
        </w:rPr>
      </w:pPr>
    </w:p>
    <w:p>
      <w:pPr>
        <w:spacing w:line="480" w:lineRule="auto"/>
        <w:rPr>
          <w:rFonts w:ascii="宋体" w:hAnsi="宋体"/>
          <w:sz w:val="28"/>
          <w:szCs w:val="28"/>
        </w:rPr>
      </w:pPr>
    </w:p>
    <w:p>
      <w:pPr>
        <w:tabs>
          <w:tab w:val="left" w:pos="1980"/>
          <w:tab w:val="left" w:pos="3240"/>
          <w:tab w:val="left" w:pos="3420"/>
          <w:tab w:val="left" w:pos="3600"/>
          <w:tab w:val="left" w:pos="3780"/>
        </w:tabs>
        <w:spacing w:line="720" w:lineRule="auto"/>
        <w:ind w:left="-181" w:leftChars="-86" w:firstLine="1760" w:firstLineChars="550"/>
        <w:rPr>
          <w:rFonts w:ascii="宋体" w:hAnsi="宋体"/>
          <w:sz w:val="32"/>
          <w:u w:val="single"/>
        </w:rPr>
      </w:pPr>
      <w:r>
        <w:rPr>
          <w:rFonts w:hint="eastAsia" w:ascii="宋体" w:hAnsi="宋体"/>
          <w:sz w:val="32"/>
        </w:rPr>
        <w:t>采购单位 ：</w:t>
      </w:r>
      <w:r>
        <w:rPr>
          <w:rFonts w:hint="eastAsia" w:ascii="宋体" w:hAnsi="宋体"/>
          <w:sz w:val="32"/>
          <w:u w:val="single"/>
        </w:rPr>
        <w:t xml:space="preserve">          </w:t>
      </w:r>
      <w:r>
        <w:rPr>
          <w:rFonts w:hint="eastAsia" w:ascii="宋体" w:hAnsi="宋体"/>
          <w:sz w:val="33"/>
          <w:szCs w:val="33"/>
          <w:u w:val="single"/>
        </w:rPr>
        <w:t>桐庐县公安局</w:t>
      </w:r>
      <w:r>
        <w:rPr>
          <w:rFonts w:hint="eastAsia" w:ascii="宋体" w:hAnsi="宋体"/>
          <w:sz w:val="32"/>
          <w:u w:val="single"/>
        </w:rPr>
        <w:t xml:space="preserve">           </w:t>
      </w:r>
    </w:p>
    <w:p>
      <w:pPr>
        <w:tabs>
          <w:tab w:val="left" w:pos="1980"/>
          <w:tab w:val="left" w:pos="3240"/>
          <w:tab w:val="left" w:pos="3420"/>
          <w:tab w:val="left" w:pos="3600"/>
          <w:tab w:val="left" w:pos="3780"/>
        </w:tabs>
        <w:spacing w:line="720" w:lineRule="auto"/>
        <w:ind w:firstLine="1600" w:firstLineChars="500"/>
        <w:rPr>
          <w:rFonts w:ascii="宋体" w:hAnsi="宋体"/>
          <w:sz w:val="32"/>
          <w:u w:val="single"/>
        </w:rPr>
      </w:pPr>
      <w:r>
        <w:rPr>
          <w:rFonts w:hint="eastAsia" w:ascii="宋体" w:hAnsi="宋体"/>
          <w:sz w:val="32"/>
        </w:rPr>
        <w:t>法定代表人或其委托代理人</w:t>
      </w:r>
      <w:r>
        <w:rPr>
          <w:rFonts w:ascii="宋体" w:hAnsi="宋体"/>
          <w:sz w:val="32"/>
        </w:rPr>
        <w:t>:</w:t>
      </w:r>
      <w:r>
        <w:rPr>
          <w:rFonts w:hint="eastAsia" w:ascii="宋体" w:hAnsi="宋体"/>
          <w:sz w:val="32"/>
          <w:u w:val="single"/>
        </w:rPr>
        <w:t xml:space="preserve">       陈华        </w:t>
      </w:r>
    </w:p>
    <w:p>
      <w:pPr>
        <w:tabs>
          <w:tab w:val="left" w:pos="1620"/>
          <w:tab w:val="left" w:pos="1800"/>
          <w:tab w:val="left" w:pos="1980"/>
        </w:tabs>
        <w:spacing w:line="720" w:lineRule="auto"/>
        <w:ind w:firstLine="1600" w:firstLineChars="500"/>
        <w:rPr>
          <w:rFonts w:ascii="宋体" w:hAnsi="宋体"/>
          <w:sz w:val="33"/>
          <w:szCs w:val="33"/>
          <w:u w:val="single"/>
        </w:rPr>
      </w:pPr>
      <w:r>
        <w:rPr>
          <w:rFonts w:hint="eastAsia" w:ascii="宋体" w:hAnsi="宋体"/>
          <w:sz w:val="32"/>
        </w:rPr>
        <w:t>采购机构</w:t>
      </w:r>
      <w:r>
        <w:rPr>
          <w:rFonts w:hint="eastAsia" w:ascii="宋体" w:hAnsi="宋体"/>
          <w:sz w:val="33"/>
          <w:szCs w:val="33"/>
        </w:rPr>
        <w:t xml:space="preserve"> ：</w:t>
      </w:r>
      <w:r>
        <w:rPr>
          <w:rFonts w:hint="eastAsia" w:ascii="宋体" w:hAnsi="宋体"/>
          <w:sz w:val="33"/>
          <w:szCs w:val="33"/>
          <w:u w:val="single"/>
        </w:rPr>
        <w:t>杭州欣兴建设工程招标代理有限公司</w:t>
      </w:r>
    </w:p>
    <w:p>
      <w:pPr>
        <w:tabs>
          <w:tab w:val="left" w:pos="1620"/>
          <w:tab w:val="left" w:pos="1800"/>
          <w:tab w:val="left" w:pos="1980"/>
        </w:tabs>
        <w:spacing w:line="720" w:lineRule="auto"/>
        <w:ind w:firstLine="1600" w:firstLineChars="500"/>
        <w:rPr>
          <w:rFonts w:ascii="宋体" w:hAnsi="宋体"/>
          <w:sz w:val="33"/>
          <w:szCs w:val="33"/>
        </w:rPr>
      </w:pPr>
      <w:r>
        <w:rPr>
          <w:rFonts w:hint="eastAsia" w:ascii="宋体" w:hAnsi="宋体"/>
          <w:sz w:val="32"/>
        </w:rPr>
        <w:t>备案单位</w:t>
      </w:r>
      <w:r>
        <w:rPr>
          <w:rFonts w:hint="eastAsia" w:ascii="宋体" w:hAnsi="宋体"/>
          <w:sz w:val="33"/>
          <w:szCs w:val="33"/>
        </w:rPr>
        <w:t xml:space="preserve"> ：</w:t>
      </w:r>
      <w:r>
        <w:rPr>
          <w:rFonts w:hint="eastAsia" w:ascii="宋体" w:hAnsi="宋体"/>
          <w:sz w:val="33"/>
          <w:szCs w:val="33"/>
          <w:u w:val="single"/>
        </w:rPr>
        <w:t xml:space="preserve">                                 </w:t>
      </w:r>
      <w:r>
        <w:rPr>
          <w:rFonts w:hint="eastAsia" w:ascii="宋体" w:hAnsi="宋体"/>
          <w:sz w:val="33"/>
          <w:szCs w:val="33"/>
        </w:rPr>
        <w:t xml:space="preserve">                            </w:t>
      </w:r>
    </w:p>
    <w:p>
      <w:pPr>
        <w:jc w:val="center"/>
        <w:rPr>
          <w:rFonts w:hint="eastAsia" w:ascii="宋体" w:hAnsi="宋体"/>
          <w:sz w:val="33"/>
          <w:szCs w:val="33"/>
        </w:rPr>
      </w:pPr>
    </w:p>
    <w:p>
      <w:pPr>
        <w:jc w:val="center"/>
        <w:rPr>
          <w:rFonts w:hint="eastAsia" w:ascii="宋体" w:hAnsi="宋体"/>
          <w:sz w:val="33"/>
          <w:szCs w:val="33"/>
        </w:rPr>
      </w:pPr>
    </w:p>
    <w:p>
      <w:pPr>
        <w:jc w:val="center"/>
        <w:rPr>
          <w:rFonts w:hint="eastAsia" w:ascii="宋体" w:hAnsi="宋体"/>
          <w:sz w:val="33"/>
          <w:szCs w:val="33"/>
        </w:rPr>
      </w:pPr>
    </w:p>
    <w:p>
      <w:pPr>
        <w:rPr>
          <w:rFonts w:hint="eastAsia" w:ascii="宋体" w:hAnsi="宋体"/>
          <w:sz w:val="33"/>
          <w:szCs w:val="33"/>
        </w:rPr>
      </w:pPr>
      <w:r>
        <w:rPr>
          <w:rFonts w:hint="eastAsia" w:ascii="宋体" w:hAnsi="宋体"/>
          <w:sz w:val="33"/>
          <w:szCs w:val="33"/>
        </w:rPr>
        <w:t xml:space="preserve">                      2019年4月11日</w:t>
      </w:r>
    </w:p>
    <w:p>
      <w:pPr>
        <w:jc w:val="center"/>
        <w:rPr>
          <w:rFonts w:ascii="宋体" w:hAnsi="宋体"/>
          <w:sz w:val="52"/>
        </w:rPr>
      </w:pPr>
    </w:p>
    <w:p>
      <w:pPr>
        <w:rPr>
          <w:rFonts w:hint="eastAsia" w:ascii="宋体" w:hAnsi="宋体"/>
        </w:rPr>
        <w:sectPr>
          <w:headerReference r:id="rId4" w:type="first"/>
          <w:headerReference r:id="rId3" w:type="default"/>
          <w:footerReference r:id="rId5" w:type="default"/>
          <w:pgSz w:w="11906" w:h="16838"/>
          <w:pgMar w:top="1021" w:right="1134" w:bottom="1021" w:left="851" w:header="851" w:footer="992" w:gutter="0"/>
          <w:pgNumType w:start="1"/>
          <w:cols w:space="720" w:num="1"/>
          <w:titlePg/>
          <w:docGrid w:linePitch="312" w:charSpace="0"/>
        </w:sectPr>
      </w:pPr>
    </w:p>
    <w:p>
      <w:pPr>
        <w:rPr>
          <w:rFonts w:ascii="宋体" w:hAnsi="宋体"/>
        </w:rPr>
      </w:pPr>
    </w:p>
    <w:p>
      <w:pPr>
        <w:pStyle w:val="20"/>
        <w:ind w:left="99" w:leftChars="47"/>
        <w:jc w:val="center"/>
        <w:rPr>
          <w:rFonts w:hint="eastAsia" w:ascii="宋体" w:hAnsi="宋体"/>
          <w:color w:val="000000"/>
          <w:sz w:val="36"/>
          <w:szCs w:val="36"/>
        </w:rPr>
      </w:pPr>
    </w:p>
    <w:p>
      <w:pPr>
        <w:pStyle w:val="20"/>
        <w:ind w:left="99" w:leftChars="47"/>
        <w:jc w:val="center"/>
        <w:rPr>
          <w:rFonts w:hint="eastAsia" w:ascii="宋体" w:hAnsi="宋体"/>
          <w:color w:val="000000"/>
          <w:sz w:val="36"/>
          <w:szCs w:val="36"/>
        </w:rPr>
      </w:pPr>
    </w:p>
    <w:p>
      <w:pPr>
        <w:pStyle w:val="20"/>
        <w:ind w:left="99" w:leftChars="47"/>
        <w:jc w:val="center"/>
        <w:rPr>
          <w:rFonts w:ascii="宋体" w:hAnsi="宋体"/>
          <w:sz w:val="36"/>
          <w:szCs w:val="36"/>
        </w:rPr>
      </w:pPr>
      <w:r>
        <w:rPr>
          <w:rFonts w:hint="eastAsia" w:ascii="宋体" w:hAnsi="宋体"/>
          <w:color w:val="000000"/>
          <w:sz w:val="36"/>
          <w:szCs w:val="36"/>
        </w:rPr>
        <w:t>目     录</w:t>
      </w:r>
    </w:p>
    <w:p>
      <w:pPr>
        <w:rPr>
          <w:rFonts w:ascii="宋体" w:hAnsi="宋体"/>
        </w:rPr>
      </w:pPr>
    </w:p>
    <w:p>
      <w:pPr>
        <w:numPr>
          <w:ilvl w:val="0"/>
          <w:numId w:val="1"/>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竞争性磋商公告</w:t>
      </w:r>
    </w:p>
    <w:p>
      <w:pPr>
        <w:numPr>
          <w:ilvl w:val="0"/>
          <w:numId w:val="1"/>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磋商项目服务内容及要求</w:t>
      </w:r>
    </w:p>
    <w:p>
      <w:pPr>
        <w:numPr>
          <w:ilvl w:val="0"/>
          <w:numId w:val="1"/>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磋商供应商须知</w:t>
      </w:r>
    </w:p>
    <w:p>
      <w:pPr>
        <w:spacing w:before="120" w:beforeLines="50" w:line="480" w:lineRule="exact"/>
        <w:ind w:left="1440"/>
        <w:rPr>
          <w:rFonts w:ascii="宋体" w:hAnsi="宋体"/>
          <w:color w:val="000000"/>
          <w:sz w:val="30"/>
        </w:rPr>
      </w:pPr>
      <w:r>
        <w:rPr>
          <w:rFonts w:hint="eastAsia" w:ascii="宋体" w:hAnsi="宋体"/>
          <w:color w:val="000000"/>
          <w:sz w:val="30"/>
        </w:rPr>
        <w:t>前附表</w:t>
      </w:r>
    </w:p>
    <w:p>
      <w:pPr>
        <w:numPr>
          <w:ilvl w:val="1"/>
          <w:numId w:val="1"/>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总 则</w:t>
      </w:r>
    </w:p>
    <w:p>
      <w:pPr>
        <w:numPr>
          <w:ilvl w:val="1"/>
          <w:numId w:val="1"/>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磋商文件</w:t>
      </w:r>
    </w:p>
    <w:p>
      <w:pPr>
        <w:numPr>
          <w:ilvl w:val="1"/>
          <w:numId w:val="1"/>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磋商响应文件的编制</w:t>
      </w:r>
    </w:p>
    <w:p>
      <w:pPr>
        <w:numPr>
          <w:ilvl w:val="1"/>
          <w:numId w:val="1"/>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确定成交供应商的方法</w:t>
      </w:r>
    </w:p>
    <w:p>
      <w:pPr>
        <w:numPr>
          <w:ilvl w:val="1"/>
          <w:numId w:val="1"/>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合同授予</w:t>
      </w:r>
    </w:p>
    <w:p>
      <w:pPr>
        <w:numPr>
          <w:ilvl w:val="0"/>
          <w:numId w:val="1"/>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磋商原则和程序</w:t>
      </w:r>
    </w:p>
    <w:p>
      <w:pPr>
        <w:numPr>
          <w:ilvl w:val="0"/>
          <w:numId w:val="1"/>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政府采购合同</w:t>
      </w:r>
    </w:p>
    <w:p>
      <w:pPr>
        <w:numPr>
          <w:ilvl w:val="0"/>
          <w:numId w:val="1"/>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响应文件格式</w:t>
      </w:r>
    </w:p>
    <w:p>
      <w:pPr>
        <w:pStyle w:val="2"/>
        <w:rPr>
          <w:rFonts w:hint="eastAsia" w:hAnsi="宋体" w:eastAsia="宋体"/>
          <w:b w:val="0"/>
          <w:sz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Ansi="宋体" w:eastAsia="宋体"/>
          <w:b w:val="0"/>
          <w:sz w:val="30"/>
          <w:szCs w:val="30"/>
        </w:rPr>
      </w:pPr>
      <w:r>
        <w:rPr>
          <w:rFonts w:hint="eastAsia" w:hAnsi="宋体" w:eastAsia="宋体"/>
          <w:color w:val="auto"/>
          <w:kern w:val="2"/>
          <w:sz w:val="30"/>
          <w:szCs w:val="30"/>
        </w:rPr>
        <w:t xml:space="preserve">第一章   </w:t>
      </w:r>
      <w:r>
        <w:rPr>
          <w:rFonts w:hint="eastAsia" w:hAnsi="宋体"/>
          <w:sz w:val="30"/>
          <w:szCs w:val="30"/>
        </w:rPr>
        <w:t>竞争性磋商公告</w:t>
      </w:r>
    </w:p>
    <w:p>
      <w:pPr>
        <w:pStyle w:val="67"/>
        <w:spacing w:after="120" w:line="360" w:lineRule="auto"/>
        <w:ind w:firstLine="480"/>
        <w:rPr>
          <w:rFonts w:hint="eastAsia" w:ascii="宋体" w:hAnsi="宋体"/>
          <w:szCs w:val="24"/>
        </w:rPr>
      </w:pPr>
      <w:r>
        <w:rPr>
          <w:rFonts w:hint="eastAsia" w:ascii="宋体" w:hAnsi="宋体"/>
          <w:szCs w:val="24"/>
        </w:rPr>
        <w:t>根据《政府采购竞争性磋商采购方式管理暂行办法》规定，经桐庐县政府采购管理办公室批准，现就</w:t>
      </w:r>
      <w:r>
        <w:rPr>
          <w:rFonts w:hint="eastAsia" w:ascii="宋体" w:hAnsi="宋体" w:cs="Arial"/>
          <w:b/>
          <w:bCs/>
          <w:kern w:val="2"/>
          <w:szCs w:val="24"/>
        </w:rPr>
        <w:t>桐庐县公安局**通租赁服务项目</w:t>
      </w:r>
      <w:r>
        <w:rPr>
          <w:rFonts w:hint="eastAsia" w:ascii="宋体" w:hAnsi="宋体"/>
          <w:szCs w:val="24"/>
        </w:rPr>
        <w:t>进行竞争性磋商，欢迎符合资格条件的供应商前来参加：</w:t>
      </w:r>
    </w:p>
    <w:p>
      <w:pPr>
        <w:numPr>
          <w:ilvl w:val="0"/>
          <w:numId w:val="2"/>
        </w:numPr>
        <w:spacing w:line="360" w:lineRule="auto"/>
        <w:ind w:firstLine="482" w:firstLineChars="200"/>
        <w:rPr>
          <w:rFonts w:hint="eastAsia" w:ascii="宋体" w:hAnsi="宋体" w:cs="Arial"/>
          <w:b/>
          <w:bCs/>
          <w:color w:val="FF0000"/>
          <w:sz w:val="24"/>
        </w:rPr>
      </w:pPr>
      <w:r>
        <w:rPr>
          <w:rFonts w:hint="eastAsia" w:ascii="宋体" w:hAnsi="宋体" w:cs="Arial"/>
          <w:b/>
          <w:bCs/>
          <w:color w:val="000000"/>
          <w:sz w:val="24"/>
        </w:rPr>
        <w:t>磋商项目编号：</w:t>
      </w:r>
      <w:r>
        <w:rPr>
          <w:rFonts w:hint="eastAsia" w:ascii="宋体" w:hAnsi="宋体"/>
          <w:sz w:val="24"/>
        </w:rPr>
        <w:t>TLXXZFCG2019-CS-002</w:t>
      </w:r>
    </w:p>
    <w:p>
      <w:pPr>
        <w:spacing w:line="360" w:lineRule="auto"/>
        <w:rPr>
          <w:rFonts w:hint="eastAsia" w:ascii="宋体" w:hAnsi="宋体" w:cs="Arial"/>
          <w:b/>
          <w:bCs/>
          <w:sz w:val="24"/>
        </w:rPr>
      </w:pPr>
      <w:r>
        <w:rPr>
          <w:rFonts w:hint="eastAsia" w:ascii="宋体" w:hAnsi="宋体" w:cs="Arial"/>
          <w:b/>
          <w:bCs/>
          <w:sz w:val="24"/>
        </w:rPr>
        <w:t xml:space="preserve">    二、公告期限：</w:t>
      </w:r>
      <w:r>
        <w:rPr>
          <w:rFonts w:hint="eastAsia" w:ascii="宋体" w:hAnsi="宋体"/>
          <w:sz w:val="24"/>
        </w:rPr>
        <w:t>10个日历天</w:t>
      </w:r>
    </w:p>
    <w:p>
      <w:pPr>
        <w:spacing w:line="360" w:lineRule="auto"/>
        <w:rPr>
          <w:rFonts w:hint="eastAsia" w:ascii="宋体" w:hAnsi="宋体"/>
          <w:sz w:val="24"/>
        </w:rPr>
      </w:pPr>
      <w:r>
        <w:rPr>
          <w:rFonts w:hint="eastAsia" w:ascii="宋体" w:hAnsi="宋体" w:cs="Arial"/>
          <w:sz w:val="24"/>
        </w:rPr>
        <w:t xml:space="preserve">    三、</w:t>
      </w:r>
      <w:r>
        <w:rPr>
          <w:rFonts w:hint="eastAsia" w:ascii="宋体" w:hAnsi="宋体" w:cs="Arial"/>
          <w:b/>
          <w:sz w:val="24"/>
        </w:rPr>
        <w:t>采购组织类型：</w:t>
      </w:r>
      <w:r>
        <w:rPr>
          <w:rFonts w:hint="eastAsia" w:ascii="宋体" w:hAnsi="宋体"/>
          <w:sz w:val="24"/>
        </w:rPr>
        <w:t>分散采购委托中介</w:t>
      </w:r>
    </w:p>
    <w:p>
      <w:pPr>
        <w:spacing w:line="360" w:lineRule="auto"/>
        <w:rPr>
          <w:rFonts w:hint="eastAsia" w:ascii="宋体" w:hAnsi="宋体" w:cs="Arial"/>
          <w:sz w:val="24"/>
        </w:rPr>
      </w:pPr>
      <w:r>
        <w:rPr>
          <w:rFonts w:hint="eastAsia" w:ascii="宋体" w:hAnsi="宋体" w:cs="Arial"/>
          <w:b/>
          <w:sz w:val="24"/>
        </w:rPr>
        <w:t xml:space="preserve">    四、采购方式：</w:t>
      </w:r>
      <w:r>
        <w:rPr>
          <w:rFonts w:hint="eastAsia" w:ascii="宋体" w:hAnsi="宋体" w:cs="Arial"/>
          <w:color w:val="000000"/>
          <w:sz w:val="24"/>
        </w:rPr>
        <w:t>竞争性磋商</w:t>
      </w:r>
    </w:p>
    <w:p>
      <w:pPr>
        <w:spacing w:line="360" w:lineRule="auto"/>
        <w:ind w:firstLine="482" w:firstLineChars="200"/>
        <w:rPr>
          <w:rFonts w:hint="eastAsia" w:ascii="宋体" w:hAnsi="宋体" w:cs="Arial"/>
          <w:color w:val="000000"/>
          <w:sz w:val="24"/>
        </w:rPr>
      </w:pPr>
      <w:r>
        <w:rPr>
          <w:rFonts w:hint="eastAsia" w:ascii="宋体" w:hAnsi="宋体" w:cs="Arial"/>
          <w:b/>
          <w:sz w:val="24"/>
        </w:rPr>
        <w:t>五、采购内容及数量：（具体内容及要求详见招标文件）:</w:t>
      </w:r>
      <w:r>
        <w:rPr>
          <w:rFonts w:ascii="宋体" w:hAnsi="宋体" w:cs="Arial"/>
          <w:color w:val="000000"/>
          <w:sz w:val="24"/>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831"/>
        <w:gridCol w:w="1931"/>
        <w:gridCol w:w="1912"/>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5" w:hRule="atLeast"/>
          <w:jc w:val="center"/>
        </w:trPr>
        <w:tc>
          <w:tcPr>
            <w:tcW w:w="755" w:type="dxa"/>
            <w:noWrap w:val="0"/>
            <w:vAlign w:val="center"/>
          </w:tcPr>
          <w:p>
            <w:pPr>
              <w:widowControl/>
              <w:snapToGrid w:val="0"/>
              <w:spacing w:line="360" w:lineRule="exact"/>
              <w:jc w:val="center"/>
              <w:rPr>
                <w:rFonts w:hint="eastAsia" w:ascii="宋体" w:hAnsi="宋体" w:cs="Arial"/>
                <w:b/>
                <w:bCs/>
                <w:color w:val="000000"/>
                <w:sz w:val="24"/>
              </w:rPr>
            </w:pPr>
            <w:r>
              <w:rPr>
                <w:rFonts w:hint="eastAsia" w:ascii="宋体" w:hAnsi="宋体" w:cs="Arial"/>
                <w:b/>
                <w:bCs/>
                <w:color w:val="000000"/>
                <w:sz w:val="24"/>
              </w:rPr>
              <w:t>序号</w:t>
            </w:r>
          </w:p>
        </w:tc>
        <w:tc>
          <w:tcPr>
            <w:tcW w:w="1831" w:type="dxa"/>
            <w:noWrap w:val="0"/>
            <w:vAlign w:val="center"/>
          </w:tcPr>
          <w:p>
            <w:pPr>
              <w:widowControl/>
              <w:snapToGrid w:val="0"/>
              <w:spacing w:line="360" w:lineRule="exact"/>
              <w:jc w:val="center"/>
              <w:rPr>
                <w:rFonts w:hint="eastAsia" w:ascii="宋体" w:hAnsi="宋体" w:cs="Arial"/>
                <w:b/>
                <w:bCs/>
                <w:color w:val="000000"/>
                <w:sz w:val="24"/>
              </w:rPr>
            </w:pPr>
            <w:r>
              <w:rPr>
                <w:rFonts w:hint="eastAsia" w:ascii="宋体" w:hAnsi="宋体" w:cs="Arial"/>
                <w:b/>
                <w:bCs/>
                <w:color w:val="000000"/>
                <w:sz w:val="24"/>
              </w:rPr>
              <w:t>工作内容</w:t>
            </w:r>
          </w:p>
        </w:tc>
        <w:tc>
          <w:tcPr>
            <w:tcW w:w="1931" w:type="dxa"/>
            <w:noWrap w:val="0"/>
            <w:vAlign w:val="center"/>
          </w:tcPr>
          <w:p>
            <w:pPr>
              <w:widowControl/>
              <w:snapToGrid w:val="0"/>
              <w:spacing w:line="360" w:lineRule="exact"/>
              <w:jc w:val="center"/>
              <w:rPr>
                <w:rFonts w:hint="eastAsia" w:ascii="宋体" w:hAnsi="宋体" w:cs="Arial"/>
                <w:b/>
                <w:bCs/>
                <w:color w:val="000000"/>
                <w:sz w:val="24"/>
              </w:rPr>
            </w:pPr>
            <w:r>
              <w:rPr>
                <w:rFonts w:hint="eastAsia" w:ascii="宋体" w:hAnsi="宋体" w:cs="Arial"/>
                <w:b/>
                <w:bCs/>
                <w:color w:val="000000"/>
                <w:sz w:val="24"/>
              </w:rPr>
              <w:t>服务期限</w:t>
            </w:r>
          </w:p>
        </w:tc>
        <w:tc>
          <w:tcPr>
            <w:tcW w:w="1912" w:type="dxa"/>
            <w:noWrap w:val="0"/>
            <w:vAlign w:val="center"/>
          </w:tcPr>
          <w:p>
            <w:pPr>
              <w:widowControl/>
              <w:snapToGrid w:val="0"/>
              <w:spacing w:line="360" w:lineRule="exact"/>
              <w:jc w:val="center"/>
              <w:rPr>
                <w:rFonts w:hint="eastAsia" w:ascii="宋体" w:hAnsi="宋体" w:cs="Arial"/>
                <w:b/>
                <w:bCs/>
                <w:color w:val="000000"/>
                <w:sz w:val="24"/>
              </w:rPr>
            </w:pPr>
            <w:r>
              <w:rPr>
                <w:rFonts w:hint="eastAsia" w:ascii="宋体" w:hAnsi="宋体" w:cs="Arial"/>
                <w:b/>
                <w:bCs/>
                <w:color w:val="000000"/>
                <w:sz w:val="24"/>
              </w:rPr>
              <w:t>预算金额</w:t>
            </w:r>
          </w:p>
        </w:tc>
        <w:tc>
          <w:tcPr>
            <w:tcW w:w="2169" w:type="dxa"/>
            <w:noWrap w:val="0"/>
            <w:vAlign w:val="center"/>
          </w:tcPr>
          <w:p>
            <w:pPr>
              <w:widowControl/>
              <w:snapToGrid w:val="0"/>
              <w:spacing w:line="360" w:lineRule="exact"/>
              <w:jc w:val="center"/>
              <w:rPr>
                <w:rFonts w:hint="eastAsia" w:ascii="宋体" w:hAnsi="宋体" w:cs="Arial"/>
                <w:b/>
                <w:bCs/>
                <w:color w:val="000000"/>
                <w:sz w:val="24"/>
              </w:rPr>
            </w:pPr>
            <w:r>
              <w:rPr>
                <w:rFonts w:hint="eastAsia" w:ascii="宋体" w:hAnsi="宋体" w:cs="Arial"/>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4" w:hRule="atLeast"/>
          <w:jc w:val="center"/>
        </w:trPr>
        <w:tc>
          <w:tcPr>
            <w:tcW w:w="755" w:type="dxa"/>
            <w:noWrap w:val="0"/>
            <w:vAlign w:val="center"/>
          </w:tcPr>
          <w:p>
            <w:pPr>
              <w:widowControl/>
              <w:snapToGrid w:val="0"/>
              <w:spacing w:line="360" w:lineRule="auto"/>
              <w:jc w:val="center"/>
              <w:rPr>
                <w:rFonts w:hint="eastAsia" w:ascii="宋体" w:hAnsi="宋体" w:cs="Arial"/>
                <w:bCs/>
                <w:color w:val="000000"/>
                <w:szCs w:val="21"/>
              </w:rPr>
            </w:pPr>
            <w:r>
              <w:rPr>
                <w:rFonts w:hint="eastAsia" w:ascii="宋体" w:hAnsi="宋体" w:cs="Arial"/>
                <w:bCs/>
                <w:color w:val="000000"/>
                <w:sz w:val="24"/>
              </w:rPr>
              <w:t>1</w:t>
            </w:r>
          </w:p>
        </w:tc>
        <w:tc>
          <w:tcPr>
            <w:tcW w:w="1831" w:type="dxa"/>
            <w:noWrap w:val="0"/>
            <w:vAlign w:val="center"/>
          </w:tcPr>
          <w:p>
            <w:pPr>
              <w:widowControl/>
              <w:snapToGrid w:val="0"/>
              <w:spacing w:line="360" w:lineRule="exact"/>
              <w:jc w:val="center"/>
              <w:rPr>
                <w:rFonts w:hint="eastAsia" w:ascii="宋体" w:hAnsi="宋体" w:cs="Arial"/>
                <w:bCs/>
                <w:color w:val="000000"/>
                <w:sz w:val="24"/>
              </w:rPr>
            </w:pPr>
            <w:r>
              <w:rPr>
                <w:rFonts w:hint="eastAsia" w:ascii="宋体" w:hAnsi="宋体" w:cs="Arial"/>
                <w:bCs/>
                <w:color w:val="000000"/>
                <w:sz w:val="24"/>
              </w:rPr>
              <w:t>桐庐县公安局**通租赁服务项目</w:t>
            </w:r>
          </w:p>
        </w:tc>
        <w:tc>
          <w:tcPr>
            <w:tcW w:w="1931" w:type="dxa"/>
            <w:noWrap w:val="0"/>
            <w:vAlign w:val="center"/>
          </w:tcPr>
          <w:p>
            <w:pPr>
              <w:widowControl/>
              <w:snapToGrid w:val="0"/>
              <w:spacing w:line="360" w:lineRule="exact"/>
              <w:jc w:val="center"/>
              <w:rPr>
                <w:rFonts w:hint="eastAsia" w:ascii="宋体" w:hAnsi="宋体" w:cs="Arial"/>
                <w:bCs/>
                <w:color w:val="FF0000"/>
                <w:sz w:val="24"/>
              </w:rPr>
            </w:pPr>
            <w:r>
              <w:rPr>
                <w:rFonts w:hint="eastAsia" w:ascii="宋体" w:hAnsi="宋体" w:cs="Arial"/>
                <w:bCs/>
                <w:color w:val="000000"/>
                <w:sz w:val="24"/>
              </w:rPr>
              <w:t>24个月</w:t>
            </w:r>
          </w:p>
        </w:tc>
        <w:tc>
          <w:tcPr>
            <w:tcW w:w="1912" w:type="dxa"/>
            <w:noWrap w:val="0"/>
            <w:vAlign w:val="center"/>
          </w:tcPr>
          <w:p>
            <w:pPr>
              <w:widowControl/>
              <w:snapToGrid w:val="0"/>
              <w:spacing w:line="360" w:lineRule="exact"/>
              <w:jc w:val="center"/>
              <w:rPr>
                <w:rFonts w:hint="eastAsia" w:ascii="宋体" w:hAnsi="宋体" w:cs="Arial"/>
                <w:bCs/>
                <w:color w:val="000000"/>
                <w:sz w:val="24"/>
              </w:rPr>
            </w:pPr>
            <w:r>
              <w:rPr>
                <w:rFonts w:hint="eastAsia" w:ascii="宋体" w:hAnsi="宋体" w:cs="Arial"/>
                <w:bCs/>
                <w:color w:val="000000"/>
                <w:sz w:val="24"/>
              </w:rPr>
              <w:t>85万元</w:t>
            </w:r>
          </w:p>
        </w:tc>
        <w:tc>
          <w:tcPr>
            <w:tcW w:w="2169" w:type="dxa"/>
            <w:noWrap w:val="0"/>
            <w:vAlign w:val="center"/>
          </w:tcPr>
          <w:p>
            <w:pPr>
              <w:widowControl/>
              <w:snapToGrid w:val="0"/>
              <w:spacing w:line="360" w:lineRule="exact"/>
              <w:jc w:val="center"/>
              <w:rPr>
                <w:rFonts w:hint="eastAsia" w:ascii="宋体" w:hAnsi="宋体" w:cs="Arial"/>
                <w:bCs/>
                <w:color w:val="000000"/>
                <w:sz w:val="24"/>
              </w:rPr>
            </w:pPr>
            <w:r>
              <w:rPr>
                <w:rFonts w:hint="eastAsia" w:ascii="宋体" w:hAnsi="宋体" w:cs="Arial"/>
                <w:bCs/>
                <w:color w:val="000000"/>
                <w:sz w:val="24"/>
              </w:rPr>
              <w:t>相关招标需求</w:t>
            </w:r>
          </w:p>
          <w:p>
            <w:pPr>
              <w:widowControl/>
              <w:snapToGrid w:val="0"/>
              <w:spacing w:line="360" w:lineRule="exact"/>
              <w:jc w:val="center"/>
              <w:rPr>
                <w:rFonts w:hint="eastAsia" w:ascii="宋体" w:hAnsi="宋体" w:cs="Arial"/>
                <w:bCs/>
                <w:color w:val="000000"/>
                <w:sz w:val="24"/>
              </w:rPr>
            </w:pPr>
            <w:r>
              <w:rPr>
                <w:rFonts w:hint="eastAsia" w:ascii="宋体" w:hAnsi="宋体" w:cs="Arial"/>
                <w:bCs/>
                <w:color w:val="000000"/>
                <w:sz w:val="24"/>
              </w:rPr>
              <w:t>详见招标文件</w:t>
            </w:r>
          </w:p>
        </w:tc>
      </w:tr>
    </w:tbl>
    <w:p>
      <w:pPr>
        <w:spacing w:line="360" w:lineRule="auto"/>
        <w:rPr>
          <w:rFonts w:hint="eastAsia" w:ascii="宋体" w:hAnsi="宋体" w:cs="Arial"/>
          <w:color w:val="000000"/>
          <w:sz w:val="24"/>
        </w:rPr>
      </w:pPr>
    </w:p>
    <w:p>
      <w:pPr>
        <w:spacing w:line="360" w:lineRule="auto"/>
        <w:ind w:firstLine="482" w:firstLineChars="200"/>
        <w:rPr>
          <w:rFonts w:hint="eastAsia" w:ascii="宋体" w:hAnsi="宋体" w:cs="Arial"/>
          <w:b/>
          <w:sz w:val="24"/>
        </w:rPr>
      </w:pPr>
      <w:r>
        <w:rPr>
          <w:rFonts w:hint="eastAsia" w:ascii="宋体" w:hAnsi="宋体" w:cs="Arial"/>
          <w:b/>
          <w:sz w:val="24"/>
        </w:rPr>
        <w:t>六、投标人的资格要求：</w:t>
      </w:r>
    </w:p>
    <w:p>
      <w:pPr>
        <w:spacing w:line="360" w:lineRule="auto"/>
        <w:ind w:firstLine="480" w:firstLineChars="200"/>
        <w:rPr>
          <w:rFonts w:hint="eastAsia" w:ascii="宋体" w:hAnsi="宋体"/>
          <w:sz w:val="24"/>
        </w:rPr>
      </w:pPr>
      <w:r>
        <w:rPr>
          <w:rFonts w:hint="eastAsia" w:ascii="宋体" w:hAnsi="宋体"/>
          <w:sz w:val="24"/>
        </w:rP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360" w:lineRule="auto"/>
        <w:ind w:firstLine="482" w:firstLineChars="200"/>
        <w:rPr>
          <w:rFonts w:hint="eastAsia" w:ascii="宋体" w:hAnsi="宋体" w:cs="Arial"/>
          <w:color w:val="000000"/>
          <w:sz w:val="24"/>
        </w:rPr>
      </w:pPr>
      <w:r>
        <w:rPr>
          <w:rFonts w:hint="eastAsia" w:ascii="宋体" w:hAnsi="宋体" w:cs="Arial"/>
          <w:b/>
          <w:bCs/>
          <w:color w:val="000000"/>
          <w:sz w:val="24"/>
        </w:rPr>
        <w:t>七、磋商文件的获取</w:t>
      </w:r>
      <w:r>
        <w:rPr>
          <w:rFonts w:hint="eastAsia" w:ascii="宋体" w:hAnsi="宋体" w:cs="Arial"/>
          <w:color w:val="000000"/>
          <w:sz w:val="24"/>
        </w:rPr>
        <w:t>：</w:t>
      </w:r>
    </w:p>
    <w:p>
      <w:pPr>
        <w:snapToGrid w:val="0"/>
        <w:spacing w:line="360" w:lineRule="auto"/>
        <w:ind w:firstLine="482"/>
        <w:rPr>
          <w:rFonts w:hint="eastAsia" w:ascii="宋体" w:hAnsi="宋体"/>
          <w:kern w:val="0"/>
          <w:sz w:val="24"/>
        </w:rPr>
      </w:pPr>
      <w:r>
        <w:rPr>
          <w:rFonts w:hint="eastAsia" w:ascii="宋体" w:hAnsi="宋体"/>
          <w:kern w:val="0"/>
          <w:sz w:val="24"/>
        </w:rPr>
        <w:t>投标人可到</w:t>
      </w:r>
      <w:r>
        <w:rPr>
          <w:rFonts w:hint="eastAsia" w:ascii="宋体" w:hAnsi="宋体"/>
          <w:b/>
          <w:sz w:val="24"/>
        </w:rPr>
        <w:t>浙江政府采购网(</w:t>
      </w:r>
      <w:r>
        <w:rPr>
          <w:rFonts w:ascii="宋体" w:hAnsi="宋体"/>
          <w:b/>
          <w:sz w:val="24"/>
        </w:rPr>
        <w:fldChar w:fldCharType="begin"/>
      </w:r>
      <w:r>
        <w:rPr>
          <w:rFonts w:ascii="宋体" w:hAnsi="宋体"/>
          <w:b/>
          <w:sz w:val="24"/>
        </w:rPr>
        <w:instrText xml:space="preserve"> HYPERLINK "http://www.zjzfcg.gov.cn/" </w:instrText>
      </w:r>
      <w:r>
        <w:rPr>
          <w:rFonts w:ascii="宋体" w:hAnsi="宋体"/>
          <w:b/>
          <w:sz w:val="24"/>
        </w:rPr>
        <w:fldChar w:fldCharType="separate"/>
      </w:r>
      <w:r>
        <w:rPr>
          <w:rFonts w:ascii="宋体" w:hAnsi="宋体"/>
          <w:b/>
          <w:sz w:val="24"/>
        </w:rPr>
        <w:t>http://www.zjzfcg.gov.cn</w:t>
      </w:r>
      <w:r>
        <w:rPr>
          <w:rFonts w:ascii="宋体" w:hAnsi="宋体"/>
          <w:b/>
          <w:sz w:val="24"/>
        </w:rPr>
        <w:fldChar w:fldCharType="end"/>
      </w:r>
      <w:r>
        <w:rPr>
          <w:rFonts w:hint="eastAsia" w:ascii="宋体" w:hAnsi="宋体"/>
          <w:b/>
          <w:sz w:val="24"/>
        </w:rPr>
        <w:t>)或桐庐县公共资源招投标网（</w:t>
      </w:r>
      <w:r>
        <w:rPr>
          <w:rFonts w:ascii="宋体" w:hAnsi="宋体"/>
          <w:b/>
          <w:sz w:val="24"/>
        </w:rPr>
        <w:t>http://www.tlztb.com.cn /</w:t>
      </w:r>
      <w:r>
        <w:rPr>
          <w:rFonts w:hint="eastAsia" w:ascii="宋体" w:hAnsi="宋体"/>
          <w:b/>
          <w:sz w:val="24"/>
        </w:rPr>
        <w:t>）</w:t>
      </w:r>
      <w:r>
        <w:rPr>
          <w:rFonts w:hint="eastAsia" w:ascii="宋体" w:hAnsi="宋体"/>
          <w:sz w:val="24"/>
        </w:rPr>
        <w:t>上自行查看和下载。</w:t>
      </w:r>
    </w:p>
    <w:p>
      <w:pPr>
        <w:snapToGrid w:val="0"/>
        <w:spacing w:line="360" w:lineRule="auto"/>
        <w:ind w:firstLine="482" w:firstLineChars="200"/>
        <w:rPr>
          <w:rFonts w:hint="eastAsia" w:ascii="宋体" w:hAnsi="宋体" w:cs="宋体"/>
          <w:sz w:val="24"/>
        </w:rPr>
      </w:pPr>
      <w:r>
        <w:rPr>
          <w:rFonts w:hint="eastAsia" w:ascii="宋体" w:hAnsi="宋体" w:cs="宋体"/>
          <w:b/>
          <w:sz w:val="24"/>
        </w:rPr>
        <w:t>八</w:t>
      </w:r>
      <w:r>
        <w:rPr>
          <w:rFonts w:hint="eastAsia" w:ascii="宋体" w:hAnsi="宋体" w:cs="宋体"/>
          <w:b/>
          <w:bCs/>
          <w:sz w:val="24"/>
        </w:rPr>
        <w:t>、</w:t>
      </w:r>
      <w:r>
        <w:rPr>
          <w:rFonts w:hint="eastAsia" w:ascii="宋体" w:hAnsi="宋体" w:cs="Arial"/>
          <w:b/>
          <w:bCs/>
          <w:color w:val="000000"/>
          <w:sz w:val="24"/>
        </w:rPr>
        <w:t>磋商</w:t>
      </w:r>
      <w:r>
        <w:rPr>
          <w:rFonts w:hint="eastAsia" w:ascii="宋体" w:hAnsi="宋体" w:cs="宋体"/>
          <w:b/>
          <w:bCs/>
          <w:sz w:val="24"/>
        </w:rPr>
        <w:t>保证金</w:t>
      </w:r>
      <w:r>
        <w:rPr>
          <w:rFonts w:hint="eastAsia" w:ascii="宋体" w:hAnsi="宋体" w:cs="宋体"/>
          <w:sz w:val="24"/>
        </w:rPr>
        <w:t>：</w:t>
      </w:r>
    </w:p>
    <w:p>
      <w:pPr>
        <w:spacing w:line="360" w:lineRule="auto"/>
        <w:ind w:firstLine="480" w:firstLineChars="200"/>
        <w:rPr>
          <w:rFonts w:hint="eastAsia"/>
          <w:sz w:val="24"/>
        </w:rPr>
      </w:pPr>
      <w:r>
        <w:rPr>
          <w:rFonts w:hint="eastAsia"/>
          <w:sz w:val="24"/>
        </w:rPr>
        <w:t>本项目无需缴纳磋商保证金。</w:t>
      </w:r>
    </w:p>
    <w:p>
      <w:pPr>
        <w:snapToGrid w:val="0"/>
        <w:spacing w:line="360" w:lineRule="auto"/>
        <w:ind w:left="479" w:leftChars="228" w:firstLine="60" w:firstLineChars="25"/>
        <w:rPr>
          <w:rFonts w:hint="eastAsia" w:ascii="宋体" w:hAnsi="宋体" w:cs="Arial"/>
          <w:color w:val="000000"/>
          <w:sz w:val="24"/>
        </w:rPr>
      </w:pPr>
      <w:r>
        <w:rPr>
          <w:rFonts w:hint="eastAsia" w:ascii="宋体" w:hAnsi="宋体" w:cs="Arial"/>
          <w:b/>
          <w:bCs/>
          <w:color w:val="000000"/>
          <w:sz w:val="24"/>
        </w:rPr>
        <w:t>九、投标截止时间和地点</w:t>
      </w:r>
      <w:r>
        <w:rPr>
          <w:rFonts w:hint="eastAsia" w:ascii="宋体" w:hAnsi="宋体" w:cs="Arial"/>
          <w:color w:val="000000"/>
          <w:sz w:val="24"/>
        </w:rPr>
        <w:t>：</w:t>
      </w:r>
    </w:p>
    <w:p>
      <w:pPr>
        <w:snapToGrid w:val="0"/>
        <w:spacing w:line="360" w:lineRule="auto"/>
        <w:ind w:firstLine="540" w:firstLineChars="225"/>
        <w:rPr>
          <w:rFonts w:hint="eastAsia" w:hAnsi="宋体"/>
          <w:sz w:val="24"/>
        </w:rPr>
      </w:pPr>
      <w:r>
        <w:rPr>
          <w:rFonts w:hint="eastAsia" w:hAnsi="宋体"/>
          <w:sz w:val="24"/>
        </w:rPr>
        <w:t>投标人应于</w:t>
      </w:r>
      <w:r>
        <w:rPr>
          <w:rFonts w:hint="eastAsia" w:hAnsi="宋体"/>
          <w:b/>
          <w:color w:val="FF0000"/>
          <w:sz w:val="24"/>
        </w:rPr>
        <w:t>2019年4月26日13 时30分</w:t>
      </w:r>
      <w:r>
        <w:rPr>
          <w:rFonts w:hint="eastAsia" w:hAnsi="宋体"/>
          <w:sz w:val="24"/>
        </w:rPr>
        <w:t>将投标文件及合格投标人资格证明文件原件送交到桐庐县招投标服务中心2号开标室（桐庐县迎春南路</w:t>
      </w:r>
      <w:r>
        <w:rPr>
          <w:rFonts w:hAnsi="宋体"/>
          <w:sz w:val="24"/>
        </w:rPr>
        <w:t>258</w:t>
      </w:r>
      <w:r>
        <w:rPr>
          <w:rFonts w:hint="eastAsia" w:hAnsi="宋体"/>
          <w:sz w:val="24"/>
        </w:rPr>
        <w:t>号国资大厦</w:t>
      </w:r>
      <w:r>
        <w:rPr>
          <w:rFonts w:hAnsi="宋体"/>
          <w:sz w:val="24"/>
        </w:rPr>
        <w:t>6</w:t>
      </w:r>
      <w:r>
        <w:rPr>
          <w:rFonts w:hint="eastAsia" w:hAnsi="宋体"/>
          <w:sz w:val="24"/>
        </w:rPr>
        <w:t>楼），逾期送达作无效标处理。</w:t>
      </w:r>
    </w:p>
    <w:p>
      <w:pPr>
        <w:snapToGrid w:val="0"/>
        <w:spacing w:line="360" w:lineRule="auto"/>
        <w:ind w:firstLine="482" w:firstLineChars="200"/>
        <w:rPr>
          <w:rFonts w:hint="eastAsia" w:ascii="宋体" w:hAnsi="宋体" w:cs="Arial"/>
          <w:color w:val="000000"/>
          <w:sz w:val="24"/>
        </w:rPr>
      </w:pPr>
      <w:r>
        <w:rPr>
          <w:rFonts w:hint="eastAsia" w:ascii="宋体" w:hAnsi="宋体" w:cs="Arial"/>
          <w:b/>
          <w:bCs/>
          <w:color w:val="000000"/>
          <w:sz w:val="24"/>
        </w:rPr>
        <w:t>十、开标时间及地点</w:t>
      </w:r>
      <w:r>
        <w:rPr>
          <w:rFonts w:hint="eastAsia" w:ascii="宋体" w:hAnsi="宋体" w:cs="Arial"/>
          <w:color w:val="000000"/>
          <w:sz w:val="24"/>
        </w:rPr>
        <w:t>：</w:t>
      </w:r>
    </w:p>
    <w:p>
      <w:pPr>
        <w:snapToGrid w:val="0"/>
        <w:spacing w:line="360" w:lineRule="auto"/>
        <w:ind w:firstLine="540" w:firstLineChars="225"/>
        <w:rPr>
          <w:rFonts w:hint="eastAsia" w:hAnsi="宋体"/>
          <w:sz w:val="24"/>
        </w:rPr>
      </w:pPr>
      <w:r>
        <w:rPr>
          <w:rFonts w:hint="eastAsia" w:hAnsi="宋体"/>
          <w:sz w:val="24"/>
        </w:rPr>
        <w:t>本次招标将于</w:t>
      </w:r>
      <w:r>
        <w:rPr>
          <w:rFonts w:hint="eastAsia" w:hAnsi="宋体"/>
          <w:b/>
          <w:color w:val="FF0000"/>
          <w:sz w:val="24"/>
        </w:rPr>
        <w:t>2019年4月26日13 时30分</w:t>
      </w:r>
      <w:r>
        <w:rPr>
          <w:rFonts w:hint="eastAsia" w:hAnsi="宋体"/>
          <w:sz w:val="24"/>
        </w:rPr>
        <w:t>在桐庐县招投标服务中心开标，投标代表出席开标会议。</w:t>
      </w:r>
    </w:p>
    <w:p>
      <w:pPr>
        <w:snapToGrid w:val="0"/>
        <w:spacing w:line="360" w:lineRule="auto"/>
        <w:ind w:firstLine="482" w:firstLineChars="200"/>
        <w:rPr>
          <w:rFonts w:hint="eastAsia" w:ascii="宋体" w:hAnsi="宋体" w:cs="Arial"/>
          <w:b/>
          <w:sz w:val="24"/>
        </w:rPr>
      </w:pPr>
      <w:r>
        <w:rPr>
          <w:rFonts w:hint="eastAsia" w:ascii="宋体" w:hAnsi="宋体" w:cs="Arial"/>
          <w:b/>
          <w:sz w:val="24"/>
        </w:rPr>
        <w:t>十一、其他事项</w:t>
      </w:r>
    </w:p>
    <w:p>
      <w:pPr>
        <w:snapToGrid w:val="0"/>
        <w:spacing w:line="360" w:lineRule="auto"/>
        <w:ind w:firstLine="482" w:firstLineChars="200"/>
        <w:rPr>
          <w:rFonts w:hint="eastAsia" w:ascii="宋体" w:hAnsi="宋体" w:cs="Arial"/>
          <w:b/>
          <w:sz w:val="24"/>
        </w:rPr>
      </w:pPr>
      <w:r>
        <w:rPr>
          <w:rFonts w:hint="eastAsia" w:ascii="宋体" w:hAnsi="宋体" w:cs="Arial"/>
          <w:b/>
          <w:sz w:val="24"/>
        </w:rPr>
        <w:t>投标供应商须在投标截止日前在桐庐县公共资源招投标网(www.tlztb.com</w:t>
      </w:r>
      <w:r>
        <w:rPr>
          <w:rFonts w:ascii="宋体" w:hAnsi="宋体" w:cs="Arial"/>
          <w:b/>
          <w:sz w:val="24"/>
        </w:rPr>
        <w:t>.cn</w:t>
      </w:r>
      <w:r>
        <w:rPr>
          <w:rFonts w:hint="eastAsia" w:ascii="宋体" w:hAnsi="宋体" w:cs="Arial"/>
          <w:b/>
          <w:sz w:val="24"/>
        </w:rPr>
        <w:t>)上完成供应商注册工作,并将保证金关联到本项目。</w:t>
      </w:r>
    </w:p>
    <w:p>
      <w:pPr>
        <w:snapToGrid w:val="0"/>
        <w:spacing w:line="360" w:lineRule="auto"/>
        <w:ind w:firstLine="482" w:firstLineChars="200"/>
        <w:rPr>
          <w:rFonts w:hint="eastAsia" w:ascii="宋体" w:hAnsi="宋体" w:cs="Arial"/>
          <w:b/>
          <w:sz w:val="24"/>
        </w:rPr>
      </w:pPr>
      <w:r>
        <w:rPr>
          <w:rFonts w:hint="eastAsia" w:ascii="宋体" w:hAnsi="宋体" w:cs="Arial"/>
          <w:b/>
          <w:sz w:val="24"/>
        </w:rPr>
        <w:t>投标人如不派代表或不准时参加开标大会的,不得对采购相关人员、开标过程和开标结果提出异议。</w:t>
      </w:r>
    </w:p>
    <w:p>
      <w:pPr>
        <w:snapToGrid w:val="0"/>
        <w:spacing w:line="360" w:lineRule="auto"/>
        <w:ind w:firstLine="420"/>
        <w:rPr>
          <w:rFonts w:ascii="宋体" w:hAnsi="宋体"/>
          <w:b/>
          <w:sz w:val="24"/>
        </w:rPr>
      </w:pPr>
      <w:r>
        <w:rPr>
          <w:rFonts w:ascii="宋体" w:hAnsi="宋体"/>
          <w:b/>
          <w:sz w:val="24"/>
        </w:rPr>
        <w:t>十二、业务咨询：</w:t>
      </w:r>
    </w:p>
    <w:p>
      <w:pPr>
        <w:spacing w:line="360" w:lineRule="auto"/>
        <w:ind w:firstLine="480" w:firstLineChars="200"/>
        <w:rPr>
          <w:rFonts w:ascii="宋体" w:hAnsi="宋体"/>
          <w:sz w:val="24"/>
        </w:rPr>
      </w:pPr>
      <w:r>
        <w:rPr>
          <w:rFonts w:hint="eastAsia" w:ascii="宋体" w:hAnsi="宋体"/>
          <w:sz w:val="24"/>
        </w:rPr>
        <w:t>1、采购代理机构名称：杭州欣兴建设工程招标代理有限公司</w:t>
      </w:r>
    </w:p>
    <w:p>
      <w:pPr>
        <w:snapToGrid w:val="0"/>
        <w:spacing w:line="360" w:lineRule="auto"/>
        <w:rPr>
          <w:rFonts w:ascii="宋体" w:hAnsi="宋体"/>
          <w:sz w:val="24"/>
        </w:rPr>
      </w:pPr>
      <w:r>
        <w:rPr>
          <w:rFonts w:hint="eastAsia" w:ascii="宋体" w:hAnsi="宋体"/>
          <w:sz w:val="24"/>
        </w:rPr>
        <w:t xml:space="preserve">       地址：桐庐县城南街道米兰商厦2幢2单元904室</w:t>
      </w:r>
    </w:p>
    <w:p>
      <w:pPr>
        <w:snapToGrid w:val="0"/>
        <w:spacing w:line="360" w:lineRule="auto"/>
        <w:rPr>
          <w:rFonts w:ascii="宋体" w:hAnsi="宋体"/>
          <w:sz w:val="24"/>
        </w:rPr>
      </w:pPr>
      <w:r>
        <w:rPr>
          <w:rFonts w:hint="eastAsia" w:ascii="宋体" w:hAnsi="宋体"/>
          <w:sz w:val="24"/>
        </w:rPr>
        <w:t xml:space="preserve">       联系人：吴燕桥</w:t>
      </w:r>
    </w:p>
    <w:p>
      <w:pPr>
        <w:snapToGrid w:val="0"/>
        <w:spacing w:line="360" w:lineRule="auto"/>
        <w:ind w:firstLine="465"/>
        <w:rPr>
          <w:rFonts w:hint="eastAsia" w:ascii="宋体" w:hAnsi="宋体"/>
          <w:sz w:val="24"/>
        </w:rPr>
      </w:pPr>
      <w:r>
        <w:rPr>
          <w:rFonts w:hint="eastAsia" w:ascii="宋体" w:hAnsi="宋体"/>
          <w:sz w:val="24"/>
        </w:rPr>
        <w:t xml:space="preserve">   联系电话：0571-69901109</w:t>
      </w:r>
    </w:p>
    <w:p>
      <w:pPr>
        <w:snapToGrid w:val="0"/>
        <w:spacing w:line="360" w:lineRule="auto"/>
        <w:ind w:firstLine="420"/>
        <w:rPr>
          <w:rFonts w:hint="eastAsia" w:ascii="宋体" w:hAnsi="宋体"/>
          <w:sz w:val="24"/>
        </w:rPr>
      </w:pPr>
      <w:r>
        <w:rPr>
          <w:rFonts w:hint="eastAsia" w:ascii="宋体" w:hAnsi="宋体"/>
          <w:sz w:val="24"/>
        </w:rPr>
        <w:t>2、</w:t>
      </w:r>
      <w:r>
        <w:rPr>
          <w:rFonts w:hint="eastAsia"/>
          <w:sz w:val="24"/>
        </w:rPr>
        <w:t>采购单位：</w:t>
      </w:r>
      <w:r>
        <w:rPr>
          <w:rFonts w:hint="eastAsia" w:ascii="宋体" w:hAnsi="宋体"/>
          <w:sz w:val="24"/>
        </w:rPr>
        <w:t xml:space="preserve">桐庐县公安局     </w:t>
      </w:r>
    </w:p>
    <w:p>
      <w:pPr>
        <w:snapToGrid w:val="0"/>
        <w:spacing w:line="360" w:lineRule="auto"/>
        <w:ind w:firstLine="840" w:firstLineChars="350"/>
        <w:rPr>
          <w:rFonts w:hint="eastAsia" w:ascii="宋体" w:hAnsi="宋体"/>
          <w:sz w:val="24"/>
        </w:rPr>
      </w:pPr>
      <w:r>
        <w:rPr>
          <w:rFonts w:hint="eastAsia" w:ascii="宋体" w:hAnsi="宋体"/>
          <w:sz w:val="24"/>
        </w:rPr>
        <w:t xml:space="preserve">联系人：陈华        </w:t>
      </w:r>
    </w:p>
    <w:p>
      <w:pPr>
        <w:snapToGrid w:val="0"/>
        <w:spacing w:line="360" w:lineRule="auto"/>
        <w:ind w:firstLine="840" w:firstLineChars="350"/>
        <w:rPr>
          <w:rFonts w:hint="eastAsia" w:ascii="宋体" w:hAnsi="宋体"/>
          <w:sz w:val="24"/>
        </w:rPr>
      </w:pPr>
      <w:r>
        <w:rPr>
          <w:rFonts w:hint="eastAsia" w:ascii="宋体" w:hAnsi="宋体"/>
          <w:sz w:val="24"/>
        </w:rPr>
        <w:t>联系电话：0571-64631957</w:t>
      </w:r>
    </w:p>
    <w:p>
      <w:pPr>
        <w:snapToGrid w:val="0"/>
        <w:spacing w:line="360" w:lineRule="auto"/>
        <w:ind w:firstLine="480" w:firstLineChars="200"/>
        <w:rPr>
          <w:rFonts w:ascii="宋体" w:hAnsi="宋体" w:cs="Arial"/>
          <w:sz w:val="24"/>
        </w:rPr>
      </w:pPr>
      <w:r>
        <w:rPr>
          <w:rFonts w:hint="eastAsia" w:ascii="宋体" w:hAnsi="宋体" w:cs="Arial"/>
          <w:sz w:val="24"/>
        </w:rPr>
        <w:t>3、同级政府采购监督管理部门名称：桐庐县采购办</w:t>
      </w:r>
    </w:p>
    <w:p>
      <w:pPr>
        <w:snapToGrid w:val="0"/>
        <w:spacing w:line="360" w:lineRule="auto"/>
        <w:ind w:firstLine="480" w:firstLineChars="200"/>
        <w:rPr>
          <w:rFonts w:ascii="宋体" w:hAnsi="宋体" w:cs="Arial"/>
          <w:sz w:val="24"/>
        </w:rPr>
      </w:pPr>
      <w:r>
        <w:rPr>
          <w:rFonts w:hint="eastAsia" w:ascii="宋体" w:hAnsi="宋体" w:cs="Arial"/>
          <w:sz w:val="24"/>
        </w:rPr>
        <w:t xml:space="preserve">   联系人：陈毅    </w:t>
      </w:r>
    </w:p>
    <w:p>
      <w:pPr>
        <w:snapToGrid w:val="0"/>
        <w:spacing w:line="360" w:lineRule="auto"/>
        <w:ind w:firstLine="840" w:firstLineChars="350"/>
        <w:rPr>
          <w:rFonts w:ascii="宋体" w:hAnsi="宋体"/>
          <w:sz w:val="24"/>
        </w:rPr>
      </w:pPr>
      <w:r>
        <w:rPr>
          <w:rFonts w:hint="eastAsia" w:ascii="宋体" w:hAnsi="宋体" w:cs="Arial"/>
          <w:sz w:val="24"/>
        </w:rPr>
        <w:t>监督投诉电话：0571-64217655</w:t>
      </w: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rPr>
          <w:rFonts w:hint="eastAsia"/>
          <w:b/>
          <w:sz w:val="30"/>
          <w:szCs w:val="30"/>
        </w:rPr>
      </w:pPr>
    </w:p>
    <w:p>
      <w:pPr>
        <w:snapToGrid w:val="0"/>
        <w:spacing w:line="360" w:lineRule="auto"/>
        <w:jc w:val="center"/>
        <w:rPr>
          <w:rFonts w:hint="eastAsia"/>
          <w:b/>
          <w:sz w:val="30"/>
          <w:szCs w:val="30"/>
        </w:rPr>
      </w:pPr>
      <w:r>
        <w:rPr>
          <w:rFonts w:hint="eastAsia"/>
          <w:b/>
          <w:sz w:val="30"/>
          <w:szCs w:val="30"/>
        </w:rPr>
        <w:t>第二章 磋商项目服务内容及要求</w:t>
      </w:r>
    </w:p>
    <w:p>
      <w:pPr>
        <w:spacing w:line="360" w:lineRule="auto"/>
        <w:rPr>
          <w:b/>
          <w:sz w:val="24"/>
        </w:rPr>
      </w:pPr>
      <w:r>
        <w:rPr>
          <w:rFonts w:hint="eastAsia" w:ascii="仿宋_GB2312" w:hAnsi="仿宋" w:eastAsia="仿宋_GB2312"/>
          <w:b/>
          <w:sz w:val="24"/>
        </w:rPr>
        <w:t>一</w:t>
      </w:r>
      <w:r>
        <w:rPr>
          <w:rFonts w:hint="eastAsia"/>
          <w:b/>
          <w:sz w:val="24"/>
        </w:rPr>
        <w:t>、项目概述</w:t>
      </w:r>
    </w:p>
    <w:p>
      <w:pPr>
        <w:spacing w:line="360" w:lineRule="auto"/>
        <w:ind w:firstLine="480" w:firstLineChars="200"/>
        <w:rPr>
          <w:rFonts w:hint="eastAsia"/>
          <w:sz w:val="24"/>
        </w:rPr>
      </w:pPr>
      <w:bookmarkStart w:id="0" w:name="_Toc330734302"/>
      <w:r>
        <w:rPr>
          <w:rFonts w:hint="eastAsia"/>
          <w:sz w:val="24"/>
        </w:rPr>
        <w:t>桐庐县局**通租赁服务项目，主要内容：以基于运营商租赁的形式采购225台省厅版**通（含**通手机、4G流量卡、加密卡、后台运维管理及相应通话套餐）。设备需符合省公安厅发布的**通终端选型目录，无线网络、链路需接入省厅移动**平台，性能配置主流，能确保“浙江云端”移动应用平台平稳运行。套餐需求：4G流量含语音等内容。租赁服务要求：提供租赁终端设备不少于2年，网络套餐2年7*24售后及维护服务。租期两年，合同按年签订，项目租赁服务期开始时间从通过验收之日起开始计算）。</w:t>
      </w:r>
    </w:p>
    <w:p>
      <w:pPr>
        <w:spacing w:line="360" w:lineRule="auto"/>
        <w:rPr>
          <w:rFonts w:hint="eastAsia"/>
          <w:b/>
          <w:sz w:val="24"/>
        </w:rPr>
      </w:pPr>
      <w:r>
        <w:rPr>
          <w:rFonts w:hint="eastAsia"/>
          <w:b/>
          <w:sz w:val="24"/>
        </w:rPr>
        <w:t>二、设备清单：</w:t>
      </w:r>
    </w:p>
    <w:tbl>
      <w:tblPr>
        <w:tblStyle w:val="37"/>
        <w:tblW w:w="0" w:type="auto"/>
        <w:jc w:val="center"/>
        <w:tblLayout w:type="fixed"/>
        <w:tblCellMar>
          <w:top w:w="0" w:type="dxa"/>
          <w:left w:w="108" w:type="dxa"/>
          <w:bottom w:w="0" w:type="dxa"/>
          <w:right w:w="108" w:type="dxa"/>
        </w:tblCellMar>
      </w:tblPr>
      <w:tblGrid>
        <w:gridCol w:w="851"/>
        <w:gridCol w:w="2928"/>
        <w:gridCol w:w="2397"/>
        <w:gridCol w:w="863"/>
        <w:gridCol w:w="1348"/>
      </w:tblGrid>
      <w:tr>
        <w:tblPrEx>
          <w:tblCellMar>
            <w:top w:w="0" w:type="dxa"/>
            <w:left w:w="108" w:type="dxa"/>
            <w:bottom w:w="0" w:type="dxa"/>
            <w:right w:w="108" w:type="dxa"/>
          </w:tblCellMar>
        </w:tblPrEx>
        <w:trPr>
          <w:wAfter w:w="0" w:type="dxa"/>
          <w:trHeight w:val="506" w:hRule="atLeast"/>
          <w:jc w:val="center"/>
        </w:trPr>
        <w:tc>
          <w:tcPr>
            <w:tcW w:w="851"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序号</w:t>
            </w:r>
          </w:p>
        </w:tc>
        <w:tc>
          <w:tcPr>
            <w:tcW w:w="292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设备名称</w:t>
            </w:r>
          </w:p>
        </w:tc>
        <w:tc>
          <w:tcPr>
            <w:tcW w:w="2397"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参数</w:t>
            </w:r>
          </w:p>
        </w:tc>
        <w:tc>
          <w:tcPr>
            <w:tcW w:w="86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单位</w:t>
            </w:r>
          </w:p>
        </w:tc>
        <w:tc>
          <w:tcPr>
            <w:tcW w:w="134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数量</w:t>
            </w:r>
          </w:p>
        </w:tc>
      </w:tr>
      <w:tr>
        <w:tblPrEx>
          <w:tblCellMar>
            <w:top w:w="0" w:type="dxa"/>
            <w:left w:w="108" w:type="dxa"/>
            <w:bottom w:w="0" w:type="dxa"/>
            <w:right w:w="108" w:type="dxa"/>
          </w:tblCellMar>
        </w:tblPrEx>
        <w:trPr>
          <w:wAfter w:w="0" w:type="dxa"/>
          <w:trHeight w:val="506" w:hRule="atLeast"/>
          <w:jc w:val="center"/>
        </w:trPr>
        <w:tc>
          <w:tcPr>
            <w:tcW w:w="851"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1</w:t>
            </w:r>
          </w:p>
        </w:tc>
        <w:tc>
          <w:tcPr>
            <w:tcW w:w="292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**通终端</w:t>
            </w:r>
          </w:p>
        </w:tc>
        <w:tc>
          <w:tcPr>
            <w:tcW w:w="2397"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详细参数见下表</w:t>
            </w:r>
          </w:p>
        </w:tc>
        <w:tc>
          <w:tcPr>
            <w:tcW w:w="86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台</w:t>
            </w:r>
          </w:p>
        </w:tc>
        <w:tc>
          <w:tcPr>
            <w:tcW w:w="134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225</w:t>
            </w:r>
          </w:p>
        </w:tc>
      </w:tr>
      <w:tr>
        <w:tblPrEx>
          <w:tblCellMar>
            <w:top w:w="0" w:type="dxa"/>
            <w:left w:w="108" w:type="dxa"/>
            <w:bottom w:w="0" w:type="dxa"/>
            <w:right w:w="108" w:type="dxa"/>
          </w:tblCellMar>
        </w:tblPrEx>
        <w:trPr>
          <w:wAfter w:w="0" w:type="dxa"/>
          <w:trHeight w:val="506" w:hRule="atLeast"/>
          <w:jc w:val="center"/>
        </w:trPr>
        <w:tc>
          <w:tcPr>
            <w:tcW w:w="851"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2</w:t>
            </w:r>
          </w:p>
        </w:tc>
        <w:tc>
          <w:tcPr>
            <w:tcW w:w="292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专用网络套餐</w:t>
            </w:r>
          </w:p>
        </w:tc>
        <w:tc>
          <w:tcPr>
            <w:tcW w:w="2397"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详细参数见下表</w:t>
            </w:r>
          </w:p>
        </w:tc>
        <w:tc>
          <w:tcPr>
            <w:tcW w:w="86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套</w:t>
            </w:r>
          </w:p>
        </w:tc>
        <w:tc>
          <w:tcPr>
            <w:tcW w:w="134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225</w:t>
            </w:r>
          </w:p>
        </w:tc>
      </w:tr>
      <w:tr>
        <w:tblPrEx>
          <w:tblCellMar>
            <w:top w:w="0" w:type="dxa"/>
            <w:left w:w="108" w:type="dxa"/>
            <w:bottom w:w="0" w:type="dxa"/>
            <w:right w:w="108" w:type="dxa"/>
          </w:tblCellMar>
        </w:tblPrEx>
        <w:trPr>
          <w:wAfter w:w="0" w:type="dxa"/>
          <w:trHeight w:val="506" w:hRule="atLeast"/>
          <w:jc w:val="center"/>
        </w:trPr>
        <w:tc>
          <w:tcPr>
            <w:tcW w:w="851" w:type="dxa"/>
            <w:tcBorders>
              <w:top w:val="single" w:color="auto" w:sz="8" w:space="0"/>
              <w:left w:val="single" w:color="auto" w:sz="8" w:space="0"/>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3</w:t>
            </w:r>
          </w:p>
        </w:tc>
        <w:tc>
          <w:tcPr>
            <w:tcW w:w="292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移动电源</w:t>
            </w:r>
          </w:p>
        </w:tc>
        <w:tc>
          <w:tcPr>
            <w:tcW w:w="2397"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详细参数见下表</w:t>
            </w:r>
          </w:p>
        </w:tc>
        <w:tc>
          <w:tcPr>
            <w:tcW w:w="863"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个</w:t>
            </w:r>
          </w:p>
        </w:tc>
        <w:tc>
          <w:tcPr>
            <w:tcW w:w="1348" w:type="dxa"/>
            <w:tcBorders>
              <w:top w:val="single" w:color="auto" w:sz="8" w:space="0"/>
              <w:left w:val="nil"/>
              <w:bottom w:val="single" w:color="auto" w:sz="8" w:space="0"/>
              <w:right w:val="single" w:color="auto" w:sz="8" w:space="0"/>
            </w:tcBorders>
            <w:noWrap w:val="0"/>
            <w:vAlign w:val="center"/>
          </w:tcPr>
          <w:p>
            <w:pPr>
              <w:spacing w:line="360" w:lineRule="auto"/>
              <w:jc w:val="center"/>
              <w:rPr>
                <w:rFonts w:hint="eastAsia"/>
                <w:sz w:val="24"/>
              </w:rPr>
            </w:pPr>
            <w:r>
              <w:rPr>
                <w:rFonts w:hint="eastAsia"/>
                <w:sz w:val="24"/>
              </w:rPr>
              <w:t>225</w:t>
            </w:r>
          </w:p>
        </w:tc>
      </w:tr>
    </w:tbl>
    <w:p>
      <w:pPr>
        <w:spacing w:line="360" w:lineRule="auto"/>
        <w:ind w:firstLine="480" w:firstLineChars="200"/>
        <w:rPr>
          <w:rFonts w:hint="eastAsia"/>
          <w:sz w:val="24"/>
        </w:rPr>
      </w:pPr>
    </w:p>
    <w:p>
      <w:pPr>
        <w:numPr>
          <w:ilvl w:val="0"/>
          <w:numId w:val="3"/>
        </w:numPr>
        <w:spacing w:line="360" w:lineRule="auto"/>
        <w:rPr>
          <w:rFonts w:hint="eastAsia"/>
          <w:b/>
          <w:sz w:val="24"/>
        </w:rPr>
      </w:pPr>
      <w:r>
        <w:rPr>
          <w:rFonts w:hint="eastAsia"/>
          <w:b/>
          <w:sz w:val="24"/>
        </w:rPr>
        <w:t>**通终端</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455"/>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restart"/>
            <w:noWrap w:val="0"/>
            <w:vAlign w:val="center"/>
          </w:tcPr>
          <w:p>
            <w:pPr>
              <w:widowControl/>
              <w:spacing w:after="200" w:line="276" w:lineRule="auto"/>
              <w:jc w:val="left"/>
              <w:rPr>
                <w:rFonts w:hint="eastAsia"/>
                <w:sz w:val="24"/>
              </w:rPr>
            </w:pPr>
            <w:r>
              <w:rPr>
                <w:rFonts w:hint="eastAsia"/>
                <w:sz w:val="24"/>
              </w:rPr>
              <w:t>**通终端</w:t>
            </w:r>
          </w:p>
        </w:tc>
        <w:tc>
          <w:tcPr>
            <w:tcW w:w="1455" w:type="dxa"/>
            <w:noWrap w:val="0"/>
            <w:vAlign w:val="center"/>
          </w:tcPr>
          <w:p>
            <w:pPr>
              <w:widowControl/>
              <w:spacing w:after="200" w:line="276" w:lineRule="auto"/>
              <w:jc w:val="left"/>
              <w:rPr>
                <w:rFonts w:hint="eastAsia"/>
                <w:sz w:val="24"/>
              </w:rPr>
            </w:pPr>
            <w:r>
              <w:rPr>
                <w:rFonts w:hint="eastAsia"/>
                <w:sz w:val="24"/>
              </w:rPr>
              <w:t>CPU</w:t>
            </w:r>
          </w:p>
        </w:tc>
        <w:tc>
          <w:tcPr>
            <w:tcW w:w="6067" w:type="dxa"/>
            <w:noWrap w:val="0"/>
            <w:vAlign w:val="center"/>
          </w:tcPr>
          <w:p>
            <w:pPr>
              <w:widowControl/>
              <w:spacing w:after="200" w:line="276" w:lineRule="auto"/>
              <w:jc w:val="left"/>
              <w:rPr>
                <w:rFonts w:hint="eastAsia"/>
                <w:sz w:val="24"/>
              </w:rPr>
            </w:pPr>
            <w:r>
              <w:rPr>
                <w:rFonts w:hint="eastAsia"/>
                <w:sz w:val="24"/>
              </w:rPr>
              <w:t>国产 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★CPU频率</w:t>
            </w:r>
          </w:p>
        </w:tc>
        <w:tc>
          <w:tcPr>
            <w:tcW w:w="6067" w:type="dxa"/>
            <w:noWrap w:val="0"/>
            <w:vAlign w:val="center"/>
          </w:tcPr>
          <w:p>
            <w:pPr>
              <w:widowControl/>
              <w:spacing w:after="200" w:line="276" w:lineRule="auto"/>
              <w:jc w:val="left"/>
              <w:rPr>
                <w:rFonts w:hint="eastAsia"/>
                <w:sz w:val="24"/>
              </w:rPr>
            </w:pPr>
            <w:r>
              <w:rPr>
                <w:rFonts w:hint="eastAsia"/>
                <w:sz w:val="24"/>
              </w:rPr>
              <w:t>八核，主核2.6GHz或以上，辅助核心 1.8GHz或以上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ascii="宋体" w:hAnsi="宋体"/>
                <w:sz w:val="24"/>
              </w:rPr>
              <w:t>▲</w:t>
            </w:r>
            <w:r>
              <w:rPr>
                <w:rFonts w:hint="eastAsia"/>
                <w:sz w:val="24"/>
              </w:rPr>
              <w:t>RAM容量</w:t>
            </w:r>
          </w:p>
        </w:tc>
        <w:tc>
          <w:tcPr>
            <w:tcW w:w="6067" w:type="dxa"/>
            <w:noWrap w:val="0"/>
            <w:vAlign w:val="center"/>
          </w:tcPr>
          <w:p>
            <w:pPr>
              <w:widowControl/>
              <w:spacing w:after="200" w:line="276" w:lineRule="auto"/>
              <w:jc w:val="left"/>
              <w:rPr>
                <w:rFonts w:hint="eastAsia"/>
                <w:sz w:val="24"/>
              </w:rPr>
            </w:pPr>
            <w:r>
              <w:rPr>
                <w:rFonts w:hint="eastAsia"/>
                <w:sz w:val="24"/>
              </w:rPr>
              <w:t xml:space="preserve">不小于6GB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ROM容量</w:t>
            </w:r>
          </w:p>
        </w:tc>
        <w:tc>
          <w:tcPr>
            <w:tcW w:w="6067" w:type="dxa"/>
            <w:noWrap w:val="0"/>
            <w:vAlign w:val="center"/>
          </w:tcPr>
          <w:p>
            <w:pPr>
              <w:widowControl/>
              <w:spacing w:after="200" w:line="276" w:lineRule="auto"/>
              <w:jc w:val="left"/>
              <w:rPr>
                <w:rFonts w:hint="eastAsia"/>
                <w:sz w:val="24"/>
              </w:rPr>
            </w:pPr>
            <w:r>
              <w:rPr>
                <w:rFonts w:hint="eastAsia"/>
                <w:sz w:val="24"/>
              </w:rPr>
              <w:t>不小于64GB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★NFC</w:t>
            </w:r>
          </w:p>
        </w:tc>
        <w:tc>
          <w:tcPr>
            <w:tcW w:w="6067" w:type="dxa"/>
            <w:noWrap w:val="0"/>
            <w:vAlign w:val="center"/>
          </w:tcPr>
          <w:p>
            <w:pPr>
              <w:adjustRightInd w:val="0"/>
              <w:snapToGrid w:val="0"/>
              <w:spacing w:line="360" w:lineRule="auto"/>
              <w:rPr>
                <w:rFonts w:hint="eastAsia"/>
                <w:sz w:val="24"/>
              </w:rPr>
            </w:pPr>
            <w:r>
              <w:rPr>
                <w:rFonts w:hint="eastAsia"/>
                <w:sz w:val="24"/>
              </w:rPr>
              <w:t>NFC支持读卡器模式、点对点模式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主屏分辨率</w:t>
            </w:r>
          </w:p>
        </w:tc>
        <w:tc>
          <w:tcPr>
            <w:tcW w:w="6067" w:type="dxa"/>
            <w:noWrap w:val="0"/>
            <w:vAlign w:val="center"/>
          </w:tcPr>
          <w:p>
            <w:pPr>
              <w:widowControl/>
              <w:spacing w:after="200" w:line="276" w:lineRule="auto"/>
              <w:jc w:val="left"/>
              <w:rPr>
                <w:rFonts w:hint="eastAsia"/>
                <w:sz w:val="24"/>
              </w:rPr>
            </w:pPr>
            <w:r>
              <w:rPr>
                <w:rFonts w:hint="eastAsia"/>
                <w:sz w:val="24"/>
              </w:rPr>
              <w:t>2160x1080像素，全面屏，1670万色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操作系统</w:t>
            </w:r>
          </w:p>
        </w:tc>
        <w:tc>
          <w:tcPr>
            <w:tcW w:w="6067" w:type="dxa"/>
            <w:noWrap w:val="0"/>
            <w:vAlign w:val="center"/>
          </w:tcPr>
          <w:p>
            <w:pPr>
              <w:widowControl/>
              <w:spacing w:after="200" w:line="276" w:lineRule="auto"/>
              <w:jc w:val="left"/>
              <w:rPr>
                <w:rFonts w:hint="eastAsia"/>
                <w:sz w:val="24"/>
              </w:rPr>
            </w:pPr>
            <w:r>
              <w:rPr>
                <w:rFonts w:hint="eastAsia"/>
                <w:sz w:val="24"/>
              </w:rPr>
              <w:t>Android 7.0 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网络支持</w:t>
            </w:r>
          </w:p>
        </w:tc>
        <w:tc>
          <w:tcPr>
            <w:tcW w:w="6067" w:type="dxa"/>
            <w:noWrap w:val="0"/>
            <w:vAlign w:val="center"/>
          </w:tcPr>
          <w:p>
            <w:pPr>
              <w:widowControl/>
              <w:spacing w:after="200" w:line="276" w:lineRule="auto"/>
              <w:jc w:val="left"/>
              <w:rPr>
                <w:rFonts w:hint="eastAsia"/>
                <w:sz w:val="24"/>
              </w:rPr>
            </w:pPr>
            <w:r>
              <w:rPr>
                <w:rFonts w:hint="eastAsia"/>
                <w:sz w:val="24"/>
              </w:rPr>
              <w:t>移动TD-LTE，联通TD-LTE，联通FDD-LTE，电信TD-LTE，电信FDD-LTE，移动3G（TD-SCDMA），联通3G（WCDMA），电信3G（CDMA2000），</w:t>
            </w:r>
            <w:r>
              <w:rPr>
                <w:rFonts w:hint="eastAsia"/>
                <w:sz w:val="24"/>
              </w:rPr>
              <w:fldChar w:fldCharType="begin"/>
            </w:r>
            <w:r>
              <w:rPr>
                <w:rFonts w:hint="eastAsia"/>
                <w:sz w:val="24"/>
              </w:rPr>
              <w:instrText xml:space="preserve">HYPERLINK "http://detail.zol.com.cn/cell_phone_index/subcate57_list_p5759_1.html"</w:instrText>
            </w:r>
            <w:r>
              <w:rPr>
                <w:rFonts w:hint="eastAsia"/>
                <w:sz w:val="24"/>
              </w:rPr>
              <w:fldChar w:fldCharType="separate"/>
            </w:r>
            <w:r>
              <w:rPr>
                <w:rFonts w:hint="eastAsia"/>
                <w:sz w:val="24"/>
              </w:rPr>
              <w:t>联通2G/移动2G（GSM）</w:t>
            </w:r>
            <w:r>
              <w:rPr>
                <w:rFonts w:hint="eastAsia"/>
                <w:sz w:val="24"/>
              </w:rPr>
              <w:fldChar w:fldCharType="end"/>
            </w:r>
            <w:r>
              <w:rPr>
                <w:rFonts w:hint="eastAsia"/>
                <w:sz w:val="24"/>
              </w:rPr>
              <w:t>--全网通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电池容量</w:t>
            </w:r>
          </w:p>
        </w:tc>
        <w:tc>
          <w:tcPr>
            <w:tcW w:w="6067" w:type="dxa"/>
            <w:noWrap w:val="0"/>
            <w:vAlign w:val="center"/>
          </w:tcPr>
          <w:p>
            <w:pPr>
              <w:widowControl/>
              <w:spacing w:after="200" w:line="276" w:lineRule="auto"/>
              <w:jc w:val="left"/>
              <w:rPr>
                <w:rFonts w:hint="eastAsia"/>
                <w:sz w:val="24"/>
              </w:rPr>
            </w:pPr>
            <w:r>
              <w:rPr>
                <w:rFonts w:hint="eastAsia"/>
                <w:sz w:val="24"/>
              </w:rPr>
              <w:t>不低于3500mAh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ascii="宋体" w:hAnsi="宋体"/>
                <w:sz w:val="24"/>
              </w:rPr>
              <w:t>▲</w:t>
            </w:r>
            <w:r>
              <w:rPr>
                <w:rFonts w:hint="eastAsia"/>
                <w:sz w:val="24"/>
              </w:rPr>
              <w:t>屏幕</w:t>
            </w:r>
          </w:p>
        </w:tc>
        <w:tc>
          <w:tcPr>
            <w:tcW w:w="6067" w:type="dxa"/>
            <w:noWrap w:val="0"/>
            <w:vAlign w:val="center"/>
          </w:tcPr>
          <w:p>
            <w:pPr>
              <w:widowControl/>
              <w:spacing w:after="200" w:line="276" w:lineRule="auto"/>
              <w:jc w:val="left"/>
              <w:rPr>
                <w:rFonts w:hint="eastAsia"/>
                <w:sz w:val="24"/>
              </w:rPr>
            </w:pPr>
            <w:r>
              <w:rPr>
                <w:rFonts w:hint="eastAsia"/>
                <w:sz w:val="24"/>
              </w:rPr>
              <w:t>不小于 6.2英寸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▲摄像头</w:t>
            </w:r>
          </w:p>
        </w:tc>
        <w:tc>
          <w:tcPr>
            <w:tcW w:w="6067" w:type="dxa"/>
            <w:noWrap w:val="0"/>
            <w:vAlign w:val="center"/>
          </w:tcPr>
          <w:p>
            <w:pPr>
              <w:widowControl/>
              <w:spacing w:after="200" w:line="276" w:lineRule="auto"/>
              <w:jc w:val="left"/>
              <w:rPr>
                <w:rFonts w:hint="eastAsia"/>
                <w:sz w:val="24"/>
              </w:rPr>
            </w:pPr>
            <w:r>
              <w:rPr>
                <w:rFonts w:hint="eastAsia"/>
                <w:sz w:val="24"/>
              </w:rPr>
              <w:t>后置三摄摄像头，像素不低于1200W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位置服务</w:t>
            </w:r>
          </w:p>
        </w:tc>
        <w:tc>
          <w:tcPr>
            <w:tcW w:w="6067" w:type="dxa"/>
            <w:noWrap w:val="0"/>
            <w:vAlign w:val="center"/>
          </w:tcPr>
          <w:p>
            <w:pPr>
              <w:widowControl/>
              <w:spacing w:after="200" w:line="276" w:lineRule="auto"/>
              <w:jc w:val="left"/>
              <w:rPr>
                <w:rFonts w:hint="eastAsia"/>
                <w:sz w:val="24"/>
              </w:rPr>
            </w:pPr>
            <w:r>
              <w:rPr>
                <w:rFonts w:hint="eastAsia"/>
                <w:sz w:val="24"/>
              </w:rPr>
              <w:t>GPS、北斗定位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闪光灯</w:t>
            </w:r>
          </w:p>
        </w:tc>
        <w:tc>
          <w:tcPr>
            <w:tcW w:w="6067" w:type="dxa"/>
            <w:noWrap w:val="0"/>
            <w:vAlign w:val="center"/>
          </w:tcPr>
          <w:p>
            <w:pPr>
              <w:widowControl/>
              <w:spacing w:after="200" w:line="276" w:lineRule="auto"/>
              <w:jc w:val="left"/>
              <w:rPr>
                <w:rFonts w:hint="eastAsia"/>
                <w:sz w:val="24"/>
              </w:rPr>
            </w:pPr>
            <w:r>
              <w:rPr>
                <w:rFonts w:hint="eastAsia"/>
                <w:sz w:val="24"/>
              </w:rPr>
              <w:fldChar w:fldCharType="begin"/>
            </w:r>
            <w:r>
              <w:rPr>
                <w:rFonts w:hint="eastAsia"/>
                <w:sz w:val="24"/>
              </w:rPr>
              <w:instrText xml:space="preserve">HYPERLINK "http://detail.zol.com.cn/cell_phone_index/subcate57_list_s2105_1.html"</w:instrText>
            </w:r>
            <w:r>
              <w:rPr>
                <w:rFonts w:hint="eastAsia"/>
                <w:sz w:val="24"/>
              </w:rPr>
              <w:fldChar w:fldCharType="separate"/>
            </w:r>
            <w:r>
              <w:rPr>
                <w:rFonts w:hint="eastAsia"/>
                <w:sz w:val="24"/>
              </w:rPr>
              <w:t>LED补光灯</w:t>
            </w:r>
            <w:r>
              <w:rPr>
                <w:rFonts w:hint="eastAsia"/>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手机重量</w:t>
            </w:r>
          </w:p>
        </w:tc>
        <w:tc>
          <w:tcPr>
            <w:tcW w:w="6067" w:type="dxa"/>
            <w:noWrap w:val="0"/>
            <w:vAlign w:val="center"/>
          </w:tcPr>
          <w:p>
            <w:pPr>
              <w:widowControl/>
              <w:spacing w:after="200" w:line="276" w:lineRule="auto"/>
              <w:jc w:val="left"/>
              <w:rPr>
                <w:rFonts w:hint="eastAsia"/>
                <w:sz w:val="24"/>
              </w:rPr>
            </w:pPr>
            <w:r>
              <w:rPr>
                <w:rFonts w:hint="eastAsia"/>
                <w:sz w:val="24"/>
              </w:rPr>
              <w:t>不大于200g</w:t>
            </w:r>
          </w:p>
        </w:tc>
      </w:tr>
    </w:tbl>
    <w:p>
      <w:pPr>
        <w:spacing w:line="360" w:lineRule="auto"/>
        <w:jc w:val="distribute"/>
        <w:rPr>
          <w:rFonts w:hint="eastAsia"/>
          <w:sz w:val="24"/>
        </w:rPr>
      </w:pPr>
    </w:p>
    <w:p>
      <w:pPr>
        <w:numPr>
          <w:ilvl w:val="0"/>
          <w:numId w:val="3"/>
        </w:numPr>
        <w:spacing w:line="360" w:lineRule="auto"/>
        <w:rPr>
          <w:rFonts w:hint="eastAsia"/>
          <w:sz w:val="24"/>
        </w:rPr>
      </w:pPr>
      <w:r>
        <w:rPr>
          <w:rFonts w:hint="eastAsia"/>
          <w:sz w:val="24"/>
        </w:rPr>
        <w:t>专用网络套餐</w:t>
      </w:r>
    </w:p>
    <w:p>
      <w:pPr>
        <w:spacing w:line="360" w:lineRule="auto"/>
        <w:ind w:firstLine="360" w:firstLineChars="150"/>
        <w:rPr>
          <w:rFonts w:hint="eastAsia"/>
          <w:sz w:val="24"/>
        </w:rPr>
      </w:pPr>
      <w:r>
        <w:rPr>
          <w:rFonts w:hint="eastAsia"/>
          <w:sz w:val="24"/>
        </w:rPr>
        <w:t>移动执法终端每月套餐中需提供不低于以下标准的服务：500分钟以上通话时长，100条短信，全国接听免费，全国上网流量不少于20G，提供不少于240个连续手机号码供甲方进行选择，组建虚拟网，虚拟网内通话免费，服务期24个月。</w:t>
      </w:r>
    </w:p>
    <w:p>
      <w:pPr>
        <w:numPr>
          <w:ilvl w:val="0"/>
          <w:numId w:val="3"/>
        </w:numPr>
        <w:spacing w:line="360" w:lineRule="auto"/>
        <w:rPr>
          <w:rFonts w:hint="eastAsia"/>
          <w:sz w:val="24"/>
        </w:rPr>
      </w:pPr>
      <w:r>
        <w:rPr>
          <w:rFonts w:hint="eastAsia"/>
          <w:sz w:val="24"/>
        </w:rPr>
        <w:t>移动电源</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455"/>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restart"/>
            <w:noWrap w:val="0"/>
            <w:vAlign w:val="center"/>
          </w:tcPr>
          <w:p>
            <w:pPr>
              <w:widowControl/>
              <w:spacing w:after="200" w:line="276" w:lineRule="auto"/>
              <w:jc w:val="left"/>
              <w:rPr>
                <w:rFonts w:hint="eastAsia"/>
                <w:sz w:val="24"/>
              </w:rPr>
            </w:pPr>
            <w:r>
              <w:rPr>
                <w:rFonts w:hint="eastAsia"/>
                <w:sz w:val="24"/>
              </w:rPr>
              <w:t>移动电源</w:t>
            </w:r>
          </w:p>
        </w:tc>
        <w:tc>
          <w:tcPr>
            <w:tcW w:w="1455" w:type="dxa"/>
            <w:noWrap w:val="0"/>
            <w:vAlign w:val="center"/>
          </w:tcPr>
          <w:p>
            <w:pPr>
              <w:widowControl/>
              <w:spacing w:after="200" w:line="276" w:lineRule="auto"/>
              <w:jc w:val="left"/>
              <w:rPr>
                <w:rFonts w:hint="eastAsia"/>
                <w:sz w:val="24"/>
              </w:rPr>
            </w:pPr>
            <w:r>
              <w:rPr>
                <w:rFonts w:hint="eastAsia"/>
                <w:sz w:val="24"/>
              </w:rPr>
              <w:t>电池类型</w:t>
            </w:r>
          </w:p>
        </w:tc>
        <w:tc>
          <w:tcPr>
            <w:tcW w:w="6067" w:type="dxa"/>
            <w:noWrap w:val="0"/>
            <w:vAlign w:val="center"/>
          </w:tcPr>
          <w:p>
            <w:pPr>
              <w:widowControl/>
              <w:spacing w:after="200" w:line="276" w:lineRule="auto"/>
              <w:jc w:val="left"/>
              <w:rPr>
                <w:rFonts w:hint="eastAsia"/>
                <w:sz w:val="24"/>
              </w:rPr>
            </w:pPr>
            <w:r>
              <w:rPr>
                <w:rFonts w:hint="eastAsia"/>
                <w:sz w:val="24"/>
              </w:rPr>
              <w:t>锂聚合物电池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电池容量</w:t>
            </w:r>
          </w:p>
        </w:tc>
        <w:tc>
          <w:tcPr>
            <w:tcW w:w="6067" w:type="dxa"/>
            <w:noWrap w:val="0"/>
            <w:vAlign w:val="center"/>
          </w:tcPr>
          <w:p>
            <w:pPr>
              <w:widowControl/>
              <w:spacing w:after="200" w:line="276" w:lineRule="auto"/>
              <w:jc w:val="left"/>
              <w:rPr>
                <w:rFonts w:hint="eastAsia"/>
                <w:sz w:val="24"/>
              </w:rPr>
            </w:pPr>
            <w:r>
              <w:rPr>
                <w:sz w:val="24"/>
              </w:rPr>
              <w:t>不低于10000毫安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ascii="宋体" w:hAnsi="宋体"/>
                <w:sz w:val="24"/>
              </w:rPr>
              <w:t>▲</w:t>
            </w:r>
            <w:r>
              <w:rPr>
                <w:rFonts w:hint="eastAsia"/>
                <w:sz w:val="24"/>
              </w:rPr>
              <w:t>双向快充</w:t>
            </w:r>
          </w:p>
        </w:tc>
        <w:tc>
          <w:tcPr>
            <w:tcW w:w="6067" w:type="dxa"/>
            <w:noWrap w:val="0"/>
            <w:vAlign w:val="center"/>
          </w:tcPr>
          <w:p>
            <w:pPr>
              <w:widowControl/>
              <w:spacing w:after="200" w:line="276" w:lineRule="auto"/>
              <w:jc w:val="left"/>
              <w:rPr>
                <w:rFonts w:hint="eastAsia"/>
                <w:sz w:val="24"/>
              </w:rPr>
            </w:pPr>
            <w:r>
              <w:rPr>
                <w:rFonts w:hint="eastAsia"/>
                <w:sz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小电流充电</w:t>
            </w:r>
          </w:p>
        </w:tc>
        <w:tc>
          <w:tcPr>
            <w:tcW w:w="6067" w:type="dxa"/>
            <w:noWrap w:val="0"/>
            <w:vAlign w:val="center"/>
          </w:tcPr>
          <w:p>
            <w:pPr>
              <w:widowControl/>
              <w:spacing w:after="200" w:line="276" w:lineRule="auto"/>
              <w:jc w:val="left"/>
              <w:rPr>
                <w:rFonts w:hint="eastAsia"/>
                <w:sz w:val="24"/>
              </w:rPr>
            </w:pPr>
            <w:r>
              <w:rPr>
                <w:rFonts w:hint="eastAsia"/>
                <w:sz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重量</w:t>
            </w:r>
          </w:p>
        </w:tc>
        <w:tc>
          <w:tcPr>
            <w:tcW w:w="6067" w:type="dxa"/>
            <w:noWrap w:val="0"/>
            <w:vAlign w:val="center"/>
          </w:tcPr>
          <w:p>
            <w:pPr>
              <w:adjustRightInd w:val="0"/>
              <w:snapToGrid w:val="0"/>
              <w:spacing w:line="360" w:lineRule="auto"/>
              <w:rPr>
                <w:rFonts w:hint="eastAsia"/>
                <w:sz w:val="24"/>
              </w:rPr>
            </w:pPr>
            <w:r>
              <w:rPr>
                <w:rFonts w:hint="eastAsia"/>
                <w:sz w:val="24"/>
              </w:rPr>
              <w:t>不高于300克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 w:hRule="atLeast"/>
          <w:tblHeader/>
          <w:jc w:val="center"/>
        </w:trPr>
        <w:tc>
          <w:tcPr>
            <w:tcW w:w="1042" w:type="dxa"/>
            <w:vMerge w:val="continue"/>
            <w:noWrap w:val="0"/>
            <w:vAlign w:val="center"/>
          </w:tcPr>
          <w:p>
            <w:pPr>
              <w:widowControl/>
              <w:spacing w:after="200" w:line="276" w:lineRule="auto"/>
              <w:jc w:val="left"/>
              <w:rPr>
                <w:rFonts w:hint="eastAsia"/>
                <w:sz w:val="24"/>
              </w:rPr>
            </w:pPr>
          </w:p>
        </w:tc>
        <w:tc>
          <w:tcPr>
            <w:tcW w:w="1455" w:type="dxa"/>
            <w:noWrap w:val="0"/>
            <w:vAlign w:val="center"/>
          </w:tcPr>
          <w:p>
            <w:pPr>
              <w:widowControl/>
              <w:spacing w:after="200" w:line="276" w:lineRule="auto"/>
              <w:jc w:val="left"/>
              <w:rPr>
                <w:rFonts w:hint="eastAsia"/>
                <w:sz w:val="24"/>
              </w:rPr>
            </w:pPr>
            <w:r>
              <w:rPr>
                <w:rFonts w:hint="eastAsia"/>
                <w:sz w:val="24"/>
              </w:rPr>
              <w:t>USB数据线</w:t>
            </w:r>
          </w:p>
        </w:tc>
        <w:tc>
          <w:tcPr>
            <w:tcW w:w="6067" w:type="dxa"/>
            <w:noWrap w:val="0"/>
            <w:vAlign w:val="center"/>
          </w:tcPr>
          <w:p>
            <w:pPr>
              <w:widowControl/>
              <w:spacing w:after="200" w:line="276" w:lineRule="auto"/>
              <w:jc w:val="left"/>
              <w:rPr>
                <w:rFonts w:hint="eastAsia"/>
                <w:sz w:val="24"/>
              </w:rPr>
            </w:pPr>
            <w:r>
              <w:rPr>
                <w:rFonts w:hint="eastAsia"/>
                <w:sz w:val="24"/>
              </w:rPr>
              <w:t xml:space="preserve"> USB数据线1条</w:t>
            </w:r>
          </w:p>
        </w:tc>
      </w:tr>
    </w:tbl>
    <w:p>
      <w:pPr>
        <w:spacing w:line="360" w:lineRule="auto"/>
        <w:ind w:left="375"/>
        <w:rPr>
          <w:rFonts w:hint="eastAsia"/>
          <w:sz w:val="24"/>
        </w:rPr>
      </w:pPr>
    </w:p>
    <w:bookmarkEnd w:id="0"/>
    <w:p>
      <w:pPr>
        <w:adjustRightInd w:val="0"/>
        <w:snapToGrid w:val="0"/>
        <w:spacing w:line="360" w:lineRule="auto"/>
        <w:rPr>
          <w:rFonts w:hint="eastAsia"/>
          <w:b/>
          <w:sz w:val="24"/>
        </w:rPr>
      </w:pPr>
      <w:r>
        <w:rPr>
          <w:rFonts w:hint="eastAsia"/>
          <w:b/>
          <w:sz w:val="24"/>
        </w:rPr>
        <w:t>三、售后服务要求及培训</w:t>
      </w:r>
    </w:p>
    <w:p>
      <w:pPr>
        <w:spacing w:line="360" w:lineRule="auto"/>
        <w:ind w:firstLine="360" w:firstLineChars="150"/>
        <w:rPr>
          <w:rFonts w:hint="eastAsia"/>
          <w:sz w:val="24"/>
        </w:rPr>
      </w:pPr>
      <w:r>
        <w:rPr>
          <w:rFonts w:hint="eastAsia"/>
          <w:sz w:val="24"/>
        </w:rPr>
        <w:t>供应商提供租赁终端设备不少于24个月质保服务，网络套餐2年质保服务，投标人应承诺保证该项目按时正式稳定地运行。</w:t>
      </w:r>
    </w:p>
    <w:p>
      <w:pPr>
        <w:spacing w:line="360" w:lineRule="auto"/>
        <w:ind w:firstLine="360" w:firstLineChars="150"/>
        <w:rPr>
          <w:rFonts w:hint="eastAsia"/>
          <w:sz w:val="24"/>
        </w:rPr>
      </w:pPr>
      <w:r>
        <w:rPr>
          <w:rFonts w:hint="eastAsia"/>
          <w:sz w:val="24"/>
        </w:rPr>
        <w:t>投标单位须有能力在桐庐县提供长期服务，并须能为用户进行使用培训，软硬件的维护及升级的工作。</w:t>
      </w:r>
    </w:p>
    <w:p>
      <w:pPr>
        <w:widowControl/>
        <w:spacing w:line="360" w:lineRule="auto"/>
        <w:jc w:val="left"/>
        <w:rPr>
          <w:rFonts w:hint="eastAsia"/>
          <w:b/>
          <w:sz w:val="24"/>
        </w:rPr>
      </w:pPr>
      <w:r>
        <w:rPr>
          <w:rFonts w:hint="eastAsia"/>
          <w:b/>
          <w:sz w:val="24"/>
        </w:rPr>
        <w:t>四、产品服务及保修要求</w:t>
      </w:r>
    </w:p>
    <w:p>
      <w:pPr>
        <w:spacing w:line="360" w:lineRule="auto"/>
        <w:ind w:firstLine="360" w:firstLineChars="150"/>
        <w:rPr>
          <w:rFonts w:hint="eastAsia"/>
          <w:sz w:val="24"/>
        </w:rPr>
      </w:pPr>
      <w:r>
        <w:rPr>
          <w:rFonts w:hint="eastAsia"/>
          <w:sz w:val="24"/>
        </w:rPr>
        <w:t>中标方提供7*24小时服务支持，服务响应时间小于半小时，到达现场时间要求2小时，3小时解决问题；8小时内不能解决问题的，必须提供备品、备件或备机等措施，以保证采购单位的正常使用。如果逾期未做出响应，中标人应承担由于故障所造成的全部损失。</w:t>
      </w:r>
    </w:p>
    <w:p>
      <w:pPr>
        <w:spacing w:line="360" w:lineRule="auto"/>
        <w:ind w:firstLine="360" w:firstLineChars="150"/>
        <w:rPr>
          <w:rFonts w:hint="eastAsia"/>
          <w:sz w:val="24"/>
        </w:rPr>
      </w:pPr>
      <w:r>
        <w:rPr>
          <w:rFonts w:hint="eastAsia"/>
          <w:sz w:val="24"/>
        </w:rPr>
        <w:t>要求对投标产品应提供长期技术支持。服务及保修期内，中标方负责对其提供的主要设备进行现场维修与维护，不收取额外费用。如对产品有新的改进、增加新功能或者为适应最新标准所形成的最新版本，免费提供给采购方。</w:t>
      </w:r>
    </w:p>
    <w:p>
      <w:pPr>
        <w:spacing w:line="360" w:lineRule="auto"/>
        <w:ind w:firstLine="360" w:firstLineChars="150"/>
        <w:rPr>
          <w:rFonts w:hint="eastAsia"/>
          <w:sz w:val="24"/>
        </w:rPr>
      </w:pPr>
      <w:r>
        <w:rPr>
          <w:rFonts w:hint="eastAsia"/>
          <w:sz w:val="24"/>
        </w:rPr>
        <w:t>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spacing w:line="360" w:lineRule="auto"/>
        <w:ind w:firstLine="360" w:firstLineChars="150"/>
        <w:rPr>
          <w:rFonts w:hint="eastAsia"/>
          <w:sz w:val="24"/>
        </w:rPr>
      </w:pPr>
      <w:r>
        <w:rPr>
          <w:rFonts w:hint="eastAsia"/>
          <w:sz w:val="24"/>
        </w:rPr>
        <w:t>对产品的软、硬件合作期内提供软件应用支持服务和硬件升级服务。所有硬件产品原厂保修期或维护期至少与合同期相同，软件产品合同期内免费上门保修、更换，除定制部分终身免费升级。软件应用支持及升级服务包括主要版本的故障排除、版本维护、故障修复、补丁和主要版本升级、规则库、引擎、控制台的技术支持等。服务开始时间为本项目验收后算起，请投标方提供响应的承诺。</w:t>
      </w:r>
    </w:p>
    <w:p>
      <w:pPr>
        <w:spacing w:line="360" w:lineRule="auto"/>
        <w:rPr>
          <w:rFonts w:hint="eastAsia"/>
          <w:b/>
          <w:sz w:val="24"/>
        </w:rPr>
      </w:pPr>
      <w:r>
        <w:rPr>
          <w:rFonts w:hint="eastAsia"/>
          <w:b/>
          <w:sz w:val="24"/>
        </w:rPr>
        <w:t>五、技术服务</w:t>
      </w:r>
    </w:p>
    <w:p>
      <w:pPr>
        <w:spacing w:line="360" w:lineRule="auto"/>
        <w:ind w:firstLine="360" w:firstLineChars="150"/>
        <w:rPr>
          <w:rFonts w:hint="eastAsia"/>
          <w:sz w:val="24"/>
        </w:rPr>
      </w:pPr>
      <w:r>
        <w:rPr>
          <w:rFonts w:hint="eastAsia"/>
          <w:sz w:val="24"/>
        </w:rPr>
        <w:t>投标人应确保其技术建议以及所提供的产品的完整性、实用性，保证全部系统及时投入正常运行。否则若出现因投标人提供的设备不满足要求、不合理，或者其所提供的技术支持和服务不全面，而导致系统无法实现或不能完全实现的状况，投标人须承诺免费提供。</w:t>
      </w:r>
    </w:p>
    <w:p>
      <w:pPr>
        <w:autoSpaceDE w:val="0"/>
        <w:autoSpaceDN w:val="0"/>
        <w:adjustRightInd w:val="0"/>
        <w:spacing w:line="360" w:lineRule="auto"/>
        <w:ind w:firstLine="482" w:firstLineChars="200"/>
        <w:rPr>
          <w:rFonts w:hint="eastAsia"/>
          <w:b/>
          <w:sz w:val="24"/>
        </w:rPr>
      </w:pPr>
      <w:r>
        <w:rPr>
          <w:rFonts w:hint="eastAsia"/>
          <w:b/>
          <w:sz w:val="24"/>
        </w:rPr>
        <w:t>1、必须与现有软硬件系统兼容。</w:t>
      </w:r>
    </w:p>
    <w:p>
      <w:pPr>
        <w:spacing w:line="360" w:lineRule="auto"/>
        <w:ind w:firstLine="361" w:firstLineChars="150"/>
        <w:rPr>
          <w:rFonts w:hint="eastAsia"/>
          <w:b/>
          <w:sz w:val="24"/>
        </w:rPr>
      </w:pPr>
      <w:r>
        <w:rPr>
          <w:rFonts w:hint="eastAsia"/>
          <w:b/>
          <w:sz w:val="24"/>
        </w:rPr>
        <w:t>2、如招标文件中遗漏了必须具备的设备、配件或服务，请投标人在投标文件中指出，并提出解决方案供采购人、招标代理机构参考；投标人有义务保证采购人系统的完整性，如项目实施过程中因缺少设备、配件或服务导致采购人系统无法正常运行，投标人须承诺免费提供。</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napToGrid w:val="0"/>
        <w:spacing w:line="360" w:lineRule="auto"/>
        <w:jc w:val="center"/>
        <w:rPr>
          <w:rFonts w:hint="eastAsia" w:ascii="宋体" w:hAnsi="宋体"/>
          <w:b/>
          <w:sz w:val="30"/>
          <w:szCs w:val="30"/>
        </w:rPr>
      </w:pPr>
    </w:p>
    <w:p>
      <w:pPr>
        <w:pStyle w:val="18"/>
        <w:spacing w:before="120" w:after="120" w:line="360" w:lineRule="auto"/>
        <w:ind w:left="301" w:hanging="301" w:hangingChars="100"/>
        <w:jc w:val="center"/>
        <w:rPr>
          <w:rFonts w:hAnsi="宋体"/>
          <w:b/>
          <w:sz w:val="30"/>
          <w:szCs w:val="30"/>
        </w:rPr>
      </w:pPr>
      <w:r>
        <w:rPr>
          <w:rFonts w:hint="eastAsia" w:hAnsi="宋体"/>
          <w:b/>
          <w:sz w:val="30"/>
          <w:szCs w:val="30"/>
        </w:rPr>
        <w:t>第三章 磋商供应商须知</w:t>
      </w:r>
      <w:bookmarkStart w:id="1" w:name="_Toc194217867"/>
    </w:p>
    <w:p>
      <w:pPr>
        <w:pStyle w:val="2"/>
        <w:spacing w:line="240" w:lineRule="auto"/>
        <w:jc w:val="center"/>
        <w:rPr>
          <w:rFonts w:hAnsi="宋体" w:eastAsia="宋体"/>
          <w:color w:val="auto"/>
          <w:kern w:val="2"/>
          <w:sz w:val="30"/>
          <w:szCs w:val="30"/>
        </w:rPr>
      </w:pPr>
      <w:r>
        <w:rPr>
          <w:rFonts w:hint="eastAsia" w:hAnsi="宋体" w:eastAsia="宋体"/>
          <w:color w:val="auto"/>
          <w:kern w:val="2"/>
          <w:sz w:val="30"/>
          <w:szCs w:val="30"/>
        </w:rPr>
        <w:t>前附表</w:t>
      </w:r>
    </w:p>
    <w:tbl>
      <w:tblPr>
        <w:tblStyle w:val="37"/>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序号</w:t>
            </w:r>
          </w:p>
        </w:tc>
        <w:tc>
          <w:tcPr>
            <w:tcW w:w="8882"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7"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w:t>
            </w:r>
          </w:p>
        </w:tc>
        <w:tc>
          <w:tcPr>
            <w:tcW w:w="8882" w:type="dxa"/>
            <w:noWrap w:val="0"/>
            <w:vAlign w:val="center"/>
          </w:tcPr>
          <w:p>
            <w:pPr>
              <w:ind w:right="-110"/>
              <w:rPr>
                <w:rFonts w:ascii="宋体" w:hAnsi="宋体"/>
                <w:b/>
                <w:color w:val="000000"/>
                <w:sz w:val="24"/>
              </w:rPr>
            </w:pPr>
            <w:r>
              <w:rPr>
                <w:rFonts w:hint="eastAsia" w:ascii="宋体" w:hAnsi="宋体"/>
                <w:sz w:val="24"/>
              </w:rPr>
              <w:t>项目名称</w:t>
            </w:r>
            <w:r>
              <w:rPr>
                <w:rFonts w:hint="eastAsia" w:ascii="宋体" w:hAnsi="宋体"/>
                <w:color w:val="000000"/>
                <w:sz w:val="24"/>
              </w:rPr>
              <w:t>：</w:t>
            </w:r>
            <w:r>
              <w:rPr>
                <w:rFonts w:hint="eastAsia" w:ascii="宋体" w:hAnsi="宋体"/>
                <w:b/>
                <w:color w:val="000000"/>
                <w:sz w:val="24"/>
              </w:rPr>
              <w:t>桐庐县公安局**通租赁服务项目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2</w:t>
            </w:r>
          </w:p>
        </w:tc>
        <w:tc>
          <w:tcPr>
            <w:tcW w:w="8882" w:type="dxa"/>
            <w:noWrap w:val="0"/>
            <w:vAlign w:val="center"/>
          </w:tcPr>
          <w:p>
            <w:pPr>
              <w:spacing w:line="360" w:lineRule="auto"/>
              <w:rPr>
                <w:rFonts w:ascii="宋体" w:hAnsi="宋体"/>
                <w:sz w:val="24"/>
              </w:rPr>
            </w:pPr>
            <w:r>
              <w:rPr>
                <w:rFonts w:hint="eastAsia" w:ascii="宋体" w:hAnsi="宋体"/>
                <w:color w:val="000000"/>
                <w:sz w:val="24"/>
              </w:rPr>
              <w:t>采购数量及单位：详见</w:t>
            </w:r>
            <w:r>
              <w:rPr>
                <w:rFonts w:hint="eastAsia" w:ascii="宋体" w:hAnsi="宋体"/>
                <w:sz w:val="24"/>
              </w:rPr>
              <w:t>磋商项目服务内容及要求</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trPr>
        <w:tc>
          <w:tcPr>
            <w:tcW w:w="763" w:type="dxa"/>
            <w:noWrap w:val="0"/>
            <w:vAlign w:val="center"/>
          </w:tcPr>
          <w:p>
            <w:pPr>
              <w:snapToGrid w:val="0"/>
              <w:spacing w:line="360" w:lineRule="auto"/>
              <w:jc w:val="center"/>
              <w:rPr>
                <w:rFonts w:hint="eastAsia" w:ascii="宋体" w:hAnsi="宋体"/>
                <w:color w:val="000000"/>
                <w:sz w:val="24"/>
              </w:rPr>
            </w:pPr>
            <w:r>
              <w:rPr>
                <w:rFonts w:hint="eastAsia" w:ascii="宋体" w:hAnsi="宋体"/>
                <w:sz w:val="24"/>
              </w:rPr>
              <w:t>3</w:t>
            </w:r>
          </w:p>
        </w:tc>
        <w:tc>
          <w:tcPr>
            <w:tcW w:w="8882" w:type="dxa"/>
            <w:noWrap w:val="0"/>
            <w:vAlign w:val="center"/>
          </w:tcPr>
          <w:p>
            <w:pPr>
              <w:spacing w:line="360" w:lineRule="auto"/>
              <w:rPr>
                <w:rFonts w:hint="eastAsia" w:ascii="宋体" w:hAnsi="宋体"/>
                <w:color w:val="000000"/>
                <w:sz w:val="24"/>
              </w:rPr>
            </w:pPr>
            <w:r>
              <w:rPr>
                <w:rFonts w:hint="eastAsia" w:ascii="宋体" w:hAnsi="宋体"/>
                <w:sz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4</w:t>
            </w:r>
          </w:p>
        </w:tc>
        <w:tc>
          <w:tcPr>
            <w:tcW w:w="8882" w:type="dxa"/>
            <w:noWrap w:val="0"/>
            <w:vAlign w:val="center"/>
          </w:tcPr>
          <w:p>
            <w:pPr>
              <w:snapToGrid w:val="0"/>
              <w:spacing w:line="360" w:lineRule="auto"/>
              <w:rPr>
                <w:rFonts w:ascii="宋体" w:hAnsi="宋体"/>
                <w:color w:val="FF0000"/>
                <w:sz w:val="24"/>
              </w:rPr>
            </w:pPr>
            <w:r>
              <w:rPr>
                <w:rFonts w:hint="eastAsia" w:ascii="宋体" w:hAnsi="宋体"/>
                <w:color w:val="FF0000"/>
                <w:sz w:val="24"/>
              </w:rPr>
              <w:t xml:space="preserve">小微企业有关政策：1、根据财库〔2011〕181号的相关规定，在评审时对小型和微型企业的投标报价给予 </w:t>
            </w:r>
            <w:bookmarkStart w:id="2" w:name="小微企业价格扣除比例2"/>
            <w:r>
              <w:rPr>
                <w:rFonts w:ascii="宋体" w:hAnsi="宋体"/>
                <w:color w:val="FF0000"/>
                <w:sz w:val="24"/>
              </w:rPr>
              <w:t>6</w:t>
            </w:r>
            <w:bookmarkEnd w:id="2"/>
            <w:r>
              <w:rPr>
                <w:rFonts w:hint="eastAsia" w:ascii="宋体" w:hAnsi="宋体"/>
                <w:color w:val="FF0000"/>
                <w:sz w:val="24"/>
              </w:rPr>
              <w:t xml:space="preserve"> %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5</w:t>
            </w:r>
          </w:p>
        </w:tc>
        <w:tc>
          <w:tcPr>
            <w:tcW w:w="8882" w:type="dxa"/>
            <w:noWrap w:val="0"/>
            <w:vAlign w:val="center"/>
          </w:tcPr>
          <w:p>
            <w:pPr>
              <w:snapToGrid w:val="0"/>
              <w:spacing w:line="360" w:lineRule="auto"/>
              <w:rPr>
                <w:rFonts w:ascii="宋体" w:hAnsi="宋体"/>
                <w:color w:val="000000"/>
                <w:sz w:val="24"/>
              </w:rPr>
            </w:pPr>
            <w:r>
              <w:rPr>
                <w:rFonts w:hint="eastAsia" w:ascii="宋体" w:hAnsi="宋体"/>
                <w:color w:val="000000"/>
                <w:sz w:val="24"/>
              </w:rPr>
              <w:t>磋商报价及费用：1.本项目磋商应以人民币报价；2.</w:t>
            </w:r>
            <w:r>
              <w:rPr>
                <w:rFonts w:hint="eastAsia" w:ascii="宋体" w:hAnsi="宋体"/>
                <w:sz w:val="24"/>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6</w:t>
            </w:r>
          </w:p>
        </w:tc>
        <w:tc>
          <w:tcPr>
            <w:tcW w:w="8882" w:type="dxa"/>
            <w:noWrap w:val="0"/>
            <w:vAlign w:val="center"/>
          </w:tcPr>
          <w:p>
            <w:pPr>
              <w:snapToGrid w:val="0"/>
              <w:spacing w:line="360" w:lineRule="auto"/>
              <w:rPr>
                <w:rFonts w:ascii="宋体" w:hAnsi="宋体"/>
                <w:color w:val="000000"/>
                <w:sz w:val="24"/>
              </w:rPr>
            </w:pPr>
            <w:r>
              <w:rPr>
                <w:rFonts w:hint="eastAsia" w:ascii="宋体" w:hAnsi="宋体"/>
                <w:color w:val="000000"/>
                <w:sz w:val="24"/>
              </w:rPr>
              <w:t>磋商保证金：按照采购公告要求交纳。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trPr>
        <w:tc>
          <w:tcPr>
            <w:tcW w:w="763" w:type="dxa"/>
            <w:noWrap w:val="0"/>
            <w:vAlign w:val="center"/>
          </w:tcPr>
          <w:p>
            <w:pPr>
              <w:snapToGrid w:val="0"/>
              <w:spacing w:line="360" w:lineRule="auto"/>
              <w:jc w:val="center"/>
              <w:rPr>
                <w:rFonts w:ascii="宋体" w:hAnsi="宋体"/>
                <w:sz w:val="24"/>
              </w:rPr>
            </w:pPr>
            <w:r>
              <w:rPr>
                <w:rFonts w:hint="eastAsia" w:ascii="宋体" w:hAnsi="宋体"/>
                <w:sz w:val="24"/>
              </w:rPr>
              <w:t>7</w:t>
            </w:r>
          </w:p>
        </w:tc>
        <w:tc>
          <w:tcPr>
            <w:tcW w:w="8882" w:type="dxa"/>
            <w:noWrap w:val="0"/>
            <w:vAlign w:val="center"/>
          </w:tcPr>
          <w:p>
            <w:pPr>
              <w:snapToGrid w:val="0"/>
              <w:spacing w:line="360" w:lineRule="auto"/>
              <w:rPr>
                <w:rFonts w:ascii="宋体" w:hAnsi="宋体"/>
                <w:color w:val="000000"/>
                <w:sz w:val="24"/>
              </w:rPr>
            </w:pPr>
            <w:r>
              <w:rPr>
                <w:rFonts w:hint="eastAsia" w:ascii="宋体" w:hAnsi="宋体"/>
                <w:sz w:val="24"/>
              </w:rPr>
              <w:t>答疑与澄清：供应商如认为磋商文件表述不清晰、存在歧视性或者其他违法内容的，应当于</w:t>
            </w:r>
            <w:r>
              <w:rPr>
                <w:rFonts w:hint="eastAsia" w:ascii="仿宋_GB2312" w:hAnsi="宋体"/>
                <w:b/>
                <w:color w:val="FF0000"/>
                <w:sz w:val="24"/>
              </w:rPr>
              <w:t>2019年4月21日 16 时</w:t>
            </w:r>
            <w:r>
              <w:rPr>
                <w:rFonts w:hint="eastAsia" w:ascii="宋体" w:hAnsi="宋体"/>
                <w:sz w:val="24"/>
              </w:rPr>
              <w:t>前，以书面形式要求采购机构或采购人作出书面解释、澄清或者向采购机构提出书面质疑，逾期不再受理；如有供应商提出质疑的，采购机构视情况予以答复；答疑内容是磋商文件的组成部分，</w:t>
            </w:r>
            <w:r>
              <w:rPr>
                <w:rFonts w:hint="eastAsia" w:ascii="宋体" w:hAnsi="宋体"/>
                <w:b/>
                <w:sz w:val="24"/>
              </w:rPr>
              <w:t>将在提交磋商文件截止时间5日前，在浙江政府采购网和桐庐县公共资源招投标网上发布更正公告，请供应商自行到网上查看和下载，供应商因漏看带来的后果由供应商自行承担</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8</w:t>
            </w:r>
          </w:p>
        </w:tc>
        <w:tc>
          <w:tcPr>
            <w:tcW w:w="8882" w:type="dxa"/>
            <w:noWrap w:val="0"/>
            <w:vAlign w:val="center"/>
          </w:tcPr>
          <w:p>
            <w:pPr>
              <w:autoSpaceDE w:val="0"/>
              <w:autoSpaceDN w:val="0"/>
              <w:snapToGrid w:val="0"/>
              <w:spacing w:line="360" w:lineRule="auto"/>
              <w:textAlignment w:val="bottom"/>
              <w:rPr>
                <w:rFonts w:ascii="宋体" w:hAnsi="宋体"/>
                <w:color w:val="000000"/>
                <w:sz w:val="24"/>
              </w:rPr>
            </w:pPr>
            <w:r>
              <w:rPr>
                <w:rFonts w:hint="eastAsia" w:ascii="宋体" w:hAnsi="宋体"/>
                <w:color w:val="000000"/>
                <w:sz w:val="24"/>
              </w:rPr>
              <w:t>磋商响应文件组成：正本各</w:t>
            </w:r>
            <w:r>
              <w:rPr>
                <w:rFonts w:hint="eastAsia" w:ascii="宋体" w:hAnsi="宋体"/>
                <w:b/>
                <w:color w:val="000000"/>
                <w:sz w:val="24"/>
              </w:rPr>
              <w:t>1</w:t>
            </w:r>
            <w:r>
              <w:rPr>
                <w:rFonts w:hint="eastAsia" w:ascii="宋体" w:hAnsi="宋体"/>
                <w:color w:val="000000"/>
                <w:sz w:val="24"/>
              </w:rPr>
              <w:t>份；副本各</w:t>
            </w:r>
            <w:r>
              <w:rPr>
                <w:rFonts w:hint="eastAsia" w:ascii="宋体" w:hAnsi="宋体"/>
                <w:b/>
                <w:color w:val="000000"/>
                <w:sz w:val="24"/>
              </w:rPr>
              <w:t>2</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9</w:t>
            </w:r>
          </w:p>
        </w:tc>
        <w:tc>
          <w:tcPr>
            <w:tcW w:w="8882" w:type="dxa"/>
            <w:noWrap w:val="0"/>
            <w:vAlign w:val="center"/>
          </w:tcPr>
          <w:p>
            <w:pPr>
              <w:snapToGrid w:val="0"/>
              <w:spacing w:line="360" w:lineRule="auto"/>
              <w:rPr>
                <w:rFonts w:ascii="宋体" w:hAnsi="宋体"/>
                <w:color w:val="000000"/>
                <w:sz w:val="24"/>
              </w:rPr>
            </w:pPr>
            <w:r>
              <w:rPr>
                <w:rFonts w:hint="eastAsia" w:ascii="宋体" w:hAnsi="宋体"/>
                <w:color w:val="000000"/>
                <w:sz w:val="24"/>
              </w:rPr>
              <w:t>磋商截止时间：供应商应于</w:t>
            </w:r>
            <w:r>
              <w:rPr>
                <w:rFonts w:hint="eastAsia" w:hAnsi="宋体"/>
                <w:b/>
                <w:color w:val="FF0000"/>
                <w:sz w:val="24"/>
              </w:rPr>
              <w:t>2019年4月26日13 时30分</w:t>
            </w:r>
            <w:r>
              <w:rPr>
                <w:rFonts w:hint="eastAsia" w:ascii="宋体" w:hAnsi="宋体"/>
                <w:color w:val="000000"/>
                <w:sz w:val="24"/>
              </w:rPr>
              <w:t>前将</w:t>
            </w:r>
            <w:r>
              <w:rPr>
                <w:rFonts w:hint="eastAsia" w:ascii="宋体" w:hAnsi="宋体"/>
                <w:b/>
                <w:bCs/>
                <w:color w:val="000000"/>
                <w:sz w:val="24"/>
              </w:rPr>
              <w:t>磋商文件及合格供应商资格证明文件原件</w:t>
            </w:r>
            <w:r>
              <w:rPr>
                <w:rFonts w:hint="eastAsia" w:ascii="宋体" w:hAnsi="宋体"/>
                <w:color w:val="000000"/>
                <w:sz w:val="24"/>
              </w:rPr>
              <w:t>送交到</w:t>
            </w:r>
            <w:r>
              <w:rPr>
                <w:rFonts w:hint="eastAsia" w:hAnsi="宋体"/>
                <w:sz w:val="24"/>
              </w:rPr>
              <w:t>桐庐县招投标服务中心2号开标室（桐庐县迎春南路</w:t>
            </w:r>
            <w:r>
              <w:rPr>
                <w:rFonts w:hAnsi="宋体"/>
                <w:sz w:val="24"/>
              </w:rPr>
              <w:t>258</w:t>
            </w:r>
            <w:r>
              <w:rPr>
                <w:rFonts w:hint="eastAsia" w:hAnsi="宋体"/>
                <w:sz w:val="24"/>
              </w:rPr>
              <w:t>号国资大厦</w:t>
            </w:r>
            <w:r>
              <w:rPr>
                <w:rFonts w:hAnsi="宋体"/>
                <w:sz w:val="24"/>
              </w:rPr>
              <w:t>6</w:t>
            </w:r>
            <w:r>
              <w:rPr>
                <w:rFonts w:hint="eastAsia" w:hAnsi="宋体"/>
                <w:sz w:val="24"/>
              </w:rPr>
              <w:t>楼）</w:t>
            </w:r>
            <w:r>
              <w:rPr>
                <w:rFonts w:hint="eastAsia" w:ascii="宋体" w:hAnsi="宋体"/>
                <w:color w:val="000000"/>
                <w:sz w:val="24"/>
              </w:rPr>
              <w:t xml:space="preserve">，逾期送达作无效标处理。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10</w:t>
            </w:r>
          </w:p>
        </w:tc>
        <w:tc>
          <w:tcPr>
            <w:tcW w:w="8882" w:type="dxa"/>
            <w:noWrap w:val="0"/>
            <w:vAlign w:val="center"/>
          </w:tcPr>
          <w:p>
            <w:pPr>
              <w:snapToGrid w:val="0"/>
              <w:spacing w:line="360" w:lineRule="auto"/>
              <w:rPr>
                <w:rFonts w:ascii="宋体" w:hAnsi="宋体"/>
                <w:color w:val="000000"/>
                <w:sz w:val="24"/>
              </w:rPr>
            </w:pPr>
            <w:r>
              <w:rPr>
                <w:rFonts w:hint="eastAsia" w:ascii="宋体" w:hAnsi="宋体"/>
                <w:color w:val="000000"/>
                <w:sz w:val="24"/>
              </w:rPr>
              <w:t>磋商时间及地点：本次磋商将于</w:t>
            </w:r>
            <w:r>
              <w:rPr>
                <w:rFonts w:hint="eastAsia" w:hAnsi="宋体"/>
                <w:b/>
                <w:color w:val="FF0000"/>
                <w:sz w:val="24"/>
              </w:rPr>
              <w:t>2019年4月26日13 时30分</w:t>
            </w:r>
            <w:r>
              <w:rPr>
                <w:rFonts w:hint="eastAsia" w:ascii="宋体" w:hAnsi="宋体"/>
                <w:color w:val="000000"/>
                <w:sz w:val="24"/>
              </w:rPr>
              <w:t>在桐庐县招投标服务中心举行，请供应商派代表出席磋商会议。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11</w:t>
            </w:r>
          </w:p>
        </w:tc>
        <w:tc>
          <w:tcPr>
            <w:tcW w:w="8882" w:type="dxa"/>
            <w:noWrap w:val="0"/>
            <w:vAlign w:val="center"/>
          </w:tcPr>
          <w:p>
            <w:pPr>
              <w:autoSpaceDE w:val="0"/>
              <w:autoSpaceDN w:val="0"/>
              <w:snapToGrid w:val="0"/>
              <w:spacing w:line="360" w:lineRule="auto"/>
              <w:textAlignment w:val="bottom"/>
              <w:rPr>
                <w:rFonts w:ascii="宋体" w:hAnsi="宋体"/>
                <w:color w:val="000000"/>
                <w:sz w:val="24"/>
              </w:rPr>
            </w:pPr>
            <w:r>
              <w:rPr>
                <w:rFonts w:hint="eastAsia" w:ascii="宋体" w:hAnsi="宋体"/>
                <w:color w:val="000000"/>
                <w:sz w:val="24"/>
              </w:rPr>
              <w:t>磋商办法及标准：按照磋商文件第四章磋商办法及评分标准。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12</w:t>
            </w:r>
          </w:p>
        </w:tc>
        <w:tc>
          <w:tcPr>
            <w:tcW w:w="8882" w:type="dxa"/>
            <w:noWrap w:val="0"/>
            <w:vAlign w:val="center"/>
          </w:tcPr>
          <w:p>
            <w:pPr>
              <w:autoSpaceDE w:val="0"/>
              <w:autoSpaceDN w:val="0"/>
              <w:snapToGrid w:val="0"/>
              <w:spacing w:line="360" w:lineRule="auto"/>
              <w:textAlignment w:val="bottom"/>
              <w:rPr>
                <w:rFonts w:hint="eastAsia" w:ascii="宋体" w:hAnsi="宋体"/>
                <w:b/>
                <w:color w:val="000000"/>
                <w:sz w:val="24"/>
              </w:rPr>
            </w:pPr>
            <w:r>
              <w:rPr>
                <w:rFonts w:hint="eastAsia" w:ascii="宋体" w:hAnsi="宋体"/>
                <w:b/>
                <w:sz w:val="24"/>
              </w:rPr>
              <w:t>本项目设上限价，上限价为人民币85万元。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13</w:t>
            </w:r>
          </w:p>
        </w:tc>
        <w:tc>
          <w:tcPr>
            <w:tcW w:w="8882" w:type="dxa"/>
            <w:noWrap w:val="0"/>
            <w:vAlign w:val="center"/>
          </w:tcPr>
          <w:p>
            <w:pPr>
              <w:autoSpaceDE w:val="0"/>
              <w:autoSpaceDN w:val="0"/>
              <w:snapToGrid w:val="0"/>
              <w:spacing w:line="360" w:lineRule="auto"/>
              <w:textAlignment w:val="bottom"/>
              <w:rPr>
                <w:rFonts w:ascii="宋体" w:hAnsi="宋体"/>
                <w:color w:val="000000"/>
                <w:sz w:val="24"/>
              </w:rPr>
            </w:pPr>
            <w:r>
              <w:rPr>
                <w:rFonts w:hint="eastAsia" w:ascii="宋体" w:hAnsi="宋体"/>
                <w:sz w:val="24"/>
              </w:rPr>
              <w:t>评标结果公示：中标供应商确定之日起2个工作日内，将在浙江省政府采购网( http://www.zjzfcg.gov.cn) 、桐庐县公共资源招投标网（</w:t>
            </w:r>
            <w:r>
              <w:rPr>
                <w:rFonts w:ascii="宋体" w:hAnsi="宋体"/>
                <w:sz w:val="24"/>
              </w:rPr>
              <w:t>http://www.tlztb.com</w:t>
            </w:r>
            <w:r>
              <w:rPr>
                <w:rFonts w:hint="eastAsia" w:ascii="宋体" w:hAnsi="宋体"/>
                <w:sz w:val="24"/>
              </w:rPr>
              <w:t>.cn</w:t>
            </w:r>
            <w:r>
              <w:rPr>
                <w:rFonts w:ascii="宋体" w:hAnsi="宋体"/>
                <w:sz w:val="24"/>
              </w:rPr>
              <w:t>/</w:t>
            </w:r>
            <w:r>
              <w:rPr>
                <w:rFonts w:hint="eastAsia" w:ascii="宋体" w:hAnsi="宋体"/>
                <w:sz w:val="24"/>
              </w:rPr>
              <w:t>）发布中标公告。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14</w:t>
            </w:r>
          </w:p>
        </w:tc>
        <w:tc>
          <w:tcPr>
            <w:tcW w:w="8882" w:type="dxa"/>
            <w:noWrap w:val="0"/>
            <w:vAlign w:val="center"/>
          </w:tcPr>
          <w:p>
            <w:pPr>
              <w:autoSpaceDE w:val="0"/>
              <w:autoSpaceDN w:val="0"/>
              <w:snapToGrid w:val="0"/>
              <w:spacing w:line="360" w:lineRule="auto"/>
              <w:textAlignment w:val="bottom"/>
              <w:rPr>
                <w:rFonts w:ascii="宋体" w:hAnsi="宋体"/>
                <w:color w:val="000000"/>
                <w:sz w:val="24"/>
              </w:rPr>
            </w:pPr>
            <w:r>
              <w:rPr>
                <w:rFonts w:hint="eastAsia" w:ascii="宋体" w:hAnsi="宋体"/>
                <w:color w:val="000000"/>
                <w:sz w:val="24"/>
              </w:rPr>
              <w:t>成交通知书：</w:t>
            </w:r>
            <w:r>
              <w:rPr>
                <w:rFonts w:hint="eastAsia" w:ascii="宋体" w:hAnsi="宋体"/>
                <w:sz w:val="24"/>
              </w:rPr>
              <w:t>采购结果在成交公示后，采购机构以书面形式发出《成交通知书》。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15</w:t>
            </w:r>
          </w:p>
        </w:tc>
        <w:tc>
          <w:tcPr>
            <w:tcW w:w="8882" w:type="dxa"/>
            <w:noWrap w:val="0"/>
            <w:vAlign w:val="center"/>
          </w:tcPr>
          <w:p>
            <w:pPr>
              <w:autoSpaceDE w:val="0"/>
              <w:autoSpaceDN w:val="0"/>
              <w:snapToGrid w:val="0"/>
              <w:spacing w:line="360" w:lineRule="auto"/>
              <w:textAlignment w:val="bottom"/>
              <w:rPr>
                <w:rFonts w:ascii="宋体" w:hAnsi="宋体"/>
                <w:color w:val="000000"/>
                <w:sz w:val="24"/>
              </w:rPr>
            </w:pPr>
            <w:r>
              <w:rPr>
                <w:rFonts w:hint="eastAsia" w:ascii="宋体" w:hAnsi="宋体"/>
                <w:color w:val="000000"/>
                <w:sz w:val="24"/>
              </w:rPr>
              <w:t>磋商保证金退还：除磋商文件规定不予退还保证金情形外，未成交人的保证金在成交通知书发出后5个工作日内退还，成交人的保证金在合同签订后5个工作日内退还。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16</w:t>
            </w:r>
          </w:p>
        </w:tc>
        <w:tc>
          <w:tcPr>
            <w:tcW w:w="8882" w:type="dxa"/>
            <w:noWrap w:val="0"/>
            <w:vAlign w:val="center"/>
          </w:tcPr>
          <w:p>
            <w:pPr>
              <w:autoSpaceDE w:val="0"/>
              <w:autoSpaceDN w:val="0"/>
              <w:snapToGrid w:val="0"/>
              <w:spacing w:line="360" w:lineRule="auto"/>
              <w:textAlignment w:val="bottom"/>
              <w:rPr>
                <w:rFonts w:ascii="宋体" w:hAnsi="宋体"/>
                <w:color w:val="000000"/>
                <w:sz w:val="24"/>
              </w:rPr>
            </w:pPr>
            <w:r>
              <w:rPr>
                <w:rFonts w:hint="eastAsia" w:ascii="宋体" w:hAnsi="宋体"/>
                <w:color w:val="000000"/>
                <w:sz w:val="24"/>
              </w:rPr>
              <w:t>签订合同：成交通知书发出后30天内。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trPr>
        <w:tc>
          <w:tcPr>
            <w:tcW w:w="763" w:type="dxa"/>
            <w:noWrap w:val="0"/>
            <w:vAlign w:val="center"/>
          </w:tcPr>
          <w:p>
            <w:pPr>
              <w:snapToGrid w:val="0"/>
              <w:spacing w:line="360" w:lineRule="auto"/>
              <w:jc w:val="center"/>
              <w:rPr>
                <w:rFonts w:ascii="宋体" w:hAnsi="宋体"/>
                <w:color w:val="000000"/>
                <w:sz w:val="24"/>
              </w:rPr>
            </w:pPr>
            <w:r>
              <w:rPr>
                <w:rFonts w:hint="eastAsia" w:ascii="宋体" w:hAnsi="宋体"/>
                <w:color w:val="000000"/>
                <w:sz w:val="24"/>
              </w:rPr>
              <w:t>17</w:t>
            </w:r>
          </w:p>
        </w:tc>
        <w:tc>
          <w:tcPr>
            <w:tcW w:w="8882" w:type="dxa"/>
            <w:noWrap w:val="0"/>
            <w:vAlign w:val="center"/>
          </w:tcPr>
          <w:p>
            <w:pPr>
              <w:snapToGrid w:val="0"/>
              <w:spacing w:line="360" w:lineRule="auto"/>
              <w:rPr>
                <w:rFonts w:ascii="宋体" w:hAnsi="宋体"/>
                <w:color w:val="000000"/>
                <w:sz w:val="24"/>
              </w:rPr>
            </w:pPr>
            <w:r>
              <w:rPr>
                <w:rFonts w:hint="eastAsia" w:ascii="宋体" w:hAnsi="宋体"/>
                <w:color w:val="000000"/>
                <w:sz w:val="24"/>
              </w:rPr>
              <w:t>磋商文件有效期：</w:t>
            </w:r>
            <w:r>
              <w:rPr>
                <w:rFonts w:hint="eastAsia" w:ascii="宋体" w:hAnsi="宋体" w:cs="Arial"/>
                <w:color w:val="000000"/>
                <w:sz w:val="24"/>
                <w:u w:val="single"/>
              </w:rPr>
              <w:t>90</w:t>
            </w:r>
            <w:r>
              <w:rPr>
                <w:rFonts w:hint="eastAsia" w:ascii="宋体" w:hAnsi="宋体" w:cs="Arial"/>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trPr>
        <w:tc>
          <w:tcPr>
            <w:tcW w:w="763" w:type="dxa"/>
            <w:noWrap w:val="0"/>
            <w:vAlign w:val="center"/>
          </w:tcPr>
          <w:p>
            <w:pPr>
              <w:snapToGrid w:val="0"/>
              <w:spacing w:line="360" w:lineRule="auto"/>
              <w:jc w:val="center"/>
              <w:rPr>
                <w:rFonts w:ascii="宋体" w:hAnsi="宋体"/>
                <w:color w:val="000000"/>
                <w:sz w:val="24"/>
              </w:rPr>
            </w:pPr>
            <w:r>
              <w:rPr>
                <w:rStyle w:val="41"/>
                <w:rFonts w:hint="eastAsia" w:ascii="宋体" w:hAnsi="宋体"/>
                <w:sz w:val="24"/>
              </w:rPr>
              <w:t>1</w:t>
            </w:r>
            <w:r>
              <w:rPr>
                <w:rFonts w:hint="eastAsia" w:ascii="宋体" w:hAnsi="宋体"/>
                <w:color w:val="000000"/>
                <w:sz w:val="24"/>
              </w:rPr>
              <w:t>8</w:t>
            </w:r>
          </w:p>
        </w:tc>
        <w:tc>
          <w:tcPr>
            <w:tcW w:w="8882" w:type="dxa"/>
            <w:noWrap w:val="0"/>
            <w:vAlign w:val="center"/>
          </w:tcPr>
          <w:p>
            <w:pPr>
              <w:snapToGrid w:val="0"/>
              <w:spacing w:line="360" w:lineRule="auto"/>
              <w:rPr>
                <w:rFonts w:ascii="宋体" w:hAnsi="宋体"/>
                <w:color w:val="000000"/>
                <w:sz w:val="24"/>
              </w:rPr>
            </w:pPr>
            <w:r>
              <w:rPr>
                <w:rFonts w:hint="eastAsia" w:ascii="宋体" w:hAnsi="宋体"/>
                <w:color w:val="000000"/>
                <w:sz w:val="24"/>
              </w:rPr>
              <w:t>解释：本磋商文件的解释权属于采购单位。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8" w:hRule="atLeast"/>
        </w:trPr>
        <w:tc>
          <w:tcPr>
            <w:tcW w:w="763" w:type="dxa"/>
            <w:noWrap w:val="0"/>
            <w:vAlign w:val="center"/>
          </w:tcPr>
          <w:p>
            <w:pPr>
              <w:snapToGrid w:val="0"/>
              <w:spacing w:line="360" w:lineRule="auto"/>
              <w:jc w:val="center"/>
              <w:rPr>
                <w:rStyle w:val="44"/>
                <w:rFonts w:hint="eastAsia" w:ascii="宋体" w:hAnsi="宋体"/>
                <w:color w:val="auto"/>
                <w:sz w:val="24"/>
                <w:u w:val="none"/>
              </w:rPr>
            </w:pPr>
            <w:r>
              <w:rPr>
                <w:rStyle w:val="44"/>
                <w:rFonts w:hint="eastAsia" w:ascii="宋体" w:hAnsi="宋体"/>
                <w:color w:val="auto"/>
                <w:sz w:val="24"/>
                <w:u w:val="none"/>
              </w:rPr>
              <w:t>19</w:t>
            </w:r>
          </w:p>
        </w:tc>
        <w:tc>
          <w:tcPr>
            <w:tcW w:w="8882" w:type="dxa"/>
            <w:noWrap w:val="0"/>
            <w:vAlign w:val="center"/>
          </w:tcPr>
          <w:p>
            <w:pPr>
              <w:snapToGrid w:val="0"/>
              <w:spacing w:line="300" w:lineRule="auto"/>
              <w:rPr>
                <w:rFonts w:hint="eastAsia" w:ascii="宋体" w:hAnsi="宋体"/>
                <w:sz w:val="24"/>
              </w:rPr>
            </w:pPr>
            <w:r>
              <w:rPr>
                <w:rFonts w:hint="eastAsia" w:ascii="宋体" w:hAnsi="宋体"/>
                <w:sz w:val="24"/>
              </w:rPr>
              <w:t>本项目磋商活动适用《政府采购竞争性磋商采购方式管理暂行办法》等有关法律法规规章及其他规范性文件。</w:t>
            </w:r>
          </w:p>
        </w:tc>
      </w:tr>
    </w:tbl>
    <w:p>
      <w:pPr>
        <w:pStyle w:val="18"/>
        <w:snapToGrid w:val="0"/>
        <w:spacing w:before="120" w:after="120" w:line="360" w:lineRule="auto"/>
        <w:rPr>
          <w:rFonts w:hint="eastAsia" w:hAnsi="宋体"/>
          <w:b/>
          <w:sz w:val="24"/>
          <w:szCs w:val="24"/>
        </w:rPr>
      </w:pPr>
      <w:bookmarkStart w:id="3" w:name="_Toc91899903"/>
    </w:p>
    <w:p>
      <w:pPr>
        <w:pStyle w:val="18"/>
        <w:snapToGrid w:val="0"/>
        <w:spacing w:before="120" w:after="120" w:line="360" w:lineRule="auto"/>
        <w:ind w:firstLine="482" w:firstLineChars="200"/>
        <w:rPr>
          <w:rFonts w:hAnsi="宋体"/>
          <w:b/>
          <w:sz w:val="24"/>
          <w:szCs w:val="24"/>
        </w:rPr>
      </w:pPr>
      <w:r>
        <w:rPr>
          <w:rFonts w:hint="eastAsia" w:hAnsi="宋体"/>
          <w:b/>
          <w:sz w:val="24"/>
          <w:szCs w:val="24"/>
        </w:rPr>
        <w:t>一   总  则</w:t>
      </w:r>
    </w:p>
    <w:p>
      <w:pPr>
        <w:tabs>
          <w:tab w:val="left" w:pos="360"/>
          <w:tab w:val="left" w:pos="540"/>
          <w:tab w:val="left" w:pos="720"/>
        </w:tabs>
        <w:snapToGrid w:val="0"/>
        <w:spacing w:line="360" w:lineRule="auto"/>
        <w:ind w:firstLine="482" w:firstLineChars="200"/>
        <w:jc w:val="left"/>
        <w:outlineLvl w:val="1"/>
        <w:rPr>
          <w:rFonts w:ascii="宋体" w:hAnsi="宋体"/>
          <w:b/>
          <w:color w:val="000000"/>
          <w:sz w:val="24"/>
        </w:rPr>
      </w:pPr>
      <w:bookmarkStart w:id="4" w:name="_Toc177825120"/>
      <w:bookmarkStart w:id="5" w:name="_Toc177824939"/>
      <w:bookmarkStart w:id="6" w:name="_Toc177870537"/>
      <w:bookmarkStart w:id="7" w:name="_Toc177824872"/>
      <w:r>
        <w:rPr>
          <w:rFonts w:hint="eastAsia" w:ascii="宋体" w:hAnsi="宋体"/>
          <w:b/>
          <w:color w:val="000000"/>
          <w:sz w:val="24"/>
        </w:rPr>
        <w:t>（一）适用范围</w:t>
      </w:r>
      <w:bookmarkEnd w:id="4"/>
      <w:bookmarkEnd w:id="5"/>
      <w:bookmarkEnd w:id="6"/>
      <w:bookmarkEnd w:id="7"/>
    </w:p>
    <w:p>
      <w:pPr>
        <w:spacing w:line="360" w:lineRule="auto"/>
        <w:jc w:val="left"/>
        <w:rPr>
          <w:rFonts w:ascii="宋体" w:hAnsi="宋体"/>
          <w:color w:val="000000"/>
          <w:sz w:val="24"/>
        </w:rPr>
      </w:pPr>
      <w:r>
        <w:rPr>
          <w:rFonts w:hint="eastAsia" w:ascii="宋体" w:hAnsi="宋体"/>
          <w:color w:val="000000"/>
          <w:sz w:val="24"/>
        </w:rPr>
        <w:t xml:space="preserve">     本磋商文件仅适用于</w:t>
      </w:r>
      <w:r>
        <w:rPr>
          <w:rFonts w:hint="eastAsia" w:ascii="宋体" w:hAnsi="宋体"/>
          <w:b/>
          <w:color w:val="000000"/>
          <w:sz w:val="24"/>
        </w:rPr>
        <w:t>桐庐县公安局**通租赁服务项目</w:t>
      </w:r>
      <w:r>
        <w:rPr>
          <w:rFonts w:hint="eastAsia" w:ascii="宋体" w:hAnsi="宋体"/>
          <w:color w:val="000000"/>
          <w:sz w:val="24"/>
        </w:rPr>
        <w:t>（法律、法规另有规定的，从其规定）。</w:t>
      </w:r>
    </w:p>
    <w:p>
      <w:pPr>
        <w:snapToGrid w:val="0"/>
        <w:spacing w:line="360" w:lineRule="auto"/>
        <w:ind w:firstLine="482" w:firstLineChars="200"/>
        <w:jc w:val="left"/>
        <w:outlineLvl w:val="1"/>
        <w:rPr>
          <w:rFonts w:ascii="宋体" w:hAnsi="宋体"/>
          <w:b/>
          <w:color w:val="000000"/>
          <w:sz w:val="24"/>
        </w:rPr>
      </w:pPr>
      <w:bookmarkStart w:id="8" w:name="_Toc177825121"/>
      <w:bookmarkStart w:id="9" w:name="_Toc177824873"/>
      <w:bookmarkStart w:id="10" w:name="_Toc177824940"/>
      <w:bookmarkStart w:id="11" w:name="_Toc177870538"/>
      <w:r>
        <w:rPr>
          <w:rFonts w:hint="eastAsia" w:ascii="宋体" w:hAnsi="宋体"/>
          <w:b/>
          <w:color w:val="000000"/>
          <w:sz w:val="24"/>
        </w:rPr>
        <w:t>（二）定义</w:t>
      </w:r>
      <w:bookmarkEnd w:id="8"/>
      <w:bookmarkEnd w:id="9"/>
      <w:bookmarkEnd w:id="10"/>
      <w:bookmarkEnd w:id="11"/>
    </w:p>
    <w:p>
      <w:pPr>
        <w:snapToGrid w:val="0"/>
        <w:spacing w:line="360" w:lineRule="auto"/>
        <w:ind w:firstLine="480" w:firstLineChars="200"/>
        <w:jc w:val="left"/>
        <w:rPr>
          <w:rFonts w:hint="eastAsia"/>
          <w:sz w:val="24"/>
        </w:rPr>
      </w:pPr>
      <w:bookmarkStart w:id="12" w:name="_Toc177870539"/>
      <w:r>
        <w:rPr>
          <w:rFonts w:hint="eastAsia"/>
          <w:sz w:val="24"/>
        </w:rPr>
        <w:t>1、“采购人”系指桐庐县公安局。</w:t>
      </w:r>
    </w:p>
    <w:p>
      <w:pPr>
        <w:snapToGrid w:val="0"/>
        <w:spacing w:line="360" w:lineRule="auto"/>
        <w:ind w:firstLine="480" w:firstLineChars="200"/>
        <w:jc w:val="left"/>
        <w:rPr>
          <w:rFonts w:hint="eastAsia"/>
          <w:color w:val="000000"/>
          <w:sz w:val="24"/>
        </w:rPr>
      </w:pPr>
      <w:r>
        <w:rPr>
          <w:rFonts w:hint="eastAsia"/>
          <w:color w:val="000000"/>
          <w:sz w:val="24"/>
        </w:rPr>
        <w:t>2、“采购机构”系指杭州欣兴建设工程招标代理有限公司。</w:t>
      </w:r>
    </w:p>
    <w:p>
      <w:pPr>
        <w:snapToGrid w:val="0"/>
        <w:spacing w:line="360" w:lineRule="auto"/>
        <w:ind w:firstLine="480" w:firstLineChars="200"/>
        <w:jc w:val="left"/>
        <w:rPr>
          <w:rFonts w:hint="eastAsia"/>
          <w:sz w:val="24"/>
        </w:rPr>
      </w:pPr>
      <w:r>
        <w:rPr>
          <w:rFonts w:hint="eastAsia"/>
          <w:sz w:val="24"/>
        </w:rPr>
        <w:t>3、“供应商”系指向采购机构提交磋商响应文件的供应商。</w:t>
      </w:r>
    </w:p>
    <w:p>
      <w:pPr>
        <w:snapToGrid w:val="0"/>
        <w:spacing w:line="360" w:lineRule="auto"/>
        <w:ind w:firstLine="480" w:firstLineChars="200"/>
        <w:jc w:val="left"/>
        <w:rPr>
          <w:rFonts w:hint="eastAsia"/>
          <w:sz w:val="24"/>
        </w:rPr>
      </w:pPr>
      <w:r>
        <w:rPr>
          <w:rFonts w:hint="eastAsia"/>
          <w:sz w:val="24"/>
        </w:rPr>
        <w:t>4、“服务”系指按竞争性磋商文件要求提供的本项目服务所有工作内容。</w:t>
      </w:r>
    </w:p>
    <w:p>
      <w:pPr>
        <w:snapToGrid w:val="0"/>
        <w:spacing w:line="360" w:lineRule="auto"/>
        <w:ind w:firstLine="480" w:firstLineChars="200"/>
        <w:jc w:val="left"/>
        <w:rPr>
          <w:rFonts w:hint="eastAsia"/>
          <w:sz w:val="24"/>
        </w:rPr>
      </w:pPr>
      <w:r>
        <w:rPr>
          <w:rFonts w:hint="eastAsia"/>
          <w:sz w:val="24"/>
        </w:rPr>
        <w:t>5、“★”系指实质性要求条款。</w:t>
      </w:r>
    </w:p>
    <w:p>
      <w:pPr>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（三）采购方式</w:t>
      </w:r>
      <w:bookmarkEnd w:id="12"/>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本次采购采用竞争性磋商方式进行。</w:t>
      </w:r>
    </w:p>
    <w:p>
      <w:pPr>
        <w:snapToGrid w:val="0"/>
        <w:spacing w:line="360" w:lineRule="auto"/>
        <w:ind w:firstLine="482" w:firstLineChars="200"/>
        <w:jc w:val="left"/>
        <w:rPr>
          <w:rFonts w:ascii="宋体" w:hAnsi="宋体"/>
          <w:b/>
          <w:sz w:val="24"/>
        </w:rPr>
      </w:pPr>
      <w:bookmarkStart w:id="13" w:name="_Toc177824874"/>
      <w:bookmarkStart w:id="14" w:name="_Toc177824941"/>
      <w:bookmarkStart w:id="15" w:name="_Toc177870540"/>
      <w:bookmarkStart w:id="16" w:name="_Toc177825122"/>
      <w:r>
        <w:rPr>
          <w:rFonts w:hint="eastAsia" w:ascii="宋体" w:hAnsi="宋体"/>
          <w:b/>
          <w:sz w:val="24"/>
        </w:rPr>
        <w:t>（四）磋商委托</w:t>
      </w:r>
      <w:bookmarkEnd w:id="13"/>
      <w:bookmarkEnd w:id="14"/>
      <w:bookmarkEnd w:id="15"/>
      <w:bookmarkEnd w:id="16"/>
    </w:p>
    <w:p>
      <w:pPr>
        <w:snapToGrid w:val="0"/>
        <w:spacing w:line="360" w:lineRule="auto"/>
        <w:ind w:firstLine="480" w:firstLineChars="200"/>
        <w:jc w:val="left"/>
        <w:outlineLvl w:val="1"/>
        <w:rPr>
          <w:rFonts w:ascii="宋体" w:hAnsi="宋体"/>
          <w:sz w:val="24"/>
        </w:rPr>
      </w:pPr>
      <w:r>
        <w:rPr>
          <w:rFonts w:hint="eastAsia" w:ascii="宋体" w:hAnsi="宋体"/>
          <w:sz w:val="24"/>
        </w:rPr>
        <w:t>参加磋商的供应商代表须携带居民身份证、若是委托代理人，还须提供法定代表人出具的授权委托书。</w:t>
      </w:r>
    </w:p>
    <w:p>
      <w:pPr>
        <w:snapToGrid w:val="0"/>
        <w:spacing w:line="360" w:lineRule="auto"/>
        <w:ind w:firstLine="482" w:firstLineChars="200"/>
        <w:jc w:val="left"/>
        <w:outlineLvl w:val="1"/>
        <w:rPr>
          <w:rFonts w:ascii="宋体" w:hAnsi="宋体"/>
          <w:b/>
          <w:color w:val="000000"/>
          <w:sz w:val="24"/>
        </w:rPr>
      </w:pPr>
      <w:bookmarkStart w:id="17" w:name="_Toc177824875"/>
      <w:bookmarkStart w:id="18" w:name="_Toc177824942"/>
      <w:bookmarkStart w:id="19" w:name="_Toc177870541"/>
      <w:bookmarkStart w:id="20" w:name="_Toc177825123"/>
      <w:r>
        <w:rPr>
          <w:rFonts w:hint="eastAsia" w:ascii="宋体" w:hAnsi="宋体"/>
          <w:b/>
          <w:color w:val="000000"/>
          <w:sz w:val="24"/>
        </w:rPr>
        <w:t>（五）磋商费用</w:t>
      </w:r>
      <w:bookmarkEnd w:id="17"/>
      <w:bookmarkEnd w:id="18"/>
      <w:bookmarkEnd w:id="19"/>
      <w:bookmarkEnd w:id="20"/>
    </w:p>
    <w:p>
      <w:pPr>
        <w:snapToGrid w:val="0"/>
        <w:spacing w:line="360" w:lineRule="auto"/>
        <w:ind w:firstLine="482" w:firstLineChars="200"/>
        <w:jc w:val="left"/>
        <w:outlineLvl w:val="1"/>
        <w:rPr>
          <w:rFonts w:ascii="宋体" w:hAnsi="宋体"/>
          <w:b/>
          <w:color w:val="000000"/>
          <w:sz w:val="24"/>
        </w:rPr>
      </w:pPr>
      <w:r>
        <w:rPr>
          <w:rFonts w:hint="eastAsia" w:ascii="宋体" w:hAnsi="宋体"/>
          <w:b/>
          <w:sz w:val="24"/>
        </w:rPr>
        <w:t>不论磋商结果如何，供应商均应自行承担所有与磋商有关的全部费用，含招标代理费8000元。</w:t>
      </w:r>
      <w:r>
        <w:rPr>
          <w:rFonts w:hint="eastAsia"/>
          <w:b/>
          <w:sz w:val="24"/>
        </w:rPr>
        <w:t>招标代理费用由中标单位在领取中标通知书时，一次性支付给代理公司，上述费用应含在投标报价中（不得单独列项），投标人在投标报价让利中考虑上述费用。</w:t>
      </w:r>
    </w:p>
    <w:p>
      <w:pPr>
        <w:snapToGrid w:val="0"/>
        <w:spacing w:line="360" w:lineRule="auto"/>
        <w:ind w:firstLine="482" w:firstLineChars="200"/>
        <w:jc w:val="left"/>
        <w:rPr>
          <w:rFonts w:ascii="宋体" w:hAnsi="宋体"/>
          <w:b/>
          <w:color w:val="000000"/>
          <w:sz w:val="24"/>
        </w:rPr>
      </w:pPr>
      <w:r>
        <w:rPr>
          <w:rFonts w:hint="eastAsia" w:ascii="宋体" w:hAnsi="宋体"/>
          <w:b/>
          <w:sz w:val="24"/>
        </w:rPr>
        <w:t>（六）</w:t>
      </w:r>
      <w:bookmarkStart w:id="21" w:name="_Toc177870542"/>
      <w:r>
        <w:rPr>
          <w:rFonts w:hint="eastAsia" w:ascii="宋体" w:hAnsi="宋体"/>
          <w:b/>
          <w:color w:val="000000"/>
          <w:sz w:val="24"/>
        </w:rPr>
        <w:t>特别说明：</w:t>
      </w:r>
      <w:bookmarkEnd w:id="21"/>
    </w:p>
    <w:p>
      <w:pPr>
        <w:pStyle w:val="18"/>
        <w:snapToGrid w:val="0"/>
        <w:spacing w:line="360" w:lineRule="auto"/>
        <w:ind w:firstLine="480" w:firstLineChars="200"/>
        <w:rPr>
          <w:rFonts w:hAnsi="宋体"/>
          <w:sz w:val="24"/>
          <w:szCs w:val="24"/>
        </w:rPr>
      </w:pPr>
      <w:r>
        <w:rPr>
          <w:rFonts w:hint="eastAsia" w:hAnsi="宋体"/>
          <w:sz w:val="24"/>
          <w:szCs w:val="24"/>
        </w:rPr>
        <w:t>★1. 供应商磋商所使用的资格、信誉、荣誉、业绩与企业认证必须为本企业所拥有。供应商磋商所使用的采购项目实施人员可以为其控股公司的工作人员。</w:t>
      </w:r>
    </w:p>
    <w:p>
      <w:pPr>
        <w:pStyle w:val="18"/>
        <w:snapToGrid w:val="0"/>
        <w:spacing w:line="360" w:lineRule="auto"/>
        <w:ind w:firstLine="480" w:firstLineChars="200"/>
        <w:rPr>
          <w:rFonts w:hAnsi="宋体"/>
          <w:sz w:val="24"/>
          <w:szCs w:val="24"/>
        </w:rPr>
      </w:pPr>
      <w:r>
        <w:rPr>
          <w:rFonts w:hint="eastAsia" w:hAnsi="宋体"/>
          <w:sz w:val="24"/>
          <w:szCs w:val="24"/>
        </w:rPr>
        <w:t>★2.供应商在磋商活动中提供任何虚假材料或从事其他违法活动的,其磋商无效，并报监管部门查处；成交后发现的,成交人须依照《中华人民共和国消费者权益保护法》第49条之规定双倍赔偿采购人。且民事赔偿并不免除违法供应商的行政与刑事责任。</w:t>
      </w:r>
    </w:p>
    <w:p>
      <w:pPr>
        <w:pStyle w:val="18"/>
        <w:snapToGrid w:val="0"/>
        <w:spacing w:line="360" w:lineRule="auto"/>
        <w:ind w:firstLine="480" w:firstLineChars="200"/>
        <w:rPr>
          <w:rFonts w:hAnsi="宋体"/>
          <w:sz w:val="24"/>
          <w:szCs w:val="24"/>
        </w:rPr>
      </w:pPr>
      <w:r>
        <w:rPr>
          <w:rFonts w:hint="eastAsia" w:hAnsi="宋体"/>
          <w:sz w:val="24"/>
          <w:szCs w:val="24"/>
        </w:rPr>
        <w:t>★3.供应商应仔细阅读磋商文件的所有内容，按照磋商文件的要求提交磋商响应文件。磋商响应文件应对磋商文件的要求作出实质性响应，并对所提供的全部资料的真实性承担法律责任。</w:t>
      </w:r>
      <w:bookmarkStart w:id="22" w:name="_Toc177870543"/>
    </w:p>
    <w:p>
      <w:pPr>
        <w:pStyle w:val="18"/>
        <w:snapToGrid w:val="0"/>
        <w:spacing w:line="360" w:lineRule="auto"/>
        <w:ind w:firstLine="482" w:firstLineChars="200"/>
        <w:rPr>
          <w:rFonts w:hAnsi="宋体"/>
          <w:b/>
          <w:bCs/>
          <w:sz w:val="24"/>
          <w:szCs w:val="24"/>
        </w:rPr>
      </w:pPr>
      <w:r>
        <w:rPr>
          <w:rFonts w:hint="eastAsia" w:hAnsi="宋体"/>
          <w:b/>
          <w:bCs/>
          <w:sz w:val="24"/>
          <w:szCs w:val="24"/>
        </w:rPr>
        <w:t>（七）质疑</w:t>
      </w:r>
      <w:bookmarkEnd w:id="22"/>
      <w:r>
        <w:rPr>
          <w:rFonts w:hint="eastAsia" w:hAnsi="宋体"/>
          <w:b/>
          <w:bCs/>
          <w:sz w:val="24"/>
          <w:szCs w:val="24"/>
        </w:rPr>
        <w:t>和投诉</w:t>
      </w:r>
    </w:p>
    <w:p>
      <w:pPr>
        <w:pStyle w:val="18"/>
        <w:snapToGrid w:val="0"/>
        <w:spacing w:line="360" w:lineRule="auto"/>
        <w:ind w:firstLine="480" w:firstLineChars="200"/>
        <w:rPr>
          <w:rFonts w:hAnsi="宋体"/>
          <w:sz w:val="24"/>
          <w:szCs w:val="24"/>
        </w:rPr>
      </w:pPr>
      <w:r>
        <w:rPr>
          <w:rFonts w:hint="eastAsia" w:hAnsi="宋体"/>
          <w:bCs/>
          <w:sz w:val="24"/>
          <w:szCs w:val="24"/>
        </w:rPr>
        <w:t>1.供应商认为磋商过程和成交结果使自己的合法权益受到损害的，应当在知道或者应知其权益受到损害之日起七个工作日内，以书面形式向采购机构提出质疑。</w:t>
      </w:r>
      <w:r>
        <w:rPr>
          <w:rFonts w:hint="eastAsia" w:hAnsi="宋体"/>
          <w:sz w:val="24"/>
          <w:szCs w:val="24"/>
        </w:rPr>
        <w:t>供应商对采购机构的质疑答复不满意或者采购人未在规定时间内作出答复的，可以在答复期满后十五个工作日内向同级采购监管部门投诉。</w:t>
      </w:r>
    </w:p>
    <w:p>
      <w:pPr>
        <w:pStyle w:val="18"/>
        <w:snapToGrid w:val="0"/>
        <w:spacing w:line="360" w:lineRule="auto"/>
        <w:ind w:firstLine="480" w:firstLineChars="200"/>
        <w:rPr>
          <w:rFonts w:hAnsi="宋体"/>
          <w:bCs/>
          <w:sz w:val="24"/>
          <w:szCs w:val="24"/>
        </w:rPr>
      </w:pPr>
      <w:r>
        <w:rPr>
          <w:rFonts w:hint="eastAsia" w:hAnsi="宋体"/>
          <w:bCs/>
          <w:sz w:val="24"/>
          <w:szCs w:val="24"/>
        </w:rPr>
        <w:t>2.供应商认可采购机构在质疑答复程序中启用的调查和复评等程序，在该程序操作过程未明显违反法律禁止性规定时，不得提出疑议；</w:t>
      </w:r>
    </w:p>
    <w:p>
      <w:pPr>
        <w:pStyle w:val="18"/>
        <w:snapToGrid w:val="0"/>
        <w:spacing w:line="360" w:lineRule="auto"/>
        <w:ind w:firstLine="480" w:firstLineChars="200"/>
        <w:rPr>
          <w:rFonts w:hAnsi="宋体"/>
          <w:bCs/>
          <w:sz w:val="24"/>
          <w:szCs w:val="24"/>
        </w:rPr>
      </w:pPr>
      <w:r>
        <w:rPr>
          <w:rFonts w:hint="eastAsia" w:hAnsi="宋体"/>
          <w:bCs/>
          <w:sz w:val="24"/>
          <w:szCs w:val="24"/>
        </w:rPr>
        <w:t>3.质疑、投诉应当采用书面形式，质疑书、投诉书均应明确阐述磋商文件、磋商过程和成交结果中使自己合法权益受到损害的实质性内容，提供相关事实、依据和证据及其来源或线索，便于有关单位调查、答复和处理，否则采购机构将不予受理。</w:t>
      </w:r>
    </w:p>
    <w:p>
      <w:pPr>
        <w:pStyle w:val="18"/>
        <w:snapToGrid w:val="0"/>
        <w:spacing w:line="360" w:lineRule="auto"/>
        <w:ind w:firstLine="436" w:firstLineChars="181"/>
        <w:outlineLvl w:val="0"/>
        <w:rPr>
          <w:rFonts w:hAnsi="宋体"/>
          <w:b/>
          <w:sz w:val="24"/>
          <w:szCs w:val="24"/>
        </w:rPr>
      </w:pPr>
      <w:bookmarkStart w:id="23" w:name="_Toc177870544"/>
      <w:r>
        <w:rPr>
          <w:rFonts w:hint="eastAsia" w:hAnsi="宋体"/>
          <w:b/>
          <w:sz w:val="24"/>
          <w:szCs w:val="24"/>
        </w:rPr>
        <w:t>二  磋商文件</w:t>
      </w:r>
      <w:bookmarkEnd w:id="23"/>
    </w:p>
    <w:p>
      <w:pPr>
        <w:snapToGrid w:val="0"/>
        <w:spacing w:line="360" w:lineRule="auto"/>
        <w:ind w:firstLine="318" w:firstLineChars="132"/>
        <w:jc w:val="left"/>
        <w:rPr>
          <w:rFonts w:hint="eastAsia" w:ascii="宋体" w:hAnsi="宋体"/>
          <w:b/>
          <w:color w:val="000000"/>
          <w:sz w:val="24"/>
        </w:rPr>
      </w:pPr>
      <w:r>
        <w:rPr>
          <w:rFonts w:hint="eastAsia" w:ascii="宋体" w:hAnsi="宋体"/>
          <w:b/>
          <w:color w:val="000000"/>
          <w:sz w:val="24"/>
        </w:rPr>
        <w:t>（一）磋商文件的构成。</w:t>
      </w:r>
    </w:p>
    <w:p>
      <w:pPr>
        <w:snapToGrid w:val="0"/>
        <w:spacing w:line="360" w:lineRule="auto"/>
        <w:ind w:firstLine="316" w:firstLineChars="132"/>
        <w:jc w:val="left"/>
        <w:rPr>
          <w:rFonts w:hint="eastAsia" w:ascii="宋体" w:hAnsi="宋体"/>
          <w:color w:val="000000"/>
          <w:sz w:val="24"/>
        </w:rPr>
      </w:pPr>
      <w:r>
        <w:rPr>
          <w:rFonts w:hint="eastAsia" w:ascii="宋体" w:hAnsi="宋体"/>
          <w:color w:val="000000"/>
          <w:sz w:val="24"/>
        </w:rPr>
        <w:t>1.磋商公告</w:t>
      </w:r>
    </w:p>
    <w:p>
      <w:pPr>
        <w:snapToGrid w:val="0"/>
        <w:spacing w:line="360" w:lineRule="auto"/>
        <w:ind w:firstLine="316" w:firstLineChars="132"/>
        <w:jc w:val="left"/>
        <w:rPr>
          <w:rFonts w:hint="eastAsia" w:ascii="宋体" w:hAnsi="宋体"/>
          <w:color w:val="000000"/>
          <w:sz w:val="24"/>
        </w:rPr>
      </w:pPr>
      <w:r>
        <w:rPr>
          <w:rFonts w:hint="eastAsia" w:ascii="宋体" w:hAnsi="宋体"/>
          <w:color w:val="000000"/>
          <w:sz w:val="24"/>
        </w:rPr>
        <w:t>2.磋商项目服务内容及要求</w:t>
      </w:r>
    </w:p>
    <w:p>
      <w:pPr>
        <w:snapToGrid w:val="0"/>
        <w:spacing w:line="360" w:lineRule="auto"/>
        <w:ind w:firstLine="316" w:firstLineChars="132"/>
        <w:jc w:val="left"/>
        <w:rPr>
          <w:rFonts w:hint="eastAsia" w:ascii="宋体" w:hAnsi="宋体"/>
          <w:color w:val="000000"/>
          <w:sz w:val="24"/>
        </w:rPr>
      </w:pPr>
      <w:r>
        <w:rPr>
          <w:rFonts w:hint="eastAsia" w:ascii="宋体" w:hAnsi="宋体"/>
          <w:color w:val="000000"/>
          <w:sz w:val="24"/>
        </w:rPr>
        <w:t>3.供应商须知</w:t>
      </w:r>
    </w:p>
    <w:p>
      <w:pPr>
        <w:snapToGrid w:val="0"/>
        <w:spacing w:line="360" w:lineRule="auto"/>
        <w:ind w:firstLine="316" w:firstLineChars="132"/>
        <w:jc w:val="left"/>
        <w:rPr>
          <w:rFonts w:hint="eastAsia" w:ascii="宋体" w:hAnsi="宋体"/>
          <w:color w:val="000000"/>
          <w:sz w:val="24"/>
        </w:rPr>
      </w:pPr>
      <w:r>
        <w:rPr>
          <w:rFonts w:hint="eastAsia" w:ascii="宋体" w:hAnsi="宋体"/>
          <w:color w:val="000000"/>
          <w:sz w:val="24"/>
        </w:rPr>
        <w:t>4.磋商原则和程序</w:t>
      </w:r>
    </w:p>
    <w:p>
      <w:pPr>
        <w:snapToGrid w:val="0"/>
        <w:spacing w:line="360" w:lineRule="auto"/>
        <w:ind w:firstLine="316" w:firstLineChars="132"/>
        <w:jc w:val="left"/>
        <w:rPr>
          <w:rFonts w:hint="eastAsia" w:ascii="宋体" w:hAnsi="宋体"/>
          <w:color w:val="000000"/>
          <w:sz w:val="24"/>
        </w:rPr>
      </w:pPr>
      <w:r>
        <w:rPr>
          <w:rFonts w:hint="eastAsia" w:ascii="宋体" w:hAnsi="宋体"/>
          <w:color w:val="000000"/>
          <w:sz w:val="24"/>
        </w:rPr>
        <w:t>5.政府采购合同</w:t>
      </w:r>
    </w:p>
    <w:p>
      <w:pPr>
        <w:snapToGrid w:val="0"/>
        <w:spacing w:line="360" w:lineRule="auto"/>
        <w:ind w:firstLine="316" w:firstLineChars="132"/>
        <w:jc w:val="left"/>
        <w:rPr>
          <w:rFonts w:hint="eastAsia" w:ascii="宋体" w:hAnsi="宋体"/>
          <w:color w:val="000000"/>
          <w:sz w:val="24"/>
        </w:rPr>
      </w:pPr>
      <w:r>
        <w:rPr>
          <w:rFonts w:hint="eastAsia" w:ascii="宋体" w:hAnsi="宋体"/>
          <w:color w:val="000000"/>
          <w:sz w:val="24"/>
        </w:rPr>
        <w:t>6.响应文件格式</w:t>
      </w:r>
    </w:p>
    <w:p>
      <w:pPr>
        <w:snapToGrid w:val="0"/>
        <w:spacing w:line="360" w:lineRule="auto"/>
        <w:ind w:firstLine="318" w:firstLineChars="132"/>
        <w:jc w:val="left"/>
        <w:rPr>
          <w:rFonts w:ascii="宋体" w:hAnsi="宋体"/>
          <w:b/>
          <w:color w:val="000000"/>
          <w:sz w:val="24"/>
        </w:rPr>
      </w:pPr>
      <w:r>
        <w:rPr>
          <w:rFonts w:hint="eastAsia" w:ascii="宋体" w:hAnsi="宋体"/>
          <w:b/>
          <w:color w:val="000000"/>
          <w:sz w:val="24"/>
        </w:rPr>
        <w:t>（二）供应商的风险</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供应商没有按照磋商文件要求提供全部资料，或者供应商没有对磋商文件在各方面者作出实质性响应是供应商的风险，并可能导致其磋商被拒绝。</w:t>
      </w:r>
    </w:p>
    <w:p>
      <w:pPr>
        <w:pStyle w:val="8"/>
        <w:widowControl w:val="0"/>
        <w:tabs>
          <w:tab w:val="left" w:pos="980"/>
        </w:tabs>
        <w:snapToGrid w:val="0"/>
        <w:spacing w:afterLines="0" w:line="360" w:lineRule="auto"/>
        <w:ind w:left="0" w:firstLine="318" w:firstLineChars="132"/>
        <w:rPr>
          <w:rFonts w:ascii="宋体" w:hAnsi="宋体"/>
          <w:b/>
          <w:color w:val="000000"/>
          <w:szCs w:val="24"/>
        </w:rPr>
      </w:pPr>
      <w:r>
        <w:rPr>
          <w:rFonts w:hint="eastAsia" w:ascii="宋体" w:hAnsi="宋体"/>
          <w:b/>
          <w:color w:val="000000"/>
          <w:szCs w:val="24"/>
        </w:rPr>
        <w:t xml:space="preserve">（三）磋商文件的澄清与修改 </w:t>
      </w:r>
    </w:p>
    <w:p>
      <w:pPr>
        <w:pStyle w:val="18"/>
        <w:snapToGrid w:val="0"/>
        <w:spacing w:line="360" w:lineRule="auto"/>
        <w:ind w:left="111" w:leftChars="53" w:firstLine="360" w:firstLineChars="150"/>
        <w:rPr>
          <w:rFonts w:hAnsi="宋体"/>
          <w:bCs/>
          <w:sz w:val="24"/>
          <w:szCs w:val="24"/>
        </w:rPr>
      </w:pPr>
      <w:r>
        <w:rPr>
          <w:rFonts w:hint="eastAsia" w:hAnsi="宋体"/>
          <w:bCs/>
          <w:sz w:val="24"/>
          <w:szCs w:val="24"/>
        </w:rPr>
        <w:t>1.供应商应认真阅读本磋商文件，发现其中有误或有要求不合理的，供应商必须在</w:t>
      </w:r>
      <w:r>
        <w:rPr>
          <w:rFonts w:hint="eastAsia" w:hAnsi="宋体"/>
          <w:b/>
          <w:color w:val="FF0000"/>
          <w:sz w:val="24"/>
          <w:u w:val="single"/>
        </w:rPr>
        <w:t>前附表第7项规定时间</w:t>
      </w:r>
      <w:r>
        <w:rPr>
          <w:rFonts w:hint="eastAsia" w:hAnsi="宋体"/>
          <w:bCs/>
          <w:sz w:val="24"/>
          <w:szCs w:val="24"/>
        </w:rPr>
        <w:t>前以书面形式要求采购人或采购机构澄清。</w:t>
      </w:r>
    </w:p>
    <w:p>
      <w:pPr>
        <w:pStyle w:val="18"/>
        <w:numPr>
          <w:ilvl w:val="0"/>
          <w:numId w:val="4"/>
        </w:numPr>
        <w:snapToGrid w:val="0"/>
        <w:spacing w:line="360" w:lineRule="auto"/>
        <w:ind w:firstLine="439" w:firstLineChars="182"/>
        <w:rPr>
          <w:rFonts w:hAnsi="宋体"/>
          <w:sz w:val="24"/>
          <w:szCs w:val="24"/>
        </w:rPr>
      </w:pPr>
      <w:r>
        <w:rPr>
          <w:rFonts w:hint="eastAsia" w:hAnsi="宋体"/>
          <w:b/>
          <w:sz w:val="24"/>
          <w:szCs w:val="24"/>
        </w:rPr>
        <w:t>采购机构对已发出的磋商文件进行必要澄清、答复、修改或补充的，将在磋商文件要求提交磋商文件截止时间5日前，在浙江政府采购网和桐庐县公共资源招投标网上发布更正公告，请供应商自行到网上查看和下载，供应商因漏看带来的后果由供应商自行承担</w:t>
      </w:r>
      <w:r>
        <w:rPr>
          <w:rFonts w:hint="eastAsia" w:hAnsi="宋体"/>
          <w:sz w:val="24"/>
          <w:szCs w:val="24"/>
        </w:rPr>
        <w:t>。</w:t>
      </w:r>
    </w:p>
    <w:p>
      <w:pPr>
        <w:pStyle w:val="18"/>
        <w:snapToGrid w:val="0"/>
        <w:spacing w:line="360" w:lineRule="auto"/>
        <w:ind w:firstLine="480" w:firstLineChars="200"/>
        <w:rPr>
          <w:rFonts w:hAnsi="宋体"/>
          <w:sz w:val="24"/>
          <w:szCs w:val="24"/>
        </w:rPr>
      </w:pPr>
      <w:r>
        <w:rPr>
          <w:rFonts w:hint="eastAsia" w:hAnsi="宋体"/>
          <w:sz w:val="24"/>
          <w:szCs w:val="24"/>
        </w:rPr>
        <w:t>3.磋商文件澄清、答复、修改、补充的内容为磋商文件的组成部分。当磋商文件与磋商文件的答复、澄清、修改、补充通知就同一内容的表述不一致时，以最后发出的文件为准。</w:t>
      </w:r>
    </w:p>
    <w:p>
      <w:pPr>
        <w:pStyle w:val="18"/>
        <w:snapToGrid w:val="0"/>
        <w:spacing w:line="360" w:lineRule="auto"/>
        <w:ind w:firstLine="480" w:firstLineChars="200"/>
        <w:rPr>
          <w:rFonts w:hAnsi="宋体"/>
          <w:sz w:val="24"/>
          <w:szCs w:val="24"/>
        </w:rPr>
      </w:pPr>
      <w:r>
        <w:rPr>
          <w:rFonts w:hint="eastAsia" w:hAnsi="宋体"/>
          <w:sz w:val="24"/>
          <w:szCs w:val="24"/>
        </w:rPr>
        <w:t>4.磋商文件的澄清、答复、修改或补充都应该通过采购机构以法定形式发布，采购人非通过采购机构，不得擅自澄清、答复、修改或补充磋商文件。</w:t>
      </w:r>
    </w:p>
    <w:p>
      <w:pPr>
        <w:pStyle w:val="18"/>
        <w:snapToGrid w:val="0"/>
        <w:spacing w:line="360" w:lineRule="auto"/>
        <w:ind w:firstLine="482" w:firstLineChars="200"/>
        <w:outlineLvl w:val="1"/>
        <w:rPr>
          <w:rFonts w:hAnsi="宋体"/>
          <w:b/>
          <w:sz w:val="24"/>
          <w:szCs w:val="24"/>
        </w:rPr>
      </w:pPr>
      <w:bookmarkStart w:id="24" w:name="_Toc177870545"/>
      <w:r>
        <w:rPr>
          <w:rFonts w:hint="eastAsia" w:hAnsi="宋体"/>
          <w:b/>
          <w:sz w:val="24"/>
          <w:szCs w:val="24"/>
        </w:rPr>
        <w:t>三、磋商响应文件</w:t>
      </w:r>
      <w:bookmarkEnd w:id="24"/>
      <w:r>
        <w:rPr>
          <w:rFonts w:hint="eastAsia" w:hAnsi="宋体"/>
          <w:b/>
          <w:sz w:val="24"/>
          <w:szCs w:val="24"/>
        </w:rPr>
        <w:t>的编制</w:t>
      </w:r>
    </w:p>
    <w:p>
      <w:pPr>
        <w:snapToGrid w:val="0"/>
        <w:spacing w:line="360" w:lineRule="auto"/>
        <w:ind w:firstLine="482" w:firstLineChars="200"/>
        <w:jc w:val="left"/>
        <w:outlineLvl w:val="0"/>
        <w:rPr>
          <w:rFonts w:ascii="宋体" w:hAnsi="宋体"/>
          <w:b/>
          <w:color w:val="000000"/>
          <w:sz w:val="24"/>
        </w:rPr>
      </w:pPr>
      <w:bookmarkStart w:id="25" w:name="_Toc177870546"/>
      <w:bookmarkStart w:id="26" w:name="_Toc177824876"/>
      <w:bookmarkStart w:id="27" w:name="_Toc177824943"/>
      <w:bookmarkStart w:id="28" w:name="_Toc177825124"/>
      <w:r>
        <w:rPr>
          <w:rFonts w:hint="eastAsia" w:ascii="宋体" w:hAnsi="宋体"/>
          <w:b/>
          <w:color w:val="000000"/>
          <w:sz w:val="24"/>
        </w:rPr>
        <w:t>（一）磋商响应文件的组成</w:t>
      </w:r>
      <w:bookmarkEnd w:id="25"/>
      <w:bookmarkEnd w:id="26"/>
      <w:bookmarkEnd w:id="27"/>
      <w:bookmarkEnd w:id="28"/>
    </w:p>
    <w:p>
      <w:pPr>
        <w:snapToGrid w:val="0"/>
        <w:spacing w:line="360" w:lineRule="auto"/>
        <w:ind w:firstLine="352" w:firstLineChars="147"/>
        <w:jc w:val="left"/>
        <w:outlineLvl w:val="0"/>
        <w:rPr>
          <w:rFonts w:ascii="宋体" w:hAnsi="宋体"/>
          <w:sz w:val="24"/>
        </w:rPr>
      </w:pPr>
      <w:bookmarkStart w:id="29" w:name="_Toc177825125"/>
      <w:bookmarkStart w:id="30" w:name="_Toc177870547"/>
      <w:bookmarkStart w:id="31" w:name="_Toc177824877"/>
      <w:bookmarkStart w:id="32" w:name="_Toc177824944"/>
      <w:r>
        <w:rPr>
          <w:rFonts w:hint="eastAsia" w:ascii="宋体" w:hAnsi="宋体"/>
          <w:sz w:val="24"/>
        </w:rPr>
        <w:t>磋商文件由</w:t>
      </w:r>
      <w:r>
        <w:rPr>
          <w:rFonts w:hint="eastAsia" w:ascii="宋体" w:hAnsi="宋体"/>
          <w:b/>
          <w:bCs/>
          <w:sz w:val="24"/>
        </w:rPr>
        <w:t>技术资信文件、报价文件</w:t>
      </w:r>
      <w:r>
        <w:rPr>
          <w:rFonts w:hint="eastAsia" w:ascii="宋体" w:hAnsi="宋体"/>
          <w:sz w:val="24"/>
        </w:rPr>
        <w:t>二部分组成：</w:t>
      </w:r>
    </w:p>
    <w:p>
      <w:pPr>
        <w:snapToGrid w:val="0"/>
        <w:spacing w:line="360" w:lineRule="auto"/>
        <w:ind w:firstLine="354" w:firstLineChars="147"/>
        <w:jc w:val="left"/>
        <w:outlineLvl w:val="0"/>
        <w:rPr>
          <w:rFonts w:ascii="宋体" w:hAnsi="宋体"/>
          <w:b/>
          <w:sz w:val="24"/>
        </w:rPr>
      </w:pPr>
      <w:r>
        <w:rPr>
          <w:rFonts w:ascii="宋体" w:hAnsi="宋体"/>
          <w:b/>
          <w:sz w:val="24"/>
        </w:rPr>
        <w:t xml:space="preserve">1. </w:t>
      </w:r>
      <w:r>
        <w:rPr>
          <w:rFonts w:hint="eastAsia" w:ascii="宋体" w:hAnsi="宋体"/>
          <w:b/>
          <w:sz w:val="24"/>
        </w:rPr>
        <w:t>技术资信文件（均不含报价）：</w:t>
      </w:r>
    </w:p>
    <w:p>
      <w:pPr>
        <w:snapToGrid w:val="0"/>
        <w:spacing w:line="360" w:lineRule="auto"/>
        <w:ind w:firstLine="352" w:firstLineChars="147"/>
        <w:jc w:val="left"/>
        <w:outlineLvl w:val="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）营业执照、税务登记证复印件；</w:t>
      </w:r>
    </w:p>
    <w:p>
      <w:pPr>
        <w:snapToGrid w:val="0"/>
        <w:spacing w:line="360" w:lineRule="auto"/>
        <w:ind w:firstLine="352" w:firstLineChars="147"/>
        <w:jc w:val="left"/>
        <w:outlineLvl w:val="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）法定代表人授权委托书；</w:t>
      </w:r>
      <w:r>
        <w:rPr>
          <w:rFonts w:ascii="宋体" w:hAnsi="宋体"/>
          <w:sz w:val="24"/>
        </w:rPr>
        <w:t xml:space="preserve"> </w:t>
      </w:r>
    </w:p>
    <w:p>
      <w:pPr>
        <w:snapToGrid w:val="0"/>
        <w:spacing w:line="360" w:lineRule="auto"/>
        <w:ind w:firstLine="352" w:firstLineChars="147"/>
        <w:jc w:val="left"/>
        <w:outlineLvl w:val="0"/>
        <w:rPr>
          <w:rFonts w:ascii="宋体" w:hAnsi="宋体"/>
          <w:sz w:val="24"/>
        </w:rPr>
      </w:pPr>
      <w:r>
        <w:rPr>
          <w:rFonts w:hint="eastAsia" w:ascii="宋体" w:hAnsi="宋体"/>
          <w:sz w:val="24"/>
        </w:rPr>
        <w:t>（3）类似项目的业绩资料复印件；</w:t>
      </w:r>
    </w:p>
    <w:p>
      <w:pPr>
        <w:snapToGrid w:val="0"/>
        <w:spacing w:line="360" w:lineRule="auto"/>
        <w:ind w:firstLine="352" w:firstLineChars="147"/>
        <w:jc w:val="left"/>
        <w:outlineLvl w:val="0"/>
        <w:rPr>
          <w:rFonts w:ascii="宋体" w:hAnsi="宋体"/>
          <w:sz w:val="24"/>
        </w:rPr>
      </w:pPr>
      <w:r>
        <w:rPr>
          <w:rFonts w:hint="eastAsia" w:ascii="宋体" w:hAnsi="宋体"/>
          <w:sz w:val="24"/>
        </w:rPr>
        <w:t>（4）投标人的基本情况介绍；</w:t>
      </w:r>
    </w:p>
    <w:p>
      <w:pPr>
        <w:snapToGrid w:val="0"/>
        <w:spacing w:line="360" w:lineRule="auto"/>
        <w:ind w:firstLine="352" w:firstLineChars="147"/>
        <w:jc w:val="left"/>
        <w:outlineLvl w:val="0"/>
        <w:rPr>
          <w:rFonts w:ascii="宋体" w:hAnsi="宋体"/>
          <w:sz w:val="24"/>
        </w:rPr>
      </w:pPr>
      <w:r>
        <w:rPr>
          <w:rFonts w:hint="eastAsia" w:ascii="宋体" w:hAnsi="宋体"/>
          <w:sz w:val="24"/>
        </w:rPr>
        <w:t>（5）对本项目总体要求的理解；</w:t>
      </w:r>
    </w:p>
    <w:p>
      <w:pPr>
        <w:snapToGrid w:val="0"/>
        <w:spacing w:line="360" w:lineRule="auto"/>
        <w:ind w:firstLine="352" w:firstLineChars="147"/>
        <w:jc w:val="left"/>
        <w:outlineLvl w:val="0"/>
        <w:rPr>
          <w:rFonts w:ascii="宋体" w:hAnsi="宋体"/>
          <w:sz w:val="24"/>
        </w:rPr>
      </w:pPr>
      <w:r>
        <w:rPr>
          <w:rFonts w:hint="eastAsia" w:ascii="宋体" w:hAnsi="宋体"/>
          <w:sz w:val="24"/>
        </w:rPr>
        <w:t>（6）所有资质文件（复印件）；</w:t>
      </w:r>
    </w:p>
    <w:p>
      <w:pPr>
        <w:snapToGrid w:val="0"/>
        <w:spacing w:line="360" w:lineRule="auto"/>
        <w:ind w:firstLine="352" w:firstLineChars="147"/>
        <w:jc w:val="left"/>
        <w:outlineLvl w:val="0"/>
        <w:rPr>
          <w:rFonts w:ascii="宋体" w:hAnsi="宋体"/>
          <w:sz w:val="24"/>
        </w:rPr>
      </w:pPr>
      <w:r>
        <w:rPr>
          <w:rFonts w:hint="eastAsia" w:ascii="宋体" w:hAnsi="宋体"/>
          <w:sz w:val="24"/>
        </w:rPr>
        <w:t>（7）投标单位拥有主要装备和设备的情况和现状；</w:t>
      </w:r>
    </w:p>
    <w:p>
      <w:pPr>
        <w:snapToGrid w:val="0"/>
        <w:spacing w:line="360" w:lineRule="auto"/>
        <w:ind w:firstLine="352" w:firstLineChars="147"/>
        <w:jc w:val="left"/>
        <w:outlineLvl w:val="0"/>
        <w:rPr>
          <w:rFonts w:ascii="宋体" w:hAnsi="宋体"/>
          <w:sz w:val="24"/>
        </w:rPr>
      </w:pPr>
      <w:r>
        <w:rPr>
          <w:rFonts w:hint="eastAsia" w:ascii="宋体" w:hAnsi="宋体"/>
          <w:sz w:val="24"/>
        </w:rPr>
        <w:t>（8）投标单位现有经营场所、服务机构等情况资料；</w:t>
      </w:r>
    </w:p>
    <w:p>
      <w:pPr>
        <w:snapToGrid w:val="0"/>
        <w:spacing w:line="360" w:lineRule="auto"/>
        <w:ind w:firstLine="352" w:firstLineChars="147"/>
        <w:jc w:val="left"/>
        <w:outlineLvl w:val="0"/>
        <w:rPr>
          <w:rFonts w:ascii="宋体" w:hAnsi="宋体"/>
          <w:sz w:val="24"/>
        </w:rPr>
      </w:pPr>
      <w:r>
        <w:rPr>
          <w:rFonts w:hint="eastAsia" w:ascii="宋体" w:hAnsi="宋体"/>
          <w:sz w:val="24"/>
        </w:rPr>
        <w:t>（9）针对本项目的具体情况实施方案、服务承诺和措施；</w:t>
      </w:r>
    </w:p>
    <w:p>
      <w:pPr>
        <w:snapToGrid w:val="0"/>
        <w:spacing w:line="360" w:lineRule="auto"/>
        <w:ind w:firstLine="352" w:firstLineChars="147"/>
        <w:jc w:val="left"/>
        <w:outlineLvl w:val="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0）专用工具、设备一览表（须列出整个租赁服务过程中所需使用的所有专用工具、设备等）；</w:t>
      </w:r>
    </w:p>
    <w:p>
      <w:pPr>
        <w:snapToGrid w:val="0"/>
        <w:spacing w:line="360" w:lineRule="auto"/>
        <w:ind w:firstLine="352" w:firstLineChars="147"/>
        <w:jc w:val="left"/>
        <w:outlineLvl w:val="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1）优惠条件及特殊承诺；</w:t>
      </w:r>
    </w:p>
    <w:p>
      <w:pPr>
        <w:snapToGrid w:val="0"/>
        <w:spacing w:line="360" w:lineRule="auto"/>
        <w:ind w:firstLine="352" w:firstLineChars="147"/>
        <w:jc w:val="left"/>
        <w:outlineLvl w:val="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2）投标人需要说明的其他文件等。</w:t>
      </w:r>
    </w:p>
    <w:p>
      <w:pPr>
        <w:snapToGrid w:val="0"/>
        <w:spacing w:line="360" w:lineRule="auto"/>
        <w:ind w:firstLine="354" w:firstLineChars="147"/>
        <w:jc w:val="left"/>
        <w:outlineLvl w:val="0"/>
        <w:rPr>
          <w:rFonts w:ascii="宋体" w:hAnsi="宋体"/>
          <w:b/>
          <w:sz w:val="24"/>
        </w:rPr>
      </w:pPr>
      <w:r>
        <w:rPr>
          <w:rFonts w:ascii="宋体" w:hAnsi="宋体"/>
          <w:b/>
          <w:sz w:val="24"/>
        </w:rPr>
        <w:t>2.</w:t>
      </w:r>
      <w:r>
        <w:rPr>
          <w:rFonts w:hint="eastAsia" w:ascii="宋体" w:hAnsi="宋体"/>
          <w:b/>
          <w:sz w:val="24"/>
        </w:rPr>
        <w:t>报价文件：</w:t>
      </w:r>
    </w:p>
    <w:p>
      <w:pPr>
        <w:snapToGrid w:val="0"/>
        <w:spacing w:line="360" w:lineRule="auto"/>
        <w:ind w:firstLine="352" w:firstLineChars="147"/>
        <w:jc w:val="left"/>
        <w:outlineLvl w:val="0"/>
        <w:rPr>
          <w:rFonts w:ascii="宋体" w:hAnsi="宋体"/>
          <w:b/>
          <w:sz w:val="24"/>
        </w:rPr>
      </w:pPr>
      <w:r>
        <w:rPr>
          <w:rFonts w:hint="eastAsia" w:ascii="宋体" w:hAnsi="宋体"/>
          <w:sz w:val="24"/>
        </w:rPr>
        <w:t>（</w:t>
      </w:r>
      <w:r>
        <w:rPr>
          <w:rFonts w:ascii="宋体" w:hAnsi="宋体"/>
          <w:sz w:val="24"/>
        </w:rPr>
        <w:t>1</w:t>
      </w:r>
      <w:r>
        <w:rPr>
          <w:rFonts w:hint="eastAsia" w:ascii="宋体" w:hAnsi="宋体"/>
          <w:sz w:val="24"/>
        </w:rPr>
        <w:t>）投标函（格式见附件）。</w:t>
      </w:r>
      <w:r>
        <w:rPr>
          <w:rFonts w:ascii="宋体" w:hAnsi="宋体"/>
          <w:sz w:val="24"/>
        </w:rPr>
        <w:t xml:space="preserve"> </w:t>
      </w:r>
    </w:p>
    <w:p>
      <w:pPr>
        <w:snapToGrid w:val="0"/>
        <w:spacing w:line="360" w:lineRule="auto"/>
        <w:ind w:firstLine="352" w:firstLineChars="147"/>
        <w:jc w:val="left"/>
        <w:outlineLvl w:val="0"/>
        <w:rPr>
          <w:rFonts w:ascii="宋体" w:hAnsi="宋体"/>
          <w:b/>
          <w:sz w:val="24"/>
        </w:rPr>
      </w:pPr>
      <w:r>
        <w:rPr>
          <w:rFonts w:hint="eastAsia" w:ascii="宋体" w:hAnsi="宋体"/>
          <w:sz w:val="24"/>
        </w:rPr>
        <w:t>（</w:t>
      </w:r>
      <w:r>
        <w:rPr>
          <w:rFonts w:ascii="宋体" w:hAnsi="宋体"/>
          <w:sz w:val="24"/>
        </w:rPr>
        <w:t>2</w:t>
      </w:r>
      <w:r>
        <w:rPr>
          <w:rFonts w:hint="eastAsia" w:ascii="宋体" w:hAnsi="宋体"/>
          <w:sz w:val="24"/>
        </w:rPr>
        <w:t>）开标一览表（格式见附件）。</w:t>
      </w:r>
    </w:p>
    <w:p>
      <w:pPr>
        <w:snapToGrid w:val="0"/>
        <w:spacing w:line="360" w:lineRule="auto"/>
        <w:ind w:firstLine="352" w:firstLineChars="147"/>
        <w:jc w:val="left"/>
        <w:outlineLvl w:val="0"/>
        <w:rPr>
          <w:rFonts w:ascii="宋体" w:hAnsi="宋体"/>
          <w:b/>
          <w:sz w:val="24"/>
        </w:rPr>
      </w:pPr>
      <w:r>
        <w:rPr>
          <w:rFonts w:hint="eastAsia" w:ascii="宋体" w:hAnsi="宋体"/>
          <w:sz w:val="24"/>
        </w:rPr>
        <w:t>（</w:t>
      </w:r>
      <w:r>
        <w:rPr>
          <w:rFonts w:ascii="宋体" w:hAnsi="宋体"/>
          <w:sz w:val="24"/>
        </w:rPr>
        <w:t>3</w:t>
      </w:r>
      <w:r>
        <w:rPr>
          <w:rFonts w:hint="eastAsia" w:ascii="宋体" w:hAnsi="宋体"/>
          <w:sz w:val="24"/>
        </w:rPr>
        <w:t>）投标人需要说明的其他文件和说明（格式略）。</w:t>
      </w:r>
    </w:p>
    <w:p>
      <w:pPr>
        <w:snapToGrid w:val="0"/>
        <w:spacing w:line="360" w:lineRule="auto"/>
        <w:ind w:firstLine="354" w:firstLineChars="147"/>
        <w:jc w:val="left"/>
        <w:outlineLvl w:val="0"/>
        <w:rPr>
          <w:rFonts w:hint="eastAsia" w:ascii="宋体" w:hAnsi="宋体"/>
          <w:b/>
          <w:sz w:val="24"/>
        </w:rPr>
      </w:pPr>
      <w:r>
        <w:rPr>
          <w:rFonts w:hint="eastAsia" w:ascii="宋体" w:hAnsi="宋体"/>
          <w:b/>
          <w:sz w:val="24"/>
        </w:rPr>
        <w:t>注：供应商在磋商截止时间前必须提供合格供应商资格证明文件原件（1.营业执照、税务登记证原件；2.供应商认为需要提供的其他资料。）提供不全或无效的将以无效标处理。供应商须将合格供应商资格证明文件原件另外单独包装。</w:t>
      </w:r>
    </w:p>
    <w:p>
      <w:pPr>
        <w:snapToGrid w:val="0"/>
        <w:spacing w:line="360" w:lineRule="auto"/>
        <w:ind w:firstLine="354" w:firstLineChars="147"/>
        <w:jc w:val="left"/>
        <w:outlineLvl w:val="0"/>
        <w:rPr>
          <w:rFonts w:hint="eastAsia" w:ascii="宋体" w:hAnsi="宋体"/>
          <w:b/>
          <w:sz w:val="24"/>
        </w:rPr>
      </w:pPr>
      <w:r>
        <w:rPr>
          <w:rFonts w:hint="eastAsia" w:ascii="宋体" w:hAnsi="宋体"/>
          <w:b/>
          <w:sz w:val="24"/>
        </w:rPr>
        <w:t>供应商为浙江省政府采购网、桐庐县公共资源招投标上正式注册供应商的，可不提供营业执照、税务登记证原件。</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（二）响应文件的语言及计量</w:t>
      </w:r>
      <w:bookmarkEnd w:id="29"/>
      <w:bookmarkEnd w:id="30"/>
      <w:bookmarkEnd w:id="31"/>
      <w:bookmarkEnd w:id="32"/>
    </w:p>
    <w:p>
      <w:pPr>
        <w:snapToGrid w:val="0"/>
        <w:spacing w:line="360" w:lineRule="auto"/>
        <w:ind w:firstLine="480" w:firstLineChars="200"/>
        <w:jc w:val="left"/>
        <w:rPr>
          <w:rFonts w:ascii="宋体" w:hAnsi="宋体"/>
          <w:color w:val="000000"/>
          <w:sz w:val="24"/>
        </w:rPr>
      </w:pPr>
      <w:r>
        <w:rPr>
          <w:rFonts w:hint="eastAsia" w:ascii="宋体" w:hAnsi="宋体"/>
          <w:sz w:val="24"/>
        </w:rPr>
        <w:t>★</w:t>
      </w:r>
      <w:r>
        <w:rPr>
          <w:rFonts w:hint="eastAsia" w:ascii="宋体" w:hAnsi="宋体"/>
          <w:color w:val="000000"/>
          <w:sz w:val="24"/>
        </w:rPr>
        <w:t>1响应文件以及供应商与采购机构就有关磋商事宜的所有来往函电，均应以中文汉语书写。除签名、盖章、专用名称等特殊情形外，以中文汉语以外的文字表述的响应文件视同未提供。</w:t>
      </w:r>
    </w:p>
    <w:p>
      <w:pPr>
        <w:snapToGrid w:val="0"/>
        <w:spacing w:line="360" w:lineRule="auto"/>
        <w:ind w:firstLine="480" w:firstLineChars="200"/>
        <w:jc w:val="left"/>
        <w:rPr>
          <w:rFonts w:ascii="宋体" w:hAnsi="宋体"/>
          <w:color w:val="000000"/>
          <w:sz w:val="24"/>
        </w:rPr>
      </w:pPr>
      <w:r>
        <w:rPr>
          <w:rFonts w:hint="eastAsia" w:ascii="宋体" w:hAnsi="宋体"/>
          <w:sz w:val="24"/>
        </w:rPr>
        <w:t>★</w:t>
      </w:r>
      <w:r>
        <w:rPr>
          <w:rFonts w:hint="eastAsia" w:ascii="宋体" w:hAnsi="宋体"/>
          <w:color w:val="000000"/>
          <w:sz w:val="24"/>
        </w:rPr>
        <w:t>2磋商计量单位，磋商文件已有明确规定的，使用磋商文件规定的计量单位；磋商文件没有规定的，应采用中华人民共和国法定计量单位（货币单位：人民币元），否则视同未响应。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354" w:firstLineChars="147"/>
        <w:jc w:val="left"/>
        <w:outlineLvl w:val="0"/>
        <w:rPr>
          <w:rFonts w:ascii="宋体" w:hAnsi="宋体"/>
          <w:b/>
          <w:color w:val="000000"/>
          <w:sz w:val="24"/>
        </w:rPr>
      </w:pPr>
      <w:bookmarkStart w:id="33" w:name="_Toc177825126"/>
      <w:bookmarkStart w:id="34" w:name="_Toc177824878"/>
      <w:bookmarkStart w:id="35" w:name="_Toc177870548"/>
      <w:bookmarkStart w:id="36" w:name="_Toc177824945"/>
      <w:r>
        <w:rPr>
          <w:rFonts w:hint="eastAsia" w:ascii="宋体" w:hAnsi="宋体"/>
          <w:b/>
          <w:color w:val="000000"/>
          <w:sz w:val="24"/>
        </w:rPr>
        <w:t>（三）报价</w:t>
      </w:r>
      <w:bookmarkEnd w:id="33"/>
      <w:bookmarkEnd w:id="34"/>
      <w:bookmarkEnd w:id="35"/>
      <w:bookmarkEnd w:id="36"/>
    </w:p>
    <w:p>
      <w:pPr>
        <w:pStyle w:val="18"/>
        <w:snapToGrid w:val="0"/>
        <w:spacing w:line="360" w:lineRule="auto"/>
        <w:ind w:firstLine="480" w:firstLineChars="200"/>
        <w:jc w:val="left"/>
        <w:rPr>
          <w:rFonts w:hAnsi="宋体"/>
          <w:color w:val="000000"/>
          <w:sz w:val="24"/>
          <w:szCs w:val="24"/>
        </w:rPr>
      </w:pPr>
      <w:r>
        <w:rPr>
          <w:rFonts w:hint="eastAsia" w:hAnsi="宋体"/>
          <w:color w:val="000000"/>
          <w:sz w:val="24"/>
          <w:szCs w:val="24"/>
        </w:rPr>
        <w:t>1.报价应按磋商文件中相关附表格式填写。</w:t>
      </w:r>
    </w:p>
    <w:p>
      <w:pPr>
        <w:pStyle w:val="18"/>
        <w:snapToGrid w:val="0"/>
        <w:spacing w:line="360" w:lineRule="auto"/>
        <w:ind w:firstLine="480" w:firstLineChars="200"/>
        <w:jc w:val="left"/>
        <w:rPr>
          <w:rFonts w:hAnsi="宋体"/>
          <w:color w:val="000000"/>
          <w:sz w:val="24"/>
          <w:szCs w:val="24"/>
        </w:rPr>
      </w:pPr>
      <w:r>
        <w:rPr>
          <w:rFonts w:hint="eastAsia" w:hAnsi="宋体"/>
          <w:sz w:val="24"/>
          <w:szCs w:val="24"/>
        </w:rPr>
        <w:t>★</w:t>
      </w:r>
      <w:r>
        <w:rPr>
          <w:rFonts w:hint="eastAsia" w:hAnsi="宋体"/>
          <w:color w:val="000000"/>
          <w:sz w:val="24"/>
          <w:szCs w:val="24"/>
        </w:rPr>
        <w:t>2.报价是履行合同的最终价格，应包括人员工资、材料、标准附件、备品备件、专用工具、运输、装卸、保险、税金、培训、保修等一切费用和税金。</w:t>
      </w:r>
    </w:p>
    <w:p>
      <w:pPr>
        <w:numPr>
          <w:ilvl w:val="0"/>
          <w:numId w:val="5"/>
        </w:num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响应文件的有效期</w:t>
      </w:r>
    </w:p>
    <w:p>
      <w:pPr>
        <w:snapToGrid w:val="0"/>
        <w:spacing w:line="360" w:lineRule="auto"/>
        <w:jc w:val="left"/>
        <w:outlineLvl w:val="0"/>
        <w:rPr>
          <w:rFonts w:ascii="宋体" w:hAnsi="宋体"/>
          <w:color w:val="000000"/>
          <w:sz w:val="24"/>
        </w:rPr>
      </w:pPr>
      <w:r>
        <w:rPr>
          <w:rFonts w:hint="eastAsia" w:ascii="宋体" w:hAnsi="宋体"/>
          <w:sz w:val="24"/>
        </w:rPr>
        <w:t xml:space="preserve">    </w:t>
      </w:r>
      <w:r>
        <w:rPr>
          <w:rFonts w:hint="eastAsia" w:ascii="宋体" w:hAnsi="宋体"/>
          <w:color w:val="000000"/>
          <w:sz w:val="24"/>
        </w:rPr>
        <w:t xml:space="preserve"> ★1.自磋商截止日起90天响应文件应保持有效。有效期短于这个规定期限的磋商将被拒绝。</w:t>
      </w:r>
    </w:p>
    <w:p>
      <w:pPr>
        <w:snapToGrid w:val="0"/>
        <w:spacing w:line="360" w:lineRule="auto"/>
        <w:jc w:val="left"/>
        <w:outlineLvl w:val="0"/>
        <w:rPr>
          <w:rFonts w:ascii="宋体" w:hAnsi="宋体"/>
          <w:color w:val="000000"/>
          <w:sz w:val="24"/>
        </w:rPr>
      </w:pPr>
      <w:r>
        <w:rPr>
          <w:rFonts w:hint="eastAsia" w:ascii="宋体" w:hAnsi="宋体"/>
          <w:color w:val="000000"/>
          <w:sz w:val="24"/>
        </w:rPr>
        <w:t xml:space="preserve">     2.在特殊情况下，采购机构可与供应商协商延长响应文件的有效期，这种要求和答复均以书面形式进行。</w:t>
      </w:r>
    </w:p>
    <w:p>
      <w:pPr>
        <w:snapToGrid w:val="0"/>
        <w:spacing w:line="360" w:lineRule="auto"/>
        <w:ind w:firstLine="480" w:firstLineChars="200"/>
        <w:jc w:val="left"/>
        <w:outlineLvl w:val="0"/>
        <w:rPr>
          <w:rFonts w:ascii="宋体" w:hAnsi="宋体"/>
          <w:b/>
          <w:color w:val="000000"/>
          <w:sz w:val="24"/>
        </w:rPr>
      </w:pPr>
      <w:bookmarkStart w:id="37" w:name="_Toc177870549"/>
      <w:bookmarkStart w:id="38" w:name="_Toc177825127"/>
      <w:bookmarkStart w:id="39" w:name="_Toc177824946"/>
      <w:bookmarkStart w:id="40" w:name="_Toc177824879"/>
      <w:r>
        <w:rPr>
          <w:rFonts w:hint="eastAsia" w:ascii="宋体" w:hAnsi="宋体"/>
          <w:color w:val="000000"/>
          <w:sz w:val="24"/>
        </w:rPr>
        <w:t>3.供应商可拒绝接受延期要求而不会导致保证金被没收。同意延长有效期的供应商需要相应延长磋商保证金的有效期，但不能修改响应文件。</w:t>
      </w:r>
      <w:bookmarkEnd w:id="37"/>
      <w:bookmarkEnd w:id="38"/>
      <w:bookmarkEnd w:id="39"/>
      <w:bookmarkEnd w:id="40"/>
      <w:r>
        <w:rPr>
          <w:rFonts w:hint="eastAsia" w:ascii="宋体" w:hAnsi="宋体"/>
          <w:b/>
          <w:color w:val="000000"/>
          <w:sz w:val="24"/>
        </w:rPr>
        <w:t xml:space="preserve"> </w:t>
      </w:r>
    </w:p>
    <w:p>
      <w:pPr>
        <w:snapToGrid w:val="0"/>
        <w:spacing w:line="360" w:lineRule="auto"/>
        <w:ind w:firstLine="480" w:firstLineChars="200"/>
        <w:jc w:val="left"/>
        <w:outlineLvl w:val="0"/>
        <w:rPr>
          <w:rFonts w:ascii="宋体" w:hAnsi="宋体"/>
          <w:color w:val="000000"/>
          <w:sz w:val="24"/>
        </w:rPr>
      </w:pPr>
      <w:r>
        <w:rPr>
          <w:rFonts w:hint="eastAsia" w:ascii="宋体" w:hAnsi="宋体"/>
          <w:color w:val="000000"/>
          <w:sz w:val="24"/>
        </w:rPr>
        <w:t>4.成交人的响应文件自磋商之日起至合同履行完毕止均应保持有效。</w:t>
      </w:r>
    </w:p>
    <w:p>
      <w:pPr>
        <w:snapToGrid w:val="0"/>
        <w:spacing w:line="360" w:lineRule="auto"/>
        <w:ind w:firstLine="482" w:firstLineChars="200"/>
        <w:jc w:val="left"/>
        <w:outlineLvl w:val="0"/>
        <w:rPr>
          <w:rFonts w:ascii="宋体" w:hAnsi="宋体"/>
          <w:b/>
          <w:color w:val="000000"/>
          <w:sz w:val="24"/>
        </w:rPr>
      </w:pPr>
      <w:bookmarkStart w:id="41" w:name="_Toc177870550"/>
      <w:bookmarkStart w:id="42" w:name="_Toc177825128"/>
      <w:bookmarkStart w:id="43" w:name="_Toc177824947"/>
      <w:bookmarkStart w:id="44" w:name="_Toc177824880"/>
      <w:r>
        <w:rPr>
          <w:rFonts w:hint="eastAsia" w:ascii="宋体" w:hAnsi="宋体"/>
          <w:b/>
          <w:color w:val="000000"/>
          <w:sz w:val="24"/>
        </w:rPr>
        <w:t>（五）磋商保证金</w:t>
      </w:r>
      <w:bookmarkEnd w:id="41"/>
      <w:bookmarkEnd w:id="42"/>
      <w:bookmarkEnd w:id="43"/>
      <w:bookmarkEnd w:id="44"/>
    </w:p>
    <w:p>
      <w:pPr>
        <w:snapToGrid w:val="0"/>
        <w:spacing w:line="300" w:lineRule="auto"/>
        <w:ind w:firstLine="436" w:firstLineChars="182"/>
        <w:rPr>
          <w:rFonts w:hint="eastAsia" w:ascii="宋体" w:hAnsi="宋体"/>
          <w:sz w:val="24"/>
        </w:rPr>
      </w:pPr>
      <w:bookmarkStart w:id="45" w:name="_Toc177870551"/>
      <w:bookmarkStart w:id="46" w:name="_Toc177824881"/>
      <w:bookmarkStart w:id="47" w:name="_Toc177824948"/>
      <w:bookmarkStart w:id="48" w:name="_Toc177825129"/>
      <w:r>
        <w:rPr>
          <w:rFonts w:hint="eastAsia" w:hAnsi="宋体"/>
          <w:sz w:val="24"/>
        </w:rPr>
        <w:t>本项目无需缴纳磋商保证金</w:t>
      </w:r>
      <w:r>
        <w:rPr>
          <w:rFonts w:hint="eastAsia" w:ascii="宋体" w:hAnsi="宋体"/>
          <w:sz w:val="24"/>
        </w:rPr>
        <w:t>。</w:t>
      </w:r>
    </w:p>
    <w:p>
      <w:pPr>
        <w:snapToGrid w:val="0"/>
        <w:spacing w:line="360" w:lineRule="auto"/>
        <w:ind w:firstLine="318" w:firstLineChars="132"/>
        <w:jc w:val="left"/>
        <w:outlineLvl w:val="0"/>
        <w:rPr>
          <w:rFonts w:ascii="宋体" w:hAnsi="宋体"/>
          <w:b/>
          <w:color w:val="000000"/>
          <w:sz w:val="24"/>
        </w:rPr>
      </w:pPr>
      <w:r>
        <w:rPr>
          <w:rFonts w:hint="eastAsia" w:ascii="宋体" w:hAnsi="宋体"/>
          <w:b/>
          <w:color w:val="000000"/>
          <w:sz w:val="24"/>
        </w:rPr>
        <w:t>（六）磋商响应文件的签署和份数</w:t>
      </w:r>
      <w:bookmarkEnd w:id="45"/>
      <w:bookmarkEnd w:id="46"/>
      <w:bookmarkEnd w:id="47"/>
      <w:bookmarkEnd w:id="48"/>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1.供应商应按本磋商文件规定的格式编制、装订响应文件，响应文件内容不完整、编排混乱导致响应文件被误读、漏读或者查找不到相关内容的，是供应商的责任。</w:t>
      </w:r>
    </w:p>
    <w:p>
      <w:pPr>
        <w:snapToGrid w:val="0"/>
        <w:spacing w:line="360" w:lineRule="auto"/>
        <w:ind w:firstLine="319" w:firstLineChars="133"/>
        <w:jc w:val="left"/>
        <w:rPr>
          <w:rFonts w:ascii="宋体" w:hAnsi="宋体"/>
          <w:b/>
          <w:sz w:val="24"/>
        </w:rPr>
      </w:pPr>
      <w:r>
        <w:rPr>
          <w:rFonts w:hint="eastAsia" w:ascii="宋体" w:hAnsi="宋体"/>
          <w:color w:val="000000"/>
          <w:sz w:val="24"/>
        </w:rPr>
        <w:t>2.供应商应按</w:t>
      </w:r>
      <w:r>
        <w:rPr>
          <w:rFonts w:hint="eastAsia" w:ascii="宋体" w:hAnsi="宋体"/>
          <w:b/>
          <w:bCs/>
          <w:sz w:val="24"/>
        </w:rPr>
        <w:t>技术资信文件、报价文件</w:t>
      </w:r>
      <w:r>
        <w:rPr>
          <w:rFonts w:ascii="宋体" w:hAnsi="宋体"/>
          <w:sz w:val="24"/>
        </w:rPr>
        <w:t>正本</w:t>
      </w:r>
      <w:r>
        <w:rPr>
          <w:rFonts w:hint="eastAsia" w:ascii="宋体" w:hAnsi="宋体"/>
          <w:sz w:val="24"/>
        </w:rPr>
        <w:t>各1</w:t>
      </w:r>
      <w:r>
        <w:rPr>
          <w:rFonts w:ascii="宋体" w:hAnsi="宋体"/>
          <w:sz w:val="24"/>
        </w:rPr>
        <w:t>份</w:t>
      </w:r>
      <w:r>
        <w:rPr>
          <w:rFonts w:hint="eastAsia" w:ascii="宋体" w:hAnsi="宋体"/>
          <w:sz w:val="24"/>
        </w:rPr>
        <w:t>，</w:t>
      </w:r>
      <w:r>
        <w:rPr>
          <w:rFonts w:ascii="宋体" w:hAnsi="宋体"/>
          <w:sz w:val="24"/>
        </w:rPr>
        <w:t>副本</w:t>
      </w:r>
      <w:r>
        <w:rPr>
          <w:rFonts w:hint="eastAsia" w:ascii="宋体" w:hAnsi="宋体"/>
          <w:sz w:val="24"/>
        </w:rPr>
        <w:t>各</w:t>
      </w:r>
      <w:r>
        <w:rPr>
          <w:rFonts w:hint="eastAsia" w:ascii="宋体" w:hAnsi="宋体"/>
          <w:sz w:val="24"/>
          <w:u w:val="single"/>
        </w:rPr>
        <w:t>2</w:t>
      </w:r>
      <w:r>
        <w:rPr>
          <w:rFonts w:hint="eastAsia" w:ascii="宋体" w:hAnsi="宋体"/>
          <w:color w:val="000000"/>
          <w:sz w:val="24"/>
        </w:rPr>
        <w:t>份</w:t>
      </w:r>
      <w:r>
        <w:rPr>
          <w:rFonts w:hint="eastAsia" w:ascii="宋体" w:hAnsi="宋体"/>
          <w:sz w:val="24"/>
        </w:rPr>
        <w:t>分别编制并</w:t>
      </w:r>
      <w:r>
        <w:rPr>
          <w:rFonts w:hint="eastAsia" w:ascii="宋体" w:hAnsi="宋体"/>
          <w:color w:val="000000"/>
          <w:sz w:val="24"/>
        </w:rPr>
        <w:t>单独装订成册，响应文件的封面应注明“正本”、“副本”字样。</w:t>
      </w:r>
      <w:r>
        <w:rPr>
          <w:rFonts w:hint="eastAsia" w:ascii="宋体" w:hAnsi="宋体"/>
          <w:b/>
          <w:color w:val="000000"/>
          <w:sz w:val="24"/>
        </w:rPr>
        <w:t>推荐使用胶装订本，活页装订（是指用卡条、抽杆夹、订书机等形式装订，使标书可以拆卸或者在翻动过程中易脱落的一种装订方式）的响应文件按无效标处理。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3.响应文件的正本需打印或用不褪色的墨水填写。正本与副本内容不一致的，以正本为准。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4.响应文件须由供应商在规定位置盖章并由法定代表人或其委托代理人签署，供应商应写全称。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5.响应文件不得涂改，若有修改错漏处，须加盖单位公章或者法定代表人或其委托代理人签字或盖章。响应文件因字迹潦草或表达不清所引起的后果由供应商负责。</w:t>
      </w:r>
    </w:p>
    <w:p>
      <w:pPr>
        <w:snapToGrid w:val="0"/>
        <w:spacing w:line="360" w:lineRule="auto"/>
        <w:ind w:firstLine="318" w:firstLineChars="132"/>
        <w:jc w:val="left"/>
        <w:rPr>
          <w:rFonts w:ascii="宋体" w:hAnsi="宋体"/>
          <w:b/>
          <w:sz w:val="24"/>
        </w:rPr>
      </w:pPr>
      <w:r>
        <w:rPr>
          <w:rFonts w:hint="eastAsia" w:ascii="宋体" w:hAnsi="宋体"/>
          <w:b/>
          <w:sz w:val="24"/>
        </w:rPr>
        <w:t>（七）磋商响应文件的包装、递交、修改和撤回</w:t>
      </w:r>
    </w:p>
    <w:p>
      <w:pPr>
        <w:pStyle w:val="5"/>
        <w:snapToGrid w:val="0"/>
        <w:spacing w:line="360" w:lineRule="auto"/>
        <w:ind w:firstLine="434" w:firstLineChars="181"/>
        <w:rPr>
          <w:rFonts w:hint="eastAsia" w:ascii="宋体" w:hAnsi="宋体"/>
          <w:sz w:val="24"/>
        </w:rPr>
      </w:pPr>
      <w:bookmarkStart w:id="49" w:name="_Toc177870552"/>
      <w:r>
        <w:rPr>
          <w:rFonts w:hint="eastAsia" w:ascii="宋体" w:hAnsi="宋体"/>
          <w:sz w:val="24"/>
        </w:rPr>
        <w:t>1.供应商应按</w:t>
      </w:r>
      <w:r>
        <w:rPr>
          <w:rFonts w:hint="eastAsia" w:ascii="宋体" w:hAnsi="宋体"/>
          <w:b/>
          <w:sz w:val="24"/>
        </w:rPr>
        <w:t>技术资信文件、报价文件</w:t>
      </w:r>
      <w:r>
        <w:rPr>
          <w:rFonts w:hint="eastAsia" w:ascii="宋体" w:hAnsi="宋体"/>
          <w:sz w:val="24"/>
        </w:rPr>
        <w:t>二部分分别密封封装响应文件，[参照《</w:t>
      </w:r>
      <w:r>
        <w:rPr>
          <w:rFonts w:ascii="宋体" w:hAnsi="宋体"/>
          <w:b/>
          <w:sz w:val="24"/>
        </w:rPr>
        <w:t>响应文件</w:t>
      </w:r>
      <w:r>
        <w:rPr>
          <w:rFonts w:hint="eastAsia" w:ascii="宋体" w:hAnsi="宋体"/>
          <w:b/>
          <w:sz w:val="24"/>
        </w:rPr>
        <w:t>外层包装</w:t>
      </w:r>
      <w:r>
        <w:rPr>
          <w:rFonts w:ascii="宋体" w:hAnsi="宋体"/>
          <w:b/>
          <w:sz w:val="24"/>
        </w:rPr>
        <w:t>封面格式</w:t>
      </w:r>
      <w:r>
        <w:rPr>
          <w:rFonts w:hint="eastAsia" w:ascii="宋体" w:hAnsi="宋体"/>
          <w:b/>
          <w:sz w:val="24"/>
        </w:rPr>
        <w:t>》</w:t>
      </w:r>
      <w:r>
        <w:rPr>
          <w:rFonts w:hint="eastAsia" w:ascii="宋体" w:hAnsi="宋体"/>
          <w:sz w:val="24"/>
        </w:rPr>
        <w:t>（见附件）的要求]在包装封面上注明供应商名称、</w:t>
      </w:r>
      <w:r>
        <w:rPr>
          <w:rFonts w:ascii="宋体" w:hAnsi="宋体"/>
          <w:sz w:val="24"/>
        </w:rPr>
        <w:t>供应商地址</w:t>
      </w:r>
      <w:r>
        <w:rPr>
          <w:rFonts w:hint="eastAsia" w:ascii="宋体" w:hAnsi="宋体"/>
          <w:sz w:val="24"/>
        </w:rPr>
        <w:t>、响应文件名称（技术资信文件、报价文件等）、投标项目名称、项目编号等内容，并加盖供应商公章。</w:t>
      </w:r>
    </w:p>
    <w:p>
      <w:pPr>
        <w:pStyle w:val="5"/>
        <w:snapToGrid w:val="0"/>
        <w:spacing w:line="360" w:lineRule="auto"/>
        <w:ind w:firstLine="434" w:firstLineChars="181"/>
        <w:rPr>
          <w:rFonts w:hint="eastAsia" w:ascii="宋体" w:hAnsi="宋体"/>
          <w:bCs/>
          <w:sz w:val="24"/>
        </w:rPr>
      </w:pPr>
      <w:r>
        <w:rPr>
          <w:rFonts w:hint="eastAsia" w:ascii="宋体" w:hAnsi="宋体"/>
          <w:sz w:val="24"/>
        </w:rPr>
        <w:t>2.</w:t>
      </w:r>
      <w:r>
        <w:rPr>
          <w:rFonts w:hint="eastAsia" w:ascii="宋体" w:hAnsi="宋体"/>
          <w:bCs/>
          <w:sz w:val="24"/>
        </w:rPr>
        <w:t>未按规定密封或标记的响应文件将有可能被拒绝，由此造成响应文件被误投或提前拆封的风险由供应商承担。</w:t>
      </w:r>
    </w:p>
    <w:p>
      <w:pPr>
        <w:pStyle w:val="5"/>
        <w:snapToGrid w:val="0"/>
        <w:spacing w:line="360" w:lineRule="auto"/>
        <w:ind w:firstLine="434" w:firstLineChars="181"/>
        <w:rPr>
          <w:rFonts w:hint="eastAsia" w:ascii="宋体" w:hAnsi="宋体"/>
          <w:bCs/>
          <w:sz w:val="24"/>
        </w:rPr>
      </w:pPr>
      <w:r>
        <w:rPr>
          <w:rFonts w:hint="eastAsia" w:ascii="宋体" w:hAnsi="宋体"/>
          <w:sz w:val="24"/>
        </w:rPr>
        <w:t>3.</w:t>
      </w:r>
      <w:r>
        <w:rPr>
          <w:rFonts w:hint="eastAsia" w:ascii="宋体" w:hAnsi="宋体"/>
          <w:bCs/>
          <w:sz w:val="24"/>
        </w:rPr>
        <w:t>供应商在磋商截止时间之前，可以对已提交的响应文件进行修改或撤回，并书面通知采购人；磋商截止时间后，供应商不得撤回、修改响应文件。修改后重新递交的响应文件应当按本磋商文件的要求签署、盖章和密封。</w:t>
      </w:r>
    </w:p>
    <w:bookmarkEnd w:id="49"/>
    <w:p>
      <w:pPr>
        <w:pStyle w:val="34"/>
        <w:ind w:firstLine="354" w:firstLineChars="147"/>
        <w:jc w:val="both"/>
        <w:rPr>
          <w:rFonts w:hint="eastAsia"/>
          <w:szCs w:val="24"/>
        </w:rPr>
      </w:pPr>
      <w:bookmarkStart w:id="50" w:name="_Toc177870553"/>
      <w:r>
        <w:rPr>
          <w:rFonts w:hint="eastAsia"/>
          <w:szCs w:val="24"/>
        </w:rPr>
        <w:t>（八）磋商无效的情形</w:t>
      </w:r>
    </w:p>
    <w:p>
      <w:pPr>
        <w:snapToGrid w:val="0"/>
        <w:spacing w:line="360" w:lineRule="auto"/>
        <w:ind w:firstLine="480" w:firstLineChars="200"/>
        <w:rPr>
          <w:rFonts w:hint="eastAsia" w:ascii="仿宋_GB2312" w:hAnsi="宋体"/>
          <w:sz w:val="24"/>
        </w:rPr>
      </w:pPr>
      <w:r>
        <w:rPr>
          <w:rFonts w:hint="eastAsia" w:ascii="仿宋_GB2312" w:hAnsi="宋体"/>
          <w:sz w:val="24"/>
        </w:rPr>
        <w:t>实质上没有响应磋商文件要求的磋商将被视为无效。供应商不得通过修正或撤消不合要求的偏离或保留从而使其成为实质上响应，但经磋商小组认定属于供应商疏忽、笔误所造成的差错，应当允许其在磋商结束之前进行修改或者补正（可以是复印件、传真件等）。修改或者补正响应文件必须以书面形式进行，并应在成交结果公告之前查核原件。限期内不补正或经补正后仍不符合磋商文件要求的，应认定其投标无效。供应商修改、补正响应文件后，不影响磋商小组对其响应文件所作的评价和评分结果。</w:t>
      </w:r>
    </w:p>
    <w:p>
      <w:pPr>
        <w:spacing w:line="400" w:lineRule="exact"/>
        <w:ind w:firstLine="480" w:firstLineChars="200"/>
        <w:jc w:val="left"/>
        <w:rPr>
          <w:rFonts w:hint="eastAsia" w:ascii="仿宋_GB2312" w:hAnsi="宋体" w:eastAsia="仿宋_GB2312"/>
          <w:sz w:val="24"/>
        </w:rPr>
      </w:pPr>
      <w:r>
        <w:rPr>
          <w:rFonts w:hint="eastAsia" w:ascii="微软雅黑" w:hAnsi="微软雅黑" w:eastAsia="微软雅黑"/>
          <w:b/>
          <w:sz w:val="24"/>
        </w:rPr>
        <w:t>1.发生下列情况之一的响应文件被视为无效：</w:t>
      </w:r>
    </w:p>
    <w:p>
      <w:pPr>
        <w:autoSpaceDE w:val="0"/>
        <w:autoSpaceDN w:val="0"/>
        <w:adjustRightInd w:val="0"/>
        <w:spacing w:line="360" w:lineRule="auto"/>
        <w:ind w:firstLine="480"/>
        <w:rPr>
          <w:rFonts w:hAnsi="宋体"/>
          <w:snapToGrid w:val="0"/>
          <w:sz w:val="24"/>
        </w:rPr>
      </w:pPr>
      <w:r>
        <w:rPr>
          <w:rFonts w:hint="eastAsia" w:hAnsi="宋体"/>
          <w:snapToGrid w:val="0"/>
          <w:sz w:val="24"/>
        </w:rPr>
        <w:t>（1）响应文件超过磋商截止时间送达的或未按规定地点送达的；</w:t>
      </w:r>
    </w:p>
    <w:p>
      <w:pPr>
        <w:autoSpaceDE w:val="0"/>
        <w:autoSpaceDN w:val="0"/>
        <w:adjustRightInd w:val="0"/>
        <w:spacing w:line="360" w:lineRule="auto"/>
        <w:ind w:firstLine="480"/>
        <w:rPr>
          <w:rFonts w:hAnsi="宋体"/>
          <w:snapToGrid w:val="0"/>
          <w:sz w:val="24"/>
        </w:rPr>
      </w:pPr>
      <w:r>
        <w:rPr>
          <w:rFonts w:hint="eastAsia" w:hAnsi="宋体"/>
          <w:snapToGrid w:val="0"/>
          <w:sz w:val="24"/>
        </w:rPr>
        <w:t>（2）未按规定密封、签章、装订的；</w:t>
      </w:r>
    </w:p>
    <w:p>
      <w:pPr>
        <w:autoSpaceDE w:val="0"/>
        <w:autoSpaceDN w:val="0"/>
        <w:adjustRightInd w:val="0"/>
        <w:spacing w:line="360" w:lineRule="auto"/>
        <w:ind w:firstLine="480"/>
        <w:rPr>
          <w:rFonts w:hAnsi="宋体"/>
          <w:snapToGrid w:val="0"/>
          <w:sz w:val="24"/>
        </w:rPr>
      </w:pPr>
      <w:r>
        <w:rPr>
          <w:rFonts w:hint="eastAsia" w:hAnsi="宋体"/>
          <w:snapToGrid w:val="0"/>
          <w:sz w:val="24"/>
        </w:rPr>
        <w:t>（3）资格证明文件原件不全的，或者不符合磋商文件标明的资格要求的；</w:t>
      </w:r>
    </w:p>
    <w:p>
      <w:pPr>
        <w:autoSpaceDE w:val="0"/>
        <w:autoSpaceDN w:val="0"/>
        <w:adjustRightInd w:val="0"/>
        <w:spacing w:line="360" w:lineRule="auto"/>
        <w:ind w:firstLine="480"/>
        <w:rPr>
          <w:rFonts w:hAnsi="宋体"/>
          <w:snapToGrid w:val="0"/>
          <w:sz w:val="24"/>
        </w:rPr>
      </w:pPr>
      <w:r>
        <w:rPr>
          <w:rFonts w:hint="eastAsia" w:hAnsi="宋体"/>
          <w:snapToGrid w:val="0"/>
          <w:sz w:val="24"/>
        </w:rPr>
        <w:t>（4）响应文件无法定代表人或委托代理人签字</w:t>
      </w:r>
      <w:r>
        <w:rPr>
          <w:rFonts w:hAnsi="宋体"/>
          <w:snapToGrid w:val="0"/>
          <w:sz w:val="24"/>
        </w:rPr>
        <w:t>,</w:t>
      </w:r>
      <w:r>
        <w:rPr>
          <w:rFonts w:hint="eastAsia" w:hAnsi="宋体"/>
          <w:snapToGrid w:val="0"/>
          <w:sz w:val="24"/>
        </w:rPr>
        <w:t>委托代理的未提供法定代表人授权委托书或者委托书填写项目不齐全或者委托书无效的；</w:t>
      </w:r>
    </w:p>
    <w:p>
      <w:pPr>
        <w:autoSpaceDE w:val="0"/>
        <w:autoSpaceDN w:val="0"/>
        <w:adjustRightInd w:val="0"/>
        <w:spacing w:line="360" w:lineRule="auto"/>
        <w:ind w:firstLine="480"/>
        <w:rPr>
          <w:rFonts w:hAnsi="宋体"/>
          <w:snapToGrid w:val="0"/>
          <w:sz w:val="24"/>
        </w:rPr>
      </w:pPr>
      <w:r>
        <w:rPr>
          <w:rFonts w:hint="eastAsia" w:hAnsi="宋体"/>
          <w:snapToGrid w:val="0"/>
          <w:sz w:val="24"/>
        </w:rPr>
        <w:t>（5）供应商代表人未能出具身份证明或与法定代表人授权委托人身份不符的；</w:t>
      </w:r>
    </w:p>
    <w:p>
      <w:pPr>
        <w:autoSpaceDE w:val="0"/>
        <w:autoSpaceDN w:val="0"/>
        <w:adjustRightInd w:val="0"/>
        <w:spacing w:line="360" w:lineRule="auto"/>
        <w:ind w:firstLine="480"/>
        <w:rPr>
          <w:rFonts w:hAnsi="宋体"/>
          <w:snapToGrid w:val="0"/>
          <w:sz w:val="24"/>
        </w:rPr>
      </w:pPr>
      <w:r>
        <w:rPr>
          <w:rFonts w:hint="eastAsia" w:hAnsi="宋体"/>
          <w:snapToGrid w:val="0"/>
          <w:sz w:val="24"/>
        </w:rPr>
        <w:t>（6）响应文件内容虚假的；</w:t>
      </w:r>
    </w:p>
    <w:p>
      <w:pPr>
        <w:autoSpaceDE w:val="0"/>
        <w:autoSpaceDN w:val="0"/>
        <w:adjustRightInd w:val="0"/>
        <w:spacing w:line="360" w:lineRule="auto"/>
        <w:ind w:firstLine="480"/>
        <w:rPr>
          <w:rFonts w:hAnsi="宋体"/>
          <w:snapToGrid w:val="0"/>
          <w:sz w:val="24"/>
        </w:rPr>
      </w:pPr>
      <w:r>
        <w:rPr>
          <w:rFonts w:hint="eastAsia" w:hAnsi="宋体"/>
          <w:snapToGrid w:val="0"/>
          <w:sz w:val="24"/>
        </w:rPr>
        <w:t>（7）响应文件的实质性内容未使用中文表述、意思表述不明确、前后矛盾或者使用计量单位不符合磋商文件要求的（经磋商小组认定允许其当场更正的笔误除外）；</w:t>
      </w:r>
    </w:p>
    <w:p>
      <w:pPr>
        <w:autoSpaceDE w:val="0"/>
        <w:autoSpaceDN w:val="0"/>
        <w:adjustRightInd w:val="0"/>
        <w:spacing w:line="360" w:lineRule="auto"/>
        <w:ind w:firstLine="480"/>
        <w:rPr>
          <w:rFonts w:ascii="宋体"/>
          <w:sz w:val="24"/>
          <w:lang w:val="zh-CN"/>
        </w:rPr>
      </w:pPr>
      <w:r>
        <w:rPr>
          <w:rFonts w:hint="eastAsia" w:hAnsi="宋体"/>
          <w:snapToGrid w:val="0"/>
          <w:sz w:val="24"/>
        </w:rPr>
        <w:t>（8）响应文件的关键内容字迹模糊、无法辨认的</w:t>
      </w:r>
      <w:r>
        <w:rPr>
          <w:rFonts w:hAnsi="宋体"/>
          <w:snapToGrid w:val="0"/>
          <w:sz w:val="24"/>
        </w:rPr>
        <w:t>,</w:t>
      </w:r>
      <w:r>
        <w:rPr>
          <w:rFonts w:hint="eastAsia" w:hAnsi="宋体"/>
          <w:snapToGrid w:val="0"/>
          <w:sz w:val="24"/>
        </w:rPr>
        <w:t>或者响应文件中经修正的内容字迹模糊难以</w:t>
      </w:r>
      <w:r>
        <w:rPr>
          <w:rFonts w:hint="eastAsia" w:ascii="宋体"/>
          <w:sz w:val="24"/>
          <w:lang w:val="zh-CN"/>
        </w:rPr>
        <w:t>辩认或者修改处未按规定签名盖章的；</w:t>
      </w:r>
      <w:r>
        <w:rPr>
          <w:rFonts w:ascii="宋体"/>
          <w:sz w:val="24"/>
          <w:lang w:val="zh-CN"/>
        </w:rPr>
        <w:t xml:space="preserve"> </w:t>
      </w:r>
    </w:p>
    <w:p>
      <w:pPr>
        <w:autoSpaceDE w:val="0"/>
        <w:autoSpaceDN w:val="0"/>
        <w:adjustRightInd w:val="0"/>
        <w:spacing w:line="360" w:lineRule="auto"/>
        <w:ind w:firstLine="480"/>
        <w:rPr>
          <w:rFonts w:hAnsi="宋体"/>
          <w:snapToGrid w:val="0"/>
          <w:sz w:val="24"/>
        </w:rPr>
      </w:pPr>
      <w:r>
        <w:rPr>
          <w:rFonts w:hint="eastAsia" w:hAnsi="宋体"/>
          <w:snapToGrid w:val="0"/>
          <w:sz w:val="24"/>
        </w:rPr>
        <w:t>（9）未实质性</w:t>
      </w:r>
      <w:r>
        <w:rPr>
          <w:rFonts w:hAnsi="宋体"/>
          <w:snapToGrid w:val="0"/>
          <w:sz w:val="24"/>
        </w:rPr>
        <w:t>响应磋商文件要求或者响应文件有</w:t>
      </w:r>
      <w:r>
        <w:rPr>
          <w:rFonts w:hint="eastAsia" w:hAnsi="宋体"/>
          <w:snapToGrid w:val="0"/>
          <w:sz w:val="24"/>
        </w:rPr>
        <w:t>采购人</w:t>
      </w:r>
      <w:r>
        <w:rPr>
          <w:rFonts w:hAnsi="宋体"/>
          <w:snapToGrid w:val="0"/>
          <w:sz w:val="24"/>
        </w:rPr>
        <w:t>不能接受的附加条件的；</w:t>
      </w:r>
    </w:p>
    <w:p>
      <w:pPr>
        <w:snapToGrid w:val="0"/>
        <w:spacing w:line="360" w:lineRule="auto"/>
        <w:ind w:firstLine="501" w:firstLineChars="209"/>
        <w:rPr>
          <w:rFonts w:hint="eastAsia"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0）</w:t>
      </w:r>
      <w:r>
        <w:rPr>
          <w:rFonts w:ascii="宋体"/>
          <w:sz w:val="24"/>
          <w:lang w:val="zh-CN"/>
        </w:rPr>
        <w:t>明显不符合磋商文件</w:t>
      </w:r>
      <w:r>
        <w:rPr>
          <w:rFonts w:hint="eastAsia" w:ascii="宋体"/>
          <w:sz w:val="24"/>
          <w:lang w:val="zh-CN"/>
        </w:rPr>
        <w:t>要求的服务内容的</w:t>
      </w:r>
      <w:r>
        <w:rPr>
          <w:rFonts w:ascii="宋体"/>
          <w:sz w:val="24"/>
          <w:lang w:val="zh-CN"/>
        </w:rPr>
        <w:t>或者</w:t>
      </w:r>
      <w:r>
        <w:rPr>
          <w:rFonts w:hint="eastAsia" w:ascii="宋体"/>
          <w:sz w:val="24"/>
          <w:lang w:val="zh-CN"/>
        </w:rPr>
        <w:t>与</w:t>
      </w:r>
      <w:r>
        <w:rPr>
          <w:rFonts w:ascii="宋体"/>
          <w:sz w:val="24"/>
          <w:lang w:val="zh-CN"/>
        </w:rPr>
        <w:t>磋商文件中标“</w:t>
      </w:r>
      <w:r>
        <w:rPr>
          <w:rFonts w:hint="eastAsia" w:ascii="宋体"/>
          <w:sz w:val="24"/>
          <w:lang w:val="zh-CN"/>
        </w:rPr>
        <w:t>★</w:t>
      </w:r>
      <w:r>
        <w:rPr>
          <w:rFonts w:ascii="宋体"/>
          <w:sz w:val="24"/>
          <w:lang w:val="zh-CN"/>
        </w:rPr>
        <w:t>”的项目发生实质性偏离的；</w:t>
      </w:r>
    </w:p>
    <w:p>
      <w:pPr>
        <w:autoSpaceDE w:val="0"/>
        <w:autoSpaceDN w:val="0"/>
        <w:adjustRightInd w:val="0"/>
        <w:spacing w:line="360" w:lineRule="auto"/>
        <w:ind w:firstLine="480"/>
        <w:rPr>
          <w:rFonts w:hint="eastAsia" w:ascii="宋体"/>
          <w:sz w:val="24"/>
          <w:lang w:val="zh-CN"/>
        </w:rPr>
      </w:pPr>
      <w:r>
        <w:rPr>
          <w:rFonts w:hint="eastAsia" w:ascii="宋体"/>
          <w:sz w:val="24"/>
          <w:lang w:val="zh-CN"/>
        </w:rPr>
        <w:t>（11）与其他参加本次磋商供应商的响应文件的文字表述内容相同连续20行以上或者差错相同2处以上的；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2）未采用人民币报价或者未按照磋商文件标明的币种报价的；</w:t>
      </w:r>
    </w:p>
    <w:p>
      <w:pPr>
        <w:autoSpaceDE w:val="0"/>
        <w:autoSpaceDN w:val="0"/>
        <w:adjustRightInd w:val="0"/>
        <w:spacing w:line="360" w:lineRule="auto"/>
        <w:ind w:firstLine="482"/>
        <w:rPr>
          <w:rFonts w:hint="eastAsia" w:ascii="宋体"/>
          <w:sz w:val="24"/>
          <w:lang w:val="zh-CN"/>
        </w:rPr>
      </w:pPr>
      <w:r>
        <w:rPr>
          <w:rFonts w:hint="eastAsia" w:ascii="宋体"/>
          <w:sz w:val="24"/>
          <w:lang w:val="zh-CN"/>
        </w:rPr>
        <w:t>（13）报价超出磋商文件规定的上限价的；</w:t>
      </w:r>
    </w:p>
    <w:p>
      <w:pPr>
        <w:autoSpaceDE w:val="0"/>
        <w:autoSpaceDN w:val="0"/>
        <w:adjustRightInd w:val="0"/>
        <w:spacing w:line="360" w:lineRule="auto"/>
        <w:ind w:firstLine="482"/>
        <w:rPr>
          <w:rFonts w:ascii="宋体"/>
          <w:b/>
          <w:sz w:val="24"/>
          <w:lang w:val="zh-CN"/>
        </w:rPr>
      </w:pPr>
      <w:r>
        <w:rPr>
          <w:rFonts w:hint="eastAsia" w:ascii="宋体"/>
          <w:sz w:val="24"/>
          <w:lang w:val="zh-CN"/>
        </w:rPr>
        <w:t>（14）磋商文件明确规定的其他无效条款的。</w:t>
      </w:r>
    </w:p>
    <w:p>
      <w:pPr>
        <w:autoSpaceDE w:val="0"/>
        <w:autoSpaceDN w:val="0"/>
        <w:adjustRightInd w:val="0"/>
        <w:spacing w:line="360" w:lineRule="auto"/>
        <w:ind w:firstLine="480"/>
        <w:rPr>
          <w:rFonts w:hint="eastAsia" w:ascii="宋体"/>
          <w:sz w:val="24"/>
          <w:lang w:val="zh-CN"/>
        </w:rPr>
      </w:pPr>
      <w:r>
        <w:rPr>
          <w:rFonts w:hint="eastAsia" w:ascii="宋体"/>
          <w:sz w:val="24"/>
          <w:lang w:val="zh-CN"/>
        </w:rPr>
        <w:t>2</w:t>
      </w:r>
      <w:r>
        <w:rPr>
          <w:rFonts w:ascii="宋体"/>
          <w:sz w:val="24"/>
          <w:lang w:val="zh-CN"/>
        </w:rPr>
        <w:t>.</w:t>
      </w:r>
      <w:r>
        <w:rPr>
          <w:rFonts w:hint="eastAsia" w:ascii="宋体"/>
          <w:sz w:val="24"/>
          <w:lang w:val="zh-CN"/>
        </w:rPr>
        <w:t>有下列情形之一的，磋商无效且将响应文件、磋商记录等报同级政府采购监管部门或有关职能部门查处：</w:t>
      </w:r>
    </w:p>
    <w:p>
      <w:pPr>
        <w:autoSpaceDE w:val="0"/>
        <w:autoSpaceDN w:val="0"/>
        <w:adjustRightInd w:val="0"/>
        <w:spacing w:line="360" w:lineRule="auto"/>
        <w:ind w:firstLine="480"/>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）未如实提供债权债务、违法记录信息，影响或者可能影响成交结果的；</w:t>
      </w:r>
    </w:p>
    <w:p>
      <w:pPr>
        <w:pStyle w:val="13"/>
        <w:snapToGrid w:val="0"/>
        <w:spacing w:after="0" w:line="360" w:lineRule="auto"/>
        <w:ind w:left="0" w:leftChars="0" w:firstLine="352" w:firstLineChars="147"/>
        <w:rPr>
          <w:rFonts w:hint="eastAsia"/>
          <w:sz w:val="24"/>
        </w:rPr>
      </w:pPr>
      <w:r>
        <w:rPr>
          <w:rFonts w:hint="eastAsia" w:ascii="宋体"/>
          <w:sz w:val="24"/>
          <w:lang w:val="zh-CN"/>
        </w:rPr>
        <w:t>（</w:t>
      </w:r>
      <w:r>
        <w:rPr>
          <w:rFonts w:ascii="宋体"/>
          <w:sz w:val="24"/>
          <w:lang w:val="zh-CN"/>
        </w:rPr>
        <w:t>2</w:t>
      </w:r>
      <w:r>
        <w:rPr>
          <w:rFonts w:hint="eastAsia" w:ascii="宋体"/>
          <w:sz w:val="24"/>
          <w:lang w:val="zh-CN"/>
        </w:rPr>
        <w:t>）政府采购活动中有其他违法违规行为的；</w:t>
      </w:r>
      <w:bookmarkEnd w:id="3"/>
      <w:bookmarkEnd w:id="50"/>
      <w:bookmarkStart w:id="51" w:name="_Toc177870555"/>
    </w:p>
    <w:p>
      <w:pPr>
        <w:pStyle w:val="2"/>
        <w:ind w:firstLine="380"/>
        <w:rPr>
          <w:rFonts w:hint="eastAsia" w:hAnsi="Times New Roman" w:eastAsia="宋体"/>
          <w:color w:val="auto"/>
          <w:kern w:val="2"/>
          <w:sz w:val="24"/>
          <w:szCs w:val="24"/>
          <w:lang w:val="zh-CN"/>
        </w:rPr>
      </w:pPr>
      <w:r>
        <w:rPr>
          <w:rFonts w:hint="eastAsia" w:hAnsi="Times New Roman" w:eastAsia="宋体"/>
          <w:color w:val="auto"/>
          <w:kern w:val="2"/>
          <w:sz w:val="24"/>
          <w:szCs w:val="24"/>
          <w:lang w:val="zh-CN"/>
        </w:rPr>
        <w:tab/>
      </w:r>
      <w:r>
        <w:rPr>
          <w:rFonts w:hint="eastAsia" w:hAnsi="Times New Roman" w:eastAsia="宋体"/>
          <w:color w:val="auto"/>
          <w:kern w:val="2"/>
          <w:sz w:val="24"/>
          <w:szCs w:val="24"/>
          <w:lang w:val="zh-CN"/>
        </w:rPr>
        <w:t>四、</w:t>
      </w:r>
      <w:bookmarkEnd w:id="51"/>
      <w:r>
        <w:rPr>
          <w:rFonts w:hint="eastAsia" w:hAnsi="Times New Roman" w:eastAsia="宋体"/>
          <w:color w:val="auto"/>
          <w:kern w:val="2"/>
          <w:sz w:val="24"/>
          <w:szCs w:val="24"/>
          <w:lang w:val="zh-CN"/>
        </w:rPr>
        <w:t>确定成交供应商的方法</w:t>
      </w:r>
    </w:p>
    <w:p>
      <w:pPr>
        <w:pStyle w:val="18"/>
        <w:snapToGrid w:val="0"/>
        <w:spacing w:line="360" w:lineRule="auto"/>
        <w:ind w:firstLine="556" w:firstLineChars="232"/>
        <w:rPr>
          <w:rFonts w:hint="eastAsia" w:hAnsi="宋体"/>
          <w:sz w:val="24"/>
          <w:szCs w:val="24"/>
        </w:rPr>
      </w:pPr>
      <w:r>
        <w:rPr>
          <w:rFonts w:hint="eastAsia" w:hAnsi="宋体"/>
          <w:sz w:val="24"/>
          <w:szCs w:val="24"/>
        </w:rPr>
        <w:t>1.成交公示：采购机构在磋商结束后将采购结果确认函交采购人确认，采购结果经采购人确认后，将采购结果在发布采购公告的网站上进行7个工作日的成交公告。</w:t>
      </w:r>
    </w:p>
    <w:p>
      <w:pPr>
        <w:pStyle w:val="18"/>
        <w:snapToGrid w:val="0"/>
        <w:spacing w:line="360" w:lineRule="auto"/>
        <w:ind w:firstLine="556" w:firstLineChars="232"/>
        <w:rPr>
          <w:rFonts w:hint="eastAsia" w:hAnsi="宋体"/>
          <w:sz w:val="24"/>
          <w:szCs w:val="24"/>
        </w:rPr>
      </w:pPr>
      <w:r>
        <w:rPr>
          <w:rFonts w:hint="eastAsia" w:hAnsi="宋体"/>
          <w:sz w:val="24"/>
          <w:szCs w:val="24"/>
        </w:rPr>
        <w:t>2.质疑：相关供应商如对采购结果有异议需提出质疑的，应当在成交公告结束前以书面形式向采购机构提出。</w:t>
      </w:r>
    </w:p>
    <w:p>
      <w:pPr>
        <w:pStyle w:val="18"/>
        <w:snapToGrid w:val="0"/>
        <w:spacing w:line="360" w:lineRule="auto"/>
        <w:ind w:firstLine="556" w:firstLineChars="232"/>
        <w:rPr>
          <w:rFonts w:hint="eastAsia" w:hAnsi="宋体"/>
          <w:sz w:val="24"/>
          <w:szCs w:val="24"/>
        </w:rPr>
      </w:pPr>
      <w:r>
        <w:rPr>
          <w:rFonts w:hint="eastAsia" w:hAnsi="宋体"/>
          <w:sz w:val="24"/>
          <w:szCs w:val="24"/>
        </w:rPr>
        <w:t>3.质疑处理：相关供应商提出质疑后，采购人有权要求中标候选人提供相关证明材料。</w:t>
      </w:r>
    </w:p>
    <w:p>
      <w:pPr>
        <w:pStyle w:val="18"/>
        <w:snapToGrid w:val="0"/>
        <w:spacing w:line="360" w:lineRule="auto"/>
        <w:ind w:firstLine="556" w:firstLineChars="232"/>
        <w:rPr>
          <w:rFonts w:hint="eastAsia" w:hAnsi="宋体"/>
          <w:sz w:val="24"/>
          <w:szCs w:val="24"/>
        </w:rPr>
      </w:pPr>
      <w:r>
        <w:rPr>
          <w:rFonts w:hint="eastAsia" w:hAnsi="宋体"/>
          <w:sz w:val="24"/>
          <w:szCs w:val="24"/>
        </w:rPr>
        <w:t>4.本项目由采购人确定成交供应商，采购人应在收到采购结果确认函后5个工作日内对采购结果进行确认。如有供应商对采购结果提出质疑的，采购人可在质疑处理完毕后确定中标人。</w:t>
      </w:r>
    </w:p>
    <w:p>
      <w:pPr>
        <w:autoSpaceDE w:val="0"/>
        <w:autoSpaceDN w:val="0"/>
        <w:adjustRightInd w:val="0"/>
        <w:spacing w:line="360" w:lineRule="auto"/>
        <w:ind w:firstLine="480"/>
        <w:rPr>
          <w:rFonts w:hint="eastAsia" w:ascii="宋体" w:hAnsi="宋体"/>
          <w:sz w:val="24"/>
        </w:rPr>
      </w:pPr>
      <w:r>
        <w:rPr>
          <w:rFonts w:hint="eastAsia" w:ascii="宋体" w:hAnsi="宋体"/>
          <w:sz w:val="24"/>
        </w:rPr>
        <w:t>5.采购结果在成交公告发出后，采购机构以书面形式发出《成交通知书》。如有供应商在成交公告期间提出质疑的，按照相关法规执行。</w:t>
      </w:r>
    </w:p>
    <w:p>
      <w:pPr>
        <w:autoSpaceDE w:val="0"/>
        <w:autoSpaceDN w:val="0"/>
        <w:adjustRightInd w:val="0"/>
        <w:spacing w:line="360" w:lineRule="auto"/>
        <w:ind w:firstLine="480"/>
        <w:rPr>
          <w:rFonts w:hint="eastAsia" w:ascii="宋体" w:hAnsi="宋体"/>
          <w:b/>
          <w:sz w:val="24"/>
        </w:rPr>
      </w:pPr>
      <w:r>
        <w:rPr>
          <w:rFonts w:hint="eastAsia" w:ascii="宋体" w:hAnsi="宋体"/>
          <w:sz w:val="24"/>
        </w:rPr>
        <w:t>6.</w:t>
      </w:r>
      <w:r>
        <w:rPr>
          <w:rFonts w:hint="eastAsia" w:ascii="宋体" w:hAnsi="宋体"/>
          <w:b/>
          <w:sz w:val="24"/>
        </w:rPr>
        <w:t>成交候选人必须成为浙江省政府采购网（</w:t>
      </w:r>
      <w:r>
        <w:rPr>
          <w:rFonts w:ascii="宋体" w:hAnsi="宋体"/>
          <w:b/>
          <w:sz w:val="24"/>
        </w:rPr>
        <w:fldChar w:fldCharType="begin"/>
      </w:r>
      <w:r>
        <w:rPr>
          <w:rFonts w:ascii="宋体" w:hAnsi="宋体"/>
          <w:b/>
          <w:sz w:val="24"/>
        </w:rPr>
        <w:instrText xml:space="preserve"> HYPERLINK "http://www.zjzfcg.gov.cn" </w:instrText>
      </w:r>
      <w:r>
        <w:rPr>
          <w:rFonts w:ascii="宋体" w:hAnsi="宋体"/>
          <w:b/>
          <w:sz w:val="24"/>
        </w:rPr>
        <w:fldChar w:fldCharType="separate"/>
      </w:r>
      <w:r>
        <w:rPr>
          <w:rStyle w:val="44"/>
          <w:rFonts w:ascii="宋体" w:hAnsi="宋体"/>
          <w:b/>
          <w:sz w:val="24"/>
        </w:rPr>
        <w:t>http://www.zjzfcg.gov.cn</w:t>
      </w:r>
      <w:r>
        <w:rPr>
          <w:rFonts w:ascii="宋体" w:hAnsi="宋体"/>
          <w:b/>
          <w:sz w:val="24"/>
        </w:rPr>
        <w:fldChar w:fldCharType="end"/>
      </w:r>
      <w:r>
        <w:rPr>
          <w:rFonts w:hint="eastAsia" w:ascii="宋体" w:hAnsi="宋体"/>
          <w:b/>
          <w:sz w:val="24"/>
        </w:rPr>
        <w:t>）正式供应商，否则将拒绝向其发出成交通知书。</w:t>
      </w:r>
    </w:p>
    <w:p>
      <w:pPr>
        <w:pStyle w:val="2"/>
        <w:rPr>
          <w:sz w:val="24"/>
          <w:szCs w:val="24"/>
        </w:rPr>
      </w:pPr>
      <w:r>
        <w:rPr>
          <w:rFonts w:hint="eastAsia"/>
          <w:sz w:val="24"/>
          <w:szCs w:val="24"/>
        </w:rPr>
        <w:tab/>
      </w:r>
      <w:r>
        <w:rPr>
          <w:rFonts w:hint="eastAsia" w:hAnsi="Times New Roman" w:eastAsia="宋体"/>
          <w:color w:val="auto"/>
          <w:kern w:val="2"/>
          <w:sz w:val="24"/>
          <w:szCs w:val="24"/>
          <w:lang w:val="zh-CN"/>
        </w:rPr>
        <w:t>五、合同授予</w:t>
      </w:r>
    </w:p>
    <w:p>
      <w:pPr>
        <w:autoSpaceDE w:val="0"/>
        <w:autoSpaceDN w:val="0"/>
        <w:adjustRightInd w:val="0"/>
        <w:spacing w:line="360" w:lineRule="auto"/>
        <w:ind w:firstLine="480" w:firstLineChars="200"/>
        <w:rPr>
          <w:rFonts w:ascii="宋体" w:hAnsi="宋体"/>
          <w:sz w:val="24"/>
          <w:lang w:val="zh-CN"/>
        </w:rPr>
      </w:pPr>
      <w:r>
        <w:rPr>
          <w:rFonts w:ascii="宋体" w:hAnsi="宋体"/>
          <w:sz w:val="24"/>
          <w:lang w:val="zh-CN"/>
        </w:rPr>
        <w:t>1.</w:t>
      </w:r>
      <w:r>
        <w:rPr>
          <w:rFonts w:hint="eastAsia" w:ascii="宋体" w:hAnsi="宋体"/>
          <w:sz w:val="24"/>
          <w:lang w:val="zh-CN"/>
        </w:rPr>
        <w:t>成交供应商应在成交通知书发出后7日内与采购人签订合同。</w:t>
      </w:r>
    </w:p>
    <w:p>
      <w:pPr>
        <w:snapToGrid w:val="0"/>
        <w:spacing w:line="360" w:lineRule="auto"/>
        <w:ind w:firstLine="480" w:firstLineChars="200"/>
        <w:rPr>
          <w:rFonts w:hint="eastAsia" w:ascii="宋体" w:hAnsi="宋体"/>
          <w:sz w:val="24"/>
          <w:lang w:val="zh-CN"/>
        </w:rPr>
      </w:pPr>
      <w:r>
        <w:rPr>
          <w:rFonts w:ascii="宋体" w:hAnsi="宋体"/>
          <w:sz w:val="24"/>
          <w:lang w:val="zh-CN"/>
        </w:rPr>
        <w:t>2.</w:t>
      </w:r>
      <w:r>
        <w:rPr>
          <w:rFonts w:hint="eastAsia" w:ascii="宋体" w:hAnsi="宋体"/>
          <w:sz w:val="24"/>
          <w:lang w:val="zh-CN"/>
        </w:rPr>
        <w:t>中标人拖延、拒签合同的</w:t>
      </w:r>
      <w:r>
        <w:rPr>
          <w:rFonts w:ascii="宋体" w:hAnsi="宋体"/>
          <w:sz w:val="24"/>
          <w:lang w:val="zh-CN"/>
        </w:rPr>
        <w:t>,</w:t>
      </w:r>
      <w:r>
        <w:rPr>
          <w:rFonts w:hint="eastAsia" w:ascii="宋体" w:hAnsi="宋体"/>
          <w:sz w:val="24"/>
          <w:lang w:val="zh-CN"/>
        </w:rPr>
        <w:t>将被扣罚磋商保证金并取消成交资格。</w:t>
      </w:r>
    </w:p>
    <w:p>
      <w:pPr>
        <w:pStyle w:val="2"/>
        <w:jc w:val="center"/>
        <w:rPr>
          <w:rFonts w:hint="eastAsia" w:hAnsi="宋体"/>
          <w:color w:val="auto"/>
          <w:kern w:val="2"/>
          <w:sz w:val="30"/>
          <w:szCs w:val="30"/>
        </w:rPr>
      </w:pPr>
      <w:r>
        <w:rPr>
          <w:rFonts w:hint="eastAsia" w:hAnsi="宋体"/>
          <w:color w:val="auto"/>
          <w:kern w:val="2"/>
          <w:sz w:val="30"/>
          <w:szCs w:val="30"/>
        </w:rPr>
        <w:t>第四章  磋商原则和程序</w:t>
      </w:r>
    </w:p>
    <w:p>
      <w:pPr>
        <w:snapToGrid w:val="0"/>
        <w:spacing w:before="156" w:after="156"/>
        <w:ind w:firstLine="360" w:firstLineChars="150"/>
        <w:outlineLvl w:val="0"/>
        <w:rPr>
          <w:rFonts w:ascii="宋体" w:hAnsi="宋体"/>
          <w:bCs/>
          <w:sz w:val="24"/>
        </w:rPr>
      </w:pPr>
      <w:r>
        <w:rPr>
          <w:rFonts w:hint="eastAsia" w:ascii="宋体" w:hAnsi="宋体"/>
          <w:bCs/>
          <w:sz w:val="24"/>
        </w:rPr>
        <w:t>根据《中华人民共和国政府采购法》、《政府采购竞争性磋商采购方式管理暂行办法》等要求，遵循公开、公平、公正、科学、择优原则和诚实、信誉、效率的服务原则，制定本评审办法。</w:t>
      </w:r>
    </w:p>
    <w:p>
      <w:pPr>
        <w:pStyle w:val="3"/>
        <w:spacing w:line="400" w:lineRule="exact"/>
        <w:jc w:val="center"/>
        <w:rPr>
          <w:rFonts w:ascii="宋体" w:hAnsi="宋体"/>
          <w:sz w:val="24"/>
          <w:szCs w:val="24"/>
        </w:rPr>
      </w:pPr>
      <w:bookmarkStart w:id="52" w:name="_Toc402872204"/>
      <w:bookmarkStart w:id="53" w:name="_Toc428940257"/>
      <w:bookmarkStart w:id="54" w:name="_Toc282640741"/>
      <w:r>
        <w:rPr>
          <w:rFonts w:hint="eastAsia" w:ascii="宋体" w:hAnsi="宋体"/>
          <w:sz w:val="24"/>
          <w:szCs w:val="24"/>
        </w:rPr>
        <w:t>一  拆封响应文件</w:t>
      </w:r>
      <w:bookmarkEnd w:id="52"/>
      <w:bookmarkEnd w:id="53"/>
      <w:bookmarkEnd w:id="54"/>
    </w:p>
    <w:p>
      <w:pPr>
        <w:snapToGrid w:val="0"/>
        <w:spacing w:before="156" w:after="156"/>
        <w:ind w:firstLine="360" w:firstLineChars="150"/>
        <w:outlineLvl w:val="0"/>
        <w:rPr>
          <w:rFonts w:ascii="宋体" w:hAnsi="宋体"/>
          <w:bCs/>
          <w:sz w:val="24"/>
        </w:rPr>
      </w:pPr>
      <w:bookmarkStart w:id="55" w:name="_Toc414960372"/>
      <w:bookmarkStart w:id="56" w:name="_Toc282640742"/>
      <w:r>
        <w:rPr>
          <w:rFonts w:hint="eastAsia" w:ascii="宋体" w:hAnsi="宋体"/>
          <w:bCs/>
          <w:sz w:val="24"/>
        </w:rPr>
        <w:t>1.采购机构按磋商文件规定的时间、地点收取磋商文件。迟到的响应文件予以拒收。</w:t>
      </w:r>
      <w:bookmarkEnd w:id="55"/>
    </w:p>
    <w:bookmarkEnd w:id="56"/>
    <w:p>
      <w:pPr>
        <w:snapToGrid w:val="0"/>
        <w:spacing w:before="156" w:after="156"/>
        <w:ind w:firstLine="360" w:firstLineChars="150"/>
        <w:outlineLvl w:val="0"/>
        <w:rPr>
          <w:rFonts w:ascii="宋体" w:hAnsi="宋体"/>
          <w:bCs/>
          <w:sz w:val="24"/>
        </w:rPr>
      </w:pPr>
      <w:bookmarkStart w:id="57" w:name="_Toc414960373"/>
      <w:bookmarkStart w:id="58" w:name="_Toc282640743"/>
      <w:r>
        <w:rPr>
          <w:rFonts w:hint="eastAsia" w:ascii="宋体" w:hAnsi="宋体"/>
          <w:bCs/>
          <w:sz w:val="24"/>
        </w:rPr>
        <w:t>2.供应商法定代表人或法定代表人授权代表必须出席磋商会议。</w:t>
      </w:r>
      <w:bookmarkEnd w:id="57"/>
    </w:p>
    <w:p>
      <w:pPr>
        <w:snapToGrid w:val="0"/>
        <w:spacing w:before="156" w:after="156"/>
        <w:ind w:firstLine="360" w:firstLineChars="150"/>
        <w:outlineLvl w:val="0"/>
        <w:rPr>
          <w:rFonts w:ascii="宋体" w:hAnsi="宋体"/>
          <w:bCs/>
          <w:sz w:val="24"/>
        </w:rPr>
      </w:pPr>
      <w:bookmarkStart w:id="59" w:name="_Toc414960374"/>
      <w:r>
        <w:rPr>
          <w:rFonts w:hint="eastAsia" w:ascii="宋体" w:hAnsi="宋体"/>
          <w:bCs/>
          <w:sz w:val="24"/>
        </w:rPr>
        <w:t>3.磋商开始时，采购人将查验响应文件密封情况，确认无误后拆封响应文件。</w:t>
      </w:r>
      <w:bookmarkEnd w:id="58"/>
      <w:bookmarkEnd w:id="59"/>
    </w:p>
    <w:p>
      <w:pPr>
        <w:widowControl/>
        <w:snapToGrid w:val="0"/>
        <w:spacing w:line="400" w:lineRule="exact"/>
        <w:jc w:val="left"/>
        <w:rPr>
          <w:rFonts w:ascii="宋体" w:hAnsi="宋体"/>
          <w:b/>
          <w:sz w:val="24"/>
        </w:rPr>
      </w:pPr>
    </w:p>
    <w:p>
      <w:pPr>
        <w:pStyle w:val="3"/>
        <w:spacing w:line="400" w:lineRule="exact"/>
        <w:jc w:val="center"/>
        <w:rPr>
          <w:rFonts w:ascii="宋体" w:hAnsi="宋体"/>
          <w:sz w:val="24"/>
          <w:szCs w:val="24"/>
        </w:rPr>
      </w:pPr>
      <w:bookmarkStart w:id="60" w:name="_Toc428940258"/>
      <w:bookmarkStart w:id="61" w:name="_Toc402872205"/>
      <w:bookmarkStart w:id="62" w:name="_Toc282640744"/>
      <w:r>
        <w:rPr>
          <w:rFonts w:hint="eastAsia" w:ascii="宋体" w:hAnsi="宋体"/>
          <w:sz w:val="24"/>
          <w:szCs w:val="24"/>
        </w:rPr>
        <w:t>二  磋商小组</w:t>
      </w:r>
      <w:bookmarkEnd w:id="60"/>
      <w:bookmarkEnd w:id="61"/>
      <w:bookmarkEnd w:id="62"/>
    </w:p>
    <w:p>
      <w:pPr>
        <w:autoSpaceDE w:val="0"/>
        <w:autoSpaceDN w:val="0"/>
        <w:adjustRightInd w:val="0"/>
        <w:snapToGrid w:val="0"/>
        <w:spacing w:line="400" w:lineRule="exact"/>
        <w:ind w:firstLine="360" w:firstLineChars="150"/>
        <w:textAlignment w:val="bottom"/>
        <w:rPr>
          <w:rFonts w:ascii="宋体" w:hAnsi="宋体"/>
          <w:bCs/>
          <w:sz w:val="24"/>
        </w:rPr>
      </w:pPr>
      <w:bookmarkStart w:id="63" w:name="_Toc414960376"/>
      <w:bookmarkStart w:id="64" w:name="_Toc282640745"/>
      <w:r>
        <w:rPr>
          <w:rFonts w:hint="eastAsia" w:ascii="宋体" w:hAnsi="宋体"/>
          <w:bCs/>
          <w:sz w:val="24"/>
        </w:rPr>
        <w:t>1.本项目磋商小组依法由3人（含）以上奇数的人员组成，磋商小组对响应文件进行审查、质疑、评估和比较。</w:t>
      </w:r>
      <w:bookmarkEnd w:id="63"/>
      <w:bookmarkEnd w:id="64"/>
    </w:p>
    <w:p>
      <w:pPr>
        <w:autoSpaceDE w:val="0"/>
        <w:autoSpaceDN w:val="0"/>
        <w:adjustRightInd w:val="0"/>
        <w:snapToGrid w:val="0"/>
        <w:spacing w:line="400" w:lineRule="exact"/>
        <w:ind w:firstLine="360" w:firstLineChars="150"/>
        <w:textAlignment w:val="bottom"/>
        <w:rPr>
          <w:rFonts w:ascii="宋体" w:hAnsi="宋体"/>
          <w:bCs/>
          <w:sz w:val="24"/>
        </w:rPr>
      </w:pPr>
      <w:bookmarkStart w:id="65" w:name="_Toc414960377"/>
      <w:r>
        <w:rPr>
          <w:rFonts w:hint="eastAsia" w:ascii="宋体" w:hAnsi="宋体"/>
          <w:bCs/>
          <w:sz w:val="24"/>
        </w:rPr>
        <w:t>2.磋商期间，供应商法人代表或授权委托人必须在场，负责解答有关事宜。</w:t>
      </w:r>
      <w:bookmarkEnd w:id="65"/>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3.监管人员由县采购办派出。</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4.磋商过程应严格保密，磋商小组及有关工作人员应严格遵守纪律，不得泄露任何磋商信息。</w:t>
      </w:r>
    </w:p>
    <w:p>
      <w:pPr>
        <w:pStyle w:val="3"/>
        <w:spacing w:line="400" w:lineRule="exact"/>
        <w:jc w:val="center"/>
        <w:rPr>
          <w:rFonts w:ascii="宋体" w:hAnsi="宋体"/>
          <w:sz w:val="24"/>
          <w:szCs w:val="24"/>
        </w:rPr>
      </w:pPr>
      <w:bookmarkStart w:id="66" w:name="_Toc402872206"/>
      <w:bookmarkStart w:id="67" w:name="_Toc428940259"/>
      <w:r>
        <w:rPr>
          <w:rFonts w:hint="eastAsia" w:ascii="宋体" w:hAnsi="宋体"/>
          <w:sz w:val="24"/>
          <w:szCs w:val="24"/>
        </w:rPr>
        <w:t>三  竞争性磋商原则与方法</w:t>
      </w:r>
      <w:bookmarkEnd w:id="66"/>
      <w:bookmarkEnd w:id="67"/>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1.磋商小组将遵循公开、公平、公正的原则，对供应商提供服务的价格、实施方案、保障服务、公司基本情况、履约能力等进行综合分析考评。</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2.磋商小组应客观、公正的对待所有供应商，对所有响应文件评价，均采用相同的程序和标准。</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3.在磋商期间，供应商不得向磋商小组成员询问磋商情况，不得进行旨在影响磋商结果的活动，否则将废除其磋商资格，并不再返还磋商保证金。</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4.在磋商过程中，磋商小组成员不得与供应商私下交换意见，在竞争性磋商工作结束后，凡与磋商情况有接触的人不得将磋商情况扩散出磋商小组成员之外。</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5.采购单位不向未成交供应商解释未成交原因，不退还响应文件。</w:t>
      </w:r>
    </w:p>
    <w:p>
      <w:pPr>
        <w:pStyle w:val="3"/>
        <w:spacing w:line="400" w:lineRule="exact"/>
        <w:jc w:val="center"/>
        <w:rPr>
          <w:rFonts w:ascii="宋体" w:hAnsi="宋体"/>
          <w:sz w:val="24"/>
          <w:szCs w:val="24"/>
        </w:rPr>
      </w:pPr>
      <w:bookmarkStart w:id="68" w:name="_Toc282640747"/>
      <w:bookmarkStart w:id="69" w:name="_Toc402872207"/>
      <w:bookmarkStart w:id="70" w:name="_Toc428940260"/>
      <w:r>
        <w:rPr>
          <w:rFonts w:hint="eastAsia" w:ascii="宋体" w:hAnsi="宋体"/>
          <w:sz w:val="24"/>
          <w:szCs w:val="24"/>
        </w:rPr>
        <w:t>四  磋商程序</w:t>
      </w:r>
      <w:bookmarkEnd w:id="68"/>
      <w:bookmarkEnd w:id="69"/>
      <w:bookmarkEnd w:id="70"/>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1.磋商小组审核磋商响应文件。</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磋商小组逐项审核响应文件。</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依据竞争性磋商文件的规定，从磋商响应文件的有效性、完整性和对竞争性磋商文件的响应程度进行审查，以确定供应商是否对磋商文件的实质性要求作出响应。</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2.磋商顺序和方法</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2.1磋商的顺序，按供应商签到的时间顺序进行。</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2.2开展磋商，按磋商项目内容与各供应商进行磋商。</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2.3磋商小组可视情况与各供应商（供应商法定代表人或法定代表人授权代表必须在场，否则，取消其磋商资格）分别进行磋商。磋商的内容可能涉及服务要求、售后服务、合同草案，采购人的权利和义务、履约期限和方式、资金支付要求、验收标准等。供应商所作的重要答复均应补充以书面形式，并经法定代表人或授权代表签署，作为响应文件的一部分，对供应商有约束力。在磋商中，磋商的任何一方不得透露与磋商有关的其他供应商的技术资料、价格和其他信息。</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2.4为了更好地实现采购目标，磋商小组可以修改竞争性磋商文件，对采购需求、合同草案作出实质性变动，并以书面形式通知所有参加磋商的供应商。供应商收到修改采购文件的通知后，可以决定是否继续参加磋商活动，如果供应商决定不继续参加磋商，磋商保证金无息退还。</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2.5</w:t>
      </w:r>
      <w:r>
        <w:rPr>
          <w:rFonts w:ascii="宋体" w:hAnsi="宋体"/>
          <w:bCs/>
          <w:sz w:val="24"/>
        </w:rPr>
        <w:t>供应商应当按照磋商文件的变动情况和磋商小组的要求重新提交响应文件，并由其法定代表人或授权代表签字或者加盖公章。</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3.磋商小组汇总并讨论审核情况，确定供应商是否继续进行磋商。</w:t>
      </w:r>
    </w:p>
    <w:p>
      <w:pPr>
        <w:spacing w:line="360" w:lineRule="auto"/>
        <w:ind w:firstLine="361" w:firstLineChars="150"/>
        <w:rPr>
          <w:b/>
          <w:sz w:val="24"/>
          <w:highlight w:val="cyan"/>
        </w:rPr>
      </w:pPr>
      <w:r>
        <w:rPr>
          <w:rFonts w:hint="eastAsia" w:ascii="宋体" w:hAnsi="宋体"/>
          <w:b/>
          <w:bCs/>
          <w:sz w:val="24"/>
        </w:rPr>
        <w:t>4.</w:t>
      </w:r>
      <w:r>
        <w:rPr>
          <w:rFonts w:hint="eastAsia" w:ascii="宋体" w:hAnsi="宋体" w:cs="宋体"/>
          <w:b/>
          <w:kern w:val="0"/>
          <w:sz w:val="24"/>
        </w:rPr>
        <w:t>此次磋商价格部分不进行磋商，只接受一次报价。</w:t>
      </w:r>
    </w:p>
    <w:p>
      <w:pPr>
        <w:autoSpaceDE w:val="0"/>
        <w:autoSpaceDN w:val="0"/>
        <w:adjustRightInd w:val="0"/>
        <w:snapToGrid w:val="0"/>
        <w:spacing w:line="400" w:lineRule="exact"/>
        <w:ind w:firstLine="360" w:firstLineChars="150"/>
        <w:textAlignment w:val="bottom"/>
        <w:rPr>
          <w:rFonts w:hint="eastAsia" w:ascii="宋体" w:hAnsi="宋体"/>
          <w:bCs/>
          <w:sz w:val="24"/>
        </w:rPr>
      </w:pPr>
      <w:bookmarkStart w:id="71" w:name="_Toc282640735"/>
      <w:bookmarkStart w:id="72" w:name="_Toc402872208"/>
      <w:bookmarkStart w:id="73" w:name="_Toc428940261"/>
      <w:r>
        <w:rPr>
          <w:rFonts w:hint="eastAsia" w:ascii="宋体" w:hAnsi="宋体"/>
          <w:bCs/>
          <w:sz w:val="24"/>
        </w:rPr>
        <w:t>5.</w:t>
      </w:r>
      <w:r>
        <w:rPr>
          <w:rFonts w:ascii="宋体" w:hAnsi="宋体"/>
          <w:bCs/>
          <w:sz w:val="24"/>
        </w:rPr>
        <w:t>已提交响应文件的供应商，在提交最后报价之前，可以根据磋商情况退出磋商。采购人应当退还退出磋商的供应商的保证金。</w:t>
      </w:r>
    </w:p>
    <w:p>
      <w:pPr>
        <w:autoSpaceDE w:val="0"/>
        <w:autoSpaceDN w:val="0"/>
        <w:adjustRightInd w:val="0"/>
        <w:snapToGrid w:val="0"/>
        <w:spacing w:line="400" w:lineRule="exact"/>
        <w:ind w:firstLine="361" w:firstLineChars="150"/>
        <w:textAlignment w:val="bottom"/>
        <w:rPr>
          <w:rFonts w:hint="eastAsia" w:ascii="宋体" w:hAnsi="宋体"/>
          <w:b/>
          <w:bCs/>
          <w:sz w:val="24"/>
        </w:rPr>
      </w:pPr>
      <w:r>
        <w:rPr>
          <w:rFonts w:hint="eastAsia" w:ascii="宋体" w:hAnsi="宋体"/>
          <w:b/>
          <w:bCs/>
          <w:sz w:val="24"/>
        </w:rPr>
        <w:t>6.磋商注意事项</w:t>
      </w:r>
    </w:p>
    <w:p>
      <w:pPr>
        <w:ind w:firstLine="420"/>
        <w:rPr>
          <w:rFonts w:hint="eastAsia" w:ascii="宋体" w:hAnsi="宋体"/>
          <w:b/>
          <w:bCs/>
          <w:sz w:val="24"/>
        </w:rPr>
      </w:pPr>
      <w:r>
        <w:rPr>
          <w:rFonts w:hint="eastAsia" w:ascii="宋体" w:hAnsi="宋体"/>
          <w:b/>
          <w:bCs/>
          <w:sz w:val="24"/>
        </w:rPr>
        <w:t>1）根据《关于政府采购竞争性磋商采购方式管理暂行办法有关问题的补充通知》（财库〔2015〕124号）文件要求，本次磋商过程中符合要求的供应商只有</w:t>
      </w:r>
      <w:r>
        <w:rPr>
          <w:rFonts w:ascii="宋体" w:hAnsi="宋体"/>
          <w:b/>
          <w:bCs/>
          <w:sz w:val="24"/>
        </w:rPr>
        <w:t>2</w:t>
      </w:r>
      <w:r>
        <w:rPr>
          <w:rFonts w:hint="eastAsia" w:ascii="宋体" w:hAnsi="宋体"/>
          <w:b/>
          <w:bCs/>
          <w:sz w:val="24"/>
        </w:rPr>
        <w:t>家的，磋商采购活动继续进行，只有一家的，终止采购活动。</w:t>
      </w:r>
    </w:p>
    <w:p>
      <w:pPr>
        <w:ind w:firstLine="420"/>
        <w:rPr>
          <w:rFonts w:hint="eastAsia" w:ascii="宋体" w:hAnsi="宋体"/>
          <w:sz w:val="24"/>
        </w:rPr>
      </w:pPr>
      <w:r>
        <w:rPr>
          <w:rFonts w:hint="eastAsia" w:ascii="宋体" w:hAnsi="宋体"/>
          <w:sz w:val="24"/>
        </w:rPr>
        <w:t>2）评定时如发现供应商的报价明显高于其市场报价或低于成本价的，应要求该供应商书面说明并提供相关证明材料。该供应商不能合理说明原因并提供证明材料的，磋商小组应将该供应商的响应文件作无效标处理，同时采购组织机构应将该情况报同级财政部门，并视情将其列入不良磋商供应商名单。</w:t>
      </w:r>
    </w:p>
    <w:p>
      <w:pPr>
        <w:pStyle w:val="3"/>
        <w:spacing w:line="400" w:lineRule="exact"/>
        <w:jc w:val="center"/>
        <w:rPr>
          <w:rFonts w:ascii="宋体" w:hAnsi="宋体"/>
          <w:sz w:val="24"/>
          <w:szCs w:val="24"/>
        </w:rPr>
      </w:pPr>
      <w:r>
        <w:rPr>
          <w:rFonts w:hint="eastAsia" w:ascii="宋体" w:hAnsi="宋体"/>
          <w:sz w:val="24"/>
          <w:szCs w:val="24"/>
        </w:rPr>
        <w:t>五、磋商文件的澄清</w:t>
      </w:r>
      <w:bookmarkEnd w:id="71"/>
      <w:bookmarkEnd w:id="72"/>
      <w:bookmarkEnd w:id="73"/>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1.供应商对磋商文件如有疑义的，应在规定的答疑时间内以书面形式告知采购人，以便及时对磋商文件作出澄清。</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2.在磋商期间，磋商小组有权要求供应商对其提交的文件资料进行澄清。供应商应派授权代表和有关专业人员接受询问，并对有关内容进行澄清。</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3.对在澄清中涉及到的商业秘密，磋商小组成员及参加磋商的有关工作人员负有保密责任。</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4.磋商小组以书面形式对磋商文件作出的修改或补充，与磋商文件具有同等法律效力。</w:t>
      </w:r>
    </w:p>
    <w:p>
      <w:pPr>
        <w:pStyle w:val="3"/>
        <w:spacing w:line="400" w:lineRule="exact"/>
        <w:jc w:val="center"/>
        <w:rPr>
          <w:rFonts w:ascii="宋体" w:hAnsi="宋体"/>
          <w:sz w:val="24"/>
          <w:szCs w:val="24"/>
        </w:rPr>
      </w:pPr>
      <w:bookmarkStart w:id="74" w:name="_Toc402872209"/>
      <w:bookmarkStart w:id="75" w:name="_Toc428940262"/>
      <w:r>
        <w:rPr>
          <w:rFonts w:hint="eastAsia" w:ascii="宋体" w:hAnsi="宋体"/>
          <w:sz w:val="24"/>
          <w:szCs w:val="24"/>
        </w:rPr>
        <w:t>六、确定供应商办法</w:t>
      </w:r>
      <w:bookmarkEnd w:id="74"/>
      <w:bookmarkEnd w:id="75"/>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本项目由采购人确定成交供应商。</w:t>
      </w:r>
    </w:p>
    <w:p>
      <w:pPr>
        <w:autoSpaceDE w:val="0"/>
        <w:autoSpaceDN w:val="0"/>
        <w:adjustRightInd w:val="0"/>
        <w:snapToGrid w:val="0"/>
        <w:spacing w:line="400" w:lineRule="exact"/>
        <w:ind w:firstLine="360" w:firstLineChars="150"/>
        <w:textAlignment w:val="bottom"/>
        <w:rPr>
          <w:rFonts w:hint="eastAsia" w:ascii="宋体" w:hAnsi="宋体"/>
          <w:bCs/>
          <w:sz w:val="24"/>
        </w:rPr>
      </w:pPr>
      <w:r>
        <w:rPr>
          <w:rFonts w:hint="eastAsia" w:ascii="宋体" w:hAnsi="宋体"/>
          <w:bCs/>
          <w:sz w:val="24"/>
        </w:rPr>
        <w:t>本次评审采用综合评分法，即在质量和服务均能满足竞争性磋商文件实质性要求且综合得分由高到低的原则确定成交供应商。</w:t>
      </w:r>
    </w:p>
    <w:p>
      <w:pPr>
        <w:autoSpaceDE w:val="0"/>
        <w:autoSpaceDN w:val="0"/>
        <w:adjustRightInd w:val="0"/>
        <w:snapToGrid w:val="0"/>
        <w:spacing w:line="400" w:lineRule="exact"/>
        <w:ind w:firstLine="360" w:firstLineChars="150"/>
        <w:textAlignment w:val="bottom"/>
        <w:rPr>
          <w:rFonts w:ascii="宋体" w:hAnsi="宋体"/>
          <w:bCs/>
          <w:sz w:val="24"/>
        </w:rPr>
      </w:pPr>
      <w:r>
        <w:rPr>
          <w:rFonts w:hint="eastAsia" w:ascii="宋体" w:hAnsi="宋体"/>
          <w:bCs/>
          <w:sz w:val="24"/>
        </w:rPr>
        <w:t>磋商结束后，磋商小组拟制评审报告。</w:t>
      </w:r>
    </w:p>
    <w:p>
      <w:pPr>
        <w:rPr>
          <w:rFonts w:hint="eastAsia" w:ascii="宋体" w:hAnsi="宋体"/>
          <w:sz w:val="24"/>
        </w:rPr>
      </w:pPr>
    </w:p>
    <w:p>
      <w:pPr>
        <w:snapToGrid w:val="0"/>
        <w:spacing w:line="348" w:lineRule="auto"/>
        <w:rPr>
          <w:rFonts w:hint="eastAsia" w:ascii="宋体" w:hAnsi="宋体" w:eastAsia="黑体"/>
          <w:b/>
          <w:bCs/>
          <w:sz w:val="24"/>
        </w:rPr>
      </w:pPr>
    </w:p>
    <w:p>
      <w:pPr>
        <w:snapToGrid w:val="0"/>
        <w:spacing w:line="348" w:lineRule="auto"/>
        <w:jc w:val="center"/>
        <w:rPr>
          <w:rFonts w:ascii="宋体" w:hAnsi="宋体" w:eastAsia="黑体"/>
          <w:b/>
          <w:bCs/>
          <w:sz w:val="24"/>
        </w:rPr>
      </w:pPr>
      <w:r>
        <w:rPr>
          <w:rFonts w:hint="eastAsia" w:ascii="宋体" w:hAnsi="宋体" w:eastAsia="黑体"/>
          <w:b/>
          <w:bCs/>
          <w:sz w:val="24"/>
        </w:rPr>
        <w:t>七、</w:t>
      </w:r>
      <w:r>
        <w:rPr>
          <w:rFonts w:ascii="宋体" w:hAnsi="宋体" w:eastAsia="黑体"/>
          <w:b/>
          <w:bCs/>
          <w:sz w:val="24"/>
        </w:rPr>
        <w:t>评分标准</w:t>
      </w:r>
    </w:p>
    <w:p>
      <w:pPr>
        <w:spacing w:after="120" w:afterLines="50" w:line="348" w:lineRule="auto"/>
        <w:ind w:firstLine="482"/>
        <w:rPr>
          <w:rFonts w:hint="eastAsia" w:ascii="宋体" w:hAnsi="宋体"/>
          <w:b/>
          <w:sz w:val="24"/>
        </w:rPr>
      </w:pPr>
    </w:p>
    <w:p>
      <w:pPr>
        <w:snapToGrid w:val="0"/>
        <w:spacing w:line="360" w:lineRule="auto"/>
        <w:ind w:firstLine="482" w:firstLineChars="200"/>
        <w:rPr>
          <w:rFonts w:ascii="宋体"/>
          <w:b/>
          <w:sz w:val="24"/>
        </w:rPr>
      </w:pPr>
      <w:r>
        <w:rPr>
          <w:rFonts w:hint="eastAsia" w:ascii="宋体" w:hAnsi="宋体"/>
          <w:b/>
          <w:sz w:val="24"/>
        </w:rPr>
        <w:t>一、总则</w:t>
      </w:r>
    </w:p>
    <w:p>
      <w:pPr>
        <w:snapToGrid w:val="0"/>
        <w:spacing w:line="360" w:lineRule="auto"/>
        <w:ind w:firstLine="480" w:firstLineChars="200"/>
        <w:rPr>
          <w:rFonts w:ascii="宋体"/>
          <w:bCs/>
          <w:sz w:val="24"/>
        </w:rPr>
      </w:pPr>
      <w:r>
        <w:rPr>
          <w:rFonts w:hint="eastAsia" w:ascii="宋体" w:hAnsi="宋体"/>
          <w:sz w:val="24"/>
        </w:rPr>
        <w:t>本次评标采用综合评分法。合格投标人的评标得分为各项目汇总得分，中标候选资格按评标得分由高到低顺序排列，得分相同的，按投标报价由低到高顺序排列；得分且投标报价相同的，按</w:t>
      </w:r>
      <w:r>
        <w:rPr>
          <w:rFonts w:hint="eastAsia" w:ascii="宋体" w:hAnsi="宋体"/>
          <w:bCs/>
          <w:sz w:val="24"/>
        </w:rPr>
        <w:t>技术分</w:t>
      </w:r>
      <w:r>
        <w:rPr>
          <w:rFonts w:hint="eastAsia" w:ascii="宋体" w:hAnsi="宋体"/>
          <w:sz w:val="24"/>
        </w:rPr>
        <w:t>由高到低顺序排列。排名第一的的投标人为第一中标候选人，排名第二的投标人为第二中标候选人。</w:t>
      </w:r>
      <w:r>
        <w:rPr>
          <w:rFonts w:hint="eastAsia" w:ascii="宋体" w:hAnsi="宋体"/>
          <w:bCs/>
          <w:sz w:val="24"/>
        </w:rPr>
        <w:t>评分过程中采用四舍五入法，并保留小数</w:t>
      </w:r>
      <w:r>
        <w:rPr>
          <w:rFonts w:ascii="宋体" w:hAnsi="宋体"/>
          <w:bCs/>
          <w:sz w:val="24"/>
        </w:rPr>
        <w:t>2</w:t>
      </w:r>
      <w:r>
        <w:rPr>
          <w:rFonts w:hint="eastAsia" w:ascii="宋体" w:hAnsi="宋体"/>
          <w:bCs/>
          <w:sz w:val="24"/>
        </w:rPr>
        <w:t>位。</w:t>
      </w:r>
      <w:r>
        <w:rPr>
          <w:rFonts w:ascii="宋体" w:hAnsi="宋体"/>
          <w:bCs/>
          <w:sz w:val="24"/>
        </w:rPr>
        <w:t xml:space="preserve">   </w:t>
      </w:r>
    </w:p>
    <w:p>
      <w:pPr>
        <w:snapToGrid w:val="0"/>
        <w:spacing w:line="360" w:lineRule="auto"/>
        <w:ind w:firstLine="480" w:firstLineChars="200"/>
        <w:rPr>
          <w:rFonts w:ascii="宋体"/>
          <w:bCs/>
          <w:sz w:val="24"/>
        </w:rPr>
      </w:pPr>
      <w:r>
        <w:rPr>
          <w:rFonts w:hint="eastAsia" w:ascii="宋体" w:hAnsi="宋体"/>
          <w:sz w:val="24"/>
        </w:rPr>
        <w:t>投标人评标</w:t>
      </w:r>
      <w:r>
        <w:rPr>
          <w:rFonts w:hint="eastAsia" w:ascii="宋体" w:hAnsi="宋体"/>
          <w:bCs/>
          <w:sz w:val="24"/>
        </w:rPr>
        <w:t>综合得分</w:t>
      </w:r>
      <w:r>
        <w:rPr>
          <w:rFonts w:ascii="宋体" w:hAnsi="宋体"/>
          <w:bCs/>
          <w:sz w:val="24"/>
        </w:rPr>
        <w:t>=</w:t>
      </w:r>
      <w:r>
        <w:rPr>
          <w:rFonts w:hint="eastAsia" w:ascii="宋体" w:hAnsi="宋体"/>
          <w:bCs/>
          <w:sz w:val="24"/>
        </w:rPr>
        <w:t>价格分</w:t>
      </w:r>
      <w:r>
        <w:rPr>
          <w:rFonts w:ascii="宋体" w:hAnsi="宋体"/>
          <w:bCs/>
          <w:sz w:val="24"/>
        </w:rPr>
        <w:t>+</w:t>
      </w:r>
      <w:r>
        <w:rPr>
          <w:rFonts w:hint="eastAsia" w:ascii="宋体" w:hAnsi="宋体"/>
          <w:bCs/>
          <w:sz w:val="24"/>
        </w:rPr>
        <w:t>技术资信分</w:t>
      </w:r>
    </w:p>
    <w:p>
      <w:pPr>
        <w:tabs>
          <w:tab w:val="left" w:pos="0"/>
        </w:tabs>
        <w:snapToGrid w:val="0"/>
        <w:spacing w:line="360" w:lineRule="auto"/>
        <w:ind w:firstLine="482" w:firstLineChars="200"/>
        <w:rPr>
          <w:rFonts w:ascii="宋体"/>
          <w:b/>
          <w:sz w:val="24"/>
        </w:rPr>
      </w:pPr>
      <w:r>
        <w:rPr>
          <w:rFonts w:hint="eastAsia" w:ascii="宋体" w:hAnsi="宋体"/>
          <w:b/>
          <w:sz w:val="24"/>
        </w:rPr>
        <w:t>二、评标内容及标准</w:t>
      </w:r>
    </w:p>
    <w:p>
      <w:pPr>
        <w:snapToGrid w:val="0"/>
        <w:spacing w:line="360" w:lineRule="auto"/>
        <w:ind w:firstLine="482" w:firstLineChars="200"/>
        <w:rPr>
          <w:rFonts w:ascii="宋体" w:hAnsi="宋体"/>
          <w:b/>
          <w:bCs/>
          <w:kern w:val="0"/>
          <w:sz w:val="24"/>
        </w:rPr>
      </w:pPr>
      <w:r>
        <w:rPr>
          <w:rFonts w:hint="eastAsia" w:ascii="宋体" w:hAnsi="宋体"/>
          <w:b/>
          <w:kern w:val="0"/>
          <w:sz w:val="24"/>
        </w:rPr>
        <w:t>（一）</w:t>
      </w:r>
      <w:r>
        <w:rPr>
          <w:rFonts w:hint="eastAsia" w:ascii="宋体" w:hAnsi="宋体"/>
          <w:b/>
          <w:bCs/>
          <w:kern w:val="0"/>
          <w:sz w:val="24"/>
        </w:rPr>
        <w:t>价格分（30分）</w:t>
      </w:r>
    </w:p>
    <w:p>
      <w:pPr>
        <w:snapToGrid w:val="0"/>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即满足招标文件要求且投标价格最低的投标报价为评标基准价，其价格分为满分。其他投标人的价格分统一按照下列公式计算：</w:t>
      </w:r>
    </w:p>
    <w:p>
      <w:pPr>
        <w:snapToGrid w:val="0"/>
        <w:spacing w:line="360" w:lineRule="auto"/>
        <w:ind w:firstLine="480" w:firstLineChars="200"/>
        <w:rPr>
          <w:rFonts w:hint="eastAsia" w:ascii="宋体" w:hAnsi="宋体"/>
          <w:kern w:val="0"/>
          <w:sz w:val="24"/>
        </w:rPr>
      </w:pPr>
      <w:r>
        <w:rPr>
          <w:rFonts w:hint="eastAsia" w:ascii="宋体" w:hAnsi="宋体"/>
          <w:kern w:val="0"/>
          <w:sz w:val="24"/>
        </w:rPr>
        <w:t>投标报价得分</w:t>
      </w:r>
      <w:r>
        <w:rPr>
          <w:rFonts w:ascii="宋体" w:hAnsi="宋体"/>
          <w:kern w:val="0"/>
          <w:sz w:val="24"/>
        </w:rPr>
        <w:t>=(</w:t>
      </w:r>
      <w:r>
        <w:rPr>
          <w:rFonts w:hint="eastAsia" w:ascii="宋体" w:hAnsi="宋体"/>
          <w:kern w:val="0"/>
          <w:sz w:val="24"/>
        </w:rPr>
        <w:t>评标基准价／投标报价</w:t>
      </w:r>
      <w:r>
        <w:rPr>
          <w:rFonts w:ascii="宋体" w:hAnsi="宋体"/>
          <w:kern w:val="0"/>
          <w:sz w:val="24"/>
        </w:rPr>
        <w:t>)</w:t>
      </w:r>
      <w:r>
        <w:rPr>
          <w:rFonts w:hint="eastAsia" w:ascii="宋体" w:hAnsi="宋体"/>
          <w:kern w:val="0"/>
          <w:sz w:val="24"/>
        </w:rPr>
        <w:t>×30。</w:t>
      </w:r>
    </w:p>
    <w:p>
      <w:pPr>
        <w:tabs>
          <w:tab w:val="left" w:pos="3870"/>
          <w:tab w:val="left" w:pos="4085"/>
        </w:tabs>
        <w:snapToGrid w:val="0"/>
        <w:spacing w:after="120" w:afterLines="50" w:line="410" w:lineRule="exact"/>
        <w:ind w:firstLine="480" w:firstLineChars="200"/>
        <w:jc w:val="left"/>
        <w:rPr>
          <w:rFonts w:hint="eastAsia" w:ascii="宋体" w:hAnsi="宋体"/>
          <w:sz w:val="24"/>
        </w:rPr>
      </w:pPr>
      <w:r>
        <w:rPr>
          <w:rFonts w:hint="eastAsia" w:ascii="宋体" w:hAnsi="宋体"/>
          <w:sz w:val="24"/>
        </w:rPr>
        <w:t xml:space="preserve">对小型和微型企业的投标报价给予 </w:t>
      </w:r>
      <w:r>
        <w:rPr>
          <w:rFonts w:ascii="宋体" w:hAnsi="宋体"/>
          <w:sz w:val="24"/>
        </w:rPr>
        <w:t>6</w:t>
      </w:r>
      <w:r>
        <w:rPr>
          <w:rFonts w:hint="eastAsia" w:ascii="宋体" w:hAnsi="宋体"/>
          <w:sz w:val="24"/>
        </w:rPr>
        <w:t xml:space="preserve"> %的扣除，取扣除后的价格作为最终投标报价（此最终投标报价仅作为价格分计算）。</w:t>
      </w:r>
    </w:p>
    <w:p>
      <w:pPr>
        <w:snapToGrid w:val="0"/>
        <w:spacing w:line="360" w:lineRule="auto"/>
        <w:ind w:left="420" w:leftChars="200"/>
        <w:rPr>
          <w:rFonts w:ascii="宋体"/>
          <w:sz w:val="24"/>
        </w:rPr>
      </w:pPr>
      <w:r>
        <w:rPr>
          <w:rFonts w:hint="eastAsia" w:ascii="宋体" w:hAnsi="宋体"/>
          <w:sz w:val="24"/>
        </w:rPr>
        <w:t>2</w:t>
      </w:r>
      <w:r>
        <w:rPr>
          <w:rFonts w:ascii="宋体" w:hAnsi="宋体"/>
          <w:sz w:val="24"/>
        </w:rPr>
        <w:t>.</w:t>
      </w:r>
      <w:r>
        <w:rPr>
          <w:rFonts w:hint="eastAsia" w:ascii="宋体" w:hAnsi="宋体"/>
          <w:sz w:val="24"/>
        </w:rPr>
        <w:t>投标人的商务报价超出上限价的，作无效标处理。</w:t>
      </w:r>
      <w:r>
        <w:rPr>
          <w:rFonts w:hint="eastAsia" w:ascii="宋体" w:hAnsi="宋体"/>
          <w:b/>
          <w:bCs/>
          <w:sz w:val="24"/>
        </w:rPr>
        <w:t>本项目上限价为人民币</w:t>
      </w:r>
      <w:r>
        <w:rPr>
          <w:rFonts w:hint="eastAsia" w:ascii="宋体" w:hAnsi="宋体"/>
          <w:b/>
          <w:sz w:val="24"/>
        </w:rPr>
        <w:t>85万</w:t>
      </w:r>
      <w:r>
        <w:rPr>
          <w:rFonts w:hint="eastAsia" w:ascii="宋体" w:hAnsi="宋体"/>
          <w:b/>
          <w:bCs/>
          <w:sz w:val="24"/>
        </w:rPr>
        <w:t>元</w:t>
      </w:r>
      <w:r>
        <w:rPr>
          <w:rFonts w:hint="eastAsia" w:ascii="宋体" w:hAnsi="宋体"/>
          <w:b/>
          <w:bCs/>
          <w:kern w:val="0"/>
          <w:sz w:val="24"/>
        </w:rPr>
        <w:t>整</w:t>
      </w:r>
      <w:r>
        <w:rPr>
          <w:rFonts w:hint="eastAsia" w:ascii="宋体" w:hAnsi="宋体"/>
          <w:b/>
          <w:bCs/>
          <w:sz w:val="24"/>
        </w:rPr>
        <w:t>。</w:t>
      </w:r>
    </w:p>
    <w:p>
      <w:pPr>
        <w:snapToGrid w:val="0"/>
        <w:spacing w:line="360" w:lineRule="auto"/>
        <w:ind w:firstLine="480" w:firstLineChars="200"/>
        <w:rPr>
          <w:rFonts w:ascii="宋体"/>
          <w:sz w:val="24"/>
        </w:rPr>
      </w:pPr>
      <w:r>
        <w:rPr>
          <w:rFonts w:hint="eastAsia" w:ascii="宋体" w:hAnsi="宋体"/>
          <w:sz w:val="24"/>
        </w:rPr>
        <w:t>3</w:t>
      </w:r>
      <w:r>
        <w:rPr>
          <w:rFonts w:ascii="宋体" w:hAnsi="宋体"/>
          <w:sz w:val="24"/>
        </w:rPr>
        <w:t>.</w:t>
      </w:r>
      <w:r>
        <w:rPr>
          <w:rFonts w:hint="eastAsia" w:ascii="宋体" w:hAnsi="宋体"/>
          <w:sz w:val="24"/>
        </w:rPr>
        <w:t>报价是中标的一个重要因素，但最低报价不是中标的唯一依据。</w:t>
      </w:r>
    </w:p>
    <w:p>
      <w:pPr>
        <w:snapToGrid w:val="0"/>
        <w:spacing w:line="360" w:lineRule="auto"/>
        <w:ind w:firstLine="482" w:firstLineChars="200"/>
        <w:rPr>
          <w:rFonts w:hint="eastAsia" w:ascii="宋体"/>
          <w:b/>
          <w:sz w:val="24"/>
        </w:rPr>
      </w:pPr>
      <w:r>
        <w:rPr>
          <w:rFonts w:hint="eastAsia" w:ascii="宋体" w:hAnsi="宋体"/>
          <w:b/>
          <w:sz w:val="24"/>
        </w:rPr>
        <w:t>评审时如发现供应商的价格明显低于成本价，评标委员会有权要求供应商提供书面证明材料。该供应商不能合理说明原因并提供证明材料，评标委员会有权将该供应商的投标文件作无效标处理，同时招标代理机构应将该情况报同级财政部门，并视情况将其列入不良供应商名单。</w:t>
      </w:r>
    </w:p>
    <w:p>
      <w:pPr>
        <w:snapToGrid w:val="0"/>
        <w:spacing w:line="360" w:lineRule="auto"/>
        <w:ind w:firstLine="482" w:firstLineChars="200"/>
        <w:rPr>
          <w:rFonts w:ascii="宋体" w:hAnsi="宋体"/>
          <w:b/>
          <w:sz w:val="24"/>
        </w:rPr>
      </w:pPr>
      <w:r>
        <w:rPr>
          <w:rFonts w:hint="eastAsia" w:ascii="宋体" w:hAnsi="宋体"/>
          <w:b/>
          <w:bCs/>
          <w:sz w:val="24"/>
        </w:rPr>
        <w:t>（二）</w:t>
      </w:r>
      <w:r>
        <w:rPr>
          <w:rFonts w:hint="eastAsia" w:ascii="宋体" w:hAnsi="宋体"/>
          <w:b/>
          <w:sz w:val="24"/>
        </w:rPr>
        <w:t>技术资信分（70分）</w:t>
      </w:r>
    </w:p>
    <w:tbl>
      <w:tblPr>
        <w:tblStyle w:val="37"/>
        <w:tblpPr w:leftFromText="180" w:rightFromText="180" w:vertAnchor="text" w:horzAnchor="margin" w:tblpY="1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67"/>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trPr>
        <w:tc>
          <w:tcPr>
            <w:tcW w:w="817" w:type="dxa"/>
            <w:noWrap w:val="0"/>
            <w:vAlign w:val="center"/>
          </w:tcPr>
          <w:p>
            <w:pPr>
              <w:jc w:val="center"/>
              <w:rPr>
                <w:rFonts w:ascii="宋体" w:hAnsi="宋体"/>
                <w:bCs/>
                <w:sz w:val="24"/>
              </w:rPr>
            </w:pPr>
            <w:r>
              <w:rPr>
                <w:rFonts w:hint="eastAsia" w:ascii="宋体" w:hAnsi="宋体"/>
                <w:bCs/>
                <w:sz w:val="24"/>
              </w:rPr>
              <w:t>评分项目</w:t>
            </w:r>
          </w:p>
        </w:tc>
        <w:tc>
          <w:tcPr>
            <w:tcW w:w="1559" w:type="dxa"/>
            <w:noWrap w:val="0"/>
            <w:vAlign w:val="center"/>
          </w:tcPr>
          <w:p>
            <w:pPr>
              <w:jc w:val="center"/>
              <w:rPr>
                <w:rFonts w:hint="eastAsia" w:ascii="宋体" w:hAnsi="宋体"/>
                <w:bCs/>
                <w:sz w:val="24"/>
              </w:rPr>
            </w:pPr>
            <w:r>
              <w:rPr>
                <w:rFonts w:hint="eastAsia" w:ascii="宋体" w:hAnsi="宋体"/>
                <w:bCs/>
                <w:sz w:val="24"/>
              </w:rPr>
              <w:t>评分标准</w:t>
            </w:r>
          </w:p>
        </w:tc>
        <w:tc>
          <w:tcPr>
            <w:tcW w:w="567" w:type="dxa"/>
            <w:noWrap w:val="0"/>
            <w:vAlign w:val="center"/>
          </w:tcPr>
          <w:p>
            <w:pPr>
              <w:jc w:val="center"/>
              <w:rPr>
                <w:rFonts w:ascii="宋体" w:hAnsi="宋体"/>
                <w:bCs/>
                <w:sz w:val="24"/>
              </w:rPr>
            </w:pPr>
            <w:r>
              <w:rPr>
                <w:rFonts w:hint="eastAsia" w:ascii="宋体" w:hAnsi="宋体"/>
                <w:bCs/>
                <w:sz w:val="24"/>
              </w:rPr>
              <w:t>分值</w:t>
            </w:r>
          </w:p>
        </w:tc>
        <w:tc>
          <w:tcPr>
            <w:tcW w:w="7088" w:type="dxa"/>
            <w:noWrap w:val="0"/>
            <w:vAlign w:val="center"/>
          </w:tcPr>
          <w:p>
            <w:pPr>
              <w:jc w:val="center"/>
              <w:rPr>
                <w:rFonts w:ascii="宋体" w:hAnsi="宋体"/>
                <w:bCs/>
                <w:sz w:val="24"/>
              </w:rPr>
            </w:pPr>
            <w:r>
              <w:rPr>
                <w:rFonts w:hint="eastAsia" w:ascii="宋体" w:hAnsi="宋体"/>
                <w:bCs/>
                <w:sz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3" w:hRule="atLeast"/>
        </w:trPr>
        <w:tc>
          <w:tcPr>
            <w:tcW w:w="817" w:type="dxa"/>
            <w:vMerge w:val="restart"/>
            <w:noWrap w:val="0"/>
            <w:vAlign w:val="center"/>
          </w:tcPr>
          <w:p>
            <w:pPr>
              <w:rPr>
                <w:rFonts w:hint="eastAsia" w:ascii="宋体" w:hAnsi="宋体" w:cs="宋体"/>
                <w:kern w:val="0"/>
                <w:sz w:val="24"/>
              </w:rPr>
            </w:pPr>
            <w:bookmarkStart w:id="76" w:name="OLE_LINK10" w:colFirst="0" w:colLast="2"/>
            <w:r>
              <w:rPr>
                <w:rFonts w:hint="eastAsia" w:ascii="宋体" w:hAnsi="宋体" w:cs="宋体"/>
                <w:kern w:val="0"/>
                <w:sz w:val="24"/>
              </w:rPr>
              <w:t>技术分（60）</w:t>
            </w:r>
          </w:p>
        </w:tc>
        <w:tc>
          <w:tcPr>
            <w:tcW w:w="1559" w:type="dxa"/>
            <w:noWrap w:val="0"/>
            <w:vAlign w:val="center"/>
          </w:tcPr>
          <w:p>
            <w:pPr>
              <w:rPr>
                <w:rFonts w:hint="eastAsia"/>
              </w:rPr>
            </w:pPr>
            <w:r>
              <w:rPr>
                <w:rFonts w:hint="eastAsia"/>
              </w:rPr>
              <w:t>投标产品与需求的吻合程度（对于任何一项标有★的实质性要求有负偏离的，作无效标处理）</w:t>
            </w:r>
          </w:p>
        </w:tc>
        <w:tc>
          <w:tcPr>
            <w:tcW w:w="567" w:type="dxa"/>
            <w:noWrap w:val="0"/>
            <w:vAlign w:val="center"/>
          </w:tcPr>
          <w:p>
            <w:pPr>
              <w:jc w:val="center"/>
              <w:rPr>
                <w:rFonts w:hint="eastAsia"/>
              </w:rPr>
            </w:pPr>
            <w:r>
              <w:rPr>
                <w:rFonts w:hint="eastAsia"/>
              </w:rPr>
              <w:t>12</w:t>
            </w:r>
          </w:p>
        </w:tc>
        <w:tc>
          <w:tcPr>
            <w:tcW w:w="7088" w:type="dxa"/>
            <w:noWrap w:val="0"/>
            <w:vAlign w:val="center"/>
          </w:tcPr>
          <w:p>
            <w:pPr>
              <w:rPr>
                <w:rFonts w:hint="eastAsia"/>
                <w:color w:val="000000"/>
              </w:rPr>
            </w:pPr>
            <w:r>
              <w:rPr>
                <w:rFonts w:hint="eastAsia"/>
                <w:color w:val="000000"/>
              </w:rPr>
              <w:t>投标产品的基本功能、技术指标与需求的吻合程度和偏差情况（包括所投标产品的规格、详细配置、主要技术参数、随机软件等），是否体现一定先进性、可靠性、成熟性等；投标产品的选型上是否能够满足标书的基本要求，是否能满足本项目技术需求，其配置和性能是否能满足本系统运行的需求，在同类产品中是否具有优势，终端设备是否符合省公安厅发布的**通终端选型目录。无线网络、链路是否接入省厅移动**平台。打</w:t>
            </w:r>
            <w:r>
              <w:rPr>
                <w:rFonts w:hint="eastAsia" w:ascii="宋体" w:hAnsi="宋体"/>
                <w:color w:val="000000"/>
              </w:rPr>
              <w:t>▲</w:t>
            </w:r>
            <w:r>
              <w:rPr>
                <w:rFonts w:hint="eastAsia"/>
                <w:color w:val="000000"/>
              </w:rPr>
              <w:t>技术指标负偏离每一项扣3分，扣完为止打。打★的关键性指标负偏离的，作无效标处理。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atLeast"/>
        </w:trPr>
        <w:tc>
          <w:tcPr>
            <w:tcW w:w="817" w:type="dxa"/>
            <w:vMerge w:val="continue"/>
            <w:noWrap w:val="0"/>
            <w:vAlign w:val="center"/>
          </w:tcPr>
          <w:p>
            <w:pPr>
              <w:rPr>
                <w:rFonts w:hint="eastAsia" w:ascii="宋体" w:hAnsi="宋体" w:cs="宋体"/>
                <w:kern w:val="0"/>
                <w:sz w:val="24"/>
              </w:rPr>
            </w:pPr>
          </w:p>
        </w:tc>
        <w:tc>
          <w:tcPr>
            <w:tcW w:w="1559" w:type="dxa"/>
            <w:noWrap w:val="0"/>
            <w:vAlign w:val="center"/>
          </w:tcPr>
          <w:p>
            <w:pPr>
              <w:rPr>
                <w:rFonts w:hint="eastAsia"/>
              </w:rPr>
            </w:pPr>
            <w:r>
              <w:rPr>
                <w:rFonts w:hint="eastAsia"/>
              </w:rPr>
              <w:t>投标方案的科学性和完整性</w:t>
            </w:r>
          </w:p>
        </w:tc>
        <w:tc>
          <w:tcPr>
            <w:tcW w:w="567" w:type="dxa"/>
            <w:noWrap w:val="0"/>
            <w:vAlign w:val="center"/>
          </w:tcPr>
          <w:p>
            <w:pPr>
              <w:jc w:val="center"/>
              <w:rPr>
                <w:rFonts w:hint="eastAsia"/>
              </w:rPr>
            </w:pPr>
            <w:r>
              <w:rPr>
                <w:rFonts w:hint="eastAsia"/>
              </w:rPr>
              <w:t>8</w:t>
            </w:r>
          </w:p>
        </w:tc>
        <w:tc>
          <w:tcPr>
            <w:tcW w:w="7088" w:type="dxa"/>
            <w:noWrap w:val="0"/>
            <w:vAlign w:val="center"/>
          </w:tcPr>
          <w:p>
            <w:pPr>
              <w:rPr>
                <w:rFonts w:hint="eastAsia"/>
                <w:color w:val="000000"/>
              </w:rPr>
            </w:pPr>
            <w:r>
              <w:rPr>
                <w:rFonts w:hint="eastAsia"/>
                <w:color w:val="000000"/>
              </w:rPr>
              <w:t>根据投标人对使用单位需求与应用的理解程度及详细实施方案等得分。本次项目的升级改造会对网络架构进行调整、整合和更新。（8分）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trPr>
        <w:tc>
          <w:tcPr>
            <w:tcW w:w="817" w:type="dxa"/>
            <w:vMerge w:val="continue"/>
            <w:noWrap w:val="0"/>
            <w:vAlign w:val="center"/>
          </w:tcPr>
          <w:p>
            <w:pPr>
              <w:rPr>
                <w:rFonts w:hint="eastAsia" w:ascii="宋体" w:hAnsi="宋体" w:cs="宋体"/>
                <w:kern w:val="0"/>
                <w:sz w:val="24"/>
              </w:rPr>
            </w:pPr>
          </w:p>
        </w:tc>
        <w:tc>
          <w:tcPr>
            <w:tcW w:w="1559" w:type="dxa"/>
            <w:noWrap w:val="0"/>
            <w:vAlign w:val="center"/>
          </w:tcPr>
          <w:p>
            <w:pPr>
              <w:rPr>
                <w:rFonts w:hint="eastAsia"/>
              </w:rPr>
            </w:pPr>
            <w:r>
              <w:rPr>
                <w:rFonts w:hint="eastAsia"/>
              </w:rPr>
              <w:t>关键技术解决能力和资源整合利用的能力</w:t>
            </w:r>
          </w:p>
        </w:tc>
        <w:tc>
          <w:tcPr>
            <w:tcW w:w="567" w:type="dxa"/>
            <w:noWrap w:val="0"/>
            <w:vAlign w:val="center"/>
          </w:tcPr>
          <w:p>
            <w:pPr>
              <w:jc w:val="center"/>
              <w:rPr>
                <w:rFonts w:hint="eastAsia"/>
              </w:rPr>
            </w:pPr>
            <w:r>
              <w:rPr>
                <w:rFonts w:hint="eastAsia"/>
              </w:rPr>
              <w:t>15</w:t>
            </w:r>
          </w:p>
        </w:tc>
        <w:tc>
          <w:tcPr>
            <w:tcW w:w="7088" w:type="dxa"/>
            <w:noWrap w:val="0"/>
            <w:vAlign w:val="center"/>
          </w:tcPr>
          <w:p>
            <w:pPr>
              <w:rPr>
                <w:rFonts w:hint="eastAsia"/>
                <w:color w:val="000000"/>
              </w:rPr>
            </w:pPr>
            <w:r>
              <w:rPr>
                <w:rFonts w:hint="eastAsia"/>
                <w:color w:val="000000"/>
              </w:rPr>
              <w:t>投标方案设计中的终端、无线链路、加密卡等关键技术解决能力（8分）；</w:t>
            </w:r>
          </w:p>
          <w:p>
            <w:pPr>
              <w:rPr>
                <w:rFonts w:hint="eastAsia"/>
                <w:color w:val="000000"/>
              </w:rPr>
            </w:pPr>
            <w:r>
              <w:rPr>
                <w:rFonts w:hint="eastAsia"/>
                <w:color w:val="000000"/>
              </w:rPr>
              <w:t xml:space="preserve"> 投标方案是否提出合理可操作的各相关系统之间的衔接及整合方案，特别是对省公安厅移动**平台系统的对接整合能力，符合全省移动**统一接入应用标准和要求，是否有安全、稳定、成熟可行的方案，并考虑系统的扩展和延伸能力（4分）；</w:t>
            </w:r>
          </w:p>
          <w:p>
            <w:pPr>
              <w:rPr>
                <w:rFonts w:hint="eastAsia"/>
                <w:color w:val="000000"/>
              </w:rPr>
            </w:pPr>
            <w:r>
              <w:rPr>
                <w:rFonts w:hint="eastAsia"/>
                <w:color w:val="000000"/>
              </w:rPr>
              <w:t>投标产品能确保 “浙江云端”移动应用平台平稳运行（3分）。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trPr>
        <w:tc>
          <w:tcPr>
            <w:tcW w:w="817" w:type="dxa"/>
            <w:vMerge w:val="continue"/>
            <w:noWrap w:val="0"/>
            <w:vAlign w:val="center"/>
          </w:tcPr>
          <w:p>
            <w:pPr>
              <w:rPr>
                <w:rFonts w:hint="eastAsia" w:ascii="宋体" w:hAnsi="宋体" w:cs="宋体"/>
                <w:kern w:val="0"/>
                <w:sz w:val="24"/>
              </w:rPr>
            </w:pPr>
          </w:p>
        </w:tc>
        <w:tc>
          <w:tcPr>
            <w:tcW w:w="1559" w:type="dxa"/>
            <w:noWrap w:val="0"/>
            <w:vAlign w:val="center"/>
          </w:tcPr>
          <w:p>
            <w:pPr>
              <w:rPr>
                <w:rFonts w:hint="eastAsia"/>
              </w:rPr>
            </w:pPr>
            <w:r>
              <w:rPr>
                <w:rFonts w:hint="eastAsia"/>
              </w:rPr>
              <w:t>租赁期服务方案情况</w:t>
            </w:r>
          </w:p>
        </w:tc>
        <w:tc>
          <w:tcPr>
            <w:tcW w:w="567" w:type="dxa"/>
            <w:noWrap w:val="0"/>
            <w:vAlign w:val="center"/>
          </w:tcPr>
          <w:p>
            <w:pPr>
              <w:jc w:val="center"/>
              <w:rPr>
                <w:rFonts w:hint="eastAsia"/>
              </w:rPr>
            </w:pPr>
            <w:r>
              <w:rPr>
                <w:rFonts w:hint="eastAsia"/>
              </w:rPr>
              <w:t>12</w:t>
            </w:r>
          </w:p>
        </w:tc>
        <w:tc>
          <w:tcPr>
            <w:tcW w:w="7088" w:type="dxa"/>
            <w:noWrap w:val="0"/>
            <w:vAlign w:val="center"/>
          </w:tcPr>
          <w:p>
            <w:pPr>
              <w:rPr>
                <w:rFonts w:hint="eastAsia"/>
              </w:rPr>
            </w:pPr>
            <w:r>
              <w:rPr>
                <w:rFonts w:hint="eastAsia"/>
              </w:rPr>
              <w:t>投标人提供的租赁期服务方案的总体框架设计和描述是否先进、合理、完整、可行；对项目租赁期服务需求的理解情况；（5分）；</w:t>
            </w:r>
          </w:p>
          <w:p>
            <w:pPr>
              <w:rPr>
                <w:rFonts w:hint="eastAsia"/>
              </w:rPr>
            </w:pPr>
            <w:r>
              <w:rPr>
                <w:rFonts w:hint="eastAsia"/>
              </w:rPr>
              <w:t>投标人是否建立完善的租赁服务工作机制，工作机制是否可行、运转是否合理；安全制度、巡检制度、值班制度、考核制度、台帐制度、汇报制度、保障措施、服务质量、优化机制、应急处置等制度和机制是否可行合理（5分）；</w:t>
            </w:r>
          </w:p>
          <w:p>
            <w:pPr>
              <w:rPr>
                <w:rFonts w:hint="eastAsia"/>
              </w:rPr>
            </w:pPr>
            <w:r>
              <w:rPr>
                <w:rFonts w:hint="eastAsia"/>
              </w:rPr>
              <w:t>投标人提供的租赁期服务承诺的可行性、完整性以及服务承诺落实的保障措施，租赁期的后续技术支持和维护能力情况等；对服务承诺的保障措施，运行维护人员、设备安排是否合理等，是否满足采购人的要求等（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817" w:type="dxa"/>
            <w:vMerge w:val="continue"/>
            <w:noWrap w:val="0"/>
            <w:vAlign w:val="center"/>
          </w:tcPr>
          <w:p>
            <w:pPr>
              <w:rPr>
                <w:rFonts w:hint="eastAsia" w:ascii="宋体" w:hAnsi="宋体" w:cs="宋体"/>
                <w:kern w:val="0"/>
                <w:sz w:val="24"/>
              </w:rPr>
            </w:pPr>
          </w:p>
        </w:tc>
        <w:tc>
          <w:tcPr>
            <w:tcW w:w="1559" w:type="dxa"/>
            <w:noWrap w:val="0"/>
            <w:vAlign w:val="center"/>
          </w:tcPr>
          <w:p>
            <w:pPr>
              <w:rPr>
                <w:rFonts w:hint="eastAsia"/>
              </w:rPr>
            </w:pPr>
            <w:r>
              <w:rPr>
                <w:rFonts w:hint="eastAsia"/>
              </w:rPr>
              <w:t>质量保证措施和建设工期承诺</w:t>
            </w:r>
          </w:p>
        </w:tc>
        <w:tc>
          <w:tcPr>
            <w:tcW w:w="567" w:type="dxa"/>
            <w:noWrap w:val="0"/>
            <w:vAlign w:val="center"/>
          </w:tcPr>
          <w:p>
            <w:pPr>
              <w:jc w:val="center"/>
              <w:rPr>
                <w:rFonts w:hint="eastAsia"/>
              </w:rPr>
            </w:pPr>
            <w:r>
              <w:rPr>
                <w:rFonts w:hint="eastAsia"/>
              </w:rPr>
              <w:t>4</w:t>
            </w:r>
          </w:p>
        </w:tc>
        <w:tc>
          <w:tcPr>
            <w:tcW w:w="7088" w:type="dxa"/>
            <w:noWrap w:val="0"/>
            <w:vAlign w:val="center"/>
          </w:tcPr>
          <w:p>
            <w:pPr>
              <w:rPr>
                <w:rFonts w:hint="eastAsia"/>
              </w:rPr>
            </w:pPr>
            <w:r>
              <w:rPr>
                <w:rFonts w:hint="eastAsia"/>
              </w:rPr>
              <w:t>投标人按采购人要求有明确的建设质量目标，质量保证措施，并具有详细可行的实施内容等（2分）；</w:t>
            </w:r>
          </w:p>
          <w:p>
            <w:pPr>
              <w:rPr>
                <w:rFonts w:hint="eastAsia"/>
              </w:rPr>
            </w:pPr>
            <w:r>
              <w:rPr>
                <w:rFonts w:hint="eastAsia"/>
              </w:rPr>
              <w:t>投标方案是否提出符合招标文件和采购人要求，按期完成设备供货、系统配置、部署测试、上线运行、验收等措施（2分）。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817" w:type="dxa"/>
            <w:vMerge w:val="continue"/>
            <w:noWrap w:val="0"/>
            <w:vAlign w:val="center"/>
          </w:tcPr>
          <w:p>
            <w:pPr>
              <w:rPr>
                <w:rFonts w:hint="eastAsia" w:ascii="宋体" w:hAnsi="宋体" w:cs="宋体"/>
                <w:kern w:val="0"/>
                <w:sz w:val="24"/>
              </w:rPr>
            </w:pPr>
          </w:p>
        </w:tc>
        <w:tc>
          <w:tcPr>
            <w:tcW w:w="1559" w:type="dxa"/>
            <w:noWrap w:val="0"/>
            <w:vAlign w:val="center"/>
          </w:tcPr>
          <w:p>
            <w:pPr>
              <w:rPr>
                <w:rFonts w:hint="eastAsia"/>
                <w:color w:val="FF0000"/>
              </w:rPr>
            </w:pPr>
            <w:r>
              <w:rPr>
                <w:rFonts w:hint="eastAsia"/>
                <w:color w:val="FF0000"/>
              </w:rPr>
              <w:t>租赁期间运维服务</w:t>
            </w:r>
          </w:p>
        </w:tc>
        <w:tc>
          <w:tcPr>
            <w:tcW w:w="567" w:type="dxa"/>
            <w:noWrap w:val="0"/>
            <w:vAlign w:val="center"/>
          </w:tcPr>
          <w:p>
            <w:pPr>
              <w:jc w:val="center"/>
              <w:rPr>
                <w:rFonts w:hint="eastAsia"/>
                <w:color w:val="FF0000"/>
              </w:rPr>
            </w:pPr>
            <w:r>
              <w:rPr>
                <w:rFonts w:hint="eastAsia"/>
                <w:color w:val="FF0000"/>
              </w:rPr>
              <w:t>5</w:t>
            </w:r>
          </w:p>
        </w:tc>
        <w:tc>
          <w:tcPr>
            <w:tcW w:w="7088" w:type="dxa"/>
            <w:noWrap w:val="0"/>
            <w:vAlign w:val="center"/>
          </w:tcPr>
          <w:p>
            <w:pPr>
              <w:rPr>
                <w:rFonts w:hint="eastAsia"/>
                <w:color w:val="FF0000"/>
              </w:rPr>
            </w:pPr>
            <w:r>
              <w:rPr>
                <w:rFonts w:hint="eastAsia"/>
                <w:color w:val="FF0000"/>
              </w:rPr>
              <w:t>1、投标人承诺在中标后响应时间在1小时内到达现场的得2分。</w:t>
            </w:r>
          </w:p>
          <w:p>
            <w:pPr>
              <w:rPr>
                <w:rFonts w:hint="eastAsia"/>
                <w:color w:val="FF0000"/>
              </w:rPr>
            </w:pPr>
            <w:r>
              <w:rPr>
                <w:rFonts w:hint="eastAsia"/>
                <w:color w:val="FF0000"/>
              </w:rPr>
              <w:t>2、投标人或其分公司注册地在桐庐县内或者投标人承诺中标后在桐庐县内设立分公司的得3分。</w:t>
            </w:r>
          </w:p>
          <w:p>
            <w:pPr>
              <w:rPr>
                <w:rFonts w:hint="eastAsia"/>
                <w:color w:val="FF0000"/>
              </w:rPr>
            </w:pPr>
            <w:r>
              <w:rPr>
                <w:rFonts w:hint="eastAsia"/>
                <w:color w:val="FF0000"/>
              </w:rPr>
              <w:t>需提供营业执照原件，承诺书只需放入技术标中即可。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817" w:type="dxa"/>
            <w:vMerge w:val="continue"/>
            <w:noWrap w:val="0"/>
            <w:vAlign w:val="center"/>
          </w:tcPr>
          <w:p>
            <w:pPr>
              <w:rPr>
                <w:rFonts w:hint="eastAsia" w:ascii="宋体" w:hAnsi="宋体" w:cs="宋体"/>
                <w:kern w:val="0"/>
                <w:sz w:val="24"/>
              </w:rPr>
            </w:pPr>
          </w:p>
        </w:tc>
        <w:tc>
          <w:tcPr>
            <w:tcW w:w="1559" w:type="dxa"/>
            <w:noWrap w:val="0"/>
            <w:vAlign w:val="center"/>
          </w:tcPr>
          <w:p>
            <w:pPr>
              <w:rPr>
                <w:rFonts w:hint="eastAsia"/>
                <w:color w:val="FF0000"/>
              </w:rPr>
            </w:pPr>
            <w:r>
              <w:rPr>
                <w:rFonts w:hint="eastAsia"/>
                <w:color w:val="FF0000"/>
              </w:rPr>
              <w:t>培训、测试、试运转和验收</w:t>
            </w:r>
          </w:p>
        </w:tc>
        <w:tc>
          <w:tcPr>
            <w:tcW w:w="567" w:type="dxa"/>
            <w:noWrap w:val="0"/>
            <w:vAlign w:val="center"/>
          </w:tcPr>
          <w:p>
            <w:pPr>
              <w:jc w:val="center"/>
              <w:rPr>
                <w:rFonts w:hint="eastAsia"/>
                <w:color w:val="FF0000"/>
              </w:rPr>
            </w:pPr>
            <w:r>
              <w:rPr>
                <w:rFonts w:hint="eastAsia"/>
                <w:color w:val="FF0000"/>
              </w:rPr>
              <w:t>4</w:t>
            </w:r>
          </w:p>
        </w:tc>
        <w:tc>
          <w:tcPr>
            <w:tcW w:w="7088" w:type="dxa"/>
            <w:noWrap w:val="0"/>
            <w:vAlign w:val="center"/>
          </w:tcPr>
          <w:p>
            <w:pPr>
              <w:rPr>
                <w:rFonts w:hint="eastAsia"/>
                <w:color w:val="FF0000"/>
              </w:rPr>
            </w:pPr>
            <w:r>
              <w:rPr>
                <w:rFonts w:hint="eastAsia"/>
                <w:color w:val="FF0000"/>
              </w:rPr>
              <w:t>投标人提出的功能测试、试运转及验收方案的合理性、可行性情况等（2分）；</w:t>
            </w:r>
          </w:p>
          <w:p>
            <w:pPr>
              <w:rPr>
                <w:rFonts w:hint="eastAsia"/>
                <w:color w:val="FF0000"/>
              </w:rPr>
            </w:pPr>
            <w:r>
              <w:rPr>
                <w:rFonts w:hint="eastAsia"/>
                <w:color w:val="FF0000"/>
              </w:rPr>
              <w:t>投标人提出的培训计划、地点、组织、人员配备、软硬件资料等内容是否完整、科学合理，费用是否计入总报价（2分）。</w:t>
            </w:r>
          </w:p>
        </w:tc>
      </w:tr>
      <w:bookmark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817" w:type="dxa"/>
            <w:vMerge w:val="restart"/>
            <w:noWrap w:val="0"/>
            <w:vAlign w:val="center"/>
          </w:tcPr>
          <w:p>
            <w:pPr>
              <w:rPr>
                <w:rFonts w:ascii="宋体" w:hAnsi="宋体"/>
                <w:bCs/>
                <w:sz w:val="24"/>
              </w:rPr>
            </w:pPr>
            <w:r>
              <w:rPr>
                <w:rFonts w:hint="eastAsia" w:ascii="宋体" w:hAnsi="宋体" w:cs="宋体"/>
                <w:kern w:val="0"/>
                <w:sz w:val="24"/>
              </w:rPr>
              <w:t>商务资信分（10）</w:t>
            </w:r>
          </w:p>
        </w:tc>
        <w:tc>
          <w:tcPr>
            <w:tcW w:w="1559" w:type="dxa"/>
            <w:vMerge w:val="restart"/>
            <w:noWrap w:val="0"/>
            <w:vAlign w:val="center"/>
          </w:tcPr>
          <w:p>
            <w:pPr>
              <w:rPr>
                <w:rFonts w:hint="eastAsia" w:ascii="宋体" w:hAnsi="宋体"/>
                <w:bCs/>
                <w:sz w:val="24"/>
              </w:rPr>
            </w:pPr>
            <w:r>
              <w:rPr>
                <w:rFonts w:hint="eastAsia"/>
              </w:rPr>
              <w:t>公司经营情况及技术服务人员情况</w:t>
            </w:r>
          </w:p>
        </w:tc>
        <w:tc>
          <w:tcPr>
            <w:tcW w:w="567" w:type="dxa"/>
            <w:noWrap w:val="0"/>
            <w:vAlign w:val="center"/>
          </w:tcPr>
          <w:p>
            <w:pPr>
              <w:jc w:val="center"/>
              <w:rPr>
                <w:rFonts w:hint="eastAsia" w:ascii="宋体" w:hAnsi="宋体"/>
                <w:bCs/>
                <w:sz w:val="24"/>
              </w:rPr>
            </w:pPr>
            <w:r>
              <w:rPr>
                <w:rFonts w:hint="eastAsia" w:ascii="宋体" w:hAnsi="宋体"/>
                <w:bCs/>
                <w:sz w:val="24"/>
              </w:rPr>
              <w:t>6</w:t>
            </w:r>
          </w:p>
        </w:tc>
        <w:tc>
          <w:tcPr>
            <w:tcW w:w="7088" w:type="dxa"/>
            <w:noWrap w:val="0"/>
            <w:vAlign w:val="center"/>
          </w:tcPr>
          <w:p>
            <w:r>
              <w:rPr>
                <w:rFonts w:hint="eastAsia"/>
              </w:rPr>
              <w:t>提供2015年1月（以合同签订期为准）以来类似**通采购成功案例的,每个得2分。本项目最高得6分。（须于投标截止时间前提供合同原件）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6" w:hRule="atLeast"/>
        </w:trPr>
        <w:tc>
          <w:tcPr>
            <w:tcW w:w="817" w:type="dxa"/>
            <w:vMerge w:val="continue"/>
            <w:noWrap w:val="0"/>
            <w:vAlign w:val="center"/>
          </w:tcPr>
          <w:p>
            <w:pPr>
              <w:rPr>
                <w:rFonts w:ascii="宋体" w:hAnsi="宋体"/>
                <w:bCs/>
                <w:sz w:val="24"/>
              </w:rPr>
            </w:pPr>
          </w:p>
        </w:tc>
        <w:tc>
          <w:tcPr>
            <w:tcW w:w="1559" w:type="dxa"/>
            <w:vMerge w:val="continue"/>
            <w:noWrap w:val="0"/>
            <w:vAlign w:val="center"/>
          </w:tcPr>
          <w:p>
            <w:pPr>
              <w:rPr>
                <w:rFonts w:hint="eastAsia" w:ascii="宋体" w:hAnsi="宋体"/>
                <w:bCs/>
                <w:sz w:val="24"/>
              </w:rPr>
            </w:pPr>
          </w:p>
        </w:tc>
        <w:tc>
          <w:tcPr>
            <w:tcW w:w="567" w:type="dxa"/>
            <w:noWrap w:val="0"/>
            <w:vAlign w:val="center"/>
          </w:tcPr>
          <w:p>
            <w:pPr>
              <w:jc w:val="center"/>
              <w:rPr>
                <w:rFonts w:hint="eastAsia" w:ascii="宋体" w:hAnsi="宋体"/>
                <w:bCs/>
                <w:sz w:val="24"/>
              </w:rPr>
            </w:pPr>
            <w:r>
              <w:rPr>
                <w:rFonts w:hint="eastAsia" w:ascii="宋体" w:hAnsi="宋体"/>
                <w:bCs/>
                <w:sz w:val="24"/>
              </w:rPr>
              <w:t>2</w:t>
            </w:r>
          </w:p>
        </w:tc>
        <w:tc>
          <w:tcPr>
            <w:tcW w:w="7088" w:type="dxa"/>
            <w:noWrap w:val="0"/>
            <w:vAlign w:val="center"/>
          </w:tcPr>
          <w:p>
            <w:pPr>
              <w:rPr>
                <w:rFonts w:hint="eastAsia"/>
              </w:rPr>
            </w:pPr>
            <w:r>
              <w:rPr>
                <w:rFonts w:hint="eastAsia"/>
              </w:rPr>
              <w:t>具有基础电信业务运营资质的得2分，需要提供证明文件复印件加盖公章，无不得分。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6" w:hRule="atLeast"/>
        </w:trPr>
        <w:tc>
          <w:tcPr>
            <w:tcW w:w="817" w:type="dxa"/>
            <w:vMerge w:val="continue"/>
            <w:noWrap w:val="0"/>
            <w:vAlign w:val="center"/>
          </w:tcPr>
          <w:p>
            <w:pPr>
              <w:rPr>
                <w:rFonts w:ascii="宋体" w:hAnsi="宋体"/>
                <w:bCs/>
                <w:sz w:val="24"/>
              </w:rPr>
            </w:pPr>
          </w:p>
        </w:tc>
        <w:tc>
          <w:tcPr>
            <w:tcW w:w="1559" w:type="dxa"/>
            <w:vMerge w:val="continue"/>
            <w:noWrap w:val="0"/>
            <w:vAlign w:val="center"/>
          </w:tcPr>
          <w:p>
            <w:pPr>
              <w:rPr>
                <w:rFonts w:hint="eastAsia" w:ascii="宋体" w:hAnsi="宋体"/>
                <w:bCs/>
                <w:sz w:val="24"/>
              </w:rPr>
            </w:pPr>
          </w:p>
        </w:tc>
        <w:tc>
          <w:tcPr>
            <w:tcW w:w="567" w:type="dxa"/>
            <w:noWrap w:val="0"/>
            <w:vAlign w:val="center"/>
          </w:tcPr>
          <w:p>
            <w:pPr>
              <w:jc w:val="center"/>
              <w:rPr>
                <w:rFonts w:ascii="宋体" w:hAnsi="宋体"/>
                <w:bCs/>
                <w:sz w:val="24"/>
              </w:rPr>
            </w:pPr>
            <w:r>
              <w:rPr>
                <w:rFonts w:hint="eastAsia" w:ascii="宋体" w:hAnsi="宋体"/>
                <w:bCs/>
                <w:sz w:val="24"/>
              </w:rPr>
              <w:t>2</w:t>
            </w:r>
          </w:p>
        </w:tc>
        <w:tc>
          <w:tcPr>
            <w:tcW w:w="7088" w:type="dxa"/>
            <w:noWrap w:val="0"/>
            <w:vAlign w:val="center"/>
          </w:tcPr>
          <w:p>
            <w:r>
              <w:rPr>
                <w:rFonts w:hint="eastAsia"/>
              </w:rPr>
              <w:t>投标文件编制有序、装订整齐、书面整洁、内容详实。</w:t>
            </w:r>
          </w:p>
        </w:tc>
      </w:tr>
    </w:tbl>
    <w:p>
      <w:pPr>
        <w:snapToGrid w:val="0"/>
        <w:spacing w:line="360" w:lineRule="auto"/>
        <w:ind w:firstLine="482" w:firstLineChars="200"/>
        <w:rPr>
          <w:rFonts w:hint="eastAsia" w:ascii="宋体" w:hAnsi="宋体"/>
          <w:b/>
          <w:sz w:val="24"/>
        </w:rPr>
      </w:pPr>
    </w:p>
    <w:p>
      <w:pPr>
        <w:snapToGrid w:val="0"/>
        <w:spacing w:line="360" w:lineRule="auto"/>
        <w:ind w:firstLine="482" w:firstLineChars="200"/>
        <w:rPr>
          <w:rFonts w:ascii="宋体"/>
          <w:b/>
          <w:sz w:val="24"/>
        </w:rPr>
      </w:pPr>
      <w:r>
        <w:rPr>
          <w:rFonts w:hint="eastAsia" w:ascii="宋体" w:hAnsi="宋体"/>
          <w:b/>
          <w:sz w:val="24"/>
        </w:rPr>
        <w:t>三、技术资信分的计算：</w:t>
      </w:r>
    </w:p>
    <w:p>
      <w:pPr>
        <w:spacing w:after="120"/>
        <w:ind w:firstLine="480" w:firstLineChars="200"/>
        <w:rPr>
          <w:rFonts w:hint="eastAsia" w:ascii="宋体" w:hAnsi="宋体"/>
          <w:sz w:val="24"/>
        </w:rPr>
      </w:pPr>
      <w:r>
        <w:rPr>
          <w:rFonts w:hint="eastAsia" w:ascii="宋体" w:hAnsi="宋体"/>
          <w:sz w:val="24"/>
        </w:rPr>
        <w:t>技术商务资信分按照评标委员会成员的独立评分结果汇总数,以算术平均分计算，计算公式为：</w:t>
      </w:r>
    </w:p>
    <w:p>
      <w:pPr>
        <w:spacing w:after="120"/>
        <w:ind w:firstLine="480" w:firstLineChars="200"/>
        <w:rPr>
          <w:rFonts w:hint="eastAsia" w:ascii="宋体" w:hAnsi="宋体"/>
          <w:sz w:val="24"/>
        </w:rPr>
      </w:pPr>
      <w:r>
        <w:rPr>
          <w:rFonts w:hint="eastAsia" w:ascii="宋体" w:hAnsi="宋体"/>
          <w:sz w:val="24"/>
        </w:rPr>
        <w:t>技术商务资信分=（评标委员会所有成员评分合计数）/（评标委员会组成人员数）</w:t>
      </w:r>
    </w:p>
    <w:p>
      <w:pPr>
        <w:spacing w:before="120" w:beforeLines="50" w:after="120" w:afterLines="50" w:line="420" w:lineRule="exact"/>
        <w:rPr>
          <w:rFonts w:hint="eastAsia" w:ascii="宋体" w:hAnsi="宋体"/>
          <w:b/>
          <w:sz w:val="32"/>
          <w:szCs w:val="32"/>
        </w:rPr>
      </w:pPr>
      <w:r>
        <w:rPr>
          <w:rFonts w:hint="eastAsia" w:ascii="宋体" w:hAnsi="宋体"/>
          <w:b/>
          <w:bCs/>
          <w:kern w:val="0"/>
          <w:sz w:val="24"/>
        </w:rPr>
        <w:br w:type="page"/>
      </w:r>
    </w:p>
    <w:p>
      <w:pPr>
        <w:snapToGrid w:val="0"/>
        <w:spacing w:line="360" w:lineRule="auto"/>
        <w:jc w:val="center"/>
        <w:rPr>
          <w:rFonts w:ascii="宋体" w:hAnsi="宋体"/>
          <w:b/>
          <w:kern w:val="0"/>
          <w:sz w:val="30"/>
          <w:szCs w:val="30"/>
        </w:rPr>
      </w:pPr>
      <w:r>
        <w:rPr>
          <w:rFonts w:hint="eastAsia" w:ascii="宋体" w:hAnsi="宋体"/>
          <w:b/>
          <w:bCs/>
          <w:kern w:val="0"/>
          <w:sz w:val="30"/>
          <w:szCs w:val="30"/>
        </w:rPr>
        <w:t>第五章</w:t>
      </w:r>
      <w:r>
        <w:rPr>
          <w:rFonts w:ascii="宋体" w:hAnsi="宋体"/>
          <w:b/>
          <w:bCs/>
          <w:kern w:val="0"/>
          <w:sz w:val="30"/>
          <w:szCs w:val="30"/>
        </w:rPr>
        <w:t xml:space="preserve"> </w:t>
      </w:r>
      <w:r>
        <w:rPr>
          <w:rFonts w:hint="eastAsia" w:ascii="宋体" w:hAnsi="宋体"/>
          <w:b/>
          <w:bCs/>
          <w:kern w:val="0"/>
          <w:sz w:val="30"/>
          <w:szCs w:val="30"/>
        </w:rPr>
        <w:t>政府采购合同（范本）</w:t>
      </w:r>
    </w:p>
    <w:p>
      <w:pPr>
        <w:pStyle w:val="78"/>
        <w:spacing w:before="0" w:line="420" w:lineRule="exact"/>
        <w:ind w:firstLineChars="0"/>
        <w:jc w:val="center"/>
        <w:rPr>
          <w:rFonts w:ascii="宋体" w:hAnsi="宋体"/>
        </w:rPr>
      </w:pPr>
      <w:r>
        <w:rPr>
          <w:rFonts w:hint="eastAsia" w:ascii="宋体" w:hAnsi="宋体"/>
        </w:rPr>
        <w:t>（具体文本以实际签署的为准）</w:t>
      </w:r>
    </w:p>
    <w:p>
      <w:pPr>
        <w:pStyle w:val="18"/>
        <w:snapToGrid w:val="0"/>
        <w:spacing w:before="120" w:after="120" w:line="360" w:lineRule="auto"/>
        <w:rPr>
          <w:rFonts w:hAnsi="宋体"/>
          <w:sz w:val="24"/>
        </w:rPr>
      </w:pPr>
      <w:r>
        <w:rPr>
          <w:rFonts w:hint="eastAsia" w:hAnsi="宋体"/>
          <w:sz w:val="24"/>
        </w:rPr>
        <w:t>项目名称：                                       项目编号：</w:t>
      </w:r>
    </w:p>
    <w:p>
      <w:pPr>
        <w:pStyle w:val="18"/>
        <w:snapToGrid w:val="0"/>
        <w:spacing w:before="120" w:after="120" w:line="360" w:lineRule="auto"/>
        <w:rPr>
          <w:rFonts w:hAnsi="宋体"/>
          <w:sz w:val="24"/>
        </w:rPr>
      </w:pPr>
      <w:r>
        <w:rPr>
          <w:rFonts w:hint="eastAsia" w:hAnsi="宋体"/>
          <w:sz w:val="24"/>
        </w:rPr>
        <w:t>甲方：（买方）</w:t>
      </w:r>
    </w:p>
    <w:p>
      <w:pPr>
        <w:pStyle w:val="18"/>
        <w:snapToGrid w:val="0"/>
        <w:spacing w:before="120" w:after="120" w:line="360" w:lineRule="auto"/>
        <w:rPr>
          <w:rFonts w:hAnsi="宋体"/>
          <w:sz w:val="24"/>
        </w:rPr>
      </w:pPr>
      <w:r>
        <w:rPr>
          <w:rFonts w:hint="eastAsia" w:hAnsi="宋体"/>
          <w:sz w:val="24"/>
        </w:rPr>
        <w:t>乙方：（卖方）</w:t>
      </w:r>
    </w:p>
    <w:p>
      <w:pPr>
        <w:pStyle w:val="18"/>
        <w:snapToGrid w:val="0"/>
        <w:spacing w:before="120" w:after="120" w:line="360" w:lineRule="auto"/>
        <w:rPr>
          <w:rFonts w:hAnsi="宋体"/>
          <w:b/>
          <w:sz w:val="24"/>
        </w:rPr>
      </w:pPr>
      <w:r>
        <w:rPr>
          <w:rFonts w:hint="eastAsia" w:hAnsi="宋体"/>
          <w:b/>
          <w:sz w:val="24"/>
        </w:rPr>
        <w:t xml:space="preserve">   </w:t>
      </w:r>
      <w:r>
        <w:rPr>
          <w:rFonts w:hint="eastAsia" w:hAnsi="宋体"/>
          <w:sz w:val="24"/>
        </w:rPr>
        <w:t>甲、乙双方根据杭州欣兴建设工程招标代理有限公司关于____________项目磋商的结果，签署本合同。</w:t>
      </w:r>
    </w:p>
    <w:p>
      <w:pPr>
        <w:pStyle w:val="18"/>
        <w:snapToGrid w:val="0"/>
        <w:spacing w:before="120" w:after="120" w:line="360" w:lineRule="auto"/>
        <w:rPr>
          <w:rFonts w:hAnsi="宋体"/>
          <w:b/>
          <w:sz w:val="24"/>
        </w:rPr>
      </w:pPr>
      <w:r>
        <w:rPr>
          <w:rFonts w:hint="eastAsia" w:hAnsi="宋体"/>
          <w:b/>
          <w:sz w:val="24"/>
        </w:rPr>
        <w:t>一、货物清单及价格（附后）</w:t>
      </w:r>
    </w:p>
    <w:p>
      <w:pPr>
        <w:pStyle w:val="18"/>
        <w:snapToGrid w:val="0"/>
        <w:spacing w:before="120" w:after="120" w:line="360" w:lineRule="auto"/>
        <w:rPr>
          <w:rFonts w:hAnsi="宋体"/>
          <w:b/>
          <w:sz w:val="24"/>
        </w:rPr>
      </w:pPr>
      <w:r>
        <w:rPr>
          <w:rFonts w:hint="eastAsia" w:hAnsi="宋体"/>
          <w:b/>
          <w:sz w:val="24"/>
        </w:rPr>
        <w:t>二、合同金额</w:t>
      </w:r>
    </w:p>
    <w:p>
      <w:pPr>
        <w:pStyle w:val="18"/>
        <w:snapToGrid w:val="0"/>
        <w:spacing w:before="120" w:after="120" w:line="360" w:lineRule="auto"/>
        <w:ind w:left="410" w:hanging="410" w:hangingChars="171"/>
        <w:rPr>
          <w:rFonts w:hAnsi="宋体"/>
          <w:sz w:val="24"/>
        </w:rPr>
      </w:pPr>
      <w:r>
        <w:rPr>
          <w:rFonts w:hint="eastAsia" w:hAnsi="宋体"/>
          <w:sz w:val="24"/>
        </w:rPr>
        <w:t>2.1 本合同金额为（大写）：_________________元（￥_______________元）人民币。</w:t>
      </w:r>
    </w:p>
    <w:p>
      <w:pPr>
        <w:pStyle w:val="18"/>
        <w:snapToGrid w:val="0"/>
        <w:spacing w:before="120" w:after="120" w:line="360" w:lineRule="auto"/>
        <w:rPr>
          <w:rFonts w:hAnsi="宋体"/>
          <w:b/>
          <w:sz w:val="24"/>
        </w:rPr>
      </w:pPr>
      <w:r>
        <w:rPr>
          <w:rFonts w:hint="eastAsia" w:hAnsi="宋体"/>
          <w:b/>
          <w:sz w:val="24"/>
        </w:rPr>
        <w:t>三、技术资料</w:t>
      </w:r>
    </w:p>
    <w:p>
      <w:pPr>
        <w:pStyle w:val="18"/>
        <w:snapToGrid w:val="0"/>
        <w:spacing w:before="120" w:after="120" w:line="360" w:lineRule="auto"/>
        <w:ind w:left="410" w:hanging="410" w:hangingChars="171"/>
        <w:rPr>
          <w:rFonts w:hAnsi="宋体"/>
          <w:sz w:val="24"/>
        </w:rPr>
      </w:pPr>
      <w:r>
        <w:rPr>
          <w:rFonts w:hint="eastAsia" w:hAnsi="宋体"/>
          <w:sz w:val="24"/>
        </w:rPr>
        <w:t>3.1乙方应按磋商文件规定的时间向甲方提供使用货物的有关技术资料。</w:t>
      </w:r>
    </w:p>
    <w:p>
      <w:pPr>
        <w:pStyle w:val="18"/>
        <w:snapToGrid w:val="0"/>
        <w:spacing w:before="120" w:after="120" w:line="360" w:lineRule="auto"/>
        <w:ind w:left="410" w:hanging="410" w:hangingChars="171"/>
        <w:rPr>
          <w:rFonts w:hAnsi="宋体"/>
          <w:sz w:val="24"/>
        </w:rPr>
      </w:pPr>
      <w:r>
        <w:rPr>
          <w:rFonts w:hint="eastAsia" w:hAnsi="宋体"/>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napToGrid w:val="0"/>
        <w:spacing w:before="120" w:after="120" w:line="360" w:lineRule="auto"/>
        <w:ind w:left="412" w:hanging="412" w:hangingChars="171"/>
        <w:rPr>
          <w:rFonts w:hAnsi="宋体"/>
          <w:b/>
          <w:sz w:val="24"/>
        </w:rPr>
      </w:pPr>
      <w:r>
        <w:rPr>
          <w:rFonts w:hint="eastAsia" w:hAnsi="宋体"/>
          <w:b/>
          <w:sz w:val="24"/>
        </w:rPr>
        <w:t>四、知识产权</w:t>
      </w:r>
    </w:p>
    <w:p>
      <w:pPr>
        <w:pStyle w:val="18"/>
        <w:snapToGrid w:val="0"/>
        <w:spacing w:before="120" w:after="120" w:line="360" w:lineRule="auto"/>
        <w:ind w:left="410" w:hanging="410" w:hangingChars="171"/>
        <w:rPr>
          <w:rFonts w:hAnsi="宋体"/>
          <w:bCs/>
          <w:sz w:val="24"/>
        </w:rPr>
      </w:pPr>
      <w:r>
        <w:rPr>
          <w:rFonts w:hint="eastAsia" w:hAnsi="宋体"/>
          <w:sz w:val="24"/>
        </w:rPr>
        <w:t>4.1 乙方应保证所提供的货物或其任何一部分均不会侵犯任何第三方的知识产权</w:t>
      </w:r>
      <w:r>
        <w:rPr>
          <w:rFonts w:hint="eastAsia" w:hAnsi="宋体"/>
          <w:bCs/>
          <w:sz w:val="24"/>
        </w:rPr>
        <w:t>。</w:t>
      </w:r>
    </w:p>
    <w:p>
      <w:pPr>
        <w:pStyle w:val="18"/>
        <w:snapToGrid w:val="0"/>
        <w:spacing w:before="120" w:after="120" w:line="360" w:lineRule="auto"/>
        <w:rPr>
          <w:rFonts w:hAnsi="宋体"/>
          <w:sz w:val="24"/>
          <w:u w:val="single"/>
        </w:rPr>
      </w:pPr>
      <w:r>
        <w:rPr>
          <w:rFonts w:hint="eastAsia" w:hAnsi="宋体"/>
          <w:b/>
          <w:sz w:val="24"/>
        </w:rPr>
        <w:t>五、产权担保</w:t>
      </w:r>
    </w:p>
    <w:p>
      <w:pPr>
        <w:pStyle w:val="18"/>
        <w:snapToGrid w:val="0"/>
        <w:spacing w:before="120" w:after="120" w:line="360" w:lineRule="auto"/>
        <w:ind w:left="408" w:hanging="408" w:hangingChars="170"/>
        <w:rPr>
          <w:rFonts w:hAnsi="宋体"/>
          <w:sz w:val="24"/>
          <w:u w:val="single"/>
        </w:rPr>
      </w:pPr>
      <w:r>
        <w:rPr>
          <w:rFonts w:hint="eastAsia" w:hAnsi="宋体"/>
          <w:sz w:val="24"/>
        </w:rPr>
        <w:t>5.1 乙方保证所交付的货物的所有权完全属于乙方且无任何抵押、查封等产权瑕疵。</w:t>
      </w:r>
    </w:p>
    <w:p>
      <w:pPr>
        <w:pStyle w:val="18"/>
        <w:snapToGrid w:val="0"/>
        <w:spacing w:before="120" w:after="120" w:line="360" w:lineRule="auto"/>
        <w:ind w:left="410" w:hanging="410" w:hangingChars="170"/>
        <w:rPr>
          <w:rFonts w:hAnsi="宋体"/>
          <w:b/>
          <w:sz w:val="24"/>
        </w:rPr>
      </w:pPr>
      <w:r>
        <w:rPr>
          <w:rFonts w:hint="eastAsia" w:hAnsi="宋体"/>
          <w:b/>
          <w:sz w:val="24"/>
        </w:rPr>
        <w:t>六、履约保证金</w:t>
      </w:r>
    </w:p>
    <w:p>
      <w:pPr>
        <w:pStyle w:val="18"/>
        <w:snapToGrid w:val="0"/>
        <w:spacing w:before="120" w:after="120" w:line="360" w:lineRule="auto"/>
        <w:ind w:left="408" w:hanging="408" w:hangingChars="170"/>
        <w:rPr>
          <w:rFonts w:hAnsi="宋体"/>
          <w:sz w:val="24"/>
        </w:rPr>
      </w:pPr>
      <w:r>
        <w:rPr>
          <w:rFonts w:hint="eastAsia" w:hAnsi="宋体"/>
          <w:sz w:val="24"/>
        </w:rPr>
        <w:t>6.1 乙方交纳中标总额5%计人民币</w:t>
      </w:r>
      <w:r>
        <w:rPr>
          <w:rFonts w:hint="eastAsia" w:hAnsi="宋体"/>
          <w:sz w:val="24"/>
          <w:u w:val="single"/>
        </w:rPr>
        <w:t xml:space="preserve">        </w:t>
      </w:r>
      <w:r>
        <w:rPr>
          <w:rFonts w:hint="eastAsia" w:hAnsi="宋体"/>
          <w:sz w:val="24"/>
        </w:rPr>
        <w:t>元作为本合同的履约保证金, 项目全部交付并验收合格后退还。</w:t>
      </w:r>
    </w:p>
    <w:p>
      <w:pPr>
        <w:pStyle w:val="18"/>
        <w:snapToGrid w:val="0"/>
        <w:spacing w:before="120" w:after="120" w:line="360" w:lineRule="auto"/>
        <w:rPr>
          <w:rFonts w:hAnsi="宋体"/>
          <w:sz w:val="24"/>
        </w:rPr>
      </w:pPr>
      <w:r>
        <w:rPr>
          <w:rFonts w:hint="eastAsia" w:hAnsi="宋体"/>
          <w:b/>
          <w:sz w:val="24"/>
        </w:rPr>
        <w:t>七、质保期和质保金</w:t>
      </w:r>
    </w:p>
    <w:p>
      <w:pPr>
        <w:pStyle w:val="18"/>
        <w:snapToGrid w:val="0"/>
        <w:spacing w:before="120" w:after="120" w:line="360" w:lineRule="auto"/>
        <w:ind w:left="410" w:hanging="410" w:hangingChars="171"/>
        <w:rPr>
          <w:rFonts w:hAnsi="宋体"/>
          <w:sz w:val="24"/>
        </w:rPr>
      </w:pPr>
      <w:r>
        <w:rPr>
          <w:rFonts w:hint="eastAsia" w:hAnsi="宋体"/>
          <w:sz w:val="24"/>
        </w:rPr>
        <w:t>8.1 质保期</w:t>
      </w:r>
      <w:r>
        <w:rPr>
          <w:rFonts w:hint="eastAsia" w:hAnsi="宋体"/>
          <w:sz w:val="24"/>
          <w:u w:val="single"/>
        </w:rPr>
        <w:t xml:space="preserve">   /  </w:t>
      </w:r>
      <w:r>
        <w:rPr>
          <w:rFonts w:hint="eastAsia" w:hAnsi="宋体"/>
          <w:sz w:val="24"/>
        </w:rPr>
        <w:t>年。（自交货验收合格之日起计）</w:t>
      </w:r>
    </w:p>
    <w:p>
      <w:pPr>
        <w:pStyle w:val="18"/>
        <w:snapToGrid w:val="0"/>
        <w:spacing w:before="120" w:after="120" w:line="360" w:lineRule="auto"/>
        <w:ind w:left="410" w:hanging="410" w:hangingChars="171"/>
        <w:rPr>
          <w:rFonts w:hAnsi="宋体"/>
          <w:sz w:val="24"/>
        </w:rPr>
      </w:pPr>
      <w:r>
        <w:rPr>
          <w:rFonts w:hint="eastAsia" w:hAnsi="宋体"/>
          <w:sz w:val="24"/>
        </w:rPr>
        <w:t>8.2 质保金为中标总额的5%计人民币</w:t>
      </w:r>
      <w:r>
        <w:rPr>
          <w:rFonts w:hint="eastAsia" w:hAnsi="宋体"/>
          <w:sz w:val="24"/>
          <w:u w:val="single"/>
        </w:rPr>
        <w:t xml:space="preserve">   /     </w:t>
      </w:r>
      <w:r>
        <w:rPr>
          <w:rFonts w:hint="eastAsia" w:hAnsi="宋体"/>
          <w:sz w:val="24"/>
        </w:rPr>
        <w:t>元。质保期满后无质量问题无息退还。</w:t>
      </w:r>
    </w:p>
    <w:p>
      <w:pPr>
        <w:pStyle w:val="18"/>
        <w:snapToGrid w:val="0"/>
        <w:spacing w:before="120" w:after="120" w:line="360" w:lineRule="auto"/>
        <w:rPr>
          <w:rFonts w:hAnsi="宋体"/>
          <w:b/>
          <w:sz w:val="24"/>
        </w:rPr>
      </w:pPr>
      <w:r>
        <w:rPr>
          <w:rFonts w:hint="eastAsia" w:hAnsi="宋体"/>
          <w:b/>
          <w:sz w:val="24"/>
        </w:rPr>
        <w:t>八、交货期、交货方式及交货地点</w:t>
      </w:r>
    </w:p>
    <w:p>
      <w:pPr>
        <w:pStyle w:val="18"/>
        <w:snapToGrid w:val="0"/>
        <w:spacing w:before="120" w:after="120" w:line="360" w:lineRule="auto"/>
        <w:rPr>
          <w:rFonts w:hAnsi="宋体"/>
          <w:bCs/>
          <w:sz w:val="24"/>
        </w:rPr>
      </w:pPr>
      <w:r>
        <w:rPr>
          <w:rFonts w:hint="eastAsia" w:hAnsi="宋体"/>
          <w:bCs/>
          <w:sz w:val="24"/>
        </w:rPr>
        <w:t xml:space="preserve">8.1 交货期： </w:t>
      </w:r>
    </w:p>
    <w:p>
      <w:pPr>
        <w:pStyle w:val="18"/>
        <w:snapToGrid w:val="0"/>
        <w:spacing w:before="120" w:after="120" w:line="360" w:lineRule="auto"/>
        <w:rPr>
          <w:rFonts w:hAnsi="宋体"/>
          <w:bCs/>
          <w:color w:val="000000"/>
          <w:sz w:val="24"/>
        </w:rPr>
      </w:pPr>
      <w:r>
        <w:rPr>
          <w:rFonts w:hint="eastAsia" w:hAnsi="宋体"/>
          <w:bCs/>
          <w:color w:val="000000"/>
          <w:sz w:val="24"/>
        </w:rPr>
        <w:t>8.2 交货方式：供货方送货上门费用由供货方承担。</w:t>
      </w:r>
    </w:p>
    <w:p>
      <w:pPr>
        <w:pStyle w:val="18"/>
        <w:snapToGrid w:val="0"/>
        <w:spacing w:before="120" w:after="120" w:line="360" w:lineRule="auto"/>
        <w:rPr>
          <w:rFonts w:hAnsi="宋体"/>
          <w:b/>
          <w:color w:val="000000"/>
          <w:sz w:val="24"/>
        </w:rPr>
      </w:pPr>
      <w:r>
        <w:rPr>
          <w:rFonts w:hint="eastAsia" w:hAnsi="宋体"/>
          <w:bCs/>
          <w:color w:val="000000"/>
          <w:sz w:val="24"/>
        </w:rPr>
        <w:t>8.3 交货及安装地点：</w:t>
      </w:r>
      <w:r>
        <w:rPr>
          <w:rFonts w:hint="eastAsia" w:hAnsi="宋体"/>
          <w:bCs/>
          <w:color w:val="000000"/>
          <w:sz w:val="24"/>
          <w:u w:val="single"/>
        </w:rPr>
        <w:t xml:space="preserve">                   </w:t>
      </w:r>
      <w:r>
        <w:rPr>
          <w:rFonts w:hint="eastAsia" w:hAnsi="宋体"/>
          <w:bCs/>
          <w:color w:val="000000"/>
          <w:sz w:val="24"/>
        </w:rPr>
        <w:t>。</w:t>
      </w:r>
    </w:p>
    <w:p>
      <w:pPr>
        <w:pStyle w:val="18"/>
        <w:snapToGrid w:val="0"/>
        <w:spacing w:before="120" w:after="120" w:line="360" w:lineRule="auto"/>
        <w:rPr>
          <w:rFonts w:hAnsi="宋体"/>
          <w:b/>
          <w:color w:val="000000"/>
          <w:sz w:val="24"/>
        </w:rPr>
      </w:pPr>
      <w:r>
        <w:rPr>
          <w:rFonts w:hint="eastAsia" w:hAnsi="宋体"/>
          <w:b/>
          <w:color w:val="000000"/>
          <w:sz w:val="24"/>
        </w:rPr>
        <w:t>九、货款支付</w:t>
      </w:r>
    </w:p>
    <w:p>
      <w:pPr>
        <w:pStyle w:val="18"/>
        <w:spacing w:before="120" w:after="120" w:line="360" w:lineRule="auto"/>
        <w:ind w:firstLine="480"/>
        <w:rPr>
          <w:rFonts w:hint="eastAsia" w:hAnsi="宋体"/>
          <w:bCs/>
          <w:color w:val="FF0000"/>
          <w:sz w:val="24"/>
        </w:rPr>
      </w:pPr>
      <w:r>
        <w:rPr>
          <w:rFonts w:hint="eastAsia" w:hAnsi="宋体"/>
          <w:sz w:val="24"/>
        </w:rPr>
        <w:t>双方合同签订后按每个季度结算一次。</w:t>
      </w:r>
    </w:p>
    <w:p>
      <w:pPr>
        <w:snapToGrid w:val="0"/>
        <w:spacing w:before="120" w:beforeLines="50" w:after="120" w:afterLines="50" w:line="360" w:lineRule="auto"/>
        <w:rPr>
          <w:rFonts w:ascii="宋体" w:hAnsi="宋体"/>
          <w:b/>
          <w:sz w:val="24"/>
        </w:rPr>
      </w:pPr>
      <w:r>
        <w:rPr>
          <w:rFonts w:hint="eastAsia" w:ascii="宋体" w:hAnsi="宋体"/>
          <w:b/>
          <w:sz w:val="24"/>
        </w:rPr>
        <w:t>十.税</w:t>
      </w:r>
    </w:p>
    <w:p>
      <w:pPr>
        <w:snapToGrid w:val="0"/>
        <w:spacing w:before="120" w:beforeLines="50" w:after="120" w:afterLines="50" w:line="360" w:lineRule="auto"/>
        <w:rPr>
          <w:rFonts w:ascii="宋体" w:hAnsi="宋体"/>
          <w:sz w:val="24"/>
        </w:rPr>
      </w:pPr>
      <w:r>
        <w:rPr>
          <w:rFonts w:hint="eastAsia" w:ascii="宋体" w:hAnsi="宋体"/>
          <w:sz w:val="24"/>
        </w:rPr>
        <w:t>10.1本合同执行中相关的一切税费均由供方负担。</w:t>
      </w:r>
    </w:p>
    <w:p>
      <w:pPr>
        <w:pStyle w:val="18"/>
        <w:snapToGrid w:val="0"/>
        <w:spacing w:before="120" w:after="120" w:line="360" w:lineRule="auto"/>
        <w:ind w:left="412" w:hanging="412" w:hangingChars="171"/>
        <w:rPr>
          <w:rFonts w:hAnsi="宋体"/>
          <w:sz w:val="24"/>
        </w:rPr>
      </w:pPr>
      <w:r>
        <w:rPr>
          <w:rFonts w:hint="eastAsia" w:hAnsi="宋体"/>
          <w:b/>
          <w:sz w:val="24"/>
        </w:rPr>
        <w:t>十一、质量保证及售后服务</w:t>
      </w:r>
    </w:p>
    <w:p>
      <w:pPr>
        <w:pStyle w:val="18"/>
        <w:snapToGrid w:val="0"/>
        <w:spacing w:before="120" w:after="120" w:line="360" w:lineRule="auto"/>
        <w:ind w:left="410" w:hanging="410" w:hangingChars="171"/>
        <w:rPr>
          <w:rFonts w:hAnsi="宋体"/>
          <w:sz w:val="24"/>
        </w:rPr>
      </w:pPr>
      <w:r>
        <w:rPr>
          <w:rFonts w:hint="eastAsia" w:hAnsi="宋体"/>
          <w:sz w:val="24"/>
        </w:rPr>
        <w:t>11.1 乙方应按磋商文件规定的货物性能、技术要求、质量标准向甲方提供未经使用的全新产品。</w:t>
      </w:r>
    </w:p>
    <w:p>
      <w:pPr>
        <w:pStyle w:val="18"/>
        <w:snapToGrid w:val="0"/>
        <w:spacing w:before="120" w:after="120" w:line="360" w:lineRule="auto"/>
        <w:rPr>
          <w:rFonts w:hAnsi="宋体"/>
          <w:sz w:val="24"/>
        </w:rPr>
      </w:pPr>
      <w:r>
        <w:rPr>
          <w:rFonts w:hint="eastAsia" w:hAnsi="宋体"/>
          <w:sz w:val="24"/>
        </w:rPr>
        <w:t>11.2 乙方提供的货物在质量期内因货物本身的质量问题发生故障，乙方应负责免费更换。</w:t>
      </w:r>
    </w:p>
    <w:p>
      <w:pPr>
        <w:pStyle w:val="18"/>
        <w:snapToGrid w:val="0"/>
        <w:spacing w:before="120" w:after="120" w:line="360" w:lineRule="auto"/>
        <w:rPr>
          <w:rFonts w:hAnsi="宋体"/>
          <w:sz w:val="24"/>
        </w:rPr>
      </w:pPr>
      <w:r>
        <w:rPr>
          <w:rFonts w:hint="eastAsia" w:hAnsi="宋体"/>
          <w:sz w:val="24"/>
        </w:rPr>
        <w:t>11.3 如在使用过程中发生质量问题，乙方在接到甲方通知后</w:t>
      </w:r>
      <w:r>
        <w:rPr>
          <w:rFonts w:hint="eastAsia" w:hAnsi="宋体"/>
          <w:color w:val="000000"/>
          <w:sz w:val="24"/>
        </w:rPr>
        <w:t>在</w:t>
      </w:r>
      <w:r>
        <w:rPr>
          <w:rFonts w:hint="eastAsia" w:hAnsi="宋体"/>
          <w:color w:val="000000"/>
          <w:sz w:val="24"/>
          <w:u w:val="single"/>
        </w:rPr>
        <w:t xml:space="preserve"> </w:t>
      </w:r>
      <w:r>
        <w:rPr>
          <w:rFonts w:hint="eastAsia" w:hAnsi="宋体"/>
          <w:sz w:val="24"/>
          <w:u w:val="single"/>
        </w:rPr>
        <w:t xml:space="preserve">  </w:t>
      </w:r>
      <w:r>
        <w:rPr>
          <w:rFonts w:hint="eastAsia" w:hAnsi="宋体"/>
          <w:color w:val="000000"/>
          <w:sz w:val="24"/>
        </w:rPr>
        <w:t>小时</w:t>
      </w:r>
      <w:r>
        <w:rPr>
          <w:rFonts w:hint="eastAsia" w:hAnsi="宋体"/>
          <w:sz w:val="24"/>
        </w:rPr>
        <w:t>内到达甲方现场。</w:t>
      </w:r>
    </w:p>
    <w:p>
      <w:pPr>
        <w:pStyle w:val="18"/>
        <w:snapToGrid w:val="0"/>
        <w:spacing w:before="120" w:after="120" w:line="360" w:lineRule="auto"/>
        <w:rPr>
          <w:rFonts w:hAnsi="宋体"/>
          <w:sz w:val="24"/>
        </w:rPr>
      </w:pPr>
      <w:r>
        <w:rPr>
          <w:rFonts w:hint="eastAsia" w:hAnsi="宋体"/>
          <w:sz w:val="24"/>
        </w:rPr>
        <w:t>11.4 在质保期内，乙方应对货物出现的质量问题负责处理解决并承担一切费用。</w:t>
      </w:r>
    </w:p>
    <w:p>
      <w:pPr>
        <w:pStyle w:val="18"/>
        <w:snapToGrid w:val="0"/>
        <w:spacing w:before="120" w:after="120" w:line="360" w:lineRule="auto"/>
        <w:ind w:left="480" w:hanging="480" w:hangingChars="200"/>
        <w:rPr>
          <w:rFonts w:hAnsi="宋体"/>
          <w:color w:val="000000"/>
          <w:sz w:val="24"/>
        </w:rPr>
      </w:pPr>
      <w:r>
        <w:rPr>
          <w:rFonts w:hint="eastAsia" w:hAnsi="宋体"/>
          <w:sz w:val="24"/>
        </w:rPr>
        <w:t>11.5</w:t>
      </w:r>
      <w:r>
        <w:rPr>
          <w:rFonts w:hint="eastAsia" w:hAnsi="宋体"/>
          <w:color w:val="000000"/>
          <w:sz w:val="24"/>
        </w:rPr>
        <w:t>上述的</w:t>
      </w:r>
      <w:r>
        <w:rPr>
          <w:rFonts w:hint="eastAsia" w:hAnsi="宋体"/>
          <w:sz w:val="24"/>
        </w:rPr>
        <w:t>货物</w:t>
      </w:r>
      <w:r>
        <w:rPr>
          <w:rFonts w:hint="eastAsia" w:hAnsi="宋体"/>
          <w:color w:val="000000"/>
          <w:sz w:val="24"/>
        </w:rPr>
        <w:t>免费保修期为</w:t>
      </w:r>
      <w:r>
        <w:rPr>
          <w:rFonts w:hint="eastAsia" w:hAnsi="宋体"/>
          <w:color w:val="000000"/>
          <w:sz w:val="24"/>
          <w:u w:val="single"/>
        </w:rPr>
        <w:t xml:space="preserve">   </w:t>
      </w:r>
      <w:r>
        <w:rPr>
          <w:rFonts w:hint="eastAsia" w:hAnsi="宋体"/>
          <w:color w:val="000000"/>
          <w:sz w:val="24"/>
        </w:rPr>
        <w:t>年，因人为因素出现的故障不在免费保修范围内。超过保修期的系统设备，维修时只收部件成本费。</w:t>
      </w:r>
    </w:p>
    <w:p>
      <w:pPr>
        <w:pStyle w:val="18"/>
        <w:snapToGrid w:val="0"/>
        <w:spacing w:before="120" w:after="120" w:line="360" w:lineRule="auto"/>
        <w:rPr>
          <w:rFonts w:hAnsi="宋体"/>
          <w:b/>
          <w:sz w:val="24"/>
        </w:rPr>
      </w:pPr>
      <w:r>
        <w:rPr>
          <w:rFonts w:hint="eastAsia" w:hAnsi="宋体"/>
          <w:b/>
          <w:sz w:val="24"/>
        </w:rPr>
        <w:t>十二、调试和验收</w:t>
      </w:r>
    </w:p>
    <w:p>
      <w:pPr>
        <w:pStyle w:val="18"/>
        <w:snapToGrid w:val="0"/>
        <w:spacing w:before="120" w:after="120" w:line="360" w:lineRule="auto"/>
        <w:ind w:left="480" w:hanging="480" w:hangingChars="200"/>
        <w:rPr>
          <w:rFonts w:hAnsi="宋体"/>
          <w:sz w:val="24"/>
        </w:rPr>
      </w:pPr>
      <w:r>
        <w:rPr>
          <w:rFonts w:hint="eastAsia" w:hAnsi="宋体"/>
          <w:sz w:val="24"/>
        </w:rPr>
        <w:t>12.1 甲方对乙方提交的货物依据磋商文件上的技术规格要求和国家有关质量标准进行现场初步验收，外观、说明书符合磋商文件技术要求的，给予签收，初步验收不合格的不予签收。货到后，甲方需在五个工作日内验收。</w:t>
      </w:r>
    </w:p>
    <w:p>
      <w:pPr>
        <w:pStyle w:val="18"/>
        <w:snapToGrid w:val="0"/>
        <w:spacing w:before="120" w:after="120" w:line="360" w:lineRule="auto"/>
        <w:ind w:left="480" w:hanging="480" w:hangingChars="200"/>
        <w:rPr>
          <w:rFonts w:hAnsi="宋体"/>
          <w:sz w:val="24"/>
        </w:rPr>
      </w:pPr>
      <w:r>
        <w:rPr>
          <w:rFonts w:hint="eastAsia" w:hAnsi="宋体"/>
          <w:sz w:val="24"/>
        </w:rPr>
        <w:t>12.2 乙方交货前应对产品作出全面检查和对验收文件进行整理，并列出清单，作为甲方收货验收和使用的技术条件依据，检验的结果应随货物交甲方。</w:t>
      </w:r>
    </w:p>
    <w:p>
      <w:pPr>
        <w:pStyle w:val="18"/>
        <w:snapToGrid w:val="0"/>
        <w:spacing w:before="120" w:after="120" w:line="360" w:lineRule="auto"/>
        <w:ind w:left="480" w:hanging="480" w:hangingChars="200"/>
        <w:rPr>
          <w:rFonts w:hAnsi="宋体"/>
          <w:sz w:val="24"/>
          <w:u w:val="single"/>
        </w:rPr>
      </w:pPr>
      <w:r>
        <w:rPr>
          <w:rFonts w:hint="eastAsia" w:hAnsi="宋体"/>
          <w:sz w:val="24"/>
        </w:rPr>
        <w:t>12.3 甲方对乙方提供的货物在使用前进行调试时，乙方需负责安装并培训甲方的使用操作人员，并协助甲方一起调试，直到符合技术要求，甲方才做最终验收。</w:t>
      </w:r>
    </w:p>
    <w:p>
      <w:pPr>
        <w:pStyle w:val="18"/>
        <w:snapToGrid w:val="0"/>
        <w:spacing w:before="120" w:after="120" w:line="360" w:lineRule="auto"/>
        <w:ind w:left="480" w:hanging="480" w:hangingChars="200"/>
        <w:rPr>
          <w:rFonts w:hAnsi="宋体"/>
          <w:sz w:val="24"/>
        </w:rPr>
      </w:pPr>
      <w:r>
        <w:rPr>
          <w:rFonts w:hint="eastAsia" w:hAnsi="宋体"/>
          <w:color w:val="000000"/>
          <w:sz w:val="24"/>
        </w:rPr>
        <w:t xml:space="preserve">12.4 </w:t>
      </w:r>
      <w:r>
        <w:rPr>
          <w:rFonts w:hint="eastAsia" w:hAnsi="宋体"/>
          <w:sz w:val="24"/>
        </w:rPr>
        <w:t>验收时乙方必须在现场，验收完毕后作出验收结果报告；验收费用由乙方负责。</w:t>
      </w:r>
    </w:p>
    <w:p>
      <w:pPr>
        <w:pStyle w:val="18"/>
        <w:snapToGrid w:val="0"/>
        <w:spacing w:before="120" w:after="120" w:line="360" w:lineRule="auto"/>
        <w:rPr>
          <w:rFonts w:hAnsi="宋体"/>
          <w:b/>
          <w:sz w:val="24"/>
        </w:rPr>
      </w:pPr>
      <w:r>
        <w:rPr>
          <w:rFonts w:hint="eastAsia" w:hAnsi="宋体"/>
          <w:b/>
          <w:sz w:val="24"/>
        </w:rPr>
        <w:t>十三、货物包装、发运及运输</w:t>
      </w:r>
    </w:p>
    <w:p>
      <w:pPr>
        <w:pStyle w:val="18"/>
        <w:snapToGrid w:val="0"/>
        <w:spacing w:before="120" w:after="120" w:line="360" w:lineRule="auto"/>
        <w:ind w:left="480" w:hanging="480" w:hangingChars="200"/>
        <w:rPr>
          <w:rFonts w:hAnsi="宋体"/>
          <w:sz w:val="24"/>
        </w:rPr>
      </w:pPr>
      <w:r>
        <w:rPr>
          <w:rFonts w:hint="eastAsia" w:hAnsi="宋体"/>
          <w:sz w:val="24"/>
        </w:rPr>
        <w:t>13.1 乙方应在货物发运前对其进行满足运输距离等要求包装，以保证货物安全运达甲方指定</w:t>
      </w:r>
    </w:p>
    <w:p>
      <w:pPr>
        <w:pStyle w:val="18"/>
        <w:snapToGrid w:val="0"/>
        <w:spacing w:before="120" w:after="120" w:line="360" w:lineRule="auto"/>
        <w:ind w:left="480" w:hanging="480" w:hangingChars="200"/>
        <w:rPr>
          <w:rFonts w:hAnsi="宋体"/>
          <w:sz w:val="24"/>
        </w:rPr>
      </w:pPr>
      <w:r>
        <w:rPr>
          <w:rFonts w:hint="eastAsia" w:hAnsi="宋体"/>
          <w:sz w:val="24"/>
        </w:rPr>
        <w:t>地点。</w:t>
      </w:r>
    </w:p>
    <w:p>
      <w:pPr>
        <w:pStyle w:val="18"/>
        <w:snapToGrid w:val="0"/>
        <w:spacing w:before="120" w:after="120" w:line="360" w:lineRule="auto"/>
        <w:ind w:left="480" w:hanging="480" w:hangingChars="200"/>
        <w:rPr>
          <w:rFonts w:hAnsi="宋体"/>
          <w:sz w:val="24"/>
        </w:rPr>
      </w:pPr>
      <w:r>
        <w:rPr>
          <w:rFonts w:hint="eastAsia" w:hAnsi="宋体"/>
          <w:sz w:val="24"/>
        </w:rPr>
        <w:t>13.2 使用说明书、质量检验证明书、随配附件和工具以及清单一并附于货物内。</w:t>
      </w:r>
    </w:p>
    <w:p>
      <w:pPr>
        <w:pStyle w:val="18"/>
        <w:snapToGrid w:val="0"/>
        <w:spacing w:before="120" w:after="120" w:line="360" w:lineRule="auto"/>
        <w:ind w:left="480" w:hanging="480" w:hangingChars="200"/>
        <w:rPr>
          <w:rFonts w:hAnsi="宋体"/>
          <w:sz w:val="24"/>
        </w:rPr>
      </w:pPr>
      <w:r>
        <w:rPr>
          <w:rFonts w:hint="eastAsia" w:hAnsi="宋体"/>
          <w:sz w:val="24"/>
        </w:rPr>
        <w:t>13.3 乙方在货物发运手续办理完毕后24小时内或货到甲方48小时前通知甲方，以准备接货。</w:t>
      </w:r>
    </w:p>
    <w:p>
      <w:pPr>
        <w:pStyle w:val="18"/>
        <w:snapToGrid w:val="0"/>
        <w:spacing w:before="120" w:after="120" w:line="360" w:lineRule="auto"/>
        <w:ind w:left="480" w:hanging="480" w:hangingChars="200"/>
        <w:rPr>
          <w:rFonts w:hAnsi="宋体"/>
          <w:sz w:val="24"/>
        </w:rPr>
      </w:pPr>
      <w:r>
        <w:rPr>
          <w:rFonts w:hint="eastAsia" w:hAnsi="宋体"/>
          <w:sz w:val="24"/>
        </w:rPr>
        <w:t>13.4 货物在交付甲方前发生的风险均由乙方负责。</w:t>
      </w:r>
    </w:p>
    <w:p>
      <w:pPr>
        <w:pStyle w:val="18"/>
        <w:snapToGrid w:val="0"/>
        <w:spacing w:before="120" w:after="120" w:line="360" w:lineRule="auto"/>
        <w:ind w:left="480" w:right="26" w:hanging="480" w:hangingChars="200"/>
        <w:rPr>
          <w:rFonts w:hAnsi="宋体"/>
          <w:sz w:val="24"/>
        </w:rPr>
      </w:pPr>
      <w:r>
        <w:rPr>
          <w:rFonts w:hint="eastAsia" w:hAnsi="宋体"/>
          <w:sz w:val="24"/>
        </w:rPr>
        <w:t>13.5 货物在规定的交付期限内由乙方送达甲方指定的地点视为交付，乙方同时需通知甲方货物已送达。</w:t>
      </w:r>
    </w:p>
    <w:p>
      <w:pPr>
        <w:pStyle w:val="18"/>
        <w:snapToGrid w:val="0"/>
        <w:spacing w:before="120" w:after="120" w:line="360" w:lineRule="auto"/>
        <w:rPr>
          <w:rFonts w:hAnsi="宋体"/>
          <w:b/>
          <w:sz w:val="24"/>
        </w:rPr>
      </w:pPr>
      <w:r>
        <w:rPr>
          <w:rFonts w:hint="eastAsia" w:hAnsi="宋体"/>
          <w:b/>
          <w:sz w:val="24"/>
        </w:rPr>
        <w:t>十四、违约责任</w:t>
      </w:r>
    </w:p>
    <w:p>
      <w:pPr>
        <w:pStyle w:val="18"/>
        <w:snapToGrid w:val="0"/>
        <w:spacing w:before="120" w:after="120" w:line="360" w:lineRule="auto"/>
        <w:ind w:left="410" w:hanging="410" w:hangingChars="171"/>
        <w:rPr>
          <w:rFonts w:hAnsi="宋体"/>
          <w:sz w:val="24"/>
        </w:rPr>
      </w:pPr>
      <w:r>
        <w:rPr>
          <w:rFonts w:hint="eastAsia" w:hAnsi="宋体"/>
          <w:sz w:val="24"/>
        </w:rPr>
        <w:t>14.1 甲方无正当理由拒收货物的，甲方向乙方偿付拒收货款总值的百分之五违约金。</w:t>
      </w:r>
    </w:p>
    <w:p>
      <w:pPr>
        <w:pStyle w:val="18"/>
        <w:snapToGrid w:val="0"/>
        <w:spacing w:before="120" w:after="120" w:line="360" w:lineRule="auto"/>
        <w:ind w:left="410" w:hanging="410" w:hangingChars="171"/>
        <w:rPr>
          <w:rFonts w:hAnsi="宋体"/>
          <w:sz w:val="24"/>
        </w:rPr>
      </w:pPr>
      <w:r>
        <w:rPr>
          <w:rFonts w:hint="eastAsia" w:hAnsi="宋体"/>
          <w:sz w:val="24"/>
        </w:rPr>
        <w:t>14.2 甲方无故逾期验收和办理货款支付手续的,甲方应按逾期付款总额每日万分之五向乙方支付违约金。</w:t>
      </w:r>
    </w:p>
    <w:p>
      <w:pPr>
        <w:pStyle w:val="18"/>
        <w:snapToGrid w:val="0"/>
        <w:spacing w:before="120" w:after="120" w:line="360" w:lineRule="auto"/>
        <w:ind w:left="410" w:hanging="410" w:hangingChars="171"/>
        <w:rPr>
          <w:rFonts w:hAnsi="宋体"/>
          <w:sz w:val="24"/>
        </w:rPr>
      </w:pPr>
      <w:r>
        <w:rPr>
          <w:rFonts w:hint="eastAsia" w:hAnsi="宋体"/>
          <w:sz w:val="24"/>
        </w:rPr>
        <w:t xml:space="preserve">14.3 乙方逾期交付货物的，乙方应按逾期交货总额每日万分之五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8"/>
        <w:snapToGrid w:val="0"/>
        <w:spacing w:before="120" w:after="120" w:line="360" w:lineRule="auto"/>
        <w:ind w:left="410" w:hanging="410" w:hangingChars="171"/>
        <w:rPr>
          <w:rFonts w:hAnsi="宋体"/>
          <w:sz w:val="24"/>
        </w:rPr>
      </w:pPr>
      <w:r>
        <w:rPr>
          <w:rFonts w:hint="eastAsia" w:hAnsi="宋体"/>
          <w:sz w:val="24"/>
        </w:rPr>
        <w:t>14.4 乙方所交的货物品种、型号、规格、技术参数、质量不符合合同规定及磋商文件规定标准的，甲方有权拒收该货物，乙方愿意更换货物但逾期交货的，按乙方逾期交货处理。乙方拒绝更换货物的，甲方可单方面解除合同。</w:t>
      </w:r>
    </w:p>
    <w:p>
      <w:pPr>
        <w:pStyle w:val="18"/>
        <w:snapToGrid w:val="0"/>
        <w:spacing w:before="120" w:after="120" w:line="360" w:lineRule="auto"/>
        <w:ind w:left="410" w:hanging="410" w:hangingChars="171"/>
        <w:rPr>
          <w:rFonts w:hAnsi="宋体"/>
          <w:sz w:val="24"/>
        </w:rPr>
      </w:pPr>
      <w:r>
        <w:rPr>
          <w:rFonts w:hint="eastAsia" w:hAnsi="宋体"/>
          <w:sz w:val="24"/>
        </w:rPr>
        <w:t>14.5因甲方基建工程建设进度原因造成乙方无法按时完成供货和安装的，乙方不承担违约责任，如甲方已提前一个月以书面形式告知乙方延期供货及安装时间的，也不承担违约责任。</w:t>
      </w:r>
    </w:p>
    <w:p>
      <w:pPr>
        <w:pStyle w:val="18"/>
        <w:snapToGrid w:val="0"/>
        <w:spacing w:before="120" w:after="120" w:line="360" w:lineRule="auto"/>
        <w:rPr>
          <w:rFonts w:hAnsi="宋体"/>
          <w:b/>
          <w:sz w:val="24"/>
        </w:rPr>
      </w:pPr>
      <w:r>
        <w:rPr>
          <w:rFonts w:hint="eastAsia" w:hAnsi="宋体"/>
          <w:b/>
          <w:sz w:val="24"/>
        </w:rPr>
        <w:t>十五、不可抗力事件处理</w:t>
      </w:r>
    </w:p>
    <w:p>
      <w:pPr>
        <w:pStyle w:val="18"/>
        <w:snapToGrid w:val="0"/>
        <w:spacing w:before="120" w:after="120" w:line="360" w:lineRule="auto"/>
        <w:ind w:left="480" w:hanging="480" w:hangingChars="200"/>
        <w:rPr>
          <w:rFonts w:hAnsi="宋体"/>
          <w:sz w:val="24"/>
        </w:rPr>
      </w:pPr>
      <w:r>
        <w:rPr>
          <w:rFonts w:hint="eastAsia" w:hAnsi="宋体"/>
          <w:sz w:val="24"/>
        </w:rPr>
        <w:t>15.1 在合同有效期内，任何一方因不可抗力事件导致不能履行合同，则合同履行期可延长，其延长期与不可抗力影响期相同。</w:t>
      </w:r>
    </w:p>
    <w:p>
      <w:pPr>
        <w:pStyle w:val="18"/>
        <w:snapToGrid w:val="0"/>
        <w:spacing w:before="120" w:after="120" w:line="360" w:lineRule="auto"/>
        <w:rPr>
          <w:rFonts w:hAnsi="宋体"/>
          <w:sz w:val="24"/>
        </w:rPr>
      </w:pPr>
      <w:r>
        <w:rPr>
          <w:rFonts w:hint="eastAsia" w:hAnsi="宋体"/>
          <w:sz w:val="24"/>
        </w:rPr>
        <w:t>15.2 不可抗力事件发生后，应立即通知对方，并寄送有关权威机构出具的证明。</w:t>
      </w:r>
    </w:p>
    <w:p>
      <w:pPr>
        <w:pStyle w:val="18"/>
        <w:snapToGrid w:val="0"/>
        <w:spacing w:before="120" w:after="120" w:line="360" w:lineRule="auto"/>
        <w:rPr>
          <w:rFonts w:hAnsi="宋体"/>
          <w:sz w:val="24"/>
        </w:rPr>
      </w:pPr>
      <w:r>
        <w:rPr>
          <w:rFonts w:hint="eastAsia" w:hAnsi="宋体"/>
          <w:sz w:val="24"/>
        </w:rPr>
        <w:t>15.3 不可抗力事件延续120天以上，双方应通过友好协商，确定是否继续履行合同。</w:t>
      </w:r>
    </w:p>
    <w:p>
      <w:pPr>
        <w:pStyle w:val="18"/>
        <w:snapToGrid w:val="0"/>
        <w:spacing w:before="120" w:after="120" w:line="360" w:lineRule="auto"/>
        <w:rPr>
          <w:rFonts w:hAnsi="宋体"/>
          <w:b/>
          <w:sz w:val="24"/>
        </w:rPr>
      </w:pPr>
      <w:r>
        <w:rPr>
          <w:rFonts w:hint="eastAsia" w:hAnsi="宋体"/>
          <w:b/>
          <w:sz w:val="24"/>
        </w:rPr>
        <w:t>十六、诉讼</w:t>
      </w:r>
    </w:p>
    <w:p>
      <w:pPr>
        <w:pStyle w:val="18"/>
        <w:snapToGrid w:val="0"/>
        <w:spacing w:before="120" w:after="120" w:line="360" w:lineRule="auto"/>
        <w:ind w:left="480" w:hanging="480" w:hangingChars="200"/>
        <w:rPr>
          <w:rFonts w:hAnsi="宋体"/>
          <w:sz w:val="24"/>
        </w:rPr>
      </w:pPr>
      <w:r>
        <w:rPr>
          <w:rFonts w:hint="eastAsia" w:hAnsi="宋体"/>
          <w:sz w:val="24"/>
        </w:rPr>
        <w:t>16.1 双方在执行合同中所发生的一切争议，应通过协商解决。如协商不成，可向合同签订地法院起诉，合同签订地在此约定为桐庐县。</w:t>
      </w:r>
    </w:p>
    <w:p>
      <w:pPr>
        <w:pStyle w:val="18"/>
        <w:snapToGrid w:val="0"/>
        <w:spacing w:before="120" w:after="120" w:line="360" w:lineRule="auto"/>
        <w:rPr>
          <w:rFonts w:hAnsi="宋体"/>
          <w:b/>
          <w:sz w:val="24"/>
        </w:rPr>
      </w:pPr>
      <w:r>
        <w:rPr>
          <w:rFonts w:hint="eastAsia" w:hAnsi="宋体"/>
          <w:b/>
          <w:sz w:val="24"/>
        </w:rPr>
        <w:t>十七、合同生效及其它</w:t>
      </w:r>
    </w:p>
    <w:p>
      <w:pPr>
        <w:pStyle w:val="18"/>
        <w:snapToGrid w:val="0"/>
        <w:spacing w:before="120" w:after="120" w:line="360" w:lineRule="auto"/>
        <w:rPr>
          <w:rFonts w:hAnsi="宋体"/>
          <w:sz w:val="24"/>
        </w:rPr>
      </w:pPr>
      <w:r>
        <w:rPr>
          <w:rFonts w:hint="eastAsia" w:hAnsi="宋体"/>
          <w:sz w:val="24"/>
        </w:rPr>
        <w:t>17.1 合同经双方法定代表人或授权委托代理人签字并加盖单位公章后生效。</w:t>
      </w:r>
    </w:p>
    <w:p>
      <w:pPr>
        <w:pStyle w:val="18"/>
        <w:snapToGrid w:val="0"/>
        <w:spacing w:before="120" w:after="120" w:line="360" w:lineRule="auto"/>
        <w:rPr>
          <w:rFonts w:hAnsi="宋体"/>
          <w:sz w:val="24"/>
        </w:rPr>
      </w:pPr>
      <w:r>
        <w:rPr>
          <w:rFonts w:hint="eastAsia" w:hAnsi="宋体"/>
          <w:sz w:val="24"/>
        </w:rPr>
        <w:t>17.2本合同未尽事宜，遵照《合同法》有关条文执行。</w:t>
      </w:r>
    </w:p>
    <w:p>
      <w:pPr>
        <w:pStyle w:val="18"/>
        <w:snapToGrid w:val="0"/>
        <w:spacing w:before="120" w:after="120" w:line="360" w:lineRule="auto"/>
        <w:ind w:left="480" w:hanging="480" w:hangingChars="200"/>
        <w:rPr>
          <w:rFonts w:hAnsi="宋体"/>
          <w:sz w:val="24"/>
        </w:rPr>
      </w:pPr>
      <w:r>
        <w:rPr>
          <w:rFonts w:hint="eastAsia" w:hAnsi="宋体"/>
          <w:sz w:val="24"/>
        </w:rPr>
        <w:t>17.3 本合同正本一式伍份，具有同等法律效力。</w:t>
      </w:r>
    </w:p>
    <w:p>
      <w:pPr>
        <w:pStyle w:val="18"/>
        <w:snapToGrid w:val="0"/>
        <w:spacing w:before="120" w:after="120" w:line="360" w:lineRule="auto"/>
        <w:ind w:left="480" w:hanging="480" w:hangingChars="200"/>
        <w:rPr>
          <w:rFonts w:hAnsi="宋体"/>
          <w:sz w:val="24"/>
        </w:rPr>
      </w:pPr>
      <w:r>
        <w:rPr>
          <w:rFonts w:hint="eastAsia" w:hAnsi="宋体"/>
          <w:sz w:val="24"/>
        </w:rPr>
        <w:t xml:space="preserve">  甲方：                                   乙方： </w:t>
      </w:r>
    </w:p>
    <w:p>
      <w:pPr>
        <w:pStyle w:val="18"/>
        <w:snapToGrid w:val="0"/>
        <w:spacing w:before="120" w:after="120" w:line="360" w:lineRule="auto"/>
        <w:rPr>
          <w:rFonts w:hAnsi="宋体"/>
          <w:sz w:val="24"/>
        </w:rPr>
      </w:pPr>
      <w:r>
        <w:rPr>
          <w:rFonts w:hint="eastAsia" w:hAnsi="宋体"/>
          <w:sz w:val="24"/>
        </w:rPr>
        <w:t xml:space="preserve">  地址：                                   地址： </w:t>
      </w:r>
    </w:p>
    <w:p>
      <w:pPr>
        <w:pStyle w:val="18"/>
        <w:snapToGrid w:val="0"/>
        <w:spacing w:before="120" w:after="120" w:line="360" w:lineRule="auto"/>
        <w:rPr>
          <w:rFonts w:hAnsi="宋体"/>
          <w:sz w:val="24"/>
        </w:rPr>
      </w:pPr>
      <w:r>
        <w:rPr>
          <w:rFonts w:hint="eastAsia" w:hAnsi="宋体"/>
          <w:sz w:val="24"/>
        </w:rPr>
        <w:t xml:space="preserve">  法定代表人：                             法定代表人：</w:t>
      </w:r>
    </w:p>
    <w:p>
      <w:pPr>
        <w:pStyle w:val="18"/>
        <w:snapToGrid w:val="0"/>
        <w:spacing w:before="120" w:after="120" w:line="360" w:lineRule="auto"/>
        <w:rPr>
          <w:rFonts w:hAnsi="宋体"/>
          <w:sz w:val="24"/>
        </w:rPr>
      </w:pPr>
      <w:r>
        <w:rPr>
          <w:rFonts w:hint="eastAsia" w:hAnsi="宋体"/>
          <w:sz w:val="24"/>
        </w:rPr>
        <w:t xml:space="preserve">                                           签订日期：      年     月     日</w:t>
      </w:r>
    </w:p>
    <w:p>
      <w:pPr>
        <w:spacing w:line="360" w:lineRule="auto"/>
        <w:ind w:firstLine="480" w:firstLineChars="200"/>
        <w:jc w:val="left"/>
        <w:rPr>
          <w:rFonts w:hint="eastAsia" w:ascii="宋体" w:hAnsi="宋体"/>
          <w:sz w:val="24"/>
        </w:rPr>
      </w:pPr>
      <w:r>
        <w:rPr>
          <w:rFonts w:ascii="宋体" w:hAnsi="宋体"/>
          <w:sz w:val="24"/>
        </w:rPr>
        <w:t xml:space="preserve">                 </w:t>
      </w:r>
    </w:p>
    <w:p>
      <w:pPr>
        <w:snapToGrid w:val="0"/>
        <w:spacing w:line="360" w:lineRule="auto"/>
        <w:ind w:right="480"/>
        <w:rPr>
          <w:rFonts w:hint="eastAsia" w:ascii="宋体" w:hAnsi="宋体"/>
          <w:sz w:val="24"/>
        </w:rPr>
      </w:pPr>
      <w:r>
        <w:rPr>
          <w:rFonts w:hint="eastAsia" w:ascii="宋体" w:hAnsi="宋体"/>
          <w:sz w:val="24"/>
        </w:rPr>
        <w:t>备案单位：</w:t>
      </w: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spacing w:line="400" w:lineRule="exact"/>
        <w:ind w:firstLine="161" w:firstLineChars="50"/>
        <w:jc w:val="center"/>
        <w:rPr>
          <w:rFonts w:hint="eastAsia"/>
          <w:b/>
          <w:bCs/>
          <w:sz w:val="32"/>
          <w:szCs w:val="32"/>
        </w:rPr>
      </w:pPr>
    </w:p>
    <w:p>
      <w:pPr>
        <w:pStyle w:val="2"/>
        <w:jc w:val="center"/>
        <w:rPr>
          <w:rFonts w:hint="eastAsia" w:hAnsi="宋体" w:eastAsia="宋体"/>
          <w:color w:val="auto"/>
          <w:kern w:val="2"/>
          <w:sz w:val="30"/>
          <w:szCs w:val="30"/>
        </w:rPr>
      </w:pPr>
      <w:r>
        <w:rPr>
          <w:rFonts w:hint="eastAsia"/>
          <w:kern w:val="2"/>
          <w:sz w:val="30"/>
          <w:szCs w:val="30"/>
        </w:rPr>
        <w:t>第六章    磋商文件格式</w:t>
      </w:r>
    </w:p>
    <w:p>
      <w:pPr>
        <w:snapToGrid w:val="0"/>
        <w:spacing w:before="120" w:beforeLines="50" w:after="50"/>
        <w:rPr>
          <w:rFonts w:ascii="宋体" w:hAnsi="宋体"/>
          <w:b/>
          <w:sz w:val="24"/>
        </w:rPr>
      </w:pPr>
      <w:r>
        <w:rPr>
          <w:rFonts w:hint="eastAsia" w:ascii="宋体" w:hAnsi="宋体"/>
          <w:b/>
          <w:sz w:val="24"/>
        </w:rPr>
        <w:t>1.所有磋商文件的外包装封面格式：</w:t>
      </w:r>
    </w:p>
    <w:p>
      <w:pPr>
        <w:snapToGrid w:val="0"/>
        <w:spacing w:before="120" w:beforeLines="50" w:after="50" w:line="380" w:lineRule="exact"/>
        <w:jc w:val="center"/>
        <w:rPr>
          <w:rFonts w:ascii="宋体" w:hAnsi="宋体"/>
          <w:bCs/>
          <w:sz w:val="24"/>
        </w:rPr>
      </w:pPr>
      <w:r>
        <w:rPr>
          <w:rFonts w:hint="eastAsia" w:ascii="宋体" w:hAnsi="宋体"/>
          <w:bCs/>
          <w:sz w:val="24"/>
        </w:rPr>
        <w:t>×××（供应商名称）</w:t>
      </w:r>
    </w:p>
    <w:p>
      <w:pPr>
        <w:snapToGrid w:val="0"/>
        <w:spacing w:before="120" w:beforeLines="50" w:after="50" w:line="380" w:lineRule="exact"/>
        <w:jc w:val="center"/>
        <w:rPr>
          <w:rFonts w:ascii="宋体" w:hAnsi="宋体"/>
          <w:bCs/>
          <w:sz w:val="24"/>
        </w:rPr>
      </w:pPr>
      <w:r>
        <w:rPr>
          <w:rFonts w:hint="eastAsia" w:ascii="宋体" w:hAnsi="宋体"/>
          <w:bCs/>
          <w:sz w:val="24"/>
        </w:rPr>
        <w:t>投 标 文 件</w:t>
      </w:r>
    </w:p>
    <w:p>
      <w:pPr>
        <w:snapToGrid w:val="0"/>
        <w:spacing w:before="120" w:beforeLines="50" w:after="50" w:line="380" w:lineRule="exact"/>
        <w:ind w:firstLine="1068" w:firstLineChars="445"/>
        <w:rPr>
          <w:rFonts w:ascii="宋体" w:hAnsi="宋体"/>
          <w:bCs/>
          <w:sz w:val="24"/>
        </w:rPr>
      </w:pPr>
      <w:r>
        <w:rPr>
          <w:rFonts w:hint="eastAsia" w:ascii="宋体" w:hAnsi="宋体"/>
          <w:bCs/>
          <w:sz w:val="24"/>
        </w:rPr>
        <w:t>项目名称：</w:t>
      </w:r>
    </w:p>
    <w:p>
      <w:pPr>
        <w:snapToGrid w:val="0"/>
        <w:spacing w:before="120" w:beforeLines="50" w:after="50" w:line="38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pStyle w:val="5"/>
        <w:snapToGrid w:val="0"/>
        <w:spacing w:before="50" w:after="50" w:line="380" w:lineRule="exact"/>
        <w:ind w:firstLine="1020" w:firstLineChars="425"/>
        <w:rPr>
          <w:rFonts w:ascii="宋体" w:hAnsi="宋体"/>
          <w:bCs/>
          <w:sz w:val="24"/>
        </w:rPr>
      </w:pPr>
      <w:r>
        <w:rPr>
          <w:rFonts w:ascii="宋体" w:hAnsi="宋体"/>
          <w:bCs/>
          <w:sz w:val="24"/>
        </w:rPr>
        <w:t>磋商文件名称：</w:t>
      </w:r>
      <w:r>
        <w:rPr>
          <w:rFonts w:hint="eastAsia" w:ascii="宋体" w:hAnsi="宋体"/>
          <w:bCs/>
          <w:sz w:val="24"/>
        </w:rPr>
        <w:t>（技术资信文件）（报价文件）</w:t>
      </w:r>
    </w:p>
    <w:p>
      <w:pPr>
        <w:pStyle w:val="5"/>
        <w:snapToGrid w:val="0"/>
        <w:spacing w:before="50" w:after="50" w:line="380" w:lineRule="exact"/>
        <w:ind w:firstLine="998" w:firstLineChars="416"/>
        <w:rPr>
          <w:rFonts w:ascii="宋体" w:hAnsi="宋体"/>
          <w:bCs/>
          <w:sz w:val="24"/>
        </w:rPr>
      </w:pPr>
      <w:r>
        <w:rPr>
          <w:rFonts w:ascii="宋体" w:hAnsi="宋体"/>
          <w:bCs/>
          <w:sz w:val="24"/>
        </w:rPr>
        <w:t>供应商名称（盖章）：</w:t>
      </w:r>
    </w:p>
    <w:p>
      <w:pPr>
        <w:pStyle w:val="5"/>
        <w:snapToGrid w:val="0"/>
        <w:spacing w:before="50" w:after="50" w:line="380" w:lineRule="exact"/>
        <w:ind w:firstLine="998" w:firstLineChars="416"/>
        <w:rPr>
          <w:rFonts w:ascii="宋体" w:hAnsi="宋体"/>
          <w:bCs/>
          <w:sz w:val="24"/>
        </w:rPr>
      </w:pPr>
      <w:r>
        <w:rPr>
          <w:rFonts w:ascii="宋体" w:hAnsi="宋体"/>
          <w:bCs/>
          <w:sz w:val="24"/>
        </w:rPr>
        <w:t>供应商地址：</w:t>
      </w:r>
    </w:p>
    <w:p>
      <w:pPr>
        <w:pStyle w:val="5"/>
        <w:snapToGrid w:val="0"/>
        <w:spacing w:before="50" w:after="50" w:line="380" w:lineRule="exact"/>
        <w:ind w:firstLine="960" w:firstLineChars="400"/>
        <w:rPr>
          <w:rFonts w:ascii="宋体" w:hAnsi="宋体"/>
          <w:bCs/>
          <w:sz w:val="24"/>
        </w:rPr>
      </w:pPr>
      <w:r>
        <w:rPr>
          <w:rFonts w:ascii="宋体" w:hAnsi="宋体"/>
          <w:bCs/>
          <w:sz w:val="24"/>
        </w:rPr>
        <w:t>在  年  月  日  时  分之前不得启封</w:t>
      </w:r>
    </w:p>
    <w:p>
      <w:pPr>
        <w:snapToGrid w:val="0"/>
        <w:spacing w:before="120" w:beforeLines="50" w:after="50" w:line="380" w:lineRule="exact"/>
        <w:ind w:firstLine="4080" w:firstLineChars="1700"/>
        <w:rPr>
          <w:rFonts w:ascii="宋体" w:hAnsi="宋体"/>
          <w:bCs/>
          <w:sz w:val="24"/>
        </w:rPr>
      </w:pPr>
      <w:r>
        <w:rPr>
          <w:rFonts w:hint="eastAsia" w:ascii="宋体" w:hAnsi="宋体"/>
          <w:bCs/>
          <w:sz w:val="24"/>
        </w:rPr>
        <w:t>法定代表人签字或盖章：</w:t>
      </w:r>
    </w:p>
    <w:p>
      <w:pPr>
        <w:snapToGrid w:val="0"/>
        <w:spacing w:before="120" w:beforeLines="50" w:after="50" w:line="380" w:lineRule="exact"/>
        <w:ind w:firstLine="645"/>
        <w:jc w:val="center"/>
        <w:rPr>
          <w:rFonts w:ascii="宋体" w:hAnsi="宋体"/>
          <w:bCs/>
          <w:sz w:val="24"/>
        </w:rPr>
      </w:pP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before="120" w:beforeLines="50" w:after="50" w:line="380" w:lineRule="exact"/>
        <w:rPr>
          <w:rFonts w:ascii="宋体" w:hAnsi="宋体"/>
          <w:bCs/>
          <w:sz w:val="24"/>
        </w:rPr>
      </w:pPr>
    </w:p>
    <w:p>
      <w:pPr>
        <w:snapToGrid w:val="0"/>
        <w:spacing w:before="120" w:beforeLines="50" w:after="50"/>
        <w:rPr>
          <w:rFonts w:ascii="宋体" w:hAnsi="宋体"/>
          <w:b/>
          <w:sz w:val="24"/>
        </w:rPr>
      </w:pPr>
      <w:r>
        <w:rPr>
          <w:rFonts w:hint="eastAsia" w:ascii="宋体" w:hAnsi="宋体"/>
          <w:b/>
          <w:sz w:val="24"/>
        </w:rPr>
        <w:t>2.技术</w:t>
      </w:r>
      <w:r>
        <w:rPr>
          <w:rFonts w:hint="eastAsia" w:ascii="宋体" w:hAnsi="宋体"/>
          <w:b/>
          <w:bCs/>
          <w:sz w:val="24"/>
        </w:rPr>
        <w:t>资信（报价）</w:t>
      </w:r>
      <w:r>
        <w:rPr>
          <w:rFonts w:hint="eastAsia" w:ascii="宋体" w:hAnsi="宋体"/>
          <w:b/>
          <w:sz w:val="24"/>
        </w:rPr>
        <w:t xml:space="preserve">文件封面格式： </w:t>
      </w:r>
    </w:p>
    <w:p>
      <w:pPr>
        <w:snapToGrid w:val="0"/>
        <w:spacing w:before="120" w:beforeLines="50" w:after="50"/>
        <w:rPr>
          <w:rFonts w:ascii="宋体" w:hAnsi="宋体"/>
          <w:b/>
          <w:bCs/>
          <w:sz w:val="24"/>
        </w:rPr>
      </w:pPr>
      <w:r>
        <w:rPr>
          <w:rFonts w:hint="eastAsia" w:ascii="宋体" w:hAnsi="宋体"/>
          <w:sz w:val="24"/>
        </w:rPr>
        <w:t xml:space="preserve">                                                    </w:t>
      </w:r>
      <w:r>
        <w:rPr>
          <w:rFonts w:hint="eastAsia" w:ascii="宋体" w:hAnsi="宋体"/>
          <w:b/>
          <w:bCs/>
          <w:sz w:val="24"/>
        </w:rPr>
        <w:t>正本/或副本</w:t>
      </w:r>
    </w:p>
    <w:p>
      <w:pPr>
        <w:snapToGrid w:val="0"/>
        <w:spacing w:before="120" w:beforeLines="50" w:after="50" w:line="360" w:lineRule="exact"/>
        <w:jc w:val="center"/>
        <w:rPr>
          <w:rFonts w:ascii="宋体" w:hAnsi="宋体"/>
          <w:bCs/>
          <w:sz w:val="24"/>
        </w:rPr>
      </w:pPr>
      <w:r>
        <w:rPr>
          <w:rFonts w:hint="eastAsia" w:ascii="宋体" w:hAnsi="宋体"/>
          <w:bCs/>
          <w:sz w:val="24"/>
        </w:rPr>
        <w:t>×××（供应商名称）</w:t>
      </w:r>
    </w:p>
    <w:p>
      <w:pPr>
        <w:snapToGrid w:val="0"/>
        <w:spacing w:before="120" w:beforeLines="50" w:after="50" w:line="360" w:lineRule="exact"/>
        <w:jc w:val="center"/>
        <w:rPr>
          <w:rFonts w:ascii="宋体" w:hAnsi="宋体"/>
          <w:bCs/>
          <w:sz w:val="24"/>
        </w:rPr>
      </w:pPr>
      <w:r>
        <w:rPr>
          <w:rFonts w:hint="eastAsia" w:ascii="宋体" w:hAnsi="宋体"/>
          <w:bCs/>
          <w:sz w:val="24"/>
        </w:rPr>
        <w:t>技术资信（报价）文件</w:t>
      </w:r>
    </w:p>
    <w:p>
      <w:pPr>
        <w:snapToGrid w:val="0"/>
        <w:spacing w:before="120" w:beforeLines="50" w:after="50" w:line="360" w:lineRule="exact"/>
        <w:ind w:firstLine="1068" w:firstLineChars="445"/>
        <w:rPr>
          <w:rFonts w:ascii="宋体" w:hAnsi="宋体"/>
          <w:bCs/>
          <w:sz w:val="24"/>
        </w:rPr>
      </w:pPr>
      <w:r>
        <w:rPr>
          <w:rFonts w:hint="eastAsia" w:ascii="宋体" w:hAnsi="宋体"/>
          <w:bCs/>
          <w:sz w:val="24"/>
        </w:rPr>
        <w:t>项目名称：</w:t>
      </w:r>
    </w:p>
    <w:p>
      <w:pPr>
        <w:snapToGrid w:val="0"/>
        <w:spacing w:before="120" w:beforeLines="50" w:after="50" w:line="36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pStyle w:val="5"/>
        <w:snapToGrid w:val="0"/>
        <w:spacing w:before="50" w:after="50" w:line="360" w:lineRule="exact"/>
        <w:ind w:firstLine="998" w:firstLineChars="416"/>
        <w:rPr>
          <w:rFonts w:ascii="宋体" w:hAnsi="宋体"/>
          <w:bCs/>
          <w:sz w:val="24"/>
        </w:rPr>
      </w:pPr>
      <w:r>
        <w:rPr>
          <w:rFonts w:ascii="宋体" w:hAnsi="宋体"/>
          <w:bCs/>
          <w:sz w:val="24"/>
        </w:rPr>
        <w:t>供应商名称（盖章）：</w:t>
      </w:r>
    </w:p>
    <w:p>
      <w:pPr>
        <w:pStyle w:val="5"/>
        <w:snapToGrid w:val="0"/>
        <w:spacing w:before="50" w:after="50" w:line="360" w:lineRule="exact"/>
        <w:ind w:firstLine="998" w:firstLineChars="416"/>
        <w:rPr>
          <w:rFonts w:ascii="宋体" w:hAnsi="宋体"/>
          <w:bCs/>
          <w:sz w:val="24"/>
        </w:rPr>
      </w:pPr>
      <w:r>
        <w:rPr>
          <w:rFonts w:ascii="宋体" w:hAnsi="宋体"/>
          <w:bCs/>
          <w:sz w:val="24"/>
        </w:rPr>
        <w:t>供应商地址：</w:t>
      </w:r>
    </w:p>
    <w:p>
      <w:pPr>
        <w:snapToGrid w:val="0"/>
        <w:spacing w:before="120" w:beforeLines="50" w:after="50" w:line="360" w:lineRule="exact"/>
        <w:jc w:val="center"/>
        <w:rPr>
          <w:rFonts w:ascii="宋体" w:hAnsi="宋体"/>
          <w:sz w:val="24"/>
        </w:rPr>
      </w:pPr>
      <w:r>
        <w:rPr>
          <w:rFonts w:hint="eastAsia" w:ascii="宋体" w:hAnsi="宋体"/>
          <w:sz w:val="24"/>
        </w:rPr>
        <w:t>法定代表人签字或盖章：</w:t>
      </w:r>
    </w:p>
    <w:p>
      <w:pPr>
        <w:snapToGrid w:val="0"/>
        <w:spacing w:before="120" w:beforeLines="50" w:after="50" w:line="360" w:lineRule="exact"/>
        <w:ind w:firstLine="645"/>
        <w:jc w:val="center"/>
        <w:rPr>
          <w:rFonts w:ascii="宋体" w:hAnsi="宋体"/>
          <w:bCs/>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120" w:beforeLines="50" w:after="50" w:line="380" w:lineRule="exact"/>
        <w:ind w:firstLine="645"/>
        <w:rPr>
          <w:rFonts w:ascii="宋体" w:hAnsi="宋体"/>
          <w:b/>
          <w:bCs/>
          <w:szCs w:val="21"/>
        </w:rPr>
      </w:pPr>
      <w:r>
        <w:rPr>
          <w:rFonts w:hint="eastAsia" w:ascii="宋体" w:hAnsi="宋体"/>
          <w:b/>
          <w:bCs/>
          <w:szCs w:val="21"/>
        </w:rPr>
        <w:t>注：供应商应按技术资信文件、报价文件分别进行编制、装订、封装磋商文件</w:t>
      </w:r>
    </w:p>
    <w:p>
      <w:pPr>
        <w:spacing w:line="700" w:lineRule="exact"/>
        <w:outlineLvl w:val="3"/>
        <w:rPr>
          <w:rFonts w:ascii="宋体" w:hAnsi="宋体"/>
          <w:b/>
          <w:sz w:val="24"/>
        </w:rPr>
      </w:pPr>
      <w:r>
        <w:rPr>
          <w:rFonts w:hint="eastAsia" w:ascii="宋体" w:hAnsi="宋体"/>
          <w:sz w:val="24"/>
        </w:rPr>
        <w:br w:type="page"/>
      </w:r>
      <w:bookmarkStart w:id="77" w:name="_Toc194217895"/>
      <w:r>
        <w:rPr>
          <w:rFonts w:hint="eastAsia" w:ascii="宋体" w:hAnsi="宋体"/>
          <w:b/>
          <w:sz w:val="24"/>
        </w:rPr>
        <w:t>3.法定代表人授权书</w:t>
      </w:r>
    </w:p>
    <w:p>
      <w:pPr>
        <w:snapToGrid w:val="0"/>
        <w:spacing w:before="120" w:beforeLines="50" w:after="50" w:line="360" w:lineRule="auto"/>
        <w:rPr>
          <w:rFonts w:ascii="宋体" w:hAnsi="宋体"/>
          <w:b/>
          <w:bCs/>
          <w:sz w:val="24"/>
        </w:rPr>
      </w:pPr>
      <w:r>
        <w:rPr>
          <w:rFonts w:hint="eastAsia" w:ascii="宋体" w:hAnsi="宋体"/>
          <w:bCs/>
          <w:sz w:val="24"/>
        </w:rPr>
        <w:t>致：</w:t>
      </w:r>
      <w:r>
        <w:rPr>
          <w:rFonts w:ascii="宋体" w:hAnsi="宋体"/>
          <w:sz w:val="24"/>
        </w:rPr>
        <w:t>______</w:t>
      </w:r>
      <w:r>
        <w:rPr>
          <w:rFonts w:hint="eastAsia" w:ascii="宋体" w:hAnsi="宋体"/>
          <w:sz w:val="24"/>
        </w:rPr>
        <w:t>（采购机构名称）</w:t>
      </w:r>
      <w:r>
        <w:rPr>
          <w:rFonts w:hint="eastAsia" w:ascii="宋体" w:hAnsi="宋体"/>
          <w:b/>
          <w:bCs/>
          <w:sz w:val="24"/>
        </w:rPr>
        <w:t xml:space="preserve"> </w:t>
      </w:r>
      <w:r>
        <w:rPr>
          <w:rFonts w:ascii="宋体" w:hAnsi="宋体"/>
          <w:sz w:val="24"/>
        </w:rPr>
        <w:t>：</w:t>
      </w:r>
    </w:p>
    <w:p>
      <w:pPr>
        <w:snapToGrid w:val="0"/>
        <w:spacing w:before="120" w:beforeLines="50" w:after="50" w:line="360" w:lineRule="auto"/>
        <w:ind w:firstLine="720" w:firstLineChars="300"/>
        <w:rPr>
          <w:rFonts w:ascii="宋体" w:hAnsi="宋体"/>
          <w:sz w:val="24"/>
        </w:rPr>
      </w:pPr>
      <w:r>
        <w:rPr>
          <w:rFonts w:hint="eastAsia" w:ascii="宋体" w:hAnsi="宋体"/>
          <w:sz w:val="24"/>
        </w:rPr>
        <w:t>我</w:t>
      </w:r>
      <w:r>
        <w:rPr>
          <w:rFonts w:ascii="宋体" w:hAnsi="宋体"/>
          <w:sz w:val="24"/>
        </w:rPr>
        <w:t>______</w:t>
      </w:r>
      <w:r>
        <w:rPr>
          <w:rFonts w:hint="eastAsia" w:ascii="宋体" w:hAnsi="宋体"/>
          <w:sz w:val="24"/>
        </w:rPr>
        <w:t>（姓名）系</w:t>
      </w:r>
      <w:r>
        <w:rPr>
          <w:rFonts w:ascii="宋体" w:hAnsi="宋体"/>
          <w:sz w:val="24"/>
        </w:rPr>
        <w:t>_______</w:t>
      </w:r>
      <w:r>
        <w:rPr>
          <w:rFonts w:hint="eastAsia" w:ascii="宋体" w:hAnsi="宋体"/>
          <w:sz w:val="24"/>
        </w:rPr>
        <w:t xml:space="preserve">（供应商名称）的法定代表人，现授权委托本单位在职职工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项目的磋商活动，并代表我方全权办理针对上述项目的磋商、开标、评标、签约等具体事务和签署相关文件。</w:t>
      </w:r>
    </w:p>
    <w:p>
      <w:pPr>
        <w:snapToGrid w:val="0"/>
        <w:spacing w:before="120" w:beforeLines="50" w:after="50"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我方对被授权人的签名负全部责任。</w:t>
      </w:r>
    </w:p>
    <w:p>
      <w:pPr>
        <w:snapToGrid w:val="0"/>
        <w:spacing w:before="120" w:beforeLines="50" w:after="50" w:line="360" w:lineRule="auto"/>
        <w:ind w:firstLine="480"/>
        <w:rPr>
          <w:rFonts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snapToGrid w:val="0"/>
        <w:spacing w:before="120" w:beforeLines="50" w:after="50" w:line="360" w:lineRule="auto"/>
        <w:ind w:firstLine="480"/>
        <w:rPr>
          <w:rFonts w:ascii="宋体" w:hAnsi="宋体"/>
          <w:sz w:val="24"/>
        </w:rPr>
      </w:pPr>
      <w:r>
        <w:rPr>
          <w:rFonts w:hint="eastAsia" w:ascii="宋体" w:hAnsi="宋体"/>
          <w:sz w:val="24"/>
        </w:rPr>
        <w:t>被授权人无转委托权，特此委托。</w:t>
      </w: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法定代表人签字或盖章</w:t>
      </w:r>
      <w:r>
        <w:rPr>
          <w:rFonts w:ascii="宋体" w:hAnsi="宋体"/>
          <w:sz w:val="24"/>
        </w:rPr>
        <w:t>：</w:t>
      </w:r>
      <w:r>
        <w:rPr>
          <w:rFonts w:ascii="宋体" w:hAnsi="宋体"/>
          <w:sz w:val="24"/>
          <w:u w:val="single"/>
        </w:rPr>
        <w:t xml:space="preserve">          </w:t>
      </w:r>
    </w:p>
    <w:p>
      <w:pPr>
        <w:snapToGrid w:val="0"/>
        <w:spacing w:before="120" w:beforeLines="50" w:after="50" w:line="360" w:lineRule="auto"/>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after="50" w:line="360" w:lineRule="auto"/>
        <w:rPr>
          <w:rFonts w:ascii="宋体" w:hAnsi="宋体"/>
          <w:sz w:val="24"/>
        </w:rPr>
      </w:pPr>
      <w:r>
        <w:rPr>
          <w:rFonts w:hint="eastAsia" w:ascii="宋体" w:hAnsi="宋体"/>
          <w:sz w:val="24"/>
        </w:rPr>
        <w:t xml:space="preserve">                                     供应商盖章：</w:t>
      </w:r>
    </w:p>
    <w:p>
      <w:pPr>
        <w:snapToGrid w:val="0"/>
        <w:spacing w:before="120" w:beforeLines="50" w:after="50" w:line="360" w:lineRule="auto"/>
        <w:jc w:val="center"/>
        <w:rPr>
          <w:rFonts w:ascii="宋体" w:hAnsi="宋体"/>
          <w:sz w:val="24"/>
        </w:rPr>
      </w:pPr>
      <w:r>
        <w:rPr>
          <w:rFonts w:ascii="宋体" w:hAnsi="宋体"/>
          <w:sz w:val="24"/>
        </w:rPr>
        <w:t xml:space="preserve">     </w:t>
      </w:r>
      <w:r>
        <w:rPr>
          <w:rFonts w:hint="eastAsia" w:ascii="宋体" w:hAnsi="宋体"/>
          <w:sz w:val="24"/>
        </w:rPr>
        <w:t xml:space="preserve">                                   年    月    日</w:t>
      </w:r>
    </w:p>
    <w:p>
      <w:pPr>
        <w:spacing w:line="580" w:lineRule="exact"/>
        <w:rPr>
          <w:rFonts w:ascii="宋体" w:hAnsi="宋体"/>
          <w:b/>
          <w:bCs/>
          <w:sz w:val="24"/>
        </w:rPr>
      </w:pPr>
      <w:r>
        <w:rPr>
          <w:rFonts w:ascii="宋体" w:hAnsi="宋体"/>
          <w:sz w:val="24"/>
        </w:rPr>
        <w:br w:type="page"/>
      </w:r>
      <w:r>
        <w:rPr>
          <w:rFonts w:hint="eastAsia" w:ascii="宋体" w:hAnsi="宋体"/>
          <w:b/>
          <w:bCs/>
          <w:sz w:val="24"/>
        </w:rPr>
        <w:t xml:space="preserve">4. </w:t>
      </w:r>
      <w:r>
        <w:rPr>
          <w:rFonts w:hint="eastAsia" w:ascii="宋体" w:hAnsi="宋体"/>
          <w:b/>
          <w:sz w:val="24"/>
        </w:rPr>
        <w:t>磋商承诺函</w:t>
      </w:r>
    </w:p>
    <w:p>
      <w:pPr>
        <w:snapToGrid w:val="0"/>
        <w:spacing w:line="360" w:lineRule="auto"/>
        <w:rPr>
          <w:rFonts w:ascii="宋体" w:hAnsi="宋体"/>
          <w:sz w:val="24"/>
        </w:rPr>
      </w:pPr>
      <w:r>
        <w:rPr>
          <w:rFonts w:hint="eastAsia" w:ascii="宋体" w:hAnsi="宋体"/>
          <w:sz w:val="24"/>
        </w:rPr>
        <w:t>致：杭州欣兴建设工程招标代理有限公司</w:t>
      </w:r>
    </w:p>
    <w:p>
      <w:pPr>
        <w:snapToGrid w:val="0"/>
        <w:spacing w:line="360" w:lineRule="auto"/>
        <w:ind w:firstLine="540"/>
        <w:rPr>
          <w:rFonts w:hint="eastAsia" w:ascii="宋体" w:hAnsi="宋体"/>
          <w:sz w:val="24"/>
        </w:rPr>
      </w:pPr>
      <w:r>
        <w:rPr>
          <w:rFonts w:hint="eastAsia" w:ascii="宋体" w:hAnsi="宋体"/>
          <w:sz w:val="24"/>
        </w:rPr>
        <w:t>根据本项目磋商文件的要求，正式授权下述签字人</w:t>
      </w:r>
      <w:r>
        <w:rPr>
          <w:rFonts w:hint="eastAsia" w:ascii="宋体" w:hAnsi="宋体"/>
          <w:sz w:val="24"/>
          <w:u w:val="single"/>
        </w:rPr>
        <w:t xml:space="preserve"> (姓名) </w:t>
      </w:r>
      <w:r>
        <w:rPr>
          <w:rFonts w:hint="eastAsia" w:ascii="宋体" w:hAnsi="宋体"/>
          <w:sz w:val="24"/>
        </w:rPr>
        <w:t xml:space="preserve">代表供应商 </w:t>
      </w:r>
      <w:r>
        <w:rPr>
          <w:rFonts w:hint="eastAsia" w:ascii="宋体" w:hAnsi="宋体"/>
          <w:sz w:val="24"/>
          <w:u w:val="single"/>
        </w:rPr>
        <w:t xml:space="preserve">（供应商名称） </w:t>
      </w:r>
      <w:r>
        <w:rPr>
          <w:rFonts w:hint="eastAsia" w:ascii="宋体" w:hAnsi="宋体"/>
          <w:sz w:val="24"/>
        </w:rPr>
        <w:t>，提交下述文件。据此函，签字人兹宣布同意如下：</w:t>
      </w:r>
    </w:p>
    <w:p>
      <w:pPr>
        <w:snapToGrid w:val="0"/>
        <w:spacing w:line="360" w:lineRule="auto"/>
        <w:ind w:firstLine="540"/>
        <w:rPr>
          <w:rFonts w:hint="eastAsia" w:ascii="宋体" w:hAnsi="宋体"/>
          <w:sz w:val="24"/>
        </w:rPr>
      </w:pPr>
      <w:r>
        <w:rPr>
          <w:rFonts w:hint="eastAsia" w:ascii="宋体" w:hAnsi="宋体"/>
          <w:sz w:val="24"/>
        </w:rPr>
        <w:t>我方已仔细研究了______________(项目名称) 的磋商文件的全部内容，愿意承诺以下内容：</w:t>
      </w:r>
    </w:p>
    <w:p>
      <w:pPr>
        <w:snapToGrid w:val="0"/>
        <w:spacing w:line="360" w:lineRule="auto"/>
        <w:ind w:firstLine="540"/>
        <w:rPr>
          <w:rFonts w:hint="eastAsia" w:ascii="宋体" w:hAnsi="宋体"/>
          <w:sz w:val="24"/>
        </w:rPr>
      </w:pPr>
      <w:r>
        <w:rPr>
          <w:rFonts w:hint="eastAsia" w:ascii="宋体" w:hAnsi="宋体"/>
          <w:sz w:val="24"/>
        </w:rPr>
        <w:t>1.我方在磋商之前已经与贵方进行了充分的沟通，完全理解并接受磋商文件的各项规定和要求，对磋商文件的合理性、合法性不再有异议。（包括修改文件）</w:t>
      </w:r>
    </w:p>
    <w:p>
      <w:pPr>
        <w:snapToGrid w:val="0"/>
        <w:spacing w:line="360" w:lineRule="auto"/>
        <w:ind w:firstLine="540"/>
        <w:rPr>
          <w:rFonts w:hint="eastAsia" w:ascii="宋体" w:hAnsi="宋体"/>
          <w:sz w:val="24"/>
        </w:rPr>
      </w:pPr>
      <w:r>
        <w:rPr>
          <w:rFonts w:hint="eastAsia" w:ascii="宋体" w:hAnsi="宋体"/>
          <w:sz w:val="24"/>
        </w:rPr>
        <w:t>2.我方承诺在磋商有效期内（从开标之日起</w:t>
      </w:r>
      <w:r>
        <w:rPr>
          <w:rFonts w:hint="eastAsia" w:ascii="宋体" w:hAnsi="宋体"/>
          <w:sz w:val="24"/>
          <w:u w:val="single"/>
        </w:rPr>
        <w:t>90</w:t>
      </w:r>
      <w:r>
        <w:rPr>
          <w:rFonts w:hint="eastAsia" w:ascii="宋体" w:hAnsi="宋体"/>
          <w:sz w:val="24"/>
        </w:rPr>
        <w:t>天），其响应文件中的所有内容对我方具有约束力。如在此有效期内，我方出现下列行为之一者，同意无条件没收我方的磋商保证金。</w:t>
      </w:r>
    </w:p>
    <w:p>
      <w:pPr>
        <w:spacing w:line="360" w:lineRule="auto"/>
        <w:ind w:firstLine="480" w:firstLineChars="200"/>
        <w:jc w:val="left"/>
        <w:rPr>
          <w:rFonts w:hint="eastAsia" w:ascii="宋体" w:hAnsi="宋体"/>
          <w:kern w:val="0"/>
          <w:sz w:val="24"/>
        </w:rPr>
      </w:pPr>
      <w:r>
        <w:rPr>
          <w:rFonts w:hint="eastAsia" w:ascii="宋体" w:hAnsi="宋体"/>
          <w:kern w:val="0"/>
          <w:sz w:val="24"/>
        </w:rPr>
        <w:t>1）在磋商有效期内撤回响应文件；</w:t>
      </w:r>
    </w:p>
    <w:p>
      <w:pPr>
        <w:spacing w:line="360" w:lineRule="auto"/>
        <w:ind w:firstLine="480"/>
        <w:jc w:val="left"/>
        <w:rPr>
          <w:rFonts w:hint="eastAsia" w:ascii="宋体" w:hAnsi="宋体"/>
          <w:kern w:val="0"/>
          <w:sz w:val="24"/>
        </w:rPr>
      </w:pPr>
      <w:r>
        <w:rPr>
          <w:rFonts w:hint="eastAsia" w:ascii="宋体" w:hAnsi="宋体"/>
          <w:kern w:val="0"/>
          <w:sz w:val="24"/>
        </w:rPr>
        <w:t>2）在磋商过程中弄虚作假、提供虚假材料的；</w:t>
      </w:r>
    </w:p>
    <w:p>
      <w:pPr>
        <w:spacing w:line="360" w:lineRule="auto"/>
        <w:ind w:firstLine="480"/>
        <w:jc w:val="left"/>
        <w:rPr>
          <w:rFonts w:hint="eastAsia" w:ascii="宋体" w:hAnsi="宋体"/>
          <w:kern w:val="0"/>
          <w:sz w:val="24"/>
        </w:rPr>
      </w:pPr>
      <w:r>
        <w:rPr>
          <w:rFonts w:hint="eastAsia" w:ascii="宋体" w:hAnsi="宋体"/>
          <w:kern w:val="0"/>
          <w:sz w:val="24"/>
        </w:rPr>
        <w:t>3）如果成交不与采购人签订合同的；</w:t>
      </w:r>
    </w:p>
    <w:p>
      <w:pPr>
        <w:spacing w:line="360" w:lineRule="auto"/>
        <w:ind w:firstLine="480"/>
        <w:jc w:val="left"/>
        <w:rPr>
          <w:rFonts w:hint="eastAsia" w:ascii="宋体" w:hAnsi="宋体"/>
          <w:kern w:val="0"/>
          <w:sz w:val="24"/>
        </w:rPr>
      </w:pPr>
      <w:r>
        <w:rPr>
          <w:rFonts w:hint="eastAsia" w:ascii="宋体" w:hAnsi="宋体"/>
          <w:kern w:val="0"/>
          <w:sz w:val="24"/>
        </w:rPr>
        <w:t>4）有其他严重扰乱磋商程序的。</w:t>
      </w:r>
    </w:p>
    <w:p>
      <w:pPr>
        <w:snapToGrid w:val="0"/>
        <w:spacing w:line="360" w:lineRule="auto"/>
        <w:ind w:firstLine="540"/>
        <w:rPr>
          <w:rFonts w:hint="eastAsia" w:ascii="宋体" w:hAnsi="宋体"/>
          <w:sz w:val="24"/>
        </w:rPr>
      </w:pPr>
      <w:r>
        <w:rPr>
          <w:rFonts w:hint="eastAsia" w:ascii="宋体" w:hAnsi="宋体"/>
          <w:sz w:val="24"/>
        </w:rPr>
        <w:t>3.我方承诺：</w:t>
      </w:r>
    </w:p>
    <w:p>
      <w:pPr>
        <w:snapToGrid w:val="0"/>
        <w:spacing w:line="360" w:lineRule="auto"/>
        <w:ind w:firstLine="540"/>
        <w:rPr>
          <w:rFonts w:hint="eastAsia" w:ascii="宋体" w:hAnsi="宋体"/>
          <w:sz w:val="24"/>
        </w:rPr>
      </w:pPr>
      <w:r>
        <w:rPr>
          <w:rFonts w:hint="eastAsia" w:ascii="宋体" w:hAnsi="宋体"/>
          <w:sz w:val="24"/>
        </w:rPr>
        <w:t>1）收到成交通知书后，在成交通知书规定的期限内与采购人签订合同。</w:t>
      </w:r>
    </w:p>
    <w:p>
      <w:pPr>
        <w:snapToGrid w:val="0"/>
        <w:spacing w:line="360" w:lineRule="auto"/>
        <w:ind w:firstLine="540"/>
        <w:rPr>
          <w:rFonts w:hint="eastAsia" w:ascii="宋体" w:hAnsi="宋体"/>
          <w:sz w:val="24"/>
        </w:rPr>
      </w:pPr>
      <w:r>
        <w:rPr>
          <w:rFonts w:hint="eastAsia" w:ascii="宋体" w:hAnsi="宋体"/>
          <w:sz w:val="24"/>
        </w:rPr>
        <w:t>2）在合同约定的期限内完成项目服务内容。</w:t>
      </w:r>
    </w:p>
    <w:p>
      <w:pPr>
        <w:snapToGrid w:val="0"/>
        <w:spacing w:line="360" w:lineRule="auto"/>
        <w:ind w:firstLine="540"/>
        <w:rPr>
          <w:rFonts w:hint="eastAsia" w:ascii="宋体" w:hAnsi="宋体"/>
          <w:sz w:val="24"/>
        </w:rPr>
      </w:pPr>
      <w:r>
        <w:rPr>
          <w:rFonts w:hint="eastAsia" w:ascii="宋体" w:hAnsi="宋体"/>
          <w:sz w:val="24"/>
        </w:rPr>
        <w:t>4.我方在此声明，所递交的响应文件及有关资料内容完整、真实和准确。</w:t>
      </w:r>
    </w:p>
    <w:p>
      <w:pPr>
        <w:snapToGrid w:val="0"/>
        <w:spacing w:line="360" w:lineRule="auto"/>
        <w:ind w:firstLine="540"/>
        <w:rPr>
          <w:rFonts w:hint="eastAsia" w:ascii="宋体" w:hAnsi="宋体"/>
          <w:sz w:val="24"/>
        </w:rPr>
      </w:pPr>
      <w:r>
        <w:rPr>
          <w:rFonts w:hint="eastAsia" w:ascii="宋体" w:hAnsi="宋体"/>
          <w:sz w:val="24"/>
        </w:rPr>
        <w:t>5.我方理解贵方不一定接受最低报价的供应商，且对磋商文件中规定的付款方式无异议。</w:t>
      </w:r>
    </w:p>
    <w:p>
      <w:pPr>
        <w:snapToGrid w:val="0"/>
        <w:spacing w:line="360" w:lineRule="auto"/>
        <w:ind w:left="2940" w:leftChars="257" w:hanging="2400" w:hangingChars="1000"/>
        <w:rPr>
          <w:rFonts w:hint="eastAsia" w:ascii="宋体" w:hAnsi="宋体"/>
          <w:sz w:val="24"/>
        </w:rPr>
      </w:pPr>
      <w:r>
        <w:rPr>
          <w:rFonts w:hint="eastAsia" w:ascii="宋体" w:hAnsi="宋体"/>
          <w:sz w:val="24"/>
        </w:rPr>
        <w:t xml:space="preserve">6.__________________________________（供应商认为需要的其他补充说明）。                    </w:t>
      </w:r>
    </w:p>
    <w:p>
      <w:pPr>
        <w:snapToGrid w:val="0"/>
        <w:spacing w:line="360" w:lineRule="auto"/>
        <w:ind w:left="2934" w:leftChars="1397"/>
        <w:rPr>
          <w:rFonts w:hint="eastAsia" w:ascii="宋体" w:hAnsi="宋体"/>
          <w:b/>
          <w:sz w:val="24"/>
        </w:rPr>
      </w:pPr>
      <w:r>
        <w:rPr>
          <w:rFonts w:hint="eastAsia" w:ascii="宋体" w:hAnsi="宋体"/>
          <w:b/>
          <w:sz w:val="24"/>
        </w:rPr>
        <w:t>供应商：</w:t>
      </w:r>
      <w:r>
        <w:rPr>
          <w:rFonts w:hint="eastAsia" w:ascii="宋体" w:hAnsi="宋体"/>
          <w:b/>
          <w:sz w:val="24"/>
          <w:u w:val="single"/>
        </w:rPr>
        <w:t xml:space="preserve">                           </w:t>
      </w:r>
      <w:r>
        <w:rPr>
          <w:rFonts w:hint="eastAsia" w:ascii="宋体" w:hAnsi="宋体"/>
          <w:b/>
          <w:sz w:val="24"/>
        </w:rPr>
        <w:t xml:space="preserve">（盖章）  </w:t>
      </w:r>
    </w:p>
    <w:p>
      <w:pPr>
        <w:snapToGrid w:val="0"/>
        <w:spacing w:line="360" w:lineRule="auto"/>
        <w:ind w:firstLine="2884" w:firstLineChars="1197"/>
        <w:rPr>
          <w:rFonts w:hint="eastAsia" w:ascii="宋体" w:hAnsi="宋体"/>
          <w:b/>
          <w:sz w:val="24"/>
          <w:u w:val="single"/>
        </w:rPr>
      </w:pPr>
      <w:r>
        <w:rPr>
          <w:rFonts w:hint="eastAsia" w:ascii="宋体" w:hAnsi="宋体"/>
          <w:b/>
          <w:sz w:val="24"/>
        </w:rPr>
        <w:t>法定代表人或委托代理人：</w:t>
      </w:r>
      <w:r>
        <w:rPr>
          <w:rFonts w:hint="eastAsia" w:ascii="宋体" w:hAnsi="宋体"/>
          <w:b/>
          <w:sz w:val="24"/>
          <w:u w:val="single"/>
        </w:rPr>
        <w:t xml:space="preserve">            </w:t>
      </w:r>
      <w:r>
        <w:rPr>
          <w:rFonts w:hint="eastAsia" w:ascii="宋体" w:hAnsi="宋体"/>
          <w:b/>
          <w:sz w:val="24"/>
        </w:rPr>
        <w:t>（签字或盖章）</w:t>
      </w:r>
    </w:p>
    <w:p>
      <w:pPr>
        <w:snapToGrid w:val="0"/>
        <w:spacing w:line="360" w:lineRule="auto"/>
        <w:ind w:firstLine="2879" w:firstLineChars="1195"/>
        <w:rPr>
          <w:rFonts w:hint="eastAsia" w:ascii="宋体" w:hAnsi="宋体"/>
          <w:b/>
          <w:sz w:val="24"/>
          <w:u w:val="single"/>
        </w:rPr>
      </w:pPr>
      <w:r>
        <w:rPr>
          <w:rFonts w:hint="eastAsia" w:ascii="宋体" w:hAnsi="宋体"/>
          <w:b/>
          <w:sz w:val="24"/>
        </w:rPr>
        <w:t>电话：</w:t>
      </w:r>
      <w:r>
        <w:rPr>
          <w:rFonts w:hint="eastAsia" w:ascii="宋体" w:hAnsi="宋体"/>
          <w:b/>
          <w:sz w:val="24"/>
          <w:u w:val="single"/>
        </w:rPr>
        <w:t xml:space="preserve">                                 </w:t>
      </w:r>
    </w:p>
    <w:p>
      <w:pPr>
        <w:snapToGrid w:val="0"/>
        <w:spacing w:line="360" w:lineRule="auto"/>
        <w:ind w:firstLine="2884" w:firstLineChars="1197"/>
        <w:rPr>
          <w:rFonts w:hint="eastAsia" w:ascii="宋体" w:hAnsi="宋体"/>
          <w:b/>
          <w:sz w:val="24"/>
          <w:u w:val="single"/>
        </w:rPr>
      </w:pPr>
      <w:r>
        <w:rPr>
          <w:rFonts w:hint="eastAsia" w:ascii="宋体" w:hAnsi="宋体"/>
          <w:b/>
          <w:sz w:val="24"/>
        </w:rPr>
        <w:t>传真：</w:t>
      </w:r>
      <w:r>
        <w:rPr>
          <w:rFonts w:hint="eastAsia" w:ascii="宋体" w:hAnsi="宋体"/>
          <w:b/>
          <w:sz w:val="24"/>
          <w:u w:val="single"/>
        </w:rPr>
        <w:t xml:space="preserve">　　　　　                       </w:t>
      </w:r>
    </w:p>
    <w:p>
      <w:pPr>
        <w:snapToGrid w:val="0"/>
        <w:spacing w:line="360" w:lineRule="auto"/>
        <w:ind w:firstLine="2884" w:firstLineChars="1197"/>
        <w:rPr>
          <w:rFonts w:hint="eastAsia" w:ascii="宋体" w:hAnsi="宋体"/>
          <w:b/>
          <w:sz w:val="24"/>
          <w:u w:val="single"/>
        </w:rPr>
      </w:pPr>
      <w:r>
        <w:rPr>
          <w:rFonts w:hint="eastAsia" w:ascii="宋体" w:hAnsi="宋体"/>
          <w:b/>
          <w:sz w:val="24"/>
        </w:rPr>
        <w:t>日期：</w:t>
      </w:r>
      <w:r>
        <w:rPr>
          <w:rFonts w:hint="eastAsia" w:ascii="宋体" w:hAnsi="宋体"/>
          <w:b/>
          <w:sz w:val="24"/>
          <w:u w:val="single"/>
        </w:rPr>
        <w:t xml:space="preserve">                                 </w:t>
      </w:r>
    </w:p>
    <w:p>
      <w:pPr>
        <w:spacing w:before="120" w:beforeLines="50" w:after="120" w:afterLines="50" w:line="480" w:lineRule="exact"/>
        <w:ind w:left="105" w:leftChars="50" w:right="105" w:rightChars="50"/>
        <w:rPr>
          <w:rFonts w:ascii="宋体" w:hAnsi="宋体"/>
          <w:b/>
          <w:spacing w:val="20"/>
          <w:position w:val="2"/>
          <w:sz w:val="24"/>
        </w:rPr>
        <w:sectPr>
          <w:footerReference r:id="rId7" w:type="first"/>
          <w:footerReference r:id="rId6" w:type="default"/>
          <w:type w:val="continuous"/>
          <w:pgSz w:w="11906" w:h="16838"/>
          <w:pgMar w:top="1021" w:right="1021" w:bottom="851" w:left="1021" w:header="851" w:footer="992" w:gutter="0"/>
          <w:cols w:space="720" w:num="1"/>
          <w:titlePg/>
          <w:docGrid w:linePitch="312" w:charSpace="0"/>
        </w:sectPr>
      </w:pPr>
    </w:p>
    <w:bookmarkEnd w:id="77"/>
    <w:p>
      <w:pPr>
        <w:snapToGrid w:val="0"/>
        <w:spacing w:line="360" w:lineRule="auto"/>
        <w:ind w:firstLine="540"/>
        <w:rPr>
          <w:rFonts w:hint="eastAsia" w:ascii="宋体" w:hAnsi="宋体"/>
          <w:sz w:val="24"/>
        </w:rPr>
      </w:pPr>
      <w:r>
        <w:rPr>
          <w:rFonts w:hint="eastAsia" w:ascii="宋体" w:hAnsi="宋体"/>
          <w:sz w:val="24"/>
        </w:rPr>
        <w:t>5.报价一览表</w:t>
      </w:r>
    </w:p>
    <w:p>
      <w:pPr>
        <w:snapToGrid w:val="0"/>
        <w:spacing w:line="360" w:lineRule="auto"/>
        <w:ind w:firstLine="540"/>
        <w:rPr>
          <w:rFonts w:hint="eastAsia" w:ascii="宋体" w:hAnsi="宋体"/>
          <w:sz w:val="24"/>
        </w:rPr>
      </w:pPr>
      <w:r>
        <w:rPr>
          <w:rFonts w:hint="eastAsia" w:ascii="宋体" w:hAnsi="宋体"/>
          <w:sz w:val="24"/>
        </w:rPr>
        <w:t>（开标一览表）</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 xml:space="preserve">项目名称：                          </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项目编号：</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投标人名称：</w:t>
      </w:r>
    </w:p>
    <w:p>
      <w:pPr>
        <w:snapToGrid w:val="0"/>
        <w:spacing w:line="360" w:lineRule="auto"/>
        <w:ind w:firstLine="540"/>
        <w:rPr>
          <w:rFonts w:hint="eastAsia" w:ascii="宋体" w:hAnsi="宋体"/>
          <w:sz w:val="24"/>
        </w:rPr>
      </w:pP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7"/>
        <w:gridCol w:w="1843"/>
        <w:gridCol w:w="1313"/>
        <w:gridCol w:w="1015"/>
        <w:gridCol w:w="1527"/>
        <w:gridCol w:w="1496"/>
        <w:gridCol w:w="1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rPr>
                <w:rFonts w:hint="eastAsia" w:ascii="宋体" w:hAnsi="宋体" w:cs="宋体"/>
                <w:b/>
                <w:sz w:val="24"/>
              </w:rPr>
            </w:pPr>
            <w:r>
              <w:rPr>
                <w:rFonts w:hint="eastAsia" w:ascii="宋体" w:hAnsi="宋体"/>
                <w:b/>
                <w:sz w:val="24"/>
              </w:rPr>
              <w:t>序号</w:t>
            </w:r>
          </w:p>
        </w:tc>
        <w:tc>
          <w:tcPr>
            <w:tcW w:w="1843" w:type="dxa"/>
            <w:noWrap w:val="0"/>
            <w:vAlign w:val="top"/>
          </w:tcPr>
          <w:p>
            <w:pPr>
              <w:jc w:val="center"/>
              <w:rPr>
                <w:rFonts w:hint="eastAsia" w:ascii="宋体" w:hAnsi="宋体" w:cs="宋体"/>
                <w:b/>
                <w:sz w:val="24"/>
              </w:rPr>
            </w:pPr>
            <w:r>
              <w:rPr>
                <w:rFonts w:hint="eastAsia" w:ascii="宋体" w:hAnsi="宋体"/>
                <w:b/>
                <w:sz w:val="24"/>
              </w:rPr>
              <w:t>品  名</w:t>
            </w:r>
          </w:p>
        </w:tc>
        <w:tc>
          <w:tcPr>
            <w:tcW w:w="1313" w:type="dxa"/>
            <w:noWrap w:val="0"/>
            <w:vAlign w:val="top"/>
          </w:tcPr>
          <w:p>
            <w:pPr>
              <w:jc w:val="center"/>
              <w:rPr>
                <w:rFonts w:hint="eastAsia" w:ascii="宋体" w:hAnsi="宋体" w:cs="宋体"/>
                <w:b/>
                <w:sz w:val="24"/>
              </w:rPr>
            </w:pPr>
            <w:r>
              <w:rPr>
                <w:rFonts w:hint="eastAsia" w:ascii="宋体" w:hAnsi="宋体" w:cs="宋体"/>
                <w:b/>
                <w:sz w:val="24"/>
              </w:rPr>
              <w:t>单位</w:t>
            </w:r>
          </w:p>
        </w:tc>
        <w:tc>
          <w:tcPr>
            <w:tcW w:w="1015" w:type="dxa"/>
            <w:tcBorders>
              <w:right w:val="single" w:color="auto" w:sz="4" w:space="0"/>
            </w:tcBorders>
            <w:noWrap w:val="0"/>
            <w:vAlign w:val="top"/>
          </w:tcPr>
          <w:p>
            <w:pPr>
              <w:jc w:val="center"/>
              <w:rPr>
                <w:rFonts w:hint="eastAsia" w:ascii="宋体" w:hAnsi="宋体" w:cs="宋体"/>
                <w:b/>
                <w:sz w:val="24"/>
              </w:rPr>
            </w:pPr>
            <w:r>
              <w:rPr>
                <w:rFonts w:hint="eastAsia" w:ascii="宋体" w:hAnsi="宋体"/>
                <w:b/>
                <w:sz w:val="24"/>
              </w:rPr>
              <w:t>数量</w:t>
            </w:r>
          </w:p>
        </w:tc>
        <w:tc>
          <w:tcPr>
            <w:tcW w:w="1527" w:type="dxa"/>
            <w:tcBorders>
              <w:left w:val="single" w:color="auto" w:sz="4" w:space="0"/>
            </w:tcBorders>
            <w:noWrap w:val="0"/>
            <w:vAlign w:val="top"/>
          </w:tcPr>
          <w:p>
            <w:pPr>
              <w:jc w:val="center"/>
              <w:rPr>
                <w:rFonts w:hint="eastAsia" w:ascii="宋体" w:hAnsi="宋体" w:cs="宋体"/>
                <w:b/>
                <w:sz w:val="24"/>
              </w:rPr>
            </w:pPr>
            <w:r>
              <w:rPr>
                <w:rFonts w:hint="eastAsia" w:ascii="宋体" w:hAnsi="宋体"/>
                <w:b/>
                <w:sz w:val="24"/>
              </w:rPr>
              <w:t>品牌型号等</w:t>
            </w:r>
          </w:p>
        </w:tc>
        <w:tc>
          <w:tcPr>
            <w:tcW w:w="1496" w:type="dxa"/>
            <w:tcBorders>
              <w:left w:val="single" w:color="auto" w:sz="4" w:space="0"/>
            </w:tcBorders>
            <w:noWrap w:val="0"/>
            <w:vAlign w:val="top"/>
          </w:tcPr>
          <w:p>
            <w:pPr>
              <w:jc w:val="center"/>
              <w:rPr>
                <w:rFonts w:hint="eastAsia" w:ascii="宋体" w:hAnsi="宋体"/>
                <w:b/>
                <w:sz w:val="24"/>
              </w:rPr>
            </w:pPr>
            <w:r>
              <w:rPr>
                <w:rFonts w:hint="eastAsia" w:ascii="宋体" w:hAnsi="宋体"/>
                <w:b/>
                <w:sz w:val="24"/>
              </w:rPr>
              <w:t>投标单价</w:t>
            </w:r>
            <w:r>
              <w:rPr>
                <w:rFonts w:hint="eastAsia" w:ascii="宋体" w:hAnsi="宋体"/>
                <w:b/>
                <w:kern w:val="0"/>
                <w:sz w:val="24"/>
              </w:rPr>
              <w:t>（元）</w:t>
            </w:r>
          </w:p>
        </w:tc>
        <w:tc>
          <w:tcPr>
            <w:tcW w:w="1496" w:type="dxa"/>
            <w:tcBorders>
              <w:left w:val="single" w:color="auto" w:sz="4" w:space="0"/>
            </w:tcBorders>
            <w:noWrap w:val="0"/>
            <w:vAlign w:val="top"/>
          </w:tcPr>
          <w:p>
            <w:pPr>
              <w:jc w:val="center"/>
              <w:rPr>
                <w:rFonts w:hint="eastAsia" w:ascii="宋体" w:hAnsi="宋体"/>
                <w:b/>
                <w:sz w:val="24"/>
              </w:rPr>
            </w:pPr>
            <w:r>
              <w:rPr>
                <w:rFonts w:hint="eastAsia" w:ascii="宋体" w:hAnsi="宋体"/>
                <w:b/>
                <w:sz w:val="24"/>
              </w:rPr>
              <w:t>投标总价</w:t>
            </w:r>
            <w:r>
              <w:rPr>
                <w:rFonts w:hint="eastAsia" w:ascii="宋体" w:hAnsi="宋体"/>
                <w:b/>
                <w:kern w:val="0"/>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cs="宋体"/>
                <w:sz w:val="24"/>
              </w:rPr>
            </w:pPr>
            <w:r>
              <w:rPr>
                <w:rFonts w:hint="eastAsia" w:ascii="宋体" w:hAnsi="宋体"/>
                <w:sz w:val="24"/>
              </w:rPr>
              <w:t>1</w:t>
            </w:r>
          </w:p>
        </w:tc>
        <w:tc>
          <w:tcPr>
            <w:tcW w:w="1843" w:type="dxa"/>
            <w:noWrap w:val="0"/>
            <w:vAlign w:val="center"/>
          </w:tcPr>
          <w:p>
            <w:pPr>
              <w:jc w:val="center"/>
              <w:rPr>
                <w:rFonts w:hint="eastAsia" w:ascii="宋体" w:hAnsi="宋体" w:cs="宋体"/>
                <w:sz w:val="24"/>
              </w:rPr>
            </w:pPr>
          </w:p>
        </w:tc>
        <w:tc>
          <w:tcPr>
            <w:tcW w:w="1313" w:type="dxa"/>
            <w:noWrap w:val="0"/>
            <w:vAlign w:val="center"/>
          </w:tcPr>
          <w:p>
            <w:pPr>
              <w:jc w:val="center"/>
              <w:rPr>
                <w:rFonts w:hint="eastAsia" w:ascii="宋体" w:hAnsi="宋体" w:cs="宋体"/>
                <w:sz w:val="24"/>
              </w:rPr>
            </w:pPr>
          </w:p>
        </w:tc>
        <w:tc>
          <w:tcPr>
            <w:tcW w:w="1015" w:type="dxa"/>
            <w:tcBorders>
              <w:right w:val="single" w:color="auto" w:sz="4" w:space="0"/>
            </w:tcBorders>
            <w:noWrap w:val="0"/>
            <w:vAlign w:val="center"/>
          </w:tcPr>
          <w:p>
            <w:pPr>
              <w:jc w:val="center"/>
              <w:rPr>
                <w:rFonts w:hint="eastAsia" w:ascii="宋体" w:hAnsi="宋体" w:cs="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cs="宋体"/>
                <w:sz w:val="24"/>
              </w:rPr>
            </w:pPr>
            <w:r>
              <w:rPr>
                <w:rFonts w:hint="eastAsia" w:ascii="宋体" w:hAnsi="宋体"/>
                <w:sz w:val="24"/>
              </w:rPr>
              <w:t>2</w:t>
            </w:r>
          </w:p>
        </w:tc>
        <w:tc>
          <w:tcPr>
            <w:tcW w:w="1843" w:type="dxa"/>
            <w:noWrap w:val="0"/>
            <w:vAlign w:val="center"/>
          </w:tcPr>
          <w:p>
            <w:pPr>
              <w:jc w:val="center"/>
              <w:rPr>
                <w:rFonts w:hint="eastAsia" w:ascii="宋体" w:hAnsi="宋体" w:cs="宋体"/>
                <w:sz w:val="24"/>
              </w:rPr>
            </w:pPr>
          </w:p>
        </w:tc>
        <w:tc>
          <w:tcPr>
            <w:tcW w:w="1313" w:type="dxa"/>
            <w:noWrap w:val="0"/>
            <w:vAlign w:val="center"/>
          </w:tcPr>
          <w:p>
            <w:pPr>
              <w:jc w:val="center"/>
              <w:rPr>
                <w:rFonts w:hint="eastAsia" w:ascii="宋体" w:hAnsi="宋体" w:cs="宋体"/>
                <w:sz w:val="24"/>
              </w:rPr>
            </w:pPr>
          </w:p>
        </w:tc>
        <w:tc>
          <w:tcPr>
            <w:tcW w:w="1015" w:type="dxa"/>
            <w:tcBorders>
              <w:right w:val="single" w:color="auto" w:sz="4" w:space="0"/>
            </w:tcBorders>
            <w:noWrap w:val="0"/>
            <w:vAlign w:val="center"/>
          </w:tcPr>
          <w:p>
            <w:pPr>
              <w:jc w:val="center"/>
              <w:rPr>
                <w:rFonts w:hint="eastAsia" w:ascii="宋体" w:hAnsi="宋体" w:cs="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cs="宋体"/>
                <w:sz w:val="24"/>
              </w:rPr>
            </w:pPr>
            <w:r>
              <w:rPr>
                <w:rFonts w:hint="eastAsia" w:ascii="宋体" w:hAnsi="宋体"/>
                <w:sz w:val="24"/>
              </w:rPr>
              <w:t>3</w:t>
            </w:r>
          </w:p>
        </w:tc>
        <w:tc>
          <w:tcPr>
            <w:tcW w:w="1843" w:type="dxa"/>
            <w:noWrap w:val="0"/>
            <w:vAlign w:val="center"/>
          </w:tcPr>
          <w:p>
            <w:pPr>
              <w:jc w:val="center"/>
              <w:rPr>
                <w:rFonts w:hint="eastAsia" w:ascii="宋体" w:hAnsi="宋体" w:cs="宋体"/>
                <w:sz w:val="24"/>
              </w:rPr>
            </w:pPr>
          </w:p>
        </w:tc>
        <w:tc>
          <w:tcPr>
            <w:tcW w:w="1313" w:type="dxa"/>
            <w:noWrap w:val="0"/>
            <w:vAlign w:val="center"/>
          </w:tcPr>
          <w:p>
            <w:pPr>
              <w:jc w:val="center"/>
              <w:rPr>
                <w:rFonts w:hint="eastAsia" w:ascii="宋体" w:hAnsi="宋体" w:cs="宋体"/>
                <w:sz w:val="24"/>
              </w:rPr>
            </w:pPr>
          </w:p>
        </w:tc>
        <w:tc>
          <w:tcPr>
            <w:tcW w:w="1015" w:type="dxa"/>
            <w:tcBorders>
              <w:right w:val="single" w:color="auto" w:sz="4" w:space="0"/>
            </w:tcBorders>
            <w:noWrap w:val="0"/>
            <w:vAlign w:val="center"/>
          </w:tcPr>
          <w:p>
            <w:pPr>
              <w:jc w:val="center"/>
              <w:rPr>
                <w:rFonts w:hint="eastAsia" w:ascii="宋体" w:hAnsi="宋体" w:cs="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sz w:val="24"/>
              </w:rPr>
            </w:pPr>
            <w:r>
              <w:rPr>
                <w:rFonts w:hint="eastAsia" w:ascii="宋体" w:hAnsi="宋体"/>
                <w:sz w:val="24"/>
              </w:rPr>
              <w:t>4</w:t>
            </w:r>
          </w:p>
        </w:tc>
        <w:tc>
          <w:tcPr>
            <w:tcW w:w="1843" w:type="dxa"/>
            <w:noWrap w:val="0"/>
            <w:vAlign w:val="center"/>
          </w:tcPr>
          <w:p>
            <w:pPr>
              <w:rPr>
                <w:rFonts w:hint="eastAsia" w:ascii="宋体" w:hAnsi="宋体"/>
                <w:sz w:val="24"/>
              </w:rPr>
            </w:pPr>
          </w:p>
        </w:tc>
        <w:tc>
          <w:tcPr>
            <w:tcW w:w="1313" w:type="dxa"/>
            <w:noWrap w:val="0"/>
            <w:vAlign w:val="center"/>
          </w:tcPr>
          <w:p>
            <w:pPr>
              <w:jc w:val="center"/>
              <w:rPr>
                <w:rFonts w:hint="eastAsia" w:ascii="宋体" w:hAnsi="宋体"/>
                <w:sz w:val="24"/>
              </w:rPr>
            </w:pPr>
          </w:p>
        </w:tc>
        <w:tc>
          <w:tcPr>
            <w:tcW w:w="1015" w:type="dxa"/>
            <w:tcBorders>
              <w:right w:val="single" w:color="auto" w:sz="4" w:space="0"/>
            </w:tcBorders>
            <w:noWrap w:val="0"/>
            <w:vAlign w:val="center"/>
          </w:tcPr>
          <w:p>
            <w:pPr>
              <w:jc w:val="center"/>
              <w:rPr>
                <w:rFonts w:hint="eastAsia" w:ascii="宋体" w:hAnsi="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sz w:val="24"/>
              </w:rPr>
            </w:pPr>
            <w:r>
              <w:rPr>
                <w:rFonts w:hint="eastAsia" w:ascii="宋体" w:hAnsi="宋体"/>
                <w:sz w:val="24"/>
              </w:rPr>
              <w:t>5</w:t>
            </w:r>
          </w:p>
        </w:tc>
        <w:tc>
          <w:tcPr>
            <w:tcW w:w="1843" w:type="dxa"/>
            <w:noWrap w:val="0"/>
            <w:vAlign w:val="center"/>
          </w:tcPr>
          <w:p>
            <w:pPr>
              <w:rPr>
                <w:rFonts w:hint="eastAsia" w:ascii="宋体" w:hAnsi="宋体"/>
                <w:sz w:val="24"/>
              </w:rPr>
            </w:pPr>
          </w:p>
        </w:tc>
        <w:tc>
          <w:tcPr>
            <w:tcW w:w="1313" w:type="dxa"/>
            <w:noWrap w:val="0"/>
            <w:vAlign w:val="center"/>
          </w:tcPr>
          <w:p>
            <w:pPr>
              <w:jc w:val="center"/>
              <w:rPr>
                <w:rFonts w:hint="eastAsia" w:ascii="宋体" w:hAnsi="宋体"/>
                <w:sz w:val="24"/>
              </w:rPr>
            </w:pPr>
          </w:p>
        </w:tc>
        <w:tc>
          <w:tcPr>
            <w:tcW w:w="1015" w:type="dxa"/>
            <w:tcBorders>
              <w:right w:val="single" w:color="auto" w:sz="4" w:space="0"/>
            </w:tcBorders>
            <w:noWrap w:val="0"/>
            <w:vAlign w:val="center"/>
          </w:tcPr>
          <w:p>
            <w:pPr>
              <w:jc w:val="center"/>
              <w:rPr>
                <w:rFonts w:hint="eastAsia" w:ascii="宋体" w:hAnsi="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sz w:val="24"/>
              </w:rPr>
            </w:pPr>
          </w:p>
        </w:tc>
        <w:tc>
          <w:tcPr>
            <w:tcW w:w="1843" w:type="dxa"/>
            <w:noWrap w:val="0"/>
            <w:vAlign w:val="center"/>
          </w:tcPr>
          <w:p>
            <w:pPr>
              <w:rPr>
                <w:rFonts w:hint="eastAsia" w:ascii="宋体" w:hAnsi="宋体"/>
                <w:sz w:val="24"/>
              </w:rPr>
            </w:pPr>
            <w:r>
              <w:rPr>
                <w:rFonts w:hint="eastAsia" w:ascii="宋体" w:hAnsi="宋体"/>
                <w:sz w:val="24"/>
              </w:rPr>
              <w:t>……</w:t>
            </w:r>
          </w:p>
        </w:tc>
        <w:tc>
          <w:tcPr>
            <w:tcW w:w="1313" w:type="dxa"/>
            <w:noWrap w:val="0"/>
            <w:vAlign w:val="center"/>
          </w:tcPr>
          <w:p>
            <w:pPr>
              <w:jc w:val="center"/>
              <w:rPr>
                <w:rFonts w:hint="eastAsia" w:ascii="宋体" w:hAnsi="宋体"/>
                <w:sz w:val="24"/>
              </w:rPr>
            </w:pPr>
          </w:p>
        </w:tc>
        <w:tc>
          <w:tcPr>
            <w:tcW w:w="1015" w:type="dxa"/>
            <w:tcBorders>
              <w:right w:val="single" w:color="auto" w:sz="4" w:space="0"/>
            </w:tcBorders>
            <w:noWrap w:val="0"/>
            <w:vAlign w:val="center"/>
          </w:tcPr>
          <w:p>
            <w:pPr>
              <w:jc w:val="center"/>
              <w:rPr>
                <w:rFonts w:hint="eastAsia" w:ascii="宋体" w:hAnsi="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767" w:type="dxa"/>
            <w:noWrap w:val="0"/>
            <w:vAlign w:val="center"/>
          </w:tcPr>
          <w:p>
            <w:pPr>
              <w:jc w:val="center"/>
              <w:rPr>
                <w:rFonts w:hint="eastAsia" w:ascii="宋体" w:hAnsi="宋体"/>
                <w:sz w:val="24"/>
              </w:rPr>
            </w:pPr>
          </w:p>
        </w:tc>
        <w:tc>
          <w:tcPr>
            <w:tcW w:w="1843" w:type="dxa"/>
            <w:noWrap w:val="0"/>
            <w:vAlign w:val="center"/>
          </w:tcPr>
          <w:p>
            <w:pPr>
              <w:rPr>
                <w:rFonts w:hint="eastAsia" w:ascii="宋体" w:hAnsi="宋体"/>
                <w:sz w:val="24"/>
              </w:rPr>
            </w:pPr>
          </w:p>
        </w:tc>
        <w:tc>
          <w:tcPr>
            <w:tcW w:w="1313" w:type="dxa"/>
            <w:noWrap w:val="0"/>
            <w:vAlign w:val="center"/>
          </w:tcPr>
          <w:p>
            <w:pPr>
              <w:jc w:val="center"/>
              <w:rPr>
                <w:rFonts w:hint="eastAsia" w:ascii="宋体" w:hAnsi="宋体"/>
                <w:sz w:val="24"/>
              </w:rPr>
            </w:pPr>
          </w:p>
        </w:tc>
        <w:tc>
          <w:tcPr>
            <w:tcW w:w="1015" w:type="dxa"/>
            <w:tcBorders>
              <w:right w:val="single" w:color="auto" w:sz="4" w:space="0"/>
            </w:tcBorders>
            <w:noWrap w:val="0"/>
            <w:vAlign w:val="center"/>
          </w:tcPr>
          <w:p>
            <w:pPr>
              <w:jc w:val="center"/>
              <w:rPr>
                <w:rFonts w:hint="eastAsia" w:ascii="宋体" w:hAnsi="宋体"/>
                <w:sz w:val="24"/>
              </w:rPr>
            </w:pPr>
          </w:p>
        </w:tc>
        <w:tc>
          <w:tcPr>
            <w:tcW w:w="1527"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c>
          <w:tcPr>
            <w:tcW w:w="1496" w:type="dxa"/>
            <w:tcBorders>
              <w:left w:val="single" w:color="auto" w:sz="4" w:space="0"/>
            </w:tcBorders>
            <w:noWrap w:val="0"/>
            <w:vAlign w:val="center"/>
          </w:tcPr>
          <w:p>
            <w:pPr>
              <w:jc w:val="center"/>
              <w:rPr>
                <w:rFonts w:hint="eastAsia"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Height w:val="980" w:hRule="atLeast"/>
        </w:trPr>
        <w:tc>
          <w:tcPr>
            <w:tcW w:w="767" w:type="dxa"/>
            <w:noWrap w:val="0"/>
            <w:vAlign w:val="center"/>
          </w:tcPr>
          <w:p>
            <w:pPr>
              <w:jc w:val="center"/>
              <w:rPr>
                <w:rFonts w:hint="eastAsia" w:ascii="宋体" w:hAnsi="宋体"/>
                <w:sz w:val="24"/>
              </w:rPr>
            </w:pPr>
          </w:p>
        </w:tc>
        <w:tc>
          <w:tcPr>
            <w:tcW w:w="1843" w:type="dxa"/>
            <w:noWrap w:val="0"/>
            <w:vAlign w:val="center"/>
          </w:tcPr>
          <w:p>
            <w:pPr>
              <w:rPr>
                <w:rFonts w:hint="eastAsia" w:ascii="宋体" w:hAnsi="宋体"/>
                <w:sz w:val="24"/>
              </w:rPr>
            </w:pPr>
            <w:r>
              <w:rPr>
                <w:rFonts w:hint="eastAsia" w:ascii="宋体" w:hAnsi="宋体"/>
                <w:sz w:val="24"/>
              </w:rPr>
              <w:t>合计</w:t>
            </w:r>
          </w:p>
        </w:tc>
        <w:tc>
          <w:tcPr>
            <w:tcW w:w="6847" w:type="dxa"/>
            <w:gridSpan w:val="5"/>
            <w:noWrap w:val="0"/>
            <w:vAlign w:val="center"/>
          </w:tcPr>
          <w:p>
            <w:pPr>
              <w:rPr>
                <w:rFonts w:hint="eastAsia" w:ascii="宋体" w:hAnsi="宋体" w:cs="宋体"/>
                <w:sz w:val="24"/>
              </w:rPr>
            </w:pPr>
            <w:r>
              <w:rPr>
                <w:rFonts w:hint="eastAsia" w:ascii="宋体" w:hAnsi="宋体" w:cs="宋体"/>
                <w:sz w:val="24"/>
              </w:rPr>
              <w:t xml:space="preserve">金额大写：                               </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tc>
      </w:tr>
    </w:tbl>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r>
        <w:rPr>
          <w:rFonts w:hint="eastAsia" w:ascii="宋体" w:hAnsi="宋体"/>
          <w:sz w:val="24"/>
        </w:rPr>
        <w:t>供应商：                     （盖章）</w:t>
      </w:r>
    </w:p>
    <w:p>
      <w:pPr>
        <w:snapToGrid w:val="0"/>
        <w:spacing w:line="360" w:lineRule="auto"/>
        <w:ind w:firstLine="540"/>
        <w:rPr>
          <w:rFonts w:hint="eastAsia" w:ascii="宋体" w:hAnsi="宋体"/>
          <w:sz w:val="24"/>
        </w:rPr>
      </w:pPr>
      <w:r>
        <w:rPr>
          <w:rFonts w:hint="eastAsia" w:ascii="宋体" w:hAnsi="宋体"/>
          <w:sz w:val="24"/>
        </w:rPr>
        <w:t>法定代表人或委托代理人：             （签字或盖章）</w:t>
      </w:r>
    </w:p>
    <w:p>
      <w:pPr>
        <w:snapToGrid w:val="0"/>
        <w:spacing w:line="360" w:lineRule="auto"/>
        <w:ind w:firstLine="540"/>
        <w:rPr>
          <w:rFonts w:ascii="宋体" w:hAnsi="宋体"/>
          <w:sz w:val="24"/>
        </w:rPr>
      </w:pPr>
      <w:r>
        <w:rPr>
          <w:rFonts w:hint="eastAsia" w:ascii="宋体" w:hAnsi="宋体"/>
          <w:sz w:val="24"/>
        </w:rPr>
        <w:t xml:space="preserve">日 期：                    </w:t>
      </w:r>
      <w:r>
        <w:rPr>
          <w:rFonts w:ascii="宋体" w:hAnsi="宋体"/>
          <w:sz w:val="24"/>
        </w:rPr>
        <w:t xml:space="preserve">    </w:t>
      </w:r>
    </w:p>
    <w:p>
      <w:pPr>
        <w:snapToGrid w:val="0"/>
        <w:spacing w:line="360" w:lineRule="auto"/>
        <w:ind w:firstLine="540"/>
        <w:rPr>
          <w:rFonts w:hint="eastAsia" w:ascii="宋体" w:hAnsi="宋体"/>
          <w:sz w:val="24"/>
        </w:rPr>
      </w:pPr>
      <w:r>
        <w:rPr>
          <w:rFonts w:ascii="宋体" w:hAnsi="宋体"/>
          <w:sz w:val="24"/>
        </w:rPr>
        <w:br w:type="page"/>
      </w:r>
      <w:r>
        <w:rPr>
          <w:rFonts w:hint="eastAsia" w:ascii="宋体" w:hAnsi="宋体"/>
          <w:sz w:val="24"/>
        </w:rPr>
        <w:t>6.  报价明细表</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项目名称：</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项目编号：</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5"/>
        <w:gridCol w:w="3056"/>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shd w:val="clear" w:color="auto" w:fill="E5DFEC"/>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产品名称</w:t>
            </w:r>
          </w:p>
        </w:tc>
        <w:tc>
          <w:tcPr>
            <w:tcW w:w="3056" w:type="dxa"/>
            <w:tcBorders>
              <w:left w:val="single" w:color="auto" w:sz="4" w:space="0"/>
            </w:tcBorders>
            <w:shd w:val="clear" w:color="auto" w:fill="E5DFEC"/>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品牌、型号、规格等</w:t>
            </w:r>
          </w:p>
        </w:tc>
        <w:tc>
          <w:tcPr>
            <w:tcW w:w="1134" w:type="dxa"/>
            <w:shd w:val="clear" w:color="auto" w:fill="E5DFEC"/>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单位</w:t>
            </w:r>
          </w:p>
        </w:tc>
        <w:tc>
          <w:tcPr>
            <w:tcW w:w="1417" w:type="dxa"/>
            <w:shd w:val="clear" w:color="auto" w:fill="E5DFEC"/>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数量</w:t>
            </w:r>
          </w:p>
        </w:tc>
        <w:tc>
          <w:tcPr>
            <w:tcW w:w="1276" w:type="dxa"/>
            <w:shd w:val="clear" w:color="auto" w:fill="E5DFEC"/>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单价</w:t>
            </w:r>
          </w:p>
        </w:tc>
        <w:tc>
          <w:tcPr>
            <w:tcW w:w="1269" w:type="dxa"/>
            <w:shd w:val="clear" w:color="auto" w:fill="E5DFEC"/>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Pr>
        <w:tc>
          <w:tcPr>
            <w:tcW w:w="1305" w:type="dxa"/>
            <w:tcBorders>
              <w:righ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3056" w:type="dxa"/>
            <w:tcBorders>
              <w:left w:val="single" w:color="auto" w:sz="4" w:space="0"/>
            </w:tcBorders>
            <w:noWrap w:val="0"/>
            <w:vAlign w:val="top"/>
          </w:tcPr>
          <w:p>
            <w:pPr>
              <w:autoSpaceDE w:val="0"/>
              <w:autoSpaceDN w:val="0"/>
              <w:adjustRightInd w:val="0"/>
              <w:spacing w:line="440" w:lineRule="exact"/>
              <w:rPr>
                <w:rFonts w:hint="eastAsia" w:ascii="宋体" w:hAnsi="宋体"/>
                <w:kern w:val="0"/>
                <w:sz w:val="24"/>
              </w:rPr>
            </w:pPr>
          </w:p>
        </w:tc>
        <w:tc>
          <w:tcPr>
            <w:tcW w:w="1134" w:type="dxa"/>
            <w:noWrap w:val="0"/>
            <w:vAlign w:val="top"/>
          </w:tcPr>
          <w:p>
            <w:pPr>
              <w:autoSpaceDE w:val="0"/>
              <w:autoSpaceDN w:val="0"/>
              <w:adjustRightInd w:val="0"/>
              <w:spacing w:line="440" w:lineRule="exact"/>
              <w:rPr>
                <w:rFonts w:hint="eastAsia" w:ascii="宋体" w:hAnsi="宋体"/>
                <w:kern w:val="0"/>
                <w:sz w:val="24"/>
              </w:rPr>
            </w:pPr>
          </w:p>
        </w:tc>
        <w:tc>
          <w:tcPr>
            <w:tcW w:w="1417" w:type="dxa"/>
            <w:noWrap w:val="0"/>
            <w:vAlign w:val="top"/>
          </w:tcPr>
          <w:p>
            <w:pPr>
              <w:autoSpaceDE w:val="0"/>
              <w:autoSpaceDN w:val="0"/>
              <w:adjustRightInd w:val="0"/>
              <w:spacing w:line="440" w:lineRule="exact"/>
              <w:rPr>
                <w:rFonts w:hint="eastAsia" w:ascii="宋体" w:hAnsi="宋体"/>
                <w:kern w:val="0"/>
                <w:sz w:val="24"/>
              </w:rPr>
            </w:pPr>
          </w:p>
        </w:tc>
        <w:tc>
          <w:tcPr>
            <w:tcW w:w="1276" w:type="dxa"/>
            <w:noWrap w:val="0"/>
            <w:vAlign w:val="top"/>
          </w:tcPr>
          <w:p>
            <w:pPr>
              <w:autoSpaceDE w:val="0"/>
              <w:autoSpaceDN w:val="0"/>
              <w:adjustRightInd w:val="0"/>
              <w:spacing w:line="440" w:lineRule="exact"/>
              <w:rPr>
                <w:rFonts w:hint="eastAsia" w:ascii="宋体" w:hAnsi="宋体"/>
                <w:kern w:val="0"/>
                <w:sz w:val="24"/>
              </w:rPr>
            </w:pPr>
          </w:p>
        </w:tc>
        <w:tc>
          <w:tcPr>
            <w:tcW w:w="1269" w:type="dxa"/>
            <w:noWrap w:val="0"/>
            <w:vAlign w:val="top"/>
          </w:tcPr>
          <w:p>
            <w:pPr>
              <w:autoSpaceDE w:val="0"/>
              <w:autoSpaceDN w:val="0"/>
              <w:adjustRightInd w:val="0"/>
              <w:spacing w:line="440" w:lineRule="exact"/>
              <w:rPr>
                <w:rFonts w:hint="eastAsia"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Height w:val="375" w:hRule="atLeast"/>
        </w:trPr>
        <w:tc>
          <w:tcPr>
            <w:tcW w:w="1305" w:type="dxa"/>
            <w:vMerge w:val="restart"/>
            <w:tcBorders>
              <w:right w:val="single" w:color="auto" w:sz="4" w:space="0"/>
            </w:tcBorders>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合计：</w:t>
            </w:r>
          </w:p>
        </w:tc>
        <w:tc>
          <w:tcPr>
            <w:tcW w:w="8152" w:type="dxa"/>
            <w:gridSpan w:val="5"/>
            <w:tcBorders>
              <w:left w:val="single" w:color="auto" w:sz="4" w:space="0"/>
              <w:bottom w:val="single" w:color="auto" w:sz="4" w:space="0"/>
            </w:tcBorders>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After w:w="0" w:type="dxa"/>
          <w:trHeight w:val="345" w:hRule="atLeast"/>
        </w:trPr>
        <w:tc>
          <w:tcPr>
            <w:tcW w:w="1305" w:type="dxa"/>
            <w:vMerge w:val="continue"/>
            <w:tcBorders>
              <w:right w:val="single" w:color="auto" w:sz="4" w:space="0"/>
            </w:tcBorders>
            <w:noWrap w:val="0"/>
            <w:vAlign w:val="top"/>
          </w:tcPr>
          <w:p>
            <w:pPr>
              <w:autoSpaceDE w:val="0"/>
              <w:autoSpaceDN w:val="0"/>
              <w:adjustRightInd w:val="0"/>
              <w:spacing w:line="440" w:lineRule="exact"/>
              <w:rPr>
                <w:rFonts w:hint="eastAsia" w:ascii="宋体" w:hAnsi="宋体"/>
                <w:b/>
                <w:kern w:val="0"/>
                <w:sz w:val="24"/>
              </w:rPr>
            </w:pPr>
          </w:p>
        </w:tc>
        <w:tc>
          <w:tcPr>
            <w:tcW w:w="8152" w:type="dxa"/>
            <w:gridSpan w:val="5"/>
            <w:tcBorders>
              <w:top w:val="single" w:color="auto" w:sz="4" w:space="0"/>
              <w:left w:val="single" w:color="auto" w:sz="4" w:space="0"/>
            </w:tcBorders>
            <w:noWrap w:val="0"/>
            <w:vAlign w:val="top"/>
          </w:tcPr>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小写：</w:t>
            </w:r>
          </w:p>
        </w:tc>
      </w:tr>
    </w:tbl>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ind w:firstLine="540"/>
        <w:rPr>
          <w:rFonts w:hint="eastAsia" w:ascii="宋体" w:hAnsi="宋体"/>
          <w:sz w:val="24"/>
        </w:rPr>
      </w:pPr>
      <w:r>
        <w:rPr>
          <w:rFonts w:hint="eastAsia" w:ascii="宋体" w:hAnsi="宋体"/>
          <w:sz w:val="24"/>
        </w:rPr>
        <w:t>供应商：                     （盖章）</w:t>
      </w:r>
    </w:p>
    <w:p>
      <w:pPr>
        <w:snapToGrid w:val="0"/>
        <w:spacing w:line="360" w:lineRule="auto"/>
        <w:ind w:firstLine="540"/>
        <w:rPr>
          <w:rFonts w:hint="eastAsia" w:ascii="宋体" w:hAnsi="宋体"/>
          <w:sz w:val="24"/>
        </w:rPr>
      </w:pPr>
      <w:r>
        <w:rPr>
          <w:rFonts w:hint="eastAsia" w:ascii="宋体" w:hAnsi="宋体"/>
          <w:sz w:val="24"/>
        </w:rPr>
        <w:t>法定代表人或委托代理人：             （签字或盖章）</w:t>
      </w:r>
    </w:p>
    <w:p>
      <w:pPr>
        <w:snapToGrid w:val="0"/>
        <w:spacing w:line="360" w:lineRule="auto"/>
        <w:ind w:firstLine="540"/>
        <w:rPr>
          <w:rFonts w:hint="eastAsia" w:ascii="宋体" w:hAnsi="宋体"/>
          <w:sz w:val="24"/>
        </w:rPr>
      </w:pPr>
      <w:r>
        <w:rPr>
          <w:rFonts w:hint="eastAsia" w:ascii="宋体" w:hAnsi="宋体"/>
          <w:sz w:val="24"/>
        </w:rPr>
        <w:t xml:space="preserve">日 期：                    </w:t>
      </w:r>
    </w:p>
    <w:p>
      <w:pPr>
        <w:snapToGrid w:val="0"/>
        <w:spacing w:line="360" w:lineRule="auto"/>
        <w:ind w:firstLine="540"/>
        <w:rPr>
          <w:rFonts w:hint="eastAsia" w:ascii="宋体" w:hAnsi="宋体"/>
          <w:sz w:val="24"/>
        </w:rPr>
      </w:pPr>
      <w:r>
        <w:rPr>
          <w:rFonts w:ascii="宋体" w:hAnsi="宋体"/>
          <w:sz w:val="24"/>
        </w:rPr>
        <w:t>注：</w:t>
      </w:r>
      <w:r>
        <w:rPr>
          <w:rFonts w:hint="eastAsia" w:ascii="宋体" w:hAnsi="宋体"/>
          <w:sz w:val="24"/>
        </w:rPr>
        <w:t>1.本</w:t>
      </w:r>
      <w:r>
        <w:rPr>
          <w:rFonts w:ascii="宋体" w:hAnsi="宋体"/>
          <w:sz w:val="24"/>
        </w:rPr>
        <w:t>表</w:t>
      </w:r>
      <w:r>
        <w:rPr>
          <w:rFonts w:hint="eastAsia" w:ascii="宋体" w:hAnsi="宋体"/>
          <w:sz w:val="24"/>
        </w:rPr>
        <w:t>所列的明细是对应报价一览表中项目的情况填写；</w:t>
      </w:r>
    </w:p>
    <w:p>
      <w:pPr>
        <w:snapToGrid w:val="0"/>
        <w:spacing w:line="360" w:lineRule="auto"/>
        <w:ind w:firstLine="540"/>
        <w:rPr>
          <w:rFonts w:hint="eastAsia" w:ascii="宋体" w:hAnsi="宋体"/>
          <w:sz w:val="24"/>
        </w:rPr>
      </w:pPr>
      <w:r>
        <w:rPr>
          <w:rFonts w:hint="eastAsia" w:ascii="宋体" w:hAnsi="宋体"/>
          <w:sz w:val="24"/>
        </w:rPr>
        <w:t>2.本</w:t>
      </w:r>
      <w:r>
        <w:rPr>
          <w:rFonts w:ascii="宋体" w:hAnsi="宋体"/>
          <w:sz w:val="24"/>
        </w:rPr>
        <w:t>表</w:t>
      </w:r>
      <w:r>
        <w:rPr>
          <w:rFonts w:hint="eastAsia" w:ascii="宋体" w:hAnsi="宋体"/>
          <w:sz w:val="24"/>
        </w:rPr>
        <w:t>所列的产生价格的内容计入报价总价；</w:t>
      </w:r>
    </w:p>
    <w:p>
      <w:pPr>
        <w:snapToGrid w:val="0"/>
        <w:spacing w:line="360" w:lineRule="auto"/>
        <w:ind w:firstLine="540"/>
        <w:rPr>
          <w:rFonts w:hint="eastAsia" w:ascii="宋体" w:hAnsi="宋体"/>
          <w:sz w:val="24"/>
        </w:rPr>
      </w:pPr>
      <w:r>
        <w:rPr>
          <w:rFonts w:hint="eastAsia" w:ascii="宋体" w:hAnsi="宋体"/>
          <w:sz w:val="24"/>
        </w:rPr>
        <w:t>3.报价明细表最终汇总总价金额应与报价一览表总价一致。</w:t>
      </w:r>
    </w:p>
    <w:p>
      <w:pPr>
        <w:snapToGrid w:val="0"/>
        <w:spacing w:line="360" w:lineRule="auto"/>
        <w:ind w:firstLine="540"/>
        <w:rPr>
          <w:rFonts w:ascii="宋体" w:hAnsi="宋体"/>
          <w:sz w:val="24"/>
        </w:rPr>
      </w:pPr>
    </w:p>
    <w:p>
      <w:pPr>
        <w:snapToGrid w:val="0"/>
        <w:spacing w:line="360" w:lineRule="auto"/>
        <w:ind w:firstLine="540"/>
        <w:rPr>
          <w:rFonts w:ascii="宋体" w:hAnsi="宋体"/>
          <w:sz w:val="24"/>
        </w:rPr>
      </w:pPr>
      <w:r>
        <w:rPr>
          <w:rFonts w:ascii="宋体" w:hAnsi="宋体"/>
          <w:sz w:val="24"/>
        </w:rPr>
        <w:br w:type="page"/>
      </w:r>
    </w:p>
    <w:p>
      <w:pPr>
        <w:snapToGrid w:val="0"/>
        <w:spacing w:line="360" w:lineRule="auto"/>
        <w:ind w:firstLine="540"/>
        <w:rPr>
          <w:rFonts w:hint="eastAsia" w:ascii="宋体" w:hAnsi="宋体"/>
          <w:sz w:val="24"/>
        </w:rPr>
      </w:pPr>
      <w:r>
        <w:rPr>
          <w:rFonts w:hint="eastAsia" w:ascii="宋体" w:hAnsi="宋体"/>
          <w:sz w:val="24"/>
        </w:rPr>
        <w:t>7.企业业绩</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35"/>
        <w:gridCol w:w="1898"/>
        <w:gridCol w:w="1530"/>
        <w:gridCol w:w="1260"/>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 w:hRule="atLeast"/>
        </w:trPr>
        <w:tc>
          <w:tcPr>
            <w:tcW w:w="800" w:type="dxa"/>
            <w:noWrap w:val="0"/>
            <w:vAlign w:val="top"/>
          </w:tcPr>
          <w:p>
            <w:pPr>
              <w:snapToGrid w:val="0"/>
              <w:spacing w:line="360" w:lineRule="auto"/>
              <w:rPr>
                <w:rFonts w:ascii="宋体" w:hAnsi="宋体"/>
                <w:sz w:val="24"/>
              </w:rPr>
            </w:pPr>
            <w:r>
              <w:rPr>
                <w:rFonts w:ascii="宋体" w:hAnsi="宋体"/>
                <w:sz w:val="24"/>
              </w:rPr>
              <w:t>序号</w:t>
            </w:r>
          </w:p>
        </w:tc>
        <w:tc>
          <w:tcPr>
            <w:tcW w:w="1435" w:type="dxa"/>
            <w:noWrap w:val="0"/>
            <w:vAlign w:val="top"/>
          </w:tcPr>
          <w:p>
            <w:pPr>
              <w:snapToGrid w:val="0"/>
              <w:spacing w:line="360" w:lineRule="auto"/>
              <w:rPr>
                <w:rFonts w:ascii="宋体" w:hAnsi="宋体"/>
                <w:sz w:val="24"/>
              </w:rPr>
            </w:pPr>
            <w:r>
              <w:rPr>
                <w:rFonts w:hint="eastAsia" w:ascii="宋体" w:hAnsi="宋体"/>
                <w:sz w:val="24"/>
              </w:rPr>
              <w:t>采购方</w:t>
            </w:r>
          </w:p>
        </w:tc>
        <w:tc>
          <w:tcPr>
            <w:tcW w:w="1898" w:type="dxa"/>
            <w:noWrap w:val="0"/>
            <w:vAlign w:val="top"/>
          </w:tcPr>
          <w:p>
            <w:pPr>
              <w:snapToGrid w:val="0"/>
              <w:spacing w:line="360" w:lineRule="auto"/>
              <w:rPr>
                <w:rFonts w:ascii="宋体" w:hAnsi="宋体"/>
                <w:sz w:val="24"/>
              </w:rPr>
            </w:pPr>
            <w:r>
              <w:rPr>
                <w:rFonts w:hint="eastAsia" w:ascii="宋体" w:hAnsi="宋体"/>
                <w:sz w:val="24"/>
              </w:rPr>
              <w:t>合同金额</w:t>
            </w:r>
          </w:p>
        </w:tc>
        <w:tc>
          <w:tcPr>
            <w:tcW w:w="1530" w:type="dxa"/>
            <w:noWrap w:val="0"/>
            <w:vAlign w:val="top"/>
          </w:tcPr>
          <w:p>
            <w:pPr>
              <w:snapToGrid w:val="0"/>
              <w:spacing w:line="360" w:lineRule="auto"/>
              <w:rPr>
                <w:rFonts w:hint="eastAsia" w:ascii="宋体" w:hAnsi="宋体"/>
                <w:sz w:val="24"/>
              </w:rPr>
            </w:pPr>
            <w:r>
              <w:rPr>
                <w:rFonts w:hint="eastAsia" w:ascii="宋体" w:hAnsi="宋体"/>
                <w:sz w:val="24"/>
              </w:rPr>
              <w:t>签订时间</w:t>
            </w:r>
          </w:p>
        </w:tc>
        <w:tc>
          <w:tcPr>
            <w:tcW w:w="1260" w:type="dxa"/>
            <w:noWrap w:val="0"/>
            <w:vAlign w:val="top"/>
          </w:tcPr>
          <w:p>
            <w:pPr>
              <w:snapToGrid w:val="0"/>
              <w:spacing w:line="360" w:lineRule="auto"/>
              <w:rPr>
                <w:rFonts w:ascii="宋体" w:hAnsi="宋体"/>
                <w:sz w:val="24"/>
              </w:rPr>
            </w:pPr>
            <w:r>
              <w:rPr>
                <w:rFonts w:hint="eastAsia" w:ascii="宋体" w:hAnsi="宋体"/>
                <w:sz w:val="24"/>
              </w:rPr>
              <w:t>现联系人</w:t>
            </w:r>
          </w:p>
        </w:tc>
        <w:tc>
          <w:tcPr>
            <w:tcW w:w="2802" w:type="dxa"/>
            <w:noWrap w:val="0"/>
            <w:vAlign w:val="top"/>
          </w:tcPr>
          <w:p>
            <w:pPr>
              <w:snapToGrid w:val="0"/>
              <w:spacing w:line="360" w:lineRule="auto"/>
              <w:ind w:firstLine="540"/>
              <w:rPr>
                <w:rFonts w:hint="eastAsia" w:ascii="宋体" w:hAnsi="宋体"/>
                <w:sz w:val="24"/>
              </w:rPr>
            </w:pPr>
            <w:r>
              <w:rPr>
                <w:rFonts w:hint="eastAsia" w:ascii="宋体" w:hAnsi="宋体"/>
                <w:sz w:val="24"/>
              </w:rPr>
              <w:t>备注、合同内容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00" w:type="dxa"/>
            <w:noWrap w:val="0"/>
            <w:vAlign w:val="top"/>
          </w:tcPr>
          <w:p>
            <w:pPr>
              <w:snapToGrid w:val="0"/>
              <w:spacing w:line="360" w:lineRule="auto"/>
              <w:ind w:firstLine="540"/>
              <w:rPr>
                <w:rFonts w:ascii="宋体" w:hAnsi="宋体"/>
                <w:sz w:val="24"/>
              </w:rPr>
            </w:pPr>
          </w:p>
        </w:tc>
        <w:tc>
          <w:tcPr>
            <w:tcW w:w="1435" w:type="dxa"/>
            <w:noWrap w:val="0"/>
            <w:vAlign w:val="top"/>
          </w:tcPr>
          <w:p>
            <w:pPr>
              <w:snapToGrid w:val="0"/>
              <w:spacing w:line="360" w:lineRule="auto"/>
              <w:ind w:firstLine="540"/>
              <w:rPr>
                <w:rFonts w:ascii="宋体" w:hAnsi="宋体"/>
                <w:sz w:val="24"/>
              </w:rPr>
            </w:pPr>
            <w:r>
              <w:rPr>
                <w:rFonts w:ascii="宋体" w:hAnsi="宋体"/>
                <w:sz w:val="24"/>
              </w:rPr>
              <w:t>………</w:t>
            </w:r>
            <w:r>
              <w:rPr>
                <w:rFonts w:hint="eastAsia" w:ascii="宋体" w:hAnsi="宋体"/>
                <w:sz w:val="24"/>
              </w:rPr>
              <w:t>.</w:t>
            </w:r>
          </w:p>
        </w:tc>
        <w:tc>
          <w:tcPr>
            <w:tcW w:w="1898" w:type="dxa"/>
            <w:noWrap w:val="0"/>
            <w:vAlign w:val="top"/>
          </w:tcPr>
          <w:p>
            <w:pPr>
              <w:snapToGrid w:val="0"/>
              <w:spacing w:line="360" w:lineRule="auto"/>
              <w:ind w:firstLine="540"/>
              <w:rPr>
                <w:rFonts w:ascii="宋体" w:hAnsi="宋体"/>
                <w:sz w:val="24"/>
              </w:rPr>
            </w:pPr>
          </w:p>
        </w:tc>
        <w:tc>
          <w:tcPr>
            <w:tcW w:w="1530" w:type="dxa"/>
            <w:noWrap w:val="0"/>
            <w:vAlign w:val="top"/>
          </w:tcPr>
          <w:p>
            <w:pPr>
              <w:snapToGrid w:val="0"/>
              <w:spacing w:line="360" w:lineRule="auto"/>
              <w:ind w:firstLine="540"/>
              <w:rPr>
                <w:rFonts w:ascii="宋体" w:hAnsi="宋体"/>
                <w:sz w:val="24"/>
              </w:rPr>
            </w:pPr>
          </w:p>
        </w:tc>
        <w:tc>
          <w:tcPr>
            <w:tcW w:w="1260" w:type="dxa"/>
            <w:noWrap w:val="0"/>
            <w:vAlign w:val="top"/>
          </w:tcPr>
          <w:p>
            <w:pPr>
              <w:snapToGrid w:val="0"/>
              <w:spacing w:line="360" w:lineRule="auto"/>
              <w:ind w:firstLine="540"/>
              <w:rPr>
                <w:rFonts w:ascii="宋体" w:hAnsi="宋体"/>
                <w:sz w:val="24"/>
              </w:rPr>
            </w:pPr>
          </w:p>
        </w:tc>
        <w:tc>
          <w:tcPr>
            <w:tcW w:w="2802" w:type="dxa"/>
            <w:noWrap w:val="0"/>
            <w:vAlign w:val="top"/>
          </w:tcPr>
          <w:p>
            <w:pPr>
              <w:snapToGrid w:val="0"/>
              <w:spacing w:line="360" w:lineRule="auto"/>
              <w:ind w:firstLine="540"/>
              <w:rPr>
                <w:rFonts w:ascii="宋体" w:hAnsi="宋体"/>
                <w:sz w:val="24"/>
              </w:rPr>
            </w:pPr>
          </w:p>
        </w:tc>
      </w:tr>
    </w:tbl>
    <w:p>
      <w:pPr>
        <w:snapToGrid w:val="0"/>
        <w:spacing w:line="360" w:lineRule="auto"/>
        <w:ind w:firstLine="540"/>
        <w:rPr>
          <w:rFonts w:hint="eastAsia" w:ascii="宋体" w:hAnsi="宋体"/>
          <w:sz w:val="24"/>
        </w:rPr>
      </w:pPr>
      <w:r>
        <w:rPr>
          <w:rFonts w:ascii="宋体" w:hAnsi="宋体"/>
          <w:sz w:val="24"/>
        </w:rPr>
        <w:t>注：此表在不改变表式的情况下可自行制作。</w:t>
      </w:r>
    </w:p>
    <w:p>
      <w:pPr>
        <w:snapToGrid w:val="0"/>
        <w:spacing w:line="360" w:lineRule="auto"/>
        <w:ind w:firstLine="540"/>
        <w:rPr>
          <w:rFonts w:hint="eastAsia" w:ascii="宋体" w:hAnsi="宋体"/>
          <w:sz w:val="24"/>
        </w:rPr>
      </w:pPr>
      <w:r>
        <w:rPr>
          <w:rFonts w:hint="eastAsia" w:ascii="宋体" w:hAnsi="宋体"/>
          <w:sz w:val="24"/>
        </w:rPr>
        <w:t>供应商：                     （盖章）</w:t>
      </w:r>
    </w:p>
    <w:p>
      <w:pPr>
        <w:snapToGrid w:val="0"/>
        <w:spacing w:line="360" w:lineRule="auto"/>
        <w:ind w:firstLine="540"/>
        <w:rPr>
          <w:rFonts w:hint="eastAsia" w:ascii="宋体" w:hAnsi="宋体"/>
          <w:sz w:val="24"/>
        </w:rPr>
      </w:pPr>
      <w:r>
        <w:rPr>
          <w:rFonts w:hint="eastAsia" w:ascii="宋体" w:hAnsi="宋体"/>
          <w:sz w:val="24"/>
        </w:rPr>
        <w:t>法定代表人或委托代理人：                （签字或盖章）</w:t>
      </w:r>
    </w:p>
    <w:p>
      <w:pPr>
        <w:snapToGrid w:val="0"/>
        <w:spacing w:line="360" w:lineRule="auto"/>
        <w:ind w:firstLine="540"/>
        <w:rPr>
          <w:rFonts w:ascii="宋体" w:hAnsi="宋体"/>
          <w:sz w:val="24"/>
        </w:rPr>
      </w:pPr>
      <w:r>
        <w:rPr>
          <w:rFonts w:hint="eastAsia" w:ascii="宋体" w:hAnsi="宋体"/>
          <w:sz w:val="24"/>
        </w:rPr>
        <w:t xml:space="preserve">日 期：                    </w:t>
      </w: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rPr>
          <w:rFonts w:hint="eastAsia" w:ascii="宋体" w:hAnsi="宋体"/>
          <w:sz w:val="24"/>
        </w:rPr>
      </w:pPr>
      <w:r>
        <w:rPr>
          <w:rFonts w:hint="eastAsia" w:ascii="宋体" w:hAnsi="宋体"/>
          <w:sz w:val="24"/>
        </w:rPr>
        <w:t>8.技术偏离表</w:t>
      </w: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tbl>
      <w:tblPr>
        <w:tblStyle w:val="37"/>
        <w:tblpPr w:leftFromText="180" w:rightFromText="180" w:vertAnchor="page" w:horzAnchor="margin" w:tblpY="26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trPr>
        <w:tc>
          <w:tcPr>
            <w:tcW w:w="878" w:type="dxa"/>
            <w:tcBorders>
              <w:bottom w:val="single" w:color="auto" w:sz="4" w:space="0"/>
            </w:tcBorders>
            <w:noWrap w:val="0"/>
            <w:vAlign w:val="top"/>
          </w:tcPr>
          <w:p>
            <w:pPr>
              <w:snapToGrid w:val="0"/>
              <w:spacing w:line="360" w:lineRule="auto"/>
              <w:rPr>
                <w:rFonts w:hint="eastAsia" w:ascii="宋体" w:hAnsi="宋体"/>
                <w:sz w:val="24"/>
              </w:rPr>
            </w:pPr>
            <w:r>
              <w:rPr>
                <w:rFonts w:hint="eastAsia" w:ascii="宋体" w:hAnsi="宋体"/>
                <w:sz w:val="24"/>
              </w:rPr>
              <w:t>序号</w:t>
            </w:r>
          </w:p>
        </w:tc>
        <w:tc>
          <w:tcPr>
            <w:tcW w:w="2101" w:type="dxa"/>
            <w:tcBorders>
              <w:bottom w:val="single" w:color="auto" w:sz="4" w:space="0"/>
            </w:tcBorders>
            <w:noWrap w:val="0"/>
            <w:vAlign w:val="top"/>
          </w:tcPr>
          <w:p>
            <w:pPr>
              <w:snapToGrid w:val="0"/>
              <w:spacing w:line="360" w:lineRule="auto"/>
              <w:rPr>
                <w:rFonts w:hint="eastAsia" w:ascii="宋体" w:hAnsi="宋体"/>
                <w:sz w:val="24"/>
              </w:rPr>
            </w:pPr>
            <w:r>
              <w:rPr>
                <w:rFonts w:hint="eastAsia" w:ascii="宋体" w:hAnsi="宋体"/>
                <w:sz w:val="24"/>
              </w:rPr>
              <w:t>内  容</w:t>
            </w:r>
          </w:p>
        </w:tc>
        <w:tc>
          <w:tcPr>
            <w:tcW w:w="2291" w:type="dxa"/>
            <w:tcBorders>
              <w:bottom w:val="single" w:color="auto" w:sz="4" w:space="0"/>
            </w:tcBorders>
            <w:noWrap w:val="0"/>
            <w:vAlign w:val="top"/>
          </w:tcPr>
          <w:p>
            <w:pPr>
              <w:snapToGrid w:val="0"/>
              <w:spacing w:line="360" w:lineRule="auto"/>
              <w:rPr>
                <w:rFonts w:hint="eastAsia" w:ascii="宋体" w:hAnsi="宋体"/>
                <w:sz w:val="24"/>
              </w:rPr>
            </w:pPr>
            <w:r>
              <w:rPr>
                <w:rFonts w:hint="eastAsia" w:ascii="宋体" w:hAnsi="宋体"/>
                <w:sz w:val="24"/>
              </w:rPr>
              <w:t>招标文件规范要求</w:t>
            </w:r>
          </w:p>
        </w:tc>
        <w:tc>
          <w:tcPr>
            <w:tcW w:w="2101" w:type="dxa"/>
            <w:tcBorders>
              <w:bottom w:val="single" w:color="auto" w:sz="4" w:space="0"/>
            </w:tcBorders>
            <w:noWrap w:val="0"/>
            <w:vAlign w:val="top"/>
          </w:tcPr>
          <w:p>
            <w:pPr>
              <w:snapToGrid w:val="0"/>
              <w:spacing w:line="360" w:lineRule="auto"/>
              <w:rPr>
                <w:rFonts w:hint="eastAsia" w:ascii="宋体" w:hAnsi="宋体"/>
                <w:sz w:val="24"/>
              </w:rPr>
            </w:pPr>
            <w:r>
              <w:rPr>
                <w:rFonts w:hint="eastAsia" w:ascii="宋体" w:hAnsi="宋体"/>
                <w:sz w:val="24"/>
              </w:rPr>
              <w:t>投标文件对应规范</w:t>
            </w:r>
          </w:p>
        </w:tc>
        <w:tc>
          <w:tcPr>
            <w:tcW w:w="2106" w:type="dxa"/>
            <w:tcBorders>
              <w:bottom w:val="single" w:color="auto" w:sz="4" w:space="0"/>
            </w:tcBorders>
            <w:noWrap w:val="0"/>
            <w:vAlign w:val="top"/>
          </w:tcPr>
          <w:p>
            <w:pPr>
              <w:snapToGrid w:val="0"/>
              <w:spacing w:line="360" w:lineRule="auto"/>
              <w:ind w:firstLine="540"/>
              <w:rPr>
                <w:rFonts w:hint="eastAsia"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vMerge w:val="restart"/>
            <w:noWrap w:val="0"/>
            <w:vAlign w:val="center"/>
          </w:tcPr>
          <w:p>
            <w:pPr>
              <w:snapToGrid w:val="0"/>
              <w:spacing w:line="360" w:lineRule="auto"/>
              <w:rPr>
                <w:rFonts w:hint="eastAsia" w:ascii="宋体" w:hAnsi="宋体"/>
                <w:sz w:val="24"/>
              </w:rPr>
            </w:pPr>
            <w:r>
              <w:rPr>
                <w:rFonts w:hint="eastAsia" w:ascii="宋体" w:hAnsi="宋体"/>
                <w:sz w:val="24"/>
              </w:rPr>
              <w:t>技术</w:t>
            </w:r>
          </w:p>
          <w:p>
            <w:pPr>
              <w:snapToGrid w:val="0"/>
              <w:spacing w:line="360" w:lineRule="auto"/>
              <w:rPr>
                <w:rFonts w:hint="eastAsia" w:ascii="宋体" w:hAnsi="宋体"/>
                <w:sz w:val="24"/>
              </w:rPr>
            </w:pPr>
            <w:r>
              <w:rPr>
                <w:rFonts w:hint="eastAsia" w:ascii="宋体" w:hAnsi="宋体"/>
                <w:sz w:val="24"/>
              </w:rPr>
              <w:t>偏离</w:t>
            </w:r>
          </w:p>
        </w:tc>
        <w:tc>
          <w:tcPr>
            <w:tcW w:w="2101" w:type="dxa"/>
            <w:noWrap w:val="0"/>
            <w:vAlign w:val="top"/>
          </w:tcPr>
          <w:p>
            <w:pPr>
              <w:snapToGrid w:val="0"/>
              <w:spacing w:line="360" w:lineRule="auto"/>
              <w:ind w:firstLine="540"/>
              <w:rPr>
                <w:rFonts w:hint="eastAsia" w:ascii="宋体" w:hAnsi="宋体"/>
                <w:sz w:val="24"/>
              </w:rPr>
            </w:pPr>
          </w:p>
        </w:tc>
        <w:tc>
          <w:tcPr>
            <w:tcW w:w="2291" w:type="dxa"/>
            <w:noWrap w:val="0"/>
            <w:vAlign w:val="top"/>
          </w:tcPr>
          <w:p>
            <w:pPr>
              <w:snapToGrid w:val="0"/>
              <w:spacing w:line="360" w:lineRule="auto"/>
              <w:ind w:firstLine="540"/>
              <w:rPr>
                <w:rFonts w:hint="eastAsia" w:ascii="宋体" w:hAnsi="宋体"/>
                <w:sz w:val="24"/>
              </w:rPr>
            </w:pPr>
          </w:p>
        </w:tc>
        <w:tc>
          <w:tcPr>
            <w:tcW w:w="2101" w:type="dxa"/>
            <w:noWrap w:val="0"/>
            <w:vAlign w:val="top"/>
          </w:tcPr>
          <w:p>
            <w:pPr>
              <w:snapToGrid w:val="0"/>
              <w:spacing w:line="360" w:lineRule="auto"/>
              <w:ind w:firstLine="540"/>
              <w:rPr>
                <w:rFonts w:hint="eastAsia" w:ascii="宋体" w:hAnsi="宋体"/>
                <w:sz w:val="24"/>
              </w:rPr>
            </w:pPr>
          </w:p>
        </w:tc>
        <w:tc>
          <w:tcPr>
            <w:tcW w:w="2106" w:type="dxa"/>
            <w:noWrap w:val="0"/>
            <w:vAlign w:val="top"/>
          </w:tcPr>
          <w:p>
            <w:pPr>
              <w:snapToGrid w:val="0"/>
              <w:spacing w:line="360" w:lineRule="auto"/>
              <w:ind w:firstLine="54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trPr>
        <w:tc>
          <w:tcPr>
            <w:tcW w:w="878" w:type="dxa"/>
            <w:vMerge w:val="continue"/>
            <w:noWrap w:val="0"/>
            <w:vAlign w:val="top"/>
          </w:tcPr>
          <w:p>
            <w:pPr>
              <w:snapToGrid w:val="0"/>
              <w:spacing w:line="360" w:lineRule="auto"/>
              <w:ind w:firstLine="540"/>
              <w:rPr>
                <w:rFonts w:hint="eastAsia" w:ascii="宋体" w:hAnsi="宋体"/>
                <w:sz w:val="24"/>
              </w:rPr>
            </w:pPr>
          </w:p>
        </w:tc>
        <w:tc>
          <w:tcPr>
            <w:tcW w:w="2101" w:type="dxa"/>
            <w:noWrap w:val="0"/>
            <w:vAlign w:val="top"/>
          </w:tcPr>
          <w:p>
            <w:pPr>
              <w:snapToGrid w:val="0"/>
              <w:spacing w:line="360" w:lineRule="auto"/>
              <w:ind w:firstLine="540"/>
              <w:rPr>
                <w:rFonts w:hint="eastAsia" w:ascii="宋体" w:hAnsi="宋体"/>
                <w:sz w:val="24"/>
              </w:rPr>
            </w:pPr>
          </w:p>
        </w:tc>
        <w:tc>
          <w:tcPr>
            <w:tcW w:w="2291" w:type="dxa"/>
            <w:noWrap w:val="0"/>
            <w:vAlign w:val="top"/>
          </w:tcPr>
          <w:p>
            <w:pPr>
              <w:snapToGrid w:val="0"/>
              <w:spacing w:line="360" w:lineRule="auto"/>
              <w:ind w:firstLine="540"/>
              <w:rPr>
                <w:rFonts w:hint="eastAsia" w:ascii="宋体" w:hAnsi="宋体"/>
                <w:sz w:val="24"/>
              </w:rPr>
            </w:pPr>
          </w:p>
        </w:tc>
        <w:tc>
          <w:tcPr>
            <w:tcW w:w="2101" w:type="dxa"/>
            <w:noWrap w:val="0"/>
            <w:vAlign w:val="top"/>
          </w:tcPr>
          <w:p>
            <w:pPr>
              <w:snapToGrid w:val="0"/>
              <w:spacing w:line="360" w:lineRule="auto"/>
              <w:ind w:firstLine="540"/>
              <w:rPr>
                <w:rFonts w:hint="eastAsia" w:ascii="宋体" w:hAnsi="宋体"/>
                <w:sz w:val="24"/>
              </w:rPr>
            </w:pPr>
          </w:p>
        </w:tc>
        <w:tc>
          <w:tcPr>
            <w:tcW w:w="2106" w:type="dxa"/>
            <w:noWrap w:val="0"/>
            <w:vAlign w:val="top"/>
          </w:tcPr>
          <w:p>
            <w:pPr>
              <w:snapToGrid w:val="0"/>
              <w:spacing w:line="360" w:lineRule="auto"/>
              <w:ind w:firstLine="54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trPr>
        <w:tc>
          <w:tcPr>
            <w:tcW w:w="878" w:type="dxa"/>
            <w:vMerge w:val="continue"/>
            <w:noWrap w:val="0"/>
            <w:vAlign w:val="top"/>
          </w:tcPr>
          <w:p>
            <w:pPr>
              <w:snapToGrid w:val="0"/>
              <w:spacing w:line="360" w:lineRule="auto"/>
              <w:ind w:firstLine="540"/>
              <w:rPr>
                <w:rFonts w:hint="eastAsia" w:ascii="宋体" w:hAnsi="宋体"/>
                <w:sz w:val="24"/>
              </w:rPr>
            </w:pPr>
          </w:p>
        </w:tc>
        <w:tc>
          <w:tcPr>
            <w:tcW w:w="2101" w:type="dxa"/>
            <w:noWrap w:val="0"/>
            <w:vAlign w:val="top"/>
          </w:tcPr>
          <w:p>
            <w:pPr>
              <w:snapToGrid w:val="0"/>
              <w:spacing w:line="360" w:lineRule="auto"/>
              <w:ind w:firstLine="540"/>
              <w:rPr>
                <w:rFonts w:hint="eastAsia" w:ascii="宋体" w:hAnsi="宋体"/>
                <w:sz w:val="24"/>
              </w:rPr>
            </w:pPr>
            <w:r>
              <w:rPr>
                <w:rFonts w:ascii="宋体" w:hAnsi="宋体"/>
                <w:sz w:val="24"/>
              </w:rPr>
              <w:t>………</w:t>
            </w:r>
            <w:r>
              <w:rPr>
                <w:rFonts w:hint="eastAsia" w:ascii="宋体" w:hAnsi="宋体"/>
                <w:sz w:val="24"/>
              </w:rPr>
              <w:t>.</w:t>
            </w:r>
          </w:p>
        </w:tc>
        <w:tc>
          <w:tcPr>
            <w:tcW w:w="2291" w:type="dxa"/>
            <w:noWrap w:val="0"/>
            <w:vAlign w:val="top"/>
          </w:tcPr>
          <w:p>
            <w:pPr>
              <w:snapToGrid w:val="0"/>
              <w:spacing w:line="360" w:lineRule="auto"/>
              <w:ind w:firstLine="540"/>
              <w:rPr>
                <w:rFonts w:hint="eastAsia" w:ascii="宋体" w:hAnsi="宋体"/>
                <w:sz w:val="24"/>
              </w:rPr>
            </w:pPr>
          </w:p>
        </w:tc>
        <w:tc>
          <w:tcPr>
            <w:tcW w:w="2101" w:type="dxa"/>
            <w:noWrap w:val="0"/>
            <w:vAlign w:val="top"/>
          </w:tcPr>
          <w:p>
            <w:pPr>
              <w:snapToGrid w:val="0"/>
              <w:spacing w:line="360" w:lineRule="auto"/>
              <w:ind w:firstLine="540"/>
              <w:rPr>
                <w:rFonts w:hint="eastAsia" w:ascii="宋体" w:hAnsi="宋体"/>
                <w:sz w:val="24"/>
              </w:rPr>
            </w:pPr>
          </w:p>
        </w:tc>
        <w:tc>
          <w:tcPr>
            <w:tcW w:w="2106" w:type="dxa"/>
            <w:noWrap w:val="0"/>
            <w:vAlign w:val="top"/>
          </w:tcPr>
          <w:p>
            <w:pPr>
              <w:snapToGrid w:val="0"/>
              <w:spacing w:line="360" w:lineRule="auto"/>
              <w:ind w:firstLine="540"/>
              <w:rPr>
                <w:rFonts w:hint="eastAsia" w:ascii="宋体" w:hAnsi="宋体"/>
                <w:sz w:val="24"/>
              </w:rPr>
            </w:pPr>
          </w:p>
        </w:tc>
      </w:tr>
    </w:tbl>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r>
        <w:rPr>
          <w:rFonts w:hint="eastAsia" w:ascii="宋体" w:hAnsi="宋体"/>
          <w:sz w:val="24"/>
        </w:rPr>
        <w:t>供应商：                   （盖章）</w:t>
      </w:r>
    </w:p>
    <w:p>
      <w:pPr>
        <w:snapToGrid w:val="0"/>
        <w:spacing w:line="360" w:lineRule="auto"/>
        <w:ind w:firstLine="540"/>
        <w:rPr>
          <w:rFonts w:hint="eastAsia" w:ascii="宋体" w:hAnsi="宋体"/>
          <w:sz w:val="24"/>
        </w:rPr>
      </w:pPr>
      <w:r>
        <w:rPr>
          <w:rFonts w:hint="eastAsia" w:ascii="宋体" w:hAnsi="宋体"/>
          <w:sz w:val="24"/>
        </w:rPr>
        <w:t>法定代表人或委托代理人：               （签字或盖章）</w:t>
      </w:r>
    </w:p>
    <w:p>
      <w:pPr>
        <w:snapToGrid w:val="0"/>
        <w:spacing w:line="360" w:lineRule="auto"/>
        <w:ind w:firstLine="540"/>
        <w:rPr>
          <w:rFonts w:hint="eastAsia" w:ascii="宋体" w:hAnsi="宋体"/>
          <w:sz w:val="24"/>
        </w:rPr>
      </w:pPr>
      <w:r>
        <w:rPr>
          <w:rFonts w:hint="eastAsia" w:ascii="宋体" w:hAnsi="宋体"/>
          <w:sz w:val="24"/>
        </w:rPr>
        <w:t xml:space="preserve">日 期：                    </w:t>
      </w: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r>
        <w:rPr>
          <w:rFonts w:hint="eastAsia" w:ascii="宋体" w:hAnsi="宋体"/>
          <w:sz w:val="24"/>
        </w:rPr>
        <w:t>注：此表在不改变表式的情况下可自行制作。</w:t>
      </w: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ind w:firstLine="540"/>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pacing w:line="588" w:lineRule="exact"/>
        <w:rPr>
          <w:rFonts w:eastAsia="仿宋_GB2312"/>
          <w:spacing w:val="6"/>
          <w:sz w:val="30"/>
          <w:szCs w:val="30"/>
        </w:rPr>
      </w:pPr>
      <w:r>
        <w:rPr>
          <w:rFonts w:hint="eastAsia" w:eastAsia="仿宋_GB2312"/>
          <w:spacing w:val="6"/>
          <w:sz w:val="30"/>
          <w:szCs w:val="30"/>
        </w:rPr>
        <w:t>附件</w:t>
      </w:r>
    </w:p>
    <w:p>
      <w:pPr>
        <w:spacing w:after="120"/>
        <w:jc w:val="center"/>
        <w:rPr>
          <w:rFonts w:hint="eastAsia" w:ascii="仿宋_GB2312" w:eastAsia="仿宋_GB2312"/>
          <w:b/>
          <w:spacing w:val="6"/>
          <w:sz w:val="32"/>
          <w:szCs w:val="32"/>
        </w:rPr>
      </w:pPr>
      <w:r>
        <w:rPr>
          <w:rFonts w:hint="eastAsia" w:ascii="仿宋_GB2312" w:eastAsia="仿宋_GB2312"/>
          <w:b/>
          <w:spacing w:val="6"/>
          <w:sz w:val="32"/>
          <w:szCs w:val="32"/>
        </w:rPr>
        <w:t>中小企业声明函</w:t>
      </w:r>
    </w:p>
    <w:p>
      <w:pPr>
        <w:spacing w:after="120"/>
        <w:jc w:val="center"/>
        <w:rPr>
          <w:rFonts w:hint="eastAsia" w:ascii="仿宋_GB2312" w:eastAsia="仿宋_GB2312"/>
          <w:spacing w:val="6"/>
          <w:sz w:val="30"/>
          <w:szCs w:val="30"/>
        </w:rPr>
      </w:pPr>
    </w:p>
    <w:p>
      <w:pPr>
        <w:spacing w:after="120"/>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本公司郑重声明,根据《政府采购促进中小企业发展暂行办法》(财库[2011]181号)的规定,本公司为_微型(请填写中型、小型、微型)企业。即,本公司同时满足以下条件: </w:t>
      </w:r>
    </w:p>
    <w:p>
      <w:pPr>
        <w:spacing w:after="120"/>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根据《工业和信息化部、国家统计局、国家发展和改革委员会、财政部关于印发中小企业划型标准规定的通知》(工信部联企业[2011]300号)规定的划分标准,本公司为_微型_(请填写中型、小型、微型)企业。 </w:t>
      </w:r>
    </w:p>
    <w:p>
      <w:pPr>
        <w:spacing w:after="120"/>
        <w:ind w:firstLine="624" w:firstLineChars="200"/>
        <w:rPr>
          <w:rFonts w:hint="eastAsia" w:ascii="仿宋_GB2312" w:eastAsia="仿宋_GB2312"/>
          <w:spacing w:val="6"/>
          <w:sz w:val="30"/>
          <w:szCs w:val="30"/>
        </w:rPr>
      </w:pPr>
      <w:r>
        <w:rPr>
          <w:rFonts w:hint="eastAsia" w:ascii="仿宋_GB2312" w:eastAsia="仿宋_GB2312"/>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after="120"/>
        <w:ind w:firstLine="624" w:firstLineChars="200"/>
        <w:rPr>
          <w:rFonts w:hint="eastAsia" w:ascii="仿宋_GB2312" w:eastAsia="仿宋_GB2312"/>
          <w:spacing w:val="6"/>
          <w:sz w:val="30"/>
          <w:szCs w:val="30"/>
        </w:rPr>
      </w:pPr>
    </w:p>
    <w:p>
      <w:pPr>
        <w:spacing w:after="120"/>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 </w:t>
      </w:r>
    </w:p>
    <w:p>
      <w:pPr>
        <w:spacing w:after="120"/>
        <w:ind w:firstLine="624" w:firstLineChars="200"/>
        <w:rPr>
          <w:rFonts w:hint="eastAsia" w:ascii="仿宋_GB2312" w:eastAsia="仿宋_GB2312"/>
          <w:spacing w:val="6"/>
          <w:sz w:val="30"/>
          <w:szCs w:val="30"/>
        </w:rPr>
      </w:pPr>
      <w:r>
        <w:rPr>
          <w:rFonts w:hint="eastAsia" w:ascii="仿宋_GB2312" w:eastAsia="仿宋_GB2312"/>
          <w:spacing w:val="6"/>
          <w:sz w:val="30"/>
          <w:szCs w:val="30"/>
        </w:rPr>
        <w:t xml:space="preserve">本公司对上述声明的真实性负责。如有虚假，将依法承担相应责任。  </w:t>
      </w:r>
    </w:p>
    <w:p>
      <w:pPr>
        <w:spacing w:after="120"/>
        <w:ind w:firstLine="6240" w:firstLineChars="2000"/>
        <w:rPr>
          <w:rFonts w:hint="eastAsia" w:ascii="仿宋_GB2312" w:eastAsia="仿宋_GB2312"/>
          <w:spacing w:val="6"/>
          <w:sz w:val="30"/>
          <w:szCs w:val="30"/>
        </w:rPr>
      </w:pPr>
    </w:p>
    <w:p>
      <w:pPr>
        <w:spacing w:after="120"/>
        <w:ind w:firstLine="6240" w:firstLineChars="2000"/>
        <w:rPr>
          <w:rFonts w:hint="eastAsia" w:ascii="仿宋_GB2312" w:eastAsia="仿宋_GB2312"/>
          <w:spacing w:val="6"/>
          <w:sz w:val="30"/>
          <w:szCs w:val="30"/>
        </w:rPr>
      </w:pPr>
    </w:p>
    <w:p>
      <w:pPr>
        <w:spacing w:after="120"/>
        <w:ind w:firstLine="6240" w:firstLineChars="2000"/>
        <w:rPr>
          <w:rFonts w:hint="eastAsia" w:ascii="仿宋_GB2312" w:eastAsia="仿宋_GB2312"/>
          <w:spacing w:val="6"/>
          <w:sz w:val="30"/>
          <w:szCs w:val="30"/>
        </w:rPr>
      </w:pPr>
    </w:p>
    <w:p>
      <w:pPr>
        <w:spacing w:after="120"/>
        <w:ind w:firstLine="6240" w:firstLineChars="2000"/>
        <w:rPr>
          <w:rFonts w:hint="eastAsia" w:ascii="仿宋_GB2312" w:eastAsia="仿宋_GB2312"/>
          <w:spacing w:val="6"/>
          <w:sz w:val="30"/>
          <w:szCs w:val="30"/>
        </w:rPr>
      </w:pPr>
    </w:p>
    <w:p>
      <w:pPr>
        <w:spacing w:after="120"/>
        <w:ind w:firstLine="6240" w:firstLineChars="2000"/>
        <w:rPr>
          <w:rFonts w:hint="eastAsia" w:ascii="仿宋_GB2312" w:eastAsia="仿宋_GB2312"/>
          <w:spacing w:val="6"/>
          <w:sz w:val="30"/>
          <w:szCs w:val="30"/>
        </w:rPr>
      </w:pPr>
      <w:r>
        <w:rPr>
          <w:rFonts w:hint="eastAsia" w:ascii="仿宋_GB2312" w:eastAsia="仿宋_GB2312"/>
          <w:spacing w:val="6"/>
          <w:sz w:val="30"/>
          <w:szCs w:val="30"/>
        </w:rPr>
        <w:t xml:space="preserve">企业名称(盖章):     </w:t>
      </w:r>
    </w:p>
    <w:p>
      <w:pPr>
        <w:spacing w:after="120"/>
        <w:ind w:firstLine="6864" w:firstLineChars="2200"/>
        <w:rPr>
          <w:rFonts w:hint="eastAsia" w:ascii="仿宋_GB2312" w:eastAsia="仿宋_GB2312"/>
          <w:spacing w:val="6"/>
          <w:sz w:val="30"/>
          <w:szCs w:val="30"/>
        </w:rPr>
      </w:pPr>
      <w:r>
        <w:rPr>
          <w:rFonts w:hint="eastAsia" w:ascii="仿宋_GB2312" w:eastAsia="仿宋_GB2312"/>
          <w:spacing w:val="6"/>
          <w:sz w:val="30"/>
          <w:szCs w:val="30"/>
        </w:rPr>
        <w:t>日期:</w:t>
      </w:r>
    </w:p>
    <w:p>
      <w:pPr>
        <w:spacing w:after="120"/>
        <w:ind w:firstLine="6160" w:firstLineChars="2200"/>
        <w:rPr>
          <w:rFonts w:hint="eastAsia" w:ascii="宋体" w:hAnsi="宋体"/>
          <w:sz w:val="28"/>
          <w:szCs w:val="28"/>
        </w:rPr>
      </w:pPr>
    </w:p>
    <w:p>
      <w:pPr>
        <w:spacing w:after="120"/>
        <w:ind w:firstLine="6160" w:firstLineChars="2200"/>
        <w:rPr>
          <w:rFonts w:hint="eastAsia" w:ascii="宋体" w:hAnsi="宋体"/>
          <w:sz w:val="28"/>
          <w:szCs w:val="28"/>
        </w:rPr>
      </w:pPr>
    </w:p>
    <w:p>
      <w:pPr>
        <w:spacing w:after="120"/>
        <w:ind w:firstLine="6160" w:firstLineChars="2200"/>
        <w:rPr>
          <w:rFonts w:hint="eastAsia" w:ascii="宋体" w:hAnsi="宋体"/>
          <w:sz w:val="28"/>
          <w:szCs w:val="28"/>
        </w:rPr>
      </w:pPr>
    </w:p>
    <w:p>
      <w:pPr>
        <w:spacing w:after="120"/>
        <w:ind w:firstLine="6160" w:firstLineChars="2200"/>
        <w:rPr>
          <w:rFonts w:hint="eastAsia" w:ascii="宋体" w:hAnsi="宋体"/>
          <w:sz w:val="28"/>
          <w:szCs w:val="28"/>
        </w:rPr>
      </w:pPr>
    </w:p>
    <w:p>
      <w:pPr>
        <w:spacing w:line="588" w:lineRule="exact"/>
        <w:rPr>
          <w:rFonts w:hint="eastAsia" w:ascii="宋体" w:hAnsi="宋体"/>
          <w:sz w:val="28"/>
          <w:szCs w:val="28"/>
        </w:rPr>
      </w:pPr>
    </w:p>
    <w:p>
      <w:pPr>
        <w:spacing w:line="588" w:lineRule="exact"/>
        <w:rPr>
          <w:rFonts w:eastAsia="仿宋_GB2312"/>
          <w:spacing w:val="6"/>
          <w:sz w:val="30"/>
          <w:szCs w:val="30"/>
        </w:rPr>
      </w:pPr>
      <w:r>
        <w:rPr>
          <w:rFonts w:hint="eastAsia" w:eastAsia="仿宋_GB2312"/>
          <w:spacing w:val="6"/>
          <w:sz w:val="30"/>
          <w:szCs w:val="30"/>
        </w:rPr>
        <w:t>附件</w:t>
      </w:r>
    </w:p>
    <w:p>
      <w:pPr>
        <w:spacing w:line="588" w:lineRule="exact"/>
        <w:jc w:val="center"/>
        <w:rPr>
          <w:rFonts w:ascii="仿宋_GB2312" w:eastAsia="仿宋_GB2312"/>
          <w:b/>
          <w:spacing w:val="6"/>
          <w:sz w:val="32"/>
          <w:szCs w:val="32"/>
        </w:rPr>
      </w:pPr>
      <w:bookmarkStart w:id="78" w:name="OLE_LINK13"/>
      <w:bookmarkStart w:id="79" w:name="OLE_LINK14"/>
      <w:r>
        <w:rPr>
          <w:rFonts w:hint="eastAsia" w:ascii="仿宋_GB2312" w:eastAsia="仿宋_GB2312"/>
          <w:b/>
          <w:spacing w:val="6"/>
          <w:sz w:val="32"/>
          <w:szCs w:val="32"/>
        </w:rPr>
        <w:t>残疾人福利性单位声明函</w:t>
      </w:r>
    </w:p>
    <w:bookmarkEnd w:id="78"/>
    <w:bookmarkEnd w:id="79"/>
    <w:p>
      <w:pPr>
        <w:spacing w:line="588" w:lineRule="exact"/>
        <w:rPr>
          <w:rFonts w:ascii="仿宋_GB2312" w:eastAsia="仿宋_GB2312"/>
          <w:b/>
          <w:spacing w:val="6"/>
          <w:sz w:val="30"/>
          <w:szCs w:val="30"/>
        </w:rPr>
      </w:pP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本单位郑重声明，根据《财政部 民政部 中国残疾人联合会关于促进残疾人就业政府采购政策的通知》（财库</w:t>
      </w:r>
      <w:r>
        <w:rPr>
          <w:rFonts w:hint="eastAsia" w:ascii="仿宋_GB2312" w:eastAsia="仿宋_GB2312"/>
          <w:sz w:val="32"/>
          <w:szCs w:val="32"/>
        </w:rPr>
        <w:t>〔2017〕 141</w:t>
      </w:r>
      <w:r>
        <w:rPr>
          <w:rFonts w:hint="eastAsia" w:ascii="仿宋_GB2312"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单位名称（盖章）：</w:t>
      </w: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日  期：</w:t>
      </w:r>
    </w:p>
    <w:p>
      <w:pPr>
        <w:spacing w:after="120"/>
        <w:ind w:firstLine="6160" w:firstLineChars="2200"/>
        <w:rPr>
          <w:rFonts w:hint="eastAsia" w:ascii="宋体" w:hAnsi="宋体"/>
          <w:sz w:val="28"/>
          <w:szCs w:val="28"/>
        </w:rPr>
      </w:pPr>
    </w:p>
    <w:p>
      <w:pPr>
        <w:pStyle w:val="29"/>
        <w:ind w:firstLine="0"/>
        <w:jc w:val="left"/>
        <w:rPr>
          <w:rFonts w:ascii="宋体" w:hAnsi="宋体"/>
          <w:b/>
          <w:color w:val="000000"/>
          <w:spacing w:val="20"/>
          <w:position w:val="2"/>
          <w:sz w:val="24"/>
          <w:szCs w:val="24"/>
        </w:rPr>
      </w:pPr>
    </w:p>
    <w:sectPr>
      <w:pgSz w:w="11906" w:h="16838"/>
      <w:pgMar w:top="1474" w:right="1474" w:bottom="1089" w:left="1531"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Optima">
    <w:altName w:val="Arial"/>
    <w:panose1 w:val="00000000000000000000"/>
    <w:charset w:val="00"/>
    <w:family w:val="swiss"/>
    <w:pitch w:val="default"/>
    <w:sig w:usb0="00000003"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Romantic">
    <w:altName w:val="MV Boli"/>
    <w:panose1 w:val="00000400000000000000"/>
    <w:charset w:val="02"/>
    <w:family w:val="auto"/>
    <w:pitch w:val="default"/>
    <w:sig w:usb0="00000000" w:usb1="10000000" w:usb2="00000000" w:usb3="00000000" w:csb0="80000000" w:csb1="00000000"/>
  </w:font>
  <w:font w:name="微软大黑体">
    <w:altName w:val="宋体"/>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i/>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76885" cy="157480"/>
              <wp:effectExtent l="0" t="0" r="0" b="0"/>
              <wp:wrapNone/>
              <wp:docPr id="1" name="文本框 5"/>
              <wp:cNvGraphicFramePr/>
              <a:graphic xmlns:a="http://schemas.openxmlformats.org/drawingml/2006/main">
                <a:graphicData uri="http://schemas.microsoft.com/office/word/2010/wordprocessingShape">
                  <wps:wsp>
                    <wps:cNvSpPr txBox="1"/>
                    <wps:spPr>
                      <a:xfrm>
                        <a:off x="0" y="0"/>
                        <a:ext cx="476885" cy="15748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18</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2.4pt;width:37.55pt;mso-position-horizontal:center;mso-position-horizontal-relative:margin;mso-wrap-style:none;z-index:251659264;mso-width-relative:page;mso-height-relative:page;" filled="f" stroked="f" coordsize="21600,21600" o:gfxdata="UEsDBAoAAAAAAIdO4kAAAAAAAAAAAAAAAAAEAAAAZHJzL1BLAwQUAAAACACHTuJAzKmg39EAAAAD AQAADwAAAGRycy9kb3ducmV2LnhtbE2PwU7DMBBE70j8g7WVuFEnFdAoxOmhEhduFITEbRtv46j2 OrLdNPl7DBe4rDSa0czbZjc7KyYKcfCsoFwXIIg7rwfuFXy8v9xXIGJC1mg9k4KFIuza25sGa+2v /EbTIfUil3CsUYFJaayljJ0hh3HtR+LsnXxwmLIMvdQBr7ncWbkpiifpcOC8YHCkvaHufLg4Bdv5 09MYaU9fp6kLZlgq+7oodbcqi2cQieb0F4Yf/IwObWY6+gvrKKyC/Ej6vdnbPpYgjgo2DxXItpH/ 2dtvUEsDBBQAAAAIAIdO4kBLNc+RzgEAAJcDAAAOAAAAZHJzL2Uyb0RvYy54bWytU0tu2zAQ3Rfo HQjua9pBnBiC5aCFkSBA0RZIewCaIi0C/IFDW/IF2ht01U33PZfP0SElO59usuiGGg1Hb957M1re 9NaQvYygvavpbDKlRDrhG+22Nf329fbdghJI3DXceCdrepBAb1Zv3yy7UMkL33rTyEgQxEHVhZq2 KYWKMRCttBwmPkiHl8pHyxO+xi1rIu8Q3Rp2MZ1esc7HJkQvJABm18MlHRHjawC9UlrItRc7K10a UKM0PKEkaHUAuipslZIifVYKZCKmpqg0lRObYLzJJ1stebWNPLRajBT4ayi80GS5dtj0DLXmiZNd 1P9AWS2iB6/SRHjLBiHFEVQxm77w5qHlQRYtaDWEs+nw/2DFp/2XSHSDm0CJ4xYHfvz54/jrz/H3 dzLP9nQBKqx6CFiX+g++z6VjHjCZVfcq2vxEPQTv0dzD2VzZJyIweXl9tVjMKRF4NZtfXy6K+ezx 4xAh3UlvSQ5qGnF2xVK+/wgJG2LpqST3cv5WG1PmZ9yzBBbmDMvMB4Y5Sv2mH2lvfHNANR2OvaYO t5wSc+/Q1bwhpyCegs0p2IWot21ZodwPwvtdQhKFW+4wwI6NcV6F8rhbeSGevpeqx/9p9Rd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DMqaDf0QAAAAMBAAAPAAAAAAAAAAEAIAAAACIAAABkcnMvZG93 bnJldi54bWxQSwECFAAUAAAACACHTuJASzXPkc4BAACXAwAADgAAAAAAAAABACAAAAAgAQAAZHJz L2Uyb0RvYy54bWxQSwUGAAAAAAYABgBZAQAAYAUAAAAA ">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18</w:t>
                    </w:r>
                    <w:r>
                      <w:rPr>
                        <w:rFonts w:hint="eastAsia"/>
                        <w:sz w:val="18"/>
                      </w:rPr>
                      <w:fldChar w:fldCharType="end"/>
                    </w:r>
                    <w:r>
                      <w:rPr>
                        <w:rFonts w:hint="eastAsia"/>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76885" cy="157480"/>
              <wp:effectExtent l="0" t="0" r="0" b="0"/>
              <wp:wrapNone/>
              <wp:docPr id="2" name="文本框 6"/>
              <wp:cNvGraphicFramePr/>
              <a:graphic xmlns:a="http://schemas.openxmlformats.org/drawingml/2006/main">
                <a:graphicData uri="http://schemas.microsoft.com/office/word/2010/wordprocessingShape">
                  <wps:wsp>
                    <wps:cNvSpPr txBox="1"/>
                    <wps:spPr>
                      <a:xfrm>
                        <a:off x="0" y="0"/>
                        <a:ext cx="476885" cy="15748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27</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2.4pt;width:37.55pt;mso-position-horizontal:center;mso-position-horizontal-relative:margin;mso-wrap-style:none;z-index:251660288;mso-width-relative:page;mso-height-relative:page;" filled="f" stroked="f" coordsize="21600,21600" o:gfxdata="UEsDBAoAAAAAAIdO4kAAAAAAAAAAAAAAAAAEAAAAZHJzL1BLAwQUAAAACACHTuJAzKmg39EAAAAD AQAADwAAAGRycy9kb3ducmV2LnhtbE2PwU7DMBBE70j8g7WVuFEnFdAoxOmhEhduFITEbRtv46j2 OrLdNPl7DBe4rDSa0czbZjc7KyYKcfCsoFwXIIg7rwfuFXy8v9xXIGJC1mg9k4KFIuza25sGa+2v /EbTIfUil3CsUYFJaayljJ0hh3HtR+LsnXxwmLIMvdQBr7ncWbkpiifpcOC8YHCkvaHufLg4Bdv5 09MYaU9fp6kLZlgq+7oodbcqi2cQieb0F4Yf/IwObWY6+gvrKKyC/Ej6vdnbPpYgjgo2DxXItpH/ 2dtvUEsDBBQAAAAIAIdO4kBwLCd9zwEAAJcDAAAOAAAAZHJzL2Uyb0RvYy54bWytU0tu2zAQ3RfI HQjuY9lG4hiC5aCFkSBA0RZIewCaIi0C/IFDW/IF2ht01U33PZfP0SElOW2yySIbajQcvXnvzWh1 2xlNDiKAcrais8mUEmG5q5XdVfTb17vLJSUQma2ZdlZU9CiA3q4v3q1aX4q5a5yuRSAIYqFsfUWb GH1ZFMAbYRhMnBcWL6ULhkV8DbuiDqxFdKOL+XS6KFoXah8cFwCY3fSXdEAMrwF0UiouNo7vjbCx Rw1Cs4iSoFEe6DqzlVLw+FlKEJHoiqLSmE9sgvE2ncV6xcpdYL5RfKDAXkPhmSbDlMWmZ6gNi4zs g3oBZRQPDpyME+5M0QvJjqCK2fSZN48N8yJrQavBn02Ht4Plnw5fAlF1ReeUWGZw4KefP06//px+ fyeLZE/rocSqR491sfvgOlyaMQ+YTKo7GUx6oh6C92ju8Wyu6CLhmLy6WSyX15RwvJpd31wts/nF 08c+QLwXzpAUVDTg7LKl7PARIhLB0rEk9bLuTmmd56ftfwksTJkiMe8Zpih2226Qs3X1EdW0OPaK WtxySvSDRVfThoxBGIPtGOx9ULsmr1DqB/79PiKJzC116GGHxjivTHnYrbQQ/77nqqf/af0X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zKmg39EAAAADAQAADwAAAAAAAAABACAAAAAiAAAAZHJzL2Rv d25yZXYueG1sUEsBAhQAFAAAAAgAh07iQHAsJ33PAQAAlwMAAA4AAAAAAAAAAQAgAAAAIAEAAGRy cy9lMm9Eb2MueG1sUEsFBgAAAAAGAAYAWQEAAGEFAAAAAA== ">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27</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ascii="宋体" w:hAnsi="宋体"/>
        <w:bCs/>
        <w:color w:val="000000"/>
      </w:rPr>
      <w:t>桐庐县公安局警务通租赁服务项目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rPr>
    </w:pPr>
    <w:r>
      <w:rPr>
        <w:rFonts w:hint="eastAsia" w:ascii="宋体" w:hAnsi="宋体"/>
        <w:bCs/>
        <w:color w:val="000000"/>
      </w:rPr>
      <w:t>桐庐县公安局警务通租赁服务项目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4"/>
      <w:numFmt w:val="chineseCounting"/>
      <w:suff w:val="nothing"/>
      <w:lvlText w:val="（%1）"/>
      <w:lvlJc w:val="left"/>
    </w:lvl>
  </w:abstractNum>
  <w:abstractNum w:abstractNumId="1">
    <w:nsid w:val="0000000E"/>
    <w:multiLevelType w:val="multilevel"/>
    <w:tmpl w:val="0000000E"/>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7112D0E"/>
    <w:multiLevelType w:val="multilevel"/>
    <w:tmpl w:val="47112D0E"/>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9B319D"/>
    <w:multiLevelType w:val="singleLevel"/>
    <w:tmpl w:val="559B319D"/>
    <w:lvl w:ilvl="0" w:tentative="0">
      <w:start w:val="1"/>
      <w:numFmt w:val="chineseCounting"/>
      <w:suff w:val="nothing"/>
      <w:lvlText w:val="%1、"/>
      <w:lvlJc w:val="left"/>
    </w:lvl>
  </w:abstractNum>
  <w:abstractNum w:abstractNumId="4">
    <w:nsid w:val="559B3B84"/>
    <w:multiLevelType w:val="singleLevel"/>
    <w:tmpl w:val="559B3B84"/>
    <w:lvl w:ilvl="0" w:tentative="0">
      <w:start w:val="2"/>
      <w:numFmt w:val="decimal"/>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7E"/>
    <w:rsid w:val="0000367E"/>
    <w:rsid w:val="00003B41"/>
    <w:rsid w:val="0000531D"/>
    <w:rsid w:val="00005E8F"/>
    <w:rsid w:val="000069CE"/>
    <w:rsid w:val="0001219F"/>
    <w:rsid w:val="00012C24"/>
    <w:rsid w:val="00013881"/>
    <w:rsid w:val="00014841"/>
    <w:rsid w:val="00014B72"/>
    <w:rsid w:val="00016960"/>
    <w:rsid w:val="0001724B"/>
    <w:rsid w:val="00017B90"/>
    <w:rsid w:val="00021431"/>
    <w:rsid w:val="00021D73"/>
    <w:rsid w:val="0002685E"/>
    <w:rsid w:val="00027012"/>
    <w:rsid w:val="0003452A"/>
    <w:rsid w:val="00034AE4"/>
    <w:rsid w:val="0003744D"/>
    <w:rsid w:val="0004102E"/>
    <w:rsid w:val="00041577"/>
    <w:rsid w:val="00041AA8"/>
    <w:rsid w:val="0004229D"/>
    <w:rsid w:val="00050A81"/>
    <w:rsid w:val="00050DB1"/>
    <w:rsid w:val="00051B23"/>
    <w:rsid w:val="00056F55"/>
    <w:rsid w:val="00063F00"/>
    <w:rsid w:val="000655B0"/>
    <w:rsid w:val="0006778C"/>
    <w:rsid w:val="00070FE1"/>
    <w:rsid w:val="00071594"/>
    <w:rsid w:val="0007440B"/>
    <w:rsid w:val="00074B53"/>
    <w:rsid w:val="000822CC"/>
    <w:rsid w:val="000830E0"/>
    <w:rsid w:val="00083B7C"/>
    <w:rsid w:val="00083E52"/>
    <w:rsid w:val="000873D2"/>
    <w:rsid w:val="0009125F"/>
    <w:rsid w:val="00094DE2"/>
    <w:rsid w:val="0009654C"/>
    <w:rsid w:val="000972B3"/>
    <w:rsid w:val="00097B8D"/>
    <w:rsid w:val="000A01A9"/>
    <w:rsid w:val="000A08C4"/>
    <w:rsid w:val="000A1034"/>
    <w:rsid w:val="000A1122"/>
    <w:rsid w:val="000A54BF"/>
    <w:rsid w:val="000A60EE"/>
    <w:rsid w:val="000B0A96"/>
    <w:rsid w:val="000B68AF"/>
    <w:rsid w:val="000C2B79"/>
    <w:rsid w:val="000C35F7"/>
    <w:rsid w:val="000C5DF5"/>
    <w:rsid w:val="000C7BBE"/>
    <w:rsid w:val="000C7CED"/>
    <w:rsid w:val="000D499A"/>
    <w:rsid w:val="000D5CB6"/>
    <w:rsid w:val="000E179A"/>
    <w:rsid w:val="000E280A"/>
    <w:rsid w:val="000E7C67"/>
    <w:rsid w:val="00100DE9"/>
    <w:rsid w:val="00101109"/>
    <w:rsid w:val="00107020"/>
    <w:rsid w:val="00111540"/>
    <w:rsid w:val="0011262E"/>
    <w:rsid w:val="001139B3"/>
    <w:rsid w:val="0011437D"/>
    <w:rsid w:val="00115D53"/>
    <w:rsid w:val="00116AE2"/>
    <w:rsid w:val="00117345"/>
    <w:rsid w:val="00117BAB"/>
    <w:rsid w:val="0012176D"/>
    <w:rsid w:val="00122C85"/>
    <w:rsid w:val="00122E37"/>
    <w:rsid w:val="001237A9"/>
    <w:rsid w:val="00134EEE"/>
    <w:rsid w:val="001364EC"/>
    <w:rsid w:val="00136DF3"/>
    <w:rsid w:val="001416E6"/>
    <w:rsid w:val="00141C6E"/>
    <w:rsid w:val="00143C43"/>
    <w:rsid w:val="00147F3E"/>
    <w:rsid w:val="00150A45"/>
    <w:rsid w:val="00151011"/>
    <w:rsid w:val="001549B9"/>
    <w:rsid w:val="001550FC"/>
    <w:rsid w:val="00156309"/>
    <w:rsid w:val="001571DA"/>
    <w:rsid w:val="00157DAE"/>
    <w:rsid w:val="00164F89"/>
    <w:rsid w:val="001656EB"/>
    <w:rsid w:val="00167B9C"/>
    <w:rsid w:val="0017174C"/>
    <w:rsid w:val="00171F35"/>
    <w:rsid w:val="0017214B"/>
    <w:rsid w:val="00172911"/>
    <w:rsid w:val="00172A27"/>
    <w:rsid w:val="00174732"/>
    <w:rsid w:val="00175645"/>
    <w:rsid w:val="00175792"/>
    <w:rsid w:val="00181F94"/>
    <w:rsid w:val="00185688"/>
    <w:rsid w:val="001866C5"/>
    <w:rsid w:val="001869BD"/>
    <w:rsid w:val="00194180"/>
    <w:rsid w:val="0019625E"/>
    <w:rsid w:val="00197AF1"/>
    <w:rsid w:val="001A7933"/>
    <w:rsid w:val="001B1046"/>
    <w:rsid w:val="001B4720"/>
    <w:rsid w:val="001B4CCF"/>
    <w:rsid w:val="001B650C"/>
    <w:rsid w:val="001B76E1"/>
    <w:rsid w:val="001C3C30"/>
    <w:rsid w:val="001C4152"/>
    <w:rsid w:val="001C446D"/>
    <w:rsid w:val="001C5613"/>
    <w:rsid w:val="001C7161"/>
    <w:rsid w:val="001D0EAE"/>
    <w:rsid w:val="001D2726"/>
    <w:rsid w:val="001D3680"/>
    <w:rsid w:val="001D5CEB"/>
    <w:rsid w:val="001E0FCB"/>
    <w:rsid w:val="001E1C11"/>
    <w:rsid w:val="001E3440"/>
    <w:rsid w:val="001E4193"/>
    <w:rsid w:val="001E4983"/>
    <w:rsid w:val="001E4DD0"/>
    <w:rsid w:val="001E7674"/>
    <w:rsid w:val="001F0EF3"/>
    <w:rsid w:val="001F2133"/>
    <w:rsid w:val="001F3F50"/>
    <w:rsid w:val="001F6CE6"/>
    <w:rsid w:val="0020124D"/>
    <w:rsid w:val="002032F8"/>
    <w:rsid w:val="00203D23"/>
    <w:rsid w:val="00205D16"/>
    <w:rsid w:val="00205D9C"/>
    <w:rsid w:val="00205FE9"/>
    <w:rsid w:val="00207DB1"/>
    <w:rsid w:val="00210618"/>
    <w:rsid w:val="00212925"/>
    <w:rsid w:val="00214806"/>
    <w:rsid w:val="0021544F"/>
    <w:rsid w:val="002157D0"/>
    <w:rsid w:val="00220298"/>
    <w:rsid w:val="00220456"/>
    <w:rsid w:val="00220645"/>
    <w:rsid w:val="00220CA5"/>
    <w:rsid w:val="00220EDD"/>
    <w:rsid w:val="00221BE2"/>
    <w:rsid w:val="00224B59"/>
    <w:rsid w:val="00225A41"/>
    <w:rsid w:val="0022603B"/>
    <w:rsid w:val="002267C7"/>
    <w:rsid w:val="00227A75"/>
    <w:rsid w:val="00227D18"/>
    <w:rsid w:val="002306CA"/>
    <w:rsid w:val="002332C2"/>
    <w:rsid w:val="00235E23"/>
    <w:rsid w:val="002373EB"/>
    <w:rsid w:val="00241B31"/>
    <w:rsid w:val="0024346E"/>
    <w:rsid w:val="00245278"/>
    <w:rsid w:val="002474EC"/>
    <w:rsid w:val="002509E6"/>
    <w:rsid w:val="00250CC7"/>
    <w:rsid w:val="0025516B"/>
    <w:rsid w:val="00255E27"/>
    <w:rsid w:val="0025686C"/>
    <w:rsid w:val="00257DD3"/>
    <w:rsid w:val="00260EFE"/>
    <w:rsid w:val="00262274"/>
    <w:rsid w:val="0026339B"/>
    <w:rsid w:val="00264ECF"/>
    <w:rsid w:val="00265A82"/>
    <w:rsid w:val="0027183F"/>
    <w:rsid w:val="002801B8"/>
    <w:rsid w:val="00280F86"/>
    <w:rsid w:val="00284919"/>
    <w:rsid w:val="0028794A"/>
    <w:rsid w:val="0029115B"/>
    <w:rsid w:val="00291164"/>
    <w:rsid w:val="00291A4A"/>
    <w:rsid w:val="00293CC9"/>
    <w:rsid w:val="0029694E"/>
    <w:rsid w:val="00297722"/>
    <w:rsid w:val="002A33F4"/>
    <w:rsid w:val="002A3E4D"/>
    <w:rsid w:val="002A42A5"/>
    <w:rsid w:val="002A5D70"/>
    <w:rsid w:val="002B046F"/>
    <w:rsid w:val="002B3EB6"/>
    <w:rsid w:val="002B4391"/>
    <w:rsid w:val="002B68D2"/>
    <w:rsid w:val="002C7412"/>
    <w:rsid w:val="002D164D"/>
    <w:rsid w:val="002D37CA"/>
    <w:rsid w:val="002D5CA8"/>
    <w:rsid w:val="002D690B"/>
    <w:rsid w:val="002E2088"/>
    <w:rsid w:val="002E2885"/>
    <w:rsid w:val="002E3365"/>
    <w:rsid w:val="002E5279"/>
    <w:rsid w:val="002F3C6E"/>
    <w:rsid w:val="002F5232"/>
    <w:rsid w:val="002F640A"/>
    <w:rsid w:val="002F7455"/>
    <w:rsid w:val="00302681"/>
    <w:rsid w:val="00302C67"/>
    <w:rsid w:val="003031C2"/>
    <w:rsid w:val="0031081A"/>
    <w:rsid w:val="00311B0A"/>
    <w:rsid w:val="00314A05"/>
    <w:rsid w:val="00316C2F"/>
    <w:rsid w:val="003174FC"/>
    <w:rsid w:val="00320848"/>
    <w:rsid w:val="003228C5"/>
    <w:rsid w:val="00322D6D"/>
    <w:rsid w:val="00325B27"/>
    <w:rsid w:val="00325FD5"/>
    <w:rsid w:val="003262A1"/>
    <w:rsid w:val="003270BF"/>
    <w:rsid w:val="003311BD"/>
    <w:rsid w:val="0033330D"/>
    <w:rsid w:val="00333A23"/>
    <w:rsid w:val="0034107C"/>
    <w:rsid w:val="00346211"/>
    <w:rsid w:val="00347E3C"/>
    <w:rsid w:val="00350567"/>
    <w:rsid w:val="0035108A"/>
    <w:rsid w:val="00353D6D"/>
    <w:rsid w:val="00353E59"/>
    <w:rsid w:val="0036170D"/>
    <w:rsid w:val="003619FD"/>
    <w:rsid w:val="00361F15"/>
    <w:rsid w:val="00362166"/>
    <w:rsid w:val="00367D7E"/>
    <w:rsid w:val="00372600"/>
    <w:rsid w:val="003763A2"/>
    <w:rsid w:val="00377A6A"/>
    <w:rsid w:val="00383BB7"/>
    <w:rsid w:val="003846B2"/>
    <w:rsid w:val="00386F1F"/>
    <w:rsid w:val="00390297"/>
    <w:rsid w:val="003943D6"/>
    <w:rsid w:val="00395E09"/>
    <w:rsid w:val="00396CD2"/>
    <w:rsid w:val="003A2623"/>
    <w:rsid w:val="003A3230"/>
    <w:rsid w:val="003A7AAF"/>
    <w:rsid w:val="003A7ACE"/>
    <w:rsid w:val="003B3AD9"/>
    <w:rsid w:val="003B624E"/>
    <w:rsid w:val="003C3011"/>
    <w:rsid w:val="003C4098"/>
    <w:rsid w:val="003C4A94"/>
    <w:rsid w:val="003D2375"/>
    <w:rsid w:val="003D31B1"/>
    <w:rsid w:val="003D4685"/>
    <w:rsid w:val="003D730B"/>
    <w:rsid w:val="003E1806"/>
    <w:rsid w:val="003E2417"/>
    <w:rsid w:val="003E4465"/>
    <w:rsid w:val="003E762E"/>
    <w:rsid w:val="00404B64"/>
    <w:rsid w:val="00424CC2"/>
    <w:rsid w:val="004260BD"/>
    <w:rsid w:val="00426BD1"/>
    <w:rsid w:val="0044155E"/>
    <w:rsid w:val="00445637"/>
    <w:rsid w:val="0044706A"/>
    <w:rsid w:val="004501B9"/>
    <w:rsid w:val="004532B3"/>
    <w:rsid w:val="00454450"/>
    <w:rsid w:val="00460546"/>
    <w:rsid w:val="00464757"/>
    <w:rsid w:val="00465437"/>
    <w:rsid w:val="0046750C"/>
    <w:rsid w:val="00472A9F"/>
    <w:rsid w:val="00472CB8"/>
    <w:rsid w:val="00473E07"/>
    <w:rsid w:val="00474EC1"/>
    <w:rsid w:val="00481525"/>
    <w:rsid w:val="00481D66"/>
    <w:rsid w:val="004911A7"/>
    <w:rsid w:val="004926BC"/>
    <w:rsid w:val="00492EF9"/>
    <w:rsid w:val="004932DB"/>
    <w:rsid w:val="004A088F"/>
    <w:rsid w:val="004A4224"/>
    <w:rsid w:val="004A72DA"/>
    <w:rsid w:val="004B0A3E"/>
    <w:rsid w:val="004B1E45"/>
    <w:rsid w:val="004B46B8"/>
    <w:rsid w:val="004B4A14"/>
    <w:rsid w:val="004C26C2"/>
    <w:rsid w:val="004D22EF"/>
    <w:rsid w:val="004D2660"/>
    <w:rsid w:val="004D404A"/>
    <w:rsid w:val="004D5F05"/>
    <w:rsid w:val="004E0372"/>
    <w:rsid w:val="004E0667"/>
    <w:rsid w:val="004E14F1"/>
    <w:rsid w:val="004E58AD"/>
    <w:rsid w:val="004F111A"/>
    <w:rsid w:val="004F1E3F"/>
    <w:rsid w:val="004F3AC2"/>
    <w:rsid w:val="004F4C33"/>
    <w:rsid w:val="0050709E"/>
    <w:rsid w:val="005073BE"/>
    <w:rsid w:val="005101D7"/>
    <w:rsid w:val="0051351B"/>
    <w:rsid w:val="00515616"/>
    <w:rsid w:val="0052062E"/>
    <w:rsid w:val="00523D2E"/>
    <w:rsid w:val="0053142B"/>
    <w:rsid w:val="005326BA"/>
    <w:rsid w:val="00532C52"/>
    <w:rsid w:val="00533B19"/>
    <w:rsid w:val="0053491E"/>
    <w:rsid w:val="00537276"/>
    <w:rsid w:val="00542260"/>
    <w:rsid w:val="00542B4B"/>
    <w:rsid w:val="005463CB"/>
    <w:rsid w:val="00546502"/>
    <w:rsid w:val="00547E62"/>
    <w:rsid w:val="00550841"/>
    <w:rsid w:val="00553642"/>
    <w:rsid w:val="005575C1"/>
    <w:rsid w:val="00557EB1"/>
    <w:rsid w:val="0056088F"/>
    <w:rsid w:val="00561F3D"/>
    <w:rsid w:val="0056314F"/>
    <w:rsid w:val="00566FAE"/>
    <w:rsid w:val="005673EB"/>
    <w:rsid w:val="00570816"/>
    <w:rsid w:val="005738D5"/>
    <w:rsid w:val="00575E8D"/>
    <w:rsid w:val="00576461"/>
    <w:rsid w:val="00576C59"/>
    <w:rsid w:val="0058085E"/>
    <w:rsid w:val="00580E34"/>
    <w:rsid w:val="00581033"/>
    <w:rsid w:val="005810F1"/>
    <w:rsid w:val="00581C5C"/>
    <w:rsid w:val="005854D7"/>
    <w:rsid w:val="005859B0"/>
    <w:rsid w:val="005864C8"/>
    <w:rsid w:val="00587BCC"/>
    <w:rsid w:val="00592675"/>
    <w:rsid w:val="00592EAE"/>
    <w:rsid w:val="005941BF"/>
    <w:rsid w:val="00594B33"/>
    <w:rsid w:val="00594DAA"/>
    <w:rsid w:val="00595905"/>
    <w:rsid w:val="005A119C"/>
    <w:rsid w:val="005A15F3"/>
    <w:rsid w:val="005A1CD2"/>
    <w:rsid w:val="005A2982"/>
    <w:rsid w:val="005A4DDD"/>
    <w:rsid w:val="005A6D24"/>
    <w:rsid w:val="005B14EA"/>
    <w:rsid w:val="005B6EC0"/>
    <w:rsid w:val="005C23CE"/>
    <w:rsid w:val="005C2C9D"/>
    <w:rsid w:val="005C3270"/>
    <w:rsid w:val="005C7588"/>
    <w:rsid w:val="005D2077"/>
    <w:rsid w:val="005D2A92"/>
    <w:rsid w:val="005E0E77"/>
    <w:rsid w:val="005F2836"/>
    <w:rsid w:val="005F2CCD"/>
    <w:rsid w:val="005F3504"/>
    <w:rsid w:val="005F3597"/>
    <w:rsid w:val="005F5285"/>
    <w:rsid w:val="005F59A5"/>
    <w:rsid w:val="005F5D1B"/>
    <w:rsid w:val="005F7256"/>
    <w:rsid w:val="006005F4"/>
    <w:rsid w:val="006071D9"/>
    <w:rsid w:val="00607609"/>
    <w:rsid w:val="00610C4F"/>
    <w:rsid w:val="00613E0A"/>
    <w:rsid w:val="00620814"/>
    <w:rsid w:val="00620AAB"/>
    <w:rsid w:val="00620E07"/>
    <w:rsid w:val="00620E34"/>
    <w:rsid w:val="006211A6"/>
    <w:rsid w:val="006226CB"/>
    <w:rsid w:val="00622F9B"/>
    <w:rsid w:val="00626ACD"/>
    <w:rsid w:val="0062794C"/>
    <w:rsid w:val="0063237D"/>
    <w:rsid w:val="00633073"/>
    <w:rsid w:val="00635DF2"/>
    <w:rsid w:val="006363C7"/>
    <w:rsid w:val="00636B45"/>
    <w:rsid w:val="006376B8"/>
    <w:rsid w:val="00640689"/>
    <w:rsid w:val="0064251F"/>
    <w:rsid w:val="00643693"/>
    <w:rsid w:val="00644B45"/>
    <w:rsid w:val="006469BA"/>
    <w:rsid w:val="00646D62"/>
    <w:rsid w:val="006525D5"/>
    <w:rsid w:val="006532E9"/>
    <w:rsid w:val="00655252"/>
    <w:rsid w:val="006605F9"/>
    <w:rsid w:val="00660614"/>
    <w:rsid w:val="00661689"/>
    <w:rsid w:val="00663260"/>
    <w:rsid w:val="00664990"/>
    <w:rsid w:val="006660BA"/>
    <w:rsid w:val="006663C7"/>
    <w:rsid w:val="00671968"/>
    <w:rsid w:val="0067585A"/>
    <w:rsid w:val="006758AA"/>
    <w:rsid w:val="00683409"/>
    <w:rsid w:val="00683941"/>
    <w:rsid w:val="006846FC"/>
    <w:rsid w:val="006932AC"/>
    <w:rsid w:val="0069395F"/>
    <w:rsid w:val="0069506F"/>
    <w:rsid w:val="00695863"/>
    <w:rsid w:val="006974BE"/>
    <w:rsid w:val="0069770F"/>
    <w:rsid w:val="00697AEA"/>
    <w:rsid w:val="006A0145"/>
    <w:rsid w:val="006A04E5"/>
    <w:rsid w:val="006A0C80"/>
    <w:rsid w:val="006A2119"/>
    <w:rsid w:val="006A262E"/>
    <w:rsid w:val="006A41BA"/>
    <w:rsid w:val="006A4A5B"/>
    <w:rsid w:val="006A744C"/>
    <w:rsid w:val="006B10E4"/>
    <w:rsid w:val="006B33B0"/>
    <w:rsid w:val="006C3799"/>
    <w:rsid w:val="006C4F38"/>
    <w:rsid w:val="006C5CAF"/>
    <w:rsid w:val="006D0CCF"/>
    <w:rsid w:val="006D381E"/>
    <w:rsid w:val="006D5A55"/>
    <w:rsid w:val="006E3ECC"/>
    <w:rsid w:val="006E6817"/>
    <w:rsid w:val="006F2974"/>
    <w:rsid w:val="00702B45"/>
    <w:rsid w:val="00706A2B"/>
    <w:rsid w:val="00712033"/>
    <w:rsid w:val="0071448C"/>
    <w:rsid w:val="00720462"/>
    <w:rsid w:val="00721068"/>
    <w:rsid w:val="00727EDE"/>
    <w:rsid w:val="00731E5D"/>
    <w:rsid w:val="00736CDC"/>
    <w:rsid w:val="00740BF4"/>
    <w:rsid w:val="00745013"/>
    <w:rsid w:val="007472FB"/>
    <w:rsid w:val="007503B5"/>
    <w:rsid w:val="00755FE9"/>
    <w:rsid w:val="00756668"/>
    <w:rsid w:val="007568A3"/>
    <w:rsid w:val="00757313"/>
    <w:rsid w:val="0077043B"/>
    <w:rsid w:val="00770FC1"/>
    <w:rsid w:val="00783CE3"/>
    <w:rsid w:val="00784A03"/>
    <w:rsid w:val="00787037"/>
    <w:rsid w:val="00790C34"/>
    <w:rsid w:val="0079126F"/>
    <w:rsid w:val="007A262D"/>
    <w:rsid w:val="007B0569"/>
    <w:rsid w:val="007B1D22"/>
    <w:rsid w:val="007B61A7"/>
    <w:rsid w:val="007B6F15"/>
    <w:rsid w:val="007C02D6"/>
    <w:rsid w:val="007C15BF"/>
    <w:rsid w:val="007C1B20"/>
    <w:rsid w:val="007C4180"/>
    <w:rsid w:val="007D262B"/>
    <w:rsid w:val="007D3D9A"/>
    <w:rsid w:val="007D43DC"/>
    <w:rsid w:val="007D5F70"/>
    <w:rsid w:val="007D6527"/>
    <w:rsid w:val="007E075D"/>
    <w:rsid w:val="007E17E0"/>
    <w:rsid w:val="007E2502"/>
    <w:rsid w:val="007E48A7"/>
    <w:rsid w:val="007F493E"/>
    <w:rsid w:val="007F4DCE"/>
    <w:rsid w:val="007F5143"/>
    <w:rsid w:val="007F6EF8"/>
    <w:rsid w:val="007F73A5"/>
    <w:rsid w:val="007F7473"/>
    <w:rsid w:val="007F7919"/>
    <w:rsid w:val="00800094"/>
    <w:rsid w:val="00800336"/>
    <w:rsid w:val="0080359D"/>
    <w:rsid w:val="00813221"/>
    <w:rsid w:val="008138A1"/>
    <w:rsid w:val="00817895"/>
    <w:rsid w:val="00820314"/>
    <w:rsid w:val="00821597"/>
    <w:rsid w:val="008222CC"/>
    <w:rsid w:val="00823877"/>
    <w:rsid w:val="00824A80"/>
    <w:rsid w:val="00825A3F"/>
    <w:rsid w:val="008270F3"/>
    <w:rsid w:val="008326A3"/>
    <w:rsid w:val="00835295"/>
    <w:rsid w:val="008357B8"/>
    <w:rsid w:val="00837292"/>
    <w:rsid w:val="008430CC"/>
    <w:rsid w:val="00846183"/>
    <w:rsid w:val="008464E6"/>
    <w:rsid w:val="00851BAB"/>
    <w:rsid w:val="00855535"/>
    <w:rsid w:val="00855734"/>
    <w:rsid w:val="008568D3"/>
    <w:rsid w:val="008649A2"/>
    <w:rsid w:val="00864A83"/>
    <w:rsid w:val="00864FBA"/>
    <w:rsid w:val="0086606B"/>
    <w:rsid w:val="0086778F"/>
    <w:rsid w:val="00872039"/>
    <w:rsid w:val="008726CD"/>
    <w:rsid w:val="00873DEC"/>
    <w:rsid w:val="008745BF"/>
    <w:rsid w:val="008755E6"/>
    <w:rsid w:val="00877FAF"/>
    <w:rsid w:val="008802BD"/>
    <w:rsid w:val="00880598"/>
    <w:rsid w:val="00881DF5"/>
    <w:rsid w:val="00881E9D"/>
    <w:rsid w:val="00882B80"/>
    <w:rsid w:val="008868CA"/>
    <w:rsid w:val="00886ED5"/>
    <w:rsid w:val="00887637"/>
    <w:rsid w:val="008923C9"/>
    <w:rsid w:val="00893279"/>
    <w:rsid w:val="008935B2"/>
    <w:rsid w:val="0089458A"/>
    <w:rsid w:val="00894F8D"/>
    <w:rsid w:val="00896810"/>
    <w:rsid w:val="00896CB4"/>
    <w:rsid w:val="00896FD2"/>
    <w:rsid w:val="00897443"/>
    <w:rsid w:val="008A0AEC"/>
    <w:rsid w:val="008A24E7"/>
    <w:rsid w:val="008A257B"/>
    <w:rsid w:val="008A2AD7"/>
    <w:rsid w:val="008A461D"/>
    <w:rsid w:val="008A6220"/>
    <w:rsid w:val="008A642F"/>
    <w:rsid w:val="008A6DB3"/>
    <w:rsid w:val="008A7E77"/>
    <w:rsid w:val="008B17FB"/>
    <w:rsid w:val="008B1F4C"/>
    <w:rsid w:val="008B7FEF"/>
    <w:rsid w:val="008C0194"/>
    <w:rsid w:val="008C07AE"/>
    <w:rsid w:val="008C0811"/>
    <w:rsid w:val="008C5A4B"/>
    <w:rsid w:val="008C6D88"/>
    <w:rsid w:val="008C7C8A"/>
    <w:rsid w:val="008D2147"/>
    <w:rsid w:val="008D46CF"/>
    <w:rsid w:val="008D5A72"/>
    <w:rsid w:val="008D68A8"/>
    <w:rsid w:val="008D6A02"/>
    <w:rsid w:val="008D785A"/>
    <w:rsid w:val="008E184E"/>
    <w:rsid w:val="008E1E5D"/>
    <w:rsid w:val="008E201E"/>
    <w:rsid w:val="008E56B7"/>
    <w:rsid w:val="008E60D4"/>
    <w:rsid w:val="008E7C30"/>
    <w:rsid w:val="008F0089"/>
    <w:rsid w:val="008F18A8"/>
    <w:rsid w:val="008F4AD8"/>
    <w:rsid w:val="008F4C1C"/>
    <w:rsid w:val="00900078"/>
    <w:rsid w:val="009045BD"/>
    <w:rsid w:val="009068A5"/>
    <w:rsid w:val="00910F23"/>
    <w:rsid w:val="0091196B"/>
    <w:rsid w:val="0091461F"/>
    <w:rsid w:val="00915746"/>
    <w:rsid w:val="00920CA3"/>
    <w:rsid w:val="0092417F"/>
    <w:rsid w:val="0093314D"/>
    <w:rsid w:val="00934767"/>
    <w:rsid w:val="009349F5"/>
    <w:rsid w:val="00942E65"/>
    <w:rsid w:val="00943519"/>
    <w:rsid w:val="009456E0"/>
    <w:rsid w:val="00945A7F"/>
    <w:rsid w:val="0095264E"/>
    <w:rsid w:val="0095504E"/>
    <w:rsid w:val="0096243B"/>
    <w:rsid w:val="00963133"/>
    <w:rsid w:val="009647D7"/>
    <w:rsid w:val="00964C4F"/>
    <w:rsid w:val="009657F1"/>
    <w:rsid w:val="00970E40"/>
    <w:rsid w:val="00972D32"/>
    <w:rsid w:val="00973571"/>
    <w:rsid w:val="009773CF"/>
    <w:rsid w:val="00980705"/>
    <w:rsid w:val="0098463C"/>
    <w:rsid w:val="00986835"/>
    <w:rsid w:val="00987F81"/>
    <w:rsid w:val="00991DC1"/>
    <w:rsid w:val="009A24E8"/>
    <w:rsid w:val="009A2776"/>
    <w:rsid w:val="009A379F"/>
    <w:rsid w:val="009A5184"/>
    <w:rsid w:val="009A5D21"/>
    <w:rsid w:val="009A768B"/>
    <w:rsid w:val="009A79E6"/>
    <w:rsid w:val="009B148A"/>
    <w:rsid w:val="009B439E"/>
    <w:rsid w:val="009B4D4F"/>
    <w:rsid w:val="009B6AB6"/>
    <w:rsid w:val="009C1974"/>
    <w:rsid w:val="009C27C9"/>
    <w:rsid w:val="009C75E8"/>
    <w:rsid w:val="009D0F4E"/>
    <w:rsid w:val="009D138D"/>
    <w:rsid w:val="009D2A94"/>
    <w:rsid w:val="009D48D6"/>
    <w:rsid w:val="009D6F65"/>
    <w:rsid w:val="009D71B2"/>
    <w:rsid w:val="009D7283"/>
    <w:rsid w:val="009D78CF"/>
    <w:rsid w:val="009E1D20"/>
    <w:rsid w:val="009E590C"/>
    <w:rsid w:val="009E7860"/>
    <w:rsid w:val="009F06A8"/>
    <w:rsid w:val="009F5246"/>
    <w:rsid w:val="009F5904"/>
    <w:rsid w:val="009F6492"/>
    <w:rsid w:val="009F71CD"/>
    <w:rsid w:val="00A01249"/>
    <w:rsid w:val="00A0325E"/>
    <w:rsid w:val="00A1083B"/>
    <w:rsid w:val="00A205B7"/>
    <w:rsid w:val="00A22ED4"/>
    <w:rsid w:val="00A2430C"/>
    <w:rsid w:val="00A24E90"/>
    <w:rsid w:val="00A26967"/>
    <w:rsid w:val="00A272DF"/>
    <w:rsid w:val="00A27ADD"/>
    <w:rsid w:val="00A30631"/>
    <w:rsid w:val="00A30816"/>
    <w:rsid w:val="00A316D4"/>
    <w:rsid w:val="00A31FE2"/>
    <w:rsid w:val="00A356CA"/>
    <w:rsid w:val="00A41825"/>
    <w:rsid w:val="00A435D3"/>
    <w:rsid w:val="00A44BCB"/>
    <w:rsid w:val="00A454CC"/>
    <w:rsid w:val="00A46995"/>
    <w:rsid w:val="00A47BB7"/>
    <w:rsid w:val="00A52F49"/>
    <w:rsid w:val="00A52F57"/>
    <w:rsid w:val="00A545AC"/>
    <w:rsid w:val="00A561D2"/>
    <w:rsid w:val="00A711EE"/>
    <w:rsid w:val="00A7245B"/>
    <w:rsid w:val="00A80D31"/>
    <w:rsid w:val="00A8247B"/>
    <w:rsid w:val="00A84F38"/>
    <w:rsid w:val="00A90B3A"/>
    <w:rsid w:val="00AA0022"/>
    <w:rsid w:val="00AA156F"/>
    <w:rsid w:val="00AA453D"/>
    <w:rsid w:val="00AA6C22"/>
    <w:rsid w:val="00AB2643"/>
    <w:rsid w:val="00AB48DE"/>
    <w:rsid w:val="00AB51A1"/>
    <w:rsid w:val="00AB620A"/>
    <w:rsid w:val="00AB6E1D"/>
    <w:rsid w:val="00AB7662"/>
    <w:rsid w:val="00AB7713"/>
    <w:rsid w:val="00AC1542"/>
    <w:rsid w:val="00AD1D49"/>
    <w:rsid w:val="00AD39E3"/>
    <w:rsid w:val="00AE11E1"/>
    <w:rsid w:val="00AE3E8C"/>
    <w:rsid w:val="00AE58DD"/>
    <w:rsid w:val="00AF1272"/>
    <w:rsid w:val="00AF3F1D"/>
    <w:rsid w:val="00AF49DB"/>
    <w:rsid w:val="00AF4CD1"/>
    <w:rsid w:val="00AF5ACE"/>
    <w:rsid w:val="00B03713"/>
    <w:rsid w:val="00B0448A"/>
    <w:rsid w:val="00B06DC5"/>
    <w:rsid w:val="00B11668"/>
    <w:rsid w:val="00B11DF5"/>
    <w:rsid w:val="00B11E65"/>
    <w:rsid w:val="00B14E6A"/>
    <w:rsid w:val="00B14E9D"/>
    <w:rsid w:val="00B15D86"/>
    <w:rsid w:val="00B17B10"/>
    <w:rsid w:val="00B247CD"/>
    <w:rsid w:val="00B25EC9"/>
    <w:rsid w:val="00B32B99"/>
    <w:rsid w:val="00B33956"/>
    <w:rsid w:val="00B40794"/>
    <w:rsid w:val="00B416CA"/>
    <w:rsid w:val="00B46321"/>
    <w:rsid w:val="00B4653B"/>
    <w:rsid w:val="00B47E9B"/>
    <w:rsid w:val="00B50801"/>
    <w:rsid w:val="00B50E78"/>
    <w:rsid w:val="00B50FA0"/>
    <w:rsid w:val="00B52782"/>
    <w:rsid w:val="00B55F72"/>
    <w:rsid w:val="00B55F9E"/>
    <w:rsid w:val="00B56933"/>
    <w:rsid w:val="00B6285E"/>
    <w:rsid w:val="00B640D4"/>
    <w:rsid w:val="00B67D63"/>
    <w:rsid w:val="00B7097F"/>
    <w:rsid w:val="00B75A2F"/>
    <w:rsid w:val="00B77CE6"/>
    <w:rsid w:val="00B919E9"/>
    <w:rsid w:val="00B93781"/>
    <w:rsid w:val="00B93CCD"/>
    <w:rsid w:val="00B955DB"/>
    <w:rsid w:val="00B9607C"/>
    <w:rsid w:val="00B9745A"/>
    <w:rsid w:val="00B97F9E"/>
    <w:rsid w:val="00BA14C6"/>
    <w:rsid w:val="00BA2720"/>
    <w:rsid w:val="00BA4E2B"/>
    <w:rsid w:val="00BA75E9"/>
    <w:rsid w:val="00BB1155"/>
    <w:rsid w:val="00BB2900"/>
    <w:rsid w:val="00BB5FC3"/>
    <w:rsid w:val="00BB66CA"/>
    <w:rsid w:val="00BB7914"/>
    <w:rsid w:val="00BC045F"/>
    <w:rsid w:val="00BC05ED"/>
    <w:rsid w:val="00BC2A9A"/>
    <w:rsid w:val="00BC6CC3"/>
    <w:rsid w:val="00BC73F2"/>
    <w:rsid w:val="00BD0090"/>
    <w:rsid w:val="00BD754E"/>
    <w:rsid w:val="00BE2F7D"/>
    <w:rsid w:val="00BE350E"/>
    <w:rsid w:val="00BE53E1"/>
    <w:rsid w:val="00BF1530"/>
    <w:rsid w:val="00BF1684"/>
    <w:rsid w:val="00BF5D34"/>
    <w:rsid w:val="00C00688"/>
    <w:rsid w:val="00C04B91"/>
    <w:rsid w:val="00C1058A"/>
    <w:rsid w:val="00C11484"/>
    <w:rsid w:val="00C12E30"/>
    <w:rsid w:val="00C1414C"/>
    <w:rsid w:val="00C151B1"/>
    <w:rsid w:val="00C16ACE"/>
    <w:rsid w:val="00C20977"/>
    <w:rsid w:val="00C24284"/>
    <w:rsid w:val="00C2536C"/>
    <w:rsid w:val="00C25861"/>
    <w:rsid w:val="00C26C33"/>
    <w:rsid w:val="00C370CD"/>
    <w:rsid w:val="00C429AA"/>
    <w:rsid w:val="00C42E71"/>
    <w:rsid w:val="00C43CF3"/>
    <w:rsid w:val="00C44E46"/>
    <w:rsid w:val="00C45F1D"/>
    <w:rsid w:val="00C527F3"/>
    <w:rsid w:val="00C53DC6"/>
    <w:rsid w:val="00C56CC3"/>
    <w:rsid w:val="00C571DA"/>
    <w:rsid w:val="00C57C55"/>
    <w:rsid w:val="00C61905"/>
    <w:rsid w:val="00C6265F"/>
    <w:rsid w:val="00C63665"/>
    <w:rsid w:val="00C636F4"/>
    <w:rsid w:val="00C67E50"/>
    <w:rsid w:val="00C70492"/>
    <w:rsid w:val="00C7182D"/>
    <w:rsid w:val="00C7209E"/>
    <w:rsid w:val="00C733C7"/>
    <w:rsid w:val="00C75D31"/>
    <w:rsid w:val="00C774CA"/>
    <w:rsid w:val="00C80C55"/>
    <w:rsid w:val="00C82237"/>
    <w:rsid w:val="00C917CD"/>
    <w:rsid w:val="00C9490B"/>
    <w:rsid w:val="00C96873"/>
    <w:rsid w:val="00C970D5"/>
    <w:rsid w:val="00C97142"/>
    <w:rsid w:val="00CA0AF1"/>
    <w:rsid w:val="00CA1373"/>
    <w:rsid w:val="00CA2B5D"/>
    <w:rsid w:val="00CA3D2B"/>
    <w:rsid w:val="00CA6229"/>
    <w:rsid w:val="00CB20D0"/>
    <w:rsid w:val="00CB2197"/>
    <w:rsid w:val="00CB2984"/>
    <w:rsid w:val="00CB6BD2"/>
    <w:rsid w:val="00CB7EFF"/>
    <w:rsid w:val="00CC4DE1"/>
    <w:rsid w:val="00CD1033"/>
    <w:rsid w:val="00CE1C71"/>
    <w:rsid w:val="00CE508A"/>
    <w:rsid w:val="00CE753A"/>
    <w:rsid w:val="00CF3009"/>
    <w:rsid w:val="00CF4A07"/>
    <w:rsid w:val="00CF5AA2"/>
    <w:rsid w:val="00CF70B0"/>
    <w:rsid w:val="00CF7BF1"/>
    <w:rsid w:val="00D01104"/>
    <w:rsid w:val="00D0291F"/>
    <w:rsid w:val="00D047AC"/>
    <w:rsid w:val="00D109F5"/>
    <w:rsid w:val="00D110B0"/>
    <w:rsid w:val="00D1144B"/>
    <w:rsid w:val="00D1246C"/>
    <w:rsid w:val="00D1461E"/>
    <w:rsid w:val="00D17776"/>
    <w:rsid w:val="00D23009"/>
    <w:rsid w:val="00D23BB8"/>
    <w:rsid w:val="00D252F4"/>
    <w:rsid w:val="00D25D84"/>
    <w:rsid w:val="00D318AA"/>
    <w:rsid w:val="00D36DD1"/>
    <w:rsid w:val="00D415D7"/>
    <w:rsid w:val="00D43E30"/>
    <w:rsid w:val="00D453BB"/>
    <w:rsid w:val="00D50332"/>
    <w:rsid w:val="00D52482"/>
    <w:rsid w:val="00D526AC"/>
    <w:rsid w:val="00D52F6A"/>
    <w:rsid w:val="00D55BFE"/>
    <w:rsid w:val="00D5649A"/>
    <w:rsid w:val="00D572C1"/>
    <w:rsid w:val="00D60DE3"/>
    <w:rsid w:val="00D61BD9"/>
    <w:rsid w:val="00D65EA3"/>
    <w:rsid w:val="00D66E3C"/>
    <w:rsid w:val="00D71167"/>
    <w:rsid w:val="00D71FFC"/>
    <w:rsid w:val="00D72D98"/>
    <w:rsid w:val="00D73197"/>
    <w:rsid w:val="00D7481A"/>
    <w:rsid w:val="00D74B06"/>
    <w:rsid w:val="00D76898"/>
    <w:rsid w:val="00D76966"/>
    <w:rsid w:val="00D771E1"/>
    <w:rsid w:val="00D7756F"/>
    <w:rsid w:val="00D80B74"/>
    <w:rsid w:val="00D81366"/>
    <w:rsid w:val="00D84938"/>
    <w:rsid w:val="00D85A6D"/>
    <w:rsid w:val="00D86FAB"/>
    <w:rsid w:val="00D9019F"/>
    <w:rsid w:val="00DA2932"/>
    <w:rsid w:val="00DA3F1F"/>
    <w:rsid w:val="00DB0019"/>
    <w:rsid w:val="00DB2383"/>
    <w:rsid w:val="00DB3358"/>
    <w:rsid w:val="00DB3FC0"/>
    <w:rsid w:val="00DB7CCD"/>
    <w:rsid w:val="00DB7ED0"/>
    <w:rsid w:val="00DC1898"/>
    <w:rsid w:val="00DC4D21"/>
    <w:rsid w:val="00DC6E01"/>
    <w:rsid w:val="00DC7D21"/>
    <w:rsid w:val="00DD3283"/>
    <w:rsid w:val="00DD69BB"/>
    <w:rsid w:val="00DD74F7"/>
    <w:rsid w:val="00DE2168"/>
    <w:rsid w:val="00DE2ACA"/>
    <w:rsid w:val="00DE450C"/>
    <w:rsid w:val="00DE5300"/>
    <w:rsid w:val="00DF0DC7"/>
    <w:rsid w:val="00DF15E6"/>
    <w:rsid w:val="00DF1E40"/>
    <w:rsid w:val="00DF41A4"/>
    <w:rsid w:val="00DF5636"/>
    <w:rsid w:val="00DF63F3"/>
    <w:rsid w:val="00DF7BD0"/>
    <w:rsid w:val="00E036F1"/>
    <w:rsid w:val="00E062CD"/>
    <w:rsid w:val="00E07A8C"/>
    <w:rsid w:val="00E10640"/>
    <w:rsid w:val="00E12BD5"/>
    <w:rsid w:val="00E169FA"/>
    <w:rsid w:val="00E23263"/>
    <w:rsid w:val="00E274A7"/>
    <w:rsid w:val="00E32614"/>
    <w:rsid w:val="00E3463B"/>
    <w:rsid w:val="00E34C99"/>
    <w:rsid w:val="00E405F4"/>
    <w:rsid w:val="00E5043C"/>
    <w:rsid w:val="00E5076A"/>
    <w:rsid w:val="00E53B5E"/>
    <w:rsid w:val="00E55CC6"/>
    <w:rsid w:val="00E562F9"/>
    <w:rsid w:val="00E6145A"/>
    <w:rsid w:val="00E633AF"/>
    <w:rsid w:val="00E725B0"/>
    <w:rsid w:val="00E740CB"/>
    <w:rsid w:val="00E744FB"/>
    <w:rsid w:val="00E75011"/>
    <w:rsid w:val="00E76E26"/>
    <w:rsid w:val="00E76F92"/>
    <w:rsid w:val="00E80D31"/>
    <w:rsid w:val="00E81995"/>
    <w:rsid w:val="00E83A42"/>
    <w:rsid w:val="00E8490D"/>
    <w:rsid w:val="00E85D89"/>
    <w:rsid w:val="00E86C29"/>
    <w:rsid w:val="00E873A9"/>
    <w:rsid w:val="00E91DB2"/>
    <w:rsid w:val="00E9368E"/>
    <w:rsid w:val="00E9550A"/>
    <w:rsid w:val="00E97E30"/>
    <w:rsid w:val="00EA0F89"/>
    <w:rsid w:val="00EA106C"/>
    <w:rsid w:val="00EA32A1"/>
    <w:rsid w:val="00EA3C49"/>
    <w:rsid w:val="00EA4601"/>
    <w:rsid w:val="00EA7A84"/>
    <w:rsid w:val="00EA7F65"/>
    <w:rsid w:val="00EB3253"/>
    <w:rsid w:val="00EB623A"/>
    <w:rsid w:val="00EB62BB"/>
    <w:rsid w:val="00EB641C"/>
    <w:rsid w:val="00EB7109"/>
    <w:rsid w:val="00EC1C53"/>
    <w:rsid w:val="00EC257B"/>
    <w:rsid w:val="00EC372A"/>
    <w:rsid w:val="00EC46F2"/>
    <w:rsid w:val="00EC5AE6"/>
    <w:rsid w:val="00EC7A3C"/>
    <w:rsid w:val="00ED004C"/>
    <w:rsid w:val="00ED2349"/>
    <w:rsid w:val="00ED3420"/>
    <w:rsid w:val="00ED39EE"/>
    <w:rsid w:val="00ED6BEA"/>
    <w:rsid w:val="00ED7448"/>
    <w:rsid w:val="00ED7E6C"/>
    <w:rsid w:val="00EE0D96"/>
    <w:rsid w:val="00EE498F"/>
    <w:rsid w:val="00EF2857"/>
    <w:rsid w:val="00EF49B3"/>
    <w:rsid w:val="00EF6309"/>
    <w:rsid w:val="00EF7971"/>
    <w:rsid w:val="00EF7B6B"/>
    <w:rsid w:val="00F03528"/>
    <w:rsid w:val="00F03DBE"/>
    <w:rsid w:val="00F04177"/>
    <w:rsid w:val="00F0469B"/>
    <w:rsid w:val="00F073B4"/>
    <w:rsid w:val="00F11AB4"/>
    <w:rsid w:val="00F15B28"/>
    <w:rsid w:val="00F219AC"/>
    <w:rsid w:val="00F22CAD"/>
    <w:rsid w:val="00F27438"/>
    <w:rsid w:val="00F31554"/>
    <w:rsid w:val="00F31F9F"/>
    <w:rsid w:val="00F32C25"/>
    <w:rsid w:val="00F33DDD"/>
    <w:rsid w:val="00F359E3"/>
    <w:rsid w:val="00F37630"/>
    <w:rsid w:val="00F37F3E"/>
    <w:rsid w:val="00F417F7"/>
    <w:rsid w:val="00F43524"/>
    <w:rsid w:val="00F4498C"/>
    <w:rsid w:val="00F44DBA"/>
    <w:rsid w:val="00F47B94"/>
    <w:rsid w:val="00F538A4"/>
    <w:rsid w:val="00F54F51"/>
    <w:rsid w:val="00F56AFD"/>
    <w:rsid w:val="00F62EEC"/>
    <w:rsid w:val="00F632EE"/>
    <w:rsid w:val="00F63EEB"/>
    <w:rsid w:val="00F64073"/>
    <w:rsid w:val="00F641E2"/>
    <w:rsid w:val="00F65144"/>
    <w:rsid w:val="00F654F6"/>
    <w:rsid w:val="00F700C4"/>
    <w:rsid w:val="00F7027F"/>
    <w:rsid w:val="00F7062E"/>
    <w:rsid w:val="00F71B04"/>
    <w:rsid w:val="00F71B8F"/>
    <w:rsid w:val="00F73266"/>
    <w:rsid w:val="00F746B5"/>
    <w:rsid w:val="00F80321"/>
    <w:rsid w:val="00F837A8"/>
    <w:rsid w:val="00F838A6"/>
    <w:rsid w:val="00F84F2E"/>
    <w:rsid w:val="00F859BA"/>
    <w:rsid w:val="00F901AD"/>
    <w:rsid w:val="00F932EA"/>
    <w:rsid w:val="00F95122"/>
    <w:rsid w:val="00F95EFA"/>
    <w:rsid w:val="00F977C6"/>
    <w:rsid w:val="00F97CAA"/>
    <w:rsid w:val="00F97EF6"/>
    <w:rsid w:val="00FA3095"/>
    <w:rsid w:val="00FA3C2A"/>
    <w:rsid w:val="00FB144F"/>
    <w:rsid w:val="00FB3198"/>
    <w:rsid w:val="00FB5863"/>
    <w:rsid w:val="00FB5C32"/>
    <w:rsid w:val="00FB6D4C"/>
    <w:rsid w:val="00FC1EB7"/>
    <w:rsid w:val="00FC6509"/>
    <w:rsid w:val="00FD02E4"/>
    <w:rsid w:val="00FD38D7"/>
    <w:rsid w:val="00FD443D"/>
    <w:rsid w:val="00FD5CE6"/>
    <w:rsid w:val="00FE4BEF"/>
    <w:rsid w:val="00FE5C08"/>
    <w:rsid w:val="00FE7941"/>
    <w:rsid w:val="00FF1315"/>
    <w:rsid w:val="00FF56DB"/>
    <w:rsid w:val="00FF5B95"/>
    <w:rsid w:val="00FF5DB2"/>
    <w:rsid w:val="00FF6761"/>
    <w:rsid w:val="030E114E"/>
    <w:rsid w:val="069D0EBC"/>
    <w:rsid w:val="084A4EC4"/>
    <w:rsid w:val="0FAD5E55"/>
    <w:rsid w:val="19E66FFD"/>
    <w:rsid w:val="234F2D55"/>
    <w:rsid w:val="26C90795"/>
    <w:rsid w:val="2E13466F"/>
    <w:rsid w:val="2E5B460A"/>
    <w:rsid w:val="2FA326B3"/>
    <w:rsid w:val="36857078"/>
    <w:rsid w:val="3F425EF0"/>
    <w:rsid w:val="3FAF4FA8"/>
    <w:rsid w:val="407108EA"/>
    <w:rsid w:val="534366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8"/>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character" w:default="1" w:styleId="39">
    <w:name w:val="Default Paragraph Font"/>
    <w:unhideWhenUsed/>
    <w:uiPriority w:val="1"/>
  </w:style>
  <w:style w:type="table" w:default="1" w:styleId="37">
    <w:name w:val="Normal Table"/>
    <w:unhideWhenUsed/>
    <w:uiPriority w:val="99"/>
    <w:tblPr>
      <w:tblStyle w:val="37"/>
      <w:tblCellMar>
        <w:top w:w="0" w:type="dxa"/>
        <w:left w:w="108" w:type="dxa"/>
        <w:bottom w:w="0" w:type="dxa"/>
        <w:right w:w="108" w:type="dxa"/>
      </w:tblCellMar>
    </w:tblPr>
  </w:style>
  <w:style w:type="paragraph" w:styleId="5">
    <w:name w:val="Normal Indent"/>
    <w:basedOn w:val="1"/>
    <w:link w:val="50"/>
    <w:uiPriority w:val="0"/>
    <w:pPr>
      <w:ind w:firstLine="420" w:firstLineChars="200"/>
    </w:pPr>
  </w:style>
  <w:style w:type="paragraph" w:styleId="7">
    <w:name w:val="toc 7"/>
    <w:basedOn w:val="1"/>
    <w:next w:val="1"/>
    <w:uiPriority w:val="0"/>
    <w:pPr>
      <w:ind w:left="1260"/>
      <w:jc w:val="left"/>
    </w:pPr>
    <w:rPr>
      <w:sz w:val="18"/>
      <w:szCs w:val="18"/>
    </w:rPr>
  </w:style>
  <w:style w:type="paragraph" w:styleId="8">
    <w:name w:val="List Number"/>
    <w:basedOn w:val="1"/>
    <w:uiPriority w:val="0"/>
    <w:pPr>
      <w:widowControl/>
      <w:tabs>
        <w:tab w:val="left" w:pos="454"/>
        <w:tab w:val="left" w:pos="720"/>
      </w:tabs>
      <w:spacing w:afterLines="50"/>
      <w:ind w:left="454" w:hanging="284"/>
      <w:jc w:val="left"/>
    </w:pPr>
    <w:rPr>
      <w:kern w:val="0"/>
      <w:sz w:val="24"/>
      <w:szCs w:val="20"/>
    </w:rPr>
  </w:style>
  <w:style w:type="paragraph" w:styleId="9">
    <w:name w:val="Document Map"/>
    <w:basedOn w:val="1"/>
    <w:uiPriority w:val="0"/>
    <w:pPr>
      <w:shd w:val="clear" w:color="auto" w:fill="000080"/>
    </w:pPr>
  </w:style>
  <w:style w:type="paragraph" w:styleId="10">
    <w:name w:val="annotation text"/>
    <w:basedOn w:val="1"/>
    <w:link w:val="55"/>
    <w:uiPriority w:val="0"/>
    <w:pPr>
      <w:ind w:firstLine="425"/>
      <w:jc w:val="left"/>
    </w:pPr>
    <w:rPr>
      <w:rFonts w:ascii="黑体" w:eastAsia="黑体"/>
      <w:szCs w:val="20"/>
    </w:rPr>
  </w:style>
  <w:style w:type="paragraph" w:styleId="11">
    <w:name w:val="Body Text 3"/>
    <w:basedOn w:val="1"/>
    <w:uiPriority w:val="0"/>
    <w:pPr>
      <w:spacing w:after="120"/>
    </w:pPr>
    <w:rPr>
      <w:sz w:val="16"/>
      <w:szCs w:val="16"/>
    </w:rPr>
  </w:style>
  <w:style w:type="paragraph" w:styleId="12">
    <w:name w:val="Body Text"/>
    <w:basedOn w:val="1"/>
    <w:uiPriority w:val="0"/>
    <w:pPr>
      <w:spacing w:after="120"/>
    </w:pPr>
  </w:style>
  <w:style w:type="paragraph" w:styleId="13">
    <w:name w:val="Body Text Indent"/>
    <w:basedOn w:val="1"/>
    <w:link w:val="57"/>
    <w:qFormat/>
    <w:uiPriority w:val="0"/>
    <w:pPr>
      <w:spacing w:after="120"/>
      <w:ind w:left="420" w:leftChars="200"/>
    </w:pPr>
  </w:style>
  <w:style w:type="paragraph" w:styleId="14">
    <w:name w:val="List 2"/>
    <w:basedOn w:val="1"/>
    <w:uiPriority w:val="0"/>
    <w:pPr>
      <w:ind w:left="100" w:leftChars="200" w:hanging="200" w:hangingChars="200"/>
    </w:pPr>
  </w:style>
  <w:style w:type="paragraph" w:styleId="15">
    <w:name w:val="Block Text"/>
    <w:basedOn w:val="1"/>
    <w:uiPriority w:val="0"/>
    <w:pPr>
      <w:spacing w:line="340" w:lineRule="exact"/>
      <w:ind w:left="850" w:leftChars="405" w:right="16"/>
    </w:pPr>
    <w:rPr>
      <w:rFonts w:ascii="宋体"/>
      <w:spacing w:val="20"/>
    </w:rPr>
  </w:style>
  <w:style w:type="paragraph" w:styleId="16">
    <w:name w:val="toc 5"/>
    <w:basedOn w:val="1"/>
    <w:next w:val="1"/>
    <w:uiPriority w:val="0"/>
    <w:pPr>
      <w:ind w:left="840"/>
      <w:jc w:val="left"/>
    </w:pPr>
    <w:rPr>
      <w:sz w:val="18"/>
      <w:szCs w:val="18"/>
    </w:rPr>
  </w:style>
  <w:style w:type="paragraph" w:styleId="17">
    <w:name w:val="toc 3"/>
    <w:basedOn w:val="1"/>
    <w:next w:val="1"/>
    <w:uiPriority w:val="0"/>
    <w:pPr>
      <w:ind w:left="420"/>
      <w:jc w:val="left"/>
    </w:pPr>
    <w:rPr>
      <w:i/>
      <w:iCs/>
      <w:sz w:val="20"/>
      <w:szCs w:val="20"/>
    </w:rPr>
  </w:style>
  <w:style w:type="paragraph" w:styleId="18">
    <w:name w:val="Plain Text"/>
    <w:basedOn w:val="1"/>
    <w:link w:val="54"/>
    <w:uiPriority w:val="0"/>
    <w:rPr>
      <w:rFonts w:ascii="宋体" w:hAnsi="Courier New"/>
      <w:szCs w:val="20"/>
    </w:rPr>
  </w:style>
  <w:style w:type="paragraph" w:styleId="19">
    <w:name w:val="toc 8"/>
    <w:basedOn w:val="1"/>
    <w:next w:val="1"/>
    <w:uiPriority w:val="0"/>
    <w:pPr>
      <w:ind w:left="1470"/>
      <w:jc w:val="left"/>
    </w:pPr>
    <w:rPr>
      <w:sz w:val="18"/>
      <w:szCs w:val="18"/>
    </w:rPr>
  </w:style>
  <w:style w:type="paragraph" w:styleId="20">
    <w:name w:val="Date"/>
    <w:basedOn w:val="1"/>
    <w:next w:val="1"/>
    <w:uiPriority w:val="0"/>
    <w:pPr>
      <w:ind w:left="100"/>
    </w:pPr>
    <w:rPr>
      <w:sz w:val="28"/>
      <w:szCs w:val="20"/>
    </w:rPr>
  </w:style>
  <w:style w:type="paragraph" w:styleId="21">
    <w:name w:val="Body Text Indent 2"/>
    <w:basedOn w:val="1"/>
    <w:uiPriority w:val="0"/>
    <w:pPr>
      <w:spacing w:line="360" w:lineRule="auto"/>
      <w:ind w:firstLine="482" w:firstLineChars="200"/>
      <w:jc w:val="left"/>
    </w:pPr>
    <w:rPr>
      <w:rFonts w:ascii="仿宋_GB2312" w:hAnsi="宋体" w:eastAsia="仿宋_GB2312"/>
      <w:b/>
      <w:bCs/>
      <w:sz w:val="24"/>
    </w:rPr>
  </w:style>
  <w:style w:type="paragraph" w:styleId="22">
    <w:name w:val="Balloon Text"/>
    <w:basedOn w:val="1"/>
    <w:uiPriority w:val="0"/>
    <w:rPr>
      <w:sz w:val="18"/>
      <w:szCs w:val="18"/>
    </w:rPr>
  </w:style>
  <w:style w:type="paragraph" w:styleId="23">
    <w:name w:val="footer"/>
    <w:basedOn w:val="1"/>
    <w:link w:val="52"/>
    <w:uiPriority w:val="0"/>
    <w:pPr>
      <w:tabs>
        <w:tab w:val="center" w:pos="4153"/>
        <w:tab w:val="right" w:pos="8306"/>
      </w:tabs>
      <w:snapToGrid w:val="0"/>
      <w:jc w:val="left"/>
    </w:pPr>
    <w:rPr>
      <w:sz w:val="18"/>
      <w:szCs w:val="18"/>
    </w:rPr>
  </w:style>
  <w:style w:type="paragraph" w:styleId="2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5">
    <w:name w:val="Signature"/>
    <w:basedOn w:val="1"/>
    <w:next w:val="1"/>
    <w:link w:val="47"/>
    <w:uiPriority w:val="0"/>
    <w:pPr>
      <w:keepNext/>
      <w:widowControl/>
      <w:adjustRightInd w:val="0"/>
      <w:spacing w:line="220" w:lineRule="atLeast"/>
      <w:jc w:val="right"/>
      <w:textAlignment w:val="baseline"/>
    </w:pPr>
    <w:rPr>
      <w:kern w:val="2"/>
      <w:sz w:val="18"/>
      <w:szCs w:val="18"/>
    </w:rPr>
  </w:style>
  <w:style w:type="paragraph" w:styleId="26">
    <w:name w:val="toc 1"/>
    <w:basedOn w:val="1"/>
    <w:next w:val="1"/>
    <w:uiPriority w:val="0"/>
    <w:pPr>
      <w:spacing w:before="120" w:after="120"/>
      <w:jc w:val="left"/>
    </w:pPr>
    <w:rPr>
      <w:b/>
      <w:bCs/>
      <w:caps/>
      <w:sz w:val="20"/>
      <w:szCs w:val="20"/>
    </w:rPr>
  </w:style>
  <w:style w:type="paragraph" w:styleId="27">
    <w:name w:val="toc 4"/>
    <w:basedOn w:val="1"/>
    <w:next w:val="1"/>
    <w:uiPriority w:val="0"/>
    <w:pPr>
      <w:ind w:left="630"/>
      <w:jc w:val="left"/>
    </w:pPr>
    <w:rPr>
      <w:sz w:val="18"/>
      <w:szCs w:val="18"/>
    </w:rPr>
  </w:style>
  <w:style w:type="paragraph" w:styleId="28">
    <w:name w:val="toc 6"/>
    <w:basedOn w:val="1"/>
    <w:next w:val="1"/>
    <w:uiPriority w:val="0"/>
    <w:pPr>
      <w:ind w:left="1050"/>
      <w:jc w:val="left"/>
    </w:pPr>
    <w:rPr>
      <w:sz w:val="18"/>
      <w:szCs w:val="18"/>
    </w:rPr>
  </w:style>
  <w:style w:type="paragraph" w:styleId="29">
    <w:name w:val="Body Text Indent 3"/>
    <w:basedOn w:val="1"/>
    <w:uiPriority w:val="0"/>
    <w:pPr>
      <w:ind w:firstLine="570"/>
    </w:pPr>
    <w:rPr>
      <w:rFonts w:ascii="楷体_GB2312" w:eastAsia="楷体_GB2312"/>
      <w:sz w:val="32"/>
      <w:szCs w:val="20"/>
    </w:rPr>
  </w:style>
  <w:style w:type="paragraph" w:styleId="30">
    <w:name w:val="toc 2"/>
    <w:basedOn w:val="1"/>
    <w:next w:val="1"/>
    <w:uiPriority w:val="0"/>
    <w:pPr>
      <w:ind w:left="210"/>
      <w:jc w:val="left"/>
    </w:pPr>
    <w:rPr>
      <w:smallCaps/>
      <w:sz w:val="20"/>
      <w:szCs w:val="20"/>
    </w:rPr>
  </w:style>
  <w:style w:type="paragraph" w:styleId="31">
    <w:name w:val="toc 9"/>
    <w:basedOn w:val="1"/>
    <w:next w:val="1"/>
    <w:uiPriority w:val="0"/>
    <w:pPr>
      <w:ind w:left="1680"/>
      <w:jc w:val="left"/>
    </w:pPr>
    <w:rPr>
      <w:sz w:val="18"/>
      <w:szCs w:val="18"/>
    </w:rPr>
  </w:style>
  <w:style w:type="paragraph" w:styleId="32">
    <w:name w:val="Body Text 2"/>
    <w:basedOn w:val="1"/>
    <w:uiPriority w:val="0"/>
    <w:pPr>
      <w:jc w:val="left"/>
    </w:pPr>
    <w:rPr>
      <w:rFonts w:eastAsia="楷体_GB2312"/>
    </w:rPr>
  </w:style>
  <w:style w:type="paragraph" w:styleId="33">
    <w:name w:val="Normal (Web)"/>
    <w:basedOn w:val="1"/>
    <w:uiPriority w:val="99"/>
    <w:pPr>
      <w:widowControl/>
      <w:spacing w:before="100" w:beforeAutospacing="1" w:after="100" w:afterAutospacing="1"/>
      <w:jc w:val="left"/>
    </w:pPr>
    <w:rPr>
      <w:rFonts w:ascii="宋体" w:hAnsi="宋体"/>
      <w:color w:val="000000"/>
      <w:kern w:val="0"/>
      <w:sz w:val="24"/>
    </w:rPr>
  </w:style>
  <w:style w:type="paragraph" w:styleId="34">
    <w:name w:val="Title"/>
    <w:basedOn w:val="1"/>
    <w:link w:val="63"/>
    <w:qFormat/>
    <w:uiPriority w:val="0"/>
    <w:pPr>
      <w:widowControl/>
      <w:overflowPunct w:val="0"/>
      <w:autoSpaceDE w:val="0"/>
      <w:autoSpaceDN w:val="0"/>
      <w:adjustRightInd w:val="0"/>
      <w:jc w:val="center"/>
      <w:textAlignment w:val="baseline"/>
    </w:pPr>
    <w:rPr>
      <w:b/>
      <w:kern w:val="0"/>
      <w:sz w:val="24"/>
      <w:szCs w:val="20"/>
      <w:lang w:val="en-GB"/>
    </w:rPr>
  </w:style>
  <w:style w:type="paragraph" w:styleId="35">
    <w:name w:val="annotation subject"/>
    <w:basedOn w:val="10"/>
    <w:next w:val="10"/>
    <w:link w:val="49"/>
    <w:uiPriority w:val="0"/>
    <w:pPr>
      <w:ind w:firstLine="0"/>
    </w:pPr>
  </w:style>
  <w:style w:type="paragraph" w:styleId="36">
    <w:name w:val="Body Text First Indent"/>
    <w:basedOn w:val="12"/>
    <w:uiPriority w:val="0"/>
    <w:pPr>
      <w:ind w:firstLine="420" w:firstLineChars="100"/>
    </w:pPr>
  </w:style>
  <w:style w:type="table" w:styleId="38">
    <w:name w:val="Table Grid"/>
    <w:basedOn w:val="37"/>
    <w:uiPriority w:val="0"/>
    <w:pPr>
      <w:widowControl w:val="0"/>
      <w:jc w:val="both"/>
    </w:pPr>
    <w:tblPr>
      <w:tblStyle w:val="3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uiPriority w:val="0"/>
  </w:style>
  <w:style w:type="character" w:styleId="42">
    <w:name w:val="FollowedHyperlink"/>
    <w:uiPriority w:val="0"/>
    <w:rPr>
      <w:color w:val="800080"/>
      <w:u w:val="single"/>
    </w:rPr>
  </w:style>
  <w:style w:type="character" w:styleId="43">
    <w:name w:val="Emphasis"/>
    <w:qFormat/>
    <w:uiPriority w:val="0"/>
    <w:rPr>
      <w:color w:val="CC0033"/>
    </w:rPr>
  </w:style>
  <w:style w:type="character" w:styleId="44">
    <w:name w:val="Hyperlink"/>
    <w:uiPriority w:val="0"/>
    <w:rPr>
      <w:color w:val="0000FF"/>
      <w:u w:val="single"/>
    </w:rPr>
  </w:style>
  <w:style w:type="character" w:styleId="45">
    <w:name w:val="annotation reference"/>
    <w:uiPriority w:val="0"/>
    <w:rPr>
      <w:sz w:val="21"/>
      <w:szCs w:val="21"/>
    </w:rPr>
  </w:style>
  <w:style w:type="character" w:customStyle="1" w:styleId="46">
    <w:name w:val="cart_title_smaller1"/>
    <w:uiPriority w:val="0"/>
    <w:rPr>
      <w:color w:val="000000"/>
      <w:sz w:val="18"/>
      <w:szCs w:val="18"/>
      <w:u w:val="none"/>
    </w:rPr>
  </w:style>
  <w:style w:type="character" w:customStyle="1" w:styleId="47">
    <w:name w:val="签名 Char"/>
    <w:link w:val="25"/>
    <w:uiPriority w:val="0"/>
    <w:rPr>
      <w:kern w:val="2"/>
      <w:sz w:val="18"/>
      <w:szCs w:val="18"/>
    </w:rPr>
  </w:style>
  <w:style w:type="character" w:customStyle="1" w:styleId="48">
    <w:name w:val="标题 1 Char"/>
    <w:link w:val="2"/>
    <w:uiPriority w:val="0"/>
    <w:rPr>
      <w:rFonts w:ascii="宋体" w:hAnsi="Arial" w:eastAsia="黑体"/>
      <w:b/>
      <w:color w:val="000000"/>
      <w:kern w:val="44"/>
      <w:sz w:val="36"/>
      <w:lang w:val="en-US" w:eastAsia="zh-CN" w:bidi="ar-SA"/>
    </w:rPr>
  </w:style>
  <w:style w:type="character" w:customStyle="1" w:styleId="49">
    <w:name w:val="批注主题 Char"/>
    <w:link w:val="35"/>
    <w:uiPriority w:val="0"/>
    <w:rPr>
      <w:rFonts w:ascii="黑体" w:eastAsia="黑体"/>
      <w:kern w:val="2"/>
      <w:sz w:val="21"/>
    </w:rPr>
  </w:style>
  <w:style w:type="character" w:customStyle="1" w:styleId="50">
    <w:name w:val="正文缩进 Char"/>
    <w:link w:val="5"/>
    <w:uiPriority w:val="0"/>
    <w:rPr>
      <w:rFonts w:eastAsia="宋体"/>
      <w:kern w:val="2"/>
      <w:sz w:val="21"/>
      <w:szCs w:val="24"/>
      <w:lang w:val="en-US" w:eastAsia="zh-CN" w:bidi="ar-SA"/>
    </w:rPr>
  </w:style>
  <w:style w:type="character" w:customStyle="1" w:styleId="51">
    <w:name w:val="md"/>
    <w:basedOn w:val="39"/>
    <w:uiPriority w:val="0"/>
  </w:style>
  <w:style w:type="character" w:customStyle="1" w:styleId="52">
    <w:name w:val="页脚 Char"/>
    <w:link w:val="23"/>
    <w:uiPriority w:val="0"/>
    <w:rPr>
      <w:kern w:val="2"/>
      <w:sz w:val="18"/>
      <w:szCs w:val="18"/>
    </w:rPr>
  </w:style>
  <w:style w:type="character" w:customStyle="1" w:styleId="53">
    <w:name w:val="纯文本 Char1"/>
    <w:aliases w:val="普通文字 Char Char1,纯文本 Char Char Char,纯文本 Char Char1,普通文字 Char Char Char1,普通文字 Char1,普通文字 Char Char Char Char1,普通文字 Char Char Char Char Char,Plain Text Char,普通文字1 Char,普通文字2 Char,普通文字3 Char,普通文字4 Char,普通文字5 Char,普通文字6 Char,普通文字11 Char,普通文字21 Char"/>
    <w:uiPriority w:val="0"/>
    <w:rPr>
      <w:rFonts w:ascii="宋体" w:hAnsi="Courier New" w:eastAsia="宋体"/>
      <w:kern w:val="2"/>
      <w:sz w:val="21"/>
      <w:lang w:val="en-US" w:eastAsia="zh-CN" w:bidi="ar-SA"/>
    </w:rPr>
  </w:style>
  <w:style w:type="character" w:customStyle="1" w:styleId="54">
    <w:name w:val="纯文本 Char"/>
    <w:link w:val="18"/>
    <w:uiPriority w:val="0"/>
    <w:rPr>
      <w:rFonts w:ascii="宋体" w:hAnsi="Courier New" w:eastAsia="宋体"/>
      <w:kern w:val="2"/>
      <w:sz w:val="21"/>
      <w:lang w:val="en-US" w:eastAsia="zh-CN" w:bidi="ar-SA"/>
    </w:rPr>
  </w:style>
  <w:style w:type="character" w:customStyle="1" w:styleId="55">
    <w:name w:val="批注文字 Char"/>
    <w:link w:val="10"/>
    <w:uiPriority w:val="0"/>
    <w:rPr>
      <w:rFonts w:ascii="黑体" w:eastAsia="黑体"/>
      <w:kern w:val="2"/>
      <w:sz w:val="21"/>
    </w:rPr>
  </w:style>
  <w:style w:type="character" w:customStyle="1" w:styleId="56">
    <w:name w:val="样式 宋体 小四"/>
    <w:uiPriority w:val="0"/>
    <w:rPr>
      <w:rFonts w:ascii="宋体" w:hAnsi="宋体"/>
      <w:spacing w:val="6"/>
      <w:sz w:val="24"/>
      <w:szCs w:val="24"/>
    </w:rPr>
  </w:style>
  <w:style w:type="character" w:customStyle="1" w:styleId="57">
    <w:name w:val="正文文本缩进 Char"/>
    <w:link w:val="13"/>
    <w:uiPriority w:val="0"/>
    <w:rPr>
      <w:rFonts w:eastAsia="宋体"/>
      <w:kern w:val="2"/>
      <w:sz w:val="21"/>
      <w:szCs w:val="24"/>
      <w:lang w:val="en-US" w:eastAsia="zh-CN" w:bidi="ar-SA"/>
    </w:rPr>
  </w:style>
  <w:style w:type="character" w:customStyle="1" w:styleId="58">
    <w:name w:val="b titlename wangputoptitle"/>
    <w:basedOn w:val="39"/>
    <w:uiPriority w:val="0"/>
  </w:style>
  <w:style w:type="character" w:customStyle="1" w:styleId="59">
    <w:name w:val="info1"/>
    <w:uiPriority w:val="0"/>
    <w:rPr>
      <w:sz w:val="29"/>
      <w:szCs w:val="29"/>
    </w:rPr>
  </w:style>
  <w:style w:type="character" w:customStyle="1" w:styleId="60">
    <w:name w:val="font3"/>
    <w:basedOn w:val="39"/>
    <w:uiPriority w:val="0"/>
  </w:style>
  <w:style w:type="character" w:customStyle="1" w:styleId="61">
    <w:name w:val="标题 1 Char Char"/>
    <w:uiPriority w:val="0"/>
    <w:rPr>
      <w:rFonts w:ascii="宋体" w:hAnsi="宋体" w:eastAsia="宋体"/>
      <w:b/>
      <w:spacing w:val="-2"/>
      <w:sz w:val="24"/>
      <w:lang w:val="en-US" w:eastAsia="zh-CN" w:bidi="ar-SA"/>
    </w:rPr>
  </w:style>
  <w:style w:type="character" w:customStyle="1" w:styleId="62">
    <w:name w:val="表正文 Char1"/>
    <w:aliases w:val="正文非缩进 Char1,正文对齐 Char1,正文缩进（首行缩进两字） Char1,特点 Char1,特点 Char Char Char1,正文缩进 Char1 Char1,特点 Char Char1 Char1,正文不缩进 Char1,特点标题 Char1,ALT+Z Char1,四号 Char2,缩进 Char1,正文编号 Char1,鋘drad Char1,四号 Char Char Char Char Char1,四号 Char Char2,四号 Char Char Char"/>
    <w:uiPriority w:val="0"/>
    <w:rPr>
      <w:rFonts w:eastAsia="宋体"/>
      <w:kern w:val="2"/>
      <w:sz w:val="21"/>
      <w:szCs w:val="24"/>
      <w:lang w:val="en-US" w:eastAsia="zh-CN" w:bidi="ar-SA"/>
    </w:rPr>
  </w:style>
  <w:style w:type="character" w:customStyle="1" w:styleId="63">
    <w:name w:val="标题 Char"/>
    <w:link w:val="34"/>
    <w:uiPriority w:val="0"/>
    <w:rPr>
      <w:rFonts w:eastAsia="宋体"/>
      <w:b/>
      <w:sz w:val="24"/>
      <w:lang w:val="en-GB" w:eastAsia="zh-CN" w:bidi="ar-SA"/>
    </w:rPr>
  </w:style>
  <w:style w:type="character" w:customStyle="1" w:styleId="64">
    <w:name w:val="普通文字 Char Char3"/>
    <w:aliases w:val="纯文本 Char Char Char2,普通文字 Char Char Char2,普通文字 Char3,普通文字 Char Char Char Char Char2,Texte Char2,0921 Char2,正 文 1 Char2,普通文字1 Char2,普通文字2 Char2,普通文字3 Char2,普通文字4 Char2,普通文字5 Char2,普通文字6 Char2,普通文字11 Char2,普通文字21 Char2,普通文字31 Char1,小 Char"/>
    <w:uiPriority w:val="0"/>
    <w:rPr>
      <w:rFonts w:ascii="宋体" w:hAnsi="Courier New" w:eastAsia="宋体" w:cs="Courier New"/>
      <w:szCs w:val="21"/>
    </w:rPr>
  </w:style>
  <w:style w:type="character" w:customStyle="1" w:styleId="65">
    <w:name w:val=" Char Char10"/>
    <w:uiPriority w:val="0"/>
    <w:rPr>
      <w:rFonts w:ascii="宋体" w:hAnsi="Courier New" w:eastAsia="宋体"/>
      <w:kern w:val="2"/>
      <w:sz w:val="24"/>
      <w:szCs w:val="24"/>
      <w:lang w:val="en-US" w:eastAsia="zh-CN" w:bidi="ar-SA"/>
    </w:rPr>
  </w:style>
  <w:style w:type="paragraph" w:customStyle="1" w:styleId="66">
    <w:name w:val="Char1"/>
    <w:basedOn w:val="1"/>
    <w:uiPriority w:val="0"/>
    <w:rPr>
      <w:rFonts w:ascii="仿宋_GB2312" w:eastAsia="仿宋_GB2312"/>
      <w:b/>
      <w:sz w:val="32"/>
      <w:szCs w:val="32"/>
    </w:rPr>
  </w:style>
  <w:style w:type="paragraph" w:customStyle="1" w:styleId="67">
    <w:name w:val="正文段"/>
    <w:basedOn w:val="1"/>
    <w:uiPriority w:val="0"/>
    <w:pPr>
      <w:widowControl/>
      <w:snapToGrid w:val="0"/>
      <w:spacing w:afterLines="50"/>
      <w:ind w:firstLine="200" w:firstLineChars="200"/>
    </w:pPr>
    <w:rPr>
      <w:kern w:val="0"/>
      <w:sz w:val="24"/>
      <w:szCs w:val="20"/>
    </w:rPr>
  </w:style>
  <w:style w:type="paragraph" w:customStyle="1" w:styleId="68">
    <w:name w:val="排列"/>
    <w:basedOn w:val="1"/>
    <w:uiPriority w:val="0"/>
    <w:pPr>
      <w:jc w:val="center"/>
    </w:pPr>
    <w:rPr>
      <w:rFonts w:ascii="楷体_GB2312" w:hAnsi="Courier New" w:eastAsia="楷体_GB2312"/>
      <w:szCs w:val="20"/>
    </w:rPr>
  </w:style>
  <w:style w:type="paragraph" w:customStyle="1" w:styleId="69">
    <w:name w:val="表格内容1"/>
    <w:basedOn w:val="1"/>
    <w:uiPriority w:val="0"/>
    <w:rPr>
      <w:sz w:val="24"/>
      <w:szCs w:val="20"/>
    </w:rPr>
  </w:style>
  <w:style w:type="paragraph" w:customStyle="1" w:styleId="70">
    <w:name w:val="Char Char Char"/>
    <w:basedOn w:val="1"/>
    <w:uiPriority w:val="0"/>
    <w:rPr>
      <w:rFonts w:ascii="Tahoma" w:hAnsi="Tahoma"/>
      <w:sz w:val="24"/>
      <w:szCs w:val="20"/>
    </w:rPr>
  </w:style>
  <w:style w:type="paragraph" w:customStyle="1" w:styleId="71">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b/>
      <w:bCs/>
      <w:kern w:val="0"/>
      <w:sz w:val="20"/>
      <w:szCs w:val="20"/>
    </w:rPr>
  </w:style>
  <w:style w:type="paragraph" w:customStyle="1" w:styleId="72">
    <w:name w:val=" Char2"/>
    <w:basedOn w:val="9"/>
    <w:next w:val="1"/>
    <w:uiPriority w:val="0"/>
    <w:rPr>
      <w:rFonts w:ascii="宋体" w:hAnsi="宋体"/>
    </w:rPr>
  </w:style>
  <w:style w:type="paragraph" w:customStyle="1" w:styleId="73">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74">
    <w:name w:val="正文2"/>
    <w:basedOn w:val="1"/>
    <w:uiPriority w:val="0"/>
    <w:pPr>
      <w:spacing w:before="156" w:line="360" w:lineRule="auto"/>
      <w:ind w:firstLine="510" w:firstLineChars="200"/>
    </w:pPr>
    <w:rPr>
      <w:sz w:val="24"/>
      <w:szCs w:val="20"/>
    </w:rPr>
  </w:style>
  <w:style w:type="paragraph" w:customStyle="1" w:styleId="75">
    <w:name w:val="Char3"/>
    <w:basedOn w:val="1"/>
    <w:uiPriority w:val="0"/>
    <w:rPr>
      <w:rFonts w:ascii="仿宋_GB2312" w:eastAsia="仿宋_GB2312"/>
      <w:b/>
      <w:sz w:val="32"/>
      <w:szCs w:val="32"/>
    </w:rPr>
  </w:style>
  <w:style w:type="paragraph" w:customStyle="1" w:styleId="76">
    <w:name w:val="xl29"/>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77">
    <w:name w:val="Char21"/>
    <w:basedOn w:val="1"/>
    <w:uiPriority w:val="0"/>
    <w:rPr>
      <w:rFonts w:ascii="仿宋_GB2312" w:eastAsia="仿宋_GB2312"/>
      <w:b/>
      <w:sz w:val="32"/>
      <w:szCs w:val="32"/>
    </w:rPr>
  </w:style>
  <w:style w:type="paragraph" w:customStyle="1" w:styleId="78">
    <w:name w:val="标准中文版式_正文"/>
    <w:basedOn w:val="1"/>
    <w:uiPriority w:val="0"/>
    <w:pPr>
      <w:spacing w:before="30" w:line="360" w:lineRule="auto"/>
      <w:ind w:firstLine="200" w:firstLineChars="200"/>
    </w:pPr>
    <w:rPr>
      <w:rFonts w:ascii="Arial" w:hAnsi="Arial"/>
      <w:sz w:val="24"/>
    </w:rPr>
  </w:style>
  <w:style w:type="paragraph" w:customStyle="1" w:styleId="79">
    <w:name w:val="Char11"/>
    <w:basedOn w:val="1"/>
    <w:uiPriority w:val="0"/>
    <w:rPr>
      <w:rFonts w:ascii="仿宋_GB2312" w:eastAsia="仿宋_GB2312"/>
      <w:b/>
      <w:sz w:val="32"/>
      <w:szCs w:val="32"/>
    </w:rPr>
  </w:style>
  <w:style w:type="paragraph" w:styleId="80">
    <w:name w:val="List Paragraph"/>
    <w:basedOn w:val="1"/>
    <w:qFormat/>
    <w:uiPriority w:val="0"/>
    <w:pPr>
      <w:ind w:firstLine="420" w:firstLineChars="200"/>
    </w:pPr>
    <w:rPr>
      <w:rFonts w:ascii="Calibri" w:hAnsi="Calibri"/>
      <w:szCs w:val="22"/>
    </w:rPr>
  </w:style>
  <w:style w:type="paragraph" w:customStyle="1" w:styleId="81">
    <w:name w:val="Section #"/>
    <w:next w:val="1"/>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b/>
      <w:sz w:val="30"/>
      <w:lang w:val="en-US" w:eastAsia="zh-CN" w:bidi="ar-SA"/>
    </w:rPr>
  </w:style>
  <w:style w:type="paragraph" w:customStyle="1" w:styleId="82">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mic Sans MS" w:hAnsi="Comic Sans MS" w:cs="宋体"/>
      <w:kern w:val="0"/>
      <w:sz w:val="20"/>
      <w:szCs w:val="20"/>
    </w:rPr>
  </w:style>
  <w:style w:type="paragraph" w:customStyle="1" w:styleId="83">
    <w:name w:val="Char1 Char Char Char"/>
    <w:basedOn w:val="1"/>
    <w:uiPriority w:val="0"/>
    <w:rPr>
      <w:rFonts w:ascii="Tahoma" w:hAnsi="Tahoma"/>
      <w:sz w:val="24"/>
      <w:szCs w:val="20"/>
    </w:rPr>
  </w:style>
  <w:style w:type="paragraph" w:customStyle="1" w:styleId="84">
    <w:name w:val="_Style 78"/>
    <w:basedOn w:val="1"/>
    <w:uiPriority w:val="0"/>
    <w:rPr>
      <w:rFonts w:ascii="Tahoma" w:hAnsi="Tahoma"/>
      <w:sz w:val="24"/>
      <w:szCs w:val="20"/>
    </w:rPr>
  </w:style>
  <w:style w:type="paragraph" w:customStyle="1" w:styleId="85">
    <w:name w:val="xl27"/>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86">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87">
    <w:name w:val="正文缩进1"/>
    <w:basedOn w:val="1"/>
    <w:next w:val="13"/>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88">
    <w:name w:val="文件标题"/>
    <w:basedOn w:val="1"/>
    <w:uiPriority w:val="0"/>
    <w:pPr>
      <w:autoSpaceDE w:val="0"/>
      <w:autoSpaceDN w:val="0"/>
      <w:adjustRightInd w:val="0"/>
      <w:spacing w:after="240"/>
      <w:jc w:val="center"/>
    </w:pPr>
    <w:rPr>
      <w:rFonts w:ascii="Arial Black" w:hAnsi="Arial Black"/>
      <w:kern w:val="0"/>
      <w:sz w:val="48"/>
      <w:szCs w:val="20"/>
    </w:rPr>
  </w:style>
  <w:style w:type="paragraph" w:customStyle="1" w:styleId="89">
    <w:name w:val="Char Char"/>
    <w:basedOn w:val="1"/>
    <w:uiPriority w:val="0"/>
    <w:rPr>
      <w:rFonts w:ascii="Tahoma" w:hAnsi="Tahoma"/>
      <w:sz w:val="24"/>
      <w:szCs w:val="20"/>
    </w:rPr>
  </w:style>
  <w:style w:type="paragraph" w:customStyle="1" w:styleId="90">
    <w:name w:val=" Char Char Char Char Char Char"/>
    <w:basedOn w:val="1"/>
    <w:uiPriority w:val="0"/>
  </w:style>
  <w:style w:type="paragraph" w:customStyle="1" w:styleId="91">
    <w:name w:val="Char Char Char Char"/>
    <w:basedOn w:val="1"/>
    <w:uiPriority w:val="0"/>
    <w:rPr>
      <w:rFonts w:ascii="Tahoma" w:hAnsi="Tahoma"/>
      <w:sz w:val="24"/>
      <w:szCs w:val="20"/>
    </w:rPr>
  </w:style>
  <w:style w:type="paragraph" w:customStyle="1" w:styleId="92">
    <w:name w:val="Char Char Char Char Char Char Char"/>
    <w:basedOn w:val="1"/>
    <w:uiPriority w:val="0"/>
    <w:pPr>
      <w:spacing w:line="600" w:lineRule="exact"/>
      <w:jc w:val="center"/>
    </w:pPr>
    <w:rPr>
      <w:rFonts w:hAnsi="宋体"/>
      <w:b/>
      <w:bCs/>
      <w:sz w:val="32"/>
    </w:rPr>
  </w:style>
  <w:style w:type="paragraph" w:customStyle="1" w:styleId="93">
    <w:name w:val="Char2"/>
    <w:basedOn w:val="1"/>
    <w:uiPriority w:val="0"/>
    <w:rPr>
      <w:rFonts w:ascii="仿宋_GB2312" w:eastAsia="仿宋_GB2312"/>
      <w:b/>
      <w:sz w:val="32"/>
      <w:szCs w:val="32"/>
    </w:rPr>
  </w:style>
  <w:style w:type="paragraph" w:customStyle="1" w:styleId="94">
    <w:name w:val="正文文字缩进"/>
    <w:basedOn w:val="1"/>
    <w:uiPriority w:val="0"/>
    <w:pPr>
      <w:widowControl/>
      <w:spacing w:line="748" w:lineRule="atLeast"/>
      <w:ind w:left="-521" w:firstLine="527"/>
      <w:textAlignment w:val="baseline"/>
    </w:pPr>
    <w:rPr>
      <w:rFonts w:ascii="Romantic" w:hAnsi="微软大黑体" w:cs="微软大黑体"/>
      <w:color w:val="000000"/>
      <w:kern w:val="0"/>
      <w:sz w:val="24"/>
      <w:szCs w:val="20"/>
      <w:u w:val="none" w:color="000000"/>
    </w:rPr>
  </w:style>
  <w:style w:type="paragraph" w:customStyle="1" w:styleId="95">
    <w:name w:val="带上框线页脚"/>
    <w:basedOn w:val="1"/>
    <w:uiPriority w:val="0"/>
    <w:pPr>
      <w:widowControl/>
      <w:pBdr>
        <w:top w:val="single" w:color="auto" w:sz="4" w:space="1"/>
      </w:pBdr>
      <w:spacing w:afterLines="50"/>
      <w:jc w:val="left"/>
    </w:pPr>
    <w:rPr>
      <w:kern w:val="0"/>
      <w:sz w:val="18"/>
      <w:szCs w:val="20"/>
    </w:rPr>
  </w:style>
  <w:style w:type="paragraph" w:customStyle="1" w:styleId="96">
    <w:name w:val="flName"/>
    <w:basedOn w:val="1"/>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97">
    <w:name w:val="Char Char2 Char Char"/>
    <w:basedOn w:val="1"/>
    <w:uiPriority w:val="0"/>
    <w:rPr>
      <w:rFonts w:ascii="Tahoma" w:hAnsi="Tahoma"/>
      <w:sz w:val="24"/>
      <w:szCs w:val="20"/>
    </w:rPr>
  </w:style>
  <w:style w:type="paragraph" w:customStyle="1" w:styleId="98">
    <w:name w:val="Char"/>
    <w:basedOn w:val="1"/>
    <w:uiPriority w:val="0"/>
    <w:rPr>
      <w:rFonts w:ascii="仿宋_GB2312" w:eastAsia="仿宋_GB2312"/>
      <w:b/>
      <w:sz w:val="32"/>
      <w:szCs w:val="32"/>
    </w:rPr>
  </w:style>
  <w:style w:type="paragraph" w:customStyle="1" w:styleId="99">
    <w:name w:val="默认段落字体 Para Char Char Char Char"/>
    <w:basedOn w:val="1"/>
    <w:uiPriority w:val="0"/>
    <w:rPr>
      <w:szCs w:val="20"/>
    </w:rPr>
  </w:style>
  <w:style w:type="paragraph" w:customStyle="1" w:styleId="100">
    <w:name w:val="正文1"/>
    <w:uiPriority w:val="0"/>
    <w:pPr>
      <w:widowControl w:val="0"/>
      <w:adjustRightInd w:val="0"/>
      <w:spacing w:line="312" w:lineRule="atLeast"/>
      <w:jc w:val="both"/>
      <w:textAlignment w:val="baseline"/>
    </w:pPr>
    <w:rPr>
      <w:lang w:val="en-US" w:eastAsia="zh-CN" w:bidi="ar-SA"/>
    </w:rPr>
  </w:style>
  <w:style w:type="paragraph" w:customStyle="1" w:styleId="101">
    <w:name w:val="默认段落字体 Para Char Char Char Char Char Char Char Char Char1 Char Char Char Char"/>
    <w:basedOn w:val="1"/>
    <w:uiPriority w:val="0"/>
    <w:rPr>
      <w:rFonts w:ascii="Tahoma" w:hAnsi="Tahoma"/>
      <w:sz w:val="24"/>
      <w:szCs w:val="20"/>
    </w:rPr>
  </w:style>
  <w:style w:type="paragraph" w:customStyle="1" w:styleId="102">
    <w:name w:val="Char Char1 Char Char Char Char1 Char Char Char"/>
    <w:basedOn w:val="1"/>
    <w:uiPriority w:val="0"/>
    <w:rPr>
      <w:szCs w:val="20"/>
    </w:rPr>
  </w:style>
  <w:style w:type="paragraph" w:customStyle="1" w:styleId="103">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104">
    <w:name w:val="Char Char Char Char Char Char Char Char"/>
    <w:basedOn w:val="1"/>
    <w:uiPriority w:val="0"/>
    <w:pPr>
      <w:tabs>
        <w:tab w:val="left" w:pos="360"/>
      </w:tabs>
    </w:pPr>
    <w:rPr>
      <w:sz w:val="24"/>
    </w:rPr>
  </w:style>
  <w:style w:type="paragraph" w:customStyle="1" w:styleId="105">
    <w:name w:val="文档正文"/>
    <w:basedOn w:val="1"/>
    <w:uiPriority w:val="0"/>
    <w:pPr>
      <w:adjustRightInd w:val="0"/>
      <w:spacing w:line="480" w:lineRule="atLeast"/>
      <w:ind w:firstLine="567"/>
      <w:textAlignment w:val="baseline"/>
    </w:pPr>
    <w:rPr>
      <w:rFonts w:eastAsia="楷体_GB2312"/>
      <w:kern w:val="0"/>
      <w:sz w:val="28"/>
      <w:szCs w:val="20"/>
    </w:rPr>
  </w:style>
  <w:style w:type="paragraph" w:customStyle="1" w:styleId="106">
    <w:name w:val="xl30"/>
    <w:basedOn w:val="1"/>
    <w:uiPriority w:val="0"/>
    <w:pPr>
      <w:widowControl/>
      <w:pBdr>
        <w:top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07">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08">
    <w:name w:val="Char Char Char Char Char Char Char1"/>
    <w:basedOn w:val="1"/>
    <w:uiPriority w:val="0"/>
    <w:pPr>
      <w:tabs>
        <w:tab w:val="left" w:pos="432"/>
      </w:tabs>
      <w:ind w:left="432" w:hanging="432"/>
    </w:pPr>
    <w:rPr>
      <w:rFonts w:ascii="Tahoma" w:hAnsi="Tahoma"/>
      <w:sz w:val="24"/>
      <w:szCs w:val="20"/>
    </w:rPr>
  </w:style>
  <w:style w:type="paragraph" w:customStyle="1" w:styleId="109">
    <w:name w:val="Proposals body"/>
    <w:basedOn w:val="1"/>
    <w:next w:val="1"/>
    <w:uiPriority w:val="0"/>
    <w:pPr>
      <w:widowControl/>
      <w:spacing w:line="360" w:lineRule="auto"/>
      <w:jc w:val="left"/>
    </w:pPr>
    <w:rPr>
      <w:rFonts w:ascii="宋体"/>
      <w:snapToGrid/>
      <w:color w:val="000000"/>
      <w:kern w:val="0"/>
      <w:sz w:val="24"/>
      <w:szCs w:val="20"/>
    </w:rPr>
  </w:style>
  <w:style w:type="paragraph" w:customStyle="1" w:styleId="110">
    <w:name w:val="xl38"/>
    <w:basedOn w:val="1"/>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111">
    <w:name w:val="样式1"/>
    <w:basedOn w:val="1"/>
    <w:uiPriority w:val="0"/>
    <w:rPr>
      <w:rFonts w:ascii="宋体" w:hAnsi="宋体"/>
      <w:bCs/>
      <w:szCs w:val="20"/>
    </w:rPr>
  </w:style>
  <w:style w:type="paragraph" w:customStyle="1" w:styleId="112">
    <w:name w:val="xl28"/>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113">
    <w:name w:val="表内文字"/>
    <w:basedOn w:val="1"/>
    <w:uiPriority w:val="0"/>
    <w:pPr>
      <w:snapToGrid w:val="0"/>
      <w:spacing w:before="50" w:after="50"/>
      <w:jc w:val="center"/>
    </w:pPr>
    <w:rPr>
      <w:rFonts w:ascii="宋体" w:hAnsi="宋体"/>
      <w:sz w:val="24"/>
      <w:szCs w:val="20"/>
    </w:rPr>
  </w:style>
  <w:style w:type="paragraph" w:customStyle="1" w:styleId="114">
    <w:name w:val="彩色列表 - 强调文字颜色 11"/>
    <w:basedOn w:val="1"/>
    <w:qFormat/>
    <w:uiPriority w:val="0"/>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桐庐县教育技术装备中心</Company>
  <Pages>32</Pages>
  <Words>2874</Words>
  <Characters>16383</Characters>
  <Lines>136</Lines>
  <Paragraphs>38</Paragraphs>
  <TotalTime>0</TotalTime>
  <ScaleCrop>false</ScaleCrop>
  <LinksUpToDate>false</LinksUpToDate>
  <CharactersWithSpaces>19219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2019-04-09T09:52:00Z</dcterms:created>
  <dc:creator>番茄花园</dc:creator>
  <cp:lastModifiedBy>WPS_1701756769</cp:lastModifiedBy>
  <cp:lastPrinted>2018-02-26T02:48:00Z</cp:lastPrinted>
  <dcterms:modified xsi:type="dcterms:W3CDTF">2024-02-22T09:31:26Z</dcterms:modified>
  <cp:revision>27</cp:revision>
  <dc:title>桐庐县老干部活动中心办公家具政府采购项目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88C573BD289A42A49D9E8FC22D9EF6B5_13</vt:lpwstr>
  </property>
</Properties>
</file>