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p>
    <w:p>
      <w:pPr>
        <w:adjustRightInd/>
        <w:spacing w:line="360" w:lineRule="auto"/>
        <w:jc w:val="center"/>
        <w:rPr>
          <w:rFonts w:cs="仿宋_GB2312" w:asciiTheme="minorEastAsia" w:hAnsiTheme="minorEastAsia" w:eastAsiaTheme="minorEastAsia"/>
          <w:b/>
          <w:sz w:val="44"/>
          <w:szCs w:val="44"/>
        </w:rPr>
      </w:pPr>
    </w:p>
    <w:p>
      <w:pPr>
        <w:jc w:val="center"/>
        <w:rPr>
          <w:rFonts w:cs="仿宋_GB2312" w:asciiTheme="minorEastAsia" w:hAnsiTheme="minorEastAsia" w:eastAsiaTheme="minorEastAsia"/>
          <w:b/>
          <w:bCs/>
          <w:w w:val="95"/>
          <w:sz w:val="36"/>
          <w:szCs w:val="36"/>
          <w:lang w:val="zh-CN"/>
        </w:rPr>
      </w:pPr>
      <w:r>
        <w:rPr>
          <w:rFonts w:hint="eastAsia" w:cs="仿宋_GB2312" w:asciiTheme="minorEastAsia" w:hAnsiTheme="minorEastAsia" w:eastAsiaTheme="minorEastAsia"/>
          <w:b/>
          <w:bCs/>
          <w:w w:val="95"/>
          <w:sz w:val="36"/>
          <w:szCs w:val="36"/>
          <w:lang w:val="zh-CN"/>
        </w:rPr>
        <w:t>2024年建德市新安江街道办公楼物业保洁服务项目</w:t>
      </w:r>
    </w:p>
    <w:p>
      <w:pPr>
        <w:adjustRightInd/>
        <w:spacing w:line="360" w:lineRule="auto"/>
        <w:jc w:val="center"/>
        <w:rPr>
          <w:rFonts w:cs="仿宋_GB2312" w:asciiTheme="minorEastAsia" w:hAnsiTheme="minorEastAsia" w:eastAsiaTheme="minorEastAsia"/>
          <w:b/>
          <w:bCs/>
          <w:w w:val="95"/>
          <w:sz w:val="72"/>
          <w:szCs w:val="72"/>
        </w:rPr>
      </w:pPr>
    </w:p>
    <w:p>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pPr>
        <w:snapToGrid w:val="0"/>
        <w:spacing w:line="360" w:lineRule="auto"/>
        <w:jc w:val="center"/>
        <w:rPr>
          <w:rFonts w:cs="仿宋_GB2312" w:asciiTheme="minorEastAsia" w:hAnsiTheme="minorEastAsia" w:eastAsiaTheme="minorEastAsia"/>
          <w:sz w:val="30"/>
          <w:szCs w:val="30"/>
        </w:rPr>
      </w:pPr>
    </w:p>
    <w:p>
      <w:pPr>
        <w:snapToGrid w:val="0"/>
        <w:spacing w:line="360" w:lineRule="auto"/>
        <w:jc w:val="center"/>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项目编号:JD202</w:t>
      </w:r>
      <w:r>
        <w:rPr>
          <w:rFonts w:hint="eastAsia" w:cs="仿宋_GB2312" w:asciiTheme="minorEastAsia" w:hAnsiTheme="minorEastAsia" w:eastAsiaTheme="minorEastAsia"/>
          <w:sz w:val="30"/>
          <w:szCs w:val="30"/>
          <w:lang w:val="en-US" w:eastAsia="zh-CN"/>
        </w:rPr>
        <w:t>4</w:t>
      </w:r>
      <w:r>
        <w:rPr>
          <w:rFonts w:hint="eastAsia" w:cs="仿宋_GB2312" w:asciiTheme="minorEastAsia" w:hAnsiTheme="minorEastAsia" w:eastAsiaTheme="minorEastAsia"/>
          <w:sz w:val="30"/>
          <w:szCs w:val="30"/>
        </w:rPr>
        <w:t>BJ-024</w:t>
      </w:r>
    </w:p>
    <w:p>
      <w:pPr>
        <w:adjustRightInd/>
        <w:spacing w:line="360" w:lineRule="auto"/>
        <w:rPr>
          <w:rFonts w:cs="仿宋_GB2312" w:asciiTheme="minorEastAsia" w:hAnsiTheme="minorEastAsia" w:eastAsiaTheme="minorEastAsia"/>
          <w:sz w:val="28"/>
          <w:szCs w:val="20"/>
        </w:rPr>
      </w:pPr>
    </w:p>
    <w:p>
      <w:pPr>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sz w:val="24"/>
        </w:rPr>
      </w:pPr>
    </w:p>
    <w:p>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pPr>
        <w:spacing w:line="360" w:lineRule="auto"/>
        <w:rPr>
          <w:rFonts w:cs="仿宋_GB2312" w:asciiTheme="minorEastAsia" w:hAnsiTheme="minorEastAsia" w:eastAsiaTheme="minorEastAsia"/>
          <w:b/>
          <w:sz w:val="24"/>
        </w:rPr>
      </w:pPr>
    </w:p>
    <w:p>
      <w:pPr>
        <w:snapToGrid w:val="0"/>
        <w:spacing w:line="360" w:lineRule="auto"/>
        <w:jc w:val="center"/>
        <w:rPr>
          <w:rFonts w:cs="仿宋_GB2312" w:asciiTheme="minorEastAsia" w:hAnsiTheme="minorEastAsia" w:eastAsiaTheme="minorEastAsia"/>
          <w:sz w:val="32"/>
          <w:szCs w:val="32"/>
        </w:rPr>
      </w:pPr>
    </w:p>
    <w:p>
      <w:pPr>
        <w:spacing w:line="360" w:lineRule="auto"/>
        <w:jc w:val="center"/>
        <w:rPr>
          <w:rFonts w:ascii="宋体" w:hAnsi="宋体" w:cs="宋体"/>
          <w:bCs/>
          <w:sz w:val="32"/>
          <w:szCs w:val="32"/>
        </w:rPr>
      </w:pPr>
      <w:r>
        <w:rPr>
          <w:rFonts w:hint="eastAsia" w:ascii="宋体" w:hAnsi="宋体" w:cs="宋体"/>
          <w:bCs/>
          <w:sz w:val="32"/>
          <w:szCs w:val="32"/>
        </w:rPr>
        <w:t>建德市人民政府新安江街道办事处</w:t>
      </w:r>
    </w:p>
    <w:p>
      <w:pPr>
        <w:spacing w:line="360" w:lineRule="auto"/>
        <w:jc w:val="center"/>
        <w:rPr>
          <w:rFonts w:cs="仿宋_GB2312" w:asciiTheme="minorEastAsia" w:hAnsiTheme="minorEastAsia" w:eastAsiaTheme="minorEastAsia"/>
          <w:bCs/>
          <w:sz w:val="32"/>
          <w:szCs w:val="32"/>
        </w:rPr>
      </w:pPr>
      <w:r>
        <w:rPr>
          <w:rFonts w:hint="eastAsia" w:ascii="宋体" w:hAnsi="宋体" w:cs="宋体"/>
          <w:bCs/>
          <w:sz w:val="32"/>
          <w:szCs w:val="32"/>
        </w:rPr>
        <w:t>杭州市公共资源交易中心建德分中心</w:t>
      </w:r>
    </w:p>
    <w:p>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二四年五月二十三日</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pPr>
        <w:spacing w:line="360" w:lineRule="auto"/>
        <w:rPr>
          <w:rFonts w:cs="仿宋_GB2312" w:asciiTheme="minorEastAsia" w:hAnsiTheme="minorEastAsia" w:eastAsiaTheme="minorEastAsia"/>
          <w:sz w:val="32"/>
          <w:szCs w:val="32"/>
        </w:rPr>
      </w:pPr>
    </w:p>
    <w:p>
      <w:pPr>
        <w:spacing w:line="360" w:lineRule="auto"/>
        <w:rPr>
          <w:rFonts w:cs="仿宋_GB2312" w:asciiTheme="minorEastAsia" w:hAnsiTheme="minorEastAsia" w:eastAsiaTheme="minorEastAsia"/>
          <w:sz w:val="32"/>
          <w:szCs w:val="32"/>
        </w:rPr>
      </w:pP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  邀请供应商</w:t>
      </w:r>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pPr>
        <w:spacing w:line="360" w:lineRule="auto"/>
        <w:rPr>
          <w:rFonts w:asciiTheme="minorEastAsia" w:hAnsiTheme="minorEastAsia" w:eastAsiaTheme="minorEastAsia"/>
          <w:sz w:val="24"/>
        </w:rPr>
      </w:pPr>
    </w:p>
    <w:p>
      <w:pPr>
        <w:pBdr>
          <w:top w:val="single" w:color="auto" w:sz="4" w:space="1"/>
          <w:left w:val="single" w:color="auto" w:sz="4" w:space="4"/>
          <w:bottom w:val="single" w:color="auto" w:sz="4" w:space="1"/>
          <w:right w:val="single" w:color="auto" w:sz="4" w:space="0"/>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1"/>
          <w:right w:val="single" w:color="auto" w:sz="4" w:space="0"/>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2024年建德市新安江街道办公楼物业保洁服务项目的潜在供应商应在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4</w:t>
      </w:r>
      <w:r>
        <w:rPr>
          <w:rFonts w:hint="eastAsia" w:asciiTheme="minorEastAsia" w:hAnsiTheme="minorEastAsia" w:eastAsiaTheme="minorEastAsia"/>
          <w:bCs/>
          <w:sz w:val="24"/>
          <w:u w:val="single"/>
        </w:rPr>
        <w:t>年6月7日9 点30分00秒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p>
    <w:p>
      <w:pPr>
        <w:pStyle w:val="5"/>
        <w:numPr>
          <w:ilvl w:val="0"/>
          <w:numId w:val="0"/>
        </w:numPr>
        <w:ind w:left="432" w:hanging="432"/>
        <w:rPr>
          <w:rFonts w:cs="宋体" w:asciiTheme="minorEastAsia" w:hAnsiTheme="minorEastAsia" w:eastAsiaTheme="minorEastAsia"/>
          <w:sz w:val="24"/>
          <w:szCs w:val="24"/>
        </w:rPr>
      </w:pPr>
      <w:bookmarkStart w:id="11" w:name="_Toc28359012"/>
      <w:bookmarkStart w:id="12" w:name="_Toc35393798"/>
      <w:bookmarkStart w:id="13" w:name="_Toc35393629"/>
      <w:bookmarkStart w:id="14" w:name="_Toc28359089"/>
      <w:r>
        <w:rPr>
          <w:rFonts w:hint="eastAsia" w:cs="宋体" w:asciiTheme="minorEastAsia" w:hAnsiTheme="minorEastAsia" w:eastAsiaTheme="minorEastAsia"/>
          <w:sz w:val="24"/>
          <w:szCs w:val="24"/>
        </w:rPr>
        <w:t>一、项目基本情况</w:t>
      </w:r>
      <w:bookmarkEnd w:id="11"/>
      <w:bookmarkEnd w:id="12"/>
      <w:bookmarkEnd w:id="13"/>
      <w:bookmarkEnd w:id="14"/>
    </w:p>
    <w:p>
      <w:pPr>
        <w:spacing w:line="360" w:lineRule="auto"/>
        <w:ind w:firstLine="482" w:firstLineChars="200"/>
        <w:rPr>
          <w:rFonts w:hint="eastAsia" w:asciiTheme="minorEastAsia" w:hAnsiTheme="minorEastAsia" w:eastAsiaTheme="minorEastAsia"/>
          <w:sz w:val="24"/>
          <w:lang w:eastAsia="zh-CN"/>
        </w:rPr>
      </w:pPr>
      <w:r>
        <w:rPr>
          <w:rFonts w:hint="eastAsia" w:asciiTheme="minorEastAsia" w:hAnsiTheme="minorEastAsia" w:eastAsiaTheme="minorEastAsia"/>
          <w:b/>
          <w:sz w:val="24"/>
        </w:rPr>
        <w:t>项目编号：</w:t>
      </w:r>
      <w:r>
        <w:rPr>
          <w:rFonts w:hint="eastAsia" w:asciiTheme="minorEastAsia" w:hAnsiTheme="minorEastAsia" w:eastAsiaTheme="minorEastAsia"/>
          <w:sz w:val="24"/>
          <w:lang w:eastAsia="zh-CN"/>
        </w:rPr>
        <w:t>JD2024BJ-024</w:t>
      </w:r>
    </w:p>
    <w:p>
      <w:pPr>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项目名称：</w:t>
      </w:r>
      <w:r>
        <w:rPr>
          <w:rFonts w:hint="eastAsia" w:asciiTheme="minorEastAsia" w:hAnsiTheme="minorEastAsia" w:eastAsiaTheme="minorEastAsia"/>
          <w:sz w:val="24"/>
        </w:rPr>
        <w:t>2024年建德市新安江街道办公楼物业保洁服务项目</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预算金额（元）：520000.00</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最高限价（元）：520000.00</w:t>
      </w:r>
    </w:p>
    <w:p>
      <w:pPr>
        <w:spacing w:line="360" w:lineRule="auto"/>
        <w:ind w:firstLine="424" w:firstLineChars="176"/>
        <w:jc w:val="left"/>
        <w:rPr>
          <w:rFonts w:asciiTheme="minorEastAsia" w:hAnsiTheme="minorEastAsia" w:eastAsiaTheme="minorEastAsia"/>
          <w:sz w:val="24"/>
        </w:rPr>
      </w:pPr>
      <w:r>
        <w:rPr>
          <w:rFonts w:hint="eastAsia" w:asciiTheme="minorEastAsia" w:hAnsiTheme="minorEastAsia" w:eastAsiaTheme="minorEastAsia"/>
          <w:b/>
          <w:sz w:val="24"/>
        </w:rPr>
        <w:t>采购需求：</w:t>
      </w:r>
      <w:r>
        <w:rPr>
          <w:rFonts w:hint="eastAsia" w:asciiTheme="minorEastAsia" w:hAnsiTheme="minorEastAsia" w:eastAsiaTheme="minorEastAsia"/>
          <w:sz w:val="24"/>
        </w:rPr>
        <w:t>新安江街道办事处办公楼位于浙江省建德市新安江街道严州大道1号，办公楼房屋建筑面积6946.12平方米，另有办公楼前面区域、东侧和西侧停车场620平方米，以上共计7566.12平方米。服务内容包括各楼宇日常养护维修、环境卫生保洁服务、绿化养护、安保服务、消防消控、会务客服服务、给排水和供电等设备管理维护等。</w:t>
      </w:r>
      <w:r>
        <w:rPr>
          <w:rFonts w:hint="eastAsia" w:cs="仿宋_GB2312" w:asciiTheme="minorEastAsia" w:hAnsiTheme="minorEastAsia" w:eastAsiaTheme="minorEastAsia"/>
          <w:b/>
          <w:sz w:val="24"/>
        </w:rPr>
        <w:t>具体内容详见磋商文件。</w:t>
      </w:r>
    </w:p>
    <w:p>
      <w:pPr>
        <w:spacing w:line="360" w:lineRule="auto"/>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合同履行期限</w:t>
      </w:r>
      <w:r>
        <w:rPr>
          <w:rFonts w:hint="eastAsia" w:asciiTheme="minorEastAsia" w:hAnsiTheme="minorEastAsia" w:eastAsiaTheme="minorEastAsia"/>
          <w:sz w:val="24"/>
        </w:rPr>
        <w:t>：服务期壹年。</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本项目接受联合体投标：</w:t>
      </w:r>
      <w:r>
        <w:rPr>
          <w:rFonts w:hint="eastAsia" w:ascii="MS Mincho" w:hAnsi="MS Mincho" w:eastAsia="MS Mincho" w:cs="MS Mincho"/>
          <w:b/>
          <w:sz w:val="24"/>
        </w:rPr>
        <w:t>☐</w:t>
      </w:r>
      <w:r>
        <w:rPr>
          <w:rFonts w:hint="eastAsia" w:asciiTheme="minorEastAsia" w:hAnsiTheme="minorEastAsia" w:eastAsiaTheme="minorEastAsia"/>
          <w:b/>
          <w:sz w:val="24"/>
        </w:rPr>
        <w:t>是，</w:t>
      </w:r>
      <w:sdt>
        <w:sdtPr>
          <w:rPr>
            <w:rFonts w:hint="eastAsia" w:asciiTheme="minorEastAsia" w:hAnsiTheme="minorEastAsia" w:eastAsiaTheme="minorEastAsia"/>
            <w:b/>
            <w:sz w:val="24"/>
          </w:rPr>
          <w:id w:val="-1765526721"/>
        </w:sdtPr>
        <w:sdtEndPr>
          <w:rPr>
            <w:rFonts w:hint="eastAsia" w:asciiTheme="minorEastAsia" w:hAnsiTheme="minorEastAsia" w:eastAsiaTheme="minorEastAsia"/>
            <w:b/>
            <w:sz w:val="24"/>
          </w:rPr>
        </w:sdtEndPr>
        <w:sdtContent>
          <w:r>
            <w:rPr>
              <w:rFonts w:hint="eastAsia" w:ascii="宋体" w:hAnsi="宋体" w:cs="宋体"/>
              <w:sz w:val="24"/>
            </w:rPr>
            <w:sym w:font="Wingdings 2" w:char="0052"/>
          </w:r>
        </w:sdtContent>
      </w:sdt>
      <w:r>
        <w:rPr>
          <w:rFonts w:hint="eastAsia" w:asciiTheme="minorEastAsia" w:hAnsiTheme="minorEastAsia" w:eastAsiaTheme="minorEastAsia"/>
          <w:b/>
          <w:sz w:val="24"/>
        </w:rPr>
        <w:t>否。</w:t>
      </w:r>
    </w:p>
    <w:p>
      <w:pPr>
        <w:spacing w:line="360" w:lineRule="auto"/>
        <w:ind w:firstLine="480" w:firstLineChars="200"/>
        <w:rPr>
          <w:rFonts w:cs="宋体" w:asciiTheme="minorEastAsia" w:hAnsiTheme="minorEastAsia" w:eastAsiaTheme="minorEastAsia"/>
          <w:sz w:val="24"/>
        </w:rPr>
      </w:pPr>
      <w:bookmarkStart w:id="15" w:name="_Toc28359013"/>
      <w:bookmarkStart w:id="16" w:name="_Toc28359090"/>
      <w:bookmarkStart w:id="17" w:name="_Toc35393799"/>
      <w:bookmarkStart w:id="18" w:name="_Toc35393630"/>
      <w:r>
        <w:rPr>
          <w:rFonts w:hint="eastAsia" w:cs="宋体" w:asciiTheme="minorEastAsia" w:hAnsiTheme="minorEastAsia" w:eastAsiaTheme="minorEastAsia"/>
          <w:sz w:val="24"/>
        </w:rPr>
        <w:t>二、申请人的资格要求：</w:t>
      </w:r>
      <w:bookmarkEnd w:id="15"/>
      <w:bookmarkEnd w:id="16"/>
      <w:bookmarkEnd w:id="17"/>
      <w:bookmarkEnd w:id="18"/>
    </w:p>
    <w:p>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4" w:firstLineChars="177"/>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 ；</w:t>
      </w:r>
    </w:p>
    <w:p>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3</w:t>
      </w:r>
      <w:r>
        <w:rPr>
          <w:rFonts w:hint="eastAsia" w:cs="宋体" w:asciiTheme="minorEastAsia" w:hAnsiTheme="minorEastAsia" w:eastAsiaTheme="minorEastAsia"/>
          <w:snapToGrid w:val="0"/>
          <w:kern w:val="28"/>
          <w:sz w:val="24"/>
          <w:szCs w:val="20"/>
        </w:rPr>
        <w:t>.落实政府采购政策需满足的资格要求：</w:t>
      </w:r>
    </w:p>
    <w:p>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28616923"/>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无</w:t>
      </w:r>
      <w:r>
        <w:rPr>
          <w:rFonts w:hint="eastAsia" w:ascii="宋体" w:hAnsi="宋体" w:cs="宋体"/>
          <w:snapToGrid w:val="0"/>
          <w:kern w:val="28"/>
          <w:sz w:val="24"/>
          <w:szCs w:val="20"/>
        </w:rPr>
        <w:t>（注：不得限制大中型企业与小微企业组成联合体参与响应）</w:t>
      </w: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024704304"/>
        </w:sdtPr>
        <w:sdtEndPr>
          <w:rPr>
            <w:rFonts w:hint="eastAsia" w:cs="宋体" w:asciiTheme="minorEastAsia" w:hAnsiTheme="minorEastAsia" w:eastAsiaTheme="minorEastAsia"/>
            <w:kern w:val="0"/>
            <w:sz w:val="24"/>
          </w:rPr>
        </w:sdtEndPr>
        <w:sdtContent>
          <w:r>
            <w:rPr>
              <w:rFonts w:hint="eastAsia" w:ascii="宋体" w:hAnsi="宋体" w:cs="宋体"/>
              <w:sz w:val="24"/>
              <w:u w:val="single"/>
            </w:rPr>
            <w:sym w:font="Wingdings" w:char="00FE"/>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33685401"/>
        </w:sdtPr>
        <w:sdtEndPr>
          <w:rPr>
            <w:rFonts w:hint="eastAsia" w:cs="宋体" w:asciiTheme="minorEastAsia" w:hAnsiTheme="minorEastAsia" w:eastAsiaTheme="minorEastAsia"/>
            <w:kern w:val="0"/>
            <w:sz w:val="24"/>
          </w:rPr>
        </w:sdtEndPr>
        <w:sdtContent>
          <w:r>
            <w:rPr>
              <w:rFonts w:hint="eastAsia" w:ascii="宋体" w:hAnsi="宋体" w:cs="宋体"/>
              <w:sz w:val="24"/>
              <w:u w:val="single"/>
            </w:rPr>
            <w:sym w:font="Wingdings" w:char="00FE"/>
          </w:r>
        </w:sdtContent>
      </w:sdt>
      <w:r>
        <w:rPr>
          <w:rFonts w:hint="eastAsia" w:cs="宋体" w:asciiTheme="minorEastAsia" w:hAnsiTheme="minorEastAsia" w:eastAsiaTheme="minorEastAsia"/>
          <w:sz w:val="24"/>
        </w:rPr>
        <w:t>服务全部由符合政策要求的中小企业承接，提供中小企业声明函；</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41025358"/>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服务全部由符合政策要求的小微企业承接，提供中小企业声明函；</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85607795"/>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要求以联合体形式参加，提供联合协议和中小企业声明函，联合协议中中小企业合同金额应当达到%，其中小微企业合同金额应当达到%;</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 ，其中小微企业合同金额应当达到% ;</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视同符合了资格条件，无需再向中小企业分包，无需提供分包意向协议</w:t>
      </w: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.本项目的特定资格要求：无；</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cs="宋体" w:asciiTheme="minorEastAsia" w:hAnsiTheme="minorEastAsia" w:eastAsiaTheme="minorEastAsia"/>
          <w:sz w:val="24"/>
        </w:rPr>
      </w:pPr>
      <w:bookmarkStart w:id="19" w:name="_Toc35393631"/>
      <w:bookmarkStart w:id="20" w:name="_Toc28359091"/>
      <w:bookmarkStart w:id="21" w:name="_Toc35393800"/>
      <w:bookmarkStart w:id="22" w:name="_Toc28359014"/>
      <w:r>
        <w:rPr>
          <w:rFonts w:hint="eastAsia" w:cs="宋体" w:asciiTheme="minorEastAsia" w:hAnsiTheme="minorEastAsia" w:eastAsiaTheme="minorEastAsia"/>
          <w:sz w:val="24"/>
        </w:rPr>
        <w:t>三、获取（下载）采购文件</w:t>
      </w:r>
      <w:bookmarkEnd w:id="19"/>
      <w:bookmarkEnd w:id="20"/>
      <w:bookmarkEnd w:id="21"/>
      <w:bookmarkEnd w:id="22"/>
    </w:p>
    <w:p>
      <w:pPr>
        <w:spacing w:line="360" w:lineRule="auto"/>
        <w:ind w:firstLine="54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asciiTheme="minorEastAsia" w:hAnsiTheme="minorEastAsia" w:eastAsiaTheme="minorEastAsia"/>
          <w:sz w:val="27"/>
          <w:szCs w:val="27"/>
        </w:rPr>
        <w:t>/</w:t>
      </w:r>
      <w:r>
        <w:rPr>
          <w:rFonts w:hint="eastAsia" w:cs="宋体" w:asciiTheme="minorEastAsia" w:hAnsiTheme="minorEastAsia" w:eastAsiaTheme="minorEastAsia"/>
          <w:sz w:val="24"/>
        </w:rPr>
        <w:t>至2024年6月7日，每天上午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sz w:val="24"/>
        </w:rPr>
        <w:t>）</w:t>
      </w:r>
    </w:p>
    <w:p>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免费。</w:t>
      </w:r>
    </w:p>
    <w:p>
      <w:pPr>
        <w:spacing w:line="360" w:lineRule="auto"/>
        <w:ind w:firstLine="480" w:firstLineChars="200"/>
        <w:rPr>
          <w:rFonts w:cs="宋体" w:asciiTheme="minorEastAsia" w:hAnsiTheme="minorEastAsia" w:eastAsiaTheme="minorEastAsia"/>
          <w:sz w:val="24"/>
        </w:rPr>
      </w:pPr>
      <w:bookmarkStart w:id="23" w:name="_Toc35393801"/>
      <w:bookmarkStart w:id="24" w:name="_Toc28359015"/>
      <w:bookmarkStart w:id="25" w:name="_Toc28359092"/>
      <w:bookmarkStart w:id="26" w:name="_Toc35393632"/>
      <w:r>
        <w:rPr>
          <w:rFonts w:hint="eastAsia" w:cs="宋体" w:asciiTheme="minorEastAsia" w:hAnsiTheme="minorEastAsia" w:eastAsiaTheme="minorEastAsia"/>
          <w:sz w:val="24"/>
        </w:rPr>
        <w:t>四、响应文件提交</w:t>
      </w:r>
      <w:bookmarkEnd w:id="23"/>
      <w:bookmarkEnd w:id="24"/>
      <w:bookmarkEnd w:id="25"/>
      <w:bookmarkEnd w:id="26"/>
      <w:r>
        <w:rPr>
          <w:rFonts w:hint="eastAsia" w:cs="宋体" w:asciiTheme="minorEastAsia" w:hAnsiTheme="minorEastAsia" w:eastAsiaTheme="minorEastAsia"/>
          <w:sz w:val="24"/>
        </w:rPr>
        <w:t>（上传）</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截止时间：202</w:t>
      </w:r>
      <w:r>
        <w:rPr>
          <w:rFonts w:hint="eastAsia" w:asciiTheme="minorEastAsia" w:hAnsiTheme="minorEastAsia" w:eastAsiaTheme="minorEastAsia"/>
          <w:sz w:val="24"/>
          <w:lang w:val="en-US" w:eastAsia="zh-CN"/>
        </w:rPr>
        <w:t>4</w:t>
      </w:r>
      <w:r>
        <w:rPr>
          <w:rFonts w:hint="eastAsia" w:asciiTheme="minorEastAsia" w:hAnsiTheme="minorEastAsia" w:eastAsiaTheme="minorEastAsia"/>
          <w:bCs/>
          <w:sz w:val="24"/>
        </w:rPr>
        <w:t>年6月7日09点30分00秒（北京时间）</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sz w:val="24"/>
        </w:rPr>
        <w:t>）。</w:t>
      </w:r>
    </w:p>
    <w:p>
      <w:pPr>
        <w:spacing w:line="360" w:lineRule="auto"/>
        <w:ind w:firstLine="480" w:firstLineChars="200"/>
        <w:rPr>
          <w:rFonts w:cs="宋体" w:asciiTheme="minorEastAsia" w:hAnsiTheme="minorEastAsia" w:eastAsiaTheme="minorEastAsia"/>
          <w:sz w:val="24"/>
        </w:rPr>
      </w:pPr>
      <w:bookmarkStart w:id="27" w:name="_Toc28359093"/>
      <w:bookmarkStart w:id="28" w:name="_Toc35393633"/>
      <w:bookmarkStart w:id="29" w:name="_Toc28359016"/>
      <w:bookmarkStart w:id="30" w:name="_Toc35393802"/>
      <w:r>
        <w:rPr>
          <w:rFonts w:hint="eastAsia" w:cs="宋体" w:asciiTheme="minorEastAsia" w:hAnsiTheme="minorEastAsia" w:eastAsiaTheme="minorEastAsia"/>
          <w:sz w:val="24"/>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时间：202</w:t>
      </w:r>
      <w:r>
        <w:rPr>
          <w:rFonts w:hint="eastAsia" w:asciiTheme="minorEastAsia" w:hAnsiTheme="minorEastAsia" w:eastAsiaTheme="minorEastAsia"/>
          <w:sz w:val="24"/>
          <w:lang w:val="en-US" w:eastAsia="zh-CN"/>
        </w:rPr>
        <w:t>4</w:t>
      </w:r>
      <w:r>
        <w:rPr>
          <w:rFonts w:hint="eastAsia" w:asciiTheme="minorEastAsia" w:hAnsiTheme="minorEastAsia" w:eastAsiaTheme="minorEastAsia"/>
          <w:bCs/>
          <w:sz w:val="24"/>
        </w:rPr>
        <w:t>年6月7日09点30分00秒（北京时间）</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地点：杭州市公共资源交易中心建德分中心第四评标室[洋安社区荷映路113号3楼]，政采云平台（https://www.zcygov.cn/）。</w:t>
      </w:r>
    </w:p>
    <w:p>
      <w:pPr>
        <w:spacing w:line="360" w:lineRule="auto"/>
        <w:ind w:firstLine="480" w:firstLineChars="200"/>
        <w:rPr>
          <w:rFonts w:cs="宋体" w:asciiTheme="minorEastAsia" w:hAnsiTheme="minorEastAsia" w:eastAsiaTheme="minorEastAsia"/>
          <w:sz w:val="24"/>
        </w:rPr>
      </w:pPr>
      <w:bookmarkStart w:id="31" w:name="_Toc28359094"/>
      <w:bookmarkStart w:id="32" w:name="_Toc28359017"/>
      <w:bookmarkStart w:id="33" w:name="_Toc35393634"/>
      <w:bookmarkStart w:id="34" w:name="_Toc35393803"/>
      <w:r>
        <w:rPr>
          <w:rFonts w:hint="eastAsia" w:cs="宋体" w:asciiTheme="minorEastAsia" w:hAnsiTheme="minorEastAsia" w:eastAsiaTheme="minorEastAsia"/>
          <w:sz w:val="24"/>
        </w:rPr>
        <w:t>六、公告期限</w:t>
      </w:r>
      <w:bookmarkEnd w:id="31"/>
      <w:bookmarkEnd w:id="32"/>
      <w:bookmarkEnd w:id="33"/>
      <w:bookmarkEnd w:id="34"/>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pPr>
        <w:spacing w:line="360" w:lineRule="auto"/>
        <w:ind w:firstLine="480" w:firstLineChars="200"/>
        <w:rPr>
          <w:rFonts w:cs="宋体" w:asciiTheme="minorEastAsia" w:hAnsiTheme="minorEastAsia" w:eastAsiaTheme="minorEastAsia"/>
          <w:sz w:val="24"/>
        </w:rPr>
      </w:pPr>
      <w:bookmarkStart w:id="35" w:name="_Toc35393635"/>
      <w:bookmarkStart w:id="36" w:name="_Toc35393804"/>
      <w:r>
        <w:rPr>
          <w:rFonts w:hint="eastAsia" w:cs="宋体" w:asciiTheme="minorEastAsia" w:hAnsiTheme="minorEastAsia" w:eastAsiaTheme="minorEastAsia"/>
          <w:sz w:val="24"/>
        </w:rPr>
        <w:t>七、其他补充事宜</w:t>
      </w:r>
      <w:bookmarkEnd w:id="35"/>
      <w:bookmarkEnd w:id="36"/>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 xml:space="preserve"> 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sz w:val="24"/>
        </w:rPr>
      </w:pPr>
      <w:r>
        <w:rPr>
          <w:rFonts w:hint="eastAsia" w:cs="宋体" w:asciiTheme="minorEastAsia" w:hAnsiTheme="minorEastAsia" w:eastAsiaTheme="minorEastAsia"/>
          <w:b/>
          <w:kern w:val="0"/>
          <w:sz w:val="24"/>
        </w:rPr>
        <w:t>4. 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对未按上述方式获取磋商文件的供应商对该文件提出的质疑，采购人或采购代理机构将不予处理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rPr>
        <w:t>（3磋商文件公告期限与磋商公告的公告期限一致。</w:t>
      </w:r>
    </w:p>
    <w:p>
      <w:pPr>
        <w:spacing w:line="360" w:lineRule="auto"/>
        <w:ind w:firstLine="480" w:firstLineChars="200"/>
        <w:rPr>
          <w:rFonts w:cs="宋体" w:asciiTheme="minorEastAsia" w:hAnsiTheme="minorEastAsia" w:eastAsiaTheme="minorEastAsia"/>
          <w:sz w:val="24"/>
        </w:rPr>
      </w:pPr>
      <w:bookmarkStart w:id="37" w:name="_Toc35393636"/>
      <w:bookmarkStart w:id="38" w:name="_Toc35393805"/>
      <w:bookmarkStart w:id="39" w:name="_Toc28359095"/>
      <w:bookmarkStart w:id="40" w:name="_Toc28359018"/>
      <w:r>
        <w:rPr>
          <w:rFonts w:hint="eastAsia" w:cs="宋体" w:asciiTheme="minorEastAsia" w:hAnsiTheme="minorEastAsia" w:eastAsiaTheme="minorEastAsia"/>
          <w:sz w:val="24"/>
        </w:rPr>
        <w:t>八、凡对本次采购提出询问、质疑、投诉，请按以下方式联系</w:t>
      </w:r>
      <w:bookmarkEnd w:id="37"/>
      <w:bookmarkEnd w:id="38"/>
      <w:bookmarkEnd w:id="39"/>
      <w:bookmarkEnd w:id="40"/>
    </w:p>
    <w:p>
      <w:pPr>
        <w:pStyle w:val="5"/>
        <w:numPr>
          <w:ilvl w:val="0"/>
          <w:numId w:val="0"/>
        </w:numPr>
        <w:ind w:left="432" w:hanging="432"/>
        <w:rPr>
          <w:rFonts w:cs="宋体" w:asciiTheme="minorEastAsia" w:hAnsiTheme="minorEastAsia" w:eastAsiaTheme="minorEastAsia"/>
          <w:sz w:val="24"/>
          <w:szCs w:val="24"/>
        </w:rPr>
      </w:pPr>
      <w:bookmarkStart w:id="41" w:name="_Toc28359096"/>
      <w:bookmarkStart w:id="42" w:name="_Toc35393637"/>
      <w:bookmarkStart w:id="43" w:name="_Toc28359019"/>
      <w:bookmarkStart w:id="44" w:name="_Toc35393806"/>
      <w:r>
        <w:rPr>
          <w:rFonts w:hint="eastAsia" w:cs="宋体" w:asciiTheme="minorEastAsia" w:hAnsiTheme="minorEastAsia" w:eastAsiaTheme="minorEastAsia"/>
          <w:sz w:val="24"/>
          <w:szCs w:val="24"/>
        </w:rPr>
        <w:t>1.采购人信息</w:t>
      </w:r>
      <w:bookmarkEnd w:id="41"/>
      <w:bookmarkEnd w:id="42"/>
      <w:bookmarkEnd w:id="43"/>
      <w:bookmarkEnd w:id="44"/>
      <w:r>
        <w:rPr>
          <w:rFonts w:hint="eastAsia" w:cs="宋体"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    称：建德市人民政府新安江街道办事处</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址：建德市新安江街道严州大道1号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传    真：/</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项目联系人（询问）：余工</w:t>
      </w:r>
      <w:r>
        <w:rPr>
          <w:rFonts w:asciiTheme="minorEastAsia" w:hAnsiTheme="minorEastAsia" w:eastAsiaTheme="minorEastAsia"/>
          <w:sz w:val="24"/>
        </w:rPr>
        <w:t xml:space="preserve"> </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项目联系方式（询问）：0571-89607421</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质疑联系人：  吴工</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质疑联系方式：0571-89607961</w:t>
      </w:r>
    </w:p>
    <w:p>
      <w:pPr>
        <w:pStyle w:val="5"/>
        <w:numPr>
          <w:ilvl w:val="0"/>
          <w:numId w:val="0"/>
        </w:numPr>
        <w:rPr>
          <w:rFonts w:cs="宋体" w:asciiTheme="minorEastAsia" w:hAnsiTheme="minorEastAsia" w:eastAsiaTheme="minorEastAsia"/>
          <w:sz w:val="24"/>
        </w:rPr>
      </w:pPr>
      <w:bookmarkStart w:id="45" w:name="_Toc35393638"/>
      <w:bookmarkStart w:id="46" w:name="_Toc28359097"/>
      <w:bookmarkStart w:id="47" w:name="_Toc35393807"/>
      <w:bookmarkStart w:id="48" w:name="_Toc28359020"/>
      <w:r>
        <w:rPr>
          <w:rFonts w:hint="eastAsia" w:cs="宋体" w:asciiTheme="minorEastAsia" w:hAnsiTheme="minorEastAsia" w:eastAsiaTheme="minorEastAsia"/>
          <w:sz w:val="24"/>
          <w:szCs w:val="24"/>
        </w:rPr>
        <w:t>2.采购代理机构信息</w:t>
      </w:r>
      <w:bookmarkEnd w:id="45"/>
      <w:bookmarkEnd w:id="46"/>
      <w:bookmarkEnd w:id="47"/>
      <w:bookmarkEnd w:id="48"/>
      <w:r>
        <w:rPr>
          <w:rFonts w:hint="eastAsia" w:cs="宋体"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名    称：杭州市公共资源交易中心建德分中心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w:t>
      </w:r>
      <w:r>
        <w:rPr>
          <w:rFonts w:hint="eastAsia" w:ascii="宋体" w:hAnsi="宋体" w:cs="宋体"/>
          <w:sz w:val="24"/>
        </w:rPr>
        <w:t>浙江省建德市洋溪街道荷映路113号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传    真：/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项目联系人（询问）：邵璐</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项目联系方式（询问）： 0571-64780093</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质疑联系人：王雪凤</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质疑联系方式：0571-64780093</w:t>
      </w:r>
    </w:p>
    <w:p>
      <w:pPr>
        <w:spacing w:line="360" w:lineRule="auto"/>
        <w:rPr>
          <w:rFonts w:asciiTheme="minorEastAsia" w:hAnsiTheme="minorEastAsia" w:eastAsiaTheme="minorEastAsia"/>
          <w:b/>
          <w:sz w:val="24"/>
        </w:rPr>
      </w:pPr>
      <w:bookmarkStart w:id="49" w:name="_Toc28359098"/>
      <w:bookmarkStart w:id="50" w:name="_Toc28359021"/>
      <w:bookmarkStart w:id="51" w:name="_Toc35393639"/>
      <w:bookmarkStart w:id="52" w:name="_Toc35393808"/>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bookmarkEnd w:id="49"/>
    <w:bookmarkEnd w:id="50"/>
    <w:bookmarkEnd w:id="51"/>
    <w:bookmarkEnd w:id="52"/>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名    称：建德市财政局、浙江省政府采购行政裁决服务中心（杭州）</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地    址：杭州市上城区四季青街道新业路市民之家G03办公室（快递仅限ems或顺丰）</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传    真：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 ：朱女士、王女士</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监督投诉电话：电话：0571-85252453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若对项目采购电子交易系统操作有疑问，可登录政采云（https://www.zcygov.cn/），点击右侧咨询小采，获取采小蜜智能服务管家帮助，或拨打政采云服务热线95763获取热线服务帮助。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CA问题联系电话（人工）：汇信CA 400-888-4636；天谷CA 400-087-8198。</w:t>
      </w:r>
    </w:p>
    <w:p>
      <w:pPr>
        <w:spacing w:line="360" w:lineRule="auto"/>
        <w:ind w:firstLine="480" w:firstLineChars="200"/>
        <w:rPr>
          <w:rFonts w:cs="仿宋_GB2312" w:asciiTheme="minorEastAsia" w:hAnsiTheme="minorEastAsia" w:eastAsiaTheme="minorEastAsia"/>
          <w:sz w:val="24"/>
        </w:rPr>
      </w:pPr>
    </w:p>
    <w:p>
      <w:pPr>
        <w:spacing w:line="360" w:lineRule="auto"/>
        <w:ind w:firstLine="480" w:firstLineChars="200"/>
        <w:rPr>
          <w:rFonts w:cs="仿宋_GB2312" w:asciiTheme="minorEastAsia" w:hAnsiTheme="minorEastAsia" w:eastAsiaTheme="minorEastAsia"/>
          <w:sz w:val="24"/>
        </w:rPr>
      </w:pP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由采购人、采购代理机构在省级以上人民政府财政部门指定的政府采购信息发布媒体上发布磋商公告，邀请符合相应资格条件的供应商参与竞争性磋商采购活动。</w:t>
      </w:r>
    </w:p>
    <w:p>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由采购人、采购代理机构从省级以上财政部门建立的供应商库中随机抽取不少于3家符合相应资格条件的供应商参与竞争性磋商采购活动。</w:t>
      </w:r>
    </w:p>
    <w:p>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3.2采购代理机构宣布有关纪律以及磋商、评审工作程序。</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3.3磋商小组审查确认磋商文件。磋商文件内容违反国家有关强制性规定的，磋商小组应当停止评审并向采购代理机构说明情况。</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3.13采购代理机构唱价。</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2"/>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pPr>
        <w:pStyle w:val="392"/>
        <w:spacing w:before="0"/>
        <w:ind w:firstLine="0" w:firstLineChars="0"/>
        <w:rPr>
          <w:rFonts w:asciiTheme="minorEastAsia" w:hAnsiTheme="minorEastAsia" w:eastAsiaTheme="minorEastAsia"/>
          <w:b/>
        </w:rPr>
      </w:pPr>
    </w:p>
    <w:p>
      <w:pPr>
        <w:widowControl/>
        <w:adjustRightInd/>
        <w:jc w:val="left"/>
        <w:rPr>
          <w:rFonts w:asciiTheme="minorEastAsia" w:hAnsiTheme="minorEastAsia" w:eastAsiaTheme="minorEastAsia"/>
          <w:sz w:val="24"/>
        </w:rPr>
      </w:pPr>
    </w:p>
    <w:p>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w:pict>
          <v:shape id="_x0000_s1026" o:spid="_x0000_s1026" o:spt="202" type="#_x0000_t202" style="position:absolute;left:0pt;margin-left:131.15pt;margin-top:461.35pt;height:20.6pt;width:38.75pt;z-index:251662336;mso-width-relative:page;mso-height-relative:page;" fillcolor="#F8FCFD" fill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GYnQm2gAAAAsBAAAPAAAAAAAAAAEA&#10;IAAAACIAAABkcnMvZG93bnJldi54bWxQSwECFAAUAAAACACHTuJAFntzOH8CAAD9BAAADgAAAAAA&#10;AAABACAAAAApAQAAZHJzL2Uyb0RvYy54bWxQSwUGAAAAAAYABgBZAQAAGgYAAAAA&#10;">
            <v:path/>
            <v:fill on="t" focussize="0,0"/>
            <v:stroke weight="0.5pt" joinstyle="round"/>
            <v:imagedata o:title=""/>
            <o:lock v:ext="edit"/>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cs="仿宋_GB2312" w:asciiTheme="minorEastAsia" w:hAnsiTheme="minorEastAsia" w:eastAsiaTheme="minorEastAsia"/>
          <w:b/>
          <w:sz w:val="36"/>
          <w:szCs w:val="20"/>
        </w:rPr>
        <w:pict>
          <v:shape id="_x0000_s1057" o:spid="_x0000_s1057" o:spt="32" type="#_x0000_t32" style="position:absolute;left:0pt;margin-left:149.5pt;margin-top:440.6pt;height:20.65pt;width:0pt;z-index:251682816;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BpLXWBkC&#10;AAANBAAADgAAAAAAAAABACAAAAApAQAAZHJzL2Uyb0RvYy54bWxQSwUGAAAAAAYABgBZAQAAtAUA&#10;AAAA&#10;">
            <v:path arrowok="t"/>
            <v:fill on="f" focussize="0,0"/>
            <v:stroke color="#457BBA" endarrow="open"/>
            <v:imagedata o:title=""/>
            <o:lock v:ext="edit"/>
          </v:shape>
        </w:pict>
      </w:r>
      <w:r>
        <w:rPr>
          <w:rFonts w:cs="仿宋_GB2312" w:asciiTheme="minorEastAsia" w:hAnsiTheme="minorEastAsia" w:eastAsiaTheme="minorEastAsia"/>
          <w:b/>
          <w:sz w:val="36"/>
          <w:szCs w:val="20"/>
        </w:rPr>
        <w:pict>
          <v:shape id="_x0000_s1056" o:spid="_x0000_s1056" o:spt="202" type="#_x0000_t202" style="position:absolute;left:0pt;margin-left:131pt;margin-top:419.85pt;height:20.6pt;width:38.75pt;z-index:251663360;mso-width-relative:page;mso-height-relative:page;" fillcolor="#F8FCFD" fill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path/>
            <v:fill on="t" focussize="0,0"/>
            <v:stroke weight="0.5pt" joinstyle="round"/>
            <v:imagedata o:title=""/>
            <o:lock v:ext="edit"/>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cs="仿宋_GB2312" w:asciiTheme="minorEastAsia" w:hAnsiTheme="minorEastAsia" w:eastAsiaTheme="minorEastAsia"/>
          <w:b/>
          <w:sz w:val="36"/>
          <w:szCs w:val="20"/>
        </w:rPr>
        <w:pict>
          <v:shape id="_x0000_s1055" o:spid="_x0000_s1055" o:spt="202" type="#_x0000_t202" style="position:absolute;left:0pt;margin-left:108.7pt;margin-top:378.15pt;height:20.65pt;width:84.45pt;z-index:251679744;mso-width-relative:page;mso-height-relative:page;" fillcolor="#F8FCFD" fill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luqNoAAAALAQAADwAAAAAAAAABACAA&#10;AAAiAAAAZHJzL2Rvd25yZXYueG1sUEsBAhQAFAAAAAgAh07iQB9fIDp9AgAAAAUAAA4AAAAAAAAA&#10;AQAgAAAAKQEAAGRycy9lMm9Eb2MueG1sUEsFBgAAAAAGAAYAWQEAABgGAAAAAA==&#10;">
            <v:path/>
            <v:fill on="t" focussize="0,0"/>
            <v:stroke weight="0.5pt" joinstyle="round"/>
            <v:imagedata o:title=""/>
            <o:lock v:ext="edit"/>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cs="仿宋_GB2312" w:asciiTheme="minorEastAsia" w:hAnsiTheme="minorEastAsia" w:eastAsiaTheme="minorEastAsia"/>
          <w:b/>
          <w:sz w:val="36"/>
          <w:szCs w:val="20"/>
        </w:rPr>
        <w:pict>
          <v:shape id="_x0000_s1054" o:spid="_x0000_s1054" o:spt="202" type="#_x0000_t202" style="position:absolute;left:0pt;margin-left:91.3pt;margin-top:338pt;height:20.6pt;width:124.55pt;z-index:251676672;mso-width-relative:page;mso-height-relative:page;" fillcolor="#F8FCFD" fill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path/>
            <v:fill on="t" focussize="0,0"/>
            <v:stroke weight="0.5pt" joinstyle="round"/>
            <v:imagedata o:title=""/>
            <o:lock v:ext="edit"/>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cs="仿宋_GB2312" w:asciiTheme="minorEastAsia" w:hAnsiTheme="minorEastAsia" w:eastAsiaTheme="minorEastAsia"/>
          <w:b/>
          <w:sz w:val="36"/>
          <w:szCs w:val="20"/>
        </w:rPr>
        <w:pict>
          <v:shape id="_x0000_s1053" o:spid="_x0000_s1053" o:spt="202" type="#_x0000_t202" style="position:absolute;left:0pt;margin-left:108.95pt;margin-top:295.3pt;height:20.65pt;width:84.45pt;z-index:251677696;mso-width-relative:page;mso-height-relative:page;" fillcolor="#F8FCFD" fill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Xoit2wAAAAsBAAAPAAAAAAAAAAEA&#10;IAAAACIAAABkcnMvZG93bnJldi54bWxQSwECFAAUAAAACACHTuJAdTcsVX4CAAAABQAADgAAAAAA&#10;AAABACAAAAAqAQAAZHJzL2Uyb0RvYy54bWxQSwUGAAAAAAYABgBZAQAAGgYAAAAA&#10;">
            <v:path/>
            <v:fill on="t" focussize="0,0"/>
            <v:stroke weight="0.5pt" joinstyle="round"/>
            <v:imagedata o:title=""/>
            <o:lock v:ext="edit"/>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cs="仿宋_GB2312" w:asciiTheme="minorEastAsia" w:hAnsiTheme="minorEastAsia" w:eastAsiaTheme="minorEastAsia"/>
          <w:b/>
          <w:sz w:val="36"/>
          <w:szCs w:val="20"/>
        </w:rPr>
        <w:pict>
          <v:shape id="_x0000_s1052" o:spid="_x0000_s1052" o:spt="202" type="#_x0000_t202" style="position:absolute;left:0pt;margin-left:110.15pt;margin-top:254pt;height:20.65pt;width:84.5pt;z-index:251664384;mso-width-relative:page;mso-height-relative:page;" fillcolor="#F8FCFD" fill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path/>
            <v:fill on="t" focussize="0,0"/>
            <v:stroke weight="0.5pt" joinstyle="round"/>
            <v:imagedata o:title=""/>
            <o:lock v:ext="edit"/>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cs="仿宋_GB2312" w:asciiTheme="minorEastAsia" w:hAnsiTheme="minorEastAsia" w:eastAsiaTheme="minorEastAsia"/>
          <w:b/>
          <w:sz w:val="36"/>
          <w:szCs w:val="20"/>
        </w:rPr>
        <w:pict>
          <v:shape id="_x0000_s1051" o:spid="_x0000_s1051" o:spt="202" type="#_x0000_t202" style="position:absolute;left:0pt;margin-left:98.2pt;margin-top:212.9pt;height:20.6pt;width:114.45pt;z-index:251673600;mso-width-relative:page;mso-height-relative:page;" fillcolor="#F8FCFD" fill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path/>
            <v:fill on="t" focussize="0,0"/>
            <v:stroke weight="0.5pt" joinstyle="round"/>
            <v:imagedata o:title=""/>
            <o:lock v:ext="edit"/>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cs="仿宋_GB2312" w:asciiTheme="minorEastAsia" w:hAnsiTheme="minorEastAsia" w:eastAsiaTheme="minorEastAsia"/>
          <w:b/>
          <w:sz w:val="36"/>
          <w:szCs w:val="20"/>
        </w:rPr>
        <w:pict>
          <v:shape id="_x0000_s1050" o:spid="_x0000_s1050" o:spt="202" type="#_x0000_t202" style="position:absolute;left:0pt;margin-left:108.9pt;margin-top:171.55pt;height:20.65pt;width:85.75pt;z-index:251672576;mso-width-relative:page;mso-height-relative:page;" fillcolor="#F8FCFD" fill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path/>
            <v:fill on="t" focussize="0,0"/>
            <v:stroke weight="0.5pt" joinstyle="round"/>
            <v:imagedata o:title=""/>
            <o:lock v:ext="edit"/>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w:r>
      <w:r>
        <w:rPr>
          <w:rFonts w:cs="仿宋_GB2312" w:asciiTheme="minorEastAsia" w:hAnsiTheme="minorEastAsia" w:eastAsiaTheme="minorEastAsia"/>
          <w:b/>
          <w:sz w:val="36"/>
          <w:szCs w:val="20"/>
        </w:rPr>
        <w:pict>
          <v:shape id="_x0000_s1049" o:spid="_x0000_s1049" o:spt="202" type="#_x0000_t202" style="position:absolute;left:0pt;margin-left:109.85pt;margin-top:131.3pt;height:20.65pt;width:85.7pt;z-index:251681792;mso-width-relative:page;mso-height-relative:page;" fillcolor="#F8FCFD" fill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path/>
            <v:fill on="t" focussize="0,0"/>
            <v:stroke weight="0.5pt" joinstyle="round"/>
            <v:imagedata o:title=""/>
            <o:lock v:ext="edit"/>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asciiTheme="minorEastAsia" w:hAnsiTheme="minorEastAsia" w:eastAsiaTheme="minorEastAsia"/>
          <w:sz w:val="24"/>
        </w:rPr>
        <w:pict>
          <v:shape id="_x0000_s1048" o:spid="_x0000_s1048" o:spt="32" type="#_x0000_t32" style="position:absolute;left:0pt;margin-left:150.1pt;margin-top:399.1pt;height:20.6pt;width:0pt;z-index:251680768;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path arrowok="t"/>
            <v:fill on="f" focussize="0,0"/>
            <v:stroke color="#457BBA" endarrow="open"/>
            <v:imagedata o:title=""/>
            <o:lock v:ext="edit"/>
          </v:shape>
        </w:pict>
      </w:r>
      <w:r>
        <w:rPr>
          <w:rFonts w:asciiTheme="minorEastAsia" w:hAnsiTheme="minorEastAsia" w:eastAsiaTheme="minorEastAsia"/>
          <w:sz w:val="24"/>
        </w:rPr>
        <w:pict>
          <v:shape id="_x0000_s1047" o:spid="_x0000_s1047" o:spt="32" type="#_x0000_t32" style="position:absolute;left:0pt;margin-left:150pt;margin-top:357.65pt;height:20.6pt;width:0pt;z-index:251661312;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path arrowok="t"/>
            <v:fill on="f" focussize="0,0"/>
            <v:stroke color="#457BBA" endarrow="open"/>
            <v:imagedata o:title=""/>
            <o:lock v:ext="edit"/>
          </v:shape>
        </w:pict>
      </w:r>
      <w:r>
        <w:rPr>
          <w:rFonts w:cs="仿宋_GB2312" w:asciiTheme="minorEastAsia" w:hAnsiTheme="minorEastAsia" w:eastAsiaTheme="minorEastAsia"/>
          <w:b/>
          <w:sz w:val="36"/>
          <w:szCs w:val="20"/>
        </w:rPr>
        <w:pict>
          <v:shape id="_x0000_s1046" o:spid="_x0000_s1046" o:spt="202" type="#_x0000_t202" style="position:absolute;left:0pt;margin-left:110.65pt;margin-top:6.65pt;height:20.65pt;width:85.75pt;z-index:251660288;mso-width-relative:page;mso-height-relative:page;" fillcolor="#F8FCFD" filled="t" coordsize="21600,21600" o:gfxdata="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EuCIE2AAAAAkBAAAPAAAAAAAAAAEAIAAA&#10;ACIAAABkcnMvZG93bnJldi54bWxQSwECFAAUAAAACACHTuJAEsPtMn4CAAAABQAADgAAAAAAAAAB&#10;ACAAAAAnAQAAZHJzL2Uyb0RvYy54bWxQSwUGAAAAAAYABgBZAQAAFwYAAAAA&#10;">
            <v:path/>
            <v:fill on="t" focussize="0,0"/>
            <v:stroke weight="0.5pt" joinstyle="round"/>
            <v:imagedata o:title=""/>
            <o:lock v:ext="edit"/>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w:r>
      <w:r>
        <w:rPr>
          <w:rFonts w:cs="仿宋_GB2312" w:asciiTheme="minorEastAsia" w:hAnsiTheme="minorEastAsia" w:eastAsiaTheme="minorEastAsia"/>
          <w:b/>
          <w:sz w:val="36"/>
          <w:szCs w:val="20"/>
        </w:rPr>
        <w:pict>
          <v:shape id="_x0000_s1045" o:spid="_x0000_s1045" o:spt="202" type="#_x0000_t202" style="position:absolute;left:0pt;margin-left:110.65pt;margin-top:89.3pt;height:20.65pt;width:85.7pt;z-index:251665408;mso-width-relative:page;mso-height-relative:page;" fillcolor="#F8FCFD" fill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path/>
            <v:fill on="t" focussize="0,0"/>
            <v:stroke weight="0.5pt" joinstyle="round"/>
            <v:imagedata o:title=""/>
            <o:lock v:ext="edit"/>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cs="仿宋_GB2312" w:asciiTheme="minorEastAsia" w:hAnsiTheme="minorEastAsia" w:eastAsiaTheme="minorEastAsia"/>
          <w:b/>
          <w:sz w:val="36"/>
          <w:szCs w:val="20"/>
        </w:rPr>
        <w:pict>
          <v:shape id="_x0000_s1044" o:spid="_x0000_s1044" o:spt="202" type="#_x0000_t202" style="position:absolute;left:0pt;margin-left:111.9pt;margin-top:48pt;height:20.65pt;width:84.5pt;z-index:251666432;mso-width-relative:page;mso-height-relative:page;" fillcolor="#F8FCFD" filled="t" coordsize="21600,21600" o:gfxdata="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Uo2h09kAAAAKAQAADwAAAAAAAAABACAA&#10;AAAiAAAAZHJzL2Rvd25yZXYueG1sUEsBAhQAFAAAAAgAh07iQFwmpLJ+AgAAAAUAAA4AAAAAAAAA&#10;AQAgAAAAKAEAAGRycy9lMm9Eb2MueG1sUEsFBgAAAAAGAAYAWQEAABgGAAAAAA==&#10;">
            <v:path/>
            <v:fill on="t" focussize="0,0"/>
            <v:stroke weight="0.5pt" joinstyle="round"/>
            <v:imagedata o:title=""/>
            <o:lock v:ext="edit"/>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cs="仿宋_GB2312" w:asciiTheme="minorEastAsia" w:hAnsiTheme="minorEastAsia" w:eastAsiaTheme="minorEastAsia"/>
          <w:b/>
          <w:sz w:val="36"/>
          <w:szCs w:val="20"/>
        </w:rPr>
        <w:pict>
          <v:shape id="_x0000_s1043" o:spid="_x0000_s1043" o:spt="32" type="#_x0000_t32" style="position:absolute;left:0pt;margin-left:151.95pt;margin-top:27.3pt;height:20.65pt;width:0pt;z-index:251667456;mso-width-relative:page;mso-height-relative:page;" filled="f" stroked="t" coordsize="21600,21600" o:gfxdata="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Oj4TdoAAAAJ&#10;AQAADwAAAAAAAAABACAAAAAiAAAAZHJzL2Rvd25yZXYueG1sUEsBAhQAFAAAAAgAh07iQDfr9JMa&#10;AgAADwQAAA4AAAAAAAAAAQAgAAAAKQEAAGRycy9lMm9Eb2MueG1sUEsFBgAAAAAGAAYAWQEAALUF&#10;AAAAAA==&#10;">
            <v:path arrowok="t"/>
            <v:fill on="f" focussize="0,0"/>
            <v:stroke color="#457BBA" endarrow="open"/>
            <v:imagedata o:title=""/>
            <o:lock v:ext="edit"/>
          </v:shape>
        </w:pict>
      </w:r>
      <w:r>
        <w:rPr>
          <w:rFonts w:cs="仿宋_GB2312" w:asciiTheme="minorEastAsia" w:hAnsiTheme="minorEastAsia" w:eastAsiaTheme="minorEastAsia"/>
          <w:b/>
          <w:sz w:val="36"/>
          <w:szCs w:val="20"/>
        </w:rPr>
        <w:pict>
          <v:shape id="_x0000_s1042" o:spid="_x0000_s1042" o:spt="32" type="#_x0000_t32" style="position:absolute;left:0pt;margin-left:151.95pt;margin-top:68.65pt;height:20.65pt;width:0pt;z-index:251668480;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path arrowok="t"/>
            <v:fill on="f" focussize="0,0"/>
            <v:stroke color="#457BBA" endarrow="open"/>
            <v:imagedata o:title=""/>
            <o:lock v:ext="edit"/>
          </v:shape>
        </w:pict>
      </w:r>
      <w:r>
        <w:rPr>
          <w:rFonts w:cs="仿宋_GB2312" w:asciiTheme="minorEastAsia" w:hAnsiTheme="minorEastAsia" w:eastAsiaTheme="minorEastAsia"/>
          <w:b/>
          <w:sz w:val="36"/>
          <w:szCs w:val="20"/>
        </w:rPr>
        <w:pict>
          <v:shape id="_x0000_s1041" o:spid="_x0000_s1041" o:spt="32" type="#_x0000_t32" style="position:absolute;left:0pt;margin-left:150.1pt;margin-top:191.95pt;height:20.65pt;width:0pt;z-index:251669504;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path arrowok="t"/>
            <v:fill on="f" focussize="0,0"/>
            <v:stroke color="#457BBA" endarrow="open"/>
            <v:imagedata o:title=""/>
            <o:lock v:ext="edit"/>
          </v:shape>
        </w:pict>
      </w:r>
      <w:r>
        <w:rPr>
          <w:rFonts w:cs="仿宋_GB2312" w:asciiTheme="minorEastAsia" w:hAnsiTheme="minorEastAsia" w:eastAsiaTheme="minorEastAsia"/>
          <w:b/>
          <w:sz w:val="36"/>
          <w:szCs w:val="20"/>
        </w:rPr>
        <w:pict>
          <v:shape id="_x0000_s1040" o:spid="_x0000_s1040" o:spt="32" type="#_x0000_t32" style="position:absolute;left:0pt;margin-left:150.1pt;margin-top:151.3pt;height:20.65pt;width:0pt;z-index:251670528;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path arrowok="t"/>
            <v:fill on="f" focussize="0,0"/>
            <v:stroke color="#457BBA" endarrow="open"/>
            <v:imagedata o:title=""/>
            <o:lock v:ext="edit"/>
          </v:shape>
        </w:pict>
      </w:r>
      <w:r>
        <w:rPr>
          <w:rFonts w:cs="仿宋_GB2312" w:asciiTheme="minorEastAsia" w:hAnsiTheme="minorEastAsia" w:eastAsiaTheme="minorEastAsia"/>
          <w:b/>
          <w:sz w:val="36"/>
          <w:szCs w:val="20"/>
        </w:rPr>
        <w:pict>
          <v:shape id="_x0000_s1039" o:spid="_x0000_s1039" o:spt="32" type="#_x0000_t32" style="position:absolute;left:0pt;margin-left:150.1pt;margin-top:109.95pt;height:20.65pt;width:0pt;z-index:251671552;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path arrowok="t"/>
            <v:fill on="f" focussize="0,0"/>
            <v:stroke color="#457BBA" endarrow="open"/>
            <v:imagedata o:title=""/>
            <o:lock v:ext="edit"/>
          </v:shape>
        </w:pict>
      </w:r>
      <w:r>
        <w:rPr>
          <w:rFonts w:cs="仿宋_GB2312" w:asciiTheme="minorEastAsia" w:hAnsiTheme="minorEastAsia" w:eastAsiaTheme="minorEastAsia"/>
          <w:b/>
          <w:sz w:val="36"/>
          <w:szCs w:val="20"/>
        </w:rPr>
        <w:pict>
          <v:shape id="_x0000_s1038" o:spid="_x0000_s1038" o:spt="32" type="#_x0000_t32" style="position:absolute;left:0pt;margin-left:150.1pt;margin-top:274.6pt;height:20.65pt;width:0pt;z-index:251674624;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path arrowok="t"/>
            <v:fill on="f" focussize="0,0"/>
            <v:stroke color="#457BBA" endarrow="open"/>
            <v:imagedata o:title=""/>
            <o:lock v:ext="edit"/>
          </v:shape>
        </w:pict>
      </w:r>
      <w:r>
        <w:rPr>
          <w:rFonts w:cs="仿宋_GB2312" w:asciiTheme="minorEastAsia" w:hAnsiTheme="minorEastAsia" w:eastAsiaTheme="minorEastAsia"/>
          <w:b/>
          <w:sz w:val="36"/>
          <w:szCs w:val="20"/>
        </w:rPr>
        <w:pict>
          <v:shape id="_x0000_s1037" o:spid="_x0000_s1037" o:spt="32" type="#_x0000_t32" style="position:absolute;left:0pt;margin-left:150.1pt;margin-top:233.3pt;height:20.65pt;width:0pt;z-index:251675648;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path arrowok="t"/>
            <v:fill on="f" focussize="0,0"/>
            <v:stroke color="#457BBA" endarrow="open"/>
            <v:imagedata o:title=""/>
            <o:lock v:ext="edit"/>
          </v:shape>
        </w:pict>
      </w:r>
      <w:r>
        <w:rPr>
          <w:rFonts w:cs="仿宋_GB2312" w:asciiTheme="minorEastAsia" w:hAnsiTheme="minorEastAsia" w:eastAsiaTheme="minorEastAsia"/>
          <w:b/>
          <w:sz w:val="36"/>
          <w:szCs w:val="20"/>
        </w:rPr>
        <w:pict>
          <v:shape id="_x0000_s1036" o:spid="_x0000_s1036" o:spt="32" type="#_x0000_t32" style="position:absolute;left:0pt;margin-left:150.1pt;margin-top:315.95pt;height:20.65pt;width:0pt;z-index:251678720;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path arrowok="t"/>
            <v:fill on="f" focussize="0,0"/>
            <v:stroke color="#457BBA" endarrow="open"/>
            <v:imagedata o:title=""/>
            <o:lock v:ext="edit"/>
          </v:shape>
        </w:pict>
      </w:r>
      <w:r>
        <w:rPr>
          <w:rFonts w:hint="eastAsia" w:cs="仿宋_GB2312" w:asciiTheme="minorEastAsia" w:hAnsiTheme="minorEastAsia" w:eastAsiaTheme="minorEastAsia"/>
          <w:b/>
          <w:sz w:val="36"/>
          <w:szCs w:val="20"/>
        </w:rPr>
        <w:br w:type="page"/>
      </w:r>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bCs/>
                <w:kern w:val="0"/>
                <w:sz w:val="24"/>
              </w:rPr>
            </w:pPr>
            <w:r>
              <w:rPr>
                <w:rFonts w:hint="eastAsia" w:cs="宋体" w:asciiTheme="minorEastAsia" w:hAnsiTheme="minorEastAsia" w:eastAsiaTheme="minorEastAsia"/>
                <w:kern w:val="0"/>
                <w:sz w:val="24"/>
              </w:rPr>
              <w:t>（1）标的：</w:t>
            </w:r>
            <w:r>
              <w:rPr>
                <w:rFonts w:hint="eastAsia" w:asciiTheme="minorEastAsia" w:hAnsiTheme="minorEastAsia" w:eastAsiaTheme="minorEastAsia"/>
                <w:sz w:val="24"/>
              </w:rPr>
              <w:t>2024年建德市新安江街道办公楼物业保洁服务项目</w:t>
            </w:r>
            <w:r>
              <w:rPr>
                <w:rFonts w:hint="eastAsia" w:cs="宋体" w:asciiTheme="minorEastAsia" w:hAnsiTheme="minorEastAsia" w:eastAsiaTheme="minorEastAsia"/>
                <w:kern w:val="0"/>
                <w:sz w:val="24"/>
              </w:rPr>
              <w:t>，属于物业管理行业；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828425707"/>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94718986"/>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sdtContent>
            </w:sdt>
            <w:r>
              <w:rPr>
                <w:rFonts w:hint="eastAsia" w:cs="宋体" w:asciiTheme="minorEastAsia" w:hAnsiTheme="minorEastAsia" w:eastAsiaTheme="minorEastAsia"/>
                <w:kern w:val="0"/>
                <w:sz w:val="24"/>
              </w:rPr>
              <w:t>本项目不允许采购进口产品。</w:t>
            </w:r>
          </w:p>
          <w:p>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52852824"/>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09032407"/>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color w:val="FF0000"/>
                      <w:kern w:val="0"/>
                      <w:sz w:val="24"/>
                    </w:rPr>
                    <w:id w:val="-1477286927"/>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kern w:val="0"/>
                        <w:sz w:val="24"/>
                      </w:rPr>
                      <w:t>☐</w:t>
                    </w:r>
                  </w:sdtContent>
                </w:sdt>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同意将非主体、非关键性的工作分包。</w:t>
            </w:r>
          </w:p>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4718984"/>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不同意分包。</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2966419"/>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94718988"/>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999802974"/>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时间：,地点：，联系人：，联系方式：</w:t>
            </w:r>
            <w:r>
              <w:rPr>
                <w:rFonts w:hint="eastAsia" w:cs="宋体" w:asciiTheme="minorEastAsia" w:hAnsiTheme="minorEastAsia" w:eastAsiaTheme="minorEastAsia"/>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639946486"/>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B要求提供，</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评审标准</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kern w:val="0"/>
                <w:sz w:val="24"/>
              </w:rPr>
              <w:t>；地点：；联系人</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rPr>
              <w:t>。请供应商在上述时间内提供样品并按规定位置安装完毕。超过截止时间的，采购人或采购代理机构将不予接收，并将清场并封闭样品现场。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881721726"/>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spacing w:line="360" w:lineRule="auto"/>
              <w:rPr>
                <w:rFonts w:cs="宋体" w:asciiTheme="minorEastAsia" w:hAnsiTheme="minorEastAsia" w:eastAsiaTheme="minorEastAsia"/>
                <w:kern w:val="0"/>
                <w:sz w:val="24"/>
              </w:rPr>
            </w:pPr>
            <w:r>
              <w:rPr>
                <w:rFonts w:hint="eastAsia" w:ascii="MS Mincho" w:hAnsi="MS Mincho" w:eastAsia="MS Mincho" w:cs="MS Mincho"/>
                <w:kern w:val="0"/>
                <w:sz w:val="24"/>
              </w:rPr>
              <w:t>☐</w:t>
            </w:r>
            <w:r>
              <w:rPr>
                <w:rFonts w:hint="eastAsia" w:cs="宋体" w:asciiTheme="minorEastAsia" w:hAnsiTheme="minorEastAsia" w:eastAsiaTheme="minorEastAsia"/>
                <w:kern w:val="0"/>
                <w:sz w:val="24"/>
              </w:rPr>
              <w:t>B组织。</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（1）在评审时安排每个供应商进行方案讲解演示。每个供应商时间不超过</w:t>
            </w:r>
            <w:r>
              <w:rPr>
                <w:rFonts w:hint="eastAsia" w:cs="宋体" w:asciiTheme="minorEastAsia" w:hAnsiTheme="minorEastAsia" w:eastAsiaTheme="minorEastAsia"/>
                <w:kern w:val="0"/>
                <w:sz w:val="24"/>
                <w:u w:val="single"/>
              </w:rPr>
              <w:t>20</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分钟，讲解次序以响应文件解密时间先后次序为准，讲解演示人员不超过</w:t>
            </w:r>
            <w:r>
              <w:rPr>
                <w:rFonts w:hint="eastAsia" w:cs="宋体" w:asciiTheme="minorEastAsia" w:hAnsiTheme="minorEastAsia" w:eastAsiaTheme="minorEastAsia"/>
                <w:kern w:val="0"/>
                <w:sz w:val="24"/>
                <w:u w:val="single"/>
              </w:rPr>
              <w:t>3</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人。讲解演示结束后按要求解答评标委员会提问。</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方式一：政采云平台在线讲解演示。政采云平台在线讲解需供应商根据政采云平台操作要求做好准备工作，提前完善软硬件配置环境。</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方式二：交易中心现场讲解演示。现场讲解地点为，讲解演示所用电脑等设备由供应商自备。现场讲解演示人员进场时提供讲解人员名单（加盖公章或授权代表签名）及身份证明，否则不得讲解演示。</w:t>
            </w:r>
          </w:p>
          <w:p>
            <w:pPr>
              <w:snapToGrid w:val="0"/>
              <w:spacing w:line="360" w:lineRule="auto"/>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520"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p>
        </w:tc>
        <w:tc>
          <w:tcPr>
            <w:tcW w:w="6520"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kern w:val="0"/>
                <w:sz w:val="24"/>
                <w:lang w:val="zh-CN"/>
              </w:rPr>
              <w:t>提醒：验收时检测费用由采购人承担，不包含在最后报价中。</w:t>
            </w:r>
          </w:p>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520" w:type="dxa"/>
            <w:tcBorders>
              <w:top w:val="single" w:color="000000" w:sz="8" w:space="0"/>
              <w:left w:val="single" w:color="000000" w:sz="2" w:space="0"/>
              <w:right w:val="single" w:color="000000" w:sz="8" w:space="0"/>
            </w:tcBorders>
            <w:vAlign w:val="center"/>
          </w:tcPr>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-【融资服务】，可在热门申请中选择产品直接申请，也可点击云智贷匹配适合产品进行申请，或者在可申请项目中根据该项目进行申请。具体可咨询建德市财政局采购办，联系电话：0571-89606885。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520"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备份响应文件送达地点：</w:t>
            </w:r>
            <w:r>
              <w:rPr>
                <w:rFonts w:hint="eastAsia" w:hAnsi="宋体" w:cs="宋体"/>
                <w:sz w:val="24"/>
              </w:rPr>
              <w:t>浙江省建德市洋溪街道荷映路113号三楼</w:t>
            </w:r>
            <w:r>
              <w:rPr>
                <w:rFonts w:hint="eastAsia" w:cs="宋体" w:asciiTheme="minorEastAsia" w:hAnsiTheme="minorEastAsia" w:eastAsiaTheme="minorEastAsia"/>
                <w:kern w:val="28"/>
                <w:sz w:val="24"/>
                <w:szCs w:val="24"/>
              </w:rPr>
              <w:t>；备份响应文件签收人员：王雪凤，联系电话0571-64780093</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采购代理服务费</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859348549"/>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881721729"/>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本项目不收取采购代理服务费。</w:t>
            </w:r>
          </w:p>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74071719"/>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本项目收取采购代理服务费。</w:t>
            </w:r>
          </w:p>
          <w:p>
            <w:pPr>
              <w:pStyle w:val="34"/>
              <w:snapToGrid w:val="0"/>
              <w:spacing w:line="360" w:lineRule="auto"/>
              <w:rPr>
                <w:rFonts w:hAnsi="宋体" w:cs="宋体"/>
                <w:snapToGrid w:val="0"/>
                <w:kern w:val="28"/>
                <w:sz w:val="24"/>
                <w:szCs w:val="24"/>
              </w:rPr>
            </w:pPr>
            <w:r>
              <w:rPr>
                <w:rFonts w:hint="eastAsia" w:hAnsi="宋体" w:cs="宋体"/>
                <w:snapToGrid w:val="0"/>
                <w:kern w:val="28"/>
                <w:sz w:val="24"/>
                <w:szCs w:val="24"/>
              </w:rPr>
              <w:t>磋商响应总报价应包含采购服务费，采购服务费按收费标准（</w:t>
            </w:r>
            <w:r>
              <w:rPr>
                <w:rFonts w:hint="eastAsia" w:cs="宋体" w:asciiTheme="minorEastAsia" w:hAnsiTheme="minorEastAsia" w:eastAsiaTheme="minorEastAsia"/>
                <w:sz w:val="24"/>
                <w:u w:val="single"/>
              </w:rPr>
              <w:t>服务</w:t>
            </w:r>
            <w:r>
              <w:rPr>
                <w:rFonts w:hint="eastAsia" w:hAnsi="宋体" w:cs="宋体"/>
                <w:snapToGrid w:val="0"/>
                <w:kern w:val="28"/>
                <w:sz w:val="24"/>
                <w:szCs w:val="24"/>
              </w:rPr>
              <w:t>类）计取，人民币</w:t>
            </w:r>
            <w:r>
              <w:rPr>
                <w:rFonts w:hint="eastAsia" w:hAnsi="宋体" w:cs="宋体"/>
                <w:snapToGrid w:val="0"/>
                <w:kern w:val="28"/>
                <w:sz w:val="24"/>
                <w:szCs w:val="24"/>
              </w:rPr>
              <w:fldChar w:fldCharType="begin"/>
            </w:r>
            <w:r>
              <w:rPr>
                <w:rFonts w:hint="eastAsia" w:hAnsi="宋体" w:cs="宋体"/>
                <w:snapToGrid w:val="0"/>
                <w:kern w:val="28"/>
                <w:sz w:val="24"/>
                <w:szCs w:val="24"/>
              </w:rPr>
              <w:instrText xml:space="preserve"> = 6900 \* CHINESENUM4 \* MERGEFORMAT </w:instrText>
            </w:r>
            <w:r>
              <w:rPr>
                <w:rFonts w:hint="eastAsia" w:hAnsi="宋体" w:cs="宋体"/>
                <w:snapToGrid w:val="0"/>
                <w:kern w:val="28"/>
                <w:sz w:val="24"/>
                <w:szCs w:val="24"/>
              </w:rPr>
              <w:fldChar w:fldCharType="separate"/>
            </w:r>
            <w:r>
              <w:rPr>
                <w:rFonts w:hint="eastAsia" w:hAnsi="宋体" w:cs="宋体"/>
                <w:snapToGrid w:val="0"/>
                <w:kern w:val="28"/>
                <w:sz w:val="24"/>
                <w:szCs w:val="24"/>
              </w:rPr>
              <w:t>元整</w:t>
            </w:r>
            <w:r>
              <w:rPr>
                <w:rFonts w:hint="eastAsia" w:hAnsi="宋体" w:cs="宋体"/>
                <w:snapToGrid w:val="0"/>
                <w:kern w:val="28"/>
                <w:sz w:val="24"/>
                <w:szCs w:val="24"/>
              </w:rPr>
              <w:fldChar w:fldCharType="end"/>
            </w:r>
            <w:r>
              <w:rPr>
                <w:rFonts w:hint="eastAsia" w:hAnsi="宋体" w:cs="宋体"/>
                <w:snapToGrid w:val="0"/>
                <w:kern w:val="28"/>
                <w:sz w:val="24"/>
                <w:szCs w:val="24"/>
              </w:rPr>
              <w:t>（¥：元），</w:t>
            </w:r>
          </w:p>
          <w:p>
            <w:pPr>
              <w:pStyle w:val="34"/>
              <w:snapToGrid w:val="0"/>
              <w:spacing w:line="360" w:lineRule="auto"/>
              <w:rPr>
                <w:rFonts w:cs="宋体" w:asciiTheme="minorEastAsia" w:hAnsiTheme="minorEastAsia" w:eastAsiaTheme="minorEastAsia"/>
                <w:kern w:val="28"/>
                <w:sz w:val="24"/>
                <w:szCs w:val="24"/>
                <w:highlight w:val="green"/>
              </w:rPr>
            </w:pPr>
            <w:r>
              <w:rPr>
                <w:rFonts w:hint="eastAsia" w:hAnsi="宋体" w:cs="宋体"/>
                <w:snapToGrid w:val="0"/>
                <w:kern w:val="28"/>
                <w:sz w:val="24"/>
                <w:szCs w:val="24"/>
              </w:rPr>
              <w:t>由成交供应商在领取成交通知书时支付给采购代理公司。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sdtPr>
              <w:sdtEndPr>
                <w:rPr>
                  <w:rFonts w:hint="eastAsia" w:cs="Arial" w:asciiTheme="minorEastAsia" w:hAnsiTheme="minorEastAsia" w:eastAsiaTheme="minorEastAsia"/>
                  <w:kern w:val="0"/>
                  <w:sz w:val="24"/>
                </w:rPr>
              </w:sdtEndPr>
              <w:sdtContent>
                <w:r>
                  <w:rPr>
                    <w:rFonts w:hint="eastAsia" w:ascii="MS Gothic" w:hAnsi="MS Gothic" w:eastAsia="MS Mincho" w:cs="MS Mincho"/>
                    <w:kern w:val="0"/>
                    <w:sz w:val="24"/>
                  </w:rPr>
                  <w:t>☐</w:t>
                </w:r>
              </w:sdtContent>
            </w:sdt>
            <w:r>
              <w:rPr>
                <w:rFonts w:hint="eastAsia" w:ascii="宋体" w:hAnsi="宋体" w:cs="宋体"/>
                <w:snapToGrid w:val="0"/>
                <w:kern w:val="28"/>
                <w:sz w:val="24"/>
              </w:rPr>
              <w:t>联合体响应的，联合体各方均需按磋商文件第五部分评审标准要求提供资信证明文件，否则视为不符合相关要求。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sdtPr>
              <w:sdtEndPr>
                <w:rPr>
                  <w:rFonts w:hint="eastAsia" w:cs="Arial" w:asciiTheme="minorEastAsia" w:hAnsiTheme="minorEastAsia" w:eastAsiaTheme="minorEastAsia"/>
                  <w:kern w:val="0"/>
                  <w:sz w:val="24"/>
                </w:rPr>
              </w:sdtEndPr>
              <w:sdtContent>
                <w:r>
                  <w:rPr>
                    <w:rFonts w:ascii="Wingdings" w:hAnsi="Wingdings" w:cs="Arial" w:eastAsiaTheme="minorEastAsia"/>
                    <w:kern w:val="0"/>
                    <w:sz w:val="24"/>
                  </w:rPr>
                  <w:t></w:t>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bl>
    <w:p>
      <w:pPr>
        <w:snapToGrid w:val="0"/>
        <w:jc w:val="center"/>
        <w:rPr>
          <w:rFonts w:cs="仿宋_GB2312" w:asciiTheme="minorEastAsia" w:hAnsiTheme="minorEastAsia" w:eastAsiaTheme="minorEastAsia"/>
          <w:b/>
          <w:sz w:val="32"/>
          <w:szCs w:val="20"/>
        </w:rPr>
      </w:pPr>
    </w:p>
    <w:p>
      <w:pPr>
        <w:adjustRightInd/>
        <w:spacing w:line="360" w:lineRule="auto"/>
        <w:ind w:firstLine="3845" w:firstLineChars="1197"/>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pPr>
        <w:snapToGrid w:val="0"/>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“采购代理机构”系指磋商邀请公告中载明的本项目的采购代理机构。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sdtPr>
        <w:sdtEndPr>
          <w:rPr>
            <w:rFonts w:hint="eastAsia" w:cs="宋体" w:asciiTheme="minorEastAsia" w:hAnsiTheme="minorEastAsia" w:eastAsiaTheme="minorEastAsia"/>
            <w:kern w:val="0"/>
            <w:sz w:val="24"/>
          </w:rPr>
        </w:sdtEndPr>
        <w:sdtContent>
          <w:r>
            <w:rPr>
              <w:rFonts w:ascii="Wingdings" w:hAnsi="Wingdings" w:cs="宋体" w:eastAsiaTheme="minorEastAsia"/>
              <w:kern w:val="0"/>
              <w:sz w:val="24"/>
            </w:rPr>
            <w:t></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pPr>
        <w:pStyle w:val="34"/>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pPr>
        <w:spacing w:line="360" w:lineRule="auto"/>
        <w:jc w:val="center"/>
        <w:rPr>
          <w:rFonts w:cs="仿宋_GB2312" w:asciiTheme="minorEastAsia" w:hAnsiTheme="minorEastAsia" w:eastAsiaTheme="minorEastAsia"/>
          <w:b/>
          <w:sz w:val="24"/>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pPr>
        <w:pStyle w:val="34"/>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pStyle w:val="34"/>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pPr>
        <w:pStyle w:val="34"/>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pPr>
        <w:pStyle w:val="34"/>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pPr>
        <w:pStyle w:val="34"/>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7"/>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pPr>
        <w:pStyle w:val="34"/>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3.2.1根据采购人与采购代理机构签订的《采购委托协议》的规定，质疑答复责任主体如下：</w:t>
      </w:r>
    </w:p>
    <w:p>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4"/>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pPr>
              <w:pStyle w:val="34"/>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4"/>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pPr>
              <w:pStyle w:val="34"/>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pPr>
              <w:pStyle w:val="34"/>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4"/>
              <w:spacing w:line="360" w:lineRule="auto"/>
              <w:jc w:val="center"/>
              <w:rPr>
                <w:rFonts w:asciiTheme="minorEastAsia" w:hAnsiTheme="minorEastAsia" w:eastAsiaTheme="minorEastAsia"/>
                <w:sz w:val="24"/>
              </w:rPr>
            </w:pPr>
          </w:p>
        </w:tc>
        <w:tc>
          <w:tcPr>
            <w:tcW w:w="4536" w:type="dxa"/>
            <w:vAlign w:val="center"/>
          </w:tcPr>
          <w:p>
            <w:pPr>
              <w:pStyle w:val="34"/>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pPr>
              <w:pStyle w:val="34"/>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4"/>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pPr>
              <w:pStyle w:val="34"/>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pPr>
              <w:pStyle w:val="34"/>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4"/>
              <w:spacing w:line="360" w:lineRule="auto"/>
              <w:jc w:val="center"/>
              <w:rPr>
                <w:rFonts w:asciiTheme="minorEastAsia" w:hAnsiTheme="minorEastAsia" w:eastAsiaTheme="minorEastAsia"/>
                <w:sz w:val="24"/>
              </w:rPr>
            </w:pPr>
          </w:p>
        </w:tc>
        <w:tc>
          <w:tcPr>
            <w:tcW w:w="4536" w:type="dxa"/>
            <w:vAlign w:val="center"/>
          </w:tcPr>
          <w:p>
            <w:pPr>
              <w:pStyle w:val="34"/>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pPr>
              <w:pStyle w:val="34"/>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4"/>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pPr>
              <w:pStyle w:val="34"/>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pPr>
              <w:pStyle w:val="34"/>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bl>
    <w:p>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 w:val="24"/>
        </w:rPr>
        <w:t>2021〕17号）,采购人或者</w:t>
      </w:r>
      <w:r>
        <w:rPr>
          <w:rFonts w:hint="eastAsia" w:asciiTheme="minorEastAsia" w:hAnsiTheme="minorEastAsia" w:eastAsiaTheme="minorEastAsia"/>
          <w:sz w:val="24"/>
        </w:rPr>
        <w:t>采购代理机构</w:t>
      </w:r>
      <w:r>
        <w:rPr>
          <w:rFonts w:asciiTheme="minorEastAsia" w:hAnsiTheme="minorEastAsia" w:eastAsiaTheme="minorEastAsia"/>
          <w:sz w:val="24"/>
        </w:rPr>
        <w:t>在质疑回复后5个工作日内，在浙江政府采购网的“其他公告”栏目公开质疑答复，答复内容应当完整。质疑</w:t>
      </w:r>
      <w:r>
        <w:rPr>
          <w:rFonts w:hint="eastAsia" w:asciiTheme="minorEastAsia" w:hAnsiTheme="minorEastAsia" w:eastAsiaTheme="minorEastAsia"/>
          <w:sz w:val="24"/>
        </w:rPr>
        <w:t>函作为附件上传。</w:t>
      </w:r>
    </w:p>
    <w:p>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pPr>
        <w:pStyle w:val="34"/>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pPr>
        <w:pStyle w:val="34"/>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pPr>
        <w:pStyle w:val="34"/>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pPr>
        <w:pStyle w:val="3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pPr>
        <w:pStyle w:val="34"/>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pPr>
        <w:pStyle w:val="34"/>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pPr>
        <w:pStyle w:val="34"/>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pPr>
        <w:pStyle w:val="34"/>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pPr>
        <w:pStyle w:val="34"/>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pPr>
        <w:pStyle w:val="34"/>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pPr>
        <w:pStyle w:val="34"/>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pPr>
        <w:pStyle w:val="34"/>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pPr>
        <w:pStyle w:val="3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pPr>
        <w:pStyle w:val="34"/>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pPr>
        <w:pStyle w:val="392"/>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2.1已获取磋商文件的潜在供应商，若有问题需要澄清，应于提交首次响应文件截止时间前，以书面形式向采购代理机构提出。</w:t>
      </w:r>
    </w:p>
    <w:p>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通知所有获取磋商文件的供应商；不足5日的，采购人、采购代理机构应当顺延提交首次响应文件截止时间。</w:t>
      </w:r>
    </w:p>
    <w:p>
      <w:pPr>
        <w:pStyle w:val="392"/>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pPr>
        <w:pStyle w:val="24"/>
        <w:rPr>
          <w:rFonts w:cs="仿宋_GB2312" w:asciiTheme="minorEastAsia" w:hAnsiTheme="minorEastAsia" w:eastAsiaTheme="minorEastAsia"/>
          <w:sz w:val="18"/>
          <w:szCs w:val="18"/>
          <w:lang w:val="en-US"/>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pPr>
        <w:pStyle w:val="34"/>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pPr>
        <w:pStyle w:val="34"/>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pPr>
        <w:pStyle w:val="34"/>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pPr>
        <w:pStyle w:val="34"/>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pPr>
        <w:pStyle w:val="34"/>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pPr>
        <w:pStyle w:val="34"/>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pPr>
        <w:pStyle w:val="34"/>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p>
    <w:p>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pPr>
        <w:pStyle w:val="34"/>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pPr>
        <w:pStyle w:val="34"/>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pPr>
        <w:pStyle w:val="34"/>
        <w:spacing w:line="360" w:lineRule="auto"/>
        <w:ind w:firstLine="480" w:firstLineChars="200"/>
        <w:rPr>
          <w:rFonts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4"/>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pPr>
        <w:pStyle w:val="34"/>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pPr>
        <w:pStyle w:val="34"/>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技术解决方案。针对本项目的完整技术解决方案和实施方案；详细阐述项目方案的实现思路及关键技术；符合本项目对当前和未来发展的要求；以及对功能设计和实施计划的建议；</w:t>
      </w:r>
    </w:p>
    <w:p>
      <w:pPr>
        <w:pStyle w:val="34"/>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（10）组织实施方案。本项目详细工作实施组织方案，包括(但不限于)以下内容：组织机构、工作时间进度表、工作程序和步骤、管理和协调方法、关键步骤的思路和要点；</w:t>
      </w:r>
    </w:p>
    <w:p>
      <w:pPr>
        <w:pStyle w:val="34"/>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34"/>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lang w:val="zh-CN"/>
        </w:rPr>
        <w:t>资质情况等</w:t>
      </w:r>
      <w:r>
        <w:rPr>
          <w:rFonts w:hint="eastAsia" w:asciiTheme="minorEastAsia" w:hAnsiTheme="minorEastAsia" w:eastAsiaTheme="minorEastAsia"/>
          <w:kern w:val="0"/>
          <w:sz w:val="24"/>
          <w:lang w:val="zh-CN"/>
        </w:rPr>
        <w:t>；</w:t>
      </w:r>
    </w:p>
    <w:p>
      <w:pPr>
        <w:pStyle w:val="34"/>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（13）优惠条件及特殊承诺；</w:t>
      </w:r>
    </w:p>
    <w:p>
      <w:pPr>
        <w:pStyle w:val="34"/>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（14）</w:t>
      </w:r>
      <w:r>
        <w:rPr>
          <w:rFonts w:hint="eastAsia" w:cs="仿宋_GB2312" w:asciiTheme="minorEastAsia" w:hAnsiTheme="minorEastAsia" w:eastAsiaTheme="minorEastAsia"/>
          <w:kern w:val="0"/>
          <w:sz w:val="24"/>
          <w:lang w:val="zh-CN"/>
        </w:rPr>
        <w:t>培训计划（如果有）；</w:t>
      </w:r>
    </w:p>
    <w:p>
      <w:pPr>
        <w:pStyle w:val="34"/>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rPr>
        <w:t>（15）随机特殊工具和</w:t>
      </w:r>
      <w:r>
        <w:rPr>
          <w:rFonts w:hint="eastAsia" w:asciiTheme="minorEastAsia" w:hAnsiTheme="minorEastAsia" w:eastAsiaTheme="minor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34"/>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6）</w:t>
      </w:r>
      <w:r>
        <w:rPr>
          <w:rFonts w:hint="eastAsia" w:cs="仿宋_GB2312" w:asciiTheme="minorEastAsia" w:hAnsiTheme="minorEastAsia" w:eastAsiaTheme="minorEastAsia"/>
          <w:kern w:val="0"/>
          <w:sz w:val="24"/>
          <w:szCs w:val="24"/>
          <w:lang w:val="zh-CN"/>
        </w:rPr>
        <w:t>供应商认为需要的其他技术文件或说明（如果有）；</w:t>
      </w:r>
    </w:p>
    <w:p>
      <w:pPr>
        <w:pStyle w:val="34"/>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cs="仿宋_GB2312" w:asciiTheme="minorEastAsia" w:hAnsiTheme="minorEastAsia" w:eastAsiaTheme="minorEastAsia"/>
          <w:kern w:val="0"/>
          <w:sz w:val="24"/>
          <w:lang w:val="zh-CN"/>
        </w:rPr>
        <w:t>政府采购供应商廉洁自律承诺书。</w:t>
      </w:r>
    </w:p>
    <w:p>
      <w:pPr>
        <w:pStyle w:val="34"/>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pPr>
        <w:pStyle w:val="392"/>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pPr>
        <w:pStyle w:val="392"/>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pPr>
        <w:pStyle w:val="392"/>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pPr>
        <w:pStyle w:val="34"/>
        <w:spacing w:line="360" w:lineRule="auto"/>
        <w:ind w:firstLine="480" w:firstLineChars="200"/>
        <w:rPr>
          <w:rFonts w:cs="仿宋_GB2312" w:asciiTheme="minorEastAsia" w:hAnsiTheme="minorEastAsia" w:eastAsiaTheme="minorEastAsia"/>
          <w:sz w:val="24"/>
          <w:szCs w:val="24"/>
        </w:rPr>
      </w:pP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pPr>
        <w:pStyle w:val="392"/>
        <w:spacing w:before="0"/>
        <w:ind w:firstLine="0" w:firstLineChars="0"/>
        <w:rPr>
          <w:rFonts w:cs="仿宋_GB2312" w:asciiTheme="minorEastAsia" w:hAnsiTheme="minorEastAsia" w:eastAsiaTheme="minorEastAsia"/>
          <w:b/>
          <w:szCs w:val="24"/>
        </w:rPr>
      </w:pPr>
    </w:p>
    <w:p>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pPr>
        <w:pStyle w:val="392"/>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pPr>
        <w:pStyle w:val="34"/>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pPr>
        <w:pStyle w:val="34"/>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但采购人、采购代理机构不强制或变相强制供应商提交备份响应文件。</w:t>
      </w:r>
    </w:p>
    <w:p>
      <w:pPr>
        <w:pStyle w:val="34"/>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pPr>
        <w:pStyle w:val="34"/>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pPr>
        <w:pStyle w:val="34"/>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pPr>
        <w:pStyle w:val="34"/>
        <w:spacing w:line="360" w:lineRule="auto"/>
        <w:ind w:firstLine="361"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pPr>
        <w:pStyle w:val="34"/>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pPr>
        <w:pStyle w:val="34"/>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pPr>
        <w:pStyle w:val="34"/>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34"/>
        <w:spacing w:line="360" w:lineRule="auto"/>
        <w:ind w:firstLine="361"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4"/>
        <w:spacing w:line="360" w:lineRule="auto"/>
        <w:rPr>
          <w:rFonts w:cs="仿宋_GB2312" w:asciiTheme="minorEastAsia" w:hAnsiTheme="minorEastAsia" w:eastAsiaTheme="minorEastAsia"/>
          <w:b/>
          <w:sz w:val="24"/>
          <w:szCs w:val="24"/>
        </w:rPr>
      </w:pPr>
    </w:p>
    <w:p>
      <w:pPr>
        <w:adjustRightInd/>
        <w:spacing w:line="360" w:lineRule="auto"/>
        <w:jc w:val="center"/>
        <w:outlineLvl w:val="0"/>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pPr>
        <w:pStyle w:val="34"/>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pPr>
        <w:pStyle w:val="34"/>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1.2中小企业声明函（如果有）。</w:t>
      </w: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pPr>
        <w:pStyle w:val="392"/>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pPr>
        <w:pStyle w:val="392"/>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pPr>
        <w:pStyle w:val="392"/>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pPr>
        <w:adjustRightInd/>
        <w:spacing w:line="360" w:lineRule="auto"/>
        <w:jc w:val="center"/>
        <w:outlineLvl w:val="0"/>
        <w:rPr>
          <w:rFonts w:cs="仿宋_GB2312"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pPr>
        <w:pStyle w:val="34"/>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4"/>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3.1自成交人确定之日起2个工作日内，采购代理机构通过电子交易平台向成交人发出成交通知书，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rPr>
        <w:t>采购代理机构</w:t>
      </w:r>
      <w:r>
        <w:rPr>
          <w:rFonts w:hint="eastAsia" w:ascii="宋体" w:hAnsi="宋体" w:cs="宋体"/>
          <w:sz w:val="24"/>
        </w:rPr>
        <w:t>也可以以纸质形式进行成交通知。</w:t>
      </w:r>
    </w:p>
    <w:p>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rPr>
        <w:t>资格审查情况、评审专家抽取规则、符合性审查情况、</w:t>
      </w:r>
      <w:bookmarkEnd w:id="53"/>
      <w:r>
        <w:rPr>
          <w:rFonts w:hint="eastAsia" w:cs="宋体" w:asciiTheme="minorEastAsia" w:hAnsiTheme="minorEastAsia" w:eastAsiaTheme="minorEastAsia"/>
          <w:sz w:val="24"/>
        </w:rPr>
        <w:t>未成交情况说明、成交公告期限以及评审专家名单、评分汇总及明细。</w:t>
      </w:r>
    </w:p>
    <w:p>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pPr>
        <w:snapToGrid w:val="0"/>
        <w:spacing w:line="360" w:lineRule="auto"/>
        <w:jc w:val="center"/>
        <w:outlineLvl w:val="0"/>
        <w:rPr>
          <w:rFonts w:cs="仿宋_GB2312" w:asciiTheme="minorEastAsia" w:hAnsiTheme="minorEastAsia" w:eastAsiaTheme="minorEastAsia"/>
          <w:b/>
          <w:sz w:val="36"/>
          <w:szCs w:val="36"/>
        </w:rPr>
      </w:pPr>
    </w:p>
    <w:p>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2"/>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pPr>
        <w:pStyle w:val="392"/>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pPr>
        <w:tabs>
          <w:tab w:val="left" w:pos="0"/>
        </w:tabs>
        <w:spacing w:line="360" w:lineRule="auto"/>
        <w:ind w:firstLine="482"/>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numPr>
          <w:ilvl w:val="255"/>
          <w:numId w:val="0"/>
        </w:numPr>
      </w:pPr>
      <w:r>
        <w:rPr>
          <w:rFonts w:ascii="宋体" w:hAnsi="宋体" w:eastAsia="宋体"/>
          <w:sz w:val="24"/>
          <w:lang w:val="en-US"/>
        </w:rPr>
        <w:t>4.</w:t>
      </w:r>
      <w:r>
        <w:rPr>
          <w:rFonts w:hint="eastAsia" w:ascii="宋体" w:hAnsi="宋体" w:eastAsia="宋体"/>
          <w:sz w:val="24"/>
          <w:lang w:val="en-US"/>
        </w:rPr>
        <w:t>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Pr>
        <w:tabs>
          <w:tab w:val="left" w:pos="0"/>
        </w:tabs>
        <w:spacing w:line="360" w:lineRule="auto"/>
        <w:rPr>
          <w:rFonts w:cs="宋体" w:asciiTheme="minorEastAsia" w:hAnsiTheme="minorEastAsia" w:eastAsiaTheme="minorEastAsia"/>
          <w:snapToGrid w:val="0"/>
          <w:kern w:val="28"/>
          <w:sz w:val="24"/>
        </w:rPr>
      </w:pPr>
    </w:p>
    <w:p>
      <w:pPr>
        <w:snapToGrid w:val="0"/>
        <w:spacing w:line="360" w:lineRule="auto"/>
        <w:jc w:val="center"/>
        <w:rPr>
          <w:rFonts w:cs="仿宋_GB2312" w:asciiTheme="minorEastAsia" w:hAnsiTheme="minorEastAsia" w:eastAsiaTheme="minorEastAsia"/>
          <w:b/>
          <w:sz w:val="36"/>
          <w:szCs w:val="36"/>
        </w:rPr>
      </w:pPr>
    </w:p>
    <w:p>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pPr>
        <w:pStyle w:val="3"/>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cs="仿宋_GB2312" w:asciiTheme="minorEastAsia" w:hAnsiTheme="minorEastAsia" w:eastAsiaTheme="minorEastAsia"/>
          <w:b/>
          <w:sz w:val="36"/>
          <w:szCs w:val="36"/>
        </w:rPr>
      </w:pPr>
    </w:p>
    <w:p>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011"/>
      <w:bookmarkEnd w:id="54"/>
      <w:bookmarkStart w:id="55" w:name="_Hlt74730295"/>
      <w:bookmarkEnd w:id="55"/>
      <w:bookmarkStart w:id="56" w:name="_Hlt68072990"/>
      <w:bookmarkEnd w:id="56"/>
      <w:bookmarkStart w:id="57" w:name="_Hlt75236290"/>
      <w:bookmarkEnd w:id="57"/>
      <w:bookmarkStart w:id="58" w:name="_Hlt74729768"/>
      <w:bookmarkEnd w:id="58"/>
      <w:bookmarkStart w:id="59" w:name="_Hlt74707468"/>
      <w:bookmarkEnd w:id="59"/>
      <w:bookmarkStart w:id="60" w:name="_Hlt74714665"/>
      <w:bookmarkEnd w:id="60"/>
      <w:bookmarkStart w:id="61" w:name="_Hlt68057669"/>
      <w:bookmarkEnd w:id="61"/>
      <w:bookmarkStart w:id="62" w:name="_Hlt75236101"/>
      <w:bookmarkEnd w:id="62"/>
      <w:bookmarkStart w:id="63" w:name="第三部分"/>
      <w:bookmarkStart w:id="64" w:name="_Toc164416483"/>
      <w:r>
        <w:rPr>
          <w:rFonts w:cs="仿宋_GB2312" w:asciiTheme="minorEastAsia" w:hAnsiTheme="minorEastAsia" w:eastAsiaTheme="minorEastAsia"/>
          <w:b/>
          <w:sz w:val="36"/>
          <w:szCs w:val="36"/>
        </w:rPr>
        <w:br w:type="page"/>
      </w: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pPr>
        <w:spacing w:line="360" w:lineRule="auto"/>
        <w:jc w:val="center"/>
        <w:rPr>
          <w:rFonts w:ascii="宋体" w:hAnsi="宋体" w:cs="宋体"/>
          <w:b/>
          <w:bCs/>
          <w:sz w:val="28"/>
          <w:szCs w:val="28"/>
        </w:rPr>
      </w:pPr>
      <w:r>
        <w:rPr>
          <w:rFonts w:hint="eastAsia" w:ascii="宋体" w:hAnsi="宋体" w:cs="宋体"/>
          <w:b/>
          <w:bCs/>
          <w:sz w:val="28"/>
          <w:szCs w:val="28"/>
        </w:rPr>
        <w:t>磋商内容与技术要求</w:t>
      </w:r>
      <w:bookmarkStart w:id="65" w:name="_Toc457935557"/>
    </w:p>
    <w:bookmarkEnd w:id="65"/>
    <w:p>
      <w:pPr>
        <w:spacing w:line="360" w:lineRule="auto"/>
        <w:ind w:firstLine="424" w:firstLineChars="176"/>
        <w:jc w:val="left"/>
        <w:rPr>
          <w:rFonts w:ascii="宋体" w:hAnsi="宋体" w:cs="宋体"/>
          <w:b/>
          <w:bCs/>
          <w:sz w:val="24"/>
        </w:rPr>
      </w:pPr>
      <w:r>
        <w:rPr>
          <w:rFonts w:hint="eastAsia" w:ascii="宋体" w:hAnsi="宋体" w:cs="宋体"/>
          <w:b/>
          <w:bCs/>
          <w:sz w:val="24"/>
        </w:rPr>
        <w:t>一、需求清单</w:t>
      </w:r>
    </w:p>
    <w:tbl>
      <w:tblPr>
        <w:tblStyle w:val="60"/>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8"/>
        <w:gridCol w:w="1535"/>
        <w:gridCol w:w="993"/>
        <w:gridCol w:w="720"/>
        <w:gridCol w:w="981"/>
        <w:gridCol w:w="1569"/>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498" w:type="dxa"/>
            <w:noWrap/>
            <w:vAlign w:val="center"/>
          </w:tcPr>
          <w:p>
            <w:pPr>
              <w:widowControl/>
              <w:tabs>
                <w:tab w:val="left" w:pos="360"/>
              </w:tabs>
              <w:jc w:val="center"/>
              <w:rPr>
                <w:rFonts w:ascii="仿宋" w:hAnsi="仿宋" w:eastAsia="仿宋" w:cs="仿宋"/>
                <w:b/>
                <w:bCs/>
                <w:sz w:val="24"/>
                <w:szCs w:val="15"/>
              </w:rPr>
            </w:pPr>
            <w:r>
              <w:rPr>
                <w:rFonts w:hint="eastAsia" w:ascii="仿宋" w:hAnsi="仿宋" w:eastAsia="仿宋" w:cs="仿宋"/>
                <w:b/>
                <w:bCs/>
                <w:sz w:val="24"/>
                <w:szCs w:val="15"/>
              </w:rPr>
              <w:t>项目名称</w:t>
            </w:r>
          </w:p>
        </w:tc>
        <w:tc>
          <w:tcPr>
            <w:tcW w:w="1535" w:type="dxa"/>
            <w:noWrap/>
            <w:vAlign w:val="center"/>
          </w:tcPr>
          <w:p>
            <w:pPr>
              <w:widowControl/>
              <w:tabs>
                <w:tab w:val="left" w:pos="360"/>
              </w:tabs>
              <w:jc w:val="center"/>
              <w:rPr>
                <w:rFonts w:ascii="仿宋" w:hAnsi="仿宋" w:eastAsia="仿宋" w:cs="仿宋"/>
                <w:b/>
                <w:bCs/>
                <w:sz w:val="24"/>
                <w:szCs w:val="15"/>
              </w:rPr>
            </w:pPr>
            <w:r>
              <w:rPr>
                <w:rFonts w:hint="eastAsia" w:ascii="仿宋" w:hAnsi="仿宋" w:eastAsia="仿宋" w:cs="仿宋"/>
                <w:b/>
                <w:bCs/>
                <w:sz w:val="24"/>
                <w:szCs w:val="15"/>
              </w:rPr>
              <w:t>主要服务技术要求</w:t>
            </w:r>
          </w:p>
        </w:tc>
        <w:tc>
          <w:tcPr>
            <w:tcW w:w="993" w:type="dxa"/>
            <w:noWrap/>
            <w:vAlign w:val="center"/>
          </w:tcPr>
          <w:p>
            <w:pPr>
              <w:widowControl/>
              <w:tabs>
                <w:tab w:val="left" w:pos="360"/>
              </w:tabs>
              <w:jc w:val="center"/>
              <w:rPr>
                <w:rFonts w:ascii="仿宋" w:hAnsi="仿宋" w:eastAsia="仿宋" w:cs="仿宋"/>
                <w:b/>
                <w:bCs/>
                <w:sz w:val="24"/>
                <w:szCs w:val="15"/>
              </w:rPr>
            </w:pPr>
            <w:r>
              <w:rPr>
                <w:rFonts w:hint="eastAsia" w:ascii="仿宋" w:hAnsi="仿宋" w:eastAsia="仿宋" w:cs="仿宋"/>
                <w:b/>
                <w:bCs/>
                <w:sz w:val="24"/>
                <w:szCs w:val="15"/>
              </w:rPr>
              <w:t>单位</w:t>
            </w:r>
          </w:p>
        </w:tc>
        <w:tc>
          <w:tcPr>
            <w:tcW w:w="720" w:type="dxa"/>
            <w:noWrap/>
            <w:vAlign w:val="center"/>
          </w:tcPr>
          <w:p>
            <w:pPr>
              <w:widowControl/>
              <w:tabs>
                <w:tab w:val="left" w:pos="360"/>
              </w:tabs>
              <w:jc w:val="center"/>
              <w:rPr>
                <w:rFonts w:ascii="仿宋" w:hAnsi="仿宋" w:eastAsia="仿宋" w:cs="仿宋"/>
                <w:b/>
                <w:bCs/>
                <w:sz w:val="24"/>
                <w:szCs w:val="15"/>
              </w:rPr>
            </w:pPr>
            <w:r>
              <w:rPr>
                <w:rFonts w:hint="eastAsia" w:ascii="仿宋" w:hAnsi="仿宋" w:eastAsia="仿宋" w:cs="仿宋"/>
                <w:b/>
                <w:bCs/>
                <w:sz w:val="24"/>
                <w:szCs w:val="15"/>
              </w:rPr>
              <w:t>数量</w:t>
            </w:r>
          </w:p>
        </w:tc>
        <w:tc>
          <w:tcPr>
            <w:tcW w:w="981" w:type="dxa"/>
            <w:vAlign w:val="center"/>
          </w:tcPr>
          <w:p>
            <w:pPr>
              <w:widowControl/>
              <w:tabs>
                <w:tab w:val="left" w:pos="360"/>
              </w:tabs>
              <w:jc w:val="center"/>
              <w:rPr>
                <w:rFonts w:ascii="仿宋" w:hAnsi="仿宋" w:eastAsia="仿宋" w:cs="仿宋"/>
                <w:b/>
                <w:bCs/>
                <w:sz w:val="24"/>
                <w:szCs w:val="15"/>
              </w:rPr>
            </w:pPr>
            <w:r>
              <w:rPr>
                <w:rFonts w:hint="eastAsia" w:ascii="仿宋" w:hAnsi="仿宋" w:eastAsia="仿宋" w:cs="仿宋"/>
                <w:b/>
                <w:bCs/>
                <w:sz w:val="24"/>
                <w:szCs w:val="15"/>
              </w:rPr>
              <w:t>预算单价（万元/年）</w:t>
            </w:r>
          </w:p>
        </w:tc>
        <w:tc>
          <w:tcPr>
            <w:tcW w:w="1569" w:type="dxa"/>
            <w:noWrap/>
            <w:vAlign w:val="center"/>
          </w:tcPr>
          <w:p>
            <w:pPr>
              <w:spacing w:line="280" w:lineRule="exact"/>
              <w:jc w:val="center"/>
              <w:rPr>
                <w:rFonts w:ascii="仿宋" w:hAnsi="仿宋" w:eastAsia="仿宋" w:cs="仿宋"/>
                <w:b/>
                <w:bCs/>
                <w:sz w:val="24"/>
                <w:szCs w:val="15"/>
              </w:rPr>
            </w:pPr>
            <w:r>
              <w:rPr>
                <w:rFonts w:hint="eastAsia" w:ascii="仿宋" w:hAnsi="仿宋" w:eastAsia="仿宋" w:cs="仿宋"/>
                <w:b/>
                <w:bCs/>
                <w:sz w:val="24"/>
                <w:szCs w:val="15"/>
              </w:rPr>
              <w:t>预算总价（万元）</w:t>
            </w:r>
          </w:p>
        </w:tc>
        <w:tc>
          <w:tcPr>
            <w:tcW w:w="901" w:type="dxa"/>
            <w:noWrap/>
            <w:vAlign w:val="center"/>
          </w:tcPr>
          <w:p>
            <w:pPr>
              <w:spacing w:line="280" w:lineRule="exact"/>
              <w:jc w:val="center"/>
              <w:rPr>
                <w:rFonts w:ascii="仿宋" w:hAnsi="仿宋" w:eastAsia="仿宋" w:cs="仿宋"/>
                <w:b/>
                <w:bCs/>
                <w:sz w:val="24"/>
                <w:szCs w:val="15"/>
              </w:rPr>
            </w:pPr>
            <w:r>
              <w:rPr>
                <w:rFonts w:hint="eastAsia" w:ascii="仿宋" w:hAnsi="仿宋" w:eastAsia="仿宋" w:cs="仿宋"/>
                <w:b/>
                <w:bCs/>
                <w:sz w:val="24"/>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498" w:type="dxa"/>
            <w:noWrap/>
            <w:vAlign w:val="center"/>
          </w:tcPr>
          <w:p>
            <w:pPr>
              <w:widowControl/>
              <w:tabs>
                <w:tab w:val="left" w:pos="360"/>
              </w:tabs>
              <w:jc w:val="center"/>
              <w:rPr>
                <w:rFonts w:ascii="宋体" w:hAnsi="宋体" w:cs="宋体"/>
                <w:sz w:val="24"/>
              </w:rPr>
            </w:pPr>
            <w:r>
              <w:rPr>
                <w:rFonts w:hint="eastAsia" w:ascii="宋体" w:hAnsi="宋体" w:cs="宋体"/>
                <w:sz w:val="24"/>
              </w:rPr>
              <w:t>2024年建德市新安江街道办公楼物业保洁服务项目</w:t>
            </w:r>
          </w:p>
        </w:tc>
        <w:tc>
          <w:tcPr>
            <w:tcW w:w="1535" w:type="dxa"/>
            <w:noWrap/>
            <w:vAlign w:val="center"/>
          </w:tcPr>
          <w:p>
            <w:pPr>
              <w:widowControl/>
              <w:tabs>
                <w:tab w:val="left" w:pos="360"/>
              </w:tabs>
              <w:jc w:val="center"/>
              <w:rPr>
                <w:rFonts w:ascii="宋体" w:hAnsi="宋体" w:cs="宋体"/>
                <w:sz w:val="24"/>
              </w:rPr>
            </w:pPr>
            <w:r>
              <w:rPr>
                <w:rFonts w:hint="eastAsia" w:ascii="宋体" w:hAnsi="宋体" w:cs="宋体"/>
                <w:sz w:val="24"/>
              </w:rPr>
              <w:t>详见“二、采购需求”</w:t>
            </w:r>
          </w:p>
        </w:tc>
        <w:tc>
          <w:tcPr>
            <w:tcW w:w="993" w:type="dxa"/>
            <w:noWrap/>
            <w:vAlign w:val="center"/>
          </w:tcPr>
          <w:p>
            <w:pPr>
              <w:widowControl/>
              <w:tabs>
                <w:tab w:val="left" w:pos="360"/>
              </w:tabs>
              <w:jc w:val="center"/>
              <w:rPr>
                <w:rFonts w:ascii="宋体" w:hAnsi="宋体" w:cs="宋体"/>
                <w:sz w:val="24"/>
              </w:rPr>
            </w:pPr>
            <w:r>
              <w:rPr>
                <w:rFonts w:hint="eastAsia" w:ascii="宋体" w:hAnsi="宋体" w:cs="宋体"/>
                <w:sz w:val="24"/>
              </w:rPr>
              <w:t>年</w:t>
            </w:r>
          </w:p>
        </w:tc>
        <w:tc>
          <w:tcPr>
            <w:tcW w:w="720" w:type="dxa"/>
            <w:noWrap/>
            <w:vAlign w:val="center"/>
          </w:tcPr>
          <w:p>
            <w:pPr>
              <w:widowControl/>
              <w:tabs>
                <w:tab w:val="left" w:pos="360"/>
              </w:tabs>
              <w:jc w:val="center"/>
              <w:rPr>
                <w:rFonts w:ascii="宋体" w:hAnsi="宋体" w:cs="宋体"/>
                <w:sz w:val="24"/>
              </w:rPr>
            </w:pPr>
            <w:r>
              <w:rPr>
                <w:rFonts w:hint="eastAsia" w:ascii="宋体" w:hAnsi="宋体" w:cs="宋体"/>
                <w:sz w:val="24"/>
              </w:rPr>
              <w:t>1</w:t>
            </w:r>
          </w:p>
        </w:tc>
        <w:tc>
          <w:tcPr>
            <w:tcW w:w="981" w:type="dxa"/>
            <w:vAlign w:val="center"/>
          </w:tcPr>
          <w:p>
            <w:pPr>
              <w:widowControl/>
              <w:tabs>
                <w:tab w:val="left" w:pos="360"/>
              </w:tabs>
              <w:jc w:val="center"/>
              <w:rPr>
                <w:rFonts w:ascii="宋体" w:hAnsi="宋体" w:cs="宋体"/>
                <w:sz w:val="24"/>
              </w:rPr>
            </w:pPr>
            <w:r>
              <w:rPr>
                <w:rFonts w:hint="eastAsia" w:ascii="宋体" w:hAnsi="宋体" w:cs="宋体"/>
                <w:sz w:val="24"/>
              </w:rPr>
              <w:t>52.00</w:t>
            </w:r>
          </w:p>
        </w:tc>
        <w:tc>
          <w:tcPr>
            <w:tcW w:w="1569" w:type="dxa"/>
            <w:noWrap/>
            <w:vAlign w:val="center"/>
          </w:tcPr>
          <w:p>
            <w:pPr>
              <w:widowControl/>
              <w:tabs>
                <w:tab w:val="left" w:pos="360"/>
              </w:tabs>
              <w:jc w:val="center"/>
              <w:rPr>
                <w:rFonts w:ascii="宋体" w:hAnsi="宋体" w:cs="宋体"/>
                <w:sz w:val="24"/>
              </w:rPr>
            </w:pPr>
            <w:r>
              <w:rPr>
                <w:rFonts w:hint="eastAsia" w:ascii="宋体" w:hAnsi="宋体" w:cs="宋体"/>
                <w:sz w:val="24"/>
              </w:rPr>
              <w:t>52.00</w:t>
            </w:r>
          </w:p>
        </w:tc>
        <w:tc>
          <w:tcPr>
            <w:tcW w:w="901" w:type="dxa"/>
            <w:noWrap/>
            <w:vAlign w:val="center"/>
          </w:tcPr>
          <w:p>
            <w:pPr>
              <w:spacing w:line="320" w:lineRule="exact"/>
              <w:ind w:firstLine="422" w:firstLineChars="176"/>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727" w:type="dxa"/>
            <w:gridSpan w:val="5"/>
            <w:noWrap/>
            <w:vAlign w:val="center"/>
          </w:tcPr>
          <w:p>
            <w:pPr>
              <w:widowControl/>
              <w:tabs>
                <w:tab w:val="left" w:pos="360"/>
              </w:tabs>
              <w:ind w:firstLine="422" w:firstLineChars="176"/>
              <w:jc w:val="left"/>
              <w:rPr>
                <w:rFonts w:ascii="宋体" w:hAnsi="宋体" w:cs="宋体"/>
                <w:sz w:val="24"/>
              </w:rPr>
            </w:pPr>
            <w:r>
              <w:rPr>
                <w:rFonts w:hint="eastAsia" w:ascii="宋体" w:hAnsi="宋体" w:cs="宋体"/>
                <w:sz w:val="24"/>
              </w:rPr>
              <w:t xml:space="preserve">合计：人民币伍拾贰万元整 </w:t>
            </w:r>
          </w:p>
        </w:tc>
        <w:tc>
          <w:tcPr>
            <w:tcW w:w="2470" w:type="dxa"/>
            <w:gridSpan w:val="2"/>
            <w:noWrap/>
            <w:vAlign w:val="center"/>
          </w:tcPr>
          <w:p>
            <w:pPr>
              <w:spacing w:line="320" w:lineRule="exact"/>
              <w:ind w:firstLine="422" w:firstLineChars="176"/>
              <w:jc w:val="center"/>
              <w:rPr>
                <w:rFonts w:ascii="宋体" w:hAnsi="宋体" w:cs="宋体"/>
                <w:sz w:val="24"/>
              </w:rPr>
            </w:pPr>
            <w:r>
              <w:rPr>
                <w:rFonts w:hint="eastAsia" w:ascii="宋体" w:hAnsi="宋体" w:cs="宋体"/>
                <w:sz w:val="24"/>
              </w:rPr>
              <w:t>￥ 520000.00元</w:t>
            </w:r>
          </w:p>
        </w:tc>
      </w:tr>
    </w:tbl>
    <w:p>
      <w:pPr>
        <w:spacing w:line="360" w:lineRule="auto"/>
        <w:ind w:firstLine="424" w:firstLineChars="176"/>
        <w:jc w:val="left"/>
        <w:rPr>
          <w:rFonts w:ascii="宋体" w:hAnsi="宋体" w:cs="宋体"/>
          <w:sz w:val="24"/>
        </w:rPr>
      </w:pPr>
      <w:r>
        <w:rPr>
          <w:rFonts w:hint="eastAsia" w:ascii="宋体" w:hAnsi="宋体" w:cs="宋体"/>
          <w:b/>
          <w:bCs/>
          <w:sz w:val="24"/>
        </w:rPr>
        <w:t>注：</w:t>
      </w:r>
      <w:r>
        <w:rPr>
          <w:rFonts w:hint="eastAsia" w:ascii="宋体" w:hAnsi="宋体" w:cs="宋体"/>
          <w:sz w:val="24"/>
        </w:rPr>
        <w:t>以上金额包括整个服务期内所需的一切人工费、管理费、工具、设备、保险、交通、利润、验收、税收（包含须由供应商承担的各项税费）、其他辅助工作等完成本项目的所有费用等。办公场地、清洁物品、工具、如纸、洗手液等相关易耗用品由采购单位提供，绿化当中的使用工具由中标方提供。</w:t>
      </w:r>
    </w:p>
    <w:p>
      <w:pPr>
        <w:spacing w:line="360" w:lineRule="auto"/>
        <w:ind w:firstLine="424" w:firstLineChars="176"/>
        <w:jc w:val="left"/>
      </w:pPr>
      <w:r>
        <w:rPr>
          <w:rFonts w:hint="eastAsia" w:ascii="宋体" w:hAnsi="宋体" w:cs="宋体"/>
          <w:b/>
          <w:bCs/>
          <w:sz w:val="24"/>
        </w:rPr>
        <w:t>二、项目概况</w:t>
      </w:r>
    </w:p>
    <w:p>
      <w:pPr>
        <w:spacing w:line="360" w:lineRule="auto"/>
        <w:ind w:firstLine="424" w:firstLineChars="176"/>
        <w:jc w:val="left"/>
        <w:rPr>
          <w:rFonts w:ascii="宋体" w:hAnsi="宋体" w:cs="宋体"/>
          <w:b/>
          <w:bCs/>
          <w:sz w:val="24"/>
        </w:rPr>
      </w:pPr>
      <w:r>
        <w:rPr>
          <w:rFonts w:hint="eastAsia" w:ascii="宋体" w:hAnsi="宋体" w:cs="宋体"/>
          <w:b/>
          <w:bCs/>
          <w:sz w:val="24"/>
        </w:rPr>
        <w:t>(一)、基本情况说明：</w:t>
      </w:r>
    </w:p>
    <w:p>
      <w:pPr>
        <w:spacing w:line="360" w:lineRule="auto"/>
        <w:ind w:firstLine="422" w:firstLineChars="176"/>
        <w:jc w:val="left"/>
        <w:rPr>
          <w:rFonts w:ascii="宋体" w:hAnsi="宋体" w:cs="宋体"/>
          <w:sz w:val="24"/>
        </w:rPr>
      </w:pPr>
      <w:r>
        <w:rPr>
          <w:rFonts w:hint="eastAsia" w:ascii="宋体" w:hAnsi="宋体" w:cs="宋体"/>
          <w:sz w:val="24"/>
        </w:rPr>
        <w:t>服务范围：新安江街道办事处办公楼位于浙江省建德市新安江街道严州大道1号，办公楼房屋建筑面积6946.12平方米，另有办公楼前面区域、东侧和西侧停车场620平方米，以上共计7566.12平方米。</w:t>
      </w:r>
    </w:p>
    <w:p>
      <w:pPr>
        <w:spacing w:line="360" w:lineRule="auto"/>
        <w:ind w:firstLine="422" w:firstLineChars="176"/>
        <w:jc w:val="left"/>
        <w:rPr>
          <w:rFonts w:ascii="宋体" w:hAnsi="宋体" w:cs="宋体"/>
          <w:sz w:val="24"/>
        </w:rPr>
      </w:pPr>
      <w:r>
        <w:rPr>
          <w:rFonts w:hint="eastAsia" w:ascii="宋体" w:hAnsi="宋体" w:cs="宋体"/>
          <w:sz w:val="24"/>
        </w:rPr>
        <w:t>服务内容：各楼宇日常养护维修、环境卫生保洁服务、绿化养护、安保服务、消防消控、会务客服服务、给排水和供电等设备管理维护等。</w:t>
      </w:r>
    </w:p>
    <w:p>
      <w:pPr>
        <w:spacing w:line="360" w:lineRule="auto"/>
        <w:ind w:firstLine="424" w:firstLineChars="176"/>
        <w:jc w:val="left"/>
        <w:rPr>
          <w:rFonts w:ascii="宋体" w:hAnsi="宋体" w:cs="宋体"/>
          <w:b/>
          <w:bCs/>
          <w:sz w:val="24"/>
        </w:rPr>
      </w:pPr>
      <w:r>
        <w:rPr>
          <w:rFonts w:hint="eastAsia" w:asciiTheme="minorEastAsia" w:hAnsiTheme="minorEastAsia" w:eastAsiaTheme="minorEastAsia" w:cstheme="minorEastAsia"/>
          <w:b/>
          <w:bCs/>
          <w:sz w:val="24"/>
        </w:rPr>
        <w:t>1、</w:t>
      </w:r>
      <w:r>
        <w:rPr>
          <w:rFonts w:hint="eastAsia" w:ascii="宋体" w:hAnsi="宋体" w:cs="宋体"/>
          <w:b/>
          <w:bCs/>
          <w:sz w:val="24"/>
        </w:rPr>
        <w:t>岗位配置</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1458"/>
        <w:gridCol w:w="1235"/>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69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岗位</w:t>
            </w:r>
          </w:p>
        </w:tc>
        <w:tc>
          <w:tcPr>
            <w:tcW w:w="1458"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性别</w:t>
            </w:r>
          </w:p>
        </w:tc>
        <w:tc>
          <w:tcPr>
            <w:tcW w:w="123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368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69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c>
          <w:tcPr>
            <w:tcW w:w="1458"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男</w:t>
            </w:r>
          </w:p>
        </w:tc>
        <w:tc>
          <w:tcPr>
            <w:tcW w:w="123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368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45岁以下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69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会务</w:t>
            </w:r>
          </w:p>
        </w:tc>
        <w:tc>
          <w:tcPr>
            <w:tcW w:w="1458"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女</w:t>
            </w:r>
          </w:p>
        </w:tc>
        <w:tc>
          <w:tcPr>
            <w:tcW w:w="123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368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40岁以下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69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保安</w:t>
            </w:r>
          </w:p>
        </w:tc>
        <w:tc>
          <w:tcPr>
            <w:tcW w:w="1458"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男</w:t>
            </w:r>
          </w:p>
        </w:tc>
        <w:tc>
          <w:tcPr>
            <w:tcW w:w="123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368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长白班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69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保安</w:t>
            </w:r>
          </w:p>
        </w:tc>
        <w:tc>
          <w:tcPr>
            <w:tcW w:w="1458"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男</w:t>
            </w:r>
          </w:p>
        </w:tc>
        <w:tc>
          <w:tcPr>
            <w:tcW w:w="123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3685"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69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消控</w:t>
            </w:r>
          </w:p>
        </w:tc>
        <w:tc>
          <w:tcPr>
            <w:tcW w:w="1458"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男</w:t>
            </w:r>
          </w:p>
        </w:tc>
        <w:tc>
          <w:tcPr>
            <w:tcW w:w="123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3685"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69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保洁</w:t>
            </w:r>
          </w:p>
        </w:tc>
        <w:tc>
          <w:tcPr>
            <w:tcW w:w="1458"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女</w:t>
            </w:r>
          </w:p>
        </w:tc>
        <w:tc>
          <w:tcPr>
            <w:tcW w:w="123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3685" w:type="dxa"/>
            <w:vAlign w:val="center"/>
          </w:tcPr>
          <w:p>
            <w:pPr>
              <w:jc w:val="center"/>
              <w:rPr>
                <w:rFonts w:asciiTheme="minorEastAsia" w:hAnsiTheme="minorEastAsia" w:eastAsiaTheme="minorEastAsia" w:cstheme="minorEastAsia"/>
                <w:sz w:val="24"/>
              </w:rPr>
            </w:pPr>
          </w:p>
        </w:tc>
      </w:tr>
    </w:tbl>
    <w:p>
      <w:pPr>
        <w:spacing w:line="360" w:lineRule="auto"/>
        <w:ind w:firstLine="422" w:firstLineChars="176"/>
        <w:rPr>
          <w:rFonts w:ascii="宋体" w:hAnsi="宋体" w:cs="宋体"/>
          <w:sz w:val="24"/>
        </w:rPr>
      </w:pPr>
      <w:r>
        <w:rPr>
          <w:rFonts w:hint="eastAsia" w:ascii="宋体" w:hAnsi="宋体" w:cs="宋体"/>
          <w:sz w:val="24"/>
        </w:rPr>
        <w:t>（1）人员不得少于以上人数配置要求。在项目实施过程中人员调整应当事先报告采购人，经采购人同意方可调整。</w:t>
      </w:r>
    </w:p>
    <w:p>
      <w:pPr>
        <w:spacing w:line="360" w:lineRule="auto"/>
        <w:ind w:firstLine="422" w:firstLineChars="17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（2）工作时间：</w:t>
      </w:r>
    </w:p>
    <w:p>
      <w:pPr>
        <w:spacing w:line="360" w:lineRule="auto"/>
        <w:ind w:firstLine="422" w:firstLineChars="17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保洁：周一至周日8:00-17:30，逢重要节假日或者重大事件，根据机关的工作时间要求执行；保安、消控员：按照要求执行（24小时轮换班）。</w:t>
      </w:r>
    </w:p>
    <w:p>
      <w:pPr>
        <w:spacing w:line="360" w:lineRule="auto"/>
        <w:ind w:firstLine="424" w:firstLineChars="176"/>
        <w:rPr>
          <w:rFonts w:ascii="宋体" w:hAnsi="宋体" w:cs="宋体"/>
          <w:b/>
          <w:bCs/>
          <w:sz w:val="24"/>
        </w:rPr>
      </w:pPr>
      <w:r>
        <w:rPr>
          <w:rFonts w:hint="eastAsia" w:ascii="宋体" w:hAnsi="宋体" w:cs="宋体"/>
          <w:b/>
          <w:bCs/>
          <w:sz w:val="24"/>
        </w:rPr>
        <w:t xml:space="preserve"> 2、工作人员定员及要求</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Theme="minorEastAsia" w:hAnsiTheme="minorEastAsia" w:eastAsiaTheme="minorEastAsia" w:cstheme="minorEastAsia"/>
          <w:sz w:val="24"/>
        </w:rPr>
        <w:t>项目负责人</w:t>
      </w:r>
      <w:r>
        <w:rPr>
          <w:rFonts w:hint="eastAsia" w:ascii="宋体" w:hAnsi="宋体" w:cs="宋体"/>
          <w:sz w:val="24"/>
        </w:rPr>
        <w:t>（1人）：</w:t>
      </w:r>
    </w:p>
    <w:p>
      <w:pPr>
        <w:spacing w:line="360" w:lineRule="auto"/>
        <w:ind w:firstLine="600" w:firstLineChars="250"/>
        <w:rPr>
          <w:rFonts w:ascii="宋体" w:hAnsi="宋体" w:cs="宋体"/>
          <w:sz w:val="24"/>
        </w:rPr>
      </w:pPr>
      <w:r>
        <w:rPr>
          <w:rFonts w:hint="eastAsia" w:ascii="宋体" w:hAnsi="宋体" w:cs="宋体"/>
          <w:sz w:val="24"/>
        </w:rPr>
        <w:t>人员要求：</w:t>
      </w:r>
      <w:r>
        <w:rPr>
          <w:rFonts w:hint="eastAsia" w:asciiTheme="minorEastAsia" w:hAnsiTheme="minorEastAsia" w:eastAsiaTheme="minorEastAsia" w:cstheme="minorEastAsia"/>
          <w:sz w:val="24"/>
        </w:rPr>
        <w:t>项目负责人</w:t>
      </w:r>
      <w:r>
        <w:rPr>
          <w:rFonts w:hint="eastAsia" w:ascii="宋体" w:hAnsi="宋体" w:cs="宋体"/>
          <w:sz w:val="24"/>
        </w:rPr>
        <w:t>素质要求45周岁以下，为人正直，品行端正，身体健康，提供体检合格单等资料。</w:t>
      </w:r>
    </w:p>
    <w:p>
      <w:pPr>
        <w:spacing w:line="360" w:lineRule="auto"/>
        <w:ind w:firstLine="480" w:firstLineChars="200"/>
        <w:rPr>
          <w:rFonts w:ascii="宋体" w:hAnsi="宋体" w:cs="宋体"/>
          <w:sz w:val="24"/>
        </w:rPr>
      </w:pPr>
      <w:r>
        <w:rPr>
          <w:rFonts w:hint="eastAsia" w:ascii="宋体" w:hAnsi="宋体" w:cs="宋体"/>
          <w:sz w:val="24"/>
        </w:rPr>
        <w:t>(2)会务</w:t>
      </w:r>
      <w:r>
        <w:rPr>
          <w:rFonts w:ascii="宋体" w:hAnsi="宋体" w:cs="宋体"/>
          <w:sz w:val="24"/>
        </w:rPr>
        <w:t>（</w:t>
      </w:r>
      <w:r>
        <w:rPr>
          <w:rFonts w:hint="eastAsia" w:ascii="宋体" w:hAnsi="宋体" w:cs="宋体"/>
          <w:sz w:val="24"/>
        </w:rPr>
        <w:t>1人</w:t>
      </w:r>
      <w:r>
        <w:rPr>
          <w:rFonts w:ascii="宋体" w:hAnsi="宋体" w:cs="宋体"/>
          <w:sz w:val="24"/>
        </w:rPr>
        <w:t>）</w:t>
      </w:r>
    </w:p>
    <w:p>
      <w:pPr>
        <w:spacing w:line="360" w:lineRule="auto"/>
        <w:ind w:firstLine="600" w:firstLineChars="250"/>
        <w:rPr>
          <w:rFonts w:ascii="宋体" w:hAnsi="宋体" w:cs="宋体"/>
          <w:sz w:val="24"/>
        </w:rPr>
      </w:pPr>
      <w:r>
        <w:rPr>
          <w:rFonts w:hint="eastAsia" w:ascii="宋体" w:hAnsi="宋体" w:cs="宋体"/>
          <w:sz w:val="24"/>
        </w:rPr>
        <w:t>人员要求：保洁人员素质要求40周岁以下，为人正直，品行端正，身体健康，会操作电脑、音响等电子设备，提供体检合格单等资料。</w:t>
      </w:r>
    </w:p>
    <w:p>
      <w:pPr>
        <w:spacing w:line="360" w:lineRule="auto"/>
        <w:ind w:firstLine="480" w:firstLineChars="200"/>
        <w:rPr>
          <w:rFonts w:ascii="宋体" w:hAnsi="宋体" w:cs="宋体"/>
          <w:sz w:val="24"/>
        </w:rPr>
      </w:pPr>
      <w:r>
        <w:rPr>
          <w:rFonts w:hint="eastAsia" w:ascii="宋体" w:hAnsi="宋体" w:cs="宋体"/>
          <w:sz w:val="24"/>
        </w:rPr>
        <w:t>(3)保安：（4人）</w:t>
      </w:r>
    </w:p>
    <w:p>
      <w:pPr>
        <w:spacing w:line="360" w:lineRule="auto"/>
        <w:ind w:firstLine="480" w:firstLineChars="200"/>
        <w:rPr>
          <w:rFonts w:ascii="宋体" w:hAnsi="宋体" w:cs="宋体"/>
          <w:sz w:val="24"/>
        </w:rPr>
      </w:pPr>
      <w:r>
        <w:rPr>
          <w:rFonts w:hint="eastAsia" w:ascii="宋体" w:hAnsi="宋体" w:cs="宋体"/>
          <w:sz w:val="24"/>
        </w:rPr>
        <w:t>每班一楼大厅</w:t>
      </w:r>
      <w:r>
        <w:rPr>
          <w:rFonts w:ascii="宋体" w:hAnsi="宋体" w:cs="宋体"/>
          <w:sz w:val="24"/>
        </w:rPr>
        <w:t>2</w:t>
      </w:r>
      <w:r>
        <w:rPr>
          <w:rFonts w:hint="eastAsia" w:ascii="宋体" w:hAnsi="宋体" w:cs="宋体"/>
          <w:sz w:val="24"/>
        </w:rPr>
        <w:t>人</w:t>
      </w:r>
      <w:r>
        <w:rPr>
          <w:rFonts w:ascii="宋体" w:hAnsi="宋体" w:cs="宋体"/>
          <w:sz w:val="24"/>
        </w:rPr>
        <w:t>，大院门岗</w:t>
      </w:r>
      <w:r>
        <w:rPr>
          <w:rFonts w:hint="eastAsia" w:ascii="宋体" w:hAnsi="宋体" w:cs="宋体"/>
          <w:sz w:val="24"/>
        </w:rPr>
        <w:t>2人</w:t>
      </w:r>
      <w:r>
        <w:rPr>
          <w:rFonts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人员要求：人员素质要求5</w:t>
      </w:r>
      <w:r>
        <w:rPr>
          <w:rFonts w:ascii="宋体" w:hAnsi="宋体" w:cs="宋体"/>
          <w:sz w:val="24"/>
        </w:rPr>
        <w:t>5</w:t>
      </w:r>
      <w:r>
        <w:rPr>
          <w:rFonts w:hint="eastAsia" w:ascii="宋体" w:hAnsi="宋体" w:cs="宋体"/>
          <w:sz w:val="24"/>
        </w:rPr>
        <w:t>周岁以下，男性，身高16</w:t>
      </w:r>
      <w:r>
        <w:rPr>
          <w:rFonts w:ascii="宋体" w:hAnsi="宋体" w:cs="宋体"/>
          <w:sz w:val="24"/>
        </w:rPr>
        <w:t>5</w:t>
      </w:r>
      <w:r>
        <w:rPr>
          <w:rFonts w:hint="eastAsia" w:ascii="宋体" w:hAnsi="宋体" w:cs="宋体"/>
          <w:sz w:val="24"/>
        </w:rPr>
        <w:t>cm以上，具备较强的身体对抗能力，有消防意识，能够熟练掌握消防灭火器具的使用方法。身体健康，提供体检合格单等资料。安保人员需持“保安证”上岗，退伍军人优先。全部安保员中，至少有两人具有消控证。</w:t>
      </w:r>
    </w:p>
    <w:p>
      <w:pPr>
        <w:spacing w:line="360" w:lineRule="auto"/>
        <w:ind w:firstLine="480" w:firstLineChars="200"/>
        <w:rPr>
          <w:rFonts w:ascii="宋体" w:hAnsi="宋体" w:cs="宋体"/>
          <w:sz w:val="24"/>
        </w:rPr>
      </w:pPr>
      <w:r>
        <w:rPr>
          <w:rFonts w:hint="eastAsia" w:ascii="宋体" w:hAnsi="宋体" w:cs="宋体"/>
          <w:sz w:val="24"/>
        </w:rPr>
        <w:t>（4）消控（2人）</w:t>
      </w:r>
    </w:p>
    <w:p>
      <w:pPr>
        <w:spacing w:line="360" w:lineRule="auto"/>
        <w:ind w:firstLine="480" w:firstLineChars="200"/>
        <w:rPr>
          <w:rFonts w:ascii="宋体" w:hAnsi="宋体" w:cs="宋体"/>
          <w:sz w:val="24"/>
        </w:rPr>
      </w:pPr>
      <w:r>
        <w:rPr>
          <w:rFonts w:hint="eastAsia" w:ascii="宋体" w:hAnsi="宋体" w:cs="宋体"/>
          <w:sz w:val="24"/>
        </w:rPr>
        <w:t>人员要求：50周岁以下，男性，品行端正，身体健康，具有水电相关专业工作经验，持有国家认可的电工作业证件。</w:t>
      </w:r>
    </w:p>
    <w:p>
      <w:pPr>
        <w:spacing w:line="360" w:lineRule="auto"/>
        <w:ind w:firstLine="480" w:firstLineChars="200"/>
        <w:rPr>
          <w:rFonts w:ascii="宋体" w:hAnsi="宋体" w:cs="宋体"/>
          <w:sz w:val="24"/>
        </w:rPr>
      </w:pPr>
      <w:r>
        <w:rPr>
          <w:rFonts w:hint="eastAsia" w:ascii="宋体" w:hAnsi="宋体" w:cs="宋体"/>
          <w:sz w:val="24"/>
        </w:rPr>
        <w:t>（5）保洁（</w:t>
      </w:r>
      <w:r>
        <w:rPr>
          <w:rFonts w:ascii="宋体" w:hAnsi="宋体" w:cs="宋体"/>
          <w:sz w:val="24"/>
        </w:rPr>
        <w:t>4</w:t>
      </w:r>
      <w:r>
        <w:rPr>
          <w:rFonts w:hint="eastAsia" w:ascii="宋体" w:hAnsi="宋体" w:cs="宋体"/>
          <w:sz w:val="24"/>
        </w:rPr>
        <w:t>人）：</w:t>
      </w:r>
    </w:p>
    <w:p>
      <w:pPr>
        <w:pStyle w:val="5"/>
        <w:numPr>
          <w:ilvl w:val="0"/>
          <w:numId w:val="0"/>
        </w:numPr>
        <w:ind w:firstLine="240" w:firstLineChars="1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 xml:space="preserve">  人员要求：保洁人员素质要求55周岁以下，为人正直，品行端正，身体健康；提供体检合格单等资料。</w:t>
      </w:r>
    </w:p>
    <w:p>
      <w:pPr>
        <w:spacing w:line="360" w:lineRule="auto"/>
        <w:ind w:firstLine="426" w:firstLineChars="177"/>
        <w:rPr>
          <w:rFonts w:ascii="宋体" w:hAnsi="宋体" w:cs="宋体"/>
          <w:b/>
          <w:bCs/>
          <w:sz w:val="24"/>
        </w:rPr>
      </w:pPr>
      <w:r>
        <w:rPr>
          <w:rFonts w:hint="eastAsia" w:ascii="宋体" w:hAnsi="宋体" w:cs="宋体"/>
          <w:b/>
          <w:bCs/>
          <w:sz w:val="24"/>
        </w:rPr>
        <w:t>3、岗位职责描述：</w:t>
      </w:r>
    </w:p>
    <w:p>
      <w:pPr>
        <w:autoSpaceDE w:val="0"/>
        <w:autoSpaceDN w:val="0"/>
        <w:spacing w:line="360" w:lineRule="auto"/>
        <w:ind w:firstLine="480" w:firstLineChars="200"/>
        <w:rPr>
          <w:rFonts w:ascii="宋体" w:hAnsi="宋体" w:cs="宋体"/>
          <w:sz w:val="24"/>
        </w:rPr>
      </w:pPr>
      <w:r>
        <w:rPr>
          <w:rFonts w:hint="eastAsia" w:ascii="宋体" w:hAnsi="宋体" w:cs="宋体"/>
          <w:sz w:val="24"/>
        </w:rPr>
        <w:t>(1)</w:t>
      </w:r>
      <w:r>
        <w:rPr>
          <w:rFonts w:hint="eastAsia" w:asciiTheme="minorEastAsia" w:hAnsiTheme="minorEastAsia" w:eastAsiaTheme="minorEastAsia" w:cstheme="minorEastAsia"/>
          <w:sz w:val="24"/>
        </w:rPr>
        <w:t>项目负责人</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①全面负责办公楼保洁绿化、停车场、消防安全等方面的全面管理工作;</w:t>
      </w:r>
    </w:p>
    <w:p>
      <w:pPr>
        <w:spacing w:line="360" w:lineRule="auto"/>
        <w:ind w:firstLine="480" w:firstLineChars="200"/>
        <w:rPr>
          <w:rFonts w:ascii="宋体" w:hAnsi="宋体" w:cs="宋体"/>
          <w:sz w:val="24"/>
        </w:rPr>
      </w:pPr>
      <w:r>
        <w:rPr>
          <w:rFonts w:hint="eastAsia" w:ascii="宋体" w:hAnsi="宋体" w:cs="宋体"/>
          <w:sz w:val="24"/>
        </w:rPr>
        <w:t>②负责制定安保、环境、消防工作计划，并对实施情况进行检查与监督;</w:t>
      </w:r>
    </w:p>
    <w:p>
      <w:pPr>
        <w:spacing w:line="360" w:lineRule="auto"/>
        <w:ind w:firstLine="480" w:firstLineChars="200"/>
        <w:rPr>
          <w:rFonts w:ascii="宋体" w:hAnsi="宋体" w:cs="宋体"/>
          <w:sz w:val="24"/>
        </w:rPr>
      </w:pPr>
      <w:r>
        <w:rPr>
          <w:rFonts w:hint="eastAsia" w:ascii="宋体" w:hAnsi="宋体" w:cs="宋体"/>
          <w:sz w:val="24"/>
        </w:rPr>
        <w:t>③负责办公楼保洁、绿化、消杀等监督检查工作，负责日常管理的筹划、工作;</w:t>
      </w:r>
    </w:p>
    <w:p>
      <w:pPr>
        <w:spacing w:line="360" w:lineRule="auto"/>
        <w:ind w:firstLine="480" w:firstLineChars="200"/>
        <w:rPr>
          <w:rFonts w:ascii="宋体" w:hAnsi="宋体" w:cs="宋体"/>
          <w:sz w:val="24"/>
        </w:rPr>
      </w:pPr>
      <w:r>
        <w:rPr>
          <w:rFonts w:hint="eastAsia" w:ascii="宋体" w:hAnsi="宋体" w:cs="宋体"/>
          <w:sz w:val="24"/>
        </w:rPr>
        <w:t>④负责物业工作人员的检查、督促、考勤工作；</w:t>
      </w:r>
    </w:p>
    <w:p>
      <w:pPr>
        <w:spacing w:line="360" w:lineRule="auto"/>
        <w:ind w:firstLine="480" w:firstLineChars="200"/>
        <w:rPr>
          <w:rFonts w:ascii="宋体" w:hAnsi="宋体" w:cs="宋体"/>
          <w:sz w:val="24"/>
        </w:rPr>
      </w:pPr>
      <w:r>
        <w:rPr>
          <w:rFonts w:hint="eastAsia" w:ascii="宋体" w:hAnsi="宋体" w:cs="宋体"/>
          <w:sz w:val="24"/>
        </w:rPr>
        <w:t>⑤完成安排的其他相关工作。</w:t>
      </w:r>
    </w:p>
    <w:p>
      <w:pPr>
        <w:spacing w:line="360" w:lineRule="auto"/>
        <w:ind w:firstLine="480" w:firstLineChars="200"/>
        <w:rPr>
          <w:rFonts w:ascii="宋体" w:hAnsi="宋体" w:cs="宋体"/>
          <w:sz w:val="24"/>
        </w:rPr>
      </w:pPr>
      <w:r>
        <w:rPr>
          <w:rFonts w:hint="eastAsia" w:ascii="宋体" w:hAnsi="宋体" w:cs="宋体"/>
          <w:sz w:val="24"/>
        </w:rPr>
        <w:t>(2)会务人员：</w:t>
      </w:r>
    </w:p>
    <w:p>
      <w:pPr>
        <w:autoSpaceDE w:val="0"/>
        <w:autoSpaceDN w:val="0"/>
        <w:spacing w:line="360" w:lineRule="auto"/>
        <w:ind w:firstLine="480" w:firstLineChars="200"/>
        <w:rPr>
          <w:rFonts w:ascii="宋体" w:hAnsi="宋体" w:cs="宋体"/>
          <w:sz w:val="24"/>
        </w:rPr>
      </w:pPr>
      <w:r>
        <w:rPr>
          <w:rFonts w:hint="eastAsia" w:ascii="宋体" w:hAnsi="宋体" w:cs="宋体"/>
          <w:sz w:val="24"/>
        </w:rPr>
        <w:t>①每次会前准备充分，对有通知的会议室按会议做好相应的准备工作（桌签、会标、签到单等）。</w:t>
      </w:r>
    </w:p>
    <w:p>
      <w:pPr>
        <w:autoSpaceDE w:val="0"/>
        <w:autoSpaceDN w:val="0"/>
        <w:spacing w:line="360" w:lineRule="auto"/>
        <w:ind w:firstLine="480"/>
        <w:rPr>
          <w:rFonts w:ascii="宋体" w:hAnsi="宋体" w:cs="宋体"/>
          <w:sz w:val="24"/>
        </w:rPr>
      </w:pPr>
      <w:r>
        <w:rPr>
          <w:rFonts w:hint="eastAsia" w:ascii="宋体" w:hAnsi="宋体" w:cs="宋体"/>
          <w:sz w:val="24"/>
        </w:rPr>
        <w:t>②会前按要求操作电脑、音响、投影仪、触控一体机等电子设备，并按要求进行会议系统调试。</w:t>
      </w:r>
    </w:p>
    <w:p>
      <w:pPr>
        <w:autoSpaceDE w:val="0"/>
        <w:autoSpaceDN w:val="0"/>
        <w:spacing w:line="360" w:lineRule="auto"/>
        <w:ind w:firstLine="480"/>
        <w:rPr>
          <w:rFonts w:ascii="宋体" w:hAnsi="宋体" w:cs="宋体"/>
          <w:sz w:val="24"/>
        </w:rPr>
      </w:pPr>
      <w:r>
        <w:rPr>
          <w:rFonts w:hint="eastAsia" w:ascii="宋体" w:hAnsi="宋体" w:cs="宋体"/>
          <w:sz w:val="24"/>
        </w:rPr>
        <w:t>③每次会议结束后做好会议物品整理，茶具清洗、消毒，会议场地清扫，设施设备清点、检查、记录等会后服务。</w:t>
      </w:r>
    </w:p>
    <w:p>
      <w:pPr>
        <w:autoSpaceDE w:val="0"/>
        <w:autoSpaceDN w:val="0"/>
        <w:spacing w:line="360" w:lineRule="auto"/>
        <w:ind w:firstLine="480"/>
        <w:rPr>
          <w:rFonts w:ascii="宋体" w:hAnsi="宋体" w:cs="宋体"/>
          <w:sz w:val="24"/>
        </w:rPr>
      </w:pPr>
      <w:r>
        <w:rPr>
          <w:rFonts w:hint="eastAsia" w:ascii="宋体" w:hAnsi="宋体" w:cs="宋体"/>
          <w:sz w:val="24"/>
        </w:rPr>
        <w:t>(3)保安员：</w:t>
      </w:r>
    </w:p>
    <w:p>
      <w:pPr>
        <w:autoSpaceDE w:val="0"/>
        <w:autoSpaceDN w:val="0"/>
        <w:spacing w:line="360" w:lineRule="auto"/>
        <w:ind w:firstLine="480" w:firstLineChars="200"/>
        <w:rPr>
          <w:rFonts w:ascii="宋体" w:hAnsi="宋体" w:cs="宋体"/>
          <w:sz w:val="24"/>
        </w:rPr>
      </w:pPr>
      <w:r>
        <w:rPr>
          <w:rFonts w:hint="eastAsia" w:ascii="宋体" w:hAnsi="宋体" w:cs="宋体"/>
          <w:sz w:val="24"/>
        </w:rPr>
        <w:t>①统一着装，忠于职守，不擅离岗位，上班时间不得干私活；</w:t>
      </w:r>
    </w:p>
    <w:p>
      <w:pPr>
        <w:autoSpaceDE w:val="0"/>
        <w:autoSpaceDN w:val="0"/>
        <w:spacing w:line="360" w:lineRule="auto"/>
        <w:ind w:firstLine="480"/>
        <w:rPr>
          <w:rFonts w:ascii="宋体" w:hAnsi="宋体" w:cs="宋体"/>
          <w:sz w:val="24"/>
        </w:rPr>
      </w:pPr>
      <w:r>
        <w:rPr>
          <w:rFonts w:hint="eastAsia" w:ascii="宋体" w:hAnsi="宋体" w:cs="宋体"/>
          <w:sz w:val="24"/>
        </w:rPr>
        <w:t>②认真做好来访人员的登记工作，非办事人员一律不许随便进入；</w:t>
      </w:r>
    </w:p>
    <w:p>
      <w:pPr>
        <w:autoSpaceDE w:val="0"/>
        <w:autoSpaceDN w:val="0"/>
        <w:spacing w:line="360" w:lineRule="auto"/>
        <w:ind w:firstLine="480"/>
        <w:rPr>
          <w:rFonts w:ascii="宋体" w:hAnsi="宋体" w:cs="宋体"/>
          <w:sz w:val="24"/>
        </w:rPr>
      </w:pPr>
      <w:r>
        <w:rPr>
          <w:rFonts w:hint="eastAsia" w:ascii="宋体" w:hAnsi="宋体" w:cs="宋体"/>
          <w:sz w:val="24"/>
        </w:rPr>
        <w:t>③晚间工作人员下班后，要检查所有办公室的“四关一锁”。夜间定期安排巡逻；（四关一锁是指关闭办公电脑、空调、电灯和窗户，锁好房门）</w:t>
      </w:r>
    </w:p>
    <w:p>
      <w:pPr>
        <w:autoSpaceDE w:val="0"/>
        <w:autoSpaceDN w:val="0"/>
        <w:spacing w:line="360" w:lineRule="auto"/>
        <w:ind w:firstLine="480"/>
        <w:rPr>
          <w:rFonts w:ascii="宋体" w:hAnsi="宋体" w:cs="宋体"/>
          <w:sz w:val="24"/>
        </w:rPr>
      </w:pPr>
      <w:r>
        <w:rPr>
          <w:rFonts w:hint="eastAsia" w:ascii="宋体" w:hAnsi="宋体" w:cs="宋体"/>
          <w:sz w:val="24"/>
        </w:rPr>
        <w:t>④不得擅自答应外单位或个人在本单位内寄存车辆、物品；</w:t>
      </w:r>
    </w:p>
    <w:p>
      <w:pPr>
        <w:autoSpaceDE w:val="0"/>
        <w:autoSpaceDN w:val="0"/>
        <w:spacing w:line="360" w:lineRule="auto"/>
        <w:ind w:firstLine="480"/>
        <w:rPr>
          <w:rFonts w:ascii="宋体" w:hAnsi="宋体" w:cs="宋体"/>
          <w:sz w:val="24"/>
        </w:rPr>
      </w:pPr>
      <w:r>
        <w:rPr>
          <w:rFonts w:hint="eastAsia" w:ascii="宋体" w:hAnsi="宋体" w:cs="宋体"/>
          <w:sz w:val="24"/>
        </w:rPr>
        <w:t>⑤仔细做好报刊、信件、包裹等收发工作。挂号信、汇款等必须登记签发；</w:t>
      </w:r>
    </w:p>
    <w:p>
      <w:pPr>
        <w:autoSpaceDE w:val="0"/>
        <w:autoSpaceDN w:val="0"/>
        <w:spacing w:line="360" w:lineRule="auto"/>
        <w:ind w:firstLine="480"/>
        <w:rPr>
          <w:rFonts w:ascii="宋体" w:hAnsi="宋体" w:cs="宋体"/>
          <w:sz w:val="24"/>
        </w:rPr>
      </w:pPr>
      <w:r>
        <w:rPr>
          <w:rFonts w:hint="eastAsia" w:ascii="宋体" w:hAnsi="宋体" w:cs="宋体"/>
          <w:sz w:val="24"/>
        </w:rPr>
        <w:t>⑥熟练消防专业知识，能正确熟练处理消防安全问题。</w:t>
      </w:r>
    </w:p>
    <w:p>
      <w:pPr>
        <w:autoSpaceDE w:val="0"/>
        <w:autoSpaceDN w:val="0"/>
        <w:spacing w:line="360" w:lineRule="auto"/>
        <w:ind w:firstLine="480"/>
        <w:rPr>
          <w:rFonts w:ascii="宋体" w:hAnsi="宋体" w:cs="宋体"/>
          <w:sz w:val="24"/>
        </w:rPr>
      </w:pPr>
      <w:r>
        <w:rPr>
          <w:rFonts w:hint="eastAsia" w:ascii="宋体" w:hAnsi="宋体" w:cs="宋体"/>
          <w:sz w:val="24"/>
        </w:rPr>
        <w:t>⑦严格落实安检制度，熟悉安检程序，熟练操作安检设备和警用装备。</w:t>
      </w:r>
    </w:p>
    <w:p>
      <w:pPr>
        <w:autoSpaceDE w:val="0"/>
        <w:autoSpaceDN w:val="0"/>
        <w:spacing w:line="360" w:lineRule="auto"/>
        <w:ind w:firstLine="480"/>
        <w:rPr>
          <w:rFonts w:ascii="宋体" w:hAnsi="宋体" w:cs="宋体"/>
          <w:sz w:val="24"/>
        </w:rPr>
      </w:pPr>
      <w:r>
        <w:rPr>
          <w:rFonts w:hint="eastAsia" w:ascii="宋体" w:hAnsi="宋体" w:cs="宋体"/>
          <w:sz w:val="24"/>
        </w:rPr>
        <w:t>(4)消控人员</w:t>
      </w:r>
    </w:p>
    <w:p>
      <w:pPr>
        <w:autoSpaceDE w:val="0"/>
        <w:autoSpaceDN w:val="0"/>
        <w:spacing w:line="360" w:lineRule="auto"/>
        <w:ind w:firstLine="480"/>
        <w:rPr>
          <w:rFonts w:ascii="宋体" w:hAnsi="宋体" w:cs="宋体"/>
          <w:sz w:val="24"/>
        </w:rPr>
      </w:pPr>
      <w:r>
        <w:rPr>
          <w:rFonts w:hint="eastAsia" w:ascii="宋体" w:hAnsi="宋体" w:cs="宋体"/>
          <w:sz w:val="24"/>
        </w:rPr>
        <w:t>①每日消控、监控设施设备应保持24小时正常运行，保证出入口、内部重点区域的安全监控、录像及协助布警。</w:t>
      </w:r>
    </w:p>
    <w:p>
      <w:pPr>
        <w:autoSpaceDE w:val="0"/>
        <w:autoSpaceDN w:val="0"/>
        <w:spacing w:line="360" w:lineRule="auto"/>
        <w:ind w:firstLine="480" w:firstLineChars="200"/>
        <w:rPr>
          <w:rFonts w:ascii="宋体" w:hAnsi="宋体" w:cs="宋体"/>
          <w:sz w:val="24"/>
        </w:rPr>
      </w:pPr>
      <w:r>
        <w:rPr>
          <w:rFonts w:hint="eastAsia" w:ascii="宋体" w:hAnsi="宋体" w:cs="宋体"/>
          <w:sz w:val="24"/>
        </w:rPr>
        <w:t>②监控室收到异常情况报警信号后，应及时报警，并派专人在现场进行监管。监控资料应至少保留30天。</w:t>
      </w:r>
    </w:p>
    <w:p>
      <w:pPr>
        <w:autoSpaceDE w:val="0"/>
        <w:autoSpaceDN w:val="0"/>
        <w:spacing w:line="360" w:lineRule="auto"/>
        <w:ind w:firstLine="480"/>
        <w:rPr>
          <w:rFonts w:ascii="宋体" w:hAnsi="宋体" w:cs="宋体"/>
          <w:sz w:val="24"/>
        </w:rPr>
      </w:pPr>
      <w:r>
        <w:rPr>
          <w:rFonts w:hint="eastAsia" w:ascii="宋体" w:hAnsi="宋体" w:cs="宋体"/>
          <w:sz w:val="24"/>
        </w:rPr>
        <w:t>(5)</w:t>
      </w:r>
      <w:r>
        <w:rPr>
          <w:rFonts w:ascii="宋体" w:hAnsi="宋体" w:cs="宋体"/>
          <w:sz w:val="24"/>
        </w:rPr>
        <w:t>保洁员</w:t>
      </w:r>
      <w:r>
        <w:rPr>
          <w:rFonts w:hint="eastAsia" w:ascii="宋体" w:hAnsi="宋体" w:cs="宋体"/>
          <w:sz w:val="24"/>
        </w:rPr>
        <w:t>：</w:t>
      </w:r>
    </w:p>
    <w:p>
      <w:pPr>
        <w:autoSpaceDE w:val="0"/>
        <w:autoSpaceDN w:val="0"/>
        <w:spacing w:line="360" w:lineRule="auto"/>
        <w:ind w:firstLine="480"/>
        <w:rPr>
          <w:rFonts w:ascii="宋体" w:hAnsi="宋体" w:cs="宋体"/>
          <w:sz w:val="24"/>
        </w:rPr>
      </w:pPr>
      <w:r>
        <w:rPr>
          <w:rFonts w:hint="eastAsia" w:ascii="宋体" w:hAnsi="宋体" w:cs="宋体"/>
          <w:sz w:val="24"/>
        </w:rPr>
        <w:t>①保洁人员应按公司规定统一着装仪容仪表整洁，端庄；</w:t>
      </w:r>
    </w:p>
    <w:p>
      <w:pPr>
        <w:autoSpaceDE w:val="0"/>
        <w:autoSpaceDN w:val="0"/>
        <w:spacing w:line="360" w:lineRule="auto"/>
        <w:ind w:firstLine="480"/>
        <w:rPr>
          <w:rFonts w:ascii="宋体" w:hAnsi="宋体" w:cs="宋体"/>
          <w:sz w:val="24"/>
        </w:rPr>
      </w:pPr>
      <w:r>
        <w:rPr>
          <w:rFonts w:hint="eastAsia" w:ascii="宋体" w:hAnsi="宋体" w:cs="宋体"/>
          <w:sz w:val="24"/>
        </w:rPr>
        <w:t>②为本单位工作人员提供一个清洁、舒适的工作环境；</w:t>
      </w:r>
    </w:p>
    <w:p>
      <w:pPr>
        <w:autoSpaceDE w:val="0"/>
        <w:autoSpaceDN w:val="0"/>
        <w:spacing w:line="360" w:lineRule="auto"/>
        <w:ind w:firstLine="480"/>
        <w:rPr>
          <w:rFonts w:ascii="宋体" w:hAnsi="宋体" w:cs="宋体"/>
          <w:sz w:val="24"/>
        </w:rPr>
      </w:pPr>
      <w:r>
        <w:rPr>
          <w:rFonts w:hint="eastAsia" w:ascii="宋体" w:hAnsi="宋体" w:cs="宋体"/>
          <w:sz w:val="24"/>
        </w:rPr>
        <w:t>③适时、及时、准时实施保洁服务；</w:t>
      </w:r>
    </w:p>
    <w:p>
      <w:pPr>
        <w:autoSpaceDE w:val="0"/>
        <w:autoSpaceDN w:val="0"/>
        <w:spacing w:line="360" w:lineRule="auto"/>
        <w:ind w:firstLine="480"/>
        <w:rPr>
          <w:rFonts w:ascii="宋体" w:hAnsi="宋体" w:cs="宋体"/>
          <w:sz w:val="24"/>
        </w:rPr>
      </w:pPr>
      <w:r>
        <w:rPr>
          <w:rFonts w:hint="eastAsia" w:ascii="宋体" w:hAnsi="宋体" w:cs="宋体"/>
          <w:sz w:val="24"/>
        </w:rPr>
        <w:t>④</w:t>
      </w:r>
      <w:r>
        <w:rPr>
          <w:rFonts w:ascii="宋体" w:hAnsi="宋体" w:cs="宋体"/>
          <w:sz w:val="24"/>
        </w:rPr>
        <w:t>负责</w:t>
      </w:r>
      <w:r>
        <w:rPr>
          <w:rFonts w:hint="eastAsia" w:ascii="宋体" w:hAnsi="宋体" w:cs="宋体"/>
          <w:sz w:val="24"/>
        </w:rPr>
        <w:t>大楼</w:t>
      </w:r>
      <w:r>
        <w:rPr>
          <w:rFonts w:ascii="宋体" w:hAnsi="宋体" w:cs="宋体"/>
          <w:sz w:val="24"/>
        </w:rPr>
        <w:t>楼道、楼梯、扶手、门厅、</w:t>
      </w:r>
      <w:r>
        <w:rPr>
          <w:rFonts w:hint="eastAsia" w:ascii="宋体" w:hAnsi="宋体" w:cs="宋体"/>
          <w:sz w:val="24"/>
        </w:rPr>
        <w:t>会议室、</w:t>
      </w:r>
      <w:r>
        <w:rPr>
          <w:rFonts w:ascii="宋体" w:hAnsi="宋体" w:cs="宋体"/>
          <w:sz w:val="24"/>
        </w:rPr>
        <w:t>卫生间</w:t>
      </w:r>
      <w:r>
        <w:rPr>
          <w:rFonts w:hint="eastAsia" w:ascii="宋体" w:hAnsi="宋体" w:cs="宋体"/>
          <w:sz w:val="24"/>
        </w:rPr>
        <w:t>、室内外停车场及大楼室外周围等场所</w:t>
      </w:r>
      <w:r>
        <w:rPr>
          <w:rFonts w:ascii="宋体" w:hAnsi="宋体" w:cs="宋体"/>
          <w:sz w:val="24"/>
        </w:rPr>
        <w:t>卫生清扫</w:t>
      </w:r>
      <w:r>
        <w:rPr>
          <w:rFonts w:hint="eastAsia" w:ascii="宋体" w:hAnsi="宋体" w:cs="宋体"/>
          <w:sz w:val="24"/>
        </w:rPr>
        <w:t>与</w:t>
      </w:r>
      <w:r>
        <w:rPr>
          <w:rFonts w:ascii="宋体" w:hAnsi="宋体" w:cs="宋体"/>
          <w:sz w:val="24"/>
        </w:rPr>
        <w:t>保洁工作</w:t>
      </w:r>
      <w:r>
        <w:rPr>
          <w:rFonts w:hint="eastAsia" w:ascii="宋体" w:hAnsi="宋体" w:cs="宋体"/>
          <w:sz w:val="24"/>
        </w:rPr>
        <w:t>；</w:t>
      </w:r>
    </w:p>
    <w:p>
      <w:pPr>
        <w:autoSpaceDE w:val="0"/>
        <w:autoSpaceDN w:val="0"/>
        <w:spacing w:line="360" w:lineRule="auto"/>
        <w:ind w:firstLine="480"/>
        <w:rPr>
          <w:rFonts w:ascii="宋体" w:hAnsi="宋体" w:cs="宋体"/>
          <w:sz w:val="24"/>
        </w:rPr>
      </w:pPr>
      <w:r>
        <w:rPr>
          <w:rFonts w:hint="eastAsia" w:ascii="宋体" w:hAnsi="宋体" w:cs="宋体"/>
          <w:sz w:val="24"/>
        </w:rPr>
        <w:t>⑤</w:t>
      </w:r>
      <w:r>
        <w:rPr>
          <w:rFonts w:ascii="宋体" w:hAnsi="宋体" w:cs="宋体"/>
          <w:sz w:val="24"/>
        </w:rPr>
        <w:t>负责窗台、</w:t>
      </w:r>
      <w:r>
        <w:rPr>
          <w:rFonts w:hint="eastAsia" w:ascii="宋体" w:hAnsi="宋体" w:cs="宋体"/>
          <w:sz w:val="24"/>
        </w:rPr>
        <w:t>墙壁</w:t>
      </w:r>
      <w:r>
        <w:rPr>
          <w:rFonts w:ascii="宋体" w:hAnsi="宋体" w:cs="宋体"/>
          <w:sz w:val="24"/>
        </w:rPr>
        <w:t>、果皮箱、门窗、玻璃</w:t>
      </w:r>
      <w:r>
        <w:rPr>
          <w:rFonts w:hint="eastAsia" w:ascii="宋体" w:hAnsi="宋体" w:cs="宋体"/>
          <w:sz w:val="24"/>
        </w:rPr>
        <w:t>、窗帘、</w:t>
      </w:r>
      <w:r>
        <w:rPr>
          <w:rFonts w:ascii="宋体" w:hAnsi="宋体" w:cs="宋体"/>
          <w:sz w:val="24"/>
        </w:rPr>
        <w:t>等公共设施的保洁</w:t>
      </w:r>
      <w:r>
        <w:rPr>
          <w:rFonts w:hint="eastAsia" w:ascii="宋体" w:hAnsi="宋体" w:cs="宋体"/>
          <w:sz w:val="24"/>
        </w:rPr>
        <w:t>和清洗</w:t>
      </w:r>
      <w:r>
        <w:rPr>
          <w:rFonts w:ascii="宋体" w:hAnsi="宋体" w:cs="宋体"/>
          <w:sz w:val="24"/>
        </w:rPr>
        <w:t>工作</w:t>
      </w:r>
      <w:r>
        <w:rPr>
          <w:rFonts w:hint="eastAsia" w:ascii="宋体" w:hAnsi="宋体" w:cs="宋体"/>
          <w:sz w:val="24"/>
        </w:rPr>
        <w:t>；</w:t>
      </w:r>
    </w:p>
    <w:p>
      <w:pPr>
        <w:autoSpaceDE w:val="0"/>
        <w:autoSpaceDN w:val="0"/>
        <w:spacing w:line="360" w:lineRule="auto"/>
        <w:ind w:firstLine="480"/>
        <w:rPr>
          <w:rFonts w:ascii="宋体" w:hAnsi="宋体" w:cs="宋体"/>
          <w:sz w:val="24"/>
        </w:rPr>
      </w:pPr>
      <w:r>
        <w:rPr>
          <w:rFonts w:hint="eastAsia" w:ascii="宋体" w:hAnsi="宋体" w:cs="宋体"/>
          <w:sz w:val="24"/>
        </w:rPr>
        <w:t>⑥各保洁员</w:t>
      </w:r>
      <w:r>
        <w:rPr>
          <w:rFonts w:ascii="宋体" w:hAnsi="宋体" w:cs="宋体"/>
          <w:sz w:val="24"/>
        </w:rPr>
        <w:t>在</w:t>
      </w:r>
      <w:r>
        <w:rPr>
          <w:rFonts w:hint="eastAsia" w:ascii="宋体" w:hAnsi="宋体" w:cs="宋体"/>
          <w:sz w:val="24"/>
        </w:rPr>
        <w:t>各自</w:t>
      </w:r>
      <w:r>
        <w:rPr>
          <w:rFonts w:ascii="宋体" w:hAnsi="宋体" w:cs="宋体"/>
          <w:sz w:val="24"/>
        </w:rPr>
        <w:t>分配的区域内清扫保洁</w:t>
      </w:r>
      <w:r>
        <w:rPr>
          <w:rFonts w:hint="eastAsia" w:ascii="宋体" w:hAnsi="宋体" w:cs="宋体"/>
          <w:sz w:val="24"/>
        </w:rPr>
        <w:t>；</w:t>
      </w:r>
    </w:p>
    <w:p>
      <w:pPr>
        <w:autoSpaceDE w:val="0"/>
        <w:autoSpaceDN w:val="0"/>
        <w:spacing w:line="360" w:lineRule="auto"/>
        <w:ind w:firstLine="480"/>
        <w:rPr>
          <w:rFonts w:ascii="宋体" w:hAnsi="宋体" w:cs="宋体"/>
          <w:sz w:val="24"/>
        </w:rPr>
      </w:pPr>
      <w:r>
        <w:rPr>
          <w:rFonts w:hint="eastAsia" w:ascii="宋体" w:hAnsi="宋体" w:cs="宋体"/>
          <w:sz w:val="24"/>
        </w:rPr>
        <w:t>⑦</w:t>
      </w:r>
      <w:r>
        <w:rPr>
          <w:rFonts w:ascii="宋体" w:hAnsi="宋体" w:cs="宋体"/>
          <w:sz w:val="24"/>
        </w:rPr>
        <w:t>负责各楼垃圾的收集清运工作</w:t>
      </w:r>
      <w:r>
        <w:rPr>
          <w:rFonts w:hint="eastAsia" w:ascii="宋体" w:hAnsi="宋体" w:cs="宋体"/>
          <w:sz w:val="24"/>
        </w:rPr>
        <w:t>；</w:t>
      </w:r>
    </w:p>
    <w:p>
      <w:pPr>
        <w:autoSpaceDE w:val="0"/>
        <w:autoSpaceDN w:val="0"/>
        <w:spacing w:line="360" w:lineRule="auto"/>
        <w:ind w:firstLine="480"/>
      </w:pPr>
      <w:r>
        <w:rPr>
          <w:rFonts w:hint="eastAsia" w:ascii="宋体" w:hAnsi="宋体" w:cs="宋体"/>
          <w:sz w:val="24"/>
        </w:rPr>
        <w:t>⑧其他临时性的保洁清洗工作。</w:t>
      </w:r>
    </w:p>
    <w:p>
      <w:pPr>
        <w:spacing w:line="360" w:lineRule="auto"/>
        <w:ind w:firstLine="569" w:firstLineChars="236"/>
        <w:rPr>
          <w:rFonts w:ascii="宋体" w:hAnsi="宋体" w:cs="宋体"/>
          <w:b/>
          <w:bCs/>
          <w:sz w:val="24"/>
        </w:rPr>
      </w:pPr>
      <w:r>
        <w:rPr>
          <w:rFonts w:hint="eastAsia" w:ascii="宋体" w:hAnsi="宋体" w:cs="宋体"/>
          <w:b/>
          <w:bCs/>
          <w:sz w:val="24"/>
        </w:rPr>
        <w:t>(二)</w:t>
      </w:r>
      <w:r>
        <w:rPr>
          <w:rFonts w:ascii="宋体" w:hAnsi="宋体" w:cs="宋体"/>
          <w:b/>
          <w:bCs/>
          <w:sz w:val="24"/>
        </w:rPr>
        <w:t>、</w:t>
      </w:r>
      <w:r>
        <w:rPr>
          <w:rFonts w:hint="eastAsia" w:ascii="宋体" w:hAnsi="宋体" w:cs="宋体"/>
          <w:b/>
          <w:bCs/>
          <w:sz w:val="24"/>
        </w:rPr>
        <w:t>服务质量标准</w:t>
      </w:r>
      <w:r>
        <w:rPr>
          <w:rFonts w:ascii="宋体" w:hAnsi="宋体" w:cs="宋体"/>
          <w:b/>
          <w:bCs/>
          <w:sz w:val="24"/>
        </w:rPr>
        <w:t>：</w:t>
      </w:r>
    </w:p>
    <w:p>
      <w:pPr>
        <w:spacing w:line="360" w:lineRule="auto"/>
        <w:ind w:firstLine="590" w:firstLineChars="246"/>
        <w:rPr>
          <w:rFonts w:ascii="宋体" w:hAnsi="宋体" w:cs="宋体"/>
          <w:sz w:val="24"/>
        </w:rPr>
      </w:pPr>
      <w:r>
        <w:rPr>
          <w:rFonts w:hint="eastAsia" w:ascii="宋体" w:hAnsi="宋体" w:cs="宋体"/>
          <w:sz w:val="24"/>
        </w:rPr>
        <w:t>1、公用区域环境</w:t>
      </w:r>
      <w:r>
        <w:rPr>
          <w:rFonts w:ascii="宋体" w:hAnsi="宋体" w:cs="宋体"/>
          <w:sz w:val="24"/>
        </w:rPr>
        <w:t xml:space="preserve">保洁： </w:t>
      </w:r>
    </w:p>
    <w:p>
      <w:pPr>
        <w:spacing w:line="360" w:lineRule="auto"/>
        <w:ind w:firstLine="480" w:firstLineChars="200"/>
        <w:rPr>
          <w:rFonts w:ascii="宋体" w:hAnsi="宋体" w:cs="宋体"/>
          <w:sz w:val="24"/>
        </w:rPr>
      </w:pPr>
      <w:r>
        <w:rPr>
          <w:rFonts w:hint="eastAsia" w:ascii="宋体" w:hAnsi="宋体" w:cs="宋体"/>
          <w:sz w:val="24"/>
        </w:rPr>
        <w:t>(1)每日循环清扫地面，随时清除地面、台面的垃圾、污迹，发现污渍立即处理，门厅、窗、地面等公共区域保持随时清洁，每天至少推尘1次，每周彻底清洗一次。</w:t>
      </w:r>
    </w:p>
    <w:p>
      <w:pPr>
        <w:spacing w:line="360" w:lineRule="auto"/>
        <w:ind w:firstLine="480" w:firstLineChars="200"/>
        <w:rPr>
          <w:rFonts w:ascii="宋体" w:hAnsi="宋体" w:cs="宋体"/>
          <w:sz w:val="24"/>
        </w:rPr>
      </w:pPr>
      <w:r>
        <w:rPr>
          <w:rFonts w:hint="eastAsia" w:ascii="宋体" w:hAnsi="宋体" w:cs="宋体"/>
          <w:sz w:val="24"/>
        </w:rPr>
        <w:t>(2）每日抹净门玻璃和窗玻璃，保持玻璃干净明亮，无污迹、无手印、无积尘，擦净门框、窗框、柱子等，每周按计划彻底清洁1次。</w:t>
      </w:r>
    </w:p>
    <w:p>
      <w:pPr>
        <w:spacing w:line="360" w:lineRule="auto"/>
        <w:ind w:firstLine="480" w:firstLineChars="200"/>
        <w:rPr>
          <w:rFonts w:ascii="宋体" w:hAnsi="宋体" w:cs="宋体"/>
          <w:sz w:val="24"/>
        </w:rPr>
      </w:pPr>
      <w:r>
        <w:rPr>
          <w:rFonts w:hint="eastAsia" w:ascii="宋体" w:hAnsi="宋体" w:cs="宋体"/>
          <w:sz w:val="24"/>
        </w:rPr>
        <w:t>(3）每日抹净各种指示牌、告示牌、显示屏、接待台等，抹净各处灯罩、金属框，使其无积尘，每周彻底清除公共区域沙发、茶几等各处卫生死角。</w:t>
      </w:r>
    </w:p>
    <w:p>
      <w:pPr>
        <w:spacing w:line="360" w:lineRule="auto"/>
        <w:ind w:firstLine="480" w:firstLineChars="200"/>
        <w:rPr>
          <w:rFonts w:ascii="宋体" w:hAnsi="宋体" w:cs="宋体"/>
          <w:sz w:val="24"/>
        </w:rPr>
      </w:pPr>
      <w:r>
        <w:rPr>
          <w:rFonts w:hint="eastAsia" w:ascii="宋体" w:hAnsi="宋体" w:cs="宋体"/>
          <w:sz w:val="24"/>
        </w:rPr>
        <w:t>(4）各处金属包边、告示牌支架等，用金属清洁保养剂擦亮，保持无手印，无氧化痕迹、无锈蚀，每日擦拭。</w:t>
      </w:r>
    </w:p>
    <w:p>
      <w:pPr>
        <w:spacing w:line="360" w:lineRule="auto"/>
        <w:ind w:firstLine="480" w:firstLineChars="200"/>
        <w:rPr>
          <w:rFonts w:ascii="宋体" w:hAnsi="宋体" w:cs="宋体"/>
          <w:sz w:val="24"/>
        </w:rPr>
      </w:pPr>
      <w:r>
        <w:rPr>
          <w:rFonts w:hint="eastAsia" w:ascii="宋体" w:hAnsi="宋体" w:cs="宋体"/>
          <w:sz w:val="24"/>
        </w:rPr>
        <w:t>(5）及时清理公共区域及会议室的垃圾，垃圾不能满过筒身的1/2。每日清倒垃圾1次，及时更换垃圾袋，及时处理垃圾筒上面的痰迹，使其外表干净、光亮、无满溢垃圾现象，保证垃圾不过夜。每周使用消毒剂进行彻底消毒，使蚊蝇鼠虫无滋生源。</w:t>
      </w:r>
    </w:p>
    <w:p>
      <w:pPr>
        <w:spacing w:line="360" w:lineRule="auto"/>
        <w:ind w:firstLine="480" w:firstLineChars="200"/>
        <w:rPr>
          <w:rFonts w:ascii="宋体" w:hAnsi="宋体" w:cs="宋体"/>
          <w:sz w:val="24"/>
        </w:rPr>
      </w:pPr>
      <w:r>
        <w:rPr>
          <w:rFonts w:hint="eastAsia" w:ascii="宋体" w:hAnsi="宋体" w:cs="宋体"/>
          <w:sz w:val="24"/>
        </w:rPr>
        <w:t>(6）保持墙壁和石柱等地方的干净、无积尘；保持监控器、风口、天花板及扬声器等各类设施洁净，定期清除灯罩上面的灰尘和消防器材的灰尘，保持无积尘、干净。</w:t>
      </w:r>
    </w:p>
    <w:p>
      <w:pPr>
        <w:spacing w:line="360" w:lineRule="auto"/>
        <w:ind w:firstLine="480" w:firstLineChars="200"/>
        <w:rPr>
          <w:rFonts w:ascii="宋体" w:hAnsi="宋体" w:cs="宋体"/>
          <w:sz w:val="24"/>
        </w:rPr>
      </w:pPr>
      <w:r>
        <w:rPr>
          <w:rFonts w:hint="eastAsia" w:ascii="宋体" w:hAnsi="宋体" w:cs="宋体"/>
          <w:sz w:val="24"/>
        </w:rPr>
        <w:t>(7）每天清洁一次公共区域的盆栽植物、花盆，保持盆栽植物无黄叶、烟头、纸屑等杂物，使其无尘、无垃圾。</w:t>
      </w:r>
    </w:p>
    <w:p>
      <w:pPr>
        <w:spacing w:line="360" w:lineRule="auto"/>
        <w:ind w:firstLine="480" w:firstLineChars="200"/>
        <w:rPr>
          <w:rFonts w:ascii="宋体" w:hAnsi="宋体" w:cs="宋体"/>
          <w:sz w:val="24"/>
        </w:rPr>
      </w:pPr>
      <w:r>
        <w:rPr>
          <w:rFonts w:hint="eastAsia" w:ascii="宋体" w:hAnsi="宋体" w:cs="宋体"/>
          <w:sz w:val="24"/>
        </w:rPr>
        <w:t>(8）每日清扫大厅不得少于2次，尘推推净，保持大厅整洁，无积尘、无污渍、无水迹。</w:t>
      </w:r>
    </w:p>
    <w:p>
      <w:pPr>
        <w:spacing w:line="360" w:lineRule="auto"/>
        <w:ind w:firstLine="480" w:firstLineChars="200"/>
        <w:rPr>
          <w:rFonts w:ascii="宋体" w:hAnsi="宋体" w:cs="宋体"/>
          <w:sz w:val="24"/>
        </w:rPr>
      </w:pPr>
      <w:r>
        <w:rPr>
          <w:rFonts w:hint="eastAsia" w:ascii="宋体" w:hAnsi="宋体" w:cs="宋体"/>
          <w:sz w:val="24"/>
        </w:rPr>
        <w:t>(9）每日一次擦净安全通道楼梯扶手，拖净楼梯，各眼见手及之处抹尘、保洁。</w:t>
      </w:r>
    </w:p>
    <w:p>
      <w:pPr>
        <w:spacing w:line="360" w:lineRule="auto"/>
        <w:ind w:firstLine="480" w:firstLineChars="200"/>
        <w:rPr>
          <w:rFonts w:ascii="宋体" w:hAnsi="宋体" w:cs="宋体"/>
          <w:sz w:val="24"/>
        </w:rPr>
      </w:pPr>
      <w:r>
        <w:rPr>
          <w:rFonts w:hint="eastAsia" w:ascii="宋体" w:hAnsi="宋体" w:cs="宋体"/>
          <w:sz w:val="24"/>
        </w:rPr>
        <w:t>(10）每日清扫所有公共区域的天花板，确保无蜘蛛网等。定时清洗空调、窗帘、座套等，保持其干净整洁。</w:t>
      </w:r>
    </w:p>
    <w:p>
      <w:pPr>
        <w:spacing w:line="360" w:lineRule="auto"/>
        <w:ind w:firstLine="480" w:firstLineChars="200"/>
        <w:rPr>
          <w:rFonts w:ascii="宋体" w:hAnsi="宋体" w:cs="宋体"/>
          <w:sz w:val="24"/>
        </w:rPr>
      </w:pPr>
      <w:r>
        <w:rPr>
          <w:rFonts w:hint="eastAsia" w:ascii="宋体" w:hAnsi="宋体" w:cs="宋体"/>
          <w:sz w:val="24"/>
        </w:rPr>
        <w:t>(11）每月清理一次用公共区域区域排污沟，发现淤塞，随时清理，每月对天台玻璃等进行常规清洁一次。</w:t>
      </w:r>
    </w:p>
    <w:p>
      <w:pPr>
        <w:spacing w:line="360" w:lineRule="auto"/>
        <w:ind w:firstLine="480" w:firstLineChars="200"/>
        <w:rPr>
          <w:rFonts w:ascii="宋体" w:hAnsi="宋体" w:cs="宋体"/>
          <w:sz w:val="24"/>
        </w:rPr>
      </w:pPr>
      <w:r>
        <w:rPr>
          <w:rFonts w:hint="eastAsia" w:ascii="宋体" w:hAnsi="宋体" w:cs="宋体"/>
          <w:sz w:val="24"/>
        </w:rPr>
        <w:t>(12）保证会议室使用前期卫生清洁以及会议结束后的卫生清洁，过程中开水保障。对平时使用情况较少的大型会议室，做到每周至少抹尘2次，以保障随时备用状态。</w:t>
      </w:r>
    </w:p>
    <w:p>
      <w:pPr>
        <w:spacing w:line="360" w:lineRule="auto"/>
        <w:ind w:firstLine="480" w:firstLineChars="200"/>
        <w:rPr>
          <w:rFonts w:ascii="宋体" w:hAnsi="宋体" w:cs="宋体"/>
          <w:sz w:val="24"/>
        </w:rPr>
      </w:pPr>
      <w:r>
        <w:rPr>
          <w:rFonts w:hint="eastAsia" w:ascii="宋体" w:hAnsi="宋体" w:cs="宋体"/>
          <w:sz w:val="24"/>
        </w:rPr>
        <w:t>(13）由内勤保洁负责局领导办公保洁服务。</w:t>
      </w:r>
    </w:p>
    <w:p>
      <w:pPr>
        <w:spacing w:line="360" w:lineRule="auto"/>
        <w:ind w:firstLine="480" w:firstLineChars="200"/>
        <w:rPr>
          <w:rFonts w:ascii="宋体" w:hAnsi="宋体" w:cs="宋体"/>
          <w:sz w:val="24"/>
        </w:rPr>
      </w:pPr>
      <w:r>
        <w:rPr>
          <w:rFonts w:hint="eastAsia" w:ascii="宋体" w:hAnsi="宋体" w:cs="宋体"/>
          <w:sz w:val="24"/>
        </w:rPr>
        <w:t>(14）做好业主单位临时布置的卫生保障需求。</w:t>
      </w:r>
    </w:p>
    <w:p>
      <w:pPr>
        <w:spacing w:line="360" w:lineRule="auto"/>
        <w:ind w:firstLine="480" w:firstLineChars="200"/>
        <w:rPr>
          <w:rFonts w:ascii="宋体" w:hAnsi="宋体" w:cs="宋体"/>
          <w:sz w:val="24"/>
        </w:rPr>
      </w:pPr>
      <w:r>
        <w:rPr>
          <w:rFonts w:hint="eastAsia" w:ascii="宋体" w:hAnsi="宋体" w:cs="宋体"/>
          <w:sz w:val="24"/>
        </w:rPr>
        <w:t>2、卫生间、开水间环境</w:t>
      </w:r>
      <w:r>
        <w:rPr>
          <w:rFonts w:ascii="宋体" w:hAnsi="宋体" w:cs="宋体"/>
          <w:sz w:val="24"/>
        </w:rPr>
        <w:t>保洁</w:t>
      </w:r>
    </w:p>
    <w:p>
      <w:pPr>
        <w:spacing w:line="360" w:lineRule="auto"/>
        <w:ind w:firstLine="480" w:firstLineChars="200"/>
        <w:rPr>
          <w:rFonts w:ascii="宋体" w:hAnsi="宋体" w:cs="宋体"/>
          <w:sz w:val="24"/>
        </w:rPr>
      </w:pPr>
      <w:r>
        <w:rPr>
          <w:rFonts w:hint="eastAsia" w:ascii="宋体" w:hAnsi="宋体" w:cs="宋体"/>
          <w:sz w:val="24"/>
        </w:rPr>
        <w:t>(1）拖洗所有卫生间、开水间地面，抹净茶水炉、洁具、门框、墙身，每天循环多次，保持无灰尘、无垃圾、无异味、无手脚印、无污渍等。</w:t>
      </w:r>
    </w:p>
    <w:p>
      <w:pPr>
        <w:spacing w:line="360" w:lineRule="auto"/>
        <w:ind w:firstLine="480" w:firstLineChars="200"/>
        <w:rPr>
          <w:rFonts w:ascii="宋体" w:hAnsi="宋体" w:cs="宋体"/>
          <w:sz w:val="24"/>
        </w:rPr>
      </w:pPr>
      <w:r>
        <w:rPr>
          <w:rFonts w:hint="eastAsia" w:ascii="宋体" w:hAnsi="宋体" w:cs="宋体"/>
          <w:sz w:val="24"/>
        </w:rPr>
        <w:t>(2）卫生间隔板、纸盒等每天擦抹1次，小便池、厕位、水池每天冲洗，每天用清洁剂清洗1次，镜面、台面、洗手盆每天清洁，上班时间循环多次巡视，发现污剂、水剂、积水、头发、手印、便迹、异味、便纸等及时清理。</w:t>
      </w:r>
    </w:p>
    <w:p>
      <w:pPr>
        <w:spacing w:line="360" w:lineRule="auto"/>
        <w:ind w:firstLine="480" w:firstLineChars="200"/>
        <w:rPr>
          <w:rFonts w:ascii="宋体" w:hAnsi="宋体" w:cs="宋体"/>
          <w:sz w:val="24"/>
        </w:rPr>
      </w:pPr>
      <w:r>
        <w:rPr>
          <w:rFonts w:hint="eastAsia" w:ascii="宋体" w:hAnsi="宋体" w:cs="宋体"/>
          <w:sz w:val="24"/>
        </w:rPr>
        <w:t>(3）每周对卫生间使用洁具消毒1次，每月对卫生间进行整体消毒1次，保持卫生间空气新鲜，放置或喷洒除味物或剂，确保无异味，并及时补充卫生纸和洗手液。</w:t>
      </w:r>
    </w:p>
    <w:p>
      <w:pPr>
        <w:spacing w:line="360" w:lineRule="auto"/>
        <w:ind w:firstLine="480" w:firstLineChars="200"/>
        <w:rPr>
          <w:rFonts w:ascii="宋体" w:hAnsi="宋体" w:cs="宋体"/>
          <w:sz w:val="24"/>
        </w:rPr>
      </w:pPr>
      <w:r>
        <w:rPr>
          <w:rFonts w:hint="eastAsia" w:ascii="宋体" w:hAnsi="宋体" w:cs="宋体"/>
          <w:sz w:val="24"/>
        </w:rPr>
        <w:t>(4）每月全面清洗墙面瓷砖，地面用清洁剂刷洗，天花擦净，灯具、风口抹尘，保持干净、无污渍。卫生间、开水间的地面每天拖地，保持地面干燥。</w:t>
      </w:r>
    </w:p>
    <w:p>
      <w:pPr>
        <w:spacing w:line="360" w:lineRule="auto"/>
        <w:ind w:firstLine="480" w:firstLineChars="200"/>
        <w:rPr>
          <w:rFonts w:ascii="宋体" w:hAnsi="宋体" w:cs="宋体"/>
          <w:sz w:val="24"/>
        </w:rPr>
      </w:pPr>
      <w:r>
        <w:rPr>
          <w:rFonts w:hint="eastAsia" w:ascii="宋体" w:hAnsi="宋体" w:cs="宋体"/>
          <w:sz w:val="24"/>
        </w:rPr>
        <w:t>3、给排水及配电房供电系统管理维护</w:t>
      </w:r>
    </w:p>
    <w:p>
      <w:pPr>
        <w:spacing w:line="360" w:lineRule="auto"/>
        <w:ind w:firstLine="480" w:firstLineChars="200"/>
        <w:rPr>
          <w:rFonts w:ascii="宋体" w:hAnsi="宋体" w:cs="宋体"/>
          <w:sz w:val="24"/>
        </w:rPr>
      </w:pPr>
      <w:r>
        <w:rPr>
          <w:rFonts w:hint="eastAsia" w:ascii="宋体" w:hAnsi="宋体" w:cs="宋体"/>
          <w:sz w:val="24"/>
        </w:rPr>
        <w:t>(1）对物业管理区域室内外给排水系统的设备、设施进行日常养护，保持正常运行。</w:t>
      </w:r>
    </w:p>
    <w:p>
      <w:pPr>
        <w:spacing w:line="360" w:lineRule="auto"/>
        <w:ind w:firstLine="480" w:firstLineChars="200"/>
        <w:rPr>
          <w:rFonts w:ascii="宋体" w:hAnsi="宋体" w:cs="宋体"/>
          <w:sz w:val="24"/>
        </w:rPr>
      </w:pPr>
      <w:r>
        <w:rPr>
          <w:rFonts w:hint="eastAsia" w:ascii="宋体" w:hAnsi="宋体" w:cs="宋体"/>
          <w:sz w:val="24"/>
        </w:rPr>
        <w:t>(2）每半年对给排水系统进行维护、润滑，防锈处理。</w:t>
      </w:r>
    </w:p>
    <w:p>
      <w:pPr>
        <w:spacing w:line="360" w:lineRule="auto"/>
        <w:ind w:firstLine="480" w:firstLineChars="200"/>
        <w:rPr>
          <w:rFonts w:ascii="宋体" w:hAnsi="宋体" w:cs="宋体"/>
          <w:sz w:val="24"/>
        </w:rPr>
      </w:pPr>
      <w:r>
        <w:rPr>
          <w:rFonts w:hint="eastAsia" w:ascii="宋体" w:hAnsi="宋体" w:cs="宋体"/>
          <w:sz w:val="24"/>
        </w:rPr>
        <w:t>(3）每年至少清理污水化粪池一次，确保正常使用。</w:t>
      </w:r>
    </w:p>
    <w:p>
      <w:pPr>
        <w:spacing w:line="360" w:lineRule="auto"/>
        <w:ind w:firstLine="480" w:firstLineChars="200"/>
        <w:rPr>
          <w:rFonts w:ascii="宋体" w:hAnsi="宋体" w:cs="宋体"/>
          <w:sz w:val="24"/>
        </w:rPr>
      </w:pPr>
      <w:r>
        <w:rPr>
          <w:rFonts w:hint="eastAsia" w:ascii="宋体" w:hAnsi="宋体" w:cs="宋体"/>
          <w:sz w:val="24"/>
        </w:rPr>
        <w:t>(4）对区域内用电设施进行日常管理和维护、维修，保持设施正常运行。每月进行一次用电安全巡查，每半年进行一次线路检修，确保大楼电力运行安全可靠，强电系统所有配电柜、箱每年做一次保养。</w:t>
      </w:r>
    </w:p>
    <w:p>
      <w:pPr>
        <w:spacing w:line="360" w:lineRule="auto"/>
        <w:ind w:firstLine="480" w:firstLineChars="200"/>
        <w:rPr>
          <w:rFonts w:ascii="宋体" w:hAnsi="宋体" w:cs="宋体"/>
          <w:sz w:val="24"/>
        </w:rPr>
      </w:pPr>
      <w:r>
        <w:rPr>
          <w:rFonts w:hint="eastAsia" w:ascii="宋体" w:hAnsi="宋体" w:cs="宋体"/>
          <w:sz w:val="24"/>
        </w:rPr>
        <w:t>(5）按照规定周期对配电设备设施进行检查、维护、清洁，并做好记录；确保运行正常，各计量检测表显示正常。</w:t>
      </w:r>
    </w:p>
    <w:p>
      <w:pPr>
        <w:spacing w:line="360" w:lineRule="auto"/>
        <w:ind w:firstLine="480" w:firstLineChars="200"/>
        <w:rPr>
          <w:rFonts w:ascii="宋体" w:hAnsi="宋体" w:cs="宋体"/>
          <w:sz w:val="24"/>
        </w:rPr>
      </w:pPr>
      <w:r>
        <w:rPr>
          <w:rFonts w:hint="eastAsia" w:ascii="宋体" w:hAnsi="宋体" w:cs="宋体"/>
          <w:sz w:val="24"/>
        </w:rPr>
        <w:t>4、消杀除四害</w:t>
      </w:r>
    </w:p>
    <w:p>
      <w:pPr>
        <w:spacing w:line="360" w:lineRule="auto"/>
        <w:ind w:firstLine="480" w:firstLineChars="200"/>
        <w:rPr>
          <w:rFonts w:ascii="宋体" w:hAnsi="宋体" w:cs="宋体"/>
          <w:sz w:val="24"/>
        </w:rPr>
      </w:pPr>
      <w:r>
        <w:rPr>
          <w:rFonts w:hint="eastAsia" w:ascii="宋体" w:hAnsi="宋体" w:cs="宋体"/>
          <w:sz w:val="24"/>
        </w:rPr>
        <w:t>(1）做好除“四害”工作，建立消杀工作管理制度及台账，依据四季虫害发生情况，提前进行投放消杀药物，做好有效预防控制各类虫害发生。</w:t>
      </w:r>
    </w:p>
    <w:p>
      <w:pPr>
        <w:spacing w:line="360" w:lineRule="auto"/>
        <w:ind w:firstLine="480" w:firstLineChars="200"/>
        <w:rPr>
          <w:rFonts w:ascii="宋体" w:hAnsi="宋体" w:cs="宋体"/>
          <w:sz w:val="24"/>
        </w:rPr>
      </w:pPr>
      <w:r>
        <w:rPr>
          <w:rFonts w:hint="eastAsia" w:ascii="宋体" w:hAnsi="宋体" w:cs="宋体"/>
          <w:sz w:val="24"/>
        </w:rPr>
        <w:t>(2）对各类突发虫害，做好第一时间响应，及时消杀处理及善后。</w:t>
      </w:r>
    </w:p>
    <w:p>
      <w:pPr>
        <w:spacing w:line="360" w:lineRule="auto"/>
        <w:ind w:firstLine="480" w:firstLineChars="200"/>
        <w:rPr>
          <w:rFonts w:ascii="宋体" w:hAnsi="宋体" w:cs="宋体"/>
          <w:sz w:val="24"/>
        </w:rPr>
      </w:pPr>
      <w:r>
        <w:rPr>
          <w:rFonts w:hint="eastAsia" w:ascii="宋体" w:hAnsi="宋体" w:cs="宋体"/>
          <w:sz w:val="24"/>
        </w:rPr>
        <w:t>5、绿化养护</w:t>
      </w:r>
    </w:p>
    <w:p>
      <w:pPr>
        <w:spacing w:line="360" w:lineRule="auto"/>
        <w:ind w:firstLine="480" w:firstLineChars="200"/>
        <w:rPr>
          <w:rFonts w:ascii="宋体" w:hAnsi="宋体" w:cs="宋体"/>
          <w:sz w:val="24"/>
        </w:rPr>
      </w:pPr>
      <w:r>
        <w:rPr>
          <w:rFonts w:hint="eastAsia" w:ascii="宋体" w:hAnsi="宋体" w:cs="宋体"/>
          <w:sz w:val="24"/>
        </w:rPr>
        <w:t>(1）定期修剪苗木，每年</w:t>
      </w:r>
      <w:r>
        <w:rPr>
          <w:rFonts w:ascii="宋体" w:hAnsi="宋体" w:cs="宋体"/>
          <w:sz w:val="24"/>
        </w:rPr>
        <w:t>不少于四次修剪，</w:t>
      </w:r>
      <w:r>
        <w:rPr>
          <w:rFonts w:hint="eastAsia" w:ascii="宋体" w:hAnsi="宋体" w:cs="宋体"/>
          <w:sz w:val="24"/>
        </w:rPr>
        <w:t>做到苗木长势均匀，造型良好。</w:t>
      </w:r>
    </w:p>
    <w:p>
      <w:pPr>
        <w:spacing w:line="360" w:lineRule="auto"/>
        <w:ind w:firstLine="480" w:firstLineChars="200"/>
        <w:rPr>
          <w:rFonts w:ascii="宋体" w:hAnsi="宋体" w:cs="宋体"/>
          <w:sz w:val="24"/>
        </w:rPr>
      </w:pPr>
      <w:r>
        <w:rPr>
          <w:rFonts w:hint="eastAsia" w:ascii="宋体" w:hAnsi="宋体" w:cs="宋体"/>
          <w:sz w:val="24"/>
        </w:rPr>
        <w:t>(2）定期喷洒药水，防治绿植虫害发生。</w:t>
      </w:r>
    </w:p>
    <w:p>
      <w:pPr>
        <w:spacing w:line="360" w:lineRule="auto"/>
        <w:ind w:firstLine="480" w:firstLineChars="200"/>
        <w:rPr>
          <w:rFonts w:ascii="宋体" w:hAnsi="宋体" w:cs="宋体"/>
          <w:sz w:val="24"/>
        </w:rPr>
      </w:pPr>
      <w:r>
        <w:rPr>
          <w:rFonts w:hint="eastAsia" w:ascii="宋体" w:hAnsi="宋体" w:cs="宋体"/>
          <w:sz w:val="24"/>
        </w:rPr>
        <w:t>(3）对枯死的苗木进行及时补苗，保证绿化苗圃苗木完整。</w:t>
      </w:r>
    </w:p>
    <w:p>
      <w:pPr>
        <w:spacing w:line="360" w:lineRule="auto"/>
        <w:ind w:firstLine="424" w:firstLineChars="177"/>
        <w:rPr>
          <w:rFonts w:ascii="宋体" w:hAnsi="宋体" w:cs="宋体"/>
          <w:sz w:val="24"/>
        </w:rPr>
      </w:pPr>
      <w:r>
        <w:rPr>
          <w:rFonts w:hint="eastAsia" w:ascii="宋体" w:hAnsi="宋体" w:cs="宋体"/>
          <w:sz w:val="24"/>
        </w:rPr>
        <w:t xml:space="preserve"> </w:t>
      </w:r>
      <w:r>
        <w:rPr>
          <w:rFonts w:ascii="宋体" w:hAnsi="宋体" w:cs="宋体"/>
          <w:sz w:val="24"/>
        </w:rPr>
        <w:t>6</w:t>
      </w:r>
      <w:r>
        <w:rPr>
          <w:rFonts w:hint="eastAsia" w:ascii="宋体" w:hAnsi="宋体" w:cs="宋体"/>
          <w:sz w:val="24"/>
        </w:rPr>
        <w:t>、综合治安</w:t>
      </w:r>
      <w:r>
        <w:rPr>
          <w:rFonts w:ascii="宋体" w:hAnsi="宋体" w:cs="宋体"/>
          <w:sz w:val="24"/>
        </w:rPr>
        <w:t>管理</w:t>
      </w:r>
    </w:p>
    <w:p>
      <w:pPr>
        <w:spacing w:line="360" w:lineRule="auto"/>
        <w:ind w:firstLine="480" w:firstLineChars="200"/>
        <w:rPr>
          <w:rFonts w:ascii="宋体" w:hAnsi="宋体" w:cs="宋体"/>
          <w:sz w:val="24"/>
        </w:rPr>
      </w:pPr>
      <w:r>
        <w:rPr>
          <w:rFonts w:hint="eastAsia" w:ascii="宋体" w:hAnsi="宋体" w:cs="宋体"/>
          <w:sz w:val="24"/>
        </w:rPr>
        <w:t>安保岗位实施24小时</w:t>
      </w:r>
      <w:r>
        <w:rPr>
          <w:rFonts w:ascii="宋体" w:hAnsi="宋体" w:cs="宋体"/>
          <w:sz w:val="24"/>
        </w:rPr>
        <w:t>执勤制，</w:t>
      </w:r>
      <w:r>
        <w:rPr>
          <w:rFonts w:hint="eastAsia" w:ascii="宋体" w:hAnsi="宋体" w:cs="宋体"/>
          <w:sz w:val="24"/>
        </w:rPr>
        <w:t>每</w:t>
      </w:r>
      <w:r>
        <w:rPr>
          <w:rFonts w:ascii="宋体" w:hAnsi="宋体" w:cs="宋体"/>
          <w:sz w:val="24"/>
        </w:rPr>
        <w:t>班</w:t>
      </w:r>
      <w:r>
        <w:rPr>
          <w:rFonts w:hint="eastAsia" w:ascii="宋体" w:hAnsi="宋体" w:cs="宋体"/>
          <w:sz w:val="24"/>
        </w:rPr>
        <w:t>2人，其中大厅双岗，</w:t>
      </w:r>
      <w:r>
        <w:rPr>
          <w:rFonts w:ascii="宋体" w:hAnsi="宋体" w:cs="宋体"/>
          <w:sz w:val="24"/>
        </w:rPr>
        <w:t>大院岗亭单岗执勤。</w:t>
      </w:r>
    </w:p>
    <w:p>
      <w:pPr>
        <w:pStyle w:val="104"/>
        <w:ind w:firstLine="480"/>
        <w:rPr>
          <w:rFonts w:ascii="宋体" w:hAnsi="宋体" w:eastAsia="宋体" w:cs="宋体"/>
        </w:rPr>
      </w:pPr>
      <w:r>
        <w:rPr>
          <w:rFonts w:hint="eastAsia" w:ascii="宋体" w:hAnsi="宋体" w:eastAsia="宋体" w:cs="宋体"/>
        </w:rPr>
        <w:t>（1）车辆管理</w:t>
      </w:r>
    </w:p>
    <w:p>
      <w:pPr>
        <w:spacing w:line="360" w:lineRule="auto"/>
        <w:ind w:firstLine="480" w:firstLineChars="200"/>
        <w:rPr>
          <w:rFonts w:ascii="宋体" w:hAnsi="宋体" w:cs="宋体"/>
          <w:sz w:val="24"/>
        </w:rPr>
      </w:pPr>
      <w:r>
        <w:rPr>
          <w:rFonts w:hint="eastAsia" w:ascii="宋体" w:hAnsi="宋体" w:cs="宋体"/>
          <w:sz w:val="24"/>
        </w:rPr>
        <w:t>①对外部车辆进入进行管控，要求实名登记，并引导有序停放；</w:t>
      </w:r>
    </w:p>
    <w:p>
      <w:pPr>
        <w:spacing w:line="360" w:lineRule="auto"/>
        <w:ind w:firstLine="480" w:firstLineChars="200"/>
        <w:rPr>
          <w:rFonts w:ascii="宋体" w:hAnsi="宋体" w:cs="宋体"/>
          <w:sz w:val="24"/>
        </w:rPr>
      </w:pPr>
      <w:r>
        <w:rPr>
          <w:rFonts w:hint="eastAsia" w:ascii="宋体" w:hAnsi="宋体" w:cs="宋体"/>
          <w:sz w:val="24"/>
        </w:rPr>
        <w:t>②严禁不明车辆进入区域；</w:t>
      </w:r>
    </w:p>
    <w:p>
      <w:pPr>
        <w:spacing w:line="360" w:lineRule="auto"/>
        <w:ind w:firstLine="480" w:firstLineChars="200"/>
        <w:rPr>
          <w:rFonts w:ascii="宋体" w:hAnsi="宋体" w:cs="宋体"/>
          <w:sz w:val="24"/>
        </w:rPr>
      </w:pPr>
      <w:r>
        <w:rPr>
          <w:rFonts w:hint="eastAsia" w:ascii="宋体" w:hAnsi="宋体" w:cs="宋体"/>
          <w:sz w:val="24"/>
        </w:rPr>
        <w:t>③地上停车位车辆定时检查，保障车辆停放秩序；发现无序停放情况及时通知车主整改；</w:t>
      </w:r>
    </w:p>
    <w:p>
      <w:pPr>
        <w:spacing w:line="360" w:lineRule="auto"/>
        <w:ind w:firstLine="480" w:firstLineChars="200"/>
        <w:rPr>
          <w:rFonts w:ascii="宋体" w:hAnsi="宋体" w:cs="宋体"/>
          <w:sz w:val="24"/>
        </w:rPr>
      </w:pPr>
      <w:r>
        <w:rPr>
          <w:rFonts w:hint="eastAsia" w:ascii="宋体" w:hAnsi="宋体" w:cs="宋体"/>
          <w:sz w:val="24"/>
        </w:rPr>
        <w:t>（3）来客来访管理</w:t>
      </w:r>
    </w:p>
    <w:p>
      <w:pPr>
        <w:spacing w:line="360" w:lineRule="auto"/>
        <w:ind w:firstLine="480" w:firstLineChars="200"/>
        <w:rPr>
          <w:rFonts w:ascii="宋体" w:hAnsi="宋体" w:cs="宋体"/>
          <w:sz w:val="24"/>
        </w:rPr>
      </w:pPr>
      <w:r>
        <w:rPr>
          <w:rFonts w:hint="eastAsia" w:ascii="宋体" w:hAnsi="宋体" w:cs="宋体"/>
          <w:sz w:val="24"/>
        </w:rPr>
        <w:t>①对来访人员进行管控，礼貌的进行询问及要求登记；</w:t>
      </w:r>
    </w:p>
    <w:p>
      <w:pPr>
        <w:spacing w:line="360" w:lineRule="auto"/>
        <w:ind w:firstLine="480" w:firstLineChars="200"/>
        <w:rPr>
          <w:rFonts w:ascii="宋体" w:hAnsi="宋体" w:cs="宋体"/>
          <w:sz w:val="24"/>
        </w:rPr>
      </w:pPr>
      <w:r>
        <w:rPr>
          <w:rFonts w:hint="eastAsia" w:ascii="宋体" w:hAnsi="宋体" w:cs="宋体"/>
          <w:sz w:val="24"/>
        </w:rPr>
        <w:t>②与被访人员或被访部门进行联系确认，经确认后方可允许</w:t>
      </w:r>
      <w:r>
        <w:rPr>
          <w:rFonts w:ascii="宋体" w:hAnsi="宋体" w:cs="宋体"/>
          <w:sz w:val="24"/>
        </w:rPr>
        <w:t>进入</w:t>
      </w:r>
      <w:r>
        <w:rPr>
          <w:rFonts w:hint="eastAsia" w:ascii="宋体" w:hAnsi="宋体" w:cs="宋体"/>
          <w:sz w:val="24"/>
        </w:rPr>
        <w:t>。</w:t>
      </w:r>
    </w:p>
    <w:p>
      <w:pPr>
        <w:pStyle w:val="2"/>
        <w:spacing w:line="360" w:lineRule="auto"/>
        <w:ind w:left="0" w:leftChars="0" w:firstLine="480"/>
        <w:rPr>
          <w:rFonts w:cs="宋体"/>
          <w:sz w:val="24"/>
        </w:rPr>
      </w:pPr>
      <w:r>
        <w:rPr>
          <w:rFonts w:hint="eastAsia" w:cs="宋体"/>
          <w:sz w:val="24"/>
        </w:rPr>
        <w:t>③严禁</w:t>
      </w:r>
      <w:r>
        <w:rPr>
          <w:rFonts w:cs="宋体"/>
          <w:sz w:val="24"/>
        </w:rPr>
        <w:t>不明</w:t>
      </w:r>
      <w:r>
        <w:rPr>
          <w:rFonts w:hint="eastAsia" w:cs="宋体"/>
          <w:sz w:val="24"/>
        </w:rPr>
        <w:t>人</w:t>
      </w:r>
      <w:r>
        <w:rPr>
          <w:rFonts w:cs="宋体"/>
          <w:sz w:val="24"/>
        </w:rPr>
        <w:t>员进入办公大楼。</w:t>
      </w:r>
    </w:p>
    <w:p>
      <w:pPr>
        <w:pStyle w:val="2"/>
        <w:spacing w:line="360" w:lineRule="auto"/>
        <w:ind w:left="0" w:leftChars="0" w:firstLine="480"/>
        <w:rPr>
          <w:rFonts w:cs="宋体"/>
          <w:sz w:val="24"/>
        </w:rPr>
      </w:pPr>
      <w:r>
        <w:rPr>
          <w:rFonts w:hint="eastAsia" w:cs="宋体"/>
          <w:sz w:val="24"/>
        </w:rPr>
        <w:t>④疫情</w:t>
      </w:r>
      <w:r>
        <w:rPr>
          <w:rFonts w:cs="宋体"/>
          <w:sz w:val="24"/>
        </w:rPr>
        <w:t>特殊时期严格按照疫情管控要求进行</w:t>
      </w:r>
      <w:r>
        <w:rPr>
          <w:rFonts w:hint="eastAsia" w:cs="宋体"/>
          <w:sz w:val="24"/>
        </w:rPr>
        <w:t>访客</w:t>
      </w:r>
      <w:r>
        <w:rPr>
          <w:rFonts w:cs="宋体"/>
          <w:sz w:val="24"/>
        </w:rPr>
        <w:t>管理。</w:t>
      </w:r>
    </w:p>
    <w:p>
      <w:pPr>
        <w:spacing w:line="360" w:lineRule="auto"/>
        <w:ind w:firstLine="480" w:firstLineChars="200"/>
        <w:rPr>
          <w:rFonts w:ascii="宋体" w:hAnsi="宋体" w:cs="宋体"/>
          <w:sz w:val="24"/>
        </w:rPr>
      </w:pPr>
      <w:r>
        <w:rPr>
          <w:rFonts w:hint="eastAsia" w:ascii="宋体" w:hAnsi="宋体" w:cs="宋体"/>
          <w:sz w:val="24"/>
        </w:rPr>
        <w:t>（3）邮(信)件收发</w:t>
      </w:r>
    </w:p>
    <w:p>
      <w:pPr>
        <w:pStyle w:val="104"/>
        <w:adjustRightInd/>
        <w:ind w:firstLine="480"/>
        <w:rPr>
          <w:rFonts w:ascii="宋体" w:hAnsi="宋体" w:eastAsia="宋体" w:cs="宋体"/>
        </w:rPr>
      </w:pPr>
      <w:r>
        <w:rPr>
          <w:rFonts w:hint="eastAsia" w:ascii="宋体" w:hAnsi="宋体" w:eastAsia="宋体" w:cs="宋体"/>
        </w:rPr>
        <w:t>①来件登记，规范存放，通知收件人，取件登记；</w:t>
      </w:r>
    </w:p>
    <w:p>
      <w:pPr>
        <w:pStyle w:val="104"/>
        <w:adjustRightInd/>
        <w:ind w:firstLine="480"/>
        <w:rPr>
          <w:rFonts w:ascii="宋体" w:hAnsi="宋体" w:eastAsia="宋体" w:cs="宋体"/>
        </w:rPr>
      </w:pPr>
      <w:r>
        <w:rPr>
          <w:rFonts w:hint="eastAsia" w:ascii="宋体" w:hAnsi="宋体" w:eastAsia="宋体" w:cs="宋体"/>
        </w:rPr>
        <w:t>②对公件管理，寄件登记，统一安排快件公司取件。</w:t>
      </w:r>
    </w:p>
    <w:p>
      <w:pPr>
        <w:pStyle w:val="104"/>
        <w:ind w:firstLine="480"/>
        <w:rPr>
          <w:rFonts w:ascii="宋体" w:hAnsi="宋体" w:eastAsia="宋体" w:cs="宋体"/>
        </w:rPr>
      </w:pPr>
      <w:r>
        <w:rPr>
          <w:rFonts w:hint="eastAsia" w:ascii="宋体" w:hAnsi="宋体" w:eastAsia="宋体" w:cs="宋体"/>
        </w:rPr>
        <w:t>（4）巡查管理</w:t>
      </w:r>
    </w:p>
    <w:p>
      <w:pPr>
        <w:pStyle w:val="104"/>
        <w:ind w:firstLine="480"/>
        <w:rPr>
          <w:rFonts w:ascii="宋体" w:hAnsi="宋体" w:eastAsia="宋体" w:cs="宋体"/>
        </w:rPr>
      </w:pPr>
      <w:r>
        <w:rPr>
          <w:rFonts w:hint="eastAsia" w:ascii="宋体" w:hAnsi="宋体" w:eastAsia="宋体" w:cs="宋体"/>
        </w:rPr>
        <w:t>①24小时执勤制，大厅</w:t>
      </w:r>
      <w:r>
        <w:rPr>
          <w:rFonts w:ascii="宋体" w:hAnsi="宋体" w:eastAsia="宋体" w:cs="宋体"/>
        </w:rPr>
        <w:t>双岗，大院门岗单岗执勤，互为联动机制。</w:t>
      </w:r>
      <w:r>
        <w:rPr>
          <w:rFonts w:hint="eastAsia" w:ascii="宋体" w:hAnsi="宋体" w:eastAsia="宋体" w:cs="宋体"/>
        </w:rPr>
        <w:t>定时对办公楼进行巡查；发现异常情况及时处理并上报，有效消除隐患；</w:t>
      </w:r>
    </w:p>
    <w:p>
      <w:pPr>
        <w:pStyle w:val="104"/>
        <w:ind w:firstLine="480"/>
        <w:rPr>
          <w:rFonts w:ascii="宋体" w:hAnsi="宋体" w:eastAsia="宋体" w:cs="宋体"/>
        </w:rPr>
      </w:pPr>
      <w:r>
        <w:rPr>
          <w:rFonts w:hint="eastAsia" w:ascii="宋体" w:hAnsi="宋体" w:eastAsia="宋体" w:cs="宋体"/>
        </w:rPr>
        <w:t>②建立巡查</w:t>
      </w:r>
      <w:r>
        <w:rPr>
          <w:rFonts w:ascii="宋体" w:hAnsi="宋体" w:eastAsia="宋体" w:cs="宋体"/>
        </w:rPr>
        <w:t>记录，每次巡查情况记录在案并建</w:t>
      </w:r>
      <w:r>
        <w:rPr>
          <w:rFonts w:hint="eastAsia" w:ascii="宋体" w:hAnsi="宋体" w:eastAsia="宋体" w:cs="宋体"/>
        </w:rPr>
        <w:t>档</w:t>
      </w:r>
      <w:r>
        <w:rPr>
          <w:rFonts w:ascii="宋体" w:hAnsi="宋体" w:eastAsia="宋体" w:cs="宋体"/>
        </w:rPr>
        <w:t>管理。</w:t>
      </w:r>
    </w:p>
    <w:p>
      <w:pPr>
        <w:pStyle w:val="104"/>
        <w:ind w:firstLine="480"/>
        <w:rPr>
          <w:rFonts w:ascii="宋体" w:hAnsi="宋体" w:eastAsia="宋体" w:cs="宋体"/>
        </w:rPr>
      </w:pPr>
      <w:r>
        <w:rPr>
          <w:rFonts w:hint="eastAsia" w:ascii="宋体" w:hAnsi="宋体" w:eastAsia="宋体" w:cs="宋体"/>
        </w:rPr>
        <w:t>（5）</w:t>
      </w:r>
      <w:r>
        <w:rPr>
          <w:rFonts w:ascii="宋体" w:hAnsi="宋体" w:eastAsia="宋体" w:cs="宋体"/>
        </w:rPr>
        <w:t>应急</w:t>
      </w:r>
      <w:r>
        <w:rPr>
          <w:rFonts w:hint="eastAsia" w:ascii="宋体" w:hAnsi="宋体" w:eastAsia="宋体" w:cs="宋体"/>
        </w:rPr>
        <w:t>处理</w:t>
      </w:r>
    </w:p>
    <w:p>
      <w:pPr>
        <w:pStyle w:val="104"/>
        <w:ind w:firstLine="480"/>
        <w:rPr>
          <w:rFonts w:ascii="宋体" w:hAnsi="宋体" w:eastAsia="宋体" w:cs="宋体"/>
        </w:rPr>
      </w:pPr>
      <w:r>
        <w:rPr>
          <w:rFonts w:hint="eastAsia" w:ascii="宋体" w:hAnsi="宋体" w:eastAsia="宋体" w:cs="宋体"/>
        </w:rPr>
        <w:t>①在遇到</w:t>
      </w:r>
      <w:r>
        <w:rPr>
          <w:rFonts w:ascii="宋体" w:hAnsi="宋体" w:eastAsia="宋体" w:cs="宋体"/>
        </w:rPr>
        <w:t>突发紧急情况下，按照公司应急预案处置要求进行突发事件处置</w:t>
      </w:r>
      <w:r>
        <w:rPr>
          <w:rFonts w:hint="eastAsia" w:ascii="宋体" w:hAnsi="宋体" w:eastAsia="宋体" w:cs="宋体"/>
        </w:rPr>
        <w:t>，</w:t>
      </w:r>
      <w:r>
        <w:rPr>
          <w:rFonts w:ascii="宋体" w:hAnsi="宋体" w:eastAsia="宋体" w:cs="宋体"/>
        </w:rPr>
        <w:t>并第一时间予以向上汇报反馈。</w:t>
      </w:r>
    </w:p>
    <w:p>
      <w:pPr>
        <w:spacing w:line="360" w:lineRule="auto"/>
        <w:ind w:firstLine="708" w:firstLineChars="295"/>
        <w:rPr>
          <w:rFonts w:ascii="宋体" w:hAnsi="宋体" w:cs="宋体"/>
          <w:sz w:val="24"/>
        </w:rPr>
      </w:pPr>
      <w:r>
        <w:rPr>
          <w:rFonts w:hint="eastAsia" w:ascii="宋体" w:hAnsi="宋体" w:cs="宋体"/>
          <w:sz w:val="24"/>
        </w:rPr>
        <w:t>7、甲方有临时性、专项性任务时，乙方应无条件协助甲方，以更高的服务保障标准规范大楼秩序。</w:t>
      </w:r>
    </w:p>
    <w:p>
      <w:pPr>
        <w:pStyle w:val="2"/>
        <w:spacing w:line="360" w:lineRule="auto"/>
        <w:ind w:left="0" w:leftChars="0" w:firstLine="569" w:firstLineChars="236"/>
        <w:rPr>
          <w:rFonts w:cs="宋体"/>
          <w:b/>
          <w:bCs/>
          <w:sz w:val="24"/>
        </w:rPr>
      </w:pPr>
      <w:r>
        <w:rPr>
          <w:rFonts w:hint="eastAsia" w:cs="宋体"/>
          <w:b/>
          <w:bCs/>
          <w:sz w:val="24"/>
        </w:rPr>
        <w:t>(三)</w:t>
      </w:r>
      <w:r>
        <w:rPr>
          <w:rFonts w:cs="宋体"/>
          <w:b/>
          <w:bCs/>
          <w:sz w:val="24"/>
        </w:rPr>
        <w:t>、</w:t>
      </w:r>
      <w:r>
        <w:rPr>
          <w:rFonts w:hint="eastAsia" w:cs="宋体"/>
          <w:b/>
          <w:bCs/>
          <w:sz w:val="24"/>
        </w:rPr>
        <w:t>服务满意度各项指标要求：</w:t>
      </w:r>
    </w:p>
    <w:p>
      <w:pPr>
        <w:spacing w:line="360" w:lineRule="auto"/>
        <w:ind w:left="630"/>
        <w:rPr>
          <w:rFonts w:ascii="宋体" w:hAnsi="宋体" w:cs="宋体"/>
          <w:sz w:val="24"/>
        </w:rPr>
      </w:pPr>
      <w:r>
        <w:rPr>
          <w:rFonts w:hint="eastAsia" w:ascii="宋体" w:hAnsi="宋体" w:cs="宋体"/>
          <w:sz w:val="24"/>
        </w:rPr>
        <w:t>1、整体环境卫生，清洁率达95%以上。</w:t>
      </w:r>
    </w:p>
    <w:p>
      <w:pPr>
        <w:spacing w:line="360" w:lineRule="auto"/>
        <w:ind w:left="630"/>
        <w:rPr>
          <w:rFonts w:ascii="宋体" w:hAnsi="宋体" w:cs="宋体"/>
          <w:sz w:val="24"/>
        </w:rPr>
      </w:pPr>
      <w:r>
        <w:rPr>
          <w:rFonts w:hint="eastAsia" w:ascii="宋体" w:hAnsi="宋体" w:cs="宋体"/>
          <w:sz w:val="24"/>
        </w:rPr>
        <w:t>2、设备设施维护正常率100%。</w:t>
      </w:r>
    </w:p>
    <w:p>
      <w:pPr>
        <w:spacing w:line="360" w:lineRule="auto"/>
        <w:ind w:left="630"/>
        <w:rPr>
          <w:rFonts w:ascii="宋体" w:hAnsi="宋体" w:cs="宋体"/>
          <w:sz w:val="24"/>
        </w:rPr>
      </w:pPr>
      <w:r>
        <w:rPr>
          <w:rFonts w:hint="eastAsia" w:ascii="宋体" w:hAnsi="宋体" w:cs="宋体"/>
          <w:sz w:val="24"/>
        </w:rPr>
        <w:t>3、人员服务有效投诉低于3%，处理率100%。</w:t>
      </w:r>
    </w:p>
    <w:p>
      <w:pPr>
        <w:spacing w:line="360" w:lineRule="auto"/>
        <w:ind w:left="630"/>
        <w:rPr>
          <w:rFonts w:ascii="宋体" w:hAnsi="宋体" w:cs="宋体"/>
          <w:sz w:val="24"/>
        </w:rPr>
      </w:pPr>
      <w:r>
        <w:rPr>
          <w:rFonts w:hint="eastAsia" w:ascii="宋体" w:hAnsi="宋体" w:cs="宋体"/>
          <w:sz w:val="24"/>
        </w:rPr>
        <w:t>4、绿植养护成活率100%。</w:t>
      </w:r>
    </w:p>
    <w:p>
      <w:pPr>
        <w:spacing w:line="360" w:lineRule="auto"/>
        <w:ind w:left="630"/>
        <w:rPr>
          <w:rFonts w:cs="宋体"/>
          <w:b/>
          <w:bCs/>
          <w:sz w:val="24"/>
        </w:rPr>
      </w:pPr>
      <w:r>
        <w:rPr>
          <w:rFonts w:hint="eastAsia" w:ascii="宋体" w:hAnsi="宋体" w:cs="宋体"/>
          <w:sz w:val="24"/>
        </w:rPr>
        <w:t>5、岗位到勤率100%。</w:t>
      </w:r>
    </w:p>
    <w:p>
      <w:pPr>
        <w:pStyle w:val="2"/>
        <w:spacing w:line="360" w:lineRule="auto"/>
        <w:ind w:left="0" w:leftChars="0" w:firstLine="455" w:firstLineChars="189"/>
        <w:rPr>
          <w:rFonts w:cs="宋体"/>
          <w:b/>
          <w:bCs/>
          <w:sz w:val="24"/>
        </w:rPr>
      </w:pPr>
      <w:r>
        <w:rPr>
          <w:rFonts w:hint="eastAsia" w:cs="宋体"/>
          <w:b/>
          <w:bCs/>
          <w:sz w:val="24"/>
        </w:rPr>
        <w:t>三、其他事项</w:t>
      </w:r>
    </w:p>
    <w:p>
      <w:pPr>
        <w:pStyle w:val="2"/>
        <w:spacing w:line="360" w:lineRule="auto"/>
        <w:ind w:left="0" w:leftChars="0" w:firstLine="455" w:firstLineChars="189"/>
        <w:rPr>
          <w:rFonts w:cs="宋体"/>
          <w:b/>
          <w:bCs/>
          <w:sz w:val="24"/>
        </w:rPr>
      </w:pPr>
      <w:r>
        <w:rPr>
          <w:rFonts w:hint="eastAsia" w:cs="宋体"/>
          <w:b/>
          <w:bCs/>
          <w:sz w:val="24"/>
        </w:rPr>
        <w:t>（一）、预算金额：</w:t>
      </w:r>
    </w:p>
    <w:p>
      <w:pPr>
        <w:spacing w:line="360" w:lineRule="auto"/>
        <w:ind w:firstLine="566" w:firstLineChars="236"/>
      </w:pPr>
      <w:r>
        <w:rPr>
          <w:rFonts w:hint="eastAsia" w:ascii="宋体" w:hAnsi="宋体" w:cs="宋体"/>
          <w:sz w:val="24"/>
        </w:rPr>
        <w:t>包括职工</w:t>
      </w:r>
      <w:r>
        <w:rPr>
          <w:rFonts w:ascii="宋体" w:hAnsi="宋体" w:cs="宋体"/>
          <w:sz w:val="24"/>
        </w:rPr>
        <w:t>薪酬</w:t>
      </w:r>
      <w:r>
        <w:rPr>
          <w:rFonts w:hint="eastAsia" w:ascii="宋体" w:hAnsi="宋体" w:cs="宋体"/>
          <w:sz w:val="24"/>
        </w:rPr>
        <w:t>、社会统筹保险、保洁机物料消耗费用、员工福利、员工</w:t>
      </w:r>
      <w:r>
        <w:rPr>
          <w:rFonts w:ascii="宋体" w:hAnsi="宋体" w:cs="宋体"/>
          <w:sz w:val="24"/>
        </w:rPr>
        <w:t>劳保</w:t>
      </w:r>
      <w:r>
        <w:rPr>
          <w:rFonts w:hint="eastAsia" w:ascii="宋体" w:hAnsi="宋体" w:cs="宋体"/>
          <w:sz w:val="24"/>
        </w:rPr>
        <w:t>、高温补贴</w:t>
      </w:r>
      <w:r>
        <w:rPr>
          <w:rFonts w:ascii="宋体" w:hAnsi="宋体" w:cs="宋体"/>
          <w:sz w:val="24"/>
        </w:rPr>
        <w:t>、节假日加班薪资、</w:t>
      </w:r>
      <w:r>
        <w:rPr>
          <w:rFonts w:hint="eastAsia" w:ascii="宋体" w:hAnsi="宋体" w:cs="宋体"/>
          <w:sz w:val="24"/>
        </w:rPr>
        <w:t>管理酬金、税费等本项目涉及的所有费用。（保洁用品除厕纸由采购单位自行购买外，其余保洁用品及工具均由物业单位购买，计入服务费用。）</w:t>
      </w:r>
    </w:p>
    <w:p>
      <w:pPr>
        <w:spacing w:line="360" w:lineRule="auto"/>
        <w:ind w:firstLine="424" w:firstLineChars="176"/>
        <w:jc w:val="left"/>
        <w:rPr>
          <w:rFonts w:ascii="宋体" w:hAnsi="宋体" w:cs="宋体"/>
          <w:sz w:val="24"/>
        </w:rPr>
      </w:pPr>
      <w:r>
        <w:rPr>
          <w:rFonts w:hint="eastAsia" w:ascii="宋体" w:hAnsi="宋体" w:cs="宋体"/>
          <w:b/>
          <w:bCs/>
          <w:sz w:val="24"/>
        </w:rPr>
        <w:t>（二）、服务要求：</w:t>
      </w:r>
      <w:r>
        <w:rPr>
          <w:rFonts w:hint="eastAsia" w:ascii="宋体" w:hAnsi="宋体" w:cs="宋体"/>
          <w:sz w:val="24"/>
        </w:rPr>
        <w:tab/>
      </w:r>
    </w:p>
    <w:p>
      <w:pPr>
        <w:spacing w:line="360" w:lineRule="auto"/>
        <w:ind w:firstLine="422" w:firstLineChars="176"/>
        <w:jc w:val="left"/>
        <w:rPr>
          <w:rFonts w:ascii="宋体" w:hAnsi="宋体" w:cs="宋体"/>
          <w:sz w:val="24"/>
        </w:rPr>
      </w:pPr>
      <w:r>
        <w:rPr>
          <w:rFonts w:hint="eastAsia" w:ascii="宋体" w:hAnsi="宋体" w:cs="宋体"/>
          <w:sz w:val="24"/>
        </w:rPr>
        <w:t>1、环境卫生管理：街道大楼内部整体环境及设施设备的保洁、保养、维护（含地面、墙面、窗口工作台面、办公家具、灯具、楼梯、扶手、各类宣传牌、书报架、橱窗、储物柜、果壳箱、消防箱、配电箱等）等。负责大楼楼道、楼梯、扶手、门厅、会议室、卫生间等场所卫生清扫与保洁工作；负责窗台、墙壁、镜框、果皮箱、门窗、玻璃等公共设施的保洁工作；各保洁员在分配的区域内清扫保洁，每天应不少于三遍；负责各楼层垃圾的收集清运、分类工作。</w:t>
      </w:r>
    </w:p>
    <w:p>
      <w:pPr>
        <w:spacing w:line="360" w:lineRule="auto"/>
        <w:ind w:firstLine="424" w:firstLineChars="177"/>
        <w:jc w:val="left"/>
      </w:pPr>
      <w:r>
        <w:rPr>
          <w:rFonts w:hint="eastAsia" w:ascii="宋体" w:hAnsi="宋体" w:cs="宋体"/>
          <w:sz w:val="24"/>
        </w:rPr>
        <w:t>服务质量标准:</w:t>
      </w:r>
    </w:p>
    <w:p>
      <w:pPr>
        <w:spacing w:line="360" w:lineRule="auto"/>
        <w:ind w:firstLine="424" w:firstLineChars="177"/>
        <w:jc w:val="left"/>
        <w:rPr>
          <w:rFonts w:ascii="宋体" w:hAnsi="宋体" w:cs="宋体"/>
          <w:sz w:val="24"/>
          <w:lang w:val="zh-CN"/>
        </w:rPr>
      </w:pPr>
      <w:r>
        <w:rPr>
          <w:rFonts w:hint="eastAsia" w:ascii="宋体" w:hAnsi="宋体" w:cs="宋体"/>
          <w:sz w:val="24"/>
          <w:lang w:val="zh-CN"/>
        </w:rPr>
        <w:t>（1）保洁人员应按公司规定统一着装，仪容仪表整洁、端庄；</w:t>
      </w:r>
    </w:p>
    <w:p>
      <w:pPr>
        <w:spacing w:line="360" w:lineRule="auto"/>
        <w:ind w:firstLine="424" w:firstLineChars="177"/>
        <w:jc w:val="left"/>
        <w:rPr>
          <w:rFonts w:ascii="宋体" w:hAnsi="宋体" w:cs="宋体"/>
          <w:sz w:val="24"/>
          <w:lang w:val="zh-CN"/>
        </w:rPr>
      </w:pPr>
      <w:r>
        <w:rPr>
          <w:rFonts w:hint="eastAsia" w:ascii="宋体" w:hAnsi="宋体" w:cs="宋体"/>
          <w:sz w:val="24"/>
          <w:lang w:val="zh-CN"/>
        </w:rPr>
        <w:t>（2）为工作人员提供一个清洁、舒适的工作环境；</w:t>
      </w:r>
    </w:p>
    <w:p>
      <w:pPr>
        <w:spacing w:line="360" w:lineRule="auto"/>
        <w:ind w:firstLine="424" w:firstLineChars="177"/>
        <w:jc w:val="left"/>
        <w:rPr>
          <w:rFonts w:ascii="宋体" w:hAnsi="宋体" w:cs="宋体"/>
          <w:sz w:val="24"/>
          <w:lang w:val="zh-CN"/>
        </w:rPr>
      </w:pPr>
      <w:r>
        <w:rPr>
          <w:rFonts w:hint="eastAsia" w:ascii="宋体" w:hAnsi="宋体" w:cs="宋体"/>
          <w:sz w:val="24"/>
          <w:lang w:val="zh-CN"/>
        </w:rPr>
        <w:t>（3）适时、及时、准时实施保洁服务；</w:t>
      </w:r>
    </w:p>
    <w:p>
      <w:pPr>
        <w:spacing w:line="360" w:lineRule="auto"/>
        <w:ind w:firstLine="424" w:firstLineChars="177"/>
        <w:jc w:val="left"/>
        <w:rPr>
          <w:rFonts w:ascii="宋体" w:hAnsi="宋体" w:cs="宋体"/>
          <w:sz w:val="24"/>
          <w:lang w:val="zh-CN"/>
        </w:rPr>
      </w:pPr>
      <w:r>
        <w:rPr>
          <w:rFonts w:hint="eastAsia" w:ascii="宋体" w:hAnsi="宋体" w:cs="宋体"/>
          <w:sz w:val="24"/>
          <w:lang w:val="zh-CN"/>
        </w:rPr>
        <w:t>（4）负责大楼楼道、楼梯、扶手、门厅、会议室、卫生间等场所卫生清扫与保洁工作；</w:t>
      </w:r>
    </w:p>
    <w:p>
      <w:pPr>
        <w:spacing w:line="360" w:lineRule="auto"/>
        <w:ind w:firstLine="424" w:firstLineChars="177"/>
        <w:jc w:val="left"/>
        <w:rPr>
          <w:rFonts w:ascii="宋体" w:hAnsi="宋体" w:cs="宋体"/>
          <w:sz w:val="24"/>
          <w:lang w:val="zh-CN"/>
        </w:rPr>
      </w:pPr>
      <w:r>
        <w:rPr>
          <w:rFonts w:hint="eastAsia" w:ascii="宋体" w:hAnsi="宋体" w:cs="宋体"/>
          <w:sz w:val="24"/>
          <w:lang w:val="zh-CN"/>
        </w:rPr>
        <w:t>（5）负责窗台、墙壁、镜框、果皮箱、门窗、玻璃等公共设施的保洁工作；</w:t>
      </w:r>
    </w:p>
    <w:p>
      <w:pPr>
        <w:spacing w:line="360" w:lineRule="auto"/>
        <w:ind w:firstLine="424" w:firstLineChars="177"/>
        <w:jc w:val="left"/>
        <w:rPr>
          <w:rFonts w:ascii="宋体" w:hAnsi="宋体" w:cs="宋体"/>
          <w:sz w:val="24"/>
          <w:lang w:val="zh-CN"/>
        </w:rPr>
      </w:pPr>
      <w:r>
        <w:rPr>
          <w:rFonts w:hint="eastAsia" w:ascii="宋体" w:hAnsi="宋体" w:cs="宋体"/>
          <w:sz w:val="24"/>
          <w:lang w:val="zh-CN"/>
        </w:rPr>
        <w:t>（6）各保洁员在分配的区域内清扫保洁，每天应不少于三遍；</w:t>
      </w:r>
    </w:p>
    <w:p>
      <w:pPr>
        <w:spacing w:line="360" w:lineRule="auto"/>
        <w:ind w:firstLine="424" w:firstLineChars="177"/>
        <w:jc w:val="left"/>
        <w:rPr>
          <w:rFonts w:ascii="宋体" w:hAnsi="宋体" w:cs="宋体"/>
          <w:b/>
          <w:bCs/>
          <w:sz w:val="24"/>
        </w:rPr>
      </w:pPr>
      <w:r>
        <w:rPr>
          <w:rFonts w:hint="eastAsia" w:ascii="宋体" w:hAnsi="宋体" w:cs="宋体"/>
          <w:sz w:val="24"/>
          <w:lang w:val="zh-CN"/>
        </w:rPr>
        <w:t>（7）负责各楼层垃圾的收集清运、分类工作；</w:t>
      </w:r>
    </w:p>
    <w:p>
      <w:pPr>
        <w:spacing w:line="360" w:lineRule="auto"/>
        <w:ind w:firstLine="566" w:firstLineChars="236"/>
        <w:jc w:val="left"/>
        <w:rPr>
          <w:rFonts w:ascii="宋体" w:hAnsi="宋体" w:cs="宋体"/>
          <w:sz w:val="24"/>
        </w:rPr>
      </w:pPr>
      <w:r>
        <w:rPr>
          <w:rFonts w:hint="eastAsia" w:ascii="宋体" w:hAnsi="宋体" w:cs="宋体"/>
          <w:sz w:val="24"/>
        </w:rPr>
        <w:t>2、传达、保安、秩序管理：熟悉周边的环境，能处理和应对街道大楼内部的公共秩序维护工作，能正确使用各类消防、物防、技防器械和设备，能够熟悉、掌握各类刑事、治安案件和各类灾害事故的应急预案；来人来访的通报、证件检验、登记、以及报刊信件每日收发等，快递及包裹原则上由收件人亲自签收，得到收件人授权后方能代为签收，并按规范记录接收信息;门卫、守护和巡逻，维护公共秩序;处理治安及其他突发事件;及时发现、报告、劝阻服务大厅发生的各类纠纷; 负责防盗监控设备运行管理；大楼门口停车秩序维护，地下停车场及室外停车场进出车辆引导。积极主动的配合、服从对口管理部门的临时应急调度；每天工作的保安要严格执行交接班制度，按时、按规定交接班，不迟到、不早退，更不能误班、漏班。遇到突发事件时向主管领导报告，能正确及时处理。保安要做好门口非机动车的停放秩序，引导车辆停放。夜间值班要加强室内及室外周边的巡逻，确保人员与公共财产安全。</w:t>
      </w:r>
    </w:p>
    <w:p>
      <w:pPr>
        <w:spacing w:line="360" w:lineRule="auto"/>
        <w:ind w:firstLine="424" w:firstLineChars="177"/>
        <w:jc w:val="left"/>
      </w:pPr>
      <w:r>
        <w:rPr>
          <w:rFonts w:hint="eastAsia" w:ascii="宋体" w:hAnsi="宋体" w:cs="宋体"/>
          <w:sz w:val="24"/>
        </w:rPr>
        <w:t>服务质量标准:</w:t>
      </w:r>
    </w:p>
    <w:p>
      <w:pPr>
        <w:spacing w:line="360" w:lineRule="auto"/>
        <w:ind w:firstLine="424" w:firstLineChars="177"/>
        <w:jc w:val="left"/>
        <w:rPr>
          <w:rFonts w:ascii="宋体" w:hAnsi="宋体" w:cs="宋体"/>
          <w:sz w:val="24"/>
        </w:rPr>
      </w:pPr>
      <w:r>
        <w:rPr>
          <w:rFonts w:hint="eastAsia" w:ascii="宋体" w:hAnsi="宋体" w:cs="宋体"/>
          <w:sz w:val="24"/>
        </w:rPr>
        <w:t>(1)保安值班。</w:t>
      </w:r>
    </w:p>
    <w:p>
      <w:pPr>
        <w:spacing w:line="360" w:lineRule="auto"/>
        <w:ind w:firstLine="424" w:firstLineChars="177"/>
        <w:jc w:val="left"/>
        <w:rPr>
          <w:rFonts w:ascii="宋体" w:hAnsi="宋体" w:cs="宋体"/>
          <w:sz w:val="24"/>
        </w:rPr>
      </w:pPr>
      <w:r>
        <w:rPr>
          <w:rFonts w:hint="eastAsia" w:ascii="宋体" w:hAnsi="宋体" w:cs="宋体"/>
          <w:sz w:val="24"/>
        </w:rPr>
        <w:t>上岗时佩戴统一标志，按需求穿戴统一制服，装备佩戴规范，仪容仪表规范整齐，当值时坐姿挺直，站岗时不倚不靠。文明执勤，训练有素，言语规范，认真负责；配备对讲装置和其他必备的安全护卫器械。维护公共秩序管理。用语规范，文明礼貌，维护区域安全。对物品进出实施分类管理，实行物品进出审验制度，杜绝危险物品进入行政区域内。</w:t>
      </w:r>
    </w:p>
    <w:p>
      <w:pPr>
        <w:spacing w:line="360" w:lineRule="auto"/>
        <w:ind w:firstLine="424" w:firstLineChars="177"/>
        <w:jc w:val="left"/>
        <w:rPr>
          <w:rFonts w:ascii="宋体" w:hAnsi="宋体" w:cs="宋体"/>
          <w:sz w:val="24"/>
        </w:rPr>
      </w:pPr>
      <w:r>
        <w:rPr>
          <w:rFonts w:hint="eastAsia" w:ascii="宋体" w:hAnsi="宋体" w:cs="宋体"/>
          <w:sz w:val="24"/>
        </w:rPr>
        <w:t xml:space="preserve"> (2)巡查。</w:t>
      </w:r>
    </w:p>
    <w:p>
      <w:pPr>
        <w:spacing w:line="360" w:lineRule="auto"/>
        <w:ind w:firstLine="424" w:firstLineChars="177"/>
        <w:jc w:val="left"/>
        <w:rPr>
          <w:rFonts w:ascii="宋体" w:hAnsi="宋体" w:cs="宋体"/>
          <w:sz w:val="24"/>
        </w:rPr>
      </w:pPr>
      <w:r>
        <w:rPr>
          <w:rFonts w:hint="eastAsia" w:ascii="宋体" w:hAnsi="宋体" w:cs="宋体"/>
          <w:sz w:val="24"/>
        </w:rPr>
        <w:t>明确巡查工作职责，规范巡视工作流程，制定相对固定的巡视路线，对重要区域、部位、设备机房进行重点巡视并记录巡视情况，及时发现和处理各种安全和事故隐患。巡视时必须使用巡更设备。机房、监控室应保存巡更记录。在接到监控室发出的指令后，巡视人员应及时到达事发现场，采取相应措施妥善处理;如巡视时现异常情况，应立即通知有关部门并在现场采取必要措施，随时准备启动并执行相应的应急预案。</w:t>
      </w:r>
    </w:p>
    <w:p>
      <w:pPr>
        <w:spacing w:line="360" w:lineRule="auto"/>
        <w:jc w:val="left"/>
        <w:rPr>
          <w:rFonts w:ascii="宋体" w:hAnsi="宋体" w:cs="宋体"/>
          <w:sz w:val="24"/>
        </w:rPr>
      </w:pPr>
      <w:r>
        <w:rPr>
          <w:rFonts w:hint="eastAsia" w:ascii="宋体" w:hAnsi="宋体" w:cs="宋体"/>
          <w:sz w:val="24"/>
        </w:rPr>
        <w:t xml:space="preserve">   (3)突发事件处理。</w:t>
      </w:r>
    </w:p>
    <w:p>
      <w:pPr>
        <w:spacing w:line="360" w:lineRule="auto"/>
        <w:ind w:firstLine="424" w:firstLineChars="177"/>
        <w:jc w:val="left"/>
        <w:rPr>
          <w:rFonts w:ascii="宋体" w:hAnsi="宋体" w:cs="宋体"/>
          <w:sz w:val="24"/>
        </w:rPr>
      </w:pPr>
      <w:r>
        <w:rPr>
          <w:rFonts w:hint="eastAsia" w:ascii="宋体" w:hAnsi="宋体" w:cs="宋体"/>
          <w:sz w:val="24"/>
        </w:rPr>
        <w:t>按照要求制订各类突发事件应急预案，并将预案内容在物业办公室、监控室、机房等处张榜悬挂。在各楼层固定位置悬挂疏散示意图及引路标志，每年组织不少于1次的突发事件应急演习。当发生台风、暴雨等灾害性天气及其他危害公共安全的突发事件时，应采取以下应急措施: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pPr>
        <w:numPr>
          <w:ilvl w:val="0"/>
          <w:numId w:val="8"/>
        </w:numPr>
        <w:spacing w:line="360" w:lineRule="auto"/>
        <w:ind w:firstLine="422" w:firstLineChars="176"/>
        <w:jc w:val="left"/>
        <w:rPr>
          <w:rFonts w:ascii="宋体" w:hAnsi="宋体" w:cs="宋体"/>
          <w:sz w:val="24"/>
        </w:rPr>
      </w:pPr>
      <w:r>
        <w:rPr>
          <w:rFonts w:hint="eastAsia" w:ascii="宋体" w:hAnsi="宋体" w:cs="宋体"/>
          <w:sz w:val="24"/>
        </w:rPr>
        <w:t>办公大楼：</w:t>
      </w:r>
    </w:p>
    <w:p>
      <w:pPr>
        <w:spacing w:line="360" w:lineRule="auto"/>
        <w:ind w:firstLine="424" w:firstLineChars="177"/>
        <w:jc w:val="left"/>
        <w:rPr>
          <w:rFonts w:ascii="宋体" w:hAnsi="宋体" w:cs="宋体"/>
          <w:sz w:val="24"/>
        </w:rPr>
      </w:pPr>
      <w:r>
        <w:rPr>
          <w:rFonts w:hint="eastAsia" w:ascii="宋体" w:hAnsi="宋体" w:cs="宋体"/>
          <w:sz w:val="24"/>
        </w:rPr>
        <w:t>大楼内整体环境及设施设备的保洁、保养、维护（含地面、墙面、窗口工作台面、办公家具、灯具、楼梯、扶手、各类宣传牌、书报架、橱窗、储物柜、果壳箱、消防箱、配电箱等）；内外停车场及大楼外围周边的日常保洁以及垃圾分类等。</w:t>
      </w:r>
    </w:p>
    <w:p>
      <w:pPr>
        <w:spacing w:line="360" w:lineRule="auto"/>
        <w:ind w:firstLine="480" w:firstLineChars="200"/>
        <w:jc w:val="left"/>
      </w:pPr>
      <w:r>
        <w:rPr>
          <w:rFonts w:hint="eastAsia" w:ascii="宋体" w:hAnsi="宋体" w:cs="宋体"/>
          <w:sz w:val="24"/>
        </w:rPr>
        <w:t>服务质量标准:</w:t>
      </w:r>
    </w:p>
    <w:p>
      <w:pPr>
        <w:spacing w:line="360" w:lineRule="auto"/>
        <w:ind w:firstLine="422" w:firstLineChars="176"/>
        <w:jc w:val="left"/>
        <w:rPr>
          <w:rFonts w:ascii="宋体" w:hAnsi="宋体" w:cs="宋体"/>
          <w:sz w:val="24"/>
        </w:rPr>
      </w:pPr>
      <w:r>
        <w:rPr>
          <w:rFonts w:hint="eastAsia" w:ascii="宋体" w:hAnsi="宋体" w:cs="宋体"/>
          <w:sz w:val="24"/>
        </w:rPr>
        <w:t>（1）公共环境卫生，包括公共部位（走道、楼梯、窗户、室内屋檐等），公共场所（会议室、敞开式办公室等的），公共厕所卫生清洁及所需耗品，垃圾的分类、收集和处理，大院及周边环境卫生等。</w:t>
      </w:r>
    </w:p>
    <w:p>
      <w:pPr>
        <w:spacing w:line="360" w:lineRule="auto"/>
        <w:ind w:firstLine="422" w:firstLineChars="176"/>
        <w:jc w:val="left"/>
        <w:rPr>
          <w:rFonts w:ascii="宋体" w:hAnsi="宋体" w:cs="宋体"/>
          <w:sz w:val="24"/>
        </w:rPr>
      </w:pPr>
      <w:r>
        <w:rPr>
          <w:rFonts w:hint="eastAsia" w:ascii="宋体" w:hAnsi="宋体" w:cs="宋体"/>
          <w:sz w:val="24"/>
        </w:rPr>
        <w:t>（2）维持公共秩序，优化环境，包括安全、巡防、消防执勤等；</w:t>
      </w:r>
    </w:p>
    <w:p>
      <w:pPr>
        <w:spacing w:line="360" w:lineRule="auto"/>
        <w:ind w:firstLine="422" w:firstLineChars="176"/>
        <w:jc w:val="left"/>
        <w:rPr>
          <w:rFonts w:ascii="宋体" w:hAnsi="宋体" w:cs="宋体"/>
          <w:sz w:val="24"/>
        </w:rPr>
      </w:pPr>
      <w:r>
        <w:rPr>
          <w:rFonts w:hint="eastAsia" w:ascii="宋体" w:hAnsi="宋体" w:cs="宋体"/>
          <w:sz w:val="24"/>
        </w:rPr>
        <w:t>（3）法律法规及合同约定的其他服务事项。</w:t>
      </w:r>
    </w:p>
    <w:p>
      <w:pPr>
        <w:spacing w:line="360" w:lineRule="auto"/>
        <w:ind w:firstLine="422" w:firstLineChars="176"/>
        <w:jc w:val="left"/>
        <w:rPr>
          <w:rFonts w:ascii="宋体" w:hAnsi="宋体" w:cs="宋体"/>
          <w:sz w:val="24"/>
        </w:rPr>
      </w:pPr>
      <w:r>
        <w:rPr>
          <w:rFonts w:hint="eastAsia" w:ascii="宋体" w:hAnsi="宋体" w:cs="宋体"/>
          <w:sz w:val="24"/>
        </w:rPr>
        <w:t>（4）消防设施设备管理。</w:t>
      </w:r>
    </w:p>
    <w:p>
      <w:pPr>
        <w:spacing w:line="360" w:lineRule="auto"/>
        <w:ind w:firstLine="422" w:firstLineChars="176"/>
        <w:jc w:val="left"/>
        <w:rPr>
          <w:rFonts w:ascii="宋体" w:hAnsi="宋体" w:cs="宋体"/>
          <w:sz w:val="24"/>
        </w:rPr>
      </w:pPr>
      <w:r>
        <w:rPr>
          <w:rFonts w:hint="eastAsia" w:ascii="宋体" w:hAnsi="宋体" w:cs="宋体"/>
          <w:sz w:val="24"/>
        </w:rPr>
        <w:t>（5）会务客服服务、领导吩咐的其它事宜。</w:t>
      </w:r>
    </w:p>
    <w:p>
      <w:pPr>
        <w:spacing w:line="360" w:lineRule="auto"/>
        <w:ind w:firstLine="422" w:firstLineChars="176"/>
        <w:jc w:val="left"/>
        <w:rPr>
          <w:rFonts w:ascii="宋体" w:hAnsi="宋体" w:cs="宋体"/>
          <w:sz w:val="24"/>
        </w:rPr>
      </w:pPr>
      <w:r>
        <w:rPr>
          <w:rFonts w:hint="eastAsia" w:ascii="宋体" w:hAnsi="宋体" w:cs="宋体"/>
          <w:sz w:val="24"/>
        </w:rPr>
        <w:t>（6）楼宇日常养护维修、给排水和供电等设备管理维护等。</w:t>
      </w:r>
    </w:p>
    <w:p>
      <w:pPr>
        <w:spacing w:line="360" w:lineRule="auto"/>
        <w:ind w:firstLine="424" w:firstLineChars="176"/>
        <w:jc w:val="left"/>
        <w:rPr>
          <w:rFonts w:ascii="宋体" w:hAnsi="宋体" w:cs="宋体"/>
          <w:b/>
          <w:bCs/>
          <w:sz w:val="24"/>
        </w:rPr>
      </w:pPr>
      <w:r>
        <w:rPr>
          <w:rFonts w:hint="eastAsia" w:ascii="宋体" w:hAnsi="宋体" w:cs="宋体"/>
          <w:b/>
          <w:bCs/>
          <w:sz w:val="24"/>
        </w:rPr>
        <w:t>（三）供应商应满足以下基本要求：</w:t>
      </w:r>
    </w:p>
    <w:p>
      <w:pPr>
        <w:spacing w:line="360" w:lineRule="auto"/>
        <w:ind w:firstLine="422" w:firstLineChars="17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1、企业办公设施设备较先进完备，应用计算机等现代化管理手段进行科学管理，办公场所较整洁有序。</w:t>
      </w:r>
    </w:p>
    <w:p>
      <w:pPr>
        <w:spacing w:line="360" w:lineRule="auto"/>
        <w:ind w:firstLine="422" w:firstLineChars="17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2、服务与被服务双方签订规范的物业服务合同，双方权利义务关系明确。</w:t>
      </w:r>
    </w:p>
    <w:p>
      <w:pPr>
        <w:spacing w:line="360" w:lineRule="auto"/>
        <w:ind w:firstLine="422" w:firstLineChars="17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3、承接项目时，对项目共用区域、共用设施设备进行认真查验，验收手续齐全。</w:t>
      </w:r>
    </w:p>
    <w:p>
      <w:pPr>
        <w:spacing w:line="360" w:lineRule="auto"/>
        <w:ind w:firstLine="422" w:firstLineChars="17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4、管理人员、专业操作人员按照国家有关规定取得物业管理职业资格证书或者岗位证书。</w:t>
      </w:r>
    </w:p>
    <w:p>
      <w:pPr>
        <w:spacing w:line="360" w:lineRule="auto"/>
        <w:ind w:firstLine="422" w:firstLineChars="17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5、有完善的物业管理方案，质量管理、财务管理、档案管理、临时性应急任务的服务保障等制度健全。</w:t>
      </w:r>
    </w:p>
    <w:p>
      <w:pPr>
        <w:spacing w:line="360" w:lineRule="auto"/>
        <w:ind w:firstLine="422" w:firstLineChars="17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6、管理服务人员着装统一、佩戴标志，行为规范，服务主动、热情。</w:t>
      </w:r>
    </w:p>
    <w:p>
      <w:pPr>
        <w:spacing w:line="360" w:lineRule="auto"/>
        <w:ind w:firstLine="422" w:firstLineChars="17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7、根据业主需求，提供服务合同之外的特约服务和代办服务的，在明显位置公示服务项目与收费标准。</w:t>
      </w:r>
    </w:p>
    <w:p>
      <w:pPr>
        <w:spacing w:line="360" w:lineRule="auto"/>
        <w:ind w:firstLine="422" w:firstLineChars="176"/>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8、按有关规定和合同约定公布物业服务资金的收支情况或物业经营性收支情况   </w:t>
      </w:r>
    </w:p>
    <w:p>
      <w:pPr>
        <w:spacing w:line="360" w:lineRule="auto"/>
        <w:ind w:firstLine="422" w:firstLineChars="176"/>
        <w:jc w:val="left"/>
        <w:rPr>
          <w:rFonts w:ascii="宋体" w:hAnsi="宋体" w:cs="宋体"/>
          <w:sz w:val="24"/>
        </w:rPr>
      </w:pPr>
      <w:r>
        <w:rPr>
          <w:rFonts w:hint="eastAsia" w:asciiTheme="minorEastAsia" w:hAnsiTheme="minorEastAsia" w:eastAsiaTheme="minorEastAsia" w:cstheme="minorEastAsia"/>
          <w:sz w:val="24"/>
        </w:rPr>
        <w:t>9、建立投诉处理机制，设立投诉电话与投诉接待点，在规定时限内妥善处置业主或非业主使用人的意见、建议并做好记录。</w:t>
      </w:r>
    </w:p>
    <w:p>
      <w:pPr>
        <w:spacing w:line="360" w:lineRule="auto"/>
        <w:ind w:firstLine="424" w:firstLineChars="176"/>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四、售后服务要求</w:t>
      </w:r>
    </w:p>
    <w:p>
      <w:pPr>
        <w:spacing w:line="360" w:lineRule="auto"/>
        <w:ind w:firstLine="422" w:firstLineChars="17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服务期内，中标供应商为业主提供7×24小时技术支持和服务，若接到业主通知后，在2小时内做出实质性响应，4小时内提出解决方案；根据业主要求，问题解决后24小时内，提交问题处理报告，说明问题种类、问题原因、问题解决中使用的方法及造成的损失等情况。</w:t>
      </w:r>
    </w:p>
    <w:p>
      <w:pPr>
        <w:spacing w:line="360" w:lineRule="auto"/>
        <w:ind w:firstLine="422" w:firstLineChars="17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（2）供应商在履行合同义务期间，应遵守国家有关法律、法规、维护采购单位的合法权。</w:t>
      </w:r>
    </w:p>
    <w:p>
      <w:pPr>
        <w:spacing w:line="360" w:lineRule="auto"/>
        <w:ind w:firstLine="422" w:firstLineChars="17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（3）供应商应组建能够满足本项目服务需要的项目组，按照工作范围和内容完成技术服务工作，并按约定向业主汇报工作进展。</w:t>
      </w:r>
    </w:p>
    <w:p>
      <w:pPr>
        <w:spacing w:line="360" w:lineRule="auto"/>
        <w:ind w:firstLine="422" w:firstLineChars="17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（4）供应商应自行承担项目实施过程中的安全责任，采购单位在任何情况下不承担任何责任。</w:t>
      </w:r>
    </w:p>
    <w:p>
      <w:pPr>
        <w:spacing w:line="360" w:lineRule="auto"/>
        <w:ind w:firstLine="482" w:firstLineChars="200"/>
        <w:jc w:val="left"/>
        <w:rPr>
          <w:rFonts w:ascii="宋体" w:hAnsi="宋体" w:cs="宋体"/>
          <w:b/>
          <w:bCs/>
          <w:sz w:val="24"/>
        </w:rPr>
      </w:pPr>
      <w:r>
        <w:rPr>
          <w:rFonts w:hint="eastAsia" w:asciiTheme="minorEastAsia" w:hAnsiTheme="minorEastAsia" w:eastAsiaTheme="minorEastAsia" w:cstheme="minorEastAsia"/>
          <w:b/>
          <w:bCs/>
          <w:sz w:val="24"/>
        </w:rPr>
        <w:t>五、其他：</w:t>
      </w:r>
    </w:p>
    <w:p>
      <w:pPr>
        <w:spacing w:line="360" w:lineRule="auto"/>
        <w:ind w:firstLine="480" w:firstLineChars="200"/>
        <w:jc w:val="left"/>
        <w:rPr>
          <w:rFonts w:ascii="宋体" w:hAnsi="宋体" w:cs="宋体"/>
          <w:sz w:val="24"/>
        </w:rPr>
      </w:pPr>
      <w:r>
        <w:rPr>
          <w:rFonts w:hint="eastAsia" w:ascii="宋体" w:hAnsi="宋体" w:cs="宋体"/>
          <w:sz w:val="24"/>
        </w:rPr>
        <w:t>1、服务期限：服务期签壹年。</w:t>
      </w:r>
    </w:p>
    <w:p>
      <w:pPr>
        <w:spacing w:line="360" w:lineRule="auto"/>
        <w:ind w:firstLine="480" w:firstLineChars="200"/>
        <w:jc w:val="left"/>
        <w:rPr>
          <w:rFonts w:ascii="宋体" w:hAnsi="宋体" w:cs="宋体"/>
          <w:sz w:val="24"/>
        </w:rPr>
      </w:pPr>
      <w:r>
        <w:rPr>
          <w:rFonts w:hint="eastAsia" w:ascii="宋体" w:hAnsi="宋体" w:cs="宋体"/>
          <w:sz w:val="24"/>
        </w:rPr>
        <w:t>2、标准：符合我国国家有关技术规范要求和技术标准。</w:t>
      </w:r>
    </w:p>
    <w:p>
      <w:pPr>
        <w:spacing w:line="360" w:lineRule="auto"/>
        <w:ind w:firstLine="480" w:firstLineChars="200"/>
        <w:jc w:val="left"/>
        <w:rPr>
          <w:rFonts w:ascii="宋体" w:hAnsi="宋体" w:cs="宋体"/>
          <w:iCs/>
          <w:sz w:val="24"/>
        </w:rPr>
      </w:pPr>
      <w:r>
        <w:rPr>
          <w:rFonts w:hint="eastAsia" w:ascii="宋体" w:hAnsi="宋体" w:cs="宋体"/>
          <w:sz w:val="24"/>
        </w:rPr>
        <w:t>3、</w:t>
      </w:r>
      <w:r>
        <w:rPr>
          <w:rFonts w:hint="eastAsia" w:ascii="宋体" w:hAnsi="宋体" w:cs="宋体"/>
          <w:iCs/>
          <w:sz w:val="24"/>
        </w:rPr>
        <w:t>验收、交付标准和方法</w:t>
      </w:r>
    </w:p>
    <w:p>
      <w:pPr>
        <w:spacing w:before="85" w:line="369" w:lineRule="auto"/>
        <w:ind w:right="9" w:firstLine="426"/>
        <w:rPr>
          <w:rFonts w:ascii="宋体" w:hAnsi="宋体" w:cs="宋体"/>
          <w:sz w:val="24"/>
        </w:rPr>
      </w:pPr>
      <w:r>
        <w:rPr>
          <w:rFonts w:hint="eastAsia" w:ascii="宋体" w:hAnsi="宋体" w:cs="宋体"/>
          <w:sz w:val="24"/>
        </w:rPr>
        <w:t>（</w:t>
      </w:r>
      <w:r>
        <w:rPr>
          <w:rFonts w:ascii="宋体" w:hAnsi="宋体" w:cs="宋体"/>
          <w:sz w:val="24"/>
        </w:rPr>
        <w:t>1)采购单位对中标供应商的工作进行考核(详见</w:t>
      </w:r>
      <w:r>
        <w:rPr>
          <w:rFonts w:ascii="宋体" w:hAnsi="宋体" w:cs="宋体"/>
          <w:color w:val="FF0000"/>
          <w:sz w:val="24"/>
        </w:rPr>
        <w:t>《</w:t>
      </w:r>
      <w:r>
        <w:rPr>
          <w:rFonts w:hint="eastAsia" w:ascii="宋体" w:hAnsi="宋体" w:cs="宋体"/>
          <w:color w:val="FF0000"/>
          <w:sz w:val="24"/>
        </w:rPr>
        <w:t>新安江</w:t>
      </w:r>
      <w:r>
        <w:rPr>
          <w:rFonts w:ascii="宋体" w:hAnsi="宋体" w:cs="宋体"/>
          <w:color w:val="FF0000"/>
          <w:sz w:val="24"/>
        </w:rPr>
        <w:t>街道</w:t>
      </w:r>
      <w:r>
        <w:rPr>
          <w:rFonts w:hint="eastAsia" w:ascii="宋体" w:hAnsi="宋体" w:cs="宋体"/>
          <w:color w:val="FF0000"/>
          <w:sz w:val="24"/>
        </w:rPr>
        <w:t>保洁保安服务质量</w:t>
      </w:r>
      <w:r>
        <w:rPr>
          <w:rFonts w:ascii="宋体" w:hAnsi="宋体" w:cs="宋体"/>
          <w:color w:val="FF0000"/>
          <w:sz w:val="24"/>
        </w:rPr>
        <w:t>表</w:t>
      </w:r>
      <w:r>
        <w:rPr>
          <w:rFonts w:ascii="宋体" w:hAnsi="宋体" w:cs="宋体"/>
          <w:sz w:val="24"/>
        </w:rPr>
        <w:t xml:space="preserve">》),中标供应商必须服从并配合考核工作。如中标供应商达不到采购单位所定的管理标准，采购单位有权单方面终止合同。  </w:t>
      </w:r>
    </w:p>
    <w:p>
      <w:pPr>
        <w:spacing w:before="78" w:line="362" w:lineRule="auto"/>
        <w:ind w:left="19" w:right="136" w:firstLine="548"/>
        <w:rPr>
          <w:rFonts w:ascii="宋体" w:hAnsi="宋体" w:cs="宋体"/>
          <w:color w:val="FF0000"/>
          <w:sz w:val="24"/>
        </w:rPr>
      </w:pPr>
      <w:r>
        <w:rPr>
          <w:rFonts w:hint="eastAsia" w:ascii="宋体" w:hAnsi="宋体" w:cs="宋体"/>
          <w:color w:val="FF0000"/>
          <w:sz w:val="24"/>
        </w:rPr>
        <w:t>（</w:t>
      </w:r>
      <w:r>
        <w:rPr>
          <w:rFonts w:ascii="宋体" w:hAnsi="宋体" w:cs="宋体"/>
          <w:color w:val="FF0000"/>
          <w:sz w:val="24"/>
        </w:rPr>
        <w:t xml:space="preserve">2)考核分为日常巡查考核与不定时抽查相结合的方式进行，由采购单位负责组 织实施，考核每月总分值100分，每星期不少于一次，随机抽查，考核结果当天反馈给中标供应商，次月10日前公布当月考核情况。  </w:t>
      </w:r>
    </w:p>
    <w:p>
      <w:pPr>
        <w:spacing w:before="78" w:line="362" w:lineRule="auto"/>
        <w:ind w:left="19" w:right="136" w:firstLine="548"/>
        <w:rPr>
          <w:rFonts w:ascii="宋体" w:hAnsi="宋体" w:cs="宋体"/>
          <w:sz w:val="24"/>
        </w:rPr>
      </w:pPr>
      <w:r>
        <w:rPr>
          <w:rFonts w:hint="eastAsia" w:ascii="宋体" w:hAnsi="宋体" w:cs="宋体"/>
          <w:sz w:val="24"/>
        </w:rPr>
        <w:t>（</w:t>
      </w:r>
      <w:r>
        <w:rPr>
          <w:rFonts w:ascii="宋体" w:hAnsi="宋体" w:cs="宋体"/>
          <w:sz w:val="24"/>
        </w:rPr>
        <w:t xml:space="preserve">3)因中标供应商工作不到位影响采购单位市里年度检查倒数5名的、在上级突击检查中被曝光通报批评的，视情节给予1万元以上的罚款直至解除合同；  </w:t>
      </w:r>
    </w:p>
    <w:p>
      <w:pPr>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4)每月检查同一个问题存在3次以上的(包括3次),给予3000元以上的罚款。</w:t>
      </w:r>
    </w:p>
    <w:p>
      <w:pPr>
        <w:spacing w:line="360" w:lineRule="auto"/>
        <w:ind w:firstLine="708" w:firstLineChars="295"/>
        <w:jc w:val="left"/>
      </w:pPr>
      <w:r>
        <w:rPr>
          <w:rFonts w:hint="eastAsia" w:ascii="宋体" w:hAnsi="宋体" w:cs="宋体"/>
          <w:sz w:val="24"/>
        </w:rPr>
        <w:t>附件：1、</w:t>
      </w:r>
      <w:r>
        <w:rPr>
          <w:rFonts w:hint="eastAsia" w:ascii="宋体" w:hAnsi="宋体" w:cs="宋体"/>
          <w:color w:val="FF0000"/>
          <w:sz w:val="24"/>
        </w:rPr>
        <w:t>新安江</w:t>
      </w:r>
      <w:r>
        <w:rPr>
          <w:rFonts w:ascii="宋体" w:hAnsi="宋体" w:cs="宋体"/>
          <w:color w:val="FF0000"/>
          <w:sz w:val="24"/>
        </w:rPr>
        <w:t>街道</w:t>
      </w:r>
      <w:r>
        <w:rPr>
          <w:rFonts w:hint="eastAsia" w:ascii="宋体" w:hAnsi="宋体" w:cs="宋体"/>
          <w:color w:val="FF0000"/>
          <w:sz w:val="24"/>
        </w:rPr>
        <w:t>保洁保安服务质量</w:t>
      </w:r>
      <w:r>
        <w:rPr>
          <w:rFonts w:ascii="宋体" w:hAnsi="宋体" w:cs="宋体"/>
          <w:color w:val="FF0000"/>
          <w:sz w:val="24"/>
        </w:rPr>
        <w:t>表</w:t>
      </w:r>
      <w:r>
        <w:rPr>
          <w:rFonts w:hint="eastAsia" w:ascii="宋体" w:hAnsi="宋体" w:cs="宋体"/>
          <w:color w:val="FF0000"/>
          <w:sz w:val="24"/>
        </w:rPr>
        <w:t>:</w:t>
      </w:r>
    </w:p>
    <w:tbl>
      <w:tblPr>
        <w:tblStyle w:val="60"/>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60"/>
        <w:gridCol w:w="3722"/>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860" w:type="dxa"/>
            <w:textDirection w:val="tbRlV"/>
            <w:vAlign w:val="center"/>
          </w:tcPr>
          <w:p>
            <w:pPr>
              <w:widowControl/>
              <w:spacing w:line="400" w:lineRule="exac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区域</w:t>
            </w:r>
          </w:p>
        </w:tc>
        <w:tc>
          <w:tcPr>
            <w:tcW w:w="2060" w:type="dxa"/>
            <w:vAlign w:val="center"/>
          </w:tcPr>
          <w:p>
            <w:pPr>
              <w:widowControl/>
              <w:spacing w:line="400" w:lineRule="exac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作 业 内 容</w:t>
            </w:r>
          </w:p>
        </w:tc>
        <w:tc>
          <w:tcPr>
            <w:tcW w:w="3722" w:type="dxa"/>
            <w:vAlign w:val="center"/>
          </w:tcPr>
          <w:p>
            <w:pPr>
              <w:widowControl/>
              <w:spacing w:line="400" w:lineRule="exac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工 作 频 率</w:t>
            </w:r>
          </w:p>
        </w:tc>
        <w:tc>
          <w:tcPr>
            <w:tcW w:w="2282" w:type="dxa"/>
            <w:vAlign w:val="center"/>
          </w:tcPr>
          <w:p>
            <w:pPr>
              <w:widowControl/>
              <w:spacing w:line="400" w:lineRule="exac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质 量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860" w:type="dxa"/>
            <w:vMerge w:val="restart"/>
            <w:textDirection w:val="tbRlV"/>
            <w:vAlign w:val="center"/>
          </w:tcPr>
          <w:p>
            <w:pPr>
              <w:widowControl/>
              <w:spacing w:line="400" w:lineRule="exac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一至四楼</w:t>
            </w:r>
          </w:p>
        </w:tc>
        <w:tc>
          <w:tcPr>
            <w:tcW w:w="2060"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地面</w:t>
            </w:r>
          </w:p>
        </w:tc>
        <w:tc>
          <w:tcPr>
            <w:tcW w:w="372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每日清扫、拖擦,不间断巡回保洁。每日消毒两次。</w:t>
            </w:r>
          </w:p>
        </w:tc>
        <w:tc>
          <w:tcPr>
            <w:tcW w:w="228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无污渍、垃圾、水迹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860" w:type="dxa"/>
            <w:vMerge w:val="continue"/>
            <w:vAlign w:val="center"/>
          </w:tcPr>
          <w:p>
            <w:pPr>
              <w:widowControl/>
              <w:spacing w:line="400" w:lineRule="exact"/>
              <w:jc w:val="left"/>
              <w:rPr>
                <w:rFonts w:asciiTheme="minorEastAsia" w:hAnsiTheme="minorEastAsia" w:eastAsiaTheme="minorEastAsia" w:cstheme="minorEastAsia"/>
                <w:b/>
                <w:bCs/>
                <w:kern w:val="0"/>
                <w:szCs w:val="21"/>
              </w:rPr>
            </w:pPr>
          </w:p>
        </w:tc>
        <w:tc>
          <w:tcPr>
            <w:tcW w:w="2060"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台面</w:t>
            </w:r>
          </w:p>
        </w:tc>
        <w:tc>
          <w:tcPr>
            <w:tcW w:w="372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每日擦抹一次、消毒三次，发现杂物及时清理。</w:t>
            </w:r>
          </w:p>
        </w:tc>
        <w:tc>
          <w:tcPr>
            <w:tcW w:w="228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无明显积灰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0" w:type="dxa"/>
            <w:vMerge w:val="continue"/>
            <w:vAlign w:val="center"/>
          </w:tcPr>
          <w:p>
            <w:pPr>
              <w:widowControl/>
              <w:spacing w:line="400" w:lineRule="exact"/>
              <w:jc w:val="left"/>
              <w:rPr>
                <w:rFonts w:asciiTheme="minorEastAsia" w:hAnsiTheme="minorEastAsia" w:eastAsiaTheme="minorEastAsia" w:cstheme="minorEastAsia"/>
                <w:b/>
                <w:bCs/>
                <w:kern w:val="0"/>
                <w:szCs w:val="21"/>
              </w:rPr>
            </w:pPr>
          </w:p>
        </w:tc>
        <w:tc>
          <w:tcPr>
            <w:tcW w:w="2060"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大楼出入口台阶</w:t>
            </w:r>
          </w:p>
        </w:tc>
        <w:tc>
          <w:tcPr>
            <w:tcW w:w="372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每日清扫一次、每周冲洗一次</w:t>
            </w:r>
          </w:p>
        </w:tc>
        <w:tc>
          <w:tcPr>
            <w:tcW w:w="228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无垃圾、杂物，污迹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0" w:type="dxa"/>
            <w:vMerge w:val="continue"/>
            <w:vAlign w:val="center"/>
          </w:tcPr>
          <w:p>
            <w:pPr>
              <w:widowControl/>
              <w:spacing w:line="400" w:lineRule="exact"/>
              <w:jc w:val="left"/>
              <w:rPr>
                <w:rFonts w:asciiTheme="minorEastAsia" w:hAnsiTheme="minorEastAsia" w:eastAsiaTheme="minorEastAsia" w:cstheme="minorEastAsia"/>
                <w:b/>
                <w:bCs/>
                <w:kern w:val="0"/>
                <w:szCs w:val="21"/>
              </w:rPr>
            </w:pPr>
          </w:p>
        </w:tc>
        <w:tc>
          <w:tcPr>
            <w:tcW w:w="2060"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墙面</w:t>
            </w:r>
          </w:p>
        </w:tc>
        <w:tc>
          <w:tcPr>
            <w:tcW w:w="372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每周除尘一次</w:t>
            </w:r>
          </w:p>
        </w:tc>
        <w:tc>
          <w:tcPr>
            <w:tcW w:w="228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目视无明显积灰，无虫网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0" w:type="dxa"/>
            <w:vMerge w:val="continue"/>
            <w:vAlign w:val="center"/>
          </w:tcPr>
          <w:p>
            <w:pPr>
              <w:widowControl/>
              <w:spacing w:line="400" w:lineRule="exact"/>
              <w:jc w:val="left"/>
              <w:rPr>
                <w:rFonts w:asciiTheme="minorEastAsia" w:hAnsiTheme="minorEastAsia" w:eastAsiaTheme="minorEastAsia" w:cstheme="minorEastAsia"/>
                <w:b/>
                <w:bCs/>
                <w:kern w:val="0"/>
                <w:szCs w:val="21"/>
              </w:rPr>
            </w:pPr>
          </w:p>
        </w:tc>
        <w:tc>
          <w:tcPr>
            <w:tcW w:w="2060"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顶面（烟感应器）</w:t>
            </w:r>
          </w:p>
        </w:tc>
        <w:tc>
          <w:tcPr>
            <w:tcW w:w="372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每月清洁一次</w:t>
            </w:r>
          </w:p>
        </w:tc>
        <w:tc>
          <w:tcPr>
            <w:tcW w:w="228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目视无明显积灰、无虫网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0" w:type="dxa"/>
            <w:vMerge w:val="continue"/>
            <w:vAlign w:val="center"/>
          </w:tcPr>
          <w:p>
            <w:pPr>
              <w:widowControl/>
              <w:spacing w:line="400" w:lineRule="exact"/>
              <w:jc w:val="left"/>
              <w:rPr>
                <w:rFonts w:asciiTheme="minorEastAsia" w:hAnsiTheme="minorEastAsia" w:eastAsiaTheme="minorEastAsia" w:cstheme="minorEastAsia"/>
                <w:b/>
                <w:bCs/>
                <w:kern w:val="0"/>
                <w:szCs w:val="21"/>
              </w:rPr>
            </w:pPr>
          </w:p>
        </w:tc>
        <w:tc>
          <w:tcPr>
            <w:tcW w:w="2060"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灯饰</w:t>
            </w:r>
          </w:p>
        </w:tc>
        <w:tc>
          <w:tcPr>
            <w:tcW w:w="372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每半月保洁一次</w:t>
            </w:r>
          </w:p>
        </w:tc>
        <w:tc>
          <w:tcPr>
            <w:tcW w:w="228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目视无明显积灰，无虫网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860" w:type="dxa"/>
            <w:vMerge w:val="continue"/>
            <w:vAlign w:val="center"/>
          </w:tcPr>
          <w:p>
            <w:pPr>
              <w:widowControl/>
              <w:spacing w:line="400" w:lineRule="exact"/>
              <w:jc w:val="left"/>
              <w:rPr>
                <w:rFonts w:asciiTheme="minorEastAsia" w:hAnsiTheme="minorEastAsia" w:eastAsiaTheme="minorEastAsia" w:cstheme="minorEastAsia"/>
                <w:b/>
                <w:bCs/>
                <w:kern w:val="0"/>
                <w:szCs w:val="21"/>
              </w:rPr>
            </w:pPr>
          </w:p>
        </w:tc>
        <w:tc>
          <w:tcPr>
            <w:tcW w:w="2060"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纸篓</w:t>
            </w:r>
          </w:p>
        </w:tc>
        <w:tc>
          <w:tcPr>
            <w:tcW w:w="372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垃圾每日清理一次，发生满溢及时清理</w:t>
            </w:r>
          </w:p>
        </w:tc>
        <w:tc>
          <w:tcPr>
            <w:tcW w:w="228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周围地面无散落垃圾、无污迹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0" w:type="dxa"/>
            <w:vMerge w:val="continue"/>
            <w:vAlign w:val="center"/>
          </w:tcPr>
          <w:p>
            <w:pPr>
              <w:widowControl/>
              <w:spacing w:line="400" w:lineRule="exact"/>
              <w:jc w:val="left"/>
              <w:rPr>
                <w:rFonts w:asciiTheme="minorEastAsia" w:hAnsiTheme="minorEastAsia" w:eastAsiaTheme="minorEastAsia" w:cstheme="minorEastAsia"/>
                <w:b/>
                <w:bCs/>
                <w:kern w:val="0"/>
                <w:szCs w:val="21"/>
              </w:rPr>
            </w:pPr>
          </w:p>
        </w:tc>
        <w:tc>
          <w:tcPr>
            <w:tcW w:w="2060"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门窗、玻璃</w:t>
            </w:r>
          </w:p>
        </w:tc>
        <w:tc>
          <w:tcPr>
            <w:tcW w:w="372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每月清洗一次、日常巡回保洁</w:t>
            </w:r>
          </w:p>
        </w:tc>
        <w:tc>
          <w:tcPr>
            <w:tcW w:w="228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保持明亮、无明显污渍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0" w:type="dxa"/>
            <w:vMerge w:val="continue"/>
            <w:vAlign w:val="center"/>
          </w:tcPr>
          <w:p>
            <w:pPr>
              <w:widowControl/>
              <w:spacing w:line="400" w:lineRule="exact"/>
              <w:jc w:val="left"/>
              <w:rPr>
                <w:rFonts w:asciiTheme="minorEastAsia" w:hAnsiTheme="minorEastAsia" w:eastAsiaTheme="minorEastAsia" w:cstheme="minorEastAsia"/>
                <w:b/>
                <w:bCs/>
                <w:kern w:val="0"/>
                <w:szCs w:val="21"/>
              </w:rPr>
            </w:pPr>
          </w:p>
        </w:tc>
        <w:tc>
          <w:tcPr>
            <w:tcW w:w="2060"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电源开关</w:t>
            </w:r>
          </w:p>
        </w:tc>
        <w:tc>
          <w:tcPr>
            <w:tcW w:w="372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每日擦拭一次</w:t>
            </w:r>
          </w:p>
        </w:tc>
        <w:tc>
          <w:tcPr>
            <w:tcW w:w="228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无积灰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0" w:type="dxa"/>
            <w:vMerge w:val="continue"/>
            <w:vAlign w:val="center"/>
          </w:tcPr>
          <w:p>
            <w:pPr>
              <w:widowControl/>
              <w:spacing w:line="400" w:lineRule="exact"/>
              <w:jc w:val="left"/>
              <w:rPr>
                <w:rFonts w:asciiTheme="minorEastAsia" w:hAnsiTheme="minorEastAsia" w:eastAsiaTheme="minorEastAsia" w:cstheme="minorEastAsia"/>
                <w:b/>
                <w:bCs/>
                <w:kern w:val="0"/>
                <w:szCs w:val="21"/>
              </w:rPr>
            </w:pPr>
          </w:p>
        </w:tc>
        <w:tc>
          <w:tcPr>
            <w:tcW w:w="2060"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广告宣传牌</w:t>
            </w:r>
          </w:p>
        </w:tc>
        <w:tc>
          <w:tcPr>
            <w:tcW w:w="372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每日擦拭一次、巡回保洁</w:t>
            </w:r>
          </w:p>
        </w:tc>
        <w:tc>
          <w:tcPr>
            <w:tcW w:w="228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无积灰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0" w:type="dxa"/>
            <w:vMerge w:val="continue"/>
            <w:vAlign w:val="center"/>
          </w:tcPr>
          <w:p>
            <w:pPr>
              <w:widowControl/>
              <w:spacing w:line="400" w:lineRule="exact"/>
              <w:jc w:val="left"/>
              <w:rPr>
                <w:rFonts w:asciiTheme="minorEastAsia" w:hAnsiTheme="minorEastAsia" w:eastAsiaTheme="minorEastAsia" w:cstheme="minorEastAsia"/>
                <w:b/>
                <w:bCs/>
                <w:kern w:val="0"/>
                <w:szCs w:val="21"/>
              </w:rPr>
            </w:pPr>
          </w:p>
        </w:tc>
        <w:tc>
          <w:tcPr>
            <w:tcW w:w="2060"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消防箱、消防指示灯</w:t>
            </w:r>
          </w:p>
        </w:tc>
        <w:tc>
          <w:tcPr>
            <w:tcW w:w="372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每周擦拭一次</w:t>
            </w:r>
          </w:p>
        </w:tc>
        <w:tc>
          <w:tcPr>
            <w:tcW w:w="228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目视无明显积灰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0" w:type="dxa"/>
            <w:vMerge w:val="continue"/>
            <w:vAlign w:val="center"/>
          </w:tcPr>
          <w:p>
            <w:pPr>
              <w:widowControl/>
              <w:spacing w:line="400" w:lineRule="exact"/>
              <w:jc w:val="left"/>
              <w:rPr>
                <w:rFonts w:asciiTheme="minorEastAsia" w:hAnsiTheme="minorEastAsia" w:eastAsiaTheme="minorEastAsia" w:cstheme="minorEastAsia"/>
                <w:b/>
                <w:bCs/>
                <w:kern w:val="0"/>
                <w:szCs w:val="21"/>
              </w:rPr>
            </w:pPr>
          </w:p>
        </w:tc>
        <w:tc>
          <w:tcPr>
            <w:tcW w:w="2060"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室外吸烟区烟筒</w:t>
            </w:r>
          </w:p>
        </w:tc>
        <w:tc>
          <w:tcPr>
            <w:tcW w:w="372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垃圾每日清理一次，发生满溢及时清倒</w:t>
            </w:r>
          </w:p>
        </w:tc>
        <w:tc>
          <w:tcPr>
            <w:tcW w:w="228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表面光亮、无污迹、积灰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0" w:type="dxa"/>
            <w:vMerge w:val="restart"/>
            <w:textDirection w:val="tbRlV"/>
            <w:vAlign w:val="center"/>
          </w:tcPr>
          <w:p>
            <w:pPr>
              <w:widowControl/>
              <w:spacing w:line="400" w:lineRule="exac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消防通道</w:t>
            </w:r>
          </w:p>
        </w:tc>
        <w:tc>
          <w:tcPr>
            <w:tcW w:w="2060"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地面、台阶</w:t>
            </w:r>
          </w:p>
        </w:tc>
        <w:tc>
          <w:tcPr>
            <w:tcW w:w="372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每天清扫一次、每周拖擦二次、</w:t>
            </w:r>
          </w:p>
        </w:tc>
        <w:tc>
          <w:tcPr>
            <w:tcW w:w="228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无垃圾、无污垢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60" w:type="dxa"/>
            <w:vMerge w:val="continue"/>
            <w:vAlign w:val="center"/>
          </w:tcPr>
          <w:p>
            <w:pPr>
              <w:widowControl/>
              <w:spacing w:line="400" w:lineRule="exact"/>
              <w:jc w:val="left"/>
              <w:rPr>
                <w:rFonts w:asciiTheme="minorEastAsia" w:hAnsiTheme="minorEastAsia" w:eastAsiaTheme="minorEastAsia" w:cstheme="minorEastAsia"/>
                <w:b/>
                <w:bCs/>
                <w:kern w:val="0"/>
                <w:szCs w:val="21"/>
              </w:rPr>
            </w:pPr>
          </w:p>
        </w:tc>
        <w:tc>
          <w:tcPr>
            <w:tcW w:w="2060"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楼梯扶手、栏杆、开关</w:t>
            </w:r>
          </w:p>
        </w:tc>
        <w:tc>
          <w:tcPr>
            <w:tcW w:w="372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每日擦拭一次</w:t>
            </w:r>
          </w:p>
        </w:tc>
        <w:tc>
          <w:tcPr>
            <w:tcW w:w="228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无明显积灰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0" w:type="dxa"/>
            <w:vMerge w:val="continue"/>
            <w:vAlign w:val="center"/>
          </w:tcPr>
          <w:p>
            <w:pPr>
              <w:widowControl/>
              <w:spacing w:line="400" w:lineRule="exact"/>
              <w:jc w:val="left"/>
              <w:rPr>
                <w:rFonts w:asciiTheme="minorEastAsia" w:hAnsiTheme="minorEastAsia" w:eastAsiaTheme="minorEastAsia" w:cstheme="minorEastAsia"/>
                <w:b/>
                <w:bCs/>
                <w:kern w:val="0"/>
                <w:szCs w:val="21"/>
              </w:rPr>
            </w:pPr>
          </w:p>
        </w:tc>
        <w:tc>
          <w:tcPr>
            <w:tcW w:w="2060"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门、闭门器</w:t>
            </w:r>
          </w:p>
        </w:tc>
        <w:tc>
          <w:tcPr>
            <w:tcW w:w="372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每周擦拭一次</w:t>
            </w:r>
          </w:p>
        </w:tc>
        <w:tc>
          <w:tcPr>
            <w:tcW w:w="228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无明显积灰、污渍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860" w:type="dxa"/>
            <w:vMerge w:val="continue"/>
            <w:vAlign w:val="center"/>
          </w:tcPr>
          <w:p>
            <w:pPr>
              <w:widowControl/>
              <w:spacing w:line="400" w:lineRule="exact"/>
              <w:jc w:val="left"/>
              <w:rPr>
                <w:rFonts w:asciiTheme="minorEastAsia" w:hAnsiTheme="minorEastAsia" w:eastAsiaTheme="minorEastAsia" w:cstheme="minorEastAsia"/>
                <w:b/>
                <w:bCs/>
                <w:kern w:val="0"/>
                <w:szCs w:val="21"/>
              </w:rPr>
            </w:pPr>
          </w:p>
        </w:tc>
        <w:tc>
          <w:tcPr>
            <w:tcW w:w="2060"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灯</w:t>
            </w:r>
          </w:p>
        </w:tc>
        <w:tc>
          <w:tcPr>
            <w:tcW w:w="372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每月除尘一次</w:t>
            </w:r>
          </w:p>
        </w:tc>
        <w:tc>
          <w:tcPr>
            <w:tcW w:w="228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目视表面无明显积灰，无虫网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0" w:type="dxa"/>
            <w:vMerge w:val="continue"/>
            <w:vAlign w:val="center"/>
          </w:tcPr>
          <w:p>
            <w:pPr>
              <w:widowControl/>
              <w:spacing w:line="400" w:lineRule="exact"/>
              <w:jc w:val="left"/>
              <w:rPr>
                <w:rFonts w:asciiTheme="minorEastAsia" w:hAnsiTheme="minorEastAsia" w:eastAsiaTheme="minorEastAsia" w:cstheme="minorEastAsia"/>
                <w:b/>
                <w:bCs/>
                <w:kern w:val="0"/>
                <w:szCs w:val="21"/>
              </w:rPr>
            </w:pPr>
          </w:p>
        </w:tc>
        <w:tc>
          <w:tcPr>
            <w:tcW w:w="2060"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墙面</w:t>
            </w:r>
          </w:p>
        </w:tc>
        <w:tc>
          <w:tcPr>
            <w:tcW w:w="372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每月除尘一次</w:t>
            </w:r>
          </w:p>
        </w:tc>
        <w:tc>
          <w:tcPr>
            <w:tcW w:w="228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目视无积灰，无虫网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0" w:type="dxa"/>
            <w:vMerge w:val="restart"/>
            <w:textDirection w:val="tbRlV"/>
            <w:vAlign w:val="center"/>
          </w:tcPr>
          <w:p>
            <w:pPr>
              <w:widowControl/>
              <w:spacing w:line="400" w:lineRule="exac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天台</w:t>
            </w:r>
          </w:p>
        </w:tc>
        <w:tc>
          <w:tcPr>
            <w:tcW w:w="2060"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地面、明沟</w:t>
            </w:r>
          </w:p>
        </w:tc>
        <w:tc>
          <w:tcPr>
            <w:tcW w:w="372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每天清理一次</w:t>
            </w:r>
          </w:p>
        </w:tc>
        <w:tc>
          <w:tcPr>
            <w:tcW w:w="228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无垃圾、无淤泥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0" w:type="dxa"/>
            <w:vMerge w:val="continue"/>
            <w:vAlign w:val="center"/>
          </w:tcPr>
          <w:p>
            <w:pPr>
              <w:widowControl/>
              <w:spacing w:line="400" w:lineRule="exact"/>
              <w:jc w:val="left"/>
              <w:rPr>
                <w:rFonts w:asciiTheme="minorEastAsia" w:hAnsiTheme="minorEastAsia" w:eastAsiaTheme="minorEastAsia" w:cstheme="minorEastAsia"/>
                <w:b/>
                <w:bCs/>
                <w:kern w:val="0"/>
                <w:szCs w:val="21"/>
              </w:rPr>
            </w:pPr>
          </w:p>
        </w:tc>
        <w:tc>
          <w:tcPr>
            <w:tcW w:w="2060"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玻璃雨篷</w:t>
            </w:r>
          </w:p>
        </w:tc>
        <w:tc>
          <w:tcPr>
            <w:tcW w:w="372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每半月刮洗一次</w:t>
            </w:r>
          </w:p>
        </w:tc>
        <w:tc>
          <w:tcPr>
            <w:tcW w:w="228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无杂物、垃圾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60" w:type="dxa"/>
            <w:vMerge w:val="restart"/>
            <w:textDirection w:val="tbRlV"/>
            <w:vAlign w:val="center"/>
          </w:tcPr>
          <w:p>
            <w:pPr>
              <w:widowControl/>
              <w:spacing w:line="400" w:lineRule="exac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卫生间</w:t>
            </w:r>
          </w:p>
        </w:tc>
        <w:tc>
          <w:tcPr>
            <w:tcW w:w="2060"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地面、台面、卫生洁具、镜面</w:t>
            </w:r>
          </w:p>
        </w:tc>
        <w:tc>
          <w:tcPr>
            <w:tcW w:w="372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每天消毒三次，上、下午重点保洁一次，日常巡回保洁</w:t>
            </w:r>
          </w:p>
        </w:tc>
        <w:tc>
          <w:tcPr>
            <w:tcW w:w="228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无杂物、垃圾、无异味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0" w:type="dxa"/>
            <w:vMerge w:val="continue"/>
            <w:vAlign w:val="center"/>
          </w:tcPr>
          <w:p>
            <w:pPr>
              <w:widowControl/>
              <w:spacing w:line="400" w:lineRule="exact"/>
              <w:jc w:val="left"/>
              <w:rPr>
                <w:rFonts w:asciiTheme="minorEastAsia" w:hAnsiTheme="minorEastAsia" w:eastAsiaTheme="minorEastAsia" w:cstheme="minorEastAsia"/>
                <w:b/>
                <w:bCs/>
                <w:kern w:val="0"/>
                <w:szCs w:val="21"/>
              </w:rPr>
            </w:pPr>
          </w:p>
        </w:tc>
        <w:tc>
          <w:tcPr>
            <w:tcW w:w="2060"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窗台</w:t>
            </w:r>
          </w:p>
        </w:tc>
        <w:tc>
          <w:tcPr>
            <w:tcW w:w="372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每日擦拭一次</w:t>
            </w:r>
          </w:p>
        </w:tc>
        <w:tc>
          <w:tcPr>
            <w:tcW w:w="228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无积灰、污渍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60" w:type="dxa"/>
            <w:vMerge w:val="continue"/>
            <w:vAlign w:val="center"/>
          </w:tcPr>
          <w:p>
            <w:pPr>
              <w:widowControl/>
              <w:spacing w:line="400" w:lineRule="exact"/>
              <w:jc w:val="left"/>
              <w:rPr>
                <w:rFonts w:asciiTheme="minorEastAsia" w:hAnsiTheme="minorEastAsia" w:eastAsiaTheme="minorEastAsia" w:cstheme="minorEastAsia"/>
                <w:b/>
                <w:bCs/>
                <w:kern w:val="0"/>
                <w:szCs w:val="21"/>
              </w:rPr>
            </w:pPr>
          </w:p>
        </w:tc>
        <w:tc>
          <w:tcPr>
            <w:tcW w:w="2060"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墙面、顶部、灯具、隔断板、门</w:t>
            </w:r>
          </w:p>
        </w:tc>
        <w:tc>
          <w:tcPr>
            <w:tcW w:w="372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每周除尘保洁一次</w:t>
            </w:r>
          </w:p>
        </w:tc>
        <w:tc>
          <w:tcPr>
            <w:tcW w:w="228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无积灰、污渍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60" w:type="dxa"/>
            <w:vMerge w:val="continue"/>
            <w:textDirection w:val="tbRlV"/>
            <w:vAlign w:val="center"/>
          </w:tcPr>
          <w:p>
            <w:pPr>
              <w:widowControl/>
              <w:spacing w:line="400" w:lineRule="exact"/>
              <w:jc w:val="center"/>
              <w:rPr>
                <w:rFonts w:asciiTheme="minorEastAsia" w:hAnsiTheme="minorEastAsia" w:eastAsiaTheme="minorEastAsia" w:cstheme="minorEastAsia"/>
                <w:b/>
                <w:bCs/>
                <w:kern w:val="0"/>
                <w:szCs w:val="21"/>
              </w:rPr>
            </w:pPr>
          </w:p>
        </w:tc>
        <w:tc>
          <w:tcPr>
            <w:tcW w:w="2060"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卫生纸、擦手纸、洗手液</w:t>
            </w:r>
          </w:p>
        </w:tc>
        <w:tc>
          <w:tcPr>
            <w:tcW w:w="372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每日检查、及时添加</w:t>
            </w:r>
          </w:p>
        </w:tc>
        <w:tc>
          <w:tcPr>
            <w:tcW w:w="228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纸箱表面无积灰、污渍,洗手液、润肤乳正常供应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60" w:type="dxa"/>
            <w:vMerge w:val="continue"/>
            <w:vAlign w:val="center"/>
          </w:tcPr>
          <w:p>
            <w:pPr>
              <w:widowControl/>
              <w:spacing w:line="400" w:lineRule="exact"/>
              <w:jc w:val="left"/>
              <w:rPr>
                <w:rFonts w:asciiTheme="minorEastAsia" w:hAnsiTheme="minorEastAsia" w:eastAsiaTheme="minorEastAsia" w:cstheme="minorEastAsia"/>
                <w:b/>
                <w:bCs/>
                <w:kern w:val="0"/>
                <w:szCs w:val="21"/>
              </w:rPr>
            </w:pPr>
          </w:p>
        </w:tc>
        <w:tc>
          <w:tcPr>
            <w:tcW w:w="2060"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开水器</w:t>
            </w:r>
          </w:p>
        </w:tc>
        <w:tc>
          <w:tcPr>
            <w:tcW w:w="372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每天早上排空隔夜水，每季度更换一次滤芯</w:t>
            </w:r>
          </w:p>
        </w:tc>
        <w:tc>
          <w:tcPr>
            <w:tcW w:w="228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无陈旧积物、污渍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0" w:type="dxa"/>
            <w:vMerge w:val="continue"/>
            <w:vAlign w:val="center"/>
          </w:tcPr>
          <w:p>
            <w:pPr>
              <w:widowControl/>
              <w:spacing w:line="400" w:lineRule="exact"/>
              <w:jc w:val="left"/>
              <w:rPr>
                <w:rFonts w:asciiTheme="minorEastAsia" w:hAnsiTheme="minorEastAsia" w:eastAsiaTheme="minorEastAsia" w:cstheme="minorEastAsia"/>
                <w:b/>
                <w:bCs/>
                <w:kern w:val="0"/>
                <w:szCs w:val="21"/>
              </w:rPr>
            </w:pPr>
          </w:p>
        </w:tc>
        <w:tc>
          <w:tcPr>
            <w:tcW w:w="2060"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地面</w:t>
            </w:r>
          </w:p>
        </w:tc>
        <w:tc>
          <w:tcPr>
            <w:tcW w:w="372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即时保洁</w:t>
            </w:r>
          </w:p>
        </w:tc>
        <w:tc>
          <w:tcPr>
            <w:tcW w:w="228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无陈旧积物、污渍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60" w:type="dxa"/>
            <w:vMerge w:val="restart"/>
            <w:textDirection w:val="tbRlV"/>
            <w:vAlign w:val="center"/>
          </w:tcPr>
          <w:p>
            <w:pPr>
              <w:widowControl/>
              <w:spacing w:line="400" w:lineRule="exac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会议室</w:t>
            </w:r>
          </w:p>
        </w:tc>
        <w:tc>
          <w:tcPr>
            <w:tcW w:w="2060" w:type="dxa"/>
            <w:noWrap/>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打开水、清洗茶杯</w:t>
            </w:r>
          </w:p>
        </w:tc>
        <w:tc>
          <w:tcPr>
            <w:tcW w:w="3722" w:type="dxa"/>
            <w:noWrap/>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每天四壶，随时添加，随时清洗茶杯、消毒</w:t>
            </w:r>
          </w:p>
        </w:tc>
        <w:tc>
          <w:tcPr>
            <w:tcW w:w="2282" w:type="dxa"/>
            <w:noWrap/>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上午8:30前将开水打好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0" w:type="dxa"/>
            <w:vMerge w:val="continue"/>
            <w:vAlign w:val="center"/>
          </w:tcPr>
          <w:p>
            <w:pPr>
              <w:widowControl/>
              <w:spacing w:line="400" w:lineRule="exact"/>
              <w:jc w:val="left"/>
              <w:rPr>
                <w:rFonts w:asciiTheme="minorEastAsia" w:hAnsiTheme="minorEastAsia" w:eastAsiaTheme="minorEastAsia" w:cstheme="minorEastAsia"/>
                <w:b/>
                <w:bCs/>
                <w:kern w:val="0"/>
                <w:szCs w:val="21"/>
              </w:rPr>
            </w:pPr>
          </w:p>
        </w:tc>
        <w:tc>
          <w:tcPr>
            <w:tcW w:w="2060"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地板</w:t>
            </w:r>
          </w:p>
        </w:tc>
        <w:tc>
          <w:tcPr>
            <w:tcW w:w="3722" w:type="dxa"/>
            <w:noWrap/>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会议前后保洁一次</w:t>
            </w:r>
          </w:p>
        </w:tc>
        <w:tc>
          <w:tcPr>
            <w:tcW w:w="228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目视无积灰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60" w:type="dxa"/>
            <w:vMerge w:val="continue"/>
            <w:vAlign w:val="center"/>
          </w:tcPr>
          <w:p>
            <w:pPr>
              <w:widowControl/>
              <w:spacing w:line="400" w:lineRule="exact"/>
              <w:jc w:val="left"/>
              <w:rPr>
                <w:rFonts w:asciiTheme="minorEastAsia" w:hAnsiTheme="minorEastAsia" w:eastAsiaTheme="minorEastAsia" w:cstheme="minorEastAsia"/>
                <w:b/>
                <w:bCs/>
                <w:kern w:val="0"/>
                <w:szCs w:val="21"/>
              </w:rPr>
            </w:pPr>
          </w:p>
        </w:tc>
        <w:tc>
          <w:tcPr>
            <w:tcW w:w="2060"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桌面、沙发、茶几、会议系统、音响</w:t>
            </w:r>
          </w:p>
        </w:tc>
        <w:tc>
          <w:tcPr>
            <w:tcW w:w="3722" w:type="dxa"/>
            <w:noWrap/>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每天、会议前后一次</w:t>
            </w:r>
          </w:p>
        </w:tc>
        <w:tc>
          <w:tcPr>
            <w:tcW w:w="228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地面、设备表面除尘、抹净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60" w:type="dxa"/>
            <w:textDirection w:val="tbRlV"/>
            <w:vAlign w:val="center"/>
          </w:tcPr>
          <w:p>
            <w:pPr>
              <w:widowControl/>
              <w:spacing w:line="400" w:lineRule="exac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接待室</w:t>
            </w:r>
          </w:p>
        </w:tc>
        <w:tc>
          <w:tcPr>
            <w:tcW w:w="2060" w:type="dxa"/>
            <w:noWrap/>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桌面、沙发、茶几</w:t>
            </w:r>
          </w:p>
        </w:tc>
        <w:tc>
          <w:tcPr>
            <w:tcW w:w="3722" w:type="dxa"/>
            <w:noWrap/>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每天、会议前后一次</w:t>
            </w:r>
          </w:p>
        </w:tc>
        <w:tc>
          <w:tcPr>
            <w:tcW w:w="2282" w:type="dxa"/>
            <w:noWrap/>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地面、办公家具表面除尘、抹净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60" w:type="dxa"/>
            <w:vMerge w:val="restart"/>
            <w:noWrap/>
            <w:textDirection w:val="tbRlV"/>
            <w:vAlign w:val="center"/>
          </w:tcPr>
          <w:p>
            <w:pPr>
              <w:widowControl/>
              <w:spacing w:line="400" w:lineRule="exac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机房</w:t>
            </w:r>
          </w:p>
        </w:tc>
        <w:tc>
          <w:tcPr>
            <w:tcW w:w="2060" w:type="dxa"/>
            <w:noWrap/>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网络机房</w:t>
            </w:r>
          </w:p>
        </w:tc>
        <w:tc>
          <w:tcPr>
            <w:tcW w:w="3722" w:type="dxa"/>
            <w:noWrap/>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每月一次</w:t>
            </w:r>
          </w:p>
        </w:tc>
        <w:tc>
          <w:tcPr>
            <w:tcW w:w="228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地面、设备表面、除尘、抹净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60" w:type="dxa"/>
            <w:vMerge w:val="continue"/>
            <w:vAlign w:val="center"/>
          </w:tcPr>
          <w:p>
            <w:pPr>
              <w:widowControl/>
              <w:spacing w:line="400" w:lineRule="exact"/>
              <w:jc w:val="left"/>
              <w:rPr>
                <w:rFonts w:asciiTheme="minorEastAsia" w:hAnsiTheme="minorEastAsia" w:eastAsiaTheme="minorEastAsia" w:cstheme="minorEastAsia"/>
                <w:b/>
                <w:bCs/>
                <w:kern w:val="0"/>
                <w:szCs w:val="21"/>
              </w:rPr>
            </w:pPr>
          </w:p>
        </w:tc>
        <w:tc>
          <w:tcPr>
            <w:tcW w:w="2060" w:type="dxa"/>
            <w:noWrap/>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监控机房</w:t>
            </w:r>
          </w:p>
        </w:tc>
        <w:tc>
          <w:tcPr>
            <w:tcW w:w="3722" w:type="dxa"/>
            <w:noWrap/>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每月一次</w:t>
            </w:r>
          </w:p>
        </w:tc>
        <w:tc>
          <w:tcPr>
            <w:tcW w:w="228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地面、设备表面、除尘、抹净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widowControl/>
              <w:spacing w:line="400" w:lineRule="exac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沐</w:t>
            </w:r>
          </w:p>
          <w:p>
            <w:pPr>
              <w:widowControl/>
              <w:spacing w:line="400" w:lineRule="exac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浴</w:t>
            </w:r>
          </w:p>
          <w:p>
            <w:pPr>
              <w:widowControl/>
              <w:spacing w:line="400" w:lineRule="exac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室</w:t>
            </w:r>
          </w:p>
        </w:tc>
        <w:tc>
          <w:tcPr>
            <w:tcW w:w="2060"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淋浴间、地面</w:t>
            </w:r>
          </w:p>
        </w:tc>
        <w:tc>
          <w:tcPr>
            <w:tcW w:w="3722" w:type="dxa"/>
            <w:noWrap/>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每日保洁一次</w:t>
            </w:r>
          </w:p>
        </w:tc>
        <w:tc>
          <w:tcPr>
            <w:tcW w:w="228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无垃圾、无污垢、无积水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60" w:type="dxa"/>
            <w:vAlign w:val="center"/>
          </w:tcPr>
          <w:p>
            <w:pPr>
              <w:widowControl/>
              <w:spacing w:line="400" w:lineRule="exac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健</w:t>
            </w:r>
          </w:p>
          <w:p>
            <w:pPr>
              <w:widowControl/>
              <w:spacing w:line="400" w:lineRule="exac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身</w:t>
            </w:r>
          </w:p>
          <w:p>
            <w:pPr>
              <w:widowControl/>
              <w:spacing w:line="400" w:lineRule="exac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房</w:t>
            </w:r>
          </w:p>
        </w:tc>
        <w:tc>
          <w:tcPr>
            <w:tcW w:w="2060"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健身器材</w:t>
            </w:r>
          </w:p>
        </w:tc>
        <w:tc>
          <w:tcPr>
            <w:tcW w:w="3722" w:type="dxa"/>
            <w:noWrap/>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每周擦拭一次</w:t>
            </w:r>
          </w:p>
        </w:tc>
        <w:tc>
          <w:tcPr>
            <w:tcW w:w="2282" w:type="dxa"/>
            <w:vAlign w:val="center"/>
          </w:tcPr>
          <w:p>
            <w:pPr>
              <w:widowControl/>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无积灰、污渍</w:t>
            </w:r>
          </w:p>
        </w:tc>
      </w:tr>
    </w:tbl>
    <w:p>
      <w:pPr>
        <w:spacing w:line="360" w:lineRule="auto"/>
        <w:jc w:val="left"/>
        <w:rPr>
          <w:rFonts w:hint="eastAsia" w:ascii="宋体" w:hAnsi="宋体" w:cs="宋体"/>
          <w:color w:val="FF0000"/>
          <w:sz w:val="24"/>
        </w:rPr>
      </w:pPr>
    </w:p>
    <w:p>
      <w:pPr>
        <w:spacing w:line="360" w:lineRule="auto"/>
        <w:jc w:val="left"/>
      </w:pPr>
      <w:r>
        <w:rPr>
          <w:rFonts w:hint="eastAsia" w:ascii="宋体" w:hAnsi="宋体" w:cs="宋体"/>
          <w:color w:val="FF0000"/>
          <w:sz w:val="24"/>
        </w:rPr>
        <w:t>2、新安江</w:t>
      </w:r>
      <w:r>
        <w:rPr>
          <w:rFonts w:ascii="宋体" w:hAnsi="宋体" w:cs="宋体"/>
          <w:color w:val="FF0000"/>
          <w:sz w:val="24"/>
        </w:rPr>
        <w:t>街道</w:t>
      </w:r>
      <w:r>
        <w:rPr>
          <w:rFonts w:hint="eastAsia" w:ascii="宋体" w:hAnsi="宋体" w:cs="宋体"/>
          <w:color w:val="FF0000"/>
          <w:sz w:val="24"/>
        </w:rPr>
        <w:t>保洁保安服务考核办法:</w:t>
      </w:r>
    </w:p>
    <w:tbl>
      <w:tblPr>
        <w:tblStyle w:val="631"/>
        <w:tblpPr w:leftFromText="180" w:rightFromText="180" w:vertAnchor="text" w:horzAnchor="page" w:tblpXSpec="center" w:tblpY="833"/>
        <w:tblOverlap w:val="never"/>
        <w:tblW w:w="90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992"/>
        <w:gridCol w:w="5106"/>
        <w:gridCol w:w="709"/>
        <w:gridCol w:w="735"/>
        <w:gridCol w:w="9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blHeader/>
          <w:jc w:val="center"/>
        </w:trPr>
        <w:tc>
          <w:tcPr>
            <w:tcW w:w="567" w:type="dxa"/>
            <w:tcBorders>
              <w:left w:val="single" w:color="000000" w:sz="6" w:space="0"/>
            </w:tcBorders>
            <w:vAlign w:val="center"/>
          </w:tcPr>
          <w:p>
            <w:pPr>
              <w:pStyle w:val="25"/>
              <w:ind w:firstLine="0"/>
              <w:rPr>
                <w:sz w:val="21"/>
                <w:szCs w:val="21"/>
                <w:lang w:val="en-US"/>
              </w:rPr>
            </w:pPr>
            <w:r>
              <w:rPr>
                <w:rFonts w:hint="eastAsia"/>
                <w:sz w:val="21"/>
                <w:szCs w:val="21"/>
                <w:lang w:val="en-US"/>
              </w:rPr>
              <w:t>序号</w:t>
            </w:r>
          </w:p>
        </w:tc>
        <w:tc>
          <w:tcPr>
            <w:tcW w:w="992" w:type="dxa"/>
            <w:vAlign w:val="center"/>
          </w:tcPr>
          <w:p>
            <w:pPr>
              <w:pStyle w:val="25"/>
              <w:rPr>
                <w:sz w:val="21"/>
                <w:szCs w:val="21"/>
                <w:lang w:val="en-US"/>
              </w:rPr>
            </w:pPr>
            <w:r>
              <w:rPr>
                <w:rFonts w:hint="eastAsia"/>
                <w:sz w:val="21"/>
                <w:szCs w:val="21"/>
                <w:lang w:val="en-US"/>
              </w:rPr>
              <w:t>项目</w:t>
            </w:r>
          </w:p>
        </w:tc>
        <w:tc>
          <w:tcPr>
            <w:tcW w:w="5106" w:type="dxa"/>
            <w:vAlign w:val="center"/>
          </w:tcPr>
          <w:p>
            <w:pPr>
              <w:pStyle w:val="25"/>
              <w:ind w:firstLine="8" w:firstLineChars="4"/>
              <w:jc w:val="center"/>
              <w:rPr>
                <w:sz w:val="21"/>
                <w:szCs w:val="21"/>
                <w:lang w:val="en-US"/>
              </w:rPr>
            </w:pPr>
            <w:r>
              <w:rPr>
                <w:rFonts w:hint="eastAsia"/>
                <w:sz w:val="21"/>
                <w:szCs w:val="21"/>
                <w:lang w:val="en-US"/>
              </w:rPr>
              <w:t>考核标准</w:t>
            </w:r>
          </w:p>
        </w:tc>
        <w:tc>
          <w:tcPr>
            <w:tcW w:w="709" w:type="dxa"/>
            <w:vAlign w:val="center"/>
          </w:tcPr>
          <w:p>
            <w:pPr>
              <w:pStyle w:val="25"/>
              <w:ind w:firstLine="210" w:firstLineChars="100"/>
              <w:rPr>
                <w:sz w:val="21"/>
                <w:szCs w:val="21"/>
                <w:lang w:val="en-US"/>
              </w:rPr>
            </w:pPr>
            <w:r>
              <w:rPr>
                <w:rFonts w:hint="eastAsia"/>
                <w:sz w:val="21"/>
                <w:szCs w:val="21"/>
                <w:lang w:val="en-US"/>
              </w:rPr>
              <w:t>分值</w:t>
            </w:r>
          </w:p>
        </w:tc>
        <w:tc>
          <w:tcPr>
            <w:tcW w:w="735" w:type="dxa"/>
            <w:vAlign w:val="center"/>
          </w:tcPr>
          <w:p>
            <w:pPr>
              <w:pStyle w:val="25"/>
              <w:ind w:firstLine="210" w:firstLineChars="100"/>
              <w:rPr>
                <w:sz w:val="21"/>
                <w:szCs w:val="21"/>
                <w:lang w:val="en-US"/>
              </w:rPr>
            </w:pPr>
            <w:r>
              <w:rPr>
                <w:rFonts w:hint="eastAsia"/>
                <w:sz w:val="21"/>
                <w:szCs w:val="21"/>
                <w:lang w:val="en-US"/>
              </w:rPr>
              <w:t>评分</w:t>
            </w:r>
          </w:p>
        </w:tc>
        <w:tc>
          <w:tcPr>
            <w:tcW w:w="971" w:type="dxa"/>
            <w:tcBorders>
              <w:right w:val="single" w:color="000000" w:sz="6" w:space="0"/>
            </w:tcBorders>
            <w:vAlign w:val="center"/>
          </w:tcPr>
          <w:p>
            <w:pPr>
              <w:pStyle w:val="25"/>
              <w:ind w:firstLine="0"/>
              <w:rPr>
                <w:sz w:val="21"/>
                <w:szCs w:val="21"/>
                <w:lang w:val="en-US"/>
              </w:rPr>
            </w:pPr>
            <w:r>
              <w:rPr>
                <w:rFonts w:hint="eastAsia"/>
                <w:sz w:val="21"/>
                <w:szCs w:val="21"/>
                <w:lang w:val="en-US"/>
              </w:rPr>
              <w:t>评分细则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blHeader/>
          <w:jc w:val="center"/>
        </w:trPr>
        <w:tc>
          <w:tcPr>
            <w:tcW w:w="567" w:type="dxa"/>
            <w:vMerge w:val="restart"/>
            <w:tcBorders>
              <w:left w:val="single" w:color="000000" w:sz="6" w:space="0"/>
            </w:tcBorders>
            <w:vAlign w:val="center"/>
          </w:tcPr>
          <w:p>
            <w:pPr>
              <w:pStyle w:val="25"/>
              <w:rPr>
                <w:sz w:val="21"/>
                <w:szCs w:val="21"/>
                <w:lang w:val="en-US"/>
              </w:rPr>
            </w:pPr>
          </w:p>
          <w:p>
            <w:pPr>
              <w:pStyle w:val="25"/>
              <w:ind w:firstLine="210" w:firstLineChars="100"/>
              <w:rPr>
                <w:sz w:val="21"/>
                <w:szCs w:val="21"/>
                <w:lang w:val="en-US"/>
              </w:rPr>
            </w:pPr>
            <w:r>
              <w:rPr>
                <w:rFonts w:hint="eastAsia"/>
                <w:sz w:val="21"/>
                <w:szCs w:val="21"/>
                <w:lang w:val="en-US"/>
              </w:rPr>
              <w:t>1</w:t>
            </w:r>
          </w:p>
        </w:tc>
        <w:tc>
          <w:tcPr>
            <w:tcW w:w="992" w:type="dxa"/>
            <w:vMerge w:val="restart"/>
            <w:vAlign w:val="center"/>
          </w:tcPr>
          <w:p>
            <w:pPr>
              <w:pStyle w:val="25"/>
              <w:ind w:firstLine="0"/>
              <w:jc w:val="center"/>
              <w:rPr>
                <w:sz w:val="21"/>
                <w:szCs w:val="21"/>
                <w:lang w:val="en-US"/>
              </w:rPr>
            </w:pPr>
            <w:r>
              <w:rPr>
                <w:rFonts w:hint="eastAsia"/>
                <w:sz w:val="21"/>
                <w:szCs w:val="21"/>
                <w:lang w:val="en-US"/>
              </w:rPr>
              <w:t>人员管理</w:t>
            </w:r>
          </w:p>
        </w:tc>
        <w:tc>
          <w:tcPr>
            <w:tcW w:w="5106" w:type="dxa"/>
            <w:vAlign w:val="center"/>
          </w:tcPr>
          <w:p>
            <w:pPr>
              <w:pStyle w:val="25"/>
              <w:ind w:firstLine="8" w:firstLineChars="4"/>
              <w:jc w:val="left"/>
              <w:rPr>
                <w:sz w:val="21"/>
                <w:szCs w:val="21"/>
                <w:lang w:val="en-US"/>
              </w:rPr>
            </w:pPr>
            <w:r>
              <w:rPr>
                <w:rFonts w:hint="eastAsia"/>
                <w:sz w:val="21"/>
                <w:szCs w:val="21"/>
                <w:lang w:val="en-US"/>
              </w:rPr>
              <w:t>实行持证上岗制度。岗位到勤率100%。</w:t>
            </w:r>
          </w:p>
        </w:tc>
        <w:tc>
          <w:tcPr>
            <w:tcW w:w="709" w:type="dxa"/>
            <w:vAlign w:val="center"/>
          </w:tcPr>
          <w:p>
            <w:pPr>
              <w:pStyle w:val="25"/>
              <w:rPr>
                <w:sz w:val="21"/>
                <w:szCs w:val="21"/>
                <w:lang w:val="en-US"/>
              </w:rPr>
            </w:pPr>
            <w:r>
              <w:rPr>
                <w:rFonts w:hint="eastAsia"/>
                <w:sz w:val="21"/>
                <w:szCs w:val="21"/>
                <w:lang w:val="en-US"/>
              </w:rPr>
              <w:t>5</w:t>
            </w:r>
          </w:p>
        </w:tc>
        <w:tc>
          <w:tcPr>
            <w:tcW w:w="735" w:type="dxa"/>
            <w:vAlign w:val="center"/>
          </w:tcPr>
          <w:p>
            <w:pPr>
              <w:pStyle w:val="25"/>
              <w:rPr>
                <w:sz w:val="21"/>
                <w:szCs w:val="21"/>
                <w:lang w:val="en-US"/>
              </w:rPr>
            </w:pPr>
          </w:p>
        </w:tc>
        <w:tc>
          <w:tcPr>
            <w:tcW w:w="971" w:type="dxa"/>
            <w:vMerge w:val="restart"/>
            <w:tcBorders>
              <w:right w:val="single" w:color="000000" w:sz="6" w:space="0"/>
            </w:tcBorders>
            <w:vAlign w:val="center"/>
          </w:tcPr>
          <w:p>
            <w:pPr>
              <w:pStyle w:val="25"/>
              <w:ind w:firstLine="0"/>
              <w:rPr>
                <w:rFonts w:asciiTheme="minorEastAsia" w:hAnsiTheme="minorEastAsia" w:eastAsiaTheme="minorEastAsia" w:cstheme="minorEastAsia"/>
                <w:kern w:val="0"/>
                <w:sz w:val="21"/>
                <w:szCs w:val="21"/>
                <w:lang w:val="en-US"/>
              </w:rPr>
            </w:pPr>
          </w:p>
          <w:p>
            <w:pPr>
              <w:pStyle w:val="25"/>
              <w:ind w:firstLine="0"/>
              <w:rPr>
                <w:rFonts w:asciiTheme="minorEastAsia" w:hAnsiTheme="minorEastAsia" w:eastAsiaTheme="minorEastAsia" w:cstheme="minorEastAsia"/>
                <w:kern w:val="0"/>
                <w:sz w:val="21"/>
                <w:szCs w:val="21"/>
                <w:lang w:val="en-US"/>
              </w:rPr>
            </w:pPr>
            <w:r>
              <w:rPr>
                <w:rFonts w:hint="eastAsia" w:asciiTheme="minorEastAsia" w:hAnsiTheme="minorEastAsia" w:eastAsiaTheme="minorEastAsia" w:cstheme="minorEastAsia"/>
                <w:kern w:val="0"/>
                <w:sz w:val="21"/>
                <w:szCs w:val="21"/>
                <w:lang w:val="en-US"/>
              </w:rPr>
              <w:t>凡有1人不符合， 扣除1分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blHeader/>
          <w:jc w:val="center"/>
        </w:trPr>
        <w:tc>
          <w:tcPr>
            <w:tcW w:w="567" w:type="dxa"/>
            <w:vMerge w:val="continue"/>
            <w:tcBorders>
              <w:left w:val="single" w:color="000000" w:sz="6" w:space="0"/>
            </w:tcBorders>
            <w:vAlign w:val="center"/>
          </w:tcPr>
          <w:p>
            <w:pPr>
              <w:pStyle w:val="25"/>
              <w:rPr>
                <w:sz w:val="21"/>
                <w:szCs w:val="21"/>
                <w:lang w:val="en-US"/>
              </w:rPr>
            </w:pPr>
          </w:p>
        </w:tc>
        <w:tc>
          <w:tcPr>
            <w:tcW w:w="992" w:type="dxa"/>
            <w:vMerge w:val="continue"/>
            <w:vAlign w:val="center"/>
          </w:tcPr>
          <w:p>
            <w:pPr>
              <w:pStyle w:val="25"/>
              <w:rPr>
                <w:sz w:val="21"/>
                <w:szCs w:val="21"/>
                <w:lang w:val="en-US"/>
              </w:rPr>
            </w:pPr>
          </w:p>
        </w:tc>
        <w:tc>
          <w:tcPr>
            <w:tcW w:w="5106" w:type="dxa"/>
            <w:vAlign w:val="center"/>
          </w:tcPr>
          <w:p>
            <w:pPr>
              <w:pStyle w:val="25"/>
              <w:ind w:firstLine="8" w:firstLineChars="4"/>
              <w:jc w:val="left"/>
              <w:rPr>
                <w:sz w:val="21"/>
                <w:szCs w:val="21"/>
                <w:lang w:val="en-US"/>
              </w:rPr>
            </w:pPr>
            <w:r>
              <w:rPr>
                <w:rFonts w:hint="eastAsia"/>
                <w:sz w:val="21"/>
                <w:szCs w:val="21"/>
                <w:lang w:val="en-US"/>
              </w:rPr>
              <w:t>项目投标时所承诺的项目工作人员，必须和承接此项目后开展工作的团队人员相符， 未征得采购人同意不得随意更换团队成员。</w:t>
            </w:r>
          </w:p>
        </w:tc>
        <w:tc>
          <w:tcPr>
            <w:tcW w:w="709" w:type="dxa"/>
            <w:vAlign w:val="center"/>
          </w:tcPr>
          <w:p>
            <w:pPr>
              <w:pStyle w:val="25"/>
              <w:rPr>
                <w:sz w:val="21"/>
                <w:szCs w:val="21"/>
                <w:lang w:val="en-US"/>
              </w:rPr>
            </w:pPr>
            <w:r>
              <w:rPr>
                <w:rFonts w:hint="eastAsia"/>
                <w:sz w:val="21"/>
                <w:szCs w:val="21"/>
                <w:lang w:val="en-US"/>
              </w:rPr>
              <w:t>3</w:t>
            </w:r>
          </w:p>
        </w:tc>
        <w:tc>
          <w:tcPr>
            <w:tcW w:w="735" w:type="dxa"/>
            <w:vAlign w:val="center"/>
          </w:tcPr>
          <w:p>
            <w:pPr>
              <w:pStyle w:val="25"/>
              <w:rPr>
                <w:sz w:val="21"/>
                <w:szCs w:val="21"/>
                <w:lang w:val="en-US"/>
              </w:rPr>
            </w:pPr>
          </w:p>
        </w:tc>
        <w:tc>
          <w:tcPr>
            <w:tcW w:w="971" w:type="dxa"/>
            <w:vMerge w:val="continue"/>
            <w:tcBorders>
              <w:right w:val="single" w:color="000000" w:sz="6" w:space="0"/>
            </w:tcBorders>
            <w:vAlign w:val="center"/>
          </w:tcPr>
          <w:p>
            <w:pPr>
              <w:pStyle w:val="25"/>
              <w:ind w:firstLine="0"/>
              <w:rPr>
                <w:rFonts w:asciiTheme="minorEastAsia" w:hAnsiTheme="minorEastAsia" w:eastAsiaTheme="minorEastAsia" w:cstheme="minorEastAsia"/>
                <w:kern w:val="0"/>
                <w:sz w:val="21"/>
                <w:szCs w:val="21"/>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blHeader/>
          <w:jc w:val="center"/>
        </w:trPr>
        <w:tc>
          <w:tcPr>
            <w:tcW w:w="567" w:type="dxa"/>
            <w:vMerge w:val="continue"/>
            <w:tcBorders>
              <w:left w:val="single" w:color="000000" w:sz="6" w:space="0"/>
            </w:tcBorders>
            <w:vAlign w:val="center"/>
          </w:tcPr>
          <w:p>
            <w:pPr>
              <w:pStyle w:val="25"/>
              <w:rPr>
                <w:sz w:val="21"/>
                <w:szCs w:val="21"/>
                <w:lang w:val="en-US"/>
              </w:rPr>
            </w:pPr>
          </w:p>
        </w:tc>
        <w:tc>
          <w:tcPr>
            <w:tcW w:w="992" w:type="dxa"/>
            <w:vMerge w:val="continue"/>
            <w:vAlign w:val="center"/>
          </w:tcPr>
          <w:p>
            <w:pPr>
              <w:pStyle w:val="25"/>
              <w:rPr>
                <w:sz w:val="21"/>
                <w:szCs w:val="21"/>
                <w:lang w:val="en-US"/>
              </w:rPr>
            </w:pPr>
          </w:p>
        </w:tc>
        <w:tc>
          <w:tcPr>
            <w:tcW w:w="5106" w:type="dxa"/>
            <w:vAlign w:val="center"/>
          </w:tcPr>
          <w:p>
            <w:pPr>
              <w:pStyle w:val="25"/>
              <w:ind w:firstLine="8" w:firstLineChars="4"/>
              <w:jc w:val="left"/>
              <w:rPr>
                <w:sz w:val="21"/>
                <w:szCs w:val="21"/>
                <w:lang w:val="en-US"/>
              </w:rPr>
            </w:pPr>
            <w:r>
              <w:rPr>
                <w:rFonts w:hint="eastAsia"/>
                <w:sz w:val="21"/>
                <w:szCs w:val="21"/>
                <w:lang w:val="en-US"/>
              </w:rPr>
              <w:t>项目经理更换至少提前20天、其他人员更换至少提前7天告知采购人。</w:t>
            </w:r>
          </w:p>
        </w:tc>
        <w:tc>
          <w:tcPr>
            <w:tcW w:w="709" w:type="dxa"/>
            <w:vAlign w:val="center"/>
          </w:tcPr>
          <w:p>
            <w:pPr>
              <w:pStyle w:val="25"/>
              <w:rPr>
                <w:sz w:val="21"/>
                <w:szCs w:val="21"/>
                <w:lang w:val="en-US"/>
              </w:rPr>
            </w:pPr>
            <w:r>
              <w:rPr>
                <w:rFonts w:hint="eastAsia"/>
                <w:sz w:val="21"/>
                <w:szCs w:val="21"/>
                <w:lang w:val="en-US"/>
              </w:rPr>
              <w:t>2</w:t>
            </w:r>
          </w:p>
        </w:tc>
        <w:tc>
          <w:tcPr>
            <w:tcW w:w="735" w:type="dxa"/>
            <w:vAlign w:val="center"/>
          </w:tcPr>
          <w:p>
            <w:pPr>
              <w:pStyle w:val="25"/>
              <w:rPr>
                <w:sz w:val="21"/>
                <w:szCs w:val="21"/>
                <w:lang w:val="en-US"/>
              </w:rPr>
            </w:pPr>
          </w:p>
        </w:tc>
        <w:tc>
          <w:tcPr>
            <w:tcW w:w="971" w:type="dxa"/>
            <w:vMerge w:val="continue"/>
            <w:tcBorders>
              <w:right w:val="single" w:color="000000" w:sz="6" w:space="0"/>
            </w:tcBorders>
            <w:vAlign w:val="center"/>
          </w:tcPr>
          <w:p>
            <w:pPr>
              <w:pStyle w:val="25"/>
              <w:ind w:firstLine="0"/>
              <w:rPr>
                <w:rFonts w:asciiTheme="minorEastAsia" w:hAnsiTheme="minorEastAsia" w:eastAsiaTheme="minorEastAsia" w:cstheme="minorEastAsia"/>
                <w:kern w:val="0"/>
                <w:sz w:val="21"/>
                <w:szCs w:val="21"/>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blHeader/>
          <w:jc w:val="center"/>
        </w:trPr>
        <w:tc>
          <w:tcPr>
            <w:tcW w:w="567" w:type="dxa"/>
            <w:vMerge w:val="restart"/>
            <w:tcBorders>
              <w:left w:val="single" w:color="000000" w:sz="6" w:space="0"/>
            </w:tcBorders>
            <w:vAlign w:val="center"/>
          </w:tcPr>
          <w:p>
            <w:pPr>
              <w:pStyle w:val="25"/>
              <w:ind w:firstLine="210" w:firstLineChars="100"/>
              <w:rPr>
                <w:sz w:val="21"/>
                <w:szCs w:val="21"/>
                <w:lang w:val="en-US"/>
              </w:rPr>
            </w:pPr>
            <w:r>
              <w:rPr>
                <w:rFonts w:hint="eastAsia"/>
                <w:sz w:val="21"/>
                <w:szCs w:val="21"/>
                <w:lang w:val="en-US"/>
              </w:rPr>
              <w:t>2</w:t>
            </w:r>
          </w:p>
        </w:tc>
        <w:tc>
          <w:tcPr>
            <w:tcW w:w="992" w:type="dxa"/>
            <w:vMerge w:val="restart"/>
            <w:vAlign w:val="center"/>
          </w:tcPr>
          <w:p>
            <w:pPr>
              <w:pStyle w:val="25"/>
              <w:ind w:firstLine="0"/>
              <w:jc w:val="center"/>
              <w:rPr>
                <w:sz w:val="21"/>
                <w:szCs w:val="21"/>
                <w:lang w:val="en-US"/>
              </w:rPr>
            </w:pPr>
            <w:r>
              <w:rPr>
                <w:rFonts w:hint="eastAsia"/>
                <w:sz w:val="21"/>
                <w:szCs w:val="21"/>
                <w:lang w:val="en-US"/>
              </w:rPr>
              <w:t>制度履约</w:t>
            </w:r>
          </w:p>
        </w:tc>
        <w:tc>
          <w:tcPr>
            <w:tcW w:w="5106" w:type="dxa"/>
            <w:vAlign w:val="center"/>
          </w:tcPr>
          <w:p>
            <w:pPr>
              <w:pStyle w:val="25"/>
              <w:ind w:firstLine="8" w:firstLineChars="4"/>
              <w:jc w:val="left"/>
              <w:rPr>
                <w:sz w:val="21"/>
                <w:szCs w:val="21"/>
                <w:lang w:val="en-US"/>
              </w:rPr>
            </w:pPr>
            <w:r>
              <w:rPr>
                <w:rFonts w:hint="eastAsia"/>
                <w:sz w:val="21"/>
                <w:szCs w:val="21"/>
                <w:lang w:val="en-US"/>
              </w:rPr>
              <w:t>健全的管理流程、管理机制，运作规范。</w:t>
            </w:r>
          </w:p>
        </w:tc>
        <w:tc>
          <w:tcPr>
            <w:tcW w:w="709" w:type="dxa"/>
            <w:vAlign w:val="center"/>
          </w:tcPr>
          <w:p>
            <w:pPr>
              <w:pStyle w:val="25"/>
              <w:rPr>
                <w:sz w:val="21"/>
                <w:szCs w:val="21"/>
                <w:lang w:val="en-US"/>
              </w:rPr>
            </w:pPr>
            <w:r>
              <w:rPr>
                <w:rFonts w:hint="eastAsia"/>
                <w:sz w:val="21"/>
                <w:szCs w:val="21"/>
                <w:lang w:val="en-US"/>
              </w:rPr>
              <w:t>3</w:t>
            </w:r>
          </w:p>
        </w:tc>
        <w:tc>
          <w:tcPr>
            <w:tcW w:w="735" w:type="dxa"/>
            <w:vAlign w:val="center"/>
          </w:tcPr>
          <w:p>
            <w:pPr>
              <w:pStyle w:val="25"/>
              <w:rPr>
                <w:sz w:val="21"/>
                <w:szCs w:val="21"/>
                <w:lang w:val="en-US"/>
              </w:rPr>
            </w:pPr>
          </w:p>
        </w:tc>
        <w:tc>
          <w:tcPr>
            <w:tcW w:w="971" w:type="dxa"/>
            <w:vMerge w:val="restart"/>
            <w:tcBorders>
              <w:right w:val="single" w:color="000000" w:sz="6" w:space="0"/>
            </w:tcBorders>
            <w:vAlign w:val="center"/>
          </w:tcPr>
          <w:p>
            <w:pPr>
              <w:pStyle w:val="25"/>
              <w:ind w:firstLine="0"/>
              <w:rPr>
                <w:rFonts w:asciiTheme="minorEastAsia" w:hAnsiTheme="minorEastAsia" w:eastAsiaTheme="minorEastAsia" w:cstheme="minorEastAsia"/>
                <w:kern w:val="0"/>
                <w:sz w:val="21"/>
                <w:szCs w:val="21"/>
                <w:lang w:val="en-US"/>
              </w:rPr>
            </w:pPr>
            <w:r>
              <w:rPr>
                <w:rFonts w:hint="eastAsia" w:asciiTheme="minorEastAsia" w:hAnsiTheme="minorEastAsia" w:eastAsiaTheme="minorEastAsia" w:cstheme="minorEastAsia"/>
                <w:kern w:val="0"/>
                <w:sz w:val="21"/>
                <w:szCs w:val="21"/>
                <w:lang w:val="en-US"/>
              </w:rPr>
              <w:t>完全符合得满分，部分符合相应递减，不符合得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blHeader/>
          <w:jc w:val="center"/>
        </w:trPr>
        <w:tc>
          <w:tcPr>
            <w:tcW w:w="567" w:type="dxa"/>
            <w:vMerge w:val="continue"/>
            <w:tcBorders>
              <w:left w:val="single" w:color="000000" w:sz="6" w:space="0"/>
            </w:tcBorders>
            <w:vAlign w:val="center"/>
          </w:tcPr>
          <w:p>
            <w:pPr>
              <w:pStyle w:val="25"/>
              <w:rPr>
                <w:sz w:val="21"/>
                <w:szCs w:val="21"/>
                <w:lang w:val="en-US"/>
              </w:rPr>
            </w:pPr>
          </w:p>
        </w:tc>
        <w:tc>
          <w:tcPr>
            <w:tcW w:w="992" w:type="dxa"/>
            <w:vMerge w:val="continue"/>
            <w:vAlign w:val="center"/>
          </w:tcPr>
          <w:p>
            <w:pPr>
              <w:pStyle w:val="25"/>
              <w:rPr>
                <w:sz w:val="21"/>
                <w:szCs w:val="21"/>
                <w:lang w:val="en-US"/>
              </w:rPr>
            </w:pPr>
          </w:p>
        </w:tc>
        <w:tc>
          <w:tcPr>
            <w:tcW w:w="5106" w:type="dxa"/>
            <w:vAlign w:val="center"/>
          </w:tcPr>
          <w:p>
            <w:pPr>
              <w:pStyle w:val="25"/>
              <w:ind w:firstLine="8" w:firstLineChars="4"/>
              <w:jc w:val="left"/>
              <w:rPr>
                <w:sz w:val="21"/>
                <w:szCs w:val="21"/>
                <w:lang w:val="en-US"/>
              </w:rPr>
            </w:pPr>
            <w:r>
              <w:rPr>
                <w:rFonts w:hint="eastAsia"/>
                <w:sz w:val="21"/>
                <w:szCs w:val="21"/>
                <w:lang w:val="en-US"/>
              </w:rPr>
              <w:t>健全的物业管理制度，遵守并执行。</w:t>
            </w:r>
          </w:p>
        </w:tc>
        <w:tc>
          <w:tcPr>
            <w:tcW w:w="709" w:type="dxa"/>
            <w:vAlign w:val="center"/>
          </w:tcPr>
          <w:p>
            <w:pPr>
              <w:pStyle w:val="25"/>
              <w:rPr>
                <w:sz w:val="21"/>
                <w:szCs w:val="21"/>
                <w:lang w:val="en-US"/>
              </w:rPr>
            </w:pPr>
            <w:r>
              <w:rPr>
                <w:rFonts w:hint="eastAsia"/>
                <w:sz w:val="21"/>
                <w:szCs w:val="21"/>
                <w:lang w:val="en-US"/>
              </w:rPr>
              <w:t>3</w:t>
            </w:r>
          </w:p>
        </w:tc>
        <w:tc>
          <w:tcPr>
            <w:tcW w:w="735" w:type="dxa"/>
            <w:vAlign w:val="center"/>
          </w:tcPr>
          <w:p>
            <w:pPr>
              <w:pStyle w:val="25"/>
              <w:rPr>
                <w:sz w:val="21"/>
                <w:szCs w:val="21"/>
                <w:lang w:val="en-US"/>
              </w:rPr>
            </w:pPr>
          </w:p>
        </w:tc>
        <w:tc>
          <w:tcPr>
            <w:tcW w:w="971" w:type="dxa"/>
            <w:vMerge w:val="continue"/>
            <w:tcBorders>
              <w:right w:val="single" w:color="000000" w:sz="6" w:space="0"/>
            </w:tcBorders>
            <w:vAlign w:val="center"/>
          </w:tcPr>
          <w:p>
            <w:pPr>
              <w:pStyle w:val="25"/>
              <w:ind w:firstLine="0"/>
              <w:rPr>
                <w:sz w:val="21"/>
                <w:szCs w:val="21"/>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blHeader/>
          <w:jc w:val="center"/>
        </w:trPr>
        <w:tc>
          <w:tcPr>
            <w:tcW w:w="567" w:type="dxa"/>
            <w:vMerge w:val="restart"/>
            <w:vAlign w:val="center"/>
          </w:tcPr>
          <w:p>
            <w:pPr>
              <w:pStyle w:val="25"/>
              <w:rPr>
                <w:sz w:val="21"/>
                <w:szCs w:val="21"/>
                <w:lang w:val="en-US"/>
              </w:rPr>
            </w:pPr>
          </w:p>
          <w:p>
            <w:pPr>
              <w:pStyle w:val="25"/>
              <w:rPr>
                <w:sz w:val="21"/>
                <w:szCs w:val="21"/>
                <w:lang w:val="en-US"/>
              </w:rPr>
            </w:pPr>
          </w:p>
          <w:p>
            <w:pPr>
              <w:pStyle w:val="25"/>
              <w:ind w:firstLine="210" w:firstLineChars="100"/>
              <w:rPr>
                <w:sz w:val="21"/>
                <w:szCs w:val="21"/>
                <w:lang w:val="en-US"/>
              </w:rPr>
            </w:pPr>
            <w:r>
              <w:rPr>
                <w:rFonts w:hint="eastAsia"/>
                <w:sz w:val="21"/>
                <w:szCs w:val="21"/>
                <w:lang w:val="en-US"/>
              </w:rPr>
              <w:t>3</w:t>
            </w:r>
          </w:p>
        </w:tc>
        <w:tc>
          <w:tcPr>
            <w:tcW w:w="992" w:type="dxa"/>
            <w:vMerge w:val="restart"/>
            <w:vAlign w:val="center"/>
          </w:tcPr>
          <w:p>
            <w:pPr>
              <w:pStyle w:val="25"/>
              <w:rPr>
                <w:sz w:val="21"/>
                <w:szCs w:val="21"/>
                <w:lang w:val="en-US"/>
              </w:rPr>
            </w:pPr>
          </w:p>
          <w:p>
            <w:pPr>
              <w:pStyle w:val="25"/>
              <w:ind w:firstLine="0"/>
              <w:jc w:val="center"/>
              <w:rPr>
                <w:sz w:val="21"/>
                <w:szCs w:val="21"/>
                <w:lang w:val="en-US"/>
              </w:rPr>
            </w:pPr>
            <w:r>
              <w:rPr>
                <w:rFonts w:hint="eastAsia"/>
                <w:sz w:val="21"/>
                <w:szCs w:val="21"/>
                <w:lang w:val="en-US"/>
              </w:rPr>
              <w:t>清洁保洁</w:t>
            </w:r>
          </w:p>
        </w:tc>
        <w:tc>
          <w:tcPr>
            <w:tcW w:w="5106" w:type="dxa"/>
            <w:vAlign w:val="center"/>
          </w:tcPr>
          <w:p>
            <w:pPr>
              <w:pStyle w:val="25"/>
              <w:ind w:firstLine="8" w:firstLineChars="4"/>
              <w:jc w:val="left"/>
              <w:rPr>
                <w:sz w:val="21"/>
                <w:szCs w:val="21"/>
                <w:lang w:val="en-US"/>
              </w:rPr>
            </w:pPr>
            <w:r>
              <w:rPr>
                <w:rFonts w:hint="eastAsia"/>
                <w:sz w:val="21"/>
                <w:szCs w:val="21"/>
                <w:lang w:val="en-US"/>
              </w:rPr>
              <w:t>室内公共区域的地面、墙面、楼梯、扶手、大厅、玻 璃、门及门窗框、天花板、栏杆、走廊等整洁干净，无垃圾、无积灰、无污渍、无手印。</w:t>
            </w:r>
          </w:p>
        </w:tc>
        <w:tc>
          <w:tcPr>
            <w:tcW w:w="709" w:type="dxa"/>
            <w:vAlign w:val="center"/>
          </w:tcPr>
          <w:p>
            <w:pPr>
              <w:pStyle w:val="25"/>
              <w:rPr>
                <w:sz w:val="21"/>
                <w:szCs w:val="21"/>
                <w:lang w:val="en-US"/>
              </w:rPr>
            </w:pPr>
            <w:r>
              <w:rPr>
                <w:rFonts w:hint="eastAsia"/>
                <w:sz w:val="21"/>
                <w:szCs w:val="21"/>
                <w:lang w:val="en-US"/>
              </w:rPr>
              <w:t>5</w:t>
            </w:r>
          </w:p>
        </w:tc>
        <w:tc>
          <w:tcPr>
            <w:tcW w:w="735" w:type="dxa"/>
            <w:vAlign w:val="center"/>
          </w:tcPr>
          <w:p>
            <w:pPr>
              <w:pStyle w:val="25"/>
              <w:rPr>
                <w:sz w:val="21"/>
                <w:szCs w:val="21"/>
                <w:lang w:val="en-US"/>
              </w:rPr>
            </w:pPr>
          </w:p>
        </w:tc>
        <w:tc>
          <w:tcPr>
            <w:tcW w:w="971" w:type="dxa"/>
            <w:vMerge w:val="restart"/>
            <w:vAlign w:val="center"/>
          </w:tcPr>
          <w:p>
            <w:pPr>
              <w:pStyle w:val="25"/>
              <w:ind w:firstLine="0"/>
              <w:rPr>
                <w:sz w:val="21"/>
                <w:szCs w:val="21"/>
                <w:lang w:val="en-US"/>
              </w:rPr>
            </w:pPr>
          </w:p>
          <w:p>
            <w:pPr>
              <w:pStyle w:val="25"/>
              <w:ind w:firstLine="0"/>
              <w:rPr>
                <w:sz w:val="21"/>
                <w:szCs w:val="21"/>
                <w:lang w:val="en-US"/>
              </w:rPr>
            </w:pPr>
            <w:r>
              <w:rPr>
                <w:rFonts w:hint="eastAsia"/>
                <w:sz w:val="21"/>
                <w:szCs w:val="21"/>
                <w:lang w:val="en-US"/>
              </w:rPr>
              <w:t>完全符合得满分，部分符合相应递减，不符合得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blHeader/>
          <w:jc w:val="center"/>
        </w:trPr>
        <w:tc>
          <w:tcPr>
            <w:tcW w:w="567" w:type="dxa"/>
            <w:vMerge w:val="continue"/>
            <w:vAlign w:val="center"/>
          </w:tcPr>
          <w:p>
            <w:pPr>
              <w:pStyle w:val="25"/>
              <w:rPr>
                <w:sz w:val="21"/>
                <w:szCs w:val="21"/>
                <w:lang w:val="en-US"/>
              </w:rPr>
            </w:pPr>
          </w:p>
        </w:tc>
        <w:tc>
          <w:tcPr>
            <w:tcW w:w="992" w:type="dxa"/>
            <w:vMerge w:val="continue"/>
            <w:vAlign w:val="center"/>
          </w:tcPr>
          <w:p>
            <w:pPr>
              <w:pStyle w:val="25"/>
              <w:rPr>
                <w:sz w:val="21"/>
                <w:szCs w:val="21"/>
                <w:lang w:val="en-US"/>
              </w:rPr>
            </w:pPr>
          </w:p>
        </w:tc>
        <w:tc>
          <w:tcPr>
            <w:tcW w:w="5106" w:type="dxa"/>
            <w:vAlign w:val="center"/>
          </w:tcPr>
          <w:p>
            <w:pPr>
              <w:pStyle w:val="25"/>
              <w:ind w:firstLine="8" w:firstLineChars="4"/>
              <w:jc w:val="left"/>
              <w:rPr>
                <w:sz w:val="21"/>
                <w:szCs w:val="21"/>
                <w:lang w:val="en-US"/>
              </w:rPr>
            </w:pPr>
            <w:r>
              <w:rPr>
                <w:rFonts w:hint="eastAsia"/>
                <w:sz w:val="21"/>
                <w:szCs w:val="21"/>
                <w:lang w:val="en-US"/>
              </w:rPr>
              <w:t>室内卫生间、开水间清洁，无垃圾、无污渍、无积水、 无异味、无堆积杂物，洁具、台面、镜面光洁无水迹，电器设施外观清洁，物品摆放有序。</w:t>
            </w:r>
          </w:p>
        </w:tc>
        <w:tc>
          <w:tcPr>
            <w:tcW w:w="709" w:type="dxa"/>
            <w:vAlign w:val="center"/>
          </w:tcPr>
          <w:p>
            <w:pPr>
              <w:pStyle w:val="25"/>
              <w:rPr>
                <w:sz w:val="21"/>
                <w:szCs w:val="21"/>
                <w:lang w:val="en-US"/>
              </w:rPr>
            </w:pPr>
            <w:r>
              <w:rPr>
                <w:rFonts w:hint="eastAsia"/>
                <w:sz w:val="21"/>
                <w:szCs w:val="21"/>
                <w:lang w:val="en-US"/>
              </w:rPr>
              <w:t>5</w:t>
            </w:r>
          </w:p>
        </w:tc>
        <w:tc>
          <w:tcPr>
            <w:tcW w:w="735" w:type="dxa"/>
            <w:vAlign w:val="center"/>
          </w:tcPr>
          <w:p>
            <w:pPr>
              <w:pStyle w:val="25"/>
              <w:rPr>
                <w:sz w:val="21"/>
                <w:szCs w:val="21"/>
                <w:lang w:val="en-US"/>
              </w:rPr>
            </w:pPr>
          </w:p>
        </w:tc>
        <w:tc>
          <w:tcPr>
            <w:tcW w:w="971" w:type="dxa"/>
            <w:vMerge w:val="continue"/>
            <w:vAlign w:val="center"/>
          </w:tcPr>
          <w:p>
            <w:pPr>
              <w:pStyle w:val="25"/>
              <w:ind w:firstLine="0"/>
              <w:rPr>
                <w:sz w:val="21"/>
                <w:szCs w:val="21"/>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blHeader/>
          <w:jc w:val="center"/>
        </w:trPr>
        <w:tc>
          <w:tcPr>
            <w:tcW w:w="567" w:type="dxa"/>
            <w:vMerge w:val="continue"/>
            <w:vAlign w:val="center"/>
          </w:tcPr>
          <w:p>
            <w:pPr>
              <w:pStyle w:val="25"/>
              <w:rPr>
                <w:sz w:val="21"/>
                <w:szCs w:val="21"/>
                <w:lang w:val="en-US"/>
              </w:rPr>
            </w:pPr>
          </w:p>
        </w:tc>
        <w:tc>
          <w:tcPr>
            <w:tcW w:w="992" w:type="dxa"/>
            <w:vMerge w:val="continue"/>
            <w:vAlign w:val="center"/>
          </w:tcPr>
          <w:p>
            <w:pPr>
              <w:pStyle w:val="25"/>
              <w:rPr>
                <w:sz w:val="21"/>
                <w:szCs w:val="21"/>
                <w:lang w:val="en-US"/>
              </w:rPr>
            </w:pPr>
          </w:p>
        </w:tc>
        <w:tc>
          <w:tcPr>
            <w:tcW w:w="5106" w:type="dxa"/>
            <w:vAlign w:val="center"/>
          </w:tcPr>
          <w:p>
            <w:pPr>
              <w:pStyle w:val="25"/>
              <w:ind w:firstLine="8" w:firstLineChars="4"/>
              <w:jc w:val="left"/>
              <w:rPr>
                <w:sz w:val="21"/>
                <w:szCs w:val="21"/>
                <w:lang w:val="en-US"/>
              </w:rPr>
            </w:pPr>
            <w:r>
              <w:rPr>
                <w:rFonts w:hint="eastAsia"/>
                <w:sz w:val="21"/>
                <w:szCs w:val="21"/>
                <w:lang w:val="en-US"/>
              </w:rPr>
              <w:t>道路、停车区、台阶地面干净，无杂物、无积水、无淤泥、无污垢。</w:t>
            </w:r>
          </w:p>
        </w:tc>
        <w:tc>
          <w:tcPr>
            <w:tcW w:w="709" w:type="dxa"/>
            <w:vAlign w:val="center"/>
          </w:tcPr>
          <w:p>
            <w:pPr>
              <w:pStyle w:val="25"/>
              <w:rPr>
                <w:sz w:val="21"/>
                <w:szCs w:val="21"/>
                <w:lang w:val="en-US"/>
              </w:rPr>
            </w:pPr>
            <w:r>
              <w:rPr>
                <w:rFonts w:hint="eastAsia"/>
                <w:sz w:val="21"/>
                <w:szCs w:val="21"/>
                <w:lang w:val="en-US"/>
              </w:rPr>
              <w:t>4</w:t>
            </w:r>
          </w:p>
        </w:tc>
        <w:tc>
          <w:tcPr>
            <w:tcW w:w="735" w:type="dxa"/>
            <w:vAlign w:val="center"/>
          </w:tcPr>
          <w:p>
            <w:pPr>
              <w:pStyle w:val="25"/>
              <w:rPr>
                <w:sz w:val="21"/>
                <w:szCs w:val="21"/>
                <w:lang w:val="en-US"/>
              </w:rPr>
            </w:pPr>
          </w:p>
        </w:tc>
        <w:tc>
          <w:tcPr>
            <w:tcW w:w="971" w:type="dxa"/>
            <w:vMerge w:val="restart"/>
            <w:vAlign w:val="center"/>
          </w:tcPr>
          <w:p>
            <w:pPr>
              <w:pStyle w:val="25"/>
              <w:ind w:firstLine="0"/>
              <w:rPr>
                <w:sz w:val="21"/>
                <w:szCs w:val="21"/>
                <w:lang w:val="en-US"/>
              </w:rPr>
            </w:pPr>
            <w:r>
              <w:rPr>
                <w:sz w:val="21"/>
                <w:szCs w:val="21"/>
                <w:lang w:val="en-US"/>
              </w:rPr>
              <w:pict>
                <v:rect id="_x0000_s1035" o:spid="_x0000_s1035" o:spt="1" style="position:absolute;left:0pt;margin-left:794.9pt;margin-top:0pt;height:232.05pt;width:0.5pt;mso-position-horizontal-relative:page;mso-position-vertical-relative:page;z-index:251685888;mso-width-relative:page;mso-height-relative:page;" fillcolor="#000000" filled="t" stroked="f" coordsize="21600,21600" o:gfxdata="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BYb5rXAAAACgEAAA8AAAAAAAAAAQAgAAAAIgAAAGRycy9kb3du&#10;cmV2LnhtbFBLAQIUABQAAAAIAIdO4kBzHtkGxwEAAJIDAAAOAAAAAAAAAAEAIAAAACYBAABkcnMv&#10;ZTJvRG9jLnhtbFBLBQYAAAAABgAGAFkBAABfBQAAAAA=&#10;">
                  <v:path/>
                  <v:fill on="t" focussize="0,0"/>
                  <v:stroke on="f"/>
                  <v:imagedata o:title=""/>
                  <o:lock v:ext="edit"/>
                </v:rect>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blHeader/>
          <w:jc w:val="center"/>
        </w:trPr>
        <w:tc>
          <w:tcPr>
            <w:tcW w:w="567" w:type="dxa"/>
            <w:vMerge w:val="continue"/>
            <w:vAlign w:val="center"/>
          </w:tcPr>
          <w:p>
            <w:pPr>
              <w:pStyle w:val="25"/>
              <w:rPr>
                <w:sz w:val="21"/>
                <w:szCs w:val="21"/>
                <w:lang w:val="en-US"/>
              </w:rPr>
            </w:pPr>
          </w:p>
        </w:tc>
        <w:tc>
          <w:tcPr>
            <w:tcW w:w="992" w:type="dxa"/>
            <w:vMerge w:val="continue"/>
            <w:vAlign w:val="center"/>
          </w:tcPr>
          <w:p>
            <w:pPr>
              <w:pStyle w:val="25"/>
              <w:rPr>
                <w:sz w:val="21"/>
                <w:szCs w:val="21"/>
                <w:lang w:val="en-US"/>
              </w:rPr>
            </w:pPr>
          </w:p>
        </w:tc>
        <w:tc>
          <w:tcPr>
            <w:tcW w:w="5106" w:type="dxa"/>
            <w:vAlign w:val="center"/>
          </w:tcPr>
          <w:p>
            <w:pPr>
              <w:pStyle w:val="25"/>
              <w:ind w:firstLine="8" w:firstLineChars="4"/>
              <w:jc w:val="left"/>
              <w:rPr>
                <w:sz w:val="21"/>
                <w:szCs w:val="21"/>
                <w:lang w:val="en-US"/>
              </w:rPr>
            </w:pPr>
            <w:r>
              <w:rPr>
                <w:rFonts w:hint="eastAsia"/>
                <w:sz w:val="21"/>
                <w:szCs w:val="21"/>
                <w:lang w:val="en-US"/>
              </w:rPr>
              <w:t>外墙应保持清洁，无明显污迹。</w:t>
            </w:r>
          </w:p>
        </w:tc>
        <w:tc>
          <w:tcPr>
            <w:tcW w:w="709" w:type="dxa"/>
            <w:vAlign w:val="center"/>
          </w:tcPr>
          <w:p>
            <w:pPr>
              <w:pStyle w:val="25"/>
              <w:rPr>
                <w:sz w:val="21"/>
                <w:szCs w:val="21"/>
                <w:lang w:val="en-US"/>
              </w:rPr>
            </w:pPr>
            <w:r>
              <w:rPr>
                <w:rFonts w:hint="eastAsia"/>
                <w:sz w:val="21"/>
                <w:szCs w:val="21"/>
                <w:lang w:val="en-US"/>
              </w:rPr>
              <w:t>2</w:t>
            </w:r>
          </w:p>
        </w:tc>
        <w:tc>
          <w:tcPr>
            <w:tcW w:w="735" w:type="dxa"/>
            <w:vAlign w:val="center"/>
          </w:tcPr>
          <w:p>
            <w:pPr>
              <w:pStyle w:val="25"/>
              <w:rPr>
                <w:sz w:val="21"/>
                <w:szCs w:val="21"/>
                <w:lang w:val="en-US"/>
              </w:rPr>
            </w:pPr>
          </w:p>
        </w:tc>
        <w:tc>
          <w:tcPr>
            <w:tcW w:w="971" w:type="dxa"/>
            <w:vMerge w:val="continue"/>
            <w:vAlign w:val="center"/>
          </w:tcPr>
          <w:p>
            <w:pPr>
              <w:pStyle w:val="25"/>
              <w:ind w:firstLine="0"/>
              <w:rPr>
                <w:sz w:val="21"/>
                <w:szCs w:val="21"/>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 w:hRule="atLeast"/>
          <w:tblHeader/>
          <w:jc w:val="center"/>
        </w:trPr>
        <w:tc>
          <w:tcPr>
            <w:tcW w:w="567" w:type="dxa"/>
            <w:vMerge w:val="continue"/>
            <w:vAlign w:val="center"/>
          </w:tcPr>
          <w:p>
            <w:pPr>
              <w:pStyle w:val="25"/>
              <w:rPr>
                <w:sz w:val="21"/>
                <w:szCs w:val="21"/>
                <w:lang w:val="en-US"/>
              </w:rPr>
            </w:pPr>
          </w:p>
        </w:tc>
        <w:tc>
          <w:tcPr>
            <w:tcW w:w="992" w:type="dxa"/>
            <w:vMerge w:val="continue"/>
            <w:vAlign w:val="center"/>
          </w:tcPr>
          <w:p>
            <w:pPr>
              <w:pStyle w:val="25"/>
              <w:rPr>
                <w:sz w:val="21"/>
                <w:szCs w:val="21"/>
                <w:lang w:val="en-US"/>
              </w:rPr>
            </w:pPr>
          </w:p>
        </w:tc>
        <w:tc>
          <w:tcPr>
            <w:tcW w:w="5106" w:type="dxa"/>
            <w:vAlign w:val="center"/>
          </w:tcPr>
          <w:p>
            <w:pPr>
              <w:pStyle w:val="25"/>
              <w:ind w:firstLine="8" w:firstLineChars="4"/>
              <w:jc w:val="left"/>
              <w:rPr>
                <w:sz w:val="21"/>
                <w:szCs w:val="21"/>
                <w:lang w:val="en-US"/>
              </w:rPr>
            </w:pPr>
            <w:r>
              <w:rPr>
                <w:rFonts w:hint="eastAsia"/>
                <w:sz w:val="21"/>
                <w:szCs w:val="21"/>
                <w:lang w:val="en-US"/>
              </w:rPr>
              <w:t>定期对照明灯设施设备、广告牌、宣传框等进行清洁，确保表面干净无污渍。</w:t>
            </w:r>
          </w:p>
        </w:tc>
        <w:tc>
          <w:tcPr>
            <w:tcW w:w="709" w:type="dxa"/>
            <w:vAlign w:val="center"/>
          </w:tcPr>
          <w:p>
            <w:pPr>
              <w:pStyle w:val="25"/>
              <w:rPr>
                <w:sz w:val="21"/>
                <w:szCs w:val="21"/>
                <w:lang w:val="en-US"/>
              </w:rPr>
            </w:pPr>
            <w:r>
              <w:rPr>
                <w:rFonts w:hint="eastAsia"/>
                <w:sz w:val="21"/>
                <w:szCs w:val="21"/>
                <w:lang w:val="en-US"/>
              </w:rPr>
              <w:t>4</w:t>
            </w:r>
          </w:p>
        </w:tc>
        <w:tc>
          <w:tcPr>
            <w:tcW w:w="735" w:type="dxa"/>
            <w:vAlign w:val="center"/>
          </w:tcPr>
          <w:p>
            <w:pPr>
              <w:pStyle w:val="25"/>
              <w:rPr>
                <w:sz w:val="21"/>
                <w:szCs w:val="21"/>
                <w:lang w:val="en-US"/>
              </w:rPr>
            </w:pPr>
          </w:p>
        </w:tc>
        <w:tc>
          <w:tcPr>
            <w:tcW w:w="971" w:type="dxa"/>
            <w:vMerge w:val="continue"/>
            <w:vAlign w:val="center"/>
          </w:tcPr>
          <w:p>
            <w:pPr>
              <w:pStyle w:val="25"/>
              <w:ind w:firstLine="0"/>
              <w:rPr>
                <w:sz w:val="21"/>
                <w:szCs w:val="21"/>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blHeader/>
          <w:jc w:val="center"/>
        </w:trPr>
        <w:tc>
          <w:tcPr>
            <w:tcW w:w="567" w:type="dxa"/>
            <w:vMerge w:val="continue"/>
            <w:vAlign w:val="center"/>
          </w:tcPr>
          <w:p>
            <w:pPr>
              <w:pStyle w:val="25"/>
              <w:rPr>
                <w:sz w:val="21"/>
                <w:szCs w:val="21"/>
                <w:lang w:val="en-US"/>
              </w:rPr>
            </w:pPr>
          </w:p>
        </w:tc>
        <w:tc>
          <w:tcPr>
            <w:tcW w:w="992" w:type="dxa"/>
            <w:vMerge w:val="continue"/>
            <w:vAlign w:val="center"/>
          </w:tcPr>
          <w:p>
            <w:pPr>
              <w:pStyle w:val="25"/>
              <w:rPr>
                <w:sz w:val="21"/>
                <w:szCs w:val="21"/>
                <w:lang w:val="en-US"/>
              </w:rPr>
            </w:pPr>
          </w:p>
        </w:tc>
        <w:tc>
          <w:tcPr>
            <w:tcW w:w="5106" w:type="dxa"/>
            <w:vAlign w:val="center"/>
          </w:tcPr>
          <w:p>
            <w:pPr>
              <w:pStyle w:val="25"/>
              <w:ind w:firstLine="8" w:firstLineChars="4"/>
              <w:jc w:val="left"/>
              <w:rPr>
                <w:sz w:val="21"/>
                <w:szCs w:val="21"/>
                <w:lang w:val="en-US"/>
              </w:rPr>
            </w:pPr>
            <w:r>
              <w:rPr>
                <w:rFonts w:hint="eastAsia"/>
                <w:sz w:val="21"/>
                <w:szCs w:val="21"/>
                <w:lang w:val="en-US"/>
              </w:rPr>
              <w:t>垃圾、废弃物、按分类要求及时收集、日产日清，化粪池及时清掏，垃圾箱(房)外侧表面清洁、内侧无残留物、无异味。</w:t>
            </w:r>
          </w:p>
        </w:tc>
        <w:tc>
          <w:tcPr>
            <w:tcW w:w="709" w:type="dxa"/>
            <w:vAlign w:val="center"/>
          </w:tcPr>
          <w:p>
            <w:pPr>
              <w:pStyle w:val="25"/>
              <w:rPr>
                <w:sz w:val="21"/>
                <w:szCs w:val="21"/>
                <w:lang w:val="en-US"/>
              </w:rPr>
            </w:pPr>
            <w:r>
              <w:rPr>
                <w:rFonts w:hint="eastAsia"/>
                <w:sz w:val="21"/>
                <w:szCs w:val="21"/>
                <w:lang w:val="en-US"/>
              </w:rPr>
              <w:t>4</w:t>
            </w:r>
          </w:p>
        </w:tc>
        <w:tc>
          <w:tcPr>
            <w:tcW w:w="735" w:type="dxa"/>
            <w:vAlign w:val="center"/>
          </w:tcPr>
          <w:p>
            <w:pPr>
              <w:pStyle w:val="25"/>
              <w:rPr>
                <w:sz w:val="21"/>
                <w:szCs w:val="21"/>
                <w:lang w:val="en-US"/>
              </w:rPr>
            </w:pPr>
          </w:p>
        </w:tc>
        <w:tc>
          <w:tcPr>
            <w:tcW w:w="971" w:type="dxa"/>
            <w:vMerge w:val="continue"/>
            <w:vAlign w:val="center"/>
          </w:tcPr>
          <w:p>
            <w:pPr>
              <w:pStyle w:val="25"/>
              <w:ind w:firstLine="0"/>
              <w:rPr>
                <w:sz w:val="21"/>
                <w:szCs w:val="21"/>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blHeader/>
          <w:jc w:val="center"/>
        </w:trPr>
        <w:tc>
          <w:tcPr>
            <w:tcW w:w="567" w:type="dxa"/>
            <w:vMerge w:val="continue"/>
            <w:vAlign w:val="center"/>
          </w:tcPr>
          <w:p>
            <w:pPr>
              <w:pStyle w:val="25"/>
              <w:rPr>
                <w:sz w:val="21"/>
                <w:szCs w:val="21"/>
                <w:lang w:val="en-US"/>
              </w:rPr>
            </w:pPr>
          </w:p>
        </w:tc>
        <w:tc>
          <w:tcPr>
            <w:tcW w:w="992" w:type="dxa"/>
            <w:vMerge w:val="continue"/>
            <w:vAlign w:val="center"/>
          </w:tcPr>
          <w:p>
            <w:pPr>
              <w:pStyle w:val="25"/>
              <w:rPr>
                <w:sz w:val="21"/>
                <w:szCs w:val="21"/>
                <w:lang w:val="en-US"/>
              </w:rPr>
            </w:pPr>
          </w:p>
        </w:tc>
        <w:tc>
          <w:tcPr>
            <w:tcW w:w="5106" w:type="dxa"/>
            <w:vAlign w:val="center"/>
          </w:tcPr>
          <w:p>
            <w:pPr>
              <w:pStyle w:val="25"/>
              <w:ind w:firstLine="8" w:firstLineChars="4"/>
              <w:jc w:val="left"/>
              <w:rPr>
                <w:sz w:val="21"/>
                <w:szCs w:val="21"/>
                <w:lang w:val="en-US"/>
              </w:rPr>
            </w:pPr>
            <w:r>
              <w:rPr>
                <w:rFonts w:hint="eastAsia"/>
                <w:sz w:val="21"/>
                <w:szCs w:val="21"/>
                <w:lang w:val="en-US"/>
              </w:rPr>
              <w:t>垃圾应按照可回收物、有害垃圾、易腐垃圾和其他垃圾进行分类。</w:t>
            </w:r>
          </w:p>
        </w:tc>
        <w:tc>
          <w:tcPr>
            <w:tcW w:w="709" w:type="dxa"/>
            <w:vAlign w:val="center"/>
          </w:tcPr>
          <w:p>
            <w:pPr>
              <w:pStyle w:val="25"/>
              <w:rPr>
                <w:sz w:val="21"/>
                <w:szCs w:val="21"/>
                <w:lang w:val="en-US"/>
              </w:rPr>
            </w:pPr>
            <w:r>
              <w:rPr>
                <w:rFonts w:hint="eastAsia"/>
                <w:sz w:val="21"/>
                <w:szCs w:val="21"/>
                <w:lang w:val="en-US"/>
              </w:rPr>
              <w:t>2</w:t>
            </w:r>
          </w:p>
        </w:tc>
        <w:tc>
          <w:tcPr>
            <w:tcW w:w="735" w:type="dxa"/>
            <w:vAlign w:val="center"/>
          </w:tcPr>
          <w:p>
            <w:pPr>
              <w:pStyle w:val="25"/>
              <w:rPr>
                <w:sz w:val="21"/>
                <w:szCs w:val="21"/>
                <w:lang w:val="en-US"/>
              </w:rPr>
            </w:pPr>
          </w:p>
        </w:tc>
        <w:tc>
          <w:tcPr>
            <w:tcW w:w="971" w:type="dxa"/>
            <w:vMerge w:val="continue"/>
            <w:vAlign w:val="center"/>
          </w:tcPr>
          <w:p>
            <w:pPr>
              <w:pStyle w:val="25"/>
              <w:ind w:firstLine="0"/>
              <w:rPr>
                <w:sz w:val="21"/>
                <w:szCs w:val="21"/>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8" w:hRule="atLeast"/>
          <w:tblHeader/>
          <w:jc w:val="center"/>
        </w:trPr>
        <w:tc>
          <w:tcPr>
            <w:tcW w:w="567" w:type="dxa"/>
            <w:vMerge w:val="restart"/>
            <w:vAlign w:val="center"/>
          </w:tcPr>
          <w:p>
            <w:pPr>
              <w:pStyle w:val="25"/>
              <w:ind w:firstLine="210" w:firstLineChars="100"/>
              <w:rPr>
                <w:sz w:val="21"/>
                <w:szCs w:val="21"/>
                <w:lang w:val="en-US"/>
              </w:rPr>
            </w:pPr>
            <w:r>
              <w:rPr>
                <w:rFonts w:hint="eastAsia"/>
                <w:sz w:val="21"/>
                <w:szCs w:val="21"/>
                <w:lang w:val="en-US"/>
              </w:rPr>
              <w:t>4</w:t>
            </w:r>
          </w:p>
        </w:tc>
        <w:tc>
          <w:tcPr>
            <w:tcW w:w="992" w:type="dxa"/>
            <w:vMerge w:val="restart"/>
            <w:vAlign w:val="center"/>
          </w:tcPr>
          <w:p>
            <w:pPr>
              <w:pStyle w:val="25"/>
              <w:ind w:firstLine="0"/>
              <w:jc w:val="center"/>
              <w:rPr>
                <w:sz w:val="21"/>
                <w:szCs w:val="21"/>
                <w:lang w:val="en-US"/>
              </w:rPr>
            </w:pPr>
            <w:r>
              <w:rPr>
                <w:rFonts w:hint="eastAsia"/>
                <w:sz w:val="21"/>
                <w:szCs w:val="21"/>
                <w:lang w:val="en-US"/>
              </w:rPr>
              <w:t>安保消控</w:t>
            </w:r>
          </w:p>
          <w:p>
            <w:pPr>
              <w:pStyle w:val="25"/>
              <w:ind w:firstLine="0"/>
              <w:jc w:val="center"/>
              <w:rPr>
                <w:sz w:val="21"/>
                <w:szCs w:val="21"/>
                <w:lang w:val="en-US"/>
              </w:rPr>
            </w:pPr>
            <w:r>
              <w:rPr>
                <w:rFonts w:hint="eastAsia"/>
                <w:sz w:val="21"/>
                <w:szCs w:val="21"/>
                <w:lang w:val="en-US"/>
              </w:rPr>
              <w:t>管理</w:t>
            </w:r>
          </w:p>
        </w:tc>
        <w:tc>
          <w:tcPr>
            <w:tcW w:w="5106" w:type="dxa"/>
            <w:vAlign w:val="center"/>
          </w:tcPr>
          <w:p>
            <w:pPr>
              <w:pStyle w:val="25"/>
              <w:ind w:firstLine="8" w:firstLineChars="4"/>
              <w:jc w:val="left"/>
              <w:rPr>
                <w:sz w:val="21"/>
                <w:szCs w:val="21"/>
                <w:lang w:val="en-US"/>
              </w:rPr>
            </w:pPr>
            <w:r>
              <w:rPr>
                <w:rFonts w:hint="eastAsia"/>
                <w:sz w:val="21"/>
                <w:szCs w:val="21"/>
                <w:lang w:val="en-US"/>
              </w:rPr>
              <w:t>公共秩序维护：</w:t>
            </w:r>
          </w:p>
          <w:p>
            <w:pPr>
              <w:pStyle w:val="25"/>
              <w:ind w:firstLine="8" w:firstLineChars="4"/>
              <w:jc w:val="left"/>
              <w:rPr>
                <w:sz w:val="21"/>
                <w:szCs w:val="21"/>
                <w:lang w:val="en-US"/>
              </w:rPr>
            </w:pPr>
            <w:r>
              <w:rPr>
                <w:rFonts w:hint="eastAsia"/>
                <w:sz w:val="21"/>
                <w:szCs w:val="21"/>
                <w:lang w:val="en-US"/>
              </w:rPr>
              <w:t>严格出入登记制度，发现问题及时上报处理，杜绝闲杂人员进入办公楼(区)。</w:t>
            </w:r>
          </w:p>
          <w:p>
            <w:pPr>
              <w:pStyle w:val="25"/>
              <w:ind w:firstLine="8" w:firstLineChars="4"/>
              <w:jc w:val="left"/>
              <w:rPr>
                <w:sz w:val="21"/>
                <w:szCs w:val="21"/>
                <w:lang w:val="en-US"/>
              </w:rPr>
            </w:pPr>
            <w:r>
              <w:rPr>
                <w:rFonts w:hint="eastAsia"/>
                <w:sz w:val="21"/>
                <w:szCs w:val="21"/>
                <w:lang w:val="en-US"/>
              </w:rPr>
              <w:t>物品进出实施分类管理，实行物品进出审验制度，杜绝可疑危险品进入。</w:t>
            </w:r>
          </w:p>
          <w:p>
            <w:pPr>
              <w:pStyle w:val="25"/>
              <w:ind w:firstLine="8" w:firstLineChars="4"/>
              <w:jc w:val="left"/>
              <w:rPr>
                <w:sz w:val="21"/>
                <w:szCs w:val="21"/>
                <w:lang w:val="en-US"/>
              </w:rPr>
            </w:pPr>
            <w:r>
              <w:rPr>
                <w:rFonts w:hint="eastAsia"/>
                <w:sz w:val="21"/>
                <w:szCs w:val="21"/>
                <w:lang w:val="en-US"/>
              </w:rPr>
              <w:t>及时引导机动车、非机动车停放至规定区域。停车区域无易燃、易爆物品存放。</w:t>
            </w:r>
          </w:p>
          <w:p>
            <w:pPr>
              <w:pStyle w:val="25"/>
              <w:ind w:firstLine="8" w:firstLineChars="4"/>
              <w:jc w:val="left"/>
              <w:rPr>
                <w:sz w:val="21"/>
                <w:szCs w:val="21"/>
                <w:lang w:val="en-US"/>
              </w:rPr>
            </w:pPr>
            <w:r>
              <w:rPr>
                <w:rFonts w:hint="eastAsia"/>
                <w:sz w:val="21"/>
                <w:szCs w:val="21"/>
                <w:lang w:val="en-US"/>
              </w:rPr>
              <w:t>消控、监控设施设备应保持24小时正常运行，保证出入口、内部重点区域的安全监控、录像及协助布警。监控室收到异常情况报警信号后，应及时报警，并派专人赶到现场进行前期处理。监控资料应至少保留30天。做好防盗、防火报警监控设备日常使用管理。</w:t>
            </w:r>
          </w:p>
          <w:p>
            <w:pPr>
              <w:pStyle w:val="25"/>
              <w:ind w:firstLine="8" w:firstLineChars="4"/>
              <w:jc w:val="left"/>
              <w:rPr>
                <w:sz w:val="21"/>
                <w:szCs w:val="21"/>
                <w:lang w:val="en-US"/>
              </w:rPr>
            </w:pPr>
            <w:r>
              <w:rPr>
                <w:rFonts w:hint="eastAsia"/>
                <w:sz w:val="21"/>
                <w:szCs w:val="21"/>
                <w:lang w:val="en-US"/>
              </w:rPr>
              <w:t>明确巡视工作职责，对大厅、设备机房、出入口等重要区域、部位进行重点巡视并做好相关记录，及时发现和处理各种安全和事故隐患。</w:t>
            </w:r>
          </w:p>
        </w:tc>
        <w:tc>
          <w:tcPr>
            <w:tcW w:w="709" w:type="dxa"/>
            <w:vAlign w:val="center"/>
          </w:tcPr>
          <w:p>
            <w:pPr>
              <w:pStyle w:val="25"/>
              <w:rPr>
                <w:sz w:val="21"/>
                <w:szCs w:val="21"/>
                <w:lang w:val="en-US"/>
              </w:rPr>
            </w:pPr>
            <w:r>
              <w:rPr>
                <w:rFonts w:hint="eastAsia"/>
                <w:sz w:val="21"/>
                <w:szCs w:val="21"/>
                <w:lang w:val="en-US"/>
              </w:rPr>
              <w:t>10</w:t>
            </w:r>
          </w:p>
        </w:tc>
        <w:tc>
          <w:tcPr>
            <w:tcW w:w="735" w:type="dxa"/>
            <w:vAlign w:val="center"/>
          </w:tcPr>
          <w:p>
            <w:pPr>
              <w:pStyle w:val="25"/>
              <w:rPr>
                <w:sz w:val="21"/>
                <w:szCs w:val="21"/>
                <w:lang w:val="en-US"/>
              </w:rPr>
            </w:pPr>
          </w:p>
        </w:tc>
        <w:tc>
          <w:tcPr>
            <w:tcW w:w="971" w:type="dxa"/>
            <w:vMerge w:val="restart"/>
            <w:vAlign w:val="center"/>
          </w:tcPr>
          <w:p>
            <w:pPr>
              <w:pStyle w:val="25"/>
              <w:ind w:firstLine="0"/>
              <w:rPr>
                <w:sz w:val="21"/>
                <w:szCs w:val="21"/>
                <w:lang w:val="en-US"/>
              </w:rPr>
            </w:pPr>
            <w:r>
              <w:rPr>
                <w:rFonts w:hint="eastAsia"/>
                <w:sz w:val="21"/>
                <w:szCs w:val="21"/>
                <w:lang w:val="en-US"/>
              </w:rPr>
              <w:t>完全符合得满分，部分符合相应递减， 不符合得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blHeader/>
          <w:jc w:val="center"/>
        </w:trPr>
        <w:tc>
          <w:tcPr>
            <w:tcW w:w="567" w:type="dxa"/>
            <w:vMerge w:val="continue"/>
            <w:vAlign w:val="center"/>
          </w:tcPr>
          <w:p>
            <w:pPr>
              <w:pStyle w:val="25"/>
              <w:rPr>
                <w:sz w:val="21"/>
                <w:szCs w:val="21"/>
                <w:lang w:val="en-US"/>
              </w:rPr>
            </w:pPr>
          </w:p>
        </w:tc>
        <w:tc>
          <w:tcPr>
            <w:tcW w:w="992" w:type="dxa"/>
            <w:vMerge w:val="continue"/>
            <w:vAlign w:val="center"/>
          </w:tcPr>
          <w:p>
            <w:pPr>
              <w:pStyle w:val="25"/>
              <w:rPr>
                <w:sz w:val="21"/>
                <w:szCs w:val="21"/>
                <w:lang w:val="en-US"/>
              </w:rPr>
            </w:pPr>
          </w:p>
        </w:tc>
        <w:tc>
          <w:tcPr>
            <w:tcW w:w="5106" w:type="dxa"/>
            <w:vAlign w:val="center"/>
          </w:tcPr>
          <w:p>
            <w:pPr>
              <w:pStyle w:val="25"/>
              <w:ind w:firstLine="8" w:firstLineChars="4"/>
              <w:jc w:val="left"/>
              <w:rPr>
                <w:sz w:val="21"/>
                <w:szCs w:val="21"/>
                <w:lang w:val="en-US"/>
              </w:rPr>
            </w:pPr>
            <w:r>
              <w:rPr>
                <w:rFonts w:hint="eastAsia"/>
                <w:sz w:val="21"/>
                <w:szCs w:val="21"/>
                <w:lang w:val="en-US"/>
              </w:rPr>
              <w:t>消控安全管理：</w:t>
            </w:r>
          </w:p>
          <w:p>
            <w:pPr>
              <w:pStyle w:val="25"/>
              <w:ind w:firstLine="8" w:firstLineChars="4"/>
              <w:jc w:val="left"/>
              <w:rPr>
                <w:sz w:val="21"/>
                <w:szCs w:val="21"/>
                <w:lang w:val="en-US"/>
              </w:rPr>
            </w:pPr>
            <w:r>
              <w:rPr>
                <w:rFonts w:hint="eastAsia"/>
                <w:sz w:val="21"/>
                <w:szCs w:val="21"/>
                <w:lang w:val="en-US"/>
              </w:rPr>
              <w:t>配备完善的消防设施和器材，加强消防安全监测，定期对消防设施进行巡查，确保运行正常。消防设施的维护管理及消防控制室应符合相关国标要求。</w:t>
            </w:r>
          </w:p>
          <w:p>
            <w:pPr>
              <w:pStyle w:val="25"/>
              <w:ind w:firstLine="8" w:firstLineChars="4"/>
              <w:jc w:val="left"/>
              <w:rPr>
                <w:sz w:val="21"/>
                <w:szCs w:val="21"/>
                <w:lang w:val="en-US"/>
              </w:rPr>
            </w:pPr>
            <w:r>
              <w:rPr>
                <w:rFonts w:hint="eastAsia"/>
                <w:sz w:val="21"/>
                <w:szCs w:val="21"/>
                <w:lang w:val="en-US"/>
              </w:rPr>
              <w:t>应在各楼层明显位置张贴平面疏散示意图、引路标志及控烟标志。</w:t>
            </w:r>
          </w:p>
          <w:p>
            <w:pPr>
              <w:pStyle w:val="25"/>
              <w:ind w:firstLine="8" w:firstLineChars="4"/>
              <w:jc w:val="left"/>
              <w:rPr>
                <w:sz w:val="21"/>
                <w:szCs w:val="21"/>
                <w:lang w:val="en-US"/>
              </w:rPr>
            </w:pPr>
            <w:r>
              <w:rPr>
                <w:rFonts w:hint="eastAsia"/>
                <w:sz w:val="21"/>
                <w:szCs w:val="21"/>
                <w:lang w:val="en-US"/>
              </w:rPr>
              <w:t>定期开展防火检查，保证疏散通道、安全出口、消防车道通畅。</w:t>
            </w:r>
          </w:p>
          <w:p>
            <w:pPr>
              <w:pStyle w:val="25"/>
              <w:ind w:firstLine="8" w:firstLineChars="4"/>
              <w:jc w:val="left"/>
              <w:rPr>
                <w:sz w:val="21"/>
                <w:szCs w:val="21"/>
                <w:lang w:val="en-US"/>
              </w:rPr>
            </w:pPr>
            <w:r>
              <w:rPr>
                <w:rFonts w:hint="eastAsia"/>
                <w:sz w:val="21"/>
                <w:szCs w:val="21"/>
                <w:lang w:val="en-US"/>
              </w:rPr>
              <w:t>每年至少组织1次消防安全培训及消防演练。</w:t>
            </w:r>
          </w:p>
        </w:tc>
        <w:tc>
          <w:tcPr>
            <w:tcW w:w="709" w:type="dxa"/>
            <w:vAlign w:val="center"/>
          </w:tcPr>
          <w:p>
            <w:pPr>
              <w:pStyle w:val="25"/>
              <w:rPr>
                <w:sz w:val="21"/>
                <w:szCs w:val="21"/>
                <w:lang w:val="en-US"/>
              </w:rPr>
            </w:pPr>
            <w:r>
              <w:rPr>
                <w:rFonts w:hint="eastAsia"/>
                <w:sz w:val="21"/>
                <w:szCs w:val="21"/>
                <w:lang w:val="en-US"/>
              </w:rPr>
              <w:t>8</w:t>
            </w:r>
          </w:p>
        </w:tc>
        <w:tc>
          <w:tcPr>
            <w:tcW w:w="735" w:type="dxa"/>
            <w:vAlign w:val="center"/>
          </w:tcPr>
          <w:p>
            <w:pPr>
              <w:pStyle w:val="25"/>
              <w:rPr>
                <w:sz w:val="21"/>
                <w:szCs w:val="21"/>
                <w:lang w:val="en-US"/>
              </w:rPr>
            </w:pPr>
          </w:p>
        </w:tc>
        <w:tc>
          <w:tcPr>
            <w:tcW w:w="971" w:type="dxa"/>
            <w:vMerge w:val="continue"/>
            <w:vAlign w:val="center"/>
          </w:tcPr>
          <w:p>
            <w:pPr>
              <w:pStyle w:val="25"/>
              <w:ind w:firstLine="0"/>
              <w:rPr>
                <w:sz w:val="21"/>
                <w:szCs w:val="21"/>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5" w:hRule="atLeast"/>
          <w:tblHeader/>
          <w:jc w:val="center"/>
        </w:trPr>
        <w:tc>
          <w:tcPr>
            <w:tcW w:w="567" w:type="dxa"/>
            <w:vMerge w:val="continue"/>
            <w:tcBorders>
              <w:bottom w:val="single" w:color="auto" w:sz="4" w:space="0"/>
            </w:tcBorders>
            <w:vAlign w:val="center"/>
          </w:tcPr>
          <w:p>
            <w:pPr>
              <w:pStyle w:val="25"/>
              <w:rPr>
                <w:sz w:val="21"/>
                <w:szCs w:val="21"/>
                <w:lang w:val="en-US"/>
              </w:rPr>
            </w:pPr>
          </w:p>
        </w:tc>
        <w:tc>
          <w:tcPr>
            <w:tcW w:w="992" w:type="dxa"/>
            <w:vMerge w:val="continue"/>
            <w:tcBorders>
              <w:bottom w:val="single" w:color="auto" w:sz="4" w:space="0"/>
            </w:tcBorders>
            <w:vAlign w:val="center"/>
          </w:tcPr>
          <w:p>
            <w:pPr>
              <w:pStyle w:val="25"/>
              <w:rPr>
                <w:sz w:val="21"/>
                <w:szCs w:val="21"/>
                <w:lang w:val="en-US"/>
              </w:rPr>
            </w:pPr>
          </w:p>
        </w:tc>
        <w:tc>
          <w:tcPr>
            <w:tcW w:w="5106" w:type="dxa"/>
            <w:tcBorders>
              <w:bottom w:val="single" w:color="auto" w:sz="4" w:space="0"/>
            </w:tcBorders>
            <w:vAlign w:val="center"/>
          </w:tcPr>
          <w:p>
            <w:pPr>
              <w:pStyle w:val="25"/>
              <w:ind w:firstLine="8" w:firstLineChars="4"/>
              <w:jc w:val="left"/>
              <w:rPr>
                <w:sz w:val="21"/>
                <w:szCs w:val="21"/>
                <w:lang w:val="en-US"/>
              </w:rPr>
            </w:pPr>
            <w:r>
              <w:rPr>
                <w:rFonts w:hint="eastAsia"/>
                <w:sz w:val="21"/>
                <w:szCs w:val="21"/>
                <w:lang w:val="en-US"/>
              </w:rPr>
              <w:t>突发事件处理</w:t>
            </w:r>
          </w:p>
          <w:p>
            <w:pPr>
              <w:pStyle w:val="25"/>
              <w:ind w:firstLine="8" w:firstLineChars="4"/>
              <w:jc w:val="left"/>
              <w:rPr>
                <w:sz w:val="21"/>
                <w:szCs w:val="21"/>
                <w:lang w:val="en-US"/>
              </w:rPr>
            </w:pPr>
            <w:r>
              <w:rPr>
                <w:rFonts w:hint="eastAsia"/>
                <w:sz w:val="21"/>
                <w:szCs w:val="21"/>
                <w:lang w:val="en-US"/>
              </w:rPr>
              <w:t>建立突发时间应急预案体系，包括但不限于电梯困人、紧急会议、火警火灾、突发停电、水管破裂、意外伤害、群体性上访、台风、暴雨及雷电等应急预案。</w:t>
            </w:r>
          </w:p>
          <w:p>
            <w:pPr>
              <w:pStyle w:val="25"/>
              <w:ind w:firstLine="8" w:firstLineChars="4"/>
              <w:jc w:val="left"/>
              <w:rPr>
                <w:sz w:val="21"/>
                <w:szCs w:val="21"/>
                <w:lang w:val="en-US"/>
              </w:rPr>
            </w:pPr>
            <w:r>
              <w:rPr>
                <w:rFonts w:hint="eastAsia"/>
                <w:sz w:val="21"/>
                <w:szCs w:val="21"/>
                <w:lang w:val="en-US"/>
              </w:rPr>
              <w:t>突发事件发生时应立即启动应急预案，迅速展开指挥协调、信息报告、紧急处置、秩序维护、抢险救援、后勤保障等工作，并在第一时间内向有关部门汇报处理结果。</w:t>
            </w:r>
          </w:p>
          <w:p>
            <w:pPr>
              <w:pStyle w:val="25"/>
              <w:ind w:firstLine="8" w:firstLineChars="4"/>
              <w:jc w:val="left"/>
              <w:rPr>
                <w:sz w:val="21"/>
                <w:szCs w:val="21"/>
                <w:lang w:val="en-US"/>
              </w:rPr>
            </w:pPr>
            <w:r>
              <w:rPr>
                <w:rFonts w:hint="eastAsia"/>
                <w:sz w:val="21"/>
                <w:szCs w:val="21"/>
                <w:lang w:val="en-US"/>
              </w:rPr>
              <w:t>每年至少组织1次突发事件应急演习。</w:t>
            </w:r>
          </w:p>
        </w:tc>
        <w:tc>
          <w:tcPr>
            <w:tcW w:w="709" w:type="dxa"/>
            <w:tcBorders>
              <w:bottom w:val="single" w:color="auto" w:sz="4" w:space="0"/>
            </w:tcBorders>
            <w:vAlign w:val="center"/>
          </w:tcPr>
          <w:p>
            <w:pPr>
              <w:pStyle w:val="25"/>
              <w:rPr>
                <w:sz w:val="21"/>
                <w:szCs w:val="21"/>
                <w:lang w:val="en-US"/>
              </w:rPr>
            </w:pPr>
            <w:r>
              <w:rPr>
                <w:rFonts w:hint="eastAsia"/>
                <w:sz w:val="21"/>
                <w:szCs w:val="21"/>
                <w:lang w:val="en-US"/>
              </w:rPr>
              <w:t>6</w:t>
            </w:r>
          </w:p>
        </w:tc>
        <w:tc>
          <w:tcPr>
            <w:tcW w:w="735" w:type="dxa"/>
            <w:tcBorders>
              <w:bottom w:val="single" w:color="auto" w:sz="4" w:space="0"/>
            </w:tcBorders>
            <w:vAlign w:val="center"/>
          </w:tcPr>
          <w:p>
            <w:pPr>
              <w:pStyle w:val="25"/>
              <w:rPr>
                <w:sz w:val="21"/>
                <w:szCs w:val="21"/>
                <w:lang w:val="en-US"/>
              </w:rPr>
            </w:pPr>
          </w:p>
        </w:tc>
        <w:tc>
          <w:tcPr>
            <w:tcW w:w="971" w:type="dxa"/>
            <w:vMerge w:val="continue"/>
            <w:vAlign w:val="center"/>
          </w:tcPr>
          <w:p>
            <w:pPr>
              <w:pStyle w:val="25"/>
              <w:ind w:firstLine="0"/>
              <w:rPr>
                <w:sz w:val="21"/>
                <w:szCs w:val="21"/>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blHeader/>
          <w:jc w:val="center"/>
        </w:trPr>
        <w:tc>
          <w:tcPr>
            <w:tcW w:w="567" w:type="dxa"/>
            <w:vMerge w:val="restart"/>
            <w:tcBorders>
              <w:top w:val="single" w:color="auto" w:sz="4" w:space="0"/>
              <w:left w:val="single" w:color="auto" w:sz="4" w:space="0"/>
              <w:bottom w:val="single" w:color="auto" w:sz="4" w:space="0"/>
              <w:right w:val="single" w:color="auto" w:sz="4" w:space="0"/>
            </w:tcBorders>
            <w:vAlign w:val="center"/>
          </w:tcPr>
          <w:p>
            <w:pPr>
              <w:pStyle w:val="25"/>
              <w:ind w:firstLine="210" w:firstLineChars="100"/>
              <w:rPr>
                <w:sz w:val="21"/>
                <w:szCs w:val="21"/>
                <w:lang w:val="en-US"/>
              </w:rPr>
            </w:pPr>
            <w:r>
              <w:rPr>
                <w:rFonts w:hint="eastAsia"/>
                <w:sz w:val="21"/>
                <w:szCs w:val="21"/>
                <w:lang w:val="en-US"/>
              </w:rPr>
              <w:t>5</w:t>
            </w:r>
          </w:p>
          <w:p>
            <w:pPr>
              <w:pStyle w:val="25"/>
              <w:rPr>
                <w:sz w:val="21"/>
                <w:szCs w:val="21"/>
                <w:lang w:val="en-US"/>
              </w:rPr>
            </w:pPr>
          </w:p>
          <w:p>
            <w:pPr>
              <w:pStyle w:val="25"/>
              <w:rPr>
                <w:sz w:val="21"/>
                <w:szCs w:val="21"/>
                <w:lang w:val="en-US"/>
              </w:rPr>
            </w:pPr>
          </w:p>
          <w:p>
            <w:pPr>
              <w:pStyle w:val="25"/>
              <w:rPr>
                <w:sz w:val="21"/>
                <w:szCs w:val="21"/>
                <w:lang w:val="en-US"/>
              </w:rPr>
            </w:pPr>
            <w:r>
              <w:rPr>
                <w:rFonts w:hint="eastAsia"/>
                <w:sz w:val="21"/>
                <w:szCs w:val="21"/>
                <w:lang w:val="en-US"/>
              </w:rPr>
              <w:t>5</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pStyle w:val="25"/>
              <w:rPr>
                <w:sz w:val="21"/>
                <w:szCs w:val="21"/>
                <w:lang w:val="en-US"/>
              </w:rPr>
            </w:pPr>
            <w:r>
              <w:rPr>
                <w:rFonts w:hint="eastAsia"/>
                <w:sz w:val="21"/>
                <w:szCs w:val="21"/>
                <w:lang w:val="en-US"/>
              </w:rPr>
              <w:t>绿化服务</w:t>
            </w:r>
          </w:p>
          <w:p>
            <w:pPr>
              <w:pStyle w:val="25"/>
              <w:rPr>
                <w:sz w:val="21"/>
                <w:szCs w:val="21"/>
                <w:lang w:val="en-US"/>
              </w:rPr>
            </w:pPr>
          </w:p>
          <w:p>
            <w:pPr>
              <w:pStyle w:val="25"/>
              <w:rPr>
                <w:sz w:val="21"/>
                <w:szCs w:val="21"/>
                <w:lang w:val="en-US"/>
              </w:rPr>
            </w:pPr>
          </w:p>
          <w:p>
            <w:pPr>
              <w:pStyle w:val="25"/>
              <w:ind w:firstLine="0"/>
              <w:jc w:val="center"/>
              <w:rPr>
                <w:sz w:val="21"/>
                <w:szCs w:val="21"/>
                <w:lang w:val="en-US"/>
              </w:rPr>
            </w:pPr>
            <w:r>
              <w:rPr>
                <w:rFonts w:hint="eastAsia"/>
                <w:sz w:val="21"/>
                <w:szCs w:val="21"/>
                <w:lang w:val="en-US"/>
              </w:rPr>
              <w:t>绿化养护</w:t>
            </w:r>
          </w:p>
        </w:tc>
        <w:tc>
          <w:tcPr>
            <w:tcW w:w="5106" w:type="dxa"/>
            <w:tcBorders>
              <w:top w:val="single" w:color="auto" w:sz="4" w:space="0"/>
              <w:left w:val="single" w:color="auto" w:sz="4" w:space="0"/>
              <w:bottom w:val="single" w:color="auto" w:sz="4" w:space="0"/>
              <w:right w:val="single" w:color="auto" w:sz="4" w:space="0"/>
            </w:tcBorders>
            <w:vAlign w:val="center"/>
          </w:tcPr>
          <w:p>
            <w:pPr>
              <w:pStyle w:val="25"/>
              <w:ind w:firstLine="8" w:firstLineChars="4"/>
              <w:jc w:val="left"/>
              <w:rPr>
                <w:sz w:val="21"/>
                <w:szCs w:val="21"/>
                <w:lang w:val="en-US"/>
              </w:rPr>
            </w:pPr>
            <w:r>
              <w:rPr>
                <w:rFonts w:hint="eastAsia"/>
                <w:sz w:val="21"/>
                <w:szCs w:val="21"/>
                <w:lang w:val="en-US"/>
              </w:rPr>
              <w:t>室内外绿化养护期内各类绿植应100%存活。</w:t>
            </w:r>
          </w:p>
        </w:tc>
        <w:tc>
          <w:tcPr>
            <w:tcW w:w="709" w:type="dxa"/>
            <w:tcBorders>
              <w:top w:val="single" w:color="auto" w:sz="4" w:space="0"/>
              <w:left w:val="single" w:color="auto" w:sz="4" w:space="0"/>
              <w:bottom w:val="single" w:color="auto" w:sz="4" w:space="0"/>
              <w:right w:val="single" w:color="auto" w:sz="4" w:space="0"/>
            </w:tcBorders>
            <w:vAlign w:val="center"/>
          </w:tcPr>
          <w:p>
            <w:pPr>
              <w:pStyle w:val="25"/>
              <w:rPr>
                <w:sz w:val="21"/>
                <w:szCs w:val="21"/>
                <w:lang w:val="en-US"/>
              </w:rPr>
            </w:pPr>
            <w:r>
              <w:rPr>
                <w:rFonts w:hint="eastAsia"/>
                <w:sz w:val="21"/>
                <w:szCs w:val="21"/>
                <w:lang w:val="en-US"/>
              </w:rPr>
              <w:t>2</w:t>
            </w:r>
          </w:p>
        </w:tc>
        <w:tc>
          <w:tcPr>
            <w:tcW w:w="735" w:type="dxa"/>
            <w:tcBorders>
              <w:top w:val="single" w:color="auto" w:sz="4" w:space="0"/>
              <w:left w:val="single" w:color="auto" w:sz="4" w:space="0"/>
              <w:bottom w:val="single" w:color="auto" w:sz="4" w:space="0"/>
              <w:right w:val="single" w:color="auto" w:sz="4" w:space="0"/>
            </w:tcBorders>
            <w:vAlign w:val="center"/>
          </w:tcPr>
          <w:p>
            <w:pPr>
              <w:pStyle w:val="25"/>
              <w:rPr>
                <w:sz w:val="21"/>
                <w:szCs w:val="21"/>
                <w:lang w:val="en-US"/>
              </w:rPr>
            </w:pPr>
          </w:p>
        </w:tc>
        <w:tc>
          <w:tcPr>
            <w:tcW w:w="971" w:type="dxa"/>
            <w:vMerge w:val="restart"/>
            <w:tcBorders>
              <w:left w:val="single" w:color="auto" w:sz="4" w:space="0"/>
              <w:right w:val="single" w:color="000000" w:sz="6" w:space="0"/>
            </w:tcBorders>
            <w:vAlign w:val="center"/>
          </w:tcPr>
          <w:p>
            <w:pPr>
              <w:pStyle w:val="25"/>
              <w:ind w:firstLine="0"/>
              <w:rPr>
                <w:sz w:val="21"/>
                <w:szCs w:val="21"/>
                <w:lang w:val="en-US"/>
              </w:rPr>
            </w:pPr>
          </w:p>
          <w:p>
            <w:pPr>
              <w:pStyle w:val="25"/>
              <w:ind w:firstLine="0"/>
              <w:rPr>
                <w:sz w:val="21"/>
                <w:szCs w:val="21"/>
                <w:lang w:val="en-US"/>
              </w:rPr>
            </w:pPr>
          </w:p>
          <w:p>
            <w:pPr>
              <w:pStyle w:val="25"/>
              <w:ind w:firstLine="0"/>
              <w:rPr>
                <w:sz w:val="21"/>
                <w:szCs w:val="21"/>
                <w:lang w:val="en-US"/>
              </w:rPr>
            </w:pPr>
            <w:r>
              <w:rPr>
                <w:rFonts w:hint="eastAsia"/>
                <w:sz w:val="21"/>
                <w:szCs w:val="21"/>
                <w:lang w:val="en-US"/>
              </w:rPr>
              <w:t>完全符合得满分，部分符合相应递减， 不符合得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blHeader/>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pStyle w:val="25"/>
              <w:rPr>
                <w:sz w:val="21"/>
                <w:szCs w:val="21"/>
                <w:lang w:val="en-US"/>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pStyle w:val="25"/>
              <w:rPr>
                <w:sz w:val="21"/>
                <w:szCs w:val="21"/>
                <w:lang w:val="en-US"/>
              </w:rPr>
            </w:pPr>
          </w:p>
        </w:tc>
        <w:tc>
          <w:tcPr>
            <w:tcW w:w="5106" w:type="dxa"/>
            <w:tcBorders>
              <w:top w:val="single" w:color="auto" w:sz="4" w:space="0"/>
              <w:left w:val="single" w:color="auto" w:sz="4" w:space="0"/>
              <w:bottom w:val="single" w:color="auto" w:sz="4" w:space="0"/>
              <w:right w:val="single" w:color="auto" w:sz="4" w:space="0"/>
            </w:tcBorders>
            <w:vAlign w:val="center"/>
          </w:tcPr>
          <w:p>
            <w:pPr>
              <w:pStyle w:val="25"/>
              <w:ind w:firstLine="8" w:firstLineChars="4"/>
              <w:jc w:val="left"/>
              <w:rPr>
                <w:sz w:val="21"/>
                <w:szCs w:val="21"/>
                <w:lang w:val="en-US"/>
              </w:rPr>
            </w:pPr>
            <w:r>
              <w:rPr>
                <w:rFonts w:hint="eastAsia"/>
                <w:sz w:val="21"/>
                <w:szCs w:val="21"/>
                <w:lang w:val="en-US"/>
              </w:rPr>
              <w:t>根据季节和气候状况，进行浇灌、施肥、修剪和松土等养护。</w:t>
            </w:r>
          </w:p>
        </w:tc>
        <w:tc>
          <w:tcPr>
            <w:tcW w:w="709" w:type="dxa"/>
            <w:tcBorders>
              <w:top w:val="single" w:color="auto" w:sz="4" w:space="0"/>
              <w:left w:val="single" w:color="auto" w:sz="4" w:space="0"/>
              <w:bottom w:val="single" w:color="auto" w:sz="4" w:space="0"/>
              <w:right w:val="single" w:color="auto" w:sz="4" w:space="0"/>
            </w:tcBorders>
            <w:vAlign w:val="center"/>
          </w:tcPr>
          <w:p>
            <w:pPr>
              <w:pStyle w:val="25"/>
              <w:rPr>
                <w:sz w:val="21"/>
                <w:szCs w:val="21"/>
                <w:lang w:val="en-US"/>
              </w:rPr>
            </w:pPr>
            <w:r>
              <w:rPr>
                <w:rFonts w:hint="eastAsia"/>
                <w:sz w:val="21"/>
                <w:szCs w:val="21"/>
                <w:lang w:val="en-US"/>
              </w:rPr>
              <w:t>2</w:t>
            </w:r>
          </w:p>
        </w:tc>
        <w:tc>
          <w:tcPr>
            <w:tcW w:w="735" w:type="dxa"/>
            <w:tcBorders>
              <w:top w:val="single" w:color="auto" w:sz="4" w:space="0"/>
              <w:left w:val="single" w:color="auto" w:sz="4" w:space="0"/>
              <w:bottom w:val="single" w:color="auto" w:sz="4" w:space="0"/>
              <w:right w:val="single" w:color="auto" w:sz="4" w:space="0"/>
            </w:tcBorders>
            <w:vAlign w:val="center"/>
          </w:tcPr>
          <w:p>
            <w:pPr>
              <w:pStyle w:val="25"/>
              <w:rPr>
                <w:sz w:val="21"/>
                <w:szCs w:val="21"/>
                <w:lang w:val="en-US"/>
              </w:rPr>
            </w:pPr>
          </w:p>
        </w:tc>
        <w:tc>
          <w:tcPr>
            <w:tcW w:w="971" w:type="dxa"/>
            <w:vMerge w:val="continue"/>
            <w:tcBorders>
              <w:left w:val="single" w:color="auto" w:sz="4" w:space="0"/>
              <w:right w:val="single" w:color="000000" w:sz="6" w:space="0"/>
            </w:tcBorders>
            <w:vAlign w:val="center"/>
          </w:tcPr>
          <w:p>
            <w:pPr>
              <w:pStyle w:val="25"/>
              <w:ind w:firstLine="0"/>
              <w:rPr>
                <w:sz w:val="21"/>
                <w:szCs w:val="21"/>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blHeader/>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pStyle w:val="25"/>
              <w:rPr>
                <w:sz w:val="21"/>
                <w:szCs w:val="21"/>
                <w:lang w:val="en-US"/>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pStyle w:val="25"/>
              <w:rPr>
                <w:sz w:val="21"/>
                <w:szCs w:val="21"/>
                <w:lang w:val="en-US"/>
              </w:rPr>
            </w:pPr>
          </w:p>
        </w:tc>
        <w:tc>
          <w:tcPr>
            <w:tcW w:w="5106" w:type="dxa"/>
            <w:tcBorders>
              <w:top w:val="single" w:color="auto" w:sz="4" w:space="0"/>
              <w:left w:val="single" w:color="auto" w:sz="4" w:space="0"/>
              <w:bottom w:val="single" w:color="auto" w:sz="4" w:space="0"/>
              <w:right w:val="single" w:color="auto" w:sz="4" w:space="0"/>
            </w:tcBorders>
            <w:vAlign w:val="center"/>
          </w:tcPr>
          <w:p>
            <w:pPr>
              <w:pStyle w:val="25"/>
              <w:ind w:firstLine="8" w:firstLineChars="4"/>
              <w:jc w:val="left"/>
              <w:rPr>
                <w:sz w:val="21"/>
                <w:szCs w:val="21"/>
                <w:lang w:val="en-US"/>
              </w:rPr>
            </w:pPr>
            <w:r>
              <w:rPr>
                <w:rFonts w:hint="eastAsia"/>
                <w:sz w:val="21"/>
                <w:szCs w:val="21"/>
                <w:lang w:val="en-US"/>
              </w:rPr>
              <w:t>应选择观赏性强、观赏期长、方便管理的鲜活植物摆放室内，植株长势良好，无残枝、无黄叶、无积尘，花朵饱满、无萎蔫，托盘内无积水。</w:t>
            </w:r>
          </w:p>
        </w:tc>
        <w:tc>
          <w:tcPr>
            <w:tcW w:w="709" w:type="dxa"/>
            <w:tcBorders>
              <w:top w:val="single" w:color="auto" w:sz="4" w:space="0"/>
              <w:left w:val="single" w:color="auto" w:sz="4" w:space="0"/>
              <w:bottom w:val="single" w:color="auto" w:sz="4" w:space="0"/>
              <w:right w:val="single" w:color="auto" w:sz="4" w:space="0"/>
            </w:tcBorders>
            <w:vAlign w:val="center"/>
          </w:tcPr>
          <w:p>
            <w:pPr>
              <w:pStyle w:val="25"/>
              <w:rPr>
                <w:sz w:val="21"/>
                <w:szCs w:val="21"/>
                <w:lang w:val="en-US"/>
              </w:rPr>
            </w:pPr>
            <w:r>
              <w:rPr>
                <w:rFonts w:hint="eastAsia"/>
                <w:sz w:val="21"/>
                <w:szCs w:val="21"/>
                <w:lang w:val="en-US"/>
              </w:rPr>
              <w:t>2</w:t>
            </w:r>
          </w:p>
        </w:tc>
        <w:tc>
          <w:tcPr>
            <w:tcW w:w="735" w:type="dxa"/>
            <w:tcBorders>
              <w:top w:val="single" w:color="auto" w:sz="4" w:space="0"/>
              <w:left w:val="single" w:color="auto" w:sz="4" w:space="0"/>
              <w:bottom w:val="single" w:color="auto" w:sz="4" w:space="0"/>
              <w:right w:val="single" w:color="auto" w:sz="4" w:space="0"/>
            </w:tcBorders>
            <w:vAlign w:val="center"/>
          </w:tcPr>
          <w:p>
            <w:pPr>
              <w:pStyle w:val="25"/>
              <w:rPr>
                <w:sz w:val="21"/>
                <w:szCs w:val="21"/>
                <w:lang w:val="en-US"/>
              </w:rPr>
            </w:pPr>
          </w:p>
          <w:p>
            <w:pPr>
              <w:pStyle w:val="25"/>
              <w:rPr>
                <w:sz w:val="21"/>
                <w:szCs w:val="21"/>
                <w:lang w:val="en-US"/>
              </w:rPr>
            </w:pPr>
          </w:p>
        </w:tc>
        <w:tc>
          <w:tcPr>
            <w:tcW w:w="971" w:type="dxa"/>
            <w:vMerge w:val="continue"/>
            <w:tcBorders>
              <w:left w:val="single" w:color="auto" w:sz="4" w:space="0"/>
              <w:right w:val="single" w:color="000000" w:sz="6" w:space="0"/>
            </w:tcBorders>
            <w:vAlign w:val="center"/>
          </w:tcPr>
          <w:p>
            <w:pPr>
              <w:pStyle w:val="25"/>
              <w:ind w:firstLine="0"/>
              <w:rPr>
                <w:sz w:val="21"/>
                <w:szCs w:val="21"/>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blHeader/>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pStyle w:val="25"/>
              <w:rPr>
                <w:sz w:val="21"/>
                <w:szCs w:val="21"/>
                <w:lang w:val="en-US"/>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pStyle w:val="25"/>
              <w:rPr>
                <w:sz w:val="21"/>
                <w:szCs w:val="21"/>
                <w:lang w:val="en-US"/>
              </w:rPr>
            </w:pPr>
          </w:p>
        </w:tc>
        <w:tc>
          <w:tcPr>
            <w:tcW w:w="5106" w:type="dxa"/>
            <w:tcBorders>
              <w:top w:val="single" w:color="auto" w:sz="4" w:space="0"/>
              <w:left w:val="single" w:color="auto" w:sz="4" w:space="0"/>
              <w:bottom w:val="single" w:color="auto" w:sz="4" w:space="0"/>
              <w:right w:val="single" w:color="auto" w:sz="4" w:space="0"/>
            </w:tcBorders>
            <w:vAlign w:val="center"/>
          </w:tcPr>
          <w:p>
            <w:pPr>
              <w:pStyle w:val="25"/>
              <w:ind w:firstLine="8" w:firstLineChars="4"/>
              <w:jc w:val="left"/>
              <w:rPr>
                <w:sz w:val="21"/>
                <w:szCs w:val="21"/>
                <w:lang w:val="en-US"/>
              </w:rPr>
            </w:pPr>
            <w:r>
              <w:rPr>
                <w:rFonts w:hint="eastAsia"/>
                <w:sz w:val="21"/>
                <w:szCs w:val="21"/>
                <w:lang w:val="en-US"/>
              </w:rPr>
              <w:t>定期检查病虫害情况，病虫害防治率100%,危害率低于5%。</w:t>
            </w:r>
          </w:p>
        </w:tc>
        <w:tc>
          <w:tcPr>
            <w:tcW w:w="709" w:type="dxa"/>
            <w:tcBorders>
              <w:top w:val="single" w:color="auto" w:sz="4" w:space="0"/>
              <w:left w:val="single" w:color="auto" w:sz="4" w:space="0"/>
              <w:bottom w:val="single" w:color="auto" w:sz="4" w:space="0"/>
              <w:right w:val="single" w:color="auto" w:sz="4" w:space="0"/>
            </w:tcBorders>
            <w:vAlign w:val="center"/>
          </w:tcPr>
          <w:p>
            <w:pPr>
              <w:pStyle w:val="25"/>
              <w:rPr>
                <w:sz w:val="21"/>
                <w:szCs w:val="21"/>
                <w:lang w:val="en-US"/>
              </w:rPr>
            </w:pPr>
            <w:r>
              <w:rPr>
                <w:rFonts w:hint="eastAsia"/>
                <w:sz w:val="21"/>
                <w:szCs w:val="21"/>
                <w:lang w:val="en-US"/>
              </w:rPr>
              <w:t>2</w:t>
            </w:r>
          </w:p>
        </w:tc>
        <w:tc>
          <w:tcPr>
            <w:tcW w:w="735" w:type="dxa"/>
            <w:tcBorders>
              <w:top w:val="single" w:color="auto" w:sz="4" w:space="0"/>
              <w:left w:val="single" w:color="auto" w:sz="4" w:space="0"/>
              <w:bottom w:val="single" w:color="auto" w:sz="4" w:space="0"/>
              <w:right w:val="single" w:color="auto" w:sz="4" w:space="0"/>
            </w:tcBorders>
            <w:vAlign w:val="center"/>
          </w:tcPr>
          <w:p>
            <w:pPr>
              <w:pStyle w:val="25"/>
              <w:rPr>
                <w:sz w:val="21"/>
                <w:szCs w:val="21"/>
                <w:lang w:val="en-US"/>
              </w:rPr>
            </w:pPr>
          </w:p>
        </w:tc>
        <w:tc>
          <w:tcPr>
            <w:tcW w:w="971" w:type="dxa"/>
            <w:vMerge w:val="continue"/>
            <w:tcBorders>
              <w:left w:val="single" w:color="auto" w:sz="4" w:space="0"/>
              <w:right w:val="single" w:color="000000" w:sz="6" w:space="0"/>
            </w:tcBorders>
            <w:vAlign w:val="center"/>
          </w:tcPr>
          <w:p>
            <w:pPr>
              <w:pStyle w:val="25"/>
              <w:ind w:firstLine="0"/>
              <w:rPr>
                <w:sz w:val="21"/>
                <w:szCs w:val="21"/>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blHeader/>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pStyle w:val="25"/>
              <w:rPr>
                <w:sz w:val="21"/>
                <w:szCs w:val="21"/>
                <w:lang w:val="en-US"/>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pStyle w:val="25"/>
              <w:rPr>
                <w:sz w:val="21"/>
                <w:szCs w:val="21"/>
                <w:lang w:val="en-US"/>
              </w:rPr>
            </w:pPr>
          </w:p>
        </w:tc>
        <w:tc>
          <w:tcPr>
            <w:tcW w:w="5106" w:type="dxa"/>
            <w:tcBorders>
              <w:top w:val="single" w:color="auto" w:sz="4" w:space="0"/>
              <w:left w:val="single" w:color="auto" w:sz="4" w:space="0"/>
              <w:bottom w:val="single" w:color="auto" w:sz="4" w:space="0"/>
              <w:right w:val="single" w:color="auto" w:sz="4" w:space="0"/>
            </w:tcBorders>
            <w:vAlign w:val="center"/>
          </w:tcPr>
          <w:p>
            <w:pPr>
              <w:pStyle w:val="25"/>
              <w:ind w:firstLine="8" w:firstLineChars="4"/>
              <w:jc w:val="left"/>
              <w:rPr>
                <w:sz w:val="21"/>
                <w:szCs w:val="21"/>
                <w:lang w:val="en-US"/>
              </w:rPr>
            </w:pPr>
            <w:r>
              <w:rPr>
                <w:rFonts w:hint="eastAsia"/>
                <w:sz w:val="21"/>
                <w:szCs w:val="21"/>
                <w:lang w:val="en-US"/>
              </w:rPr>
              <w:t>提供绿植符合招标要求及投标承诺。</w:t>
            </w:r>
          </w:p>
        </w:tc>
        <w:tc>
          <w:tcPr>
            <w:tcW w:w="709" w:type="dxa"/>
            <w:tcBorders>
              <w:top w:val="single" w:color="auto" w:sz="4" w:space="0"/>
              <w:left w:val="single" w:color="auto" w:sz="4" w:space="0"/>
            </w:tcBorders>
            <w:vAlign w:val="center"/>
          </w:tcPr>
          <w:p>
            <w:pPr>
              <w:pStyle w:val="25"/>
              <w:rPr>
                <w:sz w:val="21"/>
                <w:szCs w:val="21"/>
                <w:lang w:val="en-US"/>
              </w:rPr>
            </w:pPr>
            <w:r>
              <w:rPr>
                <w:rFonts w:hint="eastAsia"/>
                <w:sz w:val="21"/>
                <w:szCs w:val="21"/>
                <w:lang w:val="en-US"/>
              </w:rPr>
              <w:t>2</w:t>
            </w:r>
          </w:p>
        </w:tc>
        <w:tc>
          <w:tcPr>
            <w:tcW w:w="735" w:type="dxa"/>
            <w:tcBorders>
              <w:top w:val="single" w:color="auto" w:sz="4" w:space="0"/>
            </w:tcBorders>
            <w:vAlign w:val="center"/>
          </w:tcPr>
          <w:p>
            <w:pPr>
              <w:pStyle w:val="25"/>
              <w:rPr>
                <w:sz w:val="21"/>
                <w:szCs w:val="21"/>
                <w:lang w:val="en-US"/>
              </w:rPr>
            </w:pPr>
          </w:p>
          <w:p>
            <w:pPr>
              <w:pStyle w:val="25"/>
              <w:rPr>
                <w:sz w:val="21"/>
                <w:szCs w:val="21"/>
                <w:lang w:val="en-US"/>
              </w:rPr>
            </w:pPr>
          </w:p>
        </w:tc>
        <w:tc>
          <w:tcPr>
            <w:tcW w:w="971" w:type="dxa"/>
            <w:vMerge w:val="continue"/>
            <w:tcBorders>
              <w:right w:val="single" w:color="000000" w:sz="6" w:space="0"/>
            </w:tcBorders>
            <w:vAlign w:val="center"/>
          </w:tcPr>
          <w:p>
            <w:pPr>
              <w:pStyle w:val="25"/>
              <w:ind w:firstLine="0"/>
              <w:rPr>
                <w:sz w:val="21"/>
                <w:szCs w:val="21"/>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blHeader/>
          <w:jc w:val="center"/>
        </w:trPr>
        <w:tc>
          <w:tcPr>
            <w:tcW w:w="567" w:type="dxa"/>
            <w:vMerge w:val="restart"/>
            <w:tcBorders>
              <w:top w:val="single" w:color="auto" w:sz="4" w:space="0"/>
              <w:left w:val="single" w:color="000000" w:sz="6" w:space="0"/>
            </w:tcBorders>
            <w:vAlign w:val="center"/>
          </w:tcPr>
          <w:p>
            <w:pPr>
              <w:pStyle w:val="25"/>
              <w:rPr>
                <w:sz w:val="21"/>
                <w:szCs w:val="21"/>
                <w:lang w:val="en-US"/>
              </w:rPr>
            </w:pPr>
          </w:p>
          <w:p>
            <w:pPr>
              <w:pStyle w:val="25"/>
              <w:rPr>
                <w:sz w:val="21"/>
                <w:szCs w:val="21"/>
                <w:lang w:val="en-US"/>
              </w:rPr>
            </w:pPr>
          </w:p>
          <w:p>
            <w:pPr>
              <w:pStyle w:val="25"/>
              <w:rPr>
                <w:sz w:val="21"/>
                <w:szCs w:val="21"/>
                <w:lang w:val="en-US"/>
              </w:rPr>
            </w:pPr>
          </w:p>
          <w:p>
            <w:pPr>
              <w:pStyle w:val="25"/>
              <w:rPr>
                <w:sz w:val="21"/>
                <w:szCs w:val="21"/>
                <w:lang w:val="en-US"/>
              </w:rPr>
            </w:pPr>
          </w:p>
          <w:p>
            <w:pPr>
              <w:pStyle w:val="25"/>
              <w:rPr>
                <w:sz w:val="21"/>
                <w:szCs w:val="21"/>
                <w:lang w:val="en-US"/>
              </w:rPr>
            </w:pPr>
          </w:p>
          <w:p>
            <w:pPr>
              <w:pStyle w:val="25"/>
              <w:rPr>
                <w:sz w:val="21"/>
                <w:szCs w:val="21"/>
                <w:lang w:val="en-US"/>
              </w:rPr>
            </w:pPr>
          </w:p>
          <w:p>
            <w:pPr>
              <w:pStyle w:val="25"/>
              <w:ind w:firstLine="210" w:firstLineChars="100"/>
              <w:rPr>
                <w:sz w:val="21"/>
                <w:szCs w:val="21"/>
                <w:lang w:val="en-US"/>
              </w:rPr>
            </w:pPr>
            <w:r>
              <w:rPr>
                <w:rFonts w:hint="eastAsia"/>
                <w:sz w:val="21"/>
                <w:szCs w:val="21"/>
                <w:lang w:val="en-US"/>
              </w:rPr>
              <w:t>6</w:t>
            </w:r>
          </w:p>
        </w:tc>
        <w:tc>
          <w:tcPr>
            <w:tcW w:w="992" w:type="dxa"/>
            <w:vMerge w:val="restart"/>
            <w:tcBorders>
              <w:top w:val="single" w:color="auto" w:sz="4" w:space="0"/>
            </w:tcBorders>
            <w:vAlign w:val="center"/>
          </w:tcPr>
          <w:p>
            <w:pPr>
              <w:pStyle w:val="25"/>
              <w:rPr>
                <w:sz w:val="21"/>
                <w:szCs w:val="21"/>
                <w:lang w:val="en-US"/>
              </w:rPr>
            </w:pPr>
          </w:p>
          <w:p>
            <w:pPr>
              <w:pStyle w:val="25"/>
              <w:rPr>
                <w:sz w:val="21"/>
                <w:szCs w:val="21"/>
                <w:lang w:val="en-US"/>
              </w:rPr>
            </w:pPr>
          </w:p>
          <w:p>
            <w:pPr>
              <w:pStyle w:val="25"/>
              <w:rPr>
                <w:sz w:val="21"/>
                <w:szCs w:val="21"/>
                <w:lang w:val="en-US"/>
              </w:rPr>
            </w:pPr>
          </w:p>
          <w:p>
            <w:pPr>
              <w:pStyle w:val="25"/>
              <w:rPr>
                <w:sz w:val="21"/>
                <w:szCs w:val="21"/>
                <w:lang w:val="en-US"/>
              </w:rPr>
            </w:pPr>
          </w:p>
          <w:p>
            <w:pPr>
              <w:pStyle w:val="25"/>
              <w:rPr>
                <w:sz w:val="21"/>
                <w:szCs w:val="21"/>
                <w:lang w:val="en-US"/>
              </w:rPr>
            </w:pPr>
          </w:p>
          <w:p>
            <w:pPr>
              <w:pStyle w:val="25"/>
              <w:ind w:firstLine="0"/>
              <w:jc w:val="center"/>
              <w:rPr>
                <w:sz w:val="21"/>
                <w:szCs w:val="21"/>
                <w:lang w:val="en-US"/>
              </w:rPr>
            </w:pPr>
            <w:r>
              <w:rPr>
                <w:rFonts w:hint="eastAsia"/>
                <w:sz w:val="21"/>
                <w:szCs w:val="21"/>
                <w:lang w:val="en-US"/>
              </w:rPr>
              <w:t>工程设备</w:t>
            </w:r>
            <w:r>
              <w:rPr>
                <w:rFonts w:hint="eastAsia"/>
                <w:sz w:val="21"/>
                <w:szCs w:val="21"/>
                <w:lang w:val="en-US"/>
              </w:rPr>
              <w:br w:type="textWrapping"/>
            </w:r>
            <w:r>
              <w:rPr>
                <w:rFonts w:hint="eastAsia"/>
                <w:sz w:val="21"/>
                <w:szCs w:val="21"/>
                <w:lang w:val="en-US"/>
              </w:rPr>
              <w:t>维护</w:t>
            </w:r>
          </w:p>
        </w:tc>
        <w:tc>
          <w:tcPr>
            <w:tcW w:w="5106" w:type="dxa"/>
            <w:tcBorders>
              <w:top w:val="single" w:color="auto" w:sz="4" w:space="0"/>
            </w:tcBorders>
            <w:vAlign w:val="center"/>
          </w:tcPr>
          <w:p>
            <w:pPr>
              <w:pStyle w:val="25"/>
              <w:ind w:firstLine="8" w:firstLineChars="4"/>
              <w:jc w:val="left"/>
              <w:rPr>
                <w:sz w:val="21"/>
                <w:szCs w:val="21"/>
                <w:lang w:val="en-US"/>
              </w:rPr>
            </w:pPr>
            <w:r>
              <w:rPr>
                <w:rFonts w:hint="eastAsia"/>
                <w:sz w:val="21"/>
                <w:szCs w:val="21"/>
                <w:lang w:val="en-US"/>
              </w:rPr>
              <w:t>房屋地面、墙、台面、吊顶、门窗、楼梯、通风道、外墙幕墙等完好，无霉变破损。</w:t>
            </w:r>
          </w:p>
        </w:tc>
        <w:tc>
          <w:tcPr>
            <w:tcW w:w="709" w:type="dxa"/>
            <w:vAlign w:val="center"/>
          </w:tcPr>
          <w:p>
            <w:pPr>
              <w:pStyle w:val="25"/>
              <w:rPr>
                <w:sz w:val="21"/>
                <w:szCs w:val="21"/>
                <w:lang w:val="en-US"/>
              </w:rPr>
            </w:pPr>
            <w:r>
              <w:rPr>
                <w:rFonts w:hint="eastAsia"/>
                <w:sz w:val="21"/>
                <w:szCs w:val="21"/>
                <w:lang w:val="en-US"/>
              </w:rPr>
              <w:t>2</w:t>
            </w:r>
          </w:p>
        </w:tc>
        <w:tc>
          <w:tcPr>
            <w:tcW w:w="735" w:type="dxa"/>
            <w:vAlign w:val="center"/>
          </w:tcPr>
          <w:p>
            <w:pPr>
              <w:pStyle w:val="25"/>
              <w:rPr>
                <w:sz w:val="21"/>
                <w:szCs w:val="21"/>
                <w:lang w:val="en-US"/>
              </w:rPr>
            </w:pPr>
          </w:p>
        </w:tc>
        <w:tc>
          <w:tcPr>
            <w:tcW w:w="971" w:type="dxa"/>
            <w:vMerge w:val="restart"/>
            <w:tcBorders>
              <w:right w:val="single" w:color="000000" w:sz="6" w:space="0"/>
            </w:tcBorders>
            <w:vAlign w:val="center"/>
          </w:tcPr>
          <w:p>
            <w:pPr>
              <w:pStyle w:val="25"/>
              <w:ind w:firstLine="0"/>
              <w:rPr>
                <w:sz w:val="21"/>
                <w:szCs w:val="21"/>
                <w:lang w:val="en-US"/>
              </w:rPr>
            </w:pPr>
          </w:p>
          <w:p>
            <w:pPr>
              <w:pStyle w:val="25"/>
              <w:ind w:firstLine="0"/>
              <w:rPr>
                <w:sz w:val="21"/>
                <w:szCs w:val="21"/>
                <w:lang w:val="en-US"/>
              </w:rPr>
            </w:pPr>
            <w:r>
              <w:rPr>
                <w:rFonts w:hint="eastAsia"/>
                <w:sz w:val="21"/>
                <w:szCs w:val="21"/>
                <w:lang w:val="en-US"/>
              </w:rPr>
              <w:t>完全符合得满分，部分符合相应递减， 不符合得 0 分</w:t>
            </w:r>
          </w:p>
          <w:p>
            <w:pPr>
              <w:pStyle w:val="25"/>
              <w:ind w:firstLine="0"/>
              <w:rPr>
                <w:sz w:val="21"/>
                <w:szCs w:val="21"/>
                <w:lang w:val="en-US"/>
              </w:rPr>
            </w:pPr>
          </w:p>
          <w:p>
            <w:pPr>
              <w:pStyle w:val="25"/>
              <w:ind w:firstLine="0"/>
              <w:rPr>
                <w:sz w:val="21"/>
                <w:szCs w:val="21"/>
                <w:lang w:val="en-US"/>
              </w:rPr>
            </w:pPr>
          </w:p>
          <w:p>
            <w:pPr>
              <w:pStyle w:val="25"/>
              <w:ind w:firstLine="0"/>
              <w:rPr>
                <w:sz w:val="21"/>
                <w:szCs w:val="21"/>
                <w:lang w:val="en-US"/>
              </w:rPr>
            </w:pPr>
          </w:p>
          <w:p>
            <w:pPr>
              <w:pStyle w:val="25"/>
              <w:ind w:firstLine="0"/>
              <w:rPr>
                <w:sz w:val="21"/>
                <w:szCs w:val="21"/>
                <w:lang w:val="en-US"/>
              </w:rPr>
            </w:pPr>
          </w:p>
          <w:p>
            <w:pPr>
              <w:pStyle w:val="25"/>
              <w:ind w:firstLine="0"/>
              <w:rPr>
                <w:sz w:val="21"/>
                <w:szCs w:val="21"/>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blHeader/>
          <w:jc w:val="center"/>
        </w:trPr>
        <w:tc>
          <w:tcPr>
            <w:tcW w:w="567" w:type="dxa"/>
            <w:vMerge w:val="continue"/>
            <w:tcBorders>
              <w:left w:val="single" w:color="000000" w:sz="6" w:space="0"/>
            </w:tcBorders>
            <w:vAlign w:val="center"/>
          </w:tcPr>
          <w:p>
            <w:pPr>
              <w:pStyle w:val="25"/>
              <w:rPr>
                <w:sz w:val="21"/>
                <w:szCs w:val="21"/>
                <w:lang w:val="en-US"/>
              </w:rPr>
            </w:pPr>
          </w:p>
        </w:tc>
        <w:tc>
          <w:tcPr>
            <w:tcW w:w="992" w:type="dxa"/>
            <w:vMerge w:val="continue"/>
            <w:vAlign w:val="center"/>
          </w:tcPr>
          <w:p>
            <w:pPr>
              <w:pStyle w:val="25"/>
              <w:rPr>
                <w:sz w:val="21"/>
                <w:szCs w:val="21"/>
                <w:lang w:val="en-US"/>
              </w:rPr>
            </w:pPr>
          </w:p>
        </w:tc>
        <w:tc>
          <w:tcPr>
            <w:tcW w:w="5106" w:type="dxa"/>
            <w:vAlign w:val="center"/>
          </w:tcPr>
          <w:p>
            <w:pPr>
              <w:pStyle w:val="25"/>
              <w:ind w:firstLine="8" w:firstLineChars="4"/>
              <w:jc w:val="left"/>
              <w:rPr>
                <w:sz w:val="21"/>
                <w:szCs w:val="21"/>
                <w:lang w:val="en-US"/>
              </w:rPr>
            </w:pPr>
            <w:r>
              <w:rPr>
                <w:rFonts w:hint="eastAsia"/>
                <w:sz w:val="21"/>
                <w:szCs w:val="21"/>
                <w:lang w:val="en-US"/>
              </w:rPr>
              <w:t>定期对各类机房设备设施进行检查、维护、清洁，并做好记录。</w:t>
            </w:r>
          </w:p>
        </w:tc>
        <w:tc>
          <w:tcPr>
            <w:tcW w:w="709" w:type="dxa"/>
            <w:vAlign w:val="center"/>
          </w:tcPr>
          <w:p>
            <w:pPr>
              <w:pStyle w:val="25"/>
              <w:rPr>
                <w:sz w:val="21"/>
                <w:szCs w:val="21"/>
                <w:lang w:val="en-US"/>
              </w:rPr>
            </w:pPr>
            <w:r>
              <w:rPr>
                <w:rFonts w:hint="eastAsia"/>
                <w:sz w:val="21"/>
                <w:szCs w:val="21"/>
                <w:lang w:val="en-US"/>
              </w:rPr>
              <w:t>1</w:t>
            </w:r>
          </w:p>
        </w:tc>
        <w:tc>
          <w:tcPr>
            <w:tcW w:w="735" w:type="dxa"/>
            <w:vAlign w:val="center"/>
          </w:tcPr>
          <w:p>
            <w:pPr>
              <w:pStyle w:val="25"/>
              <w:rPr>
                <w:sz w:val="21"/>
                <w:szCs w:val="21"/>
                <w:lang w:val="en-US"/>
              </w:rPr>
            </w:pPr>
          </w:p>
        </w:tc>
        <w:tc>
          <w:tcPr>
            <w:tcW w:w="971" w:type="dxa"/>
            <w:vMerge w:val="continue"/>
            <w:tcBorders>
              <w:right w:val="single" w:color="000000" w:sz="6" w:space="0"/>
            </w:tcBorders>
            <w:vAlign w:val="center"/>
          </w:tcPr>
          <w:p>
            <w:pPr>
              <w:pStyle w:val="25"/>
              <w:ind w:firstLine="0"/>
              <w:rPr>
                <w:sz w:val="21"/>
                <w:szCs w:val="21"/>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blHeader/>
          <w:jc w:val="center"/>
        </w:trPr>
        <w:tc>
          <w:tcPr>
            <w:tcW w:w="567" w:type="dxa"/>
            <w:vMerge w:val="continue"/>
            <w:tcBorders>
              <w:left w:val="single" w:color="000000" w:sz="6" w:space="0"/>
            </w:tcBorders>
            <w:vAlign w:val="center"/>
          </w:tcPr>
          <w:p>
            <w:pPr>
              <w:pStyle w:val="25"/>
              <w:rPr>
                <w:sz w:val="21"/>
                <w:szCs w:val="21"/>
                <w:lang w:val="en-US"/>
              </w:rPr>
            </w:pPr>
          </w:p>
        </w:tc>
        <w:tc>
          <w:tcPr>
            <w:tcW w:w="992" w:type="dxa"/>
            <w:vMerge w:val="continue"/>
            <w:vAlign w:val="center"/>
          </w:tcPr>
          <w:p>
            <w:pPr>
              <w:pStyle w:val="25"/>
              <w:rPr>
                <w:sz w:val="21"/>
                <w:szCs w:val="21"/>
                <w:lang w:val="en-US"/>
              </w:rPr>
            </w:pPr>
          </w:p>
        </w:tc>
        <w:tc>
          <w:tcPr>
            <w:tcW w:w="5106" w:type="dxa"/>
            <w:vAlign w:val="center"/>
          </w:tcPr>
          <w:p>
            <w:pPr>
              <w:pStyle w:val="25"/>
              <w:ind w:firstLine="8" w:firstLineChars="4"/>
              <w:jc w:val="left"/>
              <w:rPr>
                <w:sz w:val="21"/>
                <w:szCs w:val="21"/>
                <w:lang w:val="en-US"/>
              </w:rPr>
            </w:pPr>
            <w:r>
              <w:rPr>
                <w:rFonts w:hint="eastAsia"/>
                <w:sz w:val="21"/>
                <w:szCs w:val="21"/>
                <w:lang w:val="en-US"/>
              </w:rPr>
              <w:t>确保各类照明灯具、应急照明系统、供用电设备设施(包括配电箱、桥架、井道、开关、插座等)运行正常。</w:t>
            </w:r>
          </w:p>
        </w:tc>
        <w:tc>
          <w:tcPr>
            <w:tcW w:w="709" w:type="dxa"/>
            <w:vAlign w:val="center"/>
          </w:tcPr>
          <w:p>
            <w:pPr>
              <w:pStyle w:val="25"/>
              <w:rPr>
                <w:sz w:val="21"/>
                <w:szCs w:val="21"/>
                <w:lang w:val="en-US"/>
              </w:rPr>
            </w:pPr>
            <w:r>
              <w:rPr>
                <w:rFonts w:hint="eastAsia"/>
                <w:sz w:val="21"/>
                <w:szCs w:val="21"/>
                <w:lang w:val="en-US"/>
              </w:rPr>
              <w:t>1</w:t>
            </w:r>
          </w:p>
        </w:tc>
        <w:tc>
          <w:tcPr>
            <w:tcW w:w="735" w:type="dxa"/>
            <w:vAlign w:val="center"/>
          </w:tcPr>
          <w:p>
            <w:pPr>
              <w:pStyle w:val="25"/>
              <w:rPr>
                <w:sz w:val="21"/>
                <w:szCs w:val="21"/>
                <w:lang w:val="en-US"/>
              </w:rPr>
            </w:pPr>
          </w:p>
        </w:tc>
        <w:tc>
          <w:tcPr>
            <w:tcW w:w="971" w:type="dxa"/>
            <w:vMerge w:val="continue"/>
            <w:tcBorders>
              <w:right w:val="single" w:color="000000" w:sz="6" w:space="0"/>
            </w:tcBorders>
            <w:vAlign w:val="center"/>
          </w:tcPr>
          <w:p>
            <w:pPr>
              <w:pStyle w:val="25"/>
              <w:ind w:firstLine="0"/>
              <w:rPr>
                <w:sz w:val="21"/>
                <w:szCs w:val="21"/>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blHeader/>
          <w:jc w:val="center"/>
        </w:trPr>
        <w:tc>
          <w:tcPr>
            <w:tcW w:w="567" w:type="dxa"/>
            <w:vMerge w:val="continue"/>
            <w:tcBorders>
              <w:left w:val="single" w:color="000000" w:sz="6" w:space="0"/>
            </w:tcBorders>
            <w:vAlign w:val="center"/>
          </w:tcPr>
          <w:p>
            <w:pPr>
              <w:pStyle w:val="25"/>
              <w:rPr>
                <w:sz w:val="21"/>
                <w:szCs w:val="21"/>
                <w:lang w:val="en-US"/>
              </w:rPr>
            </w:pPr>
          </w:p>
        </w:tc>
        <w:tc>
          <w:tcPr>
            <w:tcW w:w="992" w:type="dxa"/>
            <w:vMerge w:val="continue"/>
            <w:vAlign w:val="center"/>
          </w:tcPr>
          <w:p>
            <w:pPr>
              <w:pStyle w:val="25"/>
              <w:rPr>
                <w:sz w:val="21"/>
                <w:szCs w:val="21"/>
                <w:lang w:val="en-US"/>
              </w:rPr>
            </w:pPr>
          </w:p>
        </w:tc>
        <w:tc>
          <w:tcPr>
            <w:tcW w:w="5106" w:type="dxa"/>
            <w:vAlign w:val="center"/>
          </w:tcPr>
          <w:p>
            <w:pPr>
              <w:pStyle w:val="25"/>
              <w:ind w:firstLine="8" w:firstLineChars="4"/>
              <w:jc w:val="left"/>
              <w:rPr>
                <w:sz w:val="21"/>
                <w:szCs w:val="21"/>
                <w:lang w:val="en-US"/>
              </w:rPr>
            </w:pPr>
            <w:r>
              <w:rPr>
                <w:rFonts w:hint="eastAsia"/>
                <w:sz w:val="21"/>
                <w:szCs w:val="21"/>
                <w:lang w:val="en-US"/>
              </w:rPr>
              <w:t>定期对监控系统、门禁系统、多媒体系统、会议系统等智能弱电设备进行巡查，发现问题及时联系责任单位，定期清理设备机柜、控制箱、交换机等外表吸附的灰尘和絮状物。</w:t>
            </w:r>
          </w:p>
        </w:tc>
        <w:tc>
          <w:tcPr>
            <w:tcW w:w="709" w:type="dxa"/>
            <w:vAlign w:val="center"/>
          </w:tcPr>
          <w:p>
            <w:pPr>
              <w:pStyle w:val="25"/>
              <w:rPr>
                <w:sz w:val="21"/>
                <w:szCs w:val="21"/>
                <w:lang w:val="en-US"/>
              </w:rPr>
            </w:pPr>
            <w:r>
              <w:rPr>
                <w:rFonts w:hint="eastAsia"/>
                <w:sz w:val="21"/>
                <w:szCs w:val="21"/>
                <w:lang w:val="en-US"/>
              </w:rPr>
              <w:t>2</w:t>
            </w:r>
          </w:p>
        </w:tc>
        <w:tc>
          <w:tcPr>
            <w:tcW w:w="735" w:type="dxa"/>
            <w:vAlign w:val="center"/>
          </w:tcPr>
          <w:p>
            <w:pPr>
              <w:pStyle w:val="25"/>
              <w:rPr>
                <w:sz w:val="21"/>
                <w:szCs w:val="21"/>
                <w:lang w:val="en-US"/>
              </w:rPr>
            </w:pPr>
          </w:p>
        </w:tc>
        <w:tc>
          <w:tcPr>
            <w:tcW w:w="971" w:type="dxa"/>
            <w:vMerge w:val="continue"/>
            <w:tcBorders>
              <w:right w:val="single" w:color="000000" w:sz="6" w:space="0"/>
            </w:tcBorders>
            <w:vAlign w:val="center"/>
          </w:tcPr>
          <w:p>
            <w:pPr>
              <w:pStyle w:val="25"/>
              <w:ind w:firstLine="0"/>
              <w:rPr>
                <w:sz w:val="21"/>
                <w:szCs w:val="21"/>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tblHeader/>
          <w:jc w:val="center"/>
        </w:trPr>
        <w:tc>
          <w:tcPr>
            <w:tcW w:w="567" w:type="dxa"/>
            <w:vMerge w:val="continue"/>
            <w:tcBorders>
              <w:left w:val="single" w:color="000000" w:sz="6" w:space="0"/>
            </w:tcBorders>
            <w:vAlign w:val="center"/>
          </w:tcPr>
          <w:p>
            <w:pPr>
              <w:pStyle w:val="25"/>
              <w:rPr>
                <w:sz w:val="21"/>
                <w:szCs w:val="21"/>
                <w:lang w:val="en-US"/>
              </w:rPr>
            </w:pPr>
          </w:p>
        </w:tc>
        <w:tc>
          <w:tcPr>
            <w:tcW w:w="992" w:type="dxa"/>
            <w:vMerge w:val="continue"/>
            <w:vAlign w:val="center"/>
          </w:tcPr>
          <w:p>
            <w:pPr>
              <w:pStyle w:val="25"/>
              <w:rPr>
                <w:sz w:val="21"/>
                <w:szCs w:val="21"/>
                <w:lang w:val="en-US"/>
              </w:rPr>
            </w:pPr>
          </w:p>
        </w:tc>
        <w:tc>
          <w:tcPr>
            <w:tcW w:w="5106" w:type="dxa"/>
            <w:vAlign w:val="center"/>
          </w:tcPr>
          <w:p>
            <w:pPr>
              <w:pStyle w:val="25"/>
              <w:ind w:firstLine="8" w:firstLineChars="4"/>
              <w:jc w:val="left"/>
              <w:rPr>
                <w:sz w:val="21"/>
                <w:szCs w:val="21"/>
                <w:lang w:val="en-US"/>
              </w:rPr>
            </w:pPr>
            <w:r>
              <w:rPr>
                <w:rFonts w:hint="eastAsia"/>
                <w:sz w:val="21"/>
                <w:szCs w:val="21"/>
                <w:lang w:val="en-US"/>
              </w:rPr>
              <w:t>建立消防设施设备台账，定期巡查，发现问题及时联系责任单位。</w:t>
            </w:r>
          </w:p>
        </w:tc>
        <w:tc>
          <w:tcPr>
            <w:tcW w:w="709" w:type="dxa"/>
            <w:vAlign w:val="center"/>
          </w:tcPr>
          <w:p>
            <w:pPr>
              <w:pStyle w:val="25"/>
              <w:rPr>
                <w:sz w:val="21"/>
                <w:szCs w:val="21"/>
                <w:lang w:val="en-US"/>
              </w:rPr>
            </w:pPr>
            <w:r>
              <w:rPr>
                <w:rFonts w:hint="eastAsia"/>
                <w:sz w:val="21"/>
                <w:szCs w:val="21"/>
                <w:lang w:val="en-US"/>
              </w:rPr>
              <w:t>1</w:t>
            </w:r>
          </w:p>
        </w:tc>
        <w:tc>
          <w:tcPr>
            <w:tcW w:w="735" w:type="dxa"/>
            <w:vAlign w:val="center"/>
          </w:tcPr>
          <w:p>
            <w:pPr>
              <w:pStyle w:val="25"/>
              <w:rPr>
                <w:sz w:val="21"/>
                <w:szCs w:val="21"/>
                <w:lang w:val="en-US"/>
              </w:rPr>
            </w:pPr>
          </w:p>
        </w:tc>
        <w:tc>
          <w:tcPr>
            <w:tcW w:w="971" w:type="dxa"/>
            <w:vMerge w:val="continue"/>
            <w:tcBorders>
              <w:right w:val="single" w:color="000000" w:sz="6" w:space="0"/>
            </w:tcBorders>
            <w:vAlign w:val="center"/>
          </w:tcPr>
          <w:p>
            <w:pPr>
              <w:pStyle w:val="25"/>
              <w:ind w:firstLine="0"/>
              <w:rPr>
                <w:sz w:val="21"/>
                <w:szCs w:val="21"/>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blHeader/>
          <w:jc w:val="center"/>
        </w:trPr>
        <w:tc>
          <w:tcPr>
            <w:tcW w:w="567" w:type="dxa"/>
            <w:vMerge w:val="continue"/>
            <w:tcBorders>
              <w:left w:val="single" w:color="000000" w:sz="6" w:space="0"/>
            </w:tcBorders>
            <w:vAlign w:val="center"/>
          </w:tcPr>
          <w:p>
            <w:pPr>
              <w:pStyle w:val="25"/>
              <w:rPr>
                <w:sz w:val="21"/>
                <w:szCs w:val="21"/>
                <w:lang w:val="en-US"/>
              </w:rPr>
            </w:pPr>
          </w:p>
        </w:tc>
        <w:tc>
          <w:tcPr>
            <w:tcW w:w="992" w:type="dxa"/>
            <w:vMerge w:val="continue"/>
            <w:vAlign w:val="center"/>
          </w:tcPr>
          <w:p>
            <w:pPr>
              <w:pStyle w:val="25"/>
              <w:rPr>
                <w:sz w:val="21"/>
                <w:szCs w:val="21"/>
                <w:lang w:val="en-US"/>
              </w:rPr>
            </w:pPr>
          </w:p>
        </w:tc>
        <w:tc>
          <w:tcPr>
            <w:tcW w:w="5106" w:type="dxa"/>
            <w:vAlign w:val="center"/>
          </w:tcPr>
          <w:p>
            <w:pPr>
              <w:pStyle w:val="25"/>
              <w:ind w:firstLine="8" w:firstLineChars="4"/>
              <w:jc w:val="left"/>
              <w:rPr>
                <w:sz w:val="21"/>
                <w:szCs w:val="21"/>
                <w:lang w:val="en-US"/>
              </w:rPr>
            </w:pPr>
            <w:r>
              <w:rPr>
                <w:rFonts w:hint="eastAsia"/>
                <w:sz w:val="21"/>
                <w:szCs w:val="21"/>
                <w:lang w:val="en-US"/>
              </w:rPr>
              <w:t>定期对空调通风系统进行巡查，发现问题及时联系责任单位，确保空调系统正常运行。</w:t>
            </w:r>
          </w:p>
        </w:tc>
        <w:tc>
          <w:tcPr>
            <w:tcW w:w="709" w:type="dxa"/>
            <w:vAlign w:val="center"/>
          </w:tcPr>
          <w:p>
            <w:pPr>
              <w:pStyle w:val="25"/>
              <w:rPr>
                <w:sz w:val="21"/>
                <w:szCs w:val="21"/>
                <w:lang w:val="en-US"/>
              </w:rPr>
            </w:pPr>
            <w:r>
              <w:rPr>
                <w:rFonts w:hint="eastAsia"/>
                <w:sz w:val="21"/>
                <w:szCs w:val="21"/>
                <w:lang w:val="en-US"/>
              </w:rPr>
              <w:t>1</w:t>
            </w:r>
          </w:p>
        </w:tc>
        <w:tc>
          <w:tcPr>
            <w:tcW w:w="735" w:type="dxa"/>
            <w:vAlign w:val="center"/>
          </w:tcPr>
          <w:p>
            <w:pPr>
              <w:pStyle w:val="25"/>
              <w:rPr>
                <w:sz w:val="21"/>
                <w:szCs w:val="21"/>
                <w:lang w:val="en-US"/>
              </w:rPr>
            </w:pPr>
          </w:p>
        </w:tc>
        <w:tc>
          <w:tcPr>
            <w:tcW w:w="971" w:type="dxa"/>
            <w:vMerge w:val="continue"/>
            <w:tcBorders>
              <w:right w:val="single" w:color="000000" w:sz="6" w:space="0"/>
            </w:tcBorders>
            <w:vAlign w:val="center"/>
          </w:tcPr>
          <w:p>
            <w:pPr>
              <w:pStyle w:val="25"/>
              <w:ind w:firstLine="0"/>
              <w:rPr>
                <w:sz w:val="21"/>
                <w:szCs w:val="21"/>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blHeader/>
          <w:jc w:val="center"/>
        </w:trPr>
        <w:tc>
          <w:tcPr>
            <w:tcW w:w="567" w:type="dxa"/>
            <w:vMerge w:val="continue"/>
            <w:tcBorders>
              <w:left w:val="single" w:color="000000" w:sz="6" w:space="0"/>
            </w:tcBorders>
            <w:vAlign w:val="center"/>
          </w:tcPr>
          <w:p>
            <w:pPr>
              <w:pStyle w:val="25"/>
              <w:rPr>
                <w:sz w:val="21"/>
                <w:szCs w:val="21"/>
                <w:lang w:val="en-US"/>
              </w:rPr>
            </w:pPr>
          </w:p>
        </w:tc>
        <w:tc>
          <w:tcPr>
            <w:tcW w:w="992" w:type="dxa"/>
            <w:vMerge w:val="continue"/>
            <w:vAlign w:val="center"/>
          </w:tcPr>
          <w:p>
            <w:pPr>
              <w:pStyle w:val="25"/>
              <w:rPr>
                <w:sz w:val="21"/>
                <w:szCs w:val="21"/>
                <w:lang w:val="en-US"/>
              </w:rPr>
            </w:pPr>
          </w:p>
        </w:tc>
        <w:tc>
          <w:tcPr>
            <w:tcW w:w="5106" w:type="dxa"/>
            <w:vAlign w:val="center"/>
          </w:tcPr>
          <w:p>
            <w:pPr>
              <w:pStyle w:val="25"/>
              <w:ind w:firstLine="8" w:firstLineChars="4"/>
              <w:jc w:val="left"/>
              <w:rPr>
                <w:sz w:val="21"/>
                <w:szCs w:val="21"/>
                <w:lang w:val="en-US"/>
              </w:rPr>
            </w:pPr>
            <w:r>
              <w:rPr>
                <w:rFonts w:hint="eastAsia"/>
                <w:sz w:val="21"/>
                <w:szCs w:val="21"/>
                <w:lang w:val="en-US"/>
              </w:rPr>
              <w:t>确保办公楼(区)零星维修的及时性，一般修理在两小时内处理完毕，小修在半个工作日内处理完毕，其他大修项目自受理之日起3个工作日内处理完毕，确保零星维修合格率达到100%。工程维修人员必须持有效期内相应证件上岗。</w:t>
            </w:r>
          </w:p>
        </w:tc>
        <w:tc>
          <w:tcPr>
            <w:tcW w:w="709" w:type="dxa"/>
            <w:vAlign w:val="center"/>
          </w:tcPr>
          <w:p>
            <w:pPr>
              <w:pStyle w:val="25"/>
              <w:rPr>
                <w:sz w:val="21"/>
                <w:szCs w:val="21"/>
                <w:lang w:val="en-US"/>
              </w:rPr>
            </w:pPr>
            <w:r>
              <w:rPr>
                <w:rFonts w:hint="eastAsia"/>
                <w:sz w:val="21"/>
                <w:szCs w:val="21"/>
                <w:lang w:val="en-US"/>
              </w:rPr>
              <w:t>2</w:t>
            </w:r>
          </w:p>
        </w:tc>
        <w:tc>
          <w:tcPr>
            <w:tcW w:w="735" w:type="dxa"/>
            <w:vAlign w:val="center"/>
          </w:tcPr>
          <w:p>
            <w:pPr>
              <w:pStyle w:val="25"/>
              <w:rPr>
                <w:sz w:val="21"/>
                <w:szCs w:val="21"/>
                <w:lang w:val="en-US"/>
              </w:rPr>
            </w:pPr>
          </w:p>
        </w:tc>
        <w:tc>
          <w:tcPr>
            <w:tcW w:w="971" w:type="dxa"/>
            <w:vMerge w:val="continue"/>
            <w:tcBorders>
              <w:right w:val="single" w:color="000000" w:sz="6" w:space="0"/>
            </w:tcBorders>
            <w:vAlign w:val="center"/>
          </w:tcPr>
          <w:p>
            <w:pPr>
              <w:pStyle w:val="25"/>
              <w:ind w:firstLine="0"/>
              <w:rPr>
                <w:sz w:val="21"/>
                <w:szCs w:val="21"/>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blHeader/>
          <w:jc w:val="center"/>
        </w:trPr>
        <w:tc>
          <w:tcPr>
            <w:tcW w:w="567" w:type="dxa"/>
            <w:tcBorders>
              <w:left w:val="single" w:color="000000" w:sz="6" w:space="0"/>
            </w:tcBorders>
            <w:vAlign w:val="center"/>
          </w:tcPr>
          <w:p>
            <w:pPr>
              <w:pStyle w:val="25"/>
              <w:ind w:firstLine="210" w:firstLineChars="100"/>
              <w:rPr>
                <w:sz w:val="21"/>
                <w:szCs w:val="21"/>
                <w:lang w:val="en-US"/>
              </w:rPr>
            </w:pPr>
            <w:r>
              <w:rPr>
                <w:rFonts w:hint="eastAsia"/>
                <w:sz w:val="21"/>
                <w:szCs w:val="21"/>
                <w:lang w:val="en-US"/>
              </w:rPr>
              <w:t>7</w:t>
            </w:r>
          </w:p>
        </w:tc>
        <w:tc>
          <w:tcPr>
            <w:tcW w:w="992" w:type="dxa"/>
            <w:vAlign w:val="center"/>
          </w:tcPr>
          <w:p>
            <w:pPr>
              <w:pStyle w:val="25"/>
              <w:ind w:firstLine="0"/>
              <w:jc w:val="center"/>
              <w:rPr>
                <w:sz w:val="21"/>
                <w:szCs w:val="21"/>
                <w:lang w:val="en-US"/>
              </w:rPr>
            </w:pPr>
            <w:r>
              <w:rPr>
                <w:rFonts w:hint="eastAsia"/>
                <w:sz w:val="21"/>
                <w:szCs w:val="21"/>
                <w:lang w:val="en-US"/>
              </w:rPr>
              <w:t>会务服务</w:t>
            </w:r>
          </w:p>
        </w:tc>
        <w:tc>
          <w:tcPr>
            <w:tcW w:w="5106" w:type="dxa"/>
            <w:vAlign w:val="center"/>
          </w:tcPr>
          <w:p>
            <w:pPr>
              <w:pStyle w:val="25"/>
              <w:ind w:firstLine="8" w:firstLineChars="4"/>
              <w:jc w:val="left"/>
              <w:rPr>
                <w:sz w:val="21"/>
                <w:szCs w:val="21"/>
                <w:lang w:val="en-US"/>
              </w:rPr>
            </w:pPr>
            <w:r>
              <w:rPr>
                <w:rFonts w:hint="eastAsia"/>
                <w:sz w:val="21"/>
                <w:szCs w:val="21"/>
                <w:lang w:val="en-US"/>
              </w:rPr>
              <w:t>1.会前准备充分，对有通知的会议室按会议要求提前３０分钟做好相应的准备工作（茶水、热水瓶储水等）。</w:t>
            </w:r>
          </w:p>
          <w:p>
            <w:pPr>
              <w:pStyle w:val="25"/>
              <w:ind w:firstLine="8" w:firstLineChars="4"/>
              <w:jc w:val="left"/>
              <w:rPr>
                <w:sz w:val="21"/>
                <w:szCs w:val="21"/>
                <w:lang w:val="en-US"/>
              </w:rPr>
            </w:pPr>
            <w:r>
              <w:rPr>
                <w:rFonts w:hint="eastAsia"/>
                <w:sz w:val="21"/>
                <w:szCs w:val="21"/>
                <w:lang w:val="en-US"/>
              </w:rPr>
              <w:t>2.会议结束后做好会议物品整理，茶具清洗、消毒，会议场地清扫，设施设备清点、检查、记录等会后服务。</w:t>
            </w:r>
          </w:p>
          <w:p>
            <w:pPr>
              <w:pStyle w:val="25"/>
              <w:ind w:firstLine="8" w:firstLineChars="4"/>
              <w:jc w:val="left"/>
              <w:rPr>
                <w:sz w:val="21"/>
                <w:szCs w:val="21"/>
                <w:lang w:val="en-US"/>
              </w:rPr>
            </w:pPr>
            <w:r>
              <w:rPr>
                <w:rFonts w:hint="eastAsia"/>
                <w:sz w:val="21"/>
                <w:szCs w:val="21"/>
                <w:lang w:val="en-US"/>
              </w:rPr>
              <w:t>3.对会议服务期间接触的会议信息、会议资料应严格保密。</w:t>
            </w:r>
          </w:p>
        </w:tc>
        <w:tc>
          <w:tcPr>
            <w:tcW w:w="709" w:type="dxa"/>
            <w:vAlign w:val="center"/>
          </w:tcPr>
          <w:p>
            <w:pPr>
              <w:pStyle w:val="25"/>
              <w:rPr>
                <w:sz w:val="21"/>
                <w:szCs w:val="21"/>
                <w:lang w:val="en-US"/>
              </w:rPr>
            </w:pPr>
            <w:r>
              <w:rPr>
                <w:rFonts w:hint="eastAsia"/>
                <w:sz w:val="21"/>
                <w:szCs w:val="21"/>
                <w:lang w:val="en-US"/>
              </w:rPr>
              <w:t>3</w:t>
            </w:r>
          </w:p>
        </w:tc>
        <w:tc>
          <w:tcPr>
            <w:tcW w:w="735" w:type="dxa"/>
            <w:vAlign w:val="center"/>
          </w:tcPr>
          <w:p>
            <w:pPr>
              <w:pStyle w:val="25"/>
              <w:rPr>
                <w:sz w:val="21"/>
                <w:szCs w:val="21"/>
                <w:lang w:val="en-US"/>
              </w:rPr>
            </w:pPr>
          </w:p>
        </w:tc>
        <w:tc>
          <w:tcPr>
            <w:tcW w:w="971" w:type="dxa"/>
            <w:tcBorders>
              <w:right w:val="single" w:color="000000" w:sz="6" w:space="0"/>
            </w:tcBorders>
            <w:vAlign w:val="center"/>
          </w:tcPr>
          <w:p>
            <w:pPr>
              <w:pStyle w:val="25"/>
              <w:ind w:firstLineChars="200"/>
              <w:rPr>
                <w:sz w:val="21"/>
                <w:szCs w:val="21"/>
                <w:lang w:val="en-US"/>
              </w:rPr>
            </w:pPr>
            <w:r>
              <w:rPr>
                <w:rFonts w:hint="eastAsia"/>
                <w:sz w:val="21"/>
                <w:szCs w:val="21"/>
                <w:lang w:val="en-US"/>
              </w:rPr>
              <w:t>完全符合得满分，部分符合相应 递减， 不符合得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tblHeader/>
          <w:jc w:val="center"/>
        </w:trPr>
        <w:tc>
          <w:tcPr>
            <w:tcW w:w="567" w:type="dxa"/>
            <w:tcBorders>
              <w:left w:val="single" w:color="000000" w:sz="6" w:space="0"/>
            </w:tcBorders>
            <w:vAlign w:val="center"/>
          </w:tcPr>
          <w:p>
            <w:pPr>
              <w:pStyle w:val="25"/>
              <w:ind w:firstLine="210" w:firstLineChars="100"/>
              <w:rPr>
                <w:sz w:val="21"/>
                <w:szCs w:val="21"/>
                <w:lang w:val="en-US"/>
              </w:rPr>
            </w:pPr>
            <w:r>
              <w:rPr>
                <w:rFonts w:hint="eastAsia"/>
                <w:sz w:val="21"/>
                <w:szCs w:val="21"/>
                <w:lang w:val="en-US"/>
              </w:rPr>
              <w:t>8</w:t>
            </w:r>
          </w:p>
        </w:tc>
        <w:tc>
          <w:tcPr>
            <w:tcW w:w="992" w:type="dxa"/>
            <w:vAlign w:val="center"/>
          </w:tcPr>
          <w:p>
            <w:pPr>
              <w:pStyle w:val="25"/>
              <w:ind w:firstLine="0"/>
              <w:rPr>
                <w:sz w:val="21"/>
                <w:szCs w:val="21"/>
                <w:lang w:val="en-US"/>
              </w:rPr>
            </w:pPr>
            <w:r>
              <w:rPr>
                <w:rFonts w:hint="eastAsia"/>
                <w:sz w:val="21"/>
                <w:szCs w:val="21"/>
                <w:lang w:val="en-US"/>
              </w:rPr>
              <w:t>投入设备、耗材等情况</w:t>
            </w:r>
          </w:p>
        </w:tc>
        <w:tc>
          <w:tcPr>
            <w:tcW w:w="5106" w:type="dxa"/>
            <w:vAlign w:val="center"/>
          </w:tcPr>
          <w:p>
            <w:pPr>
              <w:pStyle w:val="25"/>
              <w:ind w:firstLine="8" w:firstLineChars="4"/>
              <w:jc w:val="left"/>
              <w:rPr>
                <w:sz w:val="21"/>
                <w:szCs w:val="21"/>
                <w:lang w:val="en-US"/>
              </w:rPr>
            </w:pPr>
            <w:r>
              <w:rPr>
                <w:rFonts w:hint="eastAsia"/>
                <w:sz w:val="21"/>
                <w:szCs w:val="21"/>
                <w:lang w:val="en-US"/>
              </w:rPr>
              <w:t>投入本项目的设备情况与招标需求、投标承诺一致。</w:t>
            </w:r>
          </w:p>
        </w:tc>
        <w:tc>
          <w:tcPr>
            <w:tcW w:w="709" w:type="dxa"/>
            <w:vAlign w:val="center"/>
          </w:tcPr>
          <w:p>
            <w:pPr>
              <w:pStyle w:val="25"/>
              <w:rPr>
                <w:sz w:val="21"/>
                <w:szCs w:val="21"/>
                <w:lang w:val="en-US"/>
              </w:rPr>
            </w:pPr>
            <w:r>
              <w:rPr>
                <w:rFonts w:hint="eastAsia"/>
                <w:sz w:val="21"/>
                <w:szCs w:val="21"/>
                <w:lang w:val="en-US"/>
              </w:rPr>
              <w:t>3</w:t>
            </w:r>
          </w:p>
        </w:tc>
        <w:tc>
          <w:tcPr>
            <w:tcW w:w="735" w:type="dxa"/>
            <w:vAlign w:val="center"/>
          </w:tcPr>
          <w:p>
            <w:pPr>
              <w:pStyle w:val="25"/>
              <w:rPr>
                <w:sz w:val="21"/>
                <w:szCs w:val="21"/>
                <w:lang w:val="en-US"/>
              </w:rPr>
            </w:pPr>
          </w:p>
        </w:tc>
        <w:tc>
          <w:tcPr>
            <w:tcW w:w="971" w:type="dxa"/>
            <w:tcBorders>
              <w:right w:val="single" w:color="000000" w:sz="6" w:space="0"/>
            </w:tcBorders>
            <w:vAlign w:val="center"/>
          </w:tcPr>
          <w:p>
            <w:pPr>
              <w:pStyle w:val="25"/>
              <w:ind w:firstLine="0"/>
              <w:rPr>
                <w:sz w:val="21"/>
                <w:szCs w:val="21"/>
                <w:lang w:val="en-US"/>
              </w:rPr>
            </w:pPr>
            <w:r>
              <w:rPr>
                <w:rFonts w:hint="eastAsia"/>
                <w:sz w:val="21"/>
                <w:szCs w:val="21"/>
                <w:lang w:val="en-US"/>
              </w:rPr>
              <w:t>完全符合得满分，部分符合相应 递减， 不符合得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blHeader/>
          <w:jc w:val="center"/>
        </w:trPr>
        <w:tc>
          <w:tcPr>
            <w:tcW w:w="567" w:type="dxa"/>
            <w:vMerge w:val="restart"/>
            <w:tcBorders>
              <w:left w:val="single" w:color="000000" w:sz="6" w:space="0"/>
            </w:tcBorders>
            <w:vAlign w:val="center"/>
          </w:tcPr>
          <w:p>
            <w:pPr>
              <w:pStyle w:val="25"/>
              <w:ind w:firstLine="210" w:firstLineChars="100"/>
              <w:rPr>
                <w:sz w:val="21"/>
                <w:szCs w:val="21"/>
                <w:lang w:val="en-US"/>
              </w:rPr>
            </w:pPr>
            <w:r>
              <w:rPr>
                <w:rFonts w:hint="eastAsia"/>
                <w:sz w:val="21"/>
                <w:szCs w:val="21"/>
                <w:lang w:val="en-US"/>
              </w:rPr>
              <w:t>9</w:t>
            </w:r>
          </w:p>
        </w:tc>
        <w:tc>
          <w:tcPr>
            <w:tcW w:w="992" w:type="dxa"/>
            <w:vMerge w:val="restart"/>
            <w:vAlign w:val="center"/>
          </w:tcPr>
          <w:p>
            <w:pPr>
              <w:pStyle w:val="25"/>
              <w:rPr>
                <w:sz w:val="21"/>
                <w:szCs w:val="21"/>
                <w:lang w:val="en-US"/>
              </w:rPr>
            </w:pPr>
            <w:r>
              <w:rPr>
                <w:rFonts w:hint="eastAsia"/>
                <w:sz w:val="21"/>
                <w:szCs w:val="21"/>
                <w:lang w:val="en-US"/>
              </w:rPr>
              <w:t>投诉</w:t>
            </w:r>
          </w:p>
          <w:p>
            <w:pPr>
              <w:pStyle w:val="25"/>
              <w:rPr>
                <w:sz w:val="21"/>
                <w:szCs w:val="21"/>
                <w:lang w:val="en-US"/>
              </w:rPr>
            </w:pPr>
            <w:r>
              <w:rPr>
                <w:rFonts w:hint="eastAsia"/>
                <w:sz w:val="21"/>
                <w:szCs w:val="21"/>
                <w:lang w:val="en-US"/>
              </w:rPr>
              <w:t>检查</w:t>
            </w:r>
          </w:p>
          <w:p>
            <w:pPr>
              <w:pStyle w:val="25"/>
              <w:rPr>
                <w:sz w:val="21"/>
                <w:szCs w:val="21"/>
                <w:lang w:val="en-US"/>
              </w:rPr>
            </w:pPr>
            <w:r>
              <w:rPr>
                <w:rFonts w:hint="eastAsia"/>
                <w:sz w:val="21"/>
                <w:szCs w:val="21"/>
                <w:lang w:val="en-US"/>
              </w:rPr>
              <w:t>整改</w:t>
            </w:r>
          </w:p>
        </w:tc>
        <w:tc>
          <w:tcPr>
            <w:tcW w:w="5106" w:type="dxa"/>
            <w:vAlign w:val="center"/>
          </w:tcPr>
          <w:p>
            <w:pPr>
              <w:pStyle w:val="25"/>
              <w:ind w:firstLine="8" w:firstLineChars="4"/>
              <w:jc w:val="left"/>
              <w:rPr>
                <w:sz w:val="21"/>
                <w:szCs w:val="21"/>
                <w:lang w:val="en-US"/>
              </w:rPr>
            </w:pPr>
            <w:r>
              <w:rPr>
                <w:rFonts w:hint="eastAsia"/>
                <w:sz w:val="21"/>
                <w:szCs w:val="21"/>
                <w:lang w:val="en-US"/>
              </w:rPr>
              <w:t>1.建立完善的投诉响应机制， 并能妥善处理各类投诉及建议，给予投诉客户答复。要求人员服务有效投诉低于3%，处理率100%。</w:t>
            </w:r>
          </w:p>
        </w:tc>
        <w:tc>
          <w:tcPr>
            <w:tcW w:w="709" w:type="dxa"/>
            <w:vAlign w:val="center"/>
          </w:tcPr>
          <w:p>
            <w:pPr>
              <w:pStyle w:val="25"/>
              <w:rPr>
                <w:sz w:val="21"/>
                <w:szCs w:val="21"/>
                <w:lang w:val="en-US"/>
              </w:rPr>
            </w:pPr>
            <w:r>
              <w:rPr>
                <w:rFonts w:hint="eastAsia"/>
                <w:sz w:val="21"/>
                <w:szCs w:val="21"/>
                <w:lang w:val="en-US"/>
              </w:rPr>
              <w:t>2</w:t>
            </w:r>
          </w:p>
        </w:tc>
        <w:tc>
          <w:tcPr>
            <w:tcW w:w="735" w:type="dxa"/>
            <w:vAlign w:val="center"/>
          </w:tcPr>
          <w:p>
            <w:pPr>
              <w:pStyle w:val="25"/>
              <w:rPr>
                <w:sz w:val="21"/>
                <w:szCs w:val="21"/>
                <w:lang w:val="en-US"/>
              </w:rPr>
            </w:pPr>
          </w:p>
        </w:tc>
        <w:tc>
          <w:tcPr>
            <w:tcW w:w="971" w:type="dxa"/>
            <w:vMerge w:val="restart"/>
            <w:tcBorders>
              <w:right w:val="single" w:color="000000" w:sz="6" w:space="0"/>
            </w:tcBorders>
            <w:vAlign w:val="center"/>
          </w:tcPr>
          <w:p>
            <w:pPr>
              <w:pStyle w:val="25"/>
              <w:ind w:firstLine="0"/>
              <w:rPr>
                <w:sz w:val="21"/>
                <w:szCs w:val="21"/>
                <w:lang w:val="en-US"/>
              </w:rPr>
            </w:pPr>
            <w:r>
              <w:rPr>
                <w:sz w:val="21"/>
                <w:szCs w:val="21"/>
                <w:lang w:val="en-US"/>
              </w:rPr>
              <w:pict>
                <v:rect id="_x0000_s1034" o:spid="_x0000_s1034" o:spt="1" style="position:absolute;left:0pt;margin-left:794.9pt;margin-top:0.4pt;height:80.6pt;width:0.5pt;mso-position-horizontal-relative:page;mso-position-vertical-relative:page;z-index:251686912;mso-width-relative:page;mso-height-relative:page;" fillcolor="#000000" filled="t" stroked="f" coordsize="21600,21600" o:gfxdata="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tIRjXYAAAACgEAAA8AAAAAAAAAAQAgAAAAIgAAAGRycy9k&#10;b3ducmV2LnhtbFBLAQIUABQAAAAIAIdO4kBkPdJ+yQEAAJIDAAAOAAAAAAAAAAEAIAAAACcBAABk&#10;cnMvZTJvRG9jLnhtbFBLBQYAAAAABgAGAFkBAABiBQAAAAA=&#10;">
                  <v:path/>
                  <v:fill on="t" focussize="0,0"/>
                  <v:stroke on="f"/>
                  <v:imagedata o:title=""/>
                  <o:lock v:ext="edit"/>
                </v:rect>
              </w:pict>
            </w:r>
            <w:r>
              <w:rPr>
                <w:rFonts w:hint="eastAsia"/>
                <w:sz w:val="21"/>
                <w:szCs w:val="21"/>
                <w:lang w:val="en-US"/>
              </w:rPr>
              <w:t>①投诉事件经认定属实，未妥善处理或未答复，扣 1 分。</w:t>
            </w:r>
          </w:p>
          <w:p>
            <w:pPr>
              <w:pStyle w:val="25"/>
              <w:ind w:firstLine="0"/>
              <w:rPr>
                <w:sz w:val="21"/>
                <w:szCs w:val="21"/>
                <w:lang w:val="en-US"/>
              </w:rPr>
            </w:pPr>
            <w:r>
              <w:rPr>
                <w:rFonts w:hint="eastAsia"/>
                <w:sz w:val="21"/>
                <w:szCs w:val="21"/>
                <w:lang w:val="en-US"/>
              </w:rPr>
              <w:t>②完全符合得满分，部分符合相应递减，不符合得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blHeader/>
          <w:jc w:val="center"/>
        </w:trPr>
        <w:tc>
          <w:tcPr>
            <w:tcW w:w="567" w:type="dxa"/>
            <w:vMerge w:val="continue"/>
            <w:tcBorders>
              <w:left w:val="single" w:color="000000" w:sz="6" w:space="0"/>
            </w:tcBorders>
            <w:vAlign w:val="center"/>
          </w:tcPr>
          <w:p>
            <w:pPr>
              <w:pStyle w:val="25"/>
              <w:rPr>
                <w:sz w:val="21"/>
                <w:szCs w:val="21"/>
                <w:lang w:val="en-US"/>
              </w:rPr>
            </w:pPr>
          </w:p>
        </w:tc>
        <w:tc>
          <w:tcPr>
            <w:tcW w:w="992" w:type="dxa"/>
            <w:vMerge w:val="continue"/>
            <w:vAlign w:val="center"/>
          </w:tcPr>
          <w:p>
            <w:pPr>
              <w:pStyle w:val="25"/>
              <w:rPr>
                <w:sz w:val="21"/>
                <w:szCs w:val="21"/>
                <w:lang w:val="en-US"/>
              </w:rPr>
            </w:pPr>
          </w:p>
        </w:tc>
        <w:tc>
          <w:tcPr>
            <w:tcW w:w="5106" w:type="dxa"/>
            <w:vAlign w:val="center"/>
          </w:tcPr>
          <w:p>
            <w:pPr>
              <w:pStyle w:val="25"/>
              <w:ind w:firstLine="8" w:firstLineChars="4"/>
              <w:jc w:val="left"/>
              <w:rPr>
                <w:sz w:val="21"/>
                <w:szCs w:val="21"/>
                <w:lang w:val="en-US"/>
              </w:rPr>
            </w:pPr>
            <w:r>
              <w:rPr>
                <w:rFonts w:hint="eastAsia"/>
                <w:sz w:val="21"/>
                <w:szCs w:val="21"/>
                <w:lang w:val="en-US"/>
              </w:rPr>
              <w:t>2.检查整改有效落实。</w:t>
            </w:r>
          </w:p>
        </w:tc>
        <w:tc>
          <w:tcPr>
            <w:tcW w:w="709" w:type="dxa"/>
            <w:vAlign w:val="center"/>
          </w:tcPr>
          <w:p>
            <w:pPr>
              <w:pStyle w:val="25"/>
              <w:rPr>
                <w:sz w:val="21"/>
                <w:szCs w:val="21"/>
                <w:lang w:val="en-US"/>
              </w:rPr>
            </w:pPr>
            <w:r>
              <w:rPr>
                <w:rFonts w:hint="eastAsia"/>
                <w:sz w:val="21"/>
                <w:szCs w:val="21"/>
                <w:lang w:val="en-US"/>
              </w:rPr>
              <w:t>3</w:t>
            </w:r>
          </w:p>
        </w:tc>
        <w:tc>
          <w:tcPr>
            <w:tcW w:w="735" w:type="dxa"/>
            <w:vAlign w:val="center"/>
          </w:tcPr>
          <w:p>
            <w:pPr>
              <w:pStyle w:val="25"/>
              <w:rPr>
                <w:sz w:val="21"/>
                <w:szCs w:val="21"/>
                <w:lang w:val="en-US"/>
              </w:rPr>
            </w:pPr>
          </w:p>
        </w:tc>
        <w:tc>
          <w:tcPr>
            <w:tcW w:w="971" w:type="dxa"/>
            <w:vMerge w:val="continue"/>
            <w:tcBorders>
              <w:right w:val="single" w:color="000000" w:sz="6" w:space="0"/>
            </w:tcBorders>
            <w:vAlign w:val="center"/>
          </w:tcPr>
          <w:p>
            <w:pPr>
              <w:pStyle w:val="25"/>
              <w:ind w:firstLine="0"/>
              <w:rPr>
                <w:sz w:val="21"/>
                <w:szCs w:val="21"/>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blHeader/>
          <w:jc w:val="center"/>
        </w:trPr>
        <w:tc>
          <w:tcPr>
            <w:tcW w:w="567" w:type="dxa"/>
            <w:vMerge w:val="continue"/>
            <w:tcBorders>
              <w:left w:val="single" w:color="000000" w:sz="6" w:space="0"/>
            </w:tcBorders>
            <w:vAlign w:val="center"/>
          </w:tcPr>
          <w:p>
            <w:pPr>
              <w:pStyle w:val="25"/>
              <w:rPr>
                <w:sz w:val="21"/>
                <w:szCs w:val="21"/>
                <w:lang w:val="en-US"/>
              </w:rPr>
            </w:pPr>
          </w:p>
        </w:tc>
        <w:tc>
          <w:tcPr>
            <w:tcW w:w="992" w:type="dxa"/>
            <w:vMerge w:val="continue"/>
            <w:vAlign w:val="center"/>
          </w:tcPr>
          <w:p>
            <w:pPr>
              <w:pStyle w:val="25"/>
              <w:rPr>
                <w:sz w:val="21"/>
                <w:szCs w:val="21"/>
                <w:lang w:val="en-US"/>
              </w:rPr>
            </w:pPr>
          </w:p>
        </w:tc>
        <w:tc>
          <w:tcPr>
            <w:tcW w:w="5106" w:type="dxa"/>
            <w:vAlign w:val="center"/>
          </w:tcPr>
          <w:p>
            <w:pPr>
              <w:pStyle w:val="25"/>
              <w:ind w:firstLine="8" w:firstLineChars="4"/>
              <w:jc w:val="left"/>
              <w:rPr>
                <w:sz w:val="21"/>
                <w:szCs w:val="21"/>
                <w:lang w:val="en-US"/>
              </w:rPr>
            </w:pPr>
            <w:r>
              <w:rPr>
                <w:rFonts w:hint="eastAsia"/>
                <w:sz w:val="21"/>
                <w:szCs w:val="21"/>
                <w:lang w:val="en-US"/>
              </w:rPr>
              <w:t>3.无其它违反采购人相关规定之事项。</w:t>
            </w:r>
          </w:p>
        </w:tc>
        <w:tc>
          <w:tcPr>
            <w:tcW w:w="709" w:type="dxa"/>
            <w:vAlign w:val="center"/>
          </w:tcPr>
          <w:p>
            <w:pPr>
              <w:pStyle w:val="25"/>
              <w:rPr>
                <w:sz w:val="21"/>
                <w:szCs w:val="21"/>
                <w:lang w:val="en-US"/>
              </w:rPr>
            </w:pPr>
            <w:r>
              <w:rPr>
                <w:rFonts w:hint="eastAsia"/>
                <w:sz w:val="21"/>
                <w:szCs w:val="21"/>
                <w:lang w:val="en-US"/>
              </w:rPr>
              <w:t>3</w:t>
            </w:r>
          </w:p>
        </w:tc>
        <w:tc>
          <w:tcPr>
            <w:tcW w:w="735" w:type="dxa"/>
            <w:vAlign w:val="center"/>
          </w:tcPr>
          <w:p>
            <w:pPr>
              <w:pStyle w:val="25"/>
              <w:rPr>
                <w:sz w:val="21"/>
                <w:szCs w:val="21"/>
                <w:lang w:val="en-US"/>
              </w:rPr>
            </w:pPr>
          </w:p>
        </w:tc>
        <w:tc>
          <w:tcPr>
            <w:tcW w:w="971" w:type="dxa"/>
            <w:vMerge w:val="continue"/>
            <w:tcBorders>
              <w:right w:val="single" w:color="000000" w:sz="6" w:space="0"/>
            </w:tcBorders>
            <w:vAlign w:val="center"/>
          </w:tcPr>
          <w:p>
            <w:pPr>
              <w:pStyle w:val="25"/>
              <w:ind w:firstLine="0"/>
              <w:rPr>
                <w:sz w:val="21"/>
                <w:szCs w:val="21"/>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blHeader/>
          <w:jc w:val="center"/>
        </w:trPr>
        <w:tc>
          <w:tcPr>
            <w:tcW w:w="567" w:type="dxa"/>
            <w:tcBorders>
              <w:left w:val="single" w:color="000000" w:sz="6" w:space="0"/>
            </w:tcBorders>
            <w:vAlign w:val="center"/>
          </w:tcPr>
          <w:p>
            <w:pPr>
              <w:pStyle w:val="25"/>
              <w:ind w:firstLine="210" w:firstLineChars="100"/>
              <w:rPr>
                <w:sz w:val="21"/>
                <w:szCs w:val="21"/>
                <w:lang w:val="en-US"/>
              </w:rPr>
            </w:pPr>
            <w:r>
              <w:rPr>
                <w:rFonts w:hint="eastAsia"/>
                <w:sz w:val="21"/>
                <w:szCs w:val="21"/>
                <w:lang w:val="en-US"/>
              </w:rPr>
              <w:t>10</w:t>
            </w:r>
          </w:p>
        </w:tc>
        <w:tc>
          <w:tcPr>
            <w:tcW w:w="992" w:type="dxa"/>
            <w:vAlign w:val="center"/>
          </w:tcPr>
          <w:p>
            <w:pPr>
              <w:pStyle w:val="25"/>
              <w:ind w:firstLine="0"/>
              <w:jc w:val="center"/>
              <w:rPr>
                <w:sz w:val="21"/>
                <w:szCs w:val="21"/>
                <w:lang w:val="en-US"/>
              </w:rPr>
            </w:pPr>
            <w:r>
              <w:rPr>
                <w:rFonts w:hint="eastAsia"/>
                <w:sz w:val="21"/>
                <w:szCs w:val="21"/>
                <w:lang w:val="en-US"/>
              </w:rPr>
              <w:t>标准分</w:t>
            </w:r>
          </w:p>
        </w:tc>
        <w:tc>
          <w:tcPr>
            <w:tcW w:w="6550" w:type="dxa"/>
            <w:gridSpan w:val="3"/>
            <w:vAlign w:val="center"/>
          </w:tcPr>
          <w:p>
            <w:pPr>
              <w:pStyle w:val="25"/>
              <w:ind w:firstLine="8" w:firstLineChars="4"/>
              <w:jc w:val="left"/>
              <w:rPr>
                <w:sz w:val="21"/>
                <w:szCs w:val="21"/>
                <w:lang w:val="en-US"/>
              </w:rPr>
            </w:pPr>
          </w:p>
          <w:p>
            <w:pPr>
              <w:pStyle w:val="25"/>
              <w:ind w:firstLine="8" w:firstLineChars="4"/>
              <w:jc w:val="left"/>
              <w:rPr>
                <w:sz w:val="21"/>
                <w:szCs w:val="21"/>
                <w:lang w:val="en-US"/>
              </w:rPr>
            </w:pPr>
            <w:r>
              <w:rPr>
                <w:rFonts w:hint="eastAsia"/>
                <w:sz w:val="21"/>
                <w:szCs w:val="21"/>
                <w:lang w:val="en-US"/>
              </w:rPr>
              <w:tab/>
            </w:r>
            <w:r>
              <w:rPr>
                <w:rFonts w:hint="eastAsia"/>
                <w:sz w:val="21"/>
                <w:szCs w:val="21"/>
                <w:lang w:val="en-US"/>
              </w:rPr>
              <w:t>100分</w:t>
            </w:r>
          </w:p>
        </w:tc>
        <w:tc>
          <w:tcPr>
            <w:tcW w:w="971" w:type="dxa"/>
            <w:tcBorders>
              <w:right w:val="single" w:color="000000" w:sz="6" w:space="0"/>
            </w:tcBorders>
            <w:vAlign w:val="center"/>
          </w:tcPr>
          <w:p>
            <w:pPr>
              <w:pStyle w:val="25"/>
              <w:ind w:firstLine="0"/>
              <w:rPr>
                <w:sz w:val="21"/>
                <w:szCs w:val="21"/>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blHeader/>
          <w:jc w:val="center"/>
        </w:trPr>
        <w:tc>
          <w:tcPr>
            <w:tcW w:w="567" w:type="dxa"/>
            <w:tcBorders>
              <w:left w:val="single" w:color="000000" w:sz="6" w:space="0"/>
            </w:tcBorders>
            <w:vAlign w:val="center"/>
          </w:tcPr>
          <w:p>
            <w:pPr>
              <w:pStyle w:val="25"/>
              <w:ind w:firstLine="210" w:firstLineChars="100"/>
              <w:rPr>
                <w:sz w:val="21"/>
                <w:szCs w:val="21"/>
                <w:lang w:val="en-US"/>
              </w:rPr>
            </w:pPr>
            <w:r>
              <w:rPr>
                <w:rFonts w:hint="eastAsia"/>
                <w:sz w:val="21"/>
                <w:szCs w:val="21"/>
                <w:lang w:val="en-US"/>
              </w:rPr>
              <w:t>11</w:t>
            </w:r>
          </w:p>
        </w:tc>
        <w:tc>
          <w:tcPr>
            <w:tcW w:w="992" w:type="dxa"/>
            <w:vAlign w:val="center"/>
          </w:tcPr>
          <w:p>
            <w:pPr>
              <w:pStyle w:val="25"/>
              <w:ind w:firstLine="0"/>
              <w:jc w:val="center"/>
              <w:rPr>
                <w:sz w:val="21"/>
                <w:szCs w:val="21"/>
                <w:lang w:val="en-US"/>
              </w:rPr>
            </w:pPr>
            <w:r>
              <w:rPr>
                <w:rFonts w:hint="eastAsia"/>
                <w:sz w:val="21"/>
                <w:szCs w:val="21"/>
                <w:lang w:val="en-US"/>
              </w:rPr>
              <w:t>总得分</w:t>
            </w:r>
          </w:p>
        </w:tc>
        <w:tc>
          <w:tcPr>
            <w:tcW w:w="6550" w:type="dxa"/>
            <w:gridSpan w:val="3"/>
            <w:vAlign w:val="center"/>
          </w:tcPr>
          <w:p>
            <w:pPr>
              <w:pStyle w:val="25"/>
              <w:ind w:firstLine="8" w:firstLineChars="4"/>
              <w:jc w:val="left"/>
              <w:rPr>
                <w:sz w:val="21"/>
                <w:szCs w:val="21"/>
                <w:lang w:val="en-US"/>
              </w:rPr>
            </w:pPr>
          </w:p>
        </w:tc>
        <w:tc>
          <w:tcPr>
            <w:tcW w:w="971" w:type="dxa"/>
            <w:tcBorders>
              <w:right w:val="single" w:color="000000" w:sz="6" w:space="0"/>
            </w:tcBorders>
            <w:vAlign w:val="center"/>
          </w:tcPr>
          <w:p>
            <w:pPr>
              <w:pStyle w:val="25"/>
              <w:ind w:firstLine="0"/>
              <w:rPr>
                <w:sz w:val="21"/>
                <w:szCs w:val="21"/>
                <w:lang w:val="en-US"/>
              </w:rPr>
            </w:pPr>
          </w:p>
        </w:tc>
      </w:tr>
    </w:tbl>
    <w:p>
      <w:pPr>
        <w:adjustRightInd/>
        <w:spacing w:line="360" w:lineRule="auto"/>
        <w:outlineLvl w:val="0"/>
        <w:rPr>
          <w:rFonts w:hint="eastAsia" w:cs="仿宋_GB2312" w:asciiTheme="minorEastAsia" w:hAnsiTheme="minorEastAsia" w:eastAsiaTheme="minorEastAsia"/>
          <w:b/>
          <w:sz w:val="36"/>
          <w:szCs w:val="36"/>
        </w:rPr>
      </w:pPr>
    </w:p>
    <w:p>
      <w:pPr>
        <w:pStyle w:val="2"/>
        <w:ind w:firstLine="420"/>
        <w:rPr>
          <w:rFonts w:hint="eastAsia"/>
        </w:rPr>
      </w:pPr>
    </w:p>
    <w:p>
      <w:pPr>
        <w:pStyle w:val="2"/>
        <w:ind w:firstLine="420"/>
        <w:rPr>
          <w:rFonts w:hint="eastAsia"/>
        </w:rPr>
      </w:pPr>
    </w:p>
    <w:p>
      <w:pPr>
        <w:pStyle w:val="2"/>
        <w:ind w:firstLine="420"/>
        <w:rPr>
          <w:rFonts w:hint="eastAsia"/>
        </w:rPr>
      </w:pPr>
    </w:p>
    <w:p>
      <w:pPr>
        <w:pStyle w:val="2"/>
        <w:ind w:firstLine="420"/>
        <w:rPr>
          <w:rFonts w:hint="eastAsia"/>
        </w:rPr>
      </w:pPr>
    </w:p>
    <w:p>
      <w:pPr>
        <w:pStyle w:val="2"/>
        <w:ind w:firstLine="420"/>
        <w:rPr>
          <w:rFonts w:hint="eastAsia"/>
        </w:rPr>
      </w:pPr>
    </w:p>
    <w:p>
      <w:pPr>
        <w:pStyle w:val="2"/>
        <w:ind w:firstLine="420"/>
        <w:rPr>
          <w:rFonts w:hint="eastAsia"/>
        </w:rPr>
      </w:pPr>
    </w:p>
    <w:p>
      <w:pPr>
        <w:pStyle w:val="2"/>
        <w:ind w:firstLine="420"/>
        <w:rPr>
          <w:rFonts w:hint="eastAsia"/>
        </w:rPr>
      </w:pPr>
    </w:p>
    <w:p>
      <w:pPr>
        <w:pStyle w:val="2"/>
        <w:ind w:firstLine="420"/>
        <w:rPr>
          <w:rFonts w:hint="eastAsia"/>
        </w:rPr>
      </w:pPr>
    </w:p>
    <w:p>
      <w:pPr>
        <w:pStyle w:val="2"/>
        <w:ind w:firstLine="420"/>
        <w:rPr>
          <w:rFonts w:hint="eastAsia"/>
        </w:rPr>
      </w:pPr>
    </w:p>
    <w:p>
      <w:pPr>
        <w:pStyle w:val="2"/>
        <w:ind w:firstLine="420"/>
        <w:rPr>
          <w:rFonts w:hint="eastAsia"/>
        </w:rPr>
      </w:pPr>
    </w:p>
    <w:p>
      <w:pPr>
        <w:pStyle w:val="2"/>
        <w:ind w:firstLine="420"/>
        <w:rPr>
          <w:rFonts w:hint="eastAsia"/>
        </w:rPr>
      </w:pPr>
    </w:p>
    <w:p>
      <w:pPr>
        <w:pStyle w:val="2"/>
        <w:ind w:firstLine="420"/>
        <w:rPr>
          <w:rFonts w:hint="eastAsia"/>
        </w:rPr>
      </w:pPr>
    </w:p>
    <w:p>
      <w:pPr>
        <w:pStyle w:val="2"/>
        <w:ind w:firstLine="420"/>
        <w:rPr>
          <w:rFonts w:hint="eastAsia"/>
        </w:rPr>
      </w:pPr>
    </w:p>
    <w:p>
      <w:pPr>
        <w:pStyle w:val="2"/>
        <w:ind w:firstLine="420"/>
        <w:rPr>
          <w:rFonts w:hint="eastAsia"/>
        </w:rPr>
      </w:pPr>
    </w:p>
    <w:p>
      <w:pPr>
        <w:pStyle w:val="2"/>
        <w:ind w:firstLine="420"/>
        <w:rPr>
          <w:rFonts w:hint="eastAsia"/>
        </w:rPr>
      </w:pPr>
    </w:p>
    <w:p>
      <w:pPr>
        <w:pStyle w:val="2"/>
        <w:ind w:firstLine="420"/>
        <w:rPr>
          <w:rFonts w:hint="eastAsia"/>
        </w:rPr>
      </w:pPr>
    </w:p>
    <w:p>
      <w:pPr>
        <w:pStyle w:val="2"/>
        <w:ind w:firstLine="420"/>
        <w:rPr>
          <w:rFonts w:hint="eastAsia"/>
        </w:rPr>
      </w:pPr>
    </w:p>
    <w:p>
      <w:pPr>
        <w:pStyle w:val="2"/>
        <w:ind w:firstLine="420"/>
        <w:rPr>
          <w:rFonts w:hint="eastAsia"/>
        </w:rPr>
      </w:pPr>
    </w:p>
    <w:p>
      <w:pPr>
        <w:pStyle w:val="2"/>
        <w:ind w:firstLine="420"/>
        <w:rPr>
          <w:rFonts w:hint="eastAsia"/>
        </w:rPr>
      </w:pPr>
    </w:p>
    <w:p>
      <w:pPr>
        <w:pStyle w:val="2"/>
        <w:ind w:firstLine="420"/>
        <w:rPr>
          <w:rFonts w:hint="eastAsia"/>
        </w:rPr>
      </w:pPr>
    </w:p>
    <w:p>
      <w:pPr>
        <w:pStyle w:val="2"/>
        <w:ind w:firstLine="420"/>
      </w:pPr>
    </w:p>
    <w:p>
      <w:pPr>
        <w:adjustRightInd/>
        <w:spacing w:line="360" w:lineRule="auto"/>
        <w:jc w:val="center"/>
        <w:outlineLvl w:val="0"/>
        <w:rPr>
          <w:rFonts w:cs="仿宋_GB2312" w:asciiTheme="minorEastAsia" w:hAnsiTheme="minorEastAsia" w:eastAsiaTheme="minorEastAsia"/>
          <w:b/>
          <w:sz w:val="36"/>
          <w:szCs w:val="36"/>
        </w:rPr>
      </w:pPr>
    </w:p>
    <w:p>
      <w:pPr>
        <w:adjustRightInd/>
        <w:spacing w:line="360" w:lineRule="auto"/>
        <w:jc w:val="center"/>
        <w:outlineLvl w:val="0"/>
        <w:rPr>
          <w:rFonts w:hint="eastAsia" w:cs="仿宋_GB2312" w:asciiTheme="minorEastAsia" w:hAnsiTheme="minorEastAsia" w:eastAsiaTheme="minorEastAsia"/>
          <w:b/>
          <w:sz w:val="36"/>
          <w:szCs w:val="36"/>
        </w:rPr>
      </w:pPr>
    </w:p>
    <w:p>
      <w:pPr>
        <w:adjustRightInd/>
        <w:spacing w:line="360" w:lineRule="auto"/>
        <w:jc w:val="center"/>
        <w:outlineLvl w:val="0"/>
        <w:rPr>
          <w:rFonts w:hint="eastAsia" w:cs="仿宋_GB2312" w:asciiTheme="minorEastAsia" w:hAnsiTheme="minorEastAsia" w:eastAsiaTheme="minorEastAsia"/>
          <w:b/>
          <w:sz w:val="36"/>
          <w:szCs w:val="36"/>
        </w:rPr>
      </w:pPr>
    </w:p>
    <w:p>
      <w:pPr>
        <w:adjustRightInd/>
        <w:spacing w:line="360" w:lineRule="auto"/>
        <w:jc w:val="center"/>
        <w:outlineLvl w:val="0"/>
        <w:rPr>
          <w:rFonts w:hint="eastAsia" w:cs="仿宋_GB2312" w:asciiTheme="minorEastAsia" w:hAnsiTheme="minorEastAsia" w:eastAsiaTheme="minorEastAsia"/>
          <w:b/>
          <w:sz w:val="36"/>
          <w:szCs w:val="36"/>
        </w:rPr>
      </w:pPr>
    </w:p>
    <w:p>
      <w:pPr>
        <w:adjustRightInd/>
        <w:spacing w:line="360" w:lineRule="auto"/>
        <w:jc w:val="center"/>
        <w:outlineLvl w:val="0"/>
        <w:rPr>
          <w:rFonts w:hint="eastAsia" w:cs="仿宋_GB2312" w:asciiTheme="minorEastAsia" w:hAnsiTheme="minorEastAsia" w:eastAsiaTheme="minorEastAsia"/>
          <w:b/>
          <w:sz w:val="36"/>
          <w:szCs w:val="36"/>
        </w:rPr>
      </w:pPr>
    </w:p>
    <w:p>
      <w:pPr>
        <w:adjustRightInd/>
        <w:spacing w:line="360" w:lineRule="auto"/>
        <w:jc w:val="center"/>
        <w:outlineLvl w:val="0"/>
        <w:rPr>
          <w:rFonts w:hint="eastAsia" w:cs="仿宋_GB2312" w:asciiTheme="minorEastAsia" w:hAnsiTheme="minorEastAsia" w:eastAsiaTheme="minorEastAsia"/>
          <w:b/>
          <w:sz w:val="36"/>
          <w:szCs w:val="36"/>
        </w:rPr>
      </w:pP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63"/>
      <w:bookmarkEnd w:id="64"/>
      <w:bookmarkStart w:id="66" w:name="第四部分"/>
      <w:r>
        <w:rPr>
          <w:rFonts w:hint="eastAsia" w:cs="仿宋_GB2312" w:asciiTheme="minorEastAsia" w:hAnsiTheme="minorEastAsia" w:eastAsiaTheme="minorEastAsia"/>
          <w:b/>
          <w:sz w:val="36"/>
          <w:szCs w:val="36"/>
        </w:rPr>
        <w:t>评审方法及评审标准</w:t>
      </w:r>
    </w:p>
    <w:p>
      <w:pPr>
        <w:pStyle w:val="392"/>
        <w:spacing w:before="0"/>
        <w:ind w:firstLine="643"/>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tbl>
      <w:tblPr>
        <w:tblStyle w:val="61"/>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4860"/>
        <w:gridCol w:w="720"/>
        <w:gridCol w:w="1296"/>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pPr>
              <w:widowControl/>
              <w:spacing w:after="120"/>
              <w:jc w:val="center"/>
              <w:rPr>
                <w:rFonts w:ascii="宋体" w:hAnsi="宋体" w:cs="宋体"/>
                <w:sz w:val="24"/>
                <w:lang w:val="zh-CN"/>
              </w:rPr>
            </w:pPr>
            <w:r>
              <w:rPr>
                <w:rFonts w:hint="eastAsia" w:ascii="宋体" w:hAnsi="宋体" w:cs="宋体"/>
                <w:sz w:val="24"/>
                <w:lang w:val="zh-CN"/>
              </w:rPr>
              <w:t>序号</w:t>
            </w:r>
          </w:p>
        </w:tc>
        <w:tc>
          <w:tcPr>
            <w:tcW w:w="4860" w:type="dxa"/>
            <w:vAlign w:val="center"/>
          </w:tcPr>
          <w:p>
            <w:pPr>
              <w:widowControl/>
              <w:spacing w:after="120"/>
              <w:jc w:val="center"/>
              <w:rPr>
                <w:rFonts w:ascii="宋体" w:hAnsi="宋体" w:cs="宋体"/>
                <w:sz w:val="24"/>
                <w:lang w:val="zh-CN"/>
              </w:rPr>
            </w:pPr>
            <w:r>
              <w:rPr>
                <w:rFonts w:hint="eastAsia" w:ascii="宋体" w:hAnsi="宋体" w:cs="宋体"/>
                <w:sz w:val="24"/>
                <w:lang w:val="zh-CN"/>
              </w:rPr>
              <w:t>评审标准</w:t>
            </w:r>
          </w:p>
        </w:tc>
        <w:tc>
          <w:tcPr>
            <w:tcW w:w="720" w:type="dxa"/>
            <w:vAlign w:val="center"/>
          </w:tcPr>
          <w:p>
            <w:pPr>
              <w:widowControl/>
              <w:spacing w:after="120"/>
              <w:jc w:val="center"/>
              <w:rPr>
                <w:rFonts w:ascii="宋体" w:hAnsi="宋体" w:cs="宋体"/>
                <w:sz w:val="24"/>
                <w:lang w:val="zh-CN"/>
              </w:rPr>
            </w:pPr>
            <w:r>
              <w:rPr>
                <w:rFonts w:hint="eastAsia" w:ascii="宋体" w:hAnsi="宋体" w:cs="宋体"/>
                <w:sz w:val="24"/>
                <w:lang w:val="zh-CN"/>
              </w:rPr>
              <w:t>权重</w:t>
            </w:r>
          </w:p>
        </w:tc>
        <w:tc>
          <w:tcPr>
            <w:tcW w:w="1296" w:type="dxa"/>
            <w:vAlign w:val="center"/>
          </w:tcPr>
          <w:p>
            <w:pPr>
              <w:widowControl/>
              <w:spacing w:after="120"/>
              <w:jc w:val="center"/>
              <w:rPr>
                <w:rFonts w:ascii="宋体" w:hAnsi="宋体" w:cs="宋体"/>
                <w:sz w:val="24"/>
                <w:lang w:val="zh-CN"/>
              </w:rPr>
            </w:pPr>
            <w:r>
              <w:rPr>
                <w:rFonts w:hint="eastAsia" w:ascii="宋体" w:hAnsi="宋体" w:cs="宋体"/>
                <w:sz w:val="24"/>
                <w:lang w:val="zh-CN"/>
              </w:rPr>
              <w:t>主观分/客观分属性</w:t>
            </w:r>
          </w:p>
        </w:tc>
        <w:tc>
          <w:tcPr>
            <w:tcW w:w="2051" w:type="dxa"/>
            <w:vAlign w:val="center"/>
          </w:tcPr>
          <w:p>
            <w:pPr>
              <w:widowControl/>
              <w:spacing w:after="120"/>
              <w:jc w:val="center"/>
              <w:rPr>
                <w:rFonts w:ascii="宋体" w:hAnsi="宋体" w:cs="宋体"/>
                <w:sz w:val="24"/>
                <w:lang w:val="zh-CN"/>
              </w:rPr>
            </w:pPr>
            <w:r>
              <w:rPr>
                <w:rFonts w:hint="eastAsia" w:ascii="宋体" w:hAnsi="宋体" w:cs="宋体"/>
                <w:sz w:val="24"/>
                <w:lang w:val="zh-CN"/>
              </w:rPr>
              <w:t>磋商文件中评审标准相应的商务技术资料目录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pPr>
              <w:widowControl/>
              <w:spacing w:after="120"/>
              <w:jc w:val="left"/>
              <w:rPr>
                <w:rFonts w:ascii="宋体" w:hAnsi="宋体" w:cs="宋体"/>
                <w:sz w:val="24"/>
                <w:lang w:val="zh-CN"/>
              </w:rPr>
            </w:pPr>
            <w:r>
              <w:rPr>
                <w:rFonts w:hint="eastAsia" w:ascii="宋体" w:hAnsi="宋体" w:cs="宋体"/>
                <w:sz w:val="24"/>
                <w:lang w:val="zh-CN"/>
              </w:rPr>
              <w:t>1</w:t>
            </w:r>
          </w:p>
        </w:tc>
        <w:tc>
          <w:tcPr>
            <w:tcW w:w="4860" w:type="dxa"/>
            <w:vAlign w:val="center"/>
          </w:tcPr>
          <w:p>
            <w:pPr>
              <w:widowControl/>
              <w:spacing w:after="120"/>
              <w:jc w:val="left"/>
              <w:rPr>
                <w:rFonts w:ascii="宋体" w:hAnsi="宋体" w:cs="宋体"/>
                <w:sz w:val="24"/>
                <w:lang w:val="zh-CN"/>
              </w:rPr>
            </w:pPr>
            <w:r>
              <w:rPr>
                <w:rFonts w:hint="eastAsia" w:ascii="宋体" w:hAnsi="宋体" w:cs="宋体"/>
                <w:sz w:val="24"/>
                <w:lang w:val="zh-CN"/>
              </w:rPr>
              <w:t>物业管理服务理念：</w:t>
            </w:r>
          </w:p>
          <w:p>
            <w:pPr>
              <w:widowControl/>
              <w:spacing w:after="120"/>
              <w:jc w:val="left"/>
              <w:rPr>
                <w:rFonts w:ascii="宋体" w:hAnsi="宋体" w:cs="宋体"/>
                <w:sz w:val="24"/>
                <w:lang w:val="zh-CN"/>
              </w:rPr>
            </w:pPr>
            <w:r>
              <w:rPr>
                <w:rFonts w:hint="eastAsia" w:ascii="宋体" w:hAnsi="宋体" w:cs="宋体"/>
                <w:sz w:val="24"/>
                <w:lang w:val="zh-CN"/>
              </w:rPr>
              <w:t>根据本项目物业管理特点提出合理的物业管理服务理念，提出服务定位、目标，投标人的管理模式是否能够切合实际，且安全可行，保密性、安全性、文明服务的计划及承诺情况综合打分.优秀：全部达到采购需求且契合实际要求得5分；良好：能较好符合采购需求但存在轻微瑕疵得4分；一般：基本符合采购需求，但存在多处瑕疵得3分；较差：提供内容较少且合理性可行性均存在瑕疵得2分；差：提供内容极少且存在严重缺陷漏洞得1分。不提供不得分。</w:t>
            </w:r>
          </w:p>
        </w:tc>
        <w:tc>
          <w:tcPr>
            <w:tcW w:w="720" w:type="dxa"/>
            <w:vAlign w:val="center"/>
          </w:tcPr>
          <w:p>
            <w:pPr>
              <w:widowControl/>
              <w:spacing w:after="120"/>
              <w:jc w:val="center"/>
              <w:rPr>
                <w:rFonts w:ascii="宋体" w:hAnsi="宋体" w:cs="宋体"/>
                <w:sz w:val="24"/>
                <w:lang w:val="zh-CN"/>
              </w:rPr>
            </w:pPr>
            <w:r>
              <w:rPr>
                <w:rFonts w:hint="eastAsia" w:ascii="宋体" w:hAnsi="宋体" w:cs="宋体"/>
                <w:sz w:val="24"/>
                <w:lang w:val="zh-CN"/>
              </w:rPr>
              <w:t>5</w:t>
            </w:r>
          </w:p>
        </w:tc>
        <w:tc>
          <w:tcPr>
            <w:tcW w:w="1296" w:type="dxa"/>
            <w:vAlign w:val="center"/>
          </w:tcPr>
          <w:p>
            <w:pPr>
              <w:widowControl/>
              <w:spacing w:after="120"/>
              <w:jc w:val="center"/>
              <w:rPr>
                <w:rFonts w:ascii="宋体" w:hAnsi="宋体" w:cs="宋体"/>
                <w:sz w:val="24"/>
                <w:lang w:val="zh-CN"/>
              </w:rPr>
            </w:pPr>
            <w:r>
              <w:rPr>
                <w:rFonts w:hint="eastAsia" w:ascii="宋体" w:hAnsi="宋体" w:cs="宋体"/>
                <w:sz w:val="24"/>
                <w:lang w:val="zh-CN"/>
              </w:rPr>
              <w:t>主观</w:t>
            </w:r>
          </w:p>
        </w:tc>
        <w:tc>
          <w:tcPr>
            <w:tcW w:w="2051" w:type="dxa"/>
            <w:vAlign w:val="center"/>
          </w:tcPr>
          <w:p>
            <w:pPr>
              <w:pStyle w:val="392"/>
              <w:widowControl/>
              <w:spacing w:before="0" w:after="120" w:line="240" w:lineRule="auto"/>
              <w:ind w:firstLine="0" w:firstLineChars="0"/>
              <w:jc w:val="left"/>
              <w:rPr>
                <w:rFonts w:ascii="宋体" w:hAnsi="宋体" w:cs="宋体"/>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745" w:type="dxa"/>
            <w:vAlign w:val="center"/>
          </w:tcPr>
          <w:p>
            <w:pPr>
              <w:widowControl/>
              <w:spacing w:after="120"/>
              <w:jc w:val="left"/>
              <w:rPr>
                <w:rFonts w:ascii="宋体" w:hAnsi="宋体" w:cs="宋体"/>
                <w:sz w:val="24"/>
                <w:lang w:val="zh-CN"/>
              </w:rPr>
            </w:pPr>
            <w:r>
              <w:rPr>
                <w:rFonts w:hint="eastAsia" w:ascii="宋体" w:hAnsi="宋体" w:cs="宋体"/>
                <w:sz w:val="24"/>
                <w:lang w:val="zh-CN"/>
              </w:rPr>
              <w:t>2</w:t>
            </w:r>
          </w:p>
        </w:tc>
        <w:tc>
          <w:tcPr>
            <w:tcW w:w="4860" w:type="dxa"/>
            <w:vAlign w:val="center"/>
          </w:tcPr>
          <w:p>
            <w:pPr>
              <w:widowControl/>
              <w:spacing w:after="120"/>
              <w:jc w:val="left"/>
              <w:rPr>
                <w:rFonts w:ascii="宋体" w:hAnsi="宋体" w:cs="宋体"/>
                <w:sz w:val="24"/>
                <w:lang w:val="zh-CN"/>
              </w:rPr>
            </w:pPr>
            <w:r>
              <w:rPr>
                <w:rFonts w:hint="eastAsia" w:ascii="宋体" w:hAnsi="宋体" w:cs="宋体"/>
                <w:sz w:val="24"/>
                <w:lang w:val="zh-CN"/>
              </w:rPr>
              <w:t>物业管理组织架构：</w:t>
            </w:r>
          </w:p>
          <w:p>
            <w:pPr>
              <w:widowControl/>
              <w:spacing w:after="120"/>
              <w:jc w:val="left"/>
              <w:rPr>
                <w:rFonts w:ascii="宋体" w:hAnsi="宋体" w:cs="宋体"/>
                <w:sz w:val="24"/>
                <w:lang w:val="zh-CN"/>
              </w:rPr>
            </w:pPr>
            <w:r>
              <w:rPr>
                <w:rFonts w:hint="eastAsia" w:ascii="宋体" w:hAnsi="宋体" w:cs="宋体"/>
                <w:sz w:val="24"/>
                <w:lang w:val="zh-CN"/>
              </w:rPr>
              <w:t>有比较完善的组织架构，清晰简练地列出主要管理流程，包括对运作流程图、激励机制、监督机制、自我约束机制、信息反馈渠道及处理机制，管理指标承诺达到物业管理标准。优秀：全部达到采购需求且契合实际要求得5分；良好：能较好符合采购需求但存在轻微瑕疵得4分；一般：基本符合采购需求，但存在多处瑕疵得3分；较差：提供内容较少且合理性可行性均存在瑕疵得2分；差：提供内容极少且存在严重缺陷漏洞得1分。不提供不得分。</w:t>
            </w:r>
          </w:p>
        </w:tc>
        <w:tc>
          <w:tcPr>
            <w:tcW w:w="720" w:type="dxa"/>
            <w:vAlign w:val="center"/>
          </w:tcPr>
          <w:p>
            <w:pPr>
              <w:widowControl/>
              <w:spacing w:after="120"/>
              <w:jc w:val="center"/>
              <w:rPr>
                <w:rFonts w:ascii="宋体" w:hAnsi="宋体" w:cs="宋体"/>
                <w:sz w:val="24"/>
                <w:lang w:val="zh-CN"/>
              </w:rPr>
            </w:pPr>
            <w:r>
              <w:rPr>
                <w:rFonts w:hint="eastAsia" w:ascii="宋体" w:hAnsi="宋体" w:cs="宋体"/>
                <w:sz w:val="24"/>
                <w:lang w:val="zh-CN"/>
              </w:rPr>
              <w:t>5</w:t>
            </w:r>
          </w:p>
        </w:tc>
        <w:tc>
          <w:tcPr>
            <w:tcW w:w="1296" w:type="dxa"/>
            <w:vAlign w:val="center"/>
          </w:tcPr>
          <w:p>
            <w:pPr>
              <w:widowControl/>
              <w:spacing w:after="120"/>
              <w:jc w:val="center"/>
              <w:rPr>
                <w:rFonts w:ascii="宋体" w:hAnsi="宋体" w:cs="宋体"/>
                <w:sz w:val="24"/>
                <w:lang w:val="zh-CN"/>
              </w:rPr>
            </w:pPr>
            <w:r>
              <w:rPr>
                <w:rFonts w:hint="eastAsia" w:ascii="宋体" w:hAnsi="宋体" w:cs="宋体"/>
                <w:sz w:val="24"/>
                <w:lang w:val="zh-CN"/>
              </w:rPr>
              <w:t>主观</w:t>
            </w:r>
          </w:p>
        </w:tc>
        <w:tc>
          <w:tcPr>
            <w:tcW w:w="2051" w:type="dxa"/>
            <w:vAlign w:val="center"/>
          </w:tcPr>
          <w:p>
            <w:pPr>
              <w:pStyle w:val="392"/>
              <w:widowControl/>
              <w:spacing w:before="0" w:after="120" w:line="240" w:lineRule="auto"/>
              <w:ind w:firstLine="0" w:firstLineChars="0"/>
              <w:jc w:val="left"/>
              <w:rPr>
                <w:rFonts w:ascii="宋体" w:hAnsi="宋体" w:cs="宋体"/>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pPr>
              <w:widowControl/>
              <w:spacing w:after="120"/>
              <w:jc w:val="left"/>
              <w:rPr>
                <w:rFonts w:ascii="宋体" w:hAnsi="宋体" w:cs="宋体"/>
                <w:sz w:val="24"/>
                <w:lang w:val="zh-CN"/>
              </w:rPr>
            </w:pPr>
            <w:r>
              <w:rPr>
                <w:rFonts w:hint="eastAsia" w:ascii="宋体" w:hAnsi="宋体" w:cs="宋体"/>
                <w:sz w:val="24"/>
                <w:lang w:val="zh-CN"/>
              </w:rPr>
              <w:t>3</w:t>
            </w:r>
          </w:p>
        </w:tc>
        <w:tc>
          <w:tcPr>
            <w:tcW w:w="4860" w:type="dxa"/>
          </w:tcPr>
          <w:p>
            <w:pPr>
              <w:widowControl/>
              <w:spacing w:after="120"/>
              <w:jc w:val="left"/>
              <w:rPr>
                <w:rFonts w:ascii="宋体" w:hAnsi="宋体" w:cs="宋体"/>
                <w:sz w:val="24"/>
                <w:lang w:val="zh-CN"/>
              </w:rPr>
            </w:pPr>
            <w:r>
              <w:rPr>
                <w:rFonts w:hint="eastAsia" w:ascii="宋体" w:hAnsi="宋体" w:cs="宋体"/>
                <w:sz w:val="24"/>
                <w:lang w:val="zh-CN"/>
              </w:rPr>
              <w:t>物业管理制度情况：</w:t>
            </w:r>
          </w:p>
          <w:p>
            <w:pPr>
              <w:widowControl/>
              <w:spacing w:after="120"/>
              <w:jc w:val="left"/>
              <w:rPr>
                <w:rFonts w:ascii="宋体" w:hAnsi="宋体" w:cs="宋体"/>
                <w:sz w:val="24"/>
                <w:lang w:val="zh-CN"/>
              </w:rPr>
            </w:pPr>
            <w:r>
              <w:rPr>
                <w:rFonts w:hint="eastAsia" w:ascii="宋体" w:hAnsi="宋体" w:cs="宋体"/>
                <w:sz w:val="24"/>
                <w:lang w:val="zh-CN"/>
              </w:rPr>
              <w:t>有完善的物业管理制度、作业流程，并建立和完善档案管理制度、公众制度、物业管理制度及其配套设施权属清册等，体现标准化服务，管理服务水平是否符合国家和行业标准。优秀：全部达到采购需求且契合实际要求得5分；良好：能较好符合采购需求但存在轻微瑕疵得4分；一般：基本符合采购需求，但存在多处瑕疵得3分；较差：提供内容较少且合理性可行性均存在瑕疵得2分；差：提供内容极少且存在严重缺陷漏洞得1分。不提供不得分。</w:t>
            </w:r>
          </w:p>
        </w:tc>
        <w:tc>
          <w:tcPr>
            <w:tcW w:w="720" w:type="dxa"/>
            <w:vAlign w:val="center"/>
          </w:tcPr>
          <w:p>
            <w:pPr>
              <w:widowControl/>
              <w:spacing w:after="120"/>
              <w:jc w:val="center"/>
              <w:rPr>
                <w:rFonts w:ascii="宋体" w:hAnsi="宋体" w:cs="宋体"/>
                <w:sz w:val="24"/>
                <w:lang w:val="zh-CN"/>
              </w:rPr>
            </w:pPr>
            <w:r>
              <w:rPr>
                <w:rFonts w:hint="eastAsia" w:ascii="宋体" w:hAnsi="宋体" w:cs="宋体"/>
                <w:sz w:val="24"/>
                <w:lang w:val="zh-CN"/>
              </w:rPr>
              <w:t>5</w:t>
            </w:r>
          </w:p>
        </w:tc>
        <w:tc>
          <w:tcPr>
            <w:tcW w:w="1296" w:type="dxa"/>
            <w:vAlign w:val="center"/>
          </w:tcPr>
          <w:p>
            <w:pPr>
              <w:widowControl/>
              <w:spacing w:after="120"/>
              <w:jc w:val="center"/>
              <w:rPr>
                <w:rFonts w:ascii="宋体" w:hAnsi="宋体" w:cs="宋体"/>
                <w:sz w:val="24"/>
                <w:lang w:val="zh-CN"/>
              </w:rPr>
            </w:pPr>
            <w:r>
              <w:rPr>
                <w:rFonts w:hint="eastAsia" w:ascii="宋体" w:hAnsi="宋体" w:cs="宋体"/>
                <w:sz w:val="24"/>
                <w:lang w:val="zh-CN"/>
              </w:rPr>
              <w:t>主观</w:t>
            </w:r>
          </w:p>
        </w:tc>
        <w:tc>
          <w:tcPr>
            <w:tcW w:w="2051" w:type="dxa"/>
            <w:vAlign w:val="center"/>
          </w:tcPr>
          <w:p>
            <w:pPr>
              <w:pStyle w:val="392"/>
              <w:widowControl/>
              <w:spacing w:before="0" w:after="120" w:line="240" w:lineRule="auto"/>
              <w:ind w:firstLine="0" w:firstLineChars="0"/>
              <w:jc w:val="left"/>
              <w:rPr>
                <w:rFonts w:ascii="宋体" w:hAnsi="宋体" w:cs="宋体"/>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pPr>
              <w:widowControl/>
              <w:spacing w:after="120"/>
              <w:jc w:val="left"/>
              <w:rPr>
                <w:rFonts w:ascii="宋体" w:hAnsi="宋体" w:cs="宋体"/>
                <w:sz w:val="24"/>
                <w:lang w:val="zh-CN"/>
              </w:rPr>
            </w:pPr>
            <w:r>
              <w:rPr>
                <w:rFonts w:hint="eastAsia" w:ascii="宋体" w:hAnsi="宋体" w:cs="宋体"/>
                <w:sz w:val="24"/>
                <w:lang w:val="zh-CN"/>
              </w:rPr>
              <w:t>4</w:t>
            </w:r>
          </w:p>
        </w:tc>
        <w:tc>
          <w:tcPr>
            <w:tcW w:w="4860" w:type="dxa"/>
            <w:vAlign w:val="center"/>
          </w:tcPr>
          <w:p>
            <w:pPr>
              <w:widowControl/>
              <w:spacing w:after="120"/>
              <w:jc w:val="left"/>
              <w:rPr>
                <w:rFonts w:ascii="宋体" w:hAnsi="宋体" w:cs="宋体"/>
                <w:sz w:val="24"/>
                <w:lang w:val="zh-CN"/>
              </w:rPr>
            </w:pPr>
            <w:r>
              <w:rPr>
                <w:rFonts w:hint="eastAsia" w:ascii="宋体" w:hAnsi="宋体" w:cs="宋体"/>
                <w:sz w:val="24"/>
                <w:lang w:val="zh-CN"/>
              </w:rPr>
              <w:t>物业管理区域内保洁工作实施方案：根据投标人提供物业管理的基本服务方案、人员配置、相关计划和质量保障措施，能够符合采购单位物业管理的实际情况，进行综合评分。优秀：全部达到采购需求且契合实际要求得5分；良好：能较好符合采购需求但存在轻微瑕疵得4分；一般：基本符合采购需求，但存在多处瑕疵得3分；较差：提供内容较少且合理性可行性均存在瑕疵得2分；差：提供内容极少且存在严重缺陷漏洞得1分。不提供不得分。</w:t>
            </w:r>
          </w:p>
        </w:tc>
        <w:tc>
          <w:tcPr>
            <w:tcW w:w="720" w:type="dxa"/>
            <w:vAlign w:val="center"/>
          </w:tcPr>
          <w:p>
            <w:pPr>
              <w:widowControl/>
              <w:spacing w:after="120"/>
              <w:jc w:val="center"/>
              <w:rPr>
                <w:rFonts w:ascii="宋体" w:hAnsi="宋体" w:cs="宋体"/>
                <w:sz w:val="24"/>
                <w:lang w:val="zh-CN"/>
              </w:rPr>
            </w:pPr>
            <w:r>
              <w:rPr>
                <w:rFonts w:hint="eastAsia" w:ascii="宋体" w:hAnsi="宋体" w:cs="宋体"/>
                <w:sz w:val="24"/>
                <w:lang w:val="zh-CN"/>
              </w:rPr>
              <w:t>5</w:t>
            </w:r>
          </w:p>
        </w:tc>
        <w:tc>
          <w:tcPr>
            <w:tcW w:w="1296" w:type="dxa"/>
            <w:vAlign w:val="center"/>
          </w:tcPr>
          <w:p>
            <w:pPr>
              <w:pStyle w:val="392"/>
              <w:widowControl/>
              <w:spacing w:before="0" w:after="120" w:line="240" w:lineRule="auto"/>
              <w:ind w:firstLine="0" w:firstLineChars="0"/>
              <w:jc w:val="center"/>
              <w:rPr>
                <w:rFonts w:ascii="宋体" w:hAnsi="宋体" w:cs="宋体"/>
                <w:szCs w:val="24"/>
                <w:lang w:val="zh-CN"/>
              </w:rPr>
            </w:pPr>
            <w:r>
              <w:rPr>
                <w:rFonts w:hint="eastAsia" w:ascii="宋体" w:hAnsi="宋体" w:cs="宋体"/>
                <w:szCs w:val="24"/>
                <w:lang w:val="zh-CN"/>
              </w:rPr>
              <w:t>主观</w:t>
            </w:r>
          </w:p>
        </w:tc>
        <w:tc>
          <w:tcPr>
            <w:tcW w:w="2051" w:type="dxa"/>
            <w:vAlign w:val="center"/>
          </w:tcPr>
          <w:p>
            <w:pPr>
              <w:widowControl/>
              <w:spacing w:after="120"/>
              <w:jc w:val="left"/>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pPr>
              <w:widowControl/>
              <w:spacing w:after="120"/>
              <w:jc w:val="left"/>
              <w:rPr>
                <w:rFonts w:ascii="宋体" w:hAnsi="宋体" w:cs="宋体"/>
                <w:sz w:val="24"/>
                <w:lang w:val="zh-CN"/>
              </w:rPr>
            </w:pPr>
            <w:r>
              <w:rPr>
                <w:rFonts w:hint="eastAsia" w:ascii="宋体" w:hAnsi="宋体" w:cs="宋体"/>
                <w:sz w:val="24"/>
                <w:lang w:val="zh-CN"/>
              </w:rPr>
              <w:t>5</w:t>
            </w:r>
          </w:p>
        </w:tc>
        <w:tc>
          <w:tcPr>
            <w:tcW w:w="4860" w:type="dxa"/>
            <w:vAlign w:val="center"/>
          </w:tcPr>
          <w:p>
            <w:pPr>
              <w:widowControl/>
              <w:spacing w:after="120"/>
              <w:jc w:val="left"/>
              <w:rPr>
                <w:rFonts w:ascii="宋体" w:hAnsi="宋体" w:cs="宋体"/>
                <w:sz w:val="24"/>
                <w:lang w:val="zh-CN"/>
              </w:rPr>
            </w:pPr>
            <w:r>
              <w:rPr>
                <w:rFonts w:hint="eastAsia" w:ascii="宋体" w:hAnsi="宋体" w:cs="宋体"/>
                <w:sz w:val="24"/>
                <w:lang w:val="zh-CN"/>
              </w:rPr>
              <w:t>物业管理区域内安保、门卫工作实施方案：根据投标人提供物业管理的基本服务方案、人员配置、相关计划和质量保障措施，能够符合采购单位物业管理的实际情况，进行综合评分。优秀：全部达到采购需求且契合实际要求得5分；良好：能较好符合采购需求但存在轻微瑕疵得4分；一般：基本符合采购需求，但存在多处瑕疵得3分；较差：提供内容较少且合理性可行性均存在瑕疵得2分；差：提供内容极少且存在严重缺陷漏洞得1分。不提供不得分。</w:t>
            </w:r>
          </w:p>
        </w:tc>
        <w:tc>
          <w:tcPr>
            <w:tcW w:w="720" w:type="dxa"/>
            <w:vAlign w:val="center"/>
          </w:tcPr>
          <w:p>
            <w:pPr>
              <w:widowControl/>
              <w:spacing w:after="120"/>
              <w:jc w:val="center"/>
              <w:rPr>
                <w:rFonts w:ascii="宋体" w:hAnsi="宋体" w:cs="宋体"/>
                <w:sz w:val="24"/>
                <w:lang w:val="zh-CN"/>
              </w:rPr>
            </w:pPr>
            <w:r>
              <w:rPr>
                <w:rFonts w:hint="eastAsia" w:ascii="宋体" w:hAnsi="宋体" w:cs="宋体"/>
                <w:sz w:val="24"/>
                <w:lang w:val="zh-CN"/>
              </w:rPr>
              <w:t>5</w:t>
            </w:r>
          </w:p>
        </w:tc>
        <w:tc>
          <w:tcPr>
            <w:tcW w:w="1296" w:type="dxa"/>
            <w:vAlign w:val="center"/>
          </w:tcPr>
          <w:p>
            <w:pPr>
              <w:pStyle w:val="392"/>
              <w:widowControl/>
              <w:spacing w:before="0" w:after="120" w:line="240" w:lineRule="auto"/>
              <w:ind w:firstLine="0" w:firstLineChars="0"/>
              <w:jc w:val="center"/>
              <w:rPr>
                <w:rFonts w:ascii="宋体" w:hAnsi="宋体" w:cs="宋体"/>
                <w:szCs w:val="24"/>
                <w:lang w:val="zh-CN"/>
              </w:rPr>
            </w:pPr>
            <w:r>
              <w:rPr>
                <w:rFonts w:hint="eastAsia" w:ascii="宋体" w:hAnsi="宋体" w:cs="宋体"/>
                <w:szCs w:val="24"/>
                <w:lang w:val="zh-CN"/>
              </w:rPr>
              <w:t>主观</w:t>
            </w:r>
          </w:p>
        </w:tc>
        <w:tc>
          <w:tcPr>
            <w:tcW w:w="2051" w:type="dxa"/>
            <w:vAlign w:val="center"/>
          </w:tcPr>
          <w:p>
            <w:pPr>
              <w:widowControl/>
              <w:spacing w:after="120"/>
              <w:jc w:val="left"/>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pPr>
              <w:widowControl/>
              <w:spacing w:after="120"/>
              <w:jc w:val="left"/>
              <w:rPr>
                <w:rFonts w:ascii="宋体" w:hAnsi="宋体" w:cs="宋体"/>
                <w:sz w:val="24"/>
                <w:lang w:val="zh-CN"/>
              </w:rPr>
            </w:pPr>
            <w:r>
              <w:rPr>
                <w:rFonts w:hint="eastAsia" w:ascii="宋体" w:hAnsi="宋体" w:cs="宋体"/>
                <w:sz w:val="24"/>
                <w:lang w:val="zh-CN"/>
              </w:rPr>
              <w:t>6</w:t>
            </w:r>
          </w:p>
        </w:tc>
        <w:tc>
          <w:tcPr>
            <w:tcW w:w="4860" w:type="dxa"/>
            <w:vAlign w:val="center"/>
          </w:tcPr>
          <w:p>
            <w:pPr>
              <w:widowControl/>
              <w:spacing w:after="120"/>
              <w:jc w:val="left"/>
              <w:rPr>
                <w:rFonts w:ascii="宋体" w:hAnsi="宋体" w:cs="宋体"/>
                <w:sz w:val="24"/>
                <w:lang w:val="zh-CN"/>
              </w:rPr>
            </w:pPr>
            <w:r>
              <w:rPr>
                <w:rFonts w:hint="eastAsia" w:ascii="宋体" w:hAnsi="宋体" w:cs="宋体"/>
                <w:sz w:val="24"/>
                <w:lang w:val="zh-CN"/>
              </w:rPr>
              <w:t>物业管理区域内设备设施维护维修工作实施方案：根据投标人提供物业管理的基本服务方案、人员配置、相关计划和质量保障措施，能够符合采购单位物业管理的实际情况，进行综合评分。优秀：全部达到采购需求且契合实际要求得5分；良好：能较好符合采购需求但存在轻微瑕疵得4分；一般：基本符合采购需求，但存在多处瑕疵得3分；较差：提供内容较少且合理性可行性均存在瑕疵得2分；差：提供内容极少且存在严重缺陷漏洞得1分。不提供不得分。</w:t>
            </w:r>
          </w:p>
        </w:tc>
        <w:tc>
          <w:tcPr>
            <w:tcW w:w="720" w:type="dxa"/>
            <w:vAlign w:val="center"/>
          </w:tcPr>
          <w:p>
            <w:pPr>
              <w:widowControl/>
              <w:spacing w:after="120"/>
              <w:jc w:val="center"/>
              <w:rPr>
                <w:rFonts w:ascii="宋体" w:hAnsi="宋体" w:cs="宋体"/>
                <w:sz w:val="24"/>
                <w:lang w:val="zh-CN"/>
              </w:rPr>
            </w:pPr>
            <w:r>
              <w:rPr>
                <w:rFonts w:hint="eastAsia" w:ascii="宋体" w:hAnsi="宋体" w:cs="宋体"/>
                <w:sz w:val="24"/>
                <w:lang w:val="zh-CN"/>
              </w:rPr>
              <w:t>5</w:t>
            </w:r>
          </w:p>
        </w:tc>
        <w:tc>
          <w:tcPr>
            <w:tcW w:w="1296" w:type="dxa"/>
            <w:vAlign w:val="center"/>
          </w:tcPr>
          <w:p>
            <w:pPr>
              <w:pStyle w:val="392"/>
              <w:widowControl/>
              <w:spacing w:before="0" w:after="120" w:line="240" w:lineRule="auto"/>
              <w:ind w:firstLine="0" w:firstLineChars="0"/>
              <w:jc w:val="center"/>
              <w:rPr>
                <w:rFonts w:ascii="宋体" w:hAnsi="宋体" w:cs="宋体"/>
                <w:szCs w:val="24"/>
                <w:lang w:val="zh-CN"/>
              </w:rPr>
            </w:pPr>
            <w:r>
              <w:rPr>
                <w:rFonts w:hint="eastAsia" w:ascii="宋体" w:hAnsi="宋体" w:cs="宋体"/>
                <w:szCs w:val="24"/>
                <w:lang w:val="zh-CN"/>
              </w:rPr>
              <w:t>主观</w:t>
            </w:r>
          </w:p>
        </w:tc>
        <w:tc>
          <w:tcPr>
            <w:tcW w:w="2051" w:type="dxa"/>
            <w:vAlign w:val="center"/>
          </w:tcPr>
          <w:p>
            <w:pPr>
              <w:widowControl/>
              <w:spacing w:after="120"/>
              <w:jc w:val="left"/>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pPr>
              <w:widowControl/>
              <w:spacing w:after="120"/>
              <w:jc w:val="left"/>
              <w:rPr>
                <w:rFonts w:ascii="宋体" w:hAnsi="宋体" w:cs="宋体"/>
                <w:sz w:val="24"/>
                <w:lang w:val="zh-CN"/>
              </w:rPr>
            </w:pPr>
            <w:r>
              <w:rPr>
                <w:rFonts w:hint="eastAsia" w:ascii="宋体" w:hAnsi="宋体" w:cs="宋体"/>
                <w:sz w:val="24"/>
                <w:lang w:val="zh-CN"/>
              </w:rPr>
              <w:t>7</w:t>
            </w:r>
          </w:p>
        </w:tc>
        <w:tc>
          <w:tcPr>
            <w:tcW w:w="4860" w:type="dxa"/>
            <w:vAlign w:val="center"/>
          </w:tcPr>
          <w:p>
            <w:pPr>
              <w:widowControl/>
              <w:spacing w:after="120"/>
              <w:jc w:val="left"/>
              <w:rPr>
                <w:rFonts w:ascii="宋体" w:hAnsi="宋体" w:cs="宋体"/>
                <w:sz w:val="24"/>
                <w:lang w:val="zh-CN"/>
              </w:rPr>
            </w:pPr>
            <w:r>
              <w:rPr>
                <w:rFonts w:hint="eastAsia" w:ascii="宋体" w:hAnsi="宋体" w:cs="宋体"/>
                <w:sz w:val="24"/>
                <w:lang w:val="zh-CN"/>
              </w:rPr>
              <w:t>物业管理区域停车场内车辆管理方案：根据投标人提供物业管理的基本服务方案、人员配置、相关计划和质量保障措施，能够符合采购单位物业管理的实际情况，进行综合评分。优秀：全部达到采购需求且契合实际要求得5分；良好：能较好符合采购需求但存在轻微瑕疵得4分；一般：基本符合采购需求，但存在多处瑕疵得3分；较差：提供内容较少且合理性可行性均存在瑕疵得2分；差：提供内容极少且存在严重缺陷漏洞得1分。不提供不得分。</w:t>
            </w:r>
          </w:p>
        </w:tc>
        <w:tc>
          <w:tcPr>
            <w:tcW w:w="720" w:type="dxa"/>
            <w:vAlign w:val="center"/>
          </w:tcPr>
          <w:p>
            <w:pPr>
              <w:widowControl/>
              <w:spacing w:after="120"/>
              <w:jc w:val="center"/>
              <w:rPr>
                <w:rFonts w:ascii="宋体" w:hAnsi="宋体" w:cs="宋体"/>
                <w:sz w:val="24"/>
                <w:lang w:val="zh-CN"/>
              </w:rPr>
            </w:pPr>
            <w:r>
              <w:rPr>
                <w:rFonts w:hint="eastAsia" w:ascii="宋体" w:hAnsi="宋体" w:cs="宋体"/>
                <w:sz w:val="24"/>
                <w:lang w:val="zh-CN"/>
              </w:rPr>
              <w:t>5</w:t>
            </w:r>
          </w:p>
        </w:tc>
        <w:tc>
          <w:tcPr>
            <w:tcW w:w="1296" w:type="dxa"/>
            <w:vAlign w:val="center"/>
          </w:tcPr>
          <w:p>
            <w:pPr>
              <w:pStyle w:val="392"/>
              <w:widowControl/>
              <w:spacing w:before="0" w:after="120" w:line="240" w:lineRule="auto"/>
              <w:ind w:firstLine="0" w:firstLineChars="0"/>
              <w:jc w:val="center"/>
              <w:rPr>
                <w:rFonts w:ascii="宋体" w:hAnsi="宋体" w:cs="宋体"/>
                <w:szCs w:val="24"/>
                <w:lang w:val="zh-CN"/>
              </w:rPr>
            </w:pPr>
            <w:r>
              <w:rPr>
                <w:rFonts w:hint="eastAsia" w:ascii="宋体" w:hAnsi="宋体" w:cs="宋体"/>
                <w:szCs w:val="24"/>
                <w:lang w:val="zh-CN"/>
              </w:rPr>
              <w:t>主观</w:t>
            </w:r>
          </w:p>
        </w:tc>
        <w:tc>
          <w:tcPr>
            <w:tcW w:w="2051" w:type="dxa"/>
            <w:vAlign w:val="center"/>
          </w:tcPr>
          <w:p>
            <w:pPr>
              <w:widowControl/>
              <w:spacing w:after="120"/>
              <w:jc w:val="left"/>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pPr>
              <w:widowControl/>
              <w:spacing w:after="120"/>
              <w:jc w:val="left"/>
              <w:rPr>
                <w:rFonts w:ascii="宋体" w:hAnsi="宋体" w:cs="宋体"/>
                <w:sz w:val="24"/>
                <w:lang w:val="zh-CN"/>
              </w:rPr>
            </w:pPr>
            <w:r>
              <w:rPr>
                <w:rFonts w:hint="eastAsia" w:ascii="宋体" w:hAnsi="宋体" w:cs="宋体"/>
                <w:sz w:val="24"/>
                <w:lang w:val="zh-CN"/>
              </w:rPr>
              <w:t>8</w:t>
            </w:r>
          </w:p>
        </w:tc>
        <w:tc>
          <w:tcPr>
            <w:tcW w:w="4860" w:type="dxa"/>
            <w:vAlign w:val="center"/>
          </w:tcPr>
          <w:p>
            <w:pPr>
              <w:widowControl/>
              <w:spacing w:after="120"/>
              <w:jc w:val="left"/>
              <w:rPr>
                <w:rFonts w:ascii="宋体" w:hAnsi="宋体" w:cs="宋体"/>
                <w:sz w:val="24"/>
                <w:lang w:val="zh-CN"/>
              </w:rPr>
            </w:pPr>
            <w:r>
              <w:rPr>
                <w:rFonts w:hint="eastAsia" w:ascii="宋体" w:hAnsi="宋体" w:cs="宋体"/>
                <w:sz w:val="24"/>
                <w:lang w:val="zh-CN"/>
              </w:rPr>
              <w:t>物业管理区域内绿化管理维护方案：根据投标人提供物业管理的基本服务方案，如对草坪、花卉、绿篱、树木定期进行修剪、定期清除绿地杂草、杂物，预防花草、树木病虫害等进行综合评分。优秀：全部达到采购需求且契合实际要求得5分；良好：能较好符合采购需求但存在轻微瑕疵得4分；一般：基本符合采购需求，但存在多处瑕疵得3分；较差：提供内容较少且合理性可行性均存在瑕疵得2分；差：提供内容极少且存在严重缺陷漏洞得1分。不提供不得分。</w:t>
            </w:r>
          </w:p>
        </w:tc>
        <w:tc>
          <w:tcPr>
            <w:tcW w:w="720" w:type="dxa"/>
            <w:vAlign w:val="center"/>
          </w:tcPr>
          <w:p>
            <w:pPr>
              <w:widowControl/>
              <w:spacing w:after="120"/>
              <w:jc w:val="center"/>
              <w:rPr>
                <w:rFonts w:ascii="宋体" w:hAnsi="宋体" w:cs="宋体"/>
                <w:sz w:val="24"/>
                <w:lang w:val="zh-CN"/>
              </w:rPr>
            </w:pPr>
            <w:r>
              <w:rPr>
                <w:rFonts w:hint="eastAsia" w:ascii="宋体" w:hAnsi="宋体" w:cs="宋体"/>
                <w:sz w:val="24"/>
                <w:lang w:val="zh-CN"/>
              </w:rPr>
              <w:t>5</w:t>
            </w:r>
          </w:p>
        </w:tc>
        <w:tc>
          <w:tcPr>
            <w:tcW w:w="1296" w:type="dxa"/>
            <w:vAlign w:val="center"/>
          </w:tcPr>
          <w:p>
            <w:pPr>
              <w:pStyle w:val="392"/>
              <w:widowControl/>
              <w:spacing w:before="0" w:after="120" w:line="240" w:lineRule="auto"/>
              <w:ind w:firstLine="0" w:firstLineChars="0"/>
              <w:jc w:val="center"/>
              <w:rPr>
                <w:rFonts w:ascii="宋体" w:hAnsi="宋体" w:cs="宋体"/>
                <w:szCs w:val="24"/>
                <w:lang w:val="zh-CN"/>
              </w:rPr>
            </w:pPr>
            <w:r>
              <w:rPr>
                <w:rFonts w:hint="eastAsia" w:ascii="宋体" w:hAnsi="宋体" w:cs="宋体"/>
                <w:szCs w:val="24"/>
                <w:lang w:val="zh-CN"/>
              </w:rPr>
              <w:t>主观</w:t>
            </w:r>
          </w:p>
        </w:tc>
        <w:tc>
          <w:tcPr>
            <w:tcW w:w="2051" w:type="dxa"/>
            <w:vAlign w:val="center"/>
          </w:tcPr>
          <w:p>
            <w:pPr>
              <w:widowControl/>
              <w:spacing w:after="120"/>
              <w:jc w:val="left"/>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pPr>
              <w:widowControl/>
              <w:spacing w:after="120"/>
              <w:jc w:val="left"/>
              <w:rPr>
                <w:rFonts w:ascii="宋体" w:hAnsi="宋体" w:cs="宋体"/>
                <w:sz w:val="24"/>
                <w:lang w:val="zh-CN"/>
              </w:rPr>
            </w:pPr>
            <w:r>
              <w:rPr>
                <w:rFonts w:hint="eastAsia" w:ascii="宋体" w:hAnsi="宋体" w:cs="宋体"/>
                <w:sz w:val="24"/>
                <w:lang w:val="zh-CN"/>
              </w:rPr>
              <w:t>9</w:t>
            </w:r>
          </w:p>
        </w:tc>
        <w:tc>
          <w:tcPr>
            <w:tcW w:w="4860" w:type="dxa"/>
            <w:vAlign w:val="center"/>
          </w:tcPr>
          <w:p>
            <w:pPr>
              <w:pStyle w:val="2"/>
              <w:widowControl/>
              <w:ind w:left="0" w:leftChars="0" w:firstLine="0" w:firstLineChars="0"/>
              <w:jc w:val="left"/>
              <w:rPr>
                <w:rFonts w:cs="宋体"/>
                <w:sz w:val="24"/>
                <w:lang w:val="zh-CN"/>
              </w:rPr>
            </w:pPr>
            <w:r>
              <w:rPr>
                <w:rFonts w:hint="eastAsia" w:cs="宋体"/>
                <w:sz w:val="24"/>
                <w:lang w:val="zh-CN"/>
              </w:rPr>
              <w:t>物业管理区域内垃圾分类工作实施方案（按照《2023年度浙江省公共机构生活垃圾分类工作方案》标准）进行综合打分。优秀：全部达到采购需求且契合实际要求得5分；良好：能较好符合采购需求但存在轻微瑕疵得4分；一般：基本符合采购需求，但存在多处瑕疵得3分；较差：提供内容较少且合理性可行性均存在瑕疵得2分；差：提供内容极少且存在严重缺陷漏洞得1分。不提供不得分。</w:t>
            </w:r>
          </w:p>
        </w:tc>
        <w:tc>
          <w:tcPr>
            <w:tcW w:w="720" w:type="dxa"/>
            <w:vAlign w:val="center"/>
          </w:tcPr>
          <w:p>
            <w:pPr>
              <w:widowControl/>
              <w:spacing w:after="120"/>
              <w:jc w:val="center"/>
              <w:rPr>
                <w:rFonts w:ascii="宋体" w:hAnsi="宋体" w:cs="宋体"/>
                <w:sz w:val="24"/>
                <w:lang w:val="zh-CN"/>
              </w:rPr>
            </w:pPr>
            <w:r>
              <w:rPr>
                <w:rFonts w:hint="eastAsia" w:ascii="宋体" w:hAnsi="宋体" w:cs="宋体"/>
                <w:sz w:val="24"/>
                <w:lang w:val="zh-CN"/>
              </w:rPr>
              <w:t>5</w:t>
            </w:r>
          </w:p>
        </w:tc>
        <w:tc>
          <w:tcPr>
            <w:tcW w:w="1296" w:type="dxa"/>
            <w:vAlign w:val="center"/>
          </w:tcPr>
          <w:p>
            <w:pPr>
              <w:pStyle w:val="392"/>
              <w:widowControl/>
              <w:spacing w:before="0" w:after="120" w:line="240" w:lineRule="auto"/>
              <w:ind w:firstLine="0" w:firstLineChars="0"/>
              <w:jc w:val="center"/>
              <w:rPr>
                <w:rFonts w:ascii="宋体" w:hAnsi="宋体" w:cs="宋体"/>
                <w:szCs w:val="24"/>
                <w:lang w:val="zh-CN"/>
              </w:rPr>
            </w:pPr>
            <w:r>
              <w:rPr>
                <w:rFonts w:hint="eastAsia" w:ascii="宋体" w:hAnsi="宋体" w:cs="宋体"/>
                <w:szCs w:val="24"/>
                <w:lang w:val="zh-CN"/>
              </w:rPr>
              <w:t>主观</w:t>
            </w:r>
          </w:p>
        </w:tc>
        <w:tc>
          <w:tcPr>
            <w:tcW w:w="2051" w:type="dxa"/>
            <w:vAlign w:val="center"/>
          </w:tcPr>
          <w:p>
            <w:pPr>
              <w:widowControl/>
              <w:spacing w:after="120"/>
              <w:jc w:val="left"/>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745" w:type="dxa"/>
            <w:vAlign w:val="center"/>
          </w:tcPr>
          <w:p>
            <w:pPr>
              <w:widowControl/>
              <w:spacing w:after="120"/>
              <w:jc w:val="left"/>
              <w:rPr>
                <w:rFonts w:ascii="宋体" w:hAnsi="宋体" w:cs="宋体"/>
                <w:sz w:val="24"/>
                <w:lang w:val="zh-CN"/>
              </w:rPr>
            </w:pPr>
            <w:r>
              <w:rPr>
                <w:rFonts w:hint="eastAsia" w:ascii="宋体" w:hAnsi="宋体" w:cs="宋体"/>
                <w:sz w:val="24"/>
                <w:lang w:val="zh-CN"/>
              </w:rPr>
              <w:t>10</w:t>
            </w:r>
          </w:p>
        </w:tc>
        <w:tc>
          <w:tcPr>
            <w:tcW w:w="4860" w:type="dxa"/>
            <w:vAlign w:val="center"/>
          </w:tcPr>
          <w:p>
            <w:pPr>
              <w:widowControl/>
              <w:spacing w:after="120"/>
              <w:jc w:val="left"/>
              <w:rPr>
                <w:rFonts w:ascii="宋体" w:hAnsi="宋体" w:cs="宋体"/>
                <w:sz w:val="24"/>
                <w:lang w:val="zh-CN"/>
              </w:rPr>
            </w:pPr>
            <w:r>
              <w:rPr>
                <w:rFonts w:hint="eastAsia" w:ascii="宋体" w:hAnsi="宋体" w:cs="宋体"/>
                <w:sz w:val="24"/>
                <w:lang w:val="zh-CN"/>
              </w:rPr>
              <w:t>物业工作计划：工作流程、各项管理、服务项目的长远计划和短期安排等。工作计划详细、全面、完善，满足采购需求的视为符合。全部符合要求得</w:t>
            </w:r>
            <w:r>
              <w:rPr>
                <w:rFonts w:hint="eastAsia" w:ascii="宋体" w:hAnsi="宋体" w:cs="宋体"/>
                <w:sz w:val="24"/>
              </w:rPr>
              <w:t>3</w:t>
            </w:r>
            <w:r>
              <w:rPr>
                <w:rFonts w:hint="eastAsia" w:ascii="宋体" w:hAnsi="宋体" w:cs="宋体"/>
                <w:sz w:val="24"/>
                <w:lang w:val="zh-CN"/>
              </w:rPr>
              <w:t>分，基本符合要求得1</w:t>
            </w:r>
            <w:r>
              <w:rPr>
                <w:rFonts w:hint="eastAsia" w:ascii="宋体" w:hAnsi="宋体" w:cs="宋体"/>
                <w:sz w:val="24"/>
              </w:rPr>
              <w:t>-2</w:t>
            </w:r>
            <w:r>
              <w:rPr>
                <w:rFonts w:hint="eastAsia" w:ascii="宋体" w:hAnsi="宋体" w:cs="宋体"/>
                <w:sz w:val="24"/>
                <w:lang w:val="zh-CN"/>
              </w:rPr>
              <w:t>分，完全不符合或不提供不得分。</w:t>
            </w:r>
          </w:p>
        </w:tc>
        <w:tc>
          <w:tcPr>
            <w:tcW w:w="720" w:type="dxa"/>
            <w:vAlign w:val="center"/>
          </w:tcPr>
          <w:p>
            <w:pPr>
              <w:widowControl/>
              <w:spacing w:after="120"/>
              <w:jc w:val="center"/>
              <w:rPr>
                <w:rFonts w:ascii="宋体" w:hAnsi="宋体" w:cs="宋体"/>
                <w:sz w:val="24"/>
                <w:lang w:val="zh-CN"/>
              </w:rPr>
            </w:pPr>
            <w:r>
              <w:rPr>
                <w:rFonts w:hint="eastAsia" w:ascii="宋体" w:hAnsi="宋体" w:cs="宋体"/>
                <w:sz w:val="24"/>
                <w:lang w:val="zh-CN"/>
              </w:rPr>
              <w:t>3</w:t>
            </w:r>
          </w:p>
        </w:tc>
        <w:tc>
          <w:tcPr>
            <w:tcW w:w="1296" w:type="dxa"/>
            <w:vAlign w:val="center"/>
          </w:tcPr>
          <w:p>
            <w:pPr>
              <w:widowControl/>
              <w:spacing w:after="120"/>
              <w:jc w:val="center"/>
              <w:rPr>
                <w:rFonts w:ascii="宋体" w:hAnsi="宋体" w:cs="宋体"/>
                <w:sz w:val="24"/>
                <w:lang w:val="zh-CN"/>
              </w:rPr>
            </w:pPr>
            <w:r>
              <w:rPr>
                <w:rFonts w:hint="eastAsia" w:ascii="宋体" w:hAnsi="宋体" w:cs="宋体"/>
                <w:sz w:val="24"/>
                <w:lang w:val="zh-CN"/>
              </w:rPr>
              <w:t>主观</w:t>
            </w:r>
          </w:p>
        </w:tc>
        <w:tc>
          <w:tcPr>
            <w:tcW w:w="2051" w:type="dxa"/>
            <w:vAlign w:val="center"/>
          </w:tcPr>
          <w:p>
            <w:pPr>
              <w:pStyle w:val="392"/>
              <w:widowControl/>
              <w:spacing w:before="0" w:after="120" w:line="240" w:lineRule="auto"/>
              <w:ind w:firstLine="0" w:firstLineChars="0"/>
              <w:jc w:val="left"/>
              <w:rPr>
                <w:rFonts w:ascii="宋体" w:hAnsi="宋体" w:cs="宋体"/>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745" w:type="dxa"/>
            <w:vAlign w:val="center"/>
          </w:tcPr>
          <w:p>
            <w:pPr>
              <w:widowControl/>
              <w:spacing w:after="120"/>
              <w:jc w:val="left"/>
              <w:rPr>
                <w:rFonts w:ascii="宋体" w:hAnsi="宋体" w:cs="宋体"/>
                <w:sz w:val="24"/>
                <w:lang w:val="zh-CN"/>
              </w:rPr>
            </w:pPr>
            <w:r>
              <w:rPr>
                <w:rFonts w:hint="eastAsia" w:ascii="宋体" w:hAnsi="宋体" w:cs="宋体"/>
                <w:sz w:val="24"/>
                <w:lang w:val="zh-CN"/>
              </w:rPr>
              <w:t>11</w:t>
            </w:r>
          </w:p>
        </w:tc>
        <w:tc>
          <w:tcPr>
            <w:tcW w:w="4860" w:type="dxa"/>
            <w:vAlign w:val="center"/>
          </w:tcPr>
          <w:p>
            <w:pPr>
              <w:widowControl/>
              <w:spacing w:after="120"/>
              <w:jc w:val="left"/>
              <w:rPr>
                <w:rFonts w:ascii="宋体" w:hAnsi="宋体" w:cs="宋体"/>
                <w:sz w:val="24"/>
                <w:lang w:val="zh-CN"/>
              </w:rPr>
            </w:pPr>
            <w:r>
              <w:rPr>
                <w:rFonts w:hint="eastAsia" w:ascii="宋体" w:hAnsi="宋体" w:cs="宋体"/>
                <w:sz w:val="24"/>
                <w:lang w:val="zh-CN"/>
              </w:rPr>
              <w:t>拟派人员的配备、培训、管理：</w:t>
            </w:r>
          </w:p>
          <w:p>
            <w:pPr>
              <w:widowControl/>
              <w:spacing w:after="120"/>
              <w:jc w:val="left"/>
              <w:rPr>
                <w:rFonts w:ascii="宋体" w:hAnsi="宋体" w:cs="宋体"/>
                <w:sz w:val="24"/>
                <w:lang w:val="zh-CN"/>
              </w:rPr>
            </w:pPr>
            <w:r>
              <w:rPr>
                <w:rFonts w:hint="eastAsia" w:ascii="宋体" w:hAnsi="宋体" w:cs="宋体"/>
                <w:sz w:val="24"/>
                <w:lang w:val="zh-CN"/>
              </w:rPr>
              <w:t>服务管理人员岗位安排分配情况，保洁、安保、消控、工程维护等人员配备是否合理。配备人员合理，证书齐全安排得当得5分；配备人员合理，但存在轻微瑕疵得4分；配备人员基本合理，安排一般得3分；配备人员基本合理，安排存在漏洞得2分；配备人员不合理，安排存在明显漏洞得1分；不提供不得分。</w:t>
            </w:r>
          </w:p>
        </w:tc>
        <w:tc>
          <w:tcPr>
            <w:tcW w:w="720" w:type="dxa"/>
            <w:vAlign w:val="center"/>
          </w:tcPr>
          <w:p>
            <w:pPr>
              <w:widowControl/>
              <w:spacing w:after="120"/>
              <w:jc w:val="center"/>
              <w:rPr>
                <w:rFonts w:ascii="宋体" w:hAnsi="宋体" w:cs="宋体"/>
                <w:sz w:val="24"/>
                <w:lang w:val="zh-CN"/>
              </w:rPr>
            </w:pPr>
            <w:r>
              <w:rPr>
                <w:rFonts w:hint="eastAsia" w:ascii="宋体" w:hAnsi="宋体" w:cs="宋体"/>
                <w:sz w:val="24"/>
                <w:lang w:val="zh-CN"/>
              </w:rPr>
              <w:t>5</w:t>
            </w:r>
          </w:p>
        </w:tc>
        <w:tc>
          <w:tcPr>
            <w:tcW w:w="1296" w:type="dxa"/>
            <w:vAlign w:val="center"/>
          </w:tcPr>
          <w:p>
            <w:pPr>
              <w:widowControl/>
              <w:spacing w:after="120"/>
              <w:jc w:val="center"/>
              <w:rPr>
                <w:rFonts w:ascii="宋体" w:hAnsi="宋体" w:cs="宋体"/>
                <w:sz w:val="24"/>
                <w:lang w:val="zh-CN"/>
              </w:rPr>
            </w:pPr>
            <w:r>
              <w:rPr>
                <w:rFonts w:hint="eastAsia" w:ascii="宋体" w:hAnsi="宋体" w:cs="宋体"/>
                <w:sz w:val="24"/>
                <w:lang w:val="zh-CN"/>
              </w:rPr>
              <w:t>主观</w:t>
            </w:r>
          </w:p>
        </w:tc>
        <w:tc>
          <w:tcPr>
            <w:tcW w:w="2051" w:type="dxa"/>
            <w:vAlign w:val="center"/>
          </w:tcPr>
          <w:p>
            <w:pPr>
              <w:pStyle w:val="392"/>
              <w:widowControl/>
              <w:spacing w:before="0" w:after="120" w:line="240" w:lineRule="auto"/>
              <w:ind w:firstLine="0" w:firstLineChars="0"/>
              <w:jc w:val="left"/>
              <w:rPr>
                <w:rFonts w:ascii="宋体" w:hAnsi="宋体" w:cs="宋体"/>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pPr>
              <w:widowControl/>
              <w:spacing w:after="120"/>
              <w:jc w:val="left"/>
              <w:rPr>
                <w:rFonts w:ascii="宋体" w:hAnsi="宋体" w:cs="宋体"/>
                <w:sz w:val="24"/>
                <w:lang w:val="zh-CN"/>
              </w:rPr>
            </w:pPr>
            <w:r>
              <w:rPr>
                <w:rFonts w:hint="eastAsia" w:ascii="宋体" w:hAnsi="宋体" w:cs="宋体"/>
                <w:sz w:val="24"/>
                <w:lang w:val="zh-CN"/>
              </w:rPr>
              <w:t>12</w:t>
            </w:r>
          </w:p>
        </w:tc>
        <w:tc>
          <w:tcPr>
            <w:tcW w:w="4860" w:type="dxa"/>
            <w:vAlign w:val="center"/>
          </w:tcPr>
          <w:p>
            <w:pPr>
              <w:widowControl/>
              <w:spacing w:after="120"/>
              <w:jc w:val="left"/>
              <w:rPr>
                <w:rFonts w:ascii="宋体" w:hAnsi="宋体" w:cs="宋体"/>
                <w:sz w:val="24"/>
                <w:lang w:val="zh-CN"/>
              </w:rPr>
            </w:pPr>
            <w:r>
              <w:rPr>
                <w:rFonts w:hint="eastAsia" w:ascii="宋体" w:hAnsi="宋体" w:cs="宋体"/>
                <w:sz w:val="24"/>
                <w:lang w:val="zh-CN"/>
              </w:rPr>
              <w:t>物资装备：安保器械、通讯、安全防范装备及保洁器械、耗材、办公用品等情况评分。提供的物资装备数量足、种类齐全，满足采购需求的视为符合。全部符合要求得</w:t>
            </w:r>
            <w:r>
              <w:rPr>
                <w:rFonts w:hint="eastAsia" w:ascii="宋体" w:hAnsi="宋体" w:cs="宋体"/>
                <w:sz w:val="24"/>
              </w:rPr>
              <w:t>3</w:t>
            </w:r>
            <w:r>
              <w:rPr>
                <w:rFonts w:hint="eastAsia" w:ascii="宋体" w:hAnsi="宋体" w:cs="宋体"/>
                <w:sz w:val="24"/>
                <w:lang w:val="zh-CN"/>
              </w:rPr>
              <w:t>分，大部分符合得1</w:t>
            </w:r>
            <w:r>
              <w:rPr>
                <w:rFonts w:hint="eastAsia" w:ascii="宋体" w:hAnsi="宋体" w:cs="宋体"/>
                <w:sz w:val="24"/>
              </w:rPr>
              <w:t>-2</w:t>
            </w:r>
            <w:r>
              <w:rPr>
                <w:rFonts w:hint="eastAsia" w:ascii="宋体" w:hAnsi="宋体" w:cs="宋体"/>
                <w:sz w:val="24"/>
                <w:lang w:val="zh-CN"/>
              </w:rPr>
              <w:t>分，完全不符合或不提供不得分。</w:t>
            </w:r>
          </w:p>
        </w:tc>
        <w:tc>
          <w:tcPr>
            <w:tcW w:w="720" w:type="dxa"/>
            <w:vAlign w:val="center"/>
          </w:tcPr>
          <w:p>
            <w:pPr>
              <w:widowControl/>
              <w:spacing w:after="120"/>
              <w:jc w:val="center"/>
              <w:rPr>
                <w:rFonts w:ascii="宋体" w:hAnsi="宋体" w:cs="宋体"/>
                <w:sz w:val="24"/>
                <w:lang w:val="zh-CN"/>
              </w:rPr>
            </w:pPr>
            <w:r>
              <w:rPr>
                <w:rFonts w:hint="eastAsia" w:ascii="宋体" w:hAnsi="宋体" w:cs="宋体"/>
                <w:sz w:val="24"/>
                <w:lang w:val="zh-CN"/>
              </w:rPr>
              <w:t>3</w:t>
            </w:r>
          </w:p>
        </w:tc>
        <w:tc>
          <w:tcPr>
            <w:tcW w:w="1296" w:type="dxa"/>
            <w:vAlign w:val="center"/>
          </w:tcPr>
          <w:p>
            <w:pPr>
              <w:widowControl/>
              <w:spacing w:after="120"/>
              <w:jc w:val="center"/>
              <w:rPr>
                <w:rFonts w:ascii="宋体" w:hAnsi="宋体" w:cs="宋体"/>
                <w:sz w:val="24"/>
                <w:lang w:val="zh-CN"/>
              </w:rPr>
            </w:pPr>
            <w:r>
              <w:rPr>
                <w:rFonts w:hint="eastAsia" w:ascii="宋体" w:hAnsi="宋体" w:cs="宋体"/>
                <w:sz w:val="24"/>
                <w:lang w:val="zh-CN"/>
              </w:rPr>
              <w:t>主观</w:t>
            </w:r>
          </w:p>
        </w:tc>
        <w:tc>
          <w:tcPr>
            <w:tcW w:w="2051" w:type="dxa"/>
            <w:vAlign w:val="center"/>
          </w:tcPr>
          <w:p>
            <w:pPr>
              <w:pStyle w:val="392"/>
              <w:widowControl/>
              <w:spacing w:before="0" w:after="120" w:line="240" w:lineRule="auto"/>
              <w:ind w:firstLine="0" w:firstLineChars="0"/>
              <w:jc w:val="left"/>
              <w:rPr>
                <w:rFonts w:ascii="宋体" w:hAnsi="宋体" w:cs="宋体"/>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pPr>
              <w:widowControl/>
              <w:spacing w:after="120"/>
              <w:jc w:val="left"/>
              <w:rPr>
                <w:rFonts w:ascii="宋体" w:hAnsi="宋体" w:cs="宋体"/>
                <w:sz w:val="24"/>
                <w:lang w:val="zh-CN"/>
              </w:rPr>
            </w:pPr>
            <w:r>
              <w:rPr>
                <w:rFonts w:hint="eastAsia" w:ascii="宋体" w:hAnsi="宋体" w:cs="宋体"/>
                <w:sz w:val="24"/>
                <w:lang w:val="zh-CN"/>
              </w:rPr>
              <w:t>13</w:t>
            </w:r>
          </w:p>
        </w:tc>
        <w:tc>
          <w:tcPr>
            <w:tcW w:w="4860" w:type="dxa"/>
            <w:vAlign w:val="center"/>
          </w:tcPr>
          <w:p>
            <w:pPr>
              <w:widowControl/>
              <w:spacing w:after="120"/>
              <w:jc w:val="left"/>
              <w:rPr>
                <w:rFonts w:ascii="宋体" w:hAnsi="宋体" w:cs="宋体"/>
                <w:sz w:val="24"/>
                <w:lang w:val="zh-CN"/>
              </w:rPr>
            </w:pPr>
            <w:r>
              <w:rPr>
                <w:rFonts w:hint="eastAsia" w:ascii="宋体" w:hAnsi="宋体" w:cs="宋体"/>
                <w:sz w:val="24"/>
                <w:lang w:val="zh-CN"/>
              </w:rPr>
              <w:t>应急预案：</w:t>
            </w:r>
          </w:p>
          <w:p>
            <w:pPr>
              <w:widowControl/>
              <w:spacing w:after="120"/>
              <w:jc w:val="left"/>
              <w:rPr>
                <w:rFonts w:ascii="宋体" w:hAnsi="宋体" w:cs="宋体"/>
                <w:sz w:val="24"/>
                <w:lang w:val="zh-CN"/>
              </w:rPr>
            </w:pPr>
            <w:r>
              <w:rPr>
                <w:rFonts w:hint="eastAsia" w:ascii="宋体" w:hAnsi="宋体" w:cs="宋体"/>
                <w:sz w:val="24"/>
                <w:lang w:val="zh-CN"/>
              </w:rPr>
              <w:t>根据物业管理服务规律和可能发生的紧急事件，提出应急管理预案进行综合打分。应急管理预案合理性可操作性强得3分；应急管理预案合理性可操作性一般且存在缺陷得2分；应急管理预案合理性可操作性差且存在明显缺陷得1分；不提供不得分。</w:t>
            </w:r>
          </w:p>
        </w:tc>
        <w:tc>
          <w:tcPr>
            <w:tcW w:w="720" w:type="dxa"/>
            <w:vAlign w:val="center"/>
          </w:tcPr>
          <w:p>
            <w:pPr>
              <w:widowControl/>
              <w:spacing w:after="120"/>
              <w:jc w:val="center"/>
              <w:rPr>
                <w:rFonts w:ascii="宋体" w:hAnsi="宋体" w:cs="宋体"/>
                <w:sz w:val="24"/>
                <w:lang w:val="zh-CN"/>
              </w:rPr>
            </w:pPr>
            <w:r>
              <w:rPr>
                <w:rFonts w:hint="eastAsia" w:ascii="宋体" w:hAnsi="宋体" w:cs="宋体"/>
                <w:sz w:val="24"/>
                <w:lang w:val="zh-CN"/>
              </w:rPr>
              <w:t>3</w:t>
            </w:r>
          </w:p>
        </w:tc>
        <w:tc>
          <w:tcPr>
            <w:tcW w:w="1296" w:type="dxa"/>
            <w:vAlign w:val="center"/>
          </w:tcPr>
          <w:p>
            <w:pPr>
              <w:pStyle w:val="392"/>
              <w:widowControl/>
              <w:spacing w:before="0" w:after="120" w:line="240" w:lineRule="auto"/>
              <w:ind w:firstLine="0" w:firstLineChars="0"/>
              <w:jc w:val="center"/>
              <w:rPr>
                <w:rFonts w:ascii="宋体" w:hAnsi="宋体" w:cs="宋体"/>
                <w:szCs w:val="24"/>
                <w:lang w:val="zh-CN"/>
              </w:rPr>
            </w:pPr>
            <w:r>
              <w:rPr>
                <w:rFonts w:hint="eastAsia" w:ascii="宋体" w:hAnsi="宋体" w:cs="宋体"/>
                <w:szCs w:val="24"/>
                <w:lang w:val="zh-CN"/>
              </w:rPr>
              <w:t>主观</w:t>
            </w:r>
          </w:p>
        </w:tc>
        <w:tc>
          <w:tcPr>
            <w:tcW w:w="2051" w:type="dxa"/>
            <w:vAlign w:val="center"/>
          </w:tcPr>
          <w:p>
            <w:pPr>
              <w:widowControl/>
              <w:spacing w:after="120"/>
              <w:jc w:val="left"/>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pPr>
              <w:widowControl/>
              <w:spacing w:after="120"/>
              <w:jc w:val="left"/>
              <w:rPr>
                <w:rFonts w:ascii="宋体" w:hAnsi="宋体" w:cs="宋体"/>
                <w:sz w:val="24"/>
                <w:lang w:val="zh-CN"/>
              </w:rPr>
            </w:pPr>
            <w:r>
              <w:rPr>
                <w:rFonts w:hint="eastAsia" w:ascii="宋体" w:hAnsi="宋体" w:cs="宋体"/>
                <w:sz w:val="24"/>
                <w:lang w:val="zh-CN"/>
              </w:rPr>
              <w:t>14</w:t>
            </w:r>
          </w:p>
        </w:tc>
        <w:tc>
          <w:tcPr>
            <w:tcW w:w="4860" w:type="dxa"/>
            <w:vAlign w:val="center"/>
          </w:tcPr>
          <w:p>
            <w:pPr>
              <w:widowControl/>
              <w:spacing w:after="120"/>
              <w:jc w:val="left"/>
              <w:rPr>
                <w:rFonts w:ascii="宋体" w:hAnsi="宋体" w:cs="宋体"/>
                <w:sz w:val="24"/>
                <w:lang w:val="zh-CN"/>
              </w:rPr>
            </w:pPr>
            <w:r>
              <w:rPr>
                <w:rFonts w:hint="eastAsia" w:ascii="宋体" w:hAnsi="宋体" w:cs="宋体"/>
                <w:sz w:val="24"/>
                <w:lang w:val="zh-CN"/>
              </w:rPr>
              <w:t>应急预案：</w:t>
            </w:r>
          </w:p>
          <w:p>
            <w:pPr>
              <w:widowControl/>
              <w:spacing w:after="120"/>
              <w:jc w:val="left"/>
              <w:rPr>
                <w:rFonts w:ascii="宋体" w:hAnsi="宋体" w:cs="宋体"/>
                <w:sz w:val="24"/>
                <w:lang w:val="zh-CN"/>
              </w:rPr>
            </w:pPr>
            <w:r>
              <w:rPr>
                <w:rFonts w:hint="eastAsia" w:ascii="宋体" w:hAnsi="宋体" w:cs="宋体"/>
                <w:sz w:val="24"/>
                <w:lang w:val="zh-CN"/>
              </w:rPr>
              <w:t>预案应健全，思路可行，处理适宜，包括防震防火等日常演练方案进行综合打分。预案内容完整，可行性高，实际操作性强得3分；预案内容一般，可行性一般，实际操作性一般且存在缺陷得2分；预案内容缺失，可行性差，实际操作性差且存在缺陷得1分；不提供不得分。</w:t>
            </w:r>
          </w:p>
        </w:tc>
        <w:tc>
          <w:tcPr>
            <w:tcW w:w="720" w:type="dxa"/>
            <w:vAlign w:val="center"/>
          </w:tcPr>
          <w:p>
            <w:pPr>
              <w:widowControl/>
              <w:spacing w:after="120"/>
              <w:jc w:val="center"/>
              <w:rPr>
                <w:rFonts w:ascii="宋体" w:hAnsi="宋体" w:cs="宋体"/>
                <w:sz w:val="24"/>
                <w:lang w:val="zh-CN"/>
              </w:rPr>
            </w:pPr>
            <w:r>
              <w:rPr>
                <w:rFonts w:hint="eastAsia" w:ascii="宋体" w:hAnsi="宋体" w:cs="宋体"/>
                <w:sz w:val="24"/>
                <w:lang w:val="zh-CN"/>
              </w:rPr>
              <w:t>3</w:t>
            </w:r>
          </w:p>
        </w:tc>
        <w:tc>
          <w:tcPr>
            <w:tcW w:w="1296" w:type="dxa"/>
            <w:vAlign w:val="center"/>
          </w:tcPr>
          <w:p>
            <w:pPr>
              <w:pStyle w:val="392"/>
              <w:widowControl/>
              <w:spacing w:before="0" w:after="120" w:line="240" w:lineRule="auto"/>
              <w:ind w:firstLine="0" w:firstLineChars="0"/>
              <w:jc w:val="center"/>
              <w:rPr>
                <w:rFonts w:ascii="宋体" w:hAnsi="宋体" w:cs="宋体"/>
                <w:szCs w:val="24"/>
                <w:lang w:val="zh-CN"/>
              </w:rPr>
            </w:pPr>
            <w:r>
              <w:rPr>
                <w:rFonts w:hint="eastAsia" w:ascii="宋体" w:hAnsi="宋体" w:cs="宋体"/>
                <w:szCs w:val="24"/>
                <w:lang w:val="zh-CN"/>
              </w:rPr>
              <w:t>主观</w:t>
            </w:r>
          </w:p>
        </w:tc>
        <w:tc>
          <w:tcPr>
            <w:tcW w:w="2051" w:type="dxa"/>
            <w:vAlign w:val="center"/>
          </w:tcPr>
          <w:p>
            <w:pPr>
              <w:widowControl/>
              <w:spacing w:after="120"/>
              <w:jc w:val="left"/>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45" w:type="dxa"/>
            <w:vAlign w:val="center"/>
          </w:tcPr>
          <w:p>
            <w:pPr>
              <w:widowControl/>
              <w:spacing w:after="120"/>
              <w:jc w:val="left"/>
              <w:rPr>
                <w:rFonts w:ascii="宋体" w:hAnsi="宋体" w:cs="宋体"/>
                <w:sz w:val="24"/>
                <w:lang w:val="zh-CN"/>
              </w:rPr>
            </w:pPr>
            <w:r>
              <w:rPr>
                <w:rFonts w:hint="eastAsia" w:ascii="宋体" w:hAnsi="宋体" w:cs="宋体"/>
                <w:sz w:val="24"/>
                <w:lang w:val="zh-CN"/>
              </w:rPr>
              <w:t>15</w:t>
            </w:r>
          </w:p>
        </w:tc>
        <w:tc>
          <w:tcPr>
            <w:tcW w:w="4860" w:type="dxa"/>
            <w:vAlign w:val="center"/>
          </w:tcPr>
          <w:p>
            <w:pPr>
              <w:widowControl/>
              <w:spacing w:after="120"/>
              <w:jc w:val="left"/>
              <w:rPr>
                <w:rFonts w:ascii="宋体" w:hAnsi="宋体" w:cs="宋体"/>
                <w:sz w:val="24"/>
                <w:lang w:val="zh-CN"/>
              </w:rPr>
            </w:pPr>
            <w:r>
              <w:rPr>
                <w:rFonts w:hint="eastAsia" w:ascii="宋体" w:hAnsi="宋体" w:cs="宋体"/>
                <w:sz w:val="24"/>
                <w:lang w:val="zh-CN"/>
              </w:rPr>
              <w:t>应急预案：</w:t>
            </w:r>
          </w:p>
          <w:p>
            <w:pPr>
              <w:widowControl/>
              <w:spacing w:after="120"/>
              <w:jc w:val="left"/>
              <w:rPr>
                <w:rFonts w:ascii="宋体" w:hAnsi="宋体" w:cs="宋体"/>
                <w:sz w:val="24"/>
                <w:lang w:val="zh-CN"/>
              </w:rPr>
            </w:pPr>
            <w:r>
              <w:rPr>
                <w:rFonts w:hint="eastAsia" w:ascii="宋体" w:hAnsi="宋体" w:cs="宋体"/>
                <w:sz w:val="24"/>
                <w:lang w:val="zh-CN"/>
              </w:rPr>
              <w:t>对物业管理区域内的防盗、防火的安全防范巡查、应急供电系统、电气照明装置等设备应急检修措施等进行综合打分。安全防范措施严谨细致，设备检修措施得当得3分；安全防范措施存在缺陷，设备检修措施存在漏洞得2分；安全防范措施存在缺陷，设备检修措施存在漏洞且合理性可行性差得1分；不提供不得分。</w:t>
            </w:r>
          </w:p>
        </w:tc>
        <w:tc>
          <w:tcPr>
            <w:tcW w:w="720" w:type="dxa"/>
            <w:vAlign w:val="center"/>
          </w:tcPr>
          <w:p>
            <w:pPr>
              <w:widowControl/>
              <w:spacing w:after="120"/>
              <w:jc w:val="center"/>
              <w:rPr>
                <w:rFonts w:ascii="宋体" w:hAnsi="宋体" w:cs="宋体"/>
                <w:sz w:val="24"/>
                <w:lang w:val="zh-CN"/>
              </w:rPr>
            </w:pPr>
            <w:r>
              <w:rPr>
                <w:rFonts w:hint="eastAsia" w:ascii="宋体" w:hAnsi="宋体" w:cs="宋体"/>
                <w:sz w:val="24"/>
                <w:lang w:val="zh-CN"/>
              </w:rPr>
              <w:t>3</w:t>
            </w:r>
          </w:p>
        </w:tc>
        <w:tc>
          <w:tcPr>
            <w:tcW w:w="1296" w:type="dxa"/>
            <w:vAlign w:val="center"/>
          </w:tcPr>
          <w:p>
            <w:pPr>
              <w:pStyle w:val="392"/>
              <w:widowControl/>
              <w:spacing w:before="0" w:after="120" w:line="240" w:lineRule="auto"/>
              <w:ind w:firstLine="0" w:firstLineChars="0"/>
              <w:jc w:val="center"/>
              <w:rPr>
                <w:rFonts w:ascii="宋体" w:hAnsi="宋体" w:cs="宋体"/>
                <w:szCs w:val="24"/>
                <w:lang w:val="zh-CN"/>
              </w:rPr>
            </w:pPr>
            <w:r>
              <w:rPr>
                <w:rFonts w:hint="eastAsia" w:ascii="宋体" w:hAnsi="宋体" w:cs="宋体"/>
                <w:szCs w:val="24"/>
                <w:lang w:val="zh-CN"/>
              </w:rPr>
              <w:t>主观</w:t>
            </w:r>
          </w:p>
        </w:tc>
        <w:tc>
          <w:tcPr>
            <w:tcW w:w="2051" w:type="dxa"/>
            <w:vAlign w:val="center"/>
          </w:tcPr>
          <w:p>
            <w:pPr>
              <w:widowControl/>
              <w:spacing w:after="120"/>
              <w:jc w:val="left"/>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pPr>
              <w:widowControl/>
              <w:spacing w:after="120"/>
              <w:jc w:val="left"/>
              <w:rPr>
                <w:rFonts w:ascii="宋体" w:hAnsi="宋体" w:cs="宋体"/>
                <w:sz w:val="24"/>
                <w:lang w:val="zh-CN"/>
              </w:rPr>
            </w:pPr>
            <w:r>
              <w:rPr>
                <w:rFonts w:hint="eastAsia" w:ascii="宋体" w:hAnsi="宋体" w:cs="宋体"/>
                <w:sz w:val="24"/>
                <w:lang w:val="zh-CN"/>
              </w:rPr>
              <w:t>16</w:t>
            </w:r>
          </w:p>
        </w:tc>
        <w:tc>
          <w:tcPr>
            <w:tcW w:w="4860" w:type="dxa"/>
            <w:vAlign w:val="center"/>
          </w:tcPr>
          <w:p>
            <w:pPr>
              <w:widowControl/>
              <w:spacing w:after="120"/>
              <w:jc w:val="left"/>
              <w:rPr>
                <w:rFonts w:ascii="宋体" w:hAnsi="宋体" w:cs="宋体"/>
                <w:sz w:val="24"/>
                <w:lang w:val="zh-CN"/>
              </w:rPr>
            </w:pPr>
            <w:r>
              <w:rPr>
                <w:rFonts w:hint="eastAsia" w:ascii="宋体" w:hAnsi="宋体" w:cs="宋体"/>
                <w:sz w:val="24"/>
                <w:lang w:val="zh-CN"/>
              </w:rPr>
              <w:t>根据物业服务人员服装、工具、器械、消杀和清洁用品及办公用品等配备情况打分，最高3分。完全符合要求得3分，有部分缺陷得2分，基本符合得1分，不符合或不提供不得分。</w:t>
            </w:r>
          </w:p>
        </w:tc>
        <w:tc>
          <w:tcPr>
            <w:tcW w:w="720" w:type="dxa"/>
            <w:vAlign w:val="center"/>
          </w:tcPr>
          <w:p>
            <w:pPr>
              <w:widowControl/>
              <w:spacing w:after="120"/>
              <w:jc w:val="center"/>
              <w:rPr>
                <w:rFonts w:ascii="宋体" w:hAnsi="宋体" w:cs="宋体"/>
                <w:sz w:val="24"/>
                <w:lang w:val="zh-CN"/>
              </w:rPr>
            </w:pPr>
            <w:r>
              <w:rPr>
                <w:rFonts w:hint="eastAsia" w:ascii="宋体" w:hAnsi="宋体" w:cs="宋体"/>
                <w:sz w:val="24"/>
                <w:lang w:val="zh-CN"/>
              </w:rPr>
              <w:t>3</w:t>
            </w:r>
          </w:p>
        </w:tc>
        <w:tc>
          <w:tcPr>
            <w:tcW w:w="1296" w:type="dxa"/>
            <w:vAlign w:val="center"/>
          </w:tcPr>
          <w:p>
            <w:pPr>
              <w:widowControl/>
              <w:spacing w:after="120"/>
              <w:jc w:val="center"/>
              <w:rPr>
                <w:rFonts w:ascii="宋体" w:hAnsi="宋体" w:cs="宋体"/>
                <w:sz w:val="24"/>
                <w:lang w:val="zh-CN"/>
              </w:rPr>
            </w:pPr>
            <w:r>
              <w:rPr>
                <w:rFonts w:hint="eastAsia" w:ascii="宋体" w:hAnsi="宋体" w:cs="宋体"/>
                <w:sz w:val="24"/>
                <w:lang w:val="zh-CN"/>
              </w:rPr>
              <w:t>主观</w:t>
            </w:r>
            <w:bookmarkStart w:id="181" w:name="_GoBack"/>
            <w:bookmarkEnd w:id="181"/>
          </w:p>
        </w:tc>
        <w:tc>
          <w:tcPr>
            <w:tcW w:w="2051" w:type="dxa"/>
            <w:vAlign w:val="center"/>
          </w:tcPr>
          <w:p>
            <w:pPr>
              <w:pStyle w:val="392"/>
              <w:widowControl/>
              <w:spacing w:before="0" w:after="120" w:line="240" w:lineRule="auto"/>
              <w:ind w:firstLine="0" w:firstLineChars="0"/>
              <w:jc w:val="left"/>
              <w:rPr>
                <w:rFonts w:ascii="宋体" w:hAnsi="宋体" w:cs="宋体"/>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pPr>
              <w:widowControl/>
              <w:spacing w:after="120"/>
              <w:jc w:val="left"/>
              <w:rPr>
                <w:rFonts w:ascii="宋体" w:hAnsi="宋体" w:cs="宋体"/>
                <w:sz w:val="24"/>
                <w:lang w:val="zh-CN"/>
              </w:rPr>
            </w:pPr>
            <w:r>
              <w:rPr>
                <w:rFonts w:hint="eastAsia" w:ascii="宋体" w:hAnsi="宋体" w:cs="宋体"/>
                <w:sz w:val="24"/>
                <w:lang w:val="zh-CN"/>
              </w:rPr>
              <w:t>17</w:t>
            </w:r>
          </w:p>
        </w:tc>
        <w:tc>
          <w:tcPr>
            <w:tcW w:w="4860" w:type="dxa"/>
            <w:vAlign w:val="center"/>
          </w:tcPr>
          <w:p>
            <w:pPr>
              <w:widowControl/>
              <w:spacing w:after="120"/>
              <w:jc w:val="left"/>
              <w:rPr>
                <w:rFonts w:ascii="宋体" w:hAnsi="宋体" w:cs="宋体"/>
                <w:sz w:val="24"/>
                <w:lang w:val="zh-CN"/>
              </w:rPr>
            </w:pPr>
            <w:r>
              <w:rPr>
                <w:rFonts w:hint="eastAsia" w:ascii="宋体" w:hAnsi="宋体" w:cs="宋体"/>
                <w:sz w:val="24"/>
                <w:lang w:val="zh-CN"/>
              </w:rPr>
              <w:t>投标方案是否给出优惠和承诺，程度如何；对服务等方面的优惠承诺，以及针对本次采购的其他特殊优惠承诺等情况综合打分。最高3分。方案优惠承诺较高得3分，普通得2分，较低得1分，不提供不得分。</w:t>
            </w:r>
          </w:p>
        </w:tc>
        <w:tc>
          <w:tcPr>
            <w:tcW w:w="720" w:type="dxa"/>
            <w:vAlign w:val="center"/>
          </w:tcPr>
          <w:p>
            <w:pPr>
              <w:widowControl/>
              <w:spacing w:after="120"/>
              <w:jc w:val="center"/>
              <w:rPr>
                <w:rFonts w:ascii="宋体" w:hAnsi="宋体" w:cs="宋体"/>
                <w:sz w:val="24"/>
                <w:lang w:val="zh-CN"/>
              </w:rPr>
            </w:pPr>
            <w:r>
              <w:rPr>
                <w:rFonts w:hint="eastAsia" w:ascii="宋体" w:hAnsi="宋体" w:cs="宋体"/>
                <w:sz w:val="24"/>
                <w:lang w:val="zh-CN"/>
              </w:rPr>
              <w:t>3</w:t>
            </w:r>
          </w:p>
        </w:tc>
        <w:tc>
          <w:tcPr>
            <w:tcW w:w="1296" w:type="dxa"/>
            <w:vAlign w:val="center"/>
          </w:tcPr>
          <w:p>
            <w:pPr>
              <w:widowControl/>
              <w:spacing w:after="120"/>
              <w:jc w:val="center"/>
              <w:rPr>
                <w:rFonts w:ascii="宋体" w:hAnsi="宋体" w:cs="宋体"/>
                <w:sz w:val="24"/>
                <w:lang w:val="zh-CN"/>
              </w:rPr>
            </w:pPr>
            <w:r>
              <w:rPr>
                <w:rFonts w:hint="eastAsia" w:ascii="宋体" w:hAnsi="宋体" w:cs="宋体"/>
                <w:sz w:val="24"/>
                <w:lang w:val="zh-CN"/>
              </w:rPr>
              <w:t>主观</w:t>
            </w:r>
          </w:p>
        </w:tc>
        <w:tc>
          <w:tcPr>
            <w:tcW w:w="2051" w:type="dxa"/>
            <w:vAlign w:val="center"/>
          </w:tcPr>
          <w:p>
            <w:pPr>
              <w:pStyle w:val="392"/>
              <w:widowControl/>
              <w:spacing w:before="0" w:after="120" w:line="240" w:lineRule="auto"/>
              <w:ind w:firstLine="0" w:firstLineChars="0"/>
              <w:jc w:val="left"/>
              <w:rPr>
                <w:rFonts w:ascii="宋体" w:hAnsi="宋体" w:cs="宋体"/>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pPr>
              <w:widowControl/>
              <w:spacing w:after="120"/>
              <w:jc w:val="left"/>
              <w:rPr>
                <w:rFonts w:ascii="宋体" w:hAnsi="宋体" w:cs="宋体"/>
                <w:sz w:val="24"/>
                <w:lang w:val="zh-CN"/>
              </w:rPr>
            </w:pPr>
            <w:r>
              <w:rPr>
                <w:rFonts w:hint="eastAsia" w:ascii="宋体" w:hAnsi="宋体" w:cs="宋体"/>
                <w:sz w:val="24"/>
                <w:lang w:val="zh-CN"/>
              </w:rPr>
              <w:t>18</w:t>
            </w:r>
          </w:p>
        </w:tc>
        <w:tc>
          <w:tcPr>
            <w:tcW w:w="4860" w:type="dxa"/>
            <w:vAlign w:val="center"/>
          </w:tcPr>
          <w:p>
            <w:pPr>
              <w:widowControl/>
              <w:spacing w:after="120"/>
              <w:jc w:val="left"/>
              <w:rPr>
                <w:rFonts w:ascii="宋体" w:hAnsi="宋体" w:cs="宋体"/>
                <w:sz w:val="24"/>
                <w:lang w:val="zh-CN"/>
              </w:rPr>
            </w:pPr>
            <w:r>
              <w:rPr>
                <w:rFonts w:hint="eastAsia" w:ascii="宋体" w:hAnsi="宋体" w:cs="宋体"/>
                <w:sz w:val="24"/>
                <w:lang w:val="zh-CN"/>
              </w:rPr>
              <w:t>根据投标供应商履约能力、诚信水平等情况等进行综合评分，完全符合要求得5分，有部分缺陷得3-4分，偏差较大得1-2分，不符合或不提供不得分。</w:t>
            </w:r>
          </w:p>
        </w:tc>
        <w:tc>
          <w:tcPr>
            <w:tcW w:w="720" w:type="dxa"/>
            <w:vAlign w:val="center"/>
          </w:tcPr>
          <w:p>
            <w:pPr>
              <w:widowControl/>
              <w:spacing w:after="120"/>
              <w:jc w:val="center"/>
              <w:rPr>
                <w:rFonts w:ascii="宋体" w:hAnsi="宋体" w:cs="宋体"/>
                <w:sz w:val="24"/>
                <w:lang w:val="zh-CN"/>
              </w:rPr>
            </w:pPr>
            <w:r>
              <w:rPr>
                <w:rFonts w:hint="eastAsia" w:ascii="宋体" w:hAnsi="宋体" w:cs="宋体"/>
                <w:sz w:val="24"/>
                <w:lang w:val="zh-CN"/>
              </w:rPr>
              <w:t>5</w:t>
            </w:r>
          </w:p>
        </w:tc>
        <w:tc>
          <w:tcPr>
            <w:tcW w:w="1296" w:type="dxa"/>
            <w:vAlign w:val="center"/>
          </w:tcPr>
          <w:p>
            <w:pPr>
              <w:pStyle w:val="392"/>
              <w:widowControl/>
              <w:spacing w:before="0" w:after="120" w:line="240" w:lineRule="auto"/>
              <w:ind w:firstLine="0" w:firstLineChars="0"/>
              <w:jc w:val="center"/>
              <w:rPr>
                <w:rFonts w:ascii="宋体" w:hAnsi="宋体" w:cs="宋体"/>
                <w:szCs w:val="24"/>
                <w:lang w:val="zh-CN"/>
              </w:rPr>
            </w:pPr>
            <w:r>
              <w:rPr>
                <w:rFonts w:hint="eastAsia" w:ascii="宋体" w:hAnsi="宋体" w:cs="宋体"/>
                <w:szCs w:val="24"/>
                <w:lang w:val="zh-CN"/>
              </w:rPr>
              <w:t>主观</w:t>
            </w:r>
          </w:p>
        </w:tc>
        <w:tc>
          <w:tcPr>
            <w:tcW w:w="2051" w:type="dxa"/>
            <w:vAlign w:val="center"/>
          </w:tcPr>
          <w:p>
            <w:pPr>
              <w:widowControl/>
              <w:spacing w:after="120"/>
              <w:jc w:val="left"/>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pPr>
              <w:widowControl/>
              <w:spacing w:after="120"/>
              <w:jc w:val="left"/>
              <w:rPr>
                <w:rFonts w:ascii="宋体" w:hAnsi="宋体" w:cs="宋体"/>
                <w:sz w:val="24"/>
                <w:lang w:val="zh-CN"/>
              </w:rPr>
            </w:pPr>
            <w:r>
              <w:rPr>
                <w:rFonts w:hint="eastAsia" w:ascii="宋体" w:hAnsi="宋体" w:cs="宋体"/>
                <w:sz w:val="24"/>
                <w:lang w:val="zh-CN"/>
              </w:rPr>
              <w:t>19</w:t>
            </w:r>
          </w:p>
        </w:tc>
        <w:tc>
          <w:tcPr>
            <w:tcW w:w="4860" w:type="dxa"/>
            <w:vAlign w:val="center"/>
          </w:tcPr>
          <w:p>
            <w:pPr>
              <w:widowControl/>
              <w:spacing w:after="120"/>
              <w:jc w:val="left"/>
              <w:rPr>
                <w:rFonts w:ascii="宋体" w:hAnsi="宋体" w:cs="宋体"/>
                <w:sz w:val="24"/>
                <w:lang w:val="zh-CN"/>
              </w:rPr>
            </w:pPr>
            <w:r>
              <w:rPr>
                <w:rFonts w:hint="eastAsia" w:ascii="宋体" w:hAnsi="宋体" w:cs="宋体"/>
                <w:sz w:val="24"/>
                <w:lang w:val="zh-CN"/>
              </w:rPr>
              <w:t>项目负责人：①具有物业管理师证得1分②保安员证书得1分，最高得</w:t>
            </w:r>
            <w:r>
              <w:rPr>
                <w:rFonts w:hint="eastAsia" w:ascii="宋体" w:hAnsi="宋体" w:cs="宋体"/>
                <w:sz w:val="24"/>
              </w:rPr>
              <w:t>2</w:t>
            </w:r>
            <w:r>
              <w:rPr>
                <w:rFonts w:hint="eastAsia" w:ascii="宋体" w:hAnsi="宋体" w:cs="宋体"/>
                <w:sz w:val="24"/>
                <w:lang w:val="zh-CN"/>
              </w:rPr>
              <w:t>分，（提供相关证明材料、同时提供项目负责人在投标单位社保缴纳证明，不提供不得分）。</w:t>
            </w:r>
          </w:p>
        </w:tc>
        <w:tc>
          <w:tcPr>
            <w:tcW w:w="720" w:type="dxa"/>
            <w:vAlign w:val="center"/>
          </w:tcPr>
          <w:p>
            <w:pPr>
              <w:widowControl/>
              <w:spacing w:after="120"/>
              <w:jc w:val="center"/>
              <w:rPr>
                <w:rFonts w:ascii="宋体" w:hAnsi="宋体" w:cs="宋体"/>
                <w:sz w:val="24"/>
                <w:lang w:val="zh-CN"/>
              </w:rPr>
            </w:pPr>
            <w:r>
              <w:rPr>
                <w:rFonts w:hint="eastAsia" w:ascii="宋体" w:hAnsi="宋体" w:cs="宋体"/>
                <w:color w:val="FF0000"/>
                <w:sz w:val="24"/>
              </w:rPr>
              <w:t>2</w:t>
            </w:r>
          </w:p>
        </w:tc>
        <w:tc>
          <w:tcPr>
            <w:tcW w:w="1296" w:type="dxa"/>
            <w:vAlign w:val="center"/>
          </w:tcPr>
          <w:p>
            <w:pPr>
              <w:widowControl/>
              <w:spacing w:after="120"/>
              <w:jc w:val="center"/>
              <w:rPr>
                <w:rFonts w:ascii="宋体" w:hAnsi="宋体" w:cs="宋体"/>
                <w:sz w:val="24"/>
                <w:lang w:val="zh-CN"/>
              </w:rPr>
            </w:pPr>
            <w:r>
              <w:rPr>
                <w:rFonts w:hint="eastAsia" w:ascii="宋体" w:hAnsi="宋体" w:cs="宋体"/>
                <w:sz w:val="24"/>
                <w:lang w:val="zh-CN"/>
              </w:rPr>
              <w:t>客观</w:t>
            </w:r>
          </w:p>
        </w:tc>
        <w:tc>
          <w:tcPr>
            <w:tcW w:w="2051" w:type="dxa"/>
            <w:vAlign w:val="center"/>
          </w:tcPr>
          <w:p>
            <w:pPr>
              <w:pStyle w:val="392"/>
              <w:widowControl/>
              <w:spacing w:before="0" w:after="120" w:line="240" w:lineRule="auto"/>
              <w:ind w:firstLine="0" w:firstLineChars="0"/>
              <w:jc w:val="left"/>
              <w:rPr>
                <w:rFonts w:ascii="宋体" w:hAnsi="宋体" w:cs="宋体"/>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pPr>
              <w:widowControl/>
              <w:spacing w:after="120"/>
              <w:jc w:val="left"/>
              <w:rPr>
                <w:rFonts w:ascii="宋体" w:hAnsi="宋体" w:cs="宋体"/>
                <w:sz w:val="24"/>
              </w:rPr>
            </w:pPr>
            <w:r>
              <w:rPr>
                <w:rFonts w:hint="eastAsia" w:ascii="宋体" w:hAnsi="宋体" w:cs="宋体"/>
                <w:sz w:val="24"/>
              </w:rPr>
              <w:t>20</w:t>
            </w:r>
          </w:p>
        </w:tc>
        <w:tc>
          <w:tcPr>
            <w:tcW w:w="4860" w:type="dxa"/>
            <w:vAlign w:val="center"/>
          </w:tcPr>
          <w:p>
            <w:pPr>
              <w:widowControl/>
              <w:spacing w:after="120"/>
              <w:jc w:val="left"/>
              <w:rPr>
                <w:rFonts w:ascii="宋体" w:hAnsi="宋体" w:cs="宋体"/>
                <w:sz w:val="24"/>
                <w:lang w:val="zh-CN"/>
              </w:rPr>
            </w:pPr>
            <w:r>
              <w:rPr>
                <w:rFonts w:hint="eastAsia" w:ascii="宋体" w:hAnsi="宋体" w:cs="宋体"/>
                <w:sz w:val="24"/>
                <w:lang w:val="zh-CN"/>
              </w:rPr>
              <w:t>投标人具有在有效期内的质量管理体系认证证书、职业健康安全认证证书、环境管理体系认证证书，每项证书得1分，最高得3分（认证证书须与投标供应商名称一致，提供证书复印件加盖公章，不提供不得分）。</w:t>
            </w:r>
          </w:p>
        </w:tc>
        <w:tc>
          <w:tcPr>
            <w:tcW w:w="720" w:type="dxa"/>
            <w:vAlign w:val="center"/>
          </w:tcPr>
          <w:p>
            <w:pPr>
              <w:widowControl/>
              <w:spacing w:after="120"/>
              <w:jc w:val="center"/>
              <w:rPr>
                <w:rFonts w:ascii="宋体" w:hAnsi="宋体" w:cs="宋体"/>
                <w:sz w:val="24"/>
                <w:lang w:val="zh-CN"/>
              </w:rPr>
            </w:pPr>
            <w:r>
              <w:rPr>
                <w:rFonts w:hint="eastAsia" w:ascii="宋体" w:hAnsi="宋体" w:cs="宋体"/>
                <w:sz w:val="24"/>
                <w:lang w:val="zh-CN"/>
              </w:rPr>
              <w:t>3</w:t>
            </w:r>
          </w:p>
        </w:tc>
        <w:tc>
          <w:tcPr>
            <w:tcW w:w="1296" w:type="dxa"/>
            <w:vAlign w:val="center"/>
          </w:tcPr>
          <w:p>
            <w:pPr>
              <w:widowControl/>
              <w:spacing w:after="120"/>
              <w:jc w:val="center"/>
              <w:rPr>
                <w:rFonts w:ascii="宋体" w:hAnsi="宋体" w:cs="宋体"/>
                <w:sz w:val="24"/>
                <w:lang w:val="zh-CN"/>
              </w:rPr>
            </w:pPr>
            <w:r>
              <w:rPr>
                <w:rFonts w:hint="eastAsia" w:ascii="宋体" w:hAnsi="宋体" w:cs="宋体"/>
                <w:sz w:val="24"/>
                <w:lang w:val="zh-CN"/>
              </w:rPr>
              <w:t>客观</w:t>
            </w:r>
          </w:p>
        </w:tc>
        <w:tc>
          <w:tcPr>
            <w:tcW w:w="2051" w:type="dxa"/>
            <w:vAlign w:val="center"/>
          </w:tcPr>
          <w:p>
            <w:pPr>
              <w:pStyle w:val="392"/>
              <w:widowControl/>
              <w:spacing w:before="0" w:after="120" w:line="240" w:lineRule="auto"/>
              <w:ind w:firstLine="0" w:firstLineChars="0"/>
              <w:jc w:val="left"/>
              <w:rPr>
                <w:rFonts w:ascii="宋体" w:hAnsi="宋体" w:cs="宋体"/>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45" w:type="dxa"/>
            <w:vAlign w:val="center"/>
          </w:tcPr>
          <w:p>
            <w:pPr>
              <w:widowControl/>
              <w:spacing w:after="120"/>
              <w:jc w:val="left"/>
              <w:rPr>
                <w:rFonts w:ascii="宋体" w:hAnsi="宋体" w:cs="宋体"/>
                <w:sz w:val="24"/>
              </w:rPr>
            </w:pPr>
            <w:r>
              <w:rPr>
                <w:rFonts w:hint="eastAsia" w:ascii="宋体" w:hAnsi="宋体" w:cs="宋体"/>
                <w:sz w:val="24"/>
              </w:rPr>
              <w:t>21</w:t>
            </w:r>
          </w:p>
        </w:tc>
        <w:tc>
          <w:tcPr>
            <w:tcW w:w="4860" w:type="dxa"/>
            <w:vAlign w:val="center"/>
          </w:tcPr>
          <w:p>
            <w:pPr>
              <w:widowControl/>
              <w:spacing w:after="120"/>
              <w:jc w:val="left"/>
              <w:rPr>
                <w:rFonts w:ascii="宋体" w:hAnsi="宋体" w:cs="宋体"/>
                <w:sz w:val="24"/>
                <w:lang w:val="zh-CN"/>
              </w:rPr>
            </w:pPr>
            <w:r>
              <w:rPr>
                <w:rFonts w:hint="eastAsia" w:ascii="宋体" w:hAnsi="宋体" w:cs="宋体"/>
                <w:sz w:val="24"/>
                <w:lang w:val="zh-CN"/>
              </w:rPr>
              <w:t>根据投标人提供自2021年1月1日以来完成的相似项目的成功案例，以合同签订时间为准，每一个案例得</w:t>
            </w:r>
            <w:r>
              <w:rPr>
                <w:rFonts w:hint="eastAsia" w:ascii="宋体" w:hAnsi="宋体" w:cs="宋体"/>
                <w:sz w:val="24"/>
              </w:rPr>
              <w:t>0.5</w:t>
            </w:r>
            <w:r>
              <w:rPr>
                <w:rFonts w:hint="eastAsia" w:ascii="宋体" w:hAnsi="宋体" w:cs="宋体"/>
                <w:sz w:val="24"/>
                <w:lang w:val="zh-CN"/>
              </w:rPr>
              <w:t>分，最高得</w:t>
            </w:r>
            <w:r>
              <w:rPr>
                <w:rFonts w:hint="eastAsia" w:ascii="宋体" w:hAnsi="宋体" w:cs="宋体"/>
                <w:sz w:val="24"/>
              </w:rPr>
              <w:t>1</w:t>
            </w:r>
            <w:r>
              <w:rPr>
                <w:rFonts w:hint="eastAsia" w:ascii="宋体" w:hAnsi="宋体" w:cs="宋体"/>
                <w:sz w:val="24"/>
                <w:lang w:val="zh-CN"/>
              </w:rPr>
              <w:t>分。(提供案例合同复印件，不提供不得分。同一个单位分年度多次签订的案例，计入1个案例，同一个项目，分两期或以上完成的，计入1个案例）</w:t>
            </w:r>
          </w:p>
        </w:tc>
        <w:tc>
          <w:tcPr>
            <w:tcW w:w="720" w:type="dxa"/>
            <w:vAlign w:val="center"/>
          </w:tcPr>
          <w:p>
            <w:pPr>
              <w:widowControl/>
              <w:spacing w:after="120"/>
              <w:jc w:val="center"/>
              <w:rPr>
                <w:rFonts w:ascii="宋体" w:hAnsi="宋体" w:cs="宋体"/>
                <w:sz w:val="24"/>
                <w:lang w:val="zh-CN"/>
              </w:rPr>
            </w:pPr>
            <w:r>
              <w:rPr>
                <w:rFonts w:hint="eastAsia" w:ascii="宋体" w:hAnsi="宋体" w:cs="宋体"/>
                <w:sz w:val="24"/>
              </w:rPr>
              <w:t>1</w:t>
            </w:r>
          </w:p>
        </w:tc>
        <w:tc>
          <w:tcPr>
            <w:tcW w:w="1296" w:type="dxa"/>
            <w:vAlign w:val="center"/>
          </w:tcPr>
          <w:p>
            <w:pPr>
              <w:widowControl/>
              <w:spacing w:after="120"/>
              <w:jc w:val="center"/>
              <w:rPr>
                <w:rFonts w:ascii="宋体" w:hAnsi="宋体" w:cs="宋体"/>
                <w:sz w:val="24"/>
                <w:lang w:val="zh-CN"/>
              </w:rPr>
            </w:pPr>
            <w:r>
              <w:rPr>
                <w:rFonts w:hint="eastAsia" w:ascii="宋体" w:hAnsi="宋体" w:cs="宋体"/>
                <w:sz w:val="24"/>
                <w:lang w:val="zh-CN"/>
              </w:rPr>
              <w:t>客观</w:t>
            </w:r>
          </w:p>
        </w:tc>
        <w:tc>
          <w:tcPr>
            <w:tcW w:w="2051" w:type="dxa"/>
            <w:vAlign w:val="center"/>
          </w:tcPr>
          <w:p>
            <w:pPr>
              <w:pStyle w:val="392"/>
              <w:widowControl/>
              <w:spacing w:before="0" w:after="120" w:line="240" w:lineRule="auto"/>
              <w:ind w:firstLine="0" w:firstLineChars="0"/>
              <w:jc w:val="left"/>
              <w:rPr>
                <w:rFonts w:ascii="宋体" w:hAnsi="宋体" w:cs="宋体"/>
                <w:color w:val="FF0000"/>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pPr>
              <w:widowControl/>
              <w:spacing w:after="120"/>
              <w:jc w:val="left"/>
              <w:rPr>
                <w:rFonts w:ascii="宋体" w:hAnsi="宋体" w:cs="宋体"/>
                <w:sz w:val="24"/>
              </w:rPr>
            </w:pPr>
            <w:r>
              <w:rPr>
                <w:rFonts w:hint="eastAsia" w:ascii="宋体" w:hAnsi="宋体" w:cs="宋体"/>
                <w:sz w:val="24"/>
              </w:rPr>
              <w:t>22</w:t>
            </w:r>
          </w:p>
        </w:tc>
        <w:tc>
          <w:tcPr>
            <w:tcW w:w="4860" w:type="dxa"/>
            <w:vAlign w:val="center"/>
          </w:tcPr>
          <w:p>
            <w:pPr>
              <w:widowControl/>
              <w:spacing w:after="120"/>
              <w:jc w:val="left"/>
              <w:rPr>
                <w:rFonts w:ascii="宋体" w:hAnsi="宋体" w:cs="宋体"/>
                <w:sz w:val="24"/>
                <w:lang w:val="zh-CN"/>
              </w:rPr>
            </w:pPr>
            <w:r>
              <w:rPr>
                <w:rFonts w:hint="eastAsia" w:ascii="宋体" w:hAnsi="宋体" w:cs="宋体"/>
                <w:sz w:val="24"/>
                <w:lang w:val="zh-CN"/>
              </w:rPr>
              <w:t>有效最后报价的最低价作为评审基准价，其最低报价为满分；按［最后报价得分=（评审基准价/最后报价）*18］的计算公式计算。</w:t>
            </w:r>
          </w:p>
          <w:p>
            <w:pPr>
              <w:widowControl/>
              <w:spacing w:after="120"/>
              <w:jc w:val="left"/>
              <w:rPr>
                <w:rFonts w:ascii="宋体" w:hAnsi="宋体" w:cs="宋体"/>
                <w:sz w:val="24"/>
                <w:lang w:val="zh-CN"/>
              </w:rPr>
            </w:pPr>
            <w:r>
              <w:rPr>
                <w:rFonts w:hint="eastAsia" w:ascii="宋体" w:hAnsi="宋体" w:cs="宋体"/>
                <w:sz w:val="24"/>
                <w:lang w:val="zh-CN"/>
              </w:rPr>
              <w:t>评审过程中，不得去掉报价中的最高报价和最低报价。</w:t>
            </w:r>
          </w:p>
        </w:tc>
        <w:tc>
          <w:tcPr>
            <w:tcW w:w="720" w:type="dxa"/>
            <w:vAlign w:val="center"/>
          </w:tcPr>
          <w:p>
            <w:pPr>
              <w:widowControl/>
              <w:spacing w:after="120"/>
              <w:jc w:val="center"/>
              <w:rPr>
                <w:rFonts w:ascii="宋体" w:hAnsi="宋体" w:cs="宋体"/>
                <w:sz w:val="24"/>
              </w:rPr>
            </w:pPr>
            <w:r>
              <w:rPr>
                <w:rFonts w:hint="eastAsia" w:ascii="宋体" w:hAnsi="宋体" w:cs="宋体"/>
                <w:sz w:val="24"/>
              </w:rPr>
              <w:t>18</w:t>
            </w:r>
          </w:p>
        </w:tc>
        <w:tc>
          <w:tcPr>
            <w:tcW w:w="1296" w:type="dxa"/>
            <w:vAlign w:val="center"/>
          </w:tcPr>
          <w:p>
            <w:pPr>
              <w:widowControl/>
              <w:spacing w:after="120"/>
              <w:jc w:val="center"/>
              <w:rPr>
                <w:rFonts w:ascii="宋体" w:hAnsi="宋体" w:cs="宋体"/>
                <w:sz w:val="24"/>
                <w:lang w:val="zh-CN"/>
              </w:rPr>
            </w:pPr>
            <w:r>
              <w:rPr>
                <w:rFonts w:hint="eastAsia" w:ascii="宋体" w:hAnsi="宋体" w:cs="宋体"/>
                <w:sz w:val="24"/>
                <w:lang w:val="zh-CN"/>
              </w:rPr>
              <w:t>客观</w:t>
            </w:r>
          </w:p>
        </w:tc>
        <w:tc>
          <w:tcPr>
            <w:tcW w:w="2051" w:type="dxa"/>
            <w:vAlign w:val="center"/>
          </w:tcPr>
          <w:p>
            <w:pPr>
              <w:widowControl/>
              <w:spacing w:after="120"/>
              <w:jc w:val="left"/>
              <w:rPr>
                <w:rFonts w:ascii="宋体" w:hAnsi="宋体" w:cs="宋体"/>
                <w:sz w:val="24"/>
                <w:lang w:val="zh-CN"/>
              </w:rPr>
            </w:pPr>
          </w:p>
        </w:tc>
      </w:tr>
    </w:tbl>
    <w:p>
      <w:pPr>
        <w:pStyle w:val="392"/>
        <w:spacing w:before="0"/>
        <w:ind w:firstLine="643"/>
        <w:jc w:val="left"/>
        <w:rPr>
          <w:rFonts w:cs="仿宋_GB2312" w:asciiTheme="minorEastAsia" w:hAnsiTheme="minorEastAsia" w:eastAsiaTheme="minorEastAsia"/>
          <w:b/>
          <w:sz w:val="32"/>
        </w:rPr>
      </w:pPr>
    </w:p>
    <w:p>
      <w:pPr>
        <w:snapToGrid w:val="0"/>
        <w:spacing w:line="360" w:lineRule="auto"/>
        <w:rPr>
          <w:rFonts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adjustRightInd/>
        <w:spacing w:line="360" w:lineRule="auto"/>
        <w:ind w:firstLine="482" w:firstLineChars="200"/>
        <w:rPr>
          <w:rFonts w:cs="Arial" w:asciiTheme="minorEastAsia" w:hAnsiTheme="minorEastAsia" w:eastAsiaTheme="minorEastAsia"/>
          <w:b/>
          <w:kern w:val="0"/>
          <w:sz w:val="24"/>
        </w:rPr>
      </w:pPr>
    </w:p>
    <w:p>
      <w:pPr>
        <w:pStyle w:val="392"/>
        <w:spacing w:before="0"/>
        <w:ind w:firstLine="643"/>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kern w:val="0"/>
          <w:sz w:val="24"/>
        </w:rPr>
      </w:pPr>
    </w:p>
    <w:p>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二、磋商小组的组成</w:t>
      </w:r>
    </w:p>
    <w:p>
      <w:pPr>
        <w:pStyle w:val="392"/>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sz w:val="32"/>
        </w:rPr>
      </w:pPr>
    </w:p>
    <w:p>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pPr>
        <w:pStyle w:val="392"/>
        <w:spacing w:before="0"/>
        <w:ind w:firstLine="0" w:firstLineChars="0"/>
        <w:rPr>
          <w:rFonts w:asciiTheme="minorEastAsia" w:hAnsiTheme="minorEastAsia" w:eastAsiaTheme="minorEastAsia"/>
          <w:b/>
        </w:rPr>
      </w:pPr>
    </w:p>
    <w:p>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pPr>
        <w:pStyle w:val="392"/>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pPr>
        <w:pStyle w:val="392"/>
        <w:spacing w:before="0"/>
        <w:ind w:firstLine="0" w:firstLineChars="0"/>
        <w:rPr>
          <w:rFonts w:asciiTheme="minorEastAsia" w:hAnsiTheme="minorEastAsia" w:eastAsiaTheme="minorEastAsia"/>
          <w:b/>
        </w:rPr>
      </w:pPr>
    </w:p>
    <w:p>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pPr>
        <w:pStyle w:val="3"/>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供应商直接或者间接从采购人或者采购代理机构处获得其他供应商的相关情况并修改其响应文件；</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供应商按照采购人或者采购代理机构的授意撤换、修改投标文件或者响应文件；</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供应商与采购人或者采购代理机构之间、供应商相互之间，为谋求特定供应商中标、成交或者排斥其他供应商的其他串通行为。</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出现下列情形之一的，采购代理机构应当终止竞争性磋商采购活动，通过电子交易平台发布项目终止公告并说明原因，重新开展采购活动：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rPr>
        <w:t>采购代理机构有权对磋商小组各成员的评分情况和评审意见进行合理性和合规性审查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pStyle w:val="392"/>
        <w:spacing w:before="0"/>
        <w:ind w:firstLine="0" w:firstLineChars="0"/>
        <w:rPr>
          <w:rFonts w:cs="仿宋_GB2312" w:asciiTheme="minorEastAsia" w:hAnsiTheme="minorEastAsia" w:eastAsiaTheme="minorEastAsia"/>
          <w:b/>
        </w:rPr>
      </w:pPr>
    </w:p>
    <w:p>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rPr>
        <w:t>采购代理机构对评审工作现场进行全过程录音录像，录音录像资料作为采购项目文件随其他文件一并存档。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66"/>
      <w:r>
        <w:rPr>
          <w:rFonts w:hint="eastAsia" w:cs="仿宋_GB2312" w:asciiTheme="minorEastAsia" w:hAnsiTheme="minorEastAsia" w:eastAsiaTheme="minorEastAsia"/>
          <w:b/>
          <w:sz w:val="36"/>
          <w:szCs w:val="36"/>
        </w:rPr>
        <w:t xml:space="preserve">  拟签订的合同文本</w:t>
      </w:r>
    </w:p>
    <w:p>
      <w:pPr>
        <w:spacing w:line="360" w:lineRule="auto"/>
        <w:rPr>
          <w:rFonts w:asciiTheme="minorEastAsia" w:hAnsiTheme="minorEastAsia" w:eastAsiaTheme="minorEastAsia"/>
          <w:sz w:val="24"/>
        </w:rPr>
      </w:pPr>
      <w:bookmarkStart w:id="67" w:name="_Toc86217003"/>
      <w:bookmarkStart w:id="68" w:name="第五部分"/>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合同编号：</w:t>
      </w:r>
    </w:p>
    <w:p>
      <w:pPr>
        <w:spacing w:line="360" w:lineRule="auto"/>
        <w:rPr>
          <w:rFonts w:asciiTheme="minorEastAsia" w:hAnsiTheme="minorEastAsia" w:eastAsiaTheme="minorEastAsia"/>
          <w:sz w:val="24"/>
          <w:u w:val="single"/>
        </w:rPr>
      </w:pPr>
    </w:p>
    <w:p>
      <w:pPr>
        <w:pStyle w:val="281"/>
        <w:ind w:leftChars="0" w:firstLine="2465" w:firstLineChars="682"/>
        <w:jc w:val="left"/>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政府采购合同书</w:t>
      </w:r>
    </w:p>
    <w:p>
      <w:pPr>
        <w:pStyle w:val="281"/>
        <w:rPr>
          <w:rFonts w:asciiTheme="minorEastAsia" w:hAnsiTheme="minorEastAsia" w:eastAsiaTheme="minorEastAsia"/>
          <w:szCs w:val="24"/>
        </w:rPr>
      </w:pPr>
    </w:p>
    <w:p>
      <w:pPr>
        <w:pStyle w:val="281"/>
        <w:rPr>
          <w:rFonts w:asciiTheme="minorEastAsia" w:hAnsiTheme="minorEastAsia" w:eastAsiaTheme="minorEastAsia"/>
          <w:szCs w:val="24"/>
        </w:rPr>
      </w:pPr>
    </w:p>
    <w:p>
      <w:pPr>
        <w:spacing w:before="120"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项目名称：</w:t>
      </w:r>
    </w:p>
    <w:p>
      <w:pPr>
        <w:pStyle w:val="616"/>
        <w:spacing w:before="120"/>
        <w:rPr>
          <w:rFonts w:asciiTheme="minorEastAsia" w:hAnsiTheme="minorEastAsia" w:eastAsiaTheme="minorEastAsia"/>
          <w:szCs w:val="24"/>
        </w:rPr>
      </w:pPr>
    </w:p>
    <w:p>
      <w:pPr>
        <w:spacing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p>
    <w:p>
      <w:pPr>
        <w:spacing w:before="120"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p>
    <w:p>
      <w:pPr>
        <w:spacing w:before="120" w:line="360" w:lineRule="auto"/>
        <w:rPr>
          <w:rFonts w:asciiTheme="minorEastAsia" w:hAnsiTheme="minorEastAsia" w:eastAsiaTheme="minorEastAsia"/>
          <w:sz w:val="24"/>
        </w:rPr>
      </w:pPr>
    </w:p>
    <w:p>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p>
    <w:p>
      <w:pPr>
        <w:spacing w:before="120" w:line="360" w:lineRule="auto"/>
        <w:rPr>
          <w:rFonts w:asciiTheme="minorEastAsia" w:hAnsiTheme="minorEastAsia" w:eastAsiaTheme="minorEastAsia"/>
          <w:sz w:val="24"/>
        </w:rPr>
      </w:pPr>
    </w:p>
    <w:p>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签订日期：年月日</w:t>
      </w:r>
    </w:p>
    <w:p>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pPr>
        <w:rPr>
          <w:rFonts w:ascii="宋体" w:hAnsi="宋体" w:cs="宋体"/>
          <w:b/>
          <w:sz w:val="24"/>
        </w:rPr>
      </w:pPr>
    </w:p>
    <w:p>
      <w:pPr>
        <w:spacing w:line="560" w:lineRule="exact"/>
        <w:ind w:firstLine="480" w:firstLineChars="200"/>
        <w:rPr>
          <w:rFonts w:ascii="宋体" w:hAnsi="宋体"/>
          <w:sz w:val="24"/>
        </w:rPr>
      </w:pPr>
      <w:r>
        <w:rPr>
          <w:rFonts w:hint="eastAsia" w:ascii="宋体" w:hAnsi="宋体"/>
          <w:sz w:val="24"/>
          <w:lang w:val="zh-CN"/>
        </w:rPr>
        <w:t>2023年  月  日</w:t>
      </w:r>
      <w:r>
        <w:rPr>
          <w:rFonts w:hint="eastAsia" w:ascii="宋体" w:hAnsi="宋体"/>
          <w:sz w:val="24"/>
        </w:rPr>
        <w:t>，</w:t>
      </w:r>
      <w:r>
        <w:rPr>
          <w:rFonts w:hint="eastAsia" w:ascii="宋体" w:hAnsi="宋体" w:cs="宋体"/>
          <w:sz w:val="24"/>
          <w:u w:val="single"/>
        </w:rPr>
        <w:t>建德市人民政府新安江街道办事处</w:t>
      </w:r>
      <w:r>
        <w:rPr>
          <w:rFonts w:hint="eastAsia" w:ascii="宋体" w:hAnsi="宋体"/>
          <w:sz w:val="24"/>
        </w:rPr>
        <w:t>以</w:t>
      </w:r>
      <w:r>
        <w:rPr>
          <w:rFonts w:hint="eastAsia" w:ascii="宋体" w:hAnsi="宋体"/>
          <w:sz w:val="24"/>
          <w:u w:val="single"/>
        </w:rPr>
        <w:t>竞争性磋商方式对2024年建德市新安江街道办公楼物业保洁服务项目项目</w:t>
      </w:r>
      <w:r>
        <w:rPr>
          <w:rFonts w:hint="eastAsia" w:ascii="宋体" w:hAnsi="宋体"/>
          <w:sz w:val="24"/>
        </w:rPr>
        <w:t>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69" w:name="_Toc15367"/>
      <w:bookmarkStart w:id="70" w:name="_Toc22967"/>
      <w:bookmarkStart w:id="71" w:name="_Toc19273"/>
      <w:bookmarkStart w:id="72" w:name="_Toc20421"/>
      <w:bookmarkStart w:id="73" w:name="_Toc28855"/>
      <w:r>
        <w:rPr>
          <w:rFonts w:ascii="宋体" w:hAnsi="宋体"/>
          <w:b/>
          <w:sz w:val="24"/>
        </w:rPr>
        <w:t xml:space="preserve">1.1 </w:t>
      </w:r>
      <w:r>
        <w:rPr>
          <w:rFonts w:hint="eastAsia" w:ascii="宋体" w:hAnsi="宋体"/>
          <w:b/>
          <w:sz w:val="24"/>
        </w:rPr>
        <w:t>合同组成部分</w:t>
      </w:r>
      <w:bookmarkEnd w:id="69"/>
      <w:bookmarkEnd w:id="70"/>
      <w:bookmarkEnd w:id="71"/>
      <w:bookmarkEnd w:id="72"/>
      <w:bookmarkEnd w:id="73"/>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74" w:name="_Toc2918"/>
      <w:bookmarkStart w:id="75" w:name="_Toc6773"/>
      <w:bookmarkStart w:id="76" w:name="_Toc6311"/>
      <w:bookmarkStart w:id="77" w:name="_Toc18585"/>
      <w:bookmarkStart w:id="78" w:name="_Toc22185"/>
      <w:r>
        <w:rPr>
          <w:rFonts w:ascii="宋体" w:hAnsi="宋体"/>
          <w:b/>
          <w:sz w:val="24"/>
        </w:rPr>
        <w:t xml:space="preserve">1.2 </w:t>
      </w:r>
      <w:r>
        <w:rPr>
          <w:rFonts w:hint="eastAsia" w:ascii="宋体" w:hAnsi="宋体"/>
          <w:b/>
          <w:sz w:val="24"/>
        </w:rPr>
        <w:t>标的</w:t>
      </w:r>
      <w:bookmarkEnd w:id="74"/>
      <w:bookmarkEnd w:id="75"/>
      <w:bookmarkEnd w:id="76"/>
      <w:bookmarkEnd w:id="77"/>
      <w:bookmarkEnd w:id="78"/>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629"/>
        <w:spacing w:before="0" w:beforeAutospacing="0" w:after="0" w:afterAutospacing="0" w:line="360" w:lineRule="auto"/>
        <w:ind w:firstLine="480"/>
      </w:pPr>
      <w:r>
        <w:rPr>
          <w:rFonts w:hint="eastAsia"/>
        </w:rPr>
        <w:t>1.2.5合同（是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79" w:name="_Toc13918"/>
      <w:bookmarkStart w:id="80" w:name="_Toc1386"/>
      <w:bookmarkStart w:id="81" w:name="_Toc4929"/>
      <w:bookmarkStart w:id="82" w:name="_Toc5635"/>
      <w:bookmarkStart w:id="83" w:name="_Toc21124"/>
      <w:r>
        <w:rPr>
          <w:rFonts w:hint="eastAsia" w:ascii="宋体" w:hAnsi="宋体" w:cs="宋体"/>
          <w:sz w:val="24"/>
        </w:rPr>
        <w:t>1.2.5.1 货物名称、品牌、规格型号、花色：；</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79"/>
      <w:bookmarkEnd w:id="80"/>
      <w:bookmarkEnd w:id="81"/>
      <w:bookmarkEnd w:id="82"/>
      <w:bookmarkEnd w:id="83"/>
    </w:p>
    <w:p>
      <w:pPr>
        <w:spacing w:line="560" w:lineRule="exact"/>
        <w:ind w:firstLine="480" w:firstLineChars="200"/>
        <w:rPr>
          <w:rFonts w:ascii="宋体" w:hAnsi="宋体"/>
          <w:sz w:val="24"/>
        </w:rPr>
      </w:pPr>
      <w:r>
        <w:rPr>
          <w:rFonts w:hint="eastAsia" w:ascii="宋体" w:hAnsi="宋体" w:cs="宋体"/>
          <w:sz w:val="24"/>
        </w:rPr>
        <w:t>本项目采用以下第条款规定的计价方式计价。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rPr>
        <w:t>元</w:t>
      </w:r>
      <w:r>
        <w:rPr>
          <w:rFonts w:hint="eastAsia" w:ascii="宋体" w:hAnsi="宋体"/>
          <w:sz w:val="24"/>
        </w:rPr>
        <w:t>（大写：元人民币）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jc w:val="center"/>
              <w:rPr>
                <w:rFonts w:hAnsi="宋体"/>
                <w:sz w:val="24"/>
                <w:szCs w:val="24"/>
              </w:rPr>
            </w:pPr>
            <w:r>
              <w:rPr>
                <w:rFonts w:hAnsi="宋体"/>
                <w:sz w:val="24"/>
                <w:szCs w:val="24"/>
              </w:rPr>
              <w:t>序号</w:t>
            </w:r>
          </w:p>
        </w:tc>
        <w:tc>
          <w:tcPr>
            <w:tcW w:w="3402" w:type="dxa"/>
            <w:vAlign w:val="center"/>
          </w:tcPr>
          <w:p>
            <w:pPr>
              <w:pStyle w:val="621"/>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621"/>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sz w:val="24"/>
                <w:szCs w:val="24"/>
              </w:rPr>
            </w:pPr>
          </w:p>
        </w:tc>
        <w:tc>
          <w:tcPr>
            <w:tcW w:w="3402" w:type="dxa"/>
            <w:vAlign w:val="center"/>
          </w:tcPr>
          <w:p>
            <w:pPr>
              <w:pStyle w:val="621"/>
              <w:spacing w:line="560" w:lineRule="exact"/>
              <w:ind w:firstLine="200"/>
              <w:jc w:val="center"/>
              <w:rPr>
                <w:rFonts w:hAnsi="宋体"/>
                <w:sz w:val="24"/>
                <w:szCs w:val="24"/>
              </w:rPr>
            </w:pPr>
          </w:p>
        </w:tc>
        <w:tc>
          <w:tcPr>
            <w:tcW w:w="2552" w:type="dxa"/>
            <w:vAlign w:val="center"/>
          </w:tcPr>
          <w:p>
            <w:pPr>
              <w:pStyle w:val="62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sz w:val="24"/>
                <w:szCs w:val="24"/>
              </w:rPr>
            </w:pPr>
          </w:p>
        </w:tc>
        <w:tc>
          <w:tcPr>
            <w:tcW w:w="3402" w:type="dxa"/>
            <w:vAlign w:val="center"/>
          </w:tcPr>
          <w:p>
            <w:pPr>
              <w:pStyle w:val="621"/>
              <w:spacing w:line="560" w:lineRule="exact"/>
              <w:ind w:firstLine="200"/>
              <w:jc w:val="center"/>
              <w:rPr>
                <w:rFonts w:hAnsi="宋体"/>
                <w:sz w:val="24"/>
                <w:szCs w:val="24"/>
              </w:rPr>
            </w:pPr>
          </w:p>
        </w:tc>
        <w:tc>
          <w:tcPr>
            <w:tcW w:w="2552" w:type="dxa"/>
            <w:vAlign w:val="center"/>
          </w:tcPr>
          <w:p>
            <w:pPr>
              <w:pStyle w:val="62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sz w:val="24"/>
                <w:szCs w:val="24"/>
              </w:rPr>
            </w:pPr>
          </w:p>
        </w:tc>
        <w:tc>
          <w:tcPr>
            <w:tcW w:w="3402" w:type="dxa"/>
            <w:vAlign w:val="center"/>
          </w:tcPr>
          <w:p>
            <w:pPr>
              <w:pStyle w:val="621"/>
              <w:spacing w:line="560" w:lineRule="exact"/>
              <w:ind w:firstLine="200"/>
              <w:jc w:val="center"/>
              <w:rPr>
                <w:rFonts w:hAnsi="宋体"/>
                <w:sz w:val="24"/>
                <w:szCs w:val="24"/>
              </w:rPr>
            </w:pPr>
          </w:p>
        </w:tc>
        <w:tc>
          <w:tcPr>
            <w:tcW w:w="2552" w:type="dxa"/>
            <w:vAlign w:val="center"/>
          </w:tcPr>
          <w:p>
            <w:pPr>
              <w:pStyle w:val="62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sz w:val="24"/>
                <w:szCs w:val="24"/>
              </w:rPr>
            </w:pPr>
          </w:p>
        </w:tc>
        <w:tc>
          <w:tcPr>
            <w:tcW w:w="3402" w:type="dxa"/>
            <w:vAlign w:val="center"/>
          </w:tcPr>
          <w:p>
            <w:pPr>
              <w:pStyle w:val="621"/>
              <w:spacing w:line="560" w:lineRule="exact"/>
              <w:ind w:firstLine="200"/>
              <w:jc w:val="center"/>
              <w:rPr>
                <w:rFonts w:hAnsi="宋体"/>
                <w:sz w:val="24"/>
                <w:szCs w:val="24"/>
              </w:rPr>
            </w:pPr>
          </w:p>
        </w:tc>
        <w:tc>
          <w:tcPr>
            <w:tcW w:w="2552" w:type="dxa"/>
            <w:vAlign w:val="center"/>
          </w:tcPr>
          <w:p>
            <w:pPr>
              <w:pStyle w:val="62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621"/>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621"/>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84" w:name="_Toc3654"/>
      <w:bookmarkStart w:id="85" w:name="_Toc30506"/>
      <w:bookmarkStart w:id="86" w:name="_Toc30158"/>
      <w:bookmarkStart w:id="87" w:name="_Toc26916"/>
      <w:bookmarkStart w:id="88" w:name="_Toc14993"/>
      <w:r>
        <w:rPr>
          <w:rFonts w:hint="eastAsia" w:ascii="宋体" w:hAnsi="宋体"/>
          <w:bCs/>
          <w:sz w:val="24"/>
        </w:rPr>
        <w:t>1.3.2单价合同，本合同单价（含税）标准为：</w:t>
      </w:r>
      <w:r>
        <w:rPr>
          <w:rFonts w:ascii="宋体" w:hAnsi="宋体"/>
          <w:sz w:val="24"/>
        </w:rPr>
        <w:t>。</w:t>
      </w:r>
      <w:r>
        <w:rPr>
          <w:rFonts w:hint="eastAsia" w:ascii="宋体" w:hAnsi="宋体"/>
          <w:sz w:val="24"/>
        </w:rPr>
        <w:t>服务工作量的计量方式为：</w:t>
      </w:r>
      <w:r>
        <w:rPr>
          <w:rFonts w:hint="eastAsia" w:ascii="宋体" w:hAnsi="宋体" w:cs="宋体"/>
          <w:b/>
          <w:i/>
          <w:sz w:val="24"/>
          <w:u w:val="single"/>
        </w:rPr>
        <w:t>合同专用条款</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rPr>
        <w:t>元</w:t>
      </w:r>
      <w:r>
        <w:rPr>
          <w:rFonts w:hint="eastAsia" w:ascii="宋体" w:hAnsi="宋体"/>
          <w:sz w:val="24"/>
        </w:rPr>
        <w:t>（大写：元人民币）。</w:t>
      </w:r>
    </w:p>
    <w:p>
      <w:pPr>
        <w:pStyle w:val="5"/>
        <w:rPr>
          <w:lang w:val="en-US"/>
        </w:rPr>
      </w:pPr>
      <w:r>
        <w:rPr>
          <w:rFonts w:hint="eastAsia" w:ascii="宋体" w:hAnsi="宋体" w:eastAsia="宋体" w:cs="宋体"/>
          <w:b w:val="0"/>
          <w:bCs w:val="0"/>
          <w:sz w:val="24"/>
          <w:lang w:val="en-US"/>
        </w:rPr>
        <w:t>1.3.3其他计价方式：</w:t>
      </w:r>
      <w:r>
        <w:rPr>
          <w:rFonts w:hint="eastAsia" w:ascii="宋体" w:hAnsi="宋体" w:eastAsia="宋体" w:cs="宋体"/>
          <w:b w:val="0"/>
          <w:bCs w:val="0"/>
          <w:sz w:val="24"/>
        </w:rPr>
        <w:t>。</w:t>
      </w:r>
    </w:p>
    <w:bookmarkEnd w:id="84"/>
    <w:bookmarkEnd w:id="85"/>
    <w:bookmarkEnd w:id="86"/>
    <w:bookmarkEnd w:id="87"/>
    <w:bookmarkEnd w:id="88"/>
    <w:p>
      <w:pPr>
        <w:pStyle w:val="629"/>
        <w:spacing w:before="0" w:beforeAutospacing="0" w:after="0" w:afterAutospacing="0" w:line="360" w:lineRule="auto"/>
        <w:ind w:firstLine="480"/>
        <w:rPr>
          <w:b/>
        </w:rPr>
      </w:pPr>
      <w:bookmarkStart w:id="89" w:name="_Toc1814"/>
      <w:bookmarkStart w:id="90" w:name="_Toc22618"/>
      <w:bookmarkStart w:id="91" w:name="_Toc10340"/>
      <w:bookmarkStart w:id="92" w:name="_Toc4760"/>
      <w:bookmarkStart w:id="93" w:name="_Toc3625"/>
      <w:bookmarkStart w:id="94" w:name="_Toc11108"/>
      <w:bookmarkStart w:id="95" w:name="_Toc8772"/>
      <w:bookmarkStart w:id="96" w:name="_Toc31421"/>
      <w:r>
        <w:rPr>
          <w:rFonts w:hint="eastAsia"/>
          <w:b/>
        </w:rPr>
        <w:t>1.4履约保证金</w:t>
      </w:r>
    </w:p>
    <w:p>
      <w:pPr>
        <w:pStyle w:val="629"/>
        <w:spacing w:before="0" w:beforeAutospacing="0" w:after="0" w:afterAutospacing="0" w:line="360" w:lineRule="auto"/>
        <w:ind w:firstLine="480"/>
      </w:pPr>
      <w:r>
        <w:rPr>
          <w:rFonts w:hint="eastAsia"/>
        </w:rPr>
        <w:t>乙方（是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1.4.1履约保证金的比例为合同金额的1%；</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b/>
          <w:i/>
          <w:sz w:val="24"/>
          <w:u w:val="single"/>
        </w:rPr>
        <w:t>合同专用条款</w:t>
      </w:r>
      <w:r>
        <w:rPr>
          <w:rFonts w:hint="eastAsia" w:ascii="宋体" w:hAnsi="宋体" w:cs="宋体"/>
          <w:kern w:val="0"/>
          <w:sz w:val="24"/>
        </w:rPr>
        <w:t>；</w:t>
      </w:r>
    </w:p>
    <w:p>
      <w:pPr>
        <w:pStyle w:val="5"/>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89"/>
      <w:bookmarkEnd w:id="90"/>
      <w:bookmarkEnd w:id="91"/>
      <w:r>
        <w:rPr>
          <w:rFonts w:hint="eastAsia" w:ascii="宋体" w:hAnsi="宋体" w:cs="宋体"/>
          <w:b/>
          <w:sz w:val="24"/>
        </w:rPr>
        <w:t>预付款</w:t>
      </w:r>
    </w:p>
    <w:p>
      <w:pPr>
        <w:pStyle w:val="629"/>
        <w:spacing w:before="0" w:beforeAutospacing="0" w:after="0" w:afterAutospacing="0" w:line="360" w:lineRule="auto"/>
        <w:ind w:firstLine="480"/>
      </w:pPr>
      <w:r>
        <w:rPr>
          <w:rFonts w:hint="eastAsia"/>
        </w:rPr>
        <w:t>甲方（是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pPr>
        <w:pStyle w:val="629"/>
        <w:spacing w:before="0" w:beforeAutospacing="0" w:after="0" w:afterAutospacing="0" w:line="360" w:lineRule="auto"/>
        <w:ind w:firstLine="480"/>
      </w:pPr>
      <w:r>
        <w:rPr>
          <w:rFonts w:hint="eastAsia"/>
        </w:rPr>
        <w:t>1.5.2预付款的扣回方式详见</w:t>
      </w:r>
      <w:r>
        <w:rPr>
          <w:rFonts w:hint="eastAsia"/>
          <w:b/>
          <w:i/>
          <w:u w:val="single"/>
        </w:rPr>
        <w:t>合同专用条款</w:t>
      </w:r>
      <w:r>
        <w:rPr>
          <w:rFonts w:hint="eastAsia"/>
        </w:rPr>
        <w:t>；</w:t>
      </w:r>
    </w:p>
    <w:p>
      <w:pPr>
        <w:pStyle w:val="629"/>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pPr>
        <w:pStyle w:val="629"/>
        <w:spacing w:before="0" w:beforeAutospacing="0" w:after="0" w:afterAutospacing="0" w:line="360" w:lineRule="auto"/>
        <w:ind w:firstLine="480"/>
        <w:rPr>
          <w:b/>
          <w:bCs/>
        </w:rPr>
      </w:pPr>
      <w:r>
        <w:rPr>
          <w:rFonts w:hint="eastAsia"/>
          <w:b/>
          <w:bCs/>
        </w:rPr>
        <w:t>1.6资金支付</w:t>
      </w:r>
    </w:p>
    <w:p>
      <w:pPr>
        <w:pStyle w:val="62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92"/>
      <w:bookmarkEnd w:id="93"/>
      <w:bookmarkEnd w:id="94"/>
      <w:bookmarkEnd w:id="95"/>
      <w:bookmarkEnd w:id="96"/>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97" w:name="_Toc8586"/>
      <w:bookmarkStart w:id="98" w:name="_Toc5698"/>
      <w:bookmarkStart w:id="99" w:name="_Toc3079"/>
      <w:bookmarkStart w:id="100" w:name="_Toc24662"/>
      <w:bookmarkStart w:id="101" w:name="_Toc2375"/>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97"/>
      <w:bookmarkEnd w:id="98"/>
      <w:bookmarkEnd w:id="99"/>
      <w:bookmarkEnd w:id="100"/>
      <w:bookmarkEnd w:id="101"/>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5"/>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5（可根据情况修改） %计算，最高限额为本合同总价的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102" w:name="_Toc32454"/>
      <w:bookmarkStart w:id="103" w:name="_Toc18683"/>
      <w:bookmarkStart w:id="104" w:name="_Toc30329"/>
      <w:bookmarkStart w:id="105" w:name="_Toc9497"/>
      <w:bookmarkStart w:id="106" w:name="_Toc2680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102"/>
    <w:bookmarkEnd w:id="103"/>
    <w:bookmarkEnd w:id="104"/>
    <w:bookmarkEnd w:id="105"/>
    <w:bookmarkEnd w:id="106"/>
    <w:p>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住所：住所：</w:t>
      </w:r>
    </w:p>
    <w:p>
      <w:pPr>
        <w:autoSpaceDE w:val="0"/>
        <w:autoSpaceDN w:val="0"/>
        <w:spacing w:line="560" w:lineRule="exact"/>
        <w:rPr>
          <w:rFonts w:ascii="宋体" w:hAnsi="宋体"/>
          <w:sz w:val="24"/>
          <w:lang w:val="zh-CN"/>
        </w:rPr>
      </w:pPr>
      <w:r>
        <w:rPr>
          <w:rFonts w:hint="eastAsia" w:ascii="宋体" w:hAnsi="宋体"/>
          <w:sz w:val="24"/>
          <w:lang w:val="zh-CN"/>
        </w:rPr>
        <w:t>法定代表人或法定代表人或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联系人：联系人：</w:t>
      </w:r>
    </w:p>
    <w:p>
      <w:pPr>
        <w:autoSpaceDE w:val="0"/>
        <w:autoSpaceDN w:val="0"/>
        <w:spacing w:line="560" w:lineRule="exact"/>
        <w:rPr>
          <w:rFonts w:ascii="宋体" w:hAnsi="宋体"/>
          <w:sz w:val="24"/>
          <w:lang w:val="zh-CN"/>
        </w:rPr>
      </w:pPr>
      <w:r>
        <w:rPr>
          <w:rFonts w:hint="eastAsia" w:ascii="宋体" w:hAnsi="宋体"/>
          <w:sz w:val="24"/>
          <w:lang w:val="zh-CN"/>
        </w:rPr>
        <w:t>约定送达地址：约定送达地址：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281"/>
        <w:spacing w:line="560" w:lineRule="exact"/>
        <w:ind w:firstLine="482"/>
        <w:jc w:val="center"/>
        <w:rPr>
          <w:rFonts w:ascii="宋体" w:hAnsi="宋体"/>
          <w:b/>
          <w:szCs w:val="24"/>
        </w:rPr>
      </w:pPr>
      <w:r>
        <w:rPr>
          <w:rFonts w:hint="eastAsia" w:ascii="宋体" w:hAnsi="宋体"/>
          <w:b/>
          <w:szCs w:val="24"/>
        </w:rPr>
        <w:t>第二部分合同一般条款</w:t>
      </w:r>
    </w:p>
    <w:p>
      <w:pPr>
        <w:spacing w:line="560" w:lineRule="exact"/>
        <w:ind w:firstLine="482" w:firstLineChars="200"/>
        <w:outlineLvl w:val="0"/>
        <w:rPr>
          <w:rFonts w:ascii="宋体" w:hAnsi="宋体"/>
          <w:b/>
          <w:sz w:val="24"/>
        </w:rPr>
      </w:pPr>
      <w:bookmarkStart w:id="107" w:name="_Toc14021"/>
      <w:bookmarkStart w:id="108" w:name="_Toc5228"/>
      <w:bookmarkStart w:id="109" w:name="_Toc25079"/>
      <w:bookmarkStart w:id="110" w:name="_Toc31297"/>
      <w:bookmarkStart w:id="111" w:name="_Toc19680"/>
      <w:r>
        <w:rPr>
          <w:rFonts w:ascii="宋体" w:hAnsi="宋体"/>
          <w:b/>
          <w:sz w:val="24"/>
        </w:rPr>
        <w:t>2.1 定义</w:t>
      </w:r>
      <w:bookmarkEnd w:id="107"/>
      <w:bookmarkEnd w:id="108"/>
      <w:bookmarkEnd w:id="109"/>
      <w:bookmarkEnd w:id="110"/>
      <w:bookmarkEnd w:id="111"/>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112" w:name="_Toc3769"/>
      <w:bookmarkStart w:id="113" w:name="_Toc23289"/>
      <w:bookmarkStart w:id="114" w:name="_Toc16752"/>
      <w:bookmarkStart w:id="115" w:name="_Toc19539"/>
      <w:bookmarkStart w:id="116" w:name="_Toc31402"/>
      <w:r>
        <w:rPr>
          <w:rFonts w:ascii="宋体" w:hAnsi="宋体"/>
          <w:b/>
          <w:sz w:val="24"/>
        </w:rPr>
        <w:t>2.2 技术规范</w:t>
      </w:r>
      <w:bookmarkEnd w:id="112"/>
      <w:bookmarkEnd w:id="113"/>
      <w:bookmarkEnd w:id="114"/>
      <w:bookmarkEnd w:id="115"/>
      <w:bookmarkEnd w:id="116"/>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117" w:name="_Toc9161"/>
      <w:bookmarkStart w:id="118" w:name="_Toc13673"/>
      <w:bookmarkStart w:id="119" w:name="_Toc27945"/>
      <w:bookmarkStart w:id="120" w:name="_Toc4133"/>
      <w:bookmarkStart w:id="121" w:name="_Toc12412"/>
      <w:r>
        <w:rPr>
          <w:rFonts w:ascii="宋体" w:hAnsi="宋体"/>
          <w:b/>
          <w:sz w:val="24"/>
        </w:rPr>
        <w:t>2.3 知识产权</w:t>
      </w:r>
      <w:bookmarkEnd w:id="117"/>
      <w:bookmarkEnd w:id="118"/>
      <w:bookmarkEnd w:id="119"/>
      <w:bookmarkEnd w:id="120"/>
      <w:bookmarkEnd w:id="121"/>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122" w:name="_Toc31233"/>
      <w:bookmarkStart w:id="123" w:name="_Toc26555"/>
      <w:bookmarkStart w:id="124" w:name="_Toc22011"/>
      <w:bookmarkStart w:id="125" w:name="_Toc15447"/>
      <w:bookmarkStart w:id="126" w:name="_Toc32670"/>
      <w:r>
        <w:rPr>
          <w:rFonts w:ascii="宋体" w:hAnsi="宋体"/>
          <w:b/>
          <w:sz w:val="24"/>
        </w:rPr>
        <w:t>2.5 结算方式和付款条件</w:t>
      </w:r>
      <w:bookmarkEnd w:id="122"/>
      <w:bookmarkEnd w:id="123"/>
      <w:bookmarkEnd w:id="124"/>
      <w:bookmarkEnd w:id="125"/>
      <w:bookmarkEnd w:id="126"/>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127" w:name="_Toc13467"/>
      <w:bookmarkStart w:id="128" w:name="_Toc16163"/>
      <w:bookmarkStart w:id="129" w:name="_Toc18990"/>
      <w:bookmarkStart w:id="130" w:name="_Toc13154"/>
      <w:bookmarkStart w:id="131" w:name="_Toc30507"/>
      <w:r>
        <w:rPr>
          <w:rFonts w:ascii="宋体" w:hAnsi="宋体"/>
          <w:b/>
          <w:sz w:val="24"/>
        </w:rPr>
        <w:t>2.6 技术资料和保密义务</w:t>
      </w:r>
      <w:bookmarkEnd w:id="127"/>
      <w:bookmarkEnd w:id="128"/>
      <w:bookmarkEnd w:id="129"/>
      <w:bookmarkEnd w:id="130"/>
      <w:bookmarkEnd w:id="131"/>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132" w:name="_Toc19069"/>
      <w:r>
        <w:rPr>
          <w:rFonts w:ascii="宋体" w:hAnsi="宋体"/>
          <w:b/>
          <w:sz w:val="24"/>
        </w:rPr>
        <w:t xml:space="preserve">2.7 </w:t>
      </w:r>
      <w:r>
        <w:rPr>
          <w:rFonts w:hint="eastAsia" w:ascii="宋体" w:hAnsi="宋体"/>
          <w:b/>
          <w:sz w:val="24"/>
        </w:rPr>
        <w:t>质量保证</w:t>
      </w:r>
      <w:bookmarkEnd w:id="132"/>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133" w:name="_Toc22267"/>
      <w:r>
        <w:rPr>
          <w:rFonts w:ascii="宋体" w:hAnsi="宋体"/>
          <w:b/>
          <w:sz w:val="24"/>
        </w:rPr>
        <w:t xml:space="preserve">2.8 </w:t>
      </w:r>
      <w:r>
        <w:rPr>
          <w:rFonts w:hint="eastAsia" w:ascii="宋体" w:hAnsi="宋体"/>
          <w:b/>
          <w:sz w:val="24"/>
        </w:rPr>
        <w:t>延迟履行</w:t>
      </w:r>
      <w:bookmarkEnd w:id="133"/>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134" w:name="_Toc10611"/>
      <w:r>
        <w:rPr>
          <w:rFonts w:ascii="宋体" w:hAnsi="宋体"/>
          <w:b/>
          <w:sz w:val="24"/>
        </w:rPr>
        <w:t xml:space="preserve">2.9 </w:t>
      </w:r>
      <w:r>
        <w:rPr>
          <w:rFonts w:hint="eastAsia" w:ascii="宋体" w:hAnsi="宋体"/>
          <w:b/>
          <w:sz w:val="24"/>
        </w:rPr>
        <w:t>合同变更</w:t>
      </w:r>
      <w:bookmarkEnd w:id="134"/>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135" w:name="_Toc21830"/>
      <w:bookmarkStart w:id="136" w:name="_Toc10663"/>
      <w:bookmarkStart w:id="137" w:name="_Toc26689"/>
      <w:bookmarkStart w:id="138" w:name="_Toc23368"/>
      <w:bookmarkStart w:id="139" w:name="_Toc42"/>
      <w:r>
        <w:rPr>
          <w:rFonts w:ascii="宋体" w:hAnsi="宋体"/>
          <w:b/>
          <w:sz w:val="24"/>
        </w:rPr>
        <w:t>2.10 合同转让和分包</w:t>
      </w:r>
      <w:bookmarkEnd w:id="135"/>
      <w:bookmarkEnd w:id="136"/>
      <w:bookmarkEnd w:id="137"/>
      <w:bookmarkEnd w:id="138"/>
      <w:bookmarkEnd w:id="139"/>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140" w:name="_Toc14371"/>
      <w:bookmarkStart w:id="141" w:name="_Toc25571"/>
      <w:bookmarkStart w:id="142" w:name="_Toc26633"/>
      <w:bookmarkStart w:id="143" w:name="_Toc4720"/>
      <w:bookmarkStart w:id="144" w:name="_Toc32494"/>
      <w:r>
        <w:rPr>
          <w:rFonts w:ascii="宋体" w:hAnsi="宋体"/>
          <w:b/>
          <w:sz w:val="24"/>
        </w:rPr>
        <w:t>2.11 不可抗力</w:t>
      </w:r>
      <w:bookmarkEnd w:id="140"/>
      <w:bookmarkEnd w:id="141"/>
      <w:bookmarkEnd w:id="142"/>
      <w:bookmarkEnd w:id="143"/>
      <w:bookmarkEnd w:id="144"/>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145" w:name="_Toc25783"/>
      <w:bookmarkStart w:id="146" w:name="_Toc3638"/>
      <w:bookmarkStart w:id="147" w:name="_Toc24465"/>
      <w:bookmarkStart w:id="148" w:name="_Toc23854"/>
      <w:bookmarkStart w:id="149" w:name="_Toc14115"/>
      <w:r>
        <w:rPr>
          <w:rFonts w:ascii="宋体" w:hAnsi="宋体"/>
          <w:b/>
          <w:sz w:val="24"/>
        </w:rPr>
        <w:t>2.12 税费</w:t>
      </w:r>
      <w:bookmarkEnd w:id="145"/>
      <w:bookmarkEnd w:id="146"/>
      <w:bookmarkEnd w:id="147"/>
      <w:bookmarkEnd w:id="148"/>
      <w:bookmarkEnd w:id="149"/>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150" w:name="_Toc26883"/>
      <w:bookmarkStart w:id="151" w:name="_Toc14814"/>
      <w:bookmarkStart w:id="152" w:name="_Toc30105"/>
      <w:bookmarkStart w:id="153" w:name="_Toc25525"/>
      <w:bookmarkStart w:id="154" w:name="_Toc7315"/>
      <w:r>
        <w:rPr>
          <w:rFonts w:ascii="宋体" w:hAnsi="宋体"/>
          <w:b/>
          <w:sz w:val="24"/>
        </w:rPr>
        <w:t>2.13 乙方破产</w:t>
      </w:r>
      <w:bookmarkEnd w:id="150"/>
      <w:bookmarkEnd w:id="151"/>
      <w:bookmarkEnd w:id="152"/>
      <w:bookmarkEnd w:id="153"/>
      <w:bookmarkEnd w:id="154"/>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155" w:name="_Toc23323"/>
      <w:bookmarkStart w:id="156" w:name="_Toc1123"/>
      <w:bookmarkStart w:id="157" w:name="_Toc2016"/>
      <w:r>
        <w:rPr>
          <w:rFonts w:ascii="宋体" w:hAnsi="宋体"/>
          <w:b/>
          <w:sz w:val="24"/>
        </w:rPr>
        <w:t>2.14 合同中止、终止</w:t>
      </w:r>
      <w:bookmarkEnd w:id="155"/>
      <w:bookmarkEnd w:id="156"/>
      <w:bookmarkEnd w:id="157"/>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158" w:name="_Toc17363"/>
      <w:bookmarkStart w:id="159" w:name="_Toc14525"/>
      <w:bookmarkStart w:id="160" w:name="_Toc1969"/>
      <w:r>
        <w:rPr>
          <w:rFonts w:ascii="宋体" w:hAnsi="宋体"/>
          <w:b/>
          <w:sz w:val="24"/>
        </w:rPr>
        <w:t>2.15 检验和验收</w:t>
      </w:r>
      <w:bookmarkEnd w:id="158"/>
      <w:bookmarkEnd w:id="159"/>
      <w:bookmarkEnd w:id="160"/>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161" w:name="_Toc9808"/>
      <w:bookmarkStart w:id="162" w:name="_Toc12666"/>
      <w:bookmarkStart w:id="163" w:name="_Toc2308"/>
      <w:bookmarkStart w:id="164" w:name="_Toc31892"/>
      <w:bookmarkStart w:id="165" w:name="_Toc25198"/>
      <w:r>
        <w:rPr>
          <w:rFonts w:ascii="宋体" w:hAnsi="宋体"/>
          <w:b/>
          <w:sz w:val="24"/>
        </w:rPr>
        <w:t>2.16 通知和送达</w:t>
      </w:r>
      <w:bookmarkEnd w:id="161"/>
      <w:bookmarkEnd w:id="162"/>
      <w:bookmarkEnd w:id="163"/>
      <w:bookmarkEnd w:id="164"/>
      <w:bookmarkEnd w:id="165"/>
    </w:p>
    <w:p>
      <w:pPr>
        <w:spacing w:line="560" w:lineRule="exact"/>
        <w:ind w:firstLine="480" w:firstLineChars="200"/>
        <w:rPr>
          <w:rFonts w:ascii="宋体" w:hAnsi="宋体"/>
          <w:sz w:val="24"/>
        </w:rPr>
      </w:pPr>
      <w:bookmarkStart w:id="166" w:name="_Toc18401"/>
      <w:bookmarkStart w:id="167" w:name="_Toc27674"/>
      <w:r>
        <w:rPr>
          <w:rFonts w:ascii="宋体" w:hAnsi="宋体"/>
          <w:sz w:val="24"/>
        </w:rPr>
        <w:t>2.17.1</w:t>
      </w:r>
      <w:r>
        <w:rPr>
          <w:rFonts w:hint="eastAsia" w:ascii="宋体" w:hAnsi="宋体"/>
          <w:sz w:val="24"/>
        </w:rPr>
        <w:t>任何一方因履行合同而以合同第一部分尾部所列明的传真或电子邮件发出的所有通知、文件、材料，均视为已向对方当事人送达；任何一方变更上述送达方式或者地址的，应于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166"/>
      <w:bookmarkEnd w:id="167"/>
    </w:p>
    <w:p>
      <w:pPr>
        <w:spacing w:line="560" w:lineRule="exact"/>
        <w:ind w:firstLine="482" w:firstLineChars="200"/>
        <w:outlineLvl w:val="0"/>
        <w:rPr>
          <w:rFonts w:ascii="宋体" w:hAnsi="宋体"/>
          <w:b/>
          <w:sz w:val="24"/>
        </w:rPr>
      </w:pPr>
      <w:bookmarkStart w:id="168" w:name="_Toc27644"/>
      <w:bookmarkStart w:id="169" w:name="_Toc20808"/>
      <w:bookmarkStart w:id="170" w:name="_Toc5063"/>
      <w:bookmarkStart w:id="171" w:name="_Toc28906"/>
      <w:bookmarkStart w:id="172"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168"/>
      <w:bookmarkEnd w:id="169"/>
      <w:bookmarkEnd w:id="170"/>
      <w:bookmarkEnd w:id="171"/>
      <w:bookmarkEnd w:id="172"/>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r>
        <w:rPr>
          <w:rFonts w:hint="eastAsia" w:ascii="宋体" w:hAnsi="宋体" w:cs="宋体"/>
          <w:b/>
          <w:sz w:val="24"/>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6"/>
        <w:gridCol w:w="81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65"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1.3.2</w:t>
            </w:r>
          </w:p>
        </w:tc>
        <w:tc>
          <w:tcPr>
            <w:tcW w:w="4465" w:type="pct"/>
            <w:vAlign w:val="center"/>
          </w:tcPr>
          <w:p>
            <w:pPr>
              <w:spacing w:line="360" w:lineRule="auto"/>
              <w:ind w:firstLine="16" w:firstLineChars="7"/>
              <w:jc w:val="left"/>
              <w:rPr>
                <w:rFonts w:asciiTheme="minorEastAsia" w:hAnsiTheme="minorEastAsia" w:eastAsiaTheme="minorEastAsia"/>
                <w:sz w:val="24"/>
              </w:rPr>
            </w:pPr>
            <w:r>
              <w:rPr>
                <w:rFonts w:hint="eastAsia" w:asciiTheme="minorEastAsia" w:hAnsiTheme="minorEastAsia" w:eastAsiaTheme="minorEastAsia"/>
                <w:sz w:val="24"/>
              </w:rPr>
              <w:t>1、合同签订后，采购人查验相关人员证件和中标方相关资质，并且根据招标要求，人员全部在岗后，7个工作日内由采购人向供应商支付合同总价50%的预付款；</w:t>
            </w:r>
          </w:p>
          <w:p>
            <w:pPr>
              <w:spacing w:line="360" w:lineRule="auto"/>
              <w:ind w:firstLine="16" w:firstLineChars="7"/>
              <w:jc w:val="left"/>
              <w:rPr>
                <w:rFonts w:asciiTheme="minorEastAsia" w:hAnsiTheme="minorEastAsia" w:eastAsiaTheme="minorEastAsia"/>
                <w:sz w:val="24"/>
              </w:rPr>
            </w:pPr>
            <w:r>
              <w:rPr>
                <w:rFonts w:hint="eastAsia" w:asciiTheme="minorEastAsia" w:hAnsiTheme="minorEastAsia" w:eastAsiaTheme="minorEastAsia"/>
                <w:sz w:val="24"/>
              </w:rPr>
              <w:t>2、服务期满通过验收后采购人支付成交供应商剩余的50%项目款。结算时供应商将结款申请1份、发票原件及复印件1份、合同复印件1份和经采购人验收确认的验收报告提交采购人，采购人应自收到发票后5个工作日内支付相应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465" w:type="pct"/>
            <w:vAlign w:val="center"/>
          </w:tcPr>
          <w:p>
            <w:pPr>
              <w:spacing w:line="360" w:lineRule="auto"/>
              <w:ind w:firstLine="16" w:firstLineChars="7"/>
              <w:jc w:val="left"/>
              <w:rPr>
                <w:rFonts w:ascii="宋体" w:hAnsi="宋体" w:cs="宋体"/>
                <w:sz w:val="24"/>
              </w:rPr>
            </w:pPr>
            <w:r>
              <w:rPr>
                <w:rFonts w:hint="eastAsia" w:ascii="宋体" w:hAnsi="宋体" w:cs="宋体"/>
                <w:sz w:val="24"/>
              </w:rPr>
              <w:t>服务期</w:t>
            </w:r>
            <w:r>
              <w:rPr>
                <w:rFonts w:hint="eastAsia" w:asciiTheme="minorEastAsia" w:hAnsiTheme="minorEastAsia" w:eastAsiaTheme="minorEastAsia"/>
                <w:sz w:val="24"/>
              </w:rPr>
              <w:t>总计壹年</w:t>
            </w: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465" w:type="pct"/>
            <w:vAlign w:val="center"/>
          </w:tcPr>
          <w:p>
            <w:pPr>
              <w:spacing w:line="360" w:lineRule="auto"/>
              <w:rPr>
                <w:rFonts w:ascii="宋体" w:hAnsi="宋体" w:cs="宋体"/>
                <w:sz w:val="24"/>
              </w:rPr>
            </w:pPr>
            <w:r>
              <w:rPr>
                <w:rFonts w:hint="eastAsia" w:ascii="宋体" w:hAnsi="宋体" w:cs="宋体"/>
                <w:sz w:val="24"/>
              </w:rPr>
              <w:t>服务地点：建德市人民政府新安江街道办事处。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465" w:type="pct"/>
            <w:vAlign w:val="center"/>
          </w:tcPr>
          <w:p>
            <w:pPr>
              <w:spacing w:line="360" w:lineRule="auto"/>
              <w:rPr>
                <w:rFonts w:ascii="宋体" w:hAnsi="宋体" w:cs="宋体"/>
                <w:sz w:val="24"/>
              </w:rPr>
            </w:pPr>
            <w:r>
              <w:rPr>
                <w:rFonts w:hint="eastAsia" w:ascii="宋体" w:hAnsi="宋体" w:cs="宋体"/>
                <w:sz w:val="24"/>
              </w:rPr>
              <w:t>按服务要求提供服务。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465" w:type="pct"/>
            <w:vAlign w:val="center"/>
          </w:tcPr>
          <w:p>
            <w:pPr>
              <w:spacing w:line="360" w:lineRule="auto"/>
              <w:rPr>
                <w:rFonts w:ascii="宋体" w:hAnsi="宋体" w:cs="宋体"/>
                <w:sz w:val="24"/>
              </w:rPr>
            </w:pPr>
            <w:r>
              <w:rPr>
                <w:rFonts w:hint="eastAsia" w:ascii="宋体" w:hAnsi="宋体" w:cs="宋体"/>
                <w:sz w:val="24"/>
              </w:rPr>
              <w:t>违约责任：</w:t>
            </w:r>
          </w:p>
          <w:p>
            <w:pPr>
              <w:spacing w:line="360" w:lineRule="auto"/>
              <w:rPr>
                <w:rFonts w:ascii="宋体" w:hAnsi="宋体" w:cs="宋体"/>
                <w:sz w:val="24"/>
              </w:rPr>
            </w:pPr>
            <w:r>
              <w:rPr>
                <w:rFonts w:hint="eastAsia" w:ascii="宋体" w:hAnsi="宋体" w:cs="宋体"/>
                <w:sz w:val="24"/>
              </w:rPr>
              <w:t>除不可抗力外，如果乙方没有按照本合同约定的期限、地点和内容完成服务，那么甲方可要求乙方支付违约金，违约金按每迟延完成服务一日的应交付而未完成服务价格的  0.05  %计算，最高限额为本合同总价的 20  %；迟延完成服务的违约金计算数额达到前述最高限额之日起，甲方有权在要求乙方支付违约金的同时，书面通知乙方解除本合同；</w:t>
            </w:r>
          </w:p>
          <w:p>
            <w:pPr>
              <w:spacing w:line="360" w:lineRule="auto"/>
              <w:rPr>
                <w:rFonts w:ascii="宋体" w:hAnsi="宋体" w:cs="宋体"/>
                <w:sz w:val="24"/>
              </w:rPr>
            </w:pPr>
            <w:r>
              <w:rPr>
                <w:rFonts w:hint="eastAsia" w:ascii="宋体" w:hAnsi="宋体" w:cs="宋体"/>
                <w:sz w:val="24"/>
              </w:rPr>
              <w:t>除不可抗力外，如果甲方没有按照本合同约定的付款方式付款，那么乙方可要求甲方支付违约金，违约金按每迟延付款一日的应付而未付款的  0.05  %计算，最高限额为本合同总价的  20  %；迟延付款的违约金计算数额达到前述最高限额之日起，乙方有权在要求甲方支付违约金的同时，书面通知甲方解除本合同；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465" w:type="pct"/>
            <w:vAlign w:val="center"/>
          </w:tcPr>
          <w:p>
            <w:pPr>
              <w:spacing w:line="360" w:lineRule="auto"/>
              <w:rPr>
                <w:rFonts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本合同履行过程中发生的任何争议，双方当事人均可通过和解或者调解解决；不愿和解、调解或者和解、调解不成的，可以选择以下第 1.7.2  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465"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465" w:type="pct"/>
            <w:vAlign w:val="center"/>
          </w:tcPr>
          <w:p>
            <w:pPr>
              <w:spacing w:line="360" w:lineRule="auto"/>
              <w:rPr>
                <w:rFonts w:ascii="宋体" w:hAnsi="宋体" w:cs="宋体"/>
                <w:sz w:val="24"/>
              </w:rPr>
            </w:pPr>
            <w:r>
              <w:rPr>
                <w:rFonts w:hint="eastAsia" w:ascii="宋体" w:hAnsi="宋体" w:cs="宋体"/>
                <w:sz w:val="24"/>
              </w:rPr>
              <w:t>向建德市人民法院人民法院起诉。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465"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4465" w:type="pct"/>
            <w:vAlign w:val="center"/>
          </w:tcPr>
          <w:p>
            <w:pPr>
              <w:spacing w:line="360" w:lineRule="auto"/>
              <w:rPr>
                <w:rFonts w:ascii="宋体" w:hAnsi="宋体" w:cs="宋体"/>
                <w:sz w:val="24"/>
              </w:rPr>
            </w:pPr>
            <w:r>
              <w:rPr>
                <w:rFonts w:hint="eastAsia" w:ascii="宋体" w:hAnsi="宋体" w:cs="宋体"/>
                <w:sz w:val="24"/>
              </w:rPr>
              <w:t>合同履行期间，甲方有权将履行过程中出现的问题反馈给乙方，双方当事人应以书面形式约定需要完善和改进的内容。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4465" w:type="pct"/>
            <w:vAlign w:val="center"/>
          </w:tcPr>
          <w:p>
            <w:pPr>
              <w:spacing w:line="360" w:lineRule="auto"/>
              <w:rPr>
                <w:rFonts w:ascii="宋体" w:hAnsi="宋体" w:cs="宋体"/>
                <w:sz w:val="24"/>
              </w:rPr>
            </w:pPr>
            <w:r>
              <w:rPr>
                <w:rFonts w:hint="eastAsia" w:ascii="宋体" w:hAnsi="宋体" w:cs="宋体"/>
                <w:sz w:val="24"/>
              </w:rPr>
              <w:t>因不可抗力致使合同有变更必要的，双方当事人应在15日内以书面形式变更合同。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4465" w:type="pct"/>
            <w:vAlign w:val="center"/>
          </w:tcPr>
          <w:p>
            <w:pPr>
              <w:spacing w:line="360" w:lineRule="auto"/>
              <w:rPr>
                <w:rFonts w:ascii="宋体" w:hAnsi="宋体" w:cs="宋体"/>
                <w:sz w:val="24"/>
              </w:rPr>
            </w:pPr>
            <w:r>
              <w:rPr>
                <w:rFonts w:hint="eastAsia" w:ascii="宋体" w:hAnsi="宋体" w:cs="宋体"/>
                <w:sz w:val="24"/>
              </w:rPr>
              <w:t>受不可抗力影响的一方在不可抗力发生后，应在7日内以书面形式通知对方当事人，并在14日内，将有关部门出具的证明文件送达对方当事人。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465" w:type="pct"/>
            <w:vAlign w:val="center"/>
          </w:tcPr>
          <w:p>
            <w:pPr>
              <w:spacing w:line="360" w:lineRule="auto"/>
              <w:rPr>
                <w:rFonts w:ascii="宋体" w:hAnsi="宋体" w:cs="宋体"/>
                <w:sz w:val="24"/>
              </w:rPr>
            </w:pPr>
            <w:r>
              <w:rPr>
                <w:rFonts w:hint="eastAsia" w:ascii="宋体" w:hAnsi="宋体" w:cs="宋体"/>
                <w:sz w:val="24"/>
              </w:rPr>
              <w:t>乙方按照双方确定的服务考核办法的约定，定期提交服务报告，甲方按照服务考核办法的约定进行定期验收。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465"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465"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465"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5" w:type="pct"/>
            <w:vAlign w:val="center"/>
          </w:tcPr>
          <w:p>
            <w:pPr>
              <w:spacing w:line="360" w:lineRule="auto"/>
              <w:rPr>
                <w:rFonts w:ascii="宋体" w:hAnsi="宋体" w:cs="宋体"/>
                <w:sz w:val="24"/>
              </w:rPr>
            </w:pPr>
            <w:r>
              <w:rPr>
                <w:rFonts w:hint="eastAsia" w:ascii="宋体" w:hAnsi="宋体" w:cs="宋体"/>
                <w:sz w:val="24"/>
              </w:rPr>
              <w:t>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5"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p>
        </w:tc>
        <w:tc>
          <w:tcPr>
            <w:tcW w:w="4465"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5"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5"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4465" w:type="pct"/>
          </w:tcPr>
          <w:p>
            <w:pPr>
              <w:spacing w:line="360" w:lineRule="auto"/>
              <w:rPr>
                <w:rFonts w:ascii="宋体" w:hAnsi="宋体" w:cs="宋体"/>
                <w:sz w:val="24"/>
              </w:rPr>
            </w:pPr>
            <w:r>
              <w:rPr>
                <w:rFonts w:hint="eastAsia" w:ascii="宋体" w:hAnsi="宋体" w:cs="宋体"/>
                <w:sz w:val="24"/>
              </w:rPr>
              <w:t>同份数：本合同壹式陆份，甲、乙双方各执叁份。</w:t>
            </w:r>
          </w:p>
        </w:tc>
      </w:tr>
    </w:tbl>
    <w:p>
      <w:pPr>
        <w:spacing w:line="360" w:lineRule="auto"/>
        <w:ind w:left="-420" w:leftChars="-200" w:right="-420" w:rightChars="-200" w:firstLine="480" w:firstLineChars="200"/>
        <w:rPr>
          <w:rFonts w:ascii="宋体" w:hAnsi="宋体" w:cs="宋体"/>
          <w:sz w:val="24"/>
        </w:rPr>
      </w:pPr>
    </w:p>
    <w:p/>
    <w:p>
      <w:pPr>
        <w:pStyle w:val="5"/>
        <w:numPr>
          <w:ilvl w:val="0"/>
          <w:numId w:val="0"/>
        </w:numPr>
        <w:ind w:left="432"/>
        <w:rPr>
          <w:lang w:val="en-US"/>
        </w:rPr>
      </w:pPr>
    </w:p>
    <w:p>
      <w:pPr>
        <w:pStyle w:val="5"/>
        <w:numPr>
          <w:ilvl w:val="0"/>
          <w:numId w:val="0"/>
        </w:numPr>
        <w:ind w:left="432"/>
        <w:rPr>
          <w:lang w:val="en-US"/>
        </w:rPr>
      </w:pPr>
    </w:p>
    <w:p/>
    <w:p>
      <w:pPr>
        <w:pStyle w:val="5"/>
        <w:numPr>
          <w:ilvl w:val="0"/>
          <w:numId w:val="0"/>
        </w:numPr>
        <w:rPr>
          <w:lang w:val="en-US"/>
        </w:rPr>
      </w:pPr>
    </w:p>
    <w:p/>
    <w:p>
      <w:pPr>
        <w:pStyle w:val="5"/>
        <w:numPr>
          <w:ilvl w:val="0"/>
          <w:numId w:val="0"/>
        </w:numPr>
        <w:rPr>
          <w:lang w:val="en-US"/>
        </w:rPr>
      </w:pPr>
    </w:p>
    <w:p>
      <w:pPr>
        <w:spacing w:line="360" w:lineRule="auto"/>
        <w:ind w:firstLine="562" w:firstLineChars="200"/>
        <w:jc w:val="center"/>
        <w:rPr>
          <w:rFonts w:asciiTheme="minorEastAsia" w:hAnsiTheme="minorEastAsia" w:eastAsiaTheme="minorEastAsia"/>
          <w:b/>
          <w:sz w:val="28"/>
          <w:szCs w:val="28"/>
        </w:rPr>
      </w:pPr>
    </w:p>
    <w:p>
      <w:pPr>
        <w:snapToGrid w:val="0"/>
        <w:spacing w:line="360" w:lineRule="auto"/>
        <w:jc w:val="center"/>
        <w:outlineLvl w:val="0"/>
        <w:rPr>
          <w:rFonts w:cs="仿宋_GB2312" w:asciiTheme="minorEastAsia" w:hAnsiTheme="minorEastAsia" w:eastAsiaTheme="minorEastAsia"/>
          <w:b/>
          <w:sz w:val="36"/>
          <w:szCs w:val="20"/>
        </w:rPr>
      </w:pPr>
    </w:p>
    <w:p>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67"/>
      <w:bookmarkEnd w:id="68"/>
      <w:r>
        <w:rPr>
          <w:rFonts w:hint="eastAsia" w:cs="仿宋_GB2312" w:asciiTheme="minorEastAsia" w:hAnsiTheme="minorEastAsia" w:eastAsiaTheme="minorEastAsia"/>
          <w:b/>
          <w:sz w:val="36"/>
          <w:szCs w:val="20"/>
        </w:rPr>
        <w:t>应提交的有关格式范例</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pPr>
        <w:spacing w:line="360" w:lineRule="auto"/>
        <w:ind w:firstLine="480" w:firstLineChars="200"/>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（9）技术解决方案…………………………………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w:t>
      </w:r>
      <w:r>
        <w:rPr>
          <w:rFonts w:cs="仿宋_GB2312" w:asciiTheme="minorEastAsia" w:hAnsiTheme="minorEastAsia" w:eastAsiaTheme="minorEastAsia"/>
          <w:kern w:val="0"/>
          <w:sz w:val="24"/>
        </w:rPr>
        <w:t>）组织实施方案………………………………………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rPr>
        <w:t>1</w:t>
      </w:r>
      <w:r>
        <w:rPr>
          <w:rFonts w:cs="仿宋_GB2312" w:asciiTheme="minorEastAsia" w:hAnsiTheme="minorEastAsia" w:eastAsiaTheme="minorEastAsia"/>
          <w:kern w:val="0"/>
          <w:sz w:val="24"/>
        </w:rPr>
        <w:t>）售后服务方案……………………………………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（12</w:t>
      </w:r>
      <w:r>
        <w:rPr>
          <w:rFonts w:cs="仿宋_GB2312" w:asciiTheme="minorEastAsia" w:hAnsiTheme="minorEastAsia" w:eastAsiaTheme="minorEastAsia"/>
          <w:kern w:val="0"/>
          <w:sz w:val="24"/>
        </w:rPr>
        <w:t>）项目小组人员名单…</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（13）</w:t>
      </w:r>
      <w:r>
        <w:rPr>
          <w:rFonts w:hint="eastAsia" w:cs="仿宋_GB2312" w:asciiTheme="minorEastAsia" w:hAnsiTheme="minorEastAsia" w:eastAsiaTheme="minorEastAsia"/>
          <w:kern w:val="0"/>
          <w:sz w:val="24"/>
          <w:lang w:val="zh-CN"/>
        </w:rPr>
        <w:t>优惠条件及特殊承诺………………………………</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（14）</w:t>
      </w:r>
      <w:r>
        <w:rPr>
          <w:rFonts w:hint="eastAsia" w:cs="仿宋_GB2312" w:asciiTheme="minorEastAsia" w:hAnsiTheme="minorEastAsia" w:eastAsiaTheme="minorEastAsia"/>
          <w:kern w:val="0"/>
          <w:sz w:val="24"/>
          <w:lang w:val="zh-CN"/>
        </w:rPr>
        <w:t>培训计划……………………………………………</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（15）</w:t>
      </w:r>
      <w:r>
        <w:rPr>
          <w:rFonts w:hint="eastAsia" w:cs="仿宋_GB2312" w:asciiTheme="minorEastAsia" w:hAnsiTheme="minorEastAsia" w:eastAsiaTheme="minorEastAsia"/>
          <w:sz w:val="24"/>
        </w:rPr>
        <w:t>随机特殊工具和备品备件清单</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spacing w:line="360" w:lineRule="auto"/>
        <w:ind w:firstLine="48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（16）</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（17）</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建德市人民政府新安江街道办事处、杭州市公共资源交易中心建德分中心：</w:t>
      </w:r>
    </w:p>
    <w:p>
      <w:pPr>
        <w:spacing w:line="360" w:lineRule="auto"/>
        <w:ind w:firstLine="566" w:firstLineChars="236"/>
        <w:rPr>
          <w:rFonts w:cs="仿宋_GB2312" w:asciiTheme="minorEastAsia" w:hAnsiTheme="minorEastAsia" w:eastAsiaTheme="minorEastAsia"/>
          <w:sz w:val="24"/>
        </w:rPr>
      </w:pPr>
      <w:r>
        <w:rPr>
          <w:rFonts w:hint="eastAsia" w:cs="仿宋_GB2312" w:asciiTheme="minorEastAsia" w:hAnsiTheme="minorEastAsia" w:eastAsiaTheme="minorEastAsia"/>
          <w:sz w:val="24"/>
          <w:u w:val="single"/>
        </w:rPr>
        <w:t xml:space="preserve">(供应商全称)        </w:t>
      </w:r>
      <w:r>
        <w:rPr>
          <w:rFonts w:hint="eastAsia" w:cs="仿宋_GB2312" w:asciiTheme="minorEastAsia" w:hAnsiTheme="minorEastAsia" w:eastAsiaTheme="minorEastAsia"/>
          <w:sz w:val="24"/>
        </w:rPr>
        <w:t>授权</w:t>
      </w:r>
      <w:r>
        <w:rPr>
          <w:rFonts w:hint="eastAsia" w:cs="仿宋_GB2312" w:asciiTheme="minorEastAsia" w:hAnsiTheme="minorEastAsia" w:eastAsiaTheme="minorEastAsia"/>
          <w:sz w:val="24"/>
          <w:u w:val="single"/>
        </w:rPr>
        <w:t xml:space="preserve">(全权代表姓名)    (职务、职称)      </w:t>
      </w:r>
      <w:r>
        <w:rPr>
          <w:rFonts w:hint="eastAsia" w:cs="仿宋_GB2312" w:asciiTheme="minorEastAsia" w:hAnsiTheme="minorEastAsia" w:eastAsiaTheme="minorEastAsia"/>
          <w:sz w:val="24"/>
        </w:rPr>
        <w:t>为全权代表，参加贵方组织的2024年建德市新安江街道办公楼物业保洁服务项目【项目编号：</w:t>
      </w:r>
      <w:r>
        <w:rPr>
          <w:rFonts w:hint="eastAsia" w:cs="仿宋_GB2312" w:asciiTheme="minorEastAsia" w:hAnsiTheme="minorEastAsia" w:eastAsiaTheme="minorEastAsia"/>
          <w:sz w:val="24"/>
          <w:lang w:eastAsia="zh-CN"/>
        </w:rPr>
        <w:t>JD2024BJ-024</w:t>
      </w:r>
      <w:r>
        <w:rPr>
          <w:rFonts w:hint="eastAsia" w:cs="仿宋_GB2312" w:asciiTheme="minorEastAsia" w:hAnsiTheme="minorEastAsia" w:eastAsiaTheme="minorEastAsia"/>
          <w:sz w:val="24"/>
        </w:rPr>
        <w:t>】的有关活动，并对此项目进行响应。为此：</w:t>
      </w:r>
    </w:p>
    <w:p>
      <w:pPr>
        <w:pStyle w:val="104"/>
        <w:numPr>
          <w:ilvl w:val="0"/>
          <w:numId w:val="11"/>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pPr>
        <w:numPr>
          <w:ilvl w:val="0"/>
          <w:numId w:val="11"/>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pPr>
        <w:numPr>
          <w:ilvl w:val="0"/>
          <w:numId w:val="11"/>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7.3按照磋商文件要求提交履约保证金；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7.4在合同约定的期限内完成合同规定的全部义务。 </w:t>
      </w:r>
    </w:p>
    <w:p>
      <w:pPr>
        <w:numPr>
          <w:ilvl w:val="0"/>
          <w:numId w:val="11"/>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pPr>
        <w:autoSpaceDE w:val="0"/>
        <w:autoSpaceDN w:val="0"/>
        <w:spacing w:line="360" w:lineRule="auto"/>
        <w:ind w:firstLine="3960" w:firstLineChars="1650"/>
        <w:rPr>
          <w:rFonts w:cs="仿宋_GB2312" w:asciiTheme="minorEastAsia" w:hAnsiTheme="minorEastAsia" w:eastAsiaTheme="minorEastAsia"/>
          <w:kern w:val="0"/>
          <w:sz w:val="24"/>
          <w:lang w:val="zh-CN"/>
        </w:rPr>
      </w:pPr>
    </w:p>
    <w:p>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autoSpaceDE w:val="0"/>
        <w:autoSpaceDN w:val="0"/>
        <w:spacing w:line="360" w:lineRule="auto"/>
        <w:rPr>
          <w:rFonts w:cs="仿宋_GB2312" w:asciiTheme="minorEastAsia" w:hAnsiTheme="minorEastAsia" w:eastAsiaTheme="minorEastAsia"/>
          <w:kern w:val="0"/>
          <w:sz w:val="24"/>
        </w:rPr>
      </w:pPr>
    </w:p>
    <w:p>
      <w:pPr>
        <w:pStyle w:val="114"/>
        <w:keepNext w:val="0"/>
        <w:pageBreakBefore w:val="0"/>
        <w:tabs>
          <w:tab w:val="clear" w:pos="720"/>
        </w:tabs>
        <w:jc w:val="both"/>
        <w:outlineLvl w:val="9"/>
        <w:rPr>
          <w:rFonts w:cs="仿宋_GB2312" w:asciiTheme="minorEastAsia" w:hAnsiTheme="minorEastAsia" w:eastAsiaTheme="minorEastAsia"/>
          <w:sz w:val="24"/>
          <w:szCs w:val="24"/>
        </w:rPr>
      </w:pP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18"/>
          <w:szCs w:val="18"/>
        </w:rPr>
      </w:pPr>
    </w:p>
    <w:p>
      <w:pPr>
        <w:spacing w:line="360" w:lineRule="auto"/>
        <w:rPr>
          <w:rFonts w:cs="仿宋_GB2312" w:asciiTheme="minorEastAsia" w:hAnsiTheme="minorEastAsia" w:eastAsiaTheme="minorEastAsia"/>
          <w:sz w:val="18"/>
          <w:szCs w:val="18"/>
        </w:rPr>
      </w:pPr>
    </w:p>
    <w:p>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pPr>
        <w:widowControl/>
        <w:tabs>
          <w:tab w:val="left" w:pos="1200"/>
        </w:tabs>
        <w:adjustRightInd/>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pPr>
        <w:pStyle w:val="104"/>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pPr>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rPr>
        <w:t>建德市人民政府新安江街道办事处、杭州市公共资源交易中心建德分中心：</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仿宋_GB2312" w:asciiTheme="minorEastAsia" w:hAnsiTheme="minorEastAsia" w:eastAsiaTheme="minorEastAsia"/>
          <w:sz w:val="24"/>
        </w:rPr>
        <w:t>2024年建德市新安江街道办公楼物业保洁服务项目(项目编号：</w:t>
      </w:r>
      <w:r>
        <w:rPr>
          <w:rFonts w:hint="eastAsia" w:cs="仿宋_GB2312" w:asciiTheme="minorEastAsia" w:hAnsiTheme="minorEastAsia" w:eastAsiaTheme="minorEastAsia"/>
          <w:sz w:val="24"/>
          <w:lang w:eastAsia="zh-CN"/>
        </w:rPr>
        <w:t>JD2024BJ-024</w:t>
      </w:r>
      <w:r>
        <w:rPr>
          <w:rFonts w:hint="eastAsia" w:cs="仿宋_GB2312" w:asciiTheme="minorEastAsia" w:hAnsiTheme="minorEastAsia" w:eastAsiaTheme="minorEastAsia"/>
          <w:sz w:val="24"/>
        </w:rPr>
        <w:t>)</w:t>
      </w:r>
      <w:r>
        <w:rPr>
          <w:rFonts w:hint="eastAsia" w:cs="宋体" w:asciiTheme="minorEastAsia" w:hAnsiTheme="minorEastAsia" w:eastAsiaTheme="minorEastAsia"/>
          <w:sz w:val="24"/>
        </w:rPr>
        <w:t>政府采购活动，郑重承诺：</w:t>
      </w:r>
    </w:p>
    <w:p>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kern w:val="0"/>
          <w:sz w:val="24"/>
          <w:lang w:val="zh-CN"/>
        </w:rPr>
      </w:pPr>
    </w:p>
    <w:p>
      <w:pPr>
        <w:snapToGrid w:val="0"/>
        <w:spacing w:line="360" w:lineRule="auto"/>
        <w:ind w:firstLine="5520" w:firstLineChars="2300"/>
        <w:rPr>
          <w:rFonts w:cs="宋体" w:asciiTheme="minorEastAsia" w:hAnsiTheme="minorEastAsia" w:eastAsiaTheme="minorEastAsia"/>
          <w:kern w:val="0"/>
          <w:sz w:val="24"/>
          <w:lang w:val="zh-CN"/>
        </w:rPr>
      </w:pPr>
    </w:p>
    <w:p>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  日</w:t>
      </w:r>
    </w:p>
    <w:p>
      <w:pPr>
        <w:snapToGrid w:val="0"/>
        <w:spacing w:line="360" w:lineRule="auto"/>
        <w:ind w:right="480"/>
        <w:jc w:val="center"/>
        <w:rPr>
          <w:rFonts w:cs="仿宋_GB2312" w:asciiTheme="minorEastAsia" w:hAnsiTheme="minorEastAsia" w:eastAsiaTheme="minorEastAsia"/>
          <w:b/>
          <w:kern w:val="0"/>
          <w:sz w:val="32"/>
          <w:szCs w:val="32"/>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lang w:eastAsia="zh-CN"/>
        </w:rPr>
        <w:t>2024年建德市新安江街道办公楼物业保洁服务项目</w:t>
      </w:r>
      <w:r>
        <w:rPr>
          <w:rFonts w:hint="eastAsia" w:cs="仿宋_GB2312" w:asciiTheme="minorEastAsia" w:hAnsiTheme="minorEastAsia" w:eastAsiaTheme="minorEastAsia"/>
          <w:kern w:val="0"/>
          <w:sz w:val="24"/>
          <w:lang w:val="zh-CN"/>
        </w:rPr>
        <w:t>【项目编号：（采购编号）】响应</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173"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173"/>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174"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174"/>
      <w:r>
        <w:rPr>
          <w:rFonts w:hint="eastAsia" w:cs="宋体" w:asciiTheme="minorEastAsia" w:hAnsiTheme="minorEastAsia" w:eastAsiaTheme="minorEastAsia"/>
          <w:b/>
          <w:kern w:val="0"/>
          <w:sz w:val="24"/>
          <w:lang w:val="zh-CN"/>
        </w:rPr>
        <w:t>）</w:t>
      </w:r>
    </w:p>
    <w:p>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175" w:name="_Hlk101133173"/>
      <w:r>
        <w:rPr>
          <w:rFonts w:hint="eastAsia" w:cs="宋体" w:asciiTheme="minorEastAsia" w:hAnsiTheme="minorEastAsia" w:eastAsiaTheme="minorEastAsia"/>
          <w:sz w:val="24"/>
        </w:rPr>
        <w:t>中小企业合同金额达到%，其中小微企业合同金额达到%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175"/>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snapToGrid w:val="0"/>
        <w:spacing w:line="360" w:lineRule="auto"/>
        <w:ind w:right="480"/>
        <w:jc w:val="center"/>
        <w:rPr>
          <w:rFonts w:cs="仿宋_GB2312" w:asciiTheme="minorEastAsia" w:hAnsiTheme="minorEastAsia" w:eastAsiaTheme="minorEastAsia"/>
          <w:b/>
          <w:sz w:val="32"/>
          <w:szCs w:val="32"/>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pPr>
        <w:widowControl/>
        <w:spacing w:line="360" w:lineRule="auto"/>
        <w:ind w:firstLine="480"/>
        <w:jc w:val="left"/>
        <w:rPr>
          <w:rFonts w:cs="宋体" w:asciiTheme="minorEastAsia" w:hAnsiTheme="minorEastAsia" w:eastAsiaTheme="minorEastAsia"/>
          <w:sz w:val="24"/>
        </w:rPr>
      </w:pPr>
    </w:p>
    <w:p>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sz w:val="24"/>
        </w:rPr>
      </w:pP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sz w:val="24"/>
        </w:rPr>
      </w:pPr>
    </w:p>
    <w:p>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pPr>
        <w:snapToGrid w:val="0"/>
        <w:spacing w:line="360" w:lineRule="auto"/>
        <w:rPr>
          <w:rFonts w:cs="仿宋_GB2312" w:asciiTheme="minorEastAsia" w:hAnsiTheme="minorEastAsia" w:eastAsiaTheme="minorEastAsia"/>
          <w:kern w:val="0"/>
          <w:sz w:val="24"/>
          <w:lang w:val="zh-CN"/>
        </w:rPr>
      </w:pPr>
    </w:p>
    <w:p>
      <w:pPr>
        <w:snapToGrid w:val="0"/>
        <w:spacing w:line="360" w:lineRule="auto"/>
        <w:ind w:right="480"/>
        <w:jc w:val="center"/>
        <w:rPr>
          <w:rFonts w:cs="仿宋_GB2312" w:asciiTheme="minorEastAsia" w:hAnsiTheme="minorEastAsia" w:eastAsiaTheme="minorEastAsia"/>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pPr>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rPr>
        <w:t>建德市人民政府新安江街道办事处、杭州市公共资源交易中心建德分中心：</w:t>
      </w:r>
    </w:p>
    <w:p>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兹委派我公司先生/女士 (其在本公司的职务是：，联系电话：手机：传真：)，代表我公司全权处理</w:t>
      </w:r>
      <w:r>
        <w:rPr>
          <w:rFonts w:hint="eastAsia" w:cs="仿宋_GB2312" w:asciiTheme="minorEastAsia" w:hAnsiTheme="minorEastAsia" w:eastAsiaTheme="minorEastAsia"/>
          <w:sz w:val="24"/>
        </w:rPr>
        <w:t>2024年建德市新安江街道办公楼物业保洁服务项目(项目编号：</w:t>
      </w:r>
      <w:r>
        <w:rPr>
          <w:rFonts w:hint="eastAsia" w:cs="仿宋_GB2312" w:asciiTheme="minorEastAsia" w:hAnsiTheme="minorEastAsia" w:eastAsiaTheme="minorEastAsia"/>
          <w:sz w:val="24"/>
          <w:lang w:eastAsia="zh-CN"/>
        </w:rPr>
        <w:t>JD2024BJ-024</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pPr>
        <w:snapToGrid w:val="0"/>
        <w:spacing w:line="360" w:lineRule="auto"/>
        <w:ind w:firstLine="465"/>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特此告知。</w:t>
      </w:r>
    </w:p>
    <w:p>
      <w:pPr>
        <w:rPr>
          <w:lang w:val="zh-CN"/>
        </w:rPr>
      </w:pP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pPr>
        <w:snapToGrid w:val="0"/>
        <w:spacing w:line="360" w:lineRule="auto"/>
        <w:rPr>
          <w:rFonts w:cs="仿宋_GB2312" w:asciiTheme="minorEastAsia" w:hAnsiTheme="minorEastAsia" w:eastAsiaTheme="minorEastAsia"/>
          <w:kern w:val="0"/>
          <w:sz w:val="24"/>
          <w:lang w:val="zh-CN"/>
        </w:rPr>
      </w:pP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建德市人民政府新安江街道办事处、杭州市公共资源交易中心建德分中心</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委托（姓名）为我方代理人（身份证号码:，手机：），以我方名义处理</w:t>
      </w:r>
      <w:r>
        <w:rPr>
          <w:rFonts w:hint="eastAsia" w:cs="仿宋_GB2312" w:asciiTheme="minorEastAsia" w:hAnsiTheme="minorEastAsia" w:eastAsiaTheme="minorEastAsia"/>
          <w:sz w:val="24"/>
        </w:rPr>
        <w:t>2024年建德市新安江街道办公楼物业保洁服务项目(项目编号：</w:t>
      </w:r>
      <w:r>
        <w:rPr>
          <w:rFonts w:hint="eastAsia" w:cs="仿宋_GB2312" w:asciiTheme="minorEastAsia" w:hAnsiTheme="minorEastAsia" w:eastAsiaTheme="minorEastAsia"/>
          <w:sz w:val="24"/>
          <w:lang w:eastAsia="zh-CN"/>
        </w:rPr>
        <w:t>JD2024BJ-024</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pPr>
        <w:snapToGrid w:val="0"/>
        <w:spacing w:line="360" w:lineRule="auto"/>
        <w:rPr>
          <w:rFonts w:cs="仿宋_GB2312" w:asciiTheme="minorEastAsia" w:hAnsiTheme="minorEastAsia" w:eastAsiaTheme="minorEastAsia"/>
          <w:kern w:val="0"/>
          <w:sz w:val="24"/>
          <w:lang w:val="zh-CN"/>
        </w:rPr>
      </w:pP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pPr>
              <w:pStyle w:val="618"/>
              <w:spacing w:line="360" w:lineRule="auto"/>
              <w:rPr>
                <w:rFonts w:asciiTheme="minorEastAsia" w:hAnsiTheme="minorEastAsia" w:eastAsiaTheme="minorEastAsia"/>
                <w:bCs/>
                <w:sz w:val="24"/>
              </w:rPr>
            </w:pPr>
          </w:p>
        </w:tc>
      </w:tr>
    </w:tbl>
    <w:p>
      <w:pPr>
        <w:snapToGrid w:val="0"/>
        <w:spacing w:line="360" w:lineRule="auto"/>
        <w:ind w:firstLine="576"/>
        <w:jc w:val="right"/>
        <w:rPr>
          <w:rFonts w:cs="仿宋_GB2312" w:asciiTheme="minorEastAsia" w:hAnsiTheme="minorEastAsia" w:eastAsiaTheme="minorEastAsia"/>
          <w:kern w:val="0"/>
          <w:sz w:val="24"/>
          <w:lang w:val="zh-CN"/>
        </w:rPr>
      </w:pPr>
    </w:p>
    <w:p>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pPr>
        <w:snapToGrid w:val="0"/>
        <w:spacing w:line="360" w:lineRule="auto"/>
        <w:ind w:firstLine="576"/>
        <w:jc w:val="center"/>
        <w:rPr>
          <w:rFonts w:cs="仿宋_GB2312" w:asciiTheme="minorEastAsia" w:hAnsiTheme="minorEastAsia" w:eastAsiaTheme="minorEastAsia"/>
          <w:sz w:val="28"/>
          <w:szCs w:val="28"/>
        </w:rPr>
      </w:pP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napToGrid w:val="0"/>
        <w:spacing w:line="360" w:lineRule="auto"/>
        <w:ind w:firstLine="3534" w:firstLineChars="1100"/>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仿宋_GB2312" w:asciiTheme="minorEastAsia" w:hAnsiTheme="minorEastAsia" w:eastAsiaTheme="minorEastAsia"/>
          <w:sz w:val="24"/>
        </w:rPr>
        <w:t>2024年建德市新安江街道办公楼物业保洁服务项目(项目编号：</w:t>
      </w:r>
      <w:r>
        <w:rPr>
          <w:rFonts w:hint="eastAsia" w:cs="仿宋_GB2312" w:asciiTheme="minorEastAsia" w:hAnsiTheme="minorEastAsia" w:eastAsiaTheme="minorEastAsia"/>
          <w:sz w:val="24"/>
          <w:lang w:eastAsia="zh-CN"/>
        </w:rPr>
        <w:t>JD2024BJ-024</w:t>
      </w:r>
      <w:r>
        <w:rPr>
          <w:rFonts w:hint="eastAsia" w:cs="仿宋_GB2312" w:asciiTheme="minorEastAsia" w:hAnsiTheme="minorEastAsia" w:eastAsiaTheme="minorEastAsia"/>
          <w:sz w:val="24"/>
        </w:rPr>
        <w:t>)</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pPr>
        <w:pStyle w:val="5"/>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pPr>
        <w:ind w:firstLine="305"/>
        <w:rPr>
          <w:rFonts w:asciiTheme="minorEastAsia" w:hAnsiTheme="minorEastAsia" w:eastAsiaTheme="minorEastAsia"/>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2、中小企业合同金额达到%，其中小微企业合同金额达到%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pPr>
        <w:snapToGrid w:val="0"/>
        <w:spacing w:line="360" w:lineRule="auto"/>
        <w:ind w:firstLine="576"/>
        <w:rPr>
          <w:rFonts w:cs="宋体" w:asciiTheme="minorEastAsia" w:hAnsiTheme="minorEastAsia" w:eastAsiaTheme="minorEastAsia"/>
          <w:u w:val="single"/>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pPr>
        <w:snapToGrid w:val="0"/>
        <w:spacing w:line="360" w:lineRule="auto"/>
        <w:ind w:firstLine="576"/>
        <w:rPr>
          <w:rFonts w:cs="宋体" w:asciiTheme="minorEastAsia" w:hAnsiTheme="minorEastAsia" w:eastAsiaTheme="minorEastAsia"/>
          <w:kern w:val="0"/>
          <w:sz w:val="24"/>
          <w:lang w:val="zh-CN"/>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pPr>
        <w:snapToGrid w:val="0"/>
        <w:spacing w:line="360" w:lineRule="auto"/>
        <w:ind w:left="573" w:leftChars="273"/>
        <w:rPr>
          <w:rFonts w:cs="宋体" w:asciiTheme="minorEastAsia" w:hAnsiTheme="minorEastAsia" w:eastAsiaTheme="minorEastAsia"/>
          <w:kern w:val="0"/>
          <w:sz w:val="24"/>
          <w:lang w:val="zh-CN"/>
        </w:rPr>
      </w:pP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pPr>
        <w:snapToGrid w:val="0"/>
        <w:spacing w:line="360" w:lineRule="auto"/>
        <w:ind w:firstLine="576"/>
        <w:rPr>
          <w:rFonts w:cs="宋体" w:asciiTheme="minorEastAsia" w:hAnsiTheme="minorEastAsia" w:eastAsiaTheme="minorEastAsia"/>
          <w:kern w:val="0"/>
          <w:sz w:val="24"/>
          <w:lang w:val="zh-CN"/>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pPr>
        <w:snapToGrid w:val="0"/>
        <w:spacing w:line="360" w:lineRule="auto"/>
        <w:ind w:firstLine="576"/>
        <w:rPr>
          <w:rFonts w:cs="宋体" w:asciiTheme="minorEastAsia" w:hAnsiTheme="minorEastAsia" w:eastAsiaTheme="minorEastAsia"/>
          <w:kern w:val="0"/>
          <w:sz w:val="24"/>
          <w:lang w:val="zh-CN"/>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中小企业合同金额达到%，小微企业合同金额达到%</w:t>
      </w:r>
      <w:r>
        <w:rPr>
          <w:rFonts w:hint="eastAsia" w:cs="宋体" w:asciiTheme="minorEastAsia" w:hAnsiTheme="minorEastAsia" w:eastAsiaTheme="minorEastAsia"/>
          <w:kern w:val="0"/>
          <w:sz w:val="24"/>
          <w:lang w:val="zh-CN"/>
        </w:rPr>
        <w:t xml:space="preserve">  。                                           供应商名称(电子签名)：</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pPr>
        <w:spacing w:line="360" w:lineRule="auto"/>
        <w:jc w:val="center"/>
        <w:rPr>
          <w:rFonts w:cs="仿宋_GB2312" w:asciiTheme="minorEastAsia" w:hAnsiTheme="minorEastAsia" w:eastAsiaTheme="minorEastAsia"/>
          <w:b/>
          <w:sz w:val="30"/>
          <w:szCs w:val="30"/>
        </w:rPr>
      </w:pPr>
    </w:p>
    <w:p>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月日</w:t>
      </w:r>
    </w:p>
    <w:p>
      <w:pPr>
        <w:spacing w:line="360" w:lineRule="auto"/>
        <w:jc w:val="center"/>
        <w:rPr>
          <w:rFonts w:cs="仿宋_GB2312" w:asciiTheme="minorEastAsia" w:hAnsiTheme="minorEastAsia" w:eastAsiaTheme="minorEastAsia"/>
          <w:b/>
          <w:kern w:val="0"/>
          <w:sz w:val="32"/>
          <w:szCs w:val="32"/>
        </w:rPr>
      </w:pP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pPr>
        <w:autoSpaceDE w:val="0"/>
        <w:autoSpaceDN w:val="0"/>
        <w:spacing w:line="360" w:lineRule="auto"/>
        <w:ind w:firstLine="1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投资</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注：供应商可按上述的格式自行编制，须随表提交相应的合同复印件和用户单位验收证明并注明所在文件页码。</w:t>
      </w:r>
    </w:p>
    <w:p>
      <w:pPr>
        <w:autoSpaceDE w:val="0"/>
        <w:autoSpaceDN w:val="0"/>
        <w:spacing w:line="360" w:lineRule="auto"/>
        <w:rPr>
          <w:rFonts w:cs="仿宋_GB2312" w:asciiTheme="minorEastAsia" w:hAnsiTheme="minorEastAsia" w:eastAsiaTheme="minorEastAsia"/>
          <w:sz w:val="24"/>
        </w:rPr>
      </w:pPr>
    </w:p>
    <w:p>
      <w:pPr>
        <w:autoSpaceDE w:val="0"/>
        <w:autoSpaceDN w:val="0"/>
        <w:spacing w:line="360" w:lineRule="auto"/>
        <w:ind w:firstLine="5280" w:firstLineChars="2200"/>
        <w:rPr>
          <w:rFonts w:cs="仿宋_GB2312" w:asciiTheme="minorEastAsia" w:hAnsiTheme="minorEastAsia" w:eastAsiaTheme="minorEastAsia"/>
          <w:kern w:val="0"/>
          <w:sz w:val="24"/>
        </w:rPr>
      </w:pPr>
    </w:p>
    <w:p>
      <w:pPr>
        <w:autoSpaceDE w:val="0"/>
        <w:autoSpaceDN w:val="0"/>
        <w:spacing w:line="360" w:lineRule="auto"/>
        <w:ind w:firstLine="5280" w:firstLineChars="2200"/>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jc w:val="center"/>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rPr>
          <w:rFonts w:cs="仿宋_GB2312" w:asciiTheme="minorEastAsia" w:hAnsiTheme="minorEastAsia" w:eastAsiaTheme="minorEastAsia"/>
          <w:b/>
          <w:bCs/>
          <w:kern w:val="0"/>
          <w:sz w:val="24"/>
        </w:rPr>
      </w:pPr>
    </w:p>
    <w:p>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九、技术解决方案</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pPr>
        <w:spacing w:line="360" w:lineRule="auto"/>
        <w:jc w:val="center"/>
        <w:rPr>
          <w:rFonts w:cs="仿宋_GB2312" w:asciiTheme="minorEastAsia" w:hAnsiTheme="minorEastAsia" w:eastAsiaTheme="minorEastAsia"/>
          <w:sz w:val="24"/>
        </w:rPr>
      </w:pPr>
    </w:p>
    <w:p>
      <w:pPr>
        <w:autoSpaceDE w:val="0"/>
        <w:autoSpaceDN w:val="0"/>
        <w:spacing w:line="360" w:lineRule="auto"/>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pPr>
        <w:snapToGrid w:val="0"/>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531"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设备名称</w:t>
            </w:r>
          </w:p>
        </w:tc>
        <w:tc>
          <w:tcPr>
            <w:tcW w:w="2160"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响应品牌及型号</w:t>
            </w:r>
          </w:p>
        </w:tc>
        <w:tc>
          <w:tcPr>
            <w:tcW w:w="2340"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规格配置详细说明</w:t>
            </w:r>
          </w:p>
        </w:tc>
        <w:tc>
          <w:tcPr>
            <w:tcW w:w="1080"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1332"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b/>
          <w:kern w:val="0"/>
          <w:sz w:val="28"/>
          <w:szCs w:val="28"/>
        </w:rPr>
      </w:pPr>
      <w:r>
        <w:rPr>
          <w:rFonts w:hint="eastAsia" w:cs="仿宋_GB2312" w:asciiTheme="minorEastAsia" w:hAnsiTheme="minorEastAsia" w:eastAsiaTheme="minorEastAsia"/>
          <w:b/>
          <w:kern w:val="0"/>
          <w:sz w:val="28"/>
          <w:szCs w:val="28"/>
        </w:rPr>
        <w:t>注：</w:t>
      </w:r>
      <w:r>
        <w:rPr>
          <w:rFonts w:hint="eastAsia" w:cs="仿宋_GB2312" w:asciiTheme="minorEastAsia" w:hAnsiTheme="minorEastAsia" w:eastAsiaTheme="minorEastAsia"/>
          <w:b/>
          <w:sz w:val="28"/>
          <w:szCs w:val="28"/>
        </w:rPr>
        <w:t>如果本项目涉及硬件设备采购，须在响应文件中提供此配置清单。</w:t>
      </w:r>
    </w:p>
    <w:p>
      <w:pPr>
        <w:spacing w:line="360" w:lineRule="auto"/>
        <w:ind w:firstLine="1333" w:firstLineChars="400"/>
        <w:jc w:val="left"/>
        <w:rPr>
          <w:rFonts w:asciiTheme="minorEastAsia" w:hAnsiTheme="minorEastAsia" w:eastAsiaTheme="minorEastAsia"/>
          <w:b/>
          <w:spacing w:val="6"/>
          <w:sz w:val="32"/>
          <w:szCs w:val="32"/>
        </w:rPr>
      </w:pPr>
    </w:p>
    <w:p>
      <w:pPr>
        <w:spacing w:line="360" w:lineRule="auto"/>
        <w:ind w:firstLine="1333" w:firstLineChars="400"/>
        <w:jc w:val="left"/>
        <w:rPr>
          <w:rFonts w:asciiTheme="minorEastAsia" w:hAnsiTheme="minorEastAsia" w:eastAsiaTheme="minorEastAsia"/>
          <w:b/>
          <w:spacing w:val="6"/>
          <w:sz w:val="32"/>
          <w:szCs w:val="32"/>
        </w:rPr>
      </w:pPr>
    </w:p>
    <w:p>
      <w:pPr>
        <w:spacing w:line="360" w:lineRule="auto"/>
        <w:ind w:firstLine="1333" w:firstLineChars="4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节能产品认证证书（电子签名）</w:t>
      </w:r>
    </w:p>
    <w:p>
      <w:pPr>
        <w:spacing w:line="360" w:lineRule="auto"/>
        <w:ind w:firstLine="1333" w:firstLineChars="400"/>
        <w:jc w:val="left"/>
        <w:rPr>
          <w:rFonts w:asciiTheme="minorEastAsia" w:hAnsiTheme="minorEastAsia" w:eastAsiaTheme="minorEastAsia"/>
          <w:b/>
          <w:spacing w:val="6"/>
          <w:sz w:val="32"/>
          <w:szCs w:val="32"/>
        </w:rPr>
      </w:pPr>
    </w:p>
    <w:p>
      <w:pPr>
        <w:spacing w:line="360" w:lineRule="auto"/>
        <w:rPr>
          <w:rFonts w:asciiTheme="minorEastAsia" w:hAnsiTheme="minorEastAsia" w:eastAsiaTheme="minorEastAsia"/>
          <w:b/>
          <w:bCs/>
          <w:sz w:val="24"/>
        </w:rPr>
      </w:pPr>
    </w:p>
    <w:p>
      <w:pPr>
        <w:spacing w:line="360" w:lineRule="auto"/>
        <w:ind w:firstLine="1000" w:firstLineChars="3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环境标志产品认证证书（电子签名）</w:t>
      </w:r>
    </w:p>
    <w:p>
      <w:pPr>
        <w:autoSpaceDE w:val="0"/>
        <w:autoSpaceDN w:val="0"/>
        <w:spacing w:line="360" w:lineRule="auto"/>
        <w:rPr>
          <w:rFonts w:cs="仿宋_GB2312" w:asciiTheme="minorEastAsia" w:hAnsiTheme="minorEastAsia" w:eastAsiaTheme="minorEastAsia"/>
          <w:b/>
          <w:kern w:val="0"/>
          <w:sz w:val="28"/>
          <w:szCs w:val="28"/>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lang w:val="zh-CN"/>
        </w:rPr>
        <w:t>十、组织实施方案</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附表:项目实施进度计划表</w:t>
      </w:r>
      <w:r>
        <w:rPr>
          <w:rFonts w:hint="eastAsia" w:cs="仿宋_GB2312" w:asciiTheme="minorEastAsia" w:hAnsiTheme="minorEastAsia" w:eastAsiaTheme="minorEastAsia"/>
          <w:b/>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pPr>
              <w:spacing w:line="360" w:lineRule="auto"/>
              <w:rPr>
                <w:rFonts w:cs="仿宋_GB2312" w:asciiTheme="minorEastAsia" w:hAnsiTheme="minorEastAsia" w:eastAsiaTheme="minorEastAsia"/>
                <w:sz w:val="24"/>
              </w:rPr>
            </w:pPr>
            <w:r>
              <w:rPr>
                <w:rFonts w:cs="仿宋_GB2312" w:asciiTheme="minorEastAsia" w:hAnsiTheme="minorEastAsia" w:eastAsiaTheme="minorEastAsia"/>
                <w:sz w:val="24"/>
              </w:rPr>
              <w:pict>
                <v:group id="Group 7" o:spid="_x0000_s1029" o:spt="203" style="position:absolute;left:0pt;margin-left:-5.15pt;margin-top:0pt;height:93pt;width:58.9pt;z-index:251659264;mso-width-relative:page;mso-height-relative:page;" coordsize="1178,1860203"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v:line id="__TH_L2" o:spid="_x0000_s1033" o:spt="20" style="position:absolute;left:0;top:0;height:1860;width:1178;"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path arrowok="t"/>
                    <v:fill focussize="0,0"/>
                    <v:stroke weight="0.5pt"/>
                    <v:imagedata o:title=""/>
                    <o:lock v:ext="edit"/>
                  </v:line>
                  <v:shape id="__TH_B113" o:spid="_x0000_s1032"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pPr>
                            <w:snapToGrid w:val="0"/>
                          </w:pPr>
                          <w:r>
                            <w:rPr>
                              <w:rFonts w:hint="eastAsia"/>
                            </w:rPr>
                            <w:t>工</w:t>
                          </w:r>
                        </w:p>
                      </w:txbxContent>
                    </v:textbox>
                  </v:shape>
                  <v:shape id="__TH_B124" o:spid="_x0000_s1031"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path/>
                    <v:fill on="f" focussize="0,0"/>
                    <v:stroke on="f" joinstyle="miter"/>
                    <v:imagedata o:title=""/>
                    <o:lock v:ext="edit"/>
                    <v:textbox inset="0mm,0mm,0mm,0mm">
                      <w:txbxContent>
                        <w:p>
                          <w:pPr>
                            <w:snapToGrid w:val="0"/>
                          </w:pPr>
                          <w:r>
                            <w:rPr>
                              <w:rFonts w:hint="eastAsia"/>
                            </w:rPr>
                            <w:t>作</w:t>
                          </w:r>
                        </w:p>
                      </w:txbxContent>
                    </v:textbox>
                  </v:shape>
                  <v:shape id="__TH_B135" o:spid="_x0000_s1030"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path/>
                    <v:fill on="f" focussize="0,0"/>
                    <v:stroke on="f" joinstyle="miter"/>
                    <v:imagedata o:title=""/>
                    <o:lock v:ext="edit"/>
                    <v:textbox inset="0mm,0mm,0mm,0mm">
                      <w:txbxContent>
                        <w:p>
                          <w:pPr>
                            <w:snapToGrid w:val="0"/>
                          </w:pPr>
                          <w:r>
                            <w:rPr>
                              <w:rFonts w:hint="eastAsia"/>
                            </w:rPr>
                            <w:t>日</w:t>
                          </w:r>
                        </w:p>
                      </w:txbxContent>
                    </v:textbox>
                  </v:shape>
                </v:group>
              </w:pict>
            </w: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内容</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注：供应商可按上述时间表的格式自行编制切合实际的具体时间表。</w:t>
      </w:r>
    </w:p>
    <w:p>
      <w:pPr>
        <w:autoSpaceDE w:val="0"/>
        <w:autoSpaceDN w:val="0"/>
        <w:spacing w:line="360" w:lineRule="auto"/>
        <w:ind w:firstLine="4560" w:firstLineChars="1900"/>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十一、售后服务方案</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w:t>
      </w: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sz w:val="24"/>
        </w:rPr>
        <w:t>根据采购需求及磋商文件要求编制）</w:t>
      </w:r>
    </w:p>
    <w:p>
      <w:pPr>
        <w:autoSpaceDE w:val="0"/>
        <w:autoSpaceDN w:val="0"/>
        <w:spacing w:line="360" w:lineRule="auto"/>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十二、项目小组人员名单</w:t>
      </w:r>
    </w:p>
    <w:p>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（由供应商根据采购需求及磋商文件要求编制）</w:t>
      </w:r>
    </w:p>
    <w:p>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响应截止时间近3年业绩及承担的主要工作情况，曾担任项目经理的项目应列明细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专业</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bl>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注：供应商可按上述的格式自行编制，须随表提交相应的证书复印件并注明所在响应文件页码。</w:t>
      </w: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附表C:本项目的项目经理和小组人员交纳社保记录情况表</w:t>
      </w:r>
      <w:r>
        <w:rPr>
          <w:rFonts w:hint="eastAsia" w:cs="仿宋_GB2312" w:asciiTheme="minorEastAsia" w:hAnsiTheme="minorEastAsia" w:eastAsiaTheme="minorEastAsia"/>
          <w:sz w:val="24"/>
        </w:rPr>
        <w:t>（以社保局缴纳凭证作附件）</w:t>
      </w: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24"/>
        </w:rPr>
        <w:br w:type="page"/>
      </w:r>
      <w:r>
        <w:rPr>
          <w:rFonts w:hint="eastAsia" w:cs="仿宋_GB2312" w:asciiTheme="minorEastAsia" w:hAnsiTheme="minorEastAsia" w:eastAsiaTheme="minorEastAsia"/>
          <w:b/>
          <w:kern w:val="0"/>
          <w:sz w:val="32"/>
          <w:szCs w:val="32"/>
          <w:lang w:val="zh-CN"/>
        </w:rPr>
        <w:t>十三</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优惠条件及特殊承诺</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jc w:val="center"/>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24"/>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十四、</w:t>
      </w:r>
      <w:r>
        <w:rPr>
          <w:rFonts w:hint="eastAsia" w:cs="仿宋_GB2312" w:asciiTheme="minorEastAsia" w:hAnsiTheme="minorEastAsia" w:eastAsiaTheme="minorEastAsia"/>
          <w:b/>
          <w:kern w:val="0"/>
          <w:sz w:val="32"/>
          <w:szCs w:val="32"/>
          <w:lang w:val="zh-CN"/>
        </w:rPr>
        <w:t>培训计划</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keepNext/>
        <w:autoSpaceDE w:val="0"/>
        <w:autoSpaceDN w:val="0"/>
        <w:spacing w:line="360" w:lineRule="auto"/>
        <w:ind w:firstLine="477"/>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课程费用</w:t>
            </w:r>
          </w:p>
        </w:tc>
      </w:tr>
      <w:tr>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注解:A</w:t>
      </w:r>
      <w:r>
        <w:rPr>
          <w:rFonts w:hint="eastAsia" w:cs="仿宋_GB2312" w:asciiTheme="minorEastAsia" w:hAnsiTheme="minorEastAsia" w:eastAsiaTheme="minorEastAsia"/>
          <w:sz w:val="24"/>
        </w:rPr>
        <w:tab/>
      </w:r>
      <w:r>
        <w:rPr>
          <w:rFonts w:hint="eastAsia" w:cs="仿宋_GB2312" w:asciiTheme="minorEastAsia" w:hAnsiTheme="minorEastAsia" w:eastAsiaTheme="minorEastAsia"/>
          <w:sz w:val="24"/>
        </w:rPr>
        <w:t>课程清单按时间顺序排列，并提供以下详细资料：</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课程概要</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课程目的</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教学方式</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先决条件</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教材目录</w:t>
      </w:r>
    </w:p>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B  按照附表A提供授课教师的简历</w:t>
      </w:r>
    </w:p>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kern w:val="0"/>
          <w:sz w:val="24"/>
        </w:rPr>
      </w:pP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名称</w:t>
            </w:r>
          </w:p>
        </w:tc>
        <w:tc>
          <w:tcPr>
            <w:tcW w:w="1900"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品牌</w:t>
            </w:r>
          </w:p>
        </w:tc>
        <w:tc>
          <w:tcPr>
            <w:tcW w:w="1800"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制造厂/原产地</w:t>
            </w:r>
          </w:p>
        </w:tc>
        <w:tc>
          <w:tcPr>
            <w:tcW w:w="2880"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规格型号</w:t>
            </w:r>
          </w:p>
        </w:tc>
        <w:tc>
          <w:tcPr>
            <w:tcW w:w="1332"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4"/>
              <w:spacing w:line="360" w:lineRule="auto"/>
              <w:jc w:val="center"/>
              <w:rPr>
                <w:rFonts w:cs="仿宋_GB2312" w:asciiTheme="minorEastAsia" w:hAnsiTheme="minorEastAsia" w:eastAsiaTheme="minorEastAsia"/>
                <w:sz w:val="24"/>
              </w:rPr>
            </w:pPr>
          </w:p>
        </w:tc>
        <w:tc>
          <w:tcPr>
            <w:tcW w:w="1900" w:type="dxa"/>
          </w:tcPr>
          <w:p>
            <w:pPr>
              <w:pStyle w:val="34"/>
              <w:spacing w:line="360" w:lineRule="auto"/>
              <w:jc w:val="center"/>
              <w:rPr>
                <w:rFonts w:cs="仿宋_GB2312" w:asciiTheme="minorEastAsia" w:hAnsiTheme="minorEastAsia" w:eastAsiaTheme="minorEastAsia"/>
                <w:sz w:val="24"/>
              </w:rPr>
            </w:pPr>
          </w:p>
        </w:tc>
        <w:tc>
          <w:tcPr>
            <w:tcW w:w="1800" w:type="dxa"/>
          </w:tcPr>
          <w:p>
            <w:pPr>
              <w:pStyle w:val="34"/>
              <w:spacing w:line="360" w:lineRule="auto"/>
              <w:jc w:val="center"/>
              <w:rPr>
                <w:rFonts w:cs="仿宋_GB2312" w:asciiTheme="minorEastAsia" w:hAnsiTheme="minorEastAsia" w:eastAsiaTheme="minorEastAsia"/>
                <w:sz w:val="24"/>
              </w:rPr>
            </w:pPr>
          </w:p>
        </w:tc>
        <w:tc>
          <w:tcPr>
            <w:tcW w:w="2880" w:type="dxa"/>
          </w:tcPr>
          <w:p>
            <w:pPr>
              <w:pStyle w:val="34"/>
              <w:spacing w:line="360" w:lineRule="auto"/>
              <w:jc w:val="center"/>
              <w:rPr>
                <w:rFonts w:cs="仿宋_GB2312" w:asciiTheme="minorEastAsia" w:hAnsiTheme="minorEastAsia" w:eastAsiaTheme="minorEastAsia"/>
                <w:sz w:val="24"/>
              </w:rPr>
            </w:pPr>
          </w:p>
        </w:tc>
        <w:tc>
          <w:tcPr>
            <w:tcW w:w="1332" w:type="dxa"/>
          </w:tcPr>
          <w:p>
            <w:pPr>
              <w:pStyle w:val="34"/>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4"/>
              <w:spacing w:line="360" w:lineRule="auto"/>
              <w:jc w:val="center"/>
              <w:rPr>
                <w:rFonts w:cs="仿宋_GB2312" w:asciiTheme="minorEastAsia" w:hAnsiTheme="minorEastAsia" w:eastAsiaTheme="minorEastAsia"/>
                <w:sz w:val="24"/>
              </w:rPr>
            </w:pPr>
          </w:p>
        </w:tc>
        <w:tc>
          <w:tcPr>
            <w:tcW w:w="1900" w:type="dxa"/>
          </w:tcPr>
          <w:p>
            <w:pPr>
              <w:pStyle w:val="34"/>
              <w:spacing w:line="360" w:lineRule="auto"/>
              <w:jc w:val="center"/>
              <w:rPr>
                <w:rFonts w:cs="仿宋_GB2312" w:asciiTheme="minorEastAsia" w:hAnsiTheme="minorEastAsia" w:eastAsiaTheme="minorEastAsia"/>
                <w:sz w:val="24"/>
              </w:rPr>
            </w:pPr>
          </w:p>
        </w:tc>
        <w:tc>
          <w:tcPr>
            <w:tcW w:w="1800" w:type="dxa"/>
          </w:tcPr>
          <w:p>
            <w:pPr>
              <w:pStyle w:val="34"/>
              <w:spacing w:line="360" w:lineRule="auto"/>
              <w:jc w:val="center"/>
              <w:rPr>
                <w:rFonts w:cs="仿宋_GB2312" w:asciiTheme="minorEastAsia" w:hAnsiTheme="minorEastAsia" w:eastAsiaTheme="minorEastAsia"/>
                <w:sz w:val="24"/>
              </w:rPr>
            </w:pPr>
          </w:p>
        </w:tc>
        <w:tc>
          <w:tcPr>
            <w:tcW w:w="2880" w:type="dxa"/>
          </w:tcPr>
          <w:p>
            <w:pPr>
              <w:pStyle w:val="34"/>
              <w:spacing w:line="360" w:lineRule="auto"/>
              <w:jc w:val="center"/>
              <w:rPr>
                <w:rFonts w:cs="仿宋_GB2312" w:asciiTheme="minorEastAsia" w:hAnsiTheme="minorEastAsia" w:eastAsiaTheme="minorEastAsia"/>
                <w:sz w:val="24"/>
              </w:rPr>
            </w:pPr>
          </w:p>
        </w:tc>
        <w:tc>
          <w:tcPr>
            <w:tcW w:w="1332" w:type="dxa"/>
          </w:tcPr>
          <w:p>
            <w:pPr>
              <w:pStyle w:val="34"/>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4"/>
              <w:spacing w:line="360" w:lineRule="auto"/>
              <w:jc w:val="center"/>
              <w:rPr>
                <w:rFonts w:cs="仿宋_GB2312" w:asciiTheme="minorEastAsia" w:hAnsiTheme="minorEastAsia" w:eastAsiaTheme="minorEastAsia"/>
                <w:sz w:val="24"/>
              </w:rPr>
            </w:pPr>
          </w:p>
        </w:tc>
        <w:tc>
          <w:tcPr>
            <w:tcW w:w="1900" w:type="dxa"/>
          </w:tcPr>
          <w:p>
            <w:pPr>
              <w:pStyle w:val="34"/>
              <w:spacing w:line="360" w:lineRule="auto"/>
              <w:jc w:val="center"/>
              <w:rPr>
                <w:rFonts w:cs="仿宋_GB2312" w:asciiTheme="minorEastAsia" w:hAnsiTheme="minorEastAsia" w:eastAsiaTheme="minorEastAsia"/>
                <w:sz w:val="24"/>
              </w:rPr>
            </w:pPr>
          </w:p>
        </w:tc>
        <w:tc>
          <w:tcPr>
            <w:tcW w:w="1800" w:type="dxa"/>
          </w:tcPr>
          <w:p>
            <w:pPr>
              <w:pStyle w:val="34"/>
              <w:spacing w:line="360" w:lineRule="auto"/>
              <w:jc w:val="center"/>
              <w:rPr>
                <w:rFonts w:cs="仿宋_GB2312" w:asciiTheme="minorEastAsia" w:hAnsiTheme="minorEastAsia" w:eastAsiaTheme="minorEastAsia"/>
                <w:sz w:val="24"/>
              </w:rPr>
            </w:pPr>
          </w:p>
        </w:tc>
        <w:tc>
          <w:tcPr>
            <w:tcW w:w="2880" w:type="dxa"/>
          </w:tcPr>
          <w:p>
            <w:pPr>
              <w:pStyle w:val="34"/>
              <w:spacing w:line="360" w:lineRule="auto"/>
              <w:jc w:val="center"/>
              <w:rPr>
                <w:rFonts w:cs="仿宋_GB2312" w:asciiTheme="minorEastAsia" w:hAnsiTheme="minorEastAsia" w:eastAsiaTheme="minorEastAsia"/>
                <w:sz w:val="24"/>
              </w:rPr>
            </w:pPr>
          </w:p>
        </w:tc>
        <w:tc>
          <w:tcPr>
            <w:tcW w:w="1332" w:type="dxa"/>
          </w:tcPr>
          <w:p>
            <w:pPr>
              <w:pStyle w:val="34"/>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4"/>
              <w:spacing w:line="360" w:lineRule="auto"/>
              <w:jc w:val="center"/>
              <w:rPr>
                <w:rFonts w:cs="仿宋_GB2312" w:asciiTheme="minorEastAsia" w:hAnsiTheme="minorEastAsia" w:eastAsiaTheme="minorEastAsia"/>
                <w:sz w:val="24"/>
              </w:rPr>
            </w:pPr>
          </w:p>
        </w:tc>
        <w:tc>
          <w:tcPr>
            <w:tcW w:w="1900" w:type="dxa"/>
          </w:tcPr>
          <w:p>
            <w:pPr>
              <w:pStyle w:val="34"/>
              <w:spacing w:line="360" w:lineRule="auto"/>
              <w:jc w:val="center"/>
              <w:rPr>
                <w:rFonts w:cs="仿宋_GB2312" w:asciiTheme="minorEastAsia" w:hAnsiTheme="minorEastAsia" w:eastAsiaTheme="minorEastAsia"/>
                <w:sz w:val="24"/>
              </w:rPr>
            </w:pPr>
          </w:p>
        </w:tc>
        <w:tc>
          <w:tcPr>
            <w:tcW w:w="1800" w:type="dxa"/>
          </w:tcPr>
          <w:p>
            <w:pPr>
              <w:pStyle w:val="34"/>
              <w:spacing w:line="360" w:lineRule="auto"/>
              <w:jc w:val="center"/>
              <w:rPr>
                <w:rFonts w:cs="仿宋_GB2312" w:asciiTheme="minorEastAsia" w:hAnsiTheme="minorEastAsia" w:eastAsiaTheme="minorEastAsia"/>
                <w:sz w:val="24"/>
              </w:rPr>
            </w:pPr>
          </w:p>
        </w:tc>
        <w:tc>
          <w:tcPr>
            <w:tcW w:w="2880" w:type="dxa"/>
          </w:tcPr>
          <w:p>
            <w:pPr>
              <w:pStyle w:val="34"/>
              <w:spacing w:line="360" w:lineRule="auto"/>
              <w:jc w:val="center"/>
              <w:rPr>
                <w:rFonts w:cs="仿宋_GB2312" w:asciiTheme="minorEastAsia" w:hAnsiTheme="minorEastAsia" w:eastAsiaTheme="minorEastAsia"/>
                <w:sz w:val="24"/>
              </w:rPr>
            </w:pPr>
          </w:p>
        </w:tc>
        <w:tc>
          <w:tcPr>
            <w:tcW w:w="1332" w:type="dxa"/>
          </w:tcPr>
          <w:p>
            <w:pPr>
              <w:pStyle w:val="34"/>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4"/>
              <w:spacing w:line="360" w:lineRule="auto"/>
              <w:jc w:val="center"/>
              <w:rPr>
                <w:rFonts w:cs="仿宋_GB2312" w:asciiTheme="minorEastAsia" w:hAnsiTheme="minorEastAsia" w:eastAsiaTheme="minorEastAsia"/>
                <w:sz w:val="24"/>
              </w:rPr>
            </w:pPr>
          </w:p>
        </w:tc>
        <w:tc>
          <w:tcPr>
            <w:tcW w:w="1900" w:type="dxa"/>
          </w:tcPr>
          <w:p>
            <w:pPr>
              <w:pStyle w:val="34"/>
              <w:spacing w:line="360" w:lineRule="auto"/>
              <w:jc w:val="center"/>
              <w:rPr>
                <w:rFonts w:cs="仿宋_GB2312" w:asciiTheme="minorEastAsia" w:hAnsiTheme="minorEastAsia" w:eastAsiaTheme="minorEastAsia"/>
                <w:sz w:val="24"/>
              </w:rPr>
            </w:pPr>
          </w:p>
        </w:tc>
        <w:tc>
          <w:tcPr>
            <w:tcW w:w="1800" w:type="dxa"/>
          </w:tcPr>
          <w:p>
            <w:pPr>
              <w:pStyle w:val="34"/>
              <w:spacing w:line="360" w:lineRule="auto"/>
              <w:jc w:val="center"/>
              <w:rPr>
                <w:rFonts w:cs="仿宋_GB2312" w:asciiTheme="minorEastAsia" w:hAnsiTheme="minorEastAsia" w:eastAsiaTheme="minorEastAsia"/>
                <w:sz w:val="24"/>
              </w:rPr>
            </w:pPr>
          </w:p>
        </w:tc>
        <w:tc>
          <w:tcPr>
            <w:tcW w:w="2880" w:type="dxa"/>
          </w:tcPr>
          <w:p>
            <w:pPr>
              <w:pStyle w:val="34"/>
              <w:spacing w:line="360" w:lineRule="auto"/>
              <w:jc w:val="center"/>
              <w:rPr>
                <w:rFonts w:cs="仿宋_GB2312" w:asciiTheme="minorEastAsia" w:hAnsiTheme="minorEastAsia" w:eastAsiaTheme="minorEastAsia"/>
                <w:sz w:val="24"/>
              </w:rPr>
            </w:pPr>
          </w:p>
        </w:tc>
        <w:tc>
          <w:tcPr>
            <w:tcW w:w="1332" w:type="dxa"/>
          </w:tcPr>
          <w:p>
            <w:pPr>
              <w:pStyle w:val="34"/>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4"/>
              <w:spacing w:line="360" w:lineRule="auto"/>
              <w:rPr>
                <w:rFonts w:cs="仿宋_GB2312" w:asciiTheme="minorEastAsia" w:hAnsiTheme="minorEastAsia" w:eastAsiaTheme="minorEastAsia"/>
                <w:sz w:val="24"/>
              </w:rPr>
            </w:pPr>
          </w:p>
        </w:tc>
        <w:tc>
          <w:tcPr>
            <w:tcW w:w="1900" w:type="dxa"/>
          </w:tcPr>
          <w:p>
            <w:pPr>
              <w:pStyle w:val="34"/>
              <w:spacing w:line="360" w:lineRule="auto"/>
              <w:jc w:val="center"/>
              <w:rPr>
                <w:rFonts w:cs="仿宋_GB2312" w:asciiTheme="minorEastAsia" w:hAnsiTheme="minorEastAsia" w:eastAsiaTheme="minorEastAsia"/>
                <w:sz w:val="24"/>
              </w:rPr>
            </w:pPr>
          </w:p>
        </w:tc>
        <w:tc>
          <w:tcPr>
            <w:tcW w:w="1800" w:type="dxa"/>
          </w:tcPr>
          <w:p>
            <w:pPr>
              <w:pStyle w:val="34"/>
              <w:spacing w:line="360" w:lineRule="auto"/>
              <w:jc w:val="center"/>
              <w:rPr>
                <w:rFonts w:cs="仿宋_GB2312" w:asciiTheme="minorEastAsia" w:hAnsiTheme="minorEastAsia" w:eastAsiaTheme="minorEastAsia"/>
                <w:sz w:val="24"/>
              </w:rPr>
            </w:pPr>
          </w:p>
        </w:tc>
        <w:tc>
          <w:tcPr>
            <w:tcW w:w="2880" w:type="dxa"/>
          </w:tcPr>
          <w:p>
            <w:pPr>
              <w:pStyle w:val="34"/>
              <w:spacing w:line="360" w:lineRule="auto"/>
              <w:jc w:val="center"/>
              <w:rPr>
                <w:rFonts w:cs="仿宋_GB2312" w:asciiTheme="minorEastAsia" w:hAnsiTheme="minorEastAsia" w:eastAsiaTheme="minorEastAsia"/>
                <w:sz w:val="24"/>
              </w:rPr>
            </w:pPr>
          </w:p>
        </w:tc>
        <w:tc>
          <w:tcPr>
            <w:tcW w:w="1332" w:type="dxa"/>
          </w:tcPr>
          <w:p>
            <w:pPr>
              <w:pStyle w:val="34"/>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4"/>
              <w:spacing w:line="360" w:lineRule="auto"/>
              <w:jc w:val="center"/>
              <w:rPr>
                <w:rFonts w:cs="仿宋_GB2312" w:asciiTheme="minorEastAsia" w:hAnsiTheme="minorEastAsia" w:eastAsiaTheme="minorEastAsia"/>
                <w:sz w:val="24"/>
              </w:rPr>
            </w:pPr>
          </w:p>
        </w:tc>
        <w:tc>
          <w:tcPr>
            <w:tcW w:w="1900" w:type="dxa"/>
          </w:tcPr>
          <w:p>
            <w:pPr>
              <w:pStyle w:val="34"/>
              <w:spacing w:line="360" w:lineRule="auto"/>
              <w:jc w:val="center"/>
              <w:rPr>
                <w:rFonts w:cs="仿宋_GB2312" w:asciiTheme="minorEastAsia" w:hAnsiTheme="minorEastAsia" w:eastAsiaTheme="minorEastAsia"/>
                <w:sz w:val="24"/>
              </w:rPr>
            </w:pPr>
          </w:p>
        </w:tc>
        <w:tc>
          <w:tcPr>
            <w:tcW w:w="1800" w:type="dxa"/>
          </w:tcPr>
          <w:p>
            <w:pPr>
              <w:pStyle w:val="34"/>
              <w:spacing w:line="360" w:lineRule="auto"/>
              <w:jc w:val="center"/>
              <w:rPr>
                <w:rFonts w:cs="仿宋_GB2312" w:asciiTheme="minorEastAsia" w:hAnsiTheme="minorEastAsia" w:eastAsiaTheme="minorEastAsia"/>
                <w:sz w:val="24"/>
              </w:rPr>
            </w:pPr>
          </w:p>
        </w:tc>
        <w:tc>
          <w:tcPr>
            <w:tcW w:w="2880" w:type="dxa"/>
          </w:tcPr>
          <w:p>
            <w:pPr>
              <w:pStyle w:val="34"/>
              <w:spacing w:line="360" w:lineRule="auto"/>
              <w:jc w:val="center"/>
              <w:rPr>
                <w:rFonts w:cs="仿宋_GB2312" w:asciiTheme="minorEastAsia" w:hAnsiTheme="minorEastAsia" w:eastAsiaTheme="minorEastAsia"/>
                <w:sz w:val="24"/>
              </w:rPr>
            </w:pPr>
          </w:p>
        </w:tc>
        <w:tc>
          <w:tcPr>
            <w:tcW w:w="1332" w:type="dxa"/>
          </w:tcPr>
          <w:p>
            <w:pPr>
              <w:pStyle w:val="34"/>
              <w:spacing w:line="360" w:lineRule="auto"/>
              <w:jc w:val="center"/>
              <w:rPr>
                <w:rFonts w:cs="仿宋_GB2312" w:asciiTheme="minorEastAsia" w:hAnsiTheme="minorEastAsia" w:eastAsiaTheme="minorEastAsia"/>
                <w:sz w:val="24"/>
              </w:rPr>
            </w:pPr>
          </w:p>
        </w:tc>
      </w:tr>
    </w:tbl>
    <w:p>
      <w:pPr>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注：随机特殊工具和备品备件是指供应商在供货时免费赠送给采购人的工具及零配件，以备用。</w:t>
      </w:r>
    </w:p>
    <w:p>
      <w:pPr>
        <w:spacing w:line="360" w:lineRule="auto"/>
        <w:ind w:firstLine="480" w:firstLineChars="200"/>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kern w:val="0"/>
          <w:sz w:val="24"/>
        </w:rPr>
      </w:pPr>
    </w:p>
    <w:p>
      <w:pPr>
        <w:spacing w:line="360" w:lineRule="auto"/>
        <w:jc w:val="center"/>
        <w:rPr>
          <w:rFonts w:cs="仿宋_GB2312" w:asciiTheme="minorEastAsia" w:hAnsiTheme="minorEastAsia" w:eastAsiaTheme="minorEastAsia"/>
          <w:kern w:val="0"/>
          <w:sz w:val="24"/>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十六、认为需求的</w:t>
      </w:r>
      <w:r>
        <w:rPr>
          <w:rFonts w:hint="eastAsia" w:cs="仿宋_GB2312" w:asciiTheme="minorEastAsia" w:hAnsiTheme="minorEastAsia" w:eastAsiaTheme="minorEastAsia"/>
          <w:b/>
          <w:kern w:val="0"/>
          <w:sz w:val="32"/>
          <w:szCs w:val="32"/>
          <w:lang w:val="zh-CN"/>
        </w:rPr>
        <w:t>其他技术文件或说明</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rPr>
      </w:pPr>
    </w:p>
    <w:p>
      <w:pPr>
        <w:tabs>
          <w:tab w:val="left" w:pos="0"/>
        </w:tabs>
        <w:autoSpaceDE w:val="0"/>
        <w:autoSpaceDN w:val="0"/>
        <w:spacing w:line="360" w:lineRule="auto"/>
        <w:jc w:val="center"/>
        <w:rPr>
          <w:rFonts w:cs="仿宋_GB2312" w:asciiTheme="minorEastAsia" w:hAnsiTheme="minorEastAsia" w:eastAsiaTheme="minorEastAsia"/>
          <w:b/>
          <w:bCs/>
          <w:sz w:val="30"/>
          <w:szCs w:val="30"/>
        </w:rPr>
      </w:pPr>
    </w:p>
    <w:p>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十七、</w:t>
      </w:r>
      <w:r>
        <w:rPr>
          <w:rFonts w:hint="eastAsia" w:cs="宋体" w:asciiTheme="minorEastAsia" w:hAnsiTheme="minorEastAsia" w:eastAsiaTheme="minorEastAsia"/>
          <w:b/>
          <w:kern w:val="0"/>
          <w:sz w:val="32"/>
          <w:szCs w:val="32"/>
          <w:lang w:val="zh-CN"/>
        </w:rPr>
        <w:t>政府采购供应商廉洁自律承诺书</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建德市人民政府新安江街道办事处</w:t>
      </w:r>
      <w:r>
        <w:rPr>
          <w:rFonts w:hint="eastAsia" w:cs="仿宋_GB2312" w:asciiTheme="minorEastAsia" w:hAnsiTheme="minorEastAsia" w:eastAsiaTheme="minorEastAsia"/>
          <w:kern w:val="0"/>
          <w:sz w:val="24"/>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pPr>
        <w:spacing w:line="360" w:lineRule="auto"/>
        <w:jc w:val="center"/>
        <w:rPr>
          <w:rFonts w:cs="仿宋_GB2312" w:asciiTheme="minorEastAsia" w:hAnsiTheme="minorEastAsia" w:eastAsiaTheme="minorEastAsia"/>
          <w:b/>
          <w:sz w:val="36"/>
          <w:szCs w:val="36"/>
        </w:rPr>
      </w:pPr>
    </w:p>
    <w:p>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pPr>
        <w:pStyle w:val="392"/>
        <w:ind w:firstLine="0" w:firstLineChars="0"/>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第八部分 最后报价格式</w:t>
      </w:r>
    </w:p>
    <w:p>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（一）最后报价一览表</w:t>
      </w:r>
    </w:p>
    <w:p>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lang w:eastAsia="zh-CN"/>
        </w:rPr>
        <w:t>建德市人民政府新安江街道办事处、杭州市公共资源交易中心建德分中心</w:t>
      </w:r>
      <w:r>
        <w:rPr>
          <w:rFonts w:hint="eastAsia" w:cs="仿宋_GB2312" w:asciiTheme="minorEastAsia" w:hAnsiTheme="minorEastAsia" w:eastAsiaTheme="minorEastAsia"/>
          <w:kern w:val="0"/>
          <w:sz w:val="24"/>
          <w:lang w:val="zh-CN"/>
        </w:rPr>
        <w:t>：</w:t>
      </w:r>
    </w:p>
    <w:p>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lang w:eastAsia="zh-CN"/>
        </w:rPr>
        <w:t>2024年建德市新安江街道办公楼物业保洁服务项目</w:t>
      </w:r>
      <w:r>
        <w:rPr>
          <w:rFonts w:hint="eastAsia" w:cs="仿宋_GB2312" w:asciiTheme="minorEastAsia" w:hAnsiTheme="minorEastAsia" w:eastAsiaTheme="minorEastAsia"/>
          <w:sz w:val="24"/>
        </w:rPr>
        <w:t>【项目编号：JD202</w:t>
      </w:r>
      <w:r>
        <w:rPr>
          <w:rFonts w:hint="eastAsia" w:cs="仿宋_GB2312" w:asciiTheme="minorEastAsia" w:hAnsiTheme="minorEastAsia" w:eastAsiaTheme="minorEastAsia"/>
          <w:sz w:val="24"/>
          <w:lang w:val="en-US" w:eastAsia="zh-CN"/>
        </w:rPr>
        <w:t>4</w:t>
      </w:r>
      <w:r>
        <w:rPr>
          <w:rFonts w:hint="eastAsia" w:cs="仿宋_GB2312" w:asciiTheme="minorEastAsia" w:hAnsiTheme="minorEastAsia" w:eastAsiaTheme="minorEastAsia"/>
          <w:sz w:val="24"/>
        </w:rPr>
        <w:t>BJ-024】</w:t>
      </w:r>
      <w:r>
        <w:rPr>
          <w:rFonts w:hint="eastAsia" w:cs="仿宋_GB2312" w:asciiTheme="minorEastAsia" w:hAnsiTheme="minorEastAsia" w:eastAsiaTheme="minorEastAsia"/>
          <w:kern w:val="0"/>
          <w:sz w:val="24"/>
          <w:lang w:val="zh-CN"/>
        </w:rPr>
        <w:t>的实施。</w:t>
      </w:r>
    </w:p>
    <w:p>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992"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2268" w:type="dxa"/>
          </w:tcPr>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服务范围</w:t>
            </w:r>
          </w:p>
        </w:tc>
        <w:tc>
          <w:tcPr>
            <w:tcW w:w="2410"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w:t>
            </w:r>
          </w:p>
        </w:tc>
        <w:tc>
          <w:tcPr>
            <w:tcW w:w="2268"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服务时间</w:t>
            </w:r>
          </w:p>
        </w:tc>
        <w:tc>
          <w:tcPr>
            <w:tcW w:w="2126"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服务标准</w:t>
            </w:r>
          </w:p>
        </w:tc>
        <w:tc>
          <w:tcPr>
            <w:tcW w:w="2127" w:type="dxa"/>
          </w:tcPr>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服务人数</w:t>
            </w:r>
          </w:p>
        </w:tc>
        <w:tc>
          <w:tcPr>
            <w:tcW w:w="2126" w:type="dxa"/>
            <w:vAlign w:val="center"/>
          </w:tcPr>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备注（如果有）</w:t>
            </w:r>
          </w:p>
          <w:p>
            <w:pPr>
              <w:spacing w:line="360" w:lineRule="auto"/>
              <w:jc w:val="center"/>
              <w:rPr>
                <w:rFonts w:cs="宋体"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992" w:type="dxa"/>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992" w:type="dxa"/>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992"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p>
        </w:tc>
        <w:tc>
          <w:tcPr>
            <w:tcW w:w="992"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p>
        </w:tc>
        <w:tc>
          <w:tcPr>
            <w:tcW w:w="992"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最后报价（小写）</w:t>
            </w:r>
          </w:p>
        </w:tc>
        <w:tc>
          <w:tcPr>
            <w:tcW w:w="8647" w:type="dxa"/>
            <w:gridSpan w:val="4"/>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最后报价（大写）</w:t>
            </w:r>
          </w:p>
        </w:tc>
        <w:tc>
          <w:tcPr>
            <w:tcW w:w="8647" w:type="dxa"/>
            <w:gridSpan w:val="4"/>
          </w:tcPr>
          <w:p>
            <w:pPr>
              <w:spacing w:line="360" w:lineRule="auto"/>
              <w:jc w:val="center"/>
              <w:rPr>
                <w:rFonts w:cs="宋体" w:asciiTheme="minorEastAsia" w:hAnsiTheme="minorEastAsia" w:eastAsiaTheme="minorEastAsia"/>
                <w:sz w:val="24"/>
              </w:rPr>
            </w:pPr>
          </w:p>
        </w:tc>
      </w:tr>
    </w:tbl>
    <w:p>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pPr>
        <w:spacing w:line="360" w:lineRule="auto"/>
        <w:ind w:firstLine="480" w:firstLineChars="200"/>
        <w:rPr>
          <w:rFonts w:cs="仿宋_GB2312" w:asciiTheme="minorEastAsia" w:hAnsiTheme="minorEastAsia" w:eastAsiaTheme="minorEastAsia"/>
          <w:kern w:val="0"/>
          <w:sz w:val="24"/>
          <w:u w:val="single"/>
          <w:lang w:val="zh-CN"/>
        </w:rPr>
      </w:pPr>
      <w:r>
        <w:rPr>
          <w:rFonts w:hint="eastAsia" w:cs="仿宋_GB2312" w:asciiTheme="minorEastAsia" w:hAnsiTheme="minorEastAsia" w:eastAsiaTheme="minorEastAsia"/>
          <w:kern w:val="0"/>
          <w:sz w:val="24"/>
          <w:szCs w:val="22"/>
          <w:lang w:val="zh-CN"/>
        </w:rPr>
        <w:t>4</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pPr>
        <w:autoSpaceDE w:val="0"/>
        <w:autoSpaceDN w:val="0"/>
        <w:spacing w:line="360" w:lineRule="auto"/>
        <w:ind w:left="5040" w:hanging="5040" w:hanging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kern w:val="0"/>
          <w:sz w:val="24"/>
          <w:lang w:val="zh-CN"/>
        </w:rPr>
        <w:sectPr>
          <w:pgSz w:w="16838" w:h="11906" w:orient="landscape"/>
          <w:pgMar w:top="1418" w:right="471" w:bottom="1418" w:left="777" w:header="851" w:footer="992" w:gutter="0"/>
          <w:cols w:space="720" w:num="1"/>
          <w:titlePg/>
          <w:docGrid w:linePitch="312" w:charSpace="0"/>
        </w:sectPr>
      </w:pPr>
    </w:p>
    <w:p>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（二）中小企业声明函</w:t>
      </w:r>
      <w:bookmarkStart w:id="176" w:name="_Toc465665161"/>
      <w:r>
        <w:rPr>
          <w:rFonts w:hint="eastAsia" w:asciiTheme="minorEastAsia" w:hAnsiTheme="minorEastAsia" w:eastAsiaTheme="minorEastAsia"/>
          <w:b/>
          <w:sz w:val="32"/>
          <w:szCs w:val="32"/>
        </w:rPr>
        <w:t>（如果有）</w:t>
      </w:r>
    </w:p>
    <w:p>
      <w:pPr>
        <w:widowControl/>
        <w:spacing w:line="360" w:lineRule="auto"/>
        <w:ind w:firstLine="120" w:firstLineChars="50"/>
        <w:jc w:val="left"/>
        <w:rPr>
          <w:rFonts w:cs="宋体" w:asciiTheme="minorEastAsia" w:hAnsiTheme="minorEastAsia" w:eastAsiaTheme="minorEastAsia"/>
          <w:b/>
          <w:sz w:val="24"/>
        </w:rPr>
      </w:pPr>
    </w:p>
    <w:p>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pPr>
        <w:widowControl/>
        <w:adjustRightInd/>
        <w:jc w:val="center"/>
        <w:rPr>
          <w:rFonts w:cs="仿宋_GB2312" w:asciiTheme="minorEastAsia" w:hAnsiTheme="minorEastAsia" w:eastAsiaTheme="minorEastAsia"/>
          <w:sz w:val="24"/>
        </w:rPr>
      </w:pPr>
    </w:p>
    <w:p>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rPr>
      </w:pPr>
      <w:r>
        <w:rPr>
          <w:rFonts w:hint="eastAsia" w:cs="仿宋_GB2312" w:asciiTheme="minorEastAsia" w:hAnsiTheme="minorEastAsia" w:eastAsiaTheme="minorEastAsia"/>
        </w:rPr>
        <w:t>附件</w:t>
      </w:r>
      <w:bookmarkEnd w:id="176"/>
    </w:p>
    <w:p>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pPr>
        <w:snapToGrid w:val="0"/>
        <w:spacing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地址：邮编：</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联系人：联系电话：</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 邮编：</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质疑项目的编号：包号：</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p>
    <w:p>
      <w:pPr>
        <w:snapToGrid w:val="0"/>
        <w:spacing w:line="360" w:lineRule="auto"/>
        <w:rPr>
          <w:rFonts w:cs="仿宋_GB2312" w:asciiTheme="minorEastAsia" w:hAnsiTheme="minorEastAsia" w:eastAsiaTheme="minorEastAsia"/>
          <w:sz w:val="24"/>
        </w:rPr>
      </w:pP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p>
    <w:p>
      <w:pPr>
        <w:snapToGrid w:val="0"/>
        <w:spacing w:line="360" w:lineRule="auto"/>
        <w:rPr>
          <w:rFonts w:cs="仿宋_GB2312" w:asciiTheme="minorEastAsia" w:hAnsiTheme="minorEastAsia" w:eastAsiaTheme="minorEastAsia"/>
          <w:sz w:val="24"/>
          <w:u w:val="dotted"/>
        </w:rPr>
      </w:pP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sz w:val="30"/>
          <w:szCs w:val="30"/>
        </w:rPr>
      </w:pPr>
    </w:p>
    <w:p>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址：邮编：</w:t>
      </w:r>
    </w:p>
    <w:p>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p>
    <w:p>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授权代表：联系电话</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址：邮编：</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址：邮编：</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联系人：联系电话：</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址：邮编：</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联系人：联系电话：</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采购项目编号：包号：</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投诉人于年月日,向提出质疑，质疑事项为：</w:t>
      </w:r>
    </w:p>
    <w:p>
      <w:pPr>
        <w:spacing w:line="360" w:lineRule="auto"/>
        <w:rPr>
          <w:rFonts w:cs="仿宋_GB2312" w:asciiTheme="minorEastAsia" w:hAnsiTheme="minorEastAsia" w:eastAsiaTheme="minorEastAsia"/>
          <w:sz w:val="24"/>
          <w:u w:val="dotted"/>
        </w:rPr>
      </w:pPr>
    </w:p>
    <w:p>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于年月日,就质疑事项作出了答复/没有在法定期限内作出答复。</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p>
    <w:p>
      <w:pPr>
        <w:spacing w:line="360" w:lineRule="auto"/>
        <w:rPr>
          <w:rFonts w:cs="仿宋_GB2312" w:asciiTheme="minorEastAsia" w:hAnsiTheme="minorEastAsia" w:eastAsiaTheme="minorEastAsia"/>
          <w:sz w:val="24"/>
          <w:u w:val="dotted"/>
        </w:rPr>
      </w:pP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p>
    <w:p>
      <w:pPr>
        <w:spacing w:line="360" w:lineRule="auto"/>
        <w:rPr>
          <w:rFonts w:cs="仿宋_GB2312" w:asciiTheme="minorEastAsia" w:hAnsiTheme="minorEastAsia" w:eastAsiaTheme="minorEastAsia"/>
          <w:sz w:val="24"/>
          <w:u w:val="dotted"/>
        </w:rPr>
      </w:pP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p>
    <w:p>
      <w:pPr>
        <w:spacing w:line="360" w:lineRule="auto"/>
        <w:rPr>
          <w:rFonts w:cs="仿宋_GB2312" w:asciiTheme="minorEastAsia" w:hAnsiTheme="minorEastAsia" w:eastAsiaTheme="minorEastAsia"/>
          <w:sz w:val="24"/>
          <w:u w:val="single"/>
        </w:rPr>
      </w:pP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sz w:val="24"/>
        </w:rPr>
      </w:pPr>
    </w:p>
    <w:p>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pPr>
        <w:spacing w:line="360" w:lineRule="auto"/>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pPr>
        <w:spacing w:line="360" w:lineRule="auto"/>
        <w:rPr>
          <w:rFonts w:asciiTheme="minorEastAsia" w:hAnsiTheme="minorEastAsia" w:eastAsiaTheme="minorEastAsia"/>
          <w:b/>
          <w:spacing w:val="6"/>
          <w:sz w:val="30"/>
          <w:szCs w:val="30"/>
        </w:rPr>
      </w:pP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（采购人）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single"/>
          <w:lang w:eastAsia="zh-CN"/>
        </w:rPr>
        <w:t>2024年建德市新安江街道办公楼物业保洁服务项目</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sz w:val="24"/>
        </w:rPr>
      </w:pPr>
    </w:p>
    <w:p>
      <w:pPr>
        <w:spacing w:line="360" w:lineRule="auto"/>
        <w:ind w:firstLine="480" w:firstLineChars="200"/>
        <w:rPr>
          <w:rFonts w:cs="仿宋_GB2312" w:asciiTheme="minorEastAsia" w:hAnsiTheme="minorEastAsia" w:eastAsiaTheme="minorEastAsia"/>
          <w:sz w:val="24"/>
        </w:rPr>
      </w:pP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pPr>
        <w:spacing w:line="360" w:lineRule="auto"/>
        <w:ind w:firstLine="480" w:firstLineChars="200"/>
        <w:rPr>
          <w:rFonts w:cs="仿宋_GB2312" w:asciiTheme="minorEastAsia" w:hAnsiTheme="minorEastAsia" w:eastAsiaTheme="minorEastAsia"/>
          <w:sz w:val="24"/>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pPr>
        <w:spacing w:line="360" w:lineRule="auto"/>
        <w:jc w:val="left"/>
        <w:rPr>
          <w:rFonts w:cs="仿宋_GB2312" w:asciiTheme="minorEastAsia" w:hAnsiTheme="minorEastAsia" w:eastAsiaTheme="minorEastAsia"/>
          <w:b/>
          <w:sz w:val="24"/>
        </w:rPr>
      </w:pPr>
    </w:p>
    <w:p>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pPr>
        <w:autoSpaceDE w:val="0"/>
        <w:autoSpaceDN w:val="0"/>
        <w:jc w:val="center"/>
        <w:rPr>
          <w:rFonts w:asciiTheme="minorEastAsia" w:hAnsiTheme="minorEastAsia" w:eastAsiaTheme="minorEastAsia"/>
          <w:b/>
          <w:bCs/>
          <w:sz w:val="32"/>
          <w:szCs w:val="32"/>
        </w:rPr>
      </w:pP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lang w:eastAsia="zh-CN"/>
        </w:rPr>
        <w:t>建德市人民政府新安江街道办事处、杭州市公共资源交易中心建德分中心</w:t>
      </w:r>
      <w:r>
        <w:rPr>
          <w:rFonts w:hint="eastAsia" w:cs="仿宋_GB2312"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w:t>
      </w:r>
      <w:r>
        <w:rPr>
          <w:rFonts w:hint="eastAsia" w:cs="仿宋_GB2312" w:asciiTheme="minorEastAsia" w:hAnsiTheme="minorEastAsia" w:eastAsiaTheme="minorEastAsia"/>
          <w:sz w:val="24"/>
          <w:lang w:eastAsia="zh-CN"/>
        </w:rPr>
        <w:t>2024年建德市新安江街道办公楼物业保洁服务项目</w:t>
      </w:r>
      <w:r>
        <w:rPr>
          <w:rFonts w:hint="eastAsia" w:cs="仿宋_GB2312" w:asciiTheme="minorEastAsia" w:hAnsiTheme="minorEastAsia" w:eastAsiaTheme="minorEastAsia"/>
          <w:sz w:val="24"/>
        </w:rPr>
        <w:t>【项目编号：JD202</w:t>
      </w:r>
      <w:r>
        <w:rPr>
          <w:rFonts w:hint="eastAsia" w:cs="仿宋_GB2312" w:asciiTheme="minorEastAsia" w:hAnsiTheme="minorEastAsia" w:eastAsiaTheme="minorEastAsia"/>
          <w:sz w:val="24"/>
          <w:lang w:val="en-US" w:eastAsia="zh-CN"/>
        </w:rPr>
        <w:t>4</w:t>
      </w:r>
      <w:r>
        <w:rPr>
          <w:rFonts w:hint="eastAsia" w:cs="仿宋_GB2312" w:asciiTheme="minorEastAsia" w:hAnsiTheme="minorEastAsia" w:eastAsiaTheme="minorEastAsia"/>
          <w:sz w:val="24"/>
        </w:rPr>
        <w:t>BJ-024】</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asciiTheme="minorEastAsia" w:hAnsiTheme="minorEastAsia" w:eastAsiaTheme="minorEastAsia"/>
          <w:bCs/>
          <w:sz w:val="24"/>
        </w:rPr>
      </w:pPr>
      <w:r>
        <w:rPr>
          <w:rFonts w:asciiTheme="minorEastAsia" w:hAnsiTheme="minorEastAsia" w:eastAsiaTheme="minorEastAsia"/>
        </w:rPr>
        <w:pict>
          <v:rect id="_x0000_s1028" o:spid="_x0000_s1028" o:spt="1" style="position:absolute;left:0pt;margin-left:238.9pt;margin-top:28.05pt;height:177.45pt;width:212.95pt;z-index:-2516316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FjFc0jkCAACABAAADgAAAAAAAAABACAAAAAnAQAAZHJz&#10;L2Uyb0RvYy54bWxQSwUGAAAAAAYABgBZAQAA0gUAAAAA&#10;">
            <v:path/>
            <v:fill focussize="0,0"/>
            <v:stroke miterlimit="2"/>
            <v:imagedata o:title=""/>
            <o:lock v:ext="edit"/>
          </v:rect>
        </w:pict>
      </w:r>
      <w:r>
        <w:rPr>
          <w:rFonts w:asciiTheme="minorEastAsia" w:hAnsiTheme="minorEastAsia" w:eastAsiaTheme="minorEastAsia"/>
        </w:rPr>
        <w:pict>
          <v:rect id="_x0000_s1027" o:spid="_x0000_s1027" o:spt="1" style="position:absolute;left:0pt;margin-left:-7.2pt;margin-top:30.3pt;height:177.45pt;width:208.5pt;z-index:-251632640;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Mq0s6DcCAAB+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0P&#10;lab0yPfkWOf8GsoDuYfQjS1dWlrUgF84a2hkCx4+bwUqzswbRx2YDIbDdsZTMBxd5RTgZWZ9mRFO&#10;ElTBI2fdchG7e7H1qDc1nTRIih3cUNcqnfxs+XWsqA9tQGOZOnK8Qu3cX8ap6s9vY/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YxHptgAAAAKAQAADwAAAAAAAAABACAAAAAiAAAAZHJzL2Rvd25y&#10;ZXYueG1sUEsBAhQAFAAAAAgAh07iQDKtLOg3AgAAfgQAAA4AAAAAAAAAAQAgAAAAJwEAAGRycy9l&#10;Mm9Eb2MueG1sUEsFBgAAAAAGAAYAWQEAANAFAAAAAA==&#10;">
            <v:path/>
            <v:fill focussize="0,0"/>
            <v:stroke miterlimit="2"/>
            <v:imagedata o:title=""/>
            <o:lock v:ext="edit"/>
          </v:rect>
        </w:pic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pPr>
        <w:widowControl/>
        <w:spacing w:line="360" w:lineRule="auto"/>
        <w:ind w:firstLine="480" w:firstLineChars="200"/>
        <w:jc w:val="left"/>
        <w:rPr>
          <w:rFonts w:cs="宋体" w:asciiTheme="minorEastAsia" w:hAnsiTheme="minorEastAsia" w:eastAsiaTheme="minorEastAsia"/>
          <w:kern w:val="0"/>
          <w:sz w:val="24"/>
        </w:rPr>
      </w:pPr>
    </w:p>
    <w:p>
      <w:pPr>
        <w:snapToGrid w:val="0"/>
        <w:spacing w:line="360" w:lineRule="auto"/>
        <w:jc w:val="center"/>
        <w:rPr>
          <w:rFonts w:cs="仿宋_GB2312" w:asciiTheme="minorEastAsia" w:hAnsiTheme="minorEastAsia" w:eastAsiaTheme="minorEastAsia"/>
          <w:b/>
          <w:sz w:val="24"/>
        </w:rPr>
      </w:pPr>
    </w:p>
    <w:p>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pPr>
        <w:spacing w:line="360" w:lineRule="auto"/>
        <w:jc w:val="center"/>
        <w:rPr>
          <w:rFonts w:cs="宋体" w:asciiTheme="minorEastAsia" w:hAnsiTheme="minorEastAsia" w:eastAsiaTheme="minorEastAsia"/>
          <w:b/>
          <w:sz w:val="32"/>
          <w:szCs w:val="32"/>
        </w:rPr>
      </w:pP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pPr>
        <w:spacing w:line="360" w:lineRule="auto"/>
        <w:jc w:val="center"/>
        <w:rPr>
          <w:rFonts w:cs="宋体" w:asciiTheme="minorEastAsia" w:hAnsiTheme="minorEastAsia" w:eastAsiaTheme="minorEastAsia"/>
          <w:b/>
          <w:sz w:val="32"/>
          <w:szCs w:val="32"/>
        </w:rPr>
      </w:pPr>
    </w:p>
    <w:p>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本公司（联合体）郑重声明，根据《政府采购促进中小企业发展管理办法》（财库﹝2020﹞46 号）的规定，本公司（联合体）参加</w:t>
      </w:r>
      <w:r>
        <w:rPr>
          <w:rFonts w:hint="eastAsia" w:cs="宋体" w:asciiTheme="minorEastAsia" w:hAnsiTheme="minorEastAsia" w:eastAsiaTheme="minorEastAsia"/>
          <w:sz w:val="24"/>
          <w:u w:val="single"/>
        </w:rPr>
        <w:t>建德市人民政府新安江街道办事处</w:t>
      </w:r>
      <w:r>
        <w:rPr>
          <w:rFonts w:hint="eastAsia" w:cs="宋体" w:asciiTheme="minorEastAsia" w:hAnsiTheme="minorEastAsia" w:eastAsiaTheme="minorEastAsia"/>
          <w:sz w:val="24"/>
        </w:rPr>
        <w:t>的</w:t>
      </w:r>
      <w:r>
        <w:rPr>
          <w:rFonts w:hint="eastAsia" w:asciiTheme="minorEastAsia" w:hAnsiTheme="minorEastAsia" w:eastAsiaTheme="minorEastAsia"/>
          <w:sz w:val="24"/>
        </w:rPr>
        <w:t>2024年建德市新安江街道办公楼物业保洁服务项目</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u w:val="single"/>
        </w:rPr>
        <w:t>（建德市人民政府新安江街道办事处物业采购项目）</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（物业管理行业）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 xml:space="preserve">（企业名称）    </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sz w:val="24"/>
        </w:rPr>
      </w:pP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autoSpaceDE w:val="0"/>
        <w:autoSpaceDN w:val="0"/>
        <w:jc w:val="left"/>
        <w:rPr>
          <w:rFonts w:cs="仿宋_GB2312" w:asciiTheme="minorEastAsia" w:hAnsiTheme="minorEastAsia" w:eastAsiaTheme="minorEastAsia"/>
          <w:b/>
          <w:sz w:val="32"/>
          <w:szCs w:val="32"/>
        </w:rPr>
      </w:pPr>
    </w:p>
    <w:p>
      <w:pPr>
        <w:autoSpaceDE w:val="0"/>
        <w:autoSpaceDN w:val="0"/>
        <w:jc w:val="left"/>
        <w:rPr>
          <w:rFonts w:cs="仿宋_GB2312" w:asciiTheme="minorEastAsia" w:hAnsiTheme="minorEastAsia" w:eastAsiaTheme="minorEastAsia"/>
          <w:b/>
          <w:sz w:val="32"/>
          <w:szCs w:val="32"/>
        </w:rPr>
      </w:pPr>
    </w:p>
    <w:p>
      <w:pPr>
        <w:autoSpaceDE w:val="0"/>
        <w:autoSpaceDN w:val="0"/>
        <w:jc w:val="left"/>
        <w:rPr>
          <w:rFonts w:cs="仿宋_GB2312" w:asciiTheme="minorEastAsia" w:hAnsiTheme="minorEastAsia" w:eastAsiaTheme="minorEastAsia"/>
          <w:b/>
          <w:sz w:val="32"/>
          <w:szCs w:val="32"/>
        </w:rPr>
      </w:pPr>
    </w:p>
    <w:p>
      <w:pPr>
        <w:autoSpaceDE w:val="0"/>
        <w:autoSpaceDN w:val="0"/>
        <w:jc w:val="left"/>
        <w:rPr>
          <w:rFonts w:cs="仿宋_GB2312" w:asciiTheme="minorEastAsia" w:hAnsiTheme="minorEastAsia" w:eastAsiaTheme="minorEastAsia"/>
          <w:b/>
          <w:sz w:val="32"/>
          <w:szCs w:val="32"/>
        </w:rPr>
      </w:pPr>
    </w:p>
    <w:p>
      <w:pPr>
        <w:autoSpaceDE w:val="0"/>
        <w:autoSpaceDN w:val="0"/>
        <w:jc w:val="left"/>
        <w:rPr>
          <w:rFonts w:cs="仿宋_GB2312" w:asciiTheme="minorEastAsia" w:hAnsiTheme="minorEastAsia" w:eastAsiaTheme="minorEastAsia"/>
          <w:b/>
          <w:sz w:val="32"/>
          <w:szCs w:val="32"/>
        </w:rPr>
      </w:pPr>
    </w:p>
    <w:p>
      <w:pPr>
        <w:autoSpaceDE w:val="0"/>
        <w:autoSpaceDN w:val="0"/>
        <w:jc w:val="left"/>
        <w:rPr>
          <w:rFonts w:cs="仿宋_GB2312" w:asciiTheme="minorEastAsia" w:hAnsiTheme="minorEastAsia" w:eastAsiaTheme="minorEastAsia"/>
          <w:b/>
          <w:sz w:val="32"/>
          <w:szCs w:val="32"/>
        </w:rPr>
      </w:pPr>
    </w:p>
    <w:p>
      <w:pPr>
        <w:autoSpaceDE w:val="0"/>
        <w:autoSpaceDN w:val="0"/>
        <w:jc w:val="left"/>
        <w:rPr>
          <w:rFonts w:cs="仿宋_GB2312" w:asciiTheme="minorEastAsia" w:hAnsiTheme="minorEastAsia" w:eastAsiaTheme="minorEastAsia"/>
          <w:b/>
          <w:sz w:val="32"/>
          <w:szCs w:val="32"/>
        </w:rPr>
      </w:pPr>
    </w:p>
    <w:p>
      <w:pPr>
        <w:autoSpaceDE w:val="0"/>
        <w:autoSpaceDN w:val="0"/>
        <w:jc w:val="left"/>
        <w:rPr>
          <w:rFonts w:cs="仿宋_GB2312" w:asciiTheme="minorEastAsia" w:hAnsiTheme="minorEastAsia" w:eastAsiaTheme="minorEastAsia"/>
          <w:b/>
          <w:sz w:val="32"/>
          <w:szCs w:val="32"/>
        </w:rPr>
      </w:pPr>
    </w:p>
    <w:p>
      <w:pPr>
        <w:autoSpaceDE w:val="0"/>
        <w:autoSpaceDN w:val="0"/>
        <w:jc w:val="left"/>
        <w:rPr>
          <w:rFonts w:cs="仿宋_GB2312" w:asciiTheme="minorEastAsia" w:hAnsiTheme="minorEastAsia" w:eastAsiaTheme="minorEastAsia"/>
          <w:b/>
          <w:sz w:val="32"/>
          <w:szCs w:val="32"/>
        </w:rPr>
      </w:pPr>
    </w:p>
    <w:p>
      <w:pPr>
        <w:autoSpaceDE w:val="0"/>
        <w:autoSpaceDN w:val="0"/>
        <w:jc w:val="left"/>
        <w:rPr>
          <w:rFonts w:cs="仿宋_GB2312" w:asciiTheme="minorEastAsia" w:hAnsiTheme="minorEastAsia" w:eastAsiaTheme="minorEastAsia"/>
          <w:b/>
          <w:sz w:val="32"/>
          <w:szCs w:val="32"/>
        </w:rPr>
      </w:pPr>
    </w:p>
    <w:p>
      <w:pPr>
        <w:autoSpaceDE w:val="0"/>
        <w:autoSpaceDN w:val="0"/>
        <w:jc w:val="left"/>
        <w:rPr>
          <w:rFonts w:cs="仿宋_GB2312" w:asciiTheme="minorEastAsia" w:hAnsiTheme="minorEastAsia" w:eastAsiaTheme="minorEastAsia"/>
          <w:b/>
          <w:sz w:val="32"/>
          <w:szCs w:val="32"/>
        </w:rPr>
      </w:pPr>
    </w:p>
    <w:p>
      <w:pPr>
        <w:autoSpaceDE w:val="0"/>
        <w:autoSpaceDN w:val="0"/>
        <w:jc w:val="left"/>
        <w:rPr>
          <w:rFonts w:cs="仿宋_GB2312" w:asciiTheme="minorEastAsia" w:hAnsiTheme="minorEastAsia" w:eastAsiaTheme="minorEastAsia"/>
          <w:b/>
          <w:sz w:val="32"/>
          <w:szCs w:val="32"/>
        </w:rPr>
      </w:pPr>
    </w:p>
    <w:p>
      <w:pPr>
        <w:autoSpaceDE w:val="0"/>
        <w:autoSpaceDN w:val="0"/>
        <w:jc w:val="left"/>
        <w:rPr>
          <w:rFonts w:cs="仿宋_GB2312" w:asciiTheme="minorEastAsia" w:hAnsiTheme="minorEastAsia" w:eastAsiaTheme="minorEastAsia"/>
          <w:b/>
          <w:sz w:val="32"/>
          <w:szCs w:val="32"/>
        </w:rPr>
      </w:pPr>
    </w:p>
    <w:p>
      <w:pPr>
        <w:autoSpaceDE w:val="0"/>
        <w:autoSpaceDN w:val="0"/>
        <w:jc w:val="left"/>
        <w:rPr>
          <w:rFonts w:cs="仿宋_GB2312" w:asciiTheme="minorEastAsia" w:hAnsiTheme="minorEastAsia" w:eastAsiaTheme="minorEastAsia"/>
          <w:b/>
          <w:sz w:val="32"/>
          <w:szCs w:val="32"/>
        </w:rPr>
      </w:pPr>
    </w:p>
    <w:p>
      <w:pPr>
        <w:autoSpaceDE w:val="0"/>
        <w:autoSpaceDN w:val="0"/>
        <w:jc w:val="left"/>
        <w:rPr>
          <w:rFonts w:cs="仿宋_GB2312" w:asciiTheme="minorEastAsia" w:hAnsiTheme="minorEastAsia" w:eastAsiaTheme="minorEastAsia"/>
          <w:b/>
          <w:sz w:val="32"/>
          <w:szCs w:val="32"/>
        </w:rPr>
      </w:pPr>
    </w:p>
    <w:p>
      <w:pPr>
        <w:autoSpaceDE w:val="0"/>
        <w:autoSpaceDN w:val="0"/>
        <w:jc w:val="left"/>
        <w:rPr>
          <w:rFonts w:cs="仿宋_GB2312" w:asciiTheme="minorEastAsia" w:hAnsiTheme="minorEastAsia" w:eastAsiaTheme="minorEastAsia"/>
          <w:b/>
          <w:sz w:val="32"/>
          <w:szCs w:val="32"/>
        </w:rPr>
      </w:pPr>
    </w:p>
    <w:p>
      <w:pPr>
        <w:autoSpaceDE w:val="0"/>
        <w:autoSpaceDN w:val="0"/>
        <w:jc w:val="left"/>
        <w:rPr>
          <w:rFonts w:cs="仿宋_GB2312" w:asciiTheme="minorEastAsia" w:hAnsiTheme="minorEastAsia" w:eastAsiaTheme="minorEastAsia"/>
          <w:b/>
          <w:sz w:val="32"/>
          <w:szCs w:val="32"/>
        </w:rPr>
      </w:pPr>
    </w:p>
    <w:p>
      <w:pPr>
        <w:autoSpaceDE w:val="0"/>
        <w:autoSpaceDN w:val="0"/>
        <w:jc w:val="left"/>
        <w:rPr>
          <w:rFonts w:cs="仿宋_GB2312" w:asciiTheme="minorEastAsia" w:hAnsiTheme="minorEastAsia" w:eastAsiaTheme="minorEastAsia"/>
          <w:b/>
          <w:sz w:val="32"/>
          <w:szCs w:val="32"/>
        </w:rPr>
      </w:pPr>
    </w:p>
    <w:p>
      <w:pPr>
        <w:autoSpaceDE w:val="0"/>
        <w:autoSpaceDN w:val="0"/>
        <w:jc w:val="left"/>
        <w:rPr>
          <w:rFonts w:cs="仿宋_GB2312" w:asciiTheme="minorEastAsia" w:hAnsiTheme="minorEastAsia" w:eastAsiaTheme="minorEastAsia"/>
          <w:b/>
          <w:sz w:val="32"/>
          <w:szCs w:val="32"/>
        </w:rPr>
      </w:pPr>
    </w:p>
    <w:p>
      <w:pPr>
        <w:autoSpaceDE w:val="0"/>
        <w:autoSpaceDN w:val="0"/>
        <w:jc w:val="left"/>
        <w:rPr>
          <w:rFonts w:cs="仿宋_GB2312" w:asciiTheme="minorEastAsia" w:hAnsiTheme="minorEastAsia" w:eastAsiaTheme="minorEastAsia"/>
          <w:b/>
          <w:sz w:val="32"/>
          <w:szCs w:val="32"/>
        </w:rPr>
      </w:pPr>
    </w:p>
    <w:p>
      <w:pPr>
        <w:autoSpaceDE w:val="0"/>
        <w:autoSpaceDN w:val="0"/>
        <w:jc w:val="left"/>
        <w:rPr>
          <w:rFonts w:cs="仿宋_GB2312" w:asciiTheme="minorEastAsia" w:hAnsiTheme="minorEastAsia" w:eastAsiaTheme="minorEastAsia"/>
          <w:b/>
          <w:sz w:val="32"/>
          <w:szCs w:val="32"/>
        </w:rPr>
      </w:pPr>
    </w:p>
    <w:p>
      <w:pPr>
        <w:autoSpaceDE w:val="0"/>
        <w:autoSpaceDN w:val="0"/>
        <w:jc w:val="left"/>
        <w:rPr>
          <w:rFonts w:cs="仿宋_GB2312" w:asciiTheme="minorEastAsia" w:hAnsiTheme="minorEastAsia" w:eastAsiaTheme="minorEastAsia"/>
          <w:b/>
          <w:sz w:val="32"/>
          <w:szCs w:val="32"/>
        </w:rPr>
      </w:pPr>
    </w:p>
    <w:p>
      <w:pPr>
        <w:autoSpaceDE w:val="0"/>
        <w:autoSpaceDN w:val="0"/>
        <w:jc w:val="left"/>
        <w:rPr>
          <w:rFonts w:cs="仿宋_GB2312" w:asciiTheme="minorEastAsia" w:hAnsiTheme="minorEastAsia" w:eastAsiaTheme="minorEastAsia"/>
          <w:b/>
          <w:sz w:val="32"/>
          <w:szCs w:val="32"/>
        </w:rPr>
      </w:pPr>
    </w:p>
    <w:p>
      <w:pPr>
        <w:autoSpaceDE w:val="0"/>
        <w:autoSpaceDN w:val="0"/>
        <w:jc w:val="left"/>
      </w:pPr>
    </w:p>
    <w:p>
      <w:pPr>
        <w:spacing w:line="360" w:lineRule="auto"/>
        <w:rPr>
          <w:rFonts w:cs="仿宋_GB2312" w:asciiTheme="minorEastAsia" w:hAnsiTheme="minorEastAsia" w:eastAsiaTheme="minorEastAsia"/>
          <w:b/>
          <w:sz w:val="24"/>
        </w:rPr>
      </w:pPr>
    </w:p>
    <w:p>
      <w:pPr>
        <w:spacing w:line="360" w:lineRule="auto"/>
        <w:ind w:firstLine="482" w:firstLineChars="200"/>
        <w:rPr>
          <w:rFonts w:cs="仿宋_GB2312" w:asciiTheme="minorEastAsia" w:hAnsiTheme="minorEastAsia" w:eastAsiaTheme="minorEastAsia"/>
          <w:b/>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0000009F" w:csb1="0000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Segoe Print"/>
    <w:panose1 w:val="00000000000000000000"/>
    <w:charset w:val="00"/>
    <w:family w:val="auto"/>
    <w:pitch w:val="default"/>
    <w:sig w:usb0="00000000" w:usb1="00000000" w:usb2="00000000" w:usb3="00000000" w:csb0="0000009F"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0000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MS Mincho">
    <w:panose1 w:val="02020609040205080304"/>
    <w:charset w:val="80"/>
    <w:family w:val="modern"/>
    <w:pitch w:val="default"/>
    <w:sig w:usb0="E00002FF" w:usb1="6AC7FDFB" w:usb2="00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64"/>
      </w:rPr>
    </w:pPr>
    <w:r>
      <w:fldChar w:fldCharType="begin"/>
    </w:r>
    <w:r>
      <w:rPr>
        <w:rStyle w:val="64"/>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64"/>
      </w:rPr>
    </w:pPr>
    <w:r>
      <w:fldChar w:fldCharType="begin"/>
    </w:r>
    <w:r>
      <w:rPr>
        <w:rStyle w:val="64"/>
      </w:rPr>
      <w:instrText xml:space="preserve">PAGE  </w:instrText>
    </w:r>
    <w:r>
      <w:fldChar w:fldCharType="end"/>
    </w:r>
  </w:p>
  <w:p>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bookmarkStart w:id="177" w:name="_Toc91899912"/>
    <w:bookmarkStart w:id="178" w:name="_Toc164085800"/>
    <w:bookmarkStart w:id="179" w:name="_Toc131845147"/>
    <w:bookmarkStart w:id="180" w:name="_Toc36110187"/>
    <w:r>
      <w:rPr>
        <w:rFonts w:hint="eastAsia" w:ascii="仿宋_GB2312" w:eastAsia="仿宋_GB2312"/>
        <w:kern w:val="0"/>
        <w:szCs w:val="21"/>
      </w:rPr>
      <w:t xml:space="preserve"> 页</w:t>
    </w:r>
    <w:bookmarkEnd w:id="177"/>
    <w:bookmarkEnd w:id="178"/>
    <w:bookmarkEnd w:id="179"/>
    <w:bookmarkEnd w:id="18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firstLine="180" w:firstLineChars="100"/>
      <w:jc w:val="both"/>
      <w:rPr>
        <w:rFonts w:ascii="仿宋_GB2312" w:eastAsia="仿宋_GB2312"/>
        <w:b w:val="0"/>
        <w:i/>
        <w:sz w:val="18"/>
        <w:u w:val="single"/>
      </w:rPr>
    </w:pPr>
    <w:r>
      <w:rPr>
        <w:rFonts w:hint="eastAsia" w:eastAsia="仿宋_GB2312"/>
        <w:b w:val="0"/>
        <w:i/>
        <w:sz w:val="18"/>
        <w:szCs w:val="18"/>
        <w:u w:val="single"/>
      </w:rPr>
      <w:t>杭州</w:t>
    </w:r>
    <w:r>
      <w:rPr>
        <w:rFonts w:hint="eastAsia" w:eastAsia="仿宋_GB2312"/>
        <w:b w:val="0"/>
        <w:i/>
        <w:sz w:val="18"/>
        <w:u w:val="single"/>
      </w:rPr>
      <w:t>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25035"/>
    <w:multiLevelType w:val="singleLevel"/>
    <w:tmpl w:val="C9425035"/>
    <w:lvl w:ilvl="0" w:tentative="0">
      <w:start w:val="3"/>
      <w:numFmt w:val="decimal"/>
      <w:suff w:val="nothing"/>
      <w:lvlText w:val="%1、"/>
      <w:lvlJc w:val="left"/>
    </w:lvl>
  </w:abstractNum>
  <w:abstractNum w:abstractNumId="1">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8"/>
  </w:num>
  <w:num w:numId="6">
    <w:abstractNumId w:val="10"/>
  </w:num>
  <w:num w:numId="7">
    <w:abstractNumId w:val="11"/>
  </w:num>
  <w:num w:numId="8">
    <w:abstractNumId w:val="0"/>
  </w:num>
  <w:num w:numId="9">
    <w:abstractNumId w:val="6"/>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JlMTA2OTk2NTdkODVmYjMzODYyMDExMWIzZmQxZj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1F17"/>
    <w:rsid w:val="00054D39"/>
    <w:rsid w:val="0005501B"/>
    <w:rsid w:val="000554C7"/>
    <w:rsid w:val="00055A61"/>
    <w:rsid w:val="00056118"/>
    <w:rsid w:val="000578A3"/>
    <w:rsid w:val="00057FC8"/>
    <w:rsid w:val="000600BA"/>
    <w:rsid w:val="00061A3C"/>
    <w:rsid w:val="000620B0"/>
    <w:rsid w:val="000646CA"/>
    <w:rsid w:val="00064968"/>
    <w:rsid w:val="00064A21"/>
    <w:rsid w:val="00064D05"/>
    <w:rsid w:val="00065868"/>
    <w:rsid w:val="000665C4"/>
    <w:rsid w:val="00067821"/>
    <w:rsid w:val="0006785E"/>
    <w:rsid w:val="00067E1A"/>
    <w:rsid w:val="00070825"/>
    <w:rsid w:val="00072AED"/>
    <w:rsid w:val="00072D2B"/>
    <w:rsid w:val="000730B1"/>
    <w:rsid w:val="00073860"/>
    <w:rsid w:val="000744A8"/>
    <w:rsid w:val="00074528"/>
    <w:rsid w:val="00074B1F"/>
    <w:rsid w:val="00075D0E"/>
    <w:rsid w:val="00075F6A"/>
    <w:rsid w:val="000763F3"/>
    <w:rsid w:val="000768B4"/>
    <w:rsid w:val="00077607"/>
    <w:rsid w:val="00077756"/>
    <w:rsid w:val="00080970"/>
    <w:rsid w:val="0008393C"/>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0F71F2"/>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069C"/>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53FE"/>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77E83"/>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4C30"/>
    <w:rsid w:val="00195070"/>
    <w:rsid w:val="00195D82"/>
    <w:rsid w:val="0019602C"/>
    <w:rsid w:val="001A07F8"/>
    <w:rsid w:val="001A1D48"/>
    <w:rsid w:val="001A1F0E"/>
    <w:rsid w:val="001A1F2D"/>
    <w:rsid w:val="001A473A"/>
    <w:rsid w:val="001A4996"/>
    <w:rsid w:val="001A5785"/>
    <w:rsid w:val="001A66A6"/>
    <w:rsid w:val="001A6BBB"/>
    <w:rsid w:val="001A79A2"/>
    <w:rsid w:val="001B0A94"/>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020C"/>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0360"/>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7F9"/>
    <w:rsid w:val="002778AB"/>
    <w:rsid w:val="002802A5"/>
    <w:rsid w:val="00281BCB"/>
    <w:rsid w:val="00282CA4"/>
    <w:rsid w:val="00283B06"/>
    <w:rsid w:val="0028583E"/>
    <w:rsid w:val="00285FF3"/>
    <w:rsid w:val="00287086"/>
    <w:rsid w:val="0028744E"/>
    <w:rsid w:val="0028766A"/>
    <w:rsid w:val="00287936"/>
    <w:rsid w:val="002903C5"/>
    <w:rsid w:val="00290A99"/>
    <w:rsid w:val="00290EAF"/>
    <w:rsid w:val="0029159A"/>
    <w:rsid w:val="00292AA1"/>
    <w:rsid w:val="0029499D"/>
    <w:rsid w:val="00294A13"/>
    <w:rsid w:val="00295073"/>
    <w:rsid w:val="00295971"/>
    <w:rsid w:val="00295DC3"/>
    <w:rsid w:val="002962D9"/>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B7AD8"/>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477"/>
    <w:rsid w:val="002E28A0"/>
    <w:rsid w:val="002E2E79"/>
    <w:rsid w:val="002E3956"/>
    <w:rsid w:val="002E672A"/>
    <w:rsid w:val="002E6853"/>
    <w:rsid w:val="002E6D37"/>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870"/>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5F3D"/>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18A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6F49"/>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38E2"/>
    <w:rsid w:val="004749DA"/>
    <w:rsid w:val="004749DC"/>
    <w:rsid w:val="00474DEF"/>
    <w:rsid w:val="004750B9"/>
    <w:rsid w:val="004754AC"/>
    <w:rsid w:val="004758E7"/>
    <w:rsid w:val="00475F67"/>
    <w:rsid w:val="004764C6"/>
    <w:rsid w:val="00477247"/>
    <w:rsid w:val="00477529"/>
    <w:rsid w:val="004776BB"/>
    <w:rsid w:val="00480DC5"/>
    <w:rsid w:val="0048121C"/>
    <w:rsid w:val="0048144A"/>
    <w:rsid w:val="00481886"/>
    <w:rsid w:val="00482288"/>
    <w:rsid w:val="00483984"/>
    <w:rsid w:val="00483BC7"/>
    <w:rsid w:val="00483CF0"/>
    <w:rsid w:val="00484D4D"/>
    <w:rsid w:val="004855D9"/>
    <w:rsid w:val="00485696"/>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449B"/>
    <w:rsid w:val="00536B03"/>
    <w:rsid w:val="00537917"/>
    <w:rsid w:val="00537E83"/>
    <w:rsid w:val="005405B2"/>
    <w:rsid w:val="00540EE7"/>
    <w:rsid w:val="005410DD"/>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28AC"/>
    <w:rsid w:val="005C3344"/>
    <w:rsid w:val="005C4C71"/>
    <w:rsid w:val="005C4E4D"/>
    <w:rsid w:val="005C5A97"/>
    <w:rsid w:val="005C679D"/>
    <w:rsid w:val="005C6D5D"/>
    <w:rsid w:val="005D01C3"/>
    <w:rsid w:val="005D2578"/>
    <w:rsid w:val="005D266D"/>
    <w:rsid w:val="005D3327"/>
    <w:rsid w:val="005D5A1D"/>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24A5"/>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6641"/>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A6F2A"/>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5D2D"/>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178"/>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6FDC"/>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880"/>
    <w:rsid w:val="00731EA1"/>
    <w:rsid w:val="00734932"/>
    <w:rsid w:val="007364A3"/>
    <w:rsid w:val="00736CFE"/>
    <w:rsid w:val="0073711E"/>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409B"/>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0DD3"/>
    <w:rsid w:val="00801D90"/>
    <w:rsid w:val="0080348B"/>
    <w:rsid w:val="00803D8F"/>
    <w:rsid w:val="00803EB0"/>
    <w:rsid w:val="008052CE"/>
    <w:rsid w:val="008052DB"/>
    <w:rsid w:val="0080705B"/>
    <w:rsid w:val="008079CA"/>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17A5"/>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5276"/>
    <w:rsid w:val="00866453"/>
    <w:rsid w:val="0086707F"/>
    <w:rsid w:val="00867501"/>
    <w:rsid w:val="0087099A"/>
    <w:rsid w:val="00871333"/>
    <w:rsid w:val="008727AB"/>
    <w:rsid w:val="00873128"/>
    <w:rsid w:val="00873AAC"/>
    <w:rsid w:val="00873C61"/>
    <w:rsid w:val="008749BF"/>
    <w:rsid w:val="00875542"/>
    <w:rsid w:val="00875E14"/>
    <w:rsid w:val="0087677E"/>
    <w:rsid w:val="0087712C"/>
    <w:rsid w:val="008777A8"/>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4A"/>
    <w:rsid w:val="008D1FAF"/>
    <w:rsid w:val="008D2259"/>
    <w:rsid w:val="008D33FE"/>
    <w:rsid w:val="008D398A"/>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CDF"/>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1C9"/>
    <w:rsid w:val="00966AD2"/>
    <w:rsid w:val="00967FC5"/>
    <w:rsid w:val="009716D8"/>
    <w:rsid w:val="00971F54"/>
    <w:rsid w:val="00972057"/>
    <w:rsid w:val="0097227B"/>
    <w:rsid w:val="0097262E"/>
    <w:rsid w:val="0097327E"/>
    <w:rsid w:val="00974022"/>
    <w:rsid w:val="0097564A"/>
    <w:rsid w:val="009772F2"/>
    <w:rsid w:val="009778CF"/>
    <w:rsid w:val="00977B97"/>
    <w:rsid w:val="009810BE"/>
    <w:rsid w:val="009819A7"/>
    <w:rsid w:val="00984C5E"/>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0FFB"/>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3AAB"/>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3752"/>
    <w:rsid w:val="00B03BD4"/>
    <w:rsid w:val="00B04678"/>
    <w:rsid w:val="00B04A04"/>
    <w:rsid w:val="00B04F00"/>
    <w:rsid w:val="00B05A66"/>
    <w:rsid w:val="00B05EFD"/>
    <w:rsid w:val="00B066FE"/>
    <w:rsid w:val="00B06912"/>
    <w:rsid w:val="00B10B04"/>
    <w:rsid w:val="00B10CC6"/>
    <w:rsid w:val="00B12082"/>
    <w:rsid w:val="00B1311E"/>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37C38"/>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0A3"/>
    <w:rsid w:val="00B53623"/>
    <w:rsid w:val="00B536F5"/>
    <w:rsid w:val="00B53E98"/>
    <w:rsid w:val="00B5634D"/>
    <w:rsid w:val="00B56ECA"/>
    <w:rsid w:val="00B57093"/>
    <w:rsid w:val="00B60613"/>
    <w:rsid w:val="00B616E6"/>
    <w:rsid w:val="00B630D3"/>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2E33"/>
    <w:rsid w:val="00B93849"/>
    <w:rsid w:val="00B94475"/>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011C"/>
    <w:rsid w:val="00BB2E4E"/>
    <w:rsid w:val="00BB2E62"/>
    <w:rsid w:val="00BB36C9"/>
    <w:rsid w:val="00BB5886"/>
    <w:rsid w:val="00BB7EC0"/>
    <w:rsid w:val="00BC0A5A"/>
    <w:rsid w:val="00BC0B2F"/>
    <w:rsid w:val="00BC0E64"/>
    <w:rsid w:val="00BC0F07"/>
    <w:rsid w:val="00BC1E42"/>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1E58"/>
    <w:rsid w:val="00C12ECB"/>
    <w:rsid w:val="00C14ABD"/>
    <w:rsid w:val="00C151E0"/>
    <w:rsid w:val="00C20051"/>
    <w:rsid w:val="00C20B86"/>
    <w:rsid w:val="00C21145"/>
    <w:rsid w:val="00C239A8"/>
    <w:rsid w:val="00C23B7B"/>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86"/>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821"/>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278"/>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6DF5"/>
    <w:rsid w:val="00E20CE7"/>
    <w:rsid w:val="00E217B1"/>
    <w:rsid w:val="00E222FA"/>
    <w:rsid w:val="00E22557"/>
    <w:rsid w:val="00E248F4"/>
    <w:rsid w:val="00E24A62"/>
    <w:rsid w:val="00E24F52"/>
    <w:rsid w:val="00E279B2"/>
    <w:rsid w:val="00E30BD5"/>
    <w:rsid w:val="00E31143"/>
    <w:rsid w:val="00E31812"/>
    <w:rsid w:val="00E3533E"/>
    <w:rsid w:val="00E35A45"/>
    <w:rsid w:val="00E37C85"/>
    <w:rsid w:val="00E40477"/>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514"/>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B4E"/>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AF2"/>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A79DC"/>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4A13"/>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EF7"/>
    <w:rsid w:val="00FE6227"/>
    <w:rsid w:val="00FE6A50"/>
    <w:rsid w:val="00FE705C"/>
    <w:rsid w:val="00FE7570"/>
    <w:rsid w:val="00FF0B4F"/>
    <w:rsid w:val="00FF1AD3"/>
    <w:rsid w:val="00FF49F4"/>
    <w:rsid w:val="00FF651D"/>
    <w:rsid w:val="00FF68CA"/>
    <w:rsid w:val="010651D9"/>
    <w:rsid w:val="01EE1F3A"/>
    <w:rsid w:val="02A05FD7"/>
    <w:rsid w:val="02DA0C0E"/>
    <w:rsid w:val="033E696D"/>
    <w:rsid w:val="03CE15F4"/>
    <w:rsid w:val="03DD35E4"/>
    <w:rsid w:val="05717247"/>
    <w:rsid w:val="05C6325A"/>
    <w:rsid w:val="065A6178"/>
    <w:rsid w:val="06B73515"/>
    <w:rsid w:val="074D717F"/>
    <w:rsid w:val="075562B7"/>
    <w:rsid w:val="07F6164B"/>
    <w:rsid w:val="087A1B7A"/>
    <w:rsid w:val="096B2097"/>
    <w:rsid w:val="0A5B7E63"/>
    <w:rsid w:val="0C87121B"/>
    <w:rsid w:val="0DAF4501"/>
    <w:rsid w:val="0DF702FE"/>
    <w:rsid w:val="0E3F698B"/>
    <w:rsid w:val="0EB2020F"/>
    <w:rsid w:val="0F21508F"/>
    <w:rsid w:val="0F816ACD"/>
    <w:rsid w:val="0FB94501"/>
    <w:rsid w:val="10B047CF"/>
    <w:rsid w:val="10FC16EA"/>
    <w:rsid w:val="118963A1"/>
    <w:rsid w:val="123148B6"/>
    <w:rsid w:val="127723A9"/>
    <w:rsid w:val="13072A44"/>
    <w:rsid w:val="145044FA"/>
    <w:rsid w:val="186742B0"/>
    <w:rsid w:val="1A4D2F56"/>
    <w:rsid w:val="1AC6111B"/>
    <w:rsid w:val="1B2A271F"/>
    <w:rsid w:val="1B546DE6"/>
    <w:rsid w:val="1B890139"/>
    <w:rsid w:val="1C632B35"/>
    <w:rsid w:val="1D266CE1"/>
    <w:rsid w:val="1D3963AF"/>
    <w:rsid w:val="1DD12C3D"/>
    <w:rsid w:val="1E714A66"/>
    <w:rsid w:val="1F38392F"/>
    <w:rsid w:val="1FE868A9"/>
    <w:rsid w:val="211E26D6"/>
    <w:rsid w:val="21231A1F"/>
    <w:rsid w:val="21283D08"/>
    <w:rsid w:val="22AD0DF7"/>
    <w:rsid w:val="24643077"/>
    <w:rsid w:val="252235A1"/>
    <w:rsid w:val="25B440B3"/>
    <w:rsid w:val="26430DD2"/>
    <w:rsid w:val="293A7D0F"/>
    <w:rsid w:val="296E0005"/>
    <w:rsid w:val="299D7D92"/>
    <w:rsid w:val="2AA1365A"/>
    <w:rsid w:val="2D42436E"/>
    <w:rsid w:val="2DD15014"/>
    <w:rsid w:val="2E731358"/>
    <w:rsid w:val="2EC17F97"/>
    <w:rsid w:val="2F5042AE"/>
    <w:rsid w:val="2FD25781"/>
    <w:rsid w:val="319C6071"/>
    <w:rsid w:val="32D140C4"/>
    <w:rsid w:val="32DB72BE"/>
    <w:rsid w:val="337413A2"/>
    <w:rsid w:val="342E63AB"/>
    <w:rsid w:val="345D260B"/>
    <w:rsid w:val="347A452B"/>
    <w:rsid w:val="3616624B"/>
    <w:rsid w:val="365302AE"/>
    <w:rsid w:val="3670258E"/>
    <w:rsid w:val="36D66D03"/>
    <w:rsid w:val="36F76036"/>
    <w:rsid w:val="376E3742"/>
    <w:rsid w:val="37F142D2"/>
    <w:rsid w:val="390D5E01"/>
    <w:rsid w:val="39A13F14"/>
    <w:rsid w:val="3C5F759A"/>
    <w:rsid w:val="3D5C78D4"/>
    <w:rsid w:val="3D7B2612"/>
    <w:rsid w:val="3DB81CA1"/>
    <w:rsid w:val="3EED272C"/>
    <w:rsid w:val="3F755459"/>
    <w:rsid w:val="3FFF72A6"/>
    <w:rsid w:val="40460059"/>
    <w:rsid w:val="42E1381E"/>
    <w:rsid w:val="43FB717C"/>
    <w:rsid w:val="451E447A"/>
    <w:rsid w:val="45345B76"/>
    <w:rsid w:val="45C41E28"/>
    <w:rsid w:val="45CB251B"/>
    <w:rsid w:val="46AF7692"/>
    <w:rsid w:val="47307808"/>
    <w:rsid w:val="48144591"/>
    <w:rsid w:val="486F747C"/>
    <w:rsid w:val="4A6F65BE"/>
    <w:rsid w:val="4C3C3524"/>
    <w:rsid w:val="4C664C71"/>
    <w:rsid w:val="4CFE54F5"/>
    <w:rsid w:val="4D861CF6"/>
    <w:rsid w:val="4E0F0E60"/>
    <w:rsid w:val="4E15164E"/>
    <w:rsid w:val="4EDC71E0"/>
    <w:rsid w:val="51A0432A"/>
    <w:rsid w:val="527140E5"/>
    <w:rsid w:val="5292508F"/>
    <w:rsid w:val="52A96B6F"/>
    <w:rsid w:val="550764A4"/>
    <w:rsid w:val="551926E0"/>
    <w:rsid w:val="552C4622"/>
    <w:rsid w:val="55DD6EED"/>
    <w:rsid w:val="561279B9"/>
    <w:rsid w:val="56515F3B"/>
    <w:rsid w:val="56537892"/>
    <w:rsid w:val="572B71CA"/>
    <w:rsid w:val="58AE4F0C"/>
    <w:rsid w:val="5A2A7C7B"/>
    <w:rsid w:val="5C80234E"/>
    <w:rsid w:val="5E261785"/>
    <w:rsid w:val="5EA43D85"/>
    <w:rsid w:val="5FCC5339"/>
    <w:rsid w:val="5FE70807"/>
    <w:rsid w:val="60E53485"/>
    <w:rsid w:val="61054A27"/>
    <w:rsid w:val="611D2366"/>
    <w:rsid w:val="61422A3D"/>
    <w:rsid w:val="61F13342"/>
    <w:rsid w:val="6287701E"/>
    <w:rsid w:val="62885958"/>
    <w:rsid w:val="639E772D"/>
    <w:rsid w:val="64CE2EAA"/>
    <w:rsid w:val="65D83045"/>
    <w:rsid w:val="662E75B1"/>
    <w:rsid w:val="66342C2E"/>
    <w:rsid w:val="663E784C"/>
    <w:rsid w:val="6666257C"/>
    <w:rsid w:val="685867EC"/>
    <w:rsid w:val="6A551FA9"/>
    <w:rsid w:val="6ABE009D"/>
    <w:rsid w:val="6C7C0FBC"/>
    <w:rsid w:val="6DEB098B"/>
    <w:rsid w:val="6E8E12EF"/>
    <w:rsid w:val="6FAF36E4"/>
    <w:rsid w:val="71D43752"/>
    <w:rsid w:val="73DD6243"/>
    <w:rsid w:val="749C4185"/>
    <w:rsid w:val="74A16091"/>
    <w:rsid w:val="75321A53"/>
    <w:rsid w:val="75DA2C18"/>
    <w:rsid w:val="76AD4FAF"/>
    <w:rsid w:val="775319EF"/>
    <w:rsid w:val="78003630"/>
    <w:rsid w:val="780E4365"/>
    <w:rsid w:val="790F1C77"/>
    <w:rsid w:val="7A67303B"/>
    <w:rsid w:val="7AAB1D04"/>
    <w:rsid w:val="7ABA4368"/>
    <w:rsid w:val="7AE804D8"/>
    <w:rsid w:val="7B257FFD"/>
    <w:rsid w:val="7BA1010E"/>
    <w:rsid w:val="7C2B1DA5"/>
    <w:rsid w:val="7DF4317E"/>
    <w:rsid w:val="7E6430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_x0000_s1036"/>
        <o:r id="V:Rule2" type="connector" idref="#_x0000_s1037"/>
        <o:r id="V:Rule3" type="connector" idref="#_x0000_s1038"/>
        <o:r id="V:Rule4" type="connector" idref="#_x0000_s1039"/>
        <o:r id="V:Rule5" type="connector" idref="#_x0000_s1040"/>
        <o:r id="V:Rule6" type="connector" idref="#_x0000_s1041"/>
        <o:r id="V:Rule7" type="connector" idref="#_x0000_s1042"/>
        <o:r id="V:Rule8" type="connector" idref="#_x0000_s1043"/>
        <o:r id="V:Rule9" type="connector" idref="#_x0000_s1047"/>
        <o:r id="V:Rule10" type="connector" idref="#_x0000_s1048"/>
        <o:r id="V:Rule11" type="connector" idref="#_x0000_s105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500"/>
    <w:qFormat/>
    <w:uiPriority w:val="0"/>
    <w:pPr>
      <w:adjustRightInd/>
      <w:spacing w:after="120" w:line="240" w:lineRule="auto"/>
      <w:ind w:left="420" w:leftChars="200" w:firstLine="210"/>
    </w:pPr>
    <w:rPr>
      <w:sz w:val="21"/>
    </w:rPr>
  </w:style>
  <w:style w:type="paragraph" w:styleId="3">
    <w:name w:val="Body Text Indent"/>
    <w:basedOn w:val="1"/>
    <w:next w:val="1"/>
    <w:link w:val="473"/>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2"/>
    <w:qFormat/>
    <w:uiPriority w:val="99"/>
    <w:pPr>
      <w:jc w:val="left"/>
    </w:pPr>
  </w:style>
  <w:style w:type="paragraph" w:styleId="22">
    <w:name w:val="Salutation"/>
    <w:basedOn w:val="1"/>
    <w:next w:val="1"/>
    <w:link w:val="480"/>
    <w:qFormat/>
    <w:uiPriority w:val="0"/>
    <w:rPr>
      <w:rFonts w:ascii="仿宋_GB2312" w:eastAsia="仿宋_GB2312"/>
      <w:sz w:val="28"/>
      <w:szCs w:val="20"/>
    </w:rPr>
  </w:style>
  <w:style w:type="paragraph" w:styleId="23">
    <w:name w:val="Body Text 3"/>
    <w:basedOn w:val="1"/>
    <w:link w:val="579"/>
    <w:qFormat/>
    <w:uiPriority w:val="0"/>
    <w:pPr>
      <w:jc w:val="center"/>
    </w:pPr>
    <w:rPr>
      <w:szCs w:val="20"/>
    </w:rPr>
  </w:style>
  <w:style w:type="paragraph" w:styleId="24">
    <w:name w:val="Body Text"/>
    <w:basedOn w:val="1"/>
    <w:next w:val="25"/>
    <w:link w:val="510"/>
    <w:qFormat/>
    <w:uiPriority w:val="0"/>
    <w:pPr>
      <w:autoSpaceDE w:val="0"/>
      <w:autoSpaceDN w:val="0"/>
      <w:spacing w:line="360" w:lineRule="auto"/>
    </w:pPr>
    <w:rPr>
      <w:rFonts w:ascii="宋体"/>
      <w:sz w:val="24"/>
      <w:szCs w:val="21"/>
      <w:lang w:val="zh-CN"/>
    </w:rPr>
  </w:style>
  <w:style w:type="paragraph" w:styleId="25">
    <w:name w:val="Body Text First Indent"/>
    <w:basedOn w:val="24"/>
    <w:next w:val="26"/>
    <w:link w:val="543"/>
    <w:qFormat/>
    <w:uiPriority w:val="0"/>
    <w:pPr>
      <w:ind w:firstLine="420"/>
    </w:pPr>
    <w:rPr>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487"/>
    <w:qFormat/>
    <w:uiPriority w:val="0"/>
    <w:rPr>
      <w:rFonts w:ascii="宋体" w:hAnsi="Courier New"/>
      <w:szCs w:val="20"/>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596"/>
    <w:qFormat/>
    <w:uiPriority w:val="0"/>
    <w:pPr>
      <w:ind w:left="100" w:leftChars="2500"/>
    </w:pPr>
    <w:rPr>
      <w:rFonts w:ascii="宋体"/>
      <w:sz w:val="24"/>
      <w:szCs w:val="21"/>
      <w:lang w:val="zh-CN"/>
    </w:rPr>
  </w:style>
  <w:style w:type="paragraph" w:styleId="38">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9">
    <w:name w:val="Balloon Text"/>
    <w:basedOn w:val="1"/>
    <w:link w:val="613"/>
    <w:semiHidden/>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471"/>
    <w:qFormat/>
    <w:uiPriority w:val="0"/>
    <w:pPr>
      <w:adjustRightInd/>
      <w:snapToGrid/>
      <w:spacing w:before="60" w:after="60" w:line="300" w:lineRule="exact"/>
      <w:ind w:firstLine="0"/>
    </w:pPr>
    <w:rPr>
      <w:rFonts w:ascii="Times New Roman"/>
      <w:snapToGrid/>
      <w:color w:val="0000FF"/>
      <w:kern w:val="0"/>
      <w:sz w:val="21"/>
    </w:r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semiHidden/>
    <w:qFormat/>
    <w:uiPriority w:val="0"/>
    <w:rPr>
      <w:b/>
      <w:bCs/>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3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7"/>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Lines="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0">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Lines="50" w:afterLines="50" w:line="360" w:lineRule="auto"/>
      <w:ind w:firstLine="422" w:firstLineChars="200"/>
    </w:pPr>
    <w:rPr>
      <w:b/>
      <w:bCs/>
      <w:szCs w:val="21"/>
    </w:rPr>
  </w:style>
  <w:style w:type="paragraph" w:customStyle="1" w:styleId="198">
    <w:name w:val="标题五"/>
    <w:basedOn w:val="1"/>
    <w:qFormat/>
    <w:uiPriority w:val="0"/>
    <w:pPr>
      <w:adjustRightInd/>
      <w:spacing w:beforeLines="50" w:line="360" w:lineRule="auto"/>
    </w:pPr>
    <w:rPr>
      <w:b/>
      <w:sz w:val="24"/>
    </w:rPr>
  </w:style>
  <w:style w:type="paragraph" w:customStyle="1" w:styleId="199">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7"/>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5"/>
    <w:qFormat/>
    <w:uiPriority w:val="0"/>
    <w:pPr>
      <w:snapToGrid w:val="0"/>
      <w:spacing w:line="360" w:lineRule="auto"/>
    </w:pPr>
    <w:rPr>
      <w:rFonts w:ascii="宋体"/>
      <w:b/>
      <w:sz w:val="24"/>
      <w:szCs w:val="20"/>
    </w:rPr>
  </w:style>
  <w:style w:type="paragraph" w:customStyle="1" w:styleId="228">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5">
    <w:name w:val="4"/>
    <w:basedOn w:val="1"/>
    <w:next w:val="38"/>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6"/>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Lines="50"/>
      <w:ind w:firstLine="200" w:firstLineChars="200"/>
    </w:pPr>
    <w:rPr>
      <w:kern w:val="0"/>
      <w:sz w:val="24"/>
      <w:szCs w:val="20"/>
    </w:rPr>
  </w:style>
  <w:style w:type="paragraph" w:customStyle="1" w:styleId="331">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6"/>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7"/>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20"/>
    <w:qFormat/>
    <w:uiPriority w:val="0"/>
    <w:pPr>
      <w:snapToGrid w:val="0"/>
      <w:spacing w:line="360" w:lineRule="auto"/>
    </w:pPr>
  </w:style>
  <w:style w:type="paragraph" w:customStyle="1" w:styleId="370">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5"/>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8"/>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8"/>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4"/>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4"/>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Lines="50"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2"/>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11"/>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50"/>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3"/>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10"/>
    <w:qFormat/>
    <w:uiPriority w:val="0"/>
    <w:rPr>
      <w:b/>
      <w:bCs/>
      <w:kern w:val="2"/>
      <w:sz w:val="24"/>
      <w:szCs w:val="24"/>
    </w:rPr>
  </w:style>
  <w:style w:type="character" w:customStyle="1" w:styleId="480">
    <w:name w:val="称呼 Char"/>
    <w:link w:val="22"/>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7"/>
    <w:qFormat/>
    <w:uiPriority w:val="0"/>
    <w:rPr>
      <w:rFonts w:ascii="Arial" w:hAnsi="Arial" w:eastAsia="隶书"/>
      <w:b/>
      <w:bCs/>
      <w:kern w:val="28"/>
      <w:sz w:val="44"/>
      <w:szCs w:val="32"/>
      <w:lang w:val="en-US" w:eastAsia="zh-CN" w:bidi="ar-SA"/>
    </w:rPr>
  </w:style>
  <w:style w:type="character" w:customStyle="1" w:styleId="48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2"/>
    <w:qFormat/>
    <w:uiPriority w:val="0"/>
    <w:rPr>
      <w:rFonts w:ascii="宋体" w:hAnsi="宋体"/>
      <w:kern w:val="2"/>
      <w:sz w:val="21"/>
      <w:szCs w:val="24"/>
    </w:rPr>
  </w:style>
  <w:style w:type="character" w:customStyle="1" w:styleId="501">
    <w:name w:val="正文文本缩进 2 Char"/>
    <w:link w:val="38"/>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2"/>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6"/>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25"/>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4"/>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31"/>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8"/>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3"/>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2"/>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7"/>
    <w:qFormat/>
    <w:uiPriority w:val="0"/>
    <w:rPr>
      <w:rFonts w:ascii="宋体"/>
      <w:kern w:val="2"/>
      <w:sz w:val="24"/>
      <w:szCs w:val="21"/>
      <w:lang w:val="zh-CN"/>
    </w:rPr>
  </w:style>
  <w:style w:type="character" w:customStyle="1" w:styleId="597">
    <w:name w:val="标题 4 Char"/>
    <w:link w:val="7"/>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9"/>
    <w:qFormat/>
    <w:uiPriority w:val="0"/>
    <w:rPr>
      <w:rFonts w:ascii="Arial" w:hAnsi="Arial" w:eastAsia="黑体"/>
      <w:b/>
      <w:bCs/>
      <w:kern w:val="2"/>
      <w:sz w:val="24"/>
      <w:szCs w:val="24"/>
    </w:rPr>
  </w:style>
  <w:style w:type="character" w:customStyle="1" w:styleId="611">
    <w:name w:val="正文缩进 Char2"/>
    <w:link w:val="17"/>
    <w:qFormat/>
    <w:uiPriority w:val="0"/>
    <w:rPr>
      <w:rFonts w:ascii="宋体" w:eastAsia="宋体"/>
      <w:snapToGrid w:val="0"/>
      <w:color w:val="000000"/>
      <w:kern w:val="28"/>
      <w:sz w:val="28"/>
      <w:lang w:val="en-US" w:eastAsia="zh-CN" w:bidi="ar-SA"/>
    </w:rPr>
  </w:style>
  <w:style w:type="character" w:customStyle="1" w:styleId="612">
    <w:name w:val="批注文字 Char1"/>
    <w:link w:val="21"/>
    <w:qFormat/>
    <w:uiPriority w:val="99"/>
    <w:rPr>
      <w:kern w:val="2"/>
      <w:sz w:val="21"/>
      <w:szCs w:val="24"/>
    </w:rPr>
  </w:style>
  <w:style w:type="character" w:customStyle="1" w:styleId="613">
    <w:name w:val="批注框文本 Char"/>
    <w:link w:val="39"/>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正文"/>
    <w:basedOn w:val="1"/>
    <w:qFormat/>
    <w:uiPriority w:val="0"/>
    <w:pPr>
      <w:adjustRightInd/>
      <w:spacing w:line="300" w:lineRule="auto"/>
      <w:ind w:firstLine="480" w:firstLineChars="200"/>
    </w:pPr>
    <w:rPr>
      <w:rFonts w:ascii="宋体" w:hAnsi="宋体"/>
      <w:kern w:val="0"/>
      <w:sz w:val="24"/>
    </w:rPr>
  </w:style>
  <w:style w:type="table" w:customStyle="1" w:styleId="63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5111FD-129F-41EA-BFEC-06B0CC5FA745}">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98</Pages>
  <Words>49767</Words>
  <Characters>51793</Characters>
  <Lines>406</Lines>
  <Paragraphs>114</Paragraphs>
  <TotalTime>17</TotalTime>
  <ScaleCrop>false</ScaleCrop>
  <LinksUpToDate>false</LinksUpToDate>
  <CharactersWithSpaces>54270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2023-05-29T00:26:00Z</dcterms:created>
  <dc:creator>玥</dc:creator>
  <cp:lastModifiedBy>邵璐</cp:lastModifiedBy>
  <cp:lastPrinted>2023-05-29T01:46:00Z</cp:lastPrinted>
  <dcterms:modified xsi:type="dcterms:W3CDTF">2024-05-23T08:28:20Z</dcterms:modified>
  <dc:title>杭州市市民卡扩大发卡工程</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70DF2873718A43D7B65C2AC623B00DDD</vt:lpwstr>
  </property>
</Properties>
</file>