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both"/>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建德市南峰葛家区块及梅城镇城西片区环卫保洁服务采购项目</w:t>
      </w: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JD2023BF-</w:t>
      </w:r>
      <w:r>
        <w:rPr>
          <w:rFonts w:hint="eastAsia" w:ascii="宋体" w:hAnsi="宋体" w:cs="宋体"/>
          <w:color w:val="auto"/>
          <w:sz w:val="30"/>
          <w:szCs w:val="30"/>
          <w:highlight w:val="none"/>
          <w:lang w:val="en-US" w:eastAsia="zh-CN"/>
        </w:rPr>
        <w:t>165</w:t>
      </w:r>
      <w:r>
        <w:rPr>
          <w:rFonts w:hint="eastAsia" w:ascii="宋体" w:hAnsi="宋体" w:cs="宋体"/>
          <w:color w:val="auto"/>
          <w:sz w:val="30"/>
          <w:szCs w:val="30"/>
          <w:highlight w:val="none"/>
          <w:lang w:eastAsia="zh-CN"/>
        </w:rPr>
        <w:t xml:space="preserve"> </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采购人：建德市梅城镇人民政府</w:t>
      </w:r>
    </w:p>
    <w:p>
      <w:pPr>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采购代理机构：</w:t>
      </w:r>
      <w:r>
        <w:rPr>
          <w:rFonts w:hint="eastAsia" w:ascii="宋体" w:hAnsi="宋体" w:eastAsia="宋体" w:cs="宋体"/>
          <w:bCs/>
          <w:color w:val="auto"/>
          <w:sz w:val="36"/>
          <w:szCs w:val="36"/>
          <w:highlight w:val="none"/>
          <w:lang w:eastAsia="zh-CN"/>
        </w:rPr>
        <w:t>杭州欣兴建设工程招标代理有限公司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6"/>
          <w:szCs w:val="36"/>
          <w:highlight w:val="none"/>
        </w:rPr>
        <w:t>二〇二</w:t>
      </w:r>
      <w:r>
        <w:rPr>
          <w:rFonts w:hint="eastAsia" w:ascii="宋体" w:hAnsi="宋体" w:eastAsia="宋体" w:cs="宋体"/>
          <w:bCs/>
          <w:color w:val="auto"/>
          <w:sz w:val="36"/>
          <w:szCs w:val="36"/>
          <w:highlight w:val="none"/>
          <w:lang w:val="en-US" w:eastAsia="zh-CN"/>
        </w:rPr>
        <w:t>三</w:t>
      </w:r>
      <w:r>
        <w:rPr>
          <w:rFonts w:hint="eastAsia" w:ascii="宋体" w:hAnsi="宋体" w:eastAsia="宋体" w:cs="宋体"/>
          <w:bCs/>
          <w:color w:val="auto"/>
          <w:sz w:val="36"/>
          <w:szCs w:val="36"/>
          <w:highlight w:val="none"/>
        </w:rPr>
        <w:t>年</w:t>
      </w:r>
      <w:r>
        <w:rPr>
          <w:rFonts w:hint="eastAsia" w:ascii="宋体" w:hAnsi="宋体" w:cs="宋体"/>
          <w:bCs/>
          <w:color w:val="auto"/>
          <w:sz w:val="36"/>
          <w:szCs w:val="36"/>
          <w:highlight w:val="none"/>
          <w:lang w:val="en-US" w:eastAsia="zh-CN"/>
        </w:rPr>
        <w:t xml:space="preserve">10 </w:t>
      </w:r>
      <w:r>
        <w:rPr>
          <w:rFonts w:hint="eastAsia" w:ascii="宋体" w:hAnsi="宋体" w:eastAsia="宋体" w:cs="宋体"/>
          <w:bCs/>
          <w:color w:val="auto"/>
          <w:sz w:val="36"/>
          <w:szCs w:val="36"/>
          <w:highlight w:val="none"/>
        </w:rPr>
        <w:t>月</w:t>
      </w:r>
      <w:r>
        <w:rPr>
          <w:rFonts w:hint="eastAsia" w:ascii="宋体" w:hAnsi="宋体" w:cs="宋体"/>
          <w:bCs/>
          <w:color w:val="auto"/>
          <w:sz w:val="36"/>
          <w:szCs w:val="36"/>
          <w:highlight w:val="none"/>
          <w:lang w:val="en-US" w:eastAsia="zh-CN"/>
        </w:rPr>
        <w:t xml:space="preserve">20 </w:t>
      </w:r>
      <w:r>
        <w:rPr>
          <w:rFonts w:hint="eastAsia" w:ascii="宋体" w:hAnsi="宋体" w:eastAsia="宋体" w:cs="宋体"/>
          <w:bCs/>
          <w:color w:val="auto"/>
          <w:sz w:val="36"/>
          <w:szCs w:val="36"/>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636"/>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建德市南峰葛家区块及梅城镇城西片区环卫保洁服务采购项目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eastAsia="宋体" w:cs="宋体"/>
          <w:snapToGrid/>
          <w:color w:val="auto"/>
          <w:kern w:val="2"/>
          <w:sz w:val="24"/>
          <w:szCs w:val="24"/>
          <w:highlight w:val="none"/>
          <w:lang w:val="en-US" w:eastAsia="zh-CN"/>
        </w:rPr>
        <w:t>3</w:t>
      </w:r>
      <w:r>
        <w:rPr>
          <w:rStyle w:val="77"/>
          <w:rFonts w:hint="eastAsia" w:ascii="宋体" w:hAnsi="宋体" w:eastAsia="宋体" w:cs="宋体"/>
          <w:snapToGrid/>
          <w:color w:val="auto"/>
          <w:kern w:val="2"/>
          <w:sz w:val="24"/>
          <w:szCs w:val="24"/>
          <w:highlight w:val="none"/>
        </w:rPr>
        <w:t xml:space="preserve"> 年</w:t>
      </w:r>
      <w:r>
        <w:rPr>
          <w:rStyle w:val="77"/>
          <w:rFonts w:hint="eastAsia" w:ascii="宋体" w:hAnsi="宋体" w:cs="宋体"/>
          <w:snapToGrid/>
          <w:color w:val="auto"/>
          <w:kern w:val="2"/>
          <w:sz w:val="24"/>
          <w:szCs w:val="24"/>
          <w:highlight w:val="none"/>
          <w:lang w:val="en-US" w:eastAsia="zh-CN"/>
        </w:rPr>
        <w:t xml:space="preserve"> 11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 xml:space="preserve"> 10 </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 xml:space="preserve"> 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 xml:space="preserve"> 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JD2023BF-</w:t>
      </w:r>
      <w:r>
        <w:rPr>
          <w:rFonts w:hint="eastAsia" w:ascii="宋体" w:hAnsi="宋体" w:cs="宋体"/>
          <w:color w:val="auto"/>
          <w:sz w:val="24"/>
          <w:highlight w:val="none"/>
          <w:lang w:val="en-US" w:eastAsia="zh-CN"/>
        </w:rPr>
        <w:t>165</w:t>
      </w:r>
      <w:r>
        <w:rPr>
          <w:rFonts w:hint="eastAsia" w:ascii="宋体" w:hAnsi="宋体" w:cs="宋体"/>
          <w:color w:val="auto"/>
          <w:sz w:val="24"/>
          <w:highlight w:val="none"/>
          <w:lang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建德市南峰葛家区块及梅城镇城西片区环卫保洁服务采购项目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val="en-US" w:eastAsia="zh-CN"/>
        </w:rPr>
        <w:t>7</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00000.00（3</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lang w:val="en-US" w:eastAsia="zh-CN"/>
        </w:rPr>
        <w:t>00000.00/年）；</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7</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00000</w:t>
      </w:r>
      <w:r>
        <w:rPr>
          <w:rFonts w:hint="eastAsia" w:ascii="宋体" w:hAnsi="宋体" w:eastAsia="宋体" w:cs="宋体"/>
          <w:b/>
          <w:color w:val="auto"/>
          <w:sz w:val="24"/>
          <w:highlight w:val="none"/>
        </w:rPr>
        <w:t>.00</w:t>
      </w:r>
      <w:r>
        <w:rPr>
          <w:rFonts w:hint="eastAsia" w:ascii="宋体" w:hAnsi="宋体" w:eastAsia="宋体" w:cs="宋体"/>
          <w:b/>
          <w:color w:val="auto"/>
          <w:sz w:val="24"/>
          <w:highlight w:val="none"/>
          <w:lang w:val="en-US" w:eastAsia="zh-CN"/>
        </w:rPr>
        <w:t>（3</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lang w:val="en-US" w:eastAsia="zh-CN"/>
        </w:rPr>
        <w:t>00000.00/年）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w:t>
      </w:r>
    </w:p>
    <w:p>
      <w:pPr>
        <w:pStyle w:val="5"/>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采购需求：</w:t>
      </w:r>
    </w:p>
    <w:p>
      <w:pPr>
        <w:pStyle w:val="5"/>
        <w:shd w:val="clear"/>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建德市南峰葛家区块及梅城镇城西片区范围内道路保洁清运（包括区域内的小溪、草地、公园保洁），垃圾收集点分类管家及企业垃圾清运等保洁服务工作。</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p>
    <w:p>
      <w:pPr>
        <w:pStyle w:val="5"/>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服务期共计两年。本项目合同采取一年一签方式，服务时间自合同签订之日起计算，如一年服务期满，</w:t>
      </w:r>
      <w:r>
        <w:rPr>
          <w:rFonts w:hint="eastAsia" w:ascii="宋体" w:hAnsi="宋体" w:eastAsia="宋体" w:cs="宋体"/>
          <w:b w:val="0"/>
          <w:bCs/>
          <w:color w:val="auto"/>
          <w:sz w:val="24"/>
          <w:highlight w:val="none"/>
          <w:lang w:val="en-US" w:eastAsia="zh-CN"/>
        </w:rPr>
        <w:t>若中标供应商月平均考核分</w:t>
      </w:r>
      <w:r>
        <w:rPr>
          <w:rFonts w:hint="eastAsia" w:ascii="宋体" w:hAnsi="宋体" w:eastAsia="宋体" w:cs="宋体"/>
          <w:b w:val="0"/>
          <w:bCs/>
          <w:color w:val="auto"/>
          <w:sz w:val="24"/>
          <w:highlight w:val="none"/>
        </w:rPr>
        <w:t>达到</w:t>
      </w:r>
      <w:r>
        <w:rPr>
          <w:rFonts w:hint="eastAsia" w:ascii="宋体" w:hAnsi="宋体" w:cs="宋体"/>
          <w:b w:val="0"/>
          <w:bCs/>
          <w:color w:val="auto"/>
          <w:sz w:val="24"/>
          <w:highlight w:val="none"/>
          <w:lang w:val="en-US" w:eastAsia="zh-CN"/>
        </w:rPr>
        <w:t>85</w:t>
      </w:r>
      <w:r>
        <w:rPr>
          <w:rFonts w:hint="eastAsia" w:ascii="宋体" w:hAnsi="宋体" w:eastAsia="宋体" w:cs="宋体"/>
          <w:b w:val="0"/>
          <w:bCs/>
          <w:color w:val="auto"/>
          <w:sz w:val="24"/>
          <w:highlight w:val="none"/>
        </w:rPr>
        <w:t>分及以上</w:t>
      </w:r>
      <w:r>
        <w:rPr>
          <w:rFonts w:hint="eastAsia" w:ascii="宋体" w:hAnsi="宋体" w:eastAsia="宋体" w:cs="宋体"/>
          <w:b w:val="0"/>
          <w:bCs/>
          <w:color w:val="auto"/>
          <w:sz w:val="24"/>
          <w:highlight w:val="none"/>
          <w:lang w:val="en-US" w:eastAsia="zh-CN"/>
        </w:rPr>
        <w:t>且梅城镇在建德市环境卫生（垃圾分类）年度考核前六名</w:t>
      </w:r>
      <w:r>
        <w:rPr>
          <w:rFonts w:hint="eastAsia" w:ascii="宋体" w:hAnsi="宋体" w:eastAsia="宋体" w:cs="宋体"/>
          <w:b w:val="0"/>
          <w:bCs/>
          <w:color w:val="auto"/>
          <w:sz w:val="24"/>
          <w:highlight w:val="none"/>
        </w:rPr>
        <w:t>，根据本次中标价格可以续签一年。</w:t>
      </w:r>
    </w:p>
    <w:p>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10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3</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 xml:space="preserve"> 11</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 xml:space="preserve">10 </w:t>
      </w:r>
      <w:r>
        <w:rPr>
          <w:rFonts w:hint="eastAsia" w:ascii="宋体" w:hAnsi="宋体" w:eastAsia="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 xml:space="preserve"> 9</w:t>
      </w:r>
      <w:r>
        <w:rPr>
          <w:rFonts w:hint="eastAsia" w:ascii="宋体" w:hAnsi="宋体" w:eastAsia="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 xml:space="preserve"> 30</w:t>
      </w:r>
      <w:r>
        <w:rPr>
          <w:rFonts w:hint="eastAsia" w:ascii="宋体" w:hAnsi="宋体" w:eastAsia="宋体" w:cs="宋体"/>
          <w:b w:val="0"/>
          <w:bCs/>
          <w:color w:val="auto"/>
          <w:sz w:val="24"/>
          <w:highlight w:val="none"/>
          <w:u w:val="single"/>
        </w:rPr>
        <w:t xml:space="preserve">分00秒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建德市梅城镇人民政府</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建德市梅城镇</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 蔡振庭</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项目联系方式（询问）：13867405352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质疑联系人：陈硕</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质疑联系方式：17767179682</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称：杭州欣兴建设工程招标代理有限公司</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址：浙江省杭州市建德市新安江街道严州大道水韵天城108幢201室</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传    真：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项目联系人（询问）：季姜春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项目联系方式（询问）：13567150257   </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翁倩瑛</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hAnsi="宋体" w:eastAsia="宋体" w:cs="宋体"/>
          <w:sz w:val="24"/>
          <w:lang w:val="en-US" w:eastAsia="zh-CN"/>
        </w:rPr>
        <w:t>13868102418</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称：建德市财政局采购办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址：建德市新安江街道严州大道1089号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：邵菁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eastAsia="宋体" w:cs="宋体"/>
          <w:sz w:val="24"/>
        </w:rPr>
        <w:t>0571-</w:t>
      </w:r>
      <w:r>
        <w:rPr>
          <w:rFonts w:hint="eastAsia" w:ascii="宋体" w:hAnsi="宋体" w:eastAsia="宋体" w:cs="宋体"/>
          <w:sz w:val="24"/>
          <w:szCs w:val="24"/>
        </w:rPr>
        <w:t>89606885</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81"/>
        <w:gridCol w:w="62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标的：</w:t>
            </w:r>
            <w:r>
              <w:rPr>
                <w:rFonts w:hint="eastAsia" w:ascii="宋体" w:hAnsi="宋体" w:eastAsia="宋体" w:cs="宋体"/>
                <w:color w:val="auto"/>
                <w:kern w:val="0"/>
                <w:sz w:val="24"/>
                <w:highlight w:val="none"/>
                <w:u w:val="single"/>
                <w:lang w:val="en-US" w:eastAsia="zh-CN"/>
              </w:rPr>
              <w:t>建德市南峰葛家区块及梅城镇城西片区环卫保洁服务采购项目</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highlight w:val="none"/>
                <w:u w:val="single"/>
                <w:lang w:val="en-US"/>
              </w:rPr>
              <w:t>其他未列明行业</w:t>
            </w:r>
            <w:r>
              <w:rPr>
                <w:rFonts w:hint="eastAsia" w:ascii="宋体" w:hAnsi="宋体" w:eastAsia="宋体" w:cs="宋体"/>
                <w:color w:val="auto"/>
                <w:kern w:val="0"/>
                <w:sz w:val="24"/>
                <w:highlight w:val="none"/>
                <w:lang w:val="en-US"/>
              </w:rPr>
              <w:t>；</w:t>
            </w:r>
          </w:p>
          <w:p>
            <w:pPr>
              <w:spacing w:line="360" w:lineRule="auto"/>
              <w:rPr>
                <w:rFonts w:hint="eastAsia"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1639946486"/>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8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5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68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25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w:t>
            </w:r>
            <w:r>
              <w:rPr>
                <w:rFonts w:hint="eastAsia" w:ascii="宋体" w:hAnsi="宋体" w:eastAsia="宋体" w:cs="宋体"/>
                <w:b/>
                <w:color w:val="auto"/>
                <w:kern w:val="0"/>
                <w:sz w:val="24"/>
                <w:highlight w:val="none"/>
                <w:lang w:val="zh-CN"/>
              </w:rPr>
              <w:t>的;</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81"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57"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sz w:val="24"/>
              </w:rPr>
              <w:t>0571-</w:t>
            </w:r>
            <w:r>
              <w:rPr>
                <w:rFonts w:hint="eastAsia" w:ascii="宋体" w:hAnsi="宋体" w:eastAsia="宋体" w:cs="宋体"/>
                <w:sz w:val="24"/>
                <w:szCs w:val="24"/>
              </w:rPr>
              <w:t>89606885</w:t>
            </w:r>
            <w:r>
              <w:rPr>
                <w:rFonts w:hint="eastAsia" w:ascii="宋体" w:hAnsi="宋体" w:cs="宋体"/>
                <w:snapToGrid w:val="0"/>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57"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kern w:val="28"/>
                <w:sz w:val="24"/>
                <w:szCs w:val="24"/>
              </w:rPr>
              <w:t>备份投标文件送达地点：</w:t>
            </w:r>
            <w:r>
              <w:rPr>
                <w:rFonts w:hint="eastAsia" w:ascii="宋体" w:hAnsi="宋体" w:eastAsia="宋体" w:cs="宋体"/>
                <w:color w:val="auto"/>
                <w:sz w:val="24"/>
                <w:u w:val="single"/>
              </w:rPr>
              <w:t>浙江省杭州市建德市新安江街道严州大道水韵天城108幢201</w:t>
            </w:r>
            <w:r>
              <w:rPr>
                <w:rFonts w:hint="eastAsia" w:ascii="宋体" w:hAnsi="宋体" w:eastAsia="宋体" w:cs="宋体"/>
                <w:color w:val="auto"/>
                <w:sz w:val="24"/>
                <w:u w:val="single"/>
                <w:lang w:eastAsia="zh-CN"/>
              </w:rPr>
              <w:t>室</w:t>
            </w:r>
            <w:r>
              <w:rPr>
                <w:rFonts w:hint="eastAsia" w:ascii="宋体" w:hAnsi="宋体" w:eastAsia="宋体" w:cs="宋体"/>
                <w:kern w:val="28"/>
                <w:sz w:val="24"/>
                <w:szCs w:val="24"/>
              </w:rPr>
              <w:t>；备份投标文件签收人员联系电话：</w:t>
            </w:r>
            <w:r>
              <w:rPr>
                <w:rFonts w:hint="eastAsia" w:ascii="宋体" w:hAnsi="宋体" w:eastAsia="宋体" w:cs="宋体"/>
                <w:color w:val="auto"/>
                <w:sz w:val="24"/>
                <w:u w:val="single"/>
                <w:lang w:val="en-US" w:eastAsia="zh-CN"/>
              </w:rPr>
              <w:t>季姜春、13567150257</w:t>
            </w:r>
            <w:r>
              <w:rPr>
                <w:rFonts w:hint="eastAsia" w:ascii="宋体" w:hAnsi="宋体" w:eastAsia="宋体" w:cs="宋体"/>
                <w:sz w:val="24"/>
                <w:szCs w:val="24"/>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3231189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响应总报价应包含采购服务费，采购服务费按照</w:t>
            </w:r>
            <w:r>
              <w:rPr>
                <w:rFonts w:hint="eastAsia" w:ascii="宋体" w:hAnsi="宋体" w:eastAsia="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eastAsia="宋体" w:cs="宋体"/>
                <w:snapToGrid w:val="0"/>
                <w:color w:val="auto"/>
                <w:kern w:val="28"/>
                <w:sz w:val="24"/>
                <w:highlight w:val="none"/>
              </w:rPr>
              <w:t>的收费标准（</w:t>
            </w:r>
            <w:r>
              <w:rPr>
                <w:rFonts w:hint="eastAsia" w:ascii="宋体" w:hAnsi="宋体" w:eastAsia="宋体" w:cs="宋体"/>
                <w:color w:val="auto"/>
                <w:sz w:val="24"/>
                <w:highlight w:val="none"/>
                <w:u w:val="none"/>
              </w:rPr>
              <w:t>服务</w:t>
            </w:r>
            <w:r>
              <w:rPr>
                <w:rFonts w:hint="eastAsia" w:ascii="宋体" w:hAnsi="宋体" w:eastAsia="宋体" w:cs="宋体"/>
                <w:snapToGrid w:val="0"/>
                <w:color w:val="auto"/>
                <w:kern w:val="28"/>
                <w:sz w:val="24"/>
                <w:highlight w:val="none"/>
              </w:rPr>
              <w:t>类）计取，采购服务费为</w:t>
            </w:r>
            <w:r>
              <w:rPr>
                <w:rFonts w:hint="eastAsia" w:ascii="宋体" w:hAnsi="宋体" w:eastAsia="宋体" w:cs="宋体"/>
                <w:snapToGrid w:val="0"/>
                <w:color w:val="auto"/>
                <w:kern w:val="28"/>
                <w:sz w:val="24"/>
                <w:highlight w:val="none"/>
                <w:u w:val="single"/>
              </w:rPr>
              <w:t>人民币</w:t>
            </w:r>
            <w:r>
              <w:rPr>
                <w:rFonts w:hint="eastAsia" w:ascii="宋体" w:hAnsi="宋体" w:eastAsia="宋体" w:cs="宋体"/>
                <w:snapToGrid w:val="0"/>
                <w:color w:val="auto"/>
                <w:kern w:val="28"/>
                <w:sz w:val="24"/>
                <w:highlight w:val="none"/>
                <w:u w:val="single"/>
              </w:rPr>
              <w:fldChar w:fldCharType="begin"/>
            </w:r>
            <w:r>
              <w:rPr>
                <w:rFonts w:hint="eastAsia" w:ascii="宋体" w:hAnsi="宋体" w:eastAsia="宋体" w:cs="宋体"/>
                <w:snapToGrid w:val="0"/>
                <w:color w:val="auto"/>
                <w:kern w:val="28"/>
                <w:sz w:val="24"/>
                <w:highlight w:val="none"/>
                <w:u w:val="single"/>
              </w:rPr>
              <w:instrText xml:space="preserve"> = 6900 \* CHINESENUM4 \* MERGEFORMAT </w:instrText>
            </w:r>
            <w:r>
              <w:rPr>
                <w:rFonts w:hint="eastAsia" w:ascii="宋体" w:hAnsi="宋体" w:eastAsia="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贰万伍仟零陆拾</w:t>
            </w:r>
            <w:r>
              <w:rPr>
                <w:rFonts w:hint="eastAsia" w:ascii="宋体" w:hAnsi="宋体" w:eastAsia="宋体" w:cs="宋体"/>
                <w:snapToGrid w:val="0"/>
                <w:color w:val="auto"/>
                <w:kern w:val="28"/>
                <w:sz w:val="24"/>
                <w:highlight w:val="none"/>
                <w:u w:val="single"/>
              </w:rPr>
              <w:t>元整</w:t>
            </w:r>
            <w:r>
              <w:rPr>
                <w:rFonts w:hint="eastAsia" w:ascii="宋体" w:hAnsi="宋体" w:eastAsia="宋体" w:cs="宋体"/>
                <w:snapToGrid w:val="0"/>
                <w:color w:val="auto"/>
                <w:kern w:val="28"/>
                <w:sz w:val="24"/>
                <w:highlight w:val="none"/>
                <w:u w:val="single"/>
              </w:rPr>
              <w:fldChar w:fldCharType="end"/>
            </w:r>
            <w:r>
              <w:rPr>
                <w:rFonts w:hint="eastAsia" w:ascii="宋体" w:hAnsi="宋体" w:eastAsia="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25060.00</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none"/>
                <w:lang w:eastAsia="zh-CN"/>
              </w:rPr>
              <w:t>，</w:t>
            </w:r>
            <w:r>
              <w:rPr>
                <w:rFonts w:hint="eastAsia" w:ascii="宋体" w:hAnsi="宋体" w:eastAsia="宋体" w:cs="宋体"/>
                <w:snapToGrid w:val="0"/>
                <w:color w:val="auto"/>
                <w:kern w:val="28"/>
                <w:sz w:val="24"/>
                <w:highlight w:val="none"/>
              </w:rPr>
              <w:t>由中标人在领取</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9"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68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681"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4"/>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7"/>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0"/>
        <w:shd w:val="clear"/>
        <w:snapToGrid w:val="0"/>
        <w:spacing w:before="0"/>
        <w:ind w:firstLine="360"/>
        <w:rPr>
          <w:rFonts w:hint="eastAsia" w:ascii="宋体" w:hAnsi="宋体" w:eastAsia="宋体" w:cs="宋体"/>
          <w:color w:val="auto"/>
          <w:sz w:val="18"/>
          <w:szCs w:val="18"/>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《残疾人福利性单位声明函》</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由省级以上监狱管理局、戒毒管理局（含新疆生产建设兵团）出具的属于监狱企业证明文件；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rPr>
        <w:t>11.3.1开标一览表（报价表）</w:t>
      </w:r>
      <w:r>
        <w:rPr>
          <w:rFonts w:hint="eastAsia" w:ascii="宋体" w:hAnsi="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11.3.2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hint="eastAsia" w:ascii="宋体" w:hAnsi="宋体" w:eastAsia="宋体" w:cs="宋体"/>
          <w:b/>
          <w:color w:val="auto"/>
          <w:sz w:val="32"/>
          <w:highlight w:val="none"/>
        </w:rPr>
      </w:pPr>
    </w:p>
    <w:p>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6"/>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0"/>
        <w:shd w:val="clear"/>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hd w:val="clea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6"/>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6"/>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0"/>
      <w:bookmarkEnd w:id="16"/>
      <w:bookmarkStart w:id="17" w:name="_Hlt68072998"/>
      <w:bookmarkEnd w:id="17"/>
      <w:bookmarkStart w:id="18" w:name="_Hlt74730295"/>
      <w:bookmarkEnd w:id="18"/>
      <w:bookmarkStart w:id="19" w:name="_Hlt75236011"/>
      <w:bookmarkEnd w:id="19"/>
      <w:bookmarkStart w:id="20" w:name="_Hlt75236101"/>
      <w:bookmarkEnd w:id="20"/>
      <w:bookmarkStart w:id="21" w:name="_Hlt68057669"/>
      <w:bookmarkEnd w:id="21"/>
      <w:bookmarkStart w:id="22" w:name="_Hlt74714665"/>
      <w:bookmarkEnd w:id="22"/>
      <w:bookmarkStart w:id="23" w:name="_Hlt68403820"/>
      <w:bookmarkEnd w:id="23"/>
      <w:bookmarkStart w:id="24" w:name="_Hlt68073093"/>
      <w:bookmarkEnd w:id="24"/>
      <w:bookmarkStart w:id="25" w:name="_Hlt75236290"/>
      <w:bookmarkEnd w:id="25"/>
      <w:bookmarkStart w:id="26" w:name="_Hlt74707468"/>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pStyle w:val="6"/>
        <w:keepNext w:val="0"/>
        <w:keepLines w:val="0"/>
        <w:pageBreakBefore w:val="0"/>
        <w:widowControl w:val="0"/>
        <w:kinsoku/>
        <w:wordWrap/>
        <w:overflowPunct/>
        <w:topLinePunct w:val="0"/>
        <w:autoSpaceDE/>
        <w:autoSpaceDN/>
        <w:bidi w:val="0"/>
        <w:adjustRightInd w:val="0"/>
        <w:snapToGrid/>
        <w:spacing w:before="0" w:beforeLines="50" w:after="0" w:afterLines="50" w:line="360" w:lineRule="auto"/>
        <w:ind w:left="0" w:leftChars="0" w:firstLine="0" w:firstLineChars="0"/>
        <w:textAlignment w:val="auto"/>
        <w:rPr>
          <w:rFonts w:hint="eastAsia" w:ascii="宋体" w:hAnsi="宋体" w:eastAsia="宋体" w:cs="宋体"/>
          <w:b/>
          <w:color w:val="auto"/>
          <w:highlight w:val="none"/>
          <w:lang w:eastAsia="zh-CN"/>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采购</w:t>
      </w:r>
      <w:r>
        <w:rPr>
          <w:rFonts w:hint="eastAsia" w:ascii="宋体" w:hAnsi="宋体" w:eastAsia="宋体" w:cs="宋体"/>
          <w:b/>
          <w:color w:val="auto"/>
          <w:sz w:val="28"/>
          <w:szCs w:val="28"/>
          <w:highlight w:val="none"/>
          <w:lang w:val="en-US" w:eastAsia="zh-CN"/>
        </w:rPr>
        <w:t>预算</w:t>
      </w:r>
    </w:p>
    <w:tbl>
      <w:tblPr>
        <w:tblStyle w:val="63"/>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20"/>
        <w:gridCol w:w="1543"/>
        <w:gridCol w:w="816"/>
        <w:gridCol w:w="708"/>
        <w:gridCol w:w="1458"/>
        <w:gridCol w:w="1187"/>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48" w:type="dxa"/>
            <w:vAlign w:val="center"/>
          </w:tcPr>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520" w:type="dxa"/>
            <w:vAlign w:val="center"/>
          </w:tcPr>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543" w:type="dxa"/>
            <w:vAlign w:val="center"/>
          </w:tcPr>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主要服务技术要求</w:t>
            </w:r>
          </w:p>
        </w:tc>
        <w:tc>
          <w:tcPr>
            <w:tcW w:w="816" w:type="dxa"/>
            <w:vAlign w:val="center"/>
          </w:tcPr>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08" w:type="dxa"/>
            <w:vAlign w:val="center"/>
          </w:tcPr>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458" w:type="dxa"/>
            <w:vAlign w:val="center"/>
          </w:tcPr>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w:t>
            </w:r>
            <w:r>
              <w:rPr>
                <w:rFonts w:hint="eastAsia" w:ascii="宋体" w:hAnsi="宋体" w:eastAsia="宋体" w:cs="宋体"/>
                <w:b/>
                <w:color w:val="auto"/>
                <w:sz w:val="24"/>
                <w:szCs w:val="24"/>
                <w:highlight w:val="none"/>
                <w:lang w:val="en-US" w:eastAsia="zh-CN"/>
              </w:rPr>
              <w:t>单</w:t>
            </w:r>
            <w:r>
              <w:rPr>
                <w:rFonts w:hint="eastAsia" w:ascii="宋体" w:hAnsi="宋体" w:eastAsia="宋体" w:cs="宋体"/>
                <w:b/>
                <w:color w:val="auto"/>
                <w:sz w:val="24"/>
                <w:szCs w:val="24"/>
                <w:highlight w:val="none"/>
              </w:rPr>
              <w:t>价</w:t>
            </w:r>
          </w:p>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r>
              <w:rPr>
                <w:rFonts w:hint="eastAsia" w:ascii="宋体" w:hAnsi="宋体" w:cs="宋体"/>
                <w:b/>
                <w:color w:val="auto"/>
                <w:sz w:val="24"/>
                <w:szCs w:val="24"/>
                <w:highlight w:val="none"/>
                <w:lang w:val="en-US" w:eastAsia="zh-CN"/>
              </w:rPr>
              <w:t>/年</w:t>
            </w:r>
            <w:r>
              <w:rPr>
                <w:rFonts w:hint="eastAsia" w:ascii="宋体" w:hAnsi="宋体" w:eastAsia="宋体" w:cs="宋体"/>
                <w:b/>
                <w:color w:val="auto"/>
                <w:sz w:val="24"/>
                <w:szCs w:val="24"/>
                <w:highlight w:val="none"/>
              </w:rPr>
              <w:t>）</w:t>
            </w:r>
          </w:p>
        </w:tc>
        <w:tc>
          <w:tcPr>
            <w:tcW w:w="1187" w:type="dxa"/>
            <w:vAlign w:val="center"/>
          </w:tcPr>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预算总价</w:t>
            </w:r>
          </w:p>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529" w:type="dxa"/>
            <w:vAlign w:val="center"/>
          </w:tcPr>
          <w:p>
            <w:pPr>
              <w:widowControl/>
              <w:tabs>
                <w:tab w:val="left" w:pos="36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48" w:type="dxa"/>
            <w:vAlign w:val="center"/>
          </w:tcPr>
          <w:p>
            <w:pPr>
              <w:widowControl/>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20" w:type="dxa"/>
            <w:vAlign w:val="center"/>
          </w:tcPr>
          <w:p>
            <w:pPr>
              <w:widowControl/>
              <w:tabs>
                <w:tab w:val="left" w:pos="360"/>
              </w:tabs>
              <w:jc w:val="left"/>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建德市南峰葛家区块及梅城镇城西片区环卫保洁服务采购项目</w:t>
            </w:r>
          </w:p>
        </w:tc>
        <w:tc>
          <w:tcPr>
            <w:tcW w:w="1543" w:type="dxa"/>
            <w:vAlign w:val="center"/>
          </w:tcPr>
          <w:p>
            <w:pPr>
              <w:widowControl/>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详见“&lt;二&gt;采购需求”</w:t>
            </w:r>
          </w:p>
        </w:tc>
        <w:tc>
          <w:tcPr>
            <w:tcW w:w="816" w:type="dxa"/>
            <w:vAlign w:val="center"/>
          </w:tcPr>
          <w:p>
            <w:pPr>
              <w:widowControl/>
              <w:tabs>
                <w:tab w:val="left" w:pos="360"/>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年</w:t>
            </w:r>
          </w:p>
        </w:tc>
        <w:tc>
          <w:tcPr>
            <w:tcW w:w="708" w:type="dxa"/>
            <w:vAlign w:val="center"/>
          </w:tcPr>
          <w:p>
            <w:pPr>
              <w:widowControl/>
              <w:tabs>
                <w:tab w:val="left" w:pos="36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458" w:type="dxa"/>
            <w:vAlign w:val="center"/>
          </w:tcPr>
          <w:p>
            <w:pPr>
              <w:widowControl/>
              <w:tabs>
                <w:tab w:val="left" w:pos="360"/>
              </w:tabs>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w:t>
            </w:r>
          </w:p>
        </w:tc>
        <w:tc>
          <w:tcPr>
            <w:tcW w:w="1187" w:type="dxa"/>
            <w:vAlign w:val="center"/>
          </w:tcPr>
          <w:p>
            <w:pPr>
              <w:widowControl/>
              <w:tabs>
                <w:tab w:val="left" w:pos="360"/>
              </w:tabs>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720</w:t>
            </w:r>
          </w:p>
        </w:tc>
        <w:tc>
          <w:tcPr>
            <w:tcW w:w="529" w:type="dxa"/>
            <w:vAlign w:val="center"/>
          </w:tcPr>
          <w:p>
            <w:pPr>
              <w:widowControl/>
              <w:tabs>
                <w:tab w:val="left" w:pos="360"/>
              </w:tabs>
              <w:jc w:val="center"/>
              <w:rPr>
                <w:rFonts w:hint="eastAsia" w:ascii="宋体" w:hAnsi="宋体" w:eastAsia="宋体" w:cs="宋体"/>
                <w:color w:val="auto"/>
                <w:sz w:val="24"/>
                <w:szCs w:val="24"/>
                <w:highlight w:val="none"/>
              </w:rPr>
            </w:pPr>
          </w:p>
        </w:tc>
      </w:tr>
    </w:tbl>
    <w:p>
      <w:pPr>
        <w:pStyle w:val="6"/>
        <w:spacing w:line="360" w:lineRule="auto"/>
        <w:ind w:left="0" w:leftChars="0" w:firstLine="0" w:firstLineChars="0"/>
        <w:rPr>
          <w:rFonts w:hint="eastAsia" w:ascii="宋体" w:hAnsi="宋体" w:eastAsia="宋体" w:cs="宋体"/>
          <w:b/>
          <w:color w:val="auto"/>
          <w:highlight w:val="none"/>
          <w:lang w:val="en-US" w:eastAsia="zh-CN"/>
        </w:rPr>
      </w:pPr>
      <w:r>
        <w:rPr>
          <w:rFonts w:hint="eastAsia" w:ascii="宋体" w:hAnsi="宋体" w:eastAsia="宋体" w:cs="宋体"/>
          <w:b w:val="0"/>
          <w:bCs/>
          <w:color w:val="auto"/>
          <w:highlight w:val="none"/>
          <w:lang w:val="en-US" w:eastAsia="zh-CN"/>
        </w:rPr>
        <w:t>注：</w:t>
      </w:r>
      <w:r>
        <w:rPr>
          <w:rFonts w:hint="eastAsia" w:cs="宋体"/>
          <w:b w:val="0"/>
          <w:bCs/>
          <w:color w:val="auto"/>
          <w:highlight w:val="none"/>
          <w:lang w:val="en-US" w:eastAsia="zh-CN"/>
        </w:rPr>
        <w:t>以上费用</w:t>
      </w:r>
      <w:r>
        <w:rPr>
          <w:rFonts w:hint="eastAsia" w:ascii="宋体" w:hAnsi="宋体" w:cs="宋体"/>
          <w:kern w:val="0"/>
        </w:rPr>
        <w:t>包括人工工资、</w:t>
      </w:r>
      <w:r>
        <w:rPr>
          <w:rFonts w:hint="eastAsia" w:cs="宋体"/>
          <w:kern w:val="0"/>
          <w:lang w:val="en-US" w:eastAsia="zh-CN"/>
        </w:rPr>
        <w:t>垃圾清运费、</w:t>
      </w:r>
      <w:r>
        <w:rPr>
          <w:rFonts w:hint="eastAsia" w:ascii="宋体" w:hAnsi="宋体" w:cs="宋体"/>
          <w:kern w:val="0"/>
        </w:rPr>
        <w:t>维修费用、物耗费用、设备添置费用、保险费、服务费、管理费、税金、验收、辅助工作等完成本项目所需的全部费用。</w:t>
      </w:r>
    </w:p>
    <w:p>
      <w:pPr>
        <w:pStyle w:val="6"/>
        <w:keepNext w:val="0"/>
        <w:keepLines w:val="0"/>
        <w:pageBreakBefore w:val="0"/>
        <w:widowControl w:val="0"/>
        <w:kinsoku/>
        <w:wordWrap/>
        <w:overflowPunct/>
        <w:topLinePunct w:val="0"/>
        <w:autoSpaceDE/>
        <w:autoSpaceDN/>
        <w:bidi w:val="0"/>
        <w:adjustRightInd w:val="0"/>
        <w:snapToGrid/>
        <w:spacing w:before="0" w:beforeLines="50" w:after="0" w:afterLines="50" w:line="240" w:lineRule="auto"/>
        <w:ind w:left="0" w:leftChars="0" w:firstLine="0" w:firstLineChars="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二、采购需求</w:t>
      </w:r>
    </w:p>
    <w:p>
      <w:pPr>
        <w:spacing w:line="240" w:lineRule="auto"/>
        <w:rPr>
          <w:rFonts w:hint="eastAsia" w:ascii="宋体" w:hAnsi="宋体" w:cs="宋体"/>
          <w:b/>
          <w:bCs/>
          <w:color w:val="auto"/>
          <w:sz w:val="28"/>
          <w:szCs w:val="28"/>
        </w:rPr>
      </w:pPr>
      <w:r>
        <w:rPr>
          <w:rFonts w:hint="eastAsia" w:ascii="宋体" w:hAnsi="宋体" w:cs="宋体"/>
          <w:b/>
          <w:bCs/>
          <w:color w:val="auto"/>
          <w:sz w:val="28"/>
          <w:szCs w:val="28"/>
        </w:rPr>
        <w:t>（一）项目概况</w:t>
      </w:r>
    </w:p>
    <w:p>
      <w:pPr>
        <w:numPr>
          <w:ilvl w:val="0"/>
          <w:numId w:val="2"/>
        </w:numPr>
        <w:spacing w:line="360" w:lineRule="auto"/>
        <w:jc w:val="left"/>
        <w:rPr>
          <w:rFonts w:hint="eastAsia" w:ascii="宋体" w:hAnsi="宋体" w:cs="宋体"/>
          <w:color w:val="auto"/>
          <w:sz w:val="24"/>
          <w:szCs w:val="24"/>
        </w:rPr>
      </w:pPr>
      <w:r>
        <w:rPr>
          <w:rFonts w:hint="eastAsia" w:ascii="宋体" w:hAnsi="宋体" w:cs="宋体"/>
          <w:b/>
          <w:bCs/>
          <w:color w:val="auto"/>
          <w:sz w:val="24"/>
          <w:szCs w:val="24"/>
        </w:rPr>
        <w:t>南峰葛家保洁范围路段</w:t>
      </w:r>
      <w:r>
        <w:rPr>
          <w:rFonts w:hint="eastAsia" w:ascii="宋体" w:hAnsi="宋体" w:cs="宋体"/>
          <w:color w:val="auto"/>
          <w:sz w:val="24"/>
          <w:szCs w:val="24"/>
        </w:rPr>
        <w:t>：严陵路、严陵路部分路段、严陵路2、锦峰路、白章线东、白章线西、南洋路、南峰路、葛家路、葛家路支路1、葛家路支路2、葛家路支路3、葛家路支路4、巽峰路、锦峰路2、新建路、孙韶路、御品江南苑北侧绿地、新安江绿道三</w:t>
      </w:r>
      <w:r>
        <w:rPr>
          <w:rFonts w:hint="eastAsia" w:ascii="宋体" w:hAnsi="宋体" w:cs="宋体"/>
          <w:color w:val="auto"/>
          <w:sz w:val="24"/>
          <w:szCs w:val="24"/>
          <w:lang w:val="en-US" w:eastAsia="zh-CN"/>
        </w:rPr>
        <w:t>江</w:t>
      </w:r>
      <w:r>
        <w:rPr>
          <w:rFonts w:hint="eastAsia" w:ascii="宋体" w:hAnsi="宋体" w:cs="宋体"/>
          <w:color w:val="auto"/>
          <w:sz w:val="24"/>
          <w:szCs w:val="24"/>
        </w:rPr>
        <w:t>口西段主路、新安江绿道游步道、何家岗路主道、景江路主路、八郎庙路主路、Y837路主路、背街里弄小巷、无名路等约</w:t>
      </w:r>
      <w:r>
        <w:rPr>
          <w:rFonts w:hint="eastAsia" w:ascii="宋体" w:hAnsi="宋体" w:cs="宋体"/>
          <w:color w:val="auto"/>
          <w:sz w:val="24"/>
          <w:szCs w:val="24"/>
          <w:highlight w:val="none"/>
          <w:lang w:val="en-US" w:eastAsia="zh-CN"/>
        </w:rPr>
        <w:t>23.35</w:t>
      </w:r>
      <w:r>
        <w:rPr>
          <w:rFonts w:hint="eastAsia" w:ascii="宋体" w:hAnsi="宋体" w:cs="宋体"/>
          <w:color w:val="auto"/>
          <w:sz w:val="24"/>
          <w:szCs w:val="24"/>
          <w:highlight w:val="none"/>
        </w:rPr>
        <w:t>万平方米，绿化面积约1.2万平方，</w:t>
      </w:r>
      <w:r>
        <w:rPr>
          <w:rFonts w:hint="eastAsia" w:ascii="宋体" w:hAnsi="宋体" w:cs="宋体"/>
          <w:color w:val="auto"/>
          <w:sz w:val="24"/>
          <w:szCs w:val="24"/>
        </w:rPr>
        <w:t>垃圾收集点10处</w:t>
      </w:r>
      <w:r>
        <w:rPr>
          <w:rFonts w:hint="eastAsia" w:ascii="宋体" w:hAnsi="宋体" w:cs="宋体"/>
          <w:color w:val="auto"/>
          <w:sz w:val="24"/>
          <w:szCs w:val="24"/>
          <w:lang w:eastAsia="zh-CN"/>
        </w:rPr>
        <w:t>。</w:t>
      </w:r>
    </w:p>
    <w:p>
      <w:pPr>
        <w:jc w:val="center"/>
        <w:rPr>
          <w:rFonts w:hint="eastAsia" w:ascii="宋体" w:hAnsi="宋体" w:cs="宋体"/>
          <w:b/>
          <w:bCs/>
          <w:color w:val="auto"/>
          <w:sz w:val="24"/>
          <w:szCs w:val="24"/>
        </w:rPr>
      </w:pPr>
      <w:r>
        <w:rPr>
          <w:rFonts w:hint="eastAsia" w:ascii="宋体" w:hAnsi="宋体" w:cs="宋体"/>
          <w:b/>
          <w:bCs/>
          <w:color w:val="auto"/>
          <w:sz w:val="24"/>
          <w:szCs w:val="24"/>
        </w:rPr>
        <w:drawing>
          <wp:inline distT="0" distB="0" distL="114300" distR="114300">
            <wp:extent cx="5697220" cy="3055620"/>
            <wp:effectExtent l="0" t="0" r="2540" b="7620"/>
            <wp:docPr id="5" name="图片 5" descr="微信图片_2023011019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110194940"/>
                    <pic:cNvPicPr>
                      <a:picLocks noChangeAspect="1"/>
                    </pic:cNvPicPr>
                  </pic:nvPicPr>
                  <pic:blipFill>
                    <a:blip r:embed="rId26"/>
                    <a:stretch>
                      <a:fillRect/>
                    </a:stretch>
                  </pic:blipFill>
                  <pic:spPr>
                    <a:xfrm>
                      <a:off x="0" y="0"/>
                      <a:ext cx="5697220" cy="3055620"/>
                    </a:xfrm>
                    <a:prstGeom prst="rect">
                      <a:avLst/>
                    </a:prstGeom>
                    <a:noFill/>
                    <a:ln>
                      <a:noFill/>
                    </a:ln>
                  </pic:spPr>
                </pic:pic>
              </a:graphicData>
            </a:graphic>
          </wp:inline>
        </w:drawing>
      </w:r>
    </w:p>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【南峰葛家保洁区域卫星平面图】</w:t>
      </w:r>
    </w:p>
    <w:p>
      <w:pPr>
        <w:spacing w:line="360" w:lineRule="auto"/>
        <w:jc w:val="left"/>
        <w:rPr>
          <w:rFonts w:hint="default" w:ascii="宋体" w:hAnsi="宋体" w:eastAsia="宋体" w:cs="宋体"/>
          <w:color w:val="auto"/>
          <w:sz w:val="24"/>
          <w:szCs w:val="24"/>
          <w:lang w:val="en-US" w:eastAsia="zh-CN"/>
        </w:rPr>
      </w:pPr>
      <w:r>
        <w:rPr>
          <w:rFonts w:hint="eastAsia" w:ascii="宋体" w:hAnsi="宋体" w:cs="宋体"/>
          <w:b/>
          <w:bCs/>
          <w:color w:val="auto"/>
          <w:sz w:val="24"/>
          <w:szCs w:val="24"/>
        </w:rPr>
        <w:t>2.城西新城保洁范围路段：</w:t>
      </w:r>
      <w:r>
        <w:rPr>
          <w:rFonts w:hint="eastAsia" w:ascii="宋体" w:hAnsi="宋体" w:cs="宋体"/>
          <w:color w:val="auto"/>
          <w:sz w:val="24"/>
          <w:szCs w:val="24"/>
        </w:rPr>
        <w:t>梅城大道、城顾线、中兴路、康宁路、新严路、黄栗坪路、千鹤路、金星路、初级中学门口(南社路）、顾家路、严陵路及大桥、滨江景观路、游步道等约</w:t>
      </w:r>
      <w:r>
        <w:rPr>
          <w:rFonts w:hint="eastAsia" w:ascii="宋体" w:hAnsi="宋体" w:cs="宋体"/>
          <w:color w:val="auto"/>
          <w:sz w:val="24"/>
          <w:szCs w:val="24"/>
          <w:highlight w:val="none"/>
          <w:lang w:val="en-US" w:eastAsia="zh-CN"/>
        </w:rPr>
        <w:t>23.65</w:t>
      </w:r>
      <w:r>
        <w:rPr>
          <w:rFonts w:hint="eastAsia" w:ascii="宋体" w:hAnsi="宋体" w:cs="宋体"/>
          <w:color w:val="auto"/>
          <w:sz w:val="24"/>
          <w:szCs w:val="24"/>
          <w:highlight w:val="none"/>
        </w:rPr>
        <w:t>万平方米，绿化面积约10.44万平方</w:t>
      </w:r>
      <w:r>
        <w:rPr>
          <w:rFonts w:hint="eastAsia" w:ascii="宋体" w:hAnsi="宋体" w:cs="宋体"/>
          <w:color w:val="auto"/>
          <w:sz w:val="24"/>
          <w:szCs w:val="24"/>
        </w:rPr>
        <w:t>，垃圾收集点</w:t>
      </w:r>
      <w:r>
        <w:rPr>
          <w:rFonts w:hint="eastAsia" w:ascii="宋体" w:hAnsi="宋体" w:cs="宋体"/>
          <w:color w:val="auto"/>
          <w:sz w:val="24"/>
          <w:szCs w:val="24"/>
          <w:lang w:val="en-US" w:eastAsia="zh-CN"/>
        </w:rPr>
        <w:t xml:space="preserve"> 6 </w:t>
      </w:r>
      <w:r>
        <w:rPr>
          <w:rFonts w:hint="eastAsia" w:ascii="宋体" w:hAnsi="宋体" w:cs="宋体"/>
          <w:color w:val="auto"/>
          <w:sz w:val="24"/>
          <w:szCs w:val="24"/>
        </w:rPr>
        <w:t>处。</w:t>
      </w:r>
    </w:p>
    <w:p>
      <w:pPr>
        <w:jc w:val="center"/>
        <w:rPr>
          <w:rFonts w:hint="eastAsia" w:ascii="宋体" w:hAnsi="宋体" w:cs="宋体"/>
          <w:b/>
          <w:bCs/>
          <w:color w:val="auto"/>
          <w:sz w:val="24"/>
          <w:szCs w:val="24"/>
        </w:rPr>
      </w:pPr>
      <w:r>
        <w:rPr>
          <w:rFonts w:hint="eastAsia" w:ascii="宋体" w:hAnsi="宋体" w:cs="宋体"/>
          <w:b/>
          <w:bCs/>
          <w:color w:val="auto"/>
          <w:sz w:val="24"/>
          <w:szCs w:val="24"/>
        </w:rPr>
        <w:drawing>
          <wp:inline distT="0" distB="0" distL="114300" distR="114300">
            <wp:extent cx="5592445" cy="3482340"/>
            <wp:effectExtent l="0" t="0" r="635" b="7620"/>
            <wp:docPr id="6" name="图片 6" descr="微信图片_2023011019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110194934"/>
                    <pic:cNvPicPr>
                      <a:picLocks noChangeAspect="1"/>
                    </pic:cNvPicPr>
                  </pic:nvPicPr>
                  <pic:blipFill>
                    <a:blip r:embed="rId27"/>
                    <a:stretch>
                      <a:fillRect/>
                    </a:stretch>
                  </pic:blipFill>
                  <pic:spPr>
                    <a:xfrm>
                      <a:off x="0" y="0"/>
                      <a:ext cx="5592445" cy="3482340"/>
                    </a:xfrm>
                    <a:prstGeom prst="rect">
                      <a:avLst/>
                    </a:prstGeom>
                    <a:noFill/>
                    <a:ln>
                      <a:noFill/>
                    </a:ln>
                  </pic:spPr>
                </pic:pic>
              </a:graphicData>
            </a:graphic>
          </wp:inline>
        </w:drawing>
      </w:r>
    </w:p>
    <w:p>
      <w:pPr>
        <w:jc w:val="center"/>
        <w:rPr>
          <w:rFonts w:hint="eastAsia" w:ascii="宋体" w:hAnsi="宋体" w:cs="宋体"/>
          <w:b/>
          <w:bCs/>
          <w:color w:val="auto"/>
          <w:sz w:val="24"/>
          <w:szCs w:val="24"/>
        </w:rPr>
      </w:pPr>
      <w:r>
        <w:rPr>
          <w:rFonts w:hint="eastAsia" w:ascii="宋体" w:hAnsi="宋体" w:cs="宋体"/>
          <w:b/>
          <w:bCs/>
          <w:color w:val="auto"/>
          <w:sz w:val="24"/>
          <w:szCs w:val="24"/>
        </w:rPr>
        <w:t>【城西新城保洁区域卫星平面图】</w:t>
      </w:r>
    </w:p>
    <w:p>
      <w:pPr>
        <w:spacing w:line="360" w:lineRule="auto"/>
        <w:rPr>
          <w:rFonts w:hint="eastAsia" w:ascii="宋体" w:hAnsi="宋体" w:cs="宋体"/>
          <w:color w:val="auto"/>
          <w:sz w:val="24"/>
          <w:szCs w:val="24"/>
        </w:rPr>
      </w:pPr>
      <w:r>
        <w:rPr>
          <w:rFonts w:hint="eastAsia" w:ascii="宋体" w:hAnsi="宋体" w:cs="宋体"/>
          <w:b/>
          <w:bCs/>
          <w:color w:val="auto"/>
          <w:sz w:val="24"/>
          <w:szCs w:val="24"/>
        </w:rPr>
        <w:t>（二）车辆人员配置</w:t>
      </w:r>
    </w:p>
    <w:p>
      <w:pPr>
        <w:spacing w:line="360" w:lineRule="auto"/>
        <w:ind w:left="420" w:leftChars="200"/>
        <w:rPr>
          <w:rFonts w:ascii="宋体" w:hAnsi="宋体" w:cs="宋体"/>
          <w:b/>
          <w:bCs/>
          <w:color w:val="auto"/>
          <w:sz w:val="24"/>
          <w:szCs w:val="24"/>
        </w:rPr>
      </w:pP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南峰葛家村片区及城西新区片区</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配备各型号车辆至少</w:t>
      </w:r>
      <w:r>
        <w:rPr>
          <w:rFonts w:hint="eastAsia" w:ascii="宋体" w:hAnsi="宋体" w:cs="宋体"/>
          <w:color w:val="auto"/>
          <w:sz w:val="24"/>
          <w:szCs w:val="24"/>
          <w:lang w:val="en-US" w:eastAsia="zh-CN"/>
        </w:rPr>
        <w:t>12</w:t>
      </w:r>
      <w:r>
        <w:rPr>
          <w:rFonts w:hint="eastAsia" w:ascii="宋体" w:hAnsi="宋体" w:cs="宋体"/>
          <w:color w:val="auto"/>
          <w:sz w:val="24"/>
          <w:szCs w:val="24"/>
        </w:rPr>
        <w:t>辆，其中包括机扫车</w:t>
      </w:r>
      <w:r>
        <w:rPr>
          <w:rFonts w:hint="eastAsia" w:ascii="宋体" w:hAnsi="宋体" w:cs="宋体"/>
          <w:color w:val="auto"/>
          <w:sz w:val="24"/>
          <w:szCs w:val="24"/>
          <w:lang w:val="en-US" w:eastAsia="zh-CN"/>
        </w:rPr>
        <w:t>2</w:t>
      </w:r>
      <w:r>
        <w:rPr>
          <w:rFonts w:hint="eastAsia" w:ascii="宋体" w:hAnsi="宋体" w:cs="宋体"/>
          <w:color w:val="auto"/>
          <w:sz w:val="24"/>
          <w:szCs w:val="24"/>
        </w:rPr>
        <w:t>辆（总质量18吨及以上）、洒水车</w:t>
      </w:r>
      <w:r>
        <w:rPr>
          <w:rFonts w:hint="eastAsia" w:ascii="宋体" w:hAnsi="宋体" w:cs="宋体"/>
          <w:color w:val="auto"/>
          <w:sz w:val="24"/>
          <w:szCs w:val="24"/>
          <w:lang w:val="en-US" w:eastAsia="zh-CN"/>
        </w:rPr>
        <w:t>1</w:t>
      </w:r>
      <w:r>
        <w:rPr>
          <w:rFonts w:hint="eastAsia" w:ascii="宋体" w:hAnsi="宋体" w:cs="宋体"/>
          <w:color w:val="auto"/>
          <w:sz w:val="24"/>
          <w:szCs w:val="24"/>
        </w:rPr>
        <w:t>辆（总质量18吨及以上）、垃圾压缩转运车</w:t>
      </w:r>
      <w:r>
        <w:rPr>
          <w:rFonts w:hint="eastAsia" w:ascii="宋体" w:hAnsi="宋体" w:cs="宋体"/>
          <w:color w:val="auto"/>
          <w:sz w:val="24"/>
          <w:szCs w:val="24"/>
          <w:lang w:val="en-US" w:eastAsia="zh-CN"/>
        </w:rPr>
        <w:t>2</w:t>
      </w:r>
      <w:r>
        <w:rPr>
          <w:rFonts w:hint="eastAsia" w:ascii="宋体" w:hAnsi="宋体" w:cs="宋体"/>
          <w:color w:val="auto"/>
          <w:sz w:val="24"/>
          <w:szCs w:val="24"/>
        </w:rPr>
        <w:t>辆（总质量7吨及以上）、</w:t>
      </w:r>
      <w:r>
        <w:rPr>
          <w:rFonts w:hint="eastAsia" w:ascii="宋体" w:hAnsi="宋体" w:cs="宋体"/>
          <w:color w:val="auto"/>
          <w:sz w:val="24"/>
          <w:szCs w:val="24"/>
          <w:lang w:val="en-US" w:eastAsia="zh-CN"/>
        </w:rPr>
        <w:t>易腐垃圾车2辆、</w:t>
      </w:r>
      <w:r>
        <w:rPr>
          <w:rFonts w:hint="eastAsia" w:ascii="宋体" w:hAnsi="宋体" w:cs="宋体"/>
          <w:color w:val="auto"/>
          <w:sz w:val="24"/>
          <w:szCs w:val="24"/>
        </w:rPr>
        <w:t>登高车1辆</w:t>
      </w:r>
      <w:r>
        <w:rPr>
          <w:rFonts w:hint="eastAsia" w:ascii="宋体" w:hAnsi="宋体" w:cs="宋体"/>
          <w:color w:val="auto"/>
          <w:sz w:val="24"/>
          <w:szCs w:val="24"/>
          <w:lang w:val="en-US" w:eastAsia="zh-CN"/>
        </w:rPr>
        <w:t>（或登高设备一台）</w:t>
      </w:r>
      <w:r>
        <w:rPr>
          <w:rFonts w:hint="eastAsia" w:ascii="宋体" w:hAnsi="宋体" w:cs="宋体"/>
          <w:color w:val="auto"/>
          <w:sz w:val="24"/>
          <w:szCs w:val="24"/>
        </w:rPr>
        <w:t>、密闭式</w:t>
      </w:r>
      <w:r>
        <w:rPr>
          <w:rFonts w:hint="eastAsia" w:ascii="宋体" w:hAnsi="宋体" w:cs="宋体"/>
          <w:bCs/>
          <w:color w:val="auto"/>
          <w:spacing w:val="-2"/>
          <w:sz w:val="24"/>
          <w:szCs w:val="24"/>
        </w:rPr>
        <w:t>音乐</w:t>
      </w:r>
      <w:r>
        <w:rPr>
          <w:rFonts w:hint="eastAsia" w:ascii="宋体" w:hAnsi="宋体" w:cs="宋体"/>
          <w:bCs/>
          <w:color w:val="auto"/>
          <w:spacing w:val="-2"/>
          <w:sz w:val="24"/>
          <w:szCs w:val="24"/>
          <w:lang w:val="en-US" w:eastAsia="zh-CN"/>
        </w:rPr>
        <w:t>线</w:t>
      </w:r>
      <w:r>
        <w:rPr>
          <w:rFonts w:hint="eastAsia" w:ascii="宋体" w:hAnsi="宋体" w:cs="宋体"/>
          <w:bCs/>
          <w:color w:val="auto"/>
          <w:spacing w:val="-2"/>
          <w:sz w:val="24"/>
          <w:szCs w:val="24"/>
        </w:rPr>
        <w:t>上门收集车2辆、</w:t>
      </w:r>
      <w:r>
        <w:rPr>
          <w:rFonts w:hint="eastAsia" w:ascii="宋体" w:hAnsi="宋体" w:cs="宋体"/>
          <w:bCs/>
          <w:color w:val="auto"/>
          <w:spacing w:val="-2"/>
          <w:sz w:val="24"/>
          <w:szCs w:val="24"/>
          <w:lang w:val="en-US" w:eastAsia="zh-CN"/>
        </w:rPr>
        <w:t>高压清洗车1辆、</w:t>
      </w:r>
      <w:r>
        <w:rPr>
          <w:rFonts w:hint="eastAsia" w:ascii="宋体" w:hAnsi="宋体" w:cs="宋体"/>
          <w:bCs/>
          <w:color w:val="auto"/>
          <w:spacing w:val="-2"/>
          <w:sz w:val="24"/>
          <w:szCs w:val="24"/>
        </w:rPr>
        <w:t>吸污车（带高压疏通冲洗功能）1辆</w:t>
      </w:r>
      <w:r>
        <w:rPr>
          <w:rFonts w:hint="eastAsia" w:ascii="宋体" w:hAnsi="宋体" w:cs="宋体"/>
          <w:bCs/>
          <w:color w:val="auto"/>
          <w:spacing w:val="-2"/>
          <w:sz w:val="24"/>
          <w:szCs w:val="24"/>
          <w:lang w:eastAsia="zh-CN"/>
        </w:rPr>
        <w:t>（</w:t>
      </w:r>
      <w:r>
        <w:rPr>
          <w:rFonts w:hint="eastAsia" w:ascii="宋体" w:hAnsi="宋体" w:cs="宋体"/>
          <w:bCs/>
          <w:color w:val="auto"/>
          <w:spacing w:val="-2"/>
          <w:sz w:val="24"/>
          <w:szCs w:val="24"/>
          <w:lang w:val="en-US" w:eastAsia="zh-CN"/>
        </w:rPr>
        <w:t>或</w:t>
      </w:r>
      <w:r>
        <w:rPr>
          <w:rFonts w:hint="eastAsia" w:ascii="宋体" w:hAnsi="宋体" w:cs="宋体"/>
          <w:bCs/>
          <w:color w:val="auto"/>
          <w:sz w:val="24"/>
          <w:szCs w:val="24"/>
          <w:lang w:val="zh-CN"/>
        </w:rPr>
        <w:t>用于防汛排涝应急抢险的大功率排水泵车辆，总排水量≥2400M3/H的</w:t>
      </w:r>
      <w:r>
        <w:rPr>
          <w:rFonts w:hint="eastAsia" w:ascii="宋体" w:hAnsi="宋体" w:cs="宋体"/>
          <w:bCs/>
          <w:color w:val="auto"/>
          <w:spacing w:val="-2"/>
          <w:sz w:val="24"/>
          <w:szCs w:val="24"/>
          <w:lang w:eastAsia="zh-CN"/>
        </w:rPr>
        <w:t>）。</w:t>
      </w:r>
    </w:p>
    <w:p>
      <w:pPr>
        <w:pStyle w:val="25"/>
        <w:spacing w:line="360" w:lineRule="auto"/>
        <w:ind w:firstLine="482" w:firstLineChars="200"/>
        <w:rPr>
          <w:rFonts w:hint="eastAsia" w:ascii="宋体" w:hAnsi="宋体" w:cs="宋体"/>
          <w:b/>
          <w:color w:val="auto"/>
          <w:sz w:val="24"/>
          <w:szCs w:val="24"/>
        </w:rPr>
      </w:pPr>
      <w:r>
        <w:rPr>
          <w:rFonts w:hint="eastAsia" w:hAnsi="宋体" w:cs="宋体"/>
          <w:b/>
          <w:bCs/>
          <w:color w:val="auto"/>
          <w:sz w:val="24"/>
          <w:szCs w:val="24"/>
          <w:lang w:val="en-US" w:eastAsia="zh-CN"/>
        </w:rPr>
        <w:t>2.</w:t>
      </w:r>
      <w:r>
        <w:rPr>
          <w:rFonts w:hint="eastAsia" w:ascii="宋体" w:hAnsi="宋体" w:cs="宋体"/>
          <w:b/>
          <w:bCs/>
          <w:color w:val="auto"/>
          <w:sz w:val="24"/>
          <w:szCs w:val="24"/>
        </w:rPr>
        <w:t>南峰葛家村片区及城西新区片区配备</w:t>
      </w:r>
      <w:r>
        <w:rPr>
          <w:rFonts w:hint="eastAsia" w:ascii="宋体" w:hAnsi="宋体" w:cs="宋体"/>
          <w:b/>
          <w:bCs/>
          <w:color w:val="auto"/>
          <w:sz w:val="24"/>
          <w:szCs w:val="24"/>
          <w:lang w:val="en-US" w:eastAsia="zh-CN"/>
        </w:rPr>
        <w:t>55</w:t>
      </w:r>
      <w:r>
        <w:rPr>
          <w:rFonts w:hint="eastAsia" w:ascii="宋体" w:hAnsi="宋体" w:cs="宋体"/>
          <w:b/>
          <w:bCs/>
          <w:color w:val="auto"/>
          <w:sz w:val="24"/>
          <w:szCs w:val="24"/>
        </w:rPr>
        <w:t>人，项目经理1人，</w:t>
      </w:r>
      <w:r>
        <w:rPr>
          <w:rFonts w:hint="eastAsia" w:ascii="宋体" w:hAnsi="宋体" w:cs="宋体"/>
          <w:b/>
          <w:bCs/>
          <w:color w:val="auto"/>
          <w:sz w:val="24"/>
          <w:szCs w:val="24"/>
          <w:highlight w:val="none"/>
          <w:lang w:val="en-US" w:eastAsia="zh-CN"/>
        </w:rPr>
        <w:t>专职安全员1人，</w:t>
      </w:r>
      <w:r>
        <w:rPr>
          <w:rFonts w:hint="eastAsia" w:ascii="宋体" w:hAnsi="宋体" w:cs="宋体"/>
          <w:b/>
          <w:bCs/>
          <w:color w:val="auto"/>
          <w:sz w:val="24"/>
          <w:szCs w:val="24"/>
        </w:rPr>
        <w:t>管理员（班组长）2人，驾驶员1</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人，保洁员、机动辅助工、垃圾收集点</w:t>
      </w:r>
      <w:r>
        <w:rPr>
          <w:rFonts w:hint="eastAsia" w:ascii="宋体" w:hAnsi="宋体" w:cs="宋体"/>
          <w:b/>
          <w:bCs/>
          <w:color w:val="auto"/>
          <w:sz w:val="24"/>
          <w:szCs w:val="24"/>
          <w:lang w:val="en-US" w:eastAsia="zh-CN"/>
        </w:rPr>
        <w:t>分类管家</w:t>
      </w:r>
      <w:r>
        <w:rPr>
          <w:rFonts w:hint="eastAsia" w:ascii="宋体" w:hAnsi="宋体" w:cs="宋体"/>
          <w:b/>
          <w:bCs/>
          <w:color w:val="auto"/>
          <w:sz w:val="24"/>
          <w:szCs w:val="24"/>
        </w:rPr>
        <w:t>共</w:t>
      </w:r>
      <w:r>
        <w:rPr>
          <w:rFonts w:hint="eastAsia" w:ascii="宋体" w:hAnsi="宋体" w:cs="宋体"/>
          <w:b/>
          <w:bCs/>
          <w:color w:val="auto"/>
          <w:sz w:val="24"/>
          <w:szCs w:val="24"/>
          <w:lang w:val="en-US" w:eastAsia="zh-CN"/>
        </w:rPr>
        <w:t>39</w:t>
      </w:r>
      <w:r>
        <w:rPr>
          <w:rFonts w:hint="eastAsia" w:ascii="宋体" w:hAnsi="宋体" w:cs="宋体"/>
          <w:b/>
          <w:bCs/>
          <w:color w:val="auto"/>
          <w:sz w:val="24"/>
          <w:szCs w:val="24"/>
        </w:rPr>
        <w:t>人。</w:t>
      </w:r>
      <w:r>
        <w:rPr>
          <w:rFonts w:hint="eastAsia" w:ascii="宋体" w:hAnsi="宋体" w:cs="宋体"/>
          <w:b/>
          <w:bCs/>
          <w:color w:val="auto"/>
          <w:sz w:val="24"/>
          <w:szCs w:val="24"/>
          <w:lang w:val="en-US" w:eastAsia="zh-CN"/>
        </w:rPr>
        <w:t>中标后项目实际实施人员和投标文件中的项目团队人员须一致，采购单位不定期进行抽查。</w:t>
      </w:r>
      <w:r>
        <w:rPr>
          <w:rFonts w:hint="eastAsia" w:ascii="宋体" w:hAnsi="宋体" w:cs="宋体"/>
          <w:color w:val="auto"/>
          <w:sz w:val="24"/>
          <w:szCs w:val="24"/>
        </w:rPr>
        <w:t>环卫保洁服务所需的一切其它设备和工作服等所需物品均由中标供应商自行提供。</w:t>
      </w:r>
    </w:p>
    <w:p>
      <w:pPr>
        <w:pStyle w:val="25"/>
        <w:spacing w:line="360" w:lineRule="auto"/>
        <w:rPr>
          <w:rFonts w:hint="eastAsia" w:ascii="宋体" w:hAnsi="宋体" w:cs="宋体"/>
          <w:b/>
          <w:color w:val="auto"/>
          <w:sz w:val="24"/>
          <w:szCs w:val="24"/>
        </w:rPr>
      </w:pPr>
    </w:p>
    <w:p>
      <w:pPr>
        <w:pStyle w:val="25"/>
        <w:spacing w:line="360" w:lineRule="auto"/>
        <w:rPr>
          <w:rFonts w:hint="eastAsia" w:ascii="宋体" w:hAnsi="宋体" w:cs="宋体"/>
          <w:color w:val="auto"/>
          <w:sz w:val="24"/>
          <w:szCs w:val="24"/>
        </w:rPr>
      </w:pPr>
      <w:r>
        <w:rPr>
          <w:rFonts w:hint="eastAsia" w:ascii="宋体" w:hAnsi="宋体" w:cs="宋体"/>
          <w:b/>
          <w:color w:val="auto"/>
          <w:sz w:val="24"/>
          <w:szCs w:val="24"/>
        </w:rPr>
        <w:t xml:space="preserve">（三）服务内容  </w:t>
      </w:r>
    </w:p>
    <w:p>
      <w:pPr>
        <w:spacing w:line="360" w:lineRule="auto"/>
        <w:rPr>
          <w:rFonts w:hint="eastAsia" w:ascii="宋体" w:hAnsi="宋体" w:cs="宋体"/>
          <w:b/>
          <w:bCs/>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本次保洁一体化服务包含内容为：</w:t>
      </w:r>
    </w:p>
    <w:p>
      <w:pPr>
        <w:pStyle w:val="25"/>
        <w:spacing w:line="360" w:lineRule="auto"/>
        <w:rPr>
          <w:rFonts w:hint="eastAsia" w:ascii="宋体" w:hAnsi="宋体" w:cs="宋体"/>
          <w:color w:val="auto"/>
          <w:sz w:val="24"/>
          <w:szCs w:val="24"/>
        </w:rPr>
      </w:pPr>
      <w:r>
        <w:rPr>
          <w:rFonts w:hint="eastAsia" w:ascii="宋体" w:hAnsi="宋体" w:cs="宋体"/>
          <w:b/>
          <w:color w:val="auto"/>
          <w:sz w:val="24"/>
          <w:szCs w:val="24"/>
        </w:rPr>
        <w:t xml:space="preserve"> </w:t>
      </w:r>
      <w:r>
        <w:rPr>
          <w:rFonts w:hint="eastAsia" w:ascii="宋体" w:hAnsi="宋体" w:cs="宋体"/>
          <w:color w:val="auto"/>
          <w:sz w:val="24"/>
          <w:szCs w:val="24"/>
        </w:rPr>
        <w:t>1.该项目的服务范围内</w:t>
      </w:r>
      <w:r>
        <w:rPr>
          <w:rFonts w:hint="eastAsia" w:ascii="宋体" w:hAnsi="宋体" w:cs="宋体"/>
          <w:bCs/>
          <w:color w:val="auto"/>
          <w:sz w:val="24"/>
          <w:szCs w:val="24"/>
        </w:rPr>
        <w:t>包括区域内的日常洒水，道路冲洗，果壳箱清运及清洗，绿化带保洁、牛皮癣清理、城市家具、标识标牌、路灯杆、果壳箱清洗及整个片区的垃圾桶清洗、雨水篦清理、数管案卷的处理、12345市长公开电话投诉和110联动处理等环卫工作。</w:t>
      </w:r>
    </w:p>
    <w:p>
      <w:pPr>
        <w:pStyle w:val="25"/>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2.垃圾清运及处理：</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1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①</w:t>
      </w:r>
      <w:r>
        <w:rPr>
          <w:rFonts w:hint="eastAsia" w:ascii="宋体" w:hAnsi="宋体" w:cs="宋体"/>
          <w:color w:val="auto"/>
          <w:sz w:val="24"/>
          <w:szCs w:val="24"/>
        </w:rPr>
        <w:fldChar w:fldCharType="end"/>
      </w:r>
      <w:r>
        <w:rPr>
          <w:rFonts w:hint="eastAsia" w:ascii="宋体" w:hAnsi="宋体" w:cs="宋体"/>
          <w:color w:val="auto"/>
          <w:sz w:val="24"/>
          <w:szCs w:val="24"/>
        </w:rPr>
        <w:t>服务范围内的四分类垃圾的收集、转运；</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rPr>
        <w:t>服务范围内果壳箱收集及垃圾桶清洗</w:t>
      </w:r>
      <w:r>
        <w:rPr>
          <w:rFonts w:hint="eastAsia" w:ascii="宋体" w:hAnsi="宋体" w:cs="宋体"/>
          <w:color w:val="auto"/>
          <w:sz w:val="24"/>
          <w:szCs w:val="24"/>
          <w:lang w:eastAsia="zh-CN"/>
        </w:rPr>
        <w:t>；</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3 \* GB3 \* MERGEFORMAT </w:instrText>
      </w:r>
      <w:r>
        <w:rPr>
          <w:rFonts w:hint="eastAsia" w:ascii="宋体" w:hAnsi="宋体" w:cs="宋体"/>
          <w:color w:val="auto"/>
          <w:sz w:val="24"/>
          <w:szCs w:val="24"/>
        </w:rPr>
        <w:fldChar w:fldCharType="separate"/>
      </w:r>
      <w:r>
        <w:rPr>
          <w:color w:val="auto"/>
        </w:rPr>
        <w:t>③</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企事业单位、住宅小区、商铺等区域的垃圾收集、转运，垃圾清运单位名单以建德市梅城镇环境卫生管理所现有的清运单位170家为准。</w:t>
      </w:r>
      <w:r>
        <w:rPr>
          <w:rFonts w:hint="eastAsia" w:ascii="宋体" w:hAnsi="宋体" w:cs="宋体"/>
          <w:bCs/>
          <w:color w:val="auto"/>
          <w:spacing w:val="-2"/>
          <w:sz w:val="24"/>
          <w:szCs w:val="24"/>
          <w:lang w:val="en-US" w:eastAsia="zh-CN"/>
        </w:rPr>
        <w:t>若垃圾清运单位有增加，在5个及以内的由中标供应商自行承担费用。</w:t>
      </w:r>
    </w:p>
    <w:p>
      <w:pPr>
        <w:spacing w:line="360" w:lineRule="auto"/>
        <w:rPr>
          <w:rFonts w:hint="default"/>
          <w:color w:val="auto"/>
          <w:lang w:val="en-US"/>
        </w:rPr>
      </w:pPr>
      <w:r>
        <w:rPr>
          <w:rFonts w:hint="eastAsia" w:ascii="宋体" w:hAnsi="宋体" w:eastAsia="宋体" w:cs="宋体"/>
          <w:color w:val="auto"/>
          <w:sz w:val="24"/>
          <w:szCs w:val="24"/>
          <w:lang w:val="en-US" w:eastAsia="zh-CN"/>
        </w:rPr>
        <w:t>3.采购单位</w:t>
      </w:r>
      <w:r>
        <w:rPr>
          <w:rFonts w:hint="eastAsia" w:ascii="宋体" w:hAnsi="宋体" w:eastAsia="宋体" w:cs="宋体"/>
          <w:color w:val="auto"/>
          <w:sz w:val="24"/>
          <w:szCs w:val="24"/>
        </w:rPr>
        <w:t>分配的</w:t>
      </w:r>
      <w:r>
        <w:rPr>
          <w:rFonts w:hint="eastAsia" w:ascii="宋体" w:hAnsi="宋体" w:eastAsia="宋体" w:cs="宋体"/>
          <w:color w:val="auto"/>
          <w:sz w:val="24"/>
          <w:szCs w:val="24"/>
          <w:lang w:val="en-US" w:eastAsia="zh-CN"/>
        </w:rPr>
        <w:t>与保洁相关的</w:t>
      </w:r>
      <w:r>
        <w:rPr>
          <w:rFonts w:hint="eastAsia" w:ascii="宋体" w:hAnsi="宋体" w:eastAsia="宋体" w:cs="宋体"/>
          <w:color w:val="auto"/>
          <w:sz w:val="24"/>
          <w:szCs w:val="24"/>
        </w:rPr>
        <w:t>其他</w:t>
      </w:r>
      <w:r>
        <w:rPr>
          <w:rFonts w:hint="eastAsia" w:ascii="宋体" w:hAnsi="宋体" w:cs="宋体"/>
          <w:bCs/>
          <w:color w:val="auto"/>
          <w:sz w:val="24"/>
          <w:szCs w:val="24"/>
        </w:rPr>
        <w:t>环卫工作</w:t>
      </w:r>
      <w:r>
        <w:rPr>
          <w:rFonts w:hint="eastAsia" w:ascii="宋体" w:hAnsi="宋体" w:eastAsia="宋体" w:cs="宋体"/>
          <w:color w:val="auto"/>
          <w:sz w:val="24"/>
          <w:szCs w:val="24"/>
        </w:rPr>
        <w:t>。</w:t>
      </w:r>
    </w:p>
    <w:p>
      <w:pPr>
        <w:pStyle w:val="5"/>
        <w:spacing w:line="360" w:lineRule="auto"/>
        <w:ind w:left="0" w:leftChars="0" w:firstLine="0" w:firstLineChars="0"/>
        <w:rPr>
          <w:rFonts w:hint="eastAsia" w:ascii="宋体" w:hAnsi="宋体" w:cs="宋体"/>
          <w:b/>
          <w:bCs/>
          <w:color w:val="auto"/>
          <w:sz w:val="24"/>
          <w:szCs w:val="24"/>
          <w:highlight w:val="yellow"/>
          <w:lang w:val="en-US" w:eastAsia="zh-CN"/>
        </w:rPr>
      </w:pPr>
      <w:r>
        <w:rPr>
          <w:rFonts w:hint="eastAsia" w:ascii="宋体" w:hAnsi="宋体" w:cs="宋体"/>
          <w:bCs/>
          <w:color w:val="auto"/>
          <w:sz w:val="24"/>
          <w:szCs w:val="24"/>
          <w:lang w:val="en-US" w:eastAsia="zh-CN"/>
        </w:rPr>
        <w:t>4</w:t>
      </w:r>
      <w:r>
        <w:rPr>
          <w:rFonts w:hint="eastAsia" w:ascii="宋体" w:hAnsi="宋体" w:cs="宋体"/>
          <w:bCs/>
          <w:color w:val="auto"/>
          <w:sz w:val="24"/>
          <w:szCs w:val="24"/>
        </w:rPr>
        <w:t>.</w:t>
      </w:r>
      <w:r>
        <w:rPr>
          <w:rFonts w:hint="eastAsia" w:ascii="宋体" w:hAnsi="宋体" w:eastAsia="宋体" w:cs="宋体"/>
          <w:b w:val="0"/>
          <w:bCs/>
          <w:color w:val="auto"/>
          <w:sz w:val="24"/>
          <w:highlight w:val="none"/>
        </w:rPr>
        <w:t>服务期共计两年。本项目合同采取一年一签方式，服务时间自合同签订之日起计算，如一年服务期满，</w:t>
      </w:r>
      <w:r>
        <w:rPr>
          <w:rFonts w:hint="eastAsia" w:ascii="宋体" w:hAnsi="宋体" w:eastAsia="宋体" w:cs="宋体"/>
          <w:b w:val="0"/>
          <w:bCs/>
          <w:color w:val="auto"/>
          <w:sz w:val="24"/>
          <w:highlight w:val="none"/>
          <w:lang w:val="en-US" w:eastAsia="zh-CN"/>
        </w:rPr>
        <w:t>若中标供应商月平均考核分</w:t>
      </w:r>
      <w:r>
        <w:rPr>
          <w:rFonts w:hint="eastAsia" w:ascii="宋体" w:hAnsi="宋体" w:eastAsia="宋体" w:cs="宋体"/>
          <w:b w:val="0"/>
          <w:bCs/>
          <w:color w:val="auto"/>
          <w:sz w:val="24"/>
          <w:highlight w:val="none"/>
        </w:rPr>
        <w:t>达到</w:t>
      </w:r>
      <w:r>
        <w:rPr>
          <w:rFonts w:hint="eastAsia" w:ascii="宋体" w:hAnsi="宋体" w:cs="宋体"/>
          <w:b w:val="0"/>
          <w:bCs/>
          <w:color w:val="auto"/>
          <w:sz w:val="24"/>
          <w:highlight w:val="none"/>
          <w:lang w:val="en-US" w:eastAsia="zh-CN"/>
        </w:rPr>
        <w:t>85</w:t>
      </w:r>
      <w:r>
        <w:rPr>
          <w:rFonts w:hint="eastAsia" w:ascii="宋体" w:hAnsi="宋体" w:eastAsia="宋体" w:cs="宋体"/>
          <w:b w:val="0"/>
          <w:bCs/>
          <w:color w:val="auto"/>
          <w:sz w:val="24"/>
          <w:highlight w:val="none"/>
        </w:rPr>
        <w:t>分及以上</w:t>
      </w:r>
      <w:r>
        <w:rPr>
          <w:rFonts w:hint="eastAsia" w:ascii="宋体" w:hAnsi="宋体" w:eastAsia="宋体" w:cs="宋体"/>
          <w:b w:val="0"/>
          <w:bCs/>
          <w:color w:val="auto"/>
          <w:sz w:val="24"/>
          <w:highlight w:val="none"/>
          <w:lang w:val="en-US" w:eastAsia="zh-CN"/>
        </w:rPr>
        <w:t>且梅城镇在建德市环境卫生（垃圾分类）年度考核前六名</w:t>
      </w:r>
      <w:r>
        <w:rPr>
          <w:rFonts w:hint="eastAsia" w:ascii="宋体" w:hAnsi="宋体" w:eastAsia="宋体" w:cs="宋体"/>
          <w:b w:val="0"/>
          <w:bCs/>
          <w:color w:val="auto"/>
          <w:sz w:val="24"/>
          <w:highlight w:val="none"/>
        </w:rPr>
        <w:t>，根据本次中标价格可以续签一年。</w:t>
      </w:r>
    </w:p>
    <w:p>
      <w:pPr>
        <w:spacing w:line="400" w:lineRule="exact"/>
        <w:rPr>
          <w:rFonts w:hint="eastAsia" w:ascii="宋体" w:hAnsi="宋体" w:cs="宋体"/>
          <w:b/>
          <w:bCs/>
          <w:color w:val="auto"/>
          <w:spacing w:val="-2"/>
          <w:sz w:val="24"/>
          <w:szCs w:val="24"/>
        </w:rPr>
      </w:pPr>
      <w:r>
        <w:rPr>
          <w:rFonts w:hint="eastAsia" w:ascii="宋体" w:hAnsi="宋体" w:cs="宋体"/>
          <w:b/>
          <w:bCs/>
          <w:color w:val="auto"/>
          <w:spacing w:val="-2"/>
          <w:sz w:val="24"/>
          <w:szCs w:val="24"/>
        </w:rPr>
        <w:t>（四）管理要求</w:t>
      </w:r>
    </w:p>
    <w:p>
      <w:pPr>
        <w:spacing w:line="400" w:lineRule="exact"/>
        <w:rPr>
          <w:rFonts w:hint="eastAsia" w:ascii="宋体" w:hAnsi="宋体" w:cs="宋体"/>
          <w:b/>
          <w:bCs/>
          <w:color w:val="auto"/>
          <w:spacing w:val="-2"/>
          <w:sz w:val="24"/>
          <w:szCs w:val="24"/>
        </w:rPr>
      </w:pPr>
      <w:r>
        <w:rPr>
          <w:rFonts w:hint="eastAsia" w:ascii="宋体" w:hAnsi="宋体" w:cs="宋体"/>
          <w:b/>
          <w:bCs/>
          <w:color w:val="auto"/>
          <w:spacing w:val="-2"/>
          <w:sz w:val="24"/>
          <w:szCs w:val="24"/>
        </w:rPr>
        <w:t xml:space="preserve">   1.保洁及洒水要求</w:t>
      </w:r>
    </w:p>
    <w:p>
      <w:pPr>
        <w:spacing w:line="360" w:lineRule="auto"/>
        <w:rPr>
          <w:rFonts w:hint="eastAsia" w:ascii="宋体" w:hAnsi="宋体" w:cs="宋体"/>
          <w:bCs/>
          <w:color w:val="auto"/>
          <w:spacing w:val="-2"/>
          <w:sz w:val="24"/>
          <w:szCs w:val="24"/>
        </w:rPr>
      </w:pPr>
      <w:r>
        <w:rPr>
          <w:rFonts w:hint="eastAsia" w:ascii="宋体" w:hAnsi="宋体" w:cs="宋体"/>
          <w:bCs/>
          <w:color w:val="auto"/>
          <w:spacing w:val="-2"/>
          <w:sz w:val="24"/>
          <w:szCs w:val="24"/>
        </w:rPr>
        <w:t>（1）</w:t>
      </w:r>
      <w:r>
        <w:rPr>
          <w:rFonts w:hint="eastAsia" w:ascii="宋体" w:hAnsi="宋体" w:cs="宋体"/>
          <w:bCs/>
          <w:color w:val="auto"/>
          <w:spacing w:val="-2"/>
          <w:sz w:val="24"/>
          <w:szCs w:val="24"/>
          <w:lang w:val="en-US" w:eastAsia="zh-CN"/>
        </w:rPr>
        <w:t>道路保洁</w:t>
      </w:r>
      <w:r>
        <w:rPr>
          <w:rFonts w:hint="eastAsia" w:ascii="宋体" w:hAnsi="宋体" w:cs="宋体"/>
          <w:bCs/>
          <w:color w:val="auto"/>
          <w:spacing w:val="-2"/>
          <w:sz w:val="24"/>
          <w:szCs w:val="24"/>
        </w:rPr>
        <w:t>确保每天</w:t>
      </w:r>
      <w:r>
        <w:rPr>
          <w:rFonts w:hint="eastAsia" w:ascii="宋体" w:hAnsi="宋体" w:eastAsia="宋体" w:cs="宋体"/>
          <w:color w:val="auto"/>
          <w:sz w:val="24"/>
          <w:szCs w:val="24"/>
          <w:lang w:val="en-US" w:eastAsia="zh-CN"/>
        </w:rPr>
        <w:t>12小</w:t>
      </w:r>
      <w:r>
        <w:rPr>
          <w:rFonts w:hint="eastAsia" w:ascii="宋体" w:hAnsi="宋体" w:cs="宋体"/>
          <w:bCs/>
          <w:color w:val="auto"/>
          <w:spacing w:val="-2"/>
          <w:sz w:val="24"/>
          <w:szCs w:val="24"/>
        </w:rPr>
        <w:t>时保洁，每天要求两次普扫，其他时间循环作业。道路保洁实行一级道路的保洁标准，即1000平方米内，果皮≤4处，烟蒂≤4个，纸屑、塑膜≤4处，其它≤6处；人行道、车行道、广场、停车场等公共场所，污水和污渍1000平方米内控制≤1.5平方米；垃圾站、房、桶、箱维护更换及时，保持（整洁）无破损，外体干净完好率≥95%。道路两侧、树穴、花坛内应无杂草、无有色垃圾，有色垃圾滞留路面时间不得超过20分钟。</w:t>
      </w:r>
    </w:p>
    <w:p>
      <w:pPr>
        <w:spacing w:line="360" w:lineRule="auto"/>
        <w:rPr>
          <w:rFonts w:hint="default" w:ascii="宋体" w:hAnsi="宋体" w:eastAsia="宋体" w:cs="宋体"/>
          <w:bCs/>
          <w:color w:val="auto"/>
          <w:spacing w:val="-2"/>
          <w:sz w:val="24"/>
          <w:szCs w:val="24"/>
          <w:lang w:val="en-US" w:eastAsia="zh-CN"/>
        </w:rPr>
      </w:pPr>
      <w:r>
        <w:rPr>
          <w:rFonts w:hint="eastAsia" w:ascii="宋体" w:hAnsi="宋体" w:cs="宋体"/>
          <w:bCs/>
          <w:color w:val="auto"/>
          <w:spacing w:val="-2"/>
          <w:sz w:val="24"/>
          <w:szCs w:val="24"/>
        </w:rPr>
        <w:t>（2）道路旁绿化、人行道、树穴应无各类垃圾和人畜粪便。将所清扫的垃圾及沙尘（包括石块、砖、碎石）等废弃物及时倒至垃圾箱内，不得堆放在街道上，不能倒入绿化带或扫入窨井内（垃圾、沙尘应扫到窨井1米前扫拢、收集）。侧石、下水口尖清洁，路面见本色，路面沙尘每平方米控制在15克以下。内无污水、积水、蛆虫，在视野范围内苍蝇不得超过3只，无异味，无焚烧垃圾。</w:t>
      </w:r>
      <w:r>
        <w:rPr>
          <w:rFonts w:hint="eastAsia" w:ascii="宋体" w:hAnsi="宋体" w:cs="宋体"/>
          <w:bCs/>
          <w:color w:val="auto"/>
          <w:spacing w:val="-2"/>
          <w:sz w:val="24"/>
          <w:szCs w:val="24"/>
          <w:lang w:val="en-US" w:eastAsia="zh-CN"/>
        </w:rPr>
        <w:t xml:space="preserve">  </w:t>
      </w:r>
    </w:p>
    <w:p>
      <w:pPr>
        <w:spacing w:line="360" w:lineRule="auto"/>
        <w:rPr>
          <w:rFonts w:hint="eastAsia" w:ascii="宋体" w:hAnsi="宋体" w:cs="宋体"/>
          <w:bCs/>
          <w:color w:val="auto"/>
          <w:spacing w:val="-2"/>
          <w:sz w:val="24"/>
          <w:szCs w:val="24"/>
        </w:rPr>
      </w:pPr>
      <w:r>
        <w:rPr>
          <w:rFonts w:hint="eastAsia" w:ascii="宋体" w:hAnsi="宋体" w:cs="宋体"/>
          <w:bCs/>
          <w:color w:val="auto"/>
          <w:spacing w:val="-2"/>
          <w:sz w:val="24"/>
          <w:szCs w:val="24"/>
        </w:rPr>
        <w:t>（3）大的分类垃圾桶按照点位设置摆放有序，保持整洁、无破损，不满溢，易腐垃圾未分到位的需要垃圾专管员二次分拣。果壳箱垃圾桶保持整洁、无破损和不满溢。</w:t>
      </w:r>
    </w:p>
    <w:p>
      <w:pPr>
        <w:pStyle w:val="2"/>
        <w:ind w:left="0" w:leftChars="0" w:firstLine="0" w:firstLineChars="0"/>
        <w:rPr>
          <w:rFonts w:hint="default" w:ascii="宋体" w:hAnsi="宋体" w:eastAsia="宋体" w:cs="宋体"/>
          <w:bCs/>
          <w:color w:val="auto"/>
          <w:spacing w:val="-2"/>
          <w:kern w:val="2"/>
          <w:sz w:val="24"/>
          <w:szCs w:val="24"/>
          <w:lang w:val="en-US" w:eastAsia="zh-CN" w:bidi="ar-SA"/>
        </w:rPr>
      </w:pPr>
      <w:r>
        <w:rPr>
          <w:rFonts w:hint="eastAsia" w:ascii="宋体" w:hAnsi="宋体" w:eastAsia="宋体" w:cs="宋体"/>
          <w:bCs/>
          <w:color w:val="auto"/>
          <w:spacing w:val="-2"/>
          <w:kern w:val="2"/>
          <w:sz w:val="24"/>
          <w:szCs w:val="24"/>
          <w:lang w:val="en-US" w:eastAsia="zh-CN" w:bidi="ar-SA"/>
        </w:rPr>
        <w:t>（4）道路保洁的范围从道路中间延伸至道路两旁的建筑物墙体、山坡的山体为边界线。</w:t>
      </w:r>
    </w:p>
    <w:p>
      <w:pPr>
        <w:spacing w:line="400" w:lineRule="exact"/>
        <w:rPr>
          <w:rFonts w:hint="eastAsia" w:ascii="宋体" w:hAnsi="宋体" w:cs="宋体"/>
          <w:b/>
          <w:bCs/>
          <w:color w:val="auto"/>
          <w:spacing w:val="-2"/>
          <w:sz w:val="24"/>
          <w:szCs w:val="24"/>
        </w:rPr>
      </w:pPr>
      <w:r>
        <w:rPr>
          <w:rFonts w:hint="eastAsia" w:ascii="宋体" w:hAnsi="宋体" w:cs="宋体"/>
          <w:b/>
          <w:bCs/>
          <w:color w:val="auto"/>
          <w:spacing w:val="-2"/>
          <w:sz w:val="24"/>
          <w:szCs w:val="24"/>
        </w:rPr>
        <w:t>2.公厕保洁要求</w:t>
      </w:r>
    </w:p>
    <w:p>
      <w:pPr>
        <w:spacing w:line="360" w:lineRule="auto"/>
        <w:ind w:firstLine="236" w:firstLineChars="100"/>
        <w:rPr>
          <w:rFonts w:hint="eastAsia" w:ascii="宋体" w:hAnsi="宋体" w:cs="宋体"/>
          <w:bCs/>
          <w:color w:val="auto"/>
          <w:spacing w:val="-2"/>
          <w:sz w:val="24"/>
          <w:szCs w:val="24"/>
        </w:rPr>
      </w:pPr>
      <w:r>
        <w:rPr>
          <w:rFonts w:hint="eastAsia" w:ascii="宋体" w:hAnsi="宋体" w:cs="宋体"/>
          <w:bCs/>
          <w:color w:val="auto"/>
          <w:spacing w:val="-2"/>
          <w:sz w:val="24"/>
          <w:szCs w:val="24"/>
          <w:lang w:val="en-US" w:eastAsia="zh-CN"/>
        </w:rPr>
        <w:t>公厕两个区域总共6个，安排专人保洁，服务区域内所有公厕必须一个公厕派驻1名保洁员，专人专岗。</w:t>
      </w:r>
      <w:r>
        <w:rPr>
          <w:rFonts w:hint="eastAsia" w:ascii="宋体" w:hAnsi="宋体" w:cs="宋体"/>
          <w:bCs/>
          <w:color w:val="auto"/>
          <w:spacing w:val="-2"/>
          <w:sz w:val="24"/>
          <w:szCs w:val="24"/>
        </w:rPr>
        <w:t>公厕每天第一遍大清扫必须在早上8点前完成，全天候保持内外环境整洁，公厕管理应达到“七无六净”：无痰涕纸屑烟头、无粪便堵塞及积粪尿垢、无积尘蛛网、无污物积水、无蛆蝇、无外溢恶臭、周围5米内无垃圾杂物；墙壁净、门窗净、门板净、蹲位净、地面净、取粪口净。</w:t>
      </w:r>
    </w:p>
    <w:p>
      <w:pPr>
        <w:spacing w:line="400" w:lineRule="exact"/>
        <w:rPr>
          <w:rFonts w:hint="eastAsia" w:ascii="宋体" w:hAnsi="宋体" w:cs="宋体"/>
          <w:b/>
          <w:bCs/>
          <w:color w:val="auto"/>
          <w:spacing w:val="-2"/>
          <w:sz w:val="24"/>
          <w:szCs w:val="24"/>
        </w:rPr>
      </w:pPr>
      <w:r>
        <w:rPr>
          <w:rFonts w:hint="eastAsia" w:ascii="宋体" w:hAnsi="宋体" w:cs="宋体"/>
          <w:b/>
          <w:bCs/>
          <w:color w:val="auto"/>
          <w:spacing w:val="-2"/>
          <w:sz w:val="24"/>
          <w:szCs w:val="24"/>
        </w:rPr>
        <w:t>3.垃圾清运及处理要求</w:t>
      </w:r>
    </w:p>
    <w:p>
      <w:pPr>
        <w:spacing w:line="360" w:lineRule="auto"/>
        <w:rPr>
          <w:rFonts w:hint="eastAsia" w:ascii="宋体" w:hAnsi="宋体" w:cs="宋体"/>
          <w:bCs/>
          <w:color w:val="auto"/>
          <w:spacing w:val="-2"/>
          <w:sz w:val="24"/>
          <w:szCs w:val="24"/>
        </w:rPr>
      </w:pPr>
      <w:r>
        <w:rPr>
          <w:rFonts w:hint="eastAsia" w:ascii="宋体" w:hAnsi="宋体" w:cs="宋体"/>
          <w:bCs/>
          <w:color w:val="auto"/>
          <w:spacing w:val="-2"/>
          <w:sz w:val="24"/>
          <w:szCs w:val="24"/>
        </w:rPr>
        <w:t xml:space="preserve"> 垃圾桶生活垃圾，区别易腐垃圾和其他垃圾每日必须分类及时清运，对清运完毕后的垃圾桶进行巡回保洁，做到即产即清，垃圾箱外散落垃圾滞留时间不得超过30分钟，确保垃圾桶不满溢、不超标，周围2米范围内干净整洁无垃圾堆积。</w:t>
      </w:r>
    </w:p>
    <w:p>
      <w:pPr>
        <w:pStyle w:val="25"/>
        <w:spacing w:line="360" w:lineRule="auto"/>
        <w:rPr>
          <w:rFonts w:hint="default" w:ascii="宋体" w:hAnsi="宋体" w:eastAsia="宋体" w:cs="宋体"/>
          <w:color w:val="auto"/>
          <w:sz w:val="24"/>
          <w:szCs w:val="24"/>
          <w:lang w:val="en-US" w:eastAsia="zh-CN"/>
        </w:rPr>
      </w:pPr>
      <w:r>
        <w:rPr>
          <w:rFonts w:hint="eastAsia" w:ascii="宋体" w:hAnsi="宋体" w:cs="宋体"/>
          <w:b/>
          <w:bCs/>
          <w:color w:val="auto"/>
          <w:spacing w:val="-2"/>
          <w:sz w:val="24"/>
          <w:szCs w:val="24"/>
        </w:rPr>
        <w:t>4.垃圾分类要求：</w:t>
      </w:r>
      <w:r>
        <w:rPr>
          <w:rFonts w:hint="eastAsia" w:ascii="宋体" w:hAnsi="宋体" w:cs="宋体"/>
          <w:bCs/>
          <w:color w:val="auto"/>
          <w:spacing w:val="-2"/>
          <w:sz w:val="24"/>
          <w:szCs w:val="24"/>
          <w:lang w:val="en-US" w:eastAsia="zh-CN"/>
        </w:rPr>
        <w:t>16个垃圾分类点，</w:t>
      </w:r>
      <w:r>
        <w:rPr>
          <w:rFonts w:hint="eastAsia" w:ascii="宋体" w:hAnsi="宋体" w:cs="宋体"/>
          <w:bCs/>
          <w:color w:val="auto"/>
          <w:spacing w:val="-2"/>
          <w:sz w:val="24"/>
          <w:szCs w:val="24"/>
        </w:rPr>
        <w:t>每个点</w:t>
      </w:r>
      <w:r>
        <w:rPr>
          <w:rFonts w:hint="eastAsia" w:ascii="宋体" w:hAnsi="宋体" w:cs="宋体"/>
          <w:bCs/>
          <w:color w:val="auto"/>
          <w:spacing w:val="-2"/>
          <w:sz w:val="24"/>
          <w:szCs w:val="24"/>
          <w:lang w:val="en-US" w:eastAsia="zh-CN"/>
        </w:rPr>
        <w:t>位</w:t>
      </w:r>
      <w:r>
        <w:rPr>
          <w:rFonts w:hint="eastAsia" w:ascii="宋体" w:hAnsi="宋体" w:cs="宋体"/>
          <w:bCs/>
          <w:color w:val="auto"/>
          <w:spacing w:val="-2"/>
          <w:sz w:val="24"/>
          <w:szCs w:val="24"/>
        </w:rPr>
        <w:t>设立</w:t>
      </w:r>
      <w:r>
        <w:rPr>
          <w:rFonts w:hint="eastAsia" w:ascii="宋体" w:hAnsi="宋体" w:cs="宋体"/>
          <w:bCs/>
          <w:color w:val="auto"/>
          <w:spacing w:val="-2"/>
          <w:sz w:val="24"/>
          <w:szCs w:val="24"/>
          <w:lang w:val="en-US" w:eastAsia="zh-CN"/>
        </w:rPr>
        <w:t>专职的</w:t>
      </w:r>
      <w:r>
        <w:rPr>
          <w:rFonts w:hint="eastAsia" w:ascii="宋体" w:hAnsi="宋体" w:cs="宋体"/>
          <w:bCs/>
          <w:color w:val="auto"/>
          <w:spacing w:val="-2"/>
          <w:sz w:val="24"/>
          <w:szCs w:val="24"/>
          <w:lang w:eastAsia="zh-CN"/>
        </w:rPr>
        <w:t>垃圾收集点分类管家</w:t>
      </w:r>
      <w:r>
        <w:rPr>
          <w:rFonts w:hint="eastAsia" w:ascii="宋体" w:hAnsi="宋体" w:cs="宋体"/>
          <w:bCs/>
          <w:color w:val="auto"/>
          <w:spacing w:val="-2"/>
          <w:sz w:val="24"/>
          <w:szCs w:val="24"/>
        </w:rPr>
        <w:t>，每日</w:t>
      </w:r>
      <w:r>
        <w:rPr>
          <w:rFonts w:hint="eastAsia" w:ascii="宋体" w:hAnsi="宋体" w:cs="宋体"/>
          <w:bCs/>
          <w:color w:val="auto"/>
          <w:spacing w:val="-2"/>
          <w:sz w:val="24"/>
          <w:szCs w:val="24"/>
          <w:highlight w:val="none"/>
        </w:rPr>
        <w:t>守桶</w:t>
      </w:r>
      <w:r>
        <w:rPr>
          <w:rFonts w:hint="eastAsia" w:ascii="宋体" w:hAnsi="宋体" w:cs="宋体"/>
          <w:bCs/>
          <w:color w:val="auto"/>
          <w:spacing w:val="-2"/>
          <w:sz w:val="24"/>
          <w:szCs w:val="24"/>
          <w:highlight w:val="none"/>
          <w:lang w:val="en-US" w:eastAsia="zh-CN"/>
        </w:rPr>
        <w:t>时间原则上为早晚2小时（上午6:30-8:30；下午17:30-19:30），以及个别点位中午1-2小时的误时投放，具体时间按照居民投放的实际情况由采购单位通知为准。</w:t>
      </w:r>
      <w:r>
        <w:rPr>
          <w:rFonts w:hint="eastAsia" w:ascii="宋体" w:hAnsi="宋体" w:cs="宋体"/>
          <w:bCs/>
          <w:color w:val="auto"/>
          <w:spacing w:val="-2"/>
          <w:sz w:val="24"/>
          <w:szCs w:val="24"/>
        </w:rPr>
        <w:t>按时上岗，负责进行开袋检查、文明劝导、做好相关工作记录。做好垃圾桶周围卫生保洁工作，保持桶身洁净、维护分类设施，外包区域内配备音乐收集车全天候循环上门收集</w:t>
      </w:r>
      <w:r>
        <w:rPr>
          <w:rFonts w:hint="eastAsia" w:ascii="宋体" w:hAnsi="宋体" w:cs="宋体"/>
          <w:bCs/>
          <w:color w:val="auto"/>
          <w:spacing w:val="-2"/>
          <w:sz w:val="24"/>
          <w:szCs w:val="24"/>
          <w:lang w:eastAsia="zh-CN"/>
        </w:rPr>
        <w:t>。</w:t>
      </w:r>
      <w:r>
        <w:rPr>
          <w:rFonts w:hint="eastAsia" w:ascii="宋体" w:hAnsi="宋体" w:cs="宋体"/>
          <w:color w:val="auto"/>
          <w:sz w:val="24"/>
          <w:szCs w:val="24"/>
          <w:highlight w:val="none"/>
        </w:rPr>
        <w:t>音乐收集车上</w:t>
      </w:r>
      <w:r>
        <w:rPr>
          <w:rFonts w:hint="eastAsia" w:ascii="宋体" w:hAnsi="宋体" w:cs="宋体"/>
          <w:color w:val="auto"/>
          <w:sz w:val="24"/>
          <w:szCs w:val="24"/>
          <w:highlight w:val="none"/>
          <w:lang w:val="en-US" w:eastAsia="zh-CN"/>
        </w:rPr>
        <w:t>门</w:t>
      </w:r>
      <w:r>
        <w:rPr>
          <w:rFonts w:hint="eastAsia" w:ascii="宋体" w:hAnsi="宋体" w:cs="宋体"/>
          <w:color w:val="auto"/>
          <w:sz w:val="24"/>
          <w:szCs w:val="24"/>
          <w:highlight w:val="none"/>
        </w:rPr>
        <w:t>收集垃圾时间上午6：30—11：00、下午14：00—</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：00。</w:t>
      </w:r>
      <w:r>
        <w:rPr>
          <w:rFonts w:hint="eastAsia" w:ascii="宋体" w:hAnsi="宋体" w:cs="宋体"/>
          <w:bCs/>
          <w:color w:val="auto"/>
          <w:spacing w:val="-2"/>
          <w:sz w:val="24"/>
          <w:szCs w:val="24"/>
          <w:lang w:val="en-US" w:eastAsia="zh-CN"/>
        </w:rPr>
        <w:t>若垃圾分类点位有增加，在3个点位及以内的由中标供应商自行承担费用。</w:t>
      </w:r>
    </w:p>
    <w:p>
      <w:pPr>
        <w:spacing w:line="480" w:lineRule="exact"/>
        <w:rPr>
          <w:rFonts w:hint="eastAsia" w:ascii="宋体" w:hAnsi="宋体" w:cs="宋体"/>
          <w:color w:val="auto"/>
          <w:sz w:val="24"/>
          <w:szCs w:val="24"/>
        </w:rPr>
      </w:pPr>
      <w:r>
        <w:rPr>
          <w:rFonts w:hint="eastAsia" w:ascii="宋体" w:hAnsi="宋体" w:cs="宋体"/>
          <w:b/>
          <w:color w:val="auto"/>
          <w:sz w:val="24"/>
          <w:szCs w:val="24"/>
        </w:rPr>
        <w:t>（五）其他要求</w:t>
      </w:r>
    </w:p>
    <w:p>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1、清扫保洁要求</w:t>
      </w:r>
    </w:p>
    <w:p>
      <w:pPr>
        <w:spacing w:line="360" w:lineRule="auto"/>
        <w:rPr>
          <w:rFonts w:hint="eastAsia" w:ascii="宋体" w:hAnsi="宋体" w:cs="宋体"/>
          <w:color w:val="auto"/>
          <w:sz w:val="24"/>
          <w:szCs w:val="24"/>
        </w:rPr>
      </w:pPr>
      <w:r>
        <w:rPr>
          <w:rFonts w:hint="eastAsia" w:ascii="宋体" w:hAnsi="宋体" w:cs="宋体"/>
          <w:color w:val="auto"/>
          <w:sz w:val="24"/>
          <w:szCs w:val="24"/>
        </w:rPr>
        <w:t>（1）道路清扫保洁要严格按照杭州市道路保洁分类管理要求组织作业。各类道路的保洁时间、洒水、清洗频次及相关要求按《杭州市</w:t>
      </w:r>
      <w:r>
        <w:rPr>
          <w:rFonts w:hint="eastAsia" w:ascii="宋体" w:hAnsi="宋体" w:cs="宋体"/>
          <w:color w:val="auto"/>
          <w:sz w:val="24"/>
          <w:szCs w:val="24"/>
          <w:lang w:val="en-US" w:eastAsia="zh-CN"/>
        </w:rPr>
        <w:t>环境卫生考核办法</w:t>
      </w:r>
      <w:r>
        <w:rPr>
          <w:rFonts w:hint="eastAsia" w:ascii="宋体" w:hAnsi="宋体" w:cs="宋体"/>
          <w:color w:val="auto"/>
          <w:sz w:val="24"/>
          <w:szCs w:val="24"/>
        </w:rPr>
        <w:t xml:space="preserve">》执行。   </w:t>
      </w:r>
    </w:p>
    <w:p>
      <w:pPr>
        <w:spacing w:line="360" w:lineRule="auto"/>
        <w:rPr>
          <w:rFonts w:hint="eastAsia" w:ascii="宋体" w:hAnsi="宋体" w:cs="宋体"/>
          <w:color w:val="auto"/>
          <w:sz w:val="24"/>
          <w:szCs w:val="24"/>
        </w:rPr>
      </w:pPr>
      <w:r>
        <w:rPr>
          <w:rFonts w:hint="eastAsia" w:ascii="宋体" w:hAnsi="宋体" w:cs="宋体"/>
          <w:color w:val="auto"/>
          <w:sz w:val="24"/>
          <w:szCs w:val="24"/>
        </w:rPr>
        <w:t>（2）路面、侧石保洁及里巷、空地做到“五无”、“五净”。即“五无”：道路无垃圾、无杂物杂草、无积泥、无积水、无污迹；“五净”：路面干净、绿地和树圈干净，边角侧石干净，雨水井沟眼畅通干净、果壳箱等环卫设施及城市家具干净。遇到喇叭口扫过头5米，不得将垃圾扫入窨井和花坛，垃圾应倾倒指定地点，负责保洁范围内垃圾桶加盖的工作，不得焚烧垃圾、树枝落叶。</w:t>
      </w:r>
    </w:p>
    <w:p>
      <w:pPr>
        <w:spacing w:line="360" w:lineRule="auto"/>
        <w:rPr>
          <w:rFonts w:hint="eastAsia" w:ascii="宋体" w:hAnsi="宋体" w:cs="宋体"/>
          <w:color w:val="auto"/>
          <w:sz w:val="24"/>
          <w:szCs w:val="24"/>
        </w:rPr>
      </w:pPr>
      <w:r>
        <w:rPr>
          <w:rFonts w:hint="eastAsia" w:ascii="宋体" w:hAnsi="宋体" w:cs="宋体"/>
          <w:color w:val="auto"/>
          <w:sz w:val="24"/>
          <w:szCs w:val="24"/>
        </w:rPr>
        <w:t>（3）人行道保洁：做到人行道及树穴内无遗留垃圾及杂草杂物，无明显泥沙积沉，严禁垃圾倒入绿化带内，必须“扫到墙角，扫到边”。</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rPr>
        <w:t>（4）</w:t>
      </w:r>
      <w:r>
        <w:rPr>
          <w:rFonts w:hint="eastAsia" w:ascii="宋体" w:hAnsi="宋体" w:cs="宋体"/>
          <w:color w:val="auto"/>
          <w:sz w:val="24"/>
          <w:szCs w:val="24"/>
          <w:highlight w:val="none"/>
          <w:lang w:val="en-US" w:eastAsia="zh-CN"/>
        </w:rPr>
        <w:t>针对空地范围内建筑垃圾的乱倾倒现象，若中标供应商及时发现倾倒垃圾者并上报给采购单位的由采购单位承担此次的垃圾清运事项，若中标供应商未及时发现倾倒垃圾者的由中标供应商承担此次的垃圾清运事项。</w:t>
      </w:r>
    </w:p>
    <w:p>
      <w:pPr>
        <w:spacing w:line="360" w:lineRule="auto"/>
        <w:rPr>
          <w:rFonts w:hint="eastAsia" w:ascii="宋体" w:hAnsi="宋体" w:cs="宋体"/>
          <w:color w:val="auto"/>
          <w:sz w:val="24"/>
          <w:szCs w:val="24"/>
        </w:rPr>
      </w:pPr>
      <w:r>
        <w:rPr>
          <w:rFonts w:hint="eastAsia" w:ascii="宋体" w:hAnsi="宋体" w:cs="宋体"/>
          <w:color w:val="auto"/>
          <w:sz w:val="24"/>
          <w:szCs w:val="24"/>
        </w:rPr>
        <w:t>（5）保洁人员必须穿戴统一环卫反光衣帽，按时上下班坚守岗位，不得脱岗、集聚聊天超时坐岗或干与工作无关的事，严禁酒后作业。发现工地施工污染道路时除及时汇报外应积极参与清理。应急保洁工作时间另定，保洁突击时，服务单位需服从业主单位提出对应急物业工作的要求及工作任务，并服从业主单位的管理。</w:t>
      </w:r>
    </w:p>
    <w:p>
      <w:pPr>
        <w:spacing w:line="360" w:lineRule="auto"/>
        <w:rPr>
          <w:rFonts w:hint="eastAsia" w:ascii="宋体" w:hAnsi="宋体" w:cs="宋体"/>
          <w:color w:val="auto"/>
          <w:sz w:val="24"/>
          <w:szCs w:val="24"/>
        </w:rPr>
      </w:pPr>
      <w:r>
        <w:rPr>
          <w:rFonts w:hint="eastAsia" w:ascii="宋体" w:hAnsi="宋体"/>
          <w:color w:val="auto"/>
          <w:sz w:val="24"/>
          <w:szCs w:val="24"/>
        </w:rPr>
        <w:t>（6）</w:t>
      </w:r>
      <w:r>
        <w:rPr>
          <w:rFonts w:hint="eastAsia" w:ascii="宋体" w:hAnsi="宋体" w:cs="宋体"/>
          <w:color w:val="auto"/>
          <w:sz w:val="24"/>
          <w:szCs w:val="24"/>
        </w:rPr>
        <w:t>遭遇突发性污染或其他事件，根据上级要求或任务安排，必须组织人员、车辆等在20分钟内到达事发现场，以最快的有效时间内清除地面污染。在重大节假日、活动保障及防汛抗台、防冻抗雪期间，应根据实际无条件服从要求，及时调整与转换作业模式。</w:t>
      </w:r>
    </w:p>
    <w:p>
      <w:pPr>
        <w:spacing w:line="360" w:lineRule="auto"/>
        <w:rPr>
          <w:rFonts w:hint="eastAsia" w:ascii="宋体" w:hAnsi="宋体" w:cs="宋体"/>
          <w:color w:val="auto"/>
          <w:sz w:val="24"/>
          <w:szCs w:val="24"/>
        </w:rPr>
      </w:pPr>
      <w:r>
        <w:rPr>
          <w:rFonts w:hint="eastAsia" w:ascii="宋体" w:hAnsi="宋体" w:cs="宋体"/>
          <w:color w:val="auto"/>
          <w:sz w:val="24"/>
          <w:szCs w:val="24"/>
        </w:rPr>
        <w:t>（7）道路清洗：保持车容车貌车况良好。道路清洗要做到机动车道、非机动车道、人行道，路净线明，无污渍、无大面积积水。道路含人行道每周冲洗2次，具体作业时间根据季度变化以所里通知为准。</w:t>
      </w:r>
    </w:p>
    <w:p>
      <w:pPr>
        <w:spacing w:line="360" w:lineRule="auto"/>
        <w:rPr>
          <w:rFonts w:hint="eastAsia" w:ascii="宋体" w:hAnsi="宋体" w:cs="宋体"/>
          <w:color w:val="auto"/>
          <w:sz w:val="24"/>
          <w:szCs w:val="24"/>
        </w:rPr>
      </w:pPr>
      <w:r>
        <w:rPr>
          <w:rFonts w:hint="eastAsia" w:ascii="宋体" w:hAnsi="宋体" w:cs="宋体"/>
          <w:color w:val="auto"/>
          <w:sz w:val="24"/>
          <w:szCs w:val="24"/>
        </w:rPr>
        <w:t>（8）整个外包片区的垃圾桶做到一日一擦洗，无明显污迹，外观无残标。垃圾桶及时加盖、摆放到位，破损垃圾桶及时上报环卫部门更换。</w:t>
      </w:r>
    </w:p>
    <w:p>
      <w:pPr>
        <w:spacing w:line="360" w:lineRule="auto"/>
        <w:rPr>
          <w:rFonts w:hint="eastAsia" w:ascii="宋体" w:hAnsi="宋体" w:cs="宋体"/>
          <w:color w:val="auto"/>
          <w:sz w:val="24"/>
          <w:szCs w:val="24"/>
        </w:rPr>
      </w:pPr>
      <w:r>
        <w:rPr>
          <w:rFonts w:hint="eastAsia" w:ascii="宋体" w:hAnsi="宋体" w:cs="宋体"/>
          <w:color w:val="auto"/>
          <w:sz w:val="24"/>
          <w:szCs w:val="24"/>
        </w:rPr>
        <w:t>（9）果壳箱无积存垃圾、无垃圾满溢，并巡回检查，发现满溢及时处理；果壳箱每日清洗；内外整洁、无歪斜、无破损、周围地面清洁，如发现设施破损及时上报环卫所进行维修。果壳箱内胆缺失和更换由中标单位自行解决。</w:t>
      </w:r>
    </w:p>
    <w:p>
      <w:pPr>
        <w:spacing w:line="360" w:lineRule="auto"/>
        <w:rPr>
          <w:rFonts w:hint="eastAsia" w:ascii="宋体" w:hAnsi="宋体" w:cs="宋体"/>
          <w:color w:val="auto"/>
          <w:sz w:val="24"/>
          <w:szCs w:val="24"/>
        </w:rPr>
      </w:pPr>
      <w:r>
        <w:rPr>
          <w:rFonts w:hint="eastAsia" w:ascii="宋体" w:hAnsi="宋体" w:cs="宋体"/>
          <w:color w:val="auto"/>
          <w:sz w:val="24"/>
          <w:szCs w:val="24"/>
        </w:rPr>
        <w:t>（10）承包区域内雨水篦每季度清理一次。</w:t>
      </w:r>
    </w:p>
    <w:p>
      <w:pPr>
        <w:spacing w:line="360" w:lineRule="auto"/>
        <w:rPr>
          <w:rFonts w:hint="eastAsia" w:ascii="宋体" w:hAnsi="宋体" w:cs="宋体"/>
          <w:color w:val="auto"/>
          <w:sz w:val="24"/>
          <w:szCs w:val="24"/>
        </w:rPr>
      </w:pPr>
      <w:r>
        <w:rPr>
          <w:rFonts w:hint="eastAsia" w:ascii="宋体" w:hAnsi="宋体" w:cs="宋体"/>
          <w:color w:val="auto"/>
          <w:sz w:val="24"/>
          <w:szCs w:val="24"/>
        </w:rPr>
        <w:t>（11）如发现遇有重大活动或突发事件（易涝积水点排涝、冬季除雪铲冰），视情况及时启动保障应急机制，及时组织力量做好清扫保洁、应急处置等保障工作，人员必须及时到位（需要集中时的具体位置另行通知），并根据应急命令决定到岗和离岗。</w:t>
      </w:r>
    </w:p>
    <w:p>
      <w:pPr>
        <w:spacing w:line="360" w:lineRule="auto"/>
        <w:rPr>
          <w:rFonts w:hint="eastAsia" w:ascii="宋体" w:hAnsi="宋体" w:cs="宋体"/>
          <w:color w:val="auto"/>
          <w:sz w:val="24"/>
          <w:szCs w:val="24"/>
        </w:rPr>
      </w:pPr>
      <w:r>
        <w:rPr>
          <w:rFonts w:hint="eastAsia" w:ascii="宋体" w:hAnsi="宋体" w:cs="宋体"/>
          <w:color w:val="auto"/>
          <w:sz w:val="24"/>
          <w:szCs w:val="24"/>
        </w:rPr>
        <w:t>（12）负责做好本承包区域作业范围内的市长公开投诉电话、“数字城管”采集和群众信访、投诉处理件及110联动处理、整改和回复工作。</w:t>
      </w:r>
    </w:p>
    <w:p>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rPr>
        <w:t>2．</w:t>
      </w:r>
      <w:r>
        <w:rPr>
          <w:rFonts w:hint="eastAsia" w:ascii="宋体" w:hAnsi="宋体" w:cs="宋体"/>
          <w:color w:val="auto"/>
          <w:sz w:val="24"/>
          <w:szCs w:val="24"/>
          <w:lang w:val="en-US" w:eastAsia="zh-CN"/>
        </w:rPr>
        <w:t>日常</w:t>
      </w:r>
      <w:r>
        <w:rPr>
          <w:rFonts w:hint="eastAsia" w:ascii="宋体" w:hAnsi="宋体" w:cs="宋体"/>
          <w:color w:val="auto"/>
          <w:sz w:val="24"/>
          <w:szCs w:val="24"/>
        </w:rPr>
        <w:t>管理</w:t>
      </w:r>
    </w:p>
    <w:p>
      <w:pPr>
        <w:spacing w:line="360" w:lineRule="auto"/>
        <w:rPr>
          <w:rFonts w:hint="eastAsia" w:ascii="宋体" w:hAnsi="宋体" w:cs="宋体"/>
          <w:color w:val="auto"/>
          <w:sz w:val="24"/>
          <w:szCs w:val="24"/>
        </w:rPr>
      </w:pPr>
      <w:r>
        <w:rPr>
          <w:rFonts w:hint="eastAsia" w:ascii="宋体" w:hAnsi="宋体" w:cs="宋体"/>
          <w:color w:val="auto"/>
          <w:sz w:val="24"/>
          <w:szCs w:val="24"/>
        </w:rPr>
        <w:t>（1）中标供应商应加强对作业质量管理，做好作业质量自查登记，每月25日前向环卫所上报自查登记表、有关情况书面报告和下月作业安排计划。</w:t>
      </w:r>
    </w:p>
    <w:p>
      <w:pPr>
        <w:spacing w:line="360" w:lineRule="auto"/>
        <w:rPr>
          <w:rFonts w:hint="eastAsia" w:ascii="宋体" w:hAnsi="宋体" w:cs="宋体"/>
          <w:color w:val="auto"/>
          <w:sz w:val="24"/>
          <w:szCs w:val="24"/>
        </w:rPr>
      </w:pPr>
      <w:r>
        <w:rPr>
          <w:rFonts w:hint="eastAsia" w:ascii="宋体" w:hAnsi="宋体" w:cs="宋体"/>
          <w:color w:val="auto"/>
          <w:sz w:val="24"/>
          <w:szCs w:val="24"/>
        </w:rPr>
        <w:t>（2）规范管理、文明作业，自觉接受上级各部门领导的检查和社会监督，对发现的问题要及时整改。</w:t>
      </w:r>
    </w:p>
    <w:p>
      <w:pPr>
        <w:spacing w:line="360" w:lineRule="auto"/>
        <w:rPr>
          <w:rFonts w:hint="eastAsia" w:ascii="宋体" w:hAnsi="宋体" w:cs="宋体"/>
          <w:color w:val="auto"/>
          <w:sz w:val="24"/>
          <w:szCs w:val="24"/>
        </w:rPr>
      </w:pPr>
      <w:r>
        <w:rPr>
          <w:rFonts w:hint="eastAsia" w:ascii="宋体" w:hAnsi="宋体" w:cs="宋体"/>
          <w:color w:val="auto"/>
          <w:sz w:val="24"/>
          <w:szCs w:val="24"/>
        </w:rPr>
        <w:t>（3）清扫保洁员上岗须统一着装，佩戴上岗证、穿安全反光黄背心和戴反光安全帽。</w:t>
      </w:r>
    </w:p>
    <w:p>
      <w:pPr>
        <w:spacing w:line="360" w:lineRule="auto"/>
        <w:rPr>
          <w:rFonts w:hint="eastAsia" w:ascii="宋体" w:hAnsi="宋体" w:cs="宋体"/>
          <w:color w:val="auto"/>
          <w:sz w:val="24"/>
          <w:szCs w:val="24"/>
        </w:rPr>
      </w:pPr>
      <w:r>
        <w:rPr>
          <w:rFonts w:hint="eastAsia" w:ascii="宋体" w:hAnsi="宋体" w:cs="宋体"/>
          <w:color w:val="auto"/>
          <w:sz w:val="24"/>
          <w:szCs w:val="24"/>
        </w:rPr>
        <w:t>（4）作业时应严格遵守劳动纪律，遵守安全操作规程，确保安全发生各种意外事故由中标供应商自行依照法律、法规妥善处理。</w:t>
      </w:r>
    </w:p>
    <w:p>
      <w:pPr>
        <w:spacing w:line="360" w:lineRule="auto"/>
        <w:rPr>
          <w:rFonts w:hint="eastAsia" w:ascii="宋体" w:hAnsi="宋体" w:cs="宋体"/>
          <w:color w:val="auto"/>
          <w:sz w:val="24"/>
          <w:szCs w:val="24"/>
        </w:rPr>
      </w:pPr>
      <w:r>
        <w:rPr>
          <w:rFonts w:hint="eastAsia" w:ascii="宋体" w:hAnsi="宋体" w:cs="宋体"/>
          <w:color w:val="auto"/>
          <w:sz w:val="24"/>
          <w:szCs w:val="24"/>
        </w:rPr>
        <w:t>（5）中标供应商不得向沿街单位和</w:t>
      </w:r>
      <w:r>
        <w:rPr>
          <w:rFonts w:hint="eastAsia" w:ascii="宋体" w:hAnsi="宋体" w:cs="宋体"/>
          <w:color w:val="auto"/>
          <w:sz w:val="24"/>
          <w:szCs w:val="24"/>
          <w:lang w:val="en-US" w:eastAsia="zh-CN"/>
        </w:rPr>
        <w:t>任何</w:t>
      </w:r>
      <w:r>
        <w:rPr>
          <w:rFonts w:hint="eastAsia" w:ascii="宋体" w:hAnsi="宋体" w:cs="宋体"/>
          <w:color w:val="auto"/>
          <w:sz w:val="24"/>
          <w:szCs w:val="24"/>
        </w:rPr>
        <w:t>个人擅自收取任何费用。</w:t>
      </w:r>
    </w:p>
    <w:p>
      <w:pPr>
        <w:spacing w:line="360" w:lineRule="auto"/>
        <w:rPr>
          <w:rFonts w:hint="eastAsia" w:ascii="宋体" w:hAnsi="宋体" w:cs="宋体"/>
          <w:color w:val="auto"/>
          <w:sz w:val="24"/>
          <w:szCs w:val="24"/>
        </w:rPr>
      </w:pPr>
      <w:r>
        <w:rPr>
          <w:rFonts w:hint="eastAsia" w:ascii="宋体" w:hAnsi="宋体" w:cs="宋体"/>
          <w:color w:val="auto"/>
          <w:sz w:val="24"/>
          <w:szCs w:val="24"/>
        </w:rPr>
        <w:t>（6）保持取水栓、果壳箱等设施的整洁完好，承包期间由于管理不善，造成破损的，由中标供应商负责赔偿；对不能修复的果壳箱、垃圾桶及时上报环卫管理部门。</w:t>
      </w:r>
    </w:p>
    <w:p>
      <w:pPr>
        <w:spacing w:line="360" w:lineRule="auto"/>
        <w:rPr>
          <w:rFonts w:hint="eastAsia" w:ascii="宋体" w:hAnsi="宋体" w:cs="宋体"/>
          <w:color w:val="auto"/>
          <w:sz w:val="24"/>
          <w:szCs w:val="24"/>
        </w:rPr>
      </w:pPr>
      <w:r>
        <w:rPr>
          <w:rFonts w:hint="eastAsia" w:ascii="宋体" w:hAnsi="宋体" w:cs="宋体"/>
          <w:color w:val="auto"/>
          <w:sz w:val="24"/>
          <w:szCs w:val="24"/>
        </w:rPr>
        <w:t>（7）保洁时不能将垃圾、污水溅到行人身上，垃圾应倾倒指定地点，不得焚烧垃圾、树叶，树枝落叶旺季及时清扫干净。</w:t>
      </w:r>
    </w:p>
    <w:p>
      <w:pPr>
        <w:spacing w:line="360" w:lineRule="auto"/>
        <w:rPr>
          <w:rFonts w:hint="eastAsia" w:ascii="宋体" w:hAnsi="宋体" w:cs="宋体"/>
          <w:color w:val="auto"/>
          <w:sz w:val="24"/>
          <w:szCs w:val="24"/>
        </w:rPr>
      </w:pPr>
      <w:r>
        <w:rPr>
          <w:rFonts w:hint="eastAsia" w:ascii="宋体" w:hAnsi="宋体" w:cs="宋体"/>
          <w:color w:val="auto"/>
          <w:sz w:val="24"/>
          <w:szCs w:val="24"/>
        </w:rPr>
        <w:t>（8）作业时作业工具应摆（停）放地点适当，不影响行人和交通，收工后的存放由承包方自行负责。</w:t>
      </w:r>
    </w:p>
    <w:p>
      <w:pPr>
        <w:spacing w:line="360" w:lineRule="auto"/>
        <w:rPr>
          <w:rFonts w:hint="eastAsia" w:ascii="宋体" w:hAnsi="宋体" w:cs="宋体"/>
          <w:color w:val="auto"/>
          <w:sz w:val="24"/>
          <w:szCs w:val="24"/>
        </w:rPr>
      </w:pPr>
      <w:r>
        <w:rPr>
          <w:rFonts w:hint="eastAsia" w:ascii="宋体" w:hAnsi="宋体" w:cs="宋体"/>
          <w:color w:val="auto"/>
          <w:sz w:val="24"/>
          <w:szCs w:val="24"/>
        </w:rPr>
        <w:t>（9）专用作业车辆要有编号、有监督电话、有负责单位，车辆停放自行负责。</w:t>
      </w:r>
    </w:p>
    <w:p>
      <w:pPr>
        <w:spacing w:line="360" w:lineRule="auto"/>
        <w:rPr>
          <w:rFonts w:hint="eastAsia" w:ascii="宋体" w:hAnsi="宋体" w:cs="宋体"/>
          <w:color w:val="auto"/>
          <w:sz w:val="24"/>
          <w:szCs w:val="24"/>
        </w:rPr>
      </w:pPr>
      <w:r>
        <w:rPr>
          <w:rFonts w:hint="eastAsia" w:ascii="宋体" w:hAnsi="宋体" w:cs="宋体"/>
          <w:color w:val="auto"/>
          <w:sz w:val="24"/>
          <w:szCs w:val="24"/>
        </w:rPr>
        <w:t>（10）环卫职工的工资、出勤补贴、加班工资等必须确保按月发放，及时将每月工资表报环卫部门。</w:t>
      </w:r>
    </w:p>
    <w:p>
      <w:pPr>
        <w:spacing w:line="360" w:lineRule="auto"/>
        <w:rPr>
          <w:rFonts w:hint="eastAsia" w:ascii="宋体" w:hAnsi="宋体" w:cs="宋体"/>
          <w:color w:val="auto"/>
          <w:sz w:val="24"/>
          <w:szCs w:val="24"/>
        </w:rPr>
      </w:pPr>
      <w:r>
        <w:rPr>
          <w:rFonts w:hint="eastAsia" w:ascii="宋体" w:hAnsi="宋体" w:cs="宋体"/>
          <w:color w:val="auto"/>
          <w:sz w:val="24"/>
          <w:szCs w:val="24"/>
        </w:rPr>
        <w:t>（11）中标供应商必须按指定的使用消防栓取水用于环卫作业。</w:t>
      </w:r>
    </w:p>
    <w:p>
      <w:pPr>
        <w:spacing w:line="360" w:lineRule="auto"/>
        <w:rPr>
          <w:rFonts w:hint="eastAsia" w:ascii="宋体" w:hAnsi="宋体" w:cs="宋体"/>
          <w:color w:val="auto"/>
          <w:sz w:val="24"/>
          <w:szCs w:val="24"/>
        </w:rPr>
      </w:pPr>
      <w:r>
        <w:rPr>
          <w:rFonts w:hint="eastAsia" w:ascii="宋体" w:hAnsi="宋体" w:cs="宋体"/>
          <w:color w:val="auto"/>
          <w:sz w:val="24"/>
          <w:szCs w:val="24"/>
        </w:rPr>
        <w:t>（12）中标供应商必须安排管理员加强做好承包区域内的循环检查工作，做到发现问题及时解决。</w:t>
      </w:r>
    </w:p>
    <w:p>
      <w:pPr>
        <w:spacing w:line="360" w:lineRule="auto"/>
        <w:rPr>
          <w:rFonts w:hint="eastAsia" w:ascii="宋体" w:hAnsi="宋体" w:cs="宋体"/>
          <w:color w:val="auto"/>
          <w:sz w:val="24"/>
          <w:szCs w:val="24"/>
        </w:rPr>
      </w:pPr>
      <w:r>
        <w:rPr>
          <w:rFonts w:hint="eastAsia" w:ascii="宋体" w:hAnsi="宋体" w:cs="宋体"/>
          <w:color w:val="auto"/>
          <w:sz w:val="24"/>
          <w:szCs w:val="24"/>
        </w:rPr>
        <w:t>（13）做到定人、定岗、定责，确保保洁区域干净整洁。</w:t>
      </w: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道路保洁时间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小时：</w:t>
      </w:r>
      <w:r>
        <w:rPr>
          <w:rFonts w:hint="eastAsia" w:ascii="宋体" w:hAnsi="宋体" w:cs="宋体"/>
          <w:color w:val="auto"/>
          <w:sz w:val="24"/>
          <w:szCs w:val="24"/>
          <w:highlight w:val="none"/>
          <w:lang w:val="en-US" w:eastAsia="zh-CN"/>
        </w:rPr>
        <w:t>按两班制</w:t>
      </w:r>
    </w:p>
    <w:p>
      <w:pPr>
        <w:pStyle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夏季：上午5:00-11:30   11:30-17:00</w:t>
      </w:r>
    </w:p>
    <w:p>
      <w:pPr>
        <w:pStyle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冬季：上午5:30-11:30   11:30-17:30</w:t>
      </w:r>
    </w:p>
    <w:p>
      <w:pPr>
        <w:pStyle w:val="2"/>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中空地、街巷普扫作业每日不少于2次。首次普扫，夏秋季节在上午07:30之前完成，春冬季在上午08:00之前完成；二次普扫在下午14:00之前完成，在遇特殊恶劣天气或路面落叶较多季节，可视实际情况适当延长时间（需经采购单位同意）。如有紧急任务或活动保洁时间由采购单位临时调配，中标供应商配合执行。</w:t>
      </w:r>
    </w:p>
    <w:p>
      <w:pPr>
        <w:spacing w:line="360" w:lineRule="auto"/>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日常考核</w:t>
      </w:r>
      <w:r>
        <w:rPr>
          <w:rFonts w:hint="eastAsia" w:ascii="宋体" w:hAnsi="宋体" w:cs="宋体"/>
          <w:color w:val="auto"/>
          <w:sz w:val="24"/>
          <w:szCs w:val="24"/>
        </w:rPr>
        <w:t>：</w:t>
      </w:r>
    </w:p>
    <w:p>
      <w:pPr>
        <w:spacing w:line="360" w:lineRule="auto"/>
        <w:rPr>
          <w:rFonts w:hint="eastAsia" w:ascii="宋体" w:hAnsi="宋体" w:cs="宋体"/>
          <w:bCs/>
          <w:color w:val="auto"/>
          <w:spacing w:val="-2"/>
          <w:sz w:val="24"/>
          <w:szCs w:val="24"/>
        </w:rPr>
      </w:pPr>
      <w:r>
        <w:rPr>
          <w:rFonts w:hint="eastAsia" w:ascii="宋体" w:hAnsi="宋体" w:cs="宋体"/>
          <w:bCs/>
          <w:color w:val="auto"/>
          <w:spacing w:val="-2"/>
          <w:sz w:val="24"/>
          <w:szCs w:val="24"/>
        </w:rPr>
        <w:t>（1）垃圾分类收集员在定点定时投放时间内离岗每次扣</w:t>
      </w:r>
      <w:r>
        <w:rPr>
          <w:rFonts w:hint="eastAsia" w:ascii="宋体" w:hAnsi="宋体" w:cs="宋体"/>
          <w:bCs/>
          <w:color w:val="auto"/>
          <w:spacing w:val="-2"/>
          <w:sz w:val="24"/>
          <w:szCs w:val="24"/>
          <w:lang w:val="en-US" w:eastAsia="zh-CN"/>
        </w:rPr>
        <w:t>300</w:t>
      </w:r>
      <w:r>
        <w:rPr>
          <w:rFonts w:hint="eastAsia" w:ascii="宋体" w:hAnsi="宋体" w:cs="宋体"/>
          <w:bCs/>
          <w:color w:val="auto"/>
          <w:spacing w:val="-2"/>
          <w:sz w:val="24"/>
          <w:szCs w:val="24"/>
        </w:rPr>
        <w:t>元</w:t>
      </w:r>
      <w:r>
        <w:rPr>
          <w:rFonts w:hint="eastAsia" w:ascii="宋体" w:hAnsi="宋体" w:cs="宋体"/>
          <w:bCs/>
          <w:color w:val="auto"/>
          <w:spacing w:val="-2"/>
          <w:sz w:val="24"/>
          <w:szCs w:val="24"/>
          <w:lang w:val="en-US" w:eastAsia="zh-CN"/>
        </w:rPr>
        <w:t>服务款</w:t>
      </w:r>
      <w:r>
        <w:rPr>
          <w:rFonts w:hint="eastAsia" w:ascii="宋体" w:hAnsi="宋体" w:cs="宋体"/>
          <w:bCs/>
          <w:color w:val="auto"/>
          <w:spacing w:val="-2"/>
          <w:sz w:val="24"/>
          <w:szCs w:val="24"/>
        </w:rPr>
        <w:t>。</w:t>
      </w:r>
      <w:r>
        <w:rPr>
          <w:rFonts w:hint="eastAsia" w:ascii="宋体" w:hAnsi="宋体" w:cs="宋体"/>
          <w:bCs/>
          <w:color w:val="auto"/>
          <w:spacing w:val="-2"/>
          <w:sz w:val="24"/>
          <w:szCs w:val="24"/>
          <w:lang w:val="en-US" w:eastAsia="zh-CN"/>
        </w:rPr>
        <w:t>每</w:t>
      </w:r>
      <w:r>
        <w:rPr>
          <w:rFonts w:hint="eastAsia" w:ascii="宋体" w:hAnsi="宋体" w:cs="宋体"/>
          <w:bCs/>
          <w:color w:val="auto"/>
          <w:spacing w:val="-2"/>
          <w:sz w:val="24"/>
          <w:szCs w:val="24"/>
        </w:rPr>
        <w:t>个垃圾分类点位和果壳箱垃圾桶外观不干净整洁、垃圾桶满溢、桶外暴露垃圾的每次扣</w:t>
      </w:r>
      <w:r>
        <w:rPr>
          <w:rFonts w:hint="eastAsia" w:ascii="宋体" w:hAnsi="宋体" w:cs="宋体"/>
          <w:bCs/>
          <w:color w:val="auto"/>
          <w:spacing w:val="-2"/>
          <w:sz w:val="24"/>
          <w:szCs w:val="24"/>
          <w:lang w:val="en-US" w:eastAsia="zh-CN"/>
        </w:rPr>
        <w:t>500</w:t>
      </w:r>
      <w:r>
        <w:rPr>
          <w:rFonts w:hint="eastAsia" w:ascii="宋体" w:hAnsi="宋体" w:cs="宋体"/>
          <w:bCs/>
          <w:color w:val="auto"/>
          <w:spacing w:val="-2"/>
          <w:sz w:val="24"/>
          <w:szCs w:val="24"/>
        </w:rPr>
        <w:t>元</w:t>
      </w:r>
      <w:r>
        <w:rPr>
          <w:rFonts w:hint="eastAsia" w:ascii="宋体" w:hAnsi="宋体" w:cs="宋体"/>
          <w:bCs/>
          <w:color w:val="auto"/>
          <w:spacing w:val="-2"/>
          <w:sz w:val="24"/>
          <w:szCs w:val="24"/>
          <w:lang w:val="en-US" w:eastAsia="zh-CN"/>
        </w:rPr>
        <w:t>服务款</w:t>
      </w:r>
      <w:r>
        <w:rPr>
          <w:rFonts w:hint="eastAsia" w:ascii="宋体" w:hAnsi="宋体" w:cs="宋体"/>
          <w:bCs/>
          <w:color w:val="auto"/>
          <w:spacing w:val="-2"/>
          <w:sz w:val="24"/>
          <w:szCs w:val="24"/>
        </w:rPr>
        <w:t>，出现分类垃圾混合收集，混合运输现象的每次扣</w:t>
      </w:r>
      <w:r>
        <w:rPr>
          <w:rFonts w:hint="eastAsia" w:ascii="宋体" w:hAnsi="宋体" w:cs="宋体"/>
          <w:bCs/>
          <w:color w:val="auto"/>
          <w:spacing w:val="-2"/>
          <w:sz w:val="24"/>
          <w:szCs w:val="24"/>
          <w:lang w:val="en-US" w:eastAsia="zh-CN"/>
        </w:rPr>
        <w:t>500</w:t>
      </w:r>
      <w:r>
        <w:rPr>
          <w:rFonts w:hint="eastAsia" w:ascii="宋体" w:hAnsi="宋体" w:cs="宋体"/>
          <w:bCs/>
          <w:color w:val="auto"/>
          <w:spacing w:val="-2"/>
          <w:sz w:val="24"/>
          <w:szCs w:val="24"/>
        </w:rPr>
        <w:t>元</w:t>
      </w:r>
      <w:r>
        <w:rPr>
          <w:rFonts w:hint="eastAsia" w:ascii="宋体" w:hAnsi="宋体" w:cs="宋体"/>
          <w:bCs/>
          <w:color w:val="auto"/>
          <w:spacing w:val="-2"/>
          <w:sz w:val="24"/>
          <w:szCs w:val="24"/>
          <w:lang w:val="en-US" w:eastAsia="zh-CN"/>
        </w:rPr>
        <w:t>服务款</w:t>
      </w:r>
      <w:r>
        <w:rPr>
          <w:rFonts w:hint="eastAsia" w:ascii="宋体" w:hAnsi="宋体" w:cs="宋体"/>
          <w:bCs/>
          <w:color w:val="auto"/>
          <w:spacing w:val="-2"/>
          <w:sz w:val="24"/>
          <w:szCs w:val="24"/>
        </w:rPr>
        <w:t>。</w:t>
      </w:r>
    </w:p>
    <w:p>
      <w:pPr>
        <w:spacing w:line="360" w:lineRule="auto"/>
        <w:rPr>
          <w:rFonts w:hint="eastAsia" w:ascii="宋体" w:hAnsi="宋体" w:cs="宋体"/>
          <w:bCs/>
          <w:color w:val="auto"/>
          <w:spacing w:val="-2"/>
          <w:sz w:val="24"/>
          <w:szCs w:val="24"/>
        </w:rPr>
      </w:pPr>
      <w:r>
        <w:rPr>
          <w:rFonts w:hint="eastAsia" w:ascii="宋体" w:hAnsi="宋体" w:cs="宋体"/>
          <w:bCs/>
          <w:color w:val="auto"/>
          <w:spacing w:val="-2"/>
          <w:sz w:val="24"/>
          <w:szCs w:val="24"/>
        </w:rPr>
        <w:t>（2）保洁员对所服务区域的道路及两侧边沟进行日常保洁，检查发现有杂物，垃圾，塑料袋每次扣</w:t>
      </w:r>
      <w:r>
        <w:rPr>
          <w:rFonts w:hint="eastAsia" w:ascii="宋体" w:hAnsi="宋体" w:cs="宋体"/>
          <w:bCs/>
          <w:color w:val="auto"/>
          <w:spacing w:val="-2"/>
          <w:sz w:val="24"/>
          <w:szCs w:val="24"/>
          <w:lang w:val="en-US" w:eastAsia="zh-CN"/>
        </w:rPr>
        <w:t>50</w:t>
      </w:r>
      <w:r>
        <w:rPr>
          <w:rFonts w:hint="eastAsia" w:ascii="宋体" w:hAnsi="宋体" w:cs="宋体"/>
          <w:bCs/>
          <w:color w:val="auto"/>
          <w:spacing w:val="-2"/>
          <w:sz w:val="24"/>
          <w:szCs w:val="24"/>
        </w:rPr>
        <w:t>元</w:t>
      </w:r>
      <w:r>
        <w:rPr>
          <w:rFonts w:hint="eastAsia" w:ascii="宋体" w:hAnsi="宋体" w:cs="宋体"/>
          <w:bCs/>
          <w:color w:val="auto"/>
          <w:spacing w:val="-2"/>
          <w:sz w:val="24"/>
          <w:szCs w:val="24"/>
          <w:lang w:val="en-US" w:eastAsia="zh-CN"/>
        </w:rPr>
        <w:t>服务款</w:t>
      </w:r>
      <w:r>
        <w:rPr>
          <w:rFonts w:hint="eastAsia" w:ascii="宋体" w:hAnsi="宋体" w:cs="宋体"/>
          <w:bCs/>
          <w:color w:val="auto"/>
          <w:spacing w:val="-2"/>
          <w:sz w:val="24"/>
          <w:szCs w:val="24"/>
        </w:rPr>
        <w:t>。</w:t>
      </w:r>
    </w:p>
    <w:p>
      <w:pPr>
        <w:spacing w:line="460" w:lineRule="exact"/>
        <w:rPr>
          <w:rFonts w:hint="eastAsia" w:ascii="宋体" w:hAnsi="宋体" w:cs="宋体"/>
          <w:color w:val="auto"/>
          <w:sz w:val="24"/>
          <w:szCs w:val="24"/>
        </w:rPr>
      </w:pPr>
      <w:r>
        <w:rPr>
          <w:rFonts w:hint="eastAsia" w:ascii="宋体" w:hAnsi="宋体" w:cs="宋体"/>
          <w:color w:val="auto"/>
          <w:sz w:val="24"/>
          <w:szCs w:val="24"/>
        </w:rPr>
        <w:t>（3）按照合同要求配置人员，每月查实每少一人扣</w:t>
      </w:r>
      <w:r>
        <w:rPr>
          <w:rFonts w:hint="eastAsia" w:ascii="宋体" w:hAnsi="宋体" w:cs="宋体"/>
          <w:color w:val="auto"/>
          <w:sz w:val="24"/>
          <w:szCs w:val="24"/>
          <w:lang w:val="en-US" w:eastAsia="zh-CN"/>
        </w:rPr>
        <w:t>300</w:t>
      </w:r>
      <w:r>
        <w:rPr>
          <w:rFonts w:hint="eastAsia" w:ascii="宋体" w:hAnsi="宋体" w:cs="宋体"/>
          <w:color w:val="auto"/>
          <w:sz w:val="24"/>
          <w:szCs w:val="24"/>
        </w:rPr>
        <w:t>元</w:t>
      </w:r>
      <w:r>
        <w:rPr>
          <w:rFonts w:hint="eastAsia" w:ascii="宋体" w:hAnsi="宋体" w:cs="宋体"/>
          <w:bCs/>
          <w:color w:val="auto"/>
          <w:spacing w:val="-2"/>
          <w:sz w:val="24"/>
          <w:szCs w:val="24"/>
          <w:lang w:val="en-US" w:eastAsia="zh-CN"/>
        </w:rPr>
        <w:t>服务款</w:t>
      </w:r>
      <w:r>
        <w:rPr>
          <w:rFonts w:hint="eastAsia" w:ascii="宋体" w:hAnsi="宋体" w:cs="宋体"/>
          <w:color w:val="auto"/>
          <w:sz w:val="24"/>
          <w:szCs w:val="24"/>
        </w:rPr>
        <w:t>，做任何形式瞒报，规避、不如实作业人员和作业情况安排的，每次扣</w:t>
      </w:r>
      <w:r>
        <w:rPr>
          <w:rFonts w:hint="eastAsia" w:ascii="宋体" w:hAnsi="宋体" w:cs="宋体"/>
          <w:color w:val="auto"/>
          <w:sz w:val="24"/>
          <w:szCs w:val="24"/>
          <w:lang w:val="en-US" w:eastAsia="zh-CN"/>
        </w:rPr>
        <w:t>500</w:t>
      </w:r>
      <w:r>
        <w:rPr>
          <w:rFonts w:hint="eastAsia" w:ascii="宋体" w:hAnsi="宋体" w:cs="宋体"/>
          <w:color w:val="auto"/>
          <w:sz w:val="24"/>
          <w:szCs w:val="24"/>
        </w:rPr>
        <w:t>元</w:t>
      </w:r>
      <w:r>
        <w:rPr>
          <w:rFonts w:hint="eastAsia" w:ascii="宋体" w:hAnsi="宋体" w:cs="宋体"/>
          <w:bCs/>
          <w:color w:val="auto"/>
          <w:spacing w:val="-2"/>
          <w:sz w:val="24"/>
          <w:szCs w:val="24"/>
          <w:lang w:val="en-US" w:eastAsia="zh-CN"/>
        </w:rPr>
        <w:t>服务款</w:t>
      </w:r>
      <w:r>
        <w:rPr>
          <w:rFonts w:hint="eastAsia" w:ascii="宋体" w:hAnsi="宋体" w:cs="宋体"/>
          <w:color w:val="auto"/>
          <w:sz w:val="24"/>
          <w:szCs w:val="24"/>
        </w:rPr>
        <w:t>。</w:t>
      </w:r>
    </w:p>
    <w:p>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市级及以上检查不合格发现以上问题加倍扣款。</w:t>
      </w:r>
    </w:p>
    <w:p>
      <w:pPr>
        <w:spacing w:line="360" w:lineRule="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）警告退出办法</w:t>
      </w:r>
    </w:p>
    <w:p>
      <w:pPr>
        <w:spacing w:line="360" w:lineRule="auto"/>
        <w:rPr>
          <w:rFonts w:hint="eastAsia" w:ascii="宋体" w:hAnsi="宋体" w:cs="宋体"/>
          <w:b/>
          <w:color w:val="auto"/>
          <w:sz w:val="24"/>
          <w:szCs w:val="24"/>
        </w:rPr>
      </w:pPr>
      <w:r>
        <w:rPr>
          <w:rFonts w:hint="eastAsia" w:ascii="宋体" w:hAnsi="宋体" w:cs="宋体"/>
          <w:b/>
          <w:color w:val="auto"/>
          <w:sz w:val="24"/>
          <w:szCs w:val="24"/>
        </w:rPr>
        <w:t>在道路保洁作业管理中，有下列情景之一的给予一次警告：</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①市场化运作区域数字城管问题及时整改率未达到100%的。</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②上级领导及环卫所检查发现问题未限期整改到位的</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上级或部门检查或媒体曝光的。</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③管理混乱，发生</w:t>
      </w:r>
      <w:r>
        <w:rPr>
          <w:rFonts w:hint="eastAsia" w:ascii="宋体" w:hAnsi="宋体" w:cs="宋体"/>
          <w:color w:val="auto"/>
          <w:sz w:val="24"/>
          <w:szCs w:val="24"/>
          <w:lang w:val="en-US" w:eastAsia="zh-CN"/>
        </w:rPr>
        <w:t>保洁</w:t>
      </w:r>
      <w:r>
        <w:rPr>
          <w:rFonts w:hint="eastAsia" w:ascii="宋体" w:hAnsi="宋体" w:cs="宋体"/>
          <w:color w:val="auto"/>
          <w:sz w:val="24"/>
          <w:szCs w:val="24"/>
        </w:rPr>
        <w:t>人员集体上访的。</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④不遵守交通法规，未按照规程操作发生有责交通事故的。</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⑤遇有重大活动或突发事件时，未按要求落实作业机具和人员，保障不力而造成不良影响的。</w:t>
      </w:r>
    </w:p>
    <w:p>
      <w:pPr>
        <w:spacing w:line="360" w:lineRule="auto"/>
        <w:rPr>
          <w:rFonts w:hint="eastAsia" w:ascii="宋体" w:hAnsi="宋体" w:cs="宋体"/>
          <w:b/>
          <w:color w:val="auto"/>
          <w:sz w:val="24"/>
          <w:szCs w:val="24"/>
        </w:rPr>
      </w:pPr>
      <w:r>
        <w:rPr>
          <w:rFonts w:hint="eastAsia" w:ascii="宋体" w:hAnsi="宋体" w:cs="宋体"/>
          <w:b/>
          <w:color w:val="auto"/>
          <w:sz w:val="24"/>
          <w:szCs w:val="24"/>
        </w:rPr>
        <w:t>在道路保洁作业和管理中，如出现以下情形的予以退出，提前终止服务合同：</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①组织管理机构、人员素质、保洁人数与投标承诺不符，无法完成道路保洁任务的。</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②在合同期一年内累计被警告3次的。</w:t>
      </w:r>
    </w:p>
    <w:p>
      <w:pPr>
        <w:widowControl/>
        <w:overflowPunct w:val="0"/>
        <w:autoSpaceDE w:val="0"/>
        <w:autoSpaceDN w:val="0"/>
        <w:adjustRightInd w:val="0"/>
        <w:snapToGrid w:val="0"/>
        <w:spacing w:line="360" w:lineRule="auto"/>
        <w:ind w:firstLine="480" w:firstLineChars="200"/>
        <w:jc w:val="left"/>
        <w:textAlignment w:val="baseline"/>
        <w:rPr>
          <w:rFonts w:hint="eastAsia"/>
          <w:color w:val="auto"/>
        </w:rPr>
      </w:pPr>
      <w:r>
        <w:rPr>
          <w:rFonts w:hint="eastAsia" w:ascii="宋体" w:hAnsi="宋体" w:cs="宋体"/>
          <w:color w:val="auto"/>
          <w:sz w:val="24"/>
          <w:szCs w:val="24"/>
        </w:rPr>
        <w:t>③</w:t>
      </w:r>
      <w:r>
        <w:rPr>
          <w:rFonts w:hint="eastAsia" w:ascii="宋体" w:hAnsi="宋体" w:cs="宋体"/>
          <w:color w:val="auto"/>
          <w:kern w:val="0"/>
          <w:sz w:val="24"/>
          <w:szCs w:val="24"/>
        </w:rPr>
        <w:t>在合同期内</w:t>
      </w:r>
      <w:r>
        <w:rPr>
          <w:rFonts w:hint="eastAsia" w:ascii="宋体" w:hAnsi="宋体" w:cs="宋体"/>
          <w:color w:val="auto"/>
          <w:kern w:val="0"/>
          <w:sz w:val="24"/>
          <w:szCs w:val="24"/>
          <w:highlight w:val="none"/>
          <w:lang w:val="en-US" w:eastAsia="zh-CN"/>
        </w:rPr>
        <w:t>累计</w:t>
      </w:r>
      <w:r>
        <w:rPr>
          <w:rFonts w:hint="eastAsia" w:ascii="宋体" w:hAnsi="宋体" w:cs="宋体"/>
          <w:color w:val="auto"/>
          <w:kern w:val="0"/>
          <w:sz w:val="24"/>
          <w:szCs w:val="24"/>
          <w:highlight w:val="none"/>
        </w:rPr>
        <w:t>3个月考核分低于85分的。</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 4 \* GB3 \* MERGEFORMAT </w:instrText>
      </w:r>
      <w:r>
        <w:rPr>
          <w:rFonts w:hint="eastAsia" w:ascii="宋体" w:hAnsi="宋体" w:cs="宋体"/>
          <w:color w:val="auto"/>
          <w:kern w:val="0"/>
          <w:sz w:val="24"/>
          <w:szCs w:val="24"/>
        </w:rPr>
        <w:fldChar w:fldCharType="separate"/>
      </w:r>
      <w:r>
        <w:rPr>
          <w:color w:val="auto"/>
        </w:rPr>
        <w:t>④</w:t>
      </w:r>
      <w:r>
        <w:rPr>
          <w:rFonts w:hint="eastAsia" w:ascii="宋体" w:hAnsi="宋体" w:cs="宋体"/>
          <w:color w:val="auto"/>
          <w:kern w:val="0"/>
          <w:sz w:val="24"/>
          <w:szCs w:val="24"/>
        </w:rPr>
        <w:fldChar w:fldCharType="end"/>
      </w:r>
      <w:r>
        <w:rPr>
          <w:rFonts w:hint="eastAsia" w:ascii="宋体" w:hAnsi="宋体" w:cs="宋体"/>
          <w:color w:val="auto"/>
          <w:sz w:val="24"/>
          <w:szCs w:val="24"/>
        </w:rPr>
        <w:t>未落实保障环卫工人其合法权益相关规定要求的。</w:t>
      </w:r>
    </w:p>
    <w:p>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）投标供应商中标后物业保洁等相关事宜所产生的投入费用一概于采购方无关。</w:t>
      </w:r>
    </w:p>
    <w:p>
      <w:pPr>
        <w:widowControl/>
        <w:autoSpaceDE w:val="0"/>
        <w:autoSpaceDN w:val="0"/>
        <w:spacing w:line="420" w:lineRule="exact"/>
        <w:ind w:firstLine="480" w:firstLineChars="200"/>
        <w:textAlignment w:val="bottom"/>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)投标供应商中标后必须提前做好与原保洁单位的对接工作，确保交接过程作业无盲点和规定有序交接。</w:t>
      </w:r>
    </w:p>
    <w:p>
      <w:pPr>
        <w:widowControl/>
        <w:autoSpaceDE w:val="0"/>
        <w:autoSpaceDN w:val="0"/>
        <w:spacing w:line="420" w:lineRule="exact"/>
        <w:ind w:firstLine="480" w:firstLineChars="200"/>
        <w:textAlignment w:val="bottom"/>
        <w:rPr>
          <w:rFonts w:hint="default" w:eastAsia="宋体"/>
          <w:color w:val="auto"/>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中标供应商不能私自向沿街单位和任何个人私自收取任何费用，在服务期内如发现累计3次的。</w:t>
      </w:r>
    </w:p>
    <w:p>
      <w:pPr>
        <w:pStyle w:val="2"/>
        <w:spacing w:before="120"/>
        <w:ind w:firstLine="241" w:firstLineChars="100"/>
        <w:rPr>
          <w:rFonts w:hint="eastAsia" w:ascii="宋体" w:hAnsi="宋体" w:cs="宋体"/>
          <w:b/>
          <w:bCs/>
          <w:color w:val="auto"/>
        </w:rPr>
      </w:pPr>
      <w:r>
        <w:rPr>
          <w:rFonts w:hint="eastAsia" w:ascii="宋体" w:hAnsi="宋体" w:cs="宋体"/>
          <w:b/>
          <w:bCs/>
          <w:color w:val="auto"/>
        </w:rPr>
        <w:t>（六）费用保障</w:t>
      </w:r>
    </w:p>
    <w:p>
      <w:pPr>
        <w:spacing w:line="360" w:lineRule="auto"/>
        <w:ind w:firstLine="470" w:firstLineChars="196"/>
        <w:rPr>
          <w:rFonts w:hint="eastAsia" w:ascii="宋体" w:hAnsi="宋体" w:cs="宋体"/>
          <w:bCs/>
          <w:color w:val="auto"/>
          <w:sz w:val="24"/>
          <w:szCs w:val="24"/>
          <w:lang w:val="zh-CN"/>
        </w:rPr>
      </w:pPr>
      <w:r>
        <w:rPr>
          <w:rFonts w:hint="eastAsia" w:ascii="宋体" w:hAnsi="宋体" w:cs="宋体"/>
          <w:bCs/>
          <w:color w:val="auto"/>
          <w:sz w:val="24"/>
          <w:szCs w:val="24"/>
          <w:lang w:val="zh-CN"/>
        </w:rPr>
        <w:t>投标</w:t>
      </w:r>
      <w:r>
        <w:rPr>
          <w:rFonts w:hint="eastAsia" w:ascii="宋体" w:hAnsi="宋体" w:cs="宋体"/>
          <w:bCs/>
          <w:color w:val="auto"/>
          <w:sz w:val="24"/>
          <w:szCs w:val="24"/>
          <w:lang w:val="en-US" w:eastAsia="zh-CN"/>
        </w:rPr>
        <w:t>供应商</w:t>
      </w:r>
      <w:r>
        <w:rPr>
          <w:rFonts w:hint="eastAsia" w:ascii="宋体" w:hAnsi="宋体" w:cs="宋体"/>
          <w:bCs/>
          <w:color w:val="auto"/>
          <w:sz w:val="24"/>
          <w:szCs w:val="24"/>
          <w:lang w:val="zh-CN"/>
        </w:rPr>
        <w:t>应严格遵守有关劳动法规，保障职工合法权益，参照《杭州市人民政府办公厅关于进一步解决环卫工人实际困难保障其合法权益的意见》（杭政办〔2008〕14号）和《浙江省关于进一步改善环卫工人工作生活条件促进环卫事业持续健康发展的若干意见》（浙政办发〔2009〕190号）文件精神,投标人在报价中，所有职工工资不得低于建德市最低工资新标准（</w:t>
      </w:r>
      <w:r>
        <w:rPr>
          <w:rFonts w:hint="eastAsia" w:ascii="宋体" w:hAnsi="宋体" w:cs="宋体"/>
          <w:bCs/>
          <w:color w:val="auto"/>
          <w:sz w:val="24"/>
          <w:szCs w:val="24"/>
          <w:lang w:val="en-US" w:eastAsia="zh-CN"/>
        </w:rPr>
        <w:t>2070</w:t>
      </w:r>
      <w:r>
        <w:rPr>
          <w:rFonts w:hint="eastAsia" w:ascii="宋体" w:hAnsi="宋体" w:cs="宋体"/>
          <w:bCs/>
          <w:color w:val="auto"/>
          <w:sz w:val="24"/>
          <w:szCs w:val="24"/>
          <w:lang w:val="zh-CN"/>
        </w:rPr>
        <w:t>元/月）。高温费每人每月300元，全年4个月；社保缴纳人数不少于总人数的百分之四十即</w:t>
      </w:r>
      <w:r>
        <w:rPr>
          <w:rFonts w:hint="eastAsia" w:ascii="宋体" w:hAnsi="宋体" w:cs="宋体"/>
          <w:bCs/>
          <w:color w:val="auto"/>
          <w:sz w:val="24"/>
          <w:szCs w:val="24"/>
        </w:rPr>
        <w:t>32</w:t>
      </w:r>
      <w:r>
        <w:rPr>
          <w:rFonts w:hint="eastAsia" w:ascii="宋体" w:hAnsi="宋体" w:cs="宋体"/>
          <w:bCs/>
          <w:color w:val="auto"/>
          <w:sz w:val="24"/>
          <w:szCs w:val="24"/>
          <w:lang w:val="zh-CN"/>
        </w:rPr>
        <w:t>人；意外保险每人不得低于350元；车辆费用保障每辆不低于</w:t>
      </w:r>
      <w:r>
        <w:rPr>
          <w:rFonts w:hint="eastAsia" w:ascii="宋体" w:hAnsi="宋体" w:cs="宋体"/>
          <w:bCs/>
          <w:color w:val="auto"/>
          <w:sz w:val="24"/>
          <w:szCs w:val="24"/>
        </w:rPr>
        <w:t>10万元；以及人员加班及节假日补贴、工具与服装费等，</w:t>
      </w:r>
      <w:r>
        <w:rPr>
          <w:rFonts w:hint="eastAsia" w:ascii="宋体" w:hAnsi="宋体" w:cs="宋体"/>
          <w:bCs/>
          <w:color w:val="auto"/>
          <w:sz w:val="24"/>
          <w:szCs w:val="24"/>
          <w:lang w:val="zh-CN"/>
        </w:rPr>
        <w:t>税收按国家规定缴纳。合理发放各类补贴、工具与服装费。中标单位在合同履行期间必须保障职工合法权益。如因中标</w:t>
      </w:r>
      <w:r>
        <w:rPr>
          <w:rFonts w:hint="eastAsia" w:ascii="宋体" w:hAnsi="宋体" w:cs="宋体"/>
          <w:bCs/>
          <w:color w:val="auto"/>
          <w:sz w:val="24"/>
          <w:szCs w:val="24"/>
          <w:lang w:val="en-US" w:eastAsia="zh-CN"/>
        </w:rPr>
        <w:t>供应商</w:t>
      </w:r>
      <w:r>
        <w:rPr>
          <w:rFonts w:hint="eastAsia" w:ascii="宋体" w:hAnsi="宋体" w:cs="宋体"/>
          <w:bCs/>
          <w:color w:val="auto"/>
          <w:sz w:val="24"/>
          <w:szCs w:val="24"/>
          <w:lang w:val="zh-CN"/>
        </w:rPr>
        <w:t>违规造成上访或群体性事件的，由中标</w:t>
      </w:r>
      <w:r>
        <w:rPr>
          <w:rFonts w:hint="eastAsia" w:ascii="宋体" w:hAnsi="宋体" w:cs="宋体"/>
          <w:bCs/>
          <w:color w:val="auto"/>
          <w:sz w:val="24"/>
          <w:szCs w:val="24"/>
          <w:lang w:val="en-US" w:eastAsia="zh-CN"/>
        </w:rPr>
        <w:t>供应商</w:t>
      </w:r>
      <w:r>
        <w:rPr>
          <w:rFonts w:hint="eastAsia" w:ascii="宋体" w:hAnsi="宋体" w:cs="宋体"/>
          <w:bCs/>
          <w:color w:val="auto"/>
          <w:sz w:val="24"/>
          <w:szCs w:val="24"/>
          <w:lang w:val="zh-CN"/>
        </w:rPr>
        <w:t>承担一切责任，情节严重的，立即中止协议。</w:t>
      </w:r>
    </w:p>
    <w:p>
      <w:pPr>
        <w:spacing w:line="480" w:lineRule="exact"/>
        <w:rPr>
          <w:rFonts w:hint="eastAsia" w:ascii="宋体" w:hAnsi="宋体" w:cs="宋体"/>
          <w:color w:val="auto"/>
          <w:sz w:val="24"/>
          <w:szCs w:val="24"/>
        </w:rPr>
      </w:pPr>
      <w:r>
        <w:rPr>
          <w:rFonts w:hint="eastAsia" w:ascii="宋体" w:hAnsi="宋体" w:cs="宋体"/>
          <w:b/>
          <w:color w:val="auto"/>
          <w:sz w:val="24"/>
          <w:szCs w:val="24"/>
        </w:rPr>
        <w:t>（七）考核</w:t>
      </w:r>
      <w:r>
        <w:rPr>
          <w:rFonts w:hint="eastAsia" w:ascii="宋体" w:hAnsi="宋体" w:cs="宋体"/>
          <w:b/>
          <w:color w:val="auto"/>
          <w:sz w:val="24"/>
          <w:szCs w:val="24"/>
          <w:lang w:val="en-US" w:eastAsia="zh-CN"/>
        </w:rPr>
        <w:t>办法（</w:t>
      </w:r>
      <w:r>
        <w:rPr>
          <w:rFonts w:hint="eastAsia" w:ascii="宋体" w:hAnsi="宋体" w:cs="宋体"/>
          <w:b/>
          <w:color w:val="auto"/>
          <w:sz w:val="24"/>
          <w:szCs w:val="24"/>
          <w:highlight w:val="none"/>
        </w:rPr>
        <w:t>奖惩</w:t>
      </w:r>
      <w:r>
        <w:rPr>
          <w:rFonts w:hint="eastAsia" w:ascii="宋体" w:hAnsi="宋体" w:cs="宋体"/>
          <w:b/>
          <w:color w:val="auto"/>
          <w:sz w:val="24"/>
          <w:szCs w:val="24"/>
          <w:highlight w:val="none"/>
          <w:lang w:eastAsia="zh-CN"/>
        </w:rPr>
        <w:t>措施）</w:t>
      </w:r>
    </w:p>
    <w:p>
      <w:pPr>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1、为了保证</w:t>
      </w:r>
      <w:r>
        <w:rPr>
          <w:rFonts w:hint="eastAsia" w:ascii="宋体" w:hAnsi="宋体" w:cs="宋体"/>
          <w:color w:val="auto"/>
          <w:sz w:val="24"/>
          <w:szCs w:val="24"/>
          <w:lang w:eastAsia="zh-CN"/>
        </w:rPr>
        <w:t>建德市南峰葛家区块及梅城镇城西片区环卫保洁服务采购项目</w:t>
      </w:r>
      <w:r>
        <w:rPr>
          <w:rFonts w:hint="eastAsia" w:ascii="宋体" w:hAnsi="宋体" w:cs="宋体"/>
          <w:color w:val="auto"/>
          <w:sz w:val="24"/>
          <w:szCs w:val="24"/>
        </w:rPr>
        <w:t>顺利实施，提升保洁服务质量，结合保洁实际情况按月进行考核</w:t>
      </w:r>
      <w:r>
        <w:rPr>
          <w:rFonts w:hint="eastAsia" w:ascii="宋体" w:hAnsi="宋体" w:cs="宋体"/>
          <w:color w:val="auto"/>
          <w:sz w:val="24"/>
          <w:szCs w:val="24"/>
          <w:lang w:eastAsia="zh-CN"/>
        </w:rPr>
        <w:t>，按年度进行奖惩。</w:t>
      </w:r>
      <w:r>
        <w:rPr>
          <w:rFonts w:hint="eastAsia" w:ascii="宋体" w:hAnsi="宋体" w:cs="宋体"/>
          <w:color w:val="auto"/>
          <w:sz w:val="24"/>
          <w:szCs w:val="24"/>
        </w:rPr>
        <w:t>根据考核内容及要求对中标供应商的工作进行评定，根据考核细则逐项计分，每项分值扣完为止。由上级部门进行的检查中发现的问题及工作不到位的加倍扣分。</w:t>
      </w:r>
    </w:p>
    <w:p>
      <w:pPr>
        <w:spacing w:line="360" w:lineRule="auto"/>
        <w:ind w:firstLine="240" w:firstLineChars="100"/>
        <w:rPr>
          <w:rFonts w:hint="eastAsia" w:ascii="宋体" w:hAnsi="宋体" w:eastAsia="宋体" w:cs="宋体"/>
          <w:highlight w:val="none"/>
        </w:rPr>
      </w:pPr>
      <w:r>
        <w:rPr>
          <w:rFonts w:hint="eastAsia" w:ascii="宋体" w:hAnsi="宋体" w:cs="宋体"/>
          <w:color w:val="auto"/>
          <w:sz w:val="24"/>
          <w:szCs w:val="24"/>
        </w:rPr>
        <w:t>2、考核分为日常巡查考核与不定时抽查相结合的方式进行，由梅城镇相关职能部门负责组织实施，考核每月总分值100分，采购单位对中标供应商每月进行一次考核，服务期内有3次考核分未达到85分及以上的， 提前终止保洁合同。每星期不少于一次随机抽查，考核结果当天反馈给中标供应商，次月10日前公布当月考核情况。（详见考核细则表）</w:t>
      </w:r>
    </w:p>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pStyle w:val="80"/>
        <w:rPr>
          <w:rFonts w:hint="eastAsia" w:ascii="宋体" w:hAnsi="宋体" w:eastAsia="宋体" w:cs="宋体"/>
          <w:highlight w:val="none"/>
        </w:rPr>
      </w:pPr>
    </w:p>
    <w:tbl>
      <w:tblPr>
        <w:tblStyle w:val="63"/>
        <w:tblpPr w:leftFromText="180" w:rightFromText="180" w:vertAnchor="page" w:horzAnchor="page" w:tblpX="1181" w:tblpY="1889"/>
        <w:tblW w:w="5823" w:type="pct"/>
        <w:jc w:val="center"/>
        <w:tblLayout w:type="fixed"/>
        <w:tblCellMar>
          <w:top w:w="0" w:type="dxa"/>
          <w:left w:w="0" w:type="dxa"/>
          <w:bottom w:w="0" w:type="dxa"/>
          <w:right w:w="0" w:type="dxa"/>
        </w:tblCellMar>
      </w:tblPr>
      <w:tblGrid>
        <w:gridCol w:w="672"/>
        <w:gridCol w:w="1236"/>
        <w:gridCol w:w="5526"/>
        <w:gridCol w:w="781"/>
        <w:gridCol w:w="720"/>
        <w:gridCol w:w="742"/>
      </w:tblGrid>
      <w:tr>
        <w:tblPrEx>
          <w:tblCellMar>
            <w:top w:w="0" w:type="dxa"/>
            <w:left w:w="0" w:type="dxa"/>
            <w:bottom w:w="0" w:type="dxa"/>
            <w:right w:w="0" w:type="dxa"/>
          </w:tblCellMar>
        </w:tblPrEx>
        <w:trPr>
          <w:trHeight w:val="58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ind w:firstLine="723" w:firstLineChars="300"/>
              <w:rPr>
                <w:rFonts w:hint="eastAsia" w:ascii="宋体" w:hAnsi="宋体" w:cs="宋体"/>
                <w:b/>
                <w:color w:val="auto"/>
                <w:kern w:val="0"/>
                <w:sz w:val="24"/>
                <w:szCs w:val="24"/>
                <w:lang w:bidi="ar"/>
              </w:rPr>
            </w:pPr>
            <w:r>
              <w:rPr>
                <w:rFonts w:hint="eastAsia" w:ascii="宋体" w:hAnsi="宋体" w:cs="宋体"/>
                <w:b/>
                <w:color w:val="auto"/>
                <w:sz w:val="24"/>
                <w:szCs w:val="24"/>
                <w:lang w:eastAsia="zh-CN"/>
              </w:rPr>
              <w:t>建德市南峰葛家区块及梅城镇城西片区环卫保洁服务采购项目</w:t>
            </w:r>
            <w:r>
              <w:rPr>
                <w:rFonts w:hint="eastAsia" w:ascii="宋体" w:hAnsi="宋体" w:cs="宋体"/>
                <w:b/>
                <w:color w:val="auto"/>
                <w:sz w:val="24"/>
                <w:szCs w:val="24"/>
              </w:rPr>
              <w:t>考核细</w:t>
            </w:r>
            <w:r>
              <w:rPr>
                <w:rFonts w:hint="eastAsia" w:ascii="宋体" w:hAnsi="宋体" w:cs="宋体"/>
                <w:b/>
                <w:color w:val="auto"/>
                <w:sz w:val="24"/>
                <w:szCs w:val="24"/>
                <w:lang w:eastAsia="zh-CN"/>
              </w:rPr>
              <w:t>则表</w:t>
            </w:r>
          </w:p>
        </w:tc>
      </w:tr>
      <w:tr>
        <w:tblPrEx>
          <w:tblCellMar>
            <w:top w:w="0" w:type="dxa"/>
            <w:left w:w="0" w:type="dxa"/>
            <w:bottom w:w="0" w:type="dxa"/>
            <w:right w:w="0" w:type="dxa"/>
          </w:tblCellMar>
        </w:tblPrEx>
        <w:trPr>
          <w:trHeight w:val="409"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序号</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考核内容</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评分标准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分值</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得分</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备注</w:t>
            </w:r>
          </w:p>
        </w:tc>
      </w:tr>
      <w:tr>
        <w:tblPrEx>
          <w:tblCellMar>
            <w:top w:w="0" w:type="dxa"/>
            <w:left w:w="0" w:type="dxa"/>
            <w:bottom w:w="0" w:type="dxa"/>
            <w:right w:w="0" w:type="dxa"/>
          </w:tblCellMar>
        </w:tblPrEx>
        <w:trPr>
          <w:trHeight w:val="1364"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Cs/>
                <w:color w:val="auto"/>
                <w:sz w:val="24"/>
                <w:szCs w:val="24"/>
              </w:rPr>
            </w:pPr>
            <w:r>
              <w:rPr>
                <w:rFonts w:hint="eastAsia" w:ascii="宋体" w:hAnsi="宋体" w:cs="宋体"/>
                <w:bCs/>
                <w:color w:val="auto"/>
                <w:kern w:val="0"/>
                <w:sz w:val="24"/>
                <w:szCs w:val="24"/>
                <w:lang w:bidi="ar"/>
              </w:rPr>
              <w:t>道路保洁</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道路无垃圾、无积泥、无积水、无污渍；路面干净、绿地和树圈干净，边角侧石干净，雨水井沟眼畅通干净、道路隔离带无积尘。道路清洗要做到机动车道、非机动车道、人行道，路净线明。（</w:t>
            </w:r>
            <w:r>
              <w:rPr>
                <w:rFonts w:hint="eastAsia" w:ascii="宋体" w:hAnsi="宋体" w:cs="宋体"/>
                <w:color w:val="auto"/>
                <w:kern w:val="0"/>
                <w:sz w:val="24"/>
                <w:szCs w:val="24"/>
                <w:lang w:val="en-US" w:eastAsia="zh-CN" w:bidi="ar"/>
              </w:rPr>
              <w:t>15</w:t>
            </w:r>
            <w:r>
              <w:rPr>
                <w:rFonts w:hint="eastAsia" w:ascii="宋体" w:hAnsi="宋体" w:cs="宋体"/>
                <w:color w:val="auto"/>
                <w:kern w:val="0"/>
                <w:sz w:val="24"/>
                <w:szCs w:val="24"/>
                <w:lang w:bidi="ar"/>
              </w:rPr>
              <w:t>分）每发现一处扣0.5分。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15</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r>
      <w:tr>
        <w:tblPrEx>
          <w:tblCellMar>
            <w:top w:w="0" w:type="dxa"/>
            <w:left w:w="0" w:type="dxa"/>
            <w:bottom w:w="0" w:type="dxa"/>
            <w:right w:w="0" w:type="dxa"/>
          </w:tblCellMar>
        </w:tblPrEx>
        <w:trPr>
          <w:trHeight w:val="806"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Cs/>
                <w:color w:val="auto"/>
                <w:sz w:val="24"/>
                <w:szCs w:val="24"/>
              </w:rPr>
            </w:pPr>
            <w:r>
              <w:rPr>
                <w:rFonts w:hint="eastAsia" w:ascii="宋体" w:hAnsi="宋体" w:cs="宋体"/>
                <w:bCs/>
                <w:color w:val="auto"/>
                <w:kern w:val="0"/>
                <w:sz w:val="24"/>
                <w:szCs w:val="24"/>
                <w:lang w:bidi="ar"/>
              </w:rPr>
              <w:t>水域保洁</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河道、沟渠内无漂浮有色垃圾、无障碍物、无建筑垃圾、无家禽放养。（10分）每发现一处扣0.5分。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10</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r>
      <w:tr>
        <w:tblPrEx>
          <w:tblCellMar>
            <w:top w:w="0" w:type="dxa"/>
            <w:left w:w="0" w:type="dxa"/>
            <w:bottom w:w="0" w:type="dxa"/>
            <w:right w:w="0" w:type="dxa"/>
          </w:tblCellMar>
        </w:tblPrEx>
        <w:trPr>
          <w:trHeight w:val="739"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Cs/>
                <w:color w:val="auto"/>
                <w:sz w:val="24"/>
                <w:szCs w:val="24"/>
              </w:rPr>
            </w:pPr>
            <w:r>
              <w:rPr>
                <w:rFonts w:hint="eastAsia" w:ascii="宋体" w:hAnsi="宋体" w:cs="宋体"/>
                <w:bCs/>
                <w:color w:val="auto"/>
                <w:kern w:val="0"/>
                <w:sz w:val="24"/>
                <w:szCs w:val="24"/>
                <w:lang w:bidi="ar"/>
              </w:rPr>
              <w:t>绿化保洁</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绿化带内无白色垃圾、堆积物，无其他垃圾堆放。（10分）每发现一处扣0.5分。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10</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r>
      <w:tr>
        <w:tblPrEx>
          <w:tblCellMar>
            <w:top w:w="0" w:type="dxa"/>
            <w:left w:w="0" w:type="dxa"/>
            <w:bottom w:w="0" w:type="dxa"/>
            <w:right w:w="0" w:type="dxa"/>
          </w:tblCellMar>
        </w:tblPrEx>
        <w:trPr>
          <w:trHeight w:val="1016"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4</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Cs/>
                <w:color w:val="auto"/>
                <w:sz w:val="24"/>
                <w:szCs w:val="24"/>
              </w:rPr>
            </w:pPr>
            <w:r>
              <w:rPr>
                <w:rFonts w:hint="eastAsia" w:ascii="宋体" w:hAnsi="宋体" w:cs="宋体"/>
                <w:bCs/>
                <w:color w:val="auto"/>
                <w:kern w:val="0"/>
                <w:sz w:val="24"/>
                <w:szCs w:val="24"/>
                <w:lang w:bidi="ar"/>
              </w:rPr>
              <w:t>公厕保洁</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公厕无异味、无蜘蛛网、无蝇，坑内无积便，地上无积水、无杂物堆放；洗手池整洁清爽；设施完善无破损。（5分）每发现一处扣0.5分。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r>
      <w:tr>
        <w:tblPrEx>
          <w:tblCellMar>
            <w:top w:w="0" w:type="dxa"/>
            <w:left w:w="0" w:type="dxa"/>
            <w:bottom w:w="0" w:type="dxa"/>
            <w:right w:w="0" w:type="dxa"/>
          </w:tblCellMar>
        </w:tblPrEx>
        <w:trPr>
          <w:trHeight w:val="993"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城市家居</w:t>
            </w:r>
          </w:p>
          <w:p>
            <w:pPr>
              <w:widowControl/>
              <w:jc w:val="center"/>
              <w:textAlignment w:val="center"/>
              <w:rPr>
                <w:rFonts w:hint="eastAsia" w:ascii="宋体" w:hAnsi="宋体" w:cs="宋体"/>
                <w:bCs/>
                <w:color w:val="auto"/>
                <w:sz w:val="24"/>
                <w:szCs w:val="24"/>
              </w:rPr>
            </w:pPr>
            <w:r>
              <w:rPr>
                <w:rFonts w:hint="eastAsia" w:ascii="宋体" w:hAnsi="宋体" w:cs="宋体"/>
                <w:bCs/>
                <w:color w:val="auto"/>
                <w:kern w:val="0"/>
                <w:sz w:val="24"/>
                <w:szCs w:val="24"/>
                <w:lang w:bidi="ar"/>
              </w:rPr>
              <w:t>保洁</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果壳箱、路灯、公交站牌、城市小品等设施及城市家具干净，无污物无积尘无牛皮癣。（10分）每发现一处扣0.5分。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10</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r>
      <w:tr>
        <w:tblPrEx>
          <w:tblCellMar>
            <w:top w:w="0" w:type="dxa"/>
            <w:left w:w="0" w:type="dxa"/>
            <w:bottom w:w="0" w:type="dxa"/>
            <w:right w:w="0" w:type="dxa"/>
          </w:tblCellMar>
        </w:tblPrEx>
        <w:trPr>
          <w:trHeight w:val="1287"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6</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bCs/>
                <w:color w:val="auto"/>
                <w:sz w:val="24"/>
                <w:szCs w:val="24"/>
              </w:rPr>
            </w:pPr>
            <w:r>
              <w:rPr>
                <w:rFonts w:hint="eastAsia" w:ascii="宋体" w:hAnsi="宋体" w:cs="宋体"/>
                <w:bCs/>
                <w:color w:val="auto"/>
                <w:kern w:val="0"/>
                <w:sz w:val="24"/>
                <w:szCs w:val="24"/>
                <w:lang w:bidi="ar"/>
              </w:rPr>
              <w:t>垃圾分类运输及设施保洁</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分类垃圾桶外观无明显污迹，外观无残标。垃圾桶及时加盖、摆放到位，破损垃圾桶及时更换。果壳箱无积存垃圾、无垃圾满溢，发现满溢及时处理；垃圾按要求分类、定时运输。（20分）每发现一处扣0.5分。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15</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r>
      <w:tr>
        <w:tblPrEx>
          <w:tblCellMar>
            <w:top w:w="0" w:type="dxa"/>
            <w:left w:w="0" w:type="dxa"/>
            <w:bottom w:w="0" w:type="dxa"/>
            <w:right w:w="0" w:type="dxa"/>
          </w:tblCellMar>
        </w:tblPrEx>
        <w:trPr>
          <w:trHeight w:val="986"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7</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宋体" w:hAnsi="宋体" w:cs="宋体"/>
                <w:bCs/>
                <w:color w:val="auto"/>
                <w:sz w:val="24"/>
                <w:szCs w:val="24"/>
              </w:rPr>
            </w:pPr>
            <w:r>
              <w:rPr>
                <w:rFonts w:hint="eastAsia" w:ascii="宋体" w:hAnsi="宋体" w:cs="宋体"/>
                <w:bCs/>
                <w:color w:val="auto"/>
                <w:kern w:val="0"/>
                <w:sz w:val="24"/>
                <w:szCs w:val="24"/>
                <w:lang w:bidi="ar"/>
              </w:rPr>
              <w:t>垃圾分类</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垃圾分类正确无误，专管员定时定点守桶，专管员按要求穿戴工作服，在指定时间指导居民正确投放。（20分）每发现一处扣0.5分。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20</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r>
      <w:tr>
        <w:tblPrEx>
          <w:tblCellMar>
            <w:top w:w="0" w:type="dxa"/>
            <w:left w:w="0" w:type="dxa"/>
            <w:bottom w:w="0" w:type="dxa"/>
            <w:right w:w="0" w:type="dxa"/>
          </w:tblCellMar>
        </w:tblPrEx>
        <w:trPr>
          <w:trHeight w:val="1038"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auto"/>
                <w:sz w:val="24"/>
                <w:szCs w:val="24"/>
              </w:rPr>
            </w:pPr>
            <w:r>
              <w:rPr>
                <w:rFonts w:hint="eastAsia" w:ascii="宋体" w:hAnsi="宋体" w:cs="宋体"/>
                <w:color w:val="auto"/>
                <w:sz w:val="24"/>
                <w:szCs w:val="24"/>
              </w:rPr>
              <w:t>8</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auto"/>
                <w:sz w:val="24"/>
                <w:szCs w:val="24"/>
              </w:rPr>
            </w:pPr>
            <w:r>
              <w:rPr>
                <w:rFonts w:hint="eastAsia" w:ascii="宋体" w:hAnsi="宋体" w:cs="宋体"/>
                <w:color w:val="auto"/>
                <w:sz w:val="24"/>
                <w:szCs w:val="24"/>
              </w:rPr>
              <w:t>其他</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sz w:val="24"/>
                <w:szCs w:val="24"/>
              </w:rPr>
              <w:t>未按规定时间线路进行道路和果壳箱清洗，每次扣1分。在规定时间内未完成案卷处理，公开电话投诉、联动处理环卫工作，每次扣2分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sz w:val="24"/>
                <w:szCs w:val="24"/>
              </w:rPr>
              <w:t>10</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r>
      <w:tr>
        <w:tblPrEx>
          <w:tblCellMar>
            <w:top w:w="0" w:type="dxa"/>
            <w:left w:w="0" w:type="dxa"/>
            <w:bottom w:w="0" w:type="dxa"/>
            <w:right w:w="0" w:type="dxa"/>
          </w:tblCellMar>
        </w:tblPrEx>
        <w:trPr>
          <w:trHeight w:val="743"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团队人员</w:t>
            </w: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default" w:ascii="宋体" w:hAnsi="宋体" w:cs="宋体"/>
                <w:color w:val="auto"/>
                <w:sz w:val="24"/>
                <w:szCs w:val="24"/>
                <w:lang w:val="en-US"/>
              </w:rPr>
            </w:pPr>
            <w:r>
              <w:rPr>
                <w:rFonts w:hint="eastAsia" w:ascii="宋体" w:hAnsi="宋体" w:eastAsia="宋体" w:cs="宋体"/>
                <w:color w:val="auto"/>
                <w:sz w:val="24"/>
                <w:szCs w:val="24"/>
                <w:lang w:val="en-US" w:eastAsia="zh-CN"/>
              </w:rPr>
              <w:t>中标后项目实际实施人员和投标文件中的项目团队人员须一致，采购单位不定期进行抽查。抽查到一次扣1分。</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rPr>
                <w:rFonts w:hint="eastAsia" w:ascii="宋体" w:hAnsi="宋体" w:cs="宋体"/>
                <w:color w:val="auto"/>
                <w:sz w:val="24"/>
                <w:szCs w:val="24"/>
              </w:rPr>
            </w:pPr>
          </w:p>
        </w:tc>
      </w:tr>
      <w:tr>
        <w:tblPrEx>
          <w:tblCellMar>
            <w:top w:w="0" w:type="dxa"/>
            <w:left w:w="0" w:type="dxa"/>
            <w:bottom w:w="0" w:type="dxa"/>
            <w:right w:w="0" w:type="dxa"/>
          </w:tblCellMar>
        </w:tblPrEx>
        <w:trPr>
          <w:trHeight w:val="594" w:hRule="atLeast"/>
          <w:jc w:val="center"/>
        </w:trPr>
        <w:tc>
          <w:tcPr>
            <w:tcW w:w="34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utoSpaceDE w:val="0"/>
              <w:autoSpaceDN w:val="0"/>
              <w:spacing w:line="420" w:lineRule="exact"/>
              <w:ind w:firstLine="600" w:firstLineChars="250"/>
              <w:textAlignment w:val="bottom"/>
              <w:rPr>
                <w:rFonts w:hint="eastAsia" w:ascii="宋体" w:hAnsi="宋体" w:cs="宋体"/>
                <w:color w:val="auto"/>
                <w:sz w:val="24"/>
                <w:szCs w:val="24"/>
              </w:rPr>
            </w:pP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utoSpaceDE w:val="0"/>
              <w:autoSpaceDN w:val="0"/>
              <w:spacing w:line="420" w:lineRule="exact"/>
              <w:ind w:firstLine="600" w:firstLineChars="250"/>
              <w:textAlignment w:val="bottom"/>
              <w:rPr>
                <w:rFonts w:hint="eastAsia" w:ascii="宋体" w:hAnsi="宋体" w:cs="宋体"/>
                <w:color w:val="auto"/>
                <w:sz w:val="24"/>
                <w:szCs w:val="24"/>
              </w:rPr>
            </w:pPr>
          </w:p>
        </w:tc>
        <w:tc>
          <w:tcPr>
            <w:tcW w:w="28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utoSpaceDE w:val="0"/>
              <w:autoSpaceDN w:val="0"/>
              <w:spacing w:line="420" w:lineRule="exact"/>
              <w:ind w:firstLine="600" w:firstLineChars="250"/>
              <w:textAlignment w:val="bottom"/>
              <w:rPr>
                <w:rFonts w:hint="eastAsia" w:ascii="宋体" w:hAnsi="宋体" w:cs="宋体"/>
                <w:color w:val="auto"/>
                <w:sz w:val="24"/>
                <w:szCs w:val="24"/>
              </w:rPr>
            </w:pPr>
            <w:r>
              <w:rPr>
                <w:rFonts w:hint="eastAsia" w:ascii="宋体" w:hAnsi="宋体" w:cs="宋体"/>
                <w:color w:val="auto"/>
                <w:sz w:val="24"/>
                <w:szCs w:val="24"/>
              </w:rPr>
              <w:t>合计</w:t>
            </w:r>
          </w:p>
        </w:tc>
        <w:tc>
          <w:tcPr>
            <w:tcW w:w="40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utoSpaceDE w:val="0"/>
              <w:autoSpaceDN w:val="0"/>
              <w:spacing w:line="420" w:lineRule="exact"/>
              <w:ind w:firstLine="240" w:firstLineChars="100"/>
              <w:textAlignment w:val="bottom"/>
              <w:rPr>
                <w:rFonts w:hint="eastAsia" w:ascii="宋体" w:hAnsi="宋体" w:cs="宋体"/>
                <w:color w:val="auto"/>
                <w:sz w:val="24"/>
                <w:szCs w:val="24"/>
              </w:rPr>
            </w:pPr>
            <w:r>
              <w:rPr>
                <w:rFonts w:hint="eastAsia" w:ascii="宋体" w:hAnsi="宋体" w:cs="宋体"/>
                <w:color w:val="auto"/>
                <w:sz w:val="24"/>
                <w:szCs w:val="24"/>
              </w:rPr>
              <w:t>100</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widowControl/>
              <w:autoSpaceDE w:val="0"/>
              <w:autoSpaceDN w:val="0"/>
              <w:spacing w:line="420" w:lineRule="exact"/>
              <w:ind w:firstLine="600" w:firstLineChars="250"/>
              <w:textAlignment w:val="bottom"/>
              <w:rPr>
                <w:rFonts w:hint="eastAsia" w:ascii="宋体" w:hAnsi="宋体" w:cs="宋体"/>
                <w:color w:val="auto"/>
                <w:sz w:val="24"/>
                <w:szCs w:val="24"/>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pPr>
              <w:widowControl/>
              <w:autoSpaceDE w:val="0"/>
              <w:autoSpaceDN w:val="0"/>
              <w:spacing w:line="420" w:lineRule="exact"/>
              <w:ind w:firstLine="600" w:firstLineChars="250"/>
              <w:textAlignment w:val="bottom"/>
              <w:rPr>
                <w:rFonts w:hint="eastAsia" w:ascii="宋体" w:hAnsi="宋体" w:cs="宋体"/>
                <w:color w:val="auto"/>
                <w:sz w:val="24"/>
                <w:szCs w:val="24"/>
              </w:rPr>
            </w:pPr>
          </w:p>
        </w:tc>
      </w:tr>
    </w:tbl>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pStyle w:val="80"/>
        <w:rPr>
          <w:rFonts w:hint="eastAsia" w:ascii="宋体" w:hAnsi="宋体" w:eastAsia="宋体" w:cs="宋体"/>
          <w:highlight w:val="none"/>
        </w:rPr>
      </w:pPr>
    </w:p>
    <w:p>
      <w:pPr>
        <w:snapToGrid w:val="0"/>
        <w:spacing w:line="360" w:lineRule="auto"/>
        <w:ind w:firstLine="241" w:firstLineChars="1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四、商务条款</w:t>
      </w:r>
    </w:p>
    <w:p>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总体要求</w:t>
      </w:r>
    </w:p>
    <w:p>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必须符合</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文件(包括补充更正，如有)的服务要求，符合国家相关服务标准和招标文件规定标准。</w:t>
      </w:r>
    </w:p>
    <w:p>
      <w:pPr>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eastAsia="宋体" w:cs="宋体"/>
          <w:b/>
          <w:color w:val="000000" w:themeColor="text1"/>
          <w:sz w:val="24"/>
          <w:highlight w:val="none"/>
          <w14:textFill>
            <w14:solidFill>
              <w14:schemeClr w14:val="tx1"/>
            </w14:solidFill>
          </w14:textFill>
        </w:rPr>
        <w:t>）服务期限</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服务期共计两年。本项目合同采取一年一签方式，服务时间自合同签订之日起计算，如一年服务期满，</w:t>
      </w:r>
      <w:r>
        <w:rPr>
          <w:rFonts w:hint="eastAsia" w:ascii="宋体" w:hAnsi="宋体" w:eastAsia="宋体" w:cs="宋体"/>
          <w:sz w:val="24"/>
          <w:highlight w:val="none"/>
          <w:lang w:val="en-US" w:eastAsia="zh-CN"/>
        </w:rPr>
        <w:t>若中标供应商月平均考核分</w:t>
      </w:r>
      <w:r>
        <w:rPr>
          <w:rFonts w:hint="eastAsia" w:ascii="宋体" w:hAnsi="宋体" w:eastAsia="宋体" w:cs="宋体"/>
          <w:sz w:val="24"/>
          <w:highlight w:val="none"/>
        </w:rPr>
        <w:t>达到</w:t>
      </w:r>
      <w:r>
        <w:rPr>
          <w:rFonts w:hint="eastAsia" w:ascii="宋体" w:hAnsi="宋体" w:eastAsia="宋体" w:cs="宋体"/>
          <w:sz w:val="24"/>
          <w:highlight w:val="none"/>
          <w:lang w:val="en-US" w:eastAsia="zh-CN"/>
        </w:rPr>
        <w:t>85</w:t>
      </w:r>
      <w:r>
        <w:rPr>
          <w:rFonts w:hint="eastAsia" w:ascii="宋体" w:hAnsi="宋体" w:eastAsia="宋体" w:cs="宋体"/>
          <w:sz w:val="24"/>
          <w:highlight w:val="none"/>
        </w:rPr>
        <w:t>分及以上</w:t>
      </w:r>
      <w:r>
        <w:rPr>
          <w:rFonts w:hint="eastAsia" w:ascii="宋体" w:hAnsi="宋体" w:eastAsia="宋体" w:cs="宋体"/>
          <w:sz w:val="24"/>
          <w:highlight w:val="none"/>
          <w:lang w:val="en-US" w:eastAsia="zh-CN"/>
        </w:rPr>
        <w:t>且梅城镇在建德市环境卫生（垃圾分类）年度考核前六名</w:t>
      </w:r>
      <w:r>
        <w:rPr>
          <w:rFonts w:hint="eastAsia" w:ascii="宋体" w:hAnsi="宋体" w:eastAsia="宋体" w:cs="宋体"/>
          <w:sz w:val="24"/>
          <w:highlight w:val="none"/>
        </w:rPr>
        <w:t xml:space="preserve">，根据本次中标价格可以续签一年。             </w:t>
      </w:r>
    </w:p>
    <w:p>
      <w:pPr>
        <w:spacing w:line="360" w:lineRule="auto"/>
        <w:ind w:firstLine="482" w:firstLineChars="200"/>
        <w:jc w:val="left"/>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服务要求</w:t>
      </w:r>
    </w:p>
    <w:p>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、中标供应商在履行合同义务期间，应遵守国家有关法律、法规、维护采购单位的合法权益。</w:t>
      </w:r>
    </w:p>
    <w:p>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、中标供应商应组建能够满足本项目服务需要的项目组，按照工作范围和内容完成服务工作，并按约定向采购单位汇报工作进展。</w:t>
      </w:r>
    </w:p>
    <w:p>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、中标供应商应自行承担项目实施过程中的</w:t>
      </w:r>
      <w:r>
        <w:rPr>
          <w:rFonts w:hint="eastAsia" w:ascii="宋体" w:hAnsi="宋体" w:cs="宋体"/>
          <w:bCs/>
          <w:color w:val="000000" w:themeColor="text1"/>
          <w:sz w:val="24"/>
          <w:highlight w:val="none"/>
          <w:lang w:val="en-US" w:eastAsia="zh-CN"/>
          <w14:textFill>
            <w14:solidFill>
              <w14:schemeClr w14:val="tx1"/>
            </w14:solidFill>
          </w14:textFill>
        </w:rPr>
        <w:t>人员</w:t>
      </w:r>
      <w:r>
        <w:rPr>
          <w:rFonts w:hint="eastAsia" w:ascii="宋体" w:hAnsi="宋体" w:eastAsia="宋体" w:cs="宋体"/>
          <w:bCs/>
          <w:color w:val="000000" w:themeColor="text1"/>
          <w:sz w:val="24"/>
          <w:highlight w:val="none"/>
          <w14:textFill>
            <w14:solidFill>
              <w14:schemeClr w14:val="tx1"/>
            </w14:solidFill>
          </w14:textFill>
        </w:rPr>
        <w:t>安全责任，采购单位在任何情况下不承担任何责任。</w:t>
      </w:r>
    </w:p>
    <w:p>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、中标供应商免费提供涉及本项目工作的相关后续服务工作，如</w:t>
      </w:r>
      <w:r>
        <w:rPr>
          <w:rFonts w:hint="eastAsia" w:ascii="宋体" w:hAnsi="宋体" w:eastAsia="宋体" w:cs="宋体"/>
          <w:bCs/>
          <w:color w:val="000000" w:themeColor="text1"/>
          <w:sz w:val="24"/>
          <w:highlight w:val="none"/>
          <w:lang w:val="en-US" w:eastAsia="zh-CN"/>
          <w14:textFill>
            <w14:solidFill>
              <w14:schemeClr w14:val="tx1"/>
            </w14:solidFill>
          </w14:textFill>
        </w:rPr>
        <w:t>人员</w:t>
      </w:r>
      <w:r>
        <w:rPr>
          <w:rFonts w:hint="eastAsia" w:ascii="宋体" w:hAnsi="宋体" w:cs="宋体"/>
          <w:bCs/>
          <w:color w:val="000000" w:themeColor="text1"/>
          <w:sz w:val="24"/>
          <w:highlight w:val="none"/>
          <w:lang w:val="en-US" w:eastAsia="zh-CN"/>
          <w14:textFill>
            <w14:solidFill>
              <w14:schemeClr w14:val="tx1"/>
            </w14:solidFill>
          </w14:textFill>
        </w:rPr>
        <w:t>出</w:t>
      </w:r>
      <w:r>
        <w:rPr>
          <w:rFonts w:hint="eastAsia" w:ascii="宋体" w:hAnsi="宋体" w:eastAsia="宋体" w:cs="宋体"/>
          <w:bCs/>
          <w:color w:val="000000" w:themeColor="text1"/>
          <w:sz w:val="24"/>
          <w:highlight w:val="none"/>
          <w14:textFill>
            <w14:solidFill>
              <w14:schemeClr w14:val="tx1"/>
            </w14:solidFill>
          </w14:textFill>
        </w:rPr>
        <w:t>入等问题，需及时解决。</w:t>
      </w: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、在服务期内，中标供应商应该确保服务范围内的质量标准符合本招标文件要求。</w:t>
      </w:r>
      <w:r>
        <w:rPr>
          <w:rFonts w:hint="eastAsia" w:ascii="宋体" w:hAnsi="宋体" w:eastAsia="宋体" w:cs="宋体"/>
          <w:bCs/>
          <w:color w:val="auto"/>
          <w:sz w:val="24"/>
          <w:highlight w:val="none"/>
        </w:rPr>
        <w:t>当出现问题时，中标供应商应承诺在2小时内响应并提出解决方案，8小时之内到现场对存在问题进行处理，并提出相应防范措施。</w:t>
      </w:r>
    </w:p>
    <w:p>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14:textFill>
            <w14:solidFill>
              <w14:schemeClr w14:val="tx1"/>
            </w14:solidFill>
          </w14:textFill>
        </w:rPr>
        <w:t>中标</w:t>
      </w: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14:textFill>
            <w14:solidFill>
              <w14:schemeClr w14:val="tx1"/>
            </w14:solidFill>
          </w14:textFill>
        </w:rPr>
        <w:t>应遵守采购单位规定的各项规章制度和工作纪律，自觉服从采购单位管理、教育。中标单位需服从采购单位提出的应急物业工作的要求及工作任务，并服从采购单位的管理。</w:t>
      </w:r>
    </w:p>
    <w:p>
      <w:pPr>
        <w:spacing w:line="360" w:lineRule="auto"/>
        <w:ind w:firstLine="480" w:firstLineChars="200"/>
        <w:jc w:val="left"/>
        <w:rPr>
          <w:rFonts w:hint="eastAsia"/>
        </w:rPr>
      </w:pPr>
      <w:r>
        <w:rPr>
          <w:rFonts w:hint="eastAsia" w:ascii="宋体" w:hAnsi="宋体" w:eastAsia="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符合招标文件要求和上级环卫主管部门的要求。</w:t>
      </w:r>
    </w:p>
    <w:p>
      <w:pPr>
        <w:spacing w:line="360" w:lineRule="auto"/>
        <w:ind w:firstLine="241" w:firstLineChars="1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四</w:t>
      </w:r>
      <w:r>
        <w:rPr>
          <w:rFonts w:hint="eastAsia" w:ascii="宋体" w:hAnsi="宋体" w:eastAsia="宋体" w:cs="宋体"/>
          <w:b/>
          <w:color w:val="000000" w:themeColor="text1"/>
          <w:sz w:val="24"/>
          <w:highlight w:val="none"/>
          <w14:textFill>
            <w14:solidFill>
              <w14:schemeClr w14:val="tx1"/>
            </w14:solidFill>
          </w14:textFill>
        </w:rPr>
        <w:t>）付款方式</w:t>
      </w:r>
    </w:p>
    <w:p>
      <w:pP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按财务结算要求，通过银行划帐方式结算。</w:t>
      </w:r>
    </w:p>
    <w:p>
      <w:pPr>
        <w:spacing w:line="360" w:lineRule="auto"/>
        <w:ind w:firstLine="241" w:firstLineChars="1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）项目款的结算</w:t>
      </w:r>
    </w:p>
    <w:p>
      <w:pP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采购单位根据合同、投标文件等资料进行考核。</w:t>
      </w:r>
    </w:p>
    <w:p>
      <w:pP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eastAsia="宋体" w:cs="Times New Roman"/>
          <w:color w:val="auto"/>
          <w:sz w:val="24"/>
          <w:u w:val="none"/>
          <w:lang w:val="en-US" w:eastAsia="zh-CN"/>
        </w:rPr>
        <w:t>本项目采取按月分期付款方式，在月末考核结果出来后</w:t>
      </w:r>
      <w:r>
        <w:rPr>
          <w:rFonts w:hint="eastAsia" w:ascii="宋体" w:hAnsi="宋体" w:cs="Times New Roman"/>
          <w:color w:val="auto"/>
          <w:sz w:val="24"/>
          <w:u w:val="none"/>
          <w:lang w:val="en-US" w:eastAsia="zh-CN"/>
        </w:rPr>
        <w:t>，</w:t>
      </w:r>
      <w:r>
        <w:rPr>
          <w:rFonts w:hint="eastAsia" w:ascii="宋体" w:hAnsi="宋体" w:eastAsia="宋体" w:cs="Times New Roman"/>
          <w:color w:val="auto"/>
          <w:sz w:val="24"/>
          <w:u w:val="none"/>
          <w:lang w:val="en-US" w:eastAsia="zh-CN"/>
        </w:rPr>
        <w:t>按月度根据考核结果按实结算。</w:t>
      </w:r>
    </w:p>
    <w:p>
      <w:pP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eastAsia="宋体" w:cs="Times New Roman"/>
          <w:color w:val="auto"/>
          <w:sz w:val="24"/>
          <w:u w:val="none"/>
          <w:lang w:val="en-US" w:eastAsia="zh-CN"/>
        </w:rPr>
        <w:t>结算时供应商将结款申请1份、发票原件及复印件1份、合同复印件1份和经采购单位验收确认的《建德市政府采购验收反馈表》提交采购单位，采购单位应自收到发票后5个工作日内支付相应款项。</w:t>
      </w:r>
    </w:p>
    <w:p>
      <w:pPr>
        <w:numPr>
          <w:ilvl w:val="0"/>
          <w:numId w:val="0"/>
        </w:numPr>
        <w:spacing w:line="360" w:lineRule="auto"/>
        <w:jc w:val="left"/>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（六）验收</w:t>
      </w:r>
    </w:p>
    <w:p>
      <w:pPr>
        <w:pStyle w:val="2"/>
        <w:numPr>
          <w:ilvl w:val="0"/>
          <w:numId w:val="0"/>
        </w:numPr>
        <w:ind w:firstLine="240" w:firstLineChars="100"/>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1、</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中标供应商应根据</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招标</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文件要求提供服务，采购单位按照</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招标</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文件要求进行考核验收。</w:t>
      </w:r>
    </w:p>
    <w:p>
      <w:pPr>
        <w:pStyle w:val="2"/>
        <w:numPr>
          <w:ilvl w:val="0"/>
          <w:numId w:val="0"/>
        </w:numPr>
        <w:ind w:firstLine="240" w:firstLineChars="100"/>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验收费用由</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供应商承担。</w:t>
      </w:r>
    </w:p>
    <w:p>
      <w:pPr>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七</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履约保证金</w:t>
      </w:r>
    </w:p>
    <w:p>
      <w:pPr>
        <w:spacing w:line="360" w:lineRule="auto"/>
        <w:ind w:firstLine="480" w:firstLineChars="2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本项目</w:t>
      </w:r>
      <w:r>
        <w:rPr>
          <w:rFonts w:hint="eastAsia" w:ascii="宋体" w:hAnsi="宋体" w:cs="宋体"/>
          <w:bCs/>
          <w:color w:val="000000" w:themeColor="text1"/>
          <w:sz w:val="24"/>
          <w:highlight w:val="none"/>
          <w:lang w:val="en-US" w:eastAsia="zh-CN"/>
          <w14:textFill>
            <w14:solidFill>
              <w14:schemeClr w14:val="tx1"/>
            </w14:solidFill>
          </w14:textFill>
        </w:rPr>
        <w:t>不</w:t>
      </w:r>
      <w:r>
        <w:rPr>
          <w:rFonts w:hint="eastAsia" w:ascii="宋体" w:hAnsi="宋体" w:eastAsia="宋体" w:cs="宋体"/>
          <w:bCs/>
          <w:color w:val="000000" w:themeColor="text1"/>
          <w:sz w:val="24"/>
          <w:highlight w:val="none"/>
          <w14:textFill>
            <w14:solidFill>
              <w14:schemeClr w14:val="tx1"/>
            </w14:solidFill>
          </w14:textFill>
        </w:rPr>
        <w:t>收取履约保证金</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pPr>
        <w:adjustRightInd/>
        <w:spacing w:line="360" w:lineRule="auto"/>
        <w:ind w:firstLine="480" w:firstLineChars="200"/>
        <w:rPr>
          <w:rFonts w:hint="eastAsia" w:ascii="宋体" w:hAnsi="宋体" w:eastAsia="宋体" w:cs="宋体"/>
          <w:color w:val="auto"/>
          <w:sz w:val="24"/>
          <w:highlight w:val="none"/>
        </w:rPr>
      </w:pPr>
    </w:p>
    <w:p>
      <w:pPr>
        <w:pStyle w:val="54"/>
        <w:jc w:val="center"/>
        <w:rPr>
          <w:rFonts w:hint="eastAsia" w:ascii="宋体" w:hAnsi="宋体" w:eastAsia="宋体" w:cs="宋体"/>
          <w:color w:val="auto"/>
          <w:sz w:val="24"/>
          <w:highlight w:val="none"/>
        </w:rPr>
      </w:pPr>
    </w:p>
    <w:p>
      <w:pPr>
        <w:spacing w:line="360" w:lineRule="auto"/>
        <w:jc w:val="center"/>
        <w:outlineLvl w:val="0"/>
        <w:rPr>
          <w:rFonts w:hint="eastAsia" w:ascii="宋体" w:hAnsi="宋体" w:eastAsia="宋体" w:cs="宋体"/>
          <w:b/>
          <w:color w:val="auto"/>
          <w:sz w:val="36"/>
          <w:szCs w:val="36"/>
          <w:highlight w:val="none"/>
        </w:rPr>
      </w:pPr>
    </w:p>
    <w:p>
      <w:pPr>
        <w:spacing w:line="360" w:lineRule="auto"/>
        <w:jc w:val="center"/>
        <w:outlineLvl w:val="0"/>
        <w:rPr>
          <w:rFonts w:hint="eastAsia" w:ascii="宋体" w:hAnsi="宋体" w:eastAsia="宋体" w:cs="宋体"/>
          <w:b/>
          <w:color w:val="auto"/>
          <w:sz w:val="36"/>
          <w:szCs w:val="36"/>
          <w:highlight w:val="none"/>
        </w:rPr>
      </w:pPr>
    </w:p>
    <w:p>
      <w:pPr>
        <w:pStyle w:val="4"/>
        <w:rPr>
          <w:rFonts w:hint="eastAsia" w:ascii="宋体" w:hAnsi="宋体" w:eastAsia="宋体" w:cs="宋体"/>
          <w:b/>
          <w:color w:val="auto"/>
          <w:sz w:val="36"/>
          <w:szCs w:val="36"/>
          <w:highlight w:val="none"/>
        </w:rPr>
      </w:pPr>
    </w:p>
    <w:p>
      <w:pPr>
        <w:pStyle w:val="5"/>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5"/>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5"/>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5"/>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5"/>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5"/>
        <w:rPr>
          <w:rFonts w:hint="eastAsia" w:ascii="宋体" w:hAnsi="宋体" w:eastAsia="宋体" w:cs="宋体"/>
          <w:b/>
          <w:color w:val="auto"/>
          <w:sz w:val="36"/>
          <w:szCs w:val="36"/>
          <w:highlight w:val="none"/>
        </w:rPr>
      </w:pPr>
    </w:p>
    <w:p>
      <w:pPr>
        <w:pStyle w:val="6"/>
        <w:rPr>
          <w:rFonts w:hint="eastAsia"/>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4467"/>
      <w:bookmarkEnd w:id="28"/>
      <w:bookmarkStart w:id="29" w:name="_Toc184308098"/>
      <w:bookmarkEnd w:id="29"/>
      <w:bookmarkStart w:id="30" w:name="_Toc184314425"/>
      <w:bookmarkEnd w:id="30"/>
      <w:bookmarkStart w:id="31" w:name="_Toc184313239"/>
      <w:bookmarkEnd w:id="31"/>
      <w:bookmarkStart w:id="32" w:name="_Toc184314480"/>
      <w:bookmarkEnd w:id="32"/>
      <w:bookmarkStart w:id="33" w:name="_Toc184312111"/>
      <w:bookmarkEnd w:id="33"/>
      <w:bookmarkStart w:id="34" w:name="_Toc184310339"/>
      <w:bookmarkEnd w:id="34"/>
      <w:bookmarkStart w:id="35" w:name="_Toc184308087"/>
      <w:bookmarkEnd w:id="35"/>
      <w:bookmarkStart w:id="36" w:name="_Toc184313270"/>
      <w:bookmarkEnd w:id="36"/>
      <w:bookmarkStart w:id="37" w:name="_Toc184308103"/>
      <w:bookmarkEnd w:id="37"/>
      <w:bookmarkStart w:id="38" w:name="_Toc184308038"/>
      <w:bookmarkEnd w:id="38"/>
      <w:bookmarkStart w:id="39" w:name="_Toc184310290"/>
      <w:bookmarkEnd w:id="39"/>
      <w:bookmarkStart w:id="40" w:name="_Toc184312069"/>
      <w:bookmarkEnd w:id="40"/>
      <w:bookmarkStart w:id="41" w:name="_Toc184313273"/>
      <w:bookmarkEnd w:id="41"/>
      <w:bookmarkStart w:id="42" w:name="_Toc184313272"/>
      <w:bookmarkEnd w:id="42"/>
      <w:bookmarkStart w:id="43" w:name="_Toc184310326"/>
      <w:bookmarkEnd w:id="43"/>
      <w:bookmarkStart w:id="44" w:name="_Toc184310278"/>
      <w:bookmarkEnd w:id="44"/>
      <w:bookmarkStart w:id="45" w:name="_Toc184308058"/>
      <w:bookmarkEnd w:id="45"/>
      <w:bookmarkStart w:id="46" w:name="_Toc184312122"/>
      <w:bookmarkEnd w:id="46"/>
      <w:bookmarkStart w:id="47" w:name="_Toc184313257"/>
      <w:bookmarkEnd w:id="47"/>
      <w:bookmarkStart w:id="48" w:name="_Toc184314434"/>
      <w:bookmarkEnd w:id="48"/>
      <w:bookmarkStart w:id="49" w:name="_Toc184310275"/>
      <w:bookmarkEnd w:id="49"/>
      <w:bookmarkStart w:id="50" w:name="_Toc184312127"/>
      <w:bookmarkEnd w:id="50"/>
      <w:bookmarkStart w:id="51" w:name="_Toc184308064"/>
      <w:bookmarkEnd w:id="51"/>
      <w:bookmarkStart w:id="52" w:name="_Toc184310335"/>
      <w:bookmarkEnd w:id="52"/>
      <w:bookmarkStart w:id="53" w:name="_Toc184313261"/>
      <w:bookmarkEnd w:id="53"/>
      <w:bookmarkStart w:id="54" w:name="_Toc184314416"/>
      <w:bookmarkEnd w:id="54"/>
      <w:bookmarkStart w:id="55" w:name="_Toc184310328"/>
      <w:bookmarkEnd w:id="55"/>
      <w:bookmarkStart w:id="56" w:name="_Toc184308082"/>
      <w:bookmarkEnd w:id="56"/>
      <w:bookmarkStart w:id="57" w:name="_Toc184308057"/>
      <w:bookmarkEnd w:id="57"/>
      <w:bookmarkStart w:id="58" w:name="_Toc184308075"/>
      <w:bookmarkEnd w:id="58"/>
      <w:bookmarkStart w:id="59" w:name="_Toc184314473"/>
      <w:bookmarkEnd w:id="59"/>
      <w:bookmarkStart w:id="60" w:name="_Toc184312096"/>
      <w:bookmarkEnd w:id="60"/>
      <w:bookmarkStart w:id="61" w:name="_Toc184308053"/>
      <w:bookmarkEnd w:id="61"/>
      <w:bookmarkStart w:id="62" w:name="_Toc184310279"/>
      <w:bookmarkEnd w:id="62"/>
      <w:bookmarkStart w:id="63" w:name="_Toc184310331"/>
      <w:bookmarkEnd w:id="63"/>
      <w:bookmarkStart w:id="64" w:name="_Toc184312126"/>
      <w:bookmarkEnd w:id="64"/>
      <w:bookmarkStart w:id="65" w:name="_Toc184313258"/>
      <w:bookmarkEnd w:id="65"/>
      <w:bookmarkStart w:id="66" w:name="_Toc184308089"/>
      <w:bookmarkEnd w:id="66"/>
      <w:bookmarkStart w:id="67" w:name="_Toc184314442"/>
      <w:bookmarkEnd w:id="67"/>
      <w:bookmarkStart w:id="68" w:name="_Toc184312077"/>
      <w:bookmarkEnd w:id="68"/>
      <w:bookmarkStart w:id="69" w:name="_Toc184312121"/>
      <w:bookmarkEnd w:id="69"/>
      <w:bookmarkStart w:id="70" w:name="_Toc184313243"/>
      <w:bookmarkEnd w:id="70"/>
      <w:bookmarkStart w:id="71" w:name="_Toc184313292"/>
      <w:bookmarkEnd w:id="71"/>
      <w:bookmarkStart w:id="72" w:name="_Toc184308093"/>
      <w:bookmarkEnd w:id="72"/>
      <w:bookmarkStart w:id="73" w:name="_Toc184313240"/>
      <w:bookmarkEnd w:id="73"/>
      <w:bookmarkStart w:id="74" w:name="_Toc184308094"/>
      <w:bookmarkEnd w:id="74"/>
      <w:bookmarkStart w:id="75" w:name="_Toc184314413"/>
      <w:bookmarkEnd w:id="75"/>
      <w:bookmarkStart w:id="76" w:name="_Toc184312070"/>
      <w:bookmarkEnd w:id="76"/>
      <w:bookmarkStart w:id="77" w:name="_Toc184308097"/>
      <w:bookmarkEnd w:id="77"/>
      <w:bookmarkStart w:id="78" w:name="_Toc184312095"/>
      <w:bookmarkEnd w:id="78"/>
      <w:bookmarkStart w:id="79" w:name="_Toc184314468"/>
      <w:bookmarkEnd w:id="79"/>
      <w:bookmarkStart w:id="80" w:name="_Toc184314422"/>
      <w:bookmarkEnd w:id="80"/>
      <w:bookmarkStart w:id="81" w:name="_Toc184314412"/>
      <w:bookmarkEnd w:id="81"/>
      <w:bookmarkStart w:id="82" w:name="_Toc184310333"/>
      <w:bookmarkEnd w:id="82"/>
      <w:bookmarkStart w:id="83" w:name="_Toc184314458"/>
      <w:bookmarkEnd w:id="83"/>
      <w:bookmarkStart w:id="84" w:name="_Toc184314440"/>
      <w:bookmarkEnd w:id="84"/>
      <w:bookmarkStart w:id="85" w:name="_Toc184310292"/>
      <w:bookmarkEnd w:id="85"/>
      <w:bookmarkStart w:id="86" w:name="_Toc184312082"/>
      <w:bookmarkEnd w:id="86"/>
      <w:bookmarkStart w:id="87" w:name="_Toc184310313"/>
      <w:bookmarkEnd w:id="87"/>
      <w:bookmarkStart w:id="88" w:name="_Toc184312120"/>
      <w:bookmarkEnd w:id="88"/>
      <w:bookmarkStart w:id="89" w:name="_Toc184308065"/>
      <w:bookmarkEnd w:id="89"/>
      <w:bookmarkStart w:id="90" w:name="_Toc184314443"/>
      <w:bookmarkEnd w:id="90"/>
      <w:bookmarkStart w:id="91" w:name="_Toc184314463"/>
      <w:bookmarkEnd w:id="91"/>
      <w:bookmarkStart w:id="92" w:name="_Toc184310276"/>
      <w:bookmarkEnd w:id="92"/>
      <w:bookmarkStart w:id="93" w:name="_Toc184310303"/>
      <w:bookmarkEnd w:id="93"/>
      <w:bookmarkStart w:id="94" w:name="_Toc184313300"/>
      <w:bookmarkEnd w:id="94"/>
      <w:bookmarkStart w:id="95" w:name="_Toc184310316"/>
      <w:bookmarkEnd w:id="95"/>
      <w:bookmarkStart w:id="96" w:name="_Toc184310341"/>
      <w:bookmarkEnd w:id="96"/>
      <w:bookmarkStart w:id="97" w:name="_Toc184308081"/>
      <w:bookmarkEnd w:id="97"/>
      <w:bookmarkStart w:id="98" w:name="_Toc184314466"/>
      <w:bookmarkEnd w:id="98"/>
      <w:bookmarkStart w:id="99" w:name="_Toc184312108"/>
      <w:bookmarkEnd w:id="99"/>
      <w:bookmarkStart w:id="100" w:name="_Toc184314471"/>
      <w:bookmarkEnd w:id="100"/>
      <w:bookmarkStart w:id="101" w:name="_Toc184308037"/>
      <w:bookmarkEnd w:id="101"/>
      <w:bookmarkStart w:id="102" w:name="_Toc184314426"/>
      <w:bookmarkEnd w:id="102"/>
      <w:bookmarkStart w:id="103" w:name="_Toc184310293"/>
      <w:bookmarkEnd w:id="103"/>
      <w:bookmarkStart w:id="104" w:name="_Toc184308047"/>
      <w:bookmarkEnd w:id="104"/>
      <w:bookmarkStart w:id="105" w:name="_Toc184314461"/>
      <w:bookmarkEnd w:id="105"/>
      <w:bookmarkStart w:id="106" w:name="_Toc184312094"/>
      <w:bookmarkEnd w:id="106"/>
      <w:bookmarkStart w:id="107" w:name="_Toc184310298"/>
      <w:bookmarkEnd w:id="107"/>
      <w:bookmarkStart w:id="108" w:name="_Toc184314414"/>
      <w:bookmarkEnd w:id="108"/>
      <w:bookmarkStart w:id="109" w:name="_Toc184314423"/>
      <w:bookmarkEnd w:id="109"/>
      <w:bookmarkStart w:id="110" w:name="_Toc184312105"/>
      <w:bookmarkEnd w:id="110"/>
      <w:bookmarkStart w:id="111" w:name="_Toc184313271"/>
      <w:bookmarkEnd w:id="111"/>
      <w:bookmarkStart w:id="112" w:name="_Toc184312088"/>
      <w:bookmarkEnd w:id="112"/>
      <w:bookmarkStart w:id="113" w:name="_Toc184312114"/>
      <w:bookmarkEnd w:id="113"/>
      <w:bookmarkStart w:id="114" w:name="_Toc184310327"/>
      <w:bookmarkEnd w:id="114"/>
      <w:bookmarkStart w:id="115" w:name="_Toc184312076"/>
      <w:bookmarkEnd w:id="115"/>
      <w:bookmarkStart w:id="116" w:name="_Toc184313259"/>
      <w:bookmarkEnd w:id="116"/>
      <w:bookmarkStart w:id="117" w:name="_Toc184310343"/>
      <w:bookmarkEnd w:id="117"/>
      <w:bookmarkStart w:id="118" w:name="_Toc184313299"/>
      <w:bookmarkEnd w:id="118"/>
      <w:bookmarkStart w:id="119" w:name="_Toc184310323"/>
      <w:bookmarkEnd w:id="119"/>
      <w:bookmarkStart w:id="120" w:name="_Toc184312117"/>
      <w:bookmarkEnd w:id="120"/>
      <w:bookmarkStart w:id="121" w:name="_Toc184314410"/>
      <w:bookmarkEnd w:id="121"/>
      <w:bookmarkStart w:id="122" w:name="_Toc184312101"/>
      <w:bookmarkEnd w:id="122"/>
      <w:bookmarkStart w:id="123" w:name="_Toc184314459"/>
      <w:bookmarkEnd w:id="123"/>
      <w:bookmarkStart w:id="124" w:name="_Toc184312089"/>
      <w:bookmarkEnd w:id="124"/>
      <w:bookmarkStart w:id="125" w:name="_Toc184314451"/>
      <w:bookmarkEnd w:id="125"/>
      <w:bookmarkStart w:id="126" w:name="_Toc184310306"/>
      <w:bookmarkEnd w:id="126"/>
      <w:bookmarkStart w:id="127" w:name="_Toc184312131"/>
      <w:bookmarkEnd w:id="127"/>
      <w:bookmarkStart w:id="128" w:name="_Toc184313275"/>
      <w:bookmarkEnd w:id="128"/>
      <w:bookmarkStart w:id="129" w:name="_Toc184312130"/>
      <w:bookmarkEnd w:id="129"/>
      <w:bookmarkStart w:id="130" w:name="_Toc184308063"/>
      <w:bookmarkEnd w:id="130"/>
      <w:bookmarkStart w:id="131" w:name="_Toc184313289"/>
      <w:bookmarkEnd w:id="131"/>
      <w:bookmarkStart w:id="132" w:name="_Toc184308059"/>
      <w:bookmarkEnd w:id="132"/>
      <w:bookmarkStart w:id="133" w:name="_Toc184312132"/>
      <w:bookmarkEnd w:id="133"/>
      <w:bookmarkStart w:id="134" w:name="_Toc184308036"/>
      <w:bookmarkEnd w:id="134"/>
      <w:bookmarkStart w:id="135" w:name="_Toc184313238"/>
      <w:bookmarkEnd w:id="135"/>
      <w:bookmarkStart w:id="136" w:name="_Toc184308071"/>
      <w:bookmarkEnd w:id="136"/>
      <w:bookmarkStart w:id="137" w:name="_Toc184308041"/>
      <w:bookmarkEnd w:id="137"/>
      <w:bookmarkStart w:id="138" w:name="_Toc184310294"/>
      <w:bookmarkEnd w:id="138"/>
      <w:bookmarkStart w:id="139" w:name="_Toc184314435"/>
      <w:bookmarkEnd w:id="139"/>
      <w:bookmarkStart w:id="140" w:name="_Toc184310322"/>
      <w:bookmarkEnd w:id="140"/>
      <w:bookmarkStart w:id="141" w:name="_Toc184314428"/>
      <w:bookmarkEnd w:id="141"/>
      <w:bookmarkStart w:id="142" w:name="_Toc184313251"/>
      <w:bookmarkEnd w:id="142"/>
      <w:bookmarkStart w:id="143" w:name="_Toc184314433"/>
      <w:bookmarkEnd w:id="143"/>
      <w:bookmarkStart w:id="144" w:name="_Toc184308060"/>
      <w:bookmarkEnd w:id="144"/>
      <w:bookmarkStart w:id="145" w:name="_Toc184313296"/>
      <w:bookmarkEnd w:id="145"/>
      <w:bookmarkStart w:id="146" w:name="_Toc184310315"/>
      <w:bookmarkEnd w:id="146"/>
      <w:bookmarkStart w:id="147" w:name="_Toc184313302"/>
      <w:bookmarkEnd w:id="147"/>
      <w:bookmarkStart w:id="148" w:name="_Toc184313255"/>
      <w:bookmarkEnd w:id="148"/>
      <w:bookmarkStart w:id="149" w:name="_Toc184314415"/>
      <w:bookmarkEnd w:id="149"/>
      <w:bookmarkStart w:id="150" w:name="_Toc184310302"/>
      <w:bookmarkEnd w:id="150"/>
      <w:bookmarkStart w:id="151" w:name="_Toc184314430"/>
      <w:bookmarkEnd w:id="151"/>
      <w:bookmarkStart w:id="152" w:name="_Toc184312135"/>
      <w:bookmarkEnd w:id="152"/>
      <w:bookmarkStart w:id="153" w:name="_Toc184314446"/>
      <w:bookmarkEnd w:id="153"/>
      <w:bookmarkStart w:id="154" w:name="_Toc184314464"/>
      <w:bookmarkEnd w:id="154"/>
      <w:bookmarkStart w:id="155" w:name="_Toc184310295"/>
      <w:bookmarkEnd w:id="155"/>
      <w:bookmarkStart w:id="156" w:name="_Toc184308069"/>
      <w:bookmarkEnd w:id="156"/>
      <w:bookmarkStart w:id="157" w:name="_Toc184312125"/>
      <w:bookmarkEnd w:id="157"/>
      <w:bookmarkStart w:id="158" w:name="_Toc184312103"/>
      <w:bookmarkEnd w:id="158"/>
      <w:bookmarkStart w:id="159" w:name="_Toc184313282"/>
      <w:bookmarkEnd w:id="159"/>
      <w:bookmarkStart w:id="160" w:name="_Toc184310280"/>
      <w:bookmarkEnd w:id="160"/>
      <w:bookmarkStart w:id="161" w:name="_Toc184314437"/>
      <w:bookmarkEnd w:id="161"/>
      <w:bookmarkStart w:id="162" w:name="_Toc184314438"/>
      <w:bookmarkEnd w:id="162"/>
      <w:bookmarkStart w:id="163" w:name="_Toc184313307"/>
      <w:bookmarkEnd w:id="163"/>
      <w:bookmarkStart w:id="164" w:name="_Toc184308056"/>
      <w:bookmarkEnd w:id="164"/>
      <w:bookmarkStart w:id="165" w:name="_Toc184313304"/>
      <w:bookmarkEnd w:id="165"/>
      <w:bookmarkStart w:id="166" w:name="_Toc184312139"/>
      <w:bookmarkEnd w:id="166"/>
      <w:bookmarkStart w:id="167" w:name="_Toc184314436"/>
      <w:bookmarkEnd w:id="167"/>
      <w:bookmarkStart w:id="168" w:name="_Toc184310321"/>
      <w:bookmarkEnd w:id="168"/>
      <w:bookmarkStart w:id="169" w:name="_Toc184313285"/>
      <w:bookmarkEnd w:id="169"/>
      <w:bookmarkStart w:id="170" w:name="_Toc184310307"/>
      <w:bookmarkEnd w:id="170"/>
      <w:bookmarkStart w:id="171" w:name="_Toc184313246"/>
      <w:bookmarkEnd w:id="171"/>
      <w:bookmarkStart w:id="172" w:name="_Toc184310312"/>
      <w:bookmarkEnd w:id="172"/>
      <w:bookmarkStart w:id="173" w:name="_Toc184310319"/>
      <w:bookmarkEnd w:id="173"/>
      <w:bookmarkStart w:id="174" w:name="_Toc184313309"/>
      <w:bookmarkEnd w:id="174"/>
      <w:bookmarkStart w:id="175" w:name="_Toc184314454"/>
      <w:bookmarkEnd w:id="175"/>
      <w:bookmarkStart w:id="176" w:name="_Toc184310277"/>
      <w:bookmarkEnd w:id="176"/>
      <w:bookmarkStart w:id="177" w:name="_Toc184312124"/>
      <w:bookmarkEnd w:id="177"/>
      <w:bookmarkStart w:id="178" w:name="_Toc184308073"/>
      <w:bookmarkEnd w:id="178"/>
      <w:bookmarkStart w:id="179" w:name="_Toc184313279"/>
      <w:bookmarkEnd w:id="179"/>
      <w:bookmarkStart w:id="180" w:name="_Toc184314456"/>
      <w:bookmarkEnd w:id="180"/>
      <w:bookmarkStart w:id="181" w:name="_Toc184308072"/>
      <w:bookmarkEnd w:id="181"/>
      <w:bookmarkStart w:id="182" w:name="_Toc184310330"/>
      <w:bookmarkEnd w:id="182"/>
      <w:bookmarkStart w:id="183" w:name="_Toc184308099"/>
      <w:bookmarkEnd w:id="183"/>
      <w:bookmarkStart w:id="184" w:name="_Toc184308104"/>
      <w:bookmarkEnd w:id="184"/>
      <w:bookmarkStart w:id="185" w:name="_Toc184310296"/>
      <w:bookmarkEnd w:id="185"/>
      <w:bookmarkStart w:id="186" w:name="_Toc184308101"/>
      <w:bookmarkEnd w:id="186"/>
      <w:bookmarkStart w:id="187" w:name="_Toc184308080"/>
      <w:bookmarkEnd w:id="187"/>
      <w:bookmarkStart w:id="188" w:name="_Toc184314452"/>
      <w:bookmarkEnd w:id="188"/>
      <w:bookmarkStart w:id="189" w:name="_Toc184312118"/>
      <w:bookmarkEnd w:id="189"/>
      <w:bookmarkStart w:id="190" w:name="_Toc184308107"/>
      <w:bookmarkEnd w:id="190"/>
      <w:bookmarkStart w:id="191" w:name="_Toc184310272"/>
      <w:bookmarkEnd w:id="191"/>
      <w:bookmarkStart w:id="192" w:name="_Toc184310309"/>
      <w:bookmarkEnd w:id="192"/>
      <w:bookmarkStart w:id="193" w:name="_Toc184308076"/>
      <w:bookmarkEnd w:id="193"/>
      <w:bookmarkStart w:id="194" w:name="_Toc184310304"/>
      <w:bookmarkEnd w:id="194"/>
      <w:bookmarkStart w:id="195" w:name="_Toc184314481"/>
      <w:bookmarkEnd w:id="195"/>
      <w:bookmarkStart w:id="196" w:name="_Toc184313280"/>
      <w:bookmarkEnd w:id="196"/>
      <w:bookmarkStart w:id="197" w:name="_Toc184314453"/>
      <w:bookmarkEnd w:id="197"/>
      <w:bookmarkStart w:id="198" w:name="_Toc184310286"/>
      <w:bookmarkEnd w:id="198"/>
      <w:bookmarkStart w:id="199" w:name="_Toc184313253"/>
      <w:bookmarkEnd w:id="199"/>
      <w:bookmarkStart w:id="200" w:name="_Toc184314411"/>
      <w:bookmarkEnd w:id="200"/>
      <w:bookmarkStart w:id="201" w:name="_Toc184308070"/>
      <w:bookmarkEnd w:id="201"/>
      <w:bookmarkStart w:id="202" w:name="_Toc184310329"/>
      <w:bookmarkEnd w:id="202"/>
      <w:bookmarkStart w:id="203" w:name="_Toc184314421"/>
      <w:bookmarkEnd w:id="203"/>
      <w:bookmarkStart w:id="204" w:name="_Toc184312068"/>
      <w:bookmarkEnd w:id="204"/>
      <w:bookmarkStart w:id="205" w:name="_Toc184310336"/>
      <w:bookmarkEnd w:id="205"/>
      <w:bookmarkStart w:id="206" w:name="_Toc184313286"/>
      <w:bookmarkEnd w:id="206"/>
      <w:bookmarkStart w:id="207" w:name="_Toc184310287"/>
      <w:bookmarkEnd w:id="207"/>
      <w:bookmarkStart w:id="208" w:name="_Toc184312128"/>
      <w:bookmarkEnd w:id="208"/>
      <w:bookmarkStart w:id="209" w:name="_Toc184314441"/>
      <w:bookmarkEnd w:id="209"/>
      <w:bookmarkStart w:id="210" w:name="_Toc184308074"/>
      <w:bookmarkEnd w:id="210"/>
      <w:bookmarkStart w:id="211" w:name="_Toc184312067"/>
      <w:bookmarkEnd w:id="211"/>
      <w:bookmarkStart w:id="212" w:name="_Toc184313247"/>
      <w:bookmarkEnd w:id="212"/>
      <w:bookmarkStart w:id="213" w:name="_Toc184313288"/>
      <w:bookmarkEnd w:id="213"/>
      <w:bookmarkStart w:id="214" w:name="_Toc184313250"/>
      <w:bookmarkEnd w:id="214"/>
      <w:bookmarkStart w:id="215" w:name="_Toc184314418"/>
      <w:bookmarkEnd w:id="215"/>
      <w:bookmarkStart w:id="216" w:name="_Toc184312113"/>
      <w:bookmarkEnd w:id="216"/>
      <w:bookmarkStart w:id="217" w:name="_Toc184308084"/>
      <w:bookmarkEnd w:id="217"/>
      <w:bookmarkStart w:id="218" w:name="_Toc184308061"/>
      <w:bookmarkEnd w:id="218"/>
      <w:bookmarkStart w:id="219" w:name="_Toc184314479"/>
      <w:bookmarkEnd w:id="219"/>
      <w:bookmarkStart w:id="220" w:name="_Toc184308078"/>
      <w:bookmarkEnd w:id="220"/>
      <w:bookmarkStart w:id="221" w:name="_Toc184312079"/>
      <w:bookmarkEnd w:id="221"/>
      <w:bookmarkStart w:id="222" w:name="_Toc184310325"/>
      <w:bookmarkEnd w:id="222"/>
      <w:bookmarkStart w:id="223" w:name="_Toc184312133"/>
      <w:bookmarkEnd w:id="223"/>
      <w:bookmarkStart w:id="224" w:name="_Toc184313281"/>
      <w:bookmarkEnd w:id="224"/>
      <w:bookmarkStart w:id="225" w:name="_Toc184308062"/>
      <w:bookmarkEnd w:id="225"/>
      <w:bookmarkStart w:id="226" w:name="_Toc184310344"/>
      <w:bookmarkEnd w:id="226"/>
      <w:bookmarkStart w:id="227" w:name="_Toc184312100"/>
      <w:bookmarkEnd w:id="227"/>
      <w:bookmarkStart w:id="228" w:name="_Toc184313290"/>
      <w:bookmarkEnd w:id="228"/>
      <w:bookmarkStart w:id="229" w:name="_Toc184312138"/>
      <w:bookmarkEnd w:id="229"/>
      <w:bookmarkStart w:id="230" w:name="_Toc184313306"/>
      <w:bookmarkEnd w:id="230"/>
      <w:bookmarkStart w:id="231" w:name="_Toc184314477"/>
      <w:bookmarkEnd w:id="231"/>
      <w:bookmarkStart w:id="232" w:name="_Toc184313264"/>
      <w:bookmarkEnd w:id="232"/>
      <w:bookmarkStart w:id="233" w:name="_Toc184308077"/>
      <w:bookmarkEnd w:id="233"/>
      <w:bookmarkStart w:id="234" w:name="_Toc184312137"/>
      <w:bookmarkEnd w:id="234"/>
      <w:bookmarkStart w:id="235" w:name="_Toc184308090"/>
      <w:bookmarkEnd w:id="235"/>
      <w:bookmarkStart w:id="236" w:name="_Toc184314476"/>
      <w:bookmarkEnd w:id="236"/>
      <w:bookmarkStart w:id="237" w:name="_Toc184308055"/>
      <w:bookmarkEnd w:id="237"/>
      <w:bookmarkStart w:id="238" w:name="_Toc184310308"/>
      <w:bookmarkEnd w:id="238"/>
      <w:bookmarkStart w:id="239" w:name="_Toc184313303"/>
      <w:bookmarkEnd w:id="239"/>
      <w:bookmarkStart w:id="240" w:name="_Toc184314462"/>
      <w:bookmarkEnd w:id="240"/>
      <w:bookmarkStart w:id="241" w:name="_Toc184312109"/>
      <w:bookmarkEnd w:id="241"/>
      <w:bookmarkStart w:id="242" w:name="_Toc184308052"/>
      <w:bookmarkEnd w:id="242"/>
      <w:bookmarkStart w:id="243" w:name="_Toc184312073"/>
      <w:bookmarkEnd w:id="243"/>
      <w:bookmarkStart w:id="244" w:name="_Toc184312074"/>
      <w:bookmarkEnd w:id="244"/>
      <w:bookmarkStart w:id="245" w:name="_Toc184312116"/>
      <w:bookmarkEnd w:id="245"/>
      <w:bookmarkStart w:id="246" w:name="_Toc184314445"/>
      <w:bookmarkEnd w:id="246"/>
      <w:bookmarkStart w:id="247" w:name="_Toc184313293"/>
      <w:bookmarkEnd w:id="247"/>
      <w:bookmarkStart w:id="248" w:name="_Toc184314417"/>
      <w:bookmarkEnd w:id="248"/>
      <w:bookmarkStart w:id="249" w:name="_Toc184308092"/>
      <w:bookmarkEnd w:id="249"/>
      <w:bookmarkStart w:id="250" w:name="_Toc184308043"/>
      <w:bookmarkEnd w:id="250"/>
      <w:bookmarkStart w:id="251" w:name="_Toc184312075"/>
      <w:bookmarkEnd w:id="251"/>
      <w:bookmarkStart w:id="252" w:name="_Toc184308040"/>
      <w:bookmarkEnd w:id="252"/>
      <w:bookmarkStart w:id="253" w:name="_Toc184313265"/>
      <w:bookmarkEnd w:id="253"/>
      <w:bookmarkStart w:id="254" w:name="_Toc184308088"/>
      <w:bookmarkEnd w:id="254"/>
      <w:bookmarkStart w:id="255" w:name="_Toc184310340"/>
      <w:bookmarkEnd w:id="255"/>
      <w:bookmarkStart w:id="256" w:name="_Toc184308096"/>
      <w:bookmarkEnd w:id="256"/>
      <w:bookmarkStart w:id="257" w:name="_Toc184312104"/>
      <w:bookmarkEnd w:id="257"/>
      <w:bookmarkStart w:id="258" w:name="_Toc184310314"/>
      <w:bookmarkEnd w:id="258"/>
      <w:bookmarkStart w:id="259" w:name="_Toc184314427"/>
      <w:bookmarkEnd w:id="259"/>
      <w:bookmarkStart w:id="260" w:name="_Toc184308083"/>
      <w:bookmarkEnd w:id="260"/>
      <w:bookmarkStart w:id="261" w:name="_Toc184310288"/>
      <w:bookmarkEnd w:id="261"/>
      <w:bookmarkStart w:id="262" w:name="_Toc184310337"/>
      <w:bookmarkEnd w:id="262"/>
      <w:bookmarkStart w:id="263" w:name="_Toc184312078"/>
      <w:bookmarkEnd w:id="263"/>
      <w:bookmarkStart w:id="264" w:name="_Toc184310318"/>
      <w:bookmarkEnd w:id="264"/>
      <w:bookmarkStart w:id="265" w:name="_Toc184310283"/>
      <w:bookmarkEnd w:id="265"/>
      <w:bookmarkStart w:id="266" w:name="_Toc184312112"/>
      <w:bookmarkEnd w:id="266"/>
      <w:bookmarkStart w:id="267" w:name="_Toc184308039"/>
      <w:bookmarkEnd w:id="267"/>
      <w:bookmarkStart w:id="268" w:name="_Toc184314478"/>
      <w:bookmarkEnd w:id="268"/>
      <w:bookmarkStart w:id="269" w:name="_Toc184313263"/>
      <w:bookmarkEnd w:id="269"/>
      <w:bookmarkStart w:id="270" w:name="_Toc184314449"/>
      <w:bookmarkEnd w:id="270"/>
      <w:bookmarkStart w:id="271" w:name="_Toc184308091"/>
      <w:bookmarkEnd w:id="271"/>
      <w:bookmarkStart w:id="272" w:name="_Toc184312087"/>
      <w:bookmarkEnd w:id="272"/>
      <w:bookmarkStart w:id="273" w:name="_Toc184314450"/>
      <w:bookmarkEnd w:id="273"/>
      <w:bookmarkStart w:id="274" w:name="_Toc184313242"/>
      <w:bookmarkEnd w:id="274"/>
      <w:bookmarkStart w:id="275" w:name="_Toc184313287"/>
      <w:bookmarkEnd w:id="275"/>
      <w:bookmarkStart w:id="276" w:name="_Toc184313241"/>
      <w:bookmarkEnd w:id="276"/>
      <w:bookmarkStart w:id="277" w:name="_Toc184312123"/>
      <w:bookmarkEnd w:id="277"/>
      <w:bookmarkStart w:id="278" w:name="_Toc184308102"/>
      <w:bookmarkEnd w:id="278"/>
      <w:bookmarkStart w:id="279" w:name="_Toc184314465"/>
      <w:bookmarkEnd w:id="279"/>
      <w:bookmarkStart w:id="280" w:name="_Toc184313294"/>
      <w:bookmarkEnd w:id="280"/>
      <w:bookmarkStart w:id="281" w:name="_Toc184310338"/>
      <w:bookmarkEnd w:id="281"/>
      <w:bookmarkStart w:id="282" w:name="_Toc184308106"/>
      <w:bookmarkEnd w:id="282"/>
      <w:bookmarkStart w:id="283" w:name="_Toc184314469"/>
      <w:bookmarkEnd w:id="283"/>
      <w:bookmarkStart w:id="284" w:name="_Toc184314470"/>
      <w:bookmarkEnd w:id="284"/>
      <w:bookmarkStart w:id="285" w:name="_Toc184312090"/>
      <w:bookmarkEnd w:id="285"/>
      <w:bookmarkStart w:id="286" w:name="_Toc184314439"/>
      <w:bookmarkEnd w:id="286"/>
      <w:bookmarkStart w:id="287" w:name="_Toc184314475"/>
      <w:bookmarkEnd w:id="287"/>
      <w:bookmarkStart w:id="288" w:name="_Toc184313248"/>
      <w:bookmarkEnd w:id="288"/>
      <w:bookmarkStart w:id="289" w:name="_Toc184314460"/>
      <w:bookmarkEnd w:id="289"/>
      <w:bookmarkStart w:id="290" w:name="_Toc184313249"/>
      <w:bookmarkEnd w:id="290"/>
      <w:bookmarkStart w:id="291" w:name="_Toc184313245"/>
      <w:bookmarkEnd w:id="291"/>
      <w:bookmarkStart w:id="292" w:name="_Toc184313266"/>
      <w:bookmarkEnd w:id="292"/>
      <w:bookmarkStart w:id="293" w:name="_Toc184310317"/>
      <w:bookmarkEnd w:id="293"/>
      <w:bookmarkStart w:id="294" w:name="_Toc184313298"/>
      <w:bookmarkEnd w:id="294"/>
      <w:bookmarkStart w:id="295" w:name="_Toc184312072"/>
      <w:bookmarkEnd w:id="295"/>
      <w:bookmarkStart w:id="296" w:name="_Toc184312102"/>
      <w:bookmarkEnd w:id="296"/>
      <w:bookmarkStart w:id="297" w:name="_Toc184314457"/>
      <w:bookmarkEnd w:id="297"/>
      <w:bookmarkStart w:id="298" w:name="_Toc184312099"/>
      <w:bookmarkEnd w:id="298"/>
      <w:bookmarkStart w:id="299" w:name="_Toc184313277"/>
      <w:bookmarkEnd w:id="299"/>
      <w:bookmarkStart w:id="300" w:name="_Toc184314432"/>
      <w:bookmarkEnd w:id="300"/>
      <w:bookmarkStart w:id="301" w:name="_Toc184308050"/>
      <w:bookmarkEnd w:id="301"/>
      <w:bookmarkStart w:id="302" w:name="_Toc184313260"/>
      <w:bookmarkEnd w:id="302"/>
      <w:bookmarkStart w:id="303" w:name="_Toc184313295"/>
      <w:bookmarkEnd w:id="303"/>
      <w:bookmarkStart w:id="304" w:name="_Toc184313244"/>
      <w:bookmarkEnd w:id="304"/>
      <w:bookmarkStart w:id="305" w:name="_Toc184308051"/>
      <w:bookmarkEnd w:id="305"/>
      <w:bookmarkStart w:id="306" w:name="_Toc184312093"/>
      <w:bookmarkEnd w:id="306"/>
      <w:bookmarkStart w:id="307" w:name="_Toc184312136"/>
      <w:bookmarkEnd w:id="307"/>
      <w:bookmarkStart w:id="308" w:name="_Toc184312106"/>
      <w:bookmarkEnd w:id="308"/>
      <w:bookmarkStart w:id="309" w:name="_Toc184308044"/>
      <w:bookmarkEnd w:id="309"/>
      <w:bookmarkStart w:id="310" w:name="_Toc184308108"/>
      <w:bookmarkEnd w:id="310"/>
      <w:bookmarkStart w:id="311" w:name="_Toc184308048"/>
      <w:bookmarkEnd w:id="311"/>
      <w:bookmarkStart w:id="312" w:name="_Toc184310289"/>
      <w:bookmarkEnd w:id="312"/>
      <w:bookmarkStart w:id="313" w:name="_Toc184310282"/>
      <w:bookmarkEnd w:id="313"/>
      <w:bookmarkStart w:id="314" w:name="_Toc184313254"/>
      <w:bookmarkEnd w:id="314"/>
      <w:bookmarkStart w:id="315" w:name="_Toc184314472"/>
      <w:bookmarkEnd w:id="315"/>
      <w:bookmarkStart w:id="316" w:name="_Toc184313262"/>
      <w:bookmarkEnd w:id="316"/>
      <w:bookmarkStart w:id="317" w:name="_Toc184313297"/>
      <w:bookmarkEnd w:id="317"/>
      <w:bookmarkStart w:id="318" w:name="_Toc184310324"/>
      <w:bookmarkEnd w:id="318"/>
      <w:bookmarkStart w:id="319" w:name="_Toc184314482"/>
      <w:bookmarkEnd w:id="319"/>
      <w:bookmarkStart w:id="320" w:name="_Toc184310297"/>
      <w:bookmarkEnd w:id="320"/>
      <w:bookmarkStart w:id="321" w:name="_Toc184313291"/>
      <w:bookmarkEnd w:id="321"/>
      <w:bookmarkStart w:id="322" w:name="_Toc184312129"/>
      <w:bookmarkEnd w:id="322"/>
      <w:bookmarkStart w:id="323" w:name="_Toc184313301"/>
      <w:bookmarkEnd w:id="323"/>
      <w:bookmarkStart w:id="324" w:name="_Toc184314420"/>
      <w:bookmarkEnd w:id="324"/>
      <w:bookmarkStart w:id="325" w:name="_Toc184312098"/>
      <w:bookmarkEnd w:id="325"/>
      <w:bookmarkStart w:id="326" w:name="_Toc184310284"/>
      <w:bookmarkEnd w:id="326"/>
      <w:bookmarkStart w:id="327" w:name="_Toc184313283"/>
      <w:bookmarkEnd w:id="327"/>
      <w:bookmarkStart w:id="328" w:name="_Toc184313269"/>
      <w:bookmarkEnd w:id="328"/>
      <w:bookmarkStart w:id="329" w:name="_Toc184313267"/>
      <w:bookmarkEnd w:id="329"/>
      <w:bookmarkStart w:id="330" w:name="_Toc184312080"/>
      <w:bookmarkEnd w:id="330"/>
      <w:bookmarkStart w:id="331" w:name="_Toc184313278"/>
      <w:bookmarkEnd w:id="331"/>
      <w:bookmarkStart w:id="332" w:name="_Toc184313276"/>
      <w:bookmarkEnd w:id="332"/>
      <w:bookmarkStart w:id="333" w:name="_Toc184314444"/>
      <w:bookmarkEnd w:id="333"/>
      <w:bookmarkStart w:id="334" w:name="_Toc184308085"/>
      <w:bookmarkEnd w:id="334"/>
      <w:bookmarkStart w:id="335" w:name="_Toc184308066"/>
      <w:bookmarkEnd w:id="335"/>
      <w:bookmarkStart w:id="336" w:name="_Toc184312134"/>
      <w:bookmarkEnd w:id="336"/>
      <w:bookmarkStart w:id="337" w:name="_Toc184312085"/>
      <w:bookmarkEnd w:id="337"/>
      <w:bookmarkStart w:id="338" w:name="_Toc184312071"/>
      <w:bookmarkEnd w:id="338"/>
      <w:bookmarkStart w:id="339" w:name="_Toc184310299"/>
      <w:bookmarkEnd w:id="339"/>
      <w:bookmarkStart w:id="340" w:name="_Toc184312081"/>
      <w:bookmarkEnd w:id="340"/>
      <w:bookmarkStart w:id="341" w:name="_Toc184313284"/>
      <w:bookmarkEnd w:id="341"/>
      <w:bookmarkStart w:id="342" w:name="_Toc184312091"/>
      <w:bookmarkEnd w:id="342"/>
      <w:bookmarkStart w:id="343" w:name="_Toc184310305"/>
      <w:bookmarkEnd w:id="343"/>
      <w:bookmarkStart w:id="344" w:name="_Toc184308086"/>
      <w:bookmarkEnd w:id="344"/>
      <w:bookmarkStart w:id="345" w:name="_Toc184310285"/>
      <w:bookmarkEnd w:id="345"/>
      <w:bookmarkStart w:id="346" w:name="_Toc184314429"/>
      <w:bookmarkEnd w:id="346"/>
      <w:bookmarkStart w:id="347" w:name="_Toc184308079"/>
      <w:bookmarkEnd w:id="347"/>
      <w:bookmarkStart w:id="348" w:name="_Toc184314431"/>
      <w:bookmarkEnd w:id="348"/>
      <w:bookmarkStart w:id="349" w:name="_Toc184308095"/>
      <w:bookmarkEnd w:id="349"/>
      <w:bookmarkStart w:id="350" w:name="_Toc184310342"/>
      <w:bookmarkEnd w:id="350"/>
      <w:bookmarkStart w:id="351" w:name="_Toc184312119"/>
      <w:bookmarkEnd w:id="351"/>
      <w:bookmarkStart w:id="352" w:name="_Toc184308068"/>
      <w:bookmarkEnd w:id="352"/>
      <w:bookmarkStart w:id="353" w:name="_Toc184308046"/>
      <w:bookmarkEnd w:id="353"/>
      <w:bookmarkStart w:id="354" w:name="_Toc184310273"/>
      <w:bookmarkEnd w:id="354"/>
      <w:bookmarkStart w:id="355" w:name="_Toc184314447"/>
      <w:bookmarkEnd w:id="355"/>
      <w:bookmarkStart w:id="356" w:name="_Toc184308054"/>
      <w:bookmarkEnd w:id="356"/>
      <w:bookmarkStart w:id="357" w:name="_Toc184312097"/>
      <w:bookmarkEnd w:id="357"/>
      <w:bookmarkStart w:id="358" w:name="_Toc184313274"/>
      <w:bookmarkEnd w:id="358"/>
      <w:bookmarkStart w:id="359" w:name="_Toc184313305"/>
      <w:bookmarkEnd w:id="359"/>
      <w:bookmarkStart w:id="360" w:name="_Toc184310334"/>
      <w:bookmarkEnd w:id="360"/>
      <w:bookmarkStart w:id="361" w:name="_Toc184312086"/>
      <w:bookmarkEnd w:id="361"/>
      <w:bookmarkStart w:id="362" w:name="_Toc184313256"/>
      <w:bookmarkEnd w:id="362"/>
      <w:bookmarkStart w:id="363" w:name="_Toc184310301"/>
      <w:bookmarkEnd w:id="363"/>
      <w:bookmarkStart w:id="364" w:name="_Toc184312115"/>
      <w:bookmarkEnd w:id="364"/>
      <w:bookmarkStart w:id="365" w:name="_Toc184314455"/>
      <w:bookmarkEnd w:id="365"/>
      <w:bookmarkStart w:id="366" w:name="_Toc184312092"/>
      <w:bookmarkEnd w:id="366"/>
      <w:bookmarkStart w:id="367" w:name="_Toc184308105"/>
      <w:bookmarkEnd w:id="367"/>
      <w:bookmarkStart w:id="368" w:name="_Toc184310281"/>
      <w:bookmarkEnd w:id="368"/>
      <w:bookmarkStart w:id="369" w:name="_Toc184308067"/>
      <w:bookmarkEnd w:id="369"/>
      <w:bookmarkStart w:id="370" w:name="_Toc184308042"/>
      <w:bookmarkEnd w:id="370"/>
      <w:bookmarkStart w:id="371" w:name="_Toc184312083"/>
      <w:bookmarkEnd w:id="371"/>
      <w:bookmarkStart w:id="372" w:name="_Toc184308049"/>
      <w:bookmarkEnd w:id="372"/>
      <w:bookmarkStart w:id="373" w:name="_Toc184314474"/>
      <w:bookmarkEnd w:id="373"/>
      <w:bookmarkStart w:id="374" w:name="_Toc184312110"/>
      <w:bookmarkEnd w:id="374"/>
      <w:bookmarkStart w:id="375" w:name="_Toc184312107"/>
      <w:bookmarkEnd w:id="375"/>
      <w:bookmarkStart w:id="376" w:name="_Toc184314419"/>
      <w:bookmarkEnd w:id="376"/>
      <w:bookmarkStart w:id="377" w:name="_Toc184310274"/>
      <w:bookmarkEnd w:id="377"/>
      <w:bookmarkStart w:id="378" w:name="_Toc184313252"/>
      <w:bookmarkEnd w:id="378"/>
      <w:bookmarkStart w:id="379" w:name="_Toc184314424"/>
      <w:bookmarkEnd w:id="379"/>
      <w:bookmarkStart w:id="380" w:name="_Toc184310311"/>
      <w:bookmarkEnd w:id="380"/>
      <w:bookmarkStart w:id="381" w:name="_Toc184308045"/>
      <w:bookmarkEnd w:id="381"/>
      <w:bookmarkStart w:id="382" w:name="_Toc184312084"/>
      <w:bookmarkEnd w:id="382"/>
      <w:bookmarkStart w:id="383" w:name="_Toc184313268"/>
      <w:bookmarkEnd w:id="383"/>
      <w:bookmarkStart w:id="384" w:name="_Toc184310310"/>
      <w:bookmarkEnd w:id="384"/>
      <w:bookmarkStart w:id="385" w:name="_Toc184310291"/>
      <w:bookmarkEnd w:id="385"/>
      <w:bookmarkStart w:id="386" w:name="_Toc184313308"/>
      <w:bookmarkEnd w:id="386"/>
      <w:bookmarkStart w:id="387" w:name="_Toc184310320"/>
      <w:bookmarkEnd w:id="387"/>
      <w:bookmarkStart w:id="388" w:name="_Toc184313310"/>
      <w:bookmarkEnd w:id="388"/>
      <w:bookmarkStart w:id="389" w:name="_Toc184308100"/>
      <w:bookmarkEnd w:id="389"/>
      <w:bookmarkStart w:id="390" w:name="_Toc184310300"/>
      <w:bookmarkEnd w:id="390"/>
      <w:bookmarkStart w:id="391" w:name="_Toc184310332"/>
      <w:bookmarkEnd w:id="391"/>
      <w:bookmarkStart w:id="392" w:name="_Toc184314448"/>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rPr>
          <w:rFonts w:hint="eastAsia" w:ascii="宋体" w:hAnsi="宋体" w:eastAsia="宋体" w:cs="宋体"/>
          <w:color w:val="auto"/>
          <w:highlight w:val="none"/>
        </w:rPr>
      </w:pPr>
    </w:p>
    <w:tbl>
      <w:tblPr>
        <w:tblStyle w:val="64"/>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794"/>
        <w:gridCol w:w="1013"/>
        <w:gridCol w:w="1330"/>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rPr>
              <w:t>序号</w:t>
            </w:r>
          </w:p>
        </w:tc>
        <w:tc>
          <w:tcPr>
            <w:tcW w:w="3794"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rPr>
              <w:t>评审标准</w:t>
            </w:r>
          </w:p>
        </w:tc>
        <w:tc>
          <w:tcPr>
            <w:tcW w:w="1013" w:type="dxa"/>
            <w:noWrap w:val="0"/>
            <w:vAlign w:val="center"/>
          </w:tcPr>
          <w:p>
            <w:pPr>
              <w:pStyle w:val="130"/>
              <w:spacing w:before="0"/>
              <w:ind w:firstLine="0" w:firstLineChars="0"/>
              <w:jc w:val="center"/>
              <w:rPr>
                <w:rFonts w:hint="eastAsia" w:ascii="宋体" w:hAnsi="宋体" w:eastAsia="宋体" w:cs="仿宋_GB2312"/>
                <w:szCs w:val="24"/>
              </w:rPr>
            </w:pPr>
            <w:r>
              <w:rPr>
                <w:rFonts w:hint="eastAsia" w:ascii="宋体" w:hAnsi="宋体" w:eastAsia="宋体" w:cs="仿宋_GB2312"/>
                <w:szCs w:val="24"/>
              </w:rPr>
              <w:t>权重</w:t>
            </w:r>
          </w:p>
        </w:tc>
        <w:tc>
          <w:tcPr>
            <w:tcW w:w="1330" w:type="dxa"/>
            <w:noWrap w:val="0"/>
            <w:vAlign w:val="center"/>
          </w:tcPr>
          <w:p>
            <w:pPr>
              <w:pStyle w:val="130"/>
              <w:spacing w:before="0"/>
              <w:ind w:firstLine="0" w:firstLineChars="0"/>
              <w:jc w:val="center"/>
              <w:rPr>
                <w:rFonts w:ascii="宋体" w:hAnsi="宋体" w:eastAsia="宋体" w:cs="宋体"/>
                <w:bCs/>
              </w:rPr>
            </w:pPr>
            <w:r>
              <w:rPr>
                <w:rFonts w:hint="eastAsia" w:ascii="宋体" w:hAnsi="宋体" w:eastAsia="宋体" w:cs="宋体"/>
                <w:bCs/>
              </w:rPr>
              <w:t>主观分/客观分属性</w:t>
            </w:r>
          </w:p>
        </w:tc>
        <w:tc>
          <w:tcPr>
            <w:tcW w:w="2299"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宋体"/>
                <w:bCs/>
              </w:rPr>
              <w:t>磋商文件中评审标准相应的商务技术资料目录</w:t>
            </w:r>
            <w:r>
              <w:rPr>
                <w:rFonts w:hint="eastAsia" w:ascii="宋体" w:hAnsi="宋体" w:eastAsia="宋体" w:cs="宋体"/>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1</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根据采购需求提供的项目背景及工作目标，供应商对项目背景是否有着充分了解（0-1.5），对达成工作目标的思路是否科学可行（0-1.5分），最高得3分。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2</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根据投标供应商对本项目现状、存在的问题和保洁服务的难点、要点等问题进行分析，并提出详细的、有针对性的应对措施，每提供一条符合项目要求的得1分，最高4分。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4</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3</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根据投标供应商对服务范围内公厕的保洁（0-1.5）和设施的维修方案（0-1.5）进行评分，最高得3分。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4</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根据投标供应商提供的保洁方案、垃圾收集清运方案，从与采购需求的契合度，方案的针对性、可操作性等方面进行打分，最高得3分。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5</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color w:val="auto"/>
                <w:kern w:val="2"/>
                <w:sz w:val="24"/>
                <w:szCs w:val="24"/>
                <w:lang w:val="en-US" w:eastAsia="zh-CN" w:bidi="ar-SA"/>
              </w:rPr>
              <w:t>根据投标供应商对本次保洁范围内企事业单位、住宅小区、商铺等区域的垃圾分类管理方案打分，最高得3分。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6</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投标供应商提出的总体进度计划安排是否合理、可行、紧凑，包括①工作进度计划的详细、合理性（0-1分）；②时间节点的明确性（0-1分）；③确保服务进度措施的针对性等（0-1分）</w:t>
            </w:r>
            <w:r>
              <w:rPr>
                <w:rFonts w:hint="eastAsia" w:ascii="宋体" w:hAnsi="宋体" w:eastAsia="宋体" w:cs="仿宋_GB2312"/>
                <w:color w:val="auto"/>
                <w:kern w:val="2"/>
                <w:sz w:val="24"/>
                <w:szCs w:val="24"/>
                <w:lang w:val="en-US" w:eastAsia="zh-CN" w:bidi="ar-SA"/>
              </w:rPr>
              <w:t>，最高得</w:t>
            </w:r>
            <w:r>
              <w:rPr>
                <w:rFonts w:hint="eastAsia" w:ascii="宋体" w:hAnsi="宋体" w:cs="仿宋_GB2312"/>
                <w:color w:val="auto"/>
                <w:kern w:val="2"/>
                <w:sz w:val="24"/>
                <w:szCs w:val="24"/>
                <w:lang w:val="en-US" w:eastAsia="zh-CN" w:bidi="ar-SA"/>
              </w:rPr>
              <w:t>3</w:t>
            </w:r>
            <w:r>
              <w:rPr>
                <w:rFonts w:hint="eastAsia" w:ascii="宋体" w:hAnsi="宋体" w:eastAsia="宋体" w:cs="仿宋_GB2312"/>
                <w:color w:val="auto"/>
                <w:kern w:val="2"/>
                <w:sz w:val="24"/>
                <w:szCs w:val="24"/>
                <w:lang w:val="en-US" w:eastAsia="zh-CN" w:bidi="ar-SA"/>
              </w:rPr>
              <w:t>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7</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根据项目实施方案（人员配备0-1分、现场管理制度0-1分、安全管理制度0-1分）等内容进行打分</w:t>
            </w:r>
            <w:r>
              <w:rPr>
                <w:rFonts w:hint="eastAsia" w:ascii="宋体" w:hAnsi="宋体" w:cs="仿宋_GB2312"/>
                <w:kern w:val="2"/>
                <w:sz w:val="24"/>
                <w:szCs w:val="24"/>
                <w:lang w:val="en-US" w:eastAsia="zh-CN" w:bidi="ar-SA"/>
              </w:rPr>
              <w:t>，</w:t>
            </w:r>
            <w:r>
              <w:rPr>
                <w:rFonts w:hint="eastAsia" w:ascii="宋体" w:hAnsi="宋体" w:eastAsia="宋体" w:cs="仿宋_GB2312"/>
                <w:kern w:val="2"/>
                <w:sz w:val="24"/>
                <w:szCs w:val="24"/>
                <w:lang w:val="en-US" w:eastAsia="zh-CN" w:bidi="ar-SA"/>
              </w:rPr>
              <w:t>最高得3分。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8</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根据投标供应商针对本项目提供的保洁服务质量管理措施内容的完整性（0-1分），保洁质量保障措施的可操作性进行打分（0-1分）</w:t>
            </w:r>
            <w:r>
              <w:rPr>
                <w:rFonts w:hint="eastAsia" w:ascii="宋体" w:hAnsi="宋体" w:cs="仿宋_GB2312"/>
                <w:kern w:val="2"/>
                <w:sz w:val="24"/>
                <w:szCs w:val="24"/>
                <w:lang w:val="en-US" w:eastAsia="zh-CN" w:bidi="ar-SA"/>
              </w:rPr>
              <w:t>，</w:t>
            </w:r>
            <w:r>
              <w:rPr>
                <w:rFonts w:hint="eastAsia" w:ascii="宋体" w:hAnsi="宋体" w:eastAsia="宋体" w:cs="仿宋_GB2312"/>
                <w:kern w:val="2"/>
                <w:sz w:val="24"/>
                <w:szCs w:val="24"/>
                <w:lang w:val="en-US" w:eastAsia="zh-CN" w:bidi="ar-SA"/>
              </w:rPr>
              <w:t>最高</w:t>
            </w:r>
            <w:r>
              <w:rPr>
                <w:rFonts w:hint="eastAsia" w:ascii="宋体" w:hAnsi="宋体" w:cs="仿宋_GB2312"/>
                <w:kern w:val="2"/>
                <w:sz w:val="24"/>
                <w:szCs w:val="24"/>
                <w:lang w:val="en-US" w:eastAsia="zh-CN" w:bidi="ar-SA"/>
              </w:rPr>
              <w:t>得</w:t>
            </w:r>
            <w:r>
              <w:rPr>
                <w:rFonts w:hint="eastAsia" w:ascii="宋体" w:hAnsi="宋体" w:eastAsia="宋体" w:cs="仿宋_GB2312"/>
                <w:kern w:val="2"/>
                <w:sz w:val="24"/>
                <w:szCs w:val="24"/>
                <w:lang w:val="en-US" w:eastAsia="zh-CN" w:bidi="ar-SA"/>
              </w:rPr>
              <w:t>2分。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9</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该项目的管理模式以及组织架构的完善性、科学性、可行性，以及保证项目管理落实到位的具体措施。措施内容完整、考虑周全、全权满足采购需求的得3分，内容缺项或不足的每处扣</w:t>
            </w:r>
            <w:r>
              <w:rPr>
                <w:rFonts w:hint="eastAsia" w:ascii="宋体" w:hAnsi="宋体" w:cs="仿宋_GB2312"/>
                <w:kern w:val="2"/>
                <w:sz w:val="24"/>
                <w:szCs w:val="24"/>
                <w:lang w:val="en-US" w:eastAsia="zh-CN" w:bidi="ar-SA"/>
              </w:rPr>
              <w:t>0-</w:t>
            </w:r>
            <w:r>
              <w:rPr>
                <w:rFonts w:hint="eastAsia" w:ascii="宋体" w:hAnsi="宋体" w:eastAsia="宋体" w:cs="仿宋_GB2312"/>
                <w:kern w:val="2"/>
                <w:sz w:val="24"/>
                <w:szCs w:val="24"/>
                <w:lang w:val="en-US" w:eastAsia="zh-CN" w:bidi="ar-SA"/>
              </w:rPr>
              <w:t>1分，扣完为止。</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10</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针对本项目提供的服务方案、服务响应、服务承诺的可行性、完整性以及服务承诺落实的保障措施进行打分，最高得3分。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11</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根据投标供应商提供城市应急(气象灾害、防汛抗台、抗雪防冻、恶劣天气、卫生防疫)，突发事件处理预案的可操作性、针对性等情况打分，最高3分。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12</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根据投标供应商针对重大活动和节日的应急保洁服务方案的完整性、可行性，设备及人员保障能力进行评分，最高3分。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13</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根据</w:t>
            </w:r>
            <w:r>
              <w:rPr>
                <w:rFonts w:hint="eastAsia" w:ascii="宋体" w:hAnsi="宋体" w:cs="仿宋_GB2312"/>
                <w:color w:val="auto"/>
                <w:kern w:val="2"/>
                <w:sz w:val="24"/>
                <w:szCs w:val="24"/>
                <w:lang w:val="en-US" w:eastAsia="zh-CN" w:bidi="ar-SA"/>
              </w:rPr>
              <w:t>投标</w:t>
            </w:r>
            <w:r>
              <w:rPr>
                <w:rFonts w:hint="eastAsia" w:ascii="宋体" w:hAnsi="宋体" w:eastAsia="宋体" w:cs="仿宋_GB2312"/>
                <w:color w:val="auto"/>
                <w:kern w:val="2"/>
                <w:sz w:val="24"/>
                <w:szCs w:val="24"/>
                <w:lang w:val="en-US" w:eastAsia="zh-CN" w:bidi="ar-SA"/>
              </w:rPr>
              <w:t>供应商针对市长公开投诉电话、群众信访、</w:t>
            </w:r>
            <w:r>
              <w:rPr>
                <w:rFonts w:hint="eastAsia" w:ascii="宋体" w:hAnsi="宋体" w:cs="仿宋_GB2312"/>
                <w:color w:val="auto"/>
                <w:kern w:val="2"/>
                <w:sz w:val="24"/>
                <w:szCs w:val="24"/>
                <w:lang w:val="en-US" w:eastAsia="zh-CN" w:bidi="ar-SA"/>
              </w:rPr>
              <w:t>“</w:t>
            </w:r>
            <w:r>
              <w:rPr>
                <w:rFonts w:hint="eastAsia" w:ascii="宋体" w:hAnsi="宋体" w:eastAsia="宋体" w:cs="仿宋_GB2312"/>
                <w:color w:val="auto"/>
                <w:kern w:val="2"/>
                <w:sz w:val="24"/>
                <w:szCs w:val="24"/>
                <w:lang w:val="zh-CN" w:eastAsia="zh-CN" w:bidi="ar-SA"/>
              </w:rPr>
              <w:t>数字城管</w:t>
            </w:r>
            <w:r>
              <w:rPr>
                <w:rFonts w:hint="eastAsia" w:ascii="宋体" w:hAnsi="宋体" w:cs="仿宋_GB2312"/>
                <w:color w:val="auto"/>
                <w:kern w:val="2"/>
                <w:sz w:val="24"/>
                <w:szCs w:val="24"/>
                <w:lang w:val="en-US" w:eastAsia="zh-CN" w:bidi="ar-SA"/>
              </w:rPr>
              <w:t>”</w:t>
            </w:r>
            <w:r>
              <w:rPr>
                <w:rFonts w:hint="eastAsia" w:ascii="宋体" w:hAnsi="宋体" w:cs="宋体"/>
                <w:color w:val="auto"/>
                <w:sz w:val="24"/>
                <w:szCs w:val="24"/>
              </w:rPr>
              <w:t>采集</w:t>
            </w:r>
            <w:r>
              <w:rPr>
                <w:rFonts w:hint="eastAsia" w:ascii="宋体" w:hAnsi="宋体" w:eastAsia="宋体" w:cs="仿宋_GB2312"/>
                <w:color w:val="auto"/>
                <w:kern w:val="2"/>
                <w:sz w:val="24"/>
                <w:szCs w:val="24"/>
                <w:lang w:val="en-US" w:eastAsia="zh-CN" w:bidi="ar-SA"/>
              </w:rPr>
              <w:t>和投诉处理件及110联动处理等应对方案打分，最高得2分。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14</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lang w:val="en-US" w:eastAsia="zh-CN" w:bidi="ar-SA"/>
              </w:rPr>
              <w:t>拟派本项目负责人具有县级及以上行业主管部门颁发的个人环卫类证书的</w:t>
            </w:r>
            <w:r>
              <w:rPr>
                <w:rFonts w:hint="eastAsia" w:ascii="宋体" w:hAnsi="宋体" w:cs="仿宋_GB2312"/>
                <w:kern w:val="2"/>
                <w:sz w:val="24"/>
                <w:szCs w:val="24"/>
                <w:lang w:val="en-US" w:eastAsia="zh-CN" w:bidi="ar-SA"/>
              </w:rPr>
              <w:t>每提供一个</w:t>
            </w:r>
            <w:r>
              <w:rPr>
                <w:rFonts w:hint="eastAsia" w:ascii="宋体" w:hAnsi="宋体" w:eastAsia="宋体" w:cs="仿宋_GB2312"/>
                <w:kern w:val="2"/>
                <w:sz w:val="24"/>
                <w:szCs w:val="24"/>
                <w:lang w:val="en-US" w:eastAsia="zh-CN" w:bidi="ar-SA"/>
              </w:rPr>
              <w:t>得1分,最高得2分。（须提供相关证明材料及近三个月本单位连续缴纳社保证明复印件并加盖公章）。</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2</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 xml:space="preserve">客观分 </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15</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lang w:val="en-US" w:eastAsia="zh-CN" w:bidi="ar-SA"/>
              </w:rPr>
              <w:t>根据本项目配置专职安全员1名</w:t>
            </w:r>
            <w:r>
              <w:rPr>
                <w:rFonts w:hint="eastAsia" w:ascii="宋体" w:hAnsi="宋体" w:cs="仿宋_GB2312"/>
                <w:kern w:val="2"/>
                <w:sz w:val="24"/>
                <w:szCs w:val="24"/>
                <w:lang w:val="en-US" w:eastAsia="zh-CN" w:bidi="ar-SA"/>
              </w:rPr>
              <w:t>，</w:t>
            </w:r>
            <w:r>
              <w:rPr>
                <w:rFonts w:hint="eastAsia" w:ascii="宋体" w:hAnsi="宋体" w:eastAsia="宋体" w:cs="仿宋_GB2312"/>
                <w:kern w:val="2"/>
                <w:sz w:val="24"/>
                <w:szCs w:val="24"/>
                <w:lang w:val="en-US" w:eastAsia="zh-CN" w:bidi="ar-SA"/>
              </w:rPr>
              <w:t>且具有职能部门颁发的安全员证书（不含协会证书）得2分。(须提供相关证书和近三个月本单位连续缴纳社保证明材料复印件并加盖公章）。</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2</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val="en-US" w:eastAsia="zh-CN"/>
              </w:rPr>
              <w:t>客观分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16</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default" w:ascii="宋体" w:hAnsi="宋体" w:eastAsia="宋体" w:cs="仿宋_GB2312"/>
                <w:kern w:val="2"/>
                <w:sz w:val="24"/>
                <w:szCs w:val="24"/>
                <w:lang w:val="en-US" w:eastAsia="zh-CN" w:bidi="ar-SA"/>
              </w:rPr>
            </w:pPr>
            <w:r>
              <w:rPr>
                <w:rFonts w:hint="default" w:ascii="宋体" w:hAnsi="宋体" w:eastAsia="宋体" w:cs="仿宋_GB2312"/>
                <w:kern w:val="2"/>
                <w:sz w:val="24"/>
                <w:szCs w:val="24"/>
                <w:lang w:val="en-US" w:eastAsia="zh-CN" w:bidi="ar-SA"/>
              </w:rPr>
              <w:t>根据投标供应商承诺中标后合同签订之前针对本项目南峰及城西区域投入保洁需要配备的车辆（12辆车）满足招标文件要求的，每提供1辆得1分，最高得12分。（提供投标单位车辆行驶证复印件和购车发票复印件或租赁合同复印件或承诺函）</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12</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val="en-US" w:eastAsia="zh-CN"/>
              </w:rPr>
              <w:t>客观分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17</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default" w:ascii="宋体" w:hAnsi="宋体" w:eastAsia="宋体" w:cs="仿宋_GB2312"/>
                <w:kern w:val="2"/>
                <w:sz w:val="24"/>
                <w:szCs w:val="24"/>
                <w:lang w:val="en-US" w:eastAsia="zh-CN" w:bidi="ar-SA"/>
              </w:rPr>
            </w:pPr>
            <w:r>
              <w:rPr>
                <w:rFonts w:hint="default" w:ascii="宋体" w:hAnsi="宋体" w:eastAsia="宋体" w:cs="仿宋_GB2312"/>
                <w:kern w:val="2"/>
                <w:sz w:val="24"/>
                <w:szCs w:val="24"/>
                <w:lang w:val="en-US" w:eastAsia="zh-CN" w:bidi="ar-SA"/>
              </w:rPr>
              <w:t>投标供应商承诺投入车辆属于新能源汽车或清洁能源车辆的，每提供一辆得1分，最高得3分。(提供投标单位车辆行驶证复印件和购车发票复印件或租赁合同复印件或承诺函）</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客观分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18</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投标供应商承诺中标后为本项目配备加装式滚雪装置或铲雪装置，得1分。（提供承诺书，不提供不得分）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客观分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19</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投标供应商承诺所有作业车辆安装GPS系统和视频监控系统且每辆车不少于两个监控点的，得1分。（提供承诺书，不提供不得分）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客观分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20</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投标供应商提供具备相应的信息化管理系统和设备，承诺中标后1个月内接入招标人要求的相关系统，供招标人管理使用的得1分。（提供承诺书，不提供不得分）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val="en-US" w:eastAsia="zh-CN"/>
              </w:rPr>
            </w:pPr>
            <w:r>
              <w:rPr>
                <w:rFonts w:hint="eastAsia" w:ascii="宋体" w:hAnsi="宋体" w:eastAsia="宋体" w:cs="仿宋_GB2312"/>
                <w:szCs w:val="24"/>
                <w:lang w:val="en-US" w:eastAsia="zh-CN"/>
              </w:rPr>
              <w:t>客观分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21</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根据投标供应商提供的各项制度：包括劳动纪律、职工奖惩制度、检查、考核制度、职工行为规范制度等进行打分，最高得3分。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22</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对各类人员的培训计划、方式、目标及行为规范的详细、科学、可行性，计划内容完整、考虑周全、全权满足采购需求的得3分，内容缺项或不足的每处扣</w:t>
            </w:r>
            <w:r>
              <w:rPr>
                <w:rFonts w:hint="eastAsia" w:ascii="宋体" w:hAnsi="宋体" w:cs="仿宋_GB2312"/>
                <w:kern w:val="2"/>
                <w:sz w:val="24"/>
                <w:szCs w:val="24"/>
                <w:lang w:val="en-US" w:eastAsia="zh-CN" w:bidi="ar-SA"/>
              </w:rPr>
              <w:t>0-</w:t>
            </w:r>
            <w:r>
              <w:rPr>
                <w:rFonts w:hint="eastAsia" w:ascii="宋体" w:hAnsi="宋体" w:eastAsia="宋体" w:cs="仿宋_GB2312"/>
                <w:kern w:val="2"/>
                <w:sz w:val="24"/>
                <w:szCs w:val="24"/>
                <w:lang w:val="en-US" w:eastAsia="zh-CN" w:bidi="ar-SA"/>
              </w:rPr>
              <w:t>1分，扣完为止。</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23</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承诺在服务周期完成后，进行施工作业的自查和总结，并向采购人提供详细的作业档案书面材料的</w:t>
            </w:r>
            <w:r>
              <w:rPr>
                <w:rFonts w:hint="eastAsia" w:ascii="宋体" w:hAnsi="宋体" w:cs="仿宋_GB2312"/>
                <w:kern w:val="2"/>
                <w:sz w:val="24"/>
                <w:szCs w:val="24"/>
                <w:lang w:val="en-US" w:eastAsia="zh-CN" w:bidi="ar-SA"/>
              </w:rPr>
              <w:t>最高</w:t>
            </w:r>
            <w:bookmarkStart w:id="519" w:name="_GoBack"/>
            <w:bookmarkEnd w:id="519"/>
            <w:r>
              <w:rPr>
                <w:rFonts w:hint="eastAsia" w:ascii="宋体" w:hAnsi="宋体" w:eastAsia="宋体" w:cs="仿宋_GB2312"/>
                <w:kern w:val="2"/>
                <w:sz w:val="24"/>
                <w:szCs w:val="24"/>
                <w:lang w:val="en-US" w:eastAsia="zh-CN" w:bidi="ar-SA"/>
              </w:rPr>
              <w:t>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24</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对日常服务过程形成的记录以及安全生产管理等内容建立台账方案，根据台账方案全面性、合理性进行评分，最高得3分。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25</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根据投标供应商提供对本项目其他增值服务进行打分，每提供一项有实质意义的增值服务得1分，最高得2分。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客观分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26</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2020年1月1日以来发生安全有责事故造成人员死亡的，每发生一起扣3分；发生有责安全事故或受伤人员程度达到《道路交通事故受伤人员伤残评定》或《职工工伤与职业病致残程度鉴定标准》规定的最低标准，每发生一起扣1分，发生有责安全事故造成人员受伤的，每发生一起扣1分。</w:t>
            </w:r>
          </w:p>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2020年以来未发生安全有责生产事故的得3分。本项最高得3分。（提供开标截止前1个月内行业主管部门或业主单位证明，未提供证明不得分。）</w:t>
            </w:r>
          </w:p>
        </w:tc>
        <w:tc>
          <w:tcPr>
            <w:tcW w:w="1013" w:type="dxa"/>
            <w:noWrap w:val="0"/>
            <w:vAlign w:val="center"/>
          </w:tcPr>
          <w:p>
            <w:pPr>
              <w:keepNext w:val="0"/>
              <w:keepLines w:val="0"/>
              <w:pageBreakBefore w:val="0"/>
              <w:kinsoku/>
              <w:wordWrap/>
              <w:overflowPunct/>
              <w:topLinePunct w:val="0"/>
              <w:autoSpaceDE/>
              <w:autoSpaceDN/>
              <w:bidi w:val="0"/>
              <w:spacing w:line="360" w:lineRule="exact"/>
              <w:ind w:firstLine="240" w:firstLineChars="100"/>
              <w:textAlignment w:val="auto"/>
              <w:outlineLvl w:val="0"/>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客观分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27</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根据投标供应商的履约能力、诚信水平等情况进行打分，最高得3分。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lang w:eastAsia="zh-CN"/>
              </w:rPr>
              <w:t>主观分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28</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投标供应商提供自2020年1月1日以来（以签约时间为准）类似业绩，每提供一个合同得0.25分，最高得1分。（注：投标文件中须提供相关案例的合同或中标通知书复印件并加盖供应商公章）</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w:t>
            </w:r>
          </w:p>
        </w:tc>
        <w:tc>
          <w:tcPr>
            <w:tcW w:w="1330" w:type="dxa"/>
            <w:noWrap w:val="0"/>
            <w:vAlign w:val="center"/>
          </w:tcPr>
          <w:p>
            <w:pPr>
              <w:pStyle w:val="130"/>
              <w:spacing w:before="0"/>
              <w:ind w:firstLine="0" w:firstLineChars="0"/>
              <w:jc w:val="center"/>
              <w:rPr>
                <w:rFonts w:hint="eastAsia" w:ascii="宋体" w:hAnsi="宋体" w:eastAsia="宋体" w:cs="仿宋_GB2312"/>
                <w:szCs w:val="24"/>
                <w:lang w:eastAsia="zh-CN"/>
              </w:rPr>
            </w:pPr>
            <w:r>
              <w:rPr>
                <w:rFonts w:hint="eastAsia" w:ascii="宋体" w:hAnsi="宋体" w:eastAsia="宋体" w:cs="仿宋_GB2312"/>
                <w:szCs w:val="24"/>
                <w:lang w:eastAsia="zh-CN"/>
              </w:rPr>
              <w:t>客观分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29</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投标供应商具有有效期内的质量管理体系认证证书的、环境管理体系认证证书的、职业健康安全管理体系认证证书的，每提供一项得1分，最高</w:t>
            </w:r>
            <w:r>
              <w:rPr>
                <w:rFonts w:hint="eastAsia" w:ascii="宋体" w:hAnsi="宋体" w:cs="仿宋_GB2312"/>
                <w:kern w:val="2"/>
                <w:sz w:val="24"/>
                <w:szCs w:val="24"/>
                <w:lang w:val="en-US" w:eastAsia="zh-CN" w:bidi="ar-SA"/>
              </w:rPr>
              <w:t>得</w:t>
            </w:r>
            <w:r>
              <w:rPr>
                <w:rFonts w:hint="eastAsia" w:ascii="宋体" w:hAnsi="宋体" w:eastAsia="宋体" w:cs="仿宋_GB2312"/>
                <w:kern w:val="2"/>
                <w:sz w:val="24"/>
                <w:szCs w:val="24"/>
                <w:lang w:val="en-US" w:eastAsia="zh-CN" w:bidi="ar-SA"/>
              </w:rPr>
              <w:t>3分。（须提供相关证书复印件加盖公章）</w:t>
            </w:r>
          </w:p>
        </w:tc>
        <w:tc>
          <w:tcPr>
            <w:tcW w:w="1013" w:type="dxa"/>
            <w:noWrap w:val="0"/>
            <w:vAlign w:val="center"/>
          </w:tcPr>
          <w:p>
            <w:pPr>
              <w:keepNext w:val="0"/>
              <w:keepLines w:val="0"/>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1330"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客观分</w:t>
            </w:r>
          </w:p>
        </w:tc>
        <w:tc>
          <w:tcPr>
            <w:tcW w:w="2299"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30</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投标供应商提供自2020年1月1日以来单位承接项目获得县级及以上（不含协会）各类与环境卫生相关的荣誉奖励的，每提供一个得1分，最高得4分。（注：须提供荣誉奖励证书或文件复印件并加盖公章）</w:t>
            </w:r>
          </w:p>
        </w:tc>
        <w:tc>
          <w:tcPr>
            <w:tcW w:w="1013" w:type="dxa"/>
            <w:noWrap w:val="0"/>
            <w:vAlign w:val="center"/>
          </w:tcPr>
          <w:p>
            <w:pPr>
              <w:keepNext w:val="0"/>
              <w:keepLines w:val="0"/>
              <w:pageBreakBefore w:val="0"/>
              <w:kinsoku/>
              <w:wordWrap/>
              <w:overflowPunct/>
              <w:topLinePunct w:val="0"/>
              <w:autoSpaceDE/>
              <w:autoSpaceDN/>
              <w:bidi w:val="0"/>
              <w:spacing w:line="360" w:lineRule="exact"/>
              <w:ind w:firstLine="240" w:firstLineChars="100"/>
              <w:textAlignment w:val="auto"/>
              <w:outlineLvl w:val="0"/>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4</w:t>
            </w:r>
          </w:p>
        </w:tc>
        <w:tc>
          <w:tcPr>
            <w:tcW w:w="1330"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客观分</w:t>
            </w:r>
          </w:p>
        </w:tc>
        <w:tc>
          <w:tcPr>
            <w:tcW w:w="2299"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31</w:t>
            </w:r>
          </w:p>
        </w:tc>
        <w:tc>
          <w:tcPr>
            <w:tcW w:w="3794" w:type="dxa"/>
            <w:noWrap w:val="0"/>
            <w:vAlign w:val="center"/>
          </w:tcPr>
          <w:p>
            <w:pPr>
              <w:keepNext w:val="0"/>
              <w:keepLines w:val="0"/>
              <w:pageBreakBefore w:val="0"/>
              <w:kinsoku/>
              <w:wordWrap/>
              <w:overflowPunct/>
              <w:topLinePunct w:val="0"/>
              <w:autoSpaceDE/>
              <w:autoSpaceDN/>
              <w:bidi w:val="0"/>
              <w:spacing w:line="360" w:lineRule="exact"/>
              <w:textAlignment w:val="auto"/>
              <w:outlineLvl w:val="0"/>
              <w:rPr>
                <w:rFonts w:hint="default" w:ascii="宋体" w:hAnsi="宋体" w:eastAsia="宋体" w:cs="仿宋_GB2312"/>
                <w:kern w:val="2"/>
                <w:sz w:val="24"/>
                <w:szCs w:val="24"/>
                <w:lang w:val="en-US" w:eastAsia="zh-CN" w:bidi="ar-SA"/>
              </w:rPr>
            </w:pPr>
            <w:r>
              <w:rPr>
                <w:rFonts w:hint="eastAsia" w:ascii="宋体" w:hAnsi="宋体" w:cs="仿宋_GB2312"/>
                <w:color w:val="auto"/>
                <w:kern w:val="2"/>
                <w:sz w:val="24"/>
                <w:szCs w:val="24"/>
                <w:highlight w:val="none"/>
                <w:lang w:val="en-US" w:eastAsia="zh-CN" w:bidi="ar-SA"/>
              </w:rPr>
              <w:t>根据</w:t>
            </w:r>
            <w:r>
              <w:rPr>
                <w:rFonts w:hint="eastAsia" w:ascii="宋体" w:hAnsi="宋体" w:cs="仿宋_GB2312"/>
                <w:kern w:val="2"/>
                <w:sz w:val="24"/>
                <w:szCs w:val="24"/>
                <w:highlight w:val="none"/>
                <w:lang w:val="en-US" w:eastAsia="zh-CN" w:bidi="ar-SA"/>
              </w:rPr>
              <w:t>投标供应商针对本项目</w:t>
            </w:r>
            <w:r>
              <w:rPr>
                <w:rFonts w:hint="eastAsia" w:ascii="宋体" w:hAnsi="宋体" w:eastAsia="宋体" w:cs="仿宋_GB2312"/>
                <w:kern w:val="2"/>
                <w:sz w:val="24"/>
                <w:szCs w:val="24"/>
                <w:lang w:val="en-US" w:eastAsia="zh-CN" w:bidi="ar-SA"/>
              </w:rPr>
              <w:t>投入保洁需要配备的车辆</w:t>
            </w:r>
            <w:r>
              <w:rPr>
                <w:rFonts w:hint="eastAsia" w:ascii="宋体" w:hAnsi="宋体" w:cs="仿宋_GB2312"/>
                <w:kern w:val="2"/>
                <w:sz w:val="24"/>
                <w:szCs w:val="24"/>
                <w:highlight w:val="none"/>
                <w:lang w:val="en-US" w:eastAsia="zh-CN" w:bidi="ar-SA"/>
              </w:rPr>
              <w:t>停放方案进行打分，最高得2分。</w:t>
            </w:r>
          </w:p>
        </w:tc>
        <w:tc>
          <w:tcPr>
            <w:tcW w:w="1013"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1330" w:type="dxa"/>
            <w:noWrap w:val="0"/>
            <w:vAlign w:val="center"/>
          </w:tcPr>
          <w:p>
            <w:pPr>
              <w:pStyle w:val="130"/>
              <w:spacing w:before="0"/>
              <w:ind w:firstLine="0" w:firstLineChars="0"/>
              <w:jc w:val="both"/>
              <w:rPr>
                <w:rFonts w:ascii="宋体" w:hAnsi="宋体" w:eastAsia="宋体" w:cs="仿宋_GB2312"/>
                <w:szCs w:val="24"/>
              </w:rPr>
            </w:pPr>
            <w:r>
              <w:rPr>
                <w:rFonts w:hint="eastAsia" w:ascii="宋体" w:hAnsi="宋体" w:cs="仿宋_GB2312"/>
                <w:szCs w:val="24"/>
                <w:lang w:val="en-US" w:eastAsia="zh-CN"/>
              </w:rPr>
              <w:t>主</w:t>
            </w:r>
            <w:r>
              <w:rPr>
                <w:rFonts w:hint="eastAsia" w:ascii="宋体" w:hAnsi="宋体" w:eastAsia="宋体" w:cs="仿宋_GB2312"/>
                <w:szCs w:val="24"/>
                <w:lang w:eastAsia="zh-CN"/>
              </w:rPr>
              <w:t>观分</w:t>
            </w:r>
          </w:p>
        </w:tc>
        <w:tc>
          <w:tcPr>
            <w:tcW w:w="2299" w:type="dxa"/>
            <w:noWrap w:val="0"/>
            <w:vAlign w:val="center"/>
          </w:tcPr>
          <w:p>
            <w:pPr>
              <w:pStyle w:val="130"/>
              <w:spacing w:before="0"/>
              <w:ind w:firstLine="0" w:firstLineChars="0"/>
              <w:jc w:val="center"/>
              <w:rPr>
                <w:rFonts w:ascii="宋体" w:hAnsi="宋体" w:eastAsia="宋体"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pPr>
              <w:pStyle w:val="130"/>
              <w:spacing w:before="0"/>
              <w:ind w:firstLine="0" w:firstLineChars="0"/>
              <w:jc w:val="center"/>
              <w:rPr>
                <w:rFonts w:hint="default" w:ascii="宋体" w:hAnsi="宋体" w:eastAsia="宋体" w:cs="仿宋_GB2312"/>
                <w:szCs w:val="24"/>
                <w:lang w:val="en-US" w:eastAsia="zh-CN"/>
              </w:rPr>
            </w:pPr>
            <w:r>
              <w:rPr>
                <w:rFonts w:hint="eastAsia" w:ascii="宋体" w:hAnsi="宋体" w:eastAsia="宋体" w:cs="仿宋_GB2312"/>
                <w:szCs w:val="24"/>
                <w:lang w:val="en-US" w:eastAsia="zh-CN"/>
              </w:rPr>
              <w:t>32</w:t>
            </w:r>
          </w:p>
        </w:tc>
        <w:tc>
          <w:tcPr>
            <w:tcW w:w="3794" w:type="dxa"/>
            <w:noWrap w:val="0"/>
            <w:vAlign w:val="center"/>
          </w:tcPr>
          <w:p>
            <w:pPr>
              <w:spacing w:line="360" w:lineRule="auto"/>
              <w:outlineLvl w:val="0"/>
              <w:rPr>
                <w:rFonts w:ascii="宋体" w:hAnsi="宋体" w:eastAsia="宋体" w:cs="宋体"/>
                <w:sz w:val="24"/>
              </w:rPr>
            </w:pPr>
            <w:r>
              <w:rPr>
                <w:rFonts w:hint="eastAsia" w:ascii="宋体" w:hAnsi="宋体" w:eastAsia="宋体" w:cs="宋体"/>
                <w:sz w:val="24"/>
              </w:rPr>
              <w:t>有效最后报价的最低价作为评审基准价，其最低报价为满分；按［最后报价得分=（评审基准价/最后报价）*10］的计算公式计算。</w:t>
            </w:r>
          </w:p>
          <w:p>
            <w:pPr>
              <w:widowControl/>
              <w:shd w:val="clear" w:color="auto" w:fill="FFFFFF"/>
              <w:adjustRightInd/>
              <w:spacing w:after="225" w:line="315" w:lineRule="atLeast"/>
              <w:ind w:firstLine="420"/>
              <w:jc w:val="left"/>
              <w:rPr>
                <w:rFonts w:hint="eastAsia" w:ascii="宋体" w:hAnsi="宋体" w:eastAsia="宋体" w:cs="仿宋_GB2312"/>
                <w:szCs w:val="24"/>
                <w:lang w:eastAsia="zh-CN"/>
              </w:rPr>
            </w:pPr>
            <w:r>
              <w:rPr>
                <w:rFonts w:hint="eastAsia" w:ascii="宋体" w:hAnsi="宋体" w:eastAsia="宋体" w:cs="宋体"/>
                <w:sz w:val="24"/>
              </w:rPr>
              <w:t>评审过程中，不得去掉报价中的最高报价和最低报价。</w:t>
            </w:r>
          </w:p>
        </w:tc>
        <w:tc>
          <w:tcPr>
            <w:tcW w:w="1013" w:type="dxa"/>
            <w:noWrap w:val="0"/>
            <w:vAlign w:val="center"/>
          </w:tcPr>
          <w:p>
            <w:pPr>
              <w:pStyle w:val="130"/>
              <w:spacing w:before="0"/>
              <w:ind w:firstLine="0" w:firstLineChars="0"/>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10</w:t>
            </w:r>
          </w:p>
        </w:tc>
        <w:tc>
          <w:tcPr>
            <w:tcW w:w="1330"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rPr>
              <w:t>/</w:t>
            </w:r>
          </w:p>
        </w:tc>
        <w:tc>
          <w:tcPr>
            <w:tcW w:w="2299" w:type="dxa"/>
            <w:noWrap w:val="0"/>
            <w:vAlign w:val="center"/>
          </w:tcPr>
          <w:p>
            <w:pPr>
              <w:pStyle w:val="130"/>
              <w:spacing w:before="0"/>
              <w:ind w:firstLine="0" w:firstLineChars="0"/>
              <w:jc w:val="center"/>
              <w:rPr>
                <w:rFonts w:ascii="宋体" w:hAnsi="宋体" w:eastAsia="宋体" w:cs="仿宋_GB2312"/>
                <w:szCs w:val="24"/>
              </w:rPr>
            </w:pPr>
            <w:r>
              <w:rPr>
                <w:rFonts w:hint="eastAsia" w:ascii="宋体" w:hAnsi="宋体" w:eastAsia="宋体" w:cs="仿宋_GB2312"/>
                <w:szCs w:val="24"/>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0"/>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spacing w:before="120" w:line="22" w:lineRule="atLeast"/>
        <w:ind w:left="960"/>
        <w:rPr>
          <w:rFonts w:hint="eastAsia" w:ascii="宋体" w:hAnsi="宋体" w:cs="宋体"/>
          <w:color w:val="auto"/>
          <w:sz w:val="24"/>
          <w:highlight w:val="none"/>
          <w:u w:val="singl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建德市南峰葛家区块及梅城镇城西片区环卫保洁服务</w:t>
      </w:r>
    </w:p>
    <w:p>
      <w:pPr>
        <w:spacing w:before="120" w:line="22" w:lineRule="atLeast"/>
        <w:ind w:firstLine="2160" w:firstLineChars="900"/>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采购项目</w:t>
      </w:r>
    </w:p>
    <w:p>
      <w:pPr>
        <w:pStyle w:val="598"/>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建德市梅城镇人民政府</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建德市梅城镇人民政府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建德市南峰葛家区块及梅城镇城西片区环卫保洁服务采购项目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建德市梅城镇人民政府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5" w:name="_Toc22967"/>
      <w:bookmarkStart w:id="396" w:name="_Toc28855"/>
      <w:bookmarkStart w:id="397" w:name="_Toc15367"/>
      <w:bookmarkStart w:id="398" w:name="_Toc20421"/>
      <w:bookmarkStart w:id="399" w:name="_Toc19273"/>
      <w:r>
        <w:rPr>
          <w:rFonts w:hint="eastAsia" w:ascii="宋体" w:hAnsi="宋体" w:eastAsia="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0" w:name="_Toc2918"/>
      <w:bookmarkStart w:id="401" w:name="_Toc6773"/>
      <w:bookmarkStart w:id="402" w:name="_Toc18585"/>
      <w:bookmarkStart w:id="403" w:name="_Toc22185"/>
      <w:bookmarkStart w:id="404" w:name="_Toc6311"/>
      <w:r>
        <w:rPr>
          <w:rFonts w:hint="eastAsia" w:ascii="宋体" w:hAnsi="宋体" w:eastAsia="宋体" w:cs="宋体"/>
          <w:b/>
          <w:color w:val="auto"/>
          <w:sz w:val="24"/>
          <w:highlight w:val="none"/>
        </w:rPr>
        <w:t>1.2 标的</w:t>
      </w:r>
      <w:bookmarkEnd w:id="400"/>
      <w:bookmarkEnd w:id="401"/>
      <w:bookmarkEnd w:id="402"/>
      <w:bookmarkEnd w:id="403"/>
      <w:bookmarkEnd w:id="404"/>
    </w:p>
    <w:p>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958"/>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pPr>
        <w:spacing w:line="560" w:lineRule="exact"/>
        <w:ind w:firstLine="480" w:firstLineChars="200"/>
        <w:rPr>
          <w:rFonts w:hint="eastAsia" w:ascii="宋体" w:hAnsi="宋体" w:eastAsia="宋体" w:cs="宋体"/>
          <w:color w:val="auto"/>
          <w:sz w:val="24"/>
          <w:highlight w:val="none"/>
          <w:u w:val="single"/>
        </w:rPr>
      </w:pPr>
      <w:bookmarkStart w:id="405" w:name="_Toc5635"/>
      <w:bookmarkStart w:id="406" w:name="_Toc1386"/>
      <w:bookmarkStart w:id="407" w:name="_Toc4929"/>
      <w:bookmarkStart w:id="408" w:name="_Toc21124"/>
      <w:bookmarkStart w:id="409"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0" w:name="_Toc30506"/>
      <w:bookmarkStart w:id="411" w:name="_Toc30158"/>
      <w:bookmarkStart w:id="412" w:name="_Toc3654"/>
      <w:bookmarkStart w:id="413" w:name="_Toc26916"/>
      <w:bookmarkStart w:id="414"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58"/>
        <w:spacing w:before="0" w:beforeAutospacing="0" w:after="0" w:afterAutospacing="0" w:line="360" w:lineRule="auto"/>
        <w:ind w:firstLine="480"/>
        <w:rPr>
          <w:rFonts w:hint="eastAsia" w:ascii="宋体" w:hAnsi="宋体" w:eastAsia="宋体" w:cs="宋体"/>
          <w:b/>
          <w:color w:val="auto"/>
          <w:highlight w:val="none"/>
        </w:rPr>
      </w:pPr>
      <w:bookmarkStart w:id="415" w:name="_Toc22618"/>
      <w:bookmarkStart w:id="416" w:name="_Toc1814"/>
      <w:bookmarkStart w:id="417" w:name="_Toc10340"/>
      <w:bookmarkStart w:id="418" w:name="_Toc8772"/>
      <w:bookmarkStart w:id="419" w:name="_Toc4760"/>
      <w:bookmarkStart w:id="420" w:name="_Toc11108"/>
      <w:bookmarkStart w:id="421" w:name="_Toc3625"/>
      <w:bookmarkStart w:id="422" w:name="_Toc31421"/>
      <w:r>
        <w:rPr>
          <w:rFonts w:hint="eastAsia" w:ascii="宋体" w:hAnsi="宋体" w:eastAsia="宋体" w:cs="宋体"/>
          <w:b/>
          <w:color w:val="auto"/>
          <w:highlight w:val="none"/>
        </w:rPr>
        <w:t>1.4履约保证金</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rPr>
        <w:t xml:space="preserve">（可根据情况修改）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3" w:name="_Toc5698"/>
      <w:bookmarkStart w:id="424" w:name="_Toc2375"/>
      <w:bookmarkStart w:id="425" w:name="_Toc3079"/>
      <w:bookmarkStart w:id="426" w:name="_Toc24662"/>
      <w:bookmarkStart w:id="427" w:name="_Toc8586"/>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0.0</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lang w:val="en-US"/>
        </w:rPr>
        <w:t>（</w:t>
      </w:r>
      <w:r>
        <w:rPr>
          <w:rFonts w:hint="eastAsia" w:ascii="宋体" w:hAnsi="宋体" w:eastAsia="宋体" w:cs="宋体"/>
          <w:b w:val="0"/>
          <w:bCs w:val="0"/>
          <w:color w:val="auto"/>
          <w:sz w:val="24"/>
          <w:szCs w:val="24"/>
          <w:highlight w:val="none"/>
          <w:lang w:val="en-US"/>
        </w:rPr>
        <w:t xml:space="preserve">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8" w:name="_Toc18683"/>
      <w:bookmarkStart w:id="429" w:name="_Toc30329"/>
      <w:bookmarkStart w:id="430" w:name="_Toc32454"/>
      <w:bookmarkStart w:id="431" w:name="_Toc9497"/>
      <w:bookmarkStart w:id="432"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auto"/>
          <w:sz w:val="24"/>
          <w:highlight w:val="none"/>
        </w:rPr>
      </w:pPr>
      <w:bookmarkStart w:id="433" w:name="_Toc16021"/>
      <w:bookmarkStart w:id="434" w:name="_Toc28375"/>
      <w:bookmarkStart w:id="435" w:name="_Toc15583"/>
      <w:r>
        <w:rPr>
          <w:rFonts w:hint="eastAsia" w:ascii="宋体" w:hAnsi="宋体" w:eastAsia="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6" w:name="_Toc15322"/>
      <w:bookmarkStart w:id="437" w:name="_Toc11173"/>
      <w:bookmarkStart w:id="438" w:name="_Toc7245"/>
      <w:r>
        <w:rPr>
          <w:rFonts w:hint="eastAsia" w:ascii="宋体" w:hAnsi="宋体" w:eastAsia="宋体" w:cs="宋体"/>
          <w:b/>
          <w:color w:val="auto"/>
          <w:sz w:val="24"/>
          <w:highlight w:val="none"/>
        </w:rPr>
        <w:t>2.0 合同生效</w:t>
      </w:r>
      <w:bookmarkEnd w:id="436"/>
      <w:bookmarkEnd w:id="437"/>
      <w:bookmarkEnd w:id="43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70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9" w:name="_Toc31297"/>
      <w:bookmarkStart w:id="440" w:name="_Toc25079"/>
      <w:bookmarkStart w:id="441" w:name="_Toc19680"/>
      <w:bookmarkStart w:id="442" w:name="_Toc5228"/>
      <w:bookmarkStart w:id="443" w:name="_Toc14021"/>
      <w:r>
        <w:rPr>
          <w:rFonts w:hint="eastAsia" w:ascii="宋体" w:hAnsi="宋体" w:eastAsia="宋体" w:cs="宋体"/>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4" w:name="_Toc23289"/>
      <w:bookmarkStart w:id="445" w:name="_Toc16752"/>
      <w:bookmarkStart w:id="446" w:name="_Toc19539"/>
      <w:bookmarkStart w:id="447" w:name="_Toc31402"/>
      <w:bookmarkStart w:id="448" w:name="_Toc3769"/>
      <w:r>
        <w:rPr>
          <w:rFonts w:hint="eastAsia" w:ascii="宋体" w:hAnsi="宋体" w:eastAsia="宋体" w:cs="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9" w:name="_Toc9161"/>
      <w:bookmarkStart w:id="450" w:name="_Toc27945"/>
      <w:bookmarkStart w:id="451" w:name="_Toc12412"/>
      <w:bookmarkStart w:id="452" w:name="_Toc4133"/>
      <w:bookmarkStart w:id="453" w:name="_Toc13673"/>
      <w:r>
        <w:rPr>
          <w:rFonts w:hint="eastAsia" w:ascii="宋体" w:hAnsi="宋体" w:eastAsia="宋体" w:cs="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4" w:name="_Toc26555"/>
      <w:bookmarkStart w:id="455" w:name="_Toc22011"/>
      <w:bookmarkStart w:id="456" w:name="_Toc32670"/>
      <w:bookmarkStart w:id="457" w:name="_Toc15447"/>
      <w:bookmarkStart w:id="458" w:name="_Toc31233"/>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9" w:name="_Toc16163"/>
      <w:bookmarkStart w:id="460" w:name="_Toc18990"/>
      <w:bookmarkStart w:id="461" w:name="_Toc30507"/>
      <w:bookmarkStart w:id="462" w:name="_Toc13154"/>
      <w:bookmarkStart w:id="463" w:name="_Toc13467"/>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7" w:name="_Toc42"/>
      <w:bookmarkStart w:id="468" w:name="_Toc10663"/>
      <w:bookmarkStart w:id="469" w:name="_Toc23368"/>
      <w:bookmarkStart w:id="470" w:name="_Toc21830"/>
      <w:bookmarkStart w:id="471" w:name="_Toc26689"/>
      <w:r>
        <w:rPr>
          <w:rFonts w:hint="eastAsia" w:ascii="宋体" w:hAnsi="宋体" w:eastAsia="宋体" w:cs="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2" w:name="_Toc4720"/>
      <w:bookmarkStart w:id="473" w:name="_Toc14371"/>
      <w:bookmarkStart w:id="474" w:name="_Toc25571"/>
      <w:bookmarkStart w:id="475" w:name="_Toc32494"/>
      <w:bookmarkStart w:id="476" w:name="_Toc26633"/>
      <w:r>
        <w:rPr>
          <w:rFonts w:hint="eastAsia" w:ascii="宋体" w:hAnsi="宋体" w:eastAsia="宋体" w:cs="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7" w:name="_Toc3638"/>
      <w:bookmarkStart w:id="478" w:name="_Toc14115"/>
      <w:bookmarkStart w:id="479" w:name="_Toc24465"/>
      <w:bookmarkStart w:id="480" w:name="_Toc23854"/>
      <w:bookmarkStart w:id="481" w:name="_Toc25783"/>
      <w:r>
        <w:rPr>
          <w:rFonts w:hint="eastAsia" w:ascii="宋体" w:hAnsi="宋体" w:eastAsia="宋体" w:cs="宋体"/>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2" w:name="_Toc26883"/>
      <w:bookmarkStart w:id="483" w:name="_Toc14814"/>
      <w:bookmarkStart w:id="484" w:name="_Toc25525"/>
      <w:bookmarkStart w:id="485" w:name="_Toc30105"/>
      <w:bookmarkStart w:id="486" w:name="_Toc7315"/>
      <w:r>
        <w:rPr>
          <w:rFonts w:hint="eastAsia" w:ascii="宋体" w:hAnsi="宋体" w:eastAsia="宋体" w:cs="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7" w:name="_Toc23323"/>
      <w:bookmarkStart w:id="488" w:name="_Toc1123"/>
      <w:bookmarkStart w:id="489" w:name="_Toc2016"/>
      <w:r>
        <w:rPr>
          <w:rFonts w:hint="eastAsia" w:ascii="宋体" w:hAnsi="宋体" w:eastAsia="宋体" w:cs="宋体"/>
          <w:b/>
          <w:color w:val="auto"/>
          <w:sz w:val="24"/>
          <w:highlight w:val="none"/>
        </w:rPr>
        <w:t>2.14 合同中止、终止</w:t>
      </w:r>
      <w:bookmarkEnd w:id="487"/>
      <w:bookmarkEnd w:id="488"/>
      <w:bookmarkEnd w:id="48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0" w:name="_Toc17363"/>
      <w:bookmarkStart w:id="491" w:name="_Toc14525"/>
      <w:bookmarkStart w:id="492" w:name="_Toc1969"/>
      <w:r>
        <w:rPr>
          <w:rFonts w:hint="eastAsia" w:ascii="宋体" w:hAnsi="宋体" w:eastAsia="宋体" w:cs="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3" w:name="_Toc12666"/>
      <w:bookmarkStart w:id="494" w:name="_Toc2308"/>
      <w:bookmarkStart w:id="495" w:name="_Toc25198"/>
      <w:bookmarkStart w:id="496" w:name="_Toc9808"/>
      <w:bookmarkStart w:id="497" w:name="_Toc31892"/>
      <w:r>
        <w:rPr>
          <w:rFonts w:hint="eastAsia" w:ascii="宋体" w:hAnsi="宋体" w:eastAsia="宋体" w:cs="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eastAsia="宋体" w:cs="宋体"/>
          <w:b/>
          <w:color w:val="auto"/>
          <w:sz w:val="24"/>
          <w:highlight w:val="none"/>
        </w:rPr>
      </w:pPr>
      <w:bookmarkStart w:id="500" w:name="_Toc12254"/>
      <w:bookmarkStart w:id="501" w:name="_Toc5063"/>
      <w:bookmarkStart w:id="502" w:name="_Toc28906"/>
      <w:bookmarkStart w:id="503" w:name="_Toc20808"/>
      <w:bookmarkStart w:id="504" w:name="_Toc2764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5" w:name="_Toc4355"/>
      <w:bookmarkStart w:id="506" w:name="_Toc30599"/>
      <w:bookmarkStart w:id="507" w:name="_Toc18540"/>
      <w:r>
        <w:rPr>
          <w:rFonts w:hint="eastAsia" w:ascii="宋体" w:hAnsi="宋体" w:eastAsia="宋体" w:cs="宋体"/>
          <w:b/>
          <w:color w:val="auto"/>
          <w:sz w:val="24"/>
          <w:highlight w:val="none"/>
        </w:rPr>
        <w:t>2.18 计量单位</w:t>
      </w:r>
      <w:bookmarkEnd w:id="505"/>
      <w:bookmarkEnd w:id="506"/>
      <w:bookmarkEnd w:id="5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50" w:type="dxa"/>
            <w:vAlign w:val="center"/>
          </w:tcPr>
          <w:p>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50"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履约保证金：</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u w:val="none"/>
                <w:lang w:val="en-US"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50" w:type="dxa"/>
            <w:vAlign w:val="center"/>
          </w:tcPr>
          <w:p>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资金支付：</w:t>
            </w:r>
          </w:p>
          <w:p>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甲方根据合同、招标文件等资料进行验收</w:t>
            </w:r>
            <w:r>
              <w:rPr>
                <w:rFonts w:hint="eastAsia" w:ascii="宋体" w:hAnsi="宋体" w:cs="宋体"/>
                <w:color w:val="auto"/>
                <w:sz w:val="24"/>
                <w:highlight w:val="none"/>
                <w:lang w:val="en-US" w:eastAsia="zh-CN"/>
              </w:rPr>
              <w:t>；</w:t>
            </w:r>
          </w:p>
          <w:p>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Times New Roman"/>
                <w:color w:val="auto"/>
                <w:sz w:val="24"/>
                <w:u w:val="none"/>
                <w:lang w:val="en-US" w:eastAsia="zh-CN"/>
              </w:rPr>
              <w:t>本项目采取按月分期付款方式，在月末考核结果出来后</w:t>
            </w:r>
            <w:r>
              <w:rPr>
                <w:rFonts w:hint="eastAsia" w:ascii="宋体" w:hAnsi="宋体" w:cs="Times New Roman"/>
                <w:color w:val="auto"/>
                <w:sz w:val="24"/>
                <w:u w:val="none"/>
                <w:lang w:val="en-US" w:eastAsia="zh-CN"/>
              </w:rPr>
              <w:t>，</w:t>
            </w:r>
            <w:r>
              <w:rPr>
                <w:rFonts w:hint="eastAsia" w:ascii="宋体" w:hAnsi="宋体" w:eastAsia="宋体" w:cs="Times New Roman"/>
                <w:color w:val="auto"/>
                <w:sz w:val="24"/>
                <w:u w:val="none"/>
                <w:lang w:val="en-US" w:eastAsia="zh-CN"/>
              </w:rPr>
              <w:t>按月度根据考核结果按实结算</w:t>
            </w:r>
            <w:r>
              <w:rPr>
                <w:rFonts w:hint="eastAsia" w:ascii="宋体" w:hAnsi="宋体" w:eastAsia="宋体" w:cs="宋体"/>
                <w:color w:val="auto"/>
                <w:sz w:val="24"/>
                <w:highlight w:val="none"/>
                <w:lang w:val="en-US" w:eastAsia="zh-CN"/>
              </w:rPr>
              <w:t>；</w:t>
            </w:r>
          </w:p>
          <w:p>
            <w:pPr>
              <w:shd w:val="clear"/>
              <w:spacing w:line="240" w:lineRule="auto"/>
              <w:rPr>
                <w:rFonts w:hint="eastAsia" w:ascii="宋体" w:hAnsi="宋体" w:eastAsia="宋体" w:cs="宋体"/>
                <w:color w:val="auto"/>
                <w:sz w:val="24"/>
                <w:highlight w:val="none"/>
              </w:rPr>
            </w:pPr>
            <w:r>
              <w:rPr>
                <w:rFonts w:hint="eastAsia" w:ascii="宋体" w:hAnsi="宋体" w:eastAsia="宋体" w:cs="Times New Roman"/>
                <w:color w:val="auto"/>
                <w:sz w:val="24"/>
                <w:u w:val="none"/>
                <w:lang w:val="en-US" w:eastAsia="zh-CN"/>
              </w:rPr>
              <w:t>结算时供应商将结款申请1份、发票原件及复印件1份、合同复印件1份和经采购单位验收确认的《建德市政府采购验收反馈表》提交采购单位，采购单位应自收到发票后5个工作日内支付相应款项。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w:t>
            </w:r>
            <w:r>
              <w:rPr>
                <w:rFonts w:hint="eastAsia" w:ascii="宋体" w:hAnsi="宋体" w:eastAsia="宋体" w:cs="宋体"/>
                <w:color w:val="auto"/>
                <w:sz w:val="24"/>
                <w:highlight w:val="none"/>
                <w:lang w:eastAsia="zh-CN"/>
              </w:rPr>
              <w:t>服务期共计两年。本项目合同采取一年一签方式，服务时间自合同签订之日起计算，如一年服务期满，</w:t>
            </w:r>
            <w:r>
              <w:rPr>
                <w:rFonts w:hint="eastAsia" w:ascii="宋体" w:hAnsi="宋体" w:eastAsia="宋体" w:cs="宋体"/>
                <w:color w:val="auto"/>
                <w:sz w:val="24"/>
                <w:highlight w:val="none"/>
                <w:lang w:val="en-US" w:eastAsia="zh-CN"/>
              </w:rPr>
              <w:t>若中标供应商月平均考核分</w:t>
            </w:r>
            <w:r>
              <w:rPr>
                <w:rFonts w:hint="eastAsia" w:ascii="宋体" w:hAnsi="宋体" w:eastAsia="宋体" w:cs="宋体"/>
                <w:color w:val="auto"/>
                <w:sz w:val="24"/>
                <w:highlight w:val="none"/>
                <w:lang w:eastAsia="zh-CN"/>
              </w:rPr>
              <w:t>达到</w:t>
            </w:r>
            <w:r>
              <w:rPr>
                <w:rFonts w:hint="eastAsia" w:ascii="宋体" w:hAnsi="宋体" w:eastAsia="宋体" w:cs="宋体"/>
                <w:color w:val="auto"/>
                <w:sz w:val="24"/>
                <w:highlight w:val="none"/>
                <w:lang w:val="en-US" w:eastAsia="zh-CN"/>
              </w:rPr>
              <w:t>85</w:t>
            </w:r>
            <w:r>
              <w:rPr>
                <w:rFonts w:hint="eastAsia" w:ascii="宋体" w:hAnsi="宋体" w:eastAsia="宋体" w:cs="宋体"/>
                <w:color w:val="auto"/>
                <w:sz w:val="24"/>
                <w:highlight w:val="none"/>
                <w:lang w:eastAsia="zh-CN"/>
              </w:rPr>
              <w:t>分及以上</w:t>
            </w:r>
            <w:r>
              <w:rPr>
                <w:rFonts w:hint="eastAsia" w:ascii="宋体" w:hAnsi="宋体" w:eastAsia="宋体" w:cs="宋体"/>
                <w:color w:val="auto"/>
                <w:sz w:val="24"/>
                <w:highlight w:val="none"/>
                <w:lang w:val="en-US" w:eastAsia="zh-CN"/>
              </w:rPr>
              <w:t>且梅城镇在建德市环境卫生（垃圾分类）年度考核前六名</w:t>
            </w:r>
            <w:r>
              <w:rPr>
                <w:rFonts w:hint="eastAsia" w:ascii="宋体" w:hAnsi="宋体" w:eastAsia="宋体" w:cs="宋体"/>
                <w:color w:val="auto"/>
                <w:sz w:val="24"/>
                <w:highlight w:val="none"/>
                <w:lang w:eastAsia="zh-CN"/>
              </w:rPr>
              <w:t>，根据本次中标价格可以续签一年。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服务交付（实施）的地点（地域范围）：根据甲方实际要求确定。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w:t>
            </w:r>
            <w:r>
              <w:rPr>
                <w:rFonts w:hint="eastAsia" w:ascii="宋体" w:hAnsi="宋体" w:eastAsia="宋体" w:cs="宋体"/>
                <w:color w:val="auto"/>
                <w:sz w:val="24"/>
                <w:highlight w:val="none"/>
                <w:lang w:val="en-US" w:eastAsia="zh-CN"/>
              </w:rPr>
              <w:t>:根据甲方实际要求交付。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rPr>
              <w:t>建德市人民法院</w:t>
            </w:r>
            <w:r>
              <w:rPr>
                <w:rFonts w:hint="eastAsia" w:ascii="宋体" w:hAnsi="宋体" w:eastAsia="宋体" w:cs="宋体"/>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1.乙方在提供服务过程中获得的一切成果，均归甲方所有，乙方不得侵犯任何甲方的知识产权，否则乙方应承担由此产生的一切责任。</w:t>
            </w:r>
          </w:p>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保密义务，未经甲方事先书面同意不得向任何第三方披露，否则应承担由此产生的法律责任。乙方应及时与甲方签署《保密协议》。</w:t>
            </w:r>
          </w:p>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3.乙方的保密义务长期有效，不因本合同的终止而终止。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50" w:type="dxa"/>
            <w:vAlign w:val="center"/>
          </w:tcPr>
          <w:p>
            <w:pPr>
              <w:shd w:val="clear"/>
              <w:spacing w:line="24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top"/>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150" w:type="dxa"/>
            <w:vAlign w:val="top"/>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50" w:type="dxa"/>
            <w:vAlign w:val="center"/>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招标文件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50" w:type="dxa"/>
            <w:vAlign w:val="center"/>
          </w:tcPr>
          <w:p>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eastAsia="zh-CN"/>
              </w:rPr>
              <w:t>：</w:t>
            </w:r>
          </w:p>
          <w:p>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1、中标供应商应根据招标文件要求提供服务，采购单位按照招标文件要求进行考核验收。</w:t>
            </w:r>
          </w:p>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验收费用由</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vAlign w:val="top"/>
          </w:tcPr>
          <w:p>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50" w:type="dxa"/>
            <w:vAlign w:val="top"/>
          </w:tcPr>
          <w:p>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合同份数：本合同壹式</w:t>
            </w:r>
            <w:r>
              <w:rPr>
                <w:rFonts w:hint="eastAsia" w:ascii="宋体" w:hAnsi="宋体" w:cs="宋体"/>
                <w:color w:val="auto"/>
                <w:sz w:val="24"/>
                <w:highlight w:val="none"/>
                <w:lang w:val="en-US" w:eastAsia="zh-CN"/>
              </w:rPr>
              <w:t>伍</w:t>
            </w:r>
            <w:r>
              <w:rPr>
                <w:rFonts w:hint="eastAsia" w:ascii="宋体" w:hAnsi="宋体" w:eastAsia="宋体" w:cs="宋体"/>
                <w:color w:val="auto"/>
                <w:sz w:val="24"/>
                <w:highlight w:val="none"/>
              </w:rPr>
              <w:t>份，甲、乙双方各执贰份，见证单位壹份。</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Style w:val="5"/>
        <w:rPr>
          <w:rFonts w:hint="eastAsia"/>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建德市梅城镇人民政府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建德市南峰葛家区块及梅城镇城西片区环卫保洁服务采购项目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JD2023BF- </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numPr>
          <w:ilvl w:val="0"/>
          <w:numId w:val="3"/>
        </w:numP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联合协议（如果有）</w:t>
      </w:r>
    </w:p>
    <w:p>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建德市梅城镇人民政府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建德市南峰葛家区块及梅城镇城西片区环卫保洁服务采购项目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JD2023BF- </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4.3按照招标文件要求提交履约保证金（如果有）；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建德市梅城镇人民政府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建德市南峰葛家区块及梅城镇城西片区环卫保洁服务采购项目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JD2023BF-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建德市梅城镇人民政府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建德市南峰葛家区块及梅城镇城西片区环卫保洁服务采购项目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JD2023BF-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numPr>
          <w:ilvl w:val="0"/>
          <w:numId w:val="0"/>
        </w:numPr>
        <w:ind w:left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4"/>
        <w:rPr>
          <w:rFonts w:hint="eastAsia"/>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numPr>
          <w:ilvl w:val="0"/>
          <w:numId w:val="4"/>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68"/>
        <w:gridCol w:w="1272"/>
        <w:gridCol w:w="2609"/>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6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6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numPr>
          <w:ilvl w:val="0"/>
          <w:numId w:val="4"/>
        </w:numPr>
        <w:ind w:left="0" w:leftChars="0" w:firstLine="2891" w:firstLineChars="90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建德市梅城镇人民政府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pPr>
        <w:snapToGrid w:val="0"/>
        <w:spacing w:line="360" w:lineRule="auto"/>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建德市梅城镇人民政府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建德市南峰葛家区块及梅城镇城西片区环卫保洁服务采购项目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 xml:space="preserve">JD2023BF-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13"/>
        <w:gridCol w:w="1312"/>
        <w:gridCol w:w="1243"/>
        <w:gridCol w:w="1457"/>
        <w:gridCol w:w="1366"/>
        <w:gridCol w:w="1367"/>
        <w:gridCol w:w="1366"/>
        <w:gridCol w:w="1366"/>
        <w:gridCol w:w="136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9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1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12"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4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45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36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36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1366" w:type="dxa"/>
            <w:vAlign w:val="center"/>
          </w:tcPr>
          <w:p>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数量（年）</w:t>
            </w:r>
          </w:p>
        </w:tc>
        <w:tc>
          <w:tcPr>
            <w:tcW w:w="1366" w:type="dxa"/>
            <w:vAlign w:val="center"/>
          </w:tcPr>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投标单价（元/年）</w:t>
            </w:r>
          </w:p>
        </w:tc>
        <w:tc>
          <w:tcPr>
            <w:tcW w:w="1366"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投标总价（元）</w:t>
            </w:r>
          </w:p>
        </w:tc>
        <w:tc>
          <w:tcPr>
            <w:tcW w:w="1366"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13" w:type="dxa"/>
            <w:vAlign w:val="center"/>
          </w:tcPr>
          <w:p>
            <w:pPr>
              <w:snapToGrid w:val="0"/>
              <w:spacing w:line="360" w:lineRule="auto"/>
              <w:jc w:val="center"/>
              <w:rPr>
                <w:rFonts w:hint="eastAsia" w:ascii="宋体" w:hAnsi="宋体" w:eastAsia="宋体" w:cs="宋体"/>
                <w:color w:val="auto"/>
                <w:sz w:val="24"/>
                <w:highlight w:val="none"/>
              </w:rPr>
            </w:pPr>
          </w:p>
        </w:tc>
        <w:tc>
          <w:tcPr>
            <w:tcW w:w="1312" w:type="dxa"/>
            <w:vAlign w:val="center"/>
          </w:tcPr>
          <w:p>
            <w:pPr>
              <w:snapToGrid w:val="0"/>
              <w:spacing w:line="360" w:lineRule="auto"/>
              <w:jc w:val="center"/>
              <w:rPr>
                <w:rFonts w:hint="eastAsia" w:ascii="宋体" w:hAnsi="宋体" w:eastAsia="宋体" w:cs="宋体"/>
                <w:color w:val="auto"/>
                <w:sz w:val="24"/>
                <w:highlight w:val="none"/>
              </w:rPr>
            </w:pPr>
          </w:p>
        </w:tc>
        <w:tc>
          <w:tcPr>
            <w:tcW w:w="1243" w:type="dxa"/>
            <w:vAlign w:val="center"/>
          </w:tcPr>
          <w:p>
            <w:pPr>
              <w:snapToGrid w:val="0"/>
              <w:spacing w:line="360" w:lineRule="auto"/>
              <w:jc w:val="center"/>
              <w:rPr>
                <w:rFonts w:hint="eastAsia" w:ascii="宋体" w:hAnsi="宋体" w:eastAsia="宋体" w:cs="宋体"/>
                <w:color w:val="auto"/>
                <w:sz w:val="24"/>
                <w:highlight w:val="none"/>
              </w:rPr>
            </w:pPr>
          </w:p>
        </w:tc>
        <w:tc>
          <w:tcPr>
            <w:tcW w:w="1457" w:type="dxa"/>
            <w:vAlign w:val="center"/>
          </w:tcPr>
          <w:p>
            <w:pPr>
              <w:snapToGrid w:val="0"/>
              <w:spacing w:line="360" w:lineRule="auto"/>
              <w:jc w:val="center"/>
              <w:rPr>
                <w:rFonts w:hint="eastAsia" w:ascii="宋体" w:hAnsi="宋体" w:eastAsia="宋体" w:cs="宋体"/>
                <w:color w:val="auto"/>
                <w:sz w:val="24"/>
                <w:highlight w:val="none"/>
              </w:rPr>
            </w:pPr>
          </w:p>
        </w:tc>
        <w:tc>
          <w:tcPr>
            <w:tcW w:w="1366" w:type="dxa"/>
            <w:vAlign w:val="center"/>
          </w:tcPr>
          <w:p>
            <w:pPr>
              <w:spacing w:line="360" w:lineRule="auto"/>
              <w:jc w:val="center"/>
              <w:rPr>
                <w:rFonts w:hint="eastAsia" w:ascii="宋体" w:hAnsi="宋体" w:eastAsia="宋体" w:cs="宋体"/>
                <w:color w:val="auto"/>
                <w:sz w:val="24"/>
                <w:highlight w:val="none"/>
              </w:rPr>
            </w:pPr>
          </w:p>
        </w:tc>
        <w:tc>
          <w:tcPr>
            <w:tcW w:w="1367" w:type="dxa"/>
          </w:tcPr>
          <w:p>
            <w:pPr>
              <w:spacing w:line="360" w:lineRule="auto"/>
              <w:jc w:val="both"/>
              <w:rPr>
                <w:rFonts w:hint="eastAsia" w:ascii="宋体" w:hAnsi="宋体" w:eastAsia="宋体" w:cs="宋体"/>
                <w:color w:val="auto"/>
                <w:sz w:val="24"/>
                <w:highlight w:val="none"/>
              </w:rPr>
            </w:pPr>
          </w:p>
        </w:tc>
        <w:tc>
          <w:tcPr>
            <w:tcW w:w="1366"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2年</w:t>
            </w:r>
          </w:p>
        </w:tc>
        <w:tc>
          <w:tcPr>
            <w:tcW w:w="1366" w:type="dxa"/>
            <w:vAlign w:val="center"/>
          </w:tcPr>
          <w:p>
            <w:pPr>
              <w:spacing w:line="360" w:lineRule="auto"/>
              <w:jc w:val="center"/>
              <w:rPr>
                <w:rFonts w:hint="eastAsia" w:ascii="宋体" w:hAnsi="宋体" w:eastAsia="宋体" w:cs="宋体"/>
                <w:color w:val="auto"/>
                <w:sz w:val="24"/>
                <w:highlight w:val="none"/>
              </w:rPr>
            </w:pPr>
          </w:p>
        </w:tc>
        <w:tc>
          <w:tcPr>
            <w:tcW w:w="1366" w:type="dxa"/>
            <w:vAlign w:val="center"/>
          </w:tcPr>
          <w:p>
            <w:pPr>
              <w:spacing w:line="360" w:lineRule="auto"/>
              <w:jc w:val="center"/>
              <w:rPr>
                <w:rFonts w:hint="eastAsia" w:ascii="宋体" w:hAnsi="宋体" w:eastAsia="宋体" w:cs="宋体"/>
                <w:color w:val="auto"/>
                <w:sz w:val="24"/>
                <w:highlight w:val="none"/>
              </w:rPr>
            </w:pPr>
          </w:p>
        </w:tc>
        <w:tc>
          <w:tcPr>
            <w:tcW w:w="136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63"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（小写）</w:t>
            </w:r>
          </w:p>
        </w:tc>
        <w:tc>
          <w:tcPr>
            <w:tcW w:w="9654" w:type="dxa"/>
            <w:gridSpan w:val="7"/>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63"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（大写）</w:t>
            </w:r>
          </w:p>
        </w:tc>
        <w:tc>
          <w:tcPr>
            <w:tcW w:w="9654" w:type="dxa"/>
            <w:gridSpan w:val="7"/>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602" w:firstLineChars="250"/>
        <w:jc w:val="left"/>
        <w:rPr>
          <w:rFonts w:hint="eastAsia" w:ascii="宋体" w:hAnsi="宋体" w:eastAsia="宋体" w:cs="宋体"/>
          <w:b/>
          <w:color w:val="auto"/>
          <w:sz w:val="24"/>
          <w:highlight w:val="none"/>
        </w:rPr>
      </w:pPr>
    </w:p>
    <w:p>
      <w:pPr>
        <w:widowControl/>
        <w:spacing w:line="360" w:lineRule="auto"/>
        <w:ind w:firstLine="602" w:firstLineChars="2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0" w:name="OLE_LINK14"/>
      <w:bookmarkStart w:id="511" w:name="OLE_LINK13"/>
      <w:r>
        <w:rPr>
          <w:rFonts w:hint="eastAsia" w:ascii="宋体" w:hAnsi="宋体" w:eastAsia="宋体" w:cs="宋体"/>
          <w:b/>
          <w:color w:val="auto"/>
          <w:spacing w:val="6"/>
          <w:sz w:val="32"/>
          <w:szCs w:val="32"/>
          <w:highlight w:val="none"/>
        </w:rPr>
        <w:t>残疾人福利性单位声明函</w:t>
      </w:r>
    </w:p>
    <w:bookmarkEnd w:id="510"/>
    <w:bookmarkEnd w:id="511"/>
    <w:p>
      <w:pPr>
        <w:spacing w:line="360" w:lineRule="auto"/>
        <w:rPr>
          <w:rFonts w:hint="eastAsia" w:ascii="宋体" w:hAnsi="宋体" w:eastAsia="宋体" w:cs="宋体"/>
          <w:b/>
          <w:color w:val="auto"/>
          <w:spacing w:val="6"/>
          <w:sz w:val="30"/>
          <w:szCs w:val="30"/>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建德市南峰葛家区块及梅城镇城西片区环卫保洁服务采购项目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建德市梅城镇人民政府</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杭州欣兴建设工程招标代理有限公司</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建德市南峰葛家区块及梅城镇城西片区环卫保洁服务采购项目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JD2023BF-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ed="f" stroked="t" coordsize="21600,21600" o:gfxdata="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lIY2AAAAAoBAAAPAAAAAAAAAAEAIAAAACIAAABkcnMvZG93bnJldi54bWxQSwECFAAUAAAA&#10;CACHTuJAmj76cu4BAAD6AwAADgAAAAAAAAABACAAAAAnAQAAZHJzL2Uyb0RvYy54bWxQSwUGAAAA&#10;AAYABgBZAQAAhwUAAAAA&#10;">
                <v:fill on="f"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aGoHXAAAACgEAAA8AAAAAAAAAAQAgAAAAIgAAAGRycy9kb3ducmV2LnhtbFBLAQIUABQAAAAI&#10;AIdO4kDuKu+g7gEAAPoDAAAOAAAAAAAAAAEAIAAAACYBAABkcnMvZTJvRG9jLnhtbFBLBQYAAAAA&#10;BgAGAFkBAACGBQAAAAA=&#10;">
                <v:fill on="f"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建德市南峰葛家区块及梅城镇城西片区环卫保洁服务采购项目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JD2023BF-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2333" w:firstLineChars="7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建德市南峰葛家区块及梅城镇城西片区环卫保洁服务采购项目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JD2023BF-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建德市梅城镇人民政府</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eastAsia="zh-CN"/>
        </w:rPr>
        <w:t>建德市南峰葛家区块及梅城镇城西片区环卫保洁服务采购项目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建德市南峰葛家区块及梅城镇城西片区环卫保洁服务采购项目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lang w:val="en-US"/>
        </w:rPr>
        <w:t>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val="0"/>
        <w:i/>
        <w:sz w:val="18"/>
        <w:u w:val="single"/>
        <w:lang w:val="en-US"/>
      </w:rPr>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7A9E"/>
    <w:multiLevelType w:val="singleLevel"/>
    <w:tmpl w:val="1BB57A9E"/>
    <w:lvl w:ilvl="0" w:tentative="0">
      <w:start w:val="11"/>
      <w:numFmt w:val="decimal"/>
      <w:suff w:val="space"/>
      <w:lvlText w:val="%1."/>
      <w:lvlJc w:val="left"/>
    </w:lvl>
  </w:abstractNum>
  <w:abstractNum w:abstractNumId="1">
    <w:nsid w:val="220D2782"/>
    <w:multiLevelType w:val="singleLevel"/>
    <w:tmpl w:val="220D2782"/>
    <w:lvl w:ilvl="0" w:tentative="0">
      <w:start w:val="1"/>
      <w:numFmt w:val="decimal"/>
      <w:lvlText w:val="%1."/>
      <w:lvlJc w:val="left"/>
      <w:pPr>
        <w:tabs>
          <w:tab w:val="left" w:pos="312"/>
        </w:tabs>
      </w:pPr>
    </w:lvl>
  </w:abstractNum>
  <w:abstractNum w:abstractNumId="2">
    <w:nsid w:val="7E3A9EA0"/>
    <w:multiLevelType w:val="singleLevel"/>
    <w:tmpl w:val="7E3A9EA0"/>
    <w:lvl w:ilvl="0" w:tentative="0">
      <w:start w:val="6"/>
      <w:numFmt w:val="chineseCounting"/>
      <w:suff w:val="nothing"/>
      <w:lvlText w:val="%1、"/>
      <w:lvlJc w:val="left"/>
      <w:rPr>
        <w:rFonts w:hint="eastAsia"/>
      </w:rPr>
    </w:lvl>
  </w:abstractNum>
  <w:abstractNum w:abstractNumId="3">
    <w:nsid w:val="7F81B622"/>
    <w:multiLevelType w:val="singleLevel"/>
    <w:tmpl w:val="7F81B622"/>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6F"/>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261A6"/>
    <w:rsid w:val="025F0711"/>
    <w:rsid w:val="026B2E25"/>
    <w:rsid w:val="02824D4D"/>
    <w:rsid w:val="02DC4B10"/>
    <w:rsid w:val="02DD76CE"/>
    <w:rsid w:val="02F36323"/>
    <w:rsid w:val="02F5619C"/>
    <w:rsid w:val="0326446A"/>
    <w:rsid w:val="0328539C"/>
    <w:rsid w:val="032D5555"/>
    <w:rsid w:val="03474AF6"/>
    <w:rsid w:val="036634D2"/>
    <w:rsid w:val="03DD35E4"/>
    <w:rsid w:val="04076900"/>
    <w:rsid w:val="041A5A3B"/>
    <w:rsid w:val="042311BA"/>
    <w:rsid w:val="042B157A"/>
    <w:rsid w:val="048A1617"/>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16C20"/>
    <w:rsid w:val="06E0771A"/>
    <w:rsid w:val="06E25698"/>
    <w:rsid w:val="071F261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9118B"/>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6D1A58"/>
    <w:rsid w:val="0C8445DA"/>
    <w:rsid w:val="0C87121B"/>
    <w:rsid w:val="0CA072C0"/>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B540E"/>
    <w:rsid w:val="10C26171"/>
    <w:rsid w:val="10F33360"/>
    <w:rsid w:val="10FC16EA"/>
    <w:rsid w:val="110F1D40"/>
    <w:rsid w:val="11175A13"/>
    <w:rsid w:val="11266F33"/>
    <w:rsid w:val="118963A1"/>
    <w:rsid w:val="11C6522A"/>
    <w:rsid w:val="11E104CC"/>
    <w:rsid w:val="11E20309"/>
    <w:rsid w:val="11EE5A02"/>
    <w:rsid w:val="12255233"/>
    <w:rsid w:val="12530213"/>
    <w:rsid w:val="127723A9"/>
    <w:rsid w:val="12862074"/>
    <w:rsid w:val="12883966"/>
    <w:rsid w:val="129E45B4"/>
    <w:rsid w:val="12D81596"/>
    <w:rsid w:val="13072A44"/>
    <w:rsid w:val="135F4BE2"/>
    <w:rsid w:val="139B1A0A"/>
    <w:rsid w:val="139D25C7"/>
    <w:rsid w:val="13BF3CE4"/>
    <w:rsid w:val="1404581A"/>
    <w:rsid w:val="141008D8"/>
    <w:rsid w:val="14125FE6"/>
    <w:rsid w:val="146D271E"/>
    <w:rsid w:val="14982588"/>
    <w:rsid w:val="149A5AD9"/>
    <w:rsid w:val="14A7619D"/>
    <w:rsid w:val="14EE7E35"/>
    <w:rsid w:val="150536C3"/>
    <w:rsid w:val="150C1963"/>
    <w:rsid w:val="151447A0"/>
    <w:rsid w:val="15293599"/>
    <w:rsid w:val="154A6454"/>
    <w:rsid w:val="15762120"/>
    <w:rsid w:val="15EC4007"/>
    <w:rsid w:val="16296C4B"/>
    <w:rsid w:val="16593236"/>
    <w:rsid w:val="16A8729C"/>
    <w:rsid w:val="16B33777"/>
    <w:rsid w:val="16BC70A7"/>
    <w:rsid w:val="16C6339E"/>
    <w:rsid w:val="172F2D79"/>
    <w:rsid w:val="17557BEF"/>
    <w:rsid w:val="17D349C1"/>
    <w:rsid w:val="1830729E"/>
    <w:rsid w:val="18605E1B"/>
    <w:rsid w:val="1870062C"/>
    <w:rsid w:val="18817102"/>
    <w:rsid w:val="18830A15"/>
    <w:rsid w:val="18852B28"/>
    <w:rsid w:val="188B5321"/>
    <w:rsid w:val="19932372"/>
    <w:rsid w:val="19A20DD5"/>
    <w:rsid w:val="19AE03F1"/>
    <w:rsid w:val="1A071A03"/>
    <w:rsid w:val="1A1F16AE"/>
    <w:rsid w:val="1A3B5C77"/>
    <w:rsid w:val="1A984BAD"/>
    <w:rsid w:val="1A98650B"/>
    <w:rsid w:val="1AB8220E"/>
    <w:rsid w:val="1AE4166C"/>
    <w:rsid w:val="1AF06CFB"/>
    <w:rsid w:val="1AF11B8D"/>
    <w:rsid w:val="1B11359C"/>
    <w:rsid w:val="1B2A271F"/>
    <w:rsid w:val="1B530544"/>
    <w:rsid w:val="1B713184"/>
    <w:rsid w:val="1BA209CF"/>
    <w:rsid w:val="1BB4777D"/>
    <w:rsid w:val="1BB90E2F"/>
    <w:rsid w:val="1BD75AB8"/>
    <w:rsid w:val="1C0459C2"/>
    <w:rsid w:val="1C1B3B4A"/>
    <w:rsid w:val="1C88086E"/>
    <w:rsid w:val="1C9378D2"/>
    <w:rsid w:val="1C9E3BBC"/>
    <w:rsid w:val="1CA12566"/>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50D2B"/>
    <w:rsid w:val="1F0A0FF3"/>
    <w:rsid w:val="1F5771FF"/>
    <w:rsid w:val="1F8F5B67"/>
    <w:rsid w:val="1FD52DD5"/>
    <w:rsid w:val="1FE868A9"/>
    <w:rsid w:val="20034907"/>
    <w:rsid w:val="20173E4B"/>
    <w:rsid w:val="204E48BC"/>
    <w:rsid w:val="2068560D"/>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3D089D"/>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351B0"/>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97F8D"/>
    <w:rsid w:val="2B3D4992"/>
    <w:rsid w:val="2B437463"/>
    <w:rsid w:val="2B7807EE"/>
    <w:rsid w:val="2BA50BF7"/>
    <w:rsid w:val="2BBF00EC"/>
    <w:rsid w:val="2BC228B0"/>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9535E"/>
    <w:rsid w:val="2E9A3C18"/>
    <w:rsid w:val="2EBB0FEE"/>
    <w:rsid w:val="2EC63002"/>
    <w:rsid w:val="2F0A6B38"/>
    <w:rsid w:val="2F946CCB"/>
    <w:rsid w:val="2FD25781"/>
    <w:rsid w:val="2FDC745C"/>
    <w:rsid w:val="2FFD7934"/>
    <w:rsid w:val="30733ACD"/>
    <w:rsid w:val="308C3862"/>
    <w:rsid w:val="309379D8"/>
    <w:rsid w:val="30A270F7"/>
    <w:rsid w:val="30CE3D71"/>
    <w:rsid w:val="30DF1478"/>
    <w:rsid w:val="30EC586F"/>
    <w:rsid w:val="314550B7"/>
    <w:rsid w:val="31661E81"/>
    <w:rsid w:val="319C6071"/>
    <w:rsid w:val="31AC537E"/>
    <w:rsid w:val="31C51E84"/>
    <w:rsid w:val="31E3679B"/>
    <w:rsid w:val="31E732FD"/>
    <w:rsid w:val="32517576"/>
    <w:rsid w:val="32BE5C2C"/>
    <w:rsid w:val="32FB6478"/>
    <w:rsid w:val="33263B3F"/>
    <w:rsid w:val="336963EB"/>
    <w:rsid w:val="33816EEB"/>
    <w:rsid w:val="33EB55CD"/>
    <w:rsid w:val="33EC4C02"/>
    <w:rsid w:val="34015537"/>
    <w:rsid w:val="340D2360"/>
    <w:rsid w:val="3410665D"/>
    <w:rsid w:val="34211214"/>
    <w:rsid w:val="342E63AB"/>
    <w:rsid w:val="34950E68"/>
    <w:rsid w:val="34986E94"/>
    <w:rsid w:val="34AF62C9"/>
    <w:rsid w:val="34CB4388"/>
    <w:rsid w:val="34FA6E12"/>
    <w:rsid w:val="352A42BD"/>
    <w:rsid w:val="354D7158"/>
    <w:rsid w:val="358D5588"/>
    <w:rsid w:val="363A3B40"/>
    <w:rsid w:val="365302AE"/>
    <w:rsid w:val="36607A0A"/>
    <w:rsid w:val="366E227C"/>
    <w:rsid w:val="366F2E0D"/>
    <w:rsid w:val="367B6A5C"/>
    <w:rsid w:val="368B5485"/>
    <w:rsid w:val="36A74ADA"/>
    <w:rsid w:val="36AD60D5"/>
    <w:rsid w:val="36B224F9"/>
    <w:rsid w:val="36EC0CC9"/>
    <w:rsid w:val="373F410B"/>
    <w:rsid w:val="374C44FA"/>
    <w:rsid w:val="378D6FA0"/>
    <w:rsid w:val="37EE7094"/>
    <w:rsid w:val="38044D88"/>
    <w:rsid w:val="38296C89"/>
    <w:rsid w:val="383002EB"/>
    <w:rsid w:val="383B1CCC"/>
    <w:rsid w:val="38586797"/>
    <w:rsid w:val="38BC0149"/>
    <w:rsid w:val="38D87D1C"/>
    <w:rsid w:val="39636459"/>
    <w:rsid w:val="396B7F6C"/>
    <w:rsid w:val="39B417A9"/>
    <w:rsid w:val="39FC5695"/>
    <w:rsid w:val="3A006D8E"/>
    <w:rsid w:val="3A3651E5"/>
    <w:rsid w:val="3A502B2B"/>
    <w:rsid w:val="3A744481"/>
    <w:rsid w:val="3A8378F5"/>
    <w:rsid w:val="3A8C7BEF"/>
    <w:rsid w:val="3A906246"/>
    <w:rsid w:val="3B2349B7"/>
    <w:rsid w:val="3B616CFF"/>
    <w:rsid w:val="3B6259F6"/>
    <w:rsid w:val="3B976654"/>
    <w:rsid w:val="3BC01EFC"/>
    <w:rsid w:val="3BCA786A"/>
    <w:rsid w:val="3BD31E2F"/>
    <w:rsid w:val="3BF15831"/>
    <w:rsid w:val="3C105946"/>
    <w:rsid w:val="3C353B22"/>
    <w:rsid w:val="3C471448"/>
    <w:rsid w:val="3C5F759A"/>
    <w:rsid w:val="3C6C525A"/>
    <w:rsid w:val="3CCE23CB"/>
    <w:rsid w:val="3CD17D17"/>
    <w:rsid w:val="3D3C7F39"/>
    <w:rsid w:val="3D440F09"/>
    <w:rsid w:val="3D4504A0"/>
    <w:rsid w:val="3D8734BB"/>
    <w:rsid w:val="3D9A11D4"/>
    <w:rsid w:val="3DA16D89"/>
    <w:rsid w:val="3DA364BE"/>
    <w:rsid w:val="3DE041CB"/>
    <w:rsid w:val="3DFA108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72A05"/>
    <w:rsid w:val="4019356B"/>
    <w:rsid w:val="40592157"/>
    <w:rsid w:val="406E1CAE"/>
    <w:rsid w:val="40834930"/>
    <w:rsid w:val="40A0133A"/>
    <w:rsid w:val="40C31A53"/>
    <w:rsid w:val="40FF545D"/>
    <w:rsid w:val="410067C8"/>
    <w:rsid w:val="418F0D2A"/>
    <w:rsid w:val="41D01505"/>
    <w:rsid w:val="41FD2F74"/>
    <w:rsid w:val="42474939"/>
    <w:rsid w:val="424C3C57"/>
    <w:rsid w:val="42613FF3"/>
    <w:rsid w:val="42660D96"/>
    <w:rsid w:val="428667D2"/>
    <w:rsid w:val="42CD1CE0"/>
    <w:rsid w:val="42E1381E"/>
    <w:rsid w:val="42ED6459"/>
    <w:rsid w:val="42FE58DD"/>
    <w:rsid w:val="43174B3D"/>
    <w:rsid w:val="43301ECB"/>
    <w:rsid w:val="434B790E"/>
    <w:rsid w:val="4360274F"/>
    <w:rsid w:val="43977AB6"/>
    <w:rsid w:val="43A3342B"/>
    <w:rsid w:val="43C77C27"/>
    <w:rsid w:val="43DE09EE"/>
    <w:rsid w:val="44002FAD"/>
    <w:rsid w:val="449101DD"/>
    <w:rsid w:val="44DE1391"/>
    <w:rsid w:val="45012D7B"/>
    <w:rsid w:val="451B225C"/>
    <w:rsid w:val="452410C9"/>
    <w:rsid w:val="45317DFB"/>
    <w:rsid w:val="456D3CE4"/>
    <w:rsid w:val="4579042C"/>
    <w:rsid w:val="457F0571"/>
    <w:rsid w:val="45851176"/>
    <w:rsid w:val="45C63B94"/>
    <w:rsid w:val="45F12DF0"/>
    <w:rsid w:val="460E7DA5"/>
    <w:rsid w:val="46422483"/>
    <w:rsid w:val="4659254A"/>
    <w:rsid w:val="465B0637"/>
    <w:rsid w:val="465E3F0D"/>
    <w:rsid w:val="466A16E6"/>
    <w:rsid w:val="46893F2B"/>
    <w:rsid w:val="46895B7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93AFD"/>
    <w:rsid w:val="4A4424D7"/>
    <w:rsid w:val="4AB82D0F"/>
    <w:rsid w:val="4AEB7664"/>
    <w:rsid w:val="4AFD7C19"/>
    <w:rsid w:val="4B0567D1"/>
    <w:rsid w:val="4B236AAE"/>
    <w:rsid w:val="4B707271"/>
    <w:rsid w:val="4B9739F7"/>
    <w:rsid w:val="4BEE2503"/>
    <w:rsid w:val="4C245A30"/>
    <w:rsid w:val="4CB6685F"/>
    <w:rsid w:val="4CC367FE"/>
    <w:rsid w:val="4CFD651E"/>
    <w:rsid w:val="4D077F3C"/>
    <w:rsid w:val="4D123355"/>
    <w:rsid w:val="4D2A3B31"/>
    <w:rsid w:val="4D312C52"/>
    <w:rsid w:val="4D905305"/>
    <w:rsid w:val="4D964A72"/>
    <w:rsid w:val="4D9C1254"/>
    <w:rsid w:val="4E793892"/>
    <w:rsid w:val="4E800872"/>
    <w:rsid w:val="4EC569ED"/>
    <w:rsid w:val="4ED50EA1"/>
    <w:rsid w:val="4EEC050C"/>
    <w:rsid w:val="4EFC16FB"/>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830B6"/>
    <w:rsid w:val="522E4CC3"/>
    <w:rsid w:val="5244713B"/>
    <w:rsid w:val="52615633"/>
    <w:rsid w:val="526F4DE4"/>
    <w:rsid w:val="52977FD4"/>
    <w:rsid w:val="529E3A5D"/>
    <w:rsid w:val="52A25790"/>
    <w:rsid w:val="52A96B6F"/>
    <w:rsid w:val="52B45975"/>
    <w:rsid w:val="52D94AA4"/>
    <w:rsid w:val="52EA3A62"/>
    <w:rsid w:val="52F50BB8"/>
    <w:rsid w:val="53097272"/>
    <w:rsid w:val="5329634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C7E81"/>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6597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A03F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5499F"/>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F2C0D"/>
    <w:rsid w:val="63711FED"/>
    <w:rsid w:val="63880DDC"/>
    <w:rsid w:val="638D750D"/>
    <w:rsid w:val="63AC6CC0"/>
    <w:rsid w:val="64055776"/>
    <w:rsid w:val="64240056"/>
    <w:rsid w:val="643E143A"/>
    <w:rsid w:val="64491666"/>
    <w:rsid w:val="648B6EEF"/>
    <w:rsid w:val="64B452BD"/>
    <w:rsid w:val="64C158BF"/>
    <w:rsid w:val="64CE2EAA"/>
    <w:rsid w:val="64D737E5"/>
    <w:rsid w:val="653C3090"/>
    <w:rsid w:val="65526CEA"/>
    <w:rsid w:val="65854376"/>
    <w:rsid w:val="658767BE"/>
    <w:rsid w:val="65892531"/>
    <w:rsid w:val="66195831"/>
    <w:rsid w:val="662E75B1"/>
    <w:rsid w:val="66342C2E"/>
    <w:rsid w:val="663E784C"/>
    <w:rsid w:val="668B6A45"/>
    <w:rsid w:val="66A97572"/>
    <w:rsid w:val="66F46E5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417F0"/>
    <w:rsid w:val="69CC2BFF"/>
    <w:rsid w:val="69FD55B8"/>
    <w:rsid w:val="6A0B1C62"/>
    <w:rsid w:val="6A2406C8"/>
    <w:rsid w:val="6A4B1E3E"/>
    <w:rsid w:val="6ADE0BD1"/>
    <w:rsid w:val="6AE96859"/>
    <w:rsid w:val="6B147746"/>
    <w:rsid w:val="6B24787C"/>
    <w:rsid w:val="6B573233"/>
    <w:rsid w:val="6B5B6274"/>
    <w:rsid w:val="6B935D53"/>
    <w:rsid w:val="6C196F71"/>
    <w:rsid w:val="6C226FCB"/>
    <w:rsid w:val="6C31226F"/>
    <w:rsid w:val="6C552F0B"/>
    <w:rsid w:val="6C8C67B7"/>
    <w:rsid w:val="6C9D744C"/>
    <w:rsid w:val="6CD02EB0"/>
    <w:rsid w:val="6D167928"/>
    <w:rsid w:val="6D26299B"/>
    <w:rsid w:val="6D4772EC"/>
    <w:rsid w:val="6D9078AF"/>
    <w:rsid w:val="6DAA3FEF"/>
    <w:rsid w:val="6DC0172B"/>
    <w:rsid w:val="6DCA4BA5"/>
    <w:rsid w:val="6DCB690C"/>
    <w:rsid w:val="6DD41A5B"/>
    <w:rsid w:val="6DDD64E1"/>
    <w:rsid w:val="6DF43C2E"/>
    <w:rsid w:val="6DF51CA3"/>
    <w:rsid w:val="6E8335BD"/>
    <w:rsid w:val="6E8E12EF"/>
    <w:rsid w:val="6E972936"/>
    <w:rsid w:val="6ED446C5"/>
    <w:rsid w:val="6EEA32DF"/>
    <w:rsid w:val="6F2A7D94"/>
    <w:rsid w:val="6F8331F1"/>
    <w:rsid w:val="6FAE1A09"/>
    <w:rsid w:val="6FD75BF8"/>
    <w:rsid w:val="706A0126"/>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764E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31AF4"/>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E00A5"/>
    <w:rsid w:val="790F7E27"/>
    <w:rsid w:val="792A231A"/>
    <w:rsid w:val="79316829"/>
    <w:rsid w:val="797E66A9"/>
    <w:rsid w:val="798518A4"/>
    <w:rsid w:val="79A97383"/>
    <w:rsid w:val="79E27E8B"/>
    <w:rsid w:val="79F850CE"/>
    <w:rsid w:val="79FD443C"/>
    <w:rsid w:val="7A1D1975"/>
    <w:rsid w:val="7A3E5150"/>
    <w:rsid w:val="7A4670D6"/>
    <w:rsid w:val="7A534B63"/>
    <w:rsid w:val="7A5A358D"/>
    <w:rsid w:val="7A615382"/>
    <w:rsid w:val="7A67303B"/>
    <w:rsid w:val="7AAB1D04"/>
    <w:rsid w:val="7ABA4368"/>
    <w:rsid w:val="7AD05746"/>
    <w:rsid w:val="7B257FFD"/>
    <w:rsid w:val="7B273D20"/>
    <w:rsid w:val="7B343476"/>
    <w:rsid w:val="7B5A2978"/>
    <w:rsid w:val="7B5A7E4C"/>
    <w:rsid w:val="7B667AF9"/>
    <w:rsid w:val="7B7468F8"/>
    <w:rsid w:val="7BE03191"/>
    <w:rsid w:val="7BEE0103"/>
    <w:rsid w:val="7C0A0FE4"/>
    <w:rsid w:val="7C254906"/>
    <w:rsid w:val="7C4B5145"/>
    <w:rsid w:val="7C590818"/>
    <w:rsid w:val="7C7C10F6"/>
    <w:rsid w:val="7C853BEA"/>
    <w:rsid w:val="7C881368"/>
    <w:rsid w:val="7CE27788"/>
    <w:rsid w:val="7D0C32F1"/>
    <w:rsid w:val="7D0F408D"/>
    <w:rsid w:val="7D491C6C"/>
    <w:rsid w:val="7D5429C0"/>
    <w:rsid w:val="7D67516A"/>
    <w:rsid w:val="7D6E6D43"/>
    <w:rsid w:val="7DB57A34"/>
    <w:rsid w:val="7DE60973"/>
    <w:rsid w:val="7DEF0916"/>
    <w:rsid w:val="7DF67A4C"/>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4"/>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next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2"/>
    <w:basedOn w:val="6"/>
    <w:next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首行缩进2字符"/>
    <w:basedOn w:val="1"/>
    <w:qFormat/>
    <w:uiPriority w:val="0"/>
    <w:pPr>
      <w:widowControl/>
      <w:adjustRightInd w:val="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asistekst Batenburg"/>
    <w:basedOn w:val="964"/>
    <w:qFormat/>
    <w:uiPriority w:val="0"/>
  </w:style>
  <w:style w:type="paragraph" w:customStyle="1" w:styleId="964">
    <w:name w:val="Zsysbasis Batenburg"/>
    <w:next w:val="963"/>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39155</Words>
  <Characters>41314</Characters>
  <Lines>281</Lines>
  <Paragraphs>79</Paragraphs>
  <TotalTime>43</TotalTime>
  <ScaleCrop>false</ScaleCrop>
  <LinksUpToDate>false</LinksUpToDate>
  <CharactersWithSpaces>46676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畅歌</cp:lastModifiedBy>
  <cp:lastPrinted>2023-10-20T01:38:23Z</cp:lastPrinted>
  <dcterms:modified xsi:type="dcterms:W3CDTF">2023-10-20T01:47:14Z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BE778CA6FBFB4C11A40224282B3BAEE6_13</vt:lpwstr>
  </property>
</Properties>
</file>