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sz w:val="24"/>
        </w:rPr>
      </w:pPr>
    </w:p>
    <w:p>
      <w:pPr>
        <w:adjustRightInd/>
        <w:spacing w:line="360" w:lineRule="auto"/>
        <w:rPr>
          <w:rFonts w:hint="eastAsia" w:ascii="仿宋" w:hAnsi="仿宋" w:eastAsia="仿宋" w:cs="仿宋"/>
          <w:b/>
          <w:color w:val="auto"/>
          <w:sz w:val="44"/>
          <w:szCs w:val="44"/>
        </w:rPr>
      </w:pPr>
    </w:p>
    <w:p>
      <w:pPr>
        <w:adjustRightInd/>
        <w:spacing w:line="360" w:lineRule="auto"/>
        <w:jc w:val="center"/>
        <w:rPr>
          <w:rFonts w:hint="eastAsia" w:ascii="仿宋" w:hAnsi="仿宋" w:eastAsia="仿宋" w:cs="仿宋"/>
          <w:b/>
          <w:color w:val="auto"/>
          <w:sz w:val="44"/>
          <w:szCs w:val="44"/>
        </w:rPr>
      </w:pPr>
      <w:r>
        <w:rPr>
          <w:rFonts w:hint="eastAsia" w:ascii="仿宋" w:hAnsi="仿宋" w:eastAsia="仿宋" w:cs="仿宋"/>
          <w:color w:val="auto"/>
          <w:sz w:val="48"/>
          <w:szCs w:val="48"/>
          <w:highlight w:val="none"/>
          <w:lang w:eastAsia="zh-CN"/>
        </w:rPr>
        <w:t>建德市2022年口腔诊疗机构智慧监管项目</w:t>
      </w:r>
    </w:p>
    <w:p>
      <w:pPr>
        <w:adjustRightInd/>
        <w:spacing w:line="360" w:lineRule="auto"/>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（电子招投标）</w:t>
      </w:r>
    </w:p>
    <w:p>
      <w:pPr>
        <w:snapToGrid w:val="0"/>
        <w:spacing w:line="360" w:lineRule="auto"/>
        <w:jc w:val="center"/>
        <w:rPr>
          <w:rFonts w:hint="eastAsia" w:ascii="仿宋" w:hAnsi="仿宋" w:eastAsia="仿宋" w:cs="仿宋"/>
          <w:color w:val="auto"/>
          <w:sz w:val="30"/>
          <w:szCs w:val="30"/>
        </w:rPr>
      </w:pPr>
      <w:r>
        <w:rPr>
          <w:rFonts w:hint="eastAsia" w:ascii="仿宋" w:hAnsi="仿宋" w:eastAsia="仿宋" w:cs="仿宋"/>
          <w:color w:val="auto"/>
          <w:sz w:val="30"/>
          <w:szCs w:val="30"/>
        </w:rPr>
        <w:t>编号:</w:t>
      </w:r>
      <w:r>
        <w:rPr>
          <w:rFonts w:hint="eastAsia" w:ascii="仿宋" w:hAnsi="仿宋" w:eastAsia="仿宋" w:cs="仿宋"/>
          <w:color w:val="auto"/>
          <w:sz w:val="30"/>
          <w:szCs w:val="30"/>
          <w:lang w:eastAsia="zh-CN"/>
        </w:rPr>
        <w:t>JD2022BF-</w:t>
      </w:r>
      <w:r>
        <w:rPr>
          <w:rFonts w:hint="eastAsia" w:ascii="仿宋" w:hAnsi="仿宋" w:eastAsia="仿宋" w:cs="仿宋"/>
          <w:color w:val="auto"/>
          <w:sz w:val="30"/>
          <w:szCs w:val="30"/>
          <w:lang w:val="en-US" w:eastAsia="zh-CN"/>
        </w:rPr>
        <w:t>142</w:t>
      </w:r>
      <w:r>
        <w:rPr>
          <w:rFonts w:hint="eastAsia" w:ascii="仿宋" w:hAnsi="仿宋" w:eastAsia="仿宋" w:cs="仿宋"/>
          <w:color w:val="auto"/>
          <w:sz w:val="30"/>
          <w:szCs w:val="30"/>
          <w:lang w:eastAsia="zh-CN"/>
        </w:rPr>
        <w:t xml:space="preserve"> </w:t>
      </w:r>
      <w:r>
        <w:rPr>
          <w:rFonts w:hint="eastAsia" w:ascii="仿宋" w:hAnsi="仿宋" w:eastAsia="仿宋" w:cs="仿宋"/>
          <w:color w:val="auto"/>
          <w:sz w:val="30"/>
          <w:szCs w:val="30"/>
        </w:rPr>
        <w:t xml:space="preserve"> </w:t>
      </w:r>
    </w:p>
    <w:p>
      <w:pPr>
        <w:adjustRightInd/>
        <w:spacing w:line="360" w:lineRule="auto"/>
        <w:rPr>
          <w:rFonts w:hint="eastAsia" w:ascii="仿宋" w:hAnsi="仿宋" w:eastAsia="仿宋" w:cs="仿宋"/>
          <w:color w:val="auto"/>
          <w:sz w:val="28"/>
          <w:szCs w:val="20"/>
        </w:rPr>
      </w:pPr>
    </w:p>
    <w:p>
      <w:pPr>
        <w:spacing w:line="360" w:lineRule="auto"/>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 xml:space="preserve"> </w:t>
      </w:r>
    </w:p>
    <w:p>
      <w:pPr>
        <w:spacing w:line="360" w:lineRule="auto"/>
        <w:jc w:val="center"/>
        <w:rPr>
          <w:rFonts w:hint="eastAsia" w:ascii="仿宋" w:hAnsi="仿宋" w:eastAsia="仿宋" w:cs="仿宋"/>
          <w:b/>
          <w:color w:val="auto"/>
          <w:sz w:val="44"/>
          <w:szCs w:val="44"/>
        </w:rPr>
      </w:pPr>
    </w:p>
    <w:p>
      <w:pPr>
        <w:spacing w:line="360" w:lineRule="auto"/>
        <w:jc w:val="center"/>
        <w:rPr>
          <w:rFonts w:hint="eastAsia" w:ascii="仿宋" w:hAnsi="仿宋" w:eastAsia="仿宋" w:cs="仿宋"/>
          <w:color w:val="auto"/>
          <w:sz w:val="24"/>
        </w:rPr>
      </w:pPr>
    </w:p>
    <w:p>
      <w:pPr>
        <w:pStyle w:val="4"/>
        <w:rPr>
          <w:rFonts w:hint="eastAsia" w:ascii="仿宋" w:hAnsi="仿宋" w:eastAsia="仿宋" w:cs="仿宋"/>
          <w:color w:val="auto"/>
        </w:rPr>
      </w:pPr>
    </w:p>
    <w:p>
      <w:pPr>
        <w:rPr>
          <w:rFonts w:hint="eastAsia" w:ascii="仿宋" w:hAnsi="仿宋" w:eastAsia="仿宋" w:cs="仿宋"/>
          <w:color w:val="auto"/>
        </w:rPr>
      </w:pPr>
    </w:p>
    <w:p>
      <w:pPr>
        <w:spacing w:line="360" w:lineRule="auto"/>
        <w:jc w:val="center"/>
        <w:rPr>
          <w:rFonts w:hint="eastAsia" w:ascii="仿宋" w:hAnsi="仿宋" w:eastAsia="仿宋" w:cs="仿宋"/>
          <w:color w:val="auto"/>
          <w:sz w:val="24"/>
        </w:rPr>
      </w:pPr>
    </w:p>
    <w:p>
      <w:pPr>
        <w:spacing w:line="360" w:lineRule="auto"/>
        <w:rPr>
          <w:rFonts w:hint="eastAsia" w:ascii="仿宋" w:hAnsi="仿宋" w:eastAsia="仿宋" w:cs="仿宋"/>
          <w:color w:val="auto"/>
          <w:sz w:val="32"/>
          <w:szCs w:val="32"/>
        </w:rPr>
      </w:pPr>
    </w:p>
    <w:p>
      <w:pPr>
        <w:snapToGrid w:val="0"/>
        <w:spacing w:line="360" w:lineRule="auto"/>
        <w:ind w:firstLine="2720" w:firstLineChars="850"/>
        <w:rPr>
          <w:rFonts w:hint="eastAsia" w:ascii="仿宋" w:hAnsi="仿宋" w:eastAsia="仿宋" w:cs="仿宋"/>
          <w:color w:val="auto"/>
          <w:sz w:val="32"/>
          <w:szCs w:val="32"/>
        </w:rPr>
      </w:pPr>
    </w:p>
    <w:p>
      <w:pPr>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 xml:space="preserve">采购人：建德市卫生健康行政执法队 </w:t>
      </w:r>
    </w:p>
    <w:p>
      <w:pP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采购代理机构：杭州欣兴建设工程招标代理有限公司</w:t>
      </w:r>
    </w:p>
    <w:p>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eastAsia="zh-CN"/>
        </w:rPr>
        <w:t>二</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 xml:space="preserve"> 9</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 xml:space="preserve"> 8</w:t>
      </w:r>
      <w:r>
        <w:rPr>
          <w:rFonts w:hint="eastAsia" w:ascii="仿宋" w:hAnsi="仿宋" w:eastAsia="仿宋" w:cs="仿宋"/>
          <w:bCs/>
          <w:color w:val="auto"/>
          <w:sz w:val="32"/>
          <w:szCs w:val="32"/>
          <w:highlight w:val="none"/>
        </w:rPr>
        <w:t>日</w:t>
      </w:r>
    </w:p>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br w:type="page"/>
      </w:r>
      <w:bookmarkStart w:id="0" w:name="_Hlt67893495"/>
      <w:bookmarkEnd w:id="0"/>
    </w:p>
    <w:p>
      <w:pPr>
        <w:spacing w:line="360" w:lineRule="auto"/>
        <w:jc w:val="center"/>
        <w:rPr>
          <w:rFonts w:hint="eastAsia" w:ascii="仿宋" w:hAnsi="仿宋" w:eastAsia="仿宋" w:cs="仿宋"/>
          <w:b/>
          <w:color w:val="auto"/>
          <w:sz w:val="48"/>
          <w:szCs w:val="48"/>
        </w:rPr>
      </w:pPr>
      <w:r>
        <w:rPr>
          <w:rFonts w:hint="eastAsia" w:ascii="仿宋" w:hAnsi="仿宋" w:eastAsia="仿宋" w:cs="仿宋"/>
          <w:b/>
          <w:color w:val="auto"/>
          <w:sz w:val="48"/>
          <w:szCs w:val="48"/>
        </w:rPr>
        <w:t>目  录</w:t>
      </w:r>
    </w:p>
    <w:p>
      <w:pPr>
        <w:spacing w:line="360" w:lineRule="auto"/>
        <w:rPr>
          <w:rFonts w:hint="eastAsia" w:ascii="仿宋" w:hAnsi="仿宋" w:eastAsia="仿宋" w:cs="仿宋"/>
          <w:color w:val="auto"/>
          <w:sz w:val="32"/>
          <w:szCs w:val="32"/>
        </w:rPr>
      </w:pPr>
    </w:p>
    <w:p>
      <w:pPr>
        <w:spacing w:line="360" w:lineRule="auto"/>
        <w:rPr>
          <w:rFonts w:hint="eastAsia" w:ascii="仿宋" w:hAnsi="仿宋" w:eastAsia="仿宋" w:cs="仿宋"/>
          <w:color w:val="auto"/>
          <w:sz w:val="32"/>
          <w:szCs w:val="32"/>
        </w:rPr>
      </w:pP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第一部分      招标公告</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第二部分      投标人须知</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第三部分      采购需求</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第四部分      评标办法</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第五部分      拟签订的合同文本</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第六部分      应提交的有关格式范例</w:t>
      </w:r>
    </w:p>
    <w:p>
      <w:pPr>
        <w:spacing w:line="360" w:lineRule="auto"/>
        <w:ind w:firstLine="549" w:firstLineChars="229"/>
        <w:rPr>
          <w:rFonts w:hint="eastAsia" w:ascii="仿宋" w:hAnsi="仿宋" w:eastAsia="仿宋" w:cs="仿宋"/>
          <w:color w:val="auto"/>
          <w:sz w:val="24"/>
        </w:rPr>
      </w:pPr>
      <w:bookmarkStart w:id="1" w:name="_Hlt91233176"/>
      <w:bookmarkEnd w:id="1"/>
      <w:bookmarkStart w:id="2" w:name="_Toc91899869"/>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rPr>
          <w:rFonts w:hint="eastAsia" w:ascii="仿宋" w:hAnsi="仿宋" w:eastAsia="仿宋" w:cs="仿宋"/>
          <w:color w:val="auto"/>
          <w:sz w:val="24"/>
        </w:rPr>
      </w:pPr>
    </w:p>
    <w:p>
      <w:pPr>
        <w:adjustRightInd/>
        <w:spacing w:line="360" w:lineRule="auto"/>
        <w:jc w:val="center"/>
        <w:outlineLvl w:val="0"/>
        <w:rPr>
          <w:rFonts w:hint="eastAsia" w:ascii="仿宋" w:hAnsi="仿宋" w:eastAsia="仿宋" w:cs="仿宋"/>
          <w:b/>
          <w:color w:val="auto"/>
          <w:sz w:val="36"/>
          <w:szCs w:val="20"/>
        </w:rPr>
      </w:pPr>
      <w:bookmarkStart w:id="3" w:name="第一部分"/>
      <w:r>
        <w:rPr>
          <w:rFonts w:hint="eastAsia" w:ascii="仿宋" w:hAnsi="仿宋" w:eastAsia="仿宋" w:cs="仿宋"/>
          <w:b/>
          <w:color w:val="auto"/>
          <w:sz w:val="36"/>
          <w:szCs w:val="36"/>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仿宋" w:hAnsi="仿宋" w:eastAsia="仿宋" w:cs="仿宋"/>
          <w:b/>
          <w:color w:val="auto"/>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bCs/>
          <w:color w:val="auto"/>
          <w:sz w:val="24"/>
          <w:u w:val="single"/>
          <w:lang w:eastAsia="zh-CN"/>
        </w:rPr>
        <w:t>建德市2022年口腔诊疗机构智慧监管项目</w:t>
      </w:r>
      <w:r>
        <w:rPr>
          <w:rFonts w:hint="eastAsia" w:ascii="仿宋" w:hAnsi="仿宋" w:eastAsia="仿宋" w:cs="仿宋"/>
          <w:color w:val="auto"/>
          <w:sz w:val="24"/>
        </w:rPr>
        <w:t>的潜在投标人应在政采云平台（</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"https://www.zcygov.cn/）获取（下载）招标文件，并于2022年9月23日9点30分00秒" </w:instrText>
      </w:r>
      <w:r>
        <w:rPr>
          <w:rFonts w:hint="eastAsia" w:ascii="仿宋" w:hAnsi="仿宋" w:eastAsia="仿宋" w:cs="仿宋"/>
          <w:color w:val="auto"/>
        </w:rPr>
        <w:fldChar w:fldCharType="separate"/>
      </w:r>
      <w:r>
        <w:rPr>
          <w:rStyle w:val="77"/>
          <w:rFonts w:hint="eastAsia" w:ascii="仿宋" w:hAnsi="仿宋" w:eastAsia="仿宋" w:cs="仿宋"/>
          <w:snapToGrid/>
          <w:color w:val="auto"/>
          <w:kern w:val="2"/>
          <w:sz w:val="24"/>
          <w:szCs w:val="24"/>
        </w:rPr>
        <w:t>https://www.zcygov.cn/）获取（下载）招标文件，并于2022年</w:t>
      </w:r>
      <w:r>
        <w:rPr>
          <w:rStyle w:val="77"/>
          <w:rFonts w:hint="eastAsia" w:ascii="仿宋" w:hAnsi="仿宋" w:eastAsia="仿宋" w:cs="仿宋"/>
          <w:snapToGrid/>
          <w:color w:val="auto"/>
          <w:kern w:val="2"/>
          <w:sz w:val="24"/>
          <w:szCs w:val="24"/>
          <w:lang w:val="en-US" w:eastAsia="zh-CN"/>
        </w:rPr>
        <w:t xml:space="preserve"> 9</w:t>
      </w:r>
      <w:r>
        <w:rPr>
          <w:rStyle w:val="77"/>
          <w:rFonts w:hint="eastAsia" w:ascii="仿宋" w:hAnsi="仿宋" w:eastAsia="仿宋" w:cs="仿宋"/>
          <w:snapToGrid/>
          <w:color w:val="auto"/>
          <w:kern w:val="2"/>
          <w:sz w:val="24"/>
          <w:szCs w:val="24"/>
        </w:rPr>
        <w:t>月</w:t>
      </w:r>
      <w:r>
        <w:rPr>
          <w:rStyle w:val="77"/>
          <w:rFonts w:hint="eastAsia" w:ascii="仿宋" w:hAnsi="仿宋" w:eastAsia="仿宋" w:cs="仿宋"/>
          <w:snapToGrid/>
          <w:color w:val="auto"/>
          <w:kern w:val="2"/>
          <w:sz w:val="24"/>
          <w:szCs w:val="24"/>
          <w:lang w:val="en-US" w:eastAsia="zh-CN"/>
        </w:rPr>
        <w:t>29</w:t>
      </w:r>
      <w:r>
        <w:rPr>
          <w:rStyle w:val="77"/>
          <w:rFonts w:hint="eastAsia" w:ascii="仿宋" w:hAnsi="仿宋" w:eastAsia="仿宋" w:cs="仿宋"/>
          <w:snapToGrid/>
          <w:color w:val="auto"/>
          <w:kern w:val="2"/>
          <w:sz w:val="24"/>
          <w:szCs w:val="24"/>
        </w:rPr>
        <w:t>日9点30分</w:t>
      </w:r>
      <w:r>
        <w:rPr>
          <w:rStyle w:val="77"/>
          <w:rFonts w:hint="eastAsia" w:ascii="仿宋" w:hAnsi="仿宋" w:eastAsia="仿宋" w:cs="仿宋"/>
          <w:bCs/>
          <w:snapToGrid/>
          <w:color w:val="auto"/>
          <w:kern w:val="2"/>
          <w:sz w:val="24"/>
          <w:szCs w:val="24"/>
        </w:rPr>
        <w:t>00秒</w:t>
      </w:r>
      <w:r>
        <w:rPr>
          <w:rStyle w:val="77"/>
          <w:rFonts w:hint="eastAsia" w:ascii="仿宋" w:hAnsi="仿宋" w:eastAsia="仿宋" w:cs="仿宋"/>
          <w:bCs/>
          <w:snapToGrid/>
          <w:color w:val="auto"/>
          <w:kern w:val="2"/>
          <w:sz w:val="24"/>
          <w:szCs w:val="24"/>
        </w:rPr>
        <w:fldChar w:fldCharType="end"/>
      </w:r>
      <w:r>
        <w:rPr>
          <w:rFonts w:hint="eastAsia" w:ascii="仿宋" w:hAnsi="仿宋" w:eastAsia="仿宋" w:cs="仿宋"/>
          <w:bCs/>
          <w:color w:val="auto"/>
          <w:sz w:val="24"/>
        </w:rPr>
        <w:t>（北京时间）前</w:t>
      </w:r>
      <w:r>
        <w:rPr>
          <w:rFonts w:hint="eastAsia" w:ascii="仿宋" w:hAnsi="仿宋" w:eastAsia="仿宋" w:cs="仿宋"/>
          <w:color w:val="auto"/>
          <w:sz w:val="24"/>
        </w:rPr>
        <w:t>递交（上传）投标文件。</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 xml:space="preserve">一、项目基本情况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b/>
          <w:color w:val="auto"/>
          <w:sz w:val="24"/>
        </w:rPr>
        <w:t>项目编号：</w:t>
      </w:r>
      <w:r>
        <w:rPr>
          <w:rFonts w:hint="eastAsia" w:ascii="仿宋" w:hAnsi="仿宋" w:eastAsia="仿宋" w:cs="仿宋"/>
          <w:color w:val="auto"/>
          <w:sz w:val="24"/>
          <w:lang w:eastAsia="zh-CN"/>
        </w:rPr>
        <w:t>JD2022BF-</w:t>
      </w:r>
      <w:r>
        <w:rPr>
          <w:rFonts w:hint="eastAsia" w:ascii="仿宋" w:hAnsi="仿宋" w:eastAsia="仿宋" w:cs="仿宋"/>
          <w:color w:val="auto"/>
          <w:sz w:val="24"/>
          <w:lang w:val="en-US" w:eastAsia="zh-CN"/>
        </w:rPr>
        <w:t>142</w:t>
      </w:r>
      <w:r>
        <w:rPr>
          <w:rFonts w:hint="eastAsia" w:ascii="仿宋" w:hAnsi="仿宋" w:eastAsia="仿宋" w:cs="仿宋"/>
          <w:color w:val="auto"/>
          <w:sz w:val="24"/>
          <w:lang w:eastAsia="zh-CN"/>
        </w:rPr>
        <w:t xml:space="preserve"> </w:t>
      </w:r>
      <w:r>
        <w:rPr>
          <w:rFonts w:hint="eastAsia" w:ascii="仿宋" w:hAnsi="仿宋" w:eastAsia="仿宋" w:cs="仿宋"/>
          <w:color w:val="auto"/>
          <w:sz w:val="24"/>
        </w:rPr>
        <w:t xml:space="preserve">   </w:t>
      </w:r>
    </w:p>
    <w:p>
      <w:pPr>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 xml:space="preserve">   </w:t>
      </w:r>
      <w:r>
        <w:rPr>
          <w:rFonts w:hint="eastAsia" w:ascii="仿宋" w:hAnsi="仿宋" w:eastAsia="仿宋" w:cs="仿宋"/>
          <w:b/>
          <w:color w:val="auto"/>
          <w:sz w:val="24"/>
        </w:rPr>
        <w:t xml:space="preserve"> 项目名称：</w:t>
      </w:r>
      <w:r>
        <w:rPr>
          <w:rFonts w:hint="eastAsia" w:ascii="仿宋" w:hAnsi="仿宋" w:eastAsia="仿宋" w:cs="仿宋"/>
          <w:color w:val="auto"/>
          <w:sz w:val="24"/>
          <w:lang w:eastAsia="zh-CN"/>
        </w:rPr>
        <w:t>建德市2022年口腔诊疗机构智慧监管项目</w:t>
      </w:r>
    </w:p>
    <w:p>
      <w:pPr>
        <w:spacing w:line="360" w:lineRule="auto"/>
        <w:ind w:firstLine="482" w:firstLineChars="200"/>
        <w:rPr>
          <w:rFonts w:hint="eastAsia" w:ascii="仿宋" w:hAnsi="仿宋" w:eastAsia="仿宋" w:cs="仿宋"/>
          <w:color w:val="auto"/>
          <w:sz w:val="24"/>
          <w:lang w:eastAsia="zh-CN"/>
        </w:rPr>
      </w:pPr>
      <w:r>
        <w:rPr>
          <w:rFonts w:hint="eastAsia" w:ascii="仿宋" w:hAnsi="仿宋" w:eastAsia="仿宋" w:cs="仿宋"/>
          <w:b/>
          <w:color w:val="auto"/>
          <w:sz w:val="24"/>
        </w:rPr>
        <w:t>预算金额（元）：</w:t>
      </w:r>
      <w:r>
        <w:rPr>
          <w:rFonts w:hint="eastAsia" w:ascii="仿宋" w:hAnsi="仿宋" w:eastAsia="仿宋" w:cs="仿宋"/>
          <w:color w:val="auto"/>
          <w:sz w:val="24"/>
          <w:lang w:val="en-US" w:eastAsia="zh-CN"/>
        </w:rPr>
        <w:t>520000.00</w:t>
      </w:r>
      <w:r>
        <w:rPr>
          <w:rFonts w:hint="eastAsia" w:ascii="仿宋" w:hAnsi="仿宋" w:eastAsia="仿宋" w:cs="仿宋"/>
          <w:color w:val="auto"/>
          <w:sz w:val="24"/>
          <w:lang w:eastAsia="zh-CN"/>
        </w:rPr>
        <w:t xml:space="preserve"> </w:t>
      </w:r>
    </w:p>
    <w:p>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最</w:t>
      </w:r>
      <w:r>
        <w:rPr>
          <w:rFonts w:hint="eastAsia" w:ascii="仿宋" w:hAnsi="仿宋" w:eastAsia="仿宋" w:cs="仿宋"/>
          <w:b/>
          <w:color w:val="auto"/>
          <w:sz w:val="24"/>
          <w:lang w:eastAsia="zh-CN"/>
        </w:rPr>
        <w:t>高限价（元）</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520000.00</w:t>
      </w:r>
    </w:p>
    <w:p>
      <w:pPr>
        <w:spacing w:line="360" w:lineRule="auto"/>
        <w:ind w:firstLine="482" w:firstLineChars="200"/>
        <w:jc w:val="left"/>
        <w:rPr>
          <w:rFonts w:hint="eastAsia" w:ascii="仿宋" w:hAnsi="仿宋" w:eastAsia="仿宋" w:cs="仿宋"/>
          <w:color w:val="auto"/>
          <w:sz w:val="24"/>
        </w:rPr>
      </w:pPr>
      <w:r>
        <w:rPr>
          <w:rFonts w:hint="eastAsia" w:ascii="仿宋" w:hAnsi="仿宋" w:eastAsia="仿宋" w:cs="仿宋"/>
          <w:b/>
          <w:color w:val="auto"/>
          <w:sz w:val="24"/>
        </w:rPr>
        <w:t>采购需求：</w:t>
      </w:r>
      <w:r>
        <w:rPr>
          <w:rFonts w:hint="eastAsia" w:ascii="仿宋" w:hAnsi="仿宋" w:eastAsia="仿宋" w:cs="仿宋"/>
          <w:snapToGrid/>
          <w:color w:val="auto"/>
          <w:kern w:val="2"/>
          <w:sz w:val="24"/>
          <w:szCs w:val="24"/>
          <w:highlight w:val="none"/>
          <w:lang w:val="en-US" w:eastAsia="zh-CN" w:bidi="ar-SA"/>
        </w:rPr>
        <w:t>结合物联网、机器视觉、大数据分析和人工智能等现代信息技术，将本市所有医疗机构的口腔消毒相关信息上传至浙江省口腔诊疗机构监督在线(数智卫监)平台，通过器械灭菌智能监测、清洗消毒智能监控、生物化学报告上传、智能预警和在线执法取证等5个模块，口腔诊疗机构智慧监控平台应具备传输、存储智能检测设备上的终端数据，实现行政部门对各个口腔消毒供应室监管内容的在线监管、实时预警、在线取证、非现场执法。详见招标文件第三部分采购需求。</w:t>
      </w:r>
    </w:p>
    <w:p>
      <w:pPr>
        <w:spacing w:line="360" w:lineRule="auto"/>
        <w:ind w:firstLine="482"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b/>
          <w:color w:val="auto"/>
          <w:sz w:val="24"/>
        </w:rPr>
        <w:t>合同履约期限：</w:t>
      </w:r>
      <w:r>
        <w:rPr>
          <w:rFonts w:hint="eastAsia" w:ascii="仿宋" w:hAnsi="仿宋" w:eastAsia="仿宋" w:cs="仿宋"/>
          <w:snapToGrid/>
          <w:color w:val="auto"/>
          <w:kern w:val="2"/>
          <w:sz w:val="24"/>
          <w:szCs w:val="24"/>
          <w:highlight w:val="none"/>
          <w:lang w:val="en-US" w:eastAsia="zh-CN" w:bidi="ar-SA"/>
        </w:rPr>
        <w:t>中标人在签订合同后，必须在2022年10月30日之前按采购单位要求完成交货、安装调试、全部接入浙江省口腔诊疗机构监督在线并交付使用。</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本项目接受联合体投标：</w:t>
      </w:r>
      <w:sdt>
        <w:sdtPr>
          <w:rPr>
            <w:rFonts w:hint="eastAsia" w:ascii="仿宋" w:hAnsi="仿宋" w:eastAsia="仿宋" w:cs="仿宋"/>
            <w:b/>
            <w:color w:val="auto"/>
            <w:sz w:val="24"/>
          </w:rPr>
          <w:id w:val="607980263"/>
        </w:sdtPr>
        <w:sdtEndPr>
          <w:rPr>
            <w:rFonts w:hint="eastAsia" w:ascii="仿宋" w:hAnsi="仿宋" w:eastAsia="仿宋" w:cs="仿宋"/>
            <w:b/>
            <w:color w:val="auto"/>
            <w:sz w:val="24"/>
          </w:rPr>
        </w:sdtEndPr>
        <w:sdtContent>
          <w:r>
            <w:rPr>
              <w:rFonts w:hint="eastAsia" w:ascii="仿宋" w:hAnsi="仿宋" w:eastAsia="仿宋" w:cs="仿宋"/>
              <w:b/>
              <w:color w:val="auto"/>
              <w:sz w:val="24"/>
            </w:rPr>
            <w:sym w:font="Wingdings" w:char="00FE"/>
          </w:r>
        </w:sdtContent>
      </w:sdt>
      <w:r>
        <w:rPr>
          <w:rFonts w:hint="eastAsia" w:ascii="仿宋" w:hAnsi="仿宋" w:eastAsia="仿宋" w:cs="仿宋"/>
          <w:b/>
          <w:color w:val="auto"/>
          <w:sz w:val="24"/>
        </w:rPr>
        <w:t>是，</w:t>
      </w:r>
      <w:sdt>
        <w:sdtPr>
          <w:rPr>
            <w:rFonts w:hint="eastAsia" w:ascii="仿宋" w:hAnsi="仿宋" w:eastAsia="仿宋" w:cs="仿宋"/>
            <w:b/>
            <w:color w:val="auto"/>
            <w:sz w:val="24"/>
          </w:rPr>
          <w:id w:val="2035453831"/>
        </w:sdtPr>
        <w:sdtEndPr>
          <w:rPr>
            <w:rFonts w:hint="eastAsia" w:ascii="仿宋" w:hAnsi="仿宋" w:eastAsia="仿宋" w:cs="仿宋"/>
            <w:b/>
            <w:color w:val="auto"/>
            <w:sz w:val="24"/>
          </w:rPr>
        </w:sdtEndPr>
        <w:sdtContent>
          <w:r>
            <w:rPr>
              <w:rFonts w:hint="eastAsia" w:ascii="仿宋" w:hAnsi="仿宋" w:eastAsia="仿宋" w:cs="仿宋"/>
              <w:b/>
              <w:color w:val="auto"/>
              <w:sz w:val="24"/>
            </w:rPr>
            <w:sym w:font="Wingdings" w:char="F0A8"/>
          </w:r>
        </w:sdtContent>
      </w:sdt>
      <w:r>
        <w:rPr>
          <w:rFonts w:hint="eastAsia" w:ascii="仿宋" w:hAnsi="仿宋" w:eastAsia="仿宋" w:cs="仿宋"/>
          <w:b/>
          <w:color w:val="auto"/>
          <w:sz w:val="24"/>
        </w:rPr>
        <w:t>否。</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二、申请人的资格要求：</w:t>
      </w:r>
    </w:p>
    <w:p>
      <w:pPr>
        <w:spacing w:line="360" w:lineRule="auto"/>
        <w:ind w:firstLine="480"/>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65"/>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2.以联合体形式投标的，提供联合协议(本项目不接受联合体投标或者投标人不以联合体形式投标的，则不需要提供)：</w:t>
      </w:r>
    </w:p>
    <w:p>
      <w:pPr>
        <w:spacing w:line="360" w:lineRule="auto"/>
        <w:ind w:firstLine="465"/>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3.落实政府采购政策需满足的资格要求：、</w:t>
      </w:r>
    </w:p>
    <w:p>
      <w:pPr>
        <w:pStyle w:val="4"/>
        <w:ind w:firstLine="600" w:firstLineChars="250"/>
        <w:rPr>
          <w:rFonts w:hint="eastAsia" w:ascii="仿宋" w:hAnsi="仿宋" w:eastAsia="仿宋" w:cs="仿宋"/>
          <w:color w:val="auto"/>
          <w:kern w:val="28"/>
        </w:rPr>
      </w:pPr>
      <w:sdt>
        <w:sdtPr>
          <w:rPr>
            <w:rFonts w:hint="eastAsia" w:ascii="仿宋" w:hAnsi="仿宋" w:eastAsia="仿宋" w:cs="仿宋"/>
            <w:color w:val="auto"/>
            <w:kern w:val="0"/>
          </w:rPr>
          <w:id w:val="246922004"/>
        </w:sdtPr>
        <w:sdtEndPr>
          <w:rPr>
            <w:rFonts w:hint="eastAsia" w:ascii="仿宋" w:hAnsi="仿宋" w:eastAsia="仿宋" w:cs="仿宋"/>
            <w:b/>
            <w:color w:val="auto"/>
            <w:kern w:val="0"/>
          </w:rPr>
        </w:sdtEndPr>
        <w:sdtContent>
          <w:sdt>
            <w:sdtPr>
              <w:rPr>
                <w:rFonts w:hint="eastAsia" w:ascii="仿宋" w:hAnsi="仿宋" w:eastAsia="仿宋" w:cs="仿宋"/>
                <w:color w:val="auto"/>
                <w:kern w:val="0"/>
              </w:rPr>
              <w:id w:val="246922005"/>
            </w:sdtPr>
            <w:sdtEndPr>
              <w:rPr>
                <w:rFonts w:hint="eastAsia" w:ascii="仿宋" w:hAnsi="仿宋" w:eastAsia="仿宋" w:cs="仿宋"/>
                <w:b/>
                <w:color w:val="auto"/>
                <w:kern w:val="0"/>
              </w:rPr>
            </w:sdtEndPr>
            <w:sdtContent>
              <w:r>
                <w:rPr>
                  <w:rFonts w:hint="eastAsia" w:ascii="仿宋" w:hAnsi="仿宋" w:eastAsia="仿宋" w:cs="仿宋"/>
                  <w:b/>
                  <w:color w:val="auto"/>
                  <w:kern w:val="0"/>
                  <w:lang w:val="en-US"/>
                </w:rPr>
                <w:t>☐</w:t>
              </w:r>
            </w:sdtContent>
          </w:sdt>
        </w:sdtContent>
      </w:sdt>
      <w:r>
        <w:rPr>
          <w:rFonts w:hint="eastAsia" w:ascii="仿宋" w:hAnsi="仿宋" w:eastAsia="仿宋" w:cs="仿宋"/>
          <w:color w:val="auto"/>
          <w:kern w:val="28"/>
        </w:rPr>
        <w:t>无  (注：不得限制大中型企业与小微企业组成联合体参与投标。)</w:t>
      </w:r>
    </w:p>
    <w:p>
      <w:pPr>
        <w:spacing w:line="360" w:lineRule="auto"/>
        <w:ind w:firstLine="600" w:firstLineChars="250"/>
        <w:rPr>
          <w:rFonts w:hint="eastAsia" w:ascii="仿宋" w:hAnsi="仿宋" w:eastAsia="仿宋" w:cs="仿宋"/>
          <w:snapToGrid w:val="0"/>
          <w:color w:val="auto"/>
          <w:kern w:val="28"/>
          <w:sz w:val="24"/>
          <w:szCs w:val="20"/>
        </w:rPr>
      </w:pPr>
      <w:sdt>
        <w:sdtPr>
          <w:rPr>
            <w:rFonts w:hint="eastAsia" w:ascii="仿宋" w:hAnsi="仿宋" w:eastAsia="仿宋" w:cs="仿宋"/>
            <w:color w:val="auto"/>
            <w:kern w:val="28"/>
            <w:sz w:val="24"/>
            <w:szCs w:val="20"/>
          </w:rPr>
          <w:id w:val="19577988"/>
        </w:sdtPr>
        <w:sdtEndPr>
          <w:rPr>
            <w:rFonts w:hint="eastAsia" w:ascii="仿宋" w:hAnsi="仿宋" w:eastAsia="仿宋" w:cs="仿宋"/>
            <w:b/>
            <w:color w:val="auto"/>
            <w:kern w:val="28"/>
            <w:sz w:val="24"/>
            <w:szCs w:val="20"/>
          </w:rPr>
        </w:sdtEndPr>
        <w:sdtContent>
          <w:r>
            <w:rPr>
              <w:rFonts w:hint="eastAsia" w:ascii="仿宋" w:hAnsi="仿宋" w:eastAsia="仿宋" w:cs="仿宋"/>
              <w:b/>
              <w:color w:val="auto"/>
              <w:kern w:val="28"/>
              <w:sz w:val="24"/>
              <w:szCs w:val="20"/>
            </w:rPr>
            <w:sym w:font="Wingdings" w:char="00FE"/>
          </w:r>
        </w:sdtContent>
      </w:sdt>
      <w:r>
        <w:rPr>
          <w:rFonts w:hint="eastAsia" w:ascii="仿宋" w:hAnsi="仿宋" w:eastAsia="仿宋" w:cs="仿宋"/>
          <w:snapToGrid w:val="0"/>
          <w:color w:val="auto"/>
          <w:kern w:val="28"/>
          <w:sz w:val="24"/>
          <w:szCs w:val="20"/>
        </w:rPr>
        <w:t>专门面向中小企业</w:t>
      </w:r>
    </w:p>
    <w:p>
      <w:pPr>
        <w:spacing w:line="360" w:lineRule="auto"/>
        <w:ind w:firstLine="960" w:firstLineChars="400"/>
        <w:rPr>
          <w:rFonts w:hint="eastAsia" w:ascii="仿宋" w:hAnsi="仿宋" w:eastAsia="仿宋" w:cs="仿宋"/>
          <w:snapToGrid w:val="0"/>
          <w:color w:val="auto"/>
          <w:kern w:val="28"/>
          <w:sz w:val="24"/>
          <w:szCs w:val="20"/>
        </w:rPr>
      </w:pPr>
      <w:sdt>
        <w:sdtPr>
          <w:rPr>
            <w:rFonts w:hint="eastAsia" w:ascii="仿宋" w:hAnsi="仿宋" w:eastAsia="仿宋" w:cs="仿宋"/>
            <w:color w:val="auto"/>
            <w:kern w:val="28"/>
            <w:sz w:val="24"/>
            <w:szCs w:val="20"/>
          </w:rPr>
          <w:id w:val="19577990"/>
        </w:sdtPr>
        <w:sdtEndPr>
          <w:rPr>
            <w:rFonts w:hint="eastAsia" w:ascii="仿宋" w:hAnsi="仿宋" w:eastAsia="仿宋" w:cs="仿宋"/>
            <w:b/>
            <w:color w:val="auto"/>
            <w:kern w:val="28"/>
            <w:sz w:val="24"/>
            <w:szCs w:val="20"/>
          </w:rPr>
        </w:sdtEndPr>
        <w:sdtContent>
          <w:r>
            <w:rPr>
              <w:rFonts w:hint="eastAsia" w:ascii="仿宋" w:hAnsi="仿宋" w:eastAsia="仿宋" w:cs="仿宋"/>
              <w:b/>
              <w:color w:val="auto"/>
              <w:kern w:val="28"/>
              <w:sz w:val="24"/>
              <w:szCs w:val="20"/>
            </w:rPr>
            <w:sym w:font="Wingdings" w:char="00FE"/>
          </w:r>
        </w:sdtContent>
      </w:sdt>
      <w:r>
        <w:rPr>
          <w:rFonts w:hint="eastAsia" w:ascii="仿宋" w:hAnsi="仿宋" w:eastAsia="仿宋" w:cs="仿宋"/>
          <w:snapToGrid w:val="0"/>
          <w:color w:val="auto"/>
          <w:kern w:val="28"/>
          <w:sz w:val="24"/>
          <w:szCs w:val="20"/>
        </w:rPr>
        <w:t>货物全部由符合政策要求的中小企业制造，提供中小企业声明函；</w:t>
      </w:r>
    </w:p>
    <w:p>
      <w:pPr>
        <w:spacing w:line="360" w:lineRule="auto"/>
        <w:ind w:firstLine="960" w:firstLineChars="400"/>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☐货物全部由符合政策要求的小微企业制造，提供中小企业声明函；</w:t>
      </w:r>
    </w:p>
    <w:p>
      <w:pPr>
        <w:spacing w:line="360" w:lineRule="auto"/>
        <w:ind w:firstLine="960" w:firstLineChars="400"/>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☐服务全部由符合政策要求的中小企业承接，提供中小企业声明函；</w:t>
      </w:r>
    </w:p>
    <w:p>
      <w:pPr>
        <w:spacing w:line="360" w:lineRule="auto"/>
        <w:ind w:firstLine="960" w:firstLineChars="400"/>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☐服务全部由符合政策要求的小微企业承接，提供中小企业声明函；</w:t>
      </w:r>
    </w:p>
    <w:p>
      <w:pPr>
        <w:pStyle w:val="2"/>
        <w:ind w:left="0" w:leftChars="0" w:firstLine="420"/>
        <w:rPr>
          <w:rFonts w:hint="eastAsia" w:ascii="仿宋" w:hAnsi="仿宋" w:eastAsia="仿宋" w:cs="仿宋"/>
          <w:color w:val="auto"/>
        </w:rPr>
      </w:pPr>
      <w:r>
        <w:rPr>
          <w:rFonts w:hint="eastAsia" w:ascii="仿宋" w:hAnsi="仿宋" w:eastAsia="仿宋" w:cs="仿宋"/>
          <w:color w:val="auto"/>
        </w:rPr>
        <w:t>（</w:t>
      </w:r>
      <w:r>
        <w:rPr>
          <w:rFonts w:hint="eastAsia" w:ascii="仿宋" w:hAnsi="仿宋" w:eastAsia="仿宋" w:cs="仿宋"/>
          <w:color w:val="auto"/>
          <w:sz w:val="24"/>
        </w:rPr>
        <w:t>注:不得限制中型企业与小微企业组成联合体参与投标。</w:t>
      </w:r>
      <w:r>
        <w:rPr>
          <w:rFonts w:hint="eastAsia" w:ascii="仿宋" w:hAnsi="仿宋" w:eastAsia="仿宋" w:cs="仿宋"/>
          <w:color w:val="auto"/>
        </w:rPr>
        <w:t>）</w:t>
      </w:r>
    </w:p>
    <w:p>
      <w:pPr>
        <w:spacing w:line="360" w:lineRule="auto"/>
        <w:ind w:firstLine="537" w:firstLineChars="224"/>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☐要求以联合体形式参加，提供联合协议和中小企业声明函，联合协议中中小企业合同金额应当达到</w:t>
      </w:r>
      <w:r>
        <w:rPr>
          <w:rFonts w:hint="eastAsia" w:ascii="仿宋" w:hAnsi="仿宋" w:eastAsia="仿宋" w:cs="仿宋"/>
          <w:snapToGrid w:val="0"/>
          <w:color w:val="auto"/>
          <w:kern w:val="28"/>
          <w:sz w:val="24"/>
          <w:szCs w:val="20"/>
          <w:u w:val="single"/>
        </w:rPr>
        <w:t xml:space="preserve">  </w:t>
      </w:r>
      <w:r>
        <w:rPr>
          <w:rFonts w:hint="eastAsia" w:ascii="仿宋" w:hAnsi="仿宋" w:eastAsia="仿宋" w:cs="仿宋"/>
          <w:snapToGrid w:val="0"/>
          <w:color w:val="auto"/>
          <w:kern w:val="28"/>
          <w:sz w:val="24"/>
          <w:szCs w:val="20"/>
        </w:rPr>
        <w:t>%，小微企业合同金额应当达到</w:t>
      </w:r>
      <w:r>
        <w:rPr>
          <w:rFonts w:hint="eastAsia" w:ascii="仿宋" w:hAnsi="仿宋" w:eastAsia="仿宋" w:cs="仿宋"/>
          <w:snapToGrid w:val="0"/>
          <w:color w:val="auto"/>
          <w:kern w:val="28"/>
          <w:sz w:val="24"/>
          <w:szCs w:val="20"/>
          <w:u w:val="single"/>
        </w:rPr>
        <w:t xml:space="preserve">  </w:t>
      </w:r>
      <w:r>
        <w:rPr>
          <w:rFonts w:hint="eastAsia" w:ascii="仿宋" w:hAnsi="仿宋" w:eastAsia="仿宋" w:cs="仿宋"/>
          <w:snapToGrid w:val="0"/>
          <w:color w:val="auto"/>
          <w:kern w:val="28"/>
          <w:sz w:val="24"/>
          <w:szCs w:val="20"/>
        </w:rPr>
        <w:t>%;如果供应商本身提供所有标的均由中小企业制造、承建或承接，视同符合了资格条件，无需再与其他中小企业组成联合体参加政府采购活动，无需提供联合协议；</w:t>
      </w:r>
    </w:p>
    <w:p>
      <w:pPr>
        <w:spacing w:line="360" w:lineRule="auto"/>
        <w:ind w:firstLine="600" w:firstLineChars="250"/>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☐要求合同分包，提供分包意向协议和中小企业声明函，分包意向协议中中小企业合同金额应当达到达到</w:t>
      </w:r>
      <w:r>
        <w:rPr>
          <w:rFonts w:hint="eastAsia" w:ascii="仿宋" w:hAnsi="仿宋" w:eastAsia="仿宋" w:cs="仿宋"/>
          <w:snapToGrid w:val="0"/>
          <w:color w:val="auto"/>
          <w:kern w:val="28"/>
          <w:sz w:val="24"/>
          <w:szCs w:val="20"/>
          <w:u w:val="single"/>
        </w:rPr>
        <w:t xml:space="preserve">  </w:t>
      </w:r>
      <w:r>
        <w:rPr>
          <w:rFonts w:hint="eastAsia" w:ascii="仿宋" w:hAnsi="仿宋" w:eastAsia="仿宋" w:cs="仿宋"/>
          <w:snapToGrid w:val="0"/>
          <w:color w:val="auto"/>
          <w:kern w:val="28"/>
          <w:sz w:val="24"/>
          <w:szCs w:val="20"/>
        </w:rPr>
        <w:t>% ，小微企业合同金额应当达到</w:t>
      </w:r>
      <w:r>
        <w:rPr>
          <w:rFonts w:hint="eastAsia" w:ascii="仿宋" w:hAnsi="仿宋" w:eastAsia="仿宋" w:cs="仿宋"/>
          <w:snapToGrid w:val="0"/>
          <w:color w:val="auto"/>
          <w:kern w:val="28"/>
          <w:sz w:val="24"/>
          <w:szCs w:val="20"/>
          <w:u w:val="single"/>
        </w:rPr>
        <w:t xml:space="preserve">  </w:t>
      </w:r>
      <w:r>
        <w:rPr>
          <w:rFonts w:hint="eastAsia" w:ascii="仿宋" w:hAnsi="仿宋" w:eastAsia="仿宋" w:cs="仿宋"/>
          <w:snapToGrid w:val="0"/>
          <w:color w:val="auto"/>
          <w:kern w:val="28"/>
          <w:sz w:val="24"/>
          <w:szCs w:val="20"/>
        </w:rPr>
        <w:t>% ;如果供应商本身提供所有标的均由中小企业制造、承建或承接，视同符合了资格条件，无需再向中小企业分包，无需提供分包意向协议；</w:t>
      </w:r>
    </w:p>
    <w:p>
      <w:pPr>
        <w:spacing w:line="360" w:lineRule="auto"/>
        <w:ind w:firstLine="465"/>
        <w:rPr>
          <w:rFonts w:hint="eastAsia" w:ascii="仿宋" w:hAnsi="仿宋" w:eastAsia="仿宋" w:cs="仿宋"/>
          <w:color w:val="auto"/>
          <w:sz w:val="24"/>
        </w:rPr>
      </w:pPr>
      <w:r>
        <w:rPr>
          <w:rFonts w:hint="eastAsia" w:ascii="仿宋" w:hAnsi="仿宋" w:eastAsia="仿宋" w:cs="仿宋"/>
          <w:color w:val="auto"/>
          <w:sz w:val="24"/>
        </w:rPr>
        <w:t>4.本项目的特定资格要求：无；</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 xml:space="preserve">三、获取招标文件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u w:val="single"/>
        </w:rPr>
        <w:t>2022年9月2</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日</w:t>
      </w:r>
      <w:r>
        <w:rPr>
          <w:rFonts w:hint="eastAsia" w:ascii="仿宋" w:hAnsi="仿宋" w:eastAsia="仿宋" w:cs="仿宋"/>
          <w:color w:val="auto"/>
          <w:sz w:val="24"/>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提交投标文件截止时间：</w:t>
      </w:r>
      <w:r>
        <w:rPr>
          <w:rFonts w:hint="eastAsia" w:ascii="仿宋" w:hAnsi="仿宋" w:eastAsia="仿宋" w:cs="仿宋"/>
          <w:color w:val="auto"/>
          <w:sz w:val="24"/>
          <w:u w:val="single"/>
        </w:rPr>
        <w:t xml:space="preserve"> 2022年</w:t>
      </w:r>
      <w:r>
        <w:rPr>
          <w:rFonts w:hint="eastAsia" w:ascii="仿宋" w:hAnsi="仿宋" w:eastAsia="仿宋" w:cs="仿宋"/>
          <w:color w:val="auto"/>
          <w:sz w:val="24"/>
          <w:u w:val="single"/>
          <w:lang w:val="en-US" w:eastAsia="zh-CN"/>
        </w:rPr>
        <w:t xml:space="preserve"> 9</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 xml:space="preserve">29 </w:t>
      </w:r>
      <w:r>
        <w:rPr>
          <w:rFonts w:hint="eastAsia" w:ascii="仿宋" w:hAnsi="仿宋" w:eastAsia="仿宋" w:cs="仿宋"/>
          <w:color w:val="auto"/>
          <w:sz w:val="24"/>
          <w:u w:val="single"/>
        </w:rPr>
        <w:t>日9点30分</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（北京时间）</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投标地点（网址）：</w:t>
      </w:r>
      <w:r>
        <w:rPr>
          <w:rFonts w:hint="eastAsia" w:ascii="仿宋" w:hAnsi="仿宋" w:eastAsia="仿宋" w:cs="仿宋"/>
          <w:color w:val="auto"/>
          <w:sz w:val="24"/>
        </w:rPr>
        <w:t xml:space="preserve">政采云平台（https://www.zcygov.cn/） </w:t>
      </w:r>
    </w:p>
    <w:p>
      <w:pPr>
        <w:spacing w:line="360" w:lineRule="auto"/>
        <w:ind w:firstLine="482" w:firstLineChars="200"/>
        <w:rPr>
          <w:rFonts w:hint="eastAsia" w:ascii="仿宋" w:hAnsi="仿宋" w:eastAsia="仿宋" w:cs="仿宋"/>
          <w:bCs/>
          <w:color w:val="auto"/>
          <w:sz w:val="24"/>
          <w:u w:val="single"/>
        </w:rPr>
      </w:pPr>
      <w:r>
        <w:rPr>
          <w:rFonts w:hint="eastAsia" w:ascii="仿宋" w:hAnsi="仿宋" w:eastAsia="仿宋" w:cs="仿宋"/>
          <w:b/>
          <w:color w:val="auto"/>
          <w:sz w:val="24"/>
        </w:rPr>
        <w:t>开标时间：</w:t>
      </w:r>
      <w:r>
        <w:rPr>
          <w:rFonts w:hint="eastAsia" w:ascii="仿宋" w:hAnsi="仿宋" w:eastAsia="仿宋" w:cs="仿宋"/>
          <w:color w:val="auto"/>
          <w:sz w:val="24"/>
          <w:u w:val="single"/>
        </w:rPr>
        <w:t>2022年</w:t>
      </w:r>
      <w:r>
        <w:rPr>
          <w:rFonts w:hint="eastAsia" w:ascii="仿宋" w:hAnsi="仿宋" w:eastAsia="仿宋" w:cs="仿宋"/>
          <w:color w:val="auto"/>
          <w:sz w:val="24"/>
          <w:u w:val="single"/>
          <w:lang w:val="en-US" w:eastAsia="zh-CN"/>
        </w:rPr>
        <w:t xml:space="preserve"> 9</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 xml:space="preserve"> 29</w:t>
      </w:r>
      <w:r>
        <w:rPr>
          <w:rFonts w:hint="eastAsia" w:ascii="仿宋" w:hAnsi="仿宋" w:eastAsia="仿宋" w:cs="仿宋"/>
          <w:color w:val="auto"/>
          <w:sz w:val="24"/>
          <w:u w:val="single"/>
        </w:rPr>
        <w:t>日9点30分</w:t>
      </w:r>
      <w:r>
        <w:rPr>
          <w:rFonts w:hint="eastAsia" w:ascii="仿宋" w:hAnsi="仿宋" w:eastAsia="仿宋" w:cs="仿宋"/>
          <w:bCs/>
          <w:color w:val="auto"/>
          <w:sz w:val="24"/>
          <w:u w:val="single"/>
        </w:rPr>
        <w:t xml:space="preserve">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开标地点（网址）：</w:t>
      </w:r>
      <w:r>
        <w:rPr>
          <w:rFonts w:hint="eastAsia" w:ascii="仿宋" w:hAnsi="仿宋" w:eastAsia="仿宋" w:cs="仿宋"/>
          <w:color w:val="auto"/>
          <w:sz w:val="24"/>
        </w:rPr>
        <w:t>政采云平台（https://www.zcygov.cn/）</w:t>
      </w:r>
    </w:p>
    <w:p>
      <w:pPr>
        <w:spacing w:line="360" w:lineRule="auto"/>
        <w:rPr>
          <w:rFonts w:hint="eastAsia" w:ascii="仿宋" w:hAnsi="仿宋" w:eastAsia="仿宋" w:cs="仿宋"/>
          <w:color w:val="auto"/>
          <w:sz w:val="24"/>
        </w:rPr>
      </w:pPr>
      <w:r>
        <w:rPr>
          <w:rFonts w:hint="eastAsia" w:ascii="仿宋" w:hAnsi="仿宋" w:eastAsia="仿宋" w:cs="仿宋"/>
          <w:b/>
          <w:color w:val="auto"/>
          <w:sz w:val="24"/>
        </w:rPr>
        <w:t xml:space="preserve">五、公告期限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自本公告发布之日起5个工作日。</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六、其他补充事宜</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七、对本次采购提出询问、质疑、投诉，请按以下方式联系</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rPr>
        <w:t xml:space="preserve">    </w:t>
      </w:r>
      <w:r>
        <w:rPr>
          <w:rFonts w:hint="eastAsia" w:ascii="仿宋" w:hAnsi="仿宋" w:eastAsia="仿宋" w:cs="仿宋"/>
          <w:color w:val="auto"/>
          <w:sz w:val="24"/>
          <w:highlight w:val="none"/>
        </w:rPr>
        <w:t xml:space="preserve"> 1.采购人信息</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w:t>
      </w:r>
      <w:r>
        <w:rPr>
          <w:rFonts w:hint="eastAsia" w:ascii="仿宋" w:hAnsi="仿宋" w:eastAsia="仿宋" w:cs="仿宋"/>
          <w:color w:val="auto"/>
          <w:sz w:val="24"/>
          <w:highlight w:val="none"/>
          <w:lang w:eastAsia="zh-CN"/>
        </w:rPr>
        <w:t xml:space="preserve">建德市卫生健康行政执法队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址：建德市新安江街道严州大道797号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项目联系人（询问）：杨梦迪 </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 xml:space="preserve">  </w:t>
      </w:r>
    </w:p>
    <w:p>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项目联系方式（询问）：</w:t>
      </w:r>
      <w:r>
        <w:rPr>
          <w:rFonts w:hint="eastAsia" w:ascii="仿宋" w:hAnsi="仿宋" w:eastAsia="仿宋" w:cs="仿宋"/>
          <w:color w:val="auto"/>
          <w:sz w:val="24"/>
          <w:highlight w:val="none"/>
          <w:lang w:val="en-US" w:eastAsia="zh-CN"/>
        </w:rPr>
        <w:t>17706818228</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color w:val="auto"/>
          <w:sz w:val="24"/>
          <w:highlight w:val="none"/>
          <w:lang w:val="en-US" w:eastAsia="zh-CN"/>
        </w:rPr>
        <w:t xml:space="preserve"> </w:t>
      </w:r>
    </w:p>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质疑联系人：刘忠</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color w:val="auto"/>
          <w:sz w:val="24"/>
          <w:highlight w:val="none"/>
          <w:lang w:val="en-US" w:eastAsia="zh-CN"/>
        </w:rPr>
        <w:t xml:space="preserve">   </w:t>
      </w:r>
    </w:p>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质疑联系方式</w:t>
      </w:r>
      <w:r>
        <w:rPr>
          <w:rFonts w:hint="eastAsia" w:ascii="仿宋" w:hAnsi="仿宋" w:eastAsia="仿宋" w:cs="仿宋"/>
          <w:color w:val="auto"/>
          <w:sz w:val="24"/>
          <w:highlight w:val="none"/>
          <w:lang w:val="en-US" w:eastAsia="zh-CN"/>
        </w:rPr>
        <w:t xml:space="preserve">：18072869523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pPr>
        <w:pStyle w:val="8"/>
        <w:numPr>
          <w:ilvl w:val="0"/>
          <w:numId w:val="0"/>
        </w:numPr>
        <w:ind w:left="433" w:leftChars="202" w:hanging="9" w:hangingChars="4"/>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名    称：杭州欣兴建设工程招标代理有限公司 </w:t>
      </w:r>
    </w:p>
    <w:p>
      <w:pPr>
        <w:pStyle w:val="8"/>
        <w:numPr>
          <w:ilvl w:val="0"/>
          <w:numId w:val="0"/>
        </w:numPr>
        <w:ind w:left="432" w:hanging="432"/>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    地    址：杭州市江干区凯旋路 </w:t>
      </w:r>
    </w:p>
    <w:p>
      <w:pPr>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 xml:space="preserve">   传    真： </w:t>
      </w:r>
      <w:r>
        <w:rPr>
          <w:rFonts w:hint="eastAsia" w:ascii="仿宋" w:hAnsi="仿宋" w:eastAsia="仿宋" w:cs="仿宋"/>
          <w:color w:val="auto"/>
          <w:sz w:val="24"/>
          <w:highlight w:val="none"/>
          <w:lang w:val="en-US" w:eastAsia="zh-CN"/>
        </w:rPr>
        <w:t>/</w:t>
      </w:r>
    </w:p>
    <w:p>
      <w:pPr>
        <w:pStyle w:val="8"/>
        <w:numPr>
          <w:ilvl w:val="0"/>
          <w:numId w:val="0"/>
        </w:numPr>
        <w:ind w:left="432" w:hanging="432"/>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    项目联系人（询问）：季姜春</w:t>
      </w:r>
    </w:p>
    <w:p>
      <w:pPr>
        <w:pStyle w:val="8"/>
        <w:numPr>
          <w:ilvl w:val="0"/>
          <w:numId w:val="0"/>
        </w:numPr>
        <w:ind w:left="432" w:hanging="432"/>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    项目联系方式（询问）：13567150257</w:t>
      </w:r>
    </w:p>
    <w:p>
      <w:pPr>
        <w:pStyle w:val="8"/>
        <w:numPr>
          <w:ilvl w:val="0"/>
          <w:numId w:val="0"/>
        </w:numPr>
        <w:ind w:left="432" w:hanging="432"/>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    质疑联系人：洪献娟 </w:t>
      </w:r>
    </w:p>
    <w:p>
      <w:pPr>
        <w:pStyle w:val="8"/>
        <w:numPr>
          <w:ilvl w:val="0"/>
          <w:numId w:val="0"/>
        </w:numPr>
        <w:ind w:left="432" w:hanging="432"/>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highlight w:val="none"/>
        </w:rPr>
        <w:t>   </w:t>
      </w:r>
      <w:r>
        <w:rPr>
          <w:rFonts w:hint="eastAsia" w:ascii="仿宋" w:hAnsi="仿宋" w:eastAsia="仿宋" w:cs="仿宋"/>
          <w:b w:val="0"/>
          <w:bCs w:val="0"/>
          <w:color w:val="auto"/>
          <w:kern w:val="2"/>
          <w:sz w:val="24"/>
          <w:szCs w:val="24"/>
          <w:highlight w:val="none"/>
          <w:lang w:val="en-US" w:eastAsia="zh-CN" w:bidi="ar-SA"/>
        </w:rPr>
        <w:t xml:space="preserve"> 质疑联系方式：13858074323 </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 xml:space="preserve"> 3.同级政府采购监督管理部门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名称：建德市采购办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地址：建德市新安江街道严州大道1089号</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 xml:space="preserve">  传真：/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联系人 ：邵菁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监督投诉电话：0571-64718168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CA问题联系电话（人工）：汇信CA 400-888-4636；天谷CA 400-087-8198。</w:t>
      </w:r>
    </w:p>
    <w:p>
      <w:pPr>
        <w:adjustRightInd/>
        <w:spacing w:line="360" w:lineRule="auto"/>
        <w:jc w:val="center"/>
        <w:outlineLvl w:val="0"/>
        <w:rPr>
          <w:rFonts w:hint="eastAsia" w:ascii="仿宋" w:hAnsi="仿宋" w:eastAsia="仿宋" w:cs="仿宋"/>
          <w:b/>
          <w:color w:val="auto"/>
          <w:sz w:val="36"/>
          <w:szCs w:val="20"/>
        </w:rPr>
      </w:pPr>
    </w:p>
    <w:p>
      <w:pPr>
        <w:adjustRightInd/>
        <w:spacing w:line="360" w:lineRule="auto"/>
        <w:jc w:val="center"/>
        <w:outlineLvl w:val="0"/>
        <w:rPr>
          <w:rFonts w:hint="eastAsia" w:ascii="仿宋" w:hAnsi="仿宋" w:eastAsia="仿宋" w:cs="仿宋"/>
          <w:b/>
          <w:color w:val="auto"/>
          <w:sz w:val="36"/>
          <w:szCs w:val="20"/>
        </w:rPr>
      </w:pPr>
    </w:p>
    <w:p>
      <w:pPr>
        <w:pStyle w:val="2"/>
        <w:rPr>
          <w:rFonts w:hint="eastAsia" w:ascii="仿宋" w:hAnsi="仿宋" w:eastAsia="仿宋" w:cs="仿宋"/>
          <w:b/>
          <w:color w:val="auto"/>
          <w:sz w:val="36"/>
          <w:szCs w:val="20"/>
        </w:rPr>
      </w:pPr>
    </w:p>
    <w:p>
      <w:pPr>
        <w:pStyle w:val="4"/>
        <w:rPr>
          <w:rFonts w:hint="eastAsia" w:ascii="仿宋" w:hAnsi="仿宋" w:eastAsia="仿宋" w:cs="仿宋"/>
          <w:b/>
          <w:color w:val="auto"/>
          <w:sz w:val="36"/>
          <w:szCs w:val="20"/>
        </w:rPr>
      </w:pPr>
    </w:p>
    <w:p>
      <w:pPr>
        <w:pStyle w:val="6"/>
        <w:rPr>
          <w:rFonts w:hint="eastAsia" w:ascii="仿宋" w:hAnsi="仿宋" w:eastAsia="仿宋" w:cs="仿宋"/>
          <w:b/>
          <w:color w:val="auto"/>
          <w:sz w:val="36"/>
          <w:szCs w:val="20"/>
        </w:rPr>
      </w:pPr>
    </w:p>
    <w:p>
      <w:pPr>
        <w:rPr>
          <w:rFonts w:hint="eastAsia" w:ascii="仿宋" w:hAnsi="仿宋" w:eastAsia="仿宋" w:cs="仿宋"/>
          <w:b/>
          <w:color w:val="auto"/>
          <w:sz w:val="36"/>
          <w:szCs w:val="20"/>
        </w:rPr>
      </w:pPr>
    </w:p>
    <w:p>
      <w:pPr>
        <w:pStyle w:val="2"/>
        <w:rPr>
          <w:rFonts w:hint="eastAsia" w:ascii="仿宋" w:hAnsi="仿宋" w:eastAsia="仿宋" w:cs="仿宋"/>
          <w:b/>
          <w:color w:val="auto"/>
          <w:sz w:val="36"/>
          <w:szCs w:val="20"/>
        </w:rPr>
      </w:pPr>
    </w:p>
    <w:p>
      <w:pPr>
        <w:pStyle w:val="4"/>
        <w:rPr>
          <w:rFonts w:hint="eastAsia" w:ascii="仿宋" w:hAnsi="仿宋" w:eastAsia="仿宋" w:cs="仿宋"/>
          <w:b/>
          <w:color w:val="auto"/>
          <w:sz w:val="36"/>
          <w:szCs w:val="20"/>
        </w:rPr>
      </w:pPr>
    </w:p>
    <w:p>
      <w:pPr>
        <w:pStyle w:val="6"/>
        <w:rPr>
          <w:rFonts w:hint="eastAsia" w:ascii="仿宋" w:hAnsi="仿宋" w:eastAsia="仿宋" w:cs="仿宋"/>
          <w:b/>
          <w:color w:val="auto"/>
          <w:sz w:val="36"/>
          <w:szCs w:val="20"/>
        </w:rPr>
      </w:pPr>
    </w:p>
    <w:p>
      <w:pPr>
        <w:rPr>
          <w:rFonts w:hint="eastAsia" w:ascii="仿宋" w:hAnsi="仿宋" w:eastAsia="仿宋" w:cs="仿宋"/>
          <w:b/>
          <w:color w:val="auto"/>
          <w:sz w:val="36"/>
          <w:szCs w:val="20"/>
        </w:rPr>
      </w:pPr>
    </w:p>
    <w:p>
      <w:pPr>
        <w:pStyle w:val="2"/>
        <w:rPr>
          <w:rFonts w:hint="eastAsia" w:ascii="仿宋" w:hAnsi="仿宋" w:eastAsia="仿宋" w:cs="仿宋"/>
          <w:b/>
          <w:color w:val="auto"/>
          <w:sz w:val="36"/>
          <w:szCs w:val="20"/>
        </w:rPr>
      </w:pPr>
    </w:p>
    <w:p>
      <w:pPr>
        <w:pStyle w:val="4"/>
        <w:rPr>
          <w:rFonts w:hint="eastAsia" w:ascii="仿宋" w:hAnsi="仿宋" w:eastAsia="仿宋" w:cs="仿宋"/>
          <w:b/>
          <w:color w:val="auto"/>
          <w:sz w:val="36"/>
          <w:szCs w:val="20"/>
        </w:rPr>
      </w:pPr>
    </w:p>
    <w:p>
      <w:pPr>
        <w:pStyle w:val="6"/>
        <w:rPr>
          <w:rFonts w:hint="eastAsia" w:ascii="仿宋" w:hAnsi="仿宋" w:eastAsia="仿宋" w:cs="仿宋"/>
          <w:b/>
          <w:color w:val="auto"/>
          <w:sz w:val="36"/>
          <w:szCs w:val="20"/>
        </w:rPr>
      </w:pPr>
    </w:p>
    <w:p>
      <w:pPr>
        <w:rPr>
          <w:rFonts w:hint="eastAsia" w:ascii="仿宋" w:hAnsi="仿宋" w:eastAsia="仿宋" w:cs="仿宋"/>
          <w:b/>
          <w:color w:val="auto"/>
          <w:sz w:val="36"/>
          <w:szCs w:val="20"/>
        </w:rPr>
      </w:pPr>
    </w:p>
    <w:p>
      <w:pPr>
        <w:pStyle w:val="2"/>
        <w:rPr>
          <w:rFonts w:hint="eastAsia" w:ascii="仿宋" w:hAnsi="仿宋" w:eastAsia="仿宋" w:cs="仿宋"/>
          <w:b/>
          <w:color w:val="auto"/>
          <w:sz w:val="36"/>
          <w:szCs w:val="20"/>
        </w:rPr>
      </w:pPr>
    </w:p>
    <w:p>
      <w:pPr>
        <w:pStyle w:val="4"/>
        <w:rPr>
          <w:rFonts w:hint="eastAsia" w:ascii="仿宋" w:hAnsi="仿宋" w:eastAsia="仿宋" w:cs="仿宋"/>
          <w:b/>
          <w:color w:val="auto"/>
          <w:sz w:val="36"/>
          <w:szCs w:val="20"/>
        </w:rPr>
      </w:pPr>
    </w:p>
    <w:p>
      <w:pPr>
        <w:pStyle w:val="6"/>
        <w:rPr>
          <w:rFonts w:hint="eastAsia" w:ascii="仿宋" w:hAnsi="仿宋" w:eastAsia="仿宋" w:cs="仿宋"/>
          <w:b/>
          <w:color w:val="auto"/>
          <w:sz w:val="36"/>
          <w:szCs w:val="20"/>
        </w:rPr>
      </w:pPr>
    </w:p>
    <w:p>
      <w:pPr>
        <w:rPr>
          <w:rFonts w:hint="eastAsia" w:ascii="仿宋" w:hAnsi="仿宋" w:eastAsia="仿宋" w:cs="仿宋"/>
          <w:b/>
          <w:color w:val="auto"/>
          <w:sz w:val="36"/>
          <w:szCs w:val="20"/>
        </w:rPr>
      </w:pPr>
    </w:p>
    <w:p>
      <w:pPr>
        <w:pStyle w:val="2"/>
        <w:rPr>
          <w:rFonts w:hint="eastAsia" w:ascii="仿宋" w:hAnsi="仿宋" w:eastAsia="仿宋" w:cs="仿宋"/>
          <w:b/>
          <w:color w:val="auto"/>
          <w:sz w:val="36"/>
          <w:szCs w:val="20"/>
        </w:rPr>
      </w:pPr>
    </w:p>
    <w:p>
      <w:pPr>
        <w:pStyle w:val="4"/>
        <w:rPr>
          <w:rFonts w:hint="eastAsia" w:ascii="仿宋" w:hAnsi="仿宋" w:eastAsia="仿宋" w:cs="仿宋"/>
          <w:b/>
          <w:color w:val="auto"/>
          <w:sz w:val="36"/>
          <w:szCs w:val="20"/>
        </w:rPr>
      </w:pPr>
    </w:p>
    <w:p>
      <w:pPr>
        <w:pStyle w:val="6"/>
        <w:rPr>
          <w:rFonts w:hint="eastAsia" w:ascii="仿宋" w:hAnsi="仿宋" w:eastAsia="仿宋" w:cs="仿宋"/>
          <w:b/>
          <w:color w:val="auto"/>
          <w:sz w:val="36"/>
          <w:szCs w:val="20"/>
        </w:rPr>
      </w:pPr>
    </w:p>
    <w:p>
      <w:pPr>
        <w:rPr>
          <w:rFonts w:hint="eastAsia" w:ascii="仿宋" w:hAnsi="仿宋" w:eastAsia="仿宋" w:cs="仿宋"/>
          <w:b/>
          <w:color w:val="auto"/>
          <w:sz w:val="36"/>
          <w:szCs w:val="20"/>
        </w:rPr>
      </w:pPr>
    </w:p>
    <w:p>
      <w:pPr>
        <w:adjustRightInd/>
        <w:spacing w:line="360" w:lineRule="auto"/>
        <w:jc w:val="both"/>
        <w:outlineLvl w:val="0"/>
        <w:rPr>
          <w:rFonts w:hint="eastAsia" w:ascii="仿宋" w:hAnsi="仿宋" w:eastAsia="仿宋" w:cs="仿宋"/>
          <w:b/>
          <w:color w:val="auto"/>
          <w:sz w:val="36"/>
          <w:szCs w:val="20"/>
        </w:rPr>
      </w:pPr>
    </w:p>
    <w:p>
      <w:pPr>
        <w:adjustRightInd/>
        <w:spacing w:line="360" w:lineRule="auto"/>
        <w:ind w:firstLine="2891" w:firstLineChars="800"/>
        <w:jc w:val="both"/>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第二部分</w:t>
      </w:r>
      <w:bookmarkEnd w:id="8"/>
      <w:r>
        <w:rPr>
          <w:rFonts w:hint="eastAsia" w:ascii="仿宋" w:hAnsi="仿宋" w:eastAsia="仿宋" w:cs="仿宋"/>
          <w:b/>
          <w:color w:val="auto"/>
          <w:sz w:val="36"/>
          <w:szCs w:val="20"/>
        </w:rPr>
        <w:t xml:space="preserve"> 投标人须知</w:t>
      </w:r>
      <w:bookmarkEnd w:id="9"/>
    </w:p>
    <w:p>
      <w:pPr>
        <w:snapToGrid w:val="0"/>
        <w:spacing w:line="360" w:lineRule="auto"/>
        <w:jc w:val="center"/>
        <w:rPr>
          <w:rFonts w:hint="eastAsia" w:ascii="仿宋" w:hAnsi="仿宋" w:eastAsia="仿宋" w:cs="仿宋"/>
          <w:b/>
          <w:color w:val="auto"/>
          <w:sz w:val="32"/>
          <w:szCs w:val="20"/>
        </w:rPr>
      </w:pPr>
      <w:r>
        <w:rPr>
          <w:rFonts w:hint="eastAsia" w:ascii="仿宋" w:hAnsi="仿宋" w:eastAsia="仿宋" w:cs="仿宋"/>
          <w:b/>
          <w:color w:val="auto"/>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仿宋" w:hAnsi="仿宋" w:eastAsia="仿宋" w:cs="仿宋"/>
                <w:b/>
                <w:color w:val="auto"/>
                <w:sz w:val="24"/>
              </w:rPr>
            </w:pPr>
            <w:r>
              <w:rPr>
                <w:rFonts w:hint="eastAsia" w:ascii="仿宋" w:hAnsi="仿宋" w:eastAsia="仿宋" w:cs="仿宋"/>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仿宋" w:hAnsi="仿宋" w:eastAsia="仿宋" w:cs="仿宋"/>
                <w:b/>
                <w:color w:val="auto"/>
                <w:sz w:val="24"/>
              </w:rPr>
            </w:pPr>
            <w:r>
              <w:rPr>
                <w:rFonts w:hint="eastAsia" w:ascii="仿宋" w:hAnsi="仿宋" w:eastAsia="仿宋" w:cs="仿宋"/>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7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仿宋" w:hAnsi="仿宋" w:eastAsia="仿宋" w:cs="仿宋"/>
                <w:b/>
                <w:color w:val="auto"/>
                <w:sz w:val="24"/>
              </w:rPr>
            </w:pPr>
            <w:r>
              <w:rPr>
                <w:rFonts w:hint="eastAsia" w:ascii="仿宋" w:hAnsi="仿宋" w:eastAsia="仿宋" w:cs="仿宋"/>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jc w:val="left"/>
              <w:rPr>
                <w:rFonts w:hint="eastAsia" w:ascii="仿宋" w:hAnsi="仿宋" w:eastAsia="仿宋" w:cs="仿宋"/>
                <w:b/>
                <w:color w:val="auto"/>
                <w:kern w:val="0"/>
                <w:sz w:val="24"/>
                <w:lang w:val="zh-CN"/>
              </w:rPr>
            </w:pPr>
            <w:r>
              <w:rPr>
                <w:rFonts w:hint="eastAsia" w:ascii="仿宋" w:hAnsi="仿宋" w:eastAsia="仿宋" w:cs="仿宋"/>
                <w:color w:val="auto"/>
                <w:kern w:val="0"/>
                <w:sz w:val="24"/>
                <w:lang w:val="zh-CN"/>
              </w:rPr>
              <w:t>有关本项目实施所需的所有费用（含税费）均计入报价。</w:t>
            </w:r>
            <w:r>
              <w:rPr>
                <w:rFonts w:hint="eastAsia" w:ascii="仿宋" w:hAnsi="仿宋" w:eastAsia="仿宋" w:cs="仿宋"/>
                <w:color w:val="auto"/>
                <w:sz w:val="24"/>
              </w:rPr>
              <w:t>开标一览表（报价表）是报价的唯一载体</w:t>
            </w:r>
            <w:r>
              <w:rPr>
                <w:rFonts w:hint="eastAsia" w:ascii="仿宋" w:hAnsi="仿宋" w:eastAsia="仿宋" w:cs="仿宋"/>
                <w:color w:val="auto"/>
                <w:kern w:val="0"/>
                <w:sz w:val="24"/>
                <w:lang w:val="zh-CN"/>
              </w:rPr>
              <w:t>。投标文件中价格全部采用人民币报价。招标文件未列明，而投标人认为必需的费用也需列入报价。</w:t>
            </w:r>
            <w:r>
              <w:rPr>
                <w:rFonts w:hint="eastAsia" w:ascii="仿宋" w:hAnsi="仿宋" w:eastAsia="仿宋" w:cs="仿宋"/>
                <w:b/>
                <w:color w:val="auto"/>
                <w:kern w:val="0"/>
                <w:sz w:val="24"/>
                <w:lang w:val="zh-CN"/>
              </w:rPr>
              <w:t>提醒：验收时检测费用由中标人承担，包含在投标总价中。</w:t>
            </w:r>
          </w:p>
          <w:p>
            <w:pPr>
              <w:snapToGrid w:val="0"/>
              <w:jc w:val="left"/>
              <w:rPr>
                <w:rFonts w:hint="eastAsia" w:ascii="仿宋" w:hAnsi="仿宋" w:eastAsia="仿宋" w:cs="仿宋"/>
                <w:b/>
                <w:color w:val="auto"/>
                <w:kern w:val="0"/>
                <w:sz w:val="24"/>
                <w:lang w:val="zh-CN"/>
              </w:rPr>
            </w:pPr>
            <w:r>
              <w:rPr>
                <w:rFonts w:hint="eastAsia" w:ascii="仿宋" w:hAnsi="仿宋" w:eastAsia="仿宋" w:cs="仿宋"/>
                <w:color w:val="auto"/>
                <w:sz w:val="24"/>
              </w:rPr>
              <w:t>▲</w:t>
            </w:r>
            <w:r>
              <w:rPr>
                <w:rFonts w:hint="eastAsia" w:ascii="仿宋" w:hAnsi="仿宋" w:eastAsia="仿宋" w:cs="仿宋"/>
                <w:b/>
                <w:color w:val="auto"/>
                <w:kern w:val="0"/>
                <w:sz w:val="24"/>
                <w:lang w:val="zh-CN"/>
              </w:rPr>
              <w:t>投标报价出现下列情形的，投标无效：</w:t>
            </w:r>
          </w:p>
          <w:p>
            <w:pPr>
              <w:snapToGrid w:val="0"/>
              <w:ind w:firstLine="240" w:firstLineChars="100"/>
              <w:jc w:val="left"/>
              <w:rPr>
                <w:rFonts w:hint="eastAsia" w:ascii="仿宋" w:hAnsi="仿宋" w:eastAsia="仿宋" w:cs="仿宋"/>
                <w:b/>
                <w:color w:val="auto"/>
                <w:kern w:val="0"/>
                <w:sz w:val="24"/>
                <w:lang w:val="zh-CN"/>
              </w:rPr>
            </w:pPr>
            <w:r>
              <w:rPr>
                <w:rFonts w:hint="eastAsia" w:ascii="仿宋" w:hAnsi="仿宋" w:eastAsia="仿宋" w:cs="仿宋"/>
                <w:color w:val="auto"/>
                <w:sz w:val="24"/>
              </w:rPr>
              <w:t>▲</w:t>
            </w:r>
            <w:r>
              <w:rPr>
                <w:rFonts w:hint="eastAsia" w:ascii="仿宋" w:hAnsi="仿宋" w:eastAsia="仿宋" w:cs="仿宋"/>
                <w:b/>
                <w:color w:val="auto"/>
                <w:kern w:val="0"/>
                <w:sz w:val="24"/>
                <w:lang w:val="zh-CN"/>
              </w:rPr>
              <w:t>投标文件出现不是唯一的、有选择性投标报价的；</w:t>
            </w:r>
          </w:p>
          <w:p>
            <w:pPr>
              <w:snapToGrid w:val="0"/>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sz w:val="24"/>
              </w:rPr>
              <w:t>▲</w:t>
            </w:r>
            <w:r>
              <w:rPr>
                <w:rFonts w:hint="eastAsia" w:ascii="仿宋" w:hAnsi="仿宋" w:eastAsia="仿宋" w:cs="仿宋"/>
                <w:b/>
                <w:color w:val="auto"/>
                <w:kern w:val="0"/>
                <w:sz w:val="24"/>
                <w:lang w:val="zh-CN"/>
              </w:rPr>
              <w:t>投标报价超过招标文件中规定的预算金额或者最高限价的;</w:t>
            </w:r>
          </w:p>
          <w:p>
            <w:pPr>
              <w:ind w:firstLine="240" w:firstLineChars="100"/>
              <w:rPr>
                <w:rFonts w:hint="eastAsia" w:ascii="仿宋" w:hAnsi="仿宋" w:eastAsia="仿宋" w:cs="仿宋"/>
                <w:b/>
                <w:color w:val="auto"/>
                <w:sz w:val="24"/>
              </w:rPr>
            </w:pPr>
            <w:r>
              <w:rPr>
                <w:rFonts w:hint="eastAsia" w:ascii="仿宋" w:hAnsi="仿宋" w:eastAsia="仿宋" w:cs="仿宋"/>
                <w:color w:val="auto"/>
                <w:sz w:val="24"/>
              </w:rPr>
              <w:t>▲</w:t>
            </w:r>
            <w:r>
              <w:rPr>
                <w:rFonts w:hint="eastAsia" w:ascii="仿宋" w:hAnsi="仿宋" w:eastAsia="仿宋" w:cs="仿宋"/>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rPr>
              <w:t>;</w:t>
            </w:r>
          </w:p>
          <w:p>
            <w:pPr>
              <w:ind w:firstLine="240" w:firstLineChars="100"/>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kern w:val="0"/>
                <w:sz w:val="24"/>
              </w:rPr>
              <w:t>投标人对根据修正原则修正后的报价不确认的</w:t>
            </w:r>
            <w:r>
              <w:rPr>
                <w:rFonts w:hint="eastAsia" w:ascii="仿宋" w:hAnsi="仿宋" w:eastAsia="仿宋" w:cs="仿宋"/>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6" w:hRule="atLeast"/>
          <w:tblHeader/>
        </w:trPr>
        <w:tc>
          <w:tcPr>
            <w:tcW w:w="629" w:type="dxa"/>
            <w:vMerge w:val="restart"/>
            <w:tcBorders>
              <w:top w:val="single" w:color="auto" w:sz="4" w:space="0"/>
              <w:left w:val="single" w:color="auto" w:sz="4" w:space="0"/>
              <w:right w:val="single" w:color="auto" w:sz="4" w:space="0"/>
            </w:tcBorders>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843" w:type="dxa"/>
            <w:vMerge w:val="restart"/>
            <w:tcBorders>
              <w:top w:val="single" w:color="000000" w:sz="8" w:space="0"/>
              <w:left w:val="single" w:color="auto" w:sz="4" w:space="0"/>
              <w:right w:val="single" w:color="000000" w:sz="8" w:space="0"/>
            </w:tcBorders>
            <w:vAlign w:val="center"/>
          </w:tcPr>
          <w:p>
            <w:pPr>
              <w:snapToGrid w:val="0"/>
              <w:jc w:val="center"/>
              <w:rPr>
                <w:rFonts w:hint="eastAsia" w:ascii="仿宋" w:hAnsi="仿宋" w:eastAsia="仿宋" w:cs="仿宋"/>
                <w:b/>
                <w:color w:val="auto"/>
                <w:sz w:val="24"/>
              </w:rPr>
            </w:pPr>
            <w:r>
              <w:rPr>
                <w:rFonts w:hint="eastAsia" w:ascii="仿宋" w:hAnsi="仿宋" w:eastAsia="仿宋" w:cs="仿宋"/>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rPr>
                <w:rFonts w:hint="eastAsia" w:ascii="仿宋" w:hAnsi="仿宋" w:eastAsia="仿宋" w:cs="仿宋"/>
                <w:color w:val="auto"/>
                <w:sz w:val="24"/>
              </w:rPr>
            </w:pPr>
            <w:r>
              <w:rPr>
                <w:rFonts w:hint="eastAsia" w:ascii="仿宋" w:hAnsi="仿宋" w:eastAsia="仿宋" w:cs="仿宋"/>
                <w:color w:val="auto"/>
                <w:sz w:val="24"/>
              </w:rPr>
              <w:t>（1）资格证明文件：见招标文件第二部分11.1。</w:t>
            </w:r>
          </w:p>
          <w:p>
            <w:pPr>
              <w:rPr>
                <w:rFonts w:hint="eastAsia" w:ascii="仿宋" w:hAnsi="仿宋" w:eastAsia="仿宋" w:cs="仿宋"/>
                <w:snapToGrid w:val="0"/>
                <w:color w:val="auto"/>
                <w:kern w:val="0"/>
                <w:szCs w:val="21"/>
              </w:rPr>
            </w:pPr>
            <w:r>
              <w:rPr>
                <w:rFonts w:hint="eastAsia" w:ascii="仿宋" w:hAnsi="仿宋" w:eastAsia="仿宋" w:cs="仿宋"/>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5"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jc w:val="center"/>
              <w:rPr>
                <w:rFonts w:hint="eastAsia" w:ascii="仿宋" w:hAnsi="仿宋" w:eastAsia="仿宋" w:cs="仿宋"/>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rPr>
                <w:rFonts w:hint="eastAsia" w:ascii="仿宋" w:hAnsi="仿宋" w:eastAsia="仿宋" w:cs="仿宋"/>
                <w:color w:val="auto"/>
                <w:sz w:val="24"/>
              </w:rPr>
            </w:pPr>
            <w:r>
              <w:rPr>
                <w:rFonts w:hint="eastAsia" w:ascii="仿宋" w:hAnsi="仿宋" w:eastAsia="仿宋" w:cs="仿宋"/>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5" w:hRule="atLeast"/>
          <w:tblHeader/>
        </w:trPr>
        <w:tc>
          <w:tcPr>
            <w:tcW w:w="629" w:type="dxa"/>
            <w:tcBorders>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3</w:t>
            </w:r>
          </w:p>
        </w:tc>
        <w:tc>
          <w:tcPr>
            <w:tcW w:w="1843" w:type="dxa"/>
            <w:tcBorders>
              <w:left w:val="single" w:color="auto" w:sz="4" w:space="0"/>
              <w:bottom w:val="single" w:color="000000" w:sz="8" w:space="0"/>
              <w:right w:val="single" w:color="000000" w:sz="8" w:space="0"/>
            </w:tcBorders>
            <w:vAlign w:val="center"/>
          </w:tcPr>
          <w:p>
            <w:pPr>
              <w:snapToGrid w:val="0"/>
              <w:spacing w:line="400" w:lineRule="exact"/>
              <w:jc w:val="center"/>
              <w:rPr>
                <w:rFonts w:hint="eastAsia" w:ascii="仿宋" w:hAnsi="仿宋" w:eastAsia="仿宋" w:cs="仿宋"/>
                <w:b/>
                <w:color w:val="auto"/>
                <w:sz w:val="24"/>
                <w:highlight w:val="yellow"/>
              </w:rPr>
            </w:pPr>
            <w:r>
              <w:rPr>
                <w:rFonts w:hint="eastAsia" w:ascii="仿宋" w:hAnsi="仿宋" w:eastAsia="仿宋" w:cs="仿宋"/>
                <w:b/>
                <w:color w:val="auto"/>
                <w:sz w:val="24"/>
              </w:rPr>
              <w:t>分包</w:t>
            </w: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sym w:font="Wingdings" w:char="00FE"/>
            </w:r>
            <w:r>
              <w:rPr>
                <w:rFonts w:hint="eastAsia" w:ascii="仿宋" w:hAnsi="仿宋" w:eastAsia="仿宋" w:cs="仿宋"/>
                <w:color w:val="auto"/>
                <w:sz w:val="24"/>
              </w:rPr>
              <w:t xml:space="preserve">A同意将非主体、非关键性的 </w:t>
            </w:r>
            <w:r>
              <w:rPr>
                <w:rFonts w:hint="eastAsia" w:ascii="仿宋" w:hAnsi="仿宋" w:eastAsia="仿宋" w:cs="仿宋"/>
                <w:color w:val="auto"/>
                <w:sz w:val="24"/>
                <w:u w:val="single"/>
              </w:rPr>
              <w:t xml:space="preserve">设备运输 </w:t>
            </w:r>
            <w:r>
              <w:rPr>
                <w:rFonts w:hint="eastAsia" w:ascii="仿宋" w:hAnsi="仿宋" w:eastAsia="仿宋" w:cs="仿宋"/>
                <w:color w:val="auto"/>
                <w:sz w:val="24"/>
              </w:rPr>
              <w:t>工作分包。</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B不同意分包。</w:t>
            </w:r>
          </w:p>
          <w:p>
            <w:pPr>
              <w:pStyle w:val="24"/>
              <w:spacing w:line="360" w:lineRule="auto"/>
              <w:rPr>
                <w:rFonts w:hint="eastAsia" w:ascii="仿宋" w:hAnsi="仿宋" w:eastAsia="仿宋" w:cs="仿宋"/>
                <w:color w:val="auto"/>
              </w:rPr>
            </w:pPr>
            <w:r>
              <w:rPr>
                <w:rFonts w:hint="eastAsia" w:ascii="仿宋" w:hAnsi="仿宋" w:eastAsia="仿宋" w:cs="仿宋"/>
                <w:color w:val="auto"/>
                <w:szCs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仿宋" w:hAnsi="仿宋" w:eastAsia="仿宋" w:cs="仿宋"/>
                <w:b/>
                <w:color w:val="auto"/>
                <w:sz w:val="24"/>
              </w:rPr>
            </w:pPr>
            <w:r>
              <w:rPr>
                <w:rFonts w:hint="eastAsia" w:ascii="仿宋" w:hAnsi="仿宋" w:eastAsia="仿宋" w:cs="仿宋"/>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hint="eastAsia" w:ascii="仿宋" w:hAnsi="仿宋" w:eastAsia="仿宋" w:cs="仿宋"/>
                <w:color w:val="auto"/>
                <w:kern w:val="0"/>
                <w:sz w:val="24"/>
                <w:u w:val="single"/>
              </w:rPr>
            </w:pPr>
            <w:r>
              <w:rPr>
                <w:rFonts w:ascii="Wingdings" w:hAnsi="Wingdings" w:eastAsia="仿宋" w:cs="仿宋"/>
                <w:color w:val="auto"/>
                <w:kern w:val="0"/>
                <w:sz w:val="24"/>
              </w:rPr>
              <w:t></w:t>
            </w:r>
            <w:r>
              <w:rPr>
                <w:rFonts w:hint="eastAsia" w:ascii="仿宋" w:hAnsi="仿宋" w:eastAsia="仿宋" w:cs="仿宋"/>
                <w:color w:val="auto"/>
                <w:kern w:val="0"/>
                <w:sz w:val="24"/>
              </w:rPr>
              <w:t>A</w:t>
            </w:r>
            <w:r>
              <w:rPr>
                <w:rFonts w:hint="eastAsia" w:ascii="仿宋" w:hAnsi="仿宋" w:eastAsia="仿宋" w:cs="仿宋"/>
                <w:color w:val="auto"/>
                <w:sz w:val="24"/>
              </w:rPr>
              <w:t>货物类，单一产品或</w:t>
            </w:r>
            <w:r>
              <w:rPr>
                <w:rFonts w:hint="eastAsia" w:ascii="仿宋" w:hAnsi="仿宋" w:eastAsia="仿宋" w:cs="仿宋"/>
                <w:color w:val="auto"/>
                <w:kern w:val="0"/>
                <w:sz w:val="24"/>
              </w:rPr>
              <w:t>核心产品为</w:t>
            </w:r>
            <w:r>
              <w:rPr>
                <w:rFonts w:hint="eastAsia" w:ascii="仿宋" w:hAnsi="仿宋" w:eastAsia="仿宋" w:cs="仿宋"/>
                <w:color w:val="auto"/>
                <w:kern w:val="0"/>
                <w:sz w:val="24"/>
                <w:u w:val="single"/>
                <w:lang w:val="en-US" w:eastAsia="zh-CN"/>
              </w:rPr>
              <w:t>智能监测套件、</w:t>
            </w:r>
            <w:r>
              <w:rPr>
                <w:rFonts w:hint="eastAsia" w:ascii="仿宋" w:hAnsi="仿宋" w:eastAsia="仿宋"/>
                <w:color w:val="auto"/>
                <w:sz w:val="24"/>
                <w:u w:val="single"/>
                <w:lang w:val="en-US" w:eastAsia="zh-CN"/>
              </w:rPr>
              <w:t>智能监控</w:t>
            </w:r>
            <w:r>
              <w:rPr>
                <w:rFonts w:hint="eastAsia" w:ascii="仿宋" w:hAnsi="仿宋" w:eastAsia="仿宋" w:cs="仿宋"/>
                <w:color w:val="auto"/>
                <w:kern w:val="0"/>
                <w:sz w:val="24"/>
                <w:u w:val="single"/>
                <w:lang w:val="en-US" w:eastAsia="zh-CN"/>
              </w:rPr>
              <w:t>套件</w:t>
            </w:r>
            <w:r>
              <w:rPr>
                <w:rFonts w:hint="eastAsia" w:ascii="仿宋" w:hAnsi="仿宋" w:eastAsia="仿宋" w:cs="仿宋"/>
                <w:color w:val="auto"/>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仿宋" w:hAnsi="仿宋" w:eastAsia="仿宋" w:cs="仿宋"/>
                <w:b/>
                <w:color w:val="auto"/>
                <w:sz w:val="24"/>
              </w:rPr>
            </w:pPr>
            <w:r>
              <w:rPr>
                <w:rFonts w:hint="eastAsia" w:ascii="仿宋" w:hAnsi="仿宋" w:eastAsia="仿宋" w:cs="仿宋"/>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auto"/>
                <w:kern w:val="0"/>
                <w:sz w:val="24"/>
                <w:lang w:val="zh-CN"/>
              </w:rPr>
            </w:pPr>
            <w:sdt>
              <w:sdtPr>
                <w:rPr>
                  <w:rFonts w:hint="eastAsia" w:ascii="仿宋_GB2312" w:hAnsi="仿宋" w:eastAsia="仿宋_GB2312" w:cs="Arial"/>
                  <w:color w:val="auto"/>
                  <w:kern w:val="0"/>
                  <w:sz w:val="24"/>
                </w:rPr>
                <w:id w:val="-1859348549"/>
              </w:sdtPr>
              <w:sdtEndPr>
                <w:rPr>
                  <w:rFonts w:hint="eastAsia" w:ascii="仿宋" w:hAnsi="仿宋" w:eastAsia="仿宋" w:cs="仿宋"/>
                  <w:color w:val="auto"/>
                  <w:kern w:val="0"/>
                  <w:sz w:val="24"/>
                  <w:lang w:val="zh-CN"/>
                </w:rPr>
              </w:sdtEndPr>
              <w:sdtContent>
                <w:r>
                  <w:rPr>
                    <w:rFonts w:hint="eastAsia" w:ascii="仿宋" w:hAnsi="仿宋" w:eastAsia="仿宋" w:cs="仿宋"/>
                    <w:color w:val="auto"/>
                    <w:kern w:val="0"/>
                    <w:sz w:val="24"/>
                    <w:lang w:val="zh-CN"/>
                  </w:rPr>
                  <w:t xml:space="preserve"> </w:t>
                </w:r>
                <w:sdt>
                  <w:sdtPr>
                    <w:rPr>
                      <w:rFonts w:hint="eastAsia" w:ascii="仿宋_GB2312" w:hAnsi="仿宋" w:eastAsia="仿宋_GB2312" w:cs="Arial"/>
                      <w:color w:val="auto"/>
                      <w:kern w:val="0"/>
                      <w:sz w:val="24"/>
                    </w:rPr>
                    <w:id w:val="1671360242"/>
                  </w:sdtPr>
                  <w:sdtEndPr>
                    <w:rPr>
                      <w:rFonts w:hint="eastAsia" w:ascii="仿宋_GB2312" w:hAnsi="仿宋" w:eastAsia="仿宋_GB2312" w:cs="Arial"/>
                      <w:color w:val="auto"/>
                      <w:kern w:val="0"/>
                      <w:sz w:val="24"/>
                    </w:rPr>
                  </w:sdtEndPr>
                  <w:sdtContent>
                    <w:r>
                      <w:rPr>
                        <w:rFonts w:ascii="Wingdings" w:hAnsi="Wingdings" w:eastAsia="仿宋_GB2312" w:cs="Arial"/>
                        <w:color w:val="auto"/>
                        <w:kern w:val="0"/>
                        <w:sz w:val="24"/>
                      </w:rPr>
                      <w:t></w:t>
                    </w:r>
                  </w:sdtContent>
                </w:sdt>
              </w:sdtContent>
            </w:sdt>
            <w:r>
              <w:rPr>
                <w:rFonts w:ascii="仿宋" w:hAnsi="仿宋" w:eastAsia="仿宋" w:cs="仿宋"/>
                <w:color w:val="auto"/>
                <w:kern w:val="0"/>
                <w:sz w:val="24"/>
                <w:lang w:val="zh-CN"/>
              </w:rPr>
              <w:t>组织。</w:t>
            </w:r>
          </w:p>
          <w:p>
            <w:pPr>
              <w:snapToGrid w:val="0"/>
              <w:spacing w:line="360" w:lineRule="auto"/>
              <w:rPr>
                <w:rFonts w:ascii="仿宋" w:hAnsi="仿宋" w:eastAsia="仿宋" w:cs="仿宋"/>
                <w:color w:val="auto"/>
                <w:kern w:val="0"/>
                <w:sz w:val="24"/>
                <w:lang w:val="zh-CN"/>
              </w:rPr>
            </w:pPr>
            <w:r>
              <w:rPr>
                <w:rFonts w:hint="eastAsia" w:ascii="仿宋" w:hAnsi="仿宋" w:eastAsia="仿宋" w:cs="仿宋"/>
                <w:color w:val="auto"/>
                <w:kern w:val="0"/>
                <w:sz w:val="24"/>
                <w:lang w:val="zh-CN"/>
              </w:rPr>
              <w:t>（</w:t>
            </w:r>
            <w:r>
              <w:rPr>
                <w:rFonts w:ascii="仿宋" w:hAnsi="仿宋" w:eastAsia="仿宋" w:cs="仿宋"/>
                <w:color w:val="auto"/>
                <w:kern w:val="0"/>
                <w:sz w:val="24"/>
                <w:lang w:val="zh-CN"/>
              </w:rPr>
              <w:t>1）在评标时安排每个投标人进行方案讲解演示。每个投标人</w:t>
            </w:r>
            <w:r>
              <w:rPr>
                <w:rFonts w:hint="eastAsia" w:ascii="仿宋" w:hAnsi="仿宋" w:eastAsia="仿宋" w:cs="仿宋"/>
                <w:color w:val="auto"/>
                <w:kern w:val="0"/>
                <w:sz w:val="24"/>
                <w:lang w:val="zh-CN"/>
              </w:rPr>
              <w:t>讲解演示</w:t>
            </w:r>
            <w:r>
              <w:rPr>
                <w:rFonts w:ascii="仿宋" w:hAnsi="仿宋" w:eastAsia="仿宋" w:cs="仿宋"/>
                <w:color w:val="auto"/>
                <w:kern w:val="0"/>
                <w:sz w:val="24"/>
                <w:lang w:val="zh-CN"/>
              </w:rPr>
              <w:t>时间不超过</w:t>
            </w:r>
            <w:r>
              <w:rPr>
                <w:rFonts w:hint="eastAsia" w:ascii="仿宋" w:hAnsi="仿宋" w:eastAsia="仿宋" w:cs="仿宋"/>
                <w:color w:val="auto"/>
                <w:kern w:val="0"/>
                <w:sz w:val="24"/>
                <w:lang w:val="zh-CN"/>
              </w:rPr>
              <w:t>15</w:t>
            </w:r>
            <w:r>
              <w:rPr>
                <w:rFonts w:ascii="仿宋" w:hAnsi="仿宋" w:eastAsia="仿宋" w:cs="仿宋"/>
                <w:color w:val="auto"/>
                <w:kern w:val="0"/>
                <w:sz w:val="24"/>
                <w:lang w:val="zh-CN"/>
              </w:rPr>
              <w:t>分钟，讲解次序以投标文件解密时间先后次序为准，讲解演示人员不超过3人。讲解演示结束后按要求解答评标委员会提问。</w:t>
            </w:r>
          </w:p>
          <w:p>
            <w:pPr>
              <w:snapToGrid w:val="0"/>
              <w:spacing w:line="360" w:lineRule="auto"/>
              <w:rPr>
                <w:rFonts w:ascii="仿宋" w:hAnsi="仿宋" w:eastAsia="仿宋" w:cs="仿宋"/>
                <w:color w:val="auto"/>
                <w:kern w:val="0"/>
                <w:sz w:val="24"/>
                <w:lang w:val="zh-CN"/>
              </w:rPr>
            </w:pPr>
            <w:r>
              <w:rPr>
                <w:rFonts w:hint="eastAsia" w:ascii="仿宋" w:hAnsi="仿宋" w:eastAsia="仿宋" w:cs="仿宋"/>
                <w:color w:val="auto"/>
                <w:kern w:val="0"/>
                <w:sz w:val="24"/>
                <w:lang w:val="zh-CN"/>
              </w:rPr>
              <w:t>（</w:t>
            </w:r>
            <w:r>
              <w:rPr>
                <w:rFonts w:ascii="仿宋" w:hAnsi="仿宋" w:eastAsia="仿宋" w:cs="仿宋"/>
                <w:color w:val="auto"/>
                <w:kern w:val="0"/>
                <w:sz w:val="24"/>
                <w:lang w:val="zh-CN"/>
              </w:rPr>
              <w:t>2）方案讲解演示选择</w:t>
            </w:r>
            <w:r>
              <w:rPr>
                <w:rFonts w:hint="eastAsia" w:ascii="仿宋" w:hAnsi="仿宋" w:eastAsia="仿宋" w:cs="仿宋"/>
                <w:color w:val="auto"/>
                <w:kern w:val="0"/>
                <w:sz w:val="24"/>
                <w:lang w:val="zh-CN"/>
              </w:rPr>
              <w:t>以下方式：</w:t>
            </w:r>
          </w:p>
          <w:p>
            <w:pPr>
              <w:snapToGrid w:val="0"/>
              <w:spacing w:line="360" w:lineRule="auto"/>
              <w:rPr>
                <w:rFonts w:ascii="仿宋" w:hAnsi="仿宋" w:eastAsia="仿宋" w:cs="仿宋"/>
                <w:color w:val="auto"/>
                <w:kern w:val="0"/>
                <w:sz w:val="24"/>
                <w:lang w:val="zh-CN"/>
              </w:rPr>
            </w:pPr>
            <w:r>
              <w:rPr>
                <w:rFonts w:hint="eastAsia" w:ascii="仿宋" w:hAnsi="仿宋" w:eastAsia="仿宋" w:cs="仿宋"/>
                <w:color w:val="auto"/>
                <w:kern w:val="0"/>
                <w:sz w:val="24"/>
                <w:lang w:val="zh-CN"/>
              </w:rPr>
              <w:t>政采云平台在线讲解演示(具体详见评分细则)。政采云平台在线讲解需投标人根据政采云平台操作要求做好准备工作，提前完善软硬件配置环境。</w:t>
            </w:r>
          </w:p>
          <w:p>
            <w:pPr>
              <w:rPr>
                <w:rFonts w:ascii="Wingdings" w:hAnsi="Wingdings" w:eastAsia="仿宋" w:cs="仿宋"/>
                <w:color w:val="auto"/>
                <w:kern w:val="0"/>
                <w:sz w:val="24"/>
              </w:rPr>
            </w:pPr>
            <w:r>
              <w:rPr>
                <w:rFonts w:hint="eastAsia" w:ascii="仿宋" w:hAnsi="仿宋" w:eastAsia="仿宋" w:cs="仿宋"/>
                <w:color w:val="auto"/>
                <w:kern w:val="0"/>
                <w:sz w:val="24"/>
                <w:lang w:val="zh-CN"/>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仿宋" w:hAnsi="仿宋" w:eastAsia="仿宋" w:cs="仿宋"/>
                <w:b/>
                <w:color w:val="auto"/>
                <w:sz w:val="24"/>
              </w:rPr>
            </w:pPr>
            <w:r>
              <w:rPr>
                <w:rFonts w:hint="eastAsia" w:ascii="仿宋" w:hAnsi="仿宋" w:eastAsia="仿宋" w:cs="仿宋"/>
                <w:b/>
                <w:color w:val="auto"/>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rPr>
                <w:rFonts w:hint="eastAsia" w:ascii="仿宋" w:hAnsi="仿宋" w:eastAsia="仿宋"/>
                <w:color w:val="auto"/>
                <w:sz w:val="24"/>
                <w:u w:val="single"/>
                <w:lang w:val="en-US" w:eastAsia="zh-CN"/>
              </w:rPr>
            </w:pPr>
            <w:r>
              <w:rPr>
                <w:rFonts w:hint="eastAsia" w:ascii="仿宋" w:hAnsi="仿宋" w:eastAsia="仿宋" w:cs="仿宋"/>
                <w:color w:val="auto"/>
                <w:sz w:val="24"/>
              </w:rPr>
              <w:t>标的：</w:t>
            </w:r>
            <w:r>
              <w:rPr>
                <w:rFonts w:hint="eastAsia" w:ascii="仿宋" w:hAnsi="仿宋" w:eastAsia="仿宋"/>
                <w:color w:val="auto"/>
                <w:sz w:val="24"/>
                <w:u w:val="single"/>
                <w:lang w:val="en-US" w:eastAsia="zh-CN"/>
              </w:rPr>
              <w:t>灭菌器智能监测，</w:t>
            </w:r>
            <w:r>
              <w:rPr>
                <w:rFonts w:hint="eastAsia" w:ascii="仿宋" w:hAnsi="仿宋" w:eastAsia="仿宋"/>
                <w:color w:val="auto"/>
                <w:sz w:val="24"/>
                <w:u w:val="none"/>
                <w:lang w:val="en-US" w:eastAsia="zh-CN"/>
              </w:rPr>
              <w:t>属于</w:t>
            </w:r>
            <w:r>
              <w:rPr>
                <w:rFonts w:hint="eastAsia" w:ascii="仿宋" w:hAnsi="仿宋" w:eastAsia="仿宋"/>
                <w:color w:val="auto"/>
                <w:sz w:val="24"/>
                <w:u w:val="single"/>
                <w:lang w:val="en-US" w:eastAsia="zh-CN"/>
              </w:rPr>
              <w:t>工业</w:t>
            </w:r>
            <w:r>
              <w:rPr>
                <w:rFonts w:hint="eastAsia" w:ascii="仿宋" w:hAnsi="仿宋" w:eastAsia="仿宋"/>
                <w:color w:val="auto"/>
                <w:sz w:val="24"/>
                <w:u w:val="none"/>
                <w:lang w:val="en-US" w:eastAsia="zh-CN"/>
              </w:rPr>
              <w:t>行业；</w:t>
            </w:r>
          </w:p>
          <w:p>
            <w:pPr>
              <w:snapToGrid w:val="0"/>
              <w:spacing w:line="360" w:lineRule="exact"/>
              <w:rPr>
                <w:rFonts w:hint="eastAsia" w:ascii="仿宋" w:hAnsi="仿宋" w:eastAsia="仿宋"/>
                <w:color w:val="auto"/>
                <w:sz w:val="24"/>
                <w:u w:val="single"/>
                <w:lang w:val="en-US" w:eastAsia="zh-CN"/>
              </w:rPr>
            </w:pPr>
            <w:r>
              <w:rPr>
                <w:rFonts w:hint="eastAsia" w:ascii="仿宋" w:hAnsi="仿宋" w:eastAsia="仿宋" w:cs="仿宋"/>
                <w:color w:val="auto"/>
                <w:sz w:val="24"/>
              </w:rPr>
              <w:t>标的：</w:t>
            </w:r>
            <w:r>
              <w:rPr>
                <w:rFonts w:hint="eastAsia" w:ascii="仿宋" w:hAnsi="仿宋" w:eastAsia="仿宋"/>
                <w:color w:val="auto"/>
                <w:sz w:val="24"/>
                <w:u w:val="single"/>
                <w:lang w:val="en-US" w:eastAsia="zh-CN"/>
              </w:rPr>
              <w:t>灭菌器智能监控，</w:t>
            </w:r>
            <w:r>
              <w:rPr>
                <w:rFonts w:hint="eastAsia" w:ascii="仿宋" w:hAnsi="仿宋" w:eastAsia="仿宋"/>
                <w:color w:val="auto"/>
                <w:sz w:val="24"/>
                <w:u w:val="none"/>
                <w:lang w:val="en-US" w:eastAsia="zh-CN"/>
              </w:rPr>
              <w:t>属于</w:t>
            </w:r>
            <w:r>
              <w:rPr>
                <w:rFonts w:hint="eastAsia" w:ascii="仿宋" w:hAnsi="仿宋" w:eastAsia="仿宋"/>
                <w:color w:val="auto"/>
                <w:sz w:val="24"/>
                <w:u w:val="single"/>
                <w:lang w:val="en-US" w:eastAsia="zh-CN"/>
              </w:rPr>
              <w:t>工业</w:t>
            </w:r>
            <w:r>
              <w:rPr>
                <w:rFonts w:hint="eastAsia" w:ascii="仿宋" w:hAnsi="仿宋" w:eastAsia="仿宋"/>
                <w:color w:val="auto"/>
                <w:sz w:val="24"/>
                <w:u w:val="none"/>
                <w:lang w:val="en-US" w:eastAsia="zh-CN"/>
              </w:rPr>
              <w:t>行业；</w:t>
            </w:r>
          </w:p>
          <w:p>
            <w:pPr>
              <w:snapToGrid w:val="0"/>
              <w:spacing w:line="360" w:lineRule="exact"/>
              <w:rPr>
                <w:rFonts w:hint="eastAsia" w:ascii="仿宋" w:hAnsi="仿宋" w:eastAsia="仿宋" w:cs="仿宋"/>
                <w:color w:val="auto"/>
                <w:sz w:val="24"/>
                <w:u w:val="none"/>
                <w:lang w:eastAsia="zh-CN"/>
              </w:rPr>
            </w:pPr>
            <w:r>
              <w:rPr>
                <w:rFonts w:hint="eastAsia" w:ascii="仿宋" w:hAnsi="仿宋" w:eastAsia="仿宋" w:cs="仿宋"/>
                <w:color w:val="auto"/>
                <w:sz w:val="24"/>
              </w:rPr>
              <w:t>标的：</w:t>
            </w:r>
            <w:r>
              <w:rPr>
                <w:rFonts w:hint="eastAsia" w:ascii="仿宋" w:hAnsi="仿宋" w:eastAsia="仿宋"/>
                <w:color w:val="auto"/>
                <w:sz w:val="24"/>
                <w:u w:val="single"/>
                <w:lang w:val="en-US" w:eastAsia="zh-CN"/>
              </w:rPr>
              <w:t>口腔诊疗机构智慧监控平台，</w:t>
            </w:r>
            <w:r>
              <w:rPr>
                <w:rFonts w:hint="eastAsia" w:ascii="仿宋" w:hAnsi="仿宋" w:eastAsia="仿宋"/>
                <w:color w:val="auto"/>
                <w:sz w:val="24"/>
                <w:u w:val="none"/>
                <w:lang w:val="en-US" w:eastAsia="zh-CN"/>
              </w:rPr>
              <w:t>属于</w:t>
            </w:r>
            <w:r>
              <w:rPr>
                <w:rFonts w:hint="eastAsia" w:ascii="仿宋" w:hAnsi="仿宋" w:eastAsia="仿宋"/>
                <w:color w:val="auto"/>
                <w:sz w:val="24"/>
                <w:u w:val="single"/>
                <w:lang w:val="en-US" w:eastAsia="zh-CN"/>
              </w:rPr>
              <w:t>软件和信息技术服务业</w:t>
            </w:r>
            <w:r>
              <w:rPr>
                <w:rFonts w:hint="eastAsia" w:ascii="仿宋" w:hAnsi="仿宋" w:eastAsia="仿宋"/>
                <w:color w:val="auto"/>
                <w:sz w:val="24"/>
                <w:u w:val="none"/>
                <w:lang w:val="en-US" w:eastAsia="zh-CN"/>
              </w:rPr>
              <w:t>行业。</w:t>
            </w:r>
          </w:p>
          <w:p>
            <w:pP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rPr>
                <w:rFonts w:hint="eastAsia" w:ascii="仿宋" w:hAnsi="仿宋" w:eastAsia="仿宋" w:cs="仿宋"/>
                <w:b/>
                <w:color w:val="auto"/>
                <w:kern w:val="0"/>
                <w:sz w:val="24"/>
              </w:rPr>
            </w:pPr>
            <w:r>
              <w:rPr>
                <w:rFonts w:hint="eastAsia" w:ascii="仿宋" w:hAnsi="仿宋" w:eastAsia="仿宋" w:cs="仿宋"/>
                <w:b/>
                <w:color w:val="auto"/>
                <w:kern w:val="0"/>
                <w:sz w:val="24"/>
              </w:rPr>
              <w:t>是否适宜中小企业情况</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hint="eastAsia" w:ascii="仿宋" w:hAnsi="仿宋" w:eastAsia="仿宋" w:cs="仿宋"/>
                <w:b/>
                <w:color w:val="auto"/>
                <w:kern w:val="0"/>
                <w:sz w:val="24"/>
              </w:rPr>
            </w:pPr>
            <w:r>
              <w:rPr>
                <w:rFonts w:hint="eastAsia" w:ascii="仿宋" w:hAnsi="仿宋" w:eastAsia="仿宋" w:cs="仿宋"/>
                <w:b/>
                <w:color w:val="auto"/>
                <w:kern w:val="0"/>
                <w:sz w:val="24"/>
              </w:rPr>
              <w:t>根据《政府采购促进中小企业发展管理办法》财库（2020）46号文件的规定，本项目专门面向中小企业采购。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仿宋" w:hAnsi="仿宋" w:eastAsia="仿宋" w:cs="仿宋"/>
                <w:b/>
                <w:color w:val="auto"/>
                <w:sz w:val="24"/>
              </w:rPr>
            </w:pPr>
            <w:r>
              <w:rPr>
                <w:rFonts w:hint="eastAsia" w:ascii="仿宋" w:hAnsi="仿宋" w:eastAsia="仿宋" w:cs="仿宋"/>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rPr>
                <w:rFonts w:hint="eastAsia" w:ascii="仿宋" w:hAnsi="仿宋" w:eastAsia="仿宋" w:cs="仿宋"/>
                <w:color w:val="auto"/>
              </w:rPr>
            </w:pPr>
            <w:r>
              <w:rPr>
                <w:rFonts w:hint="eastAsia" w:ascii="仿宋" w:hAnsi="仿宋" w:eastAsia="仿宋" w:cs="仿宋"/>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9</w:t>
            </w:r>
          </w:p>
        </w:tc>
        <w:tc>
          <w:tcPr>
            <w:tcW w:w="1843" w:type="dxa"/>
            <w:vMerge w:val="restart"/>
            <w:tcBorders>
              <w:top w:val="single" w:color="000000" w:sz="8" w:space="0"/>
              <w:left w:val="single" w:color="000000" w:sz="2" w:space="0"/>
              <w:right w:val="single" w:color="000000" w:sz="8" w:space="0"/>
            </w:tcBorders>
            <w:vAlign w:val="center"/>
          </w:tcPr>
          <w:p>
            <w:pPr>
              <w:snapToGrid w:val="0"/>
              <w:jc w:val="center"/>
              <w:rPr>
                <w:rFonts w:hint="eastAsia" w:ascii="仿宋" w:hAnsi="仿宋" w:eastAsia="仿宋" w:cs="仿宋"/>
                <w:b/>
                <w:color w:val="auto"/>
                <w:sz w:val="24"/>
              </w:rPr>
            </w:pPr>
            <w:r>
              <w:rPr>
                <w:rFonts w:hint="eastAsia" w:ascii="仿宋" w:hAnsi="仿宋" w:eastAsia="仿宋" w:cs="仿宋"/>
                <w:b/>
                <w:color w:val="auto"/>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rPr>
                <w:rFonts w:hint="eastAsia" w:ascii="仿宋" w:hAnsi="仿宋" w:eastAsia="仿宋" w:cs="仿宋"/>
                <w:color w:val="auto"/>
                <w:kern w:val="0"/>
                <w:sz w:val="24"/>
              </w:rPr>
            </w:pPr>
            <w:r>
              <w:rPr>
                <w:rFonts w:hint="eastAsia" w:ascii="仿宋" w:hAnsi="仿宋" w:eastAsia="仿宋" w:cs="仿宋"/>
                <w:color w:val="auto"/>
                <w:kern w:val="0"/>
                <w:sz w:val="24"/>
              </w:rPr>
              <w:t>为支持和促进中小企业发展，进一步发挥政府采购政策，建德市财政局、浙江银监局建德监管办事处、建德市人民政府金融工作办公室、市经济和信息化局共同出台了《建德市政府采购支持中小企业信用融资实施细则》，供应商若有融资意向，详见《政府采购支持中小企业信用融资相关事项通知》。具体可咨询建德市财政局采购办，联系电话：64718168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ind w:firstLine="420" w:firstLineChars="200"/>
              <w:rPr>
                <w:rFonts w:hint="eastAsia" w:ascii="仿宋" w:hAnsi="仿宋" w:eastAsia="仿宋" w:cs="仿宋"/>
                <w:color w:val="auto"/>
              </w:rPr>
            </w:pPr>
          </w:p>
        </w:tc>
        <w:tc>
          <w:tcPr>
            <w:tcW w:w="1843" w:type="dxa"/>
            <w:vMerge w:val="continue"/>
            <w:tcBorders>
              <w:left w:val="single" w:color="000000" w:sz="2" w:space="0"/>
              <w:right w:val="single" w:color="000000" w:sz="8" w:space="0"/>
            </w:tcBorders>
            <w:vAlign w:val="center"/>
          </w:tcPr>
          <w:p>
            <w:pPr>
              <w:ind w:firstLine="420" w:firstLineChars="200"/>
              <w:rPr>
                <w:rFonts w:hint="eastAsia" w:ascii="仿宋" w:hAnsi="仿宋" w:eastAsia="仿宋" w:cs="仿宋"/>
                <w:color w:val="auto"/>
              </w:rPr>
            </w:pPr>
          </w:p>
        </w:tc>
        <w:tc>
          <w:tcPr>
            <w:tcW w:w="6095" w:type="dxa"/>
            <w:tcBorders>
              <w:top w:val="single" w:color="000000" w:sz="8" w:space="0"/>
              <w:left w:val="single" w:color="000000" w:sz="2" w:space="0"/>
              <w:right w:val="single" w:color="000000" w:sz="8" w:space="0"/>
            </w:tcBorders>
            <w:vAlign w:val="center"/>
          </w:tcPr>
          <w:p>
            <w:pPr>
              <w:snapToGrid w:val="0"/>
              <w:rPr>
                <w:rFonts w:hint="eastAsia" w:ascii="仿宋" w:hAnsi="仿宋" w:eastAsia="仿宋" w:cs="仿宋"/>
                <w:color w:val="auto"/>
                <w:kern w:val="0"/>
                <w:sz w:val="24"/>
              </w:rPr>
            </w:pPr>
            <w:r>
              <w:rPr>
                <w:rFonts w:hint="eastAsia" w:ascii="仿宋" w:hAnsi="仿宋" w:eastAsia="仿宋" w:cs="仿宋"/>
                <w:color w:val="auto"/>
                <w:kern w:val="0"/>
                <w:sz w:val="24"/>
              </w:rPr>
              <w:t>供应商中标后也可在“政采云”平台（登陆https://jinrong.zcygov.cn/?utm=a0017.b1540.ct001.11.3a0260f064fd11eba8f1adac56aaf47c办理业务）申请政采贷：操作路径：登录政采云平台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7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仿宋" w:hAnsi="仿宋" w:eastAsia="仿宋" w:cs="仿宋"/>
                <w:b/>
                <w:color w:val="auto"/>
                <w:sz w:val="24"/>
              </w:rPr>
            </w:pPr>
            <w:r>
              <w:rPr>
                <w:rFonts w:hint="eastAsia" w:ascii="仿宋" w:hAnsi="仿宋" w:eastAsia="仿宋" w:cs="仿宋"/>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6"/>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u w:val="single"/>
              </w:rPr>
            </w:pPr>
            <w:r>
              <w:rPr>
                <w:rFonts w:hint="eastAsia" w:ascii="仿宋" w:hAnsi="仿宋" w:eastAsia="仿宋" w:cs="仿宋"/>
                <w:color w:val="auto"/>
                <w:kern w:val="28"/>
                <w:sz w:val="24"/>
                <w:szCs w:val="24"/>
                <w:highlight w:val="none"/>
              </w:rPr>
              <w:t>备份响应文件送达地点：</w:t>
            </w:r>
            <w:r>
              <w:rPr>
                <w:rFonts w:hint="eastAsia" w:ascii="仿宋" w:hAnsi="仿宋" w:eastAsia="仿宋" w:cs="仿宋"/>
                <w:color w:val="auto"/>
                <w:kern w:val="28"/>
                <w:sz w:val="24"/>
                <w:szCs w:val="24"/>
                <w:highlight w:val="none"/>
                <w:u w:val="single"/>
              </w:rPr>
              <w:t>浙江省杭州市建德市新安江街道严州大道水韵天城108幢201；</w:t>
            </w:r>
          </w:p>
          <w:p>
            <w:pPr>
              <w:pStyle w:val="36"/>
              <w:rPr>
                <w:rFonts w:hint="eastAsia" w:ascii="仿宋" w:hAnsi="仿宋" w:eastAsia="仿宋" w:cs="仿宋"/>
                <w:color w:val="auto"/>
                <w:kern w:val="28"/>
                <w:sz w:val="24"/>
              </w:rPr>
            </w:pPr>
            <w:r>
              <w:rPr>
                <w:rFonts w:hint="eastAsia" w:ascii="仿宋" w:hAnsi="仿宋" w:eastAsia="仿宋" w:cs="仿宋"/>
                <w:color w:val="auto"/>
                <w:kern w:val="28"/>
                <w:sz w:val="24"/>
                <w:szCs w:val="24"/>
                <w:highlight w:val="none"/>
              </w:rPr>
              <w:t>备份响应文件签收联系人：</w:t>
            </w:r>
            <w:r>
              <w:rPr>
                <w:rFonts w:hint="eastAsia" w:ascii="仿宋" w:hAnsi="仿宋" w:eastAsia="仿宋" w:cs="仿宋"/>
                <w:color w:val="auto"/>
                <w:kern w:val="28"/>
                <w:sz w:val="24"/>
                <w:szCs w:val="24"/>
                <w:highlight w:val="none"/>
                <w:u w:val="single"/>
                <w:lang w:eastAsia="zh-CN"/>
              </w:rPr>
              <w:t>季姜春</w:t>
            </w:r>
            <w:r>
              <w:rPr>
                <w:rFonts w:hint="eastAsia" w:ascii="仿宋" w:hAnsi="仿宋" w:eastAsia="仿宋" w:cs="仿宋"/>
                <w:color w:val="auto"/>
                <w:kern w:val="28"/>
                <w:sz w:val="24"/>
                <w:szCs w:val="24"/>
                <w:highlight w:val="none"/>
              </w:rPr>
              <w:t>；联系电话：</w:t>
            </w:r>
            <w:r>
              <w:rPr>
                <w:rFonts w:hint="eastAsia" w:ascii="仿宋" w:hAnsi="仿宋" w:eastAsia="仿宋" w:cs="仿宋"/>
                <w:color w:val="auto"/>
                <w:kern w:val="28"/>
                <w:sz w:val="24"/>
                <w:szCs w:val="24"/>
                <w:highlight w:val="none"/>
                <w:u w:val="single"/>
                <w:lang w:val="en-US" w:eastAsia="zh-CN"/>
              </w:rPr>
              <w:t>13567150257</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采购人、采购代理机构不强制或变相强制供应商提交备份响应文件。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仿宋" w:hAnsi="仿宋" w:eastAsia="仿宋" w:cs="仿宋"/>
                <w:color w:val="auto"/>
                <w:sz w:val="24"/>
                <w:lang w:eastAsia="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1</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rPr>
            </w:pPr>
            <w:r>
              <w:rPr>
                <w:rFonts w:hint="eastAsia" w:ascii="仿宋" w:hAnsi="仿宋" w:eastAsia="仿宋" w:cs="仿宋"/>
                <w:b/>
                <w:color w:val="auto"/>
                <w:sz w:val="24"/>
                <w:highlight w:val="none"/>
                <w:lang w:eastAsia="zh-CN"/>
              </w:rPr>
              <w:t>违规责任</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6"/>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b/>
                <w:snapToGrid w:val="0"/>
                <w:color w:val="auto"/>
                <w:kern w:val="28"/>
                <w:sz w:val="24"/>
              </w:rPr>
            </w:pPr>
            <w:r>
              <w:rPr>
                <w:rFonts w:hint="eastAsia" w:ascii="仿宋" w:hAnsi="仿宋" w:eastAsia="仿宋" w:cs="仿宋"/>
                <w:b/>
                <w:snapToGrid/>
                <w:color w:val="auto"/>
                <w:kern w:val="2"/>
                <w:sz w:val="24"/>
                <w:szCs w:val="24"/>
                <w:highlight w:val="none"/>
                <w:lang w:val="en-US" w:eastAsia="zh-CN" w:bidi="ar-SA"/>
              </w:rPr>
              <w:t>供应商在政府采购活动中违反政府采购相关规定放弃中标（成交）资格的，采购组织机构有权要求其承担采购服务费和专家评审费等费用。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仿宋" w:hAnsi="仿宋" w:eastAsia="仿宋" w:cs="仿宋"/>
                <w:b/>
                <w:color w:val="auto"/>
                <w:sz w:val="24"/>
              </w:rPr>
            </w:pPr>
            <w:r>
              <w:rPr>
                <w:rFonts w:hint="eastAsia" w:ascii="仿宋" w:hAnsi="仿宋" w:eastAsia="仿宋" w:cs="仿宋"/>
                <w:b/>
                <w:color w:val="auto"/>
                <w:sz w:val="24"/>
                <w:highlight w:val="none"/>
              </w:rPr>
              <w:t>采购代理机构代理费用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hint="eastAsia" w:ascii="仿宋" w:hAnsi="仿宋" w:eastAsia="仿宋" w:cs="仿宋"/>
                <w:b/>
                <w:color w:val="auto"/>
                <w:sz w:val="24"/>
              </w:rPr>
            </w:pPr>
            <w:r>
              <w:rPr>
                <w:rFonts w:hint="eastAsia" w:ascii="仿宋" w:hAnsi="仿宋" w:eastAsia="仿宋" w:cs="仿宋"/>
                <w:b/>
                <w:color w:val="auto"/>
                <w:kern w:val="0"/>
                <w:sz w:val="24"/>
                <w:szCs w:val="24"/>
                <w:highlight w:val="none"/>
              </w:rPr>
              <w:t>投标总</w:t>
            </w:r>
            <w:r>
              <w:rPr>
                <w:rFonts w:hint="eastAsia" w:ascii="仿宋" w:hAnsi="仿宋" w:eastAsia="仿宋" w:cs="仿宋"/>
                <w:b/>
                <w:bCs/>
                <w:color w:val="auto"/>
                <w:spacing w:val="-2"/>
                <w:sz w:val="24"/>
                <w:highlight w:val="none"/>
              </w:rPr>
              <w:t>报价应含采购服务费，采购服务费按照国家发展计划委员会计价格[2002]1980 号文《招标代理服务费管理暂行办法》及发改办价格[2003]857号文的收费标准（</w:t>
            </w:r>
            <w:r>
              <w:rPr>
                <w:rFonts w:hint="eastAsia" w:ascii="仿宋" w:hAnsi="仿宋" w:eastAsia="仿宋" w:cs="仿宋"/>
                <w:b/>
                <w:bCs/>
                <w:color w:val="auto"/>
                <w:spacing w:val="-2"/>
                <w:sz w:val="24"/>
                <w:highlight w:val="none"/>
                <w:lang w:eastAsia="zh-CN"/>
              </w:rPr>
              <w:t>货物类</w:t>
            </w:r>
            <w:r>
              <w:rPr>
                <w:rFonts w:hint="eastAsia" w:ascii="仿宋" w:hAnsi="仿宋" w:eastAsia="仿宋" w:cs="仿宋"/>
                <w:b/>
                <w:bCs/>
                <w:color w:val="auto"/>
                <w:spacing w:val="-2"/>
                <w:sz w:val="24"/>
                <w:highlight w:val="none"/>
              </w:rPr>
              <w:t>）计取，为</w:t>
            </w:r>
            <w:r>
              <w:rPr>
                <w:rFonts w:hint="eastAsia" w:ascii="仿宋" w:hAnsi="仿宋" w:eastAsia="仿宋" w:cs="仿宋"/>
                <w:b/>
                <w:bCs/>
                <w:color w:val="auto"/>
                <w:spacing w:val="-2"/>
                <w:sz w:val="24"/>
                <w:highlight w:val="none"/>
              </w:rPr>
              <w:fldChar w:fldCharType="begin"/>
            </w:r>
            <w:r>
              <w:rPr>
                <w:rFonts w:hint="eastAsia" w:ascii="仿宋" w:hAnsi="仿宋" w:eastAsia="仿宋" w:cs="仿宋"/>
                <w:b/>
                <w:bCs/>
                <w:color w:val="auto"/>
                <w:spacing w:val="-2"/>
                <w:sz w:val="24"/>
                <w:highlight w:val="none"/>
              </w:rPr>
              <w:instrText xml:space="preserve"> = 10500 \* CHINESENUM4 \* MERGEFORMAT </w:instrText>
            </w:r>
            <w:r>
              <w:rPr>
                <w:rFonts w:hint="eastAsia" w:ascii="仿宋" w:hAnsi="仿宋" w:eastAsia="仿宋" w:cs="仿宋"/>
                <w:b/>
                <w:bCs/>
                <w:color w:val="auto"/>
                <w:spacing w:val="-2"/>
                <w:sz w:val="24"/>
                <w:highlight w:val="none"/>
              </w:rPr>
              <w:fldChar w:fldCharType="separate"/>
            </w:r>
            <w:r>
              <w:rPr>
                <w:rFonts w:hint="eastAsia" w:ascii="仿宋" w:hAnsi="仿宋" w:eastAsia="仿宋" w:cs="仿宋"/>
                <w:b/>
                <w:bCs/>
                <w:color w:val="auto"/>
                <w:spacing w:val="-2"/>
                <w:sz w:val="24"/>
                <w:highlight w:val="none"/>
                <w:lang w:eastAsia="zh-CN"/>
              </w:rPr>
              <w:t>人民币</w:t>
            </w:r>
            <w:r>
              <w:rPr>
                <w:rFonts w:hint="eastAsia" w:ascii="仿宋" w:hAnsi="仿宋" w:eastAsia="仿宋" w:cs="仿宋"/>
                <w:b/>
                <w:bCs/>
                <w:color w:val="auto"/>
                <w:spacing w:val="-2"/>
                <w:sz w:val="24"/>
                <w:highlight w:val="none"/>
                <w:lang w:val="en-US" w:eastAsia="zh-CN"/>
              </w:rPr>
              <w:t>伍仟肆佰陆拾</w:t>
            </w:r>
            <w:r>
              <w:rPr>
                <w:rFonts w:hint="eastAsia" w:ascii="仿宋" w:hAnsi="仿宋" w:eastAsia="仿宋" w:cs="仿宋"/>
                <w:b/>
                <w:bCs/>
                <w:color w:val="auto"/>
                <w:spacing w:val="-2"/>
                <w:sz w:val="24"/>
                <w:highlight w:val="none"/>
                <w:lang w:val="en-US" w:eastAsia="zh-CN"/>
              </w:rPr>
              <w:fldChar w:fldCharType="begin"/>
            </w:r>
            <w:r>
              <w:rPr>
                <w:rFonts w:hint="eastAsia" w:ascii="仿宋" w:hAnsi="仿宋" w:eastAsia="仿宋" w:cs="仿宋"/>
                <w:b/>
                <w:bCs/>
                <w:color w:val="auto"/>
                <w:spacing w:val="-2"/>
                <w:sz w:val="24"/>
                <w:highlight w:val="none"/>
                <w:lang w:val="en-US" w:eastAsia="zh-CN"/>
              </w:rPr>
              <w:instrText xml:space="preserve"> = 5850 \* CHINESENUM4 \* MERGEFORMAT </w:instrText>
            </w:r>
            <w:r>
              <w:rPr>
                <w:rFonts w:hint="eastAsia" w:ascii="仿宋" w:hAnsi="仿宋" w:eastAsia="仿宋" w:cs="仿宋"/>
                <w:b/>
                <w:bCs/>
                <w:color w:val="auto"/>
                <w:spacing w:val="-2"/>
                <w:sz w:val="24"/>
                <w:highlight w:val="none"/>
                <w:lang w:val="en-US" w:eastAsia="zh-CN"/>
              </w:rPr>
              <w:fldChar w:fldCharType="separate"/>
            </w:r>
            <w:r>
              <w:rPr>
                <w:rFonts w:hint="eastAsia" w:ascii="仿宋" w:hAnsi="仿宋" w:eastAsia="仿宋" w:cs="仿宋"/>
                <w:b/>
                <w:bCs/>
                <w:color w:val="auto"/>
                <w:spacing w:val="-2"/>
                <w:sz w:val="24"/>
                <w:highlight w:val="none"/>
              </w:rPr>
              <w:t>元整</w:t>
            </w:r>
            <w:r>
              <w:rPr>
                <w:rFonts w:hint="eastAsia" w:ascii="仿宋" w:hAnsi="仿宋" w:eastAsia="仿宋" w:cs="仿宋"/>
                <w:b/>
                <w:bCs/>
                <w:color w:val="auto"/>
                <w:spacing w:val="-2"/>
                <w:sz w:val="24"/>
                <w:highlight w:val="none"/>
                <w:lang w:val="en-US" w:eastAsia="zh-CN"/>
              </w:rPr>
              <w:fldChar w:fldCharType="end"/>
            </w:r>
            <w:r>
              <w:rPr>
                <w:rFonts w:hint="eastAsia" w:ascii="仿宋" w:hAnsi="仿宋" w:eastAsia="仿宋" w:cs="仿宋"/>
                <w:b/>
                <w:bCs/>
                <w:color w:val="auto"/>
                <w:spacing w:val="-2"/>
                <w:sz w:val="24"/>
                <w:highlight w:val="none"/>
              </w:rPr>
              <w:t>（￥</w:t>
            </w:r>
            <w:r>
              <w:rPr>
                <w:rFonts w:hint="eastAsia" w:ascii="仿宋" w:hAnsi="仿宋" w:eastAsia="仿宋" w:cs="仿宋"/>
                <w:b/>
                <w:bCs/>
                <w:color w:val="auto"/>
                <w:spacing w:val="-2"/>
                <w:sz w:val="24"/>
                <w:highlight w:val="none"/>
                <w:lang w:val="en-US" w:eastAsia="zh-CN"/>
              </w:rPr>
              <w:t xml:space="preserve"> 5460.00</w:t>
            </w:r>
            <w:r>
              <w:rPr>
                <w:rFonts w:hint="eastAsia" w:ascii="仿宋" w:hAnsi="仿宋" w:eastAsia="仿宋" w:cs="仿宋"/>
                <w:b/>
                <w:bCs/>
                <w:color w:val="auto"/>
                <w:spacing w:val="-2"/>
                <w:sz w:val="24"/>
                <w:highlight w:val="none"/>
              </w:rPr>
              <w:t>元）</w:t>
            </w:r>
            <w:r>
              <w:rPr>
                <w:rFonts w:hint="eastAsia" w:ascii="仿宋" w:hAnsi="仿宋" w:eastAsia="仿宋" w:cs="仿宋"/>
                <w:b/>
                <w:bCs/>
                <w:color w:val="auto"/>
                <w:spacing w:val="-2"/>
                <w:sz w:val="24"/>
                <w:highlight w:val="none"/>
              </w:rPr>
              <w:fldChar w:fldCharType="end"/>
            </w:r>
            <w:r>
              <w:rPr>
                <w:rFonts w:hint="eastAsia" w:ascii="仿宋" w:hAnsi="仿宋" w:eastAsia="仿宋" w:cs="仿宋"/>
                <w:b/>
                <w:bCs/>
                <w:color w:val="auto"/>
                <w:spacing w:val="-2"/>
                <w:sz w:val="24"/>
                <w:highlight w:val="none"/>
              </w:rPr>
              <w:t>。由中标单位在领取中标通知书时支付给采购代理公司。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8"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jc w:val="center"/>
              <w:rPr>
                <w:rFonts w:hint="eastAsia" w:ascii="仿宋" w:hAnsi="仿宋" w:eastAsia="仿宋" w:cs="仿宋"/>
                <w:color w:val="auto"/>
                <w:sz w:val="24"/>
                <w:lang w:eastAsia="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3</w:t>
            </w:r>
          </w:p>
        </w:tc>
        <w:tc>
          <w:tcPr>
            <w:tcW w:w="1843" w:type="dxa"/>
            <w:vMerge w:val="restart"/>
            <w:tcBorders>
              <w:top w:val="single" w:color="000000" w:sz="8" w:space="0"/>
              <w:left w:val="single" w:color="000000" w:sz="2" w:space="0"/>
              <w:right w:val="single" w:color="000000" w:sz="8" w:space="0"/>
            </w:tcBorders>
            <w:vAlign w:val="center"/>
          </w:tcPr>
          <w:p>
            <w:pPr>
              <w:snapToGrid w:val="0"/>
              <w:jc w:val="center"/>
              <w:rPr>
                <w:rFonts w:hint="eastAsia" w:ascii="仿宋" w:hAnsi="仿宋" w:eastAsia="仿宋" w:cs="仿宋"/>
                <w:b/>
                <w:color w:val="auto"/>
                <w:sz w:val="24"/>
              </w:rPr>
            </w:pPr>
            <w:r>
              <w:rPr>
                <w:rFonts w:hint="eastAsia" w:ascii="仿宋" w:hAnsi="仿宋" w:eastAsia="仿宋" w:cs="仿宋"/>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auto"/>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7" w:hRule="atLeast"/>
          <w:tblHeader/>
        </w:trPr>
        <w:tc>
          <w:tcPr>
            <w:tcW w:w="629" w:type="dxa"/>
            <w:vMerge w:val="continue"/>
            <w:tcBorders>
              <w:left w:val="single" w:color="000000" w:sz="8" w:space="0"/>
              <w:right w:val="single" w:color="000000" w:sz="2" w:space="0"/>
            </w:tcBorders>
            <w:vAlign w:val="center"/>
          </w:tcPr>
          <w:p>
            <w:pPr>
              <w:snapToGrid w:val="0"/>
              <w:jc w:val="center"/>
              <w:rPr>
                <w:rFonts w:hint="eastAsia" w:ascii="仿宋" w:hAnsi="仿宋" w:eastAsia="仿宋" w:cs="仿宋"/>
                <w:color w:val="auto"/>
                <w:sz w:val="24"/>
              </w:rPr>
            </w:pPr>
          </w:p>
        </w:tc>
        <w:tc>
          <w:tcPr>
            <w:tcW w:w="1843" w:type="dxa"/>
            <w:vMerge w:val="continue"/>
            <w:tcBorders>
              <w:left w:val="single" w:color="000000" w:sz="2" w:space="0"/>
              <w:right w:val="single" w:color="000000" w:sz="8" w:space="0"/>
            </w:tcBorders>
            <w:vAlign w:val="center"/>
          </w:tcPr>
          <w:p>
            <w:pPr>
              <w:snapToGrid w:val="0"/>
              <w:jc w:val="center"/>
              <w:rPr>
                <w:rFonts w:hint="eastAsia" w:ascii="仿宋" w:hAnsi="仿宋" w:eastAsia="仿宋" w:cs="仿宋"/>
                <w:b/>
                <w:color w:val="auto"/>
                <w:sz w:val="24"/>
              </w:rPr>
            </w:pPr>
          </w:p>
        </w:tc>
        <w:tc>
          <w:tcPr>
            <w:tcW w:w="6095" w:type="dxa"/>
            <w:tcBorders>
              <w:top w:val="single" w:color="000000" w:sz="8" w:space="0"/>
              <w:left w:val="single" w:color="000000" w:sz="2" w:space="0"/>
              <w:right w:val="single" w:color="000000" w:sz="8" w:space="0"/>
            </w:tcBorders>
            <w:vAlign w:val="center"/>
          </w:tcPr>
          <w:p>
            <w:pPr>
              <w:spacing w:line="360" w:lineRule="auto"/>
              <w:rPr>
                <w:rFonts w:hint="eastAsia" w:ascii="仿宋" w:hAnsi="仿宋" w:eastAsia="仿宋" w:cs="仿宋"/>
                <w:snapToGrid w:val="0"/>
                <w:color w:val="auto"/>
                <w:kern w:val="28"/>
                <w:sz w:val="24"/>
              </w:rPr>
            </w:pPr>
            <w:r>
              <w:rPr>
                <w:rFonts w:hint="eastAsia" w:ascii="仿宋" w:hAnsi="仿宋" w:eastAsia="仿宋" w:cs="仿宋"/>
                <w:color w:val="auto"/>
                <w:kern w:val="0"/>
                <w:sz w:val="24"/>
              </w:rPr>
              <w:t>☐</w:t>
            </w:r>
            <w:r>
              <w:rPr>
                <w:rFonts w:hint="eastAsia" w:ascii="仿宋" w:hAnsi="仿宋" w:eastAsia="仿宋" w:cs="仿宋"/>
                <w:snapToGrid w:val="0"/>
                <w:color w:val="auto"/>
                <w:kern w:val="28"/>
                <w:sz w:val="24"/>
              </w:rPr>
              <w:t>联合体投标的，联合体各方均需按招标文件第四部分评标标准要求提供资信证明文件，否则视为不符合相关要求。</w:t>
            </w:r>
          </w:p>
          <w:p>
            <w:pPr>
              <w:spacing w:line="360" w:lineRule="auto"/>
              <w:rPr>
                <w:rFonts w:hint="eastAsia" w:ascii="仿宋" w:hAnsi="仿宋" w:eastAsia="仿宋" w:cs="仿宋"/>
                <w:snapToGrid w:val="0"/>
                <w:color w:val="auto"/>
                <w:kern w:val="28"/>
                <w:sz w:val="24"/>
              </w:rPr>
            </w:pPr>
            <w:r>
              <w:rPr>
                <w:rFonts w:hint="eastAsia" w:ascii="仿宋" w:hAnsi="仿宋" w:eastAsia="仿宋" w:cs="仿宋"/>
                <w:color w:val="auto"/>
                <w:kern w:val="0"/>
                <w:sz w:val="24"/>
              </w:rPr>
              <w:sym w:font="Wingdings" w:char="F0FE"/>
            </w:r>
            <w:r>
              <w:rPr>
                <w:rFonts w:hint="eastAsia" w:ascii="仿宋" w:hAnsi="仿宋" w:eastAsia="仿宋" w:cs="仿宋"/>
                <w:snapToGrid w:val="0"/>
                <w:color w:val="auto"/>
                <w:kern w:val="28"/>
                <w:sz w:val="24"/>
              </w:rPr>
              <w:t>联合体投标的，联合体中有一方或者联合体成员根据分工按招标文件第四部分评标标准要求提供资信证明文件的，视为符合了相关要求。</w:t>
            </w:r>
          </w:p>
        </w:tc>
      </w:tr>
      <w:bookmarkEnd w:id="10"/>
    </w:tbl>
    <w:p>
      <w:pPr>
        <w:adjustRightInd/>
        <w:spacing w:line="360" w:lineRule="auto"/>
        <w:ind w:firstLine="3855" w:firstLineChars="1200"/>
        <w:outlineLvl w:val="0"/>
        <w:rPr>
          <w:rFonts w:hint="eastAsia" w:ascii="仿宋" w:hAnsi="仿宋" w:eastAsia="仿宋" w:cs="仿宋"/>
          <w:b/>
          <w:color w:val="auto"/>
          <w:sz w:val="32"/>
          <w:szCs w:val="20"/>
        </w:rPr>
      </w:pPr>
      <w:bookmarkStart w:id="11" w:name="_Toc164416483"/>
      <w:bookmarkStart w:id="12" w:name="第三部分"/>
      <w:r>
        <w:rPr>
          <w:rFonts w:hint="eastAsia" w:ascii="仿宋" w:hAnsi="仿宋" w:eastAsia="仿宋" w:cs="仿宋"/>
          <w:b/>
          <w:color w:val="auto"/>
          <w:sz w:val="32"/>
          <w:szCs w:val="20"/>
        </w:rPr>
        <w:t>一、总则</w:t>
      </w:r>
    </w:p>
    <w:p>
      <w:pPr>
        <w:snapToGrid w:val="0"/>
        <w:spacing w:line="360" w:lineRule="auto"/>
        <w:ind w:firstLine="361" w:firstLineChars="150"/>
        <w:jc w:val="left"/>
        <w:outlineLvl w:val="1"/>
        <w:rPr>
          <w:rFonts w:hint="eastAsia" w:ascii="仿宋" w:hAnsi="仿宋" w:eastAsia="仿宋" w:cs="仿宋"/>
          <w:b/>
          <w:color w:val="auto"/>
          <w:sz w:val="24"/>
        </w:rPr>
      </w:pPr>
      <w:r>
        <w:rPr>
          <w:rFonts w:hint="eastAsia" w:ascii="仿宋" w:hAnsi="仿宋" w:eastAsia="仿宋" w:cs="仿宋"/>
          <w:b/>
          <w:color w:val="auto"/>
          <w:sz w:val="24"/>
        </w:rPr>
        <w:t>1. 适用范围</w:t>
      </w:r>
    </w:p>
    <w:p>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color w:val="auto"/>
          <w:sz w:val="24"/>
        </w:rPr>
      </w:pPr>
      <w:r>
        <w:rPr>
          <w:rFonts w:hint="eastAsia" w:ascii="仿宋" w:hAnsi="仿宋" w:eastAsia="仿宋" w:cs="仿宋"/>
          <w:b/>
          <w:color w:val="auto"/>
          <w:sz w:val="24"/>
        </w:rPr>
        <w:t xml:space="preserve">   2.定义</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 “采购人”系指招标公告中载明的本项目的采购人。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2.2 “采购机构”系指招标公告中载明的本项目的采购机构。</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2.3 “投标人”系指是指响应招标、参加投标竞争的法人、其他组织或者自然人。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2.6“电子交易平台”是指本项目政府采购活动所依托的政府采购云平台（https://www.zcygov.cn/）。</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 “▲” 系指实质性要求条款，“★”系产品采购项目中单一产品或核心产品，“</w:t>
      </w:r>
      <w:sdt>
        <w:sdtPr>
          <w:rPr>
            <w:rFonts w:hint="eastAsia" w:ascii="仿宋" w:hAnsi="仿宋" w:eastAsia="仿宋" w:cs="仿宋"/>
            <w:color w:val="auto"/>
            <w:kern w:val="0"/>
            <w:sz w:val="24"/>
          </w:rPr>
          <w:id w:val="512970236"/>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”系指适用本项目的要求，“</w:t>
      </w:r>
      <w:sdt>
        <w:sdtPr>
          <w:rPr>
            <w:rFonts w:hint="eastAsia" w:ascii="仿宋" w:hAnsi="仿宋" w:eastAsia="仿宋" w:cs="仿宋"/>
            <w:color w:val="auto"/>
            <w:kern w:val="0"/>
            <w:sz w:val="24"/>
          </w:rPr>
          <w:id w:val="404888855"/>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 系指不适用本项目的要求。</w:t>
      </w:r>
    </w:p>
    <w:p>
      <w:pPr>
        <w:spacing w:line="360" w:lineRule="auto"/>
        <w:ind w:firstLine="241" w:firstLineChars="100"/>
        <w:rPr>
          <w:rFonts w:hint="eastAsia"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color w:val="auto"/>
        </w:rPr>
        <w:t xml:space="preserve"> </w:t>
      </w:r>
      <w:r>
        <w:rPr>
          <w:rFonts w:hint="eastAsia" w:ascii="仿宋" w:hAnsi="仿宋" w:eastAsia="仿宋" w:cs="仿宋"/>
          <w:b/>
          <w:color w:val="auto"/>
          <w:sz w:val="24"/>
        </w:rPr>
        <w:t>采购项目需要落实的政府采购政策</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3.2 支持绿色发展</w:t>
      </w:r>
    </w:p>
    <w:p>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3.3支持中小企业发展</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bCs/>
          <w:color w:val="auto"/>
          <w:sz w:val="24"/>
        </w:rPr>
        <w:t>3.3.2</w:t>
      </w:r>
      <w:r>
        <w:rPr>
          <w:rFonts w:hint="eastAsia" w:ascii="仿宋" w:hAnsi="仿宋" w:eastAsia="仿宋" w:cs="仿宋"/>
          <w:color w:val="auto"/>
          <w:kern w:val="0"/>
          <w:sz w:val="24"/>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bCs/>
          <w:color w:val="auto"/>
          <w:sz w:val="24"/>
        </w:rPr>
        <w:t>支持创新发展</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3.4.1 采购人优先采购被认定为首台套产品和“制造精品”的自主创新产品。</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hint="eastAsia" w:ascii="仿宋" w:hAnsi="仿宋" w:eastAsia="仿宋" w:cs="仿宋"/>
          <w:b/>
          <w:color w:val="auto"/>
          <w:sz w:val="24"/>
        </w:rPr>
      </w:pPr>
      <w:r>
        <w:rPr>
          <w:rFonts w:hint="eastAsia" w:ascii="仿宋" w:hAnsi="仿宋" w:eastAsia="仿宋" w:cs="仿宋"/>
          <w:color w:val="auto"/>
          <w:sz w:val="24"/>
        </w:rPr>
        <w:t>3.5中小企业信用融资：</w:t>
      </w:r>
      <w:r>
        <w:rPr>
          <w:rFonts w:hint="eastAsia" w:ascii="仿宋" w:hAnsi="仿宋" w:eastAsia="仿宋" w:cs="仿宋"/>
          <w:color w:val="auto"/>
          <w:kern w:val="0"/>
          <w:sz w:val="24"/>
        </w:rPr>
        <w:t>为支持和促进中小企业发展，进一步发挥政府采购政策，建德市财政局、浙江银监局建德监管办事处、建德市人民政府金融工作办公室、市经济和信息化局共同出台了《建德市政府采购支持中小企业信用融资实施细则》，供应商若有融资意向，详见《政府采购支持中小企业信用融资相关事项通知》。具体可咨询建德市财政局采购办，联系电话：64718168；</w:t>
      </w:r>
      <w:r>
        <w:rPr>
          <w:rFonts w:hint="eastAsia" w:ascii="仿宋" w:hAnsi="仿宋" w:eastAsia="仿宋" w:cs="仿宋"/>
          <w:snapToGrid w:val="0"/>
          <w:color w:val="auto"/>
          <w:kern w:val="28"/>
          <w:sz w:val="24"/>
        </w:rPr>
        <w:t>供</w:t>
      </w:r>
      <w:r>
        <w:rPr>
          <w:rFonts w:hint="eastAsia" w:ascii="仿宋" w:hAnsi="仿宋" w:eastAsia="仿宋" w:cs="仿宋"/>
          <w:color w:val="auto"/>
          <w:kern w:val="0"/>
          <w:sz w:val="24"/>
        </w:rPr>
        <w:t>应商中标后也可在“政采云”平台（登陆https://jinrong.zcygov.cn/?utm=a0017.b1540.ct001.11.3a0260f064fd11eba8f1adac56aaf47c办理业务）申请政采贷：操作路径：登录政采云平台 - 金融服务中心 -【融资服务】，可在热门申请中选择产品直接申请，也可点击云智贷匹配适合产品进行申请，或者在可申请项目中根据该项目进行申请。</w:t>
      </w:r>
      <w:r>
        <w:rPr>
          <w:rFonts w:hint="eastAsia" w:ascii="仿宋" w:hAnsi="仿宋" w:eastAsia="仿宋" w:cs="仿宋"/>
          <w:color w:val="auto"/>
          <w:sz w:val="24"/>
        </w:rPr>
        <w:cr/>
      </w:r>
      <w:r>
        <w:rPr>
          <w:rFonts w:hint="eastAsia" w:ascii="仿宋" w:hAnsi="仿宋" w:eastAsia="仿宋" w:cs="仿宋"/>
          <w:b/>
          <w:color w:val="auto"/>
          <w:sz w:val="24"/>
        </w:rPr>
        <w:t>4. 询问、质疑、投诉</w:t>
      </w:r>
    </w:p>
    <w:p>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4.1供应商询问</w:t>
      </w:r>
    </w:p>
    <w:p>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4.2供应商质疑</w:t>
      </w:r>
    </w:p>
    <w:p>
      <w:pPr>
        <w:pStyle w:val="36"/>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4.2</w:t>
      </w:r>
      <w:r>
        <w:rPr>
          <w:rFonts w:hint="eastAsia" w:ascii="仿宋" w:hAnsi="仿宋" w:eastAsia="仿宋" w:cs="仿宋"/>
          <w:color w:val="auto"/>
          <w:sz w:val="24"/>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4.2</w:t>
      </w:r>
      <w:r>
        <w:rPr>
          <w:rFonts w:hint="eastAsia" w:ascii="仿宋" w:hAnsi="仿宋" w:eastAsia="仿宋" w:cs="仿宋"/>
          <w:color w:val="auto"/>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20"/>
        <w:spacing w:line="360" w:lineRule="auto"/>
        <w:ind w:firstLine="480" w:firstLineChars="200"/>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4.2.2.1对招标文件提出质疑的，质疑期限为供应商获得招标文件之日或者招标文件公告期限届满之日起计算。</w:t>
      </w:r>
    </w:p>
    <w:p>
      <w:pPr>
        <w:pStyle w:val="36"/>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4.2.2.2对采购过程提出质疑的，质疑期限为各采购程序环节结束之日起计算。对同一采购程序环节的质疑，供应商须一次性提出。</w:t>
      </w:r>
    </w:p>
    <w:p>
      <w:pPr>
        <w:pStyle w:val="36"/>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4.2.2.3对采购结果提出质疑的，质疑期限自采购结果公告期限届满之日起计算。</w:t>
      </w:r>
    </w:p>
    <w:p>
      <w:pPr>
        <w:pStyle w:val="36"/>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w:t>
      </w:r>
      <w:r>
        <w:rPr>
          <w:rFonts w:hint="eastAsia" w:ascii="仿宋" w:hAnsi="仿宋" w:eastAsia="仿宋" w:cs="仿宋"/>
          <w:color w:val="auto"/>
          <w:sz w:val="24"/>
        </w:rPr>
        <w:t>供应商提出质疑应当提交质疑函和必要的证明材料。质疑函应当包括下列内容：</w:t>
      </w:r>
    </w:p>
    <w:p>
      <w:pPr>
        <w:pStyle w:val="36"/>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4.2.3.1供应商的姓名或者名称、地址、邮编、联系人及联系电话；</w:t>
      </w:r>
    </w:p>
    <w:p>
      <w:pPr>
        <w:pStyle w:val="36"/>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4.2.3.2质疑项目的名称、编号；</w:t>
      </w:r>
    </w:p>
    <w:p>
      <w:pPr>
        <w:pStyle w:val="36"/>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4.2.3.3具体、明确的质疑事项和与质疑事项相关的请求；</w:t>
      </w:r>
    </w:p>
    <w:p>
      <w:pPr>
        <w:pStyle w:val="36"/>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4.2.3.4事实依据；</w:t>
      </w:r>
    </w:p>
    <w:p>
      <w:pPr>
        <w:pStyle w:val="36"/>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4.2.3.5必要的法律依据；</w:t>
      </w:r>
    </w:p>
    <w:p>
      <w:pPr>
        <w:pStyle w:val="36"/>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4.2.3.6提出质疑的日期。</w:t>
      </w:r>
    </w:p>
    <w:p>
      <w:pPr>
        <w:pStyle w:val="36"/>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供应商提交的质疑函需一式三份。供应商为自然人的，应当由本人签字；供应商为法人或者其他组织的，应当由法定代表人、主要负责人，或者其授权代表签字或者盖章，并加盖公章。</w:t>
      </w:r>
    </w:p>
    <w:p>
      <w:pPr>
        <w:pStyle w:val="36"/>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质疑函范本及制作说明详见附件2。</w:t>
      </w:r>
    </w:p>
    <w:p>
      <w:pPr>
        <w:pStyle w:val="36"/>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4.2</w:t>
      </w:r>
      <w:r>
        <w:rPr>
          <w:rFonts w:hint="eastAsia" w:ascii="仿宋" w:hAnsi="仿宋" w:eastAsia="仿宋" w:cs="仿宋"/>
          <w:color w:val="auto"/>
          <w:sz w:val="24"/>
        </w:rPr>
        <w:t>.4采购人或者采购机构应当在收到供应商的书面质疑后七个工作日内作出答复，并以书面形式通知质疑供应商和其他与质疑处理结果有利害关系的政府采购当事人，但答复的内容不得涉及商业秘密。根据建德市财政局关于转发“《杭州市财政局关于进一步加强政府采购信息公开优化营商环境的通知》（杭财采监〔2021〕17号）”的通知（建财采监〔2021〕68号）,采购人或者采购机构在质疑回复后5个工作日内，在浙江政府采购网的“其他公告”栏目公开质疑答复，答复内容应当完整。质疑函作为附件上传。</w:t>
      </w:r>
    </w:p>
    <w:p>
      <w:pPr>
        <w:pStyle w:val="36"/>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4.2</w:t>
      </w:r>
      <w:r>
        <w:rPr>
          <w:rFonts w:hint="eastAsia" w:ascii="仿宋" w:hAnsi="仿宋" w:eastAsia="仿宋" w:cs="仿宋"/>
          <w:color w:val="auto"/>
          <w:sz w:val="24"/>
        </w:rPr>
        <w:t>.5询问或者质疑事项可能影响采购结果的，采购人应当暂停签订合同，已经签订合同的，应当中止履行合同。</w:t>
      </w:r>
    </w:p>
    <w:p>
      <w:pPr>
        <w:pStyle w:val="36"/>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4.3供应商投诉</w:t>
      </w:r>
    </w:p>
    <w:p>
      <w:pPr>
        <w:pStyle w:val="36"/>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4.3.1质疑供应商对采购人、采购机构的答复不满意或者采购人、采购机构未在规定的时间内作出答复的，可以在答复期满后十五个工作日内向同级政府采购监督管理部门提出投诉。</w:t>
      </w:r>
    </w:p>
    <w:p>
      <w:pPr>
        <w:pStyle w:val="36"/>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4.3.</w:t>
      </w:r>
      <w:r>
        <w:rPr>
          <w:rFonts w:hint="eastAsia" w:ascii="仿宋" w:hAnsi="仿宋" w:eastAsia="仿宋" w:cs="仿宋"/>
          <w:color w:val="auto"/>
          <w:sz w:val="24"/>
          <w:lang w:val="zh-CN"/>
        </w:rPr>
        <w:t>2</w:t>
      </w:r>
      <w:r>
        <w:rPr>
          <w:rFonts w:hint="eastAsia" w:ascii="仿宋" w:hAnsi="仿宋" w:eastAsia="仿宋" w:cs="仿宋"/>
          <w:color w:val="auto"/>
          <w:sz w:val="24"/>
        </w:rPr>
        <w:t>供应商投诉的事项不得超出已质疑事项的范围，基于质疑答复内容提出的投诉事项除外。</w:t>
      </w:r>
    </w:p>
    <w:p>
      <w:pPr>
        <w:pStyle w:val="36"/>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4.3.3供应商投诉应当有明确的请求和必要的证明材料。</w:t>
      </w:r>
    </w:p>
    <w:p>
      <w:pPr>
        <w:pStyle w:val="36"/>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4.3.5 以联合体形式参加政府采购活动的，其投诉应当由组成联合体的所有供应商共同提出。</w:t>
      </w:r>
    </w:p>
    <w:p>
      <w:pPr>
        <w:pStyle w:val="36"/>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投诉书范本及制作说明详见附件3。</w:t>
      </w:r>
    </w:p>
    <w:p>
      <w:pPr>
        <w:rPr>
          <w:rFonts w:hint="eastAsia" w:ascii="仿宋" w:hAnsi="仿宋" w:eastAsia="仿宋" w:cs="仿宋"/>
          <w:color w:val="auto"/>
        </w:rPr>
      </w:pPr>
    </w:p>
    <w:p>
      <w:pPr>
        <w:adjustRightInd/>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 xml:space="preserve"> 二、招标文件的构成、澄清、修改</w:t>
      </w:r>
    </w:p>
    <w:p>
      <w:pPr>
        <w:pStyle w:val="36"/>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5．招标文件的构成</w:t>
      </w:r>
    </w:p>
    <w:p>
      <w:pPr>
        <w:pStyle w:val="36"/>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5.1 招标文件包括下列文件及附件：</w:t>
      </w:r>
    </w:p>
    <w:p>
      <w:pPr>
        <w:pStyle w:val="36"/>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5.1.1招标公告；</w:t>
      </w:r>
    </w:p>
    <w:p>
      <w:pPr>
        <w:pStyle w:val="36"/>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5.1.2投标人须知；</w:t>
      </w:r>
    </w:p>
    <w:p>
      <w:pPr>
        <w:pStyle w:val="36"/>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5.1.3采购需求；</w:t>
      </w:r>
    </w:p>
    <w:p>
      <w:pPr>
        <w:pStyle w:val="36"/>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5.1.4评标办法；</w:t>
      </w:r>
    </w:p>
    <w:p>
      <w:pPr>
        <w:pStyle w:val="36"/>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5.1.5拟签订的合同文本；</w:t>
      </w:r>
    </w:p>
    <w:p>
      <w:pPr>
        <w:pStyle w:val="36"/>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rPr>
        <w:t>5.1.6</w:t>
      </w:r>
      <w:r>
        <w:rPr>
          <w:rFonts w:hint="eastAsia" w:ascii="仿宋" w:hAnsi="仿宋" w:eastAsia="仿宋" w:cs="仿宋"/>
          <w:color w:val="auto"/>
          <w:sz w:val="24"/>
          <w:szCs w:val="24"/>
        </w:rPr>
        <w:t>应提交的有关格式范例。</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5.2与本项目有关的</w:t>
      </w:r>
      <w:r>
        <w:rPr>
          <w:rFonts w:hint="eastAsia" w:ascii="仿宋" w:hAnsi="仿宋" w:eastAsia="仿宋" w:cs="仿宋"/>
          <w:bCs/>
          <w:color w:val="auto"/>
          <w:sz w:val="24"/>
        </w:rPr>
        <w:t>澄清或者修改的内容为招标文件的组成部分</w:t>
      </w:r>
      <w:r>
        <w:rPr>
          <w:rFonts w:hint="eastAsia" w:ascii="仿宋" w:hAnsi="仿宋" w:eastAsia="仿宋" w:cs="仿宋"/>
          <w:color w:val="auto"/>
          <w:sz w:val="24"/>
        </w:rPr>
        <w:t>。</w:t>
      </w:r>
    </w:p>
    <w:p>
      <w:pPr>
        <w:pStyle w:val="36"/>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6. 招标文件的澄清、修改</w:t>
      </w:r>
    </w:p>
    <w:p>
      <w:pPr>
        <w:pStyle w:val="130"/>
        <w:snapToGrid w:val="0"/>
        <w:spacing w:before="0"/>
        <w:ind w:firstLine="480"/>
        <w:rPr>
          <w:rFonts w:hint="eastAsia" w:ascii="仿宋" w:hAnsi="仿宋" w:eastAsia="仿宋" w:cs="仿宋"/>
          <w:color w:val="auto"/>
        </w:rPr>
      </w:pPr>
      <w:r>
        <w:rPr>
          <w:rFonts w:hint="eastAsia" w:ascii="仿宋" w:hAnsi="仿宋" w:eastAsia="仿宋" w:cs="仿宋"/>
          <w:color w:val="auto"/>
        </w:rPr>
        <w:t>6.1已获取招标文件的潜在投标人，若有问题需要澄清，应于投标截止时间前，以书面形式向采购机构提出。</w:t>
      </w:r>
    </w:p>
    <w:p>
      <w:pPr>
        <w:pStyle w:val="130"/>
        <w:snapToGrid w:val="0"/>
        <w:spacing w:before="0"/>
        <w:ind w:firstLine="480"/>
        <w:rPr>
          <w:rFonts w:hint="eastAsia" w:ascii="仿宋" w:hAnsi="仿宋" w:eastAsia="仿宋" w:cs="仿宋"/>
          <w:color w:val="auto"/>
        </w:rPr>
      </w:pPr>
      <w:r>
        <w:rPr>
          <w:rFonts w:hint="eastAsia" w:ascii="仿宋" w:hAnsi="仿宋" w:eastAsia="仿宋" w:cs="仿宋"/>
          <w:color w:val="auto"/>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5"/>
        <w:rPr>
          <w:rFonts w:hint="eastAsia" w:ascii="仿宋" w:hAnsi="仿宋" w:eastAsia="仿宋" w:cs="仿宋"/>
          <w:color w:val="auto"/>
          <w:sz w:val="18"/>
          <w:szCs w:val="18"/>
          <w:lang w:val="en-US"/>
        </w:rPr>
      </w:pPr>
      <w:r>
        <w:rPr>
          <w:rFonts w:hint="eastAsia" w:ascii="仿宋" w:hAnsi="仿宋" w:eastAsia="仿宋" w:cs="仿宋"/>
          <w:color w:val="auto"/>
          <w:szCs w:val="24"/>
          <w:lang w:val="en-US"/>
        </w:rPr>
        <w:t xml:space="preserve">    </w:t>
      </w:r>
    </w:p>
    <w:p>
      <w:pPr>
        <w:adjustRightInd/>
        <w:spacing w:line="360" w:lineRule="auto"/>
        <w:jc w:val="center"/>
        <w:outlineLvl w:val="0"/>
        <w:rPr>
          <w:rFonts w:hint="eastAsia" w:ascii="仿宋" w:hAnsi="仿宋" w:eastAsia="仿宋" w:cs="仿宋"/>
          <w:b/>
          <w:color w:val="auto"/>
          <w:sz w:val="30"/>
          <w:szCs w:val="20"/>
        </w:rPr>
      </w:pPr>
      <w:r>
        <w:rPr>
          <w:rFonts w:hint="eastAsia" w:ascii="仿宋" w:hAnsi="仿宋" w:eastAsia="仿宋" w:cs="仿宋"/>
          <w:b/>
          <w:color w:val="auto"/>
          <w:sz w:val="30"/>
          <w:szCs w:val="20"/>
        </w:rPr>
        <w:t>三、投标</w:t>
      </w:r>
    </w:p>
    <w:p>
      <w:pPr>
        <w:pStyle w:val="36"/>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7. 招标文件的获取</w:t>
      </w:r>
    </w:p>
    <w:p>
      <w:pPr>
        <w:spacing w:line="360" w:lineRule="auto"/>
        <w:ind w:firstLine="480" w:firstLineChars="200"/>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详见招标公告中获取招标文件的时间期限、地点、方式及招标文件售价。</w:t>
      </w:r>
    </w:p>
    <w:p>
      <w:pPr>
        <w:pStyle w:val="36"/>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8.开标前答疑会或现场考察</w:t>
      </w:r>
    </w:p>
    <w:p>
      <w:pPr>
        <w:pStyle w:val="36"/>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采购人组织潜在投标人现场考察或者召开开标前答疑会的，潜在投标人按第二部分投标人须知前附表的规定参加现场考察或者开标前答疑会。</w:t>
      </w:r>
    </w:p>
    <w:p>
      <w:pPr>
        <w:pStyle w:val="36"/>
        <w:spacing w:line="360" w:lineRule="auto"/>
        <w:rPr>
          <w:rFonts w:hint="eastAsia" w:ascii="仿宋" w:hAnsi="仿宋" w:eastAsia="仿宋" w:cs="仿宋"/>
          <w:b/>
          <w:color w:val="auto"/>
          <w:szCs w:val="24"/>
        </w:rPr>
      </w:pPr>
      <w:r>
        <w:rPr>
          <w:rFonts w:hint="eastAsia" w:ascii="仿宋" w:hAnsi="仿宋" w:eastAsia="仿宋" w:cs="仿宋"/>
          <w:b/>
          <w:color w:val="auto"/>
          <w:kern w:val="28"/>
          <w:sz w:val="24"/>
          <w:szCs w:val="24"/>
        </w:rPr>
        <w:t>9.投标保证金</w:t>
      </w:r>
    </w:p>
    <w:p>
      <w:pPr>
        <w:pStyle w:val="20"/>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pPr>
        <w:pStyle w:val="36"/>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10. 投标文件的语言</w:t>
      </w:r>
    </w:p>
    <w:p>
      <w:pPr>
        <w:autoSpaceDE w:val="0"/>
        <w:autoSpaceDN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投标文件及投标人与采购有关的来往通知、函件和文件均应使用中文。</w:t>
      </w:r>
    </w:p>
    <w:p>
      <w:pPr>
        <w:pStyle w:val="36"/>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11. 投标文件的组成</w:t>
      </w:r>
    </w:p>
    <w:p>
      <w:pPr>
        <w:snapToGrid w:val="0"/>
        <w:spacing w:line="360" w:lineRule="auto"/>
        <w:ind w:firstLine="361" w:firstLineChars="150"/>
        <w:rPr>
          <w:rFonts w:hint="eastAsia" w:ascii="仿宋" w:hAnsi="仿宋" w:eastAsia="仿宋" w:cs="仿宋"/>
          <w:color w:val="auto"/>
          <w:sz w:val="24"/>
        </w:rPr>
      </w:pPr>
      <w:r>
        <w:rPr>
          <w:rFonts w:hint="eastAsia" w:ascii="仿宋" w:hAnsi="仿宋" w:eastAsia="仿宋" w:cs="仿宋"/>
          <w:b/>
          <w:color w:val="auto"/>
          <w:sz w:val="24"/>
        </w:rPr>
        <w:t>11.1资格文件</w:t>
      </w:r>
      <w:r>
        <w:rPr>
          <w:rFonts w:hint="eastAsia" w:ascii="仿宋" w:hAnsi="仿宋" w:eastAsia="仿宋" w:cs="仿宋"/>
          <w:color w:val="auto"/>
          <w:sz w:val="24"/>
        </w:rPr>
        <w:t>：</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11.1.1符合参加政府采购活动应当具备的一般条件的承诺函；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11.1.2中小企业声明函。</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w:t>
      </w:r>
      <w:bookmarkStart w:id="13" w:name="_Hlk101259339"/>
      <w:r>
        <w:rPr>
          <w:rFonts w:hint="eastAsia" w:ascii="仿宋" w:hAnsi="仿宋" w:eastAsia="仿宋" w:cs="仿宋"/>
          <w:color w:val="auto"/>
          <w:sz w:val="24"/>
        </w:rPr>
        <w:t>3联合协议</w:t>
      </w:r>
      <w:bookmarkStart w:id="14" w:name="_Hlk101257010"/>
      <w:r>
        <w:rPr>
          <w:rFonts w:hint="eastAsia" w:ascii="仿宋" w:hAnsi="仿宋" w:eastAsia="仿宋" w:cs="仿宋"/>
          <w:color w:val="auto"/>
          <w:sz w:val="24"/>
        </w:rPr>
        <w:t>（如果有)</w:t>
      </w:r>
      <w:bookmarkEnd w:id="13"/>
      <w:bookmarkEnd w:id="14"/>
      <w:r>
        <w:rPr>
          <w:rFonts w:hint="eastAsia" w:ascii="仿宋" w:hAnsi="仿宋" w:eastAsia="仿宋" w:cs="仿宋"/>
          <w:color w:val="auto"/>
          <w:sz w:val="24"/>
        </w:rPr>
        <w:t>；</w:t>
      </w:r>
    </w:p>
    <w:p>
      <w:pPr>
        <w:snapToGrid w:val="0"/>
        <w:spacing w:line="360" w:lineRule="auto"/>
        <w:ind w:firstLine="361" w:firstLineChars="150"/>
        <w:rPr>
          <w:rFonts w:hint="eastAsia" w:ascii="仿宋" w:hAnsi="仿宋" w:eastAsia="仿宋" w:cs="仿宋"/>
          <w:color w:val="auto"/>
          <w:sz w:val="24"/>
          <w:lang w:val="zh-CN"/>
        </w:rPr>
      </w:pPr>
      <w:r>
        <w:rPr>
          <w:rFonts w:hint="eastAsia" w:ascii="仿宋" w:hAnsi="仿宋" w:eastAsia="仿宋" w:cs="仿宋"/>
          <w:b/>
          <w:color w:val="auto"/>
          <w:sz w:val="24"/>
          <w:lang w:val="zh-CN"/>
        </w:rPr>
        <w:t>11.</w:t>
      </w:r>
      <w:r>
        <w:rPr>
          <w:rFonts w:hint="eastAsia" w:ascii="仿宋" w:hAnsi="仿宋" w:eastAsia="仿宋" w:cs="仿宋"/>
          <w:b/>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b/>
          <w:color w:val="auto"/>
          <w:sz w:val="24"/>
        </w:rPr>
        <w:t>商务技术</w:t>
      </w:r>
      <w:r>
        <w:rPr>
          <w:rFonts w:hint="eastAsia" w:ascii="仿宋" w:hAnsi="仿宋" w:eastAsia="仿宋" w:cs="仿宋"/>
          <w:b/>
          <w:color w:val="auto"/>
          <w:sz w:val="24"/>
          <w:lang w:val="zh-CN"/>
        </w:rPr>
        <w:t>文件：</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11.2.1投标函；</w:t>
      </w:r>
      <w:r>
        <w:rPr>
          <w:rFonts w:hint="eastAsia" w:ascii="仿宋" w:hAnsi="仿宋" w:eastAsia="仿宋" w:cs="仿宋"/>
          <w:color w:val="auto"/>
          <w:sz w:val="24"/>
          <w:lang w:val="zh-CN"/>
        </w:rPr>
        <w:t xml:space="preserve"> </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11.2.3符合性审查资料；</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11.2.4分包意向协议（如果有)；</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11.2.5评标标准相应的商务技术资料；</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11.2.6商务技术偏离表；</w:t>
      </w:r>
    </w:p>
    <w:p>
      <w:pPr>
        <w:snapToGrid w:val="0"/>
        <w:spacing w:line="360" w:lineRule="auto"/>
        <w:ind w:firstLine="960" w:firstLineChars="400"/>
        <w:rPr>
          <w:rFonts w:hint="eastAsia" w:ascii="仿宋" w:hAnsi="仿宋" w:eastAsia="仿宋" w:cs="仿宋"/>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7</w:t>
      </w:r>
      <w:r>
        <w:rPr>
          <w:rFonts w:hint="eastAsia" w:ascii="仿宋" w:hAnsi="仿宋" w:eastAsia="仿宋" w:cs="仿宋"/>
          <w:color w:val="auto"/>
          <w:sz w:val="24"/>
          <w:lang w:val="zh-CN"/>
        </w:rPr>
        <w:t>政府采购供应商廉洁自律承诺书；</w:t>
      </w:r>
    </w:p>
    <w:p>
      <w:pPr>
        <w:snapToGrid w:val="0"/>
        <w:spacing w:line="360" w:lineRule="auto"/>
        <w:ind w:firstLine="602" w:firstLineChars="250"/>
        <w:rPr>
          <w:rFonts w:hint="eastAsia" w:ascii="仿宋" w:hAnsi="仿宋" w:eastAsia="仿宋" w:cs="仿宋"/>
          <w:color w:val="auto"/>
          <w:sz w:val="24"/>
          <w:u w:val="single"/>
          <w:lang w:val="zh-CN"/>
        </w:rPr>
      </w:pPr>
      <w:r>
        <w:rPr>
          <w:rFonts w:hint="eastAsia" w:ascii="仿宋" w:hAnsi="仿宋" w:eastAsia="仿宋" w:cs="仿宋"/>
          <w:b/>
          <w:color w:val="auto"/>
          <w:kern w:val="0"/>
          <w:sz w:val="24"/>
          <w:lang w:val="zh-CN"/>
        </w:rPr>
        <w:t>11.</w:t>
      </w:r>
      <w:r>
        <w:rPr>
          <w:rFonts w:hint="eastAsia" w:ascii="仿宋" w:hAnsi="仿宋" w:eastAsia="仿宋" w:cs="仿宋"/>
          <w:b/>
          <w:color w:val="auto"/>
          <w:kern w:val="0"/>
          <w:sz w:val="24"/>
        </w:rPr>
        <w:t>3</w:t>
      </w:r>
      <w:r>
        <w:rPr>
          <w:rFonts w:hint="eastAsia" w:ascii="仿宋" w:hAnsi="仿宋" w:eastAsia="仿宋" w:cs="仿宋"/>
          <w:b/>
          <w:color w:val="auto"/>
          <w:sz w:val="24"/>
        </w:rPr>
        <w:t>报价文件：</w:t>
      </w:r>
      <w:r>
        <w:rPr>
          <w:rFonts w:hint="eastAsia" w:ascii="仿宋" w:hAnsi="仿宋" w:eastAsia="仿宋" w:cs="仿宋"/>
          <w:color w:val="auto"/>
          <w:sz w:val="24"/>
        </w:rPr>
        <w:t xml:space="preserve"> </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11.3.1开标一览表（报价表）；</w:t>
      </w:r>
    </w:p>
    <w:p>
      <w:pPr>
        <w:spacing w:line="360" w:lineRule="auto"/>
        <w:ind w:firstLine="723" w:firstLineChars="300"/>
        <w:rPr>
          <w:rFonts w:hint="eastAsia" w:ascii="仿宋" w:hAnsi="仿宋" w:eastAsia="仿宋" w:cs="仿宋"/>
          <w:b/>
          <w:color w:val="auto"/>
          <w:sz w:val="24"/>
        </w:rPr>
      </w:pPr>
      <w:r>
        <w:rPr>
          <w:rFonts w:hint="eastAsia" w:ascii="仿宋" w:hAnsi="仿宋" w:eastAsia="仿宋" w:cs="仿宋"/>
          <w:b/>
          <w:color w:val="auto"/>
          <w:sz w:val="24"/>
        </w:rPr>
        <w:t>投标文件含有采购人不能接受的附加条件的，投标无效；</w:t>
      </w:r>
    </w:p>
    <w:p>
      <w:pPr>
        <w:spacing w:line="360" w:lineRule="auto"/>
        <w:ind w:firstLine="723" w:firstLineChars="300"/>
        <w:rPr>
          <w:rFonts w:hint="eastAsia" w:ascii="仿宋" w:hAnsi="仿宋" w:eastAsia="仿宋" w:cs="仿宋"/>
          <w:b/>
          <w:color w:val="auto"/>
          <w:sz w:val="24"/>
          <w:szCs w:val="21"/>
        </w:rPr>
      </w:pPr>
      <w:r>
        <w:rPr>
          <w:rFonts w:hint="eastAsia" w:ascii="仿宋" w:hAnsi="仿宋" w:eastAsia="仿宋" w:cs="仿宋"/>
          <w:b/>
          <w:color w:val="auto"/>
          <w:sz w:val="24"/>
        </w:rPr>
        <w:t>投标人提供虚假材料投标的，投标无效。</w:t>
      </w:r>
    </w:p>
    <w:p>
      <w:pPr>
        <w:pStyle w:val="130"/>
        <w:snapToGrid w:val="0"/>
        <w:spacing w:before="0"/>
        <w:ind w:firstLine="0" w:firstLineChars="0"/>
        <w:outlineLvl w:val="0"/>
        <w:rPr>
          <w:rFonts w:hint="eastAsia" w:ascii="仿宋" w:hAnsi="仿宋" w:eastAsia="仿宋" w:cs="仿宋"/>
          <w:b/>
          <w:color w:val="auto"/>
          <w:szCs w:val="24"/>
        </w:rPr>
      </w:pPr>
      <w:r>
        <w:rPr>
          <w:rFonts w:hint="eastAsia" w:ascii="仿宋" w:hAnsi="仿宋" w:eastAsia="仿宋" w:cs="仿宋"/>
          <w:b/>
          <w:color w:val="auto"/>
          <w:szCs w:val="24"/>
        </w:rPr>
        <w:t>12</w:t>
      </w:r>
      <w:r>
        <w:rPr>
          <w:rFonts w:hint="eastAsia" w:ascii="仿宋" w:hAnsi="仿宋" w:eastAsia="仿宋" w:cs="仿宋"/>
          <w:b/>
          <w:color w:val="auto"/>
          <w:kern w:val="0"/>
          <w:szCs w:val="24"/>
          <w:lang w:val="zh-CN"/>
        </w:rPr>
        <w:t xml:space="preserve">. </w:t>
      </w:r>
      <w:r>
        <w:rPr>
          <w:rFonts w:hint="eastAsia" w:ascii="仿宋" w:hAnsi="仿宋" w:eastAsia="仿宋" w:cs="仿宋"/>
          <w:b/>
          <w:color w:val="auto"/>
          <w:szCs w:val="24"/>
        </w:rPr>
        <w:t>投标文件的编制</w:t>
      </w:r>
    </w:p>
    <w:p>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auto"/>
          <w:sz w:val="24"/>
        </w:rPr>
      </w:pPr>
      <w:r>
        <w:rPr>
          <w:rFonts w:hint="eastAsia" w:ascii="仿宋" w:hAnsi="仿宋" w:eastAsia="仿宋" w:cs="仿宋"/>
          <w:b/>
          <w:color w:val="auto"/>
          <w:sz w:val="24"/>
        </w:rPr>
        <w:t>13.投标文件的签署、盖章</w:t>
      </w:r>
    </w:p>
    <w:p>
      <w:pPr>
        <w:pStyle w:val="130"/>
        <w:snapToGrid w:val="0"/>
        <w:spacing w:before="0"/>
        <w:ind w:firstLine="480"/>
        <w:rPr>
          <w:rFonts w:hint="eastAsia" w:ascii="仿宋" w:hAnsi="仿宋" w:eastAsia="仿宋" w:cs="仿宋"/>
          <w:b/>
          <w:color w:val="auto"/>
        </w:rPr>
      </w:pPr>
      <w:r>
        <w:rPr>
          <w:rFonts w:hint="eastAsia" w:ascii="仿宋" w:hAnsi="仿宋" w:eastAsia="仿宋" w:cs="仿宋"/>
          <w:color w:val="auto"/>
          <w:szCs w:val="24"/>
        </w:rPr>
        <w:t>13.1投标文件按照招标文件第六部分格式要</w:t>
      </w:r>
      <w:r>
        <w:rPr>
          <w:rFonts w:hint="eastAsia" w:ascii="仿宋" w:hAnsi="仿宋" w:eastAsia="仿宋" w:cs="仿宋"/>
          <w:color w:val="auto"/>
        </w:rPr>
        <w:t>求进行签署、盖章。</w:t>
      </w:r>
      <w:r>
        <w:rPr>
          <w:rFonts w:hint="eastAsia" w:ascii="仿宋" w:hAnsi="仿宋" w:eastAsia="仿宋" w:cs="仿宋"/>
          <w:b/>
          <w:color w:val="auto"/>
        </w:rPr>
        <w:t>▲投标人的投标文件未按照招标文件要求签署、盖章的，其投标无效</w:t>
      </w:r>
      <w:r>
        <w:rPr>
          <w:rFonts w:hint="eastAsia" w:ascii="仿宋" w:hAnsi="仿宋" w:eastAsia="仿宋" w:cs="仿宋"/>
          <w:color w:val="auto"/>
          <w:szCs w:val="24"/>
        </w:rPr>
        <w:t>。</w:t>
      </w:r>
    </w:p>
    <w:p>
      <w:pPr>
        <w:pStyle w:val="130"/>
        <w:snapToGrid w:val="0"/>
        <w:spacing w:before="0"/>
        <w:ind w:firstLine="480"/>
        <w:rPr>
          <w:rFonts w:hint="eastAsia" w:ascii="仿宋" w:hAnsi="仿宋" w:eastAsia="仿宋" w:cs="仿宋"/>
          <w:color w:val="auto"/>
        </w:rPr>
      </w:pPr>
      <w:r>
        <w:rPr>
          <w:rFonts w:hint="eastAsia" w:ascii="仿宋" w:hAnsi="仿宋" w:eastAsia="仿宋" w:cs="仿宋"/>
          <w:color w:val="auto"/>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hint="eastAsia" w:ascii="仿宋" w:hAnsi="仿宋" w:eastAsia="仿宋" w:cs="仿宋"/>
          <w:color w:val="auto"/>
          <w:szCs w:val="24"/>
        </w:rPr>
      </w:pPr>
      <w:r>
        <w:rPr>
          <w:rFonts w:hint="eastAsia" w:ascii="仿宋" w:hAnsi="仿宋" w:eastAsia="仿宋" w:cs="仿宋"/>
          <w:color w:val="auto"/>
        </w:rPr>
        <w:t>13.3招标文件对投标文件签署、盖章的要求适用于电子签名。</w:t>
      </w:r>
    </w:p>
    <w:p>
      <w:pPr>
        <w:pStyle w:val="130"/>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14. 投标文件的提交、补充、修改、撤回</w:t>
      </w:r>
    </w:p>
    <w:p>
      <w:pPr>
        <w:pStyle w:val="130"/>
        <w:ind w:firstLine="480"/>
        <w:rPr>
          <w:rFonts w:hint="eastAsia" w:ascii="仿宋" w:hAnsi="仿宋" w:eastAsia="仿宋" w:cs="仿宋"/>
          <w:color w:val="auto"/>
          <w:szCs w:val="24"/>
        </w:rPr>
      </w:pPr>
      <w:r>
        <w:rPr>
          <w:rFonts w:hint="eastAsia" w:ascii="仿宋" w:hAnsi="仿宋" w:eastAsia="仿宋" w:cs="仿宋"/>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hint="eastAsia" w:ascii="仿宋" w:hAnsi="仿宋" w:eastAsia="仿宋" w:cs="仿宋"/>
          <w:color w:val="auto"/>
          <w:szCs w:val="24"/>
        </w:rPr>
      </w:pPr>
      <w:r>
        <w:rPr>
          <w:rFonts w:hint="eastAsia" w:ascii="仿宋" w:hAnsi="仿宋" w:eastAsia="仿宋" w:cs="仿宋"/>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hint="eastAsia" w:ascii="仿宋" w:hAnsi="仿宋" w:eastAsia="仿宋" w:cs="仿宋"/>
          <w:color w:val="auto"/>
          <w:szCs w:val="24"/>
        </w:rPr>
      </w:pPr>
      <w:r>
        <w:rPr>
          <w:rFonts w:hint="eastAsia" w:ascii="仿宋" w:hAnsi="仿宋" w:eastAsia="仿宋" w:cs="仿宋"/>
          <w:color w:val="auto"/>
          <w:szCs w:val="24"/>
        </w:rPr>
        <w:t>14.3采购人、采购机构可以视情况延长投标文件提交的截止时间。在上述情况下，采购机构与投标人以前在投标截止期方面的全部权利、责任和义务，将适用于延长至新的投标截止期。</w:t>
      </w:r>
    </w:p>
    <w:p>
      <w:pPr>
        <w:pStyle w:val="36"/>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15.备份投标文件</w:t>
      </w:r>
    </w:p>
    <w:p>
      <w:pPr>
        <w:pStyle w:val="36"/>
        <w:spacing w:line="360" w:lineRule="auto"/>
        <w:ind w:firstLine="360" w:firstLineChars="150"/>
        <w:rPr>
          <w:rFonts w:hint="eastAsia" w:ascii="仿宋" w:hAnsi="仿宋" w:eastAsia="仿宋" w:cs="仿宋"/>
          <w:b/>
          <w:color w:val="auto"/>
          <w:sz w:val="24"/>
          <w:szCs w:val="24"/>
        </w:rPr>
      </w:pPr>
      <w:r>
        <w:rPr>
          <w:rFonts w:hint="eastAsia" w:ascii="仿宋" w:hAnsi="仿宋" w:eastAsia="仿宋" w:cs="仿宋"/>
          <w:color w:val="auto"/>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rPr>
        <w:t>但采购人、采购机构不强制或变相强制投标人提交备份投标文件。</w:t>
      </w:r>
    </w:p>
    <w:p>
      <w:pPr>
        <w:pStyle w:val="36"/>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15.2备份投标文件须在“政采云投标客户端”制作生成，并储存在</w:t>
      </w:r>
      <w:r>
        <w:rPr>
          <w:rFonts w:hint="eastAsia" w:ascii="仿宋" w:hAnsi="仿宋" w:eastAsia="仿宋" w:cs="仿宋"/>
          <w:color w:val="auto"/>
          <w:sz w:val="24"/>
        </w:rPr>
        <w:t>U盘</w:t>
      </w:r>
      <w:r>
        <w:rPr>
          <w:rFonts w:hint="eastAsia" w:ascii="仿宋" w:hAnsi="仿宋" w:eastAsia="仿宋" w:cs="仿宋"/>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color w:val="auto"/>
          <w:sz w:val="24"/>
        </w:rPr>
        <w:t>▲</w:t>
      </w:r>
      <w:r>
        <w:rPr>
          <w:rFonts w:hint="eastAsia" w:ascii="仿宋" w:hAnsi="仿宋" w:eastAsia="仿宋" w:cs="仿宋"/>
          <w:b/>
          <w:color w:val="auto"/>
          <w:sz w:val="24"/>
        </w:rPr>
        <w:t>不符合上述制作、</w:t>
      </w:r>
      <w:r>
        <w:rPr>
          <w:rFonts w:hint="eastAsia" w:ascii="仿宋" w:hAnsi="仿宋" w:eastAsia="仿宋" w:cs="仿宋"/>
          <w:b/>
          <w:color w:val="auto"/>
          <w:sz w:val="24"/>
          <w:szCs w:val="24"/>
        </w:rPr>
        <w:t>存储、密封规定的备份投标文件将被视为无效或者被拒绝接收。</w:t>
      </w:r>
    </w:p>
    <w:p>
      <w:pPr>
        <w:pStyle w:val="36"/>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15.3直接提交备份投标文件的，投标人应于投标截止时间前在招标公告中载明的开标地点将备份投标文件提交给采购机构，采购机构将拒绝接受逾期送达的备份投标文件。</w:t>
      </w:r>
    </w:p>
    <w:p>
      <w:pPr>
        <w:pStyle w:val="36"/>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rPr>
        <w:t>招标文件第二部分投标人须知前附表规定的备份投标文件送达地点；</w:t>
      </w:r>
      <w:r>
        <w:rPr>
          <w:rFonts w:hint="eastAsia" w:ascii="仿宋" w:hAnsi="仿宋" w:eastAsia="仿宋" w:cs="仿宋"/>
          <w:color w:val="auto"/>
          <w:sz w:val="24"/>
          <w:szCs w:val="24"/>
        </w:rPr>
        <w:t>送达时间以签收人签收时间为准。采购机构将拒绝接受逾期送达的备份投标文件。邮寄过程中，电子备份投标文件发生泄露、遗失、损坏或延期送达等情况的，由投标人自行负责。</w:t>
      </w:r>
    </w:p>
    <w:p>
      <w:pPr>
        <w:pStyle w:val="36"/>
        <w:spacing w:line="360" w:lineRule="auto"/>
        <w:rPr>
          <w:rFonts w:hint="eastAsia" w:ascii="仿宋" w:hAnsi="仿宋" w:eastAsia="仿宋" w:cs="仿宋"/>
          <w:b/>
          <w:color w:val="auto"/>
          <w:sz w:val="24"/>
          <w:szCs w:val="24"/>
        </w:rPr>
      </w:pPr>
      <w:r>
        <w:rPr>
          <w:rFonts w:hint="eastAsia" w:ascii="仿宋" w:hAnsi="仿宋" w:eastAsia="仿宋" w:cs="仿宋"/>
          <w:color w:val="auto"/>
          <w:sz w:val="24"/>
        </w:rPr>
        <w:t>▲</w:t>
      </w:r>
      <w:r>
        <w:rPr>
          <w:rFonts w:hint="eastAsia" w:ascii="仿宋" w:hAnsi="仿宋" w:eastAsia="仿宋" w:cs="仿宋"/>
          <w:b/>
          <w:color w:val="auto"/>
          <w:sz w:val="24"/>
          <w:szCs w:val="24"/>
        </w:rPr>
        <w:t>15.5投标人仅提交备份投标文件，没有在电子交易平台传输递交投标文件的，投标无效。</w:t>
      </w:r>
    </w:p>
    <w:p>
      <w:pPr>
        <w:pStyle w:val="130"/>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16.投标文件的无效处理</w:t>
      </w:r>
    </w:p>
    <w:p>
      <w:pPr>
        <w:pStyle w:val="3"/>
        <w:spacing w:line="360" w:lineRule="auto"/>
        <w:ind w:firstLine="360" w:firstLineChars="150"/>
        <w:rPr>
          <w:rFonts w:hint="eastAsia" w:ascii="仿宋" w:hAnsi="仿宋" w:eastAsia="仿宋" w:cs="仿宋"/>
          <w:color w:val="auto"/>
          <w:szCs w:val="21"/>
        </w:rPr>
      </w:pPr>
      <w:r>
        <w:rPr>
          <w:rFonts w:hint="eastAsia" w:ascii="仿宋" w:hAnsi="仿宋" w:eastAsia="仿宋" w:cs="仿宋"/>
          <w:color w:val="auto"/>
          <w:szCs w:val="21"/>
        </w:rPr>
        <w:t>有招标文件第四部分</w:t>
      </w:r>
      <w:r>
        <w:rPr>
          <w:rFonts w:hint="eastAsia" w:ascii="仿宋" w:hAnsi="仿宋" w:eastAsia="仿宋" w:cs="仿宋"/>
          <w:color w:val="auto"/>
        </w:rPr>
        <w:t>第13项规定</w:t>
      </w:r>
      <w:r>
        <w:rPr>
          <w:rFonts w:hint="eastAsia" w:ascii="仿宋" w:hAnsi="仿宋" w:eastAsia="仿宋" w:cs="仿宋"/>
          <w:color w:val="auto"/>
          <w:szCs w:val="21"/>
        </w:rPr>
        <w:t>的情形之一的，投标无效：</w:t>
      </w:r>
    </w:p>
    <w:p>
      <w:pPr>
        <w:pStyle w:val="130"/>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17.投标有效期</w:t>
      </w:r>
    </w:p>
    <w:p>
      <w:pPr>
        <w:spacing w:line="360" w:lineRule="auto"/>
        <w:ind w:firstLine="480" w:firstLineChars="200"/>
        <w:rPr>
          <w:rFonts w:hint="eastAsia" w:ascii="仿宋" w:hAnsi="仿宋" w:eastAsia="仿宋" w:cs="仿宋"/>
          <w:b/>
          <w:color w:val="auto"/>
          <w:sz w:val="24"/>
          <w:szCs w:val="21"/>
        </w:rPr>
      </w:pPr>
      <w:r>
        <w:rPr>
          <w:rFonts w:hint="eastAsia" w:ascii="仿宋" w:hAnsi="仿宋" w:eastAsia="仿宋" w:cs="仿宋"/>
          <w:color w:val="auto"/>
          <w:sz w:val="24"/>
          <w:szCs w:val="20"/>
        </w:rPr>
        <w:t>17.1投标有效期为从提交投标文件的截止之日起90天。▲</w:t>
      </w:r>
      <w:r>
        <w:rPr>
          <w:rFonts w:hint="eastAsia" w:ascii="仿宋" w:hAnsi="仿宋" w:eastAsia="仿宋" w:cs="仿宋"/>
          <w:b/>
          <w:color w:val="auto"/>
          <w:sz w:val="24"/>
          <w:szCs w:val="20"/>
        </w:rPr>
        <w:t>投标人的投标文件中承</w:t>
      </w:r>
      <w:r>
        <w:rPr>
          <w:rFonts w:hint="eastAsia" w:ascii="仿宋" w:hAnsi="仿宋" w:eastAsia="仿宋" w:cs="仿宋"/>
          <w:b/>
          <w:color w:val="auto"/>
          <w:sz w:val="24"/>
          <w:szCs w:val="21"/>
        </w:rPr>
        <w:t>诺的投标有效期少于招标文件中载明的投标有效期的，投标无效。</w:t>
      </w:r>
    </w:p>
    <w:p>
      <w:pPr>
        <w:pStyle w:val="130"/>
        <w:spacing w:before="0"/>
        <w:ind w:firstLine="480"/>
        <w:rPr>
          <w:rFonts w:hint="eastAsia" w:ascii="仿宋" w:hAnsi="仿宋" w:eastAsia="仿宋" w:cs="仿宋"/>
          <w:color w:val="auto"/>
        </w:rPr>
      </w:pPr>
      <w:r>
        <w:rPr>
          <w:rFonts w:hint="eastAsia" w:ascii="仿宋" w:hAnsi="仿宋" w:eastAsia="仿宋" w:cs="仿宋"/>
          <w:color w:val="auto"/>
        </w:rPr>
        <w:t>17.2投标文件合格投递后，自投标截止日期起，在投标有效期内有效。</w:t>
      </w:r>
    </w:p>
    <w:p>
      <w:pPr>
        <w:pStyle w:val="130"/>
        <w:spacing w:before="0"/>
        <w:ind w:firstLine="480"/>
        <w:rPr>
          <w:rFonts w:hint="eastAsia" w:ascii="仿宋" w:hAnsi="仿宋" w:eastAsia="仿宋" w:cs="仿宋"/>
          <w:color w:val="auto"/>
        </w:rPr>
      </w:pPr>
      <w:r>
        <w:rPr>
          <w:rFonts w:hint="eastAsia" w:ascii="仿宋" w:hAnsi="仿宋" w:eastAsia="仿宋" w:cs="仿宋"/>
          <w:color w:val="auto"/>
        </w:rPr>
        <w:t>17.3在原定投标有效期满之前，如果出现特殊情况，采购机构可以以书面形式通知投标人延长投标有效期。投标人同意延长的，不得要求或被允许修改其投标文件，投标人拒绝延长的，其投标无效。</w:t>
      </w:r>
    </w:p>
    <w:p>
      <w:pPr>
        <w:pStyle w:val="130"/>
        <w:spacing w:before="0"/>
        <w:ind w:firstLine="1928" w:firstLineChars="600"/>
        <w:rPr>
          <w:rFonts w:hint="eastAsia" w:ascii="仿宋" w:hAnsi="仿宋" w:eastAsia="仿宋" w:cs="仿宋"/>
          <w:b/>
          <w:color w:val="auto"/>
          <w:sz w:val="32"/>
        </w:rPr>
      </w:pPr>
    </w:p>
    <w:p>
      <w:pPr>
        <w:pStyle w:val="130"/>
        <w:spacing w:before="0"/>
        <w:ind w:firstLine="1928" w:firstLineChars="600"/>
        <w:rPr>
          <w:rFonts w:hint="eastAsia" w:ascii="仿宋" w:hAnsi="仿宋" w:eastAsia="仿宋" w:cs="仿宋"/>
          <w:b/>
          <w:color w:val="auto"/>
          <w:sz w:val="32"/>
        </w:rPr>
      </w:pPr>
      <w:r>
        <w:rPr>
          <w:rFonts w:hint="eastAsia" w:ascii="仿宋" w:hAnsi="仿宋" w:eastAsia="仿宋" w:cs="仿宋"/>
          <w:b/>
          <w:color w:val="auto"/>
          <w:sz w:val="32"/>
        </w:rPr>
        <w:t>四、开标、资格审查与信用信息查询</w:t>
      </w:r>
    </w:p>
    <w:p>
      <w:pPr>
        <w:pStyle w:val="556"/>
        <w:spacing w:before="0" w:line="360" w:lineRule="auto"/>
        <w:ind w:left="0" w:firstLine="241" w:firstLineChars="100"/>
        <w:contextualSpacing/>
        <w:rPr>
          <w:rFonts w:hint="eastAsia" w:ascii="仿宋" w:hAnsi="仿宋" w:eastAsia="仿宋" w:cs="仿宋"/>
          <w:color w:val="auto"/>
          <w:sz w:val="24"/>
        </w:rPr>
      </w:pPr>
      <w:r>
        <w:rPr>
          <w:rFonts w:hint="eastAsia" w:ascii="仿宋" w:hAnsi="仿宋" w:eastAsia="仿宋" w:cs="仿宋"/>
          <w:b/>
          <w:color w:val="auto"/>
          <w:sz w:val="24"/>
          <w:szCs w:val="24"/>
        </w:rPr>
        <w:t>18.开标</w:t>
      </w:r>
      <w:r>
        <w:rPr>
          <w:rFonts w:hint="eastAsia" w:ascii="仿宋" w:hAnsi="仿宋" w:eastAsia="仿宋" w:cs="仿宋"/>
          <w:color w:val="auto"/>
          <w:sz w:val="24"/>
        </w:rPr>
        <w:t xml:space="preserve"> </w:t>
      </w:r>
    </w:p>
    <w:p>
      <w:pPr>
        <w:pStyle w:val="556"/>
        <w:spacing w:before="0" w:line="360" w:lineRule="auto"/>
        <w:ind w:left="0"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18.1采购机构按照招标文件规定的时间通过电子交易平台组织开标，所有投标人均应当准时在线参加。投标人不足3家的，不得开标。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hint="eastAsia" w:ascii="仿宋" w:hAnsi="仿宋" w:eastAsia="仿宋" w:cs="仿宋"/>
          <w:color w:val="auto"/>
          <w:sz w:val="24"/>
        </w:rPr>
      </w:pPr>
      <w:r>
        <w:rPr>
          <w:rFonts w:hint="eastAsia" w:ascii="仿宋" w:hAnsi="仿宋" w:eastAsia="仿宋" w:cs="仿宋"/>
          <w:color w:val="auto"/>
          <w:sz w:val="24"/>
        </w:rPr>
        <w:t>　18.2开标时，电子交易平台按开标时间自动提取所有投标文件。采购机构依托电子交易平台发起开始解密指令，投标人按照平台提示和招标文件的规定在半小时内完成在线解密。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hint="eastAsia" w:ascii="仿宋" w:hAnsi="仿宋" w:eastAsia="仿宋" w:cs="仿宋"/>
          <w:b/>
          <w:color w:val="auto"/>
          <w:sz w:val="24"/>
        </w:rPr>
      </w:pPr>
      <w:r>
        <w:rPr>
          <w:rFonts w:hint="eastAsia" w:ascii="仿宋" w:hAnsi="仿宋" w:eastAsia="仿宋" w:cs="仿宋"/>
          <w:color w:val="auto"/>
          <w:sz w:val="24"/>
        </w:rPr>
        <w:t>　18.3</w:t>
      </w:r>
      <w:r>
        <w:rPr>
          <w:rFonts w:hint="eastAsia" w:ascii="仿宋" w:hAnsi="仿宋" w:eastAsia="仿宋" w:cs="仿宋"/>
          <w:b/>
          <w:color w:val="auto"/>
          <w:sz w:val="24"/>
        </w:rPr>
        <w:t>投标文件未按时解密，投标人提供了备份投标文件的，以备份投标文件作为依据，否则视为投标文件撤回。投标文件已按时解密的，备份投标文件自动失效。</w:t>
      </w:r>
    </w:p>
    <w:p>
      <w:pPr>
        <w:pStyle w:val="130"/>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　19.资格审查</w:t>
      </w:r>
    </w:p>
    <w:p>
      <w:pPr>
        <w:pStyle w:val="130"/>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19.1开标后，采购人或采购机构将依法对投标人的资格进行审查。</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19.2</w:t>
      </w:r>
      <w:r>
        <w:rPr>
          <w:rFonts w:hint="eastAsia" w:ascii="仿宋" w:hAnsi="仿宋" w:eastAsia="仿宋" w:cs="仿宋"/>
          <w:color w:val="auto"/>
          <w:sz w:val="24"/>
        </w:rPr>
        <w:t>采购人或采购机构依据法律法规和招标文件的规定，对投标人的基本资格条件、特定资格条件进行审查。</w:t>
      </w:r>
    </w:p>
    <w:p>
      <w:pPr>
        <w:pStyle w:val="130"/>
        <w:spacing w:before="0"/>
        <w:ind w:firstLine="480"/>
        <w:rPr>
          <w:rFonts w:hint="eastAsia" w:ascii="仿宋" w:hAnsi="仿宋" w:eastAsia="仿宋" w:cs="仿宋"/>
          <w:color w:val="auto"/>
        </w:rPr>
      </w:pPr>
      <w:r>
        <w:rPr>
          <w:rFonts w:hint="eastAsia" w:ascii="仿宋" w:hAnsi="仿宋" w:eastAsia="仿宋" w:cs="仿宋"/>
          <w:color w:val="auto"/>
          <w:kern w:val="0"/>
          <w:szCs w:val="24"/>
        </w:rPr>
        <w:t>19.3投标人未按照招标文件要求提供与</w:t>
      </w:r>
      <w:r>
        <w:rPr>
          <w:rFonts w:hint="eastAsia" w:ascii="仿宋" w:hAnsi="仿宋" w:eastAsia="仿宋" w:cs="仿宋"/>
          <w:color w:val="auto"/>
        </w:rPr>
        <w:t>基本资格条件、特定资格条件相应的</w:t>
      </w:r>
      <w:r>
        <w:rPr>
          <w:rFonts w:hint="eastAsia" w:ascii="仿宋" w:hAnsi="仿宋" w:eastAsia="仿宋" w:cs="仿宋"/>
          <w:color w:val="auto"/>
          <w:kern w:val="0"/>
          <w:szCs w:val="24"/>
        </w:rPr>
        <w:t>有效资格证明材料的，视为</w:t>
      </w:r>
      <w:r>
        <w:rPr>
          <w:rFonts w:hint="eastAsia" w:ascii="仿宋" w:hAnsi="仿宋" w:eastAsia="仿宋" w:cs="仿宋"/>
          <w:color w:val="auto"/>
        </w:rPr>
        <w:t>投标人不具备招标文件中规定的资格要求，其投标无效。</w:t>
      </w:r>
    </w:p>
    <w:p>
      <w:pPr>
        <w:pStyle w:val="130"/>
        <w:spacing w:before="0"/>
        <w:ind w:firstLine="480"/>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4对未通过资格审查的投标人，采购人或采购机构告知其未通过的原因。</w:t>
      </w:r>
    </w:p>
    <w:p>
      <w:pPr>
        <w:pStyle w:val="130"/>
        <w:spacing w:before="0"/>
        <w:ind w:firstLine="480"/>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5合格投标人不足3家的，不再评标。</w:t>
      </w:r>
    </w:p>
    <w:p>
      <w:pPr>
        <w:pStyle w:val="130"/>
        <w:spacing w:before="0"/>
        <w:ind w:firstLine="241" w:firstLineChars="100"/>
        <w:rPr>
          <w:rFonts w:hint="eastAsia" w:ascii="仿宋" w:hAnsi="仿宋" w:eastAsia="仿宋" w:cs="仿宋"/>
          <w:b/>
          <w:color w:val="auto"/>
          <w:szCs w:val="24"/>
        </w:rPr>
      </w:pPr>
      <w:r>
        <w:rPr>
          <w:rFonts w:hint="eastAsia" w:ascii="仿宋" w:hAnsi="仿宋" w:eastAsia="仿宋" w:cs="仿宋"/>
          <w:b/>
          <w:color w:val="auto"/>
          <w:szCs w:val="24"/>
        </w:rPr>
        <w:t>20.信用信息查询</w:t>
      </w:r>
    </w:p>
    <w:p>
      <w:pPr>
        <w:pStyle w:val="130"/>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20.1信用信息查询渠道及截止时间：采购机构将通过“信用中国”网站(www.creditchina.gov.cn)、中国政府采购网(www.ccgp.gov.cn)渠道查询投标人投标截止时间当天的信用记录。</w:t>
      </w:r>
    </w:p>
    <w:p>
      <w:pPr>
        <w:pStyle w:val="130"/>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20.2信用信息查询记录和证据留存的具体方式：现场查询的投标人的信用记录、查询结果经确认后将与采购文件一起存档。</w:t>
      </w:r>
    </w:p>
    <w:p>
      <w:pPr>
        <w:pStyle w:val="130"/>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hint="eastAsia" w:ascii="仿宋" w:hAnsi="仿宋" w:eastAsia="仿宋" w:cs="仿宋"/>
          <w:color w:val="auto"/>
        </w:rPr>
      </w:pPr>
      <w:r>
        <w:rPr>
          <w:rFonts w:hint="eastAsia" w:ascii="仿宋" w:hAnsi="仿宋" w:eastAsia="仿宋" w:cs="仿宋"/>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rPr>
        <w:t>。</w:t>
      </w:r>
    </w:p>
    <w:p>
      <w:pPr>
        <w:pStyle w:val="130"/>
        <w:spacing w:before="0"/>
        <w:ind w:firstLine="0" w:firstLineChars="0"/>
        <w:rPr>
          <w:rFonts w:hint="eastAsia" w:ascii="仿宋" w:hAnsi="仿宋" w:eastAsia="仿宋" w:cs="仿宋"/>
          <w:color w:val="auto"/>
          <w:kern w:val="0"/>
          <w:szCs w:val="24"/>
        </w:rPr>
      </w:pPr>
    </w:p>
    <w:p>
      <w:pPr>
        <w:snapToGrid w:val="0"/>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五、评标</w:t>
      </w:r>
    </w:p>
    <w:p>
      <w:pPr>
        <w:spacing w:line="360" w:lineRule="auto"/>
        <w:rPr>
          <w:rFonts w:hint="eastAsia" w:ascii="仿宋" w:hAnsi="仿宋" w:eastAsia="仿宋" w:cs="仿宋"/>
          <w:color w:val="auto"/>
          <w:sz w:val="24"/>
        </w:rPr>
      </w:pPr>
      <w:bookmarkStart w:id="15" w:name="_Toc91899903"/>
      <w:r>
        <w:rPr>
          <w:rFonts w:hint="eastAsia" w:ascii="仿宋" w:hAnsi="仿宋" w:eastAsia="仿宋" w:cs="仿宋"/>
          <w:b/>
          <w:color w:val="auto"/>
          <w:sz w:val="24"/>
        </w:rPr>
        <w:t>21.</w:t>
      </w:r>
      <w:r>
        <w:rPr>
          <w:rFonts w:hint="eastAsia" w:ascii="仿宋" w:hAnsi="仿宋" w:eastAsia="仿宋" w:cs="仿宋"/>
          <w:color w:val="auto"/>
        </w:rPr>
        <w:t xml:space="preserve"> </w:t>
      </w:r>
      <w:r>
        <w:rPr>
          <w:rFonts w:hint="eastAsia" w:ascii="仿宋" w:hAnsi="仿宋" w:eastAsia="仿宋" w:cs="仿宋"/>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得分高低推荐中标单位。</w:t>
      </w:r>
    </w:p>
    <w:p>
      <w:pPr>
        <w:spacing w:line="360" w:lineRule="auto"/>
        <w:rPr>
          <w:rFonts w:hint="eastAsia" w:ascii="仿宋" w:hAnsi="仿宋" w:eastAsia="仿宋" w:cs="仿宋"/>
          <w:b/>
          <w:color w:val="auto"/>
          <w:sz w:val="36"/>
          <w:szCs w:val="36"/>
        </w:rPr>
      </w:pPr>
      <w:r>
        <w:rPr>
          <w:rFonts w:hint="eastAsia" w:ascii="仿宋" w:hAnsi="仿宋" w:eastAsia="仿宋" w:cs="仿宋"/>
          <w:b/>
          <w:color w:val="auto"/>
          <w:sz w:val="24"/>
        </w:rPr>
        <w:t>详见招标文件第四部分评标办法。</w:t>
      </w:r>
    </w:p>
    <w:p>
      <w:pPr>
        <w:snapToGrid w:val="0"/>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六、定标</w:t>
      </w:r>
    </w:p>
    <w:p>
      <w:pPr>
        <w:pStyle w:val="3"/>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22. 确定中标供应商</w:t>
      </w:r>
    </w:p>
    <w:p>
      <w:pPr>
        <w:pStyle w:val="130"/>
        <w:snapToGrid w:val="0"/>
        <w:spacing w:before="0"/>
        <w:ind w:firstLine="480"/>
        <w:rPr>
          <w:rFonts w:hint="eastAsia" w:ascii="仿宋" w:hAnsi="仿宋" w:eastAsia="仿宋" w:cs="仿宋"/>
          <w:b/>
          <w:color w:val="auto"/>
          <w:szCs w:val="24"/>
        </w:rPr>
      </w:pPr>
      <w:r>
        <w:rPr>
          <w:rFonts w:hint="eastAsia" w:ascii="仿宋" w:hAnsi="仿宋" w:eastAsia="仿宋" w:cs="仿宋"/>
          <w:color w:val="auto"/>
          <w:szCs w:val="24"/>
        </w:rPr>
        <w:t>本项目由采购人事先授权评标委员会确定预中标人。</w:t>
      </w:r>
    </w:p>
    <w:p>
      <w:pPr>
        <w:pStyle w:val="130"/>
        <w:snapToGrid w:val="0"/>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23. 中标通知与中标结果公告</w:t>
      </w:r>
    </w:p>
    <w:p>
      <w:pPr>
        <w:pStyle w:val="130"/>
        <w:snapToGrid w:val="0"/>
        <w:spacing w:before="0"/>
        <w:ind w:firstLine="480"/>
        <w:rPr>
          <w:rFonts w:hint="eastAsia" w:ascii="仿宋" w:hAnsi="仿宋" w:eastAsia="仿宋" w:cs="仿宋"/>
          <w:color w:val="auto"/>
          <w:szCs w:val="24"/>
        </w:rPr>
      </w:pPr>
      <w:r>
        <w:rPr>
          <w:rFonts w:hint="eastAsia" w:ascii="仿宋" w:hAnsi="仿宋" w:eastAsia="仿宋" w:cs="仿宋"/>
          <w:color w:val="auto"/>
          <w:szCs w:val="24"/>
        </w:rPr>
        <w:t>23.1自中标人确定之日起2个工作日内，采购机构通过电子交易平台向中标人发出中标通知书，同时编制发布采购结果公告。采购机构也可以以纸质形式进行中标通知。</w:t>
      </w:r>
    </w:p>
    <w:p>
      <w:pPr>
        <w:pStyle w:val="130"/>
        <w:snapToGrid w:val="0"/>
        <w:spacing w:before="0"/>
        <w:ind w:firstLine="480"/>
        <w:rPr>
          <w:rFonts w:hint="eastAsia" w:ascii="仿宋" w:hAnsi="仿宋" w:eastAsia="仿宋" w:cs="仿宋"/>
          <w:color w:val="auto"/>
          <w:szCs w:val="24"/>
        </w:rPr>
      </w:pPr>
      <w:r>
        <w:rPr>
          <w:rFonts w:hint="eastAsia" w:ascii="仿宋" w:hAnsi="仿宋" w:eastAsia="仿宋" w:cs="仿宋"/>
          <w:color w:val="auto"/>
          <w:szCs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pStyle w:val="130"/>
        <w:snapToGrid w:val="0"/>
        <w:spacing w:before="0"/>
        <w:ind w:firstLine="480"/>
        <w:rPr>
          <w:rFonts w:hint="eastAsia" w:ascii="仿宋" w:hAnsi="仿宋" w:eastAsia="仿宋" w:cs="仿宋"/>
          <w:color w:val="auto"/>
          <w:szCs w:val="24"/>
        </w:rPr>
      </w:pPr>
      <w:r>
        <w:rPr>
          <w:rFonts w:hint="eastAsia" w:ascii="仿宋" w:hAnsi="仿宋" w:eastAsia="仿宋" w:cs="仿宋"/>
          <w:color w:val="auto"/>
          <w:szCs w:val="24"/>
        </w:rPr>
        <w:t>23.3公告期限为1个工作日。</w:t>
      </w:r>
    </w:p>
    <w:p>
      <w:pPr>
        <w:pStyle w:val="4"/>
        <w:ind w:firstLine="0"/>
        <w:rPr>
          <w:rFonts w:hint="eastAsia" w:ascii="仿宋" w:hAnsi="仿宋" w:eastAsia="仿宋" w:cs="仿宋"/>
          <w:color w:val="auto"/>
          <w:lang w:val="en-US"/>
        </w:rPr>
      </w:pPr>
    </w:p>
    <w:p>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七、合同授予</w:t>
      </w:r>
    </w:p>
    <w:p>
      <w:pPr>
        <w:pStyle w:val="3"/>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 xml:space="preserve">24. </w:t>
      </w:r>
      <w:r>
        <w:rPr>
          <w:rFonts w:hint="eastAsia" w:ascii="仿宋" w:hAnsi="仿宋" w:eastAsia="仿宋" w:cs="仿宋"/>
          <w:color w:val="auto"/>
        </w:rPr>
        <w:t>合同主要条款详见第五部分拟签订的合同文本。</w:t>
      </w:r>
    </w:p>
    <w:p>
      <w:pPr>
        <w:pStyle w:val="3"/>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25. 合同的签订</w:t>
      </w:r>
    </w:p>
    <w:p>
      <w:pPr>
        <w:widowControl/>
        <w:shd w:val="clear" w:color="auto" w:fill="FFFFFF"/>
        <w:spacing w:line="360" w:lineRule="auto"/>
        <w:ind w:firstLine="480"/>
        <w:jc w:val="left"/>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25.1 采购人与中标人应当通过电子交易平台在中标通知书发出之日起三十日内，按照招标文件确定的事项签订政府采购合同，并在合同签订之日起2个工作日内依法发布合同公告。</w:t>
      </w:r>
    </w:p>
    <w:p>
      <w:pPr>
        <w:pStyle w:val="130"/>
        <w:snapToGrid w:val="0"/>
        <w:spacing w:before="0"/>
        <w:ind w:firstLine="480"/>
        <w:rPr>
          <w:rFonts w:hint="eastAsia" w:ascii="仿宋" w:hAnsi="仿宋" w:eastAsia="仿宋" w:cs="仿宋"/>
          <w:color w:val="auto"/>
          <w:kern w:val="0"/>
        </w:rPr>
      </w:pPr>
      <w:r>
        <w:rPr>
          <w:rFonts w:hint="eastAsia" w:ascii="仿宋" w:hAnsi="仿宋" w:eastAsia="仿宋" w:cs="仿宋"/>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hint="eastAsia" w:ascii="仿宋" w:hAnsi="仿宋" w:eastAsia="仿宋" w:cs="仿宋"/>
          <w:color w:val="auto"/>
        </w:rPr>
      </w:pPr>
      <w:r>
        <w:rPr>
          <w:rFonts w:hint="eastAsia" w:ascii="仿宋" w:hAnsi="仿宋" w:eastAsia="仿宋" w:cs="仿宋"/>
          <w:color w:val="auto"/>
        </w:rPr>
        <w:t>25.3如签订合同并生效后，供应商无故拒绝或延期，除按照合同条款处理外，列入不良行为记录一次，并给予通报。</w:t>
      </w:r>
    </w:p>
    <w:p>
      <w:pPr>
        <w:pStyle w:val="130"/>
        <w:snapToGrid w:val="0"/>
        <w:spacing w:before="0"/>
        <w:ind w:firstLine="480"/>
        <w:rPr>
          <w:rFonts w:hint="eastAsia" w:ascii="仿宋" w:hAnsi="仿宋" w:eastAsia="仿宋" w:cs="仿宋"/>
          <w:color w:val="auto"/>
        </w:rPr>
      </w:pPr>
      <w:r>
        <w:rPr>
          <w:rFonts w:hint="eastAsia" w:ascii="仿宋" w:hAnsi="仿宋" w:eastAsia="仿宋" w:cs="仿宋"/>
          <w:color w:val="auto"/>
        </w:rPr>
        <w:t>25.4中标人拒绝与采购人签订合同的，采购人可以按照评审报告推荐的中标或者成交候选人名单排序，确定下一候选人为中标人，也可以重新开展政府采购活动。</w:t>
      </w:r>
    </w:p>
    <w:p>
      <w:pPr>
        <w:pStyle w:val="130"/>
        <w:snapToGrid w:val="0"/>
        <w:spacing w:before="0" w:after="120"/>
        <w:ind w:firstLine="480"/>
        <w:rPr>
          <w:rFonts w:hint="eastAsia" w:ascii="仿宋" w:hAnsi="仿宋" w:eastAsia="仿宋" w:cs="仿宋"/>
          <w:color w:val="auto"/>
        </w:rPr>
      </w:pPr>
      <w:r>
        <w:rPr>
          <w:rFonts w:hint="eastAsia" w:ascii="仿宋" w:hAnsi="仿宋" w:eastAsia="仿宋" w:cs="仿宋"/>
          <w:color w:val="auto"/>
        </w:rPr>
        <w:t>25.5采购合同由采购人与中标供应商根据招标文件、投标文件等内容通过政府采购电子交易平台在线签订，自动备案。</w:t>
      </w:r>
    </w:p>
    <w:p>
      <w:pPr>
        <w:pStyle w:val="3"/>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26. 履约保证金</w:t>
      </w:r>
    </w:p>
    <w:p>
      <w:pPr>
        <w:tabs>
          <w:tab w:val="left" w:pos="0"/>
        </w:tabs>
        <w:spacing w:line="360" w:lineRule="auto"/>
        <w:ind w:firstLine="482"/>
        <w:rPr>
          <w:rFonts w:hint="eastAsia" w:ascii="仿宋" w:hAnsi="仿宋" w:eastAsia="仿宋" w:cs="仿宋"/>
          <w:b/>
          <w:color w:val="auto"/>
          <w:sz w:val="24"/>
        </w:rPr>
      </w:pPr>
      <w:r>
        <w:rPr>
          <w:rFonts w:hint="eastAsia" w:ascii="仿宋" w:hAnsi="仿宋" w:eastAsia="仿宋" w:cs="仿宋"/>
          <w:color w:val="auto"/>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rPr>
        <w:t>。履约保证金的数额不得超过政府采购合同金额的1%。鼓励和支持供应商以银行、保险公司出具的保函形式提供履约保证金。</w:t>
      </w:r>
      <w:r>
        <w:rPr>
          <w:rFonts w:hint="eastAsia" w:ascii="仿宋" w:hAnsi="仿宋" w:eastAsia="仿宋" w:cs="仿宋"/>
          <w:b/>
          <w:color w:val="auto"/>
          <w:sz w:val="24"/>
        </w:rPr>
        <w:t>采购人不得拒收履约保函。</w:t>
      </w:r>
    </w:p>
    <w:p>
      <w:pPr>
        <w:tabs>
          <w:tab w:val="left" w:pos="0"/>
        </w:tabs>
        <w:spacing w:line="360" w:lineRule="auto"/>
        <w:ind w:firstLine="482"/>
        <w:rPr>
          <w:rFonts w:hint="eastAsia" w:ascii="仿宋" w:hAnsi="仿宋" w:eastAsia="仿宋" w:cs="仿宋"/>
          <w:color w:val="auto"/>
          <w:sz w:val="24"/>
          <w:szCs w:val="20"/>
        </w:rPr>
      </w:pPr>
      <w:r>
        <w:rPr>
          <w:rFonts w:hint="eastAsia" w:ascii="仿宋" w:hAnsi="仿宋" w:eastAsia="仿宋" w:cs="仿宋"/>
          <w:color w:val="auto"/>
          <w:sz w:val="24"/>
          <w:szCs w:val="20"/>
        </w:rPr>
        <w:t>政府采购货物和服务项目中，采购人可根据杭州市政府采购网公布的供应商履约评价情况减免履约保证金。供应商履约验收评价总分为100分的，采购人应当免收履约保证金；评价总分在90分以上的，收取履约保证金不得高于合同金额0.5%；评价总分在90分以下或者暂无评分的，收取履约保证金不得高于合同金额1%。</w:t>
      </w:r>
    </w:p>
    <w:p>
      <w:pPr>
        <w:tabs>
          <w:tab w:val="left" w:pos="0"/>
        </w:tabs>
        <w:spacing w:line="360" w:lineRule="auto"/>
        <w:ind w:firstLine="482"/>
        <w:rPr>
          <w:rFonts w:hint="eastAsia" w:ascii="仿宋" w:hAnsi="仿宋" w:eastAsia="仿宋" w:cs="仿宋"/>
          <w:color w:val="auto"/>
          <w:sz w:val="24"/>
          <w:szCs w:val="20"/>
        </w:rPr>
      </w:pPr>
      <w:r>
        <w:rPr>
          <w:rFonts w:hint="eastAsia" w:ascii="仿宋" w:hAnsi="仿宋" w:eastAsia="仿宋" w:cs="仿宋"/>
          <w:b/>
          <w:bCs/>
          <w:snapToGrid w:val="0"/>
          <w:color w:val="auto"/>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color w:val="auto"/>
          <w:sz w:val="24"/>
        </w:rPr>
      </w:pPr>
      <w:r>
        <w:rPr>
          <w:rFonts w:hint="eastAsia" w:ascii="仿宋" w:hAnsi="仿宋" w:eastAsia="仿宋" w:cs="仿宋"/>
          <w:b/>
          <w:color w:val="auto"/>
          <w:sz w:val="32"/>
        </w:rPr>
        <w:t>八、电子交易活动的中止</w:t>
      </w:r>
    </w:p>
    <w:p>
      <w:pPr>
        <w:pStyle w:val="130"/>
        <w:snapToGrid w:val="0"/>
        <w:spacing w:before="0"/>
        <w:ind w:firstLine="0" w:firstLineChars="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b/>
          <w:color w:val="auto"/>
          <w:szCs w:val="24"/>
        </w:rPr>
        <w:t>7. 电子交易活动的中止。</w:t>
      </w:r>
      <w:r>
        <w:rPr>
          <w:rFonts w:hint="eastAsia" w:ascii="仿宋" w:hAnsi="仿宋" w:eastAsia="仿宋" w:cs="仿宋"/>
          <w:color w:val="auto"/>
        </w:rPr>
        <w:t>采购过程中出现以下情形，导致电子交易平台无法正常运行，或者无法保证电子交易的公平、公正和安全时，采购机构可中止电子交易活动：</w:t>
      </w:r>
    </w:p>
    <w:p>
      <w:pPr>
        <w:pStyle w:val="130"/>
        <w:snapToGrid w:val="0"/>
        <w:spacing w:before="0"/>
        <w:ind w:firstLine="480"/>
        <w:rPr>
          <w:rFonts w:hint="eastAsia" w:ascii="仿宋" w:hAnsi="仿宋" w:eastAsia="仿宋" w:cs="仿宋"/>
          <w:color w:val="auto"/>
        </w:rPr>
      </w:pPr>
      <w:r>
        <w:rPr>
          <w:rFonts w:hint="eastAsia" w:ascii="仿宋" w:hAnsi="仿宋" w:eastAsia="仿宋" w:cs="仿宋"/>
          <w:color w:val="auto"/>
        </w:rPr>
        <w:t xml:space="preserve">27.1电子交易平台发生故障而无法登录访问的； </w:t>
      </w:r>
    </w:p>
    <w:p>
      <w:pPr>
        <w:pStyle w:val="130"/>
        <w:snapToGrid w:val="0"/>
        <w:spacing w:before="0"/>
        <w:ind w:firstLine="480"/>
        <w:rPr>
          <w:rFonts w:hint="eastAsia" w:ascii="仿宋" w:hAnsi="仿宋" w:eastAsia="仿宋" w:cs="仿宋"/>
          <w:color w:val="auto"/>
        </w:rPr>
      </w:pPr>
      <w:r>
        <w:rPr>
          <w:rFonts w:hint="eastAsia" w:ascii="仿宋" w:hAnsi="仿宋" w:eastAsia="仿宋" w:cs="仿宋"/>
          <w:color w:val="auto"/>
        </w:rPr>
        <w:t>27.2电子交易平台应用或数据库出现错误，不能进行正常操作的；</w:t>
      </w:r>
    </w:p>
    <w:p>
      <w:pPr>
        <w:pStyle w:val="130"/>
        <w:snapToGrid w:val="0"/>
        <w:spacing w:before="0"/>
        <w:ind w:firstLine="480"/>
        <w:rPr>
          <w:rFonts w:hint="eastAsia" w:ascii="仿宋" w:hAnsi="仿宋" w:eastAsia="仿宋" w:cs="仿宋"/>
          <w:color w:val="auto"/>
        </w:rPr>
      </w:pPr>
      <w:r>
        <w:rPr>
          <w:rFonts w:hint="eastAsia" w:ascii="仿宋" w:hAnsi="仿宋" w:eastAsia="仿宋" w:cs="仿宋"/>
          <w:color w:val="auto"/>
        </w:rPr>
        <w:t>27.3电子交易平台发现严重安全漏洞，有潜在泄密危险的；</w:t>
      </w:r>
    </w:p>
    <w:p>
      <w:pPr>
        <w:pStyle w:val="130"/>
        <w:snapToGrid w:val="0"/>
        <w:spacing w:before="0"/>
        <w:ind w:firstLine="480"/>
        <w:rPr>
          <w:rFonts w:hint="eastAsia" w:ascii="仿宋" w:hAnsi="仿宋" w:eastAsia="仿宋" w:cs="仿宋"/>
          <w:color w:val="auto"/>
        </w:rPr>
      </w:pPr>
      <w:r>
        <w:rPr>
          <w:rFonts w:hint="eastAsia" w:ascii="仿宋" w:hAnsi="仿宋" w:eastAsia="仿宋" w:cs="仿宋"/>
          <w:color w:val="auto"/>
        </w:rPr>
        <w:t xml:space="preserve">27.4病毒发作导致不能进行正常操作的； </w:t>
      </w:r>
    </w:p>
    <w:p>
      <w:pPr>
        <w:pStyle w:val="130"/>
        <w:snapToGrid w:val="0"/>
        <w:spacing w:before="0"/>
        <w:ind w:firstLine="480"/>
        <w:rPr>
          <w:rFonts w:hint="eastAsia" w:ascii="仿宋" w:hAnsi="仿宋" w:eastAsia="仿宋" w:cs="仿宋"/>
          <w:color w:val="auto"/>
        </w:rPr>
      </w:pPr>
      <w:r>
        <w:rPr>
          <w:rFonts w:hint="eastAsia" w:ascii="仿宋" w:hAnsi="仿宋" w:eastAsia="仿宋" w:cs="仿宋"/>
          <w:color w:val="auto"/>
        </w:rPr>
        <w:t>27.5其他无法保证电子交易的公平、公正和安全的情况。</w:t>
      </w:r>
    </w:p>
    <w:p>
      <w:pPr>
        <w:pStyle w:val="130"/>
        <w:snapToGrid w:val="0"/>
        <w:spacing w:before="0"/>
        <w:ind w:firstLine="0" w:firstLineChars="0"/>
        <w:rPr>
          <w:rFonts w:hint="eastAsia" w:ascii="仿宋" w:hAnsi="仿宋" w:eastAsia="仿宋" w:cs="仿宋"/>
          <w:color w:val="auto"/>
        </w:rPr>
      </w:pPr>
      <w:r>
        <w:rPr>
          <w:rFonts w:hint="eastAsia" w:ascii="仿宋" w:hAnsi="仿宋" w:eastAsia="仿宋" w:cs="仿宋"/>
          <w:b/>
          <w:color w:val="auto"/>
        </w:rPr>
        <w:t xml:space="preserve"> 28.</w:t>
      </w:r>
      <w:r>
        <w:rPr>
          <w:rFonts w:hint="eastAsia" w:ascii="仿宋" w:hAnsi="仿宋" w:eastAsia="仿宋" w:cs="仿宋"/>
          <w:color w:val="auto"/>
        </w:rPr>
        <w:t>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九、验收</w:t>
      </w:r>
    </w:p>
    <w:p>
      <w:pPr>
        <w:pStyle w:val="3"/>
        <w:spacing w:line="360" w:lineRule="auto"/>
        <w:ind w:firstLine="0" w:firstLineChars="0"/>
        <w:rPr>
          <w:rFonts w:hint="eastAsia" w:ascii="仿宋" w:hAnsi="仿宋" w:eastAsia="仿宋" w:cs="仿宋"/>
          <w:b/>
          <w:color w:val="auto"/>
        </w:rPr>
      </w:pPr>
      <w:r>
        <w:rPr>
          <w:rFonts w:hint="eastAsia" w:ascii="仿宋" w:hAnsi="仿宋" w:eastAsia="仿宋" w:cs="仿宋"/>
          <w:b/>
          <w:color w:val="auto"/>
        </w:rPr>
        <w:t>29.验收</w:t>
      </w:r>
    </w:p>
    <w:p>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sz w:val="18"/>
          <w:szCs w:val="18"/>
        </w:rPr>
      </w:pPr>
      <w:r>
        <w:rPr>
          <w:rFonts w:hint="eastAsia" w:ascii="仿宋" w:hAnsi="仿宋" w:eastAsia="仿宋" w:cs="仿宋"/>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pPr>
        <w:tabs>
          <w:tab w:val="left" w:pos="0"/>
        </w:tabs>
        <w:spacing w:line="360" w:lineRule="auto"/>
        <w:ind w:firstLine="480"/>
        <w:rPr>
          <w:rFonts w:hint="eastAsia" w:ascii="仿宋" w:hAnsi="仿宋" w:eastAsia="仿宋" w:cs="仿宋"/>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6" w:name="_Hlt75236101"/>
      <w:bookmarkEnd w:id="16"/>
      <w:bookmarkStart w:id="17" w:name="_Hlt74730295"/>
      <w:bookmarkEnd w:id="17"/>
      <w:bookmarkStart w:id="18" w:name="_Hlt68072990"/>
      <w:bookmarkEnd w:id="18"/>
      <w:bookmarkStart w:id="19" w:name="_Hlt68403820"/>
      <w:bookmarkEnd w:id="19"/>
      <w:bookmarkStart w:id="20" w:name="_Hlt75236011"/>
      <w:bookmarkEnd w:id="20"/>
      <w:bookmarkStart w:id="21" w:name="_Hlt74729768"/>
      <w:bookmarkEnd w:id="21"/>
      <w:bookmarkStart w:id="22" w:name="_Hlt68072998"/>
      <w:bookmarkEnd w:id="22"/>
      <w:bookmarkStart w:id="23" w:name="_Hlt75236290"/>
      <w:bookmarkEnd w:id="23"/>
      <w:bookmarkStart w:id="24" w:name="_Hlt74707468"/>
      <w:bookmarkEnd w:id="24"/>
      <w:bookmarkStart w:id="25" w:name="_Hlt68073093"/>
      <w:bookmarkEnd w:id="25"/>
      <w:bookmarkStart w:id="26" w:name="_Hlt74714665"/>
      <w:bookmarkEnd w:id="26"/>
      <w:bookmarkStart w:id="27" w:name="_Hlt68057669"/>
      <w:bookmarkEnd w:id="27"/>
    </w:p>
    <w:p>
      <w:pPr>
        <w:numPr>
          <w:ilvl w:val="0"/>
          <w:numId w:val="1"/>
        </w:numPr>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 xml:space="preserve">  采购需求</w:t>
      </w:r>
    </w:p>
    <w:p>
      <w:pPr>
        <w:adjustRightInd/>
        <w:spacing w:line="276" w:lineRule="auto"/>
        <w:rPr>
          <w:rFonts w:hint="eastAsia" w:ascii="仿宋" w:hAnsi="仿宋" w:eastAsia="仿宋" w:cs="仿宋"/>
          <w:b/>
          <w:color w:val="auto"/>
          <w:sz w:val="24"/>
        </w:rPr>
      </w:pPr>
      <w:r>
        <w:rPr>
          <w:rFonts w:hint="eastAsia" w:ascii="仿宋" w:hAnsi="仿宋" w:eastAsia="仿宋" w:cs="仿宋"/>
          <w:b/>
          <w:color w:val="auto"/>
          <w:sz w:val="24"/>
        </w:rPr>
        <w:t>&lt;一&gt;采购内容及数量</w:t>
      </w:r>
    </w:p>
    <w:tbl>
      <w:tblPr>
        <w:tblStyle w:val="63"/>
        <w:tblpPr w:leftFromText="180" w:rightFromText="180" w:vertAnchor="text" w:horzAnchor="page" w:tblpX="1088" w:tblpY="396"/>
        <w:tblOverlap w:val="never"/>
        <w:tblW w:w="47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2538"/>
        <w:gridCol w:w="2535"/>
        <w:gridCol w:w="749"/>
        <w:gridCol w:w="899"/>
        <w:gridCol w:w="1392"/>
        <w:gridCol w:w="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345" w:type="pct"/>
            <w:vAlign w:val="center"/>
          </w:tcPr>
          <w:p>
            <w:pPr>
              <w:widowControl/>
              <w:tabs>
                <w:tab w:val="left" w:pos="360"/>
              </w:tabs>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355" w:type="pct"/>
            <w:vAlign w:val="center"/>
          </w:tcPr>
          <w:p>
            <w:pPr>
              <w:widowControl/>
              <w:tabs>
                <w:tab w:val="left" w:pos="360"/>
              </w:tabs>
              <w:jc w:val="center"/>
              <w:rPr>
                <w:rFonts w:hint="eastAsia" w:ascii="仿宋" w:hAnsi="仿宋" w:eastAsia="仿宋" w:cs="仿宋"/>
                <w:b/>
                <w:color w:val="auto"/>
                <w:sz w:val="24"/>
              </w:rPr>
            </w:pPr>
            <w:r>
              <w:rPr>
                <w:rFonts w:hint="eastAsia" w:ascii="仿宋" w:hAnsi="仿宋" w:eastAsia="仿宋" w:cs="仿宋"/>
                <w:b/>
                <w:color w:val="auto"/>
                <w:sz w:val="24"/>
              </w:rPr>
              <w:t>项目名称</w:t>
            </w:r>
          </w:p>
        </w:tc>
        <w:tc>
          <w:tcPr>
            <w:tcW w:w="1353" w:type="pct"/>
            <w:vAlign w:val="center"/>
          </w:tcPr>
          <w:p>
            <w:pPr>
              <w:widowControl/>
              <w:tabs>
                <w:tab w:val="left" w:pos="360"/>
              </w:tabs>
              <w:jc w:val="center"/>
              <w:rPr>
                <w:rFonts w:hint="eastAsia" w:ascii="仿宋" w:hAnsi="仿宋" w:eastAsia="仿宋" w:cs="仿宋"/>
                <w:b/>
                <w:color w:val="auto"/>
                <w:sz w:val="24"/>
              </w:rPr>
            </w:pPr>
            <w:r>
              <w:rPr>
                <w:rFonts w:hint="eastAsia" w:ascii="仿宋" w:hAnsi="仿宋" w:eastAsia="仿宋" w:cs="仿宋"/>
                <w:b/>
                <w:color w:val="auto"/>
                <w:sz w:val="24"/>
              </w:rPr>
              <w:t>主要</w:t>
            </w:r>
            <w:r>
              <w:rPr>
                <w:rFonts w:hint="eastAsia" w:ascii="仿宋" w:hAnsi="仿宋" w:eastAsia="仿宋" w:cs="仿宋"/>
                <w:b/>
                <w:color w:val="auto"/>
                <w:sz w:val="24"/>
                <w:lang w:val="en-US" w:eastAsia="zh-CN"/>
              </w:rPr>
              <w:t>技术参数</w:t>
            </w:r>
            <w:r>
              <w:rPr>
                <w:rFonts w:hint="eastAsia" w:ascii="仿宋" w:hAnsi="仿宋" w:eastAsia="仿宋" w:cs="仿宋"/>
                <w:b/>
                <w:color w:val="auto"/>
                <w:sz w:val="24"/>
              </w:rPr>
              <w:t>要求</w:t>
            </w:r>
          </w:p>
        </w:tc>
        <w:tc>
          <w:tcPr>
            <w:tcW w:w="400" w:type="pct"/>
            <w:vAlign w:val="center"/>
          </w:tcPr>
          <w:p>
            <w:pPr>
              <w:widowControl/>
              <w:tabs>
                <w:tab w:val="left" w:pos="360"/>
              </w:tabs>
              <w:jc w:val="center"/>
              <w:rPr>
                <w:rFonts w:hint="eastAsia" w:ascii="仿宋" w:hAnsi="仿宋" w:eastAsia="仿宋" w:cs="仿宋"/>
                <w:b/>
                <w:color w:val="auto"/>
                <w:sz w:val="24"/>
              </w:rPr>
            </w:pPr>
            <w:r>
              <w:rPr>
                <w:rFonts w:hint="eastAsia" w:ascii="仿宋" w:hAnsi="仿宋" w:eastAsia="仿宋" w:cs="仿宋"/>
                <w:b/>
                <w:color w:val="auto"/>
                <w:sz w:val="24"/>
              </w:rPr>
              <w:t>单位</w:t>
            </w:r>
          </w:p>
        </w:tc>
        <w:tc>
          <w:tcPr>
            <w:tcW w:w="480" w:type="pct"/>
            <w:vAlign w:val="center"/>
          </w:tcPr>
          <w:p>
            <w:pPr>
              <w:widowControl/>
              <w:tabs>
                <w:tab w:val="left" w:pos="360"/>
              </w:tabs>
              <w:jc w:val="center"/>
              <w:rPr>
                <w:rFonts w:hint="eastAsia" w:ascii="仿宋" w:hAnsi="仿宋" w:eastAsia="仿宋" w:cs="仿宋"/>
                <w:b/>
                <w:color w:val="auto"/>
                <w:sz w:val="24"/>
              </w:rPr>
            </w:pPr>
            <w:r>
              <w:rPr>
                <w:rFonts w:hint="eastAsia" w:ascii="仿宋" w:hAnsi="仿宋" w:eastAsia="仿宋" w:cs="仿宋"/>
                <w:b/>
                <w:color w:val="auto"/>
                <w:sz w:val="24"/>
              </w:rPr>
              <w:t>数量</w:t>
            </w:r>
          </w:p>
        </w:tc>
        <w:tc>
          <w:tcPr>
            <w:tcW w:w="743" w:type="pct"/>
            <w:vAlign w:val="center"/>
          </w:tcPr>
          <w:p>
            <w:pPr>
              <w:widowControl/>
              <w:tabs>
                <w:tab w:val="left" w:pos="360"/>
              </w:tabs>
              <w:jc w:val="center"/>
              <w:rPr>
                <w:rFonts w:hint="eastAsia" w:ascii="仿宋" w:hAnsi="仿宋" w:eastAsia="仿宋" w:cs="仿宋"/>
                <w:b/>
                <w:color w:val="auto"/>
                <w:sz w:val="24"/>
              </w:rPr>
            </w:pPr>
            <w:r>
              <w:rPr>
                <w:rFonts w:hint="eastAsia" w:ascii="仿宋" w:hAnsi="仿宋" w:eastAsia="仿宋" w:cs="仿宋"/>
                <w:b/>
                <w:color w:val="auto"/>
                <w:sz w:val="24"/>
              </w:rPr>
              <w:t>预算总价</w:t>
            </w:r>
          </w:p>
          <w:p>
            <w:pPr>
              <w:widowControl/>
              <w:tabs>
                <w:tab w:val="left" w:pos="360"/>
              </w:tabs>
              <w:jc w:val="center"/>
              <w:rPr>
                <w:rFonts w:hint="eastAsia" w:ascii="仿宋" w:hAnsi="仿宋" w:eastAsia="仿宋" w:cs="仿宋"/>
                <w:b/>
                <w:color w:val="auto"/>
                <w:sz w:val="24"/>
              </w:rPr>
            </w:pPr>
            <w:r>
              <w:rPr>
                <w:rFonts w:hint="eastAsia" w:ascii="仿宋" w:hAnsi="仿宋" w:eastAsia="仿宋" w:cs="仿宋"/>
                <w:b/>
                <w:color w:val="auto"/>
                <w:sz w:val="24"/>
              </w:rPr>
              <w:t>（元）</w:t>
            </w:r>
          </w:p>
        </w:tc>
        <w:tc>
          <w:tcPr>
            <w:tcW w:w="319" w:type="pct"/>
            <w:vAlign w:val="center"/>
          </w:tcPr>
          <w:p>
            <w:pPr>
              <w:widowControl/>
              <w:tabs>
                <w:tab w:val="left" w:pos="360"/>
              </w:tabs>
              <w:jc w:val="center"/>
              <w:rPr>
                <w:rFonts w:hint="eastAsia" w:ascii="仿宋" w:hAnsi="仿宋" w:eastAsia="仿宋" w:cs="仿宋"/>
                <w:b/>
                <w:color w:val="auto"/>
                <w:sz w:val="24"/>
              </w:rPr>
            </w:pPr>
            <w:r>
              <w:rPr>
                <w:rFonts w:hint="eastAsia" w:ascii="仿宋" w:hAnsi="仿宋" w:eastAsia="仿宋" w:cs="仿宋"/>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345" w:type="pct"/>
            <w:vAlign w:val="center"/>
          </w:tcPr>
          <w:p>
            <w:pPr>
              <w:widowControl/>
              <w:tabs>
                <w:tab w:val="left" w:pos="360"/>
              </w:tabs>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355" w:type="pct"/>
            <w:vAlign w:val="center"/>
          </w:tcPr>
          <w:p>
            <w:pPr>
              <w:widowControl/>
              <w:tabs>
                <w:tab w:val="left" w:pos="360"/>
              </w:tabs>
              <w:jc w:val="left"/>
              <w:rPr>
                <w:rFonts w:hint="eastAsia" w:ascii="仿宋" w:hAnsi="仿宋" w:eastAsia="仿宋" w:cs="仿宋"/>
                <w:color w:val="auto"/>
                <w:sz w:val="24"/>
                <w:lang w:eastAsia="zh-CN"/>
              </w:rPr>
            </w:pPr>
            <w:r>
              <w:rPr>
                <w:rFonts w:hint="eastAsia" w:ascii="仿宋" w:hAnsi="仿宋" w:eastAsia="仿宋" w:cs="仿宋"/>
                <w:color w:val="auto"/>
                <w:sz w:val="24"/>
                <w:lang w:eastAsia="zh-CN"/>
              </w:rPr>
              <w:t>建德市2022年口腔诊疗机构智慧监管项目</w:t>
            </w:r>
          </w:p>
        </w:tc>
        <w:tc>
          <w:tcPr>
            <w:tcW w:w="1353" w:type="pct"/>
            <w:vAlign w:val="center"/>
          </w:tcPr>
          <w:p>
            <w:pPr>
              <w:widowControl/>
              <w:tabs>
                <w:tab w:val="left" w:pos="360"/>
              </w:tabs>
              <w:jc w:val="center"/>
              <w:rPr>
                <w:rFonts w:hint="eastAsia" w:ascii="仿宋" w:hAnsi="仿宋" w:eastAsia="仿宋" w:cs="仿宋"/>
                <w:color w:val="auto"/>
                <w:sz w:val="24"/>
              </w:rPr>
            </w:pPr>
            <w:r>
              <w:rPr>
                <w:rFonts w:hint="eastAsia" w:ascii="仿宋" w:hAnsi="仿宋" w:eastAsia="仿宋" w:cs="仿宋"/>
                <w:color w:val="auto"/>
                <w:sz w:val="24"/>
              </w:rPr>
              <w:t>详见“&lt;二&gt;采购需求”</w:t>
            </w:r>
          </w:p>
        </w:tc>
        <w:tc>
          <w:tcPr>
            <w:tcW w:w="400" w:type="pct"/>
            <w:vAlign w:val="center"/>
          </w:tcPr>
          <w:p>
            <w:pPr>
              <w:widowControl/>
              <w:tabs>
                <w:tab w:val="left" w:pos="360"/>
              </w:tabs>
              <w:jc w:val="center"/>
              <w:rPr>
                <w:rFonts w:hint="eastAsia" w:ascii="仿宋" w:hAnsi="仿宋" w:eastAsia="仿宋" w:cs="仿宋"/>
                <w:color w:val="auto"/>
                <w:sz w:val="24"/>
              </w:rPr>
            </w:pPr>
            <w:r>
              <w:rPr>
                <w:rFonts w:hint="eastAsia" w:ascii="仿宋" w:hAnsi="仿宋" w:eastAsia="仿宋" w:cs="仿宋"/>
                <w:color w:val="auto"/>
                <w:sz w:val="24"/>
              </w:rPr>
              <w:t>批</w:t>
            </w:r>
          </w:p>
        </w:tc>
        <w:tc>
          <w:tcPr>
            <w:tcW w:w="480" w:type="pct"/>
            <w:vAlign w:val="center"/>
          </w:tcPr>
          <w:p>
            <w:pPr>
              <w:widowControl/>
              <w:tabs>
                <w:tab w:val="left" w:pos="360"/>
              </w:tabs>
              <w:jc w:val="center"/>
              <w:rPr>
                <w:rFonts w:hint="eastAsia" w:ascii="仿宋" w:hAnsi="仿宋" w:eastAsia="仿宋" w:cs="仿宋"/>
                <w:color w:val="auto"/>
                <w:sz w:val="24"/>
              </w:rPr>
            </w:pPr>
            <w:r>
              <w:rPr>
                <w:rFonts w:hint="eastAsia" w:ascii="仿宋" w:hAnsi="仿宋" w:eastAsia="仿宋" w:cs="仿宋"/>
                <w:color w:val="auto"/>
                <w:sz w:val="24"/>
              </w:rPr>
              <w:t>1</w:t>
            </w:r>
          </w:p>
        </w:tc>
        <w:tc>
          <w:tcPr>
            <w:tcW w:w="743" w:type="pct"/>
            <w:vAlign w:val="center"/>
          </w:tcPr>
          <w:p>
            <w:pPr>
              <w:widowControl/>
              <w:tabs>
                <w:tab w:val="left" w:pos="360"/>
              </w:tabs>
              <w:jc w:val="center"/>
              <w:rPr>
                <w:rFonts w:hint="eastAsia" w:ascii="仿宋" w:hAnsi="仿宋" w:eastAsia="仿宋" w:cs="仿宋"/>
                <w:color w:val="auto"/>
                <w:sz w:val="24"/>
                <w:lang w:val="en-US"/>
              </w:rPr>
            </w:pPr>
            <w:r>
              <w:rPr>
                <w:rFonts w:hint="eastAsia" w:ascii="仿宋" w:hAnsi="仿宋" w:eastAsia="仿宋" w:cs="仿宋"/>
                <w:color w:val="auto"/>
                <w:sz w:val="24"/>
                <w:lang w:val="en-US" w:eastAsia="zh-CN"/>
              </w:rPr>
              <w:t>520000.00</w:t>
            </w:r>
          </w:p>
        </w:tc>
        <w:tc>
          <w:tcPr>
            <w:tcW w:w="319" w:type="pct"/>
            <w:vAlign w:val="center"/>
          </w:tcPr>
          <w:p>
            <w:pPr>
              <w:widowControl/>
              <w:tabs>
                <w:tab w:val="left" w:pos="360"/>
              </w:tabs>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000" w:type="pct"/>
            <w:gridSpan w:val="7"/>
            <w:vAlign w:val="center"/>
          </w:tcPr>
          <w:p>
            <w:pPr>
              <w:widowControl/>
              <w:tabs>
                <w:tab w:val="left" w:pos="360"/>
              </w:tabs>
              <w:jc w:val="left"/>
              <w:rPr>
                <w:rFonts w:hint="eastAsia" w:ascii="仿宋" w:hAnsi="仿宋" w:eastAsia="仿宋" w:cs="仿宋"/>
                <w:color w:val="auto"/>
                <w:sz w:val="24"/>
                <w:u w:val="single"/>
              </w:rPr>
            </w:pPr>
            <w:r>
              <w:rPr>
                <w:rFonts w:hint="eastAsia" w:ascii="仿宋" w:hAnsi="仿宋" w:eastAsia="仿宋" w:cs="仿宋"/>
                <w:b/>
                <w:color w:val="auto"/>
                <w:sz w:val="24"/>
                <w:u w:val="single"/>
              </w:rPr>
              <w:t>最高限价：人民币（大写）：</w:t>
            </w:r>
            <w:r>
              <w:rPr>
                <w:rFonts w:hint="eastAsia" w:ascii="仿宋" w:hAnsi="仿宋" w:eastAsia="仿宋" w:cs="仿宋"/>
                <w:b/>
                <w:color w:val="auto"/>
                <w:sz w:val="24"/>
                <w:u w:val="single"/>
                <w:lang w:val="en-US" w:eastAsia="zh-CN"/>
              </w:rPr>
              <w:t>伍拾贰万</w:t>
            </w:r>
            <w:r>
              <w:rPr>
                <w:rFonts w:hint="eastAsia" w:ascii="仿宋" w:hAnsi="仿宋" w:eastAsia="仿宋" w:cs="仿宋"/>
                <w:b/>
                <w:color w:val="auto"/>
                <w:sz w:val="24"/>
                <w:u w:val="single"/>
              </w:rPr>
              <w:t>元整</w:t>
            </w:r>
            <w:r>
              <w:rPr>
                <w:rFonts w:hint="eastAsia" w:ascii="仿宋" w:hAnsi="仿宋" w:eastAsia="仿宋" w:cs="仿宋"/>
                <w:color w:val="auto"/>
                <w:sz w:val="24"/>
                <w:u w:val="single"/>
              </w:rPr>
              <w:t>（</w:t>
            </w:r>
            <w:r>
              <w:rPr>
                <w:rFonts w:hint="eastAsia" w:ascii="仿宋" w:hAnsi="仿宋" w:eastAsia="仿宋" w:cs="仿宋"/>
                <w:b/>
                <w:bCs/>
                <w:color w:val="auto"/>
                <w:kern w:val="0"/>
                <w:sz w:val="24"/>
                <w:u w:val="single"/>
              </w:rPr>
              <w:t>￥</w:t>
            </w:r>
            <w:r>
              <w:rPr>
                <w:rFonts w:hint="eastAsia" w:ascii="仿宋" w:hAnsi="仿宋" w:eastAsia="仿宋" w:cs="仿宋"/>
                <w:b/>
                <w:bCs/>
                <w:color w:val="auto"/>
                <w:kern w:val="0"/>
                <w:sz w:val="24"/>
                <w:u w:val="single"/>
                <w:lang w:val="en-US" w:eastAsia="zh-CN"/>
              </w:rPr>
              <w:t>520000.00</w:t>
            </w:r>
            <w:r>
              <w:rPr>
                <w:rFonts w:hint="eastAsia" w:ascii="仿宋" w:hAnsi="仿宋" w:eastAsia="仿宋" w:cs="仿宋"/>
                <w:b/>
                <w:bCs/>
                <w:color w:val="auto"/>
                <w:kern w:val="0"/>
                <w:sz w:val="24"/>
                <w:u w:val="single"/>
              </w:rPr>
              <w:t>元</w:t>
            </w:r>
            <w:r>
              <w:rPr>
                <w:rFonts w:hint="eastAsia" w:ascii="仿宋" w:hAnsi="仿宋" w:eastAsia="仿宋" w:cs="仿宋"/>
                <w:color w:val="auto"/>
                <w:sz w:val="24"/>
                <w:u w:val="single"/>
              </w:rPr>
              <w:t>）</w:t>
            </w:r>
          </w:p>
        </w:tc>
      </w:tr>
    </w:tbl>
    <w:p>
      <w:pPr>
        <w:adjustRightInd/>
        <w:spacing w:line="360" w:lineRule="auto"/>
        <w:rPr>
          <w:rFonts w:hint="eastAsia" w:ascii="仿宋" w:hAnsi="仿宋" w:eastAsia="仿宋" w:cs="仿宋"/>
          <w:b/>
          <w:color w:val="auto"/>
          <w:sz w:val="24"/>
        </w:rPr>
      </w:pPr>
      <w:r>
        <w:rPr>
          <w:rFonts w:hint="eastAsia" w:ascii="仿宋" w:hAnsi="仿宋" w:eastAsia="仿宋" w:cs="仿宋"/>
          <w:color w:val="auto"/>
          <w:sz w:val="24"/>
        </w:rPr>
        <w:t>注：本项目为交钥匙工程，中标人有义务保证采购人项目的完整性，如项目实施过程中因缺少设备、配件或服务导致采购人</w:t>
      </w:r>
      <w:r>
        <w:rPr>
          <w:rFonts w:hint="eastAsia" w:ascii="仿宋" w:hAnsi="仿宋" w:eastAsia="仿宋" w:cs="仿宋"/>
          <w:color w:val="auto"/>
          <w:sz w:val="24"/>
          <w:lang w:val="en-US" w:eastAsia="zh-CN"/>
        </w:rPr>
        <w:t>设备和系统</w:t>
      </w:r>
      <w:r>
        <w:rPr>
          <w:rFonts w:hint="eastAsia" w:ascii="仿宋" w:hAnsi="仿宋" w:eastAsia="仿宋" w:cs="仿宋"/>
          <w:color w:val="auto"/>
          <w:sz w:val="24"/>
        </w:rPr>
        <w:t xml:space="preserve">无法正常运行，中标人须承诺免费提供。  </w:t>
      </w:r>
    </w:p>
    <w:p>
      <w:pPr>
        <w:adjustRightInd/>
        <w:spacing w:line="276" w:lineRule="auto"/>
        <w:rPr>
          <w:rFonts w:hint="eastAsia" w:ascii="仿宋" w:hAnsi="仿宋" w:eastAsia="仿宋" w:cs="仿宋"/>
          <w:b/>
          <w:color w:val="auto"/>
          <w:sz w:val="24"/>
          <w:lang w:val="en-US" w:eastAsia="zh-CN"/>
        </w:rPr>
      </w:pPr>
      <w:r>
        <w:rPr>
          <w:rFonts w:hint="eastAsia" w:ascii="仿宋" w:hAnsi="仿宋" w:eastAsia="仿宋" w:cs="仿宋"/>
          <w:b/>
          <w:color w:val="auto"/>
          <w:sz w:val="24"/>
        </w:rPr>
        <w:t>&lt;二&gt;采购需求</w:t>
      </w:r>
      <w:r>
        <w:rPr>
          <w:rFonts w:hint="eastAsia" w:ascii="仿宋" w:hAnsi="仿宋" w:eastAsia="仿宋" w:cs="仿宋"/>
          <w:b/>
          <w:color w:val="auto"/>
          <w:sz w:val="24"/>
          <w:lang w:val="en-US" w:eastAsia="zh-CN"/>
        </w:rPr>
        <w:t xml:space="preserve">  </w:t>
      </w:r>
    </w:p>
    <w:p>
      <w:pPr>
        <w:spacing w:line="360" w:lineRule="auto"/>
        <w:jc w:val="both"/>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一、</w:t>
      </w:r>
      <w:r>
        <w:rPr>
          <w:rFonts w:hint="eastAsia" w:ascii="仿宋" w:hAnsi="仿宋" w:eastAsia="仿宋" w:cs="仿宋"/>
          <w:b/>
          <w:bCs/>
          <w:color w:val="auto"/>
          <w:sz w:val="24"/>
          <w:highlight w:val="none"/>
          <w:lang w:eastAsia="zh-CN"/>
        </w:rPr>
        <w:t>货物清单及</w:t>
      </w:r>
      <w:r>
        <w:rPr>
          <w:rFonts w:hint="eastAsia" w:ascii="仿宋" w:hAnsi="仿宋" w:eastAsia="仿宋" w:cs="仿宋"/>
          <w:b/>
          <w:bCs/>
          <w:color w:val="auto"/>
          <w:sz w:val="24"/>
          <w:highlight w:val="none"/>
        </w:rPr>
        <w:t>技术要求</w:t>
      </w:r>
    </w:p>
    <w:p>
      <w:pPr>
        <w:spacing w:line="360" w:lineRule="auto"/>
        <w:jc w:val="both"/>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一</w:t>
      </w:r>
      <w:r>
        <w:rPr>
          <w:rFonts w:hint="eastAsia" w:ascii="仿宋" w:hAnsi="仿宋" w:eastAsia="仿宋" w:cs="仿宋"/>
          <w:b/>
          <w:bCs/>
          <w:color w:val="auto"/>
          <w:sz w:val="24"/>
          <w:highlight w:val="none"/>
          <w:lang w:eastAsia="zh-CN"/>
        </w:rPr>
        <w:t>）货物清单明细</w:t>
      </w:r>
    </w:p>
    <w:tbl>
      <w:tblPr>
        <w:tblStyle w:val="64"/>
        <w:tblW w:w="9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788"/>
        <w:gridCol w:w="972"/>
        <w:gridCol w:w="1728"/>
        <w:gridCol w:w="1403"/>
        <w:gridCol w:w="1633"/>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9" w:type="dxa"/>
          </w:tcPr>
          <w:p>
            <w:pP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序号</w:t>
            </w:r>
          </w:p>
        </w:tc>
        <w:tc>
          <w:tcPr>
            <w:tcW w:w="1788" w:type="dxa"/>
          </w:tcPr>
          <w:p>
            <w:pP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产品名称</w:t>
            </w:r>
          </w:p>
        </w:tc>
        <w:tc>
          <w:tcPr>
            <w:tcW w:w="972" w:type="dxa"/>
          </w:tcPr>
          <w:p>
            <w:pP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数量</w:t>
            </w:r>
          </w:p>
        </w:tc>
        <w:tc>
          <w:tcPr>
            <w:tcW w:w="1728" w:type="dxa"/>
            <w:vAlign w:val="top"/>
          </w:tcPr>
          <w:p>
            <w:pP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技术参数</w:t>
            </w:r>
          </w:p>
        </w:tc>
        <w:tc>
          <w:tcPr>
            <w:tcW w:w="1403" w:type="dxa"/>
            <w:vAlign w:val="top"/>
          </w:tcPr>
          <w:p>
            <w:pPr>
              <w:ind w:left="240" w:hanging="241" w:hangingChars="100"/>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预算单价（元）</w:t>
            </w:r>
          </w:p>
        </w:tc>
        <w:tc>
          <w:tcPr>
            <w:tcW w:w="1633" w:type="dxa"/>
            <w:vAlign w:val="top"/>
          </w:tcPr>
          <w:p>
            <w:pPr>
              <w:ind w:left="241" w:hanging="241" w:hangingChars="100"/>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预算合价（元）</w:t>
            </w:r>
          </w:p>
        </w:tc>
        <w:tc>
          <w:tcPr>
            <w:tcW w:w="877" w:type="dxa"/>
            <w:vAlign w:val="top"/>
          </w:tcPr>
          <w:p>
            <w:pPr>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769" w:type="dxa"/>
            <w:vAlign w:val="center"/>
          </w:tcPr>
          <w:p>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788" w:type="dxa"/>
            <w:vAlign w:val="center"/>
          </w:tcPr>
          <w:p>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highlight w:val="none"/>
                <w:lang w:eastAsia="zh-CN"/>
              </w:rPr>
              <w:t>灭菌器智能监测套件（智能监测终端、温度、压力传感器）</w:t>
            </w:r>
          </w:p>
        </w:tc>
        <w:tc>
          <w:tcPr>
            <w:tcW w:w="972" w:type="dxa"/>
            <w:vAlign w:val="center"/>
          </w:tcPr>
          <w:p>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48套</w:t>
            </w:r>
          </w:p>
        </w:tc>
        <w:tc>
          <w:tcPr>
            <w:tcW w:w="1728" w:type="dxa"/>
            <w:vAlign w:val="center"/>
          </w:tcPr>
          <w:p>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lang w:eastAsia="zh-CN" w:bidi="ar"/>
              </w:rPr>
              <w:t>详见技术要求</w:t>
            </w:r>
          </w:p>
        </w:tc>
        <w:tc>
          <w:tcPr>
            <w:tcW w:w="1403" w:type="dxa"/>
            <w:vAlign w:val="center"/>
          </w:tcPr>
          <w:p>
            <w:pPr>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4160.00</w:t>
            </w:r>
          </w:p>
        </w:tc>
        <w:tc>
          <w:tcPr>
            <w:tcW w:w="1633" w:type="dxa"/>
            <w:vAlign w:val="center"/>
          </w:tcPr>
          <w:p>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199680.00</w:t>
            </w:r>
          </w:p>
        </w:tc>
        <w:tc>
          <w:tcPr>
            <w:tcW w:w="877" w:type="dxa"/>
            <w:vAlign w:val="center"/>
          </w:tcPr>
          <w:p>
            <w:pPr>
              <w:jc w:val="center"/>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769" w:type="dxa"/>
            <w:vAlign w:val="center"/>
          </w:tcPr>
          <w:p>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1788" w:type="dxa"/>
            <w:vAlign w:val="center"/>
          </w:tcPr>
          <w:p>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highlight w:val="none"/>
                <w:lang w:eastAsia="zh-CN"/>
              </w:rPr>
              <w:t>灭菌器智能监控套件（智能网络摄像头）</w:t>
            </w:r>
          </w:p>
        </w:tc>
        <w:tc>
          <w:tcPr>
            <w:tcW w:w="972" w:type="dxa"/>
            <w:vAlign w:val="center"/>
          </w:tcPr>
          <w:p>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96个</w:t>
            </w:r>
          </w:p>
        </w:tc>
        <w:tc>
          <w:tcPr>
            <w:tcW w:w="1728" w:type="dxa"/>
            <w:vAlign w:val="center"/>
          </w:tcPr>
          <w:p>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lang w:eastAsia="zh-CN" w:bidi="ar"/>
              </w:rPr>
              <w:t>详见技术要求</w:t>
            </w:r>
          </w:p>
        </w:tc>
        <w:tc>
          <w:tcPr>
            <w:tcW w:w="1403" w:type="dxa"/>
            <w:vAlign w:val="center"/>
          </w:tcPr>
          <w:p>
            <w:pPr>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400.00</w:t>
            </w:r>
          </w:p>
        </w:tc>
        <w:tc>
          <w:tcPr>
            <w:tcW w:w="1633" w:type="dxa"/>
            <w:vAlign w:val="center"/>
          </w:tcPr>
          <w:p>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38400.00</w:t>
            </w:r>
          </w:p>
        </w:tc>
        <w:tc>
          <w:tcPr>
            <w:tcW w:w="877" w:type="dxa"/>
            <w:vAlign w:val="center"/>
          </w:tcPr>
          <w:p>
            <w:pPr>
              <w:jc w:val="center"/>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769" w:type="dxa"/>
            <w:vAlign w:val="center"/>
          </w:tcPr>
          <w:p>
            <w:pPr>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3</w:t>
            </w:r>
          </w:p>
        </w:tc>
        <w:tc>
          <w:tcPr>
            <w:tcW w:w="1788" w:type="dxa"/>
            <w:vAlign w:val="center"/>
          </w:tcPr>
          <w:p>
            <w:pPr>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highlight w:val="none"/>
                <w:u w:val="none"/>
              </w:rPr>
              <w:t>口腔诊疗机构智慧监控平台</w:t>
            </w:r>
            <w:r>
              <w:rPr>
                <w:rFonts w:hint="eastAsia" w:ascii="仿宋" w:hAnsi="仿宋" w:eastAsia="仿宋" w:cs="仿宋"/>
                <w:color w:val="auto"/>
                <w:sz w:val="24"/>
                <w:szCs w:val="24"/>
                <w:highlight w:val="none"/>
                <w:u w:val="none"/>
                <w:lang w:eastAsia="zh-CN"/>
              </w:rPr>
              <w:t>软件</w:t>
            </w:r>
            <w:r>
              <w:rPr>
                <w:rFonts w:hint="eastAsia" w:ascii="仿宋" w:hAnsi="仿宋" w:eastAsia="仿宋" w:cs="仿宋"/>
                <w:color w:val="auto"/>
                <w:sz w:val="24"/>
                <w:szCs w:val="24"/>
                <w:highlight w:val="none"/>
                <w:u w:val="none"/>
                <w:lang w:val="en-US" w:eastAsia="zh-CN"/>
              </w:rPr>
              <w:t>及技术</w:t>
            </w:r>
            <w:r>
              <w:rPr>
                <w:rFonts w:hint="eastAsia" w:ascii="仿宋" w:hAnsi="仿宋" w:eastAsia="仿宋" w:cs="仿宋"/>
                <w:color w:val="auto"/>
                <w:sz w:val="24"/>
                <w:szCs w:val="24"/>
                <w:highlight w:val="none"/>
                <w:u w:val="none"/>
                <w:vertAlign w:val="baseline"/>
                <w:lang w:val="en-US" w:eastAsia="zh-CN"/>
              </w:rPr>
              <w:t>服务费</w:t>
            </w:r>
          </w:p>
        </w:tc>
        <w:tc>
          <w:tcPr>
            <w:tcW w:w="972" w:type="dxa"/>
            <w:vAlign w:val="center"/>
          </w:tcPr>
          <w:p>
            <w:pPr>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1套</w:t>
            </w:r>
          </w:p>
        </w:tc>
        <w:tc>
          <w:tcPr>
            <w:tcW w:w="1728" w:type="dxa"/>
            <w:vAlign w:val="center"/>
          </w:tcPr>
          <w:p>
            <w:pPr>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lang w:val="en-US" w:eastAsia="zh-CN" w:bidi="ar"/>
              </w:rPr>
              <w:t>详见技术参数</w:t>
            </w:r>
            <w:r>
              <w:rPr>
                <w:rFonts w:hint="eastAsia" w:ascii="仿宋" w:hAnsi="仿宋" w:eastAsia="仿宋" w:cs="仿宋"/>
                <w:color w:val="auto"/>
                <w:sz w:val="24"/>
                <w:szCs w:val="24"/>
                <w:lang w:eastAsia="zh-CN" w:bidi="ar"/>
              </w:rPr>
              <w:t>（含安装调试、计量校准、卫监平台数据对接、诊所端</w:t>
            </w:r>
            <w:r>
              <w:rPr>
                <w:rFonts w:hint="eastAsia" w:ascii="仿宋" w:hAnsi="仿宋" w:eastAsia="仿宋" w:cs="仿宋"/>
                <w:color w:val="auto"/>
                <w:sz w:val="24"/>
                <w:szCs w:val="24"/>
                <w:lang w:val="en-US" w:eastAsia="zh-CN" w:bidi="ar"/>
              </w:rPr>
              <w:t>APP、智能监控视频储存调用、现有摄像头视频接入、智能监测及监控软硬件系统运维等</w:t>
            </w:r>
            <w:r>
              <w:rPr>
                <w:rFonts w:hint="eastAsia" w:ascii="仿宋" w:hAnsi="仿宋" w:eastAsia="仿宋" w:cs="仿宋"/>
                <w:color w:val="auto"/>
                <w:sz w:val="24"/>
                <w:szCs w:val="24"/>
                <w:lang w:eastAsia="zh-CN" w:bidi="ar"/>
              </w:rPr>
              <w:t>）</w:t>
            </w:r>
          </w:p>
        </w:tc>
        <w:tc>
          <w:tcPr>
            <w:tcW w:w="1403" w:type="dxa"/>
            <w:vAlign w:val="center"/>
          </w:tcPr>
          <w:p>
            <w:pPr>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281920.00</w:t>
            </w:r>
          </w:p>
        </w:tc>
        <w:tc>
          <w:tcPr>
            <w:tcW w:w="1633" w:type="dxa"/>
            <w:vAlign w:val="center"/>
          </w:tcPr>
          <w:p>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281920.00</w:t>
            </w:r>
          </w:p>
        </w:tc>
        <w:tc>
          <w:tcPr>
            <w:tcW w:w="877" w:type="dxa"/>
            <w:vAlign w:val="center"/>
          </w:tcPr>
          <w:p>
            <w:pPr>
              <w:jc w:val="center"/>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60" w:type="dxa"/>
            <w:gridSpan w:val="5"/>
            <w:vAlign w:val="center"/>
          </w:tcPr>
          <w:p>
            <w:pPr>
              <w:jc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bidi="ar"/>
              </w:rPr>
              <w:t>预算总价:人民币（大写）伍拾贰万元整</w:t>
            </w:r>
          </w:p>
        </w:tc>
        <w:tc>
          <w:tcPr>
            <w:tcW w:w="1633" w:type="dxa"/>
            <w:vAlign w:val="center"/>
          </w:tcPr>
          <w:p>
            <w:pPr>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￥520000.00</w:t>
            </w:r>
          </w:p>
        </w:tc>
        <w:tc>
          <w:tcPr>
            <w:tcW w:w="877" w:type="dxa"/>
            <w:vAlign w:val="center"/>
          </w:tcPr>
          <w:p>
            <w:pPr>
              <w:jc w:val="center"/>
              <w:rPr>
                <w:rFonts w:hint="eastAsia" w:ascii="仿宋" w:hAnsi="仿宋" w:eastAsia="仿宋" w:cs="仿宋"/>
                <w:color w:val="auto"/>
                <w:sz w:val="24"/>
                <w:szCs w:val="24"/>
                <w:vertAlign w:val="baseline"/>
                <w:lang w:val="en-US" w:eastAsia="zh-CN"/>
              </w:rPr>
            </w:pPr>
          </w:p>
        </w:tc>
      </w:tr>
    </w:tbl>
    <w:p>
      <w:pPr>
        <w:widowControl w:val="0"/>
        <w:numPr>
          <w:ilvl w:val="0"/>
          <w:numId w:val="0"/>
        </w:numPr>
        <w:spacing w:line="360" w:lineRule="auto"/>
        <w:jc w:val="both"/>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（二）</w:t>
      </w:r>
      <w:r>
        <w:rPr>
          <w:rFonts w:hint="eastAsia" w:ascii="仿宋" w:hAnsi="仿宋" w:eastAsia="仿宋" w:cs="仿宋"/>
          <w:b/>
          <w:bCs/>
          <w:color w:val="auto"/>
          <w:sz w:val="24"/>
          <w:highlight w:val="none"/>
          <w:lang w:eastAsia="zh-CN"/>
        </w:rPr>
        <w:t>货物</w:t>
      </w:r>
      <w:r>
        <w:rPr>
          <w:rFonts w:hint="eastAsia" w:ascii="仿宋" w:hAnsi="仿宋" w:eastAsia="仿宋" w:cs="仿宋"/>
          <w:b/>
          <w:bCs/>
          <w:color w:val="auto"/>
          <w:sz w:val="24"/>
          <w:highlight w:val="none"/>
          <w:lang w:val="en-US" w:eastAsia="zh-CN"/>
        </w:rPr>
        <w:t>技术要求（标▲为关键参数，必须满足）</w:t>
      </w:r>
    </w:p>
    <w:p>
      <w:pPr>
        <w:spacing w:line="360" w:lineRule="auto"/>
        <w:jc w:val="both"/>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lang w:eastAsia="zh-CN"/>
        </w:rPr>
        <w:t>灭菌器智能监测套件</w:t>
      </w:r>
      <w:r>
        <w:rPr>
          <w:rFonts w:hint="eastAsia" w:ascii="仿宋" w:hAnsi="仿宋" w:eastAsia="仿宋" w:cs="仿宋"/>
          <w:b/>
          <w:bCs/>
          <w:color w:val="auto"/>
          <w:sz w:val="24"/>
          <w:highlight w:val="none"/>
          <w:lang w:val="en-US" w:eastAsia="zh-CN"/>
        </w:rPr>
        <w:t>技术要求</w:t>
      </w:r>
    </w:p>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口腔诊疗器械高压灭菌在线监测。采取多种形式，将每台压力灭菌器上的温度、压力感应器，直接通过WiFi或4G网络实时传输到市、县（市、区）智慧卫监指挥平台，实时过程监测。对压力蒸汽灭菌器的温度、压力、时间物理参数变化实行全过程在线监测并设置监测内容可追溯和风险预警功能。</w:t>
      </w:r>
    </w:p>
    <w:p>
      <w:pPr>
        <w:spacing w:line="360" w:lineRule="auto"/>
        <w:ind w:firstLine="482" w:firstLineChars="200"/>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标▲为关键参数，必须满足。</w:t>
      </w:r>
    </w:p>
    <w:tbl>
      <w:tblPr>
        <w:tblStyle w:val="63"/>
        <w:tblW w:w="937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83"/>
        <w:gridCol w:w="1644"/>
        <w:gridCol w:w="6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1183"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模块</w:t>
            </w:r>
          </w:p>
        </w:tc>
        <w:tc>
          <w:tcPr>
            <w:tcW w:w="1644" w:type="dxa"/>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功能指标</w:t>
            </w:r>
          </w:p>
        </w:tc>
        <w:tc>
          <w:tcPr>
            <w:tcW w:w="6552" w:type="dxa"/>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具体参数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1183" w:type="dxa"/>
            <w:vMerge w:val="restart"/>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硬件</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参数</w:t>
            </w:r>
          </w:p>
        </w:tc>
        <w:tc>
          <w:tcPr>
            <w:tcW w:w="1644" w:type="dxa"/>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▲CPU</w:t>
            </w:r>
          </w:p>
        </w:tc>
        <w:tc>
          <w:tcPr>
            <w:tcW w:w="6552" w:type="dxa"/>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低功耗 Xtensa® LX6 32-bit 双核处理器@ 240MHz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1183" w:type="dxa"/>
            <w:vMerge w:val="continue"/>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p>
        </w:tc>
        <w:tc>
          <w:tcPr>
            <w:tcW w:w="1644" w:type="dxa"/>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无线标准</w:t>
            </w:r>
          </w:p>
        </w:tc>
        <w:tc>
          <w:tcPr>
            <w:tcW w:w="6552" w:type="dxa"/>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IEEE802.11b， 802.11g，802.11n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1183" w:type="dxa"/>
            <w:vMerge w:val="continue"/>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p>
        </w:tc>
        <w:tc>
          <w:tcPr>
            <w:tcW w:w="1644" w:type="dxa"/>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频率范围</w:t>
            </w:r>
          </w:p>
        </w:tc>
        <w:tc>
          <w:tcPr>
            <w:tcW w:w="6552" w:type="dxa"/>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2.4 GHz～2.4835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1183" w:type="dxa"/>
            <w:vMerge w:val="continue"/>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p>
        </w:tc>
        <w:tc>
          <w:tcPr>
            <w:tcW w:w="1644" w:type="dxa"/>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信道带宽</w:t>
            </w:r>
          </w:p>
        </w:tc>
        <w:tc>
          <w:tcPr>
            <w:tcW w:w="6552" w:type="dxa"/>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支持20MHz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1183" w:type="dxa"/>
            <w:vMerge w:val="continue"/>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p>
        </w:tc>
        <w:tc>
          <w:tcPr>
            <w:tcW w:w="1644" w:type="dxa"/>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安全加密</w:t>
            </w:r>
          </w:p>
        </w:tc>
        <w:tc>
          <w:tcPr>
            <w:tcW w:w="6552"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64/128-bit WEP、WPA/WPA2、WPA-PSK/WPA2-PSK、WPS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1183" w:type="dxa"/>
            <w:vMerge w:val="continue"/>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p>
        </w:tc>
        <w:tc>
          <w:tcPr>
            <w:tcW w:w="1644" w:type="dxa"/>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传输速率</w:t>
            </w:r>
          </w:p>
        </w:tc>
        <w:tc>
          <w:tcPr>
            <w:tcW w:w="6552" w:type="dxa"/>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11b: 11Mbps、11g :54Mbps、11n :150Mbps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1183" w:type="dxa"/>
            <w:vMerge w:val="continue"/>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p>
        </w:tc>
        <w:tc>
          <w:tcPr>
            <w:tcW w:w="1644" w:type="dxa"/>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电源输入</w:t>
            </w:r>
          </w:p>
        </w:tc>
        <w:tc>
          <w:tcPr>
            <w:tcW w:w="6552" w:type="dxa"/>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5V1A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1183" w:type="dxa"/>
            <w:vMerge w:val="continue"/>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p>
        </w:tc>
        <w:tc>
          <w:tcPr>
            <w:tcW w:w="1644" w:type="dxa"/>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电池容量</w:t>
            </w:r>
          </w:p>
        </w:tc>
        <w:tc>
          <w:tcPr>
            <w:tcW w:w="6552" w:type="dxa"/>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聚合物锂电池：1000mAh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1183" w:type="dxa"/>
            <w:vMerge w:val="restart"/>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数据</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监控</w:t>
            </w:r>
          </w:p>
        </w:tc>
        <w:tc>
          <w:tcPr>
            <w:tcW w:w="1644" w:type="dxa"/>
            <w:vMerge w:val="restart"/>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▲温度探头</w:t>
            </w:r>
          </w:p>
        </w:tc>
        <w:tc>
          <w:tcPr>
            <w:tcW w:w="6552" w:type="dxa"/>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量程：-200℃~200℃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1183" w:type="dxa"/>
            <w:vMerge w:val="continue"/>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p>
        </w:tc>
        <w:tc>
          <w:tcPr>
            <w:tcW w:w="1644" w:type="dxa"/>
            <w:vMerge w:val="continue"/>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p>
        </w:tc>
        <w:tc>
          <w:tcPr>
            <w:tcW w:w="6552" w:type="dxa"/>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分辨率：</w:t>
            </w:r>
            <w:r>
              <w:rPr>
                <w:rFonts w:hint="eastAsia" w:ascii="仿宋" w:hAnsi="仿宋" w:eastAsia="仿宋" w:cs="仿宋"/>
                <w:color w:val="auto"/>
                <w:sz w:val="24"/>
                <w:highlight w:val="none"/>
                <w:lang w:val="en-US" w:eastAsia="zh-CN"/>
              </w:rPr>
              <w:t>0.05-</w:t>
            </w:r>
            <w:r>
              <w:rPr>
                <w:rFonts w:hint="eastAsia" w:ascii="仿宋" w:hAnsi="仿宋" w:eastAsia="仿宋" w:cs="仿宋"/>
                <w:color w:val="auto"/>
                <w:sz w:val="24"/>
                <w:highlight w:val="none"/>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1183" w:type="dxa"/>
            <w:vMerge w:val="continue"/>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p>
        </w:tc>
        <w:tc>
          <w:tcPr>
            <w:tcW w:w="1644" w:type="dxa"/>
            <w:vMerge w:val="continue"/>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p>
        </w:tc>
        <w:tc>
          <w:tcPr>
            <w:tcW w:w="6552"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精度：±0.1℃（100℃~150℃）；±0.5℃（其他范围）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1183" w:type="dxa"/>
            <w:vMerge w:val="continue"/>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p>
        </w:tc>
        <w:tc>
          <w:tcPr>
            <w:tcW w:w="1644" w:type="dxa"/>
            <w:vMerge w:val="restart"/>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压力探头</w:t>
            </w:r>
          </w:p>
        </w:tc>
        <w:tc>
          <w:tcPr>
            <w:tcW w:w="6552" w:type="dxa"/>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量程：100Pa～400000Pa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1183" w:type="dxa"/>
            <w:vMerge w:val="continue"/>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p>
        </w:tc>
        <w:tc>
          <w:tcPr>
            <w:tcW w:w="1644" w:type="dxa"/>
            <w:vMerge w:val="continue"/>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p>
        </w:tc>
        <w:tc>
          <w:tcPr>
            <w:tcW w:w="6552" w:type="dxa"/>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分辨率：100Pa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1183" w:type="dxa"/>
            <w:vMerge w:val="continue"/>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p>
        </w:tc>
        <w:tc>
          <w:tcPr>
            <w:tcW w:w="1644" w:type="dxa"/>
            <w:vMerge w:val="continue"/>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p>
        </w:tc>
        <w:tc>
          <w:tcPr>
            <w:tcW w:w="6552" w:type="dxa"/>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精度：±1000Pa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1183" w:type="dxa"/>
            <w:vMerge w:val="restart"/>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性能</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要求</w:t>
            </w:r>
          </w:p>
        </w:tc>
        <w:tc>
          <w:tcPr>
            <w:tcW w:w="1644" w:type="dxa"/>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工作温度</w:t>
            </w:r>
          </w:p>
        </w:tc>
        <w:tc>
          <w:tcPr>
            <w:tcW w:w="6552" w:type="dxa"/>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1183" w:type="dxa"/>
            <w:vMerge w:val="continue"/>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p>
        </w:tc>
        <w:tc>
          <w:tcPr>
            <w:tcW w:w="1644" w:type="dxa"/>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储存温度</w:t>
            </w:r>
          </w:p>
        </w:tc>
        <w:tc>
          <w:tcPr>
            <w:tcW w:w="6552" w:type="dxa"/>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1183" w:type="dxa"/>
            <w:vMerge w:val="continue"/>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p>
        </w:tc>
        <w:tc>
          <w:tcPr>
            <w:tcW w:w="1644" w:type="dxa"/>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工作湿度</w:t>
            </w:r>
          </w:p>
        </w:tc>
        <w:tc>
          <w:tcPr>
            <w:tcW w:w="6552" w:type="dxa"/>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≤95%（不结露）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1183" w:type="dxa"/>
            <w:vMerge w:val="continue"/>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p>
        </w:tc>
        <w:tc>
          <w:tcPr>
            <w:tcW w:w="1644" w:type="dxa"/>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续航时长</w:t>
            </w:r>
          </w:p>
        </w:tc>
        <w:tc>
          <w:tcPr>
            <w:tcW w:w="6552" w:type="dxa"/>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1183" w:type="dxa"/>
            <w:vMerge w:val="continue"/>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p>
        </w:tc>
        <w:tc>
          <w:tcPr>
            <w:tcW w:w="1644" w:type="dxa"/>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离线存储</w:t>
            </w:r>
          </w:p>
        </w:tc>
        <w:tc>
          <w:tcPr>
            <w:tcW w:w="6552" w:type="dxa"/>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1183" w:type="dxa"/>
            <w:vMerge w:val="continue"/>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p>
        </w:tc>
        <w:tc>
          <w:tcPr>
            <w:tcW w:w="1644" w:type="dxa"/>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采集间隔</w:t>
            </w:r>
          </w:p>
        </w:tc>
        <w:tc>
          <w:tcPr>
            <w:tcW w:w="6552" w:type="dxa"/>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1183" w:type="dxa"/>
            <w:vMerge w:val="continue"/>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p>
        </w:tc>
        <w:tc>
          <w:tcPr>
            <w:tcW w:w="1644" w:type="dxa"/>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网络连接</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距离</w:t>
            </w:r>
          </w:p>
        </w:tc>
        <w:tc>
          <w:tcPr>
            <w:tcW w:w="6552" w:type="dxa"/>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1183" w:type="dxa"/>
            <w:vMerge w:val="continue"/>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p>
        </w:tc>
        <w:tc>
          <w:tcPr>
            <w:tcW w:w="1644" w:type="dxa"/>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静电放电</w:t>
            </w:r>
          </w:p>
        </w:tc>
        <w:tc>
          <w:tcPr>
            <w:tcW w:w="6552" w:type="dxa"/>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9" w:hRule="atLeast"/>
        </w:trPr>
        <w:tc>
          <w:tcPr>
            <w:tcW w:w="1183" w:type="dxa"/>
            <w:vMerge w:val="continue"/>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p>
        </w:tc>
        <w:tc>
          <w:tcPr>
            <w:tcW w:w="1644" w:type="dxa"/>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射频电磁场辐射抗扰度</w:t>
            </w:r>
          </w:p>
        </w:tc>
        <w:tc>
          <w:tcPr>
            <w:tcW w:w="6552" w:type="dxa"/>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9" w:hRule="atLeast"/>
        </w:trPr>
        <w:tc>
          <w:tcPr>
            <w:tcW w:w="1183" w:type="dxa"/>
            <w:vMerge w:val="continue"/>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p>
        </w:tc>
        <w:tc>
          <w:tcPr>
            <w:tcW w:w="1644" w:type="dxa"/>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工频磁场抗扰度</w:t>
            </w:r>
          </w:p>
        </w:tc>
        <w:tc>
          <w:tcPr>
            <w:tcW w:w="6552" w:type="dxa"/>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9" w:hRule="atLeast"/>
        </w:trPr>
        <w:tc>
          <w:tcPr>
            <w:tcW w:w="1183" w:type="dxa"/>
            <w:vMerge w:val="continue"/>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p>
        </w:tc>
        <w:tc>
          <w:tcPr>
            <w:tcW w:w="1644" w:type="dxa"/>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辐射骚扰/</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发射</w:t>
            </w:r>
          </w:p>
        </w:tc>
        <w:tc>
          <w:tcPr>
            <w:tcW w:w="6552" w:type="dxa"/>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1183" w:type="dxa"/>
            <w:vMerge w:val="continue"/>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p>
        </w:tc>
        <w:tc>
          <w:tcPr>
            <w:tcW w:w="1644" w:type="dxa"/>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固件升级</w:t>
            </w:r>
          </w:p>
        </w:tc>
        <w:tc>
          <w:tcPr>
            <w:tcW w:w="6552" w:type="dxa"/>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支持远程升级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9" w:hRule="atLeast"/>
        </w:trPr>
        <w:tc>
          <w:tcPr>
            <w:tcW w:w="1183" w:type="dxa"/>
            <w:vMerge w:val="restart"/>
            <w:tcBorders>
              <w:top w:val="nil"/>
              <w:left w:val="single" w:color="000000" w:sz="8" w:space="0"/>
              <w:bottom w:val="single" w:color="auto" w:sz="4"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智能</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功能</w:t>
            </w:r>
          </w:p>
        </w:tc>
        <w:tc>
          <w:tcPr>
            <w:tcW w:w="1644" w:type="dxa"/>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判断灭菌周期</w:t>
            </w:r>
          </w:p>
        </w:tc>
        <w:tc>
          <w:tcPr>
            <w:tcW w:w="6552" w:type="dxa"/>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智能判断全灭菌周期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1183" w:type="dxa"/>
            <w:vMerge w:val="continue"/>
            <w:tcBorders>
              <w:top w:val="nil"/>
              <w:left w:val="single" w:color="000000" w:sz="8" w:space="0"/>
              <w:bottom w:val="single" w:color="auto" w:sz="4"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p>
        </w:tc>
        <w:tc>
          <w:tcPr>
            <w:tcW w:w="1644" w:type="dxa"/>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电源判断</w:t>
            </w:r>
          </w:p>
        </w:tc>
        <w:tc>
          <w:tcPr>
            <w:tcW w:w="6552" w:type="dxa"/>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智能判断并上报终端是否有接外部电源、电池电量信息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1183" w:type="dxa"/>
            <w:vMerge w:val="continue"/>
            <w:tcBorders>
              <w:top w:val="nil"/>
              <w:left w:val="single" w:color="000000" w:sz="8" w:space="0"/>
              <w:bottom w:val="single" w:color="auto" w:sz="4"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p>
        </w:tc>
        <w:tc>
          <w:tcPr>
            <w:tcW w:w="1644" w:type="dxa"/>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网络判断</w:t>
            </w:r>
          </w:p>
        </w:tc>
        <w:tc>
          <w:tcPr>
            <w:tcW w:w="6552" w:type="dxa"/>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智能判断并上报终端WiFi网络质量、是否断网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1183" w:type="dxa"/>
            <w:vMerge w:val="continue"/>
            <w:tcBorders>
              <w:top w:val="nil"/>
              <w:left w:val="single" w:color="000000" w:sz="8" w:space="0"/>
              <w:bottom w:val="single" w:color="auto" w:sz="4"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p>
        </w:tc>
        <w:tc>
          <w:tcPr>
            <w:tcW w:w="1644" w:type="dxa"/>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传感器判断</w:t>
            </w:r>
          </w:p>
        </w:tc>
        <w:tc>
          <w:tcPr>
            <w:tcW w:w="6552" w:type="dxa"/>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智能判断连接在终端上的传感器是否连接正常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9" w:hRule="atLeast"/>
        </w:trPr>
        <w:tc>
          <w:tcPr>
            <w:tcW w:w="1183"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信息</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安全</w:t>
            </w:r>
          </w:p>
        </w:tc>
        <w:tc>
          <w:tcPr>
            <w:tcW w:w="1644" w:type="dxa"/>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加密方式</w:t>
            </w:r>
          </w:p>
        </w:tc>
        <w:tc>
          <w:tcPr>
            <w:tcW w:w="6552" w:type="dxa"/>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传输协议是 TLS 1.2；加密算法是 RSA-2048；签名算法 SHA-256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1183" w:type="dxa"/>
            <w:vMerge w:val="restart"/>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常规</w:t>
            </w:r>
          </w:p>
        </w:tc>
        <w:tc>
          <w:tcPr>
            <w:tcW w:w="1644" w:type="dxa"/>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裸机尺寸</w:t>
            </w:r>
          </w:p>
        </w:tc>
        <w:tc>
          <w:tcPr>
            <w:tcW w:w="6552" w:type="dxa"/>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≤98.2mm*46.2mm*23.6mm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1183" w:type="dxa"/>
            <w:vMerge w:val="continue"/>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p>
        </w:tc>
        <w:tc>
          <w:tcPr>
            <w:tcW w:w="1644" w:type="dxa"/>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裸机重量</w:t>
            </w:r>
          </w:p>
        </w:tc>
        <w:tc>
          <w:tcPr>
            <w:tcW w:w="6552" w:type="dxa"/>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150g-</w:t>
            </w:r>
            <w:r>
              <w:rPr>
                <w:rFonts w:hint="eastAsia" w:ascii="仿宋" w:hAnsi="仿宋" w:eastAsia="仿宋" w:cs="仿宋"/>
                <w:color w:val="auto"/>
                <w:sz w:val="24"/>
                <w:highlight w:val="none"/>
              </w:rPr>
              <w:t>110g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1183" w:type="dxa"/>
            <w:vMerge w:val="continue"/>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p>
        </w:tc>
        <w:tc>
          <w:tcPr>
            <w:tcW w:w="1644" w:type="dxa"/>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安装方式</w:t>
            </w:r>
          </w:p>
        </w:tc>
        <w:tc>
          <w:tcPr>
            <w:tcW w:w="6552" w:type="dxa"/>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磁吸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1183" w:type="dxa"/>
            <w:vMerge w:val="continue"/>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p>
        </w:tc>
        <w:tc>
          <w:tcPr>
            <w:tcW w:w="1644" w:type="dxa"/>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认证要求</w:t>
            </w:r>
          </w:p>
        </w:tc>
        <w:tc>
          <w:tcPr>
            <w:tcW w:w="6552" w:type="dxa"/>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SRRC、GB 4943.1-2011、GB/T 9254-2008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1183" w:type="dxa"/>
            <w:vMerge w:val="continue"/>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p>
        </w:tc>
        <w:tc>
          <w:tcPr>
            <w:tcW w:w="1644" w:type="dxa"/>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外壳材质</w:t>
            </w:r>
          </w:p>
        </w:tc>
        <w:tc>
          <w:tcPr>
            <w:tcW w:w="6552" w:type="dxa"/>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PC+ABS合金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6" w:hRule="atLeast"/>
        </w:trPr>
        <w:tc>
          <w:tcPr>
            <w:tcW w:w="1183" w:type="dxa"/>
            <w:vMerge w:val="restart"/>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包装</w:t>
            </w:r>
          </w:p>
        </w:tc>
        <w:tc>
          <w:tcPr>
            <w:tcW w:w="1644" w:type="dxa"/>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包装清单</w:t>
            </w:r>
          </w:p>
        </w:tc>
        <w:tc>
          <w:tcPr>
            <w:tcW w:w="6552" w:type="dxa"/>
            <w:tcBorders>
              <w:top w:val="single" w:color="000000" w:sz="8" w:space="0"/>
              <w:left w:val="nil"/>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终端×1、电源线×1、说明书×1、电源适配器×1、温度传感器×1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trPr>
        <w:tc>
          <w:tcPr>
            <w:tcW w:w="1183" w:type="dxa"/>
            <w:vMerge w:val="continue"/>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p>
        </w:tc>
        <w:tc>
          <w:tcPr>
            <w:tcW w:w="1644" w:type="dxa"/>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电源线</w:t>
            </w:r>
          </w:p>
        </w:tc>
        <w:tc>
          <w:tcPr>
            <w:tcW w:w="6552" w:type="dxa"/>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USB 2.0+USB-C、AWG24、线长2米</w:t>
            </w:r>
          </w:p>
        </w:tc>
      </w:tr>
    </w:tbl>
    <w:p>
      <w:pPr>
        <w:numPr>
          <w:ilvl w:val="0"/>
          <w:numId w:val="0"/>
        </w:numPr>
        <w:spacing w:line="360" w:lineRule="auto"/>
        <w:ind w:leftChars="0"/>
        <w:jc w:val="left"/>
        <w:rPr>
          <w:rFonts w:hint="eastAsia" w:ascii="仿宋" w:hAnsi="仿宋" w:eastAsia="仿宋" w:cs="仿宋"/>
          <w:b/>
          <w:bCs/>
          <w:color w:val="auto"/>
          <w:sz w:val="24"/>
          <w:highlight w:val="none"/>
          <w:lang w:val="en-US" w:eastAsia="zh-CN"/>
        </w:rPr>
      </w:pPr>
    </w:p>
    <w:p>
      <w:pPr>
        <w:numPr>
          <w:ilvl w:val="0"/>
          <w:numId w:val="0"/>
        </w:numPr>
        <w:spacing w:line="360" w:lineRule="auto"/>
        <w:ind w:leftChars="0"/>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2.灭菌器智能监控套件技术要求</w:t>
      </w:r>
    </w:p>
    <w:p>
      <w:pPr>
        <w:numPr>
          <w:ilvl w:val="0"/>
          <w:numId w:val="0"/>
        </w:numPr>
        <w:spacing w:line="360" w:lineRule="auto"/>
        <w:ind w:leftChars="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口腔诊疗器械</w:t>
      </w:r>
      <w:r>
        <w:rPr>
          <w:rFonts w:hint="eastAsia" w:ascii="仿宋" w:hAnsi="仿宋" w:eastAsia="仿宋" w:cs="仿宋"/>
          <w:color w:val="auto"/>
          <w:sz w:val="24"/>
          <w:highlight w:val="none"/>
        </w:rPr>
        <w:t>清洗消毒操作的在线监控。在口腔诊疗机构器械清洗消毒操作区域，实现实时在线监控。在线监督口腔诊疗器械清洗消毒的合规情况，并设置可追溯功能。在线监控采用WiFi或4G网络模式直接传输。并且要求在断网情况下，数据不会丢失。</w:t>
      </w:r>
    </w:p>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利用最先进的图形图像识别技术，对从事口腔手术设备清洗人员以及操作实施在线监控，视频可以移动侦测技术，摘取有效视频，按需求回放取证。</w:t>
      </w:r>
    </w:p>
    <w:tbl>
      <w:tblPr>
        <w:tblStyle w:val="63"/>
        <w:tblW w:w="9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7"/>
        <w:gridCol w:w="6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7" w:type="dxa"/>
            <w:noWrap w:val="0"/>
            <w:vAlign w:val="top"/>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功能指标</w:t>
            </w:r>
          </w:p>
        </w:tc>
        <w:tc>
          <w:tcPr>
            <w:tcW w:w="6888" w:type="dxa"/>
            <w:noWrap w:val="0"/>
            <w:vAlign w:val="top"/>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具体参数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7" w:type="dxa"/>
            <w:noWrap w:val="0"/>
            <w:vAlign w:val="top"/>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调整角度</w:t>
            </w:r>
          </w:p>
        </w:tc>
        <w:tc>
          <w:tcPr>
            <w:tcW w:w="6888" w:type="dxa"/>
            <w:noWrap w:val="0"/>
            <w:vAlign w:val="top"/>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水平: 0° ~ 360°; 垂直: 0° ~ 90°; 旋转: 0° ~ 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7" w:type="dxa"/>
            <w:noWrap w:val="0"/>
            <w:vAlign w:val="top"/>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日夜转换模式</w:t>
            </w:r>
          </w:p>
        </w:tc>
        <w:tc>
          <w:tcPr>
            <w:tcW w:w="6888" w:type="dxa"/>
            <w:noWrap w:val="0"/>
            <w:vAlign w:val="top"/>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ICR 红外滤片式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7" w:type="dxa"/>
            <w:noWrap w:val="0"/>
            <w:vAlign w:val="top"/>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图像</w:t>
            </w:r>
          </w:p>
        </w:tc>
        <w:tc>
          <w:tcPr>
            <w:tcW w:w="6888" w:type="dxa"/>
            <w:noWrap w:val="0"/>
            <w:vAlign w:val="top"/>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图像增强:背光补偿, 强光抑制, 3D 数字降噪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7" w:type="dxa"/>
            <w:noWrap w:val="0"/>
            <w:vAlign w:val="top"/>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接口及功能</w:t>
            </w:r>
          </w:p>
        </w:tc>
        <w:tc>
          <w:tcPr>
            <w:tcW w:w="6888" w:type="dxa"/>
            <w:noWrap w:val="0"/>
            <w:vAlign w:val="top"/>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支持协议： TCP/IP, ICMP, HTTP, FTP, DHCP, DNS, DDNS, RTP, RTSP, NTP, UPnP, SMTP, SNMP, IGMP, QoS, IPv6, UDP,Bonjour, SSL/TLS,ehome</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存储功能: 支持Micro SD/Micro SDHC/Micro SDXC 卡断网本地存储及断网续传, NAS(NFS, SMB/CIFS 均支持)</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音频接口：内置1个麦克风,内置1个扬声器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617" w:type="dxa"/>
            <w:noWrap w:val="0"/>
            <w:vAlign w:val="top"/>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其他</w:t>
            </w:r>
          </w:p>
        </w:tc>
        <w:tc>
          <w:tcPr>
            <w:tcW w:w="6888" w:type="dxa"/>
            <w:noWrap w:val="0"/>
            <w:vAlign w:val="top"/>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工作温度和湿度: -30 ℃ ~ 60 ℃, 湿度小于95%(无凝结)</w:t>
            </w:r>
          </w:p>
        </w:tc>
      </w:tr>
    </w:tbl>
    <w:p>
      <w:pPr>
        <w:spacing w:line="360" w:lineRule="auto"/>
        <w:jc w:val="left"/>
        <w:rPr>
          <w:rFonts w:hint="eastAsia" w:ascii="仿宋" w:hAnsi="仿宋" w:eastAsia="仿宋" w:cs="仿宋"/>
          <w:b/>
          <w:bCs/>
          <w:color w:val="auto"/>
          <w:sz w:val="24"/>
          <w:highlight w:val="red"/>
          <w:lang w:val="en-US" w:eastAsia="zh-CN"/>
        </w:rPr>
      </w:pP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u w:val="none"/>
        </w:rPr>
        <w:t>口腔诊疗机构智慧监控平台</w:t>
      </w:r>
      <w:r>
        <w:rPr>
          <w:rFonts w:hint="eastAsia" w:ascii="仿宋" w:hAnsi="仿宋" w:eastAsia="仿宋" w:cs="仿宋"/>
          <w:b/>
          <w:bCs/>
          <w:color w:val="auto"/>
          <w:sz w:val="24"/>
          <w:highlight w:val="none"/>
          <w:u w:val="none"/>
          <w:lang w:eastAsia="zh-CN"/>
        </w:rPr>
        <w:t>软件</w:t>
      </w:r>
      <w:r>
        <w:rPr>
          <w:rFonts w:hint="eastAsia" w:ascii="仿宋" w:hAnsi="仿宋" w:eastAsia="仿宋" w:cs="仿宋"/>
          <w:b/>
          <w:bCs/>
          <w:color w:val="auto"/>
          <w:sz w:val="24"/>
          <w:highlight w:val="none"/>
          <w:u w:val="none"/>
          <w:lang w:val="en-US" w:eastAsia="zh-CN"/>
        </w:rPr>
        <w:t>及技术服务要求</w:t>
      </w:r>
    </w:p>
    <w:p>
      <w:pPr>
        <w:numPr>
          <w:ilvl w:val="0"/>
          <w:numId w:val="0"/>
        </w:numPr>
        <w:spacing w:line="360" w:lineRule="auto"/>
        <w:ind w:firstLine="480" w:firstLineChars="2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口腔诊疗机构智慧监管平台结合物联网、机器视觉、大数据分析和人工智能等现代信息技术，实现卫生监督部门完成对各个监管场所、监管内容的在线监管、实时预警、在线取证、非现场执法。充分体现核心价值：实时监控、全程追溯、智慧判断、公平执法。</w:t>
      </w:r>
    </w:p>
    <w:p>
      <w:pPr>
        <w:numPr>
          <w:ilvl w:val="0"/>
          <w:numId w:val="0"/>
        </w:numPr>
        <w:spacing w:line="360" w:lineRule="auto"/>
        <w:jc w:val="both"/>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3.1</w:t>
      </w:r>
      <w:r>
        <w:rPr>
          <w:rFonts w:hint="eastAsia" w:ascii="仿宋" w:hAnsi="仿宋" w:eastAsia="仿宋" w:cs="仿宋"/>
          <w:b/>
          <w:bCs/>
          <w:color w:val="auto"/>
          <w:sz w:val="24"/>
          <w:highlight w:val="none"/>
        </w:rPr>
        <w:t>器械灭菌智能监测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利用对温度、压力、时间监测、数据通信、计算机网络等技术，对压力蒸汽灭菌器灭菌过程的温度、压力、时间等参数进行实时监测，并将数据实时存储和传输至智慧监管平台。</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系统根据国家卫生标准，构建算法，对灭菌结果的合规性判断，采用监测设备对小型压力蒸汽灭菌器灭菌过程的温度、时间灭菌参数进行实时监测、记录和分析的监测方法。</w:t>
      </w:r>
    </w:p>
    <w:p>
      <w:pPr>
        <w:spacing w:line="360" w:lineRule="auto"/>
        <w:jc w:val="left"/>
        <w:rPr>
          <w:rFonts w:hint="eastAsia"/>
          <w:color w:val="auto"/>
        </w:rPr>
      </w:pPr>
      <w:r>
        <w:rPr>
          <w:rFonts w:hint="eastAsia" w:ascii="仿宋" w:hAnsi="仿宋" w:eastAsia="仿宋" w:cs="仿宋"/>
          <w:color w:val="auto"/>
          <w:sz w:val="24"/>
          <w:highlight w:val="none"/>
        </w:rPr>
        <w:t>中国卫生行业标准《WS506-2016口腔器械消毒灭菌技术操作规范》小型灭菌器灭菌与检测要求附录E（规范性附录），里对灭菌要求参数做出明确规定，如下表：</w:t>
      </w:r>
    </w:p>
    <w:tbl>
      <w:tblPr>
        <w:tblStyle w:val="63"/>
        <w:tblW w:w="0" w:type="auto"/>
        <w:tblInd w:w="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0"/>
        <w:gridCol w:w="2808"/>
        <w:gridCol w:w="3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温度</w:t>
            </w:r>
          </w:p>
        </w:tc>
        <w:tc>
          <w:tcPr>
            <w:tcW w:w="2808" w:type="dxa"/>
            <w:tcBorders>
              <w:top w:val="single" w:color="auto" w:sz="4" w:space="0"/>
              <w:left w:val="nil"/>
              <w:bottom w:val="single" w:color="auto" w:sz="4" w:space="0"/>
              <w:right w:val="single" w:color="auto" w:sz="4" w:space="0"/>
            </w:tcBorders>
            <w:noWrap w:val="0"/>
            <w:vAlign w:val="top"/>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最短灭菌时间（分钟）</w:t>
            </w:r>
          </w:p>
        </w:tc>
        <w:tc>
          <w:tcPr>
            <w:tcW w:w="3720" w:type="dxa"/>
            <w:tcBorders>
              <w:top w:val="single" w:color="auto" w:sz="4" w:space="0"/>
              <w:left w:val="nil"/>
              <w:bottom w:val="single" w:color="auto" w:sz="4" w:space="0"/>
              <w:right w:val="single" w:color="auto" w:sz="4" w:space="0"/>
            </w:tcBorders>
            <w:noWrap w:val="0"/>
            <w:vAlign w:val="top"/>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相对压力（kPa）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256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121</w:t>
            </w:r>
          </w:p>
        </w:tc>
        <w:tc>
          <w:tcPr>
            <w:tcW w:w="2808" w:type="dxa"/>
            <w:tcBorders>
              <w:top w:val="single" w:color="auto" w:sz="4" w:space="0"/>
              <w:left w:val="nil"/>
              <w:bottom w:val="single" w:color="auto" w:sz="4" w:space="0"/>
              <w:right w:val="single" w:color="auto" w:sz="4" w:space="0"/>
            </w:tcBorders>
            <w:noWrap w:val="0"/>
            <w:vAlign w:val="top"/>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3720" w:type="dxa"/>
            <w:tcBorders>
              <w:top w:val="single" w:color="auto" w:sz="4" w:space="0"/>
              <w:left w:val="nil"/>
              <w:bottom w:val="single" w:color="auto" w:sz="4" w:space="0"/>
              <w:right w:val="single" w:color="auto" w:sz="4" w:space="0"/>
            </w:tcBorders>
            <w:noWrap w:val="0"/>
            <w:vAlign w:val="top"/>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256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2808" w:type="dxa"/>
            <w:tcBorders>
              <w:top w:val="single" w:color="auto" w:sz="4" w:space="0"/>
              <w:left w:val="nil"/>
              <w:bottom w:val="single" w:color="auto" w:sz="4" w:space="0"/>
              <w:right w:val="single" w:color="auto" w:sz="4" w:space="0"/>
            </w:tcBorders>
            <w:noWrap w:val="0"/>
            <w:vAlign w:val="top"/>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3720" w:type="dxa"/>
            <w:tcBorders>
              <w:top w:val="single" w:color="auto" w:sz="4" w:space="0"/>
              <w:left w:val="nil"/>
              <w:bottom w:val="single" w:color="auto" w:sz="4" w:space="0"/>
              <w:right w:val="single" w:color="auto" w:sz="4" w:space="0"/>
            </w:tcBorders>
            <w:noWrap w:val="0"/>
            <w:vAlign w:val="top"/>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185.4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6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134</w:t>
            </w:r>
          </w:p>
        </w:tc>
        <w:tc>
          <w:tcPr>
            <w:tcW w:w="2808" w:type="dxa"/>
            <w:tcBorders>
              <w:top w:val="single" w:color="auto" w:sz="4" w:space="0"/>
              <w:left w:val="nil"/>
              <w:bottom w:val="single" w:color="auto" w:sz="4" w:space="0"/>
              <w:right w:val="single" w:color="auto" w:sz="4" w:space="0"/>
            </w:tcBorders>
            <w:noWrap w:val="0"/>
            <w:vAlign w:val="top"/>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3720" w:type="dxa"/>
            <w:tcBorders>
              <w:top w:val="single" w:color="auto" w:sz="4" w:space="0"/>
              <w:left w:val="nil"/>
              <w:bottom w:val="single" w:color="auto" w:sz="4" w:space="0"/>
              <w:right w:val="single" w:color="auto" w:sz="4" w:space="0"/>
            </w:tcBorders>
            <w:noWrap w:val="0"/>
            <w:vAlign w:val="top"/>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202.8</w:t>
            </w:r>
          </w:p>
        </w:tc>
      </w:tr>
    </w:tbl>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表1：灭菌参数</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支持各口腔诊疗机构各灭菌器的实时运行情况，包含压力、温度、运行时长等数据查看。也支持通过对诊疗机构、灭菌器、时间段等信息进行筛选，来快速查询所需信息。</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支持对特定机构、特定灭菌器、特定时间段的灭菌数据进行详细查看、打印。</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支持查看灭菌不达标的异常事件详情，包括诊所信息、灭菌时间、灭菌器信息、所有温度、压力、时间参数等，并打印。</w:t>
      </w:r>
    </w:p>
    <w:p>
      <w:pPr>
        <w:spacing w:line="360" w:lineRule="auto"/>
        <w:jc w:val="both"/>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 xml:space="preserve">3.2 </w:t>
      </w:r>
      <w:r>
        <w:rPr>
          <w:rFonts w:hint="eastAsia" w:ascii="仿宋" w:hAnsi="仿宋" w:eastAsia="仿宋" w:cs="仿宋"/>
          <w:b/>
          <w:bCs/>
          <w:color w:val="auto"/>
          <w:sz w:val="24"/>
          <w:highlight w:val="none"/>
        </w:rPr>
        <w:t>清洗消毒智能监控</w:t>
      </w:r>
    </w:p>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（1）支持对口腔诊疗机构的清洗消毒间进行全天视频实时录制；</w:t>
      </w:r>
    </w:p>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（2）支持监督员随时查看各机构的各监控设备的实时监控视频；并支持根据辖区、安装情况、机构名称等快速查找机构；</w:t>
      </w:r>
    </w:p>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（3）应用智能侦测技术，当有人进入时，开启视频录制，无人移动时，停止视频录制，大大减少监督员所需巡检的视频量和视频所需的存储空间；</w:t>
      </w:r>
    </w:p>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（4）支持监督员对各诊所的各监控设备随时进行回播、若发现异常时可随时标记异常并下载视频，作为执法证据。</w:t>
      </w:r>
    </w:p>
    <w:p>
      <w:pPr>
        <w:spacing w:line="360" w:lineRule="auto"/>
        <w:jc w:val="both"/>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3.3</w:t>
      </w:r>
      <w:r>
        <w:rPr>
          <w:rFonts w:hint="eastAsia" w:ascii="仿宋" w:hAnsi="仿宋" w:eastAsia="仿宋" w:cs="仿宋"/>
          <w:b/>
          <w:bCs/>
          <w:color w:val="auto"/>
          <w:sz w:val="24"/>
          <w:highlight w:val="none"/>
        </w:rPr>
        <w:t>生物化学报告上传</w:t>
      </w:r>
    </w:p>
    <w:p>
      <w:pPr>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（1）支持口腔诊疗机构在移动端上查看其对应机构的各灭菌周期，并支持任一周期上传对应的化学、生物监测报告；</w:t>
      </w:r>
    </w:p>
    <w:p>
      <w:pPr>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（2）监测报告的内容和格式，参考中国卫生行业标准《WS506-2016口腔器械消毒灭菌技术操作规范》附录F灭菌器灭菌周期运行记录表；</w:t>
      </w:r>
    </w:p>
    <w:p>
      <w:pPr>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（3）监督员可实时查看辖区内各机构的所有监测报告。</w:t>
      </w:r>
    </w:p>
    <w:p>
      <w:pPr>
        <w:spacing w:line="360" w:lineRule="auto"/>
        <w:jc w:val="both"/>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 xml:space="preserve">3.4 </w:t>
      </w:r>
      <w:r>
        <w:rPr>
          <w:rFonts w:hint="eastAsia" w:ascii="仿宋" w:hAnsi="仿宋" w:eastAsia="仿宋" w:cs="仿宋"/>
          <w:b/>
          <w:bCs/>
          <w:color w:val="auto"/>
          <w:sz w:val="24"/>
          <w:highlight w:val="none"/>
        </w:rPr>
        <w:t>智能预警</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系统平台能根据智能监测终端与智能网络摄像头获取到现场数据，根据预警规则触发报警。需含以下预警规则：机构监管失控、洗消频率低、清洗操作异常、灭菌频率低、灭菌不达标、生物监测缺失</w:t>
      </w:r>
    </w:p>
    <w:p>
      <w:pPr>
        <w:spacing w:line="360" w:lineRule="auto"/>
        <w:jc w:val="both"/>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3.5</w:t>
      </w:r>
      <w:r>
        <w:rPr>
          <w:rFonts w:hint="eastAsia" w:ascii="仿宋" w:hAnsi="仿宋" w:eastAsia="仿宋" w:cs="仿宋"/>
          <w:b/>
          <w:bCs/>
          <w:color w:val="auto"/>
          <w:sz w:val="24"/>
          <w:highlight w:val="none"/>
        </w:rPr>
        <w:t>在线取证执法</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记录每种异常情况的详细信息，并长久保留信息，提供监督员查看、下载的功能。</w:t>
      </w:r>
    </w:p>
    <w:p>
      <w:pPr>
        <w:spacing w:line="360" w:lineRule="auto"/>
        <w:jc w:val="both"/>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3.6.其他</w:t>
      </w:r>
      <w:r>
        <w:rPr>
          <w:rFonts w:hint="eastAsia" w:ascii="仿宋" w:hAnsi="仿宋" w:eastAsia="仿宋" w:cs="仿宋"/>
          <w:b/>
          <w:bCs/>
          <w:color w:val="auto"/>
          <w:sz w:val="24"/>
          <w:highlight w:val="none"/>
        </w:rPr>
        <w:t>技术服务</w:t>
      </w:r>
    </w:p>
    <w:p>
      <w:pPr>
        <w:spacing w:line="360" w:lineRule="auto"/>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需提供以下的技术服务，用于实现卫监部门对口腔诊疗机构的灭菌监测与监控数据的获取，从而最终实现提高卫生健康执法效率，优化营商环境的智慧口腔目标</w:t>
      </w:r>
      <w:r>
        <w:rPr>
          <w:rFonts w:hint="eastAsia" w:ascii="仿宋" w:hAnsi="仿宋" w:eastAsia="仿宋" w:cs="仿宋"/>
          <w:color w:val="auto"/>
          <w:sz w:val="24"/>
          <w:highlight w:val="none"/>
          <w:lang w:eastAsia="zh-CN"/>
        </w:rPr>
        <w:t>。</w:t>
      </w:r>
    </w:p>
    <w:p>
      <w:pPr>
        <w:spacing w:line="360" w:lineRule="auto"/>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对智能监测套件的安装与测试</w:t>
      </w:r>
      <w:r>
        <w:rPr>
          <w:rFonts w:hint="eastAsia" w:ascii="仿宋" w:hAnsi="仿宋" w:eastAsia="仿宋" w:cs="仿宋"/>
          <w:color w:val="auto"/>
          <w:sz w:val="24"/>
          <w:highlight w:val="none"/>
          <w:lang w:eastAsia="zh-CN"/>
        </w:rPr>
        <w:t>。</w:t>
      </w:r>
    </w:p>
    <w:p>
      <w:pPr>
        <w:spacing w:line="360" w:lineRule="auto"/>
        <w:ind w:firstLine="480" w:firstLineChars="2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需在不影响诊所灭菌器正常使用的前提下，安装智能监测套件。</w:t>
      </w:r>
    </w:p>
    <w:p>
      <w:pPr>
        <w:spacing w:line="360" w:lineRule="auto"/>
        <w:ind w:firstLine="480" w:firstLineChars="200"/>
        <w:jc w:val="both"/>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灭菌器性能测试（包含密封性测试，物理监测，化学监测，生物监测）</w:t>
      </w:r>
      <w:r>
        <w:rPr>
          <w:rFonts w:hint="eastAsia" w:ascii="仿宋" w:hAnsi="仿宋" w:eastAsia="仿宋" w:cs="仿宋"/>
          <w:color w:val="auto"/>
          <w:sz w:val="24"/>
          <w:highlight w:val="none"/>
          <w:lang w:eastAsia="zh-CN"/>
        </w:rPr>
        <w:t>。</w:t>
      </w:r>
    </w:p>
    <w:p>
      <w:pPr>
        <w:spacing w:line="360" w:lineRule="auto"/>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传感器计量校准（由有资质的计量机构出具校准证书（每年一次），共3年）</w:t>
      </w:r>
      <w:r>
        <w:rPr>
          <w:rFonts w:hint="eastAsia" w:ascii="仿宋" w:hAnsi="仿宋" w:eastAsia="仿宋" w:cs="仿宋"/>
          <w:color w:val="auto"/>
          <w:sz w:val="24"/>
          <w:highlight w:val="none"/>
          <w:lang w:eastAsia="zh-CN"/>
        </w:rPr>
        <w:t>。</w:t>
      </w:r>
    </w:p>
    <w:p>
      <w:pPr>
        <w:spacing w:line="360" w:lineRule="auto"/>
        <w:ind w:firstLine="480" w:firstLineChars="200"/>
        <w:jc w:val="both"/>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智能监测及监控软硬件系统运维</w:t>
      </w:r>
      <w:r>
        <w:rPr>
          <w:rFonts w:hint="eastAsia" w:ascii="仿宋" w:hAnsi="仿宋" w:eastAsia="仿宋" w:cs="仿宋"/>
          <w:color w:val="auto"/>
          <w:sz w:val="24"/>
          <w:highlight w:val="none"/>
          <w:lang w:eastAsia="zh-CN"/>
        </w:rPr>
        <w:t>。</w:t>
      </w:r>
    </w:p>
    <w:p>
      <w:pPr>
        <w:spacing w:line="360" w:lineRule="auto"/>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智能监控视频存储调用（新接摄像头）、30天监控视频在线播放、存储、下载调用（质保期3年）</w:t>
      </w:r>
      <w:r>
        <w:rPr>
          <w:rFonts w:hint="eastAsia" w:ascii="仿宋" w:hAnsi="仿宋" w:eastAsia="仿宋" w:cs="仿宋"/>
          <w:color w:val="auto"/>
          <w:sz w:val="24"/>
          <w:highlight w:val="none"/>
          <w:lang w:eastAsia="zh-CN"/>
        </w:rPr>
        <w:t>。</w:t>
      </w:r>
    </w:p>
    <w:p>
      <w:pPr>
        <w:spacing w:line="360" w:lineRule="auto"/>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智能监控套件安装与测试</w:t>
      </w:r>
      <w:r>
        <w:rPr>
          <w:rFonts w:hint="eastAsia" w:ascii="仿宋" w:hAnsi="仿宋" w:eastAsia="仿宋" w:cs="仿宋"/>
          <w:color w:val="auto"/>
          <w:sz w:val="24"/>
          <w:highlight w:val="none"/>
          <w:lang w:eastAsia="zh-CN"/>
        </w:rPr>
        <w:t>。</w:t>
      </w:r>
    </w:p>
    <w:p>
      <w:pPr>
        <w:spacing w:line="360" w:lineRule="auto"/>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支持对口腔诊疗机构的清洗消毒间进行全天视频实时录制，应用智能侦测技术，当有人进入时，开启视频录制，无人移动时，停止视频录制，大大减少监督员所需巡检的视频量和视频所需的存储空间</w:t>
      </w:r>
      <w:r>
        <w:rPr>
          <w:rFonts w:hint="eastAsia" w:ascii="仿宋" w:hAnsi="仿宋" w:eastAsia="仿宋" w:cs="仿宋"/>
          <w:color w:val="auto"/>
          <w:sz w:val="24"/>
          <w:highlight w:val="none"/>
          <w:lang w:eastAsia="zh-CN"/>
        </w:rPr>
        <w:t>。</w:t>
      </w:r>
    </w:p>
    <w:p>
      <w:pPr>
        <w:spacing w:line="360" w:lineRule="auto"/>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现有摄像头接入：满足“智能网络摄像头”的“摄像头硬件”模块的要求，并能够接入萤石云的摄像头</w:t>
      </w:r>
      <w:r>
        <w:rPr>
          <w:rFonts w:hint="eastAsia" w:ascii="仿宋" w:hAnsi="仿宋" w:eastAsia="仿宋" w:cs="仿宋"/>
          <w:color w:val="auto"/>
          <w:sz w:val="24"/>
          <w:highlight w:val="none"/>
          <w:lang w:eastAsia="zh-CN"/>
        </w:rPr>
        <w:t>。</w:t>
      </w:r>
    </w:p>
    <w:p>
      <w:pPr>
        <w:spacing w:line="360" w:lineRule="auto"/>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▲与卫监平台的数据接口适配、调试及对接</w:t>
      </w:r>
      <w:r>
        <w:rPr>
          <w:rFonts w:hint="eastAsia" w:ascii="仿宋" w:hAnsi="仿宋" w:eastAsia="仿宋" w:cs="仿宋"/>
          <w:color w:val="auto"/>
          <w:sz w:val="24"/>
          <w:highlight w:val="none"/>
          <w:lang w:eastAsia="zh-CN"/>
        </w:rPr>
        <w:t>。</w:t>
      </w:r>
    </w:p>
    <w:p>
      <w:pPr>
        <w:spacing w:line="360" w:lineRule="auto"/>
        <w:ind w:firstLine="480" w:firstLineChars="200"/>
        <w:jc w:val="left"/>
        <w:rPr>
          <w:rFonts w:hint="eastAsia" w:ascii="仿宋" w:hAnsi="仿宋" w:eastAsia="仿宋" w:cs="仿宋"/>
          <w:color w:val="auto"/>
        </w:rPr>
      </w:pPr>
      <w:r>
        <w:rPr>
          <w:rFonts w:hint="eastAsia" w:ascii="仿宋" w:hAnsi="仿宋" w:eastAsia="仿宋" w:cs="仿宋"/>
          <w:color w:val="auto"/>
          <w:sz w:val="24"/>
          <w:highlight w:val="none"/>
        </w:rPr>
        <w:t>诊所专用APP（使用期限为3年）。专用APP能让各诊所管理人员登录系统，并查看诊所的监控信息，查看诊所的异常事件，能进行事件申诉、执法人员可处理申诉，处理执法记录等。</w:t>
      </w:r>
    </w:p>
    <w:p>
      <w:pPr>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二、特别说明</w:t>
      </w:r>
    </w:p>
    <w:p>
      <w:pPr>
        <w:spacing w:line="360" w:lineRule="auto"/>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一）该项目须满足全省智慧监管系统平台的部署需求，项目所有监督监测数据能实时上传至浙江省“口腔诊疗机构监督在线”，在与浙江省“口腔诊疗机构监督在线”对接中产生的费用由中标方承担，投标单位投标时需要提供与浙江省“口腔诊疗机构监督在线”的对接方案。</w:t>
      </w:r>
    </w:p>
    <w:p>
      <w:pPr>
        <w:pStyle w:val="8"/>
        <w:ind w:left="0" w:leftChars="0" w:firstLine="0" w:firstLineChars="0"/>
        <w:rPr>
          <w:rFonts w:hint="eastAsia" w:ascii="仿宋" w:hAnsi="仿宋" w:eastAsia="仿宋" w:cs="仿宋"/>
          <w:color w:val="auto"/>
          <w:lang w:val="en-US" w:eastAsia="zh-CN"/>
        </w:rPr>
      </w:pPr>
      <w:r>
        <w:rPr>
          <w:rFonts w:hint="eastAsia" w:ascii="仿宋" w:hAnsi="仿宋" w:eastAsia="仿宋" w:cs="仿宋"/>
          <w:color w:val="auto"/>
          <w:sz w:val="24"/>
          <w:highlight w:val="none"/>
          <w:lang w:val="en-US" w:eastAsia="zh-CN"/>
        </w:rPr>
        <w:t>（二）中标单位在中标后7天内须携带相关投标设备与浙江省智能监管平台及操作系统进行对接方案验证，系统对接由采购单位帮助联络，中标供应商负责具体实施。如不能对接，不能签订政府采购合同。</w:t>
      </w:r>
    </w:p>
    <w:p>
      <w:pPr>
        <w:spacing w:before="312" w:beforeLines="100"/>
        <w:ind w:firstLine="420" w:firstLineChars="200"/>
        <w:jc w:val="left"/>
        <w:rPr>
          <w:rFonts w:hint="eastAsia" w:ascii="仿宋" w:hAnsi="仿宋" w:eastAsia="仿宋" w:cs="仿宋"/>
          <w:color w:val="auto"/>
          <w:szCs w:val="21"/>
        </w:rPr>
        <w:sectPr>
          <w:headerReference r:id="rId9" w:type="first"/>
          <w:headerReference r:id="rId8" w:type="default"/>
          <w:footerReference r:id="rId10" w:type="default"/>
          <w:footerReference r:id="rId11" w:type="even"/>
          <w:pgSz w:w="11906" w:h="16838"/>
          <w:pgMar w:top="1247" w:right="1134" w:bottom="1247" w:left="1134" w:header="851" w:footer="992" w:gutter="0"/>
          <w:cols w:space="720" w:num="1"/>
          <w:docGrid w:type="lines" w:linePitch="312" w:charSpace="0"/>
        </w:sectPr>
      </w:pPr>
    </w:p>
    <w:p>
      <w:pPr>
        <w:widowControl/>
        <w:adjustRightInd/>
        <w:jc w:val="left"/>
        <w:rPr>
          <w:rFonts w:hint="eastAsia" w:ascii="仿宋" w:hAnsi="仿宋" w:eastAsia="仿宋" w:cs="仿宋"/>
          <w:b/>
          <w:color w:val="auto"/>
          <w:sz w:val="24"/>
        </w:rPr>
      </w:pPr>
    </w:p>
    <w:p>
      <w:pPr>
        <w:pStyle w:val="8"/>
        <w:rPr>
          <w:rFonts w:ascii="仿宋" w:eastAsia="仿宋" w:cs="仿宋"/>
          <w:color w:val="auto"/>
          <w:sz w:val="28"/>
          <w:szCs w:val="28"/>
          <w:highlight w:val="none"/>
        </w:rPr>
      </w:pPr>
      <w:r>
        <w:rPr>
          <w:rFonts w:hint="eastAsia" w:ascii="仿宋" w:hAnsi="仿宋" w:eastAsia="仿宋" w:cs="仿宋"/>
          <w:b/>
          <w:color w:val="auto"/>
          <w:sz w:val="24"/>
        </w:rPr>
        <w:t>&lt;</w:t>
      </w:r>
      <w:r>
        <w:rPr>
          <w:rFonts w:hint="eastAsia" w:ascii="仿宋" w:eastAsia="仿宋" w:cs="仿宋"/>
          <w:b/>
          <w:color w:val="auto"/>
          <w:sz w:val="24"/>
          <w:lang w:val="en-US" w:eastAsia="zh-CN"/>
        </w:rPr>
        <w:t>三</w:t>
      </w:r>
      <w:r>
        <w:rPr>
          <w:rFonts w:hint="eastAsia" w:ascii="仿宋" w:hAnsi="仿宋" w:eastAsia="仿宋" w:cs="仿宋"/>
          <w:b/>
          <w:color w:val="auto"/>
          <w:sz w:val="24"/>
        </w:rPr>
        <w:t>&gt;</w:t>
      </w:r>
      <w:r>
        <w:rPr>
          <w:rFonts w:hint="eastAsia" w:ascii="仿宋" w:eastAsia="仿宋" w:cs="仿宋"/>
          <w:color w:val="auto"/>
          <w:sz w:val="28"/>
          <w:szCs w:val="28"/>
          <w:highlight w:val="none"/>
        </w:rPr>
        <w:t>其他要求</w:t>
      </w:r>
    </w:p>
    <w:p>
      <w:pPr>
        <w:autoSpaceDE w:val="0"/>
        <w:autoSpaceDN w:val="0"/>
        <w:spacing w:line="480" w:lineRule="exact"/>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.1、采购设备的总体要求：</w:t>
      </w:r>
    </w:p>
    <w:p>
      <w:pPr>
        <w:spacing w:line="48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中标单位保证所供商品(包括商品部件、配件)是2022年1月1日以后新生产的、未使用过的，符合国家规定的技术规格和质量标准的合格产品，并且是完全符合本次招标文件(包括补充更正，如有)中采购货物要求所规定的技术参数和质量要求。</w:t>
      </w:r>
    </w:p>
    <w:p>
      <w:pPr>
        <w:autoSpaceDE w:val="0"/>
        <w:autoSpaceDN w:val="0"/>
        <w:snapToGrid w:val="0"/>
        <w:spacing w:line="480" w:lineRule="exact"/>
        <w:ind w:firstLine="354" w:firstLineChars="147"/>
        <w:textAlignment w:val="bottom"/>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.2、售后服务</w:t>
      </w:r>
    </w:p>
    <w:p>
      <w:pPr>
        <w:autoSpaceDE w:val="0"/>
        <w:autoSpaceDN w:val="0"/>
        <w:snapToGrid w:val="0"/>
        <w:spacing w:line="480" w:lineRule="exact"/>
        <w:ind w:left="-181" w:leftChars="-86" w:right="-178" w:rightChars="-85"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1、本项目提供≥</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年的质保期（若设备原厂商提供更长质保期，则按最长的质保期执行），质保期从验收合格交付使用之日起算；质保期内因不能排除的故障而影响工作的情况每发生一次，其质保期相应延长60天，质保期内因设备本身缺陷造成各种故障应由卖方免费技术服务和维修。</w:t>
      </w:r>
    </w:p>
    <w:p>
      <w:pPr>
        <w:autoSpaceDE w:val="0"/>
        <w:autoSpaceDN w:val="0"/>
        <w:snapToGrid w:val="0"/>
        <w:spacing w:line="480" w:lineRule="exact"/>
        <w:ind w:left="-181" w:leftChars="-86" w:right="-178" w:rightChars="-85"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2、在设备（或系统）整个使用期内，卖方应确保正常使用，在接到用户维修要求后在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小时内响应并提出解决方案，一般故障2小时内修复或解决，重大故障8小时内修复，维修过程中所需材料中标供应商在接到通知后应及时提供，最长不超过</w:t>
      </w: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小时必须送达买方。若24小时内无法修复的，应48小时内提供相应备用设备并负责安装调试，为此，投标供应商应提供相应承诺书。</w:t>
      </w:r>
    </w:p>
    <w:p>
      <w:pPr>
        <w:autoSpaceDE w:val="0"/>
        <w:autoSpaceDN w:val="0"/>
        <w:snapToGrid w:val="0"/>
        <w:spacing w:line="480" w:lineRule="exact"/>
        <w:ind w:left="-181" w:leftChars="-86" w:right="-178" w:rightChars="-85"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3、在质保期内，中标供应商应负责对其提供的设备进行现场维修、损坏件更换，不收取额外费用，响应时间必须满足采购人工作正常运行的要求。</w:t>
      </w:r>
      <w:r>
        <w:rPr>
          <w:rFonts w:hint="eastAsia" w:ascii="仿宋" w:hAnsi="仿宋" w:eastAsia="仿宋" w:cs="仿宋"/>
          <w:color w:val="auto"/>
          <w:sz w:val="24"/>
        </w:rPr>
        <w:t>该项目为交钥匙工程，中标人有义务保证采购人项目的完整性，如项目实施过程中因缺少设备、配件或服务导致采购人</w:t>
      </w:r>
      <w:r>
        <w:rPr>
          <w:rFonts w:hint="eastAsia" w:ascii="仿宋" w:hAnsi="仿宋" w:eastAsia="仿宋" w:cs="仿宋"/>
          <w:color w:val="auto"/>
          <w:sz w:val="24"/>
          <w:lang w:val="en-US" w:eastAsia="zh-CN"/>
        </w:rPr>
        <w:t>设备</w:t>
      </w:r>
      <w:r>
        <w:rPr>
          <w:rFonts w:hint="eastAsia" w:ascii="仿宋" w:hAnsi="仿宋" w:eastAsia="仿宋" w:cs="仿宋"/>
          <w:color w:val="auto"/>
          <w:sz w:val="24"/>
        </w:rPr>
        <w:t xml:space="preserve">无法正常运行，中标人须承诺免费提供。  </w:t>
      </w:r>
    </w:p>
    <w:p>
      <w:pPr>
        <w:autoSpaceDE w:val="0"/>
        <w:autoSpaceDN w:val="0"/>
        <w:snapToGrid w:val="0"/>
        <w:spacing w:line="480" w:lineRule="exact"/>
        <w:ind w:left="-181" w:leftChars="-86" w:right="-178" w:rightChars="-85" w:firstLine="480" w:firstLineChars="200"/>
        <w:textAlignment w:val="bottom"/>
        <w:rPr>
          <w:rFonts w:ascii="仿宋" w:hAnsi="仿宋" w:eastAsia="仿宋" w:cs="仿宋"/>
          <w:bCs/>
          <w:color w:val="auto"/>
          <w:sz w:val="24"/>
          <w:highlight w:val="none"/>
        </w:rPr>
      </w:pPr>
      <w:r>
        <w:rPr>
          <w:rFonts w:hint="eastAsia" w:ascii="仿宋" w:hAnsi="仿宋" w:eastAsia="仿宋" w:cs="仿宋"/>
          <w:color w:val="auto"/>
          <w:sz w:val="24"/>
          <w:highlight w:val="none"/>
        </w:rPr>
        <w:t>4、供应商在投标文件中须说明保修期内提供的服务计划。</w:t>
      </w:r>
      <w:r>
        <w:rPr>
          <w:rFonts w:hint="eastAsia" w:ascii="仿宋" w:hAnsi="仿宋" w:eastAsia="仿宋" w:cs="仿宋"/>
          <w:bCs/>
          <w:color w:val="auto"/>
          <w:sz w:val="24"/>
          <w:highlight w:val="none"/>
        </w:rPr>
        <w:t xml:space="preserve">                                                 </w:t>
      </w:r>
    </w:p>
    <w:p>
      <w:pPr>
        <w:autoSpaceDE w:val="0"/>
        <w:autoSpaceDN w:val="0"/>
        <w:snapToGrid w:val="0"/>
        <w:spacing w:line="480" w:lineRule="exact"/>
        <w:ind w:left="-181" w:leftChars="-86" w:right="-178" w:rightChars="-85"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5.其他商务要求（包装和运输、保险等）</w:t>
      </w:r>
    </w:p>
    <w:p>
      <w:pPr>
        <w:autoSpaceDE w:val="0"/>
        <w:autoSpaceDN w:val="0"/>
        <w:snapToGrid w:val="0"/>
        <w:spacing w:line="480" w:lineRule="exact"/>
        <w:ind w:left="-181" w:leftChars="-86" w:right="-178" w:rightChars="-85"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（1）.中标人在签订合同后，必须在2022年10月30日之前按采购单位要求完成交货、安装调试、全部接入浙江省口腔诊疗机构监督在线并交付使用。</w:t>
      </w:r>
      <w:r>
        <w:rPr>
          <w:rFonts w:hint="eastAsia" w:ascii="仿宋" w:hAnsi="仿宋" w:eastAsia="仿宋" w:cs="仿宋"/>
          <w:color w:val="auto"/>
          <w:sz w:val="24"/>
          <w:highlight w:val="none"/>
        </w:rPr>
        <w:t>如在规定的时间内由于供应商的原因不能完成交货的，供应商应承担由此给采购单位造成的损失。</w:t>
      </w:r>
    </w:p>
    <w:p>
      <w:pPr>
        <w:autoSpaceDE w:val="0"/>
        <w:autoSpaceDN w:val="0"/>
        <w:snapToGrid w:val="0"/>
        <w:spacing w:line="480" w:lineRule="exact"/>
        <w:ind w:left="-181" w:leftChars="-86" w:right="-178" w:rightChars="-85"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 安装地点：由采购单位指定。</w:t>
      </w:r>
    </w:p>
    <w:p>
      <w:pPr>
        <w:autoSpaceDE w:val="0"/>
        <w:autoSpaceDN w:val="0"/>
        <w:snapToGrid w:val="0"/>
        <w:spacing w:line="480" w:lineRule="exact"/>
        <w:ind w:left="-181" w:leftChars="-86" w:right="-178" w:rightChars="-85"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 安装标准：符合我国国家有关技术规范要求和技术标准，所有的软件和硬件必须保证同时安装到位。</w:t>
      </w:r>
    </w:p>
    <w:p>
      <w:pPr>
        <w:autoSpaceDE w:val="0"/>
        <w:autoSpaceDN w:val="0"/>
        <w:snapToGrid w:val="0"/>
        <w:spacing w:line="480" w:lineRule="exact"/>
        <w:ind w:left="-181" w:leftChars="-86" w:right="-178" w:rightChars="-85"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 中标方免费提供中标设备（软件和硬件）的安装调试服务。</w:t>
      </w:r>
    </w:p>
    <w:p>
      <w:pPr>
        <w:autoSpaceDE w:val="0"/>
        <w:autoSpaceDN w:val="0"/>
        <w:snapToGrid w:val="0"/>
        <w:spacing w:line="480" w:lineRule="exact"/>
        <w:ind w:left="-181" w:leftChars="-86" w:right="-178" w:rightChars="-85"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 投标方应在投标文件中应提供安装计划、对安装场地和环境的要求。</w:t>
      </w:r>
    </w:p>
    <w:p>
      <w:pPr>
        <w:spacing w:line="360" w:lineRule="auto"/>
        <w:ind w:firstLine="480" w:firstLineChars="200"/>
        <w:rPr>
          <w:rFonts w:ascii="仿宋" w:hAnsi="仿宋" w:eastAsia="仿宋" w:cs="仿宋"/>
          <w:color w:val="auto"/>
          <w:sz w:val="24"/>
          <w:highlight w:val="none"/>
        </w:rPr>
      </w:pP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、验收方式及标准</w:t>
      </w:r>
    </w:p>
    <w:p>
      <w:pPr>
        <w:autoSpaceDE w:val="0"/>
        <w:autoSpaceDN w:val="0"/>
        <w:snapToGrid w:val="0"/>
        <w:spacing w:line="480" w:lineRule="exact"/>
        <w:ind w:left="-181" w:leftChars="-86" w:right="-178" w:rightChars="-85"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应提供系统设备的有效检验材料，经</w:t>
      </w:r>
      <w:r>
        <w:rPr>
          <w:rFonts w:hint="eastAsia" w:ascii="仿宋" w:hAnsi="仿宋" w:eastAsia="仿宋" w:cs="仿宋"/>
          <w:color w:val="auto"/>
          <w:sz w:val="24"/>
          <w:highlight w:val="none"/>
          <w:lang w:eastAsia="zh-CN"/>
        </w:rPr>
        <w:t>采购单位</w:t>
      </w:r>
      <w:r>
        <w:rPr>
          <w:rFonts w:hint="eastAsia" w:ascii="仿宋" w:hAnsi="仿宋" w:eastAsia="仿宋" w:cs="仿宋"/>
          <w:color w:val="auto"/>
          <w:sz w:val="24"/>
          <w:highlight w:val="none"/>
        </w:rPr>
        <w:t>认可后，与合同的技术指标一起作为验收标准。</w:t>
      </w:r>
      <w:r>
        <w:rPr>
          <w:rFonts w:hint="eastAsia" w:ascii="仿宋" w:hAnsi="仿宋" w:eastAsia="仿宋" w:cs="仿宋"/>
          <w:color w:val="auto"/>
          <w:sz w:val="24"/>
          <w:highlight w:val="none"/>
          <w:lang w:eastAsia="zh-CN"/>
        </w:rPr>
        <w:t>采购单位</w:t>
      </w:r>
      <w:r>
        <w:rPr>
          <w:rFonts w:hint="eastAsia" w:ascii="仿宋" w:hAnsi="仿宋" w:eastAsia="仿宋" w:cs="仿宋"/>
          <w:color w:val="auto"/>
          <w:sz w:val="24"/>
          <w:highlight w:val="none"/>
        </w:rPr>
        <w:t>对系统设备验收合格后，在《建德市政府采购验收反馈表》上签署意见并加盖单位公章。验收中发现系统设备达不到验收标准或合同规定的技术指标，</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必须更换，并负担由此给</w:t>
      </w:r>
      <w:r>
        <w:rPr>
          <w:rFonts w:hint="eastAsia" w:ascii="仿宋" w:hAnsi="仿宋" w:eastAsia="仿宋" w:cs="仿宋"/>
          <w:color w:val="auto"/>
          <w:sz w:val="24"/>
          <w:highlight w:val="none"/>
          <w:lang w:eastAsia="zh-CN"/>
        </w:rPr>
        <w:t>采购单位</w:t>
      </w:r>
      <w:r>
        <w:rPr>
          <w:rFonts w:hint="eastAsia" w:ascii="仿宋" w:hAnsi="仿宋" w:eastAsia="仿宋" w:cs="仿宋"/>
          <w:color w:val="auto"/>
          <w:sz w:val="24"/>
          <w:highlight w:val="none"/>
        </w:rPr>
        <w:t>造成的损失，直到验收合格为止。验收费用由产品供应商承担。</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4</w:t>
      </w:r>
      <w:r>
        <w:rPr>
          <w:rFonts w:hint="eastAsia" w:ascii="仿宋" w:hAnsi="仿宋" w:eastAsia="仿宋" w:cs="仿宋"/>
          <w:b/>
          <w:bCs/>
          <w:color w:val="auto"/>
          <w:sz w:val="24"/>
          <w:highlight w:val="none"/>
        </w:rPr>
        <w:t>、资金支付的方式、时间和条件</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采购单位根据合同、投标文件等资料进行验收。</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签订合同后7个工作日内支付合同价的50%预付款（供应商需提供相应金额的预付款保函至采购单位）；供货</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安装完成</w:t>
      </w:r>
      <w:r>
        <w:rPr>
          <w:rFonts w:hint="eastAsia" w:ascii="仿宋" w:hAnsi="仿宋" w:eastAsia="仿宋" w:cs="仿宋"/>
          <w:color w:val="auto"/>
          <w:sz w:val="24"/>
          <w:highlight w:val="none"/>
          <w:lang w:val="en-US" w:eastAsia="zh-CN"/>
        </w:rPr>
        <w:t>且</w:t>
      </w:r>
      <w:r>
        <w:rPr>
          <w:rFonts w:hint="eastAsia" w:ascii="仿宋" w:hAnsi="仿宋" w:eastAsia="仿宋" w:cs="仿宋"/>
          <w:color w:val="auto"/>
          <w:sz w:val="24"/>
          <w:highlight w:val="none"/>
        </w:rPr>
        <w:t>接入</w:t>
      </w:r>
      <w:r>
        <w:rPr>
          <w:rFonts w:hint="eastAsia" w:ascii="仿宋" w:hAnsi="仿宋" w:eastAsia="仿宋" w:cs="仿宋"/>
          <w:color w:val="auto"/>
          <w:sz w:val="24"/>
          <w:highlight w:val="none"/>
          <w:lang w:val="en-US" w:eastAsia="zh-CN"/>
        </w:rPr>
        <w:t>浙江</w:t>
      </w:r>
      <w:r>
        <w:rPr>
          <w:rFonts w:hint="eastAsia" w:ascii="仿宋" w:hAnsi="仿宋" w:eastAsia="仿宋" w:cs="仿宋"/>
          <w:color w:val="auto"/>
          <w:sz w:val="24"/>
          <w:highlight w:val="none"/>
        </w:rPr>
        <w:t>省</w:t>
      </w:r>
      <w:r>
        <w:rPr>
          <w:rFonts w:hint="eastAsia" w:ascii="仿宋" w:hAnsi="仿宋" w:eastAsia="仿宋" w:cs="仿宋"/>
          <w:color w:val="auto"/>
          <w:sz w:val="24"/>
          <w:highlight w:val="none"/>
          <w:lang w:val="en-US" w:eastAsia="zh-CN"/>
        </w:rPr>
        <w:t>口腔诊疗机构监督在线</w:t>
      </w:r>
      <w:r>
        <w:rPr>
          <w:rFonts w:hint="eastAsia" w:ascii="仿宋" w:hAnsi="仿宋" w:eastAsia="仿宋" w:cs="仿宋"/>
          <w:color w:val="auto"/>
          <w:sz w:val="24"/>
          <w:highlight w:val="none"/>
        </w:rPr>
        <w:t>经验收合格后5个工作日内支付合同价的50%。。</w:t>
      </w:r>
    </w:p>
    <w:p>
      <w:pPr>
        <w:snapToGrid w:val="0"/>
        <w:spacing w:line="360" w:lineRule="auto"/>
        <w:jc w:val="left"/>
        <w:rPr>
          <w:rFonts w:ascii="仿宋" w:hAnsi="仿宋" w:eastAsia="仿宋" w:cs="仿宋"/>
          <w:b/>
          <w:color w:val="auto"/>
          <w:sz w:val="36"/>
          <w:szCs w:val="36"/>
          <w:highlight w:val="none"/>
        </w:rPr>
      </w:pPr>
      <w:r>
        <w:rPr>
          <w:rFonts w:hint="eastAsia" w:ascii="仿宋" w:hAnsi="仿宋" w:eastAsia="仿宋" w:cs="仿宋"/>
          <w:color w:val="auto"/>
          <w:sz w:val="24"/>
          <w:highlight w:val="none"/>
        </w:rPr>
        <w:t>结算时供应商将结款申请1份、发票原件及复印件1份、合同复印件1份和经采购人验收确认的《建德市政府采购验收反馈表》提交采购人，采购人应自收到发票后5个工作日内支付相应款项。</w:t>
      </w:r>
    </w:p>
    <w:p>
      <w:pPr>
        <w:spacing w:line="360" w:lineRule="auto"/>
        <w:ind w:firstLine="482" w:firstLineChars="200"/>
        <w:rPr>
          <w:rStyle w:val="354"/>
          <w:rFonts w:hint="default" w:ascii="仿宋" w:hAnsi="仿宋" w:eastAsia="仿宋" w:cs="仿宋"/>
          <w:bCs/>
          <w:color w:val="auto"/>
          <w:highlight w:val="none"/>
        </w:rPr>
      </w:pP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rPr>
        <w:t>、</w:t>
      </w:r>
      <w:r>
        <w:rPr>
          <w:rStyle w:val="354"/>
          <w:rFonts w:hint="default" w:ascii="仿宋" w:hAnsi="仿宋" w:eastAsia="仿宋" w:cs="仿宋"/>
          <w:bCs/>
          <w:color w:val="auto"/>
          <w:highlight w:val="none"/>
        </w:rPr>
        <w:t>履约保证金</w:t>
      </w:r>
    </w:p>
    <w:p>
      <w:pPr>
        <w:spacing w:line="360" w:lineRule="auto"/>
        <w:ind w:firstLine="472" w:firstLineChars="200"/>
        <w:rPr>
          <w:rFonts w:ascii="仿宋" w:hAnsi="仿宋" w:eastAsia="仿宋" w:cs="仿宋"/>
          <w:b/>
          <w:bCs/>
          <w:color w:val="auto"/>
          <w:sz w:val="24"/>
          <w:highlight w:val="none"/>
        </w:rPr>
      </w:pPr>
      <w:r>
        <w:rPr>
          <w:rStyle w:val="354"/>
          <w:rFonts w:hint="default" w:ascii="仿宋" w:hAnsi="仿宋" w:eastAsia="仿宋" w:cs="仿宋"/>
          <w:b w:val="0"/>
          <w:color w:val="auto"/>
          <w:highlight w:val="none"/>
        </w:rPr>
        <w:t>履约保证金：本项目将</w:t>
      </w:r>
      <w:r>
        <w:rPr>
          <w:rFonts w:hint="eastAsia" w:ascii="仿宋" w:hAnsi="仿宋" w:eastAsia="仿宋" w:cs="仿宋"/>
          <w:color w:val="auto"/>
          <w:sz w:val="24"/>
          <w:highlight w:val="none"/>
        </w:rPr>
        <w:t>根据杭州市政府采购网公布的供应商履约评价情况收取履约保证金。供应商履约验收评价总分为100分的，本项目免收履约保证金；评价总分在90分以上的，本项目收取履约保证金为合同金额</w:t>
      </w:r>
      <w:r>
        <w:rPr>
          <w:rFonts w:hint="eastAsia" w:ascii="仿宋" w:hAnsi="仿宋" w:eastAsia="仿宋" w:cs="仿宋"/>
          <w:color w:val="auto"/>
          <w:sz w:val="24"/>
          <w:highlight w:val="none"/>
          <w:lang w:val="en-US" w:eastAsia="zh-CN"/>
        </w:rPr>
        <w:t>0.5</w:t>
      </w:r>
      <w:r>
        <w:rPr>
          <w:rFonts w:hint="eastAsia" w:ascii="仿宋" w:hAnsi="仿宋" w:eastAsia="仿宋" w:cs="仿宋"/>
          <w:color w:val="auto"/>
          <w:sz w:val="24"/>
          <w:highlight w:val="none"/>
        </w:rPr>
        <w:t>%；评价总分在不满90分或者暂无评分的，本项目收取履约保证金为合同金额</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%。需要收取保证金的供应商</w:t>
      </w:r>
      <w:r>
        <w:rPr>
          <w:rStyle w:val="354"/>
          <w:rFonts w:hint="default" w:ascii="仿宋" w:hAnsi="仿宋" w:eastAsia="仿宋" w:cs="仿宋"/>
          <w:b w:val="0"/>
          <w:color w:val="auto"/>
          <w:highlight w:val="none"/>
        </w:rPr>
        <w:t>在正式合同签订生效之日起7个工作日内，</w:t>
      </w:r>
      <w:r>
        <w:rPr>
          <w:rFonts w:hint="eastAsia" w:ascii="仿宋" w:hAnsi="仿宋" w:eastAsia="仿宋" w:cs="仿宋"/>
          <w:color w:val="auto"/>
          <w:sz w:val="24"/>
          <w:highlight w:val="none"/>
        </w:rPr>
        <w:t>缴纳</w:t>
      </w:r>
      <w:r>
        <w:rPr>
          <w:rStyle w:val="354"/>
          <w:rFonts w:hint="default" w:ascii="仿宋" w:hAnsi="仿宋" w:eastAsia="仿宋" w:cs="仿宋"/>
          <w:b w:val="0"/>
          <w:color w:val="auto"/>
          <w:highlight w:val="none"/>
        </w:rPr>
        <w:t>保证金至采购人指定账户（可采用银行、保险公司出具保函形式提交）。在验收合格后经回访正常后凭正式收款收据、履约保证金缴款凭证复印件、《建德市政府采购回访意见单》办理结算手续。</w:t>
      </w:r>
    </w:p>
    <w:p>
      <w:pPr>
        <w:spacing w:line="360" w:lineRule="auto"/>
        <w:ind w:firstLine="482" w:firstLineChars="200"/>
        <w:rPr>
          <w:rFonts w:hint="eastAsia" w:ascii="仿宋" w:hAnsi="仿宋" w:eastAsia="仿宋" w:cs="仿宋"/>
          <w:b/>
          <w:bCs/>
          <w:color w:val="auto"/>
          <w:sz w:val="24"/>
          <w:highlight w:val="none"/>
          <w:lang w:eastAsia="zh-CN"/>
        </w:rPr>
      </w:pPr>
    </w:p>
    <w:p>
      <w:pPr>
        <w:snapToGrid w:val="0"/>
        <w:spacing w:line="360" w:lineRule="auto"/>
        <w:jc w:val="both"/>
        <w:rPr>
          <w:rFonts w:hint="eastAsia" w:ascii="仿宋" w:hAnsi="仿宋" w:eastAsia="仿宋" w:cs="仿宋"/>
          <w:b/>
          <w:color w:val="auto"/>
          <w:sz w:val="36"/>
          <w:szCs w:val="36"/>
          <w:highlight w:val="none"/>
        </w:rPr>
      </w:pPr>
    </w:p>
    <w:bookmarkEnd w:id="11"/>
    <w:bookmarkEnd w:id="12"/>
    <w:p>
      <w:pPr>
        <w:widowControl/>
        <w:adjustRightInd/>
        <w:jc w:val="center"/>
        <w:rPr>
          <w:rFonts w:hint="eastAsia" w:ascii="仿宋" w:hAnsi="仿宋" w:eastAsia="仿宋" w:cs="仿宋"/>
          <w:b/>
          <w:color w:val="auto"/>
          <w:sz w:val="36"/>
          <w:szCs w:val="36"/>
        </w:rPr>
      </w:pPr>
      <w:bookmarkStart w:id="28" w:name="第四部分"/>
      <w:r>
        <w:rPr>
          <w:rFonts w:hint="eastAsia" w:ascii="仿宋" w:hAnsi="仿宋" w:eastAsia="仿宋" w:cs="仿宋"/>
          <w:b/>
          <w:color w:val="auto"/>
          <w:sz w:val="36"/>
          <w:szCs w:val="36"/>
        </w:rPr>
        <w:t xml:space="preserve">第四部分   </w:t>
      </w:r>
      <w:bookmarkStart w:id="29" w:name="_Toc184314467"/>
      <w:bookmarkEnd w:id="29"/>
      <w:bookmarkStart w:id="30" w:name="_Toc184312124"/>
      <w:bookmarkEnd w:id="30"/>
      <w:bookmarkStart w:id="31" w:name="_Toc184314452"/>
      <w:bookmarkEnd w:id="31"/>
      <w:bookmarkStart w:id="32" w:name="_Toc184308050"/>
      <w:bookmarkEnd w:id="32"/>
      <w:bookmarkStart w:id="33" w:name="_Toc184310289"/>
      <w:bookmarkEnd w:id="33"/>
      <w:bookmarkStart w:id="34" w:name="_Toc184308077"/>
      <w:bookmarkEnd w:id="34"/>
      <w:bookmarkStart w:id="35" w:name="_Toc184310290"/>
      <w:bookmarkEnd w:id="35"/>
      <w:bookmarkStart w:id="36" w:name="_Toc184312070"/>
      <w:bookmarkEnd w:id="36"/>
      <w:bookmarkStart w:id="37" w:name="_Toc184314468"/>
      <w:bookmarkEnd w:id="37"/>
      <w:bookmarkStart w:id="38" w:name="_Toc184308076"/>
      <w:bookmarkEnd w:id="38"/>
      <w:bookmarkStart w:id="39" w:name="_Toc184314478"/>
      <w:bookmarkEnd w:id="39"/>
      <w:bookmarkStart w:id="40" w:name="_Toc184313269"/>
      <w:bookmarkEnd w:id="40"/>
      <w:bookmarkStart w:id="41" w:name="_Toc184314413"/>
      <w:bookmarkEnd w:id="41"/>
      <w:bookmarkStart w:id="42" w:name="_Toc184314456"/>
      <w:bookmarkEnd w:id="42"/>
      <w:bookmarkStart w:id="43" w:name="_Toc184310311"/>
      <w:bookmarkEnd w:id="43"/>
      <w:bookmarkStart w:id="44" w:name="_Toc184314412"/>
      <w:bookmarkEnd w:id="44"/>
      <w:bookmarkStart w:id="45" w:name="_Toc184314451"/>
      <w:bookmarkEnd w:id="45"/>
      <w:bookmarkStart w:id="46" w:name="_Toc184308108"/>
      <w:bookmarkEnd w:id="46"/>
      <w:bookmarkStart w:id="47" w:name="_Toc184313303"/>
      <w:bookmarkEnd w:id="47"/>
      <w:bookmarkStart w:id="48" w:name="_Toc184312073"/>
      <w:bookmarkEnd w:id="48"/>
      <w:bookmarkStart w:id="49" w:name="_Toc184310314"/>
      <w:bookmarkEnd w:id="49"/>
      <w:bookmarkStart w:id="50" w:name="_Toc184310281"/>
      <w:bookmarkEnd w:id="50"/>
      <w:bookmarkStart w:id="51" w:name="_Toc184312128"/>
      <w:bookmarkEnd w:id="51"/>
      <w:bookmarkStart w:id="52" w:name="_Toc184312079"/>
      <w:bookmarkEnd w:id="52"/>
      <w:bookmarkStart w:id="53" w:name="_Toc184313263"/>
      <w:bookmarkEnd w:id="53"/>
      <w:bookmarkStart w:id="54" w:name="_Toc184313293"/>
      <w:bookmarkEnd w:id="54"/>
      <w:bookmarkStart w:id="55" w:name="_Toc184310329"/>
      <w:bookmarkEnd w:id="55"/>
      <w:bookmarkStart w:id="56" w:name="_Toc184313243"/>
      <w:bookmarkEnd w:id="56"/>
      <w:bookmarkStart w:id="57" w:name="_Toc184308074"/>
      <w:bookmarkEnd w:id="57"/>
      <w:bookmarkStart w:id="58" w:name="_Toc184313278"/>
      <w:bookmarkEnd w:id="58"/>
      <w:bookmarkStart w:id="59" w:name="_Toc184313254"/>
      <w:bookmarkEnd w:id="59"/>
      <w:bookmarkStart w:id="60" w:name="_Toc184308058"/>
      <w:bookmarkEnd w:id="60"/>
      <w:bookmarkStart w:id="61" w:name="_Toc184310325"/>
      <w:bookmarkEnd w:id="61"/>
      <w:bookmarkStart w:id="62" w:name="_Toc184310307"/>
      <w:bookmarkEnd w:id="62"/>
      <w:bookmarkStart w:id="63" w:name="_Toc184310302"/>
      <w:bookmarkEnd w:id="63"/>
      <w:bookmarkStart w:id="64" w:name="_Toc184312075"/>
      <w:bookmarkEnd w:id="64"/>
      <w:bookmarkStart w:id="65" w:name="_Toc184310308"/>
      <w:bookmarkEnd w:id="65"/>
      <w:bookmarkStart w:id="66" w:name="_Toc184312098"/>
      <w:bookmarkEnd w:id="66"/>
      <w:bookmarkStart w:id="67" w:name="_Toc184314429"/>
      <w:bookmarkEnd w:id="67"/>
      <w:bookmarkStart w:id="68" w:name="_Toc184312121"/>
      <w:bookmarkEnd w:id="68"/>
      <w:bookmarkStart w:id="69" w:name="_Toc184314417"/>
      <w:bookmarkEnd w:id="69"/>
      <w:bookmarkStart w:id="70" w:name="_Toc184314434"/>
      <w:bookmarkEnd w:id="70"/>
      <w:bookmarkStart w:id="71" w:name="_Toc184312077"/>
      <w:bookmarkEnd w:id="71"/>
      <w:bookmarkStart w:id="72" w:name="_Toc184312071"/>
      <w:bookmarkEnd w:id="72"/>
      <w:bookmarkStart w:id="73" w:name="_Toc184308039"/>
      <w:bookmarkEnd w:id="73"/>
      <w:bookmarkStart w:id="74" w:name="_Toc184310286"/>
      <w:bookmarkEnd w:id="74"/>
      <w:bookmarkStart w:id="75" w:name="_Toc184314458"/>
      <w:bookmarkEnd w:id="75"/>
      <w:bookmarkStart w:id="76" w:name="_Toc184313287"/>
      <w:bookmarkEnd w:id="76"/>
      <w:bookmarkStart w:id="77" w:name="_Toc184314461"/>
      <w:bookmarkEnd w:id="77"/>
      <w:bookmarkStart w:id="78" w:name="_Toc184314411"/>
      <w:bookmarkEnd w:id="78"/>
      <w:bookmarkStart w:id="79" w:name="_Toc184313247"/>
      <w:bookmarkEnd w:id="79"/>
      <w:bookmarkStart w:id="80" w:name="_Toc184314446"/>
      <w:bookmarkEnd w:id="80"/>
      <w:bookmarkStart w:id="81" w:name="_Toc184313265"/>
      <w:bookmarkEnd w:id="81"/>
      <w:bookmarkStart w:id="82" w:name="_Toc184312122"/>
      <w:bookmarkEnd w:id="82"/>
      <w:bookmarkStart w:id="83" w:name="_Toc184313305"/>
      <w:bookmarkEnd w:id="83"/>
      <w:bookmarkStart w:id="84" w:name="_Toc184312117"/>
      <w:bookmarkEnd w:id="84"/>
      <w:bookmarkStart w:id="85" w:name="_Toc184314449"/>
      <w:bookmarkEnd w:id="85"/>
      <w:bookmarkStart w:id="86" w:name="_Toc184314460"/>
      <w:bookmarkEnd w:id="86"/>
      <w:bookmarkStart w:id="87" w:name="_Toc184308083"/>
      <w:bookmarkEnd w:id="87"/>
      <w:bookmarkStart w:id="88" w:name="_Toc184310339"/>
      <w:bookmarkEnd w:id="88"/>
      <w:bookmarkStart w:id="89" w:name="_Toc184308066"/>
      <w:bookmarkEnd w:id="89"/>
      <w:bookmarkStart w:id="90" w:name="_Toc184312095"/>
      <w:bookmarkEnd w:id="90"/>
      <w:bookmarkStart w:id="91" w:name="_Toc184308107"/>
      <w:bookmarkEnd w:id="91"/>
      <w:bookmarkStart w:id="92" w:name="_Toc184310344"/>
      <w:bookmarkEnd w:id="92"/>
      <w:bookmarkStart w:id="93" w:name="_Toc184313250"/>
      <w:bookmarkEnd w:id="93"/>
      <w:bookmarkStart w:id="94" w:name="_Toc184310322"/>
      <w:bookmarkEnd w:id="94"/>
      <w:bookmarkStart w:id="95" w:name="_Toc184310310"/>
      <w:bookmarkEnd w:id="95"/>
      <w:bookmarkStart w:id="96" w:name="_Toc184312078"/>
      <w:bookmarkEnd w:id="96"/>
      <w:bookmarkStart w:id="97" w:name="_Toc184313276"/>
      <w:bookmarkEnd w:id="97"/>
      <w:bookmarkStart w:id="98" w:name="_Toc184313282"/>
      <w:bookmarkEnd w:id="98"/>
      <w:bookmarkStart w:id="99" w:name="_Toc184312108"/>
      <w:bookmarkEnd w:id="99"/>
      <w:bookmarkStart w:id="100" w:name="_Toc184310279"/>
      <w:bookmarkEnd w:id="100"/>
      <w:bookmarkStart w:id="101" w:name="_Toc184308094"/>
      <w:bookmarkEnd w:id="101"/>
      <w:bookmarkStart w:id="102" w:name="_Toc184308042"/>
      <w:bookmarkEnd w:id="102"/>
      <w:bookmarkStart w:id="103" w:name="_Toc184308056"/>
      <w:bookmarkEnd w:id="103"/>
      <w:bookmarkStart w:id="104" w:name="_Toc184312080"/>
      <w:bookmarkEnd w:id="104"/>
      <w:bookmarkStart w:id="105" w:name="_Toc184312089"/>
      <w:bookmarkEnd w:id="105"/>
      <w:bookmarkStart w:id="106" w:name="_Toc184313296"/>
      <w:bookmarkEnd w:id="106"/>
      <w:bookmarkStart w:id="107" w:name="_Toc184312067"/>
      <w:bookmarkEnd w:id="107"/>
      <w:bookmarkStart w:id="108" w:name="_Toc184310288"/>
      <w:bookmarkEnd w:id="108"/>
      <w:bookmarkStart w:id="109" w:name="_Toc184308098"/>
      <w:bookmarkEnd w:id="109"/>
      <w:bookmarkStart w:id="110" w:name="_Toc184308085"/>
      <w:bookmarkEnd w:id="110"/>
      <w:bookmarkStart w:id="111" w:name="_Toc184313246"/>
      <w:bookmarkEnd w:id="111"/>
      <w:bookmarkStart w:id="112" w:name="_Toc184314438"/>
      <w:bookmarkEnd w:id="112"/>
      <w:bookmarkStart w:id="113" w:name="_Toc184310303"/>
      <w:bookmarkEnd w:id="113"/>
      <w:bookmarkStart w:id="114" w:name="_Toc184313301"/>
      <w:bookmarkEnd w:id="114"/>
      <w:bookmarkStart w:id="115" w:name="_Toc184312134"/>
      <w:bookmarkEnd w:id="115"/>
      <w:bookmarkStart w:id="116" w:name="_Toc184310338"/>
      <w:bookmarkEnd w:id="116"/>
      <w:bookmarkStart w:id="117" w:name="_Toc184308103"/>
      <w:bookmarkEnd w:id="117"/>
      <w:bookmarkStart w:id="118" w:name="_Toc184310326"/>
      <w:bookmarkEnd w:id="118"/>
      <w:bookmarkStart w:id="119" w:name="_Toc184312118"/>
      <w:bookmarkEnd w:id="119"/>
      <w:bookmarkStart w:id="120" w:name="_Toc184313279"/>
      <w:bookmarkEnd w:id="120"/>
      <w:bookmarkStart w:id="121" w:name="_Toc184310291"/>
      <w:bookmarkEnd w:id="121"/>
      <w:bookmarkStart w:id="122" w:name="_Toc184312094"/>
      <w:bookmarkEnd w:id="122"/>
      <w:bookmarkStart w:id="123" w:name="_Toc184313280"/>
      <w:bookmarkEnd w:id="123"/>
      <w:bookmarkStart w:id="124" w:name="_Toc184313248"/>
      <w:bookmarkEnd w:id="124"/>
      <w:bookmarkStart w:id="125" w:name="_Toc184310343"/>
      <w:bookmarkEnd w:id="125"/>
      <w:bookmarkStart w:id="126" w:name="_Toc184312115"/>
      <w:bookmarkEnd w:id="126"/>
      <w:bookmarkStart w:id="127" w:name="_Toc184308036"/>
      <w:bookmarkEnd w:id="127"/>
      <w:bookmarkStart w:id="128" w:name="_Toc184313294"/>
      <w:bookmarkEnd w:id="128"/>
      <w:bookmarkStart w:id="129" w:name="_Toc184312139"/>
      <w:bookmarkEnd w:id="129"/>
      <w:bookmarkStart w:id="130" w:name="_Toc184314423"/>
      <w:bookmarkEnd w:id="130"/>
      <w:bookmarkStart w:id="131" w:name="_Toc184314422"/>
      <w:bookmarkEnd w:id="131"/>
      <w:bookmarkStart w:id="132" w:name="_Toc184314425"/>
      <w:bookmarkEnd w:id="132"/>
      <w:bookmarkStart w:id="133" w:name="_Toc184314437"/>
      <w:bookmarkEnd w:id="133"/>
      <w:bookmarkStart w:id="134" w:name="_Toc184308049"/>
      <w:bookmarkEnd w:id="134"/>
      <w:bookmarkStart w:id="135" w:name="_Toc184314466"/>
      <w:bookmarkEnd w:id="135"/>
      <w:bookmarkStart w:id="136" w:name="_Toc184308041"/>
      <w:bookmarkEnd w:id="136"/>
      <w:bookmarkStart w:id="137" w:name="_Toc184313258"/>
      <w:bookmarkEnd w:id="137"/>
      <w:bookmarkStart w:id="138" w:name="_Toc184310328"/>
      <w:bookmarkEnd w:id="138"/>
      <w:bookmarkStart w:id="139" w:name="_Toc184308080"/>
      <w:bookmarkEnd w:id="139"/>
      <w:bookmarkStart w:id="140" w:name="_Toc184314453"/>
      <w:bookmarkEnd w:id="140"/>
      <w:bookmarkStart w:id="141" w:name="_Toc184308084"/>
      <w:bookmarkEnd w:id="141"/>
      <w:bookmarkStart w:id="142" w:name="_Toc184313240"/>
      <w:bookmarkEnd w:id="142"/>
      <w:bookmarkStart w:id="143" w:name="_Toc184314436"/>
      <w:bookmarkEnd w:id="143"/>
      <w:bookmarkStart w:id="144" w:name="_Toc184312100"/>
      <w:bookmarkEnd w:id="144"/>
      <w:bookmarkStart w:id="145" w:name="_Toc184308093"/>
      <w:bookmarkEnd w:id="145"/>
      <w:bookmarkStart w:id="146" w:name="_Toc184313304"/>
      <w:bookmarkEnd w:id="146"/>
      <w:bookmarkStart w:id="147" w:name="_Toc184308051"/>
      <w:bookmarkEnd w:id="147"/>
      <w:bookmarkStart w:id="148" w:name="_Toc184313245"/>
      <w:bookmarkEnd w:id="148"/>
      <w:bookmarkStart w:id="149" w:name="_Toc184308097"/>
      <w:bookmarkEnd w:id="149"/>
      <w:bookmarkStart w:id="150" w:name="_Toc184313275"/>
      <w:bookmarkEnd w:id="150"/>
      <w:bookmarkStart w:id="151" w:name="_Toc184312125"/>
      <w:bookmarkEnd w:id="151"/>
      <w:bookmarkStart w:id="152" w:name="_Toc184312092"/>
      <w:bookmarkEnd w:id="152"/>
      <w:bookmarkStart w:id="153" w:name="_Toc184313285"/>
      <w:bookmarkEnd w:id="153"/>
      <w:bookmarkStart w:id="154" w:name="_Toc184313262"/>
      <w:bookmarkEnd w:id="154"/>
      <w:bookmarkStart w:id="155" w:name="_Toc184313291"/>
      <w:bookmarkEnd w:id="155"/>
      <w:bookmarkStart w:id="156" w:name="_Toc184312126"/>
      <w:bookmarkEnd w:id="156"/>
      <w:bookmarkStart w:id="157" w:name="_Toc184310340"/>
      <w:bookmarkEnd w:id="157"/>
      <w:bookmarkStart w:id="158" w:name="_Toc184308037"/>
      <w:bookmarkEnd w:id="158"/>
      <w:bookmarkStart w:id="159" w:name="_Toc184312105"/>
      <w:bookmarkEnd w:id="159"/>
      <w:bookmarkStart w:id="160" w:name="_Toc184310337"/>
      <w:bookmarkEnd w:id="160"/>
      <w:bookmarkStart w:id="161" w:name="_Toc184308045"/>
      <w:bookmarkEnd w:id="161"/>
      <w:bookmarkStart w:id="162" w:name="_Toc184314482"/>
      <w:bookmarkEnd w:id="162"/>
      <w:bookmarkStart w:id="163" w:name="_Toc184308062"/>
      <w:bookmarkEnd w:id="163"/>
      <w:bookmarkStart w:id="164" w:name="_Toc184308072"/>
      <w:bookmarkEnd w:id="164"/>
      <w:bookmarkStart w:id="165" w:name="_Toc184308043"/>
      <w:bookmarkEnd w:id="165"/>
      <w:bookmarkStart w:id="166" w:name="_Toc184308082"/>
      <w:bookmarkEnd w:id="166"/>
      <w:bookmarkStart w:id="167" w:name="_Toc184308067"/>
      <w:bookmarkEnd w:id="167"/>
      <w:bookmarkStart w:id="168" w:name="_Toc184308100"/>
      <w:bookmarkEnd w:id="168"/>
      <w:bookmarkStart w:id="169" w:name="_Toc184312109"/>
      <w:bookmarkEnd w:id="169"/>
      <w:bookmarkStart w:id="170" w:name="_Toc184314410"/>
      <w:bookmarkEnd w:id="170"/>
      <w:bookmarkStart w:id="171" w:name="_Toc184313239"/>
      <w:bookmarkEnd w:id="171"/>
      <w:bookmarkStart w:id="172" w:name="_Toc184312093"/>
      <w:bookmarkEnd w:id="172"/>
      <w:bookmarkStart w:id="173" w:name="_Toc184310313"/>
      <w:bookmarkEnd w:id="173"/>
      <w:bookmarkStart w:id="174" w:name="_Toc184310294"/>
      <w:bookmarkEnd w:id="174"/>
      <w:bookmarkStart w:id="175" w:name="_Toc184314448"/>
      <w:bookmarkEnd w:id="175"/>
      <w:bookmarkStart w:id="176" w:name="_Toc184314469"/>
      <w:bookmarkEnd w:id="176"/>
      <w:bookmarkStart w:id="177" w:name="_Toc184312107"/>
      <w:bookmarkEnd w:id="177"/>
      <w:bookmarkStart w:id="178" w:name="_Toc184308038"/>
      <w:bookmarkEnd w:id="178"/>
      <w:bookmarkStart w:id="179" w:name="_Toc184312087"/>
      <w:bookmarkEnd w:id="179"/>
      <w:bookmarkStart w:id="180" w:name="_Toc184312137"/>
      <w:bookmarkEnd w:id="180"/>
      <w:bookmarkStart w:id="181" w:name="_Toc184308055"/>
      <w:bookmarkEnd w:id="181"/>
      <w:bookmarkStart w:id="182" w:name="_Toc184314475"/>
      <w:bookmarkEnd w:id="182"/>
      <w:bookmarkStart w:id="183" w:name="_Toc184312127"/>
      <w:bookmarkEnd w:id="183"/>
      <w:bookmarkStart w:id="184" w:name="_Toc184313292"/>
      <w:bookmarkEnd w:id="184"/>
      <w:bookmarkStart w:id="185" w:name="_Toc184314447"/>
      <w:bookmarkEnd w:id="185"/>
      <w:bookmarkStart w:id="186" w:name="_Toc184310277"/>
      <w:bookmarkEnd w:id="186"/>
      <w:bookmarkStart w:id="187" w:name="_Toc184310300"/>
      <w:bookmarkEnd w:id="187"/>
      <w:bookmarkStart w:id="188" w:name="_Toc184314416"/>
      <w:bookmarkEnd w:id="188"/>
      <w:bookmarkStart w:id="189" w:name="_Toc184308090"/>
      <w:bookmarkEnd w:id="189"/>
      <w:bookmarkStart w:id="190" w:name="_Toc184314427"/>
      <w:bookmarkEnd w:id="190"/>
      <w:bookmarkStart w:id="191" w:name="_Toc184312116"/>
      <w:bookmarkEnd w:id="191"/>
      <w:bookmarkStart w:id="192" w:name="_Toc184314455"/>
      <w:bookmarkEnd w:id="192"/>
      <w:bookmarkStart w:id="193" w:name="_Toc184310331"/>
      <w:bookmarkEnd w:id="193"/>
      <w:bookmarkStart w:id="194" w:name="_Toc184314464"/>
      <w:bookmarkEnd w:id="194"/>
      <w:bookmarkStart w:id="195" w:name="_Toc184314439"/>
      <w:bookmarkEnd w:id="195"/>
      <w:bookmarkStart w:id="196" w:name="_Toc184314420"/>
      <w:bookmarkEnd w:id="196"/>
      <w:bookmarkStart w:id="197" w:name="_Toc184308075"/>
      <w:bookmarkEnd w:id="197"/>
      <w:bookmarkStart w:id="198" w:name="_Toc184313257"/>
      <w:bookmarkEnd w:id="198"/>
      <w:bookmarkStart w:id="199" w:name="_Toc184312103"/>
      <w:bookmarkEnd w:id="199"/>
      <w:bookmarkStart w:id="200" w:name="_Toc184313252"/>
      <w:bookmarkEnd w:id="200"/>
      <w:bookmarkStart w:id="201" w:name="_Toc184314419"/>
      <w:bookmarkEnd w:id="201"/>
      <w:bookmarkStart w:id="202" w:name="_Toc184308048"/>
      <w:bookmarkEnd w:id="202"/>
      <w:bookmarkStart w:id="203" w:name="_Toc184312104"/>
      <w:bookmarkEnd w:id="203"/>
      <w:bookmarkStart w:id="204" w:name="_Toc184308104"/>
      <w:bookmarkEnd w:id="204"/>
      <w:bookmarkStart w:id="205" w:name="_Toc184312113"/>
      <w:bookmarkEnd w:id="205"/>
      <w:bookmarkStart w:id="206" w:name="_Toc184310312"/>
      <w:bookmarkEnd w:id="206"/>
      <w:bookmarkStart w:id="207" w:name="_Toc184312083"/>
      <w:bookmarkEnd w:id="207"/>
      <w:bookmarkStart w:id="208" w:name="_Toc184310335"/>
      <w:bookmarkEnd w:id="208"/>
      <w:bookmarkStart w:id="209" w:name="_Toc184314477"/>
      <w:bookmarkEnd w:id="209"/>
      <w:bookmarkStart w:id="210" w:name="_Toc184310306"/>
      <w:bookmarkEnd w:id="210"/>
      <w:bookmarkStart w:id="211" w:name="_Toc184308060"/>
      <w:bookmarkEnd w:id="211"/>
      <w:bookmarkStart w:id="212" w:name="_Toc184312088"/>
      <w:bookmarkEnd w:id="212"/>
      <w:bookmarkStart w:id="213" w:name="_Toc184314418"/>
      <w:bookmarkEnd w:id="213"/>
      <w:bookmarkStart w:id="214" w:name="_Toc184312119"/>
      <w:bookmarkEnd w:id="214"/>
      <w:bookmarkStart w:id="215" w:name="_Toc184313260"/>
      <w:bookmarkEnd w:id="215"/>
      <w:bookmarkStart w:id="216" w:name="_Toc184308102"/>
      <w:bookmarkEnd w:id="216"/>
      <w:bookmarkStart w:id="217" w:name="_Toc184308089"/>
      <w:bookmarkEnd w:id="217"/>
      <w:bookmarkStart w:id="218" w:name="_Toc184314473"/>
      <w:bookmarkEnd w:id="218"/>
      <w:bookmarkStart w:id="219" w:name="_Toc184312084"/>
      <w:bookmarkEnd w:id="219"/>
      <w:bookmarkStart w:id="220" w:name="_Toc184308044"/>
      <w:bookmarkEnd w:id="220"/>
      <w:bookmarkStart w:id="221" w:name="_Toc184313251"/>
      <w:bookmarkEnd w:id="221"/>
      <w:bookmarkStart w:id="222" w:name="_Toc184313244"/>
      <w:bookmarkEnd w:id="222"/>
      <w:bookmarkStart w:id="223" w:name="_Toc184312069"/>
      <w:bookmarkEnd w:id="223"/>
      <w:bookmarkStart w:id="224" w:name="_Toc184312102"/>
      <w:bookmarkEnd w:id="224"/>
      <w:bookmarkStart w:id="225" w:name="_Toc184314442"/>
      <w:bookmarkEnd w:id="225"/>
      <w:bookmarkStart w:id="226" w:name="_Toc184310293"/>
      <w:bookmarkEnd w:id="226"/>
      <w:bookmarkStart w:id="227" w:name="_Toc184312076"/>
      <w:bookmarkEnd w:id="227"/>
      <w:bookmarkStart w:id="228" w:name="_Toc184314479"/>
      <w:bookmarkEnd w:id="228"/>
      <w:bookmarkStart w:id="229" w:name="_Toc184313310"/>
      <w:bookmarkEnd w:id="229"/>
      <w:bookmarkStart w:id="230" w:name="_Toc184310324"/>
      <w:bookmarkEnd w:id="230"/>
      <w:bookmarkStart w:id="231" w:name="_Toc184314426"/>
      <w:bookmarkEnd w:id="231"/>
      <w:bookmarkStart w:id="232" w:name="_Toc184310342"/>
      <w:bookmarkEnd w:id="232"/>
      <w:bookmarkStart w:id="233" w:name="_Toc184312111"/>
      <w:bookmarkEnd w:id="233"/>
      <w:bookmarkStart w:id="234" w:name="_Toc184310296"/>
      <w:bookmarkEnd w:id="234"/>
      <w:bookmarkStart w:id="235" w:name="_Toc184310274"/>
      <w:bookmarkEnd w:id="235"/>
      <w:bookmarkStart w:id="236" w:name="_Toc184308106"/>
      <w:bookmarkEnd w:id="236"/>
      <w:bookmarkStart w:id="237" w:name="_Toc184312120"/>
      <w:bookmarkEnd w:id="237"/>
      <w:bookmarkStart w:id="238" w:name="_Toc184308079"/>
      <w:bookmarkEnd w:id="238"/>
      <w:bookmarkStart w:id="239" w:name="_Toc184308068"/>
      <w:bookmarkEnd w:id="239"/>
      <w:bookmarkStart w:id="240" w:name="_Toc184313300"/>
      <w:bookmarkEnd w:id="240"/>
      <w:bookmarkStart w:id="241" w:name="_Toc184308087"/>
      <w:bookmarkEnd w:id="241"/>
      <w:bookmarkStart w:id="242" w:name="_Toc184310272"/>
      <w:bookmarkEnd w:id="242"/>
      <w:bookmarkStart w:id="243" w:name="_Toc184310301"/>
      <w:bookmarkEnd w:id="243"/>
      <w:bookmarkStart w:id="244" w:name="_Toc184310299"/>
      <w:bookmarkEnd w:id="244"/>
      <w:bookmarkStart w:id="245" w:name="_Toc184312086"/>
      <w:bookmarkEnd w:id="245"/>
      <w:bookmarkStart w:id="246" w:name="_Toc184313270"/>
      <w:bookmarkEnd w:id="246"/>
      <w:bookmarkStart w:id="247" w:name="_Toc184310285"/>
      <w:bookmarkEnd w:id="247"/>
      <w:bookmarkStart w:id="248" w:name="_Toc184310284"/>
      <w:bookmarkEnd w:id="248"/>
      <w:bookmarkStart w:id="249" w:name="_Toc184310315"/>
      <w:bookmarkEnd w:id="249"/>
      <w:bookmarkStart w:id="250" w:name="_Toc184313302"/>
      <w:bookmarkEnd w:id="250"/>
      <w:bookmarkStart w:id="251" w:name="_Toc184308101"/>
      <w:bookmarkEnd w:id="251"/>
      <w:bookmarkStart w:id="252" w:name="_Toc184312099"/>
      <w:bookmarkEnd w:id="252"/>
      <w:bookmarkStart w:id="253" w:name="_Toc184313261"/>
      <w:bookmarkEnd w:id="253"/>
      <w:bookmarkStart w:id="254" w:name="_Toc184314462"/>
      <w:bookmarkEnd w:id="254"/>
      <w:bookmarkStart w:id="255" w:name="_Toc184312136"/>
      <w:bookmarkEnd w:id="255"/>
      <w:bookmarkStart w:id="256" w:name="_Toc184312101"/>
      <w:bookmarkEnd w:id="256"/>
      <w:bookmarkStart w:id="257" w:name="_Toc184312123"/>
      <w:bookmarkEnd w:id="257"/>
      <w:bookmarkStart w:id="258" w:name="_Toc184313288"/>
      <w:bookmarkEnd w:id="258"/>
      <w:bookmarkStart w:id="259" w:name="_Toc184314480"/>
      <w:bookmarkEnd w:id="259"/>
      <w:bookmarkStart w:id="260" w:name="_Toc184313307"/>
      <w:bookmarkEnd w:id="260"/>
      <w:bookmarkStart w:id="261" w:name="_Toc184314463"/>
      <w:bookmarkEnd w:id="261"/>
      <w:bookmarkStart w:id="262" w:name="_Toc184308047"/>
      <w:bookmarkEnd w:id="262"/>
      <w:bookmarkStart w:id="263" w:name="_Toc184314414"/>
      <w:bookmarkEnd w:id="263"/>
      <w:bookmarkStart w:id="264" w:name="_Toc184310318"/>
      <w:bookmarkEnd w:id="264"/>
      <w:bookmarkStart w:id="265" w:name="_Toc184310275"/>
      <w:bookmarkEnd w:id="265"/>
      <w:bookmarkStart w:id="266" w:name="_Toc184313286"/>
      <w:bookmarkEnd w:id="266"/>
      <w:bookmarkStart w:id="267" w:name="_Toc184310334"/>
      <w:bookmarkEnd w:id="267"/>
      <w:bookmarkStart w:id="268" w:name="_Toc184310278"/>
      <w:bookmarkEnd w:id="268"/>
      <w:bookmarkStart w:id="269" w:name="_Toc184308059"/>
      <w:bookmarkEnd w:id="269"/>
      <w:bookmarkStart w:id="270" w:name="_Toc184313308"/>
      <w:bookmarkEnd w:id="270"/>
      <w:bookmarkStart w:id="271" w:name="_Toc184312138"/>
      <w:bookmarkEnd w:id="271"/>
      <w:bookmarkStart w:id="272" w:name="_Toc184308086"/>
      <w:bookmarkEnd w:id="272"/>
      <w:bookmarkStart w:id="273" w:name="_Toc184314465"/>
      <w:bookmarkEnd w:id="273"/>
      <w:bookmarkStart w:id="274" w:name="_Toc184312133"/>
      <w:bookmarkEnd w:id="274"/>
      <w:bookmarkStart w:id="275" w:name="_Toc184310330"/>
      <w:bookmarkEnd w:id="275"/>
      <w:bookmarkStart w:id="276" w:name="_Toc184308091"/>
      <w:bookmarkEnd w:id="276"/>
      <w:bookmarkStart w:id="277" w:name="_Toc184310280"/>
      <w:bookmarkEnd w:id="277"/>
      <w:bookmarkStart w:id="278" w:name="_Toc184308053"/>
      <w:bookmarkEnd w:id="278"/>
      <w:bookmarkStart w:id="279" w:name="_Toc184314433"/>
      <w:bookmarkEnd w:id="279"/>
      <w:bookmarkStart w:id="280" w:name="_Toc184314428"/>
      <w:bookmarkEnd w:id="280"/>
      <w:bookmarkStart w:id="281" w:name="_Toc184308095"/>
      <w:bookmarkEnd w:id="281"/>
      <w:bookmarkStart w:id="282" w:name="_Toc184314454"/>
      <w:bookmarkEnd w:id="282"/>
      <w:bookmarkStart w:id="283" w:name="_Toc184310317"/>
      <w:bookmarkEnd w:id="283"/>
      <w:bookmarkStart w:id="284" w:name="_Toc184310295"/>
      <w:bookmarkEnd w:id="284"/>
      <w:bookmarkStart w:id="285" w:name="_Toc184314415"/>
      <w:bookmarkEnd w:id="285"/>
      <w:bookmarkStart w:id="286" w:name="_Toc184310309"/>
      <w:bookmarkEnd w:id="286"/>
      <w:bookmarkStart w:id="287" w:name="_Toc184308073"/>
      <w:bookmarkEnd w:id="287"/>
      <w:bookmarkStart w:id="288" w:name="_Toc184314424"/>
      <w:bookmarkEnd w:id="288"/>
      <w:bookmarkStart w:id="289" w:name="_Toc184314470"/>
      <w:bookmarkEnd w:id="289"/>
      <w:bookmarkStart w:id="290" w:name="_Toc184308069"/>
      <w:bookmarkEnd w:id="290"/>
      <w:bookmarkStart w:id="291" w:name="_Toc184308070"/>
      <w:bookmarkEnd w:id="291"/>
      <w:bookmarkStart w:id="292" w:name="_Toc184310305"/>
      <w:bookmarkEnd w:id="292"/>
      <w:bookmarkStart w:id="293" w:name="_Toc184308061"/>
      <w:bookmarkEnd w:id="293"/>
      <w:bookmarkStart w:id="294" w:name="_Toc184314432"/>
      <w:bookmarkEnd w:id="294"/>
      <w:bookmarkStart w:id="295" w:name="_Toc184314476"/>
      <w:bookmarkEnd w:id="295"/>
      <w:bookmarkStart w:id="296" w:name="_Toc184313284"/>
      <w:bookmarkEnd w:id="296"/>
      <w:bookmarkStart w:id="297" w:name="_Toc184314431"/>
      <w:bookmarkEnd w:id="297"/>
      <w:bookmarkStart w:id="298" w:name="_Toc184310298"/>
      <w:bookmarkEnd w:id="298"/>
      <w:bookmarkStart w:id="299" w:name="_Toc184314440"/>
      <w:bookmarkEnd w:id="299"/>
      <w:bookmarkStart w:id="300" w:name="_Toc184313298"/>
      <w:bookmarkEnd w:id="300"/>
      <w:bookmarkStart w:id="301" w:name="_Toc184308052"/>
      <w:bookmarkEnd w:id="301"/>
      <w:bookmarkStart w:id="302" w:name="_Toc184308088"/>
      <w:bookmarkEnd w:id="302"/>
      <w:bookmarkStart w:id="303" w:name="_Toc184308065"/>
      <w:bookmarkEnd w:id="303"/>
      <w:bookmarkStart w:id="304" w:name="_Toc184310323"/>
      <w:bookmarkEnd w:id="304"/>
      <w:bookmarkStart w:id="305" w:name="_Toc184313290"/>
      <w:bookmarkEnd w:id="305"/>
      <w:bookmarkStart w:id="306" w:name="_Toc184312082"/>
      <w:bookmarkEnd w:id="306"/>
      <w:bookmarkStart w:id="307" w:name="_Toc184312135"/>
      <w:bookmarkEnd w:id="307"/>
      <w:bookmarkStart w:id="308" w:name="_Toc184314443"/>
      <w:bookmarkEnd w:id="308"/>
      <w:bookmarkStart w:id="309" w:name="_Toc184313256"/>
      <w:bookmarkEnd w:id="309"/>
      <w:bookmarkStart w:id="310" w:name="_Toc184314474"/>
      <w:bookmarkEnd w:id="310"/>
      <w:bookmarkStart w:id="311" w:name="_Toc184312090"/>
      <w:bookmarkEnd w:id="311"/>
      <w:bookmarkStart w:id="312" w:name="_Toc184312112"/>
      <w:bookmarkEnd w:id="312"/>
      <w:bookmarkStart w:id="313" w:name="_Toc184313242"/>
      <w:bookmarkEnd w:id="313"/>
      <w:bookmarkStart w:id="314" w:name="_Toc184313268"/>
      <w:bookmarkEnd w:id="314"/>
      <w:bookmarkStart w:id="315" w:name="_Toc184310283"/>
      <w:bookmarkEnd w:id="315"/>
      <w:bookmarkStart w:id="316" w:name="_Toc184313273"/>
      <w:bookmarkEnd w:id="316"/>
      <w:bookmarkStart w:id="317" w:name="_Toc184310319"/>
      <w:bookmarkEnd w:id="317"/>
      <w:bookmarkStart w:id="318" w:name="_Toc184313259"/>
      <w:bookmarkEnd w:id="318"/>
      <w:bookmarkStart w:id="319" w:name="_Toc184313272"/>
      <w:bookmarkEnd w:id="319"/>
      <w:bookmarkStart w:id="320" w:name="_Toc184313264"/>
      <w:bookmarkEnd w:id="320"/>
      <w:bookmarkStart w:id="321" w:name="_Toc184314430"/>
      <w:bookmarkEnd w:id="321"/>
      <w:bookmarkStart w:id="322" w:name="_Toc184310273"/>
      <w:bookmarkEnd w:id="322"/>
      <w:bookmarkStart w:id="323" w:name="_Toc184310304"/>
      <w:bookmarkEnd w:id="323"/>
      <w:bookmarkStart w:id="324" w:name="_Toc184313299"/>
      <w:bookmarkEnd w:id="324"/>
      <w:bookmarkStart w:id="325" w:name="_Toc184312072"/>
      <w:bookmarkEnd w:id="325"/>
      <w:bookmarkStart w:id="326" w:name="_Toc184310332"/>
      <w:bookmarkEnd w:id="326"/>
      <w:bookmarkStart w:id="327" w:name="_Toc184308064"/>
      <w:bookmarkEnd w:id="327"/>
      <w:bookmarkStart w:id="328" w:name="_Toc184310320"/>
      <w:bookmarkEnd w:id="328"/>
      <w:bookmarkStart w:id="329" w:name="_Toc184314459"/>
      <w:bookmarkEnd w:id="329"/>
      <w:bookmarkStart w:id="330" w:name="_Toc184312074"/>
      <w:bookmarkEnd w:id="330"/>
      <w:bookmarkStart w:id="331" w:name="_Toc184312096"/>
      <w:bookmarkEnd w:id="331"/>
      <w:bookmarkStart w:id="332" w:name="_Toc184314445"/>
      <w:bookmarkEnd w:id="332"/>
      <w:bookmarkStart w:id="333" w:name="_Toc184310292"/>
      <w:bookmarkEnd w:id="333"/>
      <w:bookmarkStart w:id="334" w:name="_Toc184308071"/>
      <w:bookmarkEnd w:id="334"/>
      <w:bookmarkStart w:id="335" w:name="_Toc184308057"/>
      <w:bookmarkEnd w:id="335"/>
      <w:bookmarkStart w:id="336" w:name="_Toc184313249"/>
      <w:bookmarkEnd w:id="336"/>
      <w:bookmarkStart w:id="337" w:name="_Toc184312132"/>
      <w:bookmarkEnd w:id="337"/>
      <w:bookmarkStart w:id="338" w:name="_Toc184308046"/>
      <w:bookmarkEnd w:id="338"/>
      <w:bookmarkStart w:id="339" w:name="_Toc184313306"/>
      <w:bookmarkEnd w:id="339"/>
      <w:bookmarkStart w:id="340" w:name="_Toc184308081"/>
      <w:bookmarkEnd w:id="340"/>
      <w:bookmarkStart w:id="341" w:name="_Toc184308096"/>
      <w:bookmarkEnd w:id="341"/>
      <w:bookmarkStart w:id="342" w:name="_Toc184314421"/>
      <w:bookmarkEnd w:id="342"/>
      <w:bookmarkStart w:id="343" w:name="_Toc184308063"/>
      <w:bookmarkEnd w:id="343"/>
      <w:bookmarkStart w:id="344" w:name="_Toc184312106"/>
      <w:bookmarkEnd w:id="344"/>
      <w:bookmarkStart w:id="345" w:name="_Toc184313277"/>
      <w:bookmarkEnd w:id="345"/>
      <w:bookmarkStart w:id="346" w:name="_Toc184312110"/>
      <w:bookmarkEnd w:id="346"/>
      <w:bookmarkStart w:id="347" w:name="_Toc184308078"/>
      <w:bookmarkEnd w:id="347"/>
      <w:bookmarkStart w:id="348" w:name="_Toc184313266"/>
      <w:bookmarkEnd w:id="348"/>
      <w:bookmarkStart w:id="349" w:name="_Toc184310276"/>
      <w:bookmarkEnd w:id="349"/>
      <w:bookmarkStart w:id="350" w:name="_Toc184308092"/>
      <w:bookmarkEnd w:id="350"/>
      <w:bookmarkStart w:id="351" w:name="_Toc184312129"/>
      <w:bookmarkEnd w:id="351"/>
      <w:bookmarkStart w:id="352" w:name="_Toc184313295"/>
      <w:bookmarkEnd w:id="352"/>
      <w:bookmarkStart w:id="353" w:name="_Toc184313271"/>
      <w:bookmarkEnd w:id="353"/>
      <w:bookmarkStart w:id="354" w:name="_Toc184313274"/>
      <w:bookmarkEnd w:id="354"/>
      <w:bookmarkStart w:id="355" w:name="_Toc184310297"/>
      <w:bookmarkEnd w:id="355"/>
      <w:bookmarkStart w:id="356" w:name="_Toc184313297"/>
      <w:bookmarkEnd w:id="356"/>
      <w:bookmarkStart w:id="357" w:name="_Toc184310316"/>
      <w:bookmarkEnd w:id="357"/>
      <w:bookmarkStart w:id="358" w:name="_Toc184312131"/>
      <w:bookmarkEnd w:id="358"/>
      <w:bookmarkStart w:id="359" w:name="_Toc184314435"/>
      <w:bookmarkEnd w:id="359"/>
      <w:bookmarkStart w:id="360" w:name="_Toc184314450"/>
      <w:bookmarkEnd w:id="360"/>
      <w:bookmarkStart w:id="361" w:name="_Toc184313241"/>
      <w:bookmarkEnd w:id="361"/>
      <w:bookmarkStart w:id="362" w:name="_Toc184312068"/>
      <w:bookmarkEnd w:id="362"/>
      <w:bookmarkStart w:id="363" w:name="_Toc184312130"/>
      <w:bookmarkEnd w:id="363"/>
      <w:bookmarkStart w:id="364" w:name="_Toc184313309"/>
      <w:bookmarkEnd w:id="364"/>
      <w:bookmarkStart w:id="365" w:name="_Toc184310287"/>
      <w:bookmarkEnd w:id="365"/>
      <w:bookmarkStart w:id="366" w:name="_Toc184314472"/>
      <w:bookmarkEnd w:id="366"/>
      <w:bookmarkStart w:id="367" w:name="_Toc184308040"/>
      <w:bookmarkEnd w:id="367"/>
      <w:bookmarkStart w:id="368" w:name="_Toc184313283"/>
      <w:bookmarkEnd w:id="368"/>
      <w:bookmarkStart w:id="369" w:name="_Toc184314457"/>
      <w:bookmarkEnd w:id="369"/>
      <w:bookmarkStart w:id="370" w:name="_Toc184313255"/>
      <w:bookmarkEnd w:id="370"/>
      <w:bookmarkStart w:id="371" w:name="_Toc184310336"/>
      <w:bookmarkEnd w:id="371"/>
      <w:bookmarkStart w:id="372" w:name="_Toc184313289"/>
      <w:bookmarkEnd w:id="372"/>
      <w:bookmarkStart w:id="373" w:name="_Toc184313238"/>
      <w:bookmarkEnd w:id="373"/>
      <w:bookmarkStart w:id="374" w:name="_Toc184313253"/>
      <w:bookmarkEnd w:id="374"/>
      <w:bookmarkStart w:id="375" w:name="_Toc184310333"/>
      <w:bookmarkEnd w:id="375"/>
      <w:bookmarkStart w:id="376" w:name="_Toc184312114"/>
      <w:bookmarkEnd w:id="376"/>
      <w:bookmarkStart w:id="377" w:name="_Toc184310327"/>
      <w:bookmarkEnd w:id="377"/>
      <w:bookmarkStart w:id="378" w:name="_Toc184308054"/>
      <w:bookmarkEnd w:id="378"/>
      <w:bookmarkStart w:id="379" w:name="_Toc184313267"/>
      <w:bookmarkEnd w:id="379"/>
      <w:bookmarkStart w:id="380" w:name="_Toc184312085"/>
      <w:bookmarkEnd w:id="380"/>
      <w:bookmarkStart w:id="381" w:name="_Toc184313281"/>
      <w:bookmarkEnd w:id="381"/>
      <w:bookmarkStart w:id="382" w:name="_Toc184314481"/>
      <w:bookmarkEnd w:id="382"/>
      <w:bookmarkStart w:id="383" w:name="_Toc184308105"/>
      <w:bookmarkEnd w:id="383"/>
      <w:bookmarkStart w:id="384" w:name="_Toc184310282"/>
      <w:bookmarkEnd w:id="384"/>
      <w:bookmarkStart w:id="385" w:name="_Toc184312097"/>
      <w:bookmarkEnd w:id="385"/>
      <w:bookmarkStart w:id="386" w:name="_Toc184308099"/>
      <w:bookmarkEnd w:id="386"/>
      <w:bookmarkStart w:id="387" w:name="_Toc184312091"/>
      <w:bookmarkEnd w:id="387"/>
      <w:bookmarkStart w:id="388" w:name="_Toc184310341"/>
      <w:bookmarkEnd w:id="388"/>
      <w:bookmarkStart w:id="389" w:name="_Toc184314441"/>
      <w:bookmarkEnd w:id="389"/>
      <w:bookmarkStart w:id="390" w:name="_Toc184312081"/>
      <w:bookmarkEnd w:id="390"/>
      <w:bookmarkStart w:id="391" w:name="_Toc184314444"/>
      <w:bookmarkEnd w:id="391"/>
      <w:bookmarkStart w:id="392" w:name="_Toc184310321"/>
      <w:bookmarkEnd w:id="392"/>
      <w:bookmarkStart w:id="393" w:name="_Toc184314471"/>
      <w:bookmarkEnd w:id="393"/>
      <w:r>
        <w:rPr>
          <w:rFonts w:hint="eastAsia" w:ascii="仿宋" w:hAnsi="仿宋" w:eastAsia="仿宋" w:cs="仿宋"/>
          <w:b/>
          <w:color w:val="auto"/>
          <w:sz w:val="36"/>
          <w:szCs w:val="36"/>
        </w:rPr>
        <w:t>评标办法</w:t>
      </w:r>
    </w:p>
    <w:p>
      <w:pPr>
        <w:snapToGrid w:val="0"/>
        <w:spacing w:line="360" w:lineRule="auto"/>
        <w:jc w:val="center"/>
        <w:rPr>
          <w:rFonts w:hint="eastAsia" w:ascii="仿宋" w:hAnsi="仿宋" w:eastAsia="仿宋" w:cs="仿宋"/>
          <w:b/>
          <w:color w:val="auto"/>
          <w:sz w:val="32"/>
          <w:szCs w:val="20"/>
        </w:rPr>
      </w:pPr>
      <w:r>
        <w:rPr>
          <w:rFonts w:hint="eastAsia" w:ascii="仿宋" w:hAnsi="仿宋" w:eastAsia="仿宋" w:cs="仿宋"/>
          <w:b/>
          <w:color w:val="auto"/>
          <w:sz w:val="32"/>
          <w:szCs w:val="20"/>
        </w:rPr>
        <w:t>评标办法前附表</w:t>
      </w:r>
    </w:p>
    <w:tbl>
      <w:tblPr>
        <w:tblStyle w:val="63"/>
        <w:tblpPr w:leftFromText="180" w:rightFromText="180" w:vertAnchor="text" w:horzAnchor="page" w:tblpXSpec="center" w:tblpY="126"/>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5251"/>
        <w:gridCol w:w="858"/>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98" w:type="dxa"/>
            <w:vAlign w:val="center"/>
          </w:tcPr>
          <w:p>
            <w:pPr>
              <w:jc w:val="center"/>
              <w:outlineLvl w:val="0"/>
              <w:rPr>
                <w:rFonts w:hint="eastAsia" w:ascii="仿宋" w:hAnsi="仿宋" w:eastAsia="仿宋" w:cs="仿宋"/>
                <w:bCs/>
                <w:color w:val="auto"/>
                <w:sz w:val="24"/>
              </w:rPr>
            </w:pPr>
            <w:r>
              <w:rPr>
                <w:rFonts w:hint="eastAsia" w:ascii="仿宋" w:hAnsi="仿宋" w:eastAsia="仿宋" w:cs="仿宋"/>
                <w:bCs/>
                <w:color w:val="auto"/>
                <w:sz w:val="24"/>
              </w:rPr>
              <w:t>序号</w:t>
            </w:r>
          </w:p>
        </w:tc>
        <w:tc>
          <w:tcPr>
            <w:tcW w:w="5251" w:type="dxa"/>
            <w:vAlign w:val="center"/>
          </w:tcPr>
          <w:p>
            <w:pPr>
              <w:jc w:val="center"/>
              <w:outlineLvl w:val="0"/>
              <w:rPr>
                <w:rFonts w:hint="eastAsia" w:ascii="仿宋" w:hAnsi="仿宋" w:eastAsia="仿宋" w:cs="仿宋"/>
                <w:bCs/>
                <w:color w:val="auto"/>
                <w:sz w:val="24"/>
              </w:rPr>
            </w:pPr>
            <w:r>
              <w:rPr>
                <w:rFonts w:hint="eastAsia" w:ascii="仿宋" w:hAnsi="仿宋" w:eastAsia="仿宋" w:cs="仿宋"/>
                <w:bCs/>
                <w:color w:val="auto"/>
                <w:sz w:val="24"/>
              </w:rPr>
              <w:t>评标标准</w:t>
            </w:r>
          </w:p>
        </w:tc>
        <w:tc>
          <w:tcPr>
            <w:tcW w:w="858" w:type="dxa"/>
            <w:vAlign w:val="center"/>
          </w:tcPr>
          <w:p>
            <w:pPr>
              <w:jc w:val="center"/>
              <w:outlineLvl w:val="0"/>
              <w:rPr>
                <w:rFonts w:hint="eastAsia" w:ascii="仿宋" w:hAnsi="仿宋" w:eastAsia="仿宋" w:cs="仿宋"/>
                <w:bCs/>
                <w:color w:val="auto"/>
                <w:sz w:val="24"/>
              </w:rPr>
            </w:pPr>
            <w:r>
              <w:rPr>
                <w:rFonts w:hint="eastAsia" w:ascii="仿宋" w:hAnsi="仿宋" w:eastAsia="仿宋" w:cs="仿宋"/>
                <w:bCs/>
                <w:color w:val="auto"/>
                <w:sz w:val="24"/>
              </w:rPr>
              <w:t>权重</w:t>
            </w:r>
          </w:p>
        </w:tc>
        <w:tc>
          <w:tcPr>
            <w:tcW w:w="2309" w:type="dxa"/>
            <w:vAlign w:val="center"/>
          </w:tcPr>
          <w:p>
            <w:pPr>
              <w:jc w:val="center"/>
              <w:outlineLvl w:val="0"/>
              <w:rPr>
                <w:rFonts w:hint="eastAsia" w:ascii="仿宋" w:hAnsi="仿宋" w:eastAsia="仿宋" w:cs="仿宋"/>
                <w:color w:val="auto"/>
              </w:rPr>
            </w:pPr>
            <w:r>
              <w:rPr>
                <w:rFonts w:hint="eastAsia" w:ascii="仿宋" w:hAnsi="仿宋" w:eastAsia="仿宋" w:cs="仿宋"/>
                <w:bCs/>
                <w:color w:val="auto"/>
                <w:sz w:val="24"/>
              </w:rPr>
              <w:t>投标文件中评标标准相应的商务技术资料目录</w:t>
            </w:r>
            <w:r>
              <w:rPr>
                <w:rFonts w:hint="eastAsia" w:ascii="仿宋" w:hAnsi="仿宋" w:eastAsia="仿宋" w:cs="仿宋"/>
                <w:color w:val="auto"/>
                <w:sz w:val="24"/>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98" w:type="dxa"/>
            <w:vAlign w:val="center"/>
          </w:tcPr>
          <w:p>
            <w:pPr>
              <w:spacing w:line="360" w:lineRule="auto"/>
              <w:jc w:val="center"/>
              <w:outlineLvl w:val="0"/>
              <w:rPr>
                <w:rFonts w:hint="eastAsia" w:ascii="仿宋" w:hAnsi="仿宋" w:eastAsia="仿宋" w:cs="仿宋"/>
                <w:color w:val="auto"/>
                <w:sz w:val="24"/>
              </w:rPr>
            </w:pPr>
            <w:r>
              <w:rPr>
                <w:rFonts w:hint="eastAsia" w:ascii="仿宋" w:hAnsi="仿宋" w:eastAsia="仿宋" w:cs="仿宋"/>
                <w:color w:val="auto"/>
                <w:sz w:val="24"/>
              </w:rPr>
              <w:t>1</w:t>
            </w:r>
          </w:p>
        </w:tc>
        <w:tc>
          <w:tcPr>
            <w:tcW w:w="5251" w:type="dxa"/>
            <w:vAlign w:val="center"/>
          </w:tcPr>
          <w:p>
            <w:pPr>
              <w:jc w:val="left"/>
              <w:rPr>
                <w:rFonts w:hint="eastAsia" w:ascii="仿宋" w:hAnsi="仿宋" w:eastAsia="仿宋" w:cs="仿宋"/>
                <w:color w:val="auto"/>
                <w:sz w:val="24"/>
              </w:rPr>
            </w:pPr>
            <w:r>
              <w:rPr>
                <w:rFonts w:hint="eastAsia" w:ascii="仿宋" w:hAnsi="仿宋" w:eastAsia="仿宋" w:cs="仿宋"/>
                <w:color w:val="auto"/>
                <w:kern w:val="0"/>
                <w:sz w:val="24"/>
              </w:rPr>
              <w:t>符合明确指标参数得</w:t>
            </w:r>
            <w:r>
              <w:rPr>
                <w:rFonts w:hint="eastAsia" w:ascii="仿宋" w:hAnsi="仿宋" w:eastAsia="仿宋" w:cs="仿宋"/>
                <w:color w:val="auto"/>
                <w:kern w:val="0"/>
                <w:sz w:val="24"/>
                <w:lang w:val="en-US" w:eastAsia="zh-CN"/>
              </w:rPr>
              <w:t>16</w:t>
            </w:r>
            <w:r>
              <w:rPr>
                <w:rFonts w:hint="eastAsia" w:ascii="仿宋" w:hAnsi="仿宋" w:eastAsia="仿宋" w:cs="仿宋"/>
                <w:color w:val="auto"/>
                <w:kern w:val="0"/>
                <w:sz w:val="24"/>
              </w:rPr>
              <w:t>分；投标产品关键技术指标（标有“▲”的指标）必须满足，负偏离废标；对非关键的性能指标及技术参数属负偏离或缺漏项的每项扣2分，扣完为止。</w:t>
            </w:r>
          </w:p>
        </w:tc>
        <w:tc>
          <w:tcPr>
            <w:tcW w:w="858" w:type="dxa"/>
            <w:vAlign w:val="center"/>
          </w:tcPr>
          <w:p>
            <w:pPr>
              <w:jc w:val="center"/>
              <w:rPr>
                <w:rFonts w:hint="eastAsia" w:ascii="仿宋" w:hAnsi="仿宋" w:eastAsia="仿宋" w:cs="仿宋"/>
                <w:color w:val="auto"/>
                <w:sz w:val="24"/>
                <w:lang w:val="en-US" w:eastAsia="zh-CN"/>
              </w:rPr>
            </w:pPr>
            <w:r>
              <w:rPr>
                <w:rFonts w:hint="eastAsia" w:ascii="仿宋" w:hAnsi="仿宋" w:eastAsia="仿宋" w:cs="仿宋"/>
                <w:color w:val="auto"/>
                <w:lang w:val="en-US" w:eastAsia="zh-CN"/>
              </w:rPr>
              <w:t>16</w:t>
            </w:r>
          </w:p>
        </w:tc>
        <w:tc>
          <w:tcPr>
            <w:tcW w:w="2309" w:type="dxa"/>
            <w:vAlign w:val="center"/>
          </w:tcPr>
          <w:p>
            <w:pPr>
              <w:jc w:val="left"/>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98" w:type="dxa"/>
            <w:vAlign w:val="center"/>
          </w:tcPr>
          <w:p>
            <w:pPr>
              <w:spacing w:line="360" w:lineRule="auto"/>
              <w:jc w:val="center"/>
              <w:outlineLvl w:val="0"/>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2</w:t>
            </w:r>
          </w:p>
        </w:tc>
        <w:tc>
          <w:tcPr>
            <w:tcW w:w="5251" w:type="dxa"/>
            <w:vAlign w:val="center"/>
          </w:tcPr>
          <w:p>
            <w:pPr>
              <w:jc w:val="left"/>
              <w:rPr>
                <w:rFonts w:hint="eastAsia" w:ascii="仿宋" w:hAnsi="仿宋" w:eastAsia="仿宋" w:cs="仿宋"/>
                <w:color w:val="auto"/>
                <w:sz w:val="24"/>
              </w:rPr>
            </w:pPr>
            <w:r>
              <w:rPr>
                <w:rFonts w:hint="eastAsia" w:ascii="仿宋" w:hAnsi="仿宋" w:eastAsia="仿宋" w:cs="仿宋"/>
                <w:color w:val="auto"/>
                <w:sz w:val="24"/>
              </w:rPr>
              <w:t>投标产品</w:t>
            </w:r>
            <w:bookmarkStart w:id="563" w:name="_GoBack"/>
            <w:bookmarkEnd w:id="563"/>
            <w:r>
              <w:rPr>
                <w:rFonts w:hint="eastAsia" w:ascii="仿宋" w:hAnsi="仿宋" w:eastAsia="仿宋" w:cs="仿宋"/>
                <w:color w:val="auto"/>
                <w:sz w:val="24"/>
              </w:rPr>
              <w:t>知名度、性价比等情况进行打分，最高得</w:t>
            </w:r>
            <w:r>
              <w:rPr>
                <w:rFonts w:hint="eastAsia" w:ascii="仿宋" w:hAnsi="仿宋" w:eastAsia="仿宋" w:cs="仿宋"/>
                <w:color w:val="auto"/>
                <w:sz w:val="24"/>
                <w:lang w:val="en-US" w:eastAsia="zh-CN"/>
              </w:rPr>
              <w:t>3</w:t>
            </w:r>
            <w:r>
              <w:rPr>
                <w:rFonts w:hint="eastAsia" w:ascii="仿宋" w:hAnsi="仿宋" w:eastAsia="仿宋" w:cs="仿宋"/>
                <w:color w:val="auto"/>
                <w:sz w:val="24"/>
              </w:rPr>
              <w:t>分。</w:t>
            </w:r>
          </w:p>
        </w:tc>
        <w:tc>
          <w:tcPr>
            <w:tcW w:w="858" w:type="dxa"/>
            <w:vAlign w:val="center"/>
          </w:tcPr>
          <w:p>
            <w:pPr>
              <w:jc w:val="center"/>
              <w:rPr>
                <w:rFonts w:hint="eastAsia" w:ascii="仿宋" w:hAnsi="仿宋" w:eastAsia="仿宋" w:cs="仿宋"/>
                <w:color w:val="auto"/>
                <w:sz w:val="24"/>
                <w:lang w:eastAsia="zh-CN"/>
              </w:rPr>
            </w:pPr>
            <w:r>
              <w:rPr>
                <w:rFonts w:hint="eastAsia" w:ascii="仿宋" w:hAnsi="仿宋" w:eastAsia="仿宋" w:cs="仿宋"/>
                <w:color w:val="auto"/>
                <w:lang w:val="en-US" w:eastAsia="zh-CN"/>
              </w:rPr>
              <w:t>3</w:t>
            </w:r>
          </w:p>
        </w:tc>
        <w:tc>
          <w:tcPr>
            <w:tcW w:w="2309" w:type="dxa"/>
            <w:vAlign w:val="center"/>
          </w:tcPr>
          <w:p>
            <w:pPr>
              <w:jc w:val="left"/>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798" w:type="dxa"/>
            <w:vAlign w:val="center"/>
          </w:tcPr>
          <w:p>
            <w:pPr>
              <w:spacing w:line="360" w:lineRule="auto"/>
              <w:jc w:val="center"/>
              <w:outlineLvl w:val="0"/>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3</w:t>
            </w:r>
          </w:p>
        </w:tc>
        <w:tc>
          <w:tcPr>
            <w:tcW w:w="5251" w:type="dxa"/>
            <w:vAlign w:val="center"/>
          </w:tcPr>
          <w:p>
            <w:pPr>
              <w:jc w:val="left"/>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根据投标供应商对投标方案中各产品的部署及与浙江省口腔诊疗机构监督在线平台之间的衔接方案的安全、稳定、成熟可行性等方面打分，最高得5分。</w:t>
            </w:r>
          </w:p>
        </w:tc>
        <w:tc>
          <w:tcPr>
            <w:tcW w:w="858" w:type="dxa"/>
            <w:vAlign w:val="center"/>
          </w:tcPr>
          <w:p>
            <w:pPr>
              <w:jc w:val="center"/>
              <w:rPr>
                <w:rFonts w:hint="eastAsia" w:ascii="仿宋" w:hAnsi="仿宋" w:eastAsia="仿宋" w:cs="仿宋"/>
                <w:color w:val="auto"/>
                <w:sz w:val="24"/>
                <w:lang w:eastAsia="zh-CN"/>
              </w:rPr>
            </w:pPr>
            <w:r>
              <w:rPr>
                <w:rFonts w:hint="eastAsia" w:ascii="仿宋" w:hAnsi="仿宋" w:eastAsia="仿宋" w:cs="仿宋"/>
                <w:color w:val="auto"/>
                <w:lang w:val="en-US" w:eastAsia="zh-CN"/>
              </w:rPr>
              <w:t>5</w:t>
            </w:r>
          </w:p>
        </w:tc>
        <w:tc>
          <w:tcPr>
            <w:tcW w:w="2309" w:type="dxa"/>
            <w:vAlign w:val="center"/>
          </w:tcPr>
          <w:p>
            <w:pPr>
              <w:jc w:val="left"/>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6" w:hRule="atLeast"/>
          <w:jc w:val="center"/>
        </w:trPr>
        <w:tc>
          <w:tcPr>
            <w:tcW w:w="798" w:type="dxa"/>
            <w:vAlign w:val="center"/>
          </w:tcPr>
          <w:p>
            <w:pPr>
              <w:spacing w:line="360" w:lineRule="auto"/>
              <w:jc w:val="center"/>
              <w:outlineLvl w:val="0"/>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4</w:t>
            </w:r>
          </w:p>
        </w:tc>
        <w:tc>
          <w:tcPr>
            <w:tcW w:w="5251" w:type="dxa"/>
            <w:vAlign w:val="center"/>
          </w:tcPr>
          <w:p>
            <w:pPr>
              <w:spacing w:line="300" w:lineRule="exact"/>
              <w:rPr>
                <w:rFonts w:ascii="仿宋" w:hAnsi="仿宋" w:eastAsia="仿宋" w:cs="仿宋"/>
                <w:color w:val="auto"/>
                <w:kern w:val="0"/>
                <w:sz w:val="24"/>
                <w:highlight w:val="none"/>
              </w:rPr>
            </w:pPr>
            <w:r>
              <w:rPr>
                <w:rFonts w:hint="eastAsia" w:ascii="仿宋" w:hAnsi="仿宋" w:eastAsia="仿宋" w:cs="仿宋"/>
                <w:color w:val="auto"/>
                <w:kern w:val="0"/>
                <w:sz w:val="24"/>
              </w:rPr>
              <w:t>系统演示：根据投标人对</w:t>
            </w:r>
            <w:r>
              <w:rPr>
                <w:rFonts w:hint="eastAsia" w:ascii="仿宋" w:hAnsi="仿宋" w:eastAsia="仿宋" w:cs="仿宋"/>
                <w:color w:val="auto"/>
                <w:kern w:val="0"/>
                <w:sz w:val="24"/>
                <w:highlight w:val="none"/>
                <w:lang w:val="en-US" w:eastAsia="zh-CN"/>
              </w:rPr>
              <w:t>系统功能区块的实现情况</w:t>
            </w:r>
            <w:r>
              <w:rPr>
                <w:rFonts w:hint="eastAsia" w:ascii="仿宋" w:hAnsi="仿宋" w:eastAsia="仿宋" w:cs="仿宋"/>
                <w:color w:val="auto"/>
                <w:kern w:val="0"/>
                <w:sz w:val="24"/>
                <w:highlight w:val="none"/>
              </w:rPr>
              <w:t>演示进行打分，最高1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分。</w:t>
            </w:r>
          </w:p>
          <w:p>
            <w:pPr>
              <w:spacing w:line="300" w:lineRule="exact"/>
              <w:rPr>
                <w:rFonts w:ascii="仿宋" w:hAnsi="仿宋" w:eastAsia="仿宋" w:cs="仿宋"/>
                <w:color w:val="auto"/>
                <w:kern w:val="0"/>
                <w:sz w:val="24"/>
              </w:rPr>
            </w:pPr>
            <w:r>
              <w:rPr>
                <w:rFonts w:hint="eastAsia" w:ascii="仿宋" w:hAnsi="仿宋" w:eastAsia="仿宋" w:cs="仿宋"/>
                <w:b/>
                <w:bCs/>
                <w:color w:val="auto"/>
                <w:kern w:val="0"/>
                <w:sz w:val="24"/>
              </w:rPr>
              <w:t>演示方式：采用平台实况在线演示录制视频，录制视频时长15分钟以内，录制的视频分辨率不高于1280×720（若视频为其他格式导致评审中不能正常播放的，责任自负）。实况在线演示时投标方需配备好电脑，且电脑配置有摄像头、麦克风并确保己方良好的网络环境。</w:t>
            </w:r>
            <w:r>
              <w:rPr>
                <w:rFonts w:hint="eastAsia" w:ascii="仿宋" w:hAnsi="仿宋" w:eastAsia="仿宋" w:cs="仿宋"/>
                <w:color w:val="auto"/>
                <w:sz w:val="24"/>
                <w:lang w:val="en-US" w:eastAsia="zh-CN"/>
              </w:rPr>
              <w:t>因投标人自身原因导致无法演示或者演示效果不理想的，责任自负</w:t>
            </w:r>
            <w:r>
              <w:rPr>
                <w:rFonts w:hint="eastAsia" w:ascii="仿宋" w:hAnsi="仿宋" w:eastAsia="仿宋" w:cs="仿宋"/>
                <w:b w:val="0"/>
                <w:bCs w:val="0"/>
                <w:color w:val="auto"/>
                <w:sz w:val="24"/>
                <w:lang w:val="en-US" w:eastAsia="zh-CN"/>
              </w:rPr>
              <w:t>，</w:t>
            </w:r>
            <w:r>
              <w:rPr>
                <w:rFonts w:hint="eastAsia" w:ascii="仿宋" w:hAnsi="仿宋" w:eastAsia="仿宋" w:cs="仿宋"/>
                <w:b w:val="0"/>
                <w:bCs w:val="0"/>
                <w:color w:val="auto"/>
                <w:kern w:val="0"/>
                <w:sz w:val="24"/>
              </w:rPr>
              <w:t>不参与演示的不得分。</w:t>
            </w:r>
            <w:r>
              <w:rPr>
                <w:rFonts w:hint="eastAsia" w:ascii="仿宋" w:hAnsi="仿宋" w:eastAsia="仿宋" w:cs="仿宋"/>
                <w:color w:val="auto"/>
                <w:kern w:val="0"/>
                <w:sz w:val="24"/>
              </w:rPr>
              <w:t>（共1</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分）</w:t>
            </w:r>
          </w:p>
          <w:p>
            <w:pPr>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针对本项目，投标人提供对口腔机构生物化学报告有没有上传查看功能，根据演示及解答情况，由评委进行评分（0-5分）；</w:t>
            </w:r>
          </w:p>
          <w:p>
            <w:pPr>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投标人提供在线取证执法功能演示，根据演示及解答情况，由评委进行评分（0-5分）；</w:t>
            </w:r>
          </w:p>
          <w:p>
            <w:pPr>
              <w:jc w:val="left"/>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3.投标人提供清洗消毒智能监控功能演示，根据演示及解答情况，由评委进行评分（0-5分）。</w:t>
            </w:r>
          </w:p>
        </w:tc>
        <w:tc>
          <w:tcPr>
            <w:tcW w:w="858" w:type="dxa"/>
            <w:vAlign w:val="center"/>
          </w:tcPr>
          <w:p>
            <w:pPr>
              <w:ind w:firstLine="240" w:firstLineChars="100"/>
              <w:jc w:val="left"/>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15</w:t>
            </w:r>
          </w:p>
        </w:tc>
        <w:tc>
          <w:tcPr>
            <w:tcW w:w="2309" w:type="dxa"/>
            <w:vAlign w:val="center"/>
          </w:tcPr>
          <w:p>
            <w:pPr>
              <w:jc w:val="left"/>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8" w:type="dxa"/>
            <w:vAlign w:val="center"/>
          </w:tcPr>
          <w:p>
            <w:pPr>
              <w:spacing w:line="360" w:lineRule="auto"/>
              <w:jc w:val="center"/>
              <w:outlineLvl w:val="0"/>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5</w:t>
            </w:r>
          </w:p>
        </w:tc>
        <w:tc>
          <w:tcPr>
            <w:tcW w:w="5251" w:type="dxa"/>
            <w:vAlign w:val="center"/>
          </w:tcPr>
          <w:p>
            <w:pPr>
              <w:jc w:val="left"/>
              <w:rPr>
                <w:rFonts w:hint="eastAsia" w:ascii="仿宋" w:hAnsi="仿宋" w:eastAsia="仿宋" w:cs="仿宋"/>
                <w:color w:val="auto"/>
                <w:sz w:val="24"/>
              </w:rPr>
            </w:pPr>
            <w:r>
              <w:rPr>
                <w:rFonts w:hint="eastAsia" w:ascii="仿宋" w:hAnsi="仿宋" w:eastAsia="仿宋" w:cs="仿宋"/>
                <w:color w:val="auto"/>
                <w:sz w:val="24"/>
              </w:rPr>
              <w:t>投标</w:t>
            </w:r>
            <w:r>
              <w:rPr>
                <w:rFonts w:hint="eastAsia" w:ascii="仿宋" w:hAnsi="仿宋" w:eastAsia="仿宋" w:cs="仿宋"/>
                <w:color w:val="auto"/>
                <w:sz w:val="24"/>
                <w:lang w:val="en-US" w:eastAsia="zh-CN"/>
              </w:rPr>
              <w:t>供应商</w:t>
            </w:r>
            <w:r>
              <w:rPr>
                <w:rFonts w:hint="eastAsia" w:ascii="仿宋" w:hAnsi="仿宋" w:eastAsia="仿宋" w:cs="仿宋"/>
                <w:color w:val="auto"/>
                <w:sz w:val="24"/>
              </w:rPr>
              <w:t>按照采购人的要求，提供详实的进度计划。根据进度计划安排方案，从进度计划合理性、可行性、高效性进行打分，最高得</w:t>
            </w:r>
            <w:r>
              <w:rPr>
                <w:rFonts w:hint="eastAsia" w:ascii="仿宋" w:hAnsi="仿宋" w:eastAsia="仿宋" w:cs="仿宋"/>
                <w:color w:val="auto"/>
                <w:sz w:val="24"/>
                <w:lang w:val="en-US" w:eastAsia="zh-CN"/>
              </w:rPr>
              <w:t>4</w:t>
            </w:r>
            <w:r>
              <w:rPr>
                <w:rFonts w:hint="eastAsia" w:ascii="仿宋" w:hAnsi="仿宋" w:eastAsia="仿宋" w:cs="仿宋"/>
                <w:color w:val="auto"/>
                <w:sz w:val="24"/>
              </w:rPr>
              <w:t>分。</w:t>
            </w:r>
          </w:p>
        </w:tc>
        <w:tc>
          <w:tcPr>
            <w:tcW w:w="858" w:type="dxa"/>
            <w:vAlign w:val="center"/>
          </w:tcPr>
          <w:p>
            <w:pPr>
              <w:ind w:firstLine="240" w:firstLineChars="100"/>
              <w:jc w:val="left"/>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 xml:space="preserve">4 </w:t>
            </w:r>
          </w:p>
        </w:tc>
        <w:tc>
          <w:tcPr>
            <w:tcW w:w="2309" w:type="dxa"/>
            <w:vAlign w:val="center"/>
          </w:tcPr>
          <w:p>
            <w:pPr>
              <w:jc w:val="left"/>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8" w:type="dxa"/>
            <w:vAlign w:val="center"/>
          </w:tcPr>
          <w:p>
            <w:pPr>
              <w:spacing w:line="360" w:lineRule="auto"/>
              <w:jc w:val="center"/>
              <w:outlineLvl w:val="0"/>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6</w:t>
            </w:r>
          </w:p>
        </w:tc>
        <w:tc>
          <w:tcPr>
            <w:tcW w:w="5251" w:type="dxa"/>
            <w:vAlign w:val="center"/>
          </w:tcPr>
          <w:p>
            <w:pPr>
              <w:jc w:val="left"/>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根据项目安装、调试和系统集成具体实施计划的科学性、合理性和有效性等情况打分，最高得4分。</w:t>
            </w:r>
          </w:p>
        </w:tc>
        <w:tc>
          <w:tcPr>
            <w:tcW w:w="858" w:type="dxa"/>
            <w:vAlign w:val="center"/>
          </w:tcPr>
          <w:p>
            <w:pPr>
              <w:ind w:firstLine="240" w:firstLineChars="1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w:t>
            </w:r>
          </w:p>
        </w:tc>
        <w:tc>
          <w:tcPr>
            <w:tcW w:w="2309" w:type="dxa"/>
            <w:vAlign w:val="center"/>
          </w:tcPr>
          <w:p>
            <w:pPr>
              <w:jc w:val="left"/>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798" w:type="dxa"/>
            <w:vAlign w:val="center"/>
          </w:tcPr>
          <w:p>
            <w:pPr>
              <w:spacing w:line="360" w:lineRule="auto"/>
              <w:jc w:val="center"/>
              <w:outlineLvl w:val="0"/>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7</w:t>
            </w:r>
          </w:p>
        </w:tc>
        <w:tc>
          <w:tcPr>
            <w:tcW w:w="5251" w:type="dxa"/>
            <w:vAlign w:val="center"/>
          </w:tcPr>
          <w:p>
            <w:pPr>
              <w:jc w:val="left"/>
              <w:rPr>
                <w:rFonts w:hint="eastAsia" w:ascii="仿宋" w:hAnsi="仿宋" w:eastAsia="仿宋" w:cs="仿宋"/>
                <w:color w:val="auto"/>
                <w:sz w:val="24"/>
              </w:rPr>
            </w:pPr>
            <w:r>
              <w:rPr>
                <w:rFonts w:hint="eastAsia" w:ascii="仿宋" w:hAnsi="仿宋" w:eastAsia="仿宋" w:cs="仿宋"/>
                <w:color w:val="auto"/>
                <w:sz w:val="24"/>
              </w:rPr>
              <w:t>项目维护计划（对用户故障的响应、处理、定期巡检等情况）的有效性等情况进行打分，最高得</w:t>
            </w:r>
            <w:r>
              <w:rPr>
                <w:rFonts w:hint="eastAsia" w:ascii="仿宋" w:hAnsi="仿宋" w:eastAsia="仿宋" w:cs="仿宋"/>
                <w:color w:val="auto"/>
                <w:sz w:val="24"/>
                <w:lang w:val="en-US" w:eastAsia="zh-CN"/>
              </w:rPr>
              <w:t>4</w:t>
            </w:r>
            <w:r>
              <w:rPr>
                <w:rFonts w:hint="eastAsia" w:ascii="仿宋" w:hAnsi="仿宋" w:eastAsia="仿宋" w:cs="仿宋"/>
                <w:color w:val="auto"/>
                <w:sz w:val="24"/>
              </w:rPr>
              <w:t>分。</w:t>
            </w:r>
          </w:p>
        </w:tc>
        <w:tc>
          <w:tcPr>
            <w:tcW w:w="858" w:type="dxa"/>
            <w:vAlign w:val="center"/>
          </w:tcPr>
          <w:p>
            <w:pPr>
              <w:ind w:firstLine="240" w:firstLineChars="1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w:t>
            </w:r>
          </w:p>
        </w:tc>
        <w:tc>
          <w:tcPr>
            <w:tcW w:w="2309" w:type="dxa"/>
            <w:vAlign w:val="center"/>
          </w:tcPr>
          <w:p>
            <w:pPr>
              <w:jc w:val="left"/>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8" w:type="dxa"/>
            <w:vAlign w:val="center"/>
          </w:tcPr>
          <w:p>
            <w:pPr>
              <w:spacing w:line="360" w:lineRule="auto"/>
              <w:jc w:val="center"/>
              <w:outlineLvl w:val="0"/>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8</w:t>
            </w:r>
          </w:p>
        </w:tc>
        <w:tc>
          <w:tcPr>
            <w:tcW w:w="5251" w:type="dxa"/>
            <w:vAlign w:val="center"/>
          </w:tcPr>
          <w:p>
            <w:pPr>
              <w:jc w:val="left"/>
              <w:rPr>
                <w:rFonts w:hint="eastAsia" w:ascii="仿宋" w:hAnsi="仿宋" w:eastAsia="仿宋" w:cs="仿宋"/>
                <w:color w:val="auto"/>
                <w:sz w:val="24"/>
              </w:rPr>
            </w:pPr>
            <w:r>
              <w:rPr>
                <w:rFonts w:hint="eastAsia" w:ascii="仿宋" w:hAnsi="仿宋" w:eastAsia="仿宋" w:cs="仿宋"/>
                <w:color w:val="auto"/>
                <w:kern w:val="0"/>
                <w:sz w:val="24"/>
              </w:rPr>
              <w:t>根据投标</w:t>
            </w:r>
            <w:r>
              <w:rPr>
                <w:rFonts w:hint="eastAsia" w:ascii="仿宋" w:hAnsi="仿宋" w:eastAsia="仿宋" w:cs="仿宋"/>
                <w:color w:val="auto"/>
                <w:kern w:val="0"/>
                <w:sz w:val="24"/>
                <w:lang w:val="en-US" w:eastAsia="zh-CN"/>
              </w:rPr>
              <w:t>供应商</w:t>
            </w:r>
            <w:r>
              <w:rPr>
                <w:rFonts w:hint="eastAsia" w:ascii="仿宋" w:hAnsi="仿宋" w:eastAsia="仿宋" w:cs="仿宋"/>
                <w:color w:val="auto"/>
                <w:kern w:val="0"/>
                <w:sz w:val="24"/>
              </w:rPr>
              <w:t>硬件设施、研发、诚信、履约能力等情况打分</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最高得</w:t>
            </w: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rPr>
              <w:t>分。</w:t>
            </w:r>
          </w:p>
        </w:tc>
        <w:tc>
          <w:tcPr>
            <w:tcW w:w="858" w:type="dxa"/>
            <w:vAlign w:val="center"/>
          </w:tcPr>
          <w:p>
            <w:pPr>
              <w:ind w:firstLine="240" w:firstLineChars="100"/>
              <w:jc w:val="left"/>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3</w:t>
            </w:r>
          </w:p>
        </w:tc>
        <w:tc>
          <w:tcPr>
            <w:tcW w:w="2309" w:type="dxa"/>
            <w:vAlign w:val="center"/>
          </w:tcPr>
          <w:p>
            <w:pPr>
              <w:jc w:val="left"/>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98" w:type="dxa"/>
            <w:vAlign w:val="center"/>
          </w:tcPr>
          <w:p>
            <w:pPr>
              <w:spacing w:line="360" w:lineRule="auto"/>
              <w:jc w:val="center"/>
              <w:outlineLvl w:val="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9</w:t>
            </w:r>
          </w:p>
        </w:tc>
        <w:tc>
          <w:tcPr>
            <w:tcW w:w="5251" w:type="dxa"/>
            <w:vAlign w:val="center"/>
          </w:tcPr>
          <w:p>
            <w:pPr>
              <w:jc w:val="left"/>
              <w:rPr>
                <w:rFonts w:hint="default" w:ascii="仿宋" w:hAnsi="仿宋" w:eastAsia="仿宋" w:cs="仿宋"/>
                <w:color w:val="auto"/>
                <w:sz w:val="24"/>
                <w:lang w:val="en-US" w:eastAsia="zh-CN"/>
              </w:rPr>
            </w:pPr>
            <w:r>
              <w:rPr>
                <w:rFonts w:hint="eastAsia" w:ascii="仿宋" w:hAnsi="仿宋" w:eastAsia="仿宋" w:cs="仿宋"/>
                <w:color w:val="auto"/>
                <w:sz w:val="24"/>
              </w:rPr>
              <w:t>根据投标</w:t>
            </w:r>
            <w:r>
              <w:rPr>
                <w:rFonts w:hint="eastAsia" w:ascii="仿宋" w:hAnsi="仿宋" w:eastAsia="仿宋" w:cs="仿宋"/>
                <w:color w:val="auto"/>
                <w:sz w:val="24"/>
                <w:lang w:val="en-US" w:eastAsia="zh-CN"/>
              </w:rPr>
              <w:t>供应商</w:t>
            </w:r>
            <w:r>
              <w:rPr>
                <w:rFonts w:hint="eastAsia" w:ascii="仿宋" w:hAnsi="仿宋" w:eastAsia="仿宋" w:cs="仿宋"/>
                <w:color w:val="auto"/>
                <w:sz w:val="24"/>
              </w:rPr>
              <w:t>提供的质量保证目标，质量保证措施等方面</w:t>
            </w:r>
            <w:r>
              <w:rPr>
                <w:rFonts w:hint="eastAsia" w:ascii="仿宋" w:hAnsi="仿宋" w:eastAsia="仿宋" w:cs="仿宋"/>
                <w:color w:val="auto"/>
                <w:sz w:val="24"/>
                <w:lang w:val="en-US" w:eastAsia="zh-CN"/>
              </w:rPr>
              <w:t>打分，最高得3分。</w:t>
            </w:r>
          </w:p>
        </w:tc>
        <w:tc>
          <w:tcPr>
            <w:tcW w:w="858" w:type="dxa"/>
            <w:vAlign w:val="center"/>
          </w:tcPr>
          <w:p>
            <w:pPr>
              <w:ind w:firstLine="240" w:firstLineChars="100"/>
              <w:jc w:val="left"/>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3</w:t>
            </w:r>
          </w:p>
        </w:tc>
        <w:tc>
          <w:tcPr>
            <w:tcW w:w="2309" w:type="dxa"/>
            <w:vAlign w:val="center"/>
          </w:tcPr>
          <w:p>
            <w:pPr>
              <w:jc w:val="left"/>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98" w:type="dxa"/>
            <w:vAlign w:val="center"/>
          </w:tcPr>
          <w:p>
            <w:pPr>
              <w:spacing w:line="360" w:lineRule="auto"/>
              <w:jc w:val="center"/>
              <w:outlineLvl w:val="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10</w:t>
            </w:r>
          </w:p>
        </w:tc>
        <w:tc>
          <w:tcPr>
            <w:tcW w:w="5251" w:type="dxa"/>
            <w:vAlign w:val="center"/>
          </w:tcPr>
          <w:p>
            <w:pPr>
              <w:jc w:val="left"/>
              <w:rPr>
                <w:rFonts w:hint="eastAsia" w:ascii="仿宋" w:hAnsi="仿宋" w:eastAsia="仿宋" w:cs="仿宋"/>
                <w:color w:val="auto"/>
                <w:sz w:val="24"/>
              </w:rPr>
            </w:pPr>
            <w:r>
              <w:rPr>
                <w:rFonts w:hint="eastAsia" w:ascii="仿宋" w:hAnsi="仿宋" w:eastAsia="仿宋" w:cs="仿宋"/>
                <w:color w:val="auto"/>
                <w:sz w:val="24"/>
              </w:rPr>
              <w:t>培训方案、计划的可行性及合理性等情况打分，最高得4分。</w:t>
            </w:r>
          </w:p>
        </w:tc>
        <w:tc>
          <w:tcPr>
            <w:tcW w:w="858" w:type="dxa"/>
            <w:vAlign w:val="center"/>
          </w:tcPr>
          <w:p>
            <w:pPr>
              <w:ind w:firstLine="240" w:firstLineChars="100"/>
              <w:jc w:val="left"/>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4</w:t>
            </w:r>
          </w:p>
        </w:tc>
        <w:tc>
          <w:tcPr>
            <w:tcW w:w="2309" w:type="dxa"/>
            <w:vAlign w:val="center"/>
          </w:tcPr>
          <w:p>
            <w:pPr>
              <w:jc w:val="left"/>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8" w:type="dxa"/>
            <w:vAlign w:val="center"/>
          </w:tcPr>
          <w:p>
            <w:pPr>
              <w:ind w:firstLine="240" w:firstLineChars="100"/>
              <w:jc w:val="left"/>
              <w:rPr>
                <w:rFonts w:hint="eastAsia" w:ascii="仿宋" w:hAnsi="仿宋" w:eastAsia="仿宋" w:cs="仿宋"/>
                <w:color w:val="auto"/>
                <w:sz w:val="24"/>
                <w:lang w:eastAsia="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1</w:t>
            </w:r>
          </w:p>
        </w:tc>
        <w:tc>
          <w:tcPr>
            <w:tcW w:w="5251" w:type="dxa"/>
            <w:vAlign w:val="center"/>
          </w:tcPr>
          <w:p>
            <w:pPr>
              <w:jc w:val="left"/>
              <w:rPr>
                <w:rFonts w:hint="eastAsia" w:ascii="仿宋" w:hAnsi="仿宋" w:eastAsia="仿宋" w:cs="仿宋"/>
                <w:color w:val="auto"/>
                <w:sz w:val="24"/>
              </w:rPr>
            </w:pPr>
            <w:r>
              <w:rPr>
                <w:rFonts w:hint="eastAsia" w:ascii="仿宋" w:hAnsi="仿宋" w:eastAsia="仿宋" w:cs="仿宋"/>
                <w:color w:val="auto"/>
                <w:sz w:val="24"/>
              </w:rPr>
              <w:t>根据投标</w:t>
            </w:r>
            <w:r>
              <w:rPr>
                <w:rFonts w:hint="eastAsia" w:ascii="仿宋" w:hAnsi="仿宋" w:eastAsia="仿宋" w:cs="仿宋"/>
                <w:color w:val="auto"/>
                <w:sz w:val="24"/>
                <w:lang w:val="en-US" w:eastAsia="zh-CN"/>
              </w:rPr>
              <w:t>供应商</w:t>
            </w:r>
            <w:r>
              <w:rPr>
                <w:rFonts w:hint="eastAsia" w:ascii="仿宋" w:hAnsi="仿宋" w:eastAsia="仿宋" w:cs="仿宋"/>
                <w:color w:val="auto"/>
                <w:sz w:val="24"/>
              </w:rPr>
              <w:t>提供的售后维护机构和人员等情况，是否具有较强的专业技术队伍，能提供快速的售后服务响应,提供区域内的售后服务响应时间等情况</w:t>
            </w:r>
            <w:r>
              <w:rPr>
                <w:rFonts w:hint="eastAsia" w:ascii="仿宋" w:hAnsi="仿宋" w:eastAsia="仿宋" w:cs="仿宋"/>
                <w:color w:val="auto"/>
                <w:sz w:val="24"/>
                <w:lang w:val="en-US" w:eastAsia="zh-CN"/>
              </w:rPr>
              <w:t>打分，最高得3分</w:t>
            </w:r>
            <w:r>
              <w:rPr>
                <w:rFonts w:hint="eastAsia" w:ascii="仿宋" w:hAnsi="仿宋" w:eastAsia="仿宋" w:cs="仿宋"/>
                <w:color w:val="auto"/>
                <w:sz w:val="24"/>
              </w:rPr>
              <w:t>。</w:t>
            </w:r>
          </w:p>
        </w:tc>
        <w:tc>
          <w:tcPr>
            <w:tcW w:w="858" w:type="dxa"/>
            <w:vAlign w:val="center"/>
          </w:tcPr>
          <w:p>
            <w:pPr>
              <w:ind w:firstLine="240" w:firstLineChars="100"/>
              <w:jc w:val="left"/>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3</w:t>
            </w:r>
          </w:p>
        </w:tc>
        <w:tc>
          <w:tcPr>
            <w:tcW w:w="2309" w:type="dxa"/>
            <w:vAlign w:val="center"/>
          </w:tcPr>
          <w:p>
            <w:pPr>
              <w:jc w:val="left"/>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8" w:type="dxa"/>
            <w:vAlign w:val="center"/>
          </w:tcPr>
          <w:p>
            <w:pPr>
              <w:ind w:firstLine="240" w:firstLineChars="100"/>
              <w:jc w:val="left"/>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12</w:t>
            </w:r>
          </w:p>
        </w:tc>
        <w:tc>
          <w:tcPr>
            <w:tcW w:w="5251" w:type="dxa"/>
            <w:vAlign w:val="center"/>
          </w:tcPr>
          <w:p>
            <w:pPr>
              <w:jc w:val="left"/>
              <w:rPr>
                <w:rFonts w:hint="eastAsia" w:ascii="仿宋" w:hAnsi="仿宋" w:eastAsia="仿宋" w:cs="仿宋"/>
                <w:color w:val="auto"/>
                <w:sz w:val="24"/>
              </w:rPr>
            </w:pPr>
            <w:r>
              <w:rPr>
                <w:rFonts w:hint="eastAsia" w:ascii="仿宋" w:hAnsi="仿宋" w:eastAsia="仿宋" w:cs="仿宋"/>
                <w:color w:val="auto"/>
                <w:sz w:val="24"/>
              </w:rPr>
              <w:t>根据投标</w:t>
            </w:r>
            <w:r>
              <w:rPr>
                <w:rFonts w:hint="eastAsia" w:ascii="仿宋" w:hAnsi="仿宋" w:eastAsia="仿宋" w:cs="仿宋"/>
                <w:color w:val="auto"/>
                <w:sz w:val="24"/>
                <w:lang w:val="en-US" w:eastAsia="zh-CN"/>
              </w:rPr>
              <w:t>供应商</w:t>
            </w:r>
            <w:r>
              <w:rPr>
                <w:rFonts w:hint="eastAsia" w:ascii="仿宋" w:hAnsi="仿宋" w:eastAsia="仿宋" w:cs="仿宋"/>
                <w:color w:val="auto"/>
                <w:sz w:val="24"/>
              </w:rPr>
              <w:t>针对本项目安装调试验收方案的科学性、合理性和有效性进行打分，最高得</w:t>
            </w:r>
            <w:r>
              <w:rPr>
                <w:rFonts w:hint="eastAsia" w:ascii="仿宋" w:hAnsi="仿宋" w:eastAsia="仿宋" w:cs="仿宋"/>
                <w:color w:val="auto"/>
                <w:sz w:val="24"/>
                <w:lang w:val="en-US" w:eastAsia="zh-CN"/>
              </w:rPr>
              <w:t>3</w:t>
            </w:r>
            <w:r>
              <w:rPr>
                <w:rFonts w:hint="eastAsia" w:ascii="仿宋" w:hAnsi="仿宋" w:eastAsia="仿宋" w:cs="仿宋"/>
                <w:color w:val="auto"/>
                <w:sz w:val="24"/>
              </w:rPr>
              <w:t>分。</w:t>
            </w:r>
          </w:p>
        </w:tc>
        <w:tc>
          <w:tcPr>
            <w:tcW w:w="858" w:type="dxa"/>
            <w:vAlign w:val="center"/>
          </w:tcPr>
          <w:p>
            <w:pPr>
              <w:ind w:firstLine="240" w:firstLineChars="100"/>
              <w:jc w:val="left"/>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3</w:t>
            </w:r>
          </w:p>
        </w:tc>
        <w:tc>
          <w:tcPr>
            <w:tcW w:w="2309" w:type="dxa"/>
            <w:vAlign w:val="center"/>
          </w:tcPr>
          <w:p>
            <w:pPr>
              <w:jc w:val="left"/>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98" w:type="dxa"/>
            <w:vAlign w:val="center"/>
          </w:tcPr>
          <w:p>
            <w:pPr>
              <w:ind w:firstLine="240" w:firstLineChars="100"/>
              <w:jc w:val="left"/>
              <w:rPr>
                <w:rFonts w:hint="eastAsia" w:ascii="仿宋" w:hAnsi="仿宋" w:eastAsia="仿宋" w:cs="仿宋"/>
                <w:color w:val="auto"/>
                <w:sz w:val="24"/>
                <w:lang w:eastAsia="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3</w:t>
            </w:r>
          </w:p>
        </w:tc>
        <w:tc>
          <w:tcPr>
            <w:tcW w:w="5251" w:type="dxa"/>
            <w:vAlign w:val="center"/>
          </w:tcPr>
          <w:p>
            <w:pPr>
              <w:jc w:val="left"/>
              <w:rPr>
                <w:rFonts w:hint="eastAsia" w:ascii="仿宋" w:hAnsi="仿宋" w:eastAsia="仿宋" w:cs="仿宋"/>
                <w:color w:val="auto"/>
                <w:sz w:val="24"/>
              </w:rPr>
            </w:pPr>
            <w:r>
              <w:rPr>
                <w:rFonts w:hint="eastAsia" w:ascii="仿宋" w:hAnsi="仿宋" w:eastAsia="仿宋" w:cs="仿宋"/>
                <w:color w:val="auto"/>
                <w:sz w:val="24"/>
              </w:rPr>
              <w:t>根据投标</w:t>
            </w:r>
            <w:r>
              <w:rPr>
                <w:rFonts w:hint="eastAsia" w:ascii="仿宋" w:hAnsi="仿宋" w:eastAsia="仿宋" w:cs="仿宋"/>
                <w:color w:val="auto"/>
                <w:sz w:val="24"/>
                <w:lang w:val="en-US" w:eastAsia="zh-CN"/>
              </w:rPr>
              <w:t>供应商</w:t>
            </w:r>
            <w:r>
              <w:rPr>
                <w:rFonts w:hint="eastAsia" w:ascii="仿宋" w:hAnsi="仿宋" w:eastAsia="仿宋" w:cs="仿宋"/>
                <w:color w:val="auto"/>
                <w:sz w:val="24"/>
              </w:rPr>
              <w:t>自2019年1月1日以来（以合同签订时间为准）承接过类似项目的成功案例,每提供一</w:t>
            </w:r>
            <w:r>
              <w:rPr>
                <w:rFonts w:hint="eastAsia" w:ascii="仿宋" w:hAnsi="仿宋" w:eastAsia="仿宋" w:cs="仿宋"/>
                <w:color w:val="auto"/>
                <w:sz w:val="24"/>
                <w:lang w:val="en-US" w:eastAsia="zh-CN"/>
              </w:rPr>
              <w:t>个</w:t>
            </w:r>
            <w:r>
              <w:rPr>
                <w:rFonts w:hint="eastAsia" w:ascii="仿宋" w:hAnsi="仿宋" w:eastAsia="仿宋" w:cs="仿宋"/>
                <w:color w:val="auto"/>
                <w:sz w:val="24"/>
              </w:rPr>
              <w:t>业绩得1分，最高得</w:t>
            </w:r>
            <w:r>
              <w:rPr>
                <w:rFonts w:hint="eastAsia" w:ascii="仿宋" w:hAnsi="仿宋" w:eastAsia="仿宋" w:cs="仿宋"/>
                <w:color w:val="auto"/>
                <w:sz w:val="24"/>
                <w:lang w:val="en-US" w:eastAsia="zh-CN"/>
              </w:rPr>
              <w:t>3</w:t>
            </w:r>
            <w:r>
              <w:rPr>
                <w:rFonts w:hint="eastAsia" w:ascii="仿宋" w:hAnsi="仿宋" w:eastAsia="仿宋" w:cs="仿宋"/>
                <w:color w:val="auto"/>
                <w:sz w:val="24"/>
              </w:rPr>
              <w:t>分。（投标时须同时提供合同书复印件及验收报告复印件，缺一或不提供复印件不得分）。</w:t>
            </w:r>
          </w:p>
        </w:tc>
        <w:tc>
          <w:tcPr>
            <w:tcW w:w="858" w:type="dxa"/>
            <w:vAlign w:val="center"/>
          </w:tcPr>
          <w:p>
            <w:pPr>
              <w:ind w:firstLine="240" w:firstLineChars="100"/>
              <w:jc w:val="left"/>
              <w:rPr>
                <w:rFonts w:hint="eastAsia" w:ascii="仿宋" w:hAnsi="仿宋" w:eastAsia="仿宋" w:cs="仿宋"/>
                <w:color w:val="auto"/>
                <w:sz w:val="24"/>
              </w:rPr>
            </w:pPr>
            <w:r>
              <w:rPr>
                <w:rFonts w:hint="eastAsia" w:ascii="仿宋" w:hAnsi="仿宋" w:eastAsia="仿宋" w:cs="仿宋"/>
                <w:color w:val="auto"/>
                <w:sz w:val="24"/>
              </w:rPr>
              <w:t>3</w:t>
            </w:r>
          </w:p>
        </w:tc>
        <w:tc>
          <w:tcPr>
            <w:tcW w:w="2309" w:type="dxa"/>
            <w:vAlign w:val="center"/>
          </w:tcPr>
          <w:p>
            <w:pPr>
              <w:jc w:val="left"/>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98" w:type="dxa"/>
            <w:vAlign w:val="center"/>
          </w:tcPr>
          <w:p>
            <w:pPr>
              <w:ind w:firstLine="240" w:firstLineChars="100"/>
              <w:jc w:val="left"/>
              <w:rPr>
                <w:rFonts w:hint="eastAsia" w:ascii="仿宋" w:hAnsi="仿宋" w:eastAsia="仿宋" w:cs="仿宋"/>
                <w:color w:val="auto"/>
                <w:sz w:val="24"/>
                <w:lang w:eastAsia="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4</w:t>
            </w:r>
          </w:p>
        </w:tc>
        <w:tc>
          <w:tcPr>
            <w:tcW w:w="5251" w:type="dxa"/>
            <w:vAlign w:val="center"/>
          </w:tcPr>
          <w:p>
            <w:pPr>
              <w:jc w:val="left"/>
              <w:rPr>
                <w:rFonts w:hint="eastAsia" w:ascii="仿宋" w:hAnsi="仿宋" w:eastAsia="仿宋" w:cs="仿宋"/>
                <w:color w:val="auto"/>
                <w:sz w:val="24"/>
              </w:rPr>
            </w:pPr>
            <w:r>
              <w:rPr>
                <w:rFonts w:hint="eastAsia" w:ascii="仿宋" w:hAnsi="仿宋" w:eastAsia="仿宋" w:cs="仿宋"/>
                <w:color w:val="auto"/>
                <w:sz w:val="24"/>
              </w:rPr>
              <w:t>有效投标报价的最低价作为评标基准价，其最低报价为满分；按［投标报价得分=（评标基准价/投标报价）*30］的计算公式计算。</w:t>
            </w:r>
          </w:p>
          <w:p>
            <w:pPr>
              <w:jc w:val="left"/>
              <w:rPr>
                <w:rFonts w:hint="eastAsia" w:ascii="仿宋" w:hAnsi="仿宋" w:eastAsia="仿宋" w:cs="仿宋"/>
                <w:color w:val="auto"/>
                <w:sz w:val="24"/>
              </w:rPr>
            </w:pPr>
            <w:r>
              <w:rPr>
                <w:rFonts w:hint="eastAsia" w:ascii="仿宋" w:hAnsi="仿宋" w:eastAsia="仿宋" w:cs="仿宋"/>
                <w:color w:val="auto"/>
                <w:sz w:val="24"/>
              </w:rPr>
              <w:t>评标过程中，不得去掉报价中的最高报价和最低报价。</w:t>
            </w:r>
          </w:p>
          <w:p>
            <w:pPr>
              <w:jc w:val="left"/>
              <w:rPr>
                <w:rFonts w:hint="eastAsia" w:ascii="仿宋" w:hAnsi="仿宋" w:eastAsia="仿宋" w:cs="仿宋"/>
                <w:color w:val="auto"/>
                <w:sz w:val="24"/>
              </w:rPr>
            </w:pPr>
            <w:r>
              <w:rPr>
                <w:rFonts w:hint="eastAsia" w:ascii="仿宋" w:hAnsi="仿宋" w:eastAsia="仿宋" w:cs="仿宋"/>
                <w:color w:val="auto"/>
                <w:sz w:val="24"/>
              </w:rPr>
              <w:t>因落实政府采购政策需要进行价格调整的，以调整后的价格计算评标基准价和投标报价。</w:t>
            </w:r>
          </w:p>
        </w:tc>
        <w:tc>
          <w:tcPr>
            <w:tcW w:w="858" w:type="dxa"/>
            <w:vAlign w:val="center"/>
          </w:tcPr>
          <w:p>
            <w:pPr>
              <w:ind w:firstLine="240" w:firstLineChars="100"/>
              <w:jc w:val="left"/>
              <w:rPr>
                <w:rFonts w:hint="eastAsia" w:ascii="仿宋" w:hAnsi="仿宋" w:eastAsia="仿宋" w:cs="仿宋"/>
                <w:color w:val="auto"/>
                <w:sz w:val="24"/>
              </w:rPr>
            </w:pPr>
            <w:r>
              <w:rPr>
                <w:rFonts w:hint="eastAsia" w:ascii="仿宋" w:hAnsi="仿宋" w:eastAsia="仿宋" w:cs="仿宋"/>
                <w:color w:val="auto"/>
                <w:sz w:val="24"/>
              </w:rPr>
              <w:t>30</w:t>
            </w:r>
          </w:p>
        </w:tc>
        <w:tc>
          <w:tcPr>
            <w:tcW w:w="2309" w:type="dxa"/>
            <w:vAlign w:val="center"/>
          </w:tcPr>
          <w:p>
            <w:pPr>
              <w:ind w:firstLine="960" w:firstLineChars="400"/>
              <w:jc w:val="left"/>
              <w:rPr>
                <w:rFonts w:hint="eastAsia" w:ascii="仿宋" w:hAnsi="仿宋" w:eastAsia="仿宋" w:cs="仿宋"/>
                <w:color w:val="auto"/>
                <w:sz w:val="24"/>
              </w:rPr>
            </w:pPr>
            <w:r>
              <w:rPr>
                <w:rFonts w:hint="eastAsia" w:ascii="仿宋" w:hAnsi="仿宋" w:eastAsia="仿宋" w:cs="仿宋"/>
                <w:color w:val="auto"/>
                <w:sz w:val="24"/>
              </w:rPr>
              <w:t>/</w:t>
            </w:r>
          </w:p>
        </w:tc>
      </w:tr>
    </w:tbl>
    <w:p>
      <w:pPr>
        <w:snapToGrid w:val="0"/>
        <w:spacing w:line="360" w:lineRule="auto"/>
        <w:rPr>
          <w:rFonts w:hint="eastAsia" w:ascii="仿宋" w:hAnsi="仿宋" w:eastAsia="仿宋" w:cs="仿宋"/>
          <w:b/>
          <w:color w:val="auto"/>
          <w:sz w:val="24"/>
        </w:rPr>
      </w:pPr>
      <w:r>
        <w:rPr>
          <w:rFonts w:hint="eastAsia" w:ascii="仿宋" w:hAnsi="仿宋" w:eastAsia="仿宋" w:cs="仿宋"/>
          <w:color w:val="auto"/>
          <w:sz w:val="20"/>
          <w:szCs w:val="20"/>
          <w:shd w:val="clear" w:color="auto" w:fill="FFFFFF"/>
        </w:rPr>
        <w:t> *</w:t>
      </w:r>
      <w:r>
        <w:rPr>
          <w:rFonts w:hint="eastAsia" w:ascii="仿宋" w:hAnsi="仿宋" w:eastAsia="仿宋" w:cs="仿宋"/>
          <w:b/>
          <w:color w:val="auto"/>
          <w:sz w:val="24"/>
        </w:rPr>
        <w:t>备注：</w:t>
      </w:r>
      <w:r>
        <w:rPr>
          <w:rFonts w:hint="eastAsia" w:ascii="仿宋" w:hAnsi="仿宋" w:eastAsia="仿宋" w:cs="仿宋"/>
          <w:color w:val="auto"/>
          <w:sz w:val="24"/>
        </w:rPr>
        <w:t>投标人编制投标文件（商务技术文件部分）时，建议按此目录（序号和内容）提供评标标准相应的商务技术资料。 </w:t>
      </w:r>
    </w:p>
    <w:p>
      <w:pPr>
        <w:snapToGrid w:val="0"/>
        <w:spacing w:line="360" w:lineRule="auto"/>
        <w:rPr>
          <w:rFonts w:hint="eastAsia" w:ascii="仿宋" w:hAnsi="仿宋" w:eastAsia="仿宋" w:cs="仿宋"/>
          <w:b/>
          <w:color w:val="auto"/>
          <w:sz w:val="28"/>
          <w:szCs w:val="28"/>
        </w:rPr>
      </w:pPr>
      <w:r>
        <w:rPr>
          <w:rFonts w:hint="eastAsia" w:ascii="仿宋" w:hAnsi="仿宋" w:eastAsia="仿宋" w:cs="仿宋"/>
          <w:b/>
          <w:color w:val="auto"/>
          <w:sz w:val="32"/>
        </w:rPr>
        <w:t>一、评标方法</w:t>
      </w:r>
    </w:p>
    <w:p>
      <w:pPr>
        <w:adjustRightInd/>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1.本项目采用综合评分法。</w:t>
      </w:r>
      <w:r>
        <w:rPr>
          <w:rFonts w:hint="eastAsia" w:ascii="仿宋" w:hAnsi="仿宋" w:eastAsia="仿宋" w:cs="仿宋"/>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color w:val="auto"/>
          <w:kern w:val="0"/>
          <w:sz w:val="24"/>
        </w:rPr>
      </w:pPr>
      <w:r>
        <w:rPr>
          <w:rFonts w:hint="eastAsia" w:ascii="仿宋" w:hAnsi="仿宋" w:eastAsia="仿宋" w:cs="仿宋"/>
          <w:b/>
          <w:color w:val="auto"/>
          <w:sz w:val="32"/>
        </w:rPr>
        <w:t>二、评标标准</w:t>
      </w:r>
    </w:p>
    <w:p>
      <w:pPr>
        <w:spacing w:line="360" w:lineRule="auto"/>
        <w:ind w:firstLine="472" w:firstLineChars="196"/>
        <w:rPr>
          <w:rFonts w:hint="eastAsia"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color w:val="auto"/>
        </w:rPr>
        <w:t xml:space="preserve"> </w:t>
      </w:r>
      <w:r>
        <w:rPr>
          <w:rFonts w:hint="eastAsia" w:ascii="仿宋" w:hAnsi="仿宋" w:eastAsia="仿宋" w:cs="仿宋"/>
          <w:b/>
          <w:color w:val="auto"/>
          <w:sz w:val="24"/>
        </w:rPr>
        <w:t>评标标准：</w:t>
      </w:r>
      <w:r>
        <w:rPr>
          <w:rFonts w:hint="eastAsia" w:ascii="仿宋" w:hAnsi="仿宋" w:eastAsia="仿宋" w:cs="仿宋"/>
          <w:color w:val="auto"/>
          <w:kern w:val="0"/>
          <w:sz w:val="24"/>
        </w:rPr>
        <w:t>见评标办法前附表。</w:t>
      </w:r>
    </w:p>
    <w:p>
      <w:pPr>
        <w:spacing w:line="360" w:lineRule="auto"/>
        <w:outlineLvl w:val="0"/>
        <w:rPr>
          <w:rFonts w:hint="eastAsia" w:ascii="仿宋" w:hAnsi="仿宋" w:eastAsia="仿宋" w:cs="仿宋"/>
          <w:b/>
          <w:color w:val="auto"/>
          <w:sz w:val="32"/>
        </w:rPr>
      </w:pPr>
      <w:r>
        <w:rPr>
          <w:rFonts w:hint="eastAsia" w:ascii="仿宋" w:hAnsi="仿宋" w:eastAsia="仿宋" w:cs="仿宋"/>
          <w:b/>
          <w:color w:val="auto"/>
          <w:sz w:val="32"/>
        </w:rPr>
        <w:t>三、评标程序</w:t>
      </w:r>
    </w:p>
    <w:p>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3.1符合性审查。</w:t>
      </w:r>
      <w:r>
        <w:rPr>
          <w:rFonts w:hint="eastAsia" w:ascii="仿宋" w:hAnsi="仿宋" w:eastAsia="仿宋" w:cs="仿宋"/>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3.2 比较与评价。</w:t>
      </w:r>
      <w:r>
        <w:rPr>
          <w:rFonts w:hint="eastAsia" w:ascii="仿宋" w:hAnsi="仿宋" w:eastAsia="仿宋" w:cs="仿宋"/>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3.3汇总商务技术得分。</w:t>
      </w:r>
      <w:r>
        <w:rPr>
          <w:rFonts w:hint="eastAsia" w:ascii="仿宋" w:hAnsi="仿宋" w:eastAsia="仿宋" w:cs="仿宋"/>
          <w:color w:val="auto"/>
          <w:kern w:val="0"/>
          <w:sz w:val="24"/>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color w:val="auto"/>
          <w:kern w:val="0"/>
          <w:sz w:val="24"/>
        </w:rPr>
      </w:pPr>
      <w:r>
        <w:rPr>
          <w:rFonts w:hint="eastAsia" w:ascii="仿宋" w:hAnsi="仿宋" w:eastAsia="仿宋" w:cs="仿宋"/>
          <w:b/>
          <w:color w:val="auto"/>
          <w:kern w:val="0"/>
          <w:sz w:val="24"/>
        </w:rPr>
        <w:t>3.4报价评审。</w:t>
      </w:r>
    </w:p>
    <w:p>
      <w:pPr>
        <w:pStyle w:val="130"/>
        <w:spacing w:before="0"/>
        <w:ind w:firstLine="508" w:firstLineChars="212"/>
        <w:rPr>
          <w:rFonts w:hint="eastAsia" w:ascii="仿宋" w:hAnsi="仿宋" w:eastAsia="仿宋" w:cs="仿宋"/>
          <w:color w:val="auto"/>
          <w:kern w:val="0"/>
        </w:rPr>
      </w:pPr>
      <w:r>
        <w:rPr>
          <w:rFonts w:hint="eastAsia" w:ascii="仿宋" w:hAnsi="仿宋" w:eastAsia="仿宋" w:cs="仿宋"/>
          <w:color w:val="auto"/>
          <w:kern w:val="0"/>
        </w:rPr>
        <w:t>3.4.1投标文件报价出现前后不一致的，按照下列规定修正：</w:t>
      </w:r>
    </w:p>
    <w:p>
      <w:pPr>
        <w:pStyle w:val="130"/>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3.4.1.1投标文件中开标一览表(报价表)内容与投标文件中相应内容不一致的，以开标一览表(报价表)为准;</w:t>
      </w:r>
    </w:p>
    <w:p>
      <w:pPr>
        <w:pStyle w:val="130"/>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3.4.1.2大写金额和小写金额不一致的，以大写金额为准;</w:t>
      </w:r>
    </w:p>
    <w:p>
      <w:pPr>
        <w:pStyle w:val="130"/>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3.4.1.3单价金额小数点或者百分比有明显错位的，以开标一览表的总价为准，并修改单价;</w:t>
      </w:r>
    </w:p>
    <w:p>
      <w:pPr>
        <w:pStyle w:val="130"/>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3.4.1.4总价金额与按单价汇总金额不一致的，以单价金额计算结果为准。</w:t>
      </w:r>
    </w:p>
    <w:p>
      <w:pPr>
        <w:pStyle w:val="130"/>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3.4.3投标报价超过招标文件中规定的预算金额或者最高限价的，投标无效。</w:t>
      </w:r>
    </w:p>
    <w:p>
      <w:pPr>
        <w:pStyle w:val="130"/>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auto"/>
          <w:kern w:val="0"/>
          <w:sz w:val="24"/>
        </w:rPr>
      </w:pPr>
      <w:r>
        <w:rPr>
          <w:rFonts w:hint="eastAsia" w:ascii="仿宋" w:hAnsi="仿宋" w:eastAsia="仿宋" w:cs="仿宋"/>
          <w:b/>
          <w:color w:val="auto"/>
          <w:kern w:val="0"/>
          <w:sz w:val="24"/>
        </w:rPr>
        <w:t>3.5排序与推荐。</w:t>
      </w:r>
      <w:r>
        <w:rPr>
          <w:rFonts w:hint="eastAsia" w:ascii="仿宋" w:hAnsi="仿宋" w:eastAsia="仿宋" w:cs="仿宋"/>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仿宋" w:hAnsi="仿宋" w:eastAsia="仿宋" w:cs="仿宋"/>
          <w:b/>
          <w:color w:val="auto"/>
          <w:kern w:val="0"/>
          <w:sz w:val="24"/>
        </w:rPr>
      </w:pPr>
      <w:r>
        <w:rPr>
          <w:rFonts w:hint="eastAsia" w:ascii="仿宋" w:hAnsi="仿宋" w:eastAsia="仿宋" w:cs="仿宋"/>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3.6编写评标报告。</w:t>
      </w:r>
      <w:r>
        <w:rPr>
          <w:rFonts w:hint="eastAsia" w:ascii="仿宋" w:hAnsi="仿宋" w:eastAsia="仿宋" w:cs="仿宋"/>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color w:val="auto"/>
          <w:sz w:val="32"/>
        </w:rPr>
      </w:pPr>
      <w:r>
        <w:rPr>
          <w:rFonts w:hint="eastAsia" w:ascii="仿宋" w:hAnsi="仿宋" w:eastAsia="仿宋" w:cs="仿宋"/>
          <w:b/>
          <w:color w:val="auto"/>
          <w:sz w:val="32"/>
        </w:rPr>
        <w:t>四、评标中的其他事项</w:t>
      </w:r>
    </w:p>
    <w:p>
      <w:pPr>
        <w:pStyle w:val="130"/>
        <w:spacing w:before="0"/>
        <w:ind w:firstLine="472" w:firstLineChars="196"/>
        <w:rPr>
          <w:rFonts w:hint="eastAsia" w:ascii="仿宋" w:hAnsi="仿宋" w:eastAsia="仿宋" w:cs="仿宋"/>
          <w:color w:val="auto"/>
          <w:kern w:val="0"/>
          <w:szCs w:val="24"/>
        </w:rPr>
      </w:pPr>
      <w:r>
        <w:rPr>
          <w:rFonts w:hint="eastAsia" w:ascii="仿宋" w:hAnsi="仿宋" w:eastAsia="仿宋" w:cs="仿宋"/>
          <w:b/>
          <w:color w:val="auto"/>
          <w:kern w:val="0"/>
          <w:szCs w:val="24"/>
        </w:rPr>
        <w:t>4.1投标人澄清、说明或者补正。</w:t>
      </w:r>
      <w:r>
        <w:rPr>
          <w:rFonts w:hint="eastAsia" w:ascii="仿宋" w:hAnsi="仿宋" w:eastAsia="仿宋" w:cs="仿宋"/>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hint="eastAsia" w:ascii="仿宋" w:hAnsi="仿宋" w:eastAsia="仿宋" w:cs="仿宋"/>
          <w:color w:val="auto"/>
          <w:szCs w:val="21"/>
        </w:rPr>
      </w:pPr>
      <w:r>
        <w:rPr>
          <w:rFonts w:hint="eastAsia" w:ascii="仿宋" w:hAnsi="仿宋" w:eastAsia="仿宋" w:cs="仿宋"/>
          <w:b/>
          <w:color w:val="auto"/>
          <w:kern w:val="0"/>
        </w:rPr>
        <w:t>4.2投标无效。</w:t>
      </w:r>
      <w:r>
        <w:rPr>
          <w:rFonts w:hint="eastAsia" w:ascii="仿宋" w:hAnsi="仿宋" w:eastAsia="仿宋" w:cs="仿宋"/>
          <w:color w:val="auto"/>
          <w:szCs w:val="21"/>
        </w:rPr>
        <w:t>有下列情况之一的，投标无效：</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4.2.2投标文件未按照招标文件要求签署、盖章的；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4.2.4投标文件含有采购人不能接受的附加条件的；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color w:val="auto"/>
          <w:kern w:val="0"/>
          <w:sz w:val="24"/>
        </w:rPr>
      </w:pPr>
      <w:r>
        <w:rPr>
          <w:rFonts w:hint="eastAsia" w:ascii="仿宋" w:hAnsi="仿宋" w:eastAsia="仿宋" w:cs="仿宋"/>
          <w:color w:val="auto"/>
          <w:kern w:val="0"/>
          <w:sz w:val="24"/>
        </w:rPr>
        <w:t xml:space="preserve">   4.2.6投标文件出现不是唯一的、有选择性投标报价的;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4.2.7投标报价超过招标文件中规定的预算金额或者最高限价的;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4.2.9投标人对根据修正原则修正后的报价不确认的；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4.2.10投标人提供虚假材料投标的；</w:t>
      </w:r>
    </w:p>
    <w:p>
      <w:pPr>
        <w:spacing w:line="360" w:lineRule="auto"/>
        <w:ind w:firstLine="240" w:firstLineChars="100"/>
        <w:rPr>
          <w:rFonts w:hint="eastAsia" w:ascii="仿宋" w:hAnsi="仿宋" w:eastAsia="仿宋" w:cs="仿宋"/>
          <w:color w:val="auto"/>
          <w:kern w:val="0"/>
          <w:sz w:val="24"/>
        </w:rPr>
      </w:pPr>
      <w:r>
        <w:rPr>
          <w:rFonts w:hint="eastAsia" w:ascii="仿宋" w:hAnsi="仿宋" w:eastAsia="仿宋" w:cs="仿宋"/>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4.2.12投标人仅提交备份投标文件，没有在电子交易平台传输递交投标文件的，投标无效；</w:t>
      </w:r>
    </w:p>
    <w:p>
      <w:pPr>
        <w:pStyle w:val="8"/>
        <w:ind w:left="105" w:leftChars="50" w:firstLine="360" w:firstLineChars="150"/>
        <w:rPr>
          <w:rFonts w:hint="eastAsia" w:ascii="仿宋" w:hAnsi="仿宋" w:eastAsia="仿宋" w:cs="仿宋"/>
          <w:b w:val="0"/>
          <w:bCs w:val="0"/>
          <w:color w:val="auto"/>
          <w:kern w:val="0"/>
          <w:sz w:val="24"/>
          <w:szCs w:val="24"/>
          <w:lang w:val="en-US"/>
        </w:rPr>
      </w:pPr>
      <w:r>
        <w:rPr>
          <w:rFonts w:hint="eastAsia" w:ascii="仿宋" w:hAnsi="仿宋" w:eastAsia="仿宋" w:cs="仿宋"/>
          <w:b w:val="0"/>
          <w:bCs w:val="0"/>
          <w:color w:val="auto"/>
          <w:kern w:val="0"/>
          <w:sz w:val="24"/>
          <w:szCs w:val="24"/>
          <w:lang w:val="en-US"/>
        </w:rPr>
        <w:t>4.2.13 投标文件不满足招标文件的其它实质性要求的；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4.2.14法律、法规、规章（适用本市的）及省级以上规范性文件（适用本市的）规定的其他无效情形。</w:t>
      </w:r>
    </w:p>
    <w:p>
      <w:pPr>
        <w:pStyle w:val="3"/>
        <w:snapToGrid w:val="0"/>
        <w:spacing w:line="360" w:lineRule="auto"/>
        <w:ind w:firstLine="472" w:firstLineChars="196"/>
        <w:rPr>
          <w:rFonts w:hint="eastAsia" w:ascii="仿宋" w:hAnsi="仿宋" w:eastAsia="仿宋" w:cs="仿宋"/>
          <w:color w:val="auto"/>
        </w:rPr>
      </w:pPr>
      <w:r>
        <w:rPr>
          <w:rFonts w:hint="eastAsia" w:ascii="仿宋" w:hAnsi="仿宋" w:eastAsia="仿宋" w:cs="仿宋"/>
          <w:b/>
          <w:color w:val="auto"/>
        </w:rPr>
        <w:t>5.废标。</w:t>
      </w:r>
      <w:r>
        <w:rPr>
          <w:rFonts w:hint="eastAsia" w:ascii="仿宋" w:hAnsi="仿宋" w:eastAsia="仿宋" w:cs="仿宋"/>
          <w:color w:val="auto"/>
        </w:rPr>
        <w:t>根据《中华人民共和国政府采购法》第三十六条之规定，在采购中，出现下列情形之一的，应予废标：</w:t>
      </w:r>
    </w:p>
    <w:p>
      <w:pPr>
        <w:pStyle w:val="3"/>
        <w:snapToGrid w:val="0"/>
        <w:spacing w:line="360" w:lineRule="auto"/>
        <w:rPr>
          <w:rFonts w:hint="eastAsia" w:ascii="仿宋" w:hAnsi="仿宋" w:eastAsia="仿宋" w:cs="仿宋"/>
          <w:color w:val="auto"/>
        </w:rPr>
      </w:pPr>
      <w:r>
        <w:rPr>
          <w:rFonts w:hint="eastAsia" w:ascii="仿宋" w:hAnsi="仿宋" w:eastAsia="仿宋" w:cs="仿宋"/>
          <w:color w:val="auto"/>
        </w:rPr>
        <w:t>5.1符合专业条件的供应商或者对招标文件作实质响应的供应商不足3家的；</w:t>
      </w:r>
    </w:p>
    <w:p>
      <w:pPr>
        <w:pStyle w:val="3"/>
        <w:snapToGrid w:val="0"/>
        <w:spacing w:line="360" w:lineRule="auto"/>
        <w:rPr>
          <w:rFonts w:hint="eastAsia" w:ascii="仿宋" w:hAnsi="仿宋" w:eastAsia="仿宋" w:cs="仿宋"/>
          <w:color w:val="auto"/>
        </w:rPr>
      </w:pPr>
      <w:r>
        <w:rPr>
          <w:rFonts w:hint="eastAsia" w:ascii="仿宋" w:hAnsi="仿宋" w:eastAsia="仿宋" w:cs="仿宋"/>
          <w:color w:val="auto"/>
        </w:rPr>
        <w:t>5.2出现影响采购公正的违法、违规行为的；</w:t>
      </w:r>
    </w:p>
    <w:p>
      <w:pPr>
        <w:pStyle w:val="3"/>
        <w:snapToGrid w:val="0"/>
        <w:spacing w:line="360" w:lineRule="auto"/>
        <w:rPr>
          <w:rFonts w:hint="eastAsia" w:ascii="仿宋" w:hAnsi="仿宋" w:eastAsia="仿宋" w:cs="仿宋"/>
          <w:color w:val="auto"/>
        </w:rPr>
      </w:pPr>
      <w:r>
        <w:rPr>
          <w:rFonts w:hint="eastAsia" w:ascii="仿宋" w:hAnsi="仿宋" w:eastAsia="仿宋" w:cs="仿宋"/>
          <w:color w:val="auto"/>
        </w:rPr>
        <w:t>5.3投标人的报价均超过了采购预算，采购人不能支付的；</w:t>
      </w:r>
    </w:p>
    <w:p>
      <w:pPr>
        <w:pStyle w:val="3"/>
        <w:snapToGrid w:val="0"/>
        <w:spacing w:line="360" w:lineRule="auto"/>
        <w:rPr>
          <w:rFonts w:hint="eastAsia" w:ascii="仿宋" w:hAnsi="仿宋" w:eastAsia="仿宋" w:cs="仿宋"/>
          <w:color w:val="auto"/>
        </w:rPr>
      </w:pPr>
      <w:r>
        <w:rPr>
          <w:rFonts w:hint="eastAsia" w:ascii="仿宋" w:hAnsi="仿宋" w:eastAsia="仿宋" w:cs="仿宋"/>
          <w:color w:val="auto"/>
        </w:rPr>
        <w:t>5.4因重大变故，采购任务取消的。</w:t>
      </w:r>
    </w:p>
    <w:p>
      <w:pPr>
        <w:pStyle w:val="3"/>
        <w:snapToGrid w:val="0"/>
        <w:spacing w:line="360" w:lineRule="auto"/>
        <w:rPr>
          <w:rFonts w:hint="eastAsia" w:ascii="仿宋" w:hAnsi="仿宋" w:eastAsia="仿宋" w:cs="仿宋"/>
          <w:color w:val="auto"/>
        </w:rPr>
      </w:pPr>
      <w:r>
        <w:rPr>
          <w:rFonts w:hint="eastAsia" w:ascii="仿宋" w:hAnsi="仿宋" w:eastAsia="仿宋" w:cs="仿宋"/>
          <w:color w:val="auto"/>
        </w:rPr>
        <w:t>废标后，采购机构应当将废标理由通知所有投标人。</w:t>
      </w:r>
    </w:p>
    <w:p>
      <w:pPr>
        <w:pStyle w:val="3"/>
        <w:snapToGrid w:val="0"/>
        <w:spacing w:line="360" w:lineRule="auto"/>
        <w:ind w:firstLine="590" w:firstLineChars="245"/>
        <w:rPr>
          <w:rFonts w:hint="eastAsia" w:ascii="仿宋" w:hAnsi="仿宋" w:eastAsia="仿宋" w:cs="仿宋"/>
          <w:color w:val="auto"/>
        </w:rPr>
      </w:pPr>
      <w:r>
        <w:rPr>
          <w:rFonts w:hint="eastAsia" w:ascii="仿宋" w:hAnsi="仿宋" w:eastAsia="仿宋" w:cs="仿宋"/>
          <w:b/>
          <w:color w:val="auto"/>
        </w:rPr>
        <w:t>6.修改招标文件，重新组织采购活动。</w:t>
      </w:r>
      <w:r>
        <w:rPr>
          <w:rFonts w:hint="eastAsia" w:ascii="仿宋" w:hAnsi="仿宋" w:eastAsia="仿宋" w:cs="仿宋"/>
          <w:color w:va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3"/>
        <w:snapToGrid w:val="0"/>
        <w:spacing w:line="360" w:lineRule="auto"/>
        <w:ind w:firstLine="590" w:firstLineChars="245"/>
        <w:rPr>
          <w:rFonts w:hint="eastAsia" w:ascii="仿宋" w:hAnsi="仿宋" w:eastAsia="仿宋" w:cs="仿宋"/>
          <w:color w:val="auto"/>
        </w:rPr>
      </w:pPr>
      <w:r>
        <w:rPr>
          <w:rFonts w:hint="eastAsia" w:ascii="仿宋" w:hAnsi="仿宋" w:eastAsia="仿宋" w:cs="仿宋"/>
          <w:b/>
          <w:color w:val="auto"/>
          <w:kern w:val="0"/>
        </w:rPr>
        <w:t>7.重新开展采购。</w:t>
      </w:r>
      <w:r>
        <w:rPr>
          <w:rFonts w:hint="eastAsia" w:ascii="仿宋" w:hAnsi="仿宋" w:eastAsia="仿宋" w:cs="仿宋"/>
          <w:color w:val="auto"/>
        </w:rPr>
        <w:t>有政府采购法第七十一条、第七十二条规定的违法行为之一，影响或者可能影响中标、成交结果的，依照下列规定处理：</w:t>
      </w:r>
    </w:p>
    <w:p>
      <w:pPr>
        <w:pStyle w:val="3"/>
        <w:snapToGrid w:val="0"/>
        <w:spacing w:line="360" w:lineRule="auto"/>
        <w:ind w:firstLine="360" w:firstLineChars="150"/>
        <w:rPr>
          <w:rFonts w:hint="eastAsia" w:ascii="仿宋" w:hAnsi="仿宋" w:eastAsia="仿宋" w:cs="仿宋"/>
          <w:color w:val="auto"/>
        </w:rPr>
      </w:pPr>
      <w:r>
        <w:rPr>
          <w:rFonts w:hint="eastAsia" w:ascii="仿宋" w:hAnsi="仿宋" w:eastAsia="仿宋" w:cs="仿宋"/>
          <w:color w:val="auto"/>
        </w:rPr>
        <w:t>7.1未确定中标或者中标人的，终止本次政府采购活动，重新开展政府采购活动。</w:t>
      </w:r>
    </w:p>
    <w:p>
      <w:pPr>
        <w:pStyle w:val="3"/>
        <w:snapToGrid w:val="0"/>
        <w:spacing w:line="360" w:lineRule="auto"/>
        <w:ind w:firstLine="360" w:firstLineChars="150"/>
        <w:rPr>
          <w:rFonts w:hint="eastAsia" w:ascii="仿宋" w:hAnsi="仿宋" w:eastAsia="仿宋" w:cs="仿宋"/>
          <w:color w:val="auto"/>
        </w:rPr>
      </w:pPr>
      <w:r>
        <w:rPr>
          <w:rFonts w:hint="eastAsia" w:ascii="仿宋" w:hAnsi="仿宋" w:eastAsia="仿宋" w:cs="仿宋"/>
          <w:color w:val="auto"/>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3"/>
        <w:snapToGrid w:val="0"/>
        <w:spacing w:line="360" w:lineRule="auto"/>
        <w:rPr>
          <w:rFonts w:hint="eastAsia" w:ascii="仿宋" w:hAnsi="仿宋" w:eastAsia="仿宋" w:cs="仿宋"/>
          <w:color w:val="auto"/>
        </w:rPr>
      </w:pPr>
      <w:r>
        <w:rPr>
          <w:rFonts w:hint="eastAsia" w:ascii="仿宋" w:hAnsi="仿宋" w:eastAsia="仿宋" w:cs="仿宋"/>
          <w:color w:val="auto"/>
        </w:rPr>
        <w:t>7.3政府采购合同已签订但尚未履行的，撤销合同，从合格的中标或者成交候选人中另行确定中标或者中标人；没有合格的中标或者成交候选人的，重新开展政府采购活动。</w:t>
      </w:r>
    </w:p>
    <w:p>
      <w:pPr>
        <w:pStyle w:val="3"/>
        <w:snapToGrid w:val="0"/>
        <w:spacing w:line="360" w:lineRule="auto"/>
        <w:rPr>
          <w:rFonts w:hint="eastAsia" w:ascii="仿宋" w:hAnsi="仿宋" w:eastAsia="仿宋" w:cs="仿宋"/>
          <w:color w:val="auto"/>
        </w:rPr>
      </w:pPr>
      <w:r>
        <w:rPr>
          <w:rFonts w:hint="eastAsia" w:ascii="仿宋" w:hAnsi="仿宋" w:eastAsia="仿宋" w:cs="仿宋"/>
          <w:color w:val="auto"/>
        </w:rPr>
        <w:t>7.4政府采购合同已经履行，给采购人、供应商造成损失的，由责任人承担赔偿责任。</w:t>
      </w:r>
    </w:p>
    <w:p>
      <w:pPr>
        <w:pStyle w:val="3"/>
        <w:snapToGrid w:val="0"/>
        <w:spacing w:line="360" w:lineRule="auto"/>
        <w:rPr>
          <w:rFonts w:hint="eastAsia" w:ascii="仿宋" w:hAnsi="仿宋" w:eastAsia="仿宋" w:cs="仿宋"/>
          <w:color w:val="auto"/>
        </w:rPr>
      </w:pPr>
      <w:r>
        <w:rPr>
          <w:rFonts w:hint="eastAsia" w:ascii="仿宋" w:hAnsi="仿宋" w:eastAsia="仿宋" w:cs="仿宋"/>
          <w:color w:val="auto"/>
        </w:rPr>
        <w:t>7.5政府采购当事人有其他违反政府采购法</w:t>
      </w:r>
      <w:r>
        <w:rPr>
          <w:rFonts w:hint="eastAsia" w:ascii="仿宋" w:hAnsi="仿宋" w:eastAsia="仿宋" w:cs="仿宋"/>
          <w:color w:val="auto"/>
          <w:kern w:val="0"/>
        </w:rPr>
        <w:t>或者政府采购法实施条例等法律法规规定</w:t>
      </w:r>
      <w:r>
        <w:rPr>
          <w:rFonts w:hint="eastAsia" w:ascii="仿宋" w:hAnsi="仿宋" w:eastAsia="仿宋" w:cs="仿宋"/>
          <w:color w:val="auto"/>
        </w:rPr>
        <w:t>的行为，经改正后仍然影响或者可能影响中标、成交结果或者依法被认定为中标、成交无效的，依照7.1-7.4规定处理。</w:t>
      </w:r>
      <w:bookmarkEnd w:id="28"/>
      <w:bookmarkStart w:id="394" w:name="第五部分"/>
      <w:bookmarkStart w:id="395" w:name="_Toc86217003"/>
    </w:p>
    <w:p>
      <w:pPr>
        <w:spacing w:line="360" w:lineRule="auto"/>
        <w:jc w:val="center"/>
        <w:outlineLvl w:val="0"/>
        <w:rPr>
          <w:rFonts w:hint="eastAsia" w:ascii="仿宋" w:hAnsi="仿宋" w:eastAsia="仿宋" w:cs="仿宋"/>
          <w:b/>
          <w:color w:val="auto"/>
          <w:sz w:val="36"/>
          <w:szCs w:val="36"/>
        </w:rPr>
      </w:pPr>
    </w:p>
    <w:p>
      <w:pPr>
        <w:spacing w:line="360" w:lineRule="auto"/>
        <w:jc w:val="center"/>
        <w:outlineLvl w:val="0"/>
        <w:rPr>
          <w:rFonts w:hint="eastAsia" w:ascii="仿宋" w:hAnsi="仿宋" w:eastAsia="仿宋" w:cs="仿宋"/>
          <w:b/>
          <w:color w:val="auto"/>
          <w:sz w:val="36"/>
          <w:szCs w:val="36"/>
        </w:rPr>
      </w:pPr>
    </w:p>
    <w:p>
      <w:pPr>
        <w:spacing w:line="360" w:lineRule="auto"/>
        <w:jc w:val="center"/>
        <w:outlineLvl w:val="0"/>
        <w:rPr>
          <w:rFonts w:hint="eastAsia" w:ascii="仿宋" w:hAnsi="仿宋" w:eastAsia="仿宋" w:cs="仿宋"/>
          <w:b/>
          <w:color w:val="auto"/>
          <w:sz w:val="36"/>
          <w:szCs w:val="36"/>
        </w:rPr>
      </w:pPr>
    </w:p>
    <w:p>
      <w:pPr>
        <w:spacing w:line="360" w:lineRule="auto"/>
        <w:jc w:val="center"/>
        <w:outlineLvl w:val="0"/>
        <w:rPr>
          <w:rFonts w:hint="eastAsia" w:ascii="仿宋" w:hAnsi="仿宋" w:eastAsia="仿宋" w:cs="仿宋"/>
          <w:b/>
          <w:color w:val="auto"/>
          <w:sz w:val="36"/>
          <w:szCs w:val="36"/>
        </w:rPr>
      </w:pPr>
    </w:p>
    <w:p>
      <w:pPr>
        <w:spacing w:line="360" w:lineRule="auto"/>
        <w:jc w:val="center"/>
        <w:outlineLvl w:val="0"/>
        <w:rPr>
          <w:rFonts w:hint="eastAsia" w:ascii="仿宋" w:hAnsi="仿宋" w:eastAsia="仿宋" w:cs="仿宋"/>
          <w:b/>
          <w:color w:val="auto"/>
          <w:sz w:val="36"/>
          <w:szCs w:val="36"/>
        </w:rPr>
      </w:pPr>
    </w:p>
    <w:p>
      <w:pPr>
        <w:spacing w:line="360" w:lineRule="auto"/>
        <w:jc w:val="center"/>
        <w:outlineLvl w:val="0"/>
        <w:rPr>
          <w:rFonts w:hint="eastAsia" w:ascii="仿宋" w:hAnsi="仿宋" w:eastAsia="仿宋" w:cs="仿宋"/>
          <w:b/>
          <w:color w:val="auto"/>
          <w:sz w:val="36"/>
          <w:szCs w:val="36"/>
        </w:rPr>
      </w:pPr>
    </w:p>
    <w:p>
      <w:pPr>
        <w:spacing w:line="360" w:lineRule="auto"/>
        <w:jc w:val="center"/>
        <w:outlineLvl w:val="0"/>
        <w:rPr>
          <w:rFonts w:hint="eastAsia" w:ascii="仿宋" w:hAnsi="仿宋" w:eastAsia="仿宋" w:cs="仿宋"/>
          <w:b/>
          <w:color w:val="auto"/>
          <w:sz w:val="36"/>
          <w:szCs w:val="36"/>
        </w:rPr>
      </w:pPr>
    </w:p>
    <w:p>
      <w:pPr>
        <w:spacing w:line="360" w:lineRule="auto"/>
        <w:jc w:val="center"/>
        <w:outlineLvl w:val="0"/>
        <w:rPr>
          <w:rFonts w:hint="eastAsia" w:ascii="仿宋" w:hAnsi="仿宋" w:eastAsia="仿宋" w:cs="仿宋"/>
          <w:b/>
          <w:color w:val="auto"/>
          <w:sz w:val="36"/>
          <w:szCs w:val="36"/>
        </w:rPr>
      </w:pPr>
    </w:p>
    <w:p>
      <w:pPr>
        <w:spacing w:line="360" w:lineRule="auto"/>
        <w:jc w:val="center"/>
        <w:outlineLvl w:val="0"/>
        <w:rPr>
          <w:rFonts w:hint="eastAsia" w:ascii="仿宋" w:hAnsi="仿宋" w:eastAsia="仿宋" w:cs="仿宋"/>
          <w:b/>
          <w:color w:val="auto"/>
          <w:sz w:val="36"/>
          <w:szCs w:val="36"/>
        </w:rPr>
      </w:pPr>
    </w:p>
    <w:p>
      <w:pPr>
        <w:spacing w:line="360" w:lineRule="auto"/>
        <w:jc w:val="center"/>
        <w:outlineLvl w:val="0"/>
        <w:rPr>
          <w:rFonts w:hint="eastAsia" w:ascii="仿宋" w:hAnsi="仿宋" w:eastAsia="仿宋" w:cs="仿宋"/>
          <w:b/>
          <w:color w:val="auto"/>
          <w:sz w:val="36"/>
          <w:szCs w:val="36"/>
        </w:rPr>
      </w:pPr>
    </w:p>
    <w:p>
      <w:pPr>
        <w:spacing w:line="360" w:lineRule="auto"/>
        <w:jc w:val="center"/>
        <w:outlineLvl w:val="0"/>
        <w:rPr>
          <w:rFonts w:hint="eastAsia" w:ascii="仿宋" w:hAnsi="仿宋" w:eastAsia="仿宋" w:cs="仿宋"/>
          <w:b/>
          <w:color w:val="auto"/>
          <w:sz w:val="36"/>
          <w:szCs w:val="36"/>
        </w:rPr>
      </w:pPr>
    </w:p>
    <w:p>
      <w:pPr>
        <w:spacing w:line="360" w:lineRule="auto"/>
        <w:jc w:val="both"/>
        <w:outlineLvl w:val="0"/>
        <w:rPr>
          <w:rFonts w:hint="eastAsia" w:ascii="仿宋" w:hAnsi="仿宋" w:eastAsia="仿宋" w:cs="仿宋"/>
          <w:b/>
          <w:color w:val="auto"/>
          <w:sz w:val="36"/>
          <w:szCs w:val="36"/>
        </w:rPr>
      </w:pPr>
    </w:p>
    <w:p>
      <w:pPr>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第五部分 拟签订的合同文本</w:t>
      </w:r>
    </w:p>
    <w:p>
      <w:pPr>
        <w:rPr>
          <w:rFonts w:hint="eastAsia" w:ascii="仿宋" w:hAnsi="仿宋" w:eastAsia="仿宋" w:cs="仿宋"/>
          <w:color w:val="auto"/>
          <w:sz w:val="24"/>
        </w:rPr>
      </w:pPr>
    </w:p>
    <w:p>
      <w:pPr>
        <w:rPr>
          <w:rFonts w:hint="eastAsia" w:ascii="仿宋" w:hAnsi="仿宋" w:eastAsia="仿宋" w:cs="仿宋"/>
          <w:color w:val="auto"/>
          <w:sz w:val="24"/>
          <w:u w:val="single"/>
        </w:rPr>
      </w:pPr>
      <w:r>
        <w:rPr>
          <w:rFonts w:hint="eastAsia" w:ascii="仿宋" w:hAnsi="仿宋" w:eastAsia="仿宋" w:cs="仿宋"/>
          <w:color w:val="auto"/>
          <w:sz w:val="24"/>
        </w:rPr>
        <w:t>合同编号：</w:t>
      </w:r>
      <w:r>
        <w:rPr>
          <w:rFonts w:hint="eastAsia" w:ascii="仿宋" w:hAnsi="仿宋" w:eastAsia="仿宋" w:cs="仿宋"/>
          <w:color w:val="auto"/>
          <w:sz w:val="24"/>
          <w:u w:val="single"/>
        </w:rPr>
        <w:t xml:space="preserve">           </w:t>
      </w:r>
    </w:p>
    <w:p>
      <w:pPr>
        <w:spacing w:line="480" w:lineRule="auto"/>
        <w:rPr>
          <w:rFonts w:hint="eastAsia" w:ascii="仿宋" w:hAnsi="仿宋" w:eastAsia="仿宋" w:cs="仿宋"/>
          <w:b/>
          <w:color w:val="auto"/>
          <w:sz w:val="24"/>
        </w:rPr>
      </w:pPr>
    </w:p>
    <w:p>
      <w:pPr>
        <w:spacing w:line="480" w:lineRule="auto"/>
        <w:jc w:val="center"/>
        <w:rPr>
          <w:rFonts w:hint="eastAsia" w:ascii="仿宋" w:hAnsi="仿宋" w:eastAsia="仿宋" w:cs="仿宋"/>
          <w:b/>
          <w:color w:val="auto"/>
          <w:sz w:val="24"/>
        </w:rPr>
      </w:pPr>
    </w:p>
    <w:p>
      <w:pPr>
        <w:spacing w:line="480" w:lineRule="auto"/>
        <w:jc w:val="center"/>
        <w:rPr>
          <w:rFonts w:hint="eastAsia" w:ascii="仿宋" w:hAnsi="仿宋" w:eastAsia="仿宋" w:cs="仿宋"/>
          <w:b/>
          <w:color w:val="auto"/>
          <w:sz w:val="24"/>
        </w:rPr>
      </w:pPr>
    </w:p>
    <w:p>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政府采购合同参考范本</w:t>
      </w:r>
    </w:p>
    <w:p>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（货物类）</w:t>
      </w:r>
    </w:p>
    <w:p>
      <w:pPr>
        <w:pStyle w:val="700"/>
        <w:rPr>
          <w:rFonts w:hint="eastAsia" w:ascii="仿宋" w:hAnsi="仿宋" w:eastAsia="仿宋" w:cs="仿宋"/>
          <w:color w:val="auto"/>
          <w:szCs w:val="24"/>
        </w:rPr>
      </w:pPr>
    </w:p>
    <w:p>
      <w:pPr>
        <w:pStyle w:val="700"/>
        <w:rPr>
          <w:rFonts w:hint="eastAsia" w:ascii="仿宋" w:hAnsi="仿宋" w:eastAsia="仿宋" w:cs="仿宋"/>
          <w:color w:val="auto"/>
          <w:szCs w:val="24"/>
        </w:rPr>
      </w:pPr>
    </w:p>
    <w:p>
      <w:pPr>
        <w:pStyle w:val="700"/>
        <w:jc w:val="center"/>
        <w:rPr>
          <w:rFonts w:hint="eastAsia" w:ascii="仿宋" w:hAnsi="仿宋" w:eastAsia="仿宋" w:cs="仿宋"/>
          <w:color w:val="auto"/>
          <w:szCs w:val="24"/>
        </w:rPr>
      </w:pPr>
    </w:p>
    <w:p>
      <w:pPr>
        <w:pStyle w:val="700"/>
        <w:ind w:firstLine="2843" w:firstLineChars="1180"/>
        <w:rPr>
          <w:rFonts w:hint="eastAsia" w:ascii="仿宋" w:hAnsi="仿宋" w:eastAsia="仿宋" w:cs="仿宋"/>
          <w:b/>
          <w:color w:val="auto"/>
          <w:szCs w:val="24"/>
        </w:rPr>
      </w:pPr>
      <w:r>
        <w:rPr>
          <w:rFonts w:hint="eastAsia" w:ascii="仿宋" w:hAnsi="仿宋" w:eastAsia="仿宋" w:cs="仿宋"/>
          <w:b/>
          <w:color w:val="auto"/>
          <w:szCs w:val="24"/>
        </w:rPr>
        <w:t>第一部分 合同书</w:t>
      </w:r>
    </w:p>
    <w:p>
      <w:pPr>
        <w:pStyle w:val="700"/>
        <w:ind w:left="0" w:leftChars="0" w:firstLine="0" w:firstLineChars="0"/>
        <w:rPr>
          <w:rFonts w:hint="eastAsia" w:ascii="仿宋" w:hAnsi="仿宋" w:eastAsia="仿宋" w:cs="仿宋"/>
          <w:color w:val="auto"/>
          <w:szCs w:val="24"/>
        </w:rPr>
      </w:pPr>
    </w:p>
    <w:p>
      <w:pPr>
        <w:spacing w:before="120" w:line="22" w:lineRule="atLeast"/>
        <w:rPr>
          <w:rFonts w:hint="eastAsia" w:ascii="仿宋" w:hAnsi="仿宋" w:eastAsia="仿宋" w:cs="仿宋"/>
          <w:color w:val="auto"/>
          <w:sz w:val="24"/>
        </w:rPr>
      </w:pPr>
    </w:p>
    <w:p>
      <w:pPr>
        <w:spacing w:before="120" w:line="22" w:lineRule="atLeast"/>
        <w:ind w:left="960"/>
        <w:rPr>
          <w:rFonts w:hint="eastAsia" w:ascii="仿宋" w:hAnsi="仿宋" w:eastAsia="仿宋" w:cs="仿宋"/>
          <w:color w:val="auto"/>
          <w:lang w:eastAsia="zh-CN"/>
        </w:rPr>
      </w:pPr>
      <w:r>
        <w:rPr>
          <w:rFonts w:hint="eastAsia" w:ascii="仿宋" w:hAnsi="仿宋" w:eastAsia="仿宋" w:cs="仿宋"/>
          <w:color w:val="auto"/>
          <w:sz w:val="24"/>
        </w:rPr>
        <w:t>项目名称：</w:t>
      </w:r>
      <w:r>
        <w:rPr>
          <w:rFonts w:hint="eastAsia" w:ascii="仿宋" w:hAnsi="仿宋" w:eastAsia="仿宋" w:cs="仿宋"/>
          <w:color w:val="auto"/>
          <w:sz w:val="24"/>
          <w:u w:val="single"/>
          <w:lang w:eastAsia="zh-CN"/>
        </w:rPr>
        <w:t>建德市2022年口腔诊疗机构智慧监管项目</w:t>
      </w:r>
    </w:p>
    <w:p>
      <w:pPr>
        <w:pStyle w:val="598"/>
        <w:spacing w:before="120" w:line="22" w:lineRule="atLeast"/>
        <w:rPr>
          <w:rFonts w:hint="eastAsia" w:ascii="仿宋" w:hAnsi="仿宋" w:eastAsia="仿宋" w:cs="仿宋"/>
          <w:color w:val="auto"/>
          <w:szCs w:val="24"/>
        </w:rPr>
      </w:pPr>
    </w:p>
    <w:p>
      <w:pPr>
        <w:rPr>
          <w:rFonts w:hint="eastAsia" w:ascii="仿宋" w:hAnsi="仿宋" w:eastAsia="仿宋" w:cs="仿宋"/>
          <w:color w:val="auto"/>
          <w:sz w:val="24"/>
        </w:rPr>
      </w:pPr>
    </w:p>
    <w:p>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甲方：</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建德市卫生健康行政执法队</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pPr>
        <w:spacing w:before="120" w:line="22" w:lineRule="atLeast"/>
        <w:rPr>
          <w:rFonts w:hint="eastAsia" w:ascii="仿宋" w:hAnsi="仿宋" w:eastAsia="仿宋" w:cs="仿宋"/>
          <w:color w:val="auto"/>
          <w:sz w:val="24"/>
        </w:rPr>
      </w:pPr>
    </w:p>
    <w:p>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p>
    <w:p>
      <w:pPr>
        <w:spacing w:before="120" w:line="22" w:lineRule="atLeast"/>
        <w:rPr>
          <w:rFonts w:hint="eastAsia" w:ascii="仿宋" w:hAnsi="仿宋" w:eastAsia="仿宋" w:cs="仿宋"/>
          <w:color w:val="auto"/>
          <w:sz w:val="24"/>
        </w:rPr>
      </w:pPr>
    </w:p>
    <w:p>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签订地：</w:t>
      </w:r>
      <w:r>
        <w:rPr>
          <w:rFonts w:hint="eastAsia" w:ascii="仿宋" w:hAnsi="仿宋" w:eastAsia="仿宋" w:cs="仿宋"/>
          <w:color w:val="auto"/>
          <w:sz w:val="24"/>
          <w:u w:val="single"/>
        </w:rPr>
        <w:t xml:space="preserve">                                     </w:t>
      </w:r>
    </w:p>
    <w:p>
      <w:pPr>
        <w:spacing w:before="120" w:line="22" w:lineRule="atLeast"/>
        <w:rPr>
          <w:rFonts w:hint="eastAsia" w:ascii="仿宋" w:hAnsi="仿宋" w:eastAsia="仿宋" w:cs="仿宋"/>
          <w:color w:val="auto"/>
          <w:sz w:val="24"/>
        </w:rPr>
      </w:pPr>
    </w:p>
    <w:p>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签订日期：</w:t>
      </w:r>
      <w:r>
        <w:rPr>
          <w:rFonts w:hint="eastAsia" w:ascii="仿宋" w:hAnsi="仿宋" w:eastAsia="仿宋" w:cs="仿宋"/>
          <w:color w:val="auto"/>
          <w:sz w:val="24"/>
          <w:u w:val="single"/>
        </w:rPr>
        <w:t xml:space="preserve">     2022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widowControl/>
        <w:jc w:val="left"/>
        <w:rPr>
          <w:rFonts w:hint="eastAsia" w:ascii="仿宋" w:hAnsi="仿宋" w:eastAsia="仿宋" w:cs="仿宋"/>
          <w:color w:val="auto"/>
          <w:kern w:val="0"/>
          <w:sz w:val="24"/>
        </w:rPr>
        <w:sectPr>
          <w:headerReference r:id="rId12" w:type="default"/>
          <w:footerReference r:id="rId13" w:type="default"/>
          <w:pgSz w:w="11907" w:h="16840"/>
          <w:pgMar w:top="1474" w:right="1814" w:bottom="1474" w:left="1814" w:header="851" w:footer="851" w:gutter="0"/>
          <w:cols w:space="720" w:num="1"/>
          <w:docGrid w:linePitch="286" w:charSpace="0"/>
        </w:sectPr>
      </w:pP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u w:val="single"/>
        </w:rPr>
        <w:t>2022</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年</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月</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r>
        <w:rPr>
          <w:rFonts w:hint="eastAsia" w:ascii="仿宋" w:hAnsi="仿宋" w:eastAsia="仿宋" w:cs="仿宋"/>
          <w:color w:val="auto"/>
          <w:sz w:val="24"/>
        </w:rPr>
        <w:t>，</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rPr>
        <w:t>以</w:t>
      </w:r>
      <w:r>
        <w:rPr>
          <w:rFonts w:hint="eastAsia" w:ascii="仿宋" w:hAnsi="仿宋" w:eastAsia="仿宋" w:cs="仿宋"/>
          <w:color w:val="auto"/>
          <w:sz w:val="24"/>
          <w:u w:val="single"/>
        </w:rPr>
        <w:t xml:space="preserve">   （政府采购方式）  </w:t>
      </w:r>
      <w:r>
        <w:rPr>
          <w:rFonts w:hint="eastAsia" w:ascii="仿宋" w:hAnsi="仿宋" w:eastAsia="仿宋" w:cs="仿宋"/>
          <w:color w:val="auto"/>
          <w:sz w:val="24"/>
        </w:rPr>
        <w:t>对</w:t>
      </w:r>
      <w:r>
        <w:rPr>
          <w:rFonts w:hint="eastAsia" w:ascii="仿宋" w:hAnsi="仿宋" w:eastAsia="仿宋" w:cs="仿宋"/>
          <w:color w:val="auto"/>
          <w:sz w:val="24"/>
          <w:u w:val="single"/>
        </w:rPr>
        <w:t xml:space="preserve">   （同前页项目名称）   </w:t>
      </w:r>
      <w:r>
        <w:rPr>
          <w:rFonts w:hint="eastAsia" w:ascii="仿宋" w:hAnsi="仿宋" w:eastAsia="仿宋" w:cs="仿宋"/>
          <w:color w:val="auto"/>
          <w:sz w:val="24"/>
        </w:rPr>
        <w:t>项目进行了采购。经</w:t>
      </w:r>
      <w:r>
        <w:rPr>
          <w:rFonts w:hint="eastAsia" w:ascii="仿宋" w:hAnsi="仿宋" w:eastAsia="仿宋" w:cs="仿宋"/>
          <w:color w:val="auto"/>
          <w:sz w:val="24"/>
          <w:u w:val="single"/>
        </w:rPr>
        <w:t xml:space="preserve">   （相关评定主体名称）   </w:t>
      </w:r>
      <w:r>
        <w:rPr>
          <w:rFonts w:hint="eastAsia" w:ascii="仿宋" w:hAnsi="仿宋" w:eastAsia="仿宋" w:cs="仿宋"/>
          <w:color w:val="auto"/>
          <w:sz w:val="24"/>
        </w:rPr>
        <w:t>评定，</w:t>
      </w:r>
      <w:r>
        <w:rPr>
          <w:rFonts w:hint="eastAsia" w:ascii="仿宋" w:hAnsi="仿宋" w:eastAsia="仿宋" w:cs="仿宋"/>
          <w:color w:val="auto"/>
          <w:sz w:val="24"/>
          <w:u w:val="single"/>
        </w:rPr>
        <w:t xml:space="preserve">   （中标供应商名称）</w:t>
      </w:r>
      <w:r>
        <w:rPr>
          <w:rFonts w:hint="eastAsia" w:ascii="仿宋" w:hAnsi="仿宋" w:eastAsia="仿宋" w:cs="仿宋"/>
          <w:color w:val="auto"/>
          <w:sz w:val="24"/>
        </w:rPr>
        <w:t>为该项目中标供应商。现于中标通知书发出之日起三十日内，按照采购文件确定的事项签订本合同。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u w:val="single"/>
          <w:lang w:val="zh-CN" w:eastAsia="zh-CN"/>
        </w:rPr>
        <w:t>建德市卫生健康行政执法队</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 xml:space="preserve">   （中标供应商名称）   </w:t>
      </w:r>
      <w:r>
        <w:rPr>
          <w:rFonts w:hint="eastAsia"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pPr>
        <w:spacing w:line="560" w:lineRule="exact"/>
        <w:ind w:firstLine="482" w:firstLineChars="200"/>
        <w:outlineLvl w:val="0"/>
        <w:rPr>
          <w:rFonts w:hint="eastAsia" w:ascii="仿宋" w:hAnsi="仿宋" w:eastAsia="仿宋" w:cs="仿宋"/>
          <w:b/>
          <w:color w:val="auto"/>
          <w:sz w:val="24"/>
        </w:rPr>
      </w:pPr>
      <w:bookmarkStart w:id="396" w:name="_Toc24059"/>
      <w:bookmarkStart w:id="397" w:name="_Toc3029"/>
      <w:bookmarkStart w:id="398" w:name="_Toc2232"/>
      <w:r>
        <w:rPr>
          <w:rFonts w:hint="eastAsia" w:ascii="仿宋" w:hAnsi="仿宋" w:eastAsia="仿宋" w:cs="仿宋"/>
          <w:b/>
          <w:color w:val="auto"/>
          <w:sz w:val="24"/>
        </w:rPr>
        <w:t>1.1 合同组成部分</w:t>
      </w:r>
      <w:bookmarkEnd w:id="396"/>
      <w:bookmarkEnd w:id="397"/>
      <w:bookmarkEnd w:id="398"/>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1.1.1 本合同及其补充合同、变更协议；</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1.1.2 中标通知书；</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1.1.3 投标文件（含澄清或者说明文件）；</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1.1.4 招标文件（含澄清或者修改文件）；</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1.1.5 其他相关采购文件。</w:t>
      </w:r>
    </w:p>
    <w:p>
      <w:pPr>
        <w:spacing w:line="560" w:lineRule="exact"/>
        <w:ind w:firstLine="482" w:firstLineChars="200"/>
        <w:outlineLvl w:val="0"/>
        <w:rPr>
          <w:rFonts w:hint="eastAsia" w:ascii="仿宋" w:hAnsi="仿宋" w:eastAsia="仿宋" w:cs="仿宋"/>
          <w:b/>
          <w:color w:val="auto"/>
          <w:sz w:val="24"/>
        </w:rPr>
      </w:pPr>
      <w:bookmarkStart w:id="399" w:name="_Toc27126"/>
      <w:bookmarkStart w:id="400" w:name="_Toc21295"/>
      <w:bookmarkStart w:id="401" w:name="_Toc24300"/>
      <w:r>
        <w:rPr>
          <w:rFonts w:hint="eastAsia" w:ascii="仿宋" w:hAnsi="仿宋" w:eastAsia="仿宋" w:cs="仿宋"/>
          <w:b/>
          <w:color w:val="auto"/>
          <w:sz w:val="24"/>
        </w:rPr>
        <w:t>1.2 货物</w:t>
      </w:r>
      <w:bookmarkEnd w:id="399"/>
      <w:bookmarkEnd w:id="400"/>
      <w:bookmarkEnd w:id="401"/>
    </w:p>
    <w:p>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1.2.1 货物名称：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1.2.2 货物数量：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1.2.3 货物质量：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2" w:firstLineChars="200"/>
        <w:outlineLvl w:val="0"/>
        <w:rPr>
          <w:rFonts w:hint="eastAsia" w:ascii="仿宋" w:hAnsi="仿宋" w:eastAsia="仿宋" w:cs="仿宋"/>
          <w:b/>
          <w:color w:val="auto"/>
          <w:sz w:val="24"/>
        </w:rPr>
      </w:pPr>
      <w:bookmarkStart w:id="402" w:name="_Toc21551"/>
      <w:bookmarkStart w:id="403" w:name="_Toc23292"/>
      <w:bookmarkStart w:id="404" w:name="_Toc21631"/>
      <w:r>
        <w:rPr>
          <w:rFonts w:hint="eastAsia" w:ascii="仿宋" w:hAnsi="仿宋" w:eastAsia="仿宋" w:cs="仿宋"/>
          <w:b/>
          <w:color w:val="auto"/>
          <w:sz w:val="24"/>
        </w:rPr>
        <w:t>1.3 价款</w:t>
      </w:r>
      <w:bookmarkEnd w:id="402"/>
      <w:bookmarkEnd w:id="403"/>
      <w:bookmarkEnd w:id="404"/>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本合同总价为：￥</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元人民币）。</w:t>
      </w:r>
    </w:p>
    <w:p>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仿宋" w:hAnsi="仿宋" w:eastAsia="仿宋" w:cs="仿宋"/>
                <w:color w:val="auto"/>
                <w:sz w:val="24"/>
                <w:szCs w:val="24"/>
              </w:rPr>
            </w:pPr>
            <w:r>
              <w:rPr>
                <w:rFonts w:hint="eastAsia" w:ascii="仿宋" w:hAnsi="仿宋" w:eastAsia="仿宋" w:cs="仿宋"/>
                <w:color w:val="auto"/>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仿宋" w:hAnsi="仿宋" w:eastAsia="仿宋" w:cs="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仿宋" w:hAnsi="仿宋" w:eastAsia="仿宋" w:cs="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仿宋" w:hAnsi="仿宋" w:eastAsia="仿宋" w:cs="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仿宋" w:hAnsi="仿宋" w:eastAsia="仿宋" w:cs="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仿宋" w:hAnsi="仿宋" w:eastAsia="仿宋" w:cs="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仿宋" w:hAnsi="仿宋" w:eastAsia="仿宋" w:cs="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仿宋" w:hAnsi="仿宋" w:eastAsia="仿宋" w:cs="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仿宋" w:hAnsi="仿宋" w:eastAsia="仿宋" w:cs="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仿宋" w:hAnsi="仿宋" w:eastAsia="仿宋" w:cs="仿宋"/>
                <w:color w:val="auto"/>
                <w:sz w:val="24"/>
                <w:szCs w:val="24"/>
              </w:rPr>
            </w:pPr>
          </w:p>
        </w:tc>
      </w:tr>
    </w:tbl>
    <w:p>
      <w:pPr>
        <w:spacing w:line="560" w:lineRule="exact"/>
        <w:ind w:firstLine="482" w:firstLineChars="200"/>
        <w:outlineLvl w:val="0"/>
        <w:rPr>
          <w:rFonts w:hint="eastAsia" w:ascii="仿宋" w:hAnsi="仿宋" w:eastAsia="仿宋" w:cs="仿宋"/>
          <w:b/>
          <w:color w:val="auto"/>
          <w:sz w:val="24"/>
        </w:rPr>
      </w:pPr>
      <w:bookmarkStart w:id="405" w:name="_Toc10340"/>
      <w:bookmarkStart w:id="406" w:name="_Toc1814"/>
      <w:bookmarkStart w:id="407" w:name="_Toc22618"/>
      <w:r>
        <w:rPr>
          <w:rFonts w:hint="eastAsia" w:ascii="仿宋" w:hAnsi="仿宋" w:eastAsia="仿宋" w:cs="仿宋"/>
          <w:b/>
          <w:color w:val="auto"/>
          <w:sz w:val="24"/>
        </w:rPr>
        <w:t>1.4 付款</w:t>
      </w:r>
      <w:bookmarkEnd w:id="405"/>
      <w:bookmarkEnd w:id="406"/>
      <w:bookmarkEnd w:id="407"/>
      <w:r>
        <w:rPr>
          <w:rFonts w:hint="eastAsia" w:ascii="仿宋" w:hAnsi="仿宋" w:eastAsia="仿宋" w:cs="仿宋"/>
          <w:b/>
          <w:color w:val="auto"/>
          <w:sz w:val="24"/>
        </w:rPr>
        <w:t>方式、时间和条件</w:t>
      </w:r>
    </w:p>
    <w:p>
      <w:pPr>
        <w:pStyle w:val="958"/>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1.4.2甲方在政府采购合同中约定预付款，预付款比例</w:t>
      </w:r>
      <w:r>
        <w:rPr>
          <w:rFonts w:hint="eastAsia" w:ascii="仿宋" w:hAnsi="仿宋" w:eastAsia="仿宋" w:cs="仿宋"/>
          <w:color w:val="auto"/>
          <w:sz w:val="24"/>
          <w:lang w:val="en-US" w:eastAsia="zh-CN"/>
        </w:rPr>
        <w:t>为</w:t>
      </w:r>
      <w:r>
        <w:rPr>
          <w:rFonts w:hint="eastAsia" w:ascii="仿宋" w:hAnsi="仿宋" w:eastAsia="仿宋" w:cs="仿宋"/>
          <w:color w:val="auto"/>
          <w:sz w:val="24"/>
        </w:rPr>
        <w:t>合同金额的</w:t>
      </w:r>
      <w:r>
        <w:rPr>
          <w:rFonts w:hint="eastAsia" w:ascii="仿宋" w:hAnsi="仿宋" w:eastAsia="仿宋" w:cs="仿宋"/>
          <w:color w:val="auto"/>
          <w:sz w:val="24"/>
          <w:lang w:val="en-US" w:eastAsia="zh-CN"/>
        </w:rPr>
        <w:t>5</w:t>
      </w:r>
      <w:r>
        <w:rPr>
          <w:rFonts w:hint="eastAsia" w:ascii="仿宋" w:hAnsi="仿宋" w:eastAsia="仿宋" w:cs="仿宋"/>
          <w:color w:val="auto"/>
          <w:sz w:val="24"/>
        </w:rPr>
        <w:t>0%</w:t>
      </w:r>
      <w:r>
        <w:rPr>
          <w:rFonts w:hint="eastAsia" w:ascii="仿宋" w:hAnsi="仿宋" w:eastAsia="仿宋" w:cs="仿宋"/>
          <w:color w:val="auto"/>
          <w:sz w:val="24"/>
          <w:lang w:eastAsia="zh-CN"/>
        </w:rPr>
        <w:t>。</w:t>
      </w:r>
      <w:r>
        <w:rPr>
          <w:rFonts w:hint="eastAsia" w:ascii="仿宋" w:hAnsi="仿宋" w:eastAsia="仿宋" w:cs="仿宋"/>
          <w:color w:val="auto"/>
          <w:sz w:val="24"/>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hint="eastAsia" w:ascii="仿宋" w:hAnsi="仿宋" w:eastAsia="仿宋" w:cs="仿宋"/>
          <w:color w:val="auto"/>
          <w:sz w:val="24"/>
        </w:rPr>
      </w:pPr>
      <w:r>
        <w:rPr>
          <w:rFonts w:hint="eastAsia" w:ascii="仿宋" w:hAnsi="仿宋" w:eastAsia="仿宋" w:cs="仿宋"/>
          <w:color w:val="auto"/>
          <w:sz w:val="24"/>
        </w:rPr>
        <w:t>1.4.4资金支付的方式、时间和条件详见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0" w:firstLineChars="200"/>
        <w:outlineLvl w:val="0"/>
        <w:rPr>
          <w:rFonts w:hint="eastAsia" w:ascii="仿宋" w:hAnsi="仿宋" w:eastAsia="仿宋" w:cs="仿宋"/>
          <w:color w:val="auto"/>
          <w:sz w:val="24"/>
        </w:rPr>
      </w:pPr>
      <w:r>
        <w:rPr>
          <w:rFonts w:hint="eastAsia" w:ascii="仿宋" w:hAnsi="仿宋" w:eastAsia="仿宋" w:cs="仿宋"/>
          <w:color w:val="auto"/>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ind w:firstLine="482" w:firstLineChars="200"/>
        <w:outlineLvl w:val="0"/>
        <w:rPr>
          <w:rFonts w:hint="eastAsia" w:ascii="仿宋" w:hAnsi="仿宋" w:eastAsia="仿宋" w:cs="仿宋"/>
          <w:b/>
          <w:color w:val="auto"/>
          <w:sz w:val="24"/>
        </w:rPr>
      </w:pPr>
      <w:bookmarkStart w:id="408" w:name="_Toc32071"/>
      <w:bookmarkStart w:id="409" w:name="_Toc2846"/>
      <w:bookmarkStart w:id="410" w:name="_Toc19304"/>
      <w:r>
        <w:rPr>
          <w:rFonts w:hint="eastAsia" w:ascii="仿宋" w:hAnsi="仿宋" w:eastAsia="仿宋" w:cs="仿宋"/>
          <w:b/>
          <w:color w:val="auto"/>
          <w:sz w:val="24"/>
        </w:rPr>
        <w:t>1.5 货物交付期限、地点和方式</w:t>
      </w:r>
      <w:bookmarkEnd w:id="408"/>
      <w:bookmarkEnd w:id="409"/>
      <w:bookmarkEnd w:id="410"/>
    </w:p>
    <w:p>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1.5.1 交付期限：详见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1.5.2 交付地点：</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1.5.3 交付方式：</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outlineLvl w:val="0"/>
        <w:rPr>
          <w:rFonts w:hint="eastAsia" w:ascii="仿宋" w:hAnsi="仿宋" w:eastAsia="仿宋" w:cs="仿宋"/>
          <w:b/>
          <w:color w:val="auto"/>
          <w:sz w:val="24"/>
        </w:rPr>
      </w:pPr>
      <w:bookmarkStart w:id="411" w:name="_Toc21423"/>
      <w:bookmarkStart w:id="412" w:name="_Toc27250"/>
      <w:bookmarkStart w:id="413" w:name="_Toc19554"/>
      <w:r>
        <w:rPr>
          <w:rFonts w:hint="eastAsia" w:ascii="仿宋" w:hAnsi="仿宋" w:eastAsia="仿宋" w:cs="仿宋"/>
          <w:b/>
          <w:color w:val="auto"/>
          <w:sz w:val="24"/>
        </w:rPr>
        <w:t>1.6 违约责任</w:t>
      </w:r>
      <w:bookmarkEnd w:id="411"/>
      <w:bookmarkEnd w:id="412"/>
      <w:bookmarkEnd w:id="413"/>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u w:val="single"/>
        </w:rPr>
        <w:t xml:space="preserve">  0.05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u w:val="single"/>
        </w:rPr>
        <w:t xml:space="preserve">  0.05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hint="eastAsia" w:ascii="仿宋" w:hAnsi="仿宋" w:eastAsia="仿宋" w:cs="仿宋"/>
          <w:color w:val="auto"/>
        </w:rPr>
      </w:pPr>
      <w:r>
        <w:rPr>
          <w:rFonts w:hint="eastAsia" w:ascii="仿宋" w:hAnsi="仿宋" w:eastAsia="仿宋" w:cs="仿宋"/>
          <w:color w:val="auto"/>
          <w:sz w:val="24"/>
        </w:rPr>
        <w:t>1.6.7违约责任</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另有约定的，从其约定。</w:t>
      </w:r>
    </w:p>
    <w:p>
      <w:pPr>
        <w:spacing w:line="560" w:lineRule="exact"/>
        <w:ind w:firstLine="482" w:firstLineChars="200"/>
        <w:outlineLvl w:val="0"/>
        <w:rPr>
          <w:rFonts w:hint="eastAsia" w:ascii="仿宋" w:hAnsi="仿宋" w:eastAsia="仿宋" w:cs="仿宋"/>
          <w:b/>
          <w:color w:val="auto"/>
          <w:sz w:val="24"/>
        </w:rPr>
      </w:pPr>
      <w:bookmarkStart w:id="414" w:name="_Toc28375"/>
      <w:bookmarkStart w:id="415" w:name="_Toc15583"/>
      <w:bookmarkStart w:id="416" w:name="_Toc16021"/>
      <w:r>
        <w:rPr>
          <w:rFonts w:hint="eastAsia" w:ascii="仿宋" w:hAnsi="仿宋" w:eastAsia="仿宋" w:cs="仿宋"/>
          <w:b/>
          <w:color w:val="auto"/>
          <w:sz w:val="24"/>
        </w:rPr>
        <w:t>1.7 合同争议的解决</w:t>
      </w:r>
      <w:bookmarkEnd w:id="414"/>
      <w:bookmarkEnd w:id="415"/>
      <w:bookmarkEnd w:id="416"/>
    </w:p>
    <w:p>
      <w:pPr>
        <w:spacing w:line="560" w:lineRule="exact"/>
        <w:ind w:left="-61" w:leftChars="-29" w:right="-420" w:rightChars="-200" w:firstLine="240" w:firstLineChars="100"/>
        <w:rPr>
          <w:rFonts w:hint="eastAsia" w:ascii="仿宋" w:hAnsi="仿宋" w:eastAsia="仿宋" w:cs="仿宋"/>
          <w:color w:val="auto"/>
          <w:sz w:val="24"/>
        </w:rPr>
      </w:pPr>
      <w:r>
        <w:rPr>
          <w:rFonts w:hint="eastAsia" w:ascii="仿宋" w:hAnsi="仿宋" w:eastAsia="仿宋" w:cs="仿宋"/>
          <w:color w:val="auto"/>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u w:val="single"/>
        </w:rPr>
        <w:t xml:space="preserve"> 合同专用条款  </w:t>
      </w:r>
      <w:r>
        <w:rPr>
          <w:rFonts w:hint="eastAsia" w:ascii="仿宋" w:hAnsi="仿宋" w:eastAsia="仿宋" w:cs="仿宋"/>
          <w:color w:val="auto"/>
          <w:sz w:val="24"/>
        </w:rPr>
        <w:t>条款规定的方式解决：</w:t>
      </w:r>
    </w:p>
    <w:p>
      <w:pPr>
        <w:spacing w:line="560" w:lineRule="exact"/>
        <w:ind w:left="-420" w:leftChars="-200" w:right="-420" w:rightChars="-200" w:firstLine="600" w:firstLineChars="250"/>
        <w:rPr>
          <w:rFonts w:hint="eastAsia" w:ascii="仿宋" w:hAnsi="仿宋" w:eastAsia="仿宋" w:cs="仿宋"/>
          <w:color w:val="auto"/>
          <w:sz w:val="24"/>
        </w:rPr>
      </w:pPr>
      <w:r>
        <w:rPr>
          <w:rFonts w:hint="eastAsia" w:ascii="仿宋" w:hAnsi="仿宋" w:eastAsia="仿宋" w:cs="仿宋"/>
          <w:color w:val="auto"/>
          <w:sz w:val="24"/>
        </w:rPr>
        <w:t>1.7.1 将争议提交</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仲裁委员会依申请仲裁时其现行有效的仲裁规则裁决；</w:t>
      </w:r>
    </w:p>
    <w:p>
      <w:pPr>
        <w:spacing w:line="560" w:lineRule="exact"/>
        <w:ind w:left="-420" w:leftChars="-200" w:right="-420" w:rightChars="-200" w:firstLine="600" w:firstLineChars="250"/>
        <w:rPr>
          <w:rFonts w:hint="eastAsia" w:ascii="仿宋" w:hAnsi="仿宋" w:eastAsia="仿宋" w:cs="仿宋"/>
          <w:color w:val="auto"/>
          <w:sz w:val="24"/>
        </w:rPr>
      </w:pPr>
      <w:r>
        <w:rPr>
          <w:rFonts w:hint="eastAsia" w:ascii="仿宋" w:hAnsi="仿宋" w:eastAsia="仿宋" w:cs="仿宋"/>
          <w:color w:val="auto"/>
          <w:sz w:val="24"/>
        </w:rPr>
        <w:t>1.7.2 向</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人民法院起诉。</w:t>
      </w:r>
    </w:p>
    <w:p>
      <w:pPr>
        <w:spacing w:line="560" w:lineRule="exact"/>
        <w:ind w:firstLine="482" w:firstLineChars="200"/>
        <w:outlineLvl w:val="0"/>
        <w:rPr>
          <w:rFonts w:hint="eastAsia" w:ascii="仿宋" w:hAnsi="仿宋" w:eastAsia="仿宋" w:cs="仿宋"/>
          <w:b/>
          <w:color w:val="auto"/>
          <w:sz w:val="24"/>
        </w:rPr>
      </w:pPr>
      <w:bookmarkStart w:id="417" w:name="_Toc7245"/>
      <w:bookmarkStart w:id="418" w:name="_Toc15322"/>
      <w:bookmarkStart w:id="419" w:name="_Toc11173"/>
      <w:r>
        <w:rPr>
          <w:rFonts w:hint="eastAsia" w:ascii="仿宋" w:hAnsi="仿宋" w:eastAsia="仿宋" w:cs="仿宋"/>
          <w:b/>
          <w:color w:val="auto"/>
          <w:sz w:val="24"/>
        </w:rPr>
        <w:t>1.8 合同生效</w:t>
      </w:r>
      <w:bookmarkEnd w:id="417"/>
      <w:bookmarkEnd w:id="418"/>
      <w:bookmarkEnd w:id="419"/>
    </w:p>
    <w:p>
      <w:pPr>
        <w:spacing w:line="560" w:lineRule="exact"/>
        <w:ind w:firstLine="480" w:firstLineChars="200"/>
        <w:rPr>
          <w:rFonts w:hint="eastAsia" w:ascii="仿宋" w:hAnsi="仿宋" w:eastAsia="仿宋" w:cs="仿宋"/>
          <w:b/>
          <w:color w:val="auto"/>
          <w:sz w:val="24"/>
        </w:rPr>
      </w:pPr>
      <w:r>
        <w:rPr>
          <w:rFonts w:hint="eastAsia" w:ascii="仿宋" w:hAnsi="仿宋" w:eastAsia="仿宋" w:cs="仿宋"/>
          <w:color w:val="auto"/>
          <w:sz w:val="24"/>
        </w:rPr>
        <w:t>本合同自双方当事人盖章或者签字时生效。</w:t>
      </w:r>
    </w:p>
    <w:p>
      <w:pPr>
        <w:autoSpaceDE w:val="0"/>
        <w:autoSpaceDN w:val="0"/>
        <w:spacing w:line="560" w:lineRule="exact"/>
        <w:rPr>
          <w:rFonts w:hint="eastAsia" w:ascii="仿宋" w:hAnsi="仿宋" w:eastAsia="仿宋" w:cs="仿宋"/>
          <w:color w:val="auto"/>
          <w:sz w:val="24"/>
          <w:lang w:val="zh-CN"/>
        </w:rPr>
      </w:pP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b/>
          <w:color w:val="auto"/>
          <w:sz w:val="24"/>
          <w:lang w:val="zh-CN"/>
        </w:rPr>
        <w:t>甲方</w:t>
      </w:r>
      <w:r>
        <w:rPr>
          <w:rFonts w:hint="eastAsia" w:ascii="仿宋" w:hAnsi="仿宋" w:eastAsia="仿宋" w:cs="仿宋"/>
          <w:color w:val="auto"/>
          <w:sz w:val="24"/>
          <w:lang w:val="zh-CN"/>
        </w:rPr>
        <w:t xml:space="preserve">：                             </w:t>
      </w:r>
      <w:r>
        <w:rPr>
          <w:rFonts w:hint="eastAsia" w:ascii="仿宋" w:hAnsi="仿宋" w:eastAsia="仿宋" w:cs="仿宋"/>
          <w:b/>
          <w:color w:val="auto"/>
          <w:sz w:val="24"/>
          <w:lang w:val="zh-CN"/>
        </w:rPr>
        <w:t xml:space="preserve">      乙方</w:t>
      </w:r>
      <w:r>
        <w:rPr>
          <w:rFonts w:hint="eastAsia" w:ascii="仿宋" w:hAnsi="仿宋" w:eastAsia="仿宋" w:cs="仿宋"/>
          <w:color w:val="auto"/>
          <w:sz w:val="24"/>
          <w:lang w:val="zh-CN"/>
        </w:rPr>
        <w:t>：</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统一社会信用代码：                        统一社会信用代码或身份证号码：</w:t>
      </w:r>
    </w:p>
    <w:p>
      <w:pPr>
        <w:autoSpaceDE w:val="0"/>
        <w:autoSpaceDN w:val="0"/>
        <w:spacing w:line="560" w:lineRule="exact"/>
        <w:rPr>
          <w:rFonts w:hint="eastAsia" w:ascii="仿宋" w:hAnsi="仿宋" w:eastAsia="仿宋" w:cs="仿宋"/>
          <w:color w:val="auto"/>
          <w:sz w:val="24"/>
          <w:lang w:val="zh-CN"/>
        </w:rPr>
      </w:pP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住所：                                   住所：</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法定代表人或                             法定代表人</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授权代表（签字）：                       或授权代表（签字）: </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联系人：                                 联系人：</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约定送达地址：                           约定送达地址：</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邮政编码：                               邮政编码：</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电话:                                    电话: </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传真:                                    传真:</w:t>
      </w:r>
    </w:p>
    <w:p>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lang w:val="zh-CN"/>
        </w:rPr>
        <w:t>电子邮箱：                               电子邮箱：</w:t>
      </w:r>
    </w:p>
    <w:p>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 xml:space="preserve">开户银行：                               开户银行： </w:t>
      </w:r>
    </w:p>
    <w:p>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 xml:space="preserve">开户名称：                               开户名称： </w:t>
      </w:r>
    </w:p>
    <w:p>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开户账号：</w:t>
      </w:r>
      <w:r>
        <w:rPr>
          <w:rFonts w:hint="eastAsia" w:ascii="仿宋" w:hAnsi="仿宋" w:eastAsia="仿宋" w:cs="仿宋"/>
          <w:color w:val="auto"/>
          <w:sz w:val="24"/>
          <w:lang w:val="zh-CN"/>
        </w:rPr>
        <w:t xml:space="preserve">                               </w:t>
      </w:r>
      <w:r>
        <w:rPr>
          <w:rFonts w:hint="eastAsia" w:ascii="仿宋" w:hAnsi="仿宋" w:eastAsia="仿宋" w:cs="仿宋"/>
          <w:color w:val="auto"/>
          <w:sz w:val="24"/>
        </w:rPr>
        <w:t>开户账号：</w:t>
      </w:r>
    </w:p>
    <w:p>
      <w:pPr>
        <w:widowControl/>
        <w:spacing w:line="560" w:lineRule="exact"/>
        <w:jc w:val="left"/>
        <w:rPr>
          <w:rFonts w:hint="eastAsia" w:ascii="仿宋" w:hAnsi="仿宋" w:eastAsia="仿宋" w:cs="仿宋"/>
          <w:b/>
          <w:color w:val="auto"/>
          <w:sz w:val="24"/>
        </w:rPr>
      </w:pPr>
      <w:bookmarkStart w:id="420" w:name="_Toc331685783"/>
    </w:p>
    <w:p>
      <w:pPr>
        <w:pStyle w:val="700"/>
        <w:spacing w:line="560" w:lineRule="exact"/>
        <w:ind w:left="0" w:leftChars="0" w:firstLine="0" w:firstLineChars="0"/>
        <w:jc w:val="center"/>
        <w:rPr>
          <w:rFonts w:hint="eastAsia" w:ascii="仿宋" w:hAnsi="仿宋" w:eastAsia="仿宋" w:cs="仿宋"/>
          <w:b/>
          <w:color w:val="auto"/>
          <w:szCs w:val="24"/>
        </w:rPr>
      </w:pPr>
      <w:r>
        <w:rPr>
          <w:rFonts w:hint="eastAsia" w:ascii="仿宋" w:hAnsi="仿宋" w:eastAsia="仿宋" w:cs="仿宋"/>
          <w:b/>
          <w:color w:val="auto"/>
          <w:szCs w:val="24"/>
        </w:rPr>
        <w:t>第二部分 合同一般条款</w:t>
      </w:r>
      <w:bookmarkEnd w:id="420"/>
    </w:p>
    <w:p>
      <w:pPr>
        <w:spacing w:line="560" w:lineRule="exact"/>
        <w:ind w:firstLine="482" w:firstLineChars="200"/>
        <w:outlineLvl w:val="0"/>
        <w:rPr>
          <w:rFonts w:hint="eastAsia" w:ascii="仿宋" w:hAnsi="仿宋" w:eastAsia="仿宋" w:cs="仿宋"/>
          <w:b/>
          <w:color w:val="auto"/>
          <w:sz w:val="24"/>
        </w:rPr>
      </w:pPr>
      <w:bookmarkStart w:id="421" w:name="_Ref467379109"/>
      <w:bookmarkStart w:id="422" w:name="_Ref467379101"/>
      <w:bookmarkStart w:id="423" w:name="_Toc259093669"/>
      <w:bookmarkStart w:id="424" w:name="_Ref467379225"/>
      <w:bookmarkStart w:id="425" w:name="_Ref467379214"/>
      <w:bookmarkStart w:id="426" w:name="_Ref467378404"/>
      <w:bookmarkStart w:id="427" w:name="_Toc28763"/>
      <w:bookmarkStart w:id="428" w:name="_Toc487900349"/>
      <w:bookmarkStart w:id="429" w:name="_Ref467379094"/>
      <w:bookmarkStart w:id="430" w:name="_Ref467378499"/>
      <w:bookmarkStart w:id="431" w:name="_Toc16917"/>
      <w:bookmarkStart w:id="432" w:name="_Toc279701240"/>
      <w:bookmarkStart w:id="433" w:name="_Ref467379195"/>
      <w:bookmarkStart w:id="434" w:name="_Ref467378463"/>
      <w:bookmarkStart w:id="435" w:name="_Toc19614"/>
      <w:bookmarkStart w:id="436" w:name="_Ref467379205"/>
      <w:r>
        <w:rPr>
          <w:rFonts w:hint="eastAsia" w:ascii="仿宋" w:hAnsi="仿宋" w:eastAsia="仿宋" w:cs="仿宋"/>
          <w:b/>
          <w:color w:val="auto"/>
          <w:sz w:val="24"/>
        </w:rPr>
        <w:t>2.1 定义</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本合同中的下列词语应按以下内容进行解释：</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2.1.1 “合同”系指采购人和中标供应商签订的载明双方当事人所达成的协议，并包括所有的附件、附录和构成合同的其他文件。</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2.1.2 “合同价”系指根据合同约定，中标供应商在完全履行合同义务后，采购人应支付给中标供应商的价格。</w:t>
      </w:r>
    </w:p>
    <w:p>
      <w:pPr>
        <w:spacing w:line="360" w:lineRule="auto"/>
        <w:ind w:firstLine="480" w:firstLineChars="200"/>
        <w:rPr>
          <w:rFonts w:hint="eastAsia" w:ascii="仿宋" w:hAnsi="仿宋" w:eastAsia="仿宋" w:cs="仿宋"/>
          <w:color w:val="auto"/>
          <w:sz w:val="24"/>
        </w:rPr>
      </w:pPr>
      <w:bookmarkStart w:id="437" w:name="_Ref467378840"/>
      <w:r>
        <w:rPr>
          <w:rFonts w:hint="eastAsia" w:ascii="仿宋" w:hAnsi="仿宋" w:eastAsia="仿宋" w:cs="仿宋"/>
          <w:color w:val="auto"/>
          <w:sz w:val="24"/>
        </w:rPr>
        <w:t>2.1.3 “货物”系指中标供应商根据合同约定应向采购人交付的一切各种形态和种类的物品，包括原材料、燃料、设备、机械、仪表、备件、计算机软件、产品等，并包括工具、手册等其他相关资料。</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2.1.4 “甲方”系指与中标供应商签署合同的采购人</w:t>
      </w:r>
      <w:bookmarkEnd w:id="437"/>
      <w:r>
        <w:rPr>
          <w:rFonts w:hint="eastAsia" w:ascii="仿宋" w:hAnsi="仿宋" w:eastAsia="仿宋" w:cs="仿宋"/>
          <w:color w:val="auto"/>
          <w:sz w:val="24"/>
        </w:rPr>
        <w:t>；采购人委托采购代理机构代表其与乙方签订合同的，采购人的授权委托书作为合同附件。</w:t>
      </w:r>
    </w:p>
    <w:p>
      <w:pPr>
        <w:spacing w:line="360" w:lineRule="auto"/>
        <w:ind w:firstLine="480" w:firstLineChars="200"/>
        <w:rPr>
          <w:rFonts w:hint="eastAsia" w:ascii="仿宋" w:hAnsi="仿宋" w:eastAsia="仿宋" w:cs="仿宋"/>
          <w:color w:val="auto"/>
          <w:sz w:val="24"/>
        </w:rPr>
      </w:pPr>
      <w:bookmarkStart w:id="438" w:name="_Ref467379400"/>
      <w:r>
        <w:rPr>
          <w:rFonts w:hint="eastAsia" w:ascii="仿宋" w:hAnsi="仿宋" w:eastAsia="仿宋" w:cs="仿宋"/>
          <w:color w:val="auto"/>
          <w:sz w:val="24"/>
        </w:rPr>
        <w:t>2.1.5 “乙方”系指根据合同约定提供服务的中标供应商</w:t>
      </w:r>
      <w:bookmarkEnd w:id="438"/>
      <w:r>
        <w:rPr>
          <w:rFonts w:hint="eastAsia" w:ascii="仿宋" w:hAnsi="仿宋" w:eastAsia="仿宋" w:cs="仿宋"/>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outlineLvl w:val="0"/>
        <w:rPr>
          <w:rFonts w:hint="eastAsia" w:ascii="仿宋" w:hAnsi="仿宋" w:eastAsia="仿宋" w:cs="仿宋"/>
          <w:color w:val="auto"/>
          <w:sz w:val="24"/>
        </w:rPr>
      </w:pPr>
      <w:bookmarkStart w:id="439" w:name="_Ref467379436"/>
      <w:bookmarkStart w:id="440" w:name="_Toc259093670"/>
      <w:bookmarkStart w:id="441" w:name="_Toc13336"/>
      <w:bookmarkStart w:id="442" w:name="_Toc279701241"/>
      <w:bookmarkStart w:id="443" w:name="_Toc487900350"/>
      <w:bookmarkStart w:id="444" w:name="_Toc32504"/>
      <w:bookmarkStart w:id="445" w:name="_Toc27635"/>
      <w:r>
        <w:rPr>
          <w:rFonts w:hint="eastAsia" w:ascii="仿宋" w:hAnsi="仿宋" w:eastAsia="仿宋" w:cs="仿宋"/>
          <w:color w:val="auto"/>
          <w:sz w:val="24"/>
        </w:rPr>
        <w:t>2.1.6 “现场”系指合同约定货物将要运至或者安装的地点。</w:t>
      </w:r>
      <w:bookmarkEnd w:id="439"/>
    </w:p>
    <w:p>
      <w:pPr>
        <w:spacing w:line="360" w:lineRule="auto"/>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2.2 技术规范</w:t>
      </w:r>
      <w:bookmarkEnd w:id="440"/>
      <w:bookmarkEnd w:id="441"/>
      <w:bookmarkEnd w:id="442"/>
      <w:bookmarkEnd w:id="443"/>
      <w:bookmarkEnd w:id="444"/>
      <w:bookmarkEnd w:id="445"/>
    </w:p>
    <w:p>
      <w:pPr>
        <w:spacing w:line="360" w:lineRule="auto"/>
        <w:ind w:firstLine="480" w:firstLineChars="200"/>
        <w:outlineLvl w:val="0"/>
        <w:rPr>
          <w:rFonts w:hint="eastAsia" w:ascii="仿宋" w:hAnsi="仿宋" w:eastAsia="仿宋" w:cs="仿宋"/>
          <w:color w:val="auto"/>
          <w:sz w:val="24"/>
        </w:rPr>
      </w:pPr>
      <w:bookmarkStart w:id="446" w:name="_Toc9829"/>
      <w:bookmarkStart w:id="447" w:name="_Toc31634"/>
      <w:bookmarkStart w:id="448" w:name="_Toc279701242"/>
      <w:bookmarkStart w:id="449" w:name="_Toc487900351"/>
      <w:bookmarkStart w:id="450" w:name="_Toc27853"/>
      <w:bookmarkStart w:id="451" w:name="_Toc259093671"/>
      <w:r>
        <w:rPr>
          <w:rFonts w:hint="eastAsia" w:ascii="仿宋" w:hAnsi="仿宋" w:eastAsia="仿宋" w:cs="仿宋"/>
          <w:color w:val="auto"/>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2.3 知识产权</w:t>
      </w:r>
      <w:bookmarkEnd w:id="446"/>
      <w:bookmarkEnd w:id="447"/>
      <w:bookmarkEnd w:id="448"/>
      <w:bookmarkEnd w:id="449"/>
      <w:bookmarkEnd w:id="450"/>
      <w:bookmarkEnd w:id="451"/>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2.3.1 乙方应保证甲方在使用该货物或服务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2.3.2具有知识产权的计算机软件等货物的知识产权归属，详见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360" w:lineRule="auto"/>
        <w:ind w:firstLine="482" w:firstLineChars="200"/>
        <w:outlineLvl w:val="0"/>
        <w:rPr>
          <w:rFonts w:hint="eastAsia" w:ascii="仿宋" w:hAnsi="仿宋" w:eastAsia="仿宋" w:cs="仿宋"/>
          <w:b/>
          <w:color w:val="auto"/>
          <w:sz w:val="24"/>
        </w:rPr>
      </w:pPr>
      <w:bookmarkStart w:id="452" w:name="_Toc4194"/>
      <w:bookmarkStart w:id="453" w:name="_Toc11932"/>
      <w:bookmarkStart w:id="454" w:name="_Toc29149"/>
      <w:r>
        <w:rPr>
          <w:rFonts w:hint="eastAsia" w:ascii="仿宋" w:hAnsi="仿宋" w:eastAsia="仿宋" w:cs="仿宋"/>
          <w:b/>
          <w:color w:val="auto"/>
          <w:sz w:val="24"/>
        </w:rPr>
        <w:t>2.4 包装和装运</w:t>
      </w:r>
      <w:bookmarkEnd w:id="452"/>
      <w:bookmarkEnd w:id="453"/>
      <w:bookmarkEnd w:id="454"/>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2.4.1除</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2.4.3 装运货物的要求和通知，详见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360" w:lineRule="auto"/>
        <w:ind w:firstLine="482" w:firstLineChars="200"/>
        <w:outlineLvl w:val="0"/>
        <w:rPr>
          <w:rFonts w:hint="eastAsia" w:ascii="仿宋" w:hAnsi="仿宋" w:eastAsia="仿宋" w:cs="仿宋"/>
          <w:b/>
          <w:color w:val="auto"/>
          <w:sz w:val="24"/>
        </w:rPr>
      </w:pPr>
      <w:bookmarkStart w:id="455" w:name="_Toc259093674"/>
      <w:bookmarkStart w:id="456" w:name="_Ref467379527"/>
      <w:bookmarkStart w:id="457" w:name="_Ref467379536"/>
      <w:bookmarkStart w:id="458" w:name="_Ref467379542"/>
      <w:bookmarkStart w:id="459" w:name="_Ref467378591"/>
      <w:bookmarkStart w:id="460" w:name="_Toc487900354"/>
      <w:bookmarkStart w:id="461" w:name="_Ref467378541"/>
      <w:bookmarkStart w:id="462" w:name="_Toc279701245"/>
      <w:bookmarkStart w:id="463" w:name="_Toc30272"/>
      <w:bookmarkStart w:id="464" w:name="_Toc26182"/>
      <w:bookmarkStart w:id="465" w:name="_Toc19074"/>
      <w:r>
        <w:rPr>
          <w:rFonts w:hint="eastAsia" w:ascii="仿宋" w:hAnsi="仿宋" w:eastAsia="仿宋" w:cs="仿宋"/>
          <w:b/>
          <w:color w:val="auto"/>
          <w:sz w:val="24"/>
        </w:rPr>
        <w:t>2.</w:t>
      </w:r>
      <w:bookmarkEnd w:id="455"/>
      <w:bookmarkEnd w:id="456"/>
      <w:bookmarkEnd w:id="457"/>
      <w:bookmarkEnd w:id="458"/>
      <w:bookmarkEnd w:id="459"/>
      <w:bookmarkEnd w:id="460"/>
      <w:bookmarkEnd w:id="461"/>
      <w:bookmarkEnd w:id="462"/>
      <w:r>
        <w:rPr>
          <w:rFonts w:hint="eastAsia" w:ascii="仿宋" w:hAnsi="仿宋" w:eastAsia="仿宋" w:cs="仿宋"/>
          <w:b/>
          <w:color w:val="auto"/>
          <w:sz w:val="24"/>
        </w:rPr>
        <w:t>5 履约检查和问题反馈</w:t>
      </w:r>
      <w:bookmarkEnd w:id="463"/>
      <w:bookmarkEnd w:id="464"/>
      <w:bookmarkEnd w:id="465"/>
    </w:p>
    <w:p>
      <w:pPr>
        <w:spacing w:line="360" w:lineRule="auto"/>
        <w:ind w:firstLine="480" w:firstLineChars="200"/>
        <w:rPr>
          <w:rFonts w:hint="eastAsia" w:ascii="仿宋" w:hAnsi="仿宋" w:eastAsia="仿宋" w:cs="仿宋"/>
          <w:color w:val="auto"/>
          <w:sz w:val="24"/>
        </w:rPr>
      </w:pPr>
      <w:bookmarkStart w:id="466" w:name="_Ref467379657"/>
      <w:r>
        <w:rPr>
          <w:rFonts w:hint="eastAsia" w:ascii="仿宋" w:hAnsi="仿宋" w:eastAsia="仿宋" w:cs="仿宋"/>
          <w:color w:val="auto"/>
          <w:sz w:val="24"/>
        </w:rPr>
        <w:t>2.5.1</w:t>
      </w:r>
      <w:bookmarkEnd w:id="466"/>
      <w:bookmarkStart w:id="467" w:name="_Toc186431854"/>
      <w:bookmarkStart w:id="468" w:name="_Toc259093676"/>
      <w:bookmarkStart w:id="469" w:name="_Toc487900357"/>
      <w:bookmarkStart w:id="470" w:name="_Ref467379807"/>
      <w:bookmarkStart w:id="471" w:name="_Toc279701247"/>
      <w:bookmarkStart w:id="472" w:name="_Ref467379793"/>
      <w:r>
        <w:rPr>
          <w:rFonts w:hint="eastAsia" w:ascii="仿宋" w:hAnsi="仿宋" w:eastAsia="仿宋" w:cs="仿宋"/>
          <w:color w:val="auto"/>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2.5.2 合同履行期间，甲方有权将履行过程中出现的问题反馈给乙方，双方当事人应以书面形式约定需要完善和改进的内容</w:t>
      </w:r>
      <w:bookmarkEnd w:id="467"/>
      <w:bookmarkStart w:id="473" w:name="_Toc186431855"/>
      <w:r>
        <w:rPr>
          <w:rFonts w:hint="eastAsia" w:ascii="仿宋" w:hAnsi="仿宋" w:eastAsia="仿宋" w:cs="仿宋"/>
          <w:color w:val="auto"/>
          <w:sz w:val="24"/>
        </w:rPr>
        <w:t>。</w:t>
      </w:r>
    </w:p>
    <w:bookmarkEnd w:id="468"/>
    <w:bookmarkEnd w:id="469"/>
    <w:bookmarkEnd w:id="470"/>
    <w:bookmarkEnd w:id="471"/>
    <w:bookmarkEnd w:id="472"/>
    <w:bookmarkEnd w:id="473"/>
    <w:p>
      <w:pPr>
        <w:spacing w:line="360" w:lineRule="auto"/>
        <w:ind w:firstLine="482" w:firstLineChars="200"/>
        <w:outlineLvl w:val="0"/>
        <w:rPr>
          <w:rFonts w:hint="eastAsia" w:ascii="仿宋" w:hAnsi="仿宋" w:eastAsia="仿宋" w:cs="仿宋"/>
          <w:b/>
          <w:color w:val="auto"/>
          <w:sz w:val="24"/>
        </w:rPr>
      </w:pPr>
      <w:bookmarkStart w:id="474" w:name="_Toc259093677"/>
      <w:bookmarkStart w:id="475" w:name="_Toc279701248"/>
      <w:bookmarkStart w:id="476" w:name="_Ref467379923"/>
      <w:bookmarkStart w:id="477" w:name="_Ref467379863"/>
      <w:bookmarkStart w:id="478" w:name="_Toc487900358"/>
      <w:bookmarkStart w:id="479" w:name="_Ref467379852"/>
      <w:bookmarkStart w:id="480" w:name="_Toc3225"/>
      <w:bookmarkStart w:id="481" w:name="_Toc774"/>
      <w:bookmarkStart w:id="482" w:name="_Toc16110"/>
      <w:r>
        <w:rPr>
          <w:rFonts w:hint="eastAsia" w:ascii="仿宋" w:hAnsi="仿宋" w:eastAsia="仿宋" w:cs="仿宋"/>
          <w:b/>
          <w:color w:val="auto"/>
          <w:sz w:val="24"/>
        </w:rPr>
        <w:t>2.6 技术资料</w:t>
      </w:r>
      <w:bookmarkEnd w:id="474"/>
      <w:bookmarkEnd w:id="475"/>
      <w:bookmarkEnd w:id="476"/>
      <w:bookmarkEnd w:id="477"/>
      <w:bookmarkEnd w:id="478"/>
      <w:bookmarkEnd w:id="479"/>
      <w:r>
        <w:rPr>
          <w:rFonts w:hint="eastAsia" w:ascii="仿宋" w:hAnsi="仿宋" w:eastAsia="仿宋" w:cs="仿宋"/>
          <w:b/>
          <w:color w:val="auto"/>
          <w:sz w:val="24"/>
        </w:rPr>
        <w:t>和保密义务</w:t>
      </w:r>
      <w:bookmarkEnd w:id="480"/>
      <w:bookmarkEnd w:id="481"/>
      <w:bookmarkEnd w:id="482"/>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2.6.1 乙方有权依据合同约定和项目需要，向甲方了解有关情况，调阅有关资料等，甲方应予积极配合；</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2.6.2 乙方有义务妥善保管和保护由甲方提供的前款信息和资料等；</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outlineLvl w:val="0"/>
        <w:rPr>
          <w:rFonts w:hint="eastAsia" w:ascii="仿宋" w:hAnsi="仿宋" w:eastAsia="仿宋" w:cs="仿宋"/>
          <w:b/>
          <w:color w:val="auto"/>
          <w:sz w:val="24"/>
        </w:rPr>
      </w:pPr>
      <w:bookmarkStart w:id="483" w:name="_Toc7860"/>
      <w:r>
        <w:rPr>
          <w:rFonts w:hint="eastAsia" w:ascii="仿宋" w:hAnsi="仿宋" w:eastAsia="仿宋" w:cs="仿宋"/>
          <w:b/>
          <w:color w:val="auto"/>
          <w:sz w:val="24"/>
        </w:rPr>
        <w:t>2.7 质量保证</w:t>
      </w:r>
      <w:bookmarkEnd w:id="483"/>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2.7.1 乙方应建立和完善履行合同的内部质量保证体系，并提供相关内部规章制度给甲方，以便甲方进行监督检查；</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2.7.2 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hint="eastAsia" w:ascii="仿宋" w:hAnsi="仿宋" w:eastAsia="仿宋" w:cs="仿宋"/>
          <w:b/>
          <w:color w:val="auto"/>
          <w:sz w:val="24"/>
        </w:rPr>
      </w:pPr>
      <w:bookmarkStart w:id="484" w:name="_Toc17244"/>
      <w:bookmarkStart w:id="485" w:name="_Toc279701252"/>
      <w:bookmarkStart w:id="486" w:name="_Toc487900362"/>
      <w:bookmarkStart w:id="487" w:name="_Toc259093681"/>
      <w:r>
        <w:rPr>
          <w:rFonts w:hint="eastAsia" w:ascii="仿宋" w:hAnsi="仿宋" w:eastAsia="仿宋" w:cs="仿宋"/>
          <w:b/>
          <w:color w:val="auto"/>
          <w:sz w:val="24"/>
        </w:rPr>
        <w:t>2.8 货物的风险负担</w:t>
      </w:r>
      <w:bookmarkEnd w:id="484"/>
    </w:p>
    <w:p>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sz w:val="24"/>
        </w:rPr>
        <w:t>货物或者在途货物或者交付给第一承运人后的货物毁损、灭失的风险负担详见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360" w:lineRule="auto"/>
        <w:ind w:firstLine="482" w:firstLineChars="200"/>
        <w:outlineLvl w:val="0"/>
        <w:rPr>
          <w:rFonts w:hint="eastAsia" w:ascii="仿宋" w:hAnsi="仿宋" w:eastAsia="仿宋" w:cs="仿宋"/>
          <w:b/>
          <w:color w:val="auto"/>
          <w:sz w:val="24"/>
        </w:rPr>
      </w:pPr>
      <w:bookmarkStart w:id="488" w:name="_Toc14055"/>
      <w:r>
        <w:rPr>
          <w:rFonts w:hint="eastAsia" w:ascii="仿宋" w:hAnsi="仿宋" w:eastAsia="仿宋" w:cs="仿宋"/>
          <w:b/>
          <w:color w:val="auto"/>
          <w:sz w:val="24"/>
        </w:rPr>
        <w:t>2.9 延迟交货</w:t>
      </w:r>
      <w:bookmarkEnd w:id="485"/>
      <w:bookmarkEnd w:id="486"/>
      <w:bookmarkEnd w:id="487"/>
      <w:bookmarkEnd w:id="488"/>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360" w:lineRule="auto"/>
        <w:ind w:firstLine="482" w:firstLineChars="200"/>
        <w:outlineLvl w:val="0"/>
        <w:rPr>
          <w:rFonts w:hint="eastAsia" w:ascii="仿宋" w:hAnsi="仿宋" w:eastAsia="仿宋" w:cs="仿宋"/>
          <w:b/>
          <w:color w:val="auto"/>
          <w:sz w:val="24"/>
        </w:rPr>
      </w:pPr>
      <w:bookmarkStart w:id="489" w:name="_Toc7502"/>
      <w:bookmarkStart w:id="490" w:name="_Toc487900364"/>
      <w:bookmarkStart w:id="491" w:name="_Toc259093683"/>
      <w:bookmarkStart w:id="492" w:name="_Toc279701254"/>
      <w:bookmarkStart w:id="493" w:name="_Ref467378121"/>
      <w:r>
        <w:rPr>
          <w:rFonts w:hint="eastAsia" w:ascii="仿宋" w:hAnsi="仿宋" w:eastAsia="仿宋" w:cs="仿宋"/>
          <w:b/>
          <w:color w:val="auto"/>
          <w:sz w:val="24"/>
        </w:rPr>
        <w:t>2.10 合同变更</w:t>
      </w:r>
      <w:bookmarkEnd w:id="489"/>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合同继续履行将损害国家利益和社会公共利益的，双方当事人应当以书面形式变更合同。有过错的一方应当承担赔偿责任，双方当事人都有过错的，各自承担相应的责任。</w:t>
      </w:r>
      <w:bookmarkStart w:id="494" w:name="_Toc487900369"/>
      <w:bookmarkStart w:id="495" w:name="_Toc279701259"/>
      <w:bookmarkStart w:id="496" w:name="_Toc259093688"/>
    </w:p>
    <w:p>
      <w:pPr>
        <w:spacing w:line="360" w:lineRule="auto"/>
        <w:ind w:firstLine="482" w:firstLineChars="200"/>
        <w:outlineLvl w:val="0"/>
        <w:rPr>
          <w:rFonts w:hint="eastAsia" w:ascii="仿宋" w:hAnsi="仿宋" w:eastAsia="仿宋" w:cs="仿宋"/>
          <w:b/>
          <w:color w:val="auto"/>
          <w:sz w:val="24"/>
        </w:rPr>
      </w:pPr>
      <w:bookmarkStart w:id="497" w:name="_Toc10366"/>
      <w:bookmarkStart w:id="498" w:name="_Toc15237"/>
      <w:bookmarkStart w:id="499" w:name="_Toc22955"/>
      <w:r>
        <w:rPr>
          <w:rFonts w:hint="eastAsia" w:ascii="仿宋" w:hAnsi="仿宋" w:eastAsia="仿宋" w:cs="仿宋"/>
          <w:b/>
          <w:color w:val="auto"/>
          <w:sz w:val="24"/>
        </w:rPr>
        <w:t>2.11 合同转让</w:t>
      </w:r>
      <w:bookmarkEnd w:id="494"/>
      <w:bookmarkEnd w:id="495"/>
      <w:bookmarkEnd w:id="496"/>
      <w:r>
        <w:rPr>
          <w:rFonts w:hint="eastAsia" w:ascii="仿宋" w:hAnsi="仿宋" w:eastAsia="仿宋" w:cs="仿宋"/>
          <w:b/>
          <w:color w:val="auto"/>
          <w:sz w:val="24"/>
        </w:rPr>
        <w:t>和分包</w:t>
      </w:r>
      <w:bookmarkEnd w:id="497"/>
      <w:bookmarkEnd w:id="498"/>
      <w:bookmarkEnd w:id="499"/>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2.11.2乙方采取分包方式履行合同的，甲方可直接向分包供应商支付款项。</w:t>
      </w:r>
    </w:p>
    <w:p>
      <w:pPr>
        <w:spacing w:line="360" w:lineRule="auto"/>
        <w:ind w:firstLine="482" w:firstLineChars="200"/>
        <w:outlineLvl w:val="0"/>
        <w:rPr>
          <w:rFonts w:hint="eastAsia" w:ascii="仿宋" w:hAnsi="仿宋" w:eastAsia="仿宋" w:cs="仿宋"/>
          <w:b/>
          <w:color w:val="auto"/>
          <w:sz w:val="24"/>
        </w:rPr>
      </w:pPr>
      <w:bookmarkStart w:id="500" w:name="_Toc16508"/>
      <w:bookmarkStart w:id="501" w:name="_Toc13566"/>
      <w:bookmarkStart w:id="502" w:name="_Toc14066"/>
      <w:r>
        <w:rPr>
          <w:rFonts w:hint="eastAsia" w:ascii="仿宋" w:hAnsi="仿宋" w:eastAsia="仿宋" w:cs="仿宋"/>
          <w:b/>
          <w:color w:val="auto"/>
          <w:sz w:val="24"/>
        </w:rPr>
        <w:t>2.12 不可抗力</w:t>
      </w:r>
      <w:bookmarkEnd w:id="500"/>
      <w:bookmarkEnd w:id="501"/>
      <w:bookmarkEnd w:id="502"/>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2.12.1如果任何一方遭遇法律规定的不可抗力，致使合同履行受阻时，履行合同的期限应予延长，延长的期限应相当于不可抗力所影响的时间；</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2.12.2 因不可抗力致使不能实现合同目的的，当事人可以解除合同；</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2.12.3 因不可抗力致使合同有变更必要的，双方当事人应在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约定时间内以书面形式变更合同；</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2.12.4受不可抗力影响的一方在不可抗力发生后，应在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约定时间内以书面形式通知对方当事人，并在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约定时间内，将有关部门出具的证明文件送达对方当事人。</w:t>
      </w:r>
    </w:p>
    <w:p>
      <w:pPr>
        <w:spacing w:line="360" w:lineRule="auto"/>
        <w:ind w:firstLine="482" w:firstLineChars="200"/>
        <w:outlineLvl w:val="0"/>
        <w:rPr>
          <w:rFonts w:hint="eastAsia" w:ascii="仿宋" w:hAnsi="仿宋" w:eastAsia="仿宋" w:cs="仿宋"/>
          <w:b/>
          <w:color w:val="auto"/>
          <w:sz w:val="24"/>
        </w:rPr>
      </w:pPr>
      <w:bookmarkStart w:id="503" w:name="_Toc259093684"/>
      <w:bookmarkStart w:id="504" w:name="_Toc279701255"/>
      <w:bookmarkStart w:id="505" w:name="_Toc6969"/>
      <w:bookmarkStart w:id="506" w:name="_Toc689"/>
      <w:bookmarkStart w:id="507" w:name="_Toc30676"/>
      <w:bookmarkStart w:id="508" w:name="_Toc487900365"/>
      <w:r>
        <w:rPr>
          <w:rFonts w:hint="eastAsia" w:ascii="仿宋" w:hAnsi="仿宋" w:eastAsia="仿宋" w:cs="仿宋"/>
          <w:b/>
          <w:color w:val="auto"/>
          <w:sz w:val="24"/>
        </w:rPr>
        <w:t>2.13 税费</w:t>
      </w:r>
      <w:bookmarkEnd w:id="503"/>
      <w:bookmarkEnd w:id="504"/>
      <w:bookmarkEnd w:id="505"/>
      <w:bookmarkEnd w:id="506"/>
      <w:bookmarkEnd w:id="507"/>
      <w:bookmarkEnd w:id="508"/>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与合同有关的一切税费，均按照中华人民共和国法律的相关规定。</w:t>
      </w:r>
    </w:p>
    <w:p>
      <w:pPr>
        <w:spacing w:line="360" w:lineRule="auto"/>
        <w:ind w:firstLine="482" w:firstLineChars="200"/>
        <w:outlineLvl w:val="0"/>
        <w:rPr>
          <w:rFonts w:hint="eastAsia" w:ascii="仿宋" w:hAnsi="仿宋" w:eastAsia="仿宋" w:cs="仿宋"/>
          <w:b/>
          <w:color w:val="auto"/>
          <w:sz w:val="24"/>
        </w:rPr>
      </w:pPr>
      <w:bookmarkStart w:id="509" w:name="_Toc16959"/>
      <w:bookmarkStart w:id="510" w:name="_Toc8298"/>
      <w:bookmarkStart w:id="511" w:name="_Toc487900368"/>
      <w:bookmarkStart w:id="512" w:name="_Toc279701258"/>
      <w:bookmarkStart w:id="513" w:name="_Toc259093687"/>
      <w:bookmarkStart w:id="514" w:name="_Toc7102"/>
      <w:r>
        <w:rPr>
          <w:rFonts w:hint="eastAsia" w:ascii="仿宋" w:hAnsi="仿宋" w:eastAsia="仿宋" w:cs="仿宋"/>
          <w:b/>
          <w:color w:val="auto"/>
          <w:sz w:val="24"/>
        </w:rPr>
        <w:t>2.14乙方破产</w:t>
      </w:r>
      <w:bookmarkEnd w:id="509"/>
      <w:bookmarkEnd w:id="510"/>
      <w:bookmarkEnd w:id="511"/>
      <w:bookmarkEnd w:id="512"/>
      <w:bookmarkEnd w:id="513"/>
      <w:bookmarkEnd w:id="514"/>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hint="eastAsia" w:ascii="仿宋" w:hAnsi="仿宋" w:eastAsia="仿宋" w:cs="仿宋"/>
          <w:b/>
          <w:color w:val="auto"/>
          <w:sz w:val="24"/>
        </w:rPr>
      </w:pPr>
      <w:bookmarkStart w:id="515" w:name="_Toc29333"/>
      <w:bookmarkStart w:id="516" w:name="_Toc15387"/>
      <w:bookmarkStart w:id="517" w:name="_Toc6134"/>
      <w:r>
        <w:rPr>
          <w:rFonts w:hint="eastAsia" w:ascii="仿宋" w:hAnsi="仿宋" w:eastAsia="仿宋" w:cs="仿宋"/>
          <w:b/>
          <w:color w:val="auto"/>
          <w:sz w:val="24"/>
        </w:rPr>
        <w:t>2.15 合同中止、终止</w:t>
      </w:r>
      <w:bookmarkEnd w:id="515"/>
      <w:bookmarkEnd w:id="516"/>
      <w:bookmarkEnd w:id="517"/>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2.15.1 双方当事人不得擅自中止或者终止合同；</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2.15.2合同继续履行将损害国家利益和社会公共利益的，双方当事人应当中止或者终止合同。有过错的一方应当承担赔偿责任，双方当事人都有过错的，各自承担相应的责任。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outlineLvl w:val="0"/>
        <w:rPr>
          <w:rFonts w:hint="eastAsia" w:ascii="仿宋" w:hAnsi="仿宋" w:eastAsia="仿宋" w:cs="仿宋"/>
          <w:b/>
          <w:color w:val="auto"/>
          <w:sz w:val="24"/>
        </w:rPr>
      </w:pPr>
      <w:bookmarkStart w:id="518" w:name="_Toc6596"/>
      <w:bookmarkStart w:id="519" w:name="_Toc14563"/>
      <w:bookmarkStart w:id="520" w:name="_Toc1125"/>
      <w:r>
        <w:rPr>
          <w:rFonts w:hint="eastAsia" w:ascii="仿宋" w:hAnsi="仿宋" w:eastAsia="仿宋" w:cs="仿宋"/>
          <w:b/>
          <w:color w:val="auto"/>
          <w:sz w:val="24"/>
        </w:rPr>
        <w:t>2.16检验和验收</w:t>
      </w:r>
      <w:bookmarkEnd w:id="518"/>
      <w:bookmarkEnd w:id="519"/>
      <w:bookmarkEnd w:id="520"/>
    </w:p>
    <w:p>
      <w:pPr>
        <w:tabs>
          <w:tab w:val="left" w:pos="360"/>
          <w:tab w:val="left" w:pos="540"/>
          <w:tab w:val="left" w:pos="108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2.16.1货物交付前，乙方应对货物的质量、数量等方面进行详细、全面的检验，并向甲方出具证明货物符合合同约定的文件；货物交付时，乙方在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约定时间内组织验收，并可依法邀请相关方参加，验收应出具验收书。</w:t>
      </w:r>
    </w:p>
    <w:p>
      <w:pPr>
        <w:tabs>
          <w:tab w:val="left" w:pos="360"/>
          <w:tab w:val="left" w:pos="540"/>
          <w:tab w:val="left" w:pos="108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2.16.3 检验和验收标准、程序等具体内容以及前述验收书的效力详见</w:t>
      </w:r>
      <w:r>
        <w:rPr>
          <w:rFonts w:hint="eastAsia" w:ascii="仿宋" w:hAnsi="仿宋" w:eastAsia="仿宋" w:cs="仿宋"/>
          <w:b/>
          <w:i/>
          <w:color w:val="auto"/>
          <w:sz w:val="24"/>
          <w:u w:val="single"/>
        </w:rPr>
        <w:t>合同专用条款</w:t>
      </w:r>
      <w:r>
        <w:rPr>
          <w:rFonts w:hint="eastAsia" w:ascii="仿宋" w:hAnsi="仿宋" w:eastAsia="仿宋" w:cs="仿宋"/>
          <w:i/>
          <w:color w:val="auto"/>
          <w:sz w:val="24"/>
        </w:rPr>
        <w:t>。</w:t>
      </w:r>
    </w:p>
    <w:bookmarkEnd w:id="490"/>
    <w:bookmarkEnd w:id="491"/>
    <w:bookmarkEnd w:id="492"/>
    <w:bookmarkEnd w:id="493"/>
    <w:p>
      <w:pPr>
        <w:spacing w:line="360" w:lineRule="auto"/>
        <w:ind w:firstLine="482" w:firstLineChars="200"/>
        <w:outlineLvl w:val="0"/>
        <w:rPr>
          <w:rFonts w:hint="eastAsia" w:ascii="仿宋" w:hAnsi="仿宋" w:eastAsia="仿宋" w:cs="仿宋"/>
          <w:b/>
          <w:color w:val="auto"/>
          <w:sz w:val="24"/>
        </w:rPr>
      </w:pPr>
      <w:bookmarkStart w:id="521" w:name="_Toc259093690"/>
      <w:bookmarkStart w:id="522" w:name="_Toc279701261"/>
      <w:bookmarkStart w:id="523" w:name="_Toc487900371"/>
      <w:bookmarkStart w:id="524" w:name="_Toc19604"/>
      <w:bookmarkStart w:id="525" w:name="_Toc25182"/>
      <w:bookmarkStart w:id="526" w:name="_Toc11284"/>
      <w:r>
        <w:rPr>
          <w:rFonts w:hint="eastAsia" w:ascii="仿宋" w:hAnsi="仿宋" w:eastAsia="仿宋" w:cs="仿宋"/>
          <w:b/>
          <w:color w:val="auto"/>
          <w:sz w:val="24"/>
        </w:rPr>
        <w:t>2.17 通知</w:t>
      </w:r>
      <w:bookmarkEnd w:id="521"/>
      <w:bookmarkEnd w:id="522"/>
      <w:bookmarkEnd w:id="523"/>
      <w:r>
        <w:rPr>
          <w:rFonts w:hint="eastAsia" w:ascii="仿宋" w:hAnsi="仿宋" w:eastAsia="仿宋" w:cs="仿宋"/>
          <w:b/>
          <w:color w:val="auto"/>
          <w:sz w:val="24"/>
        </w:rPr>
        <w:t>和送达</w:t>
      </w:r>
      <w:bookmarkEnd w:id="524"/>
      <w:bookmarkEnd w:id="525"/>
      <w:bookmarkEnd w:id="526"/>
    </w:p>
    <w:p>
      <w:pPr>
        <w:spacing w:line="360" w:lineRule="auto"/>
        <w:ind w:firstLine="480" w:firstLineChars="200"/>
        <w:rPr>
          <w:rFonts w:hint="eastAsia" w:ascii="仿宋" w:hAnsi="仿宋" w:eastAsia="仿宋" w:cs="仿宋"/>
          <w:color w:val="auto"/>
          <w:sz w:val="24"/>
        </w:rPr>
      </w:pPr>
      <w:bookmarkStart w:id="527" w:name="_Toc3135"/>
      <w:bookmarkStart w:id="528" w:name="_Toc6698"/>
      <w:bookmarkStart w:id="529" w:name="_Toc259093691"/>
      <w:bookmarkStart w:id="530" w:name="_Toc279701262"/>
      <w:bookmarkStart w:id="531" w:name="_Toc487900372"/>
      <w:r>
        <w:rPr>
          <w:rFonts w:hint="eastAsia" w:ascii="仿宋" w:hAnsi="仿宋" w:eastAsia="仿宋" w:cs="仿宋"/>
          <w:color w:val="auto"/>
          <w:sz w:val="24"/>
        </w:rPr>
        <w:t xml:space="preserve">2.17.1任何一方因履行合同而以合同第一部分尾部所列明的传真或电子邮件 </w:t>
      </w:r>
      <w:r>
        <w:rPr>
          <w:rFonts w:hint="eastAsia" w:ascii="仿宋" w:hAnsi="仿宋" w:eastAsia="仿宋" w:cs="仿宋"/>
          <w:color w:val="auto"/>
          <w:sz w:val="24"/>
          <w:u w:val="single"/>
        </w:rPr>
        <w:t xml:space="preserve">       </w:t>
      </w:r>
      <w:r>
        <w:rPr>
          <w:rFonts w:hint="eastAsia" w:ascii="仿宋" w:hAnsi="仿宋" w:eastAsia="仿宋" w:cs="仿宋"/>
          <w:color w:val="auto"/>
          <w:sz w:val="24"/>
        </w:rPr>
        <w:t>发出的所有通知、文件、材料，均视为已向对方当事人送达；任何一方变更上述送达方式或者地址的，应于</w:t>
      </w:r>
      <w:r>
        <w:rPr>
          <w:rFonts w:hint="eastAsia" w:ascii="仿宋" w:hAnsi="仿宋" w:eastAsia="仿宋" w:cs="仿宋"/>
          <w:color w:val="auto"/>
          <w:sz w:val="24"/>
          <w:u w:val="single"/>
        </w:rPr>
        <w:t>3</w:t>
      </w:r>
      <w:r>
        <w:rPr>
          <w:rFonts w:hint="eastAsia" w:ascii="仿宋" w:hAnsi="仿宋" w:eastAsia="仿宋" w:cs="仿宋"/>
          <w:color w:val="auto"/>
          <w:sz w:val="24"/>
        </w:rPr>
        <w:t>个工作日内书面通知对方当事人，在对方当事人收到有关变更通知之前，变更前的约定送达方式或者地址仍视为有效。</w:t>
      </w:r>
      <w:bookmarkEnd w:id="527"/>
      <w:bookmarkEnd w:id="528"/>
    </w:p>
    <w:p>
      <w:pPr>
        <w:spacing w:line="360" w:lineRule="auto"/>
        <w:ind w:firstLine="480" w:firstLineChars="200"/>
        <w:rPr>
          <w:rFonts w:hint="eastAsia" w:ascii="仿宋" w:hAnsi="仿宋" w:eastAsia="仿宋" w:cs="仿宋"/>
          <w:color w:val="auto"/>
          <w:sz w:val="24"/>
        </w:rPr>
      </w:pPr>
      <w:bookmarkStart w:id="532" w:name="_Toc23128"/>
      <w:bookmarkStart w:id="533" w:name="_Toc23294"/>
      <w:r>
        <w:rPr>
          <w:rFonts w:hint="eastAsia" w:ascii="仿宋" w:hAnsi="仿宋" w:eastAsia="仿宋" w:cs="仿宋"/>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2"/>
      <w:bookmarkEnd w:id="533"/>
    </w:p>
    <w:p>
      <w:pPr>
        <w:spacing w:line="360" w:lineRule="auto"/>
        <w:ind w:firstLine="482" w:firstLineChars="200"/>
        <w:outlineLvl w:val="0"/>
        <w:rPr>
          <w:rFonts w:hint="eastAsia" w:ascii="仿宋" w:hAnsi="仿宋" w:eastAsia="仿宋" w:cs="仿宋"/>
          <w:b/>
          <w:color w:val="auto"/>
          <w:sz w:val="24"/>
        </w:rPr>
      </w:pPr>
      <w:bookmarkStart w:id="534" w:name="_Toc30599"/>
      <w:bookmarkStart w:id="535" w:name="_Toc4355"/>
      <w:bookmarkStart w:id="536" w:name="_Toc18540"/>
      <w:r>
        <w:rPr>
          <w:rFonts w:hint="eastAsia" w:ascii="仿宋" w:hAnsi="仿宋" w:eastAsia="仿宋" w:cs="仿宋"/>
          <w:b/>
          <w:color w:val="auto"/>
          <w:sz w:val="24"/>
        </w:rPr>
        <w:t>2.18 计量单位</w:t>
      </w:r>
      <w:bookmarkEnd w:id="529"/>
      <w:bookmarkEnd w:id="530"/>
      <w:bookmarkEnd w:id="531"/>
      <w:bookmarkEnd w:id="534"/>
      <w:bookmarkEnd w:id="535"/>
      <w:bookmarkEnd w:id="536"/>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除技术规范中另有规定外,合同的计量单位均使用国家法定计量单位。</w:t>
      </w:r>
    </w:p>
    <w:p>
      <w:pPr>
        <w:spacing w:line="360" w:lineRule="auto"/>
        <w:ind w:firstLine="482" w:firstLineChars="200"/>
        <w:outlineLvl w:val="0"/>
        <w:rPr>
          <w:rFonts w:hint="eastAsia" w:ascii="仿宋" w:hAnsi="仿宋" w:eastAsia="仿宋" w:cs="仿宋"/>
          <w:b/>
          <w:color w:val="auto"/>
          <w:sz w:val="24"/>
        </w:rPr>
      </w:pPr>
      <w:bookmarkStart w:id="537" w:name="_Toc259093692"/>
      <w:bookmarkStart w:id="538" w:name="_Toc487900373"/>
      <w:bookmarkStart w:id="539" w:name="_Toc18567"/>
      <w:bookmarkStart w:id="540" w:name="_Toc12773"/>
      <w:bookmarkStart w:id="541" w:name="_Toc279701263"/>
      <w:bookmarkStart w:id="542" w:name="_Toc10330"/>
      <w:r>
        <w:rPr>
          <w:rFonts w:hint="eastAsia" w:ascii="仿宋" w:hAnsi="仿宋" w:eastAsia="仿宋" w:cs="仿宋"/>
          <w:b/>
          <w:color w:val="auto"/>
          <w:sz w:val="24"/>
        </w:rPr>
        <w:t>2.19 合同使用的文字和适用的法律</w:t>
      </w:r>
      <w:bookmarkEnd w:id="537"/>
      <w:bookmarkEnd w:id="538"/>
      <w:bookmarkEnd w:id="539"/>
      <w:bookmarkEnd w:id="540"/>
      <w:bookmarkEnd w:id="541"/>
      <w:bookmarkEnd w:id="542"/>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2.19.1 合同使用汉语书就、变更和解释；</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2.19.2 合同适用中华人民共和国法律。</w:t>
      </w:r>
    </w:p>
    <w:p>
      <w:pPr>
        <w:spacing w:line="360" w:lineRule="auto"/>
        <w:ind w:firstLine="482" w:firstLineChars="200"/>
        <w:outlineLvl w:val="0"/>
        <w:rPr>
          <w:rFonts w:hint="eastAsia" w:ascii="仿宋" w:hAnsi="仿宋" w:eastAsia="仿宋" w:cs="仿宋"/>
          <w:b/>
          <w:color w:val="auto"/>
          <w:sz w:val="24"/>
        </w:rPr>
      </w:pPr>
      <w:bookmarkStart w:id="543" w:name="_Toc16673"/>
      <w:bookmarkStart w:id="544" w:name="_Toc3148"/>
      <w:bookmarkStart w:id="545" w:name="_Toc12004"/>
      <w:bookmarkStart w:id="546" w:name="_Toc279701264"/>
      <w:bookmarkStart w:id="547" w:name="_Toc259093693"/>
      <w:bookmarkStart w:id="548" w:name="_Toc487900374"/>
      <w:r>
        <w:rPr>
          <w:rFonts w:hint="eastAsia" w:ascii="仿宋" w:hAnsi="仿宋" w:eastAsia="仿宋" w:cs="仿宋"/>
          <w:b/>
          <w:color w:val="auto"/>
          <w:sz w:val="24"/>
        </w:rPr>
        <w:t>2.20 履约保证金</w:t>
      </w:r>
      <w:bookmarkEnd w:id="543"/>
      <w:bookmarkEnd w:id="544"/>
      <w:bookmarkEnd w:id="545"/>
      <w:bookmarkEnd w:id="546"/>
      <w:bookmarkEnd w:id="547"/>
    </w:p>
    <w:p>
      <w:pPr>
        <w:pStyle w:val="958"/>
        <w:spacing w:before="0" w:beforeAutospacing="0" w:after="0" w:afterAutospacing="0" w:line="360" w:lineRule="auto"/>
        <w:ind w:firstLine="420"/>
        <w:rPr>
          <w:rFonts w:hint="eastAsia" w:ascii="仿宋" w:hAnsi="仿宋" w:eastAsia="仿宋" w:cs="仿宋"/>
          <w:color w:val="auto"/>
        </w:rPr>
      </w:pPr>
      <w:r>
        <w:rPr>
          <w:rFonts w:hint="eastAsia" w:ascii="仿宋" w:hAnsi="仿宋" w:eastAsia="仿宋" w:cs="仿宋"/>
          <w:color w:val="auto"/>
        </w:rPr>
        <w:t>2.20.1采购文件要求乙方提交履约保证金的，乙方应按</w:t>
      </w:r>
      <w:r>
        <w:rPr>
          <w:rFonts w:hint="eastAsia" w:ascii="仿宋" w:hAnsi="仿宋" w:eastAsia="仿宋" w:cs="仿宋"/>
          <w:b/>
          <w:i/>
          <w:color w:val="auto"/>
          <w:u w:val="single"/>
        </w:rPr>
        <w:t>合同专用条款</w:t>
      </w:r>
      <w:r>
        <w:rPr>
          <w:rFonts w:hint="eastAsia" w:ascii="仿宋" w:hAnsi="仿宋" w:eastAsia="仿宋" w:cs="仿宋"/>
          <w:color w:val="auto"/>
        </w:rPr>
        <w:t>约定的方式，以支票、汇票、本票或者金融机构、担保机构出具的保函等非现金形式，提交不超过合同金额1%的履约保证金；鼓励和支持乙方以银行、保险公司出具的保函形式提供履约保证。</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2.20.2履约保证金在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约定期间内不予退还。乙方在前述约定期间届满前能履行完合同约定义务事项的，甲方在前述约定期间届满之日起</w:t>
      </w:r>
      <w:r>
        <w:rPr>
          <w:rFonts w:hint="eastAsia" w:ascii="仿宋" w:hAnsi="仿宋" w:eastAsia="仿宋" w:cs="仿宋"/>
          <w:color w:val="auto"/>
          <w:sz w:val="24"/>
          <w:u w:val="single"/>
        </w:rPr>
        <w:t xml:space="preserve"> 5 </w:t>
      </w:r>
      <w:r>
        <w:rPr>
          <w:rFonts w:hint="eastAsia" w:ascii="仿宋" w:hAnsi="仿宋" w:eastAsia="仿宋" w:cs="仿宋"/>
          <w:color w:val="auto"/>
          <w:sz w:val="24"/>
        </w:rPr>
        <w:t>个工作日内，按</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约定的方式将履约保证金退还乙方，逾期退还的，乙方可要求甲方支付违约金，违约金按每迟延退还一日的应退还而未退还金额的</w:t>
      </w:r>
      <w:r>
        <w:rPr>
          <w:rFonts w:hint="eastAsia" w:ascii="仿宋" w:hAnsi="仿宋" w:eastAsia="仿宋" w:cs="仿宋"/>
          <w:color w:val="auto"/>
          <w:sz w:val="24"/>
          <w:u w:val="single"/>
        </w:rPr>
        <w:t xml:space="preserve">  0.05  </w:t>
      </w:r>
      <w:r>
        <w:rPr>
          <w:rFonts w:hint="eastAsia" w:ascii="仿宋" w:hAnsi="仿宋" w:eastAsia="仿宋" w:cs="仿宋"/>
          <w:color w:val="auto"/>
          <w:sz w:val="24"/>
        </w:rPr>
        <w:t>%计算，最高限额为本合同履约保证金的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 xml:space="preserve">%；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2.20.3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2.20.4甲方根据杭州市政府采购网公布的供应商履约评价情况减免履约保证金。乙方履约验收评价总分为100分的，甲方免收履约保证金；评价总分在90分以上的，收取履约保证金为合同金额0.5%；评价总分在不满90分或者暂无评分的，收取履约保证金为合同金额1%。</w:t>
      </w:r>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rPr>
        <w:t>2.20.5甲方在乙方履行完合同约定义务事项后及时退还，延迟退还的，应当按照合同约定和法律规定承担相应的赔偿责任。</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2.21对于因甲方原因导致变更、中止或者终止政府采购合同的，甲方应当依照合同约定对供应商受到的损失予以赔偿或者补偿。</w:t>
      </w:r>
    </w:p>
    <w:bookmarkEnd w:id="548"/>
    <w:p>
      <w:pPr>
        <w:spacing w:line="360" w:lineRule="auto"/>
        <w:ind w:firstLine="482" w:firstLineChars="200"/>
        <w:outlineLvl w:val="0"/>
        <w:rPr>
          <w:rFonts w:hint="eastAsia" w:ascii="仿宋" w:hAnsi="仿宋" w:eastAsia="仿宋" w:cs="仿宋"/>
          <w:b/>
          <w:color w:val="auto"/>
          <w:sz w:val="24"/>
        </w:rPr>
      </w:pPr>
      <w:bookmarkStart w:id="549" w:name="_Toc19890"/>
      <w:bookmarkStart w:id="550" w:name="_Toc14001"/>
      <w:bookmarkStart w:id="551" w:name="_Toc6885"/>
      <w:r>
        <w:rPr>
          <w:rFonts w:hint="eastAsia" w:ascii="仿宋" w:hAnsi="仿宋" w:eastAsia="仿宋" w:cs="仿宋"/>
          <w:b/>
          <w:color w:val="auto"/>
          <w:sz w:val="24"/>
        </w:rPr>
        <w:t>2.22合同份数</w:t>
      </w:r>
      <w:bookmarkEnd w:id="549"/>
      <w:bookmarkEnd w:id="550"/>
      <w:bookmarkEnd w:id="551"/>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合同份数按</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规定，每份均具有同等法律效力。</w:t>
      </w:r>
    </w:p>
    <w:p>
      <w:pPr>
        <w:pStyle w:val="700"/>
        <w:spacing w:line="560" w:lineRule="exact"/>
        <w:jc w:val="center"/>
        <w:rPr>
          <w:rFonts w:hint="eastAsia" w:ascii="仿宋" w:hAnsi="仿宋" w:eastAsia="仿宋" w:cs="仿宋"/>
          <w:b/>
          <w:color w:val="auto"/>
          <w:szCs w:val="24"/>
        </w:rPr>
      </w:pPr>
      <w:r>
        <w:rPr>
          <w:rFonts w:hint="eastAsia" w:ascii="仿宋" w:hAnsi="仿宋" w:eastAsia="仿宋" w:cs="仿宋"/>
          <w:color w:val="auto"/>
          <w:kern w:val="0"/>
          <w:szCs w:val="24"/>
        </w:rPr>
        <w:br w:type="page"/>
      </w:r>
      <w:bookmarkStart w:id="552" w:name="_Toc331685784"/>
      <w:r>
        <w:rPr>
          <w:rFonts w:hint="eastAsia" w:ascii="仿宋" w:hAnsi="仿宋" w:eastAsia="仿宋" w:cs="仿宋"/>
          <w:b/>
          <w:color w:val="auto"/>
          <w:szCs w:val="24"/>
        </w:rPr>
        <w:t xml:space="preserve"> </w:t>
      </w:r>
      <w:bookmarkEnd w:id="552"/>
      <w:r>
        <w:rPr>
          <w:rFonts w:hint="eastAsia" w:ascii="仿宋" w:hAnsi="仿宋" w:eastAsia="仿宋" w:cs="仿宋"/>
          <w:b/>
          <w:color w:val="auto"/>
          <w:szCs w:val="24"/>
        </w:rPr>
        <w:t>第三部分  合同专用条款</w:t>
      </w:r>
    </w:p>
    <w:p>
      <w:pPr>
        <w:spacing w:line="560" w:lineRule="exact"/>
        <w:ind w:left="-420" w:leftChars="-200" w:right="-420" w:rightChars="-200" w:firstLine="480" w:firstLineChars="200"/>
        <w:rPr>
          <w:rFonts w:hint="eastAsia" w:ascii="仿宋" w:hAnsi="仿宋" w:eastAsia="仿宋" w:cs="仿宋"/>
          <w:color w:val="auto"/>
        </w:rPr>
      </w:pPr>
      <w:r>
        <w:rPr>
          <w:rFonts w:hint="eastAsia" w:ascii="仿宋" w:hAnsi="仿宋" w:eastAsia="仿宋" w:cs="仿宋"/>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25"/>
        <w:gridCol w:w="83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25" w:type="dxa"/>
            <w:tcBorders>
              <w:left w:val="single" w:color="auto" w:sz="4" w:space="0"/>
            </w:tcBorders>
            <w:vAlign w:val="center"/>
          </w:tcPr>
          <w:p>
            <w:pPr>
              <w:jc w:val="center"/>
              <w:rPr>
                <w:rFonts w:hint="eastAsia" w:ascii="仿宋" w:hAnsi="仿宋" w:eastAsia="仿宋" w:cs="仿宋"/>
                <w:b/>
                <w:color w:val="auto"/>
                <w:sz w:val="24"/>
              </w:rPr>
            </w:pPr>
            <w:r>
              <w:rPr>
                <w:rFonts w:hint="eastAsia" w:ascii="仿宋" w:hAnsi="仿宋" w:eastAsia="仿宋" w:cs="仿宋"/>
                <w:b/>
                <w:color w:val="auto"/>
                <w:sz w:val="24"/>
              </w:rPr>
              <w:t>条款号</w:t>
            </w:r>
          </w:p>
        </w:tc>
        <w:tc>
          <w:tcPr>
            <w:tcW w:w="8301" w:type="dxa"/>
            <w:vAlign w:val="center"/>
          </w:tcPr>
          <w:p>
            <w:pPr>
              <w:jc w:val="center"/>
              <w:rPr>
                <w:rFonts w:hint="eastAsia" w:ascii="仿宋" w:hAnsi="仿宋" w:eastAsia="仿宋" w:cs="仿宋"/>
                <w:b/>
                <w:color w:val="auto"/>
                <w:sz w:val="24"/>
              </w:rPr>
            </w:pPr>
            <w:r>
              <w:rPr>
                <w:rFonts w:hint="eastAsia" w:ascii="仿宋" w:hAnsi="仿宋" w:eastAsia="仿宋" w:cs="仿宋"/>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23" w:hRule="atLeast"/>
        </w:trPr>
        <w:tc>
          <w:tcPr>
            <w:tcW w:w="825" w:type="dxa"/>
            <w:tcBorders>
              <w:left w:val="single" w:color="auto" w:sz="4" w:space="0"/>
            </w:tcBorders>
            <w:vAlign w:val="center"/>
          </w:tcPr>
          <w:p>
            <w:pPr>
              <w:rPr>
                <w:rFonts w:hint="eastAsia" w:ascii="仿宋" w:hAnsi="仿宋" w:eastAsia="仿宋" w:cs="仿宋"/>
                <w:color w:val="auto"/>
                <w:sz w:val="24"/>
              </w:rPr>
            </w:pPr>
            <w:r>
              <w:rPr>
                <w:rFonts w:hint="eastAsia" w:ascii="仿宋" w:hAnsi="仿宋" w:eastAsia="仿宋" w:cs="仿宋"/>
                <w:color w:val="auto"/>
                <w:sz w:val="24"/>
              </w:rPr>
              <w:t>1.4.4</w:t>
            </w:r>
          </w:p>
        </w:tc>
        <w:tc>
          <w:tcPr>
            <w:tcW w:w="8301" w:type="dxa"/>
            <w:vAlign w:val="center"/>
          </w:tcPr>
          <w:p>
            <w:pPr>
              <w:widowControl/>
              <w:autoSpaceDE w:val="0"/>
              <w:autoSpaceDN w:val="0"/>
              <w:spacing w:line="480" w:lineRule="exact"/>
              <w:textAlignment w:val="bottom"/>
              <w:rPr>
                <w:rFonts w:hint="eastAsia" w:ascii="仿宋" w:hAnsi="仿宋" w:eastAsia="仿宋" w:cs="仿宋"/>
                <w:color w:val="auto"/>
                <w:kern w:val="0"/>
                <w:sz w:val="24"/>
              </w:rPr>
            </w:pPr>
            <w:r>
              <w:rPr>
                <w:rFonts w:hint="eastAsia" w:ascii="仿宋" w:hAnsi="仿宋" w:eastAsia="仿宋" w:cs="仿宋"/>
                <w:color w:val="auto"/>
                <w:kern w:val="0"/>
                <w:sz w:val="24"/>
              </w:rPr>
              <w:t>（1）签订合同后7个工作日内支付合同价的50%预付款（供应商需提供相应金额的预付款保函至采购单位）；</w:t>
            </w:r>
          </w:p>
          <w:p>
            <w:pPr>
              <w:widowControl/>
              <w:autoSpaceDE w:val="0"/>
              <w:autoSpaceDN w:val="0"/>
              <w:spacing w:line="480" w:lineRule="exact"/>
              <w:textAlignment w:val="bottom"/>
              <w:rPr>
                <w:rFonts w:hint="eastAsia" w:ascii="仿宋" w:hAnsi="仿宋" w:eastAsia="仿宋" w:cs="仿宋"/>
                <w:color w:val="auto"/>
                <w:kern w:val="0"/>
                <w:sz w:val="24"/>
              </w:rPr>
            </w:pPr>
            <w:r>
              <w:rPr>
                <w:rFonts w:hint="eastAsia" w:ascii="仿宋" w:hAnsi="仿宋" w:eastAsia="仿宋" w:cs="仿宋"/>
                <w:color w:val="auto"/>
                <w:kern w:val="0"/>
                <w:sz w:val="24"/>
              </w:rPr>
              <w:t>（2）供货</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安装完成</w:t>
            </w:r>
            <w:r>
              <w:rPr>
                <w:rFonts w:hint="eastAsia" w:ascii="仿宋" w:hAnsi="仿宋" w:eastAsia="仿宋" w:cs="仿宋"/>
                <w:color w:val="auto"/>
                <w:kern w:val="0"/>
                <w:sz w:val="24"/>
                <w:lang w:val="en-US" w:eastAsia="zh-CN"/>
              </w:rPr>
              <w:t>且</w:t>
            </w:r>
            <w:r>
              <w:rPr>
                <w:rFonts w:hint="eastAsia" w:ascii="仿宋" w:hAnsi="仿宋" w:eastAsia="仿宋" w:cs="仿宋"/>
                <w:color w:val="auto"/>
                <w:kern w:val="0"/>
                <w:sz w:val="24"/>
              </w:rPr>
              <w:t>接入</w:t>
            </w:r>
            <w:r>
              <w:rPr>
                <w:rFonts w:hint="eastAsia" w:ascii="仿宋" w:hAnsi="仿宋" w:eastAsia="仿宋" w:cs="仿宋"/>
                <w:color w:val="auto"/>
                <w:kern w:val="0"/>
                <w:sz w:val="24"/>
                <w:lang w:val="en-US" w:eastAsia="zh-CN"/>
              </w:rPr>
              <w:t>浙江</w:t>
            </w:r>
            <w:r>
              <w:rPr>
                <w:rFonts w:hint="eastAsia" w:ascii="仿宋" w:hAnsi="仿宋" w:eastAsia="仿宋" w:cs="仿宋"/>
                <w:color w:val="auto"/>
                <w:kern w:val="0"/>
                <w:sz w:val="24"/>
              </w:rPr>
              <w:t>省</w:t>
            </w:r>
            <w:r>
              <w:rPr>
                <w:rFonts w:hint="eastAsia" w:ascii="仿宋" w:hAnsi="仿宋" w:eastAsia="仿宋" w:cs="仿宋"/>
                <w:color w:val="auto"/>
                <w:kern w:val="0"/>
                <w:sz w:val="24"/>
                <w:lang w:val="en-US" w:eastAsia="zh-CN"/>
              </w:rPr>
              <w:t>口腔诊疗机构监督在线</w:t>
            </w:r>
            <w:r>
              <w:rPr>
                <w:rFonts w:hint="eastAsia" w:ascii="仿宋" w:hAnsi="仿宋" w:eastAsia="仿宋" w:cs="仿宋"/>
                <w:color w:val="auto"/>
                <w:kern w:val="0"/>
                <w:sz w:val="24"/>
              </w:rPr>
              <w:t>经验收合格后5个工作日内支付合同价的50%。</w:t>
            </w:r>
          </w:p>
          <w:p>
            <w:pPr>
              <w:widowControl/>
              <w:autoSpaceDE w:val="0"/>
              <w:autoSpaceDN w:val="0"/>
              <w:spacing w:line="480" w:lineRule="exact"/>
              <w:textAlignment w:val="bottom"/>
              <w:rPr>
                <w:rFonts w:hint="eastAsia" w:ascii="仿宋" w:hAnsi="仿宋" w:eastAsia="仿宋" w:cs="仿宋"/>
                <w:color w:val="auto"/>
                <w:sz w:val="24"/>
              </w:rPr>
            </w:pPr>
            <w:r>
              <w:rPr>
                <w:rFonts w:hint="eastAsia" w:ascii="仿宋" w:hAnsi="仿宋" w:eastAsia="仿宋" w:cs="仿宋"/>
                <w:color w:val="auto"/>
                <w:kern w:val="0"/>
                <w:sz w:val="24"/>
              </w:rPr>
              <w:t>结算时供应商将结款申请1份、发票原件及复印件1份、合同复印件1份和经采购单位验收确认的《建德市政府采购验收反馈表》（还需提供验收报告）提交采购单位，采购单位应自收到发票后5个工作日内支付相应款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25" w:type="dxa"/>
            <w:tcBorders>
              <w:left w:val="single" w:color="auto" w:sz="4" w:space="0"/>
            </w:tcBorders>
            <w:vAlign w:val="center"/>
          </w:tcPr>
          <w:p>
            <w:pPr>
              <w:rPr>
                <w:rFonts w:hint="eastAsia" w:ascii="仿宋" w:hAnsi="仿宋" w:eastAsia="仿宋" w:cs="仿宋"/>
                <w:color w:val="auto"/>
                <w:sz w:val="24"/>
              </w:rPr>
            </w:pPr>
            <w:r>
              <w:rPr>
                <w:rFonts w:hint="eastAsia" w:ascii="仿宋" w:hAnsi="仿宋" w:eastAsia="仿宋" w:cs="仿宋"/>
                <w:color w:val="auto"/>
                <w:sz w:val="24"/>
              </w:rPr>
              <w:t xml:space="preserve">1.5.1 </w:t>
            </w:r>
          </w:p>
        </w:tc>
        <w:tc>
          <w:tcPr>
            <w:tcW w:w="8301" w:type="dxa"/>
            <w:vAlign w:val="center"/>
          </w:tcPr>
          <w:p>
            <w:pPr>
              <w:widowControl/>
              <w:autoSpaceDE w:val="0"/>
              <w:autoSpaceDN w:val="0"/>
              <w:spacing w:line="480" w:lineRule="exact"/>
              <w:textAlignment w:val="bottom"/>
              <w:rPr>
                <w:rFonts w:hint="eastAsia" w:ascii="仿宋" w:hAnsi="仿宋" w:eastAsia="仿宋" w:cs="仿宋"/>
                <w:color w:val="auto"/>
                <w:kern w:val="0"/>
                <w:sz w:val="24"/>
              </w:rPr>
            </w:pPr>
            <w:r>
              <w:rPr>
                <w:rFonts w:hint="eastAsia" w:ascii="仿宋" w:hAnsi="仿宋" w:eastAsia="仿宋" w:cs="仿宋"/>
                <w:color w:val="auto"/>
                <w:kern w:val="0"/>
                <w:sz w:val="24"/>
              </w:rPr>
              <w:t>交付期限：乙方在签订合同后，必须在</w:t>
            </w:r>
            <w:r>
              <w:rPr>
                <w:rFonts w:hint="eastAsia" w:ascii="仿宋" w:hAnsi="仿宋" w:eastAsia="仿宋" w:cs="仿宋"/>
                <w:color w:val="auto"/>
                <w:kern w:val="0"/>
                <w:sz w:val="24"/>
                <w:lang w:val="en-US" w:eastAsia="zh-CN"/>
              </w:rPr>
              <w:t>2022年10月30日之前</w:t>
            </w:r>
            <w:r>
              <w:rPr>
                <w:rFonts w:hint="eastAsia" w:ascii="仿宋" w:hAnsi="仿宋" w:eastAsia="仿宋" w:cs="仿宋"/>
                <w:color w:val="auto"/>
                <w:kern w:val="0"/>
                <w:sz w:val="24"/>
              </w:rPr>
              <w:t>按采购单位要求完成交货、安装调试</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全部接入</w:t>
            </w:r>
            <w:r>
              <w:rPr>
                <w:rFonts w:hint="eastAsia" w:ascii="仿宋" w:hAnsi="仿宋" w:eastAsia="仿宋" w:cs="仿宋"/>
                <w:color w:val="auto"/>
                <w:kern w:val="0"/>
                <w:sz w:val="24"/>
                <w:lang w:val="en-US" w:eastAsia="zh-CN"/>
              </w:rPr>
              <w:t>浙江</w:t>
            </w:r>
            <w:r>
              <w:rPr>
                <w:rFonts w:hint="eastAsia" w:ascii="仿宋" w:hAnsi="仿宋" w:eastAsia="仿宋" w:cs="仿宋"/>
                <w:color w:val="auto"/>
                <w:kern w:val="0"/>
                <w:sz w:val="24"/>
              </w:rPr>
              <w:t>省</w:t>
            </w:r>
            <w:r>
              <w:rPr>
                <w:rFonts w:hint="eastAsia" w:ascii="仿宋" w:hAnsi="仿宋" w:eastAsia="仿宋" w:cs="仿宋"/>
                <w:color w:val="auto"/>
                <w:kern w:val="0"/>
                <w:sz w:val="24"/>
                <w:lang w:val="en-US" w:eastAsia="zh-CN"/>
              </w:rPr>
              <w:t>口腔诊疗机构监督在线</w:t>
            </w:r>
            <w:r>
              <w:rPr>
                <w:rFonts w:hint="eastAsia" w:ascii="仿宋" w:hAnsi="仿宋" w:eastAsia="仿宋" w:cs="仿宋"/>
                <w:color w:val="auto"/>
                <w:kern w:val="0"/>
                <w:sz w:val="24"/>
              </w:rPr>
              <w:t>并交付使用。如在规定的时间内由于乙方的原因不能送达货物并安装调试完成通过验收的</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未按要求</w:t>
            </w:r>
            <w:r>
              <w:rPr>
                <w:rFonts w:hint="eastAsia" w:ascii="仿宋" w:hAnsi="仿宋" w:eastAsia="仿宋" w:cs="仿宋"/>
                <w:color w:val="auto"/>
                <w:kern w:val="0"/>
                <w:sz w:val="24"/>
              </w:rPr>
              <w:t>全部接入</w:t>
            </w:r>
            <w:r>
              <w:rPr>
                <w:rFonts w:hint="eastAsia" w:ascii="仿宋" w:hAnsi="仿宋" w:eastAsia="仿宋" w:cs="仿宋"/>
                <w:color w:val="auto"/>
                <w:kern w:val="0"/>
                <w:sz w:val="24"/>
                <w:lang w:val="en-US" w:eastAsia="zh-CN"/>
              </w:rPr>
              <w:t>浙江</w:t>
            </w:r>
            <w:r>
              <w:rPr>
                <w:rFonts w:hint="eastAsia" w:ascii="仿宋" w:hAnsi="仿宋" w:eastAsia="仿宋" w:cs="仿宋"/>
                <w:color w:val="auto"/>
                <w:kern w:val="0"/>
                <w:sz w:val="24"/>
              </w:rPr>
              <w:t>省</w:t>
            </w:r>
            <w:r>
              <w:rPr>
                <w:rFonts w:hint="eastAsia" w:ascii="仿宋" w:hAnsi="仿宋" w:eastAsia="仿宋" w:cs="仿宋"/>
                <w:color w:val="auto"/>
                <w:kern w:val="0"/>
                <w:sz w:val="24"/>
                <w:lang w:val="en-US" w:eastAsia="zh-CN"/>
              </w:rPr>
              <w:t>口腔诊疗机构监督在线</w:t>
            </w:r>
            <w:r>
              <w:rPr>
                <w:rFonts w:hint="eastAsia" w:ascii="仿宋" w:hAnsi="仿宋" w:eastAsia="仿宋" w:cs="仿宋"/>
                <w:color w:val="auto"/>
                <w:kern w:val="0"/>
                <w:sz w:val="24"/>
              </w:rPr>
              <w:t>并交付使用</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，乙方应承担由此给甲方造成的损失。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25" w:type="dxa"/>
            <w:tcBorders>
              <w:left w:val="single" w:color="auto" w:sz="4" w:space="0"/>
            </w:tcBorders>
            <w:vAlign w:val="center"/>
          </w:tcPr>
          <w:p>
            <w:pPr>
              <w:rPr>
                <w:rFonts w:hint="eastAsia" w:ascii="仿宋" w:hAnsi="仿宋" w:eastAsia="仿宋" w:cs="仿宋"/>
                <w:color w:val="auto"/>
                <w:sz w:val="24"/>
              </w:rPr>
            </w:pPr>
            <w:r>
              <w:rPr>
                <w:rFonts w:hint="eastAsia" w:ascii="仿宋" w:hAnsi="仿宋" w:eastAsia="仿宋" w:cs="仿宋"/>
                <w:color w:val="auto"/>
                <w:sz w:val="24"/>
              </w:rPr>
              <w:t>1.5.2</w:t>
            </w:r>
          </w:p>
        </w:tc>
        <w:tc>
          <w:tcPr>
            <w:tcW w:w="8301" w:type="dxa"/>
            <w:vAlign w:val="center"/>
          </w:tcPr>
          <w:p>
            <w:pPr>
              <w:widowControl/>
              <w:autoSpaceDE w:val="0"/>
              <w:autoSpaceDN w:val="0"/>
              <w:spacing w:line="480" w:lineRule="exact"/>
              <w:textAlignment w:val="bottom"/>
              <w:rPr>
                <w:rFonts w:hint="eastAsia" w:ascii="仿宋" w:hAnsi="仿宋" w:eastAsia="仿宋" w:cs="仿宋"/>
                <w:color w:val="auto"/>
                <w:kern w:val="0"/>
                <w:sz w:val="24"/>
              </w:rPr>
            </w:pPr>
            <w:r>
              <w:rPr>
                <w:rFonts w:hint="eastAsia" w:ascii="仿宋" w:hAnsi="仿宋" w:eastAsia="仿宋" w:cs="仿宋"/>
                <w:color w:val="auto"/>
                <w:kern w:val="0"/>
                <w:sz w:val="24"/>
              </w:rPr>
              <w:t>交付地点：由采购单位指定。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25" w:type="dxa"/>
            <w:tcBorders>
              <w:left w:val="single" w:color="auto" w:sz="4" w:space="0"/>
            </w:tcBorders>
            <w:vAlign w:val="center"/>
          </w:tcPr>
          <w:p>
            <w:pPr>
              <w:rPr>
                <w:rFonts w:hint="eastAsia" w:ascii="仿宋" w:hAnsi="仿宋" w:eastAsia="仿宋" w:cs="仿宋"/>
                <w:color w:val="auto"/>
                <w:sz w:val="24"/>
              </w:rPr>
            </w:pPr>
            <w:r>
              <w:rPr>
                <w:rFonts w:hint="eastAsia" w:ascii="仿宋" w:hAnsi="仿宋" w:eastAsia="仿宋" w:cs="仿宋"/>
                <w:color w:val="auto"/>
                <w:sz w:val="24"/>
              </w:rPr>
              <w:t xml:space="preserve">1.5.3 </w:t>
            </w:r>
          </w:p>
        </w:tc>
        <w:tc>
          <w:tcPr>
            <w:tcW w:w="8301" w:type="dxa"/>
            <w:vAlign w:val="center"/>
          </w:tcPr>
          <w:p>
            <w:pPr>
              <w:widowControl/>
              <w:autoSpaceDE w:val="0"/>
              <w:autoSpaceDN w:val="0"/>
              <w:spacing w:line="480" w:lineRule="exact"/>
              <w:textAlignment w:val="bottom"/>
              <w:rPr>
                <w:rFonts w:hint="eastAsia" w:ascii="仿宋" w:hAnsi="仿宋" w:eastAsia="仿宋" w:cs="仿宋"/>
                <w:color w:val="auto"/>
                <w:kern w:val="0"/>
                <w:sz w:val="24"/>
              </w:rPr>
            </w:pPr>
            <w:r>
              <w:rPr>
                <w:rFonts w:hint="eastAsia" w:ascii="仿宋" w:hAnsi="仿宋" w:eastAsia="仿宋" w:cs="仿宋"/>
                <w:color w:val="auto"/>
                <w:kern w:val="0"/>
                <w:sz w:val="24"/>
              </w:rPr>
              <w:t>交付方式：根据甲方实际要求交付。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25" w:type="dxa"/>
            <w:tcBorders>
              <w:left w:val="single" w:color="auto" w:sz="4" w:space="0"/>
            </w:tcBorders>
            <w:vAlign w:val="center"/>
          </w:tcPr>
          <w:p>
            <w:pPr>
              <w:rPr>
                <w:rFonts w:hint="eastAsia" w:ascii="仿宋" w:hAnsi="仿宋" w:eastAsia="仿宋" w:cs="仿宋"/>
                <w:color w:val="auto"/>
                <w:sz w:val="24"/>
              </w:rPr>
            </w:pPr>
            <w:r>
              <w:rPr>
                <w:rFonts w:hint="eastAsia" w:ascii="仿宋" w:hAnsi="仿宋" w:eastAsia="仿宋" w:cs="仿宋"/>
                <w:color w:val="auto"/>
                <w:sz w:val="24"/>
              </w:rPr>
              <w:t>1.6.7</w:t>
            </w:r>
          </w:p>
        </w:tc>
        <w:tc>
          <w:tcPr>
            <w:tcW w:w="8301" w:type="dxa"/>
            <w:vAlign w:val="center"/>
          </w:tcPr>
          <w:p>
            <w:pPr>
              <w:widowControl/>
              <w:autoSpaceDE w:val="0"/>
              <w:autoSpaceDN w:val="0"/>
              <w:spacing w:line="480" w:lineRule="exact"/>
              <w:textAlignment w:val="bottom"/>
              <w:rPr>
                <w:rFonts w:hint="eastAsia" w:ascii="仿宋" w:hAnsi="仿宋" w:eastAsia="仿宋" w:cs="仿宋"/>
                <w:color w:val="auto"/>
                <w:kern w:val="0"/>
                <w:sz w:val="24"/>
              </w:rPr>
            </w:pPr>
            <w:r>
              <w:rPr>
                <w:rFonts w:hint="eastAsia" w:ascii="仿宋" w:hAnsi="仿宋" w:eastAsia="仿宋" w:cs="仿宋"/>
                <w:color w:val="auto"/>
                <w:kern w:val="0"/>
                <w:sz w:val="24"/>
              </w:rPr>
              <w:t>违约责任：由于乙方原因(除不可抗力外)不能按期交付合同标的，对超出交付期的每一天，乙方应按合同总价款的千分之三承担违约金，在合同货款支付时一次性扣除。若超出交付期十天(含十天)以上的，甲方有权终止合同，履约保证金不予退还。</w:t>
            </w:r>
          </w:p>
          <w:p>
            <w:pPr>
              <w:widowControl/>
              <w:autoSpaceDE w:val="0"/>
              <w:autoSpaceDN w:val="0"/>
              <w:spacing w:line="480" w:lineRule="exact"/>
              <w:textAlignment w:val="bottom"/>
              <w:rPr>
                <w:rFonts w:hint="eastAsia" w:ascii="仿宋" w:hAnsi="仿宋" w:eastAsia="仿宋" w:cs="仿宋"/>
                <w:color w:val="auto"/>
                <w:kern w:val="0"/>
                <w:sz w:val="24"/>
              </w:rPr>
            </w:pPr>
            <w:r>
              <w:rPr>
                <w:rFonts w:hint="eastAsia" w:ascii="仿宋" w:hAnsi="仿宋" w:eastAsia="仿宋" w:cs="仿宋"/>
                <w:color w:val="auto"/>
                <w:kern w:val="0"/>
                <w:sz w:val="24"/>
              </w:rPr>
              <w:t>乙方按合同要求将货物送达甲方后，经验收合格后，甲方超出付款期支付货款的，每逾一天，甲方应向乙方支付合同货物金额的千分之三的滞纳金。如遇特殊情况甲方要求推迟供货或验收的，必须事先征得乙方的同意，否则应承担由此给乙方造成的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25" w:type="dxa"/>
            <w:tcBorders>
              <w:left w:val="single" w:color="auto" w:sz="4" w:space="0"/>
            </w:tcBorders>
            <w:vAlign w:val="center"/>
          </w:tcPr>
          <w:p>
            <w:pPr>
              <w:rPr>
                <w:rFonts w:hint="eastAsia" w:ascii="仿宋" w:hAnsi="仿宋" w:eastAsia="仿宋" w:cs="仿宋"/>
                <w:color w:val="auto"/>
                <w:sz w:val="24"/>
              </w:rPr>
            </w:pPr>
            <w:r>
              <w:rPr>
                <w:rFonts w:hint="eastAsia" w:ascii="仿宋" w:hAnsi="仿宋" w:eastAsia="仿宋" w:cs="仿宋"/>
                <w:color w:val="auto"/>
                <w:sz w:val="24"/>
              </w:rPr>
              <w:t>1.7</w:t>
            </w:r>
          </w:p>
        </w:tc>
        <w:tc>
          <w:tcPr>
            <w:tcW w:w="8301" w:type="dxa"/>
            <w:vAlign w:val="center"/>
          </w:tcPr>
          <w:p>
            <w:pPr>
              <w:widowControl/>
              <w:autoSpaceDE w:val="0"/>
              <w:autoSpaceDN w:val="0"/>
              <w:spacing w:line="480" w:lineRule="exact"/>
              <w:textAlignment w:val="bottom"/>
              <w:rPr>
                <w:rFonts w:hint="eastAsia" w:ascii="仿宋" w:hAnsi="仿宋" w:eastAsia="仿宋" w:cs="仿宋"/>
                <w:color w:val="auto"/>
                <w:kern w:val="0"/>
                <w:sz w:val="24"/>
              </w:rPr>
            </w:pPr>
            <w:r>
              <w:rPr>
                <w:rFonts w:hint="eastAsia" w:ascii="仿宋" w:hAnsi="仿宋" w:eastAsia="仿宋" w:cs="仿宋"/>
                <w:color w:val="auto"/>
                <w:kern w:val="0"/>
                <w:sz w:val="24"/>
              </w:rPr>
              <w:t xml:space="preserve"> 本合同履行过程中发生的任何争议，双方当事人均可通过和解或者调解解决；不愿和解、调解或者和解、调解不成的，可以选择以下第 1.7.2  条款规定的方式解决：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25" w:type="dxa"/>
            <w:tcBorders>
              <w:left w:val="single" w:color="auto" w:sz="4" w:space="0"/>
            </w:tcBorders>
            <w:vAlign w:val="center"/>
          </w:tcPr>
          <w:p>
            <w:pPr>
              <w:rPr>
                <w:rFonts w:hint="eastAsia" w:ascii="仿宋" w:hAnsi="仿宋" w:eastAsia="仿宋" w:cs="仿宋"/>
                <w:color w:val="auto"/>
                <w:sz w:val="24"/>
              </w:rPr>
            </w:pPr>
            <w:r>
              <w:rPr>
                <w:rFonts w:hint="eastAsia" w:ascii="仿宋" w:hAnsi="仿宋" w:eastAsia="仿宋" w:cs="仿宋"/>
                <w:color w:val="auto"/>
                <w:sz w:val="24"/>
              </w:rPr>
              <w:t>1.7.1</w:t>
            </w:r>
          </w:p>
        </w:tc>
        <w:tc>
          <w:tcPr>
            <w:tcW w:w="8301" w:type="dxa"/>
            <w:vAlign w:val="center"/>
          </w:tcPr>
          <w:p>
            <w:pPr>
              <w:widowControl/>
              <w:autoSpaceDE w:val="0"/>
              <w:autoSpaceDN w:val="0"/>
              <w:spacing w:line="480" w:lineRule="exact"/>
              <w:textAlignment w:val="bottom"/>
              <w:rPr>
                <w:rFonts w:hint="eastAsia" w:ascii="仿宋" w:hAnsi="仿宋" w:eastAsia="仿宋" w:cs="仿宋"/>
                <w:color w:val="auto"/>
                <w:kern w:val="0"/>
                <w:sz w:val="24"/>
              </w:rPr>
            </w:pPr>
            <w:r>
              <w:rPr>
                <w:rFonts w:hint="eastAsia" w:ascii="仿宋" w:hAnsi="仿宋" w:eastAsia="仿宋" w:cs="仿宋"/>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25" w:type="dxa"/>
            <w:tcBorders>
              <w:left w:val="single" w:color="auto" w:sz="4" w:space="0"/>
            </w:tcBorders>
            <w:vAlign w:val="center"/>
          </w:tcPr>
          <w:p>
            <w:pPr>
              <w:rPr>
                <w:rFonts w:hint="eastAsia" w:ascii="仿宋" w:hAnsi="仿宋" w:eastAsia="仿宋" w:cs="仿宋"/>
                <w:color w:val="auto"/>
                <w:sz w:val="24"/>
              </w:rPr>
            </w:pPr>
            <w:r>
              <w:rPr>
                <w:rFonts w:hint="eastAsia" w:ascii="仿宋" w:hAnsi="仿宋" w:eastAsia="仿宋" w:cs="仿宋"/>
                <w:color w:val="auto"/>
                <w:sz w:val="24"/>
              </w:rPr>
              <w:t>1.7.2</w:t>
            </w:r>
          </w:p>
        </w:tc>
        <w:tc>
          <w:tcPr>
            <w:tcW w:w="8301" w:type="dxa"/>
            <w:vAlign w:val="center"/>
          </w:tcPr>
          <w:p>
            <w:pPr>
              <w:widowControl/>
              <w:autoSpaceDE w:val="0"/>
              <w:autoSpaceDN w:val="0"/>
              <w:spacing w:line="480" w:lineRule="exact"/>
              <w:textAlignment w:val="bottom"/>
              <w:rPr>
                <w:rFonts w:hint="eastAsia" w:ascii="仿宋" w:hAnsi="仿宋" w:eastAsia="仿宋" w:cs="仿宋"/>
                <w:color w:val="auto"/>
                <w:kern w:val="0"/>
                <w:sz w:val="24"/>
              </w:rPr>
            </w:pPr>
            <w:r>
              <w:rPr>
                <w:rFonts w:hint="eastAsia" w:ascii="仿宋" w:hAnsi="仿宋" w:eastAsia="仿宋" w:cs="仿宋"/>
                <w:color w:val="auto"/>
                <w:kern w:val="0"/>
                <w:sz w:val="24"/>
              </w:rPr>
              <w:t>向建德市人民法院人民法院起诉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25" w:type="dxa"/>
            <w:tcBorders>
              <w:left w:val="single" w:color="auto" w:sz="4" w:space="0"/>
            </w:tcBorders>
            <w:vAlign w:val="center"/>
          </w:tcPr>
          <w:p>
            <w:pPr>
              <w:rPr>
                <w:rFonts w:hint="eastAsia" w:ascii="仿宋" w:hAnsi="仿宋" w:eastAsia="仿宋" w:cs="仿宋"/>
                <w:color w:val="auto"/>
                <w:sz w:val="24"/>
              </w:rPr>
            </w:pPr>
            <w:r>
              <w:rPr>
                <w:rFonts w:hint="eastAsia" w:ascii="仿宋" w:hAnsi="仿宋" w:eastAsia="仿宋" w:cs="仿宋"/>
                <w:color w:val="auto"/>
                <w:sz w:val="24"/>
              </w:rPr>
              <w:t>2.3.2</w:t>
            </w:r>
          </w:p>
        </w:tc>
        <w:tc>
          <w:tcPr>
            <w:tcW w:w="8301" w:type="dxa"/>
            <w:vAlign w:val="center"/>
          </w:tcPr>
          <w:p>
            <w:pPr>
              <w:widowControl/>
              <w:autoSpaceDE w:val="0"/>
              <w:autoSpaceDN w:val="0"/>
              <w:spacing w:line="480" w:lineRule="exact"/>
              <w:textAlignment w:val="bottom"/>
              <w:rPr>
                <w:rFonts w:hint="eastAsia" w:ascii="仿宋" w:hAnsi="仿宋" w:eastAsia="仿宋" w:cs="仿宋"/>
                <w:color w:val="auto"/>
                <w:kern w:val="0"/>
                <w:sz w:val="24"/>
              </w:rPr>
            </w:pPr>
            <w:r>
              <w:rPr>
                <w:rFonts w:hint="eastAsia" w:ascii="仿宋" w:hAnsi="仿宋" w:eastAsia="仿宋" w:cs="仿宋"/>
                <w:color w:val="auto"/>
                <w:kern w:val="0"/>
                <w:sz w:val="24"/>
              </w:rPr>
              <w:t>具有知识产权的计算机软件等货物的知识产权归属：甲方。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25" w:type="dxa"/>
            <w:tcBorders>
              <w:left w:val="single" w:color="auto" w:sz="4" w:space="0"/>
            </w:tcBorders>
            <w:vAlign w:val="center"/>
          </w:tcPr>
          <w:p>
            <w:pPr>
              <w:rPr>
                <w:rFonts w:hint="eastAsia" w:ascii="仿宋" w:hAnsi="仿宋" w:eastAsia="仿宋" w:cs="仿宋"/>
                <w:color w:val="auto"/>
                <w:sz w:val="24"/>
              </w:rPr>
            </w:pPr>
            <w:r>
              <w:rPr>
                <w:rFonts w:hint="eastAsia" w:ascii="仿宋" w:hAnsi="仿宋" w:eastAsia="仿宋" w:cs="仿宋"/>
                <w:color w:val="auto"/>
                <w:sz w:val="24"/>
              </w:rPr>
              <w:t>2.4.1</w:t>
            </w:r>
          </w:p>
        </w:tc>
        <w:tc>
          <w:tcPr>
            <w:tcW w:w="8301" w:type="dxa"/>
            <w:vAlign w:val="center"/>
          </w:tcPr>
          <w:p>
            <w:pPr>
              <w:widowControl/>
              <w:autoSpaceDE w:val="0"/>
              <w:autoSpaceDN w:val="0"/>
              <w:spacing w:line="480" w:lineRule="exact"/>
              <w:textAlignment w:val="bottom"/>
              <w:rPr>
                <w:rFonts w:hint="eastAsia" w:ascii="仿宋" w:hAnsi="仿宋" w:eastAsia="仿宋" w:cs="仿宋"/>
                <w:color w:val="auto"/>
                <w:kern w:val="0"/>
                <w:sz w:val="24"/>
              </w:rPr>
            </w:pPr>
            <w:r>
              <w:rPr>
                <w:rFonts w:hint="eastAsia" w:ascii="仿宋" w:hAnsi="仿宋" w:eastAsia="仿宋" w:cs="仿宋"/>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25" w:type="dxa"/>
            <w:tcBorders>
              <w:left w:val="single" w:color="auto" w:sz="4" w:space="0"/>
            </w:tcBorders>
            <w:vAlign w:val="center"/>
          </w:tcPr>
          <w:p>
            <w:pPr>
              <w:rPr>
                <w:rFonts w:hint="eastAsia" w:ascii="仿宋" w:hAnsi="仿宋" w:eastAsia="仿宋" w:cs="仿宋"/>
                <w:color w:val="auto"/>
                <w:sz w:val="24"/>
              </w:rPr>
            </w:pPr>
            <w:r>
              <w:rPr>
                <w:rFonts w:hint="eastAsia" w:ascii="仿宋" w:hAnsi="仿宋" w:eastAsia="仿宋" w:cs="仿宋"/>
                <w:color w:val="auto"/>
                <w:sz w:val="24"/>
              </w:rPr>
              <w:t>2.4.3</w:t>
            </w:r>
          </w:p>
        </w:tc>
        <w:tc>
          <w:tcPr>
            <w:tcW w:w="8301" w:type="dxa"/>
            <w:vAlign w:val="center"/>
          </w:tcPr>
          <w:p>
            <w:pPr>
              <w:widowControl/>
              <w:autoSpaceDE w:val="0"/>
              <w:autoSpaceDN w:val="0"/>
              <w:spacing w:line="480" w:lineRule="exact"/>
              <w:textAlignment w:val="bottom"/>
              <w:rPr>
                <w:rFonts w:hint="eastAsia" w:ascii="仿宋" w:hAnsi="仿宋" w:eastAsia="仿宋" w:cs="仿宋"/>
                <w:color w:val="auto"/>
                <w:kern w:val="0"/>
                <w:sz w:val="24"/>
              </w:rPr>
            </w:pPr>
            <w:r>
              <w:rPr>
                <w:rFonts w:hint="eastAsia" w:ascii="仿宋" w:hAnsi="仿宋" w:eastAsia="仿宋" w:cs="仿宋"/>
                <w:color w:val="auto"/>
                <w:kern w:val="0"/>
                <w:sz w:val="24"/>
              </w:rPr>
              <w:t>装运货物的要求和通知：按乙方投标方案中施工进度要求。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25" w:type="dxa"/>
            <w:tcBorders>
              <w:left w:val="single" w:color="auto" w:sz="4" w:space="0"/>
            </w:tcBorders>
          </w:tcPr>
          <w:p>
            <w:pPr>
              <w:rPr>
                <w:rFonts w:hint="eastAsia" w:ascii="仿宋" w:hAnsi="仿宋" w:eastAsia="仿宋" w:cs="仿宋"/>
                <w:color w:val="auto"/>
                <w:sz w:val="24"/>
              </w:rPr>
            </w:pPr>
            <w:r>
              <w:rPr>
                <w:rFonts w:hint="eastAsia" w:ascii="仿宋" w:hAnsi="仿宋" w:eastAsia="仿宋" w:cs="仿宋"/>
                <w:color w:val="auto"/>
                <w:sz w:val="24"/>
              </w:rPr>
              <w:t xml:space="preserve">2.8 </w:t>
            </w:r>
          </w:p>
        </w:tc>
        <w:tc>
          <w:tcPr>
            <w:tcW w:w="8301" w:type="dxa"/>
            <w:vAlign w:val="center"/>
          </w:tcPr>
          <w:p>
            <w:pPr>
              <w:widowControl/>
              <w:autoSpaceDE w:val="0"/>
              <w:autoSpaceDN w:val="0"/>
              <w:spacing w:line="480" w:lineRule="exact"/>
              <w:textAlignment w:val="bottom"/>
              <w:rPr>
                <w:rFonts w:hint="eastAsia" w:ascii="仿宋" w:hAnsi="仿宋" w:eastAsia="仿宋" w:cs="仿宋"/>
                <w:color w:val="auto"/>
                <w:kern w:val="0"/>
                <w:sz w:val="24"/>
              </w:rPr>
            </w:pPr>
            <w:r>
              <w:rPr>
                <w:rFonts w:hint="eastAsia" w:ascii="仿宋" w:hAnsi="仿宋" w:eastAsia="仿宋" w:cs="仿宋"/>
                <w:color w:val="auto"/>
                <w:kern w:val="0"/>
                <w:sz w:val="24"/>
              </w:rPr>
              <w:t>货物或者在途货物或者交付给第一承运人后的货物毁损、灭失的风险负担都由乙方自行负责。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25" w:type="dxa"/>
            <w:tcBorders>
              <w:left w:val="single" w:color="auto" w:sz="4" w:space="0"/>
            </w:tcBorders>
            <w:vAlign w:val="center"/>
          </w:tcPr>
          <w:p>
            <w:pPr>
              <w:rPr>
                <w:rFonts w:hint="eastAsia" w:ascii="仿宋" w:hAnsi="仿宋" w:eastAsia="仿宋" w:cs="仿宋"/>
                <w:color w:val="auto"/>
                <w:sz w:val="24"/>
              </w:rPr>
            </w:pPr>
            <w:r>
              <w:rPr>
                <w:rFonts w:hint="eastAsia" w:ascii="仿宋" w:hAnsi="仿宋" w:eastAsia="仿宋" w:cs="仿宋"/>
                <w:color w:val="auto"/>
                <w:sz w:val="24"/>
              </w:rPr>
              <w:t>2.12.3</w:t>
            </w:r>
          </w:p>
        </w:tc>
        <w:tc>
          <w:tcPr>
            <w:tcW w:w="8301" w:type="dxa"/>
            <w:vAlign w:val="center"/>
          </w:tcPr>
          <w:p>
            <w:pPr>
              <w:widowControl/>
              <w:autoSpaceDE w:val="0"/>
              <w:autoSpaceDN w:val="0"/>
              <w:spacing w:line="480" w:lineRule="exact"/>
              <w:textAlignment w:val="bottom"/>
              <w:rPr>
                <w:rFonts w:hint="eastAsia" w:ascii="仿宋" w:hAnsi="仿宋" w:eastAsia="仿宋" w:cs="仿宋"/>
                <w:color w:val="auto"/>
                <w:kern w:val="0"/>
                <w:sz w:val="24"/>
              </w:rPr>
            </w:pPr>
            <w:r>
              <w:rPr>
                <w:rFonts w:hint="eastAsia" w:ascii="仿宋" w:hAnsi="仿宋" w:eastAsia="仿宋" w:cs="仿宋"/>
                <w:color w:val="auto"/>
                <w:kern w:val="0"/>
                <w:sz w:val="24"/>
              </w:rPr>
              <w:t>因不可抗力致使合同有变更必要的，双方当事人应在30日内以书面形式变更合同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825" w:type="dxa"/>
            <w:tcBorders>
              <w:left w:val="single" w:color="auto" w:sz="4" w:space="0"/>
            </w:tcBorders>
            <w:vAlign w:val="center"/>
          </w:tcPr>
          <w:p>
            <w:pPr>
              <w:rPr>
                <w:rFonts w:hint="eastAsia" w:ascii="仿宋" w:hAnsi="仿宋" w:eastAsia="仿宋" w:cs="仿宋"/>
                <w:color w:val="auto"/>
                <w:sz w:val="24"/>
              </w:rPr>
            </w:pPr>
            <w:r>
              <w:rPr>
                <w:rFonts w:hint="eastAsia" w:ascii="仿宋" w:hAnsi="仿宋" w:eastAsia="仿宋" w:cs="仿宋"/>
                <w:color w:val="auto"/>
                <w:sz w:val="24"/>
              </w:rPr>
              <w:t>2.12.4</w:t>
            </w:r>
          </w:p>
        </w:tc>
        <w:tc>
          <w:tcPr>
            <w:tcW w:w="8301" w:type="dxa"/>
            <w:vAlign w:val="center"/>
          </w:tcPr>
          <w:p>
            <w:pPr>
              <w:widowControl/>
              <w:autoSpaceDE w:val="0"/>
              <w:autoSpaceDN w:val="0"/>
              <w:spacing w:line="480" w:lineRule="exact"/>
              <w:textAlignment w:val="bottom"/>
              <w:rPr>
                <w:rFonts w:hint="eastAsia" w:ascii="仿宋" w:hAnsi="仿宋" w:eastAsia="仿宋" w:cs="仿宋"/>
                <w:color w:val="auto"/>
                <w:kern w:val="0"/>
                <w:sz w:val="24"/>
              </w:rPr>
            </w:pPr>
            <w:r>
              <w:rPr>
                <w:rFonts w:hint="eastAsia" w:ascii="仿宋" w:hAnsi="仿宋" w:eastAsia="仿宋" w:cs="仿宋"/>
                <w:color w:val="auto"/>
                <w:kern w:val="0"/>
                <w:sz w:val="24"/>
              </w:rPr>
              <w:t>受不可抗力影响的一方在不可抗力发生后，应在7日内以书面形式通知对方当事人，并在14日内，将有关部门出具的证明文件送达对方当事人。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825" w:type="dxa"/>
            <w:tcBorders>
              <w:left w:val="single" w:color="auto" w:sz="4" w:space="0"/>
            </w:tcBorders>
            <w:vAlign w:val="center"/>
          </w:tcPr>
          <w:p>
            <w:pPr>
              <w:rPr>
                <w:rFonts w:hint="eastAsia" w:ascii="仿宋" w:hAnsi="仿宋" w:eastAsia="仿宋" w:cs="仿宋"/>
                <w:color w:val="auto"/>
                <w:sz w:val="24"/>
              </w:rPr>
            </w:pPr>
            <w:r>
              <w:rPr>
                <w:rFonts w:hint="eastAsia" w:ascii="仿宋" w:hAnsi="仿宋" w:eastAsia="仿宋" w:cs="仿宋"/>
                <w:color w:val="auto"/>
                <w:sz w:val="24"/>
              </w:rPr>
              <w:t>2.16.1</w:t>
            </w:r>
          </w:p>
        </w:tc>
        <w:tc>
          <w:tcPr>
            <w:tcW w:w="8301" w:type="dxa"/>
            <w:vAlign w:val="center"/>
          </w:tcPr>
          <w:p>
            <w:pPr>
              <w:widowControl/>
              <w:autoSpaceDE w:val="0"/>
              <w:autoSpaceDN w:val="0"/>
              <w:spacing w:line="480" w:lineRule="exact"/>
              <w:textAlignment w:val="bottom"/>
              <w:rPr>
                <w:rFonts w:hint="eastAsia" w:ascii="仿宋" w:hAnsi="仿宋" w:eastAsia="仿宋" w:cs="仿宋"/>
                <w:color w:val="auto"/>
                <w:kern w:val="0"/>
                <w:sz w:val="24"/>
              </w:rPr>
            </w:pPr>
            <w:r>
              <w:rPr>
                <w:rFonts w:hint="eastAsia" w:ascii="仿宋" w:hAnsi="仿宋" w:eastAsia="仿宋" w:cs="仿宋"/>
                <w:color w:val="auto"/>
                <w:kern w:val="0"/>
                <w:sz w:val="24"/>
              </w:rPr>
              <w:t>货物交付前，乙方应对货物的质量、数量等方面进行详细、全面的检验，并向甲方出具证明货物符合合同约定的文件；货物交付时，乙方</w:t>
            </w:r>
            <w:r>
              <w:rPr>
                <w:rFonts w:hint="eastAsia" w:ascii="仿宋" w:hAnsi="仿宋" w:eastAsia="仿宋" w:cs="仿宋"/>
                <w:b/>
                <w:bCs/>
                <w:color w:val="auto"/>
                <w:sz w:val="24"/>
                <w:u w:val="single"/>
              </w:rPr>
              <w:t>在货物安装调试完成3日内</w:t>
            </w:r>
            <w:r>
              <w:rPr>
                <w:rFonts w:hint="eastAsia" w:ascii="仿宋" w:hAnsi="仿宋" w:eastAsia="仿宋" w:cs="仿宋"/>
                <w:color w:val="auto"/>
                <w:sz w:val="24"/>
              </w:rPr>
              <w:t>组织验收</w:t>
            </w:r>
            <w:r>
              <w:rPr>
                <w:rFonts w:hint="eastAsia" w:ascii="仿宋" w:hAnsi="仿宋" w:eastAsia="仿宋" w:cs="仿宋"/>
                <w:color w:val="auto"/>
                <w:kern w:val="0"/>
                <w:sz w:val="24"/>
              </w:rPr>
              <w:t>，并可依法邀请相关方参加，验收应出具验收书。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61" w:hRule="atLeast"/>
        </w:trPr>
        <w:tc>
          <w:tcPr>
            <w:tcW w:w="825" w:type="dxa"/>
            <w:tcBorders>
              <w:left w:val="single" w:color="auto" w:sz="4" w:space="0"/>
            </w:tcBorders>
            <w:vAlign w:val="center"/>
          </w:tcPr>
          <w:p>
            <w:pPr>
              <w:rPr>
                <w:rFonts w:hint="eastAsia" w:ascii="仿宋" w:hAnsi="仿宋" w:eastAsia="仿宋" w:cs="仿宋"/>
                <w:color w:val="auto"/>
                <w:sz w:val="24"/>
              </w:rPr>
            </w:pPr>
            <w:r>
              <w:rPr>
                <w:rFonts w:hint="eastAsia" w:ascii="仿宋" w:hAnsi="仿宋" w:eastAsia="仿宋" w:cs="仿宋"/>
                <w:color w:val="auto"/>
                <w:sz w:val="24"/>
              </w:rPr>
              <w:t>2.16.3</w:t>
            </w:r>
          </w:p>
        </w:tc>
        <w:tc>
          <w:tcPr>
            <w:tcW w:w="8301" w:type="dxa"/>
            <w:vAlign w:val="center"/>
          </w:tcPr>
          <w:p>
            <w:pPr>
              <w:widowControl/>
              <w:autoSpaceDE w:val="0"/>
              <w:autoSpaceDN w:val="0"/>
              <w:spacing w:line="480" w:lineRule="exact"/>
              <w:textAlignment w:val="bottom"/>
              <w:rPr>
                <w:rFonts w:hint="eastAsia" w:ascii="仿宋" w:hAnsi="仿宋" w:eastAsia="仿宋" w:cs="仿宋"/>
                <w:color w:val="auto"/>
                <w:kern w:val="0"/>
                <w:sz w:val="24"/>
              </w:rPr>
            </w:pPr>
            <w:r>
              <w:rPr>
                <w:rFonts w:hint="eastAsia" w:ascii="仿宋" w:hAnsi="仿宋" w:eastAsia="仿宋" w:cs="仿宋"/>
                <w:color w:val="auto"/>
                <w:kern w:val="0"/>
                <w:sz w:val="24"/>
              </w:rPr>
              <w:t>检验和验收标准、程序等具体内容：1、乙方应提供系统软硬件的有效检验材料，经甲方认可后，与合同的技术指标一起作为验收标准。甲方对系统软硬件验收合格后（软件类项目出具验收报告），在《建德市政府采购验收反馈表》上签署意见并加盖单位公章。验收中发现系统软硬件达不到验收标准或合同规定的技术指标，乙方必须更换，并负担由此给甲方造成的损失，直到验收合格为止。</w:t>
            </w:r>
          </w:p>
          <w:p>
            <w:pPr>
              <w:widowControl/>
              <w:autoSpaceDE w:val="0"/>
              <w:autoSpaceDN w:val="0"/>
              <w:spacing w:line="480" w:lineRule="exact"/>
              <w:textAlignment w:val="bottom"/>
              <w:rPr>
                <w:rFonts w:hint="eastAsia" w:ascii="仿宋" w:hAnsi="仿宋" w:eastAsia="仿宋" w:cs="仿宋"/>
                <w:color w:val="auto"/>
                <w:kern w:val="0"/>
                <w:sz w:val="24"/>
              </w:rPr>
            </w:pPr>
            <w:r>
              <w:rPr>
                <w:rFonts w:hint="eastAsia" w:ascii="仿宋" w:hAnsi="仿宋" w:eastAsia="仿宋" w:cs="仿宋"/>
                <w:color w:val="auto"/>
                <w:kern w:val="0"/>
                <w:sz w:val="24"/>
              </w:rPr>
              <w:t>2、验收费用由乙方承担。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0" w:hRule="atLeast"/>
        </w:trPr>
        <w:tc>
          <w:tcPr>
            <w:tcW w:w="825" w:type="dxa"/>
            <w:tcBorders>
              <w:left w:val="single" w:color="auto" w:sz="4" w:space="0"/>
            </w:tcBorders>
          </w:tcPr>
          <w:p>
            <w:pPr>
              <w:rPr>
                <w:rFonts w:hint="eastAsia" w:ascii="仿宋" w:hAnsi="仿宋" w:eastAsia="仿宋" w:cs="仿宋"/>
                <w:color w:val="auto"/>
                <w:sz w:val="24"/>
              </w:rPr>
            </w:pPr>
            <w:r>
              <w:rPr>
                <w:rFonts w:hint="eastAsia" w:ascii="仿宋" w:hAnsi="仿宋" w:eastAsia="仿宋" w:cs="仿宋"/>
                <w:color w:val="auto"/>
                <w:sz w:val="24"/>
              </w:rPr>
              <w:t>2.20.1</w:t>
            </w:r>
          </w:p>
        </w:tc>
        <w:tc>
          <w:tcPr>
            <w:tcW w:w="8301" w:type="dxa"/>
            <w:vAlign w:val="center"/>
          </w:tcPr>
          <w:p>
            <w:pPr>
              <w:widowControl/>
              <w:autoSpaceDE w:val="0"/>
              <w:autoSpaceDN w:val="0"/>
              <w:spacing w:line="480" w:lineRule="exact"/>
              <w:textAlignment w:val="bottom"/>
              <w:rPr>
                <w:rFonts w:hint="eastAsia" w:ascii="仿宋" w:hAnsi="仿宋" w:eastAsia="仿宋" w:cs="仿宋"/>
                <w:color w:val="auto"/>
                <w:kern w:val="0"/>
                <w:sz w:val="24"/>
              </w:rPr>
            </w:pPr>
            <w:r>
              <w:rPr>
                <w:rFonts w:hint="eastAsia" w:ascii="仿宋" w:hAnsi="仿宋" w:eastAsia="仿宋" w:cs="仿宋"/>
                <w:color w:val="auto"/>
                <w:kern w:val="0"/>
                <w:sz w:val="24"/>
              </w:rPr>
              <w:t>履约保证金：本项目将根据杭州市政府采购网公布的供应商履约评价情况收取履约保证金。乙方履约验收评价总分为100分的，本项目免收履约保证金；评价总分在90分以上的，本项目收取履约保证金为合同金额0.5%；评价总分在不满90分或者暂无评分的，本项目收取履约保证金为合同金额1%。需要收取保证金的供应商在正式合同签订生效之日起7个工作日内，缴纳保证金至甲方指定账户（可采用银行、保险公司出具保函形式提交）。在验收合格后经回访正常后凭正式收款收据、履约保证金缴款凭证复印件、《建德市政府采购回访意见单》办理结算手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721" w:hRule="atLeast"/>
        </w:trPr>
        <w:tc>
          <w:tcPr>
            <w:tcW w:w="825" w:type="dxa"/>
            <w:tcBorders>
              <w:left w:val="single" w:color="auto" w:sz="4" w:space="0"/>
            </w:tcBorders>
            <w:vAlign w:val="center"/>
          </w:tcPr>
          <w:p>
            <w:pPr>
              <w:rPr>
                <w:rFonts w:hint="eastAsia" w:ascii="仿宋" w:hAnsi="仿宋" w:eastAsia="仿宋" w:cs="仿宋"/>
                <w:color w:val="auto"/>
                <w:sz w:val="24"/>
              </w:rPr>
            </w:pPr>
            <w:r>
              <w:rPr>
                <w:rFonts w:hint="eastAsia" w:ascii="仿宋" w:hAnsi="仿宋" w:eastAsia="仿宋" w:cs="仿宋"/>
                <w:color w:val="auto"/>
                <w:sz w:val="24"/>
              </w:rPr>
              <w:t xml:space="preserve">2.20.2 </w:t>
            </w:r>
          </w:p>
        </w:tc>
        <w:tc>
          <w:tcPr>
            <w:tcW w:w="8301" w:type="dxa"/>
            <w:vAlign w:val="center"/>
          </w:tcPr>
          <w:p>
            <w:pPr>
              <w:widowControl/>
              <w:autoSpaceDE w:val="0"/>
              <w:autoSpaceDN w:val="0"/>
              <w:spacing w:line="480" w:lineRule="exact"/>
              <w:textAlignment w:val="bottom"/>
              <w:rPr>
                <w:rFonts w:hint="eastAsia" w:ascii="仿宋" w:hAnsi="仿宋" w:eastAsia="仿宋" w:cs="仿宋"/>
                <w:color w:val="auto"/>
                <w:kern w:val="0"/>
                <w:sz w:val="24"/>
              </w:rPr>
            </w:pPr>
            <w:r>
              <w:rPr>
                <w:rFonts w:hint="eastAsia" w:ascii="仿宋" w:hAnsi="仿宋" w:eastAsia="仿宋" w:cs="仿宋"/>
                <w:color w:val="auto"/>
                <w:kern w:val="0"/>
                <w:sz w:val="24"/>
              </w:rPr>
              <w:t>履约保证金在履约期间内不予退还。乙方在前述约定期间届满前能履行完合同约定义务事项的，甲方在前述约定期间届满之日起 5 个工作 日内，按100%将履约保证金退还乙方，逾期退还的，乙方可要求甲方支付违约金，违约金按每迟延退还一日的应退还而未退还金额的0.05%计算，最高限额为本合同履约保证金的20%；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2" w:hRule="atLeast"/>
        </w:trPr>
        <w:tc>
          <w:tcPr>
            <w:tcW w:w="825" w:type="dxa"/>
            <w:tcBorders>
              <w:left w:val="single" w:color="auto" w:sz="4" w:space="0"/>
            </w:tcBorders>
            <w:vAlign w:val="center"/>
          </w:tcPr>
          <w:p>
            <w:pPr>
              <w:ind w:left="-420" w:leftChars="-200" w:right="-420" w:rightChars="-200" w:firstLine="480" w:firstLineChars="200"/>
              <w:outlineLvl w:val="0"/>
              <w:rPr>
                <w:rFonts w:hint="eastAsia" w:ascii="仿宋" w:hAnsi="仿宋" w:eastAsia="仿宋" w:cs="仿宋"/>
                <w:color w:val="auto"/>
                <w:sz w:val="24"/>
              </w:rPr>
            </w:pPr>
            <w:r>
              <w:rPr>
                <w:rFonts w:hint="eastAsia" w:ascii="仿宋" w:hAnsi="仿宋" w:eastAsia="仿宋" w:cs="仿宋"/>
                <w:color w:val="auto"/>
                <w:sz w:val="24"/>
              </w:rPr>
              <w:t xml:space="preserve">2.22 </w:t>
            </w:r>
          </w:p>
        </w:tc>
        <w:tc>
          <w:tcPr>
            <w:tcW w:w="8301" w:type="dxa"/>
            <w:vAlign w:val="center"/>
          </w:tcPr>
          <w:p>
            <w:pPr>
              <w:widowControl/>
              <w:autoSpaceDE w:val="0"/>
              <w:autoSpaceDN w:val="0"/>
              <w:spacing w:line="480" w:lineRule="exact"/>
              <w:textAlignment w:val="bottom"/>
              <w:rPr>
                <w:rFonts w:hint="eastAsia" w:ascii="仿宋" w:hAnsi="仿宋" w:eastAsia="仿宋" w:cs="仿宋"/>
                <w:color w:val="auto"/>
                <w:kern w:val="0"/>
                <w:sz w:val="24"/>
              </w:rPr>
            </w:pPr>
            <w:r>
              <w:rPr>
                <w:rFonts w:hint="eastAsia" w:ascii="仿宋" w:hAnsi="仿宋" w:eastAsia="仿宋" w:cs="仿宋"/>
                <w:color w:val="auto"/>
                <w:kern w:val="0"/>
                <w:sz w:val="24"/>
              </w:rPr>
              <w:t>合同份数：本合同壹式陆份，甲、乙双方各执叁份。</w:t>
            </w:r>
          </w:p>
        </w:tc>
      </w:tr>
    </w:tbl>
    <w:p>
      <w:pPr>
        <w:spacing w:line="360" w:lineRule="auto"/>
        <w:ind w:left="-420" w:leftChars="-200" w:right="-420" w:rightChars="-200" w:firstLine="480" w:firstLineChars="200"/>
        <w:rPr>
          <w:rFonts w:hint="eastAsia" w:ascii="仿宋" w:hAnsi="仿宋" w:eastAsia="仿宋" w:cs="仿宋"/>
          <w:color w:val="auto"/>
          <w:sz w:val="24"/>
        </w:rPr>
      </w:pPr>
    </w:p>
    <w:p>
      <w:pPr>
        <w:spacing w:line="360" w:lineRule="auto"/>
        <w:ind w:left="-420" w:leftChars="-200" w:right="-420" w:rightChars="-200"/>
        <w:rPr>
          <w:rFonts w:hint="eastAsia" w:ascii="仿宋" w:hAnsi="仿宋" w:eastAsia="仿宋" w:cs="仿宋"/>
          <w:color w:val="auto"/>
          <w:sz w:val="24"/>
        </w:rPr>
      </w:pPr>
    </w:p>
    <w:p>
      <w:pPr>
        <w:spacing w:line="360" w:lineRule="auto"/>
        <w:ind w:left="-420" w:leftChars="-200" w:right="-420" w:rightChars="-200" w:firstLine="480" w:firstLineChars="200"/>
        <w:jc w:val="center"/>
        <w:outlineLvl w:val="0"/>
        <w:rPr>
          <w:rFonts w:hint="eastAsia" w:ascii="仿宋" w:hAnsi="仿宋" w:eastAsia="仿宋" w:cs="仿宋"/>
          <w:color w:val="auto"/>
          <w:sz w:val="24"/>
        </w:rPr>
      </w:pPr>
    </w:p>
    <w:p>
      <w:pPr>
        <w:spacing w:line="360" w:lineRule="auto"/>
        <w:ind w:left="-420" w:leftChars="-200" w:right="-420" w:rightChars="-200" w:firstLine="480" w:firstLineChars="200"/>
        <w:jc w:val="center"/>
        <w:outlineLvl w:val="0"/>
        <w:rPr>
          <w:rFonts w:hint="eastAsia" w:ascii="仿宋" w:hAnsi="仿宋" w:eastAsia="仿宋" w:cs="仿宋"/>
          <w:color w:val="auto"/>
          <w:sz w:val="24"/>
        </w:rPr>
      </w:pPr>
    </w:p>
    <w:p>
      <w:pPr>
        <w:spacing w:line="360" w:lineRule="auto"/>
        <w:ind w:left="720" w:firstLine="723" w:firstLineChars="200"/>
        <w:outlineLvl w:val="0"/>
        <w:rPr>
          <w:rFonts w:hint="eastAsia" w:ascii="仿宋" w:hAnsi="仿宋" w:eastAsia="仿宋" w:cs="仿宋"/>
          <w:b/>
          <w:color w:val="auto"/>
          <w:sz w:val="36"/>
          <w:szCs w:val="20"/>
        </w:rPr>
      </w:pPr>
    </w:p>
    <w:p>
      <w:pPr>
        <w:spacing w:line="360" w:lineRule="auto"/>
        <w:ind w:left="720" w:firstLine="723" w:firstLineChars="200"/>
        <w:outlineLvl w:val="0"/>
        <w:rPr>
          <w:rFonts w:hint="eastAsia" w:ascii="仿宋" w:hAnsi="仿宋" w:eastAsia="仿宋" w:cs="仿宋"/>
          <w:b/>
          <w:color w:val="auto"/>
          <w:sz w:val="36"/>
          <w:szCs w:val="20"/>
        </w:rPr>
      </w:pPr>
    </w:p>
    <w:p>
      <w:pPr>
        <w:spacing w:line="360" w:lineRule="auto"/>
        <w:ind w:left="720" w:firstLine="723" w:firstLineChars="200"/>
        <w:outlineLvl w:val="0"/>
        <w:rPr>
          <w:rFonts w:hint="eastAsia" w:ascii="仿宋" w:hAnsi="仿宋" w:eastAsia="仿宋" w:cs="仿宋"/>
          <w:b/>
          <w:color w:val="auto"/>
          <w:sz w:val="36"/>
          <w:szCs w:val="20"/>
        </w:rPr>
      </w:pPr>
    </w:p>
    <w:p>
      <w:pPr>
        <w:spacing w:line="360" w:lineRule="auto"/>
        <w:ind w:left="720" w:firstLine="723" w:firstLineChars="200"/>
        <w:outlineLvl w:val="0"/>
        <w:rPr>
          <w:rFonts w:hint="eastAsia" w:ascii="仿宋" w:hAnsi="仿宋" w:eastAsia="仿宋" w:cs="仿宋"/>
          <w:b/>
          <w:color w:val="auto"/>
          <w:sz w:val="36"/>
          <w:szCs w:val="20"/>
        </w:rPr>
      </w:pPr>
    </w:p>
    <w:p>
      <w:pPr>
        <w:spacing w:line="360" w:lineRule="auto"/>
        <w:outlineLvl w:val="0"/>
        <w:rPr>
          <w:rFonts w:hint="eastAsia" w:ascii="仿宋" w:hAnsi="仿宋" w:eastAsia="仿宋" w:cs="仿宋"/>
          <w:b/>
          <w:color w:val="auto"/>
          <w:sz w:val="36"/>
          <w:szCs w:val="20"/>
        </w:rPr>
      </w:pPr>
    </w:p>
    <w:p>
      <w:pPr>
        <w:spacing w:line="360" w:lineRule="auto"/>
        <w:ind w:left="720" w:firstLine="723" w:firstLineChars="200"/>
        <w:outlineLvl w:val="0"/>
        <w:rPr>
          <w:rFonts w:hint="eastAsia" w:ascii="仿宋" w:hAnsi="仿宋" w:eastAsia="仿宋" w:cs="仿宋"/>
          <w:b/>
          <w:color w:val="auto"/>
          <w:sz w:val="36"/>
          <w:szCs w:val="20"/>
        </w:rPr>
      </w:pPr>
    </w:p>
    <w:p>
      <w:pPr>
        <w:spacing w:line="360" w:lineRule="auto"/>
        <w:ind w:left="720" w:firstLine="723" w:firstLineChars="200"/>
        <w:outlineLvl w:val="0"/>
        <w:rPr>
          <w:rFonts w:hint="eastAsia" w:ascii="仿宋" w:hAnsi="仿宋" w:eastAsia="仿宋" w:cs="仿宋"/>
          <w:b/>
          <w:color w:val="auto"/>
          <w:sz w:val="36"/>
          <w:szCs w:val="20"/>
        </w:rPr>
      </w:pPr>
    </w:p>
    <w:p>
      <w:pPr>
        <w:spacing w:line="360" w:lineRule="auto"/>
        <w:ind w:left="720" w:firstLine="723" w:firstLineChars="200"/>
        <w:outlineLvl w:val="0"/>
        <w:rPr>
          <w:rFonts w:hint="eastAsia" w:ascii="仿宋" w:hAnsi="仿宋" w:eastAsia="仿宋" w:cs="仿宋"/>
          <w:b/>
          <w:color w:val="auto"/>
          <w:sz w:val="36"/>
          <w:szCs w:val="20"/>
        </w:rPr>
      </w:pPr>
    </w:p>
    <w:p>
      <w:pPr>
        <w:spacing w:line="360" w:lineRule="auto"/>
        <w:ind w:left="720" w:firstLine="723" w:firstLineChars="200"/>
        <w:outlineLvl w:val="0"/>
        <w:rPr>
          <w:rFonts w:hint="eastAsia" w:ascii="仿宋" w:hAnsi="仿宋" w:eastAsia="仿宋" w:cs="仿宋"/>
          <w:b/>
          <w:color w:val="auto"/>
          <w:sz w:val="36"/>
          <w:szCs w:val="20"/>
        </w:rPr>
      </w:pPr>
    </w:p>
    <w:p>
      <w:pPr>
        <w:spacing w:line="360" w:lineRule="auto"/>
        <w:ind w:left="720" w:firstLine="723" w:firstLineChars="200"/>
        <w:outlineLvl w:val="0"/>
        <w:rPr>
          <w:rFonts w:hint="eastAsia" w:ascii="仿宋" w:hAnsi="仿宋" w:eastAsia="仿宋" w:cs="仿宋"/>
          <w:b/>
          <w:color w:val="auto"/>
          <w:sz w:val="36"/>
          <w:szCs w:val="20"/>
        </w:rPr>
      </w:pPr>
    </w:p>
    <w:p>
      <w:pPr>
        <w:spacing w:line="360" w:lineRule="auto"/>
        <w:ind w:left="720" w:firstLine="723" w:firstLineChars="200"/>
        <w:outlineLvl w:val="0"/>
        <w:rPr>
          <w:rFonts w:hint="eastAsia" w:ascii="仿宋" w:hAnsi="仿宋" w:eastAsia="仿宋" w:cs="仿宋"/>
          <w:b/>
          <w:color w:val="auto"/>
          <w:sz w:val="36"/>
          <w:szCs w:val="20"/>
        </w:rPr>
      </w:pPr>
    </w:p>
    <w:p>
      <w:pPr>
        <w:pStyle w:val="2"/>
        <w:ind w:firstLine="420"/>
        <w:rPr>
          <w:rFonts w:hint="eastAsia" w:ascii="仿宋" w:hAnsi="仿宋" w:eastAsia="仿宋" w:cs="仿宋"/>
          <w:color w:val="auto"/>
        </w:rPr>
      </w:pPr>
    </w:p>
    <w:p>
      <w:pPr>
        <w:spacing w:line="360" w:lineRule="auto"/>
        <w:ind w:left="720" w:firstLine="723" w:firstLineChars="200"/>
        <w:outlineLvl w:val="0"/>
        <w:rPr>
          <w:rFonts w:hint="eastAsia" w:ascii="仿宋" w:hAnsi="仿宋" w:eastAsia="仿宋" w:cs="仿宋"/>
          <w:b/>
          <w:color w:val="auto"/>
          <w:sz w:val="36"/>
          <w:szCs w:val="20"/>
        </w:rPr>
      </w:pPr>
    </w:p>
    <w:p>
      <w:pPr>
        <w:spacing w:line="360" w:lineRule="auto"/>
        <w:ind w:left="720" w:firstLine="1084" w:firstLineChars="300"/>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第六部分</w:t>
      </w:r>
      <w:bookmarkEnd w:id="394"/>
      <w:r>
        <w:rPr>
          <w:rFonts w:hint="eastAsia" w:ascii="仿宋" w:hAnsi="仿宋" w:eastAsia="仿宋" w:cs="仿宋"/>
          <w:b/>
          <w:color w:val="auto"/>
          <w:sz w:val="36"/>
          <w:szCs w:val="20"/>
        </w:rPr>
        <w:t xml:space="preserve"> </w:t>
      </w:r>
      <w:bookmarkEnd w:id="395"/>
      <w:r>
        <w:rPr>
          <w:rFonts w:hint="eastAsia" w:ascii="仿宋" w:hAnsi="仿宋" w:eastAsia="仿宋" w:cs="仿宋"/>
          <w:b/>
          <w:color w:val="auto"/>
          <w:sz w:val="36"/>
          <w:szCs w:val="20"/>
        </w:rPr>
        <w:t>应提交的有关格式范例</w:t>
      </w:r>
    </w:p>
    <w:p>
      <w:pPr>
        <w:spacing w:line="360" w:lineRule="auto"/>
        <w:jc w:val="center"/>
        <w:outlineLvl w:val="0"/>
        <w:rPr>
          <w:rFonts w:hint="eastAsia" w:ascii="仿宋" w:hAnsi="仿宋" w:eastAsia="仿宋" w:cs="仿宋"/>
          <w:b/>
          <w:color w:val="auto"/>
          <w:kern w:val="0"/>
          <w:sz w:val="36"/>
          <w:szCs w:val="36"/>
        </w:rPr>
      </w:pPr>
    </w:p>
    <w:p>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资格文件部分</w:t>
      </w:r>
    </w:p>
    <w:p>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pPr>
        <w:snapToGrid w:val="0"/>
        <w:spacing w:line="360" w:lineRule="auto"/>
        <w:ind w:firstLine="120" w:firstLineChars="50"/>
        <w:rPr>
          <w:rFonts w:hint="eastAsia" w:ascii="仿宋" w:hAnsi="仿宋" w:eastAsia="仿宋" w:cs="仿宋"/>
          <w:color w:val="auto"/>
          <w:sz w:val="24"/>
        </w:rPr>
      </w:pPr>
      <w:r>
        <w:rPr>
          <w:rFonts w:hint="eastAsia" w:ascii="仿宋" w:hAnsi="仿宋" w:eastAsia="仿宋" w:cs="仿宋"/>
          <w:color w:val="auto"/>
          <w:sz w:val="24"/>
        </w:rPr>
        <w:t>(1) 符合参加政府采购活动应当具备的一般条件的承诺函……………（页码）</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（2）中小企业声明函………………………………………………………（页码）</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（3）联合协议（如果有）…………………………………………………（页码）</w:t>
      </w:r>
    </w:p>
    <w:p>
      <w:pPr>
        <w:snapToGrid w:val="0"/>
        <w:spacing w:line="360" w:lineRule="auto"/>
        <w:rPr>
          <w:rFonts w:hint="eastAsia" w:ascii="仿宋" w:hAnsi="仿宋" w:eastAsia="仿宋" w:cs="仿宋"/>
          <w:color w:val="auto"/>
          <w:sz w:val="24"/>
        </w:rPr>
      </w:pPr>
    </w:p>
    <w:p>
      <w:pPr>
        <w:snapToGrid w:val="0"/>
        <w:spacing w:line="360" w:lineRule="auto"/>
        <w:ind w:firstLine="480" w:firstLineChars="200"/>
        <w:rPr>
          <w:rFonts w:hint="eastAsia" w:ascii="仿宋" w:hAnsi="仿宋" w:eastAsia="仿宋" w:cs="仿宋"/>
          <w:color w:val="auto"/>
          <w:sz w:val="24"/>
        </w:rPr>
      </w:pPr>
    </w:p>
    <w:p>
      <w:pPr>
        <w:spacing w:line="360" w:lineRule="auto"/>
        <w:ind w:firstLine="480" w:firstLineChars="200"/>
        <w:rPr>
          <w:rFonts w:hint="eastAsia" w:ascii="仿宋" w:hAnsi="仿宋" w:eastAsia="仿宋" w:cs="仿宋"/>
          <w:color w:val="auto"/>
          <w:sz w:val="24"/>
        </w:rPr>
      </w:pPr>
    </w:p>
    <w:p>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color w:val="auto"/>
          <w:kern w:val="0"/>
          <w:sz w:val="24"/>
        </w:rPr>
        <w:br w:type="page"/>
      </w:r>
      <w:r>
        <w:rPr>
          <w:rFonts w:hint="eastAsia" w:ascii="仿宋" w:hAnsi="仿宋" w:eastAsia="仿宋" w:cs="仿宋"/>
          <w:b/>
          <w:color w:val="auto"/>
          <w:kern w:val="0"/>
          <w:sz w:val="32"/>
          <w:szCs w:val="32"/>
        </w:rPr>
        <w:t xml:space="preserve">  一、 符合参加政府采购活动应当具备的一般条件的承诺函</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 xml:space="preserve">建德市卫生健康行政执法队 </w:t>
      </w:r>
      <w:r>
        <w:rPr>
          <w:rFonts w:hint="eastAsia" w:ascii="仿宋" w:hAnsi="仿宋" w:eastAsia="仿宋" w:cs="仿宋"/>
          <w:color w:val="auto"/>
          <w:sz w:val="24"/>
        </w:rPr>
        <w:t>、</w:t>
      </w:r>
      <w:r>
        <w:rPr>
          <w:rFonts w:hint="eastAsia" w:ascii="仿宋" w:hAnsi="仿宋" w:eastAsia="仿宋" w:cs="仿宋"/>
          <w:color w:val="auto"/>
          <w:sz w:val="24"/>
          <w:lang w:eastAsia="zh-CN"/>
        </w:rPr>
        <w:t>杭州欣兴建设工程招标代理有限公司</w:t>
      </w:r>
      <w:r>
        <w:rPr>
          <w:rFonts w:hint="eastAsia" w:ascii="仿宋" w:hAnsi="仿宋" w:eastAsia="仿宋" w:cs="仿宋"/>
          <w:color w:val="auto"/>
          <w:sz w:val="24"/>
        </w:rPr>
        <w:t>：</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我方参与</w:t>
      </w:r>
      <w:r>
        <w:rPr>
          <w:rFonts w:hint="eastAsia" w:ascii="仿宋" w:hAnsi="仿宋" w:eastAsia="仿宋" w:cs="仿宋"/>
          <w:color w:val="auto"/>
          <w:sz w:val="24"/>
          <w:lang w:eastAsia="zh-CN"/>
        </w:rPr>
        <w:t>建德市2022年口腔诊疗机构智慧监管项目</w:t>
      </w:r>
      <w:r>
        <w:rPr>
          <w:rFonts w:hint="eastAsia" w:ascii="仿宋" w:hAnsi="仿宋" w:eastAsia="仿宋" w:cs="仿宋"/>
          <w:color w:val="auto"/>
          <w:sz w:val="24"/>
        </w:rPr>
        <w:t>【项目编号：</w:t>
      </w:r>
      <w:r>
        <w:rPr>
          <w:rFonts w:hint="eastAsia" w:ascii="仿宋" w:hAnsi="仿宋" w:eastAsia="仿宋" w:cs="仿宋"/>
          <w:color w:val="auto"/>
          <w:sz w:val="24"/>
          <w:lang w:eastAsia="zh-CN"/>
        </w:rPr>
        <w:t xml:space="preserve">JD2022BF- </w:t>
      </w:r>
      <w:r>
        <w:rPr>
          <w:rFonts w:hint="eastAsia" w:ascii="仿宋" w:hAnsi="仿宋" w:eastAsia="仿宋" w:cs="仿宋"/>
          <w:color w:val="auto"/>
          <w:sz w:val="24"/>
        </w:rPr>
        <w:t>】政府采购活动，郑重承诺：</w:t>
      </w:r>
    </w:p>
    <w:p>
      <w:pPr>
        <w:snapToGrid w:val="0"/>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1、具有独立承担民事责任的能力；</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3、具有履行合同所必需的设备和专业技术能力；</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4、有依法缴纳税收和社会保障资金的良好记录；</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6、具有法律、行政法规规定的其他条件。</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rPr>
      </w:pPr>
      <w:r>
        <w:rPr>
          <w:rFonts w:hint="eastAsia" w:ascii="仿宋" w:hAnsi="仿宋" w:eastAsia="仿宋" w:cs="仿宋"/>
          <w:color w:val="auto"/>
          <w:kern w:val="0"/>
          <w:sz w:val="24"/>
          <w:lang w:val="zh-CN"/>
        </w:rPr>
        <w:t>投标人名称(电子签名)：</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textWrapping"/>
      </w:r>
    </w:p>
    <w:p>
      <w:pPr>
        <w:pStyle w:val="2"/>
        <w:ind w:firstLine="420"/>
        <w:rPr>
          <w:rFonts w:hint="eastAsia" w:ascii="仿宋" w:hAnsi="仿宋" w:eastAsia="仿宋" w:cs="仿宋"/>
          <w:color w:val="auto"/>
        </w:rPr>
      </w:pPr>
    </w:p>
    <w:p>
      <w:pPr>
        <w:pStyle w:val="4"/>
        <w:rPr>
          <w:rFonts w:hint="eastAsia" w:ascii="仿宋" w:hAnsi="仿宋" w:eastAsia="仿宋" w:cs="仿宋"/>
          <w:color w:val="auto"/>
          <w:lang w:val="en-US"/>
        </w:rPr>
      </w:pPr>
    </w:p>
    <w:p>
      <w:pPr>
        <w:pStyle w:val="6"/>
        <w:rPr>
          <w:rFonts w:hint="eastAsia" w:ascii="仿宋" w:hAnsi="仿宋" w:eastAsia="仿宋" w:cs="仿宋"/>
          <w:color w:val="auto"/>
        </w:rPr>
      </w:pPr>
    </w:p>
    <w:p>
      <w:pPr>
        <w:rPr>
          <w:rFonts w:hint="eastAsia" w:ascii="仿宋" w:hAnsi="仿宋" w:eastAsia="仿宋" w:cs="仿宋"/>
          <w:color w:val="auto"/>
        </w:rPr>
      </w:pPr>
    </w:p>
    <w:p>
      <w:pPr>
        <w:pStyle w:val="2"/>
        <w:rPr>
          <w:rFonts w:hint="eastAsia"/>
          <w:color w:val="auto"/>
        </w:rPr>
      </w:pPr>
    </w:p>
    <w:p>
      <w:pPr>
        <w:pStyle w:val="2"/>
        <w:ind w:firstLine="420"/>
        <w:rPr>
          <w:rFonts w:hint="eastAsia" w:ascii="仿宋" w:hAnsi="仿宋" w:eastAsia="仿宋" w:cs="仿宋"/>
          <w:color w:val="auto"/>
        </w:rPr>
      </w:pPr>
    </w:p>
    <w:p>
      <w:pPr>
        <w:pStyle w:val="691"/>
        <w:keepNext w:val="0"/>
        <w:pageBreakBefore w:val="0"/>
        <w:tabs>
          <w:tab w:val="clear" w:pos="720"/>
        </w:tabs>
        <w:snapToGrid w:val="0"/>
        <w:spacing w:before="120" w:after="120"/>
        <w:outlineLvl w:val="9"/>
        <w:rPr>
          <w:rFonts w:hint="eastAsia" w:ascii="仿宋" w:hAnsi="仿宋" w:eastAsia="仿宋" w:cs="仿宋"/>
          <w:color w:val="auto"/>
          <w:sz w:val="32"/>
          <w:szCs w:val="32"/>
        </w:rPr>
      </w:pPr>
      <w:r>
        <w:rPr>
          <w:rFonts w:hint="eastAsia" w:ascii="仿宋" w:hAnsi="仿宋" w:eastAsia="仿宋" w:cs="仿宋"/>
          <w:color w:val="auto"/>
          <w:kern w:val="2"/>
          <w:sz w:val="32"/>
          <w:szCs w:val="32"/>
        </w:rPr>
        <w:t>二、</w:t>
      </w:r>
      <w:r>
        <w:rPr>
          <w:rFonts w:hint="eastAsia" w:ascii="仿宋" w:hAnsi="仿宋" w:eastAsia="仿宋" w:cs="仿宋"/>
          <w:color w:val="auto"/>
          <w:sz w:val="32"/>
          <w:szCs w:val="32"/>
        </w:rPr>
        <w:t>中小企业声明函</w:t>
      </w:r>
    </w:p>
    <w:p>
      <w:pPr>
        <w:widowControl/>
        <w:spacing w:line="360" w:lineRule="auto"/>
        <w:ind w:firstLine="120" w:firstLineChars="50"/>
        <w:jc w:val="left"/>
        <w:rPr>
          <w:rFonts w:hint="eastAsia" w:ascii="仿宋" w:hAnsi="仿宋" w:eastAsia="仿宋" w:cs="仿宋"/>
          <w:b/>
          <w:color w:val="auto"/>
          <w:sz w:val="24"/>
        </w:rPr>
      </w:pPr>
      <w:r>
        <w:rPr>
          <w:rFonts w:hint="eastAsia" w:ascii="仿宋" w:hAnsi="仿宋" w:eastAsia="仿宋" w:cs="仿宋"/>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widowControl/>
        <w:spacing w:line="360" w:lineRule="auto"/>
        <w:ind w:firstLine="643" w:firstLineChars="200"/>
        <w:jc w:val="center"/>
        <w:rPr>
          <w:rFonts w:hint="eastAsia" w:ascii="仿宋" w:hAnsi="仿宋" w:eastAsia="仿宋" w:cs="仿宋"/>
          <w:b/>
          <w:color w:val="auto"/>
          <w:kern w:val="0"/>
          <w:sz w:val="32"/>
          <w:szCs w:val="32"/>
        </w:rPr>
      </w:pPr>
    </w:p>
    <w:p>
      <w:pPr>
        <w:widowControl/>
        <w:spacing w:line="360" w:lineRule="auto"/>
        <w:ind w:firstLine="643" w:firstLineChars="200"/>
        <w:jc w:val="center"/>
        <w:rPr>
          <w:rFonts w:hint="eastAsia" w:ascii="仿宋" w:hAnsi="仿宋" w:eastAsia="仿宋" w:cs="仿宋"/>
          <w:b/>
          <w:color w:val="auto"/>
          <w:kern w:val="0"/>
          <w:sz w:val="32"/>
          <w:szCs w:val="32"/>
        </w:rPr>
      </w:pPr>
    </w:p>
    <w:p>
      <w:pPr>
        <w:widowControl/>
        <w:spacing w:line="360" w:lineRule="auto"/>
        <w:ind w:firstLine="643" w:firstLineChars="200"/>
        <w:jc w:val="center"/>
        <w:rPr>
          <w:rFonts w:hint="eastAsia" w:ascii="仿宋" w:hAnsi="仿宋" w:eastAsia="仿宋" w:cs="仿宋"/>
          <w:b/>
          <w:color w:val="auto"/>
          <w:kern w:val="0"/>
          <w:sz w:val="32"/>
          <w:szCs w:val="32"/>
        </w:rPr>
      </w:pPr>
    </w:p>
    <w:p>
      <w:pPr>
        <w:widowControl/>
        <w:spacing w:line="360" w:lineRule="auto"/>
        <w:ind w:firstLine="643" w:firstLineChars="200"/>
        <w:jc w:val="center"/>
        <w:rPr>
          <w:rFonts w:hint="eastAsia" w:ascii="仿宋" w:hAnsi="仿宋" w:eastAsia="仿宋" w:cs="仿宋"/>
          <w:b/>
          <w:color w:val="auto"/>
          <w:kern w:val="0"/>
          <w:sz w:val="32"/>
          <w:szCs w:val="32"/>
        </w:rPr>
      </w:pPr>
    </w:p>
    <w:p>
      <w:pPr>
        <w:widowControl/>
        <w:spacing w:line="360" w:lineRule="auto"/>
        <w:ind w:firstLine="643" w:firstLineChars="200"/>
        <w:jc w:val="center"/>
        <w:rPr>
          <w:rFonts w:hint="eastAsia" w:ascii="仿宋" w:hAnsi="仿宋" w:eastAsia="仿宋" w:cs="仿宋"/>
          <w:b/>
          <w:color w:val="auto"/>
          <w:kern w:val="0"/>
          <w:sz w:val="32"/>
          <w:szCs w:val="32"/>
        </w:rPr>
      </w:pPr>
    </w:p>
    <w:p>
      <w:pPr>
        <w:widowControl/>
        <w:spacing w:line="360" w:lineRule="auto"/>
        <w:ind w:firstLine="643" w:firstLineChars="20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三、联合协议（如果有）</w:t>
      </w:r>
    </w:p>
    <w:p>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[以联合体形式投标的，提供联合协议（附件6）；本项目不接受联合体投标或者投标人不以联合体形式投标的，则不需要提供]</w:t>
      </w:r>
    </w:p>
    <w:p>
      <w:pPr>
        <w:snapToGrid w:val="0"/>
        <w:spacing w:line="360" w:lineRule="auto"/>
        <w:ind w:right="480"/>
        <w:rPr>
          <w:rFonts w:hint="eastAsia" w:ascii="仿宋" w:hAnsi="仿宋" w:eastAsia="仿宋" w:cs="仿宋"/>
          <w:b/>
          <w:color w:val="auto"/>
          <w:kern w:val="0"/>
          <w:sz w:val="32"/>
          <w:szCs w:val="32"/>
        </w:rPr>
      </w:pPr>
    </w:p>
    <w:p>
      <w:pPr>
        <w:spacing w:line="360" w:lineRule="auto"/>
        <w:ind w:right="420"/>
        <w:rPr>
          <w:rFonts w:hint="eastAsia" w:ascii="仿宋" w:hAnsi="仿宋" w:eastAsia="仿宋" w:cs="仿宋"/>
          <w:b/>
          <w:color w:val="auto"/>
          <w:kern w:val="0"/>
          <w:sz w:val="32"/>
          <w:szCs w:val="32"/>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pStyle w:val="2"/>
        <w:ind w:firstLine="420"/>
        <w:rPr>
          <w:rFonts w:hint="eastAsia" w:ascii="仿宋" w:hAnsi="仿宋" w:eastAsia="仿宋" w:cs="仿宋"/>
          <w:color w:val="auto"/>
        </w:rPr>
      </w:pPr>
    </w:p>
    <w:p>
      <w:pPr>
        <w:pStyle w:val="4"/>
        <w:rPr>
          <w:rFonts w:hint="eastAsia" w:ascii="仿宋" w:hAnsi="仿宋" w:eastAsia="仿宋" w:cs="仿宋"/>
          <w:color w:val="auto"/>
          <w:lang w:val="en-US"/>
        </w:rPr>
      </w:pPr>
    </w:p>
    <w:p>
      <w:pPr>
        <w:pStyle w:val="6"/>
        <w:rPr>
          <w:rFonts w:hint="eastAsia" w:ascii="仿宋" w:hAnsi="仿宋" w:eastAsia="仿宋" w:cs="仿宋"/>
          <w:color w:val="auto"/>
        </w:rPr>
      </w:pPr>
    </w:p>
    <w:p>
      <w:pPr>
        <w:rPr>
          <w:rFonts w:hint="eastAsia" w:ascii="仿宋" w:hAnsi="仿宋" w:eastAsia="仿宋" w:cs="仿宋"/>
          <w:color w:val="auto"/>
        </w:rPr>
      </w:pPr>
    </w:p>
    <w:p>
      <w:pPr>
        <w:pStyle w:val="2"/>
        <w:ind w:firstLine="420"/>
        <w:rPr>
          <w:rFonts w:hint="eastAsia" w:ascii="仿宋" w:hAnsi="仿宋" w:eastAsia="仿宋" w:cs="仿宋"/>
          <w:color w:val="auto"/>
        </w:rPr>
      </w:pPr>
    </w:p>
    <w:p>
      <w:pPr>
        <w:pStyle w:val="2"/>
        <w:ind w:left="0" w:leftChars="0" w:firstLine="0" w:firstLineChars="0"/>
        <w:rPr>
          <w:rFonts w:hint="eastAsia" w:ascii="仿宋" w:hAnsi="仿宋" w:eastAsia="仿宋" w:cs="仿宋"/>
          <w:color w:val="auto"/>
        </w:rPr>
      </w:pPr>
    </w:p>
    <w:p>
      <w:pPr>
        <w:spacing w:line="360" w:lineRule="auto"/>
        <w:ind w:right="420" w:firstLine="3614" w:firstLineChars="100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商务技术文件部分</w:t>
      </w:r>
    </w:p>
    <w:p>
      <w:pPr>
        <w:spacing w:line="360" w:lineRule="auto"/>
        <w:jc w:val="center"/>
        <w:outlineLvl w:val="0"/>
        <w:rPr>
          <w:rFonts w:hint="eastAsia" w:ascii="仿宋" w:hAnsi="仿宋" w:eastAsia="仿宋" w:cs="仿宋"/>
          <w:b/>
          <w:color w:val="auto"/>
          <w:kern w:val="0"/>
          <w:sz w:val="24"/>
        </w:rPr>
      </w:pPr>
    </w:p>
    <w:p>
      <w:pPr>
        <w:spacing w:line="360" w:lineRule="auto"/>
        <w:jc w:val="center"/>
        <w:outlineLvl w:val="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目录</w:t>
      </w:r>
    </w:p>
    <w:p>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（1）投标函</w:t>
      </w:r>
      <w:r>
        <w:rPr>
          <w:rFonts w:hint="eastAsia" w:ascii="仿宋" w:hAnsi="仿宋" w:eastAsia="仿宋" w:cs="仿宋"/>
          <w:color w:val="auto"/>
        </w:rPr>
        <w:t>…………………………………………………………………………………（页码）</w:t>
      </w:r>
      <w:r>
        <w:rPr>
          <w:rFonts w:hint="eastAsia" w:ascii="仿宋" w:hAnsi="仿宋" w:eastAsia="仿宋" w:cs="仿宋"/>
          <w:color w:val="auto"/>
          <w:sz w:val="24"/>
        </w:rPr>
        <w:t>（2）授权委托书或法定代表人（单位负责人、自然人本人）身份证明</w:t>
      </w:r>
      <w:r>
        <w:rPr>
          <w:rFonts w:hint="eastAsia" w:ascii="仿宋" w:hAnsi="仿宋" w:eastAsia="仿宋" w:cs="仿宋"/>
          <w:color w:val="auto"/>
        </w:rPr>
        <w:t>………（页码）</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（3）分包意向协议（如果有）…………………………………………………（页码）</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rPr>
        <w:t>（4）符合性审查资料</w:t>
      </w:r>
      <w:r>
        <w:rPr>
          <w:rFonts w:hint="eastAsia" w:ascii="仿宋" w:hAnsi="仿宋" w:eastAsia="仿宋" w:cs="仿宋"/>
          <w:color w:val="auto"/>
        </w:rPr>
        <w:t>………………………………………………………………………（页码）</w:t>
      </w:r>
    </w:p>
    <w:p>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（5）评标标准相应的商务技术资料</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……………（页码）</w:t>
      </w:r>
    </w:p>
    <w:p>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（6）商务技术偏离表</w:t>
      </w:r>
      <w:r>
        <w:rPr>
          <w:rFonts w:hint="eastAsia" w:ascii="仿宋" w:hAnsi="仿宋" w:eastAsia="仿宋" w:cs="仿宋"/>
          <w:color w:val="auto"/>
        </w:rPr>
        <w:t>………………………………………………………………………（页码）</w:t>
      </w:r>
    </w:p>
    <w:p>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lang w:val="zh-CN"/>
        </w:rPr>
        <w:t>（</w:t>
      </w:r>
      <w:r>
        <w:rPr>
          <w:rFonts w:hint="eastAsia" w:ascii="仿宋" w:hAnsi="仿宋" w:eastAsia="仿宋" w:cs="仿宋"/>
          <w:color w:val="auto"/>
          <w:sz w:val="24"/>
        </w:rPr>
        <w:t>7</w:t>
      </w:r>
      <w:r>
        <w:rPr>
          <w:rFonts w:hint="eastAsia" w:ascii="仿宋" w:hAnsi="仿宋" w:eastAsia="仿宋" w:cs="仿宋"/>
          <w:color w:val="auto"/>
          <w:sz w:val="24"/>
          <w:lang w:val="zh-CN"/>
        </w:rPr>
        <w:t>）政府采购供应商廉洁自律承诺书</w:t>
      </w:r>
      <w:r>
        <w:rPr>
          <w:rFonts w:hint="eastAsia" w:ascii="仿宋" w:hAnsi="仿宋" w:eastAsia="仿宋" w:cs="仿宋"/>
          <w:color w:val="auto"/>
        </w:rPr>
        <w:t>…………………………………………………（页码）</w:t>
      </w: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outlineLvl w:val="0"/>
        <w:rPr>
          <w:rFonts w:hint="eastAsia" w:ascii="仿宋" w:hAnsi="仿宋" w:eastAsia="仿宋" w:cs="仿宋"/>
          <w:b/>
          <w:color w:val="auto"/>
          <w:kern w:val="0"/>
          <w:sz w:val="32"/>
          <w:szCs w:val="32"/>
        </w:rPr>
      </w:pPr>
    </w:p>
    <w:p>
      <w:pPr>
        <w:snapToGrid w:val="0"/>
        <w:spacing w:line="360" w:lineRule="auto"/>
        <w:jc w:val="center"/>
        <w:outlineLvl w:val="0"/>
        <w:rPr>
          <w:rFonts w:hint="eastAsia" w:ascii="仿宋" w:hAnsi="仿宋" w:eastAsia="仿宋" w:cs="仿宋"/>
          <w:b/>
          <w:color w:val="auto"/>
          <w:kern w:val="0"/>
          <w:sz w:val="32"/>
          <w:szCs w:val="32"/>
        </w:rPr>
      </w:pPr>
    </w:p>
    <w:p>
      <w:pPr>
        <w:rPr>
          <w:rFonts w:hint="eastAsia" w:ascii="仿宋" w:hAnsi="仿宋" w:eastAsia="仿宋" w:cs="仿宋"/>
          <w:color w:val="auto"/>
        </w:rPr>
      </w:pPr>
    </w:p>
    <w:p>
      <w:pPr>
        <w:snapToGrid w:val="0"/>
        <w:spacing w:line="360" w:lineRule="auto"/>
        <w:jc w:val="center"/>
        <w:outlineLvl w:val="0"/>
        <w:rPr>
          <w:rFonts w:hint="eastAsia" w:ascii="仿宋" w:hAnsi="仿宋" w:eastAsia="仿宋" w:cs="仿宋"/>
          <w:b/>
          <w:color w:val="auto"/>
          <w:kern w:val="0"/>
          <w:sz w:val="32"/>
          <w:szCs w:val="32"/>
        </w:rPr>
      </w:pPr>
    </w:p>
    <w:p>
      <w:pPr>
        <w:snapToGrid w:val="0"/>
        <w:spacing w:line="360" w:lineRule="auto"/>
        <w:outlineLvl w:val="0"/>
        <w:rPr>
          <w:rFonts w:hint="eastAsia" w:ascii="仿宋" w:hAnsi="仿宋" w:eastAsia="仿宋" w:cs="仿宋"/>
          <w:b/>
          <w:color w:val="auto"/>
          <w:kern w:val="0"/>
          <w:sz w:val="32"/>
          <w:szCs w:val="32"/>
        </w:rPr>
      </w:pPr>
    </w:p>
    <w:p>
      <w:pPr>
        <w:pStyle w:val="2"/>
        <w:ind w:firstLine="420"/>
        <w:rPr>
          <w:rFonts w:hint="eastAsia" w:ascii="仿宋" w:hAnsi="仿宋" w:eastAsia="仿宋" w:cs="仿宋"/>
          <w:color w:val="auto"/>
        </w:rPr>
      </w:pPr>
    </w:p>
    <w:p>
      <w:pPr>
        <w:pStyle w:val="4"/>
        <w:rPr>
          <w:rFonts w:hint="eastAsia" w:ascii="仿宋" w:hAnsi="仿宋" w:eastAsia="仿宋" w:cs="仿宋"/>
          <w:color w:val="auto"/>
          <w:lang w:val="en-US"/>
        </w:rPr>
      </w:pPr>
    </w:p>
    <w:p>
      <w:pPr>
        <w:pStyle w:val="6"/>
        <w:rPr>
          <w:rFonts w:hint="eastAsia" w:ascii="仿宋" w:hAnsi="仿宋" w:eastAsia="仿宋" w:cs="仿宋"/>
          <w:color w:val="auto"/>
        </w:rPr>
      </w:pPr>
    </w:p>
    <w:p>
      <w:pPr>
        <w:rPr>
          <w:rFonts w:hint="eastAsia" w:ascii="仿宋" w:hAnsi="仿宋" w:eastAsia="仿宋" w:cs="仿宋"/>
          <w:color w:val="auto"/>
        </w:rPr>
      </w:pPr>
    </w:p>
    <w:p>
      <w:pPr>
        <w:pStyle w:val="2"/>
        <w:ind w:firstLine="420"/>
        <w:rPr>
          <w:rFonts w:hint="eastAsia" w:ascii="仿宋" w:hAnsi="仿宋" w:eastAsia="仿宋" w:cs="仿宋"/>
          <w:color w:val="auto"/>
        </w:rPr>
      </w:pPr>
    </w:p>
    <w:p>
      <w:pPr>
        <w:pStyle w:val="4"/>
        <w:rPr>
          <w:rFonts w:hint="eastAsia" w:ascii="仿宋" w:hAnsi="仿宋" w:eastAsia="仿宋" w:cs="仿宋"/>
          <w:color w:val="auto"/>
          <w:lang w:val="en-US"/>
        </w:rPr>
      </w:pPr>
    </w:p>
    <w:p>
      <w:pPr>
        <w:pStyle w:val="6"/>
        <w:rPr>
          <w:rFonts w:hint="eastAsia" w:ascii="仿宋" w:hAnsi="仿宋" w:eastAsia="仿宋" w:cs="仿宋"/>
          <w:color w:val="auto"/>
        </w:rPr>
      </w:pPr>
    </w:p>
    <w:p>
      <w:pPr>
        <w:snapToGrid w:val="0"/>
        <w:spacing w:line="360" w:lineRule="auto"/>
        <w:jc w:val="both"/>
        <w:outlineLvl w:val="0"/>
        <w:rPr>
          <w:rFonts w:hint="eastAsia" w:ascii="仿宋" w:hAnsi="仿宋" w:eastAsia="仿宋" w:cs="仿宋"/>
          <w:b/>
          <w:color w:val="auto"/>
          <w:kern w:val="0"/>
          <w:sz w:val="32"/>
          <w:szCs w:val="32"/>
        </w:rPr>
      </w:pPr>
    </w:p>
    <w:p>
      <w:pPr>
        <w:snapToGrid w:val="0"/>
        <w:spacing w:line="360" w:lineRule="auto"/>
        <w:ind w:firstLine="3534" w:firstLineChars="1100"/>
        <w:jc w:val="both"/>
        <w:outlineLvl w:val="0"/>
        <w:rPr>
          <w:rFonts w:hint="eastAsia" w:ascii="仿宋" w:hAnsi="仿宋" w:eastAsia="仿宋" w:cs="仿宋"/>
          <w:b/>
          <w:color w:val="auto"/>
          <w:sz w:val="32"/>
          <w:szCs w:val="32"/>
        </w:rPr>
      </w:pPr>
      <w:r>
        <w:rPr>
          <w:rFonts w:hint="eastAsia" w:ascii="仿宋" w:hAnsi="仿宋" w:eastAsia="仿宋" w:cs="仿宋"/>
          <w:b/>
          <w:color w:val="auto"/>
          <w:kern w:val="0"/>
          <w:sz w:val="32"/>
          <w:szCs w:val="32"/>
        </w:rPr>
        <w:t>一、投标</w:t>
      </w:r>
      <w:r>
        <w:rPr>
          <w:rFonts w:hint="eastAsia" w:ascii="仿宋" w:hAnsi="仿宋" w:eastAsia="仿宋" w:cs="仿宋"/>
          <w:b/>
          <w:color w:val="auto"/>
          <w:sz w:val="32"/>
          <w:szCs w:val="32"/>
        </w:rPr>
        <w:t>函</w:t>
      </w:r>
    </w:p>
    <w:p>
      <w:pPr>
        <w:snapToGrid w:val="0"/>
        <w:spacing w:line="360" w:lineRule="auto"/>
        <w:rPr>
          <w:rFonts w:hint="eastAsia" w:ascii="仿宋" w:hAnsi="仿宋" w:eastAsia="仿宋" w:cs="仿宋"/>
          <w:color w:val="auto"/>
          <w:sz w:val="24"/>
          <w:u w:val="single"/>
        </w:rPr>
      </w:pPr>
      <w:r>
        <w:rPr>
          <w:rFonts w:hint="eastAsia" w:ascii="仿宋" w:hAnsi="仿宋" w:eastAsia="仿宋" w:cs="仿宋"/>
          <w:color w:val="auto"/>
          <w:sz w:val="24"/>
          <w:u w:val="single"/>
          <w:lang w:eastAsia="zh-CN"/>
        </w:rPr>
        <w:t xml:space="preserve">建德市卫生健康行政执法队 </w:t>
      </w:r>
      <w:r>
        <w:rPr>
          <w:rFonts w:hint="eastAsia" w:ascii="仿宋" w:hAnsi="仿宋" w:eastAsia="仿宋" w:cs="仿宋"/>
          <w:color w:val="auto"/>
          <w:sz w:val="24"/>
          <w:u w:val="single"/>
        </w:rPr>
        <w:t>、</w:t>
      </w:r>
      <w:r>
        <w:rPr>
          <w:rFonts w:hint="eastAsia" w:ascii="仿宋" w:hAnsi="仿宋" w:eastAsia="仿宋" w:cs="仿宋"/>
          <w:color w:val="auto"/>
          <w:sz w:val="24"/>
          <w:u w:val="single"/>
          <w:lang w:eastAsia="zh-CN"/>
        </w:rPr>
        <w:t>杭州欣兴建设工程招标代理有限公司</w:t>
      </w:r>
      <w:r>
        <w:rPr>
          <w:rFonts w:hint="eastAsia" w:ascii="仿宋" w:hAnsi="仿宋" w:eastAsia="仿宋" w:cs="仿宋"/>
          <w:color w:val="auto"/>
          <w:sz w:val="24"/>
          <w:u w:val="single"/>
        </w:rPr>
        <w:t>：</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我方参加你方组织的</w:t>
      </w:r>
      <w:r>
        <w:rPr>
          <w:rFonts w:hint="eastAsia" w:ascii="仿宋" w:hAnsi="仿宋" w:eastAsia="仿宋" w:cs="仿宋"/>
          <w:color w:val="auto"/>
          <w:sz w:val="24"/>
          <w:lang w:eastAsia="zh-CN"/>
        </w:rPr>
        <w:t>建德市2022年口腔诊疗机构智慧监管项目</w:t>
      </w:r>
      <w:r>
        <w:rPr>
          <w:rFonts w:hint="eastAsia" w:ascii="仿宋" w:hAnsi="仿宋" w:eastAsia="仿宋" w:cs="仿宋"/>
          <w:color w:val="auto"/>
          <w:sz w:val="24"/>
        </w:rPr>
        <w:t>【项目编号：</w:t>
      </w:r>
      <w:r>
        <w:rPr>
          <w:rFonts w:hint="eastAsia" w:ascii="仿宋" w:hAnsi="仿宋" w:eastAsia="仿宋" w:cs="仿宋"/>
          <w:color w:val="auto"/>
          <w:sz w:val="24"/>
          <w:lang w:eastAsia="zh-CN"/>
        </w:rPr>
        <w:t xml:space="preserve">JD2022BF- </w:t>
      </w:r>
      <w:r>
        <w:rPr>
          <w:rFonts w:hint="eastAsia" w:ascii="仿宋" w:hAnsi="仿宋" w:eastAsia="仿宋" w:cs="仿宋"/>
          <w:color w:val="auto"/>
          <w:sz w:val="24"/>
        </w:rPr>
        <w:t>】招标的有关活动，并对此项目进行投标。为此：</w:t>
      </w:r>
    </w:p>
    <w:p>
      <w:pPr>
        <w:snapToGrid w:val="0"/>
        <w:spacing w:line="24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1、我方承诺投标有效期从提交投标文件的截止之日起</w:t>
      </w:r>
      <w:r>
        <w:rPr>
          <w:rFonts w:hint="eastAsia" w:ascii="仿宋" w:hAnsi="仿宋" w:eastAsia="仿宋" w:cs="仿宋"/>
          <w:color w:val="auto"/>
          <w:sz w:val="24"/>
          <w:u w:val="single"/>
        </w:rPr>
        <w:t xml:space="preserve">     </w:t>
      </w:r>
      <w:r>
        <w:rPr>
          <w:rFonts w:hint="eastAsia" w:ascii="仿宋" w:hAnsi="仿宋" w:eastAsia="仿宋" w:cs="仿宋"/>
          <w:color w:val="auto"/>
          <w:sz w:val="24"/>
        </w:rPr>
        <w:t>天（不少于90天）</w:t>
      </w:r>
      <w:r>
        <w:rPr>
          <w:rFonts w:hint="eastAsia" w:ascii="仿宋" w:hAnsi="仿宋" w:eastAsia="仿宋" w:cs="仿宋"/>
          <w:color w:val="auto"/>
        </w:rPr>
        <w:t>，</w:t>
      </w:r>
      <w:r>
        <w:rPr>
          <w:rFonts w:hint="eastAsia" w:ascii="仿宋" w:hAnsi="仿宋" w:eastAsia="仿宋" w:cs="仿宋"/>
          <w:color w:val="auto"/>
          <w:sz w:val="24"/>
        </w:rPr>
        <w:t>本投标文件在投标有效期满之前均具有约束力。</w:t>
      </w:r>
    </w:p>
    <w:p>
      <w:pPr>
        <w:snapToGrid w:val="0"/>
        <w:spacing w:line="24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2、我方的投标文件包括以下内容：</w:t>
      </w:r>
    </w:p>
    <w:p>
      <w:pPr>
        <w:snapToGrid w:val="0"/>
        <w:spacing w:line="360" w:lineRule="auto"/>
        <w:ind w:left="210" w:leftChars="100" w:firstLine="482" w:firstLineChars="200"/>
        <w:rPr>
          <w:rFonts w:hint="eastAsia" w:ascii="仿宋" w:hAnsi="仿宋" w:eastAsia="仿宋" w:cs="仿宋"/>
          <w:color w:val="auto"/>
          <w:sz w:val="24"/>
        </w:rPr>
      </w:pPr>
      <w:r>
        <w:rPr>
          <w:rFonts w:hint="eastAsia" w:ascii="仿宋" w:hAnsi="仿宋" w:eastAsia="仿宋" w:cs="仿宋"/>
          <w:b/>
          <w:color w:val="auto"/>
          <w:sz w:val="24"/>
        </w:rPr>
        <w:t>2.1资格文件</w:t>
      </w:r>
      <w:r>
        <w:rPr>
          <w:rFonts w:hint="eastAsia" w:ascii="仿宋" w:hAnsi="仿宋" w:eastAsia="仿宋" w:cs="仿宋"/>
          <w:color w:val="auto"/>
          <w:sz w:val="24"/>
        </w:rPr>
        <w:t>：</w:t>
      </w:r>
    </w:p>
    <w:p>
      <w:pPr>
        <w:snapToGrid w:val="0"/>
        <w:spacing w:line="360" w:lineRule="auto"/>
        <w:ind w:firstLine="840" w:firstLineChars="350"/>
        <w:rPr>
          <w:rFonts w:hint="eastAsia" w:ascii="仿宋" w:hAnsi="仿宋" w:eastAsia="仿宋" w:cs="仿宋"/>
          <w:color w:val="auto"/>
          <w:sz w:val="24"/>
        </w:rPr>
      </w:pPr>
      <w:r>
        <w:rPr>
          <w:rFonts w:hint="eastAsia" w:ascii="仿宋" w:hAnsi="仿宋" w:eastAsia="仿宋" w:cs="仿宋"/>
          <w:color w:val="auto"/>
          <w:sz w:val="24"/>
        </w:rPr>
        <w:t>2.1.1承诺函；</w:t>
      </w:r>
    </w:p>
    <w:p>
      <w:pPr>
        <w:snapToGrid w:val="0"/>
        <w:spacing w:line="360" w:lineRule="auto"/>
        <w:ind w:firstLine="840" w:firstLineChars="350"/>
        <w:rPr>
          <w:rFonts w:hint="eastAsia" w:ascii="仿宋" w:hAnsi="仿宋" w:eastAsia="仿宋" w:cs="仿宋"/>
          <w:color w:val="auto"/>
          <w:sz w:val="24"/>
        </w:rPr>
      </w:pPr>
      <w:r>
        <w:rPr>
          <w:rFonts w:hint="eastAsia" w:ascii="仿宋" w:hAnsi="仿宋" w:eastAsia="仿宋" w:cs="仿宋"/>
          <w:color w:val="auto"/>
          <w:sz w:val="24"/>
        </w:rPr>
        <w:t>2.1.2中小企业声明函</w:t>
      </w:r>
    </w:p>
    <w:p>
      <w:pPr>
        <w:snapToGrid w:val="0"/>
        <w:spacing w:line="360" w:lineRule="auto"/>
        <w:ind w:firstLine="840" w:firstLineChars="350"/>
        <w:rPr>
          <w:rFonts w:hint="eastAsia" w:ascii="仿宋" w:hAnsi="仿宋" w:eastAsia="仿宋" w:cs="仿宋"/>
          <w:color w:val="auto"/>
          <w:sz w:val="24"/>
        </w:rPr>
      </w:pPr>
      <w:r>
        <w:rPr>
          <w:rFonts w:hint="eastAsia" w:ascii="仿宋" w:hAnsi="仿宋" w:eastAsia="仿宋" w:cs="仿宋"/>
          <w:color w:val="auto"/>
          <w:sz w:val="24"/>
        </w:rPr>
        <w:t>2.1.3联合协议（如果有）；</w:t>
      </w:r>
    </w:p>
    <w:p>
      <w:pPr>
        <w:snapToGrid w:val="0"/>
        <w:spacing w:line="360" w:lineRule="auto"/>
        <w:ind w:firstLine="723" w:firstLineChars="300"/>
        <w:rPr>
          <w:rFonts w:hint="eastAsia" w:ascii="仿宋" w:hAnsi="仿宋" w:eastAsia="仿宋" w:cs="仿宋"/>
          <w:b/>
          <w:color w:val="auto"/>
          <w:sz w:val="24"/>
          <w:lang w:val="zh-CN"/>
        </w:rPr>
      </w:pPr>
      <w:r>
        <w:rPr>
          <w:rFonts w:hint="eastAsia" w:ascii="仿宋" w:hAnsi="仿宋" w:eastAsia="仿宋" w:cs="仿宋"/>
          <w:b/>
          <w:color w:val="auto"/>
          <w:sz w:val="24"/>
        </w:rPr>
        <w:t>2</w:t>
      </w:r>
      <w:r>
        <w:rPr>
          <w:rFonts w:hint="eastAsia" w:ascii="仿宋" w:hAnsi="仿宋" w:eastAsia="仿宋" w:cs="仿宋"/>
          <w:b/>
          <w:color w:val="auto"/>
          <w:sz w:val="24"/>
          <w:lang w:val="zh-CN"/>
        </w:rPr>
        <w:t>.</w:t>
      </w:r>
      <w:r>
        <w:rPr>
          <w:rFonts w:hint="eastAsia" w:ascii="仿宋" w:hAnsi="仿宋" w:eastAsia="仿宋" w:cs="仿宋"/>
          <w:b/>
          <w:color w:val="auto"/>
          <w:sz w:val="24"/>
        </w:rPr>
        <w:t>2</w:t>
      </w:r>
      <w:r>
        <w:rPr>
          <w:rFonts w:hint="eastAsia" w:ascii="仿宋" w:hAnsi="仿宋" w:eastAsia="仿宋" w:cs="仿宋"/>
          <w:b/>
          <w:color w:val="auto"/>
          <w:sz w:val="24"/>
          <w:lang w:val="zh-CN"/>
        </w:rPr>
        <w:t xml:space="preserve"> </w:t>
      </w:r>
      <w:r>
        <w:rPr>
          <w:rFonts w:hint="eastAsia" w:ascii="仿宋" w:hAnsi="仿宋" w:eastAsia="仿宋" w:cs="仿宋"/>
          <w:b/>
          <w:color w:val="auto"/>
          <w:sz w:val="24"/>
        </w:rPr>
        <w:t>商务技术</w:t>
      </w:r>
      <w:r>
        <w:rPr>
          <w:rFonts w:hint="eastAsia" w:ascii="仿宋" w:hAnsi="仿宋" w:eastAsia="仿宋" w:cs="仿宋"/>
          <w:b/>
          <w:color w:val="auto"/>
          <w:sz w:val="24"/>
          <w:lang w:val="zh-CN"/>
        </w:rPr>
        <w:t>文件：</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2.2.1投标函；</w:t>
      </w:r>
      <w:r>
        <w:rPr>
          <w:rFonts w:hint="eastAsia" w:ascii="仿宋" w:hAnsi="仿宋" w:eastAsia="仿宋" w:cs="仿宋"/>
          <w:color w:val="auto"/>
          <w:sz w:val="24"/>
          <w:lang w:val="zh-CN"/>
        </w:rPr>
        <w:t xml:space="preserve"> </w:t>
      </w:r>
    </w:p>
    <w:p>
      <w:pPr>
        <w:snapToGrid w:val="0"/>
        <w:spacing w:line="360" w:lineRule="auto"/>
        <w:ind w:left="210" w:leftChars="100" w:firstLine="720" w:firstLineChars="300"/>
        <w:rPr>
          <w:rFonts w:hint="eastAsia" w:ascii="仿宋" w:hAnsi="仿宋" w:eastAsia="仿宋" w:cs="仿宋"/>
          <w:color w:val="auto"/>
          <w:sz w:val="24"/>
        </w:rPr>
      </w:pPr>
      <w:r>
        <w:rPr>
          <w:rFonts w:hint="eastAsia" w:ascii="仿宋" w:hAnsi="仿宋" w:eastAsia="仿宋" w:cs="仿宋"/>
          <w:color w:val="auto"/>
          <w:sz w:val="24"/>
        </w:rPr>
        <w:t>2.2.2授权委托书或法定代表人（单位负责人）身份证明；</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2.2.3分包意向协议（如果有）；</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2.2.4符合性审查资料；</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2.2.5评标标准相应的商务技术资料；</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2.2.6商务技术偏离表；</w:t>
      </w:r>
    </w:p>
    <w:p>
      <w:pPr>
        <w:snapToGrid w:val="0"/>
        <w:spacing w:line="360" w:lineRule="auto"/>
        <w:ind w:left="420" w:leftChars="2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7</w:t>
      </w:r>
      <w:r>
        <w:rPr>
          <w:rFonts w:hint="eastAsia" w:ascii="仿宋" w:hAnsi="仿宋" w:eastAsia="仿宋" w:cs="仿宋"/>
          <w:color w:val="auto"/>
          <w:sz w:val="24"/>
          <w:lang w:val="zh-CN"/>
        </w:rPr>
        <w:t>政府采购供应商廉洁自律承诺书；</w:t>
      </w:r>
    </w:p>
    <w:p>
      <w:pPr>
        <w:snapToGrid w:val="0"/>
        <w:spacing w:line="360" w:lineRule="auto"/>
        <w:ind w:left="210" w:leftChars="100" w:firstLine="482" w:firstLineChars="200"/>
        <w:rPr>
          <w:rFonts w:hint="eastAsia"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b/>
          <w:color w:val="auto"/>
          <w:sz w:val="24"/>
          <w:lang w:val="zh-CN"/>
        </w:rPr>
        <w:t>.</w:t>
      </w:r>
      <w:r>
        <w:rPr>
          <w:rFonts w:hint="eastAsia" w:ascii="仿宋" w:hAnsi="仿宋" w:eastAsia="仿宋" w:cs="仿宋"/>
          <w:b/>
          <w:color w:val="auto"/>
          <w:sz w:val="24"/>
        </w:rPr>
        <w:t>3报价文件</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2.3.1开标一览表（报价表）；</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2.3.2中小企业声明函（如果有）。</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4、如我方中标，我方承诺：</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5、其他补充说明:</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360" w:lineRule="auto"/>
        <w:ind w:firstLine="3600" w:firstLineChars="1500"/>
        <w:rPr>
          <w:rFonts w:hint="eastAsia" w:ascii="仿宋" w:hAnsi="仿宋" w:eastAsia="仿宋" w:cs="仿宋"/>
          <w:color w:val="auto"/>
          <w:sz w:val="24"/>
        </w:rPr>
      </w:pPr>
      <w:r>
        <w:rPr>
          <w:rFonts w:hint="eastAsia" w:ascii="仿宋" w:hAnsi="仿宋" w:eastAsia="仿宋" w:cs="仿宋"/>
          <w:color w:val="auto"/>
          <w:sz w:val="24"/>
        </w:rPr>
        <w:t xml:space="preserve">投标人名称（电子签名）：                          </w:t>
      </w:r>
    </w:p>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pP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二、授权委托书或法定代表人（单位负责人、自然人本人）身份证明</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w:t>
      </w:r>
    </w:p>
    <w:p>
      <w:pPr>
        <w:snapToGrid w:val="0"/>
        <w:spacing w:line="360" w:lineRule="auto"/>
        <w:ind w:firstLine="2872" w:firstLineChars="894"/>
        <w:rPr>
          <w:rFonts w:hint="eastAsia" w:ascii="仿宋" w:hAnsi="仿宋" w:eastAsia="仿宋" w:cs="仿宋"/>
          <w:color w:val="auto"/>
        </w:rPr>
      </w:pPr>
      <w:r>
        <w:rPr>
          <w:rFonts w:hint="eastAsia" w:ascii="仿宋" w:hAnsi="仿宋" w:eastAsia="仿宋" w:cs="仿宋"/>
          <w:b/>
          <w:color w:val="auto"/>
          <w:kern w:val="0"/>
          <w:sz w:val="32"/>
          <w:szCs w:val="32"/>
          <w:lang w:val="zh-CN"/>
        </w:rPr>
        <w:t>授权委托书（适用于非联合体投标）</w:t>
      </w:r>
      <w:r>
        <w:rPr>
          <w:rFonts w:hint="eastAsia" w:ascii="仿宋" w:hAnsi="仿宋" w:eastAsia="仿宋" w:cs="仿宋"/>
          <w:color w:val="auto"/>
        </w:rPr>
        <w:t xml:space="preserve">                               </w:t>
      </w:r>
    </w:p>
    <w:p>
      <w:pPr>
        <w:snapToGrid w:val="0"/>
        <w:spacing w:line="360" w:lineRule="auto"/>
        <w:rPr>
          <w:rFonts w:hint="eastAsia" w:ascii="仿宋" w:hAnsi="仿宋" w:eastAsia="仿宋" w:cs="仿宋"/>
          <w:color w:val="auto"/>
          <w:kern w:val="0"/>
          <w:sz w:val="24"/>
          <w:u w:val="single"/>
        </w:rPr>
      </w:pPr>
      <w:r>
        <w:rPr>
          <w:rFonts w:hint="eastAsia" w:ascii="仿宋" w:hAnsi="仿宋" w:eastAsia="仿宋" w:cs="仿宋"/>
          <w:color w:val="auto"/>
          <w:sz w:val="24"/>
          <w:u w:val="single"/>
          <w:lang w:eastAsia="zh-CN"/>
        </w:rPr>
        <w:t xml:space="preserve">建德市卫生健康行政执法队 </w:t>
      </w:r>
      <w:r>
        <w:rPr>
          <w:rFonts w:hint="eastAsia" w:ascii="仿宋" w:hAnsi="仿宋" w:eastAsia="仿宋" w:cs="仿宋"/>
          <w:color w:val="auto"/>
          <w:sz w:val="24"/>
          <w:u w:val="single"/>
        </w:rPr>
        <w:t>、</w:t>
      </w:r>
      <w:r>
        <w:rPr>
          <w:rFonts w:hint="eastAsia" w:ascii="仿宋" w:hAnsi="仿宋" w:eastAsia="仿宋" w:cs="仿宋"/>
          <w:color w:val="auto"/>
          <w:sz w:val="24"/>
          <w:u w:val="single"/>
          <w:lang w:eastAsia="zh-CN"/>
        </w:rPr>
        <w:t>杭州欣兴建设工程招标代理有限公司</w:t>
      </w:r>
      <w:r>
        <w:rPr>
          <w:rFonts w:hint="eastAsia" w:ascii="仿宋" w:hAnsi="仿宋" w:eastAsia="仿宋" w:cs="仿宋"/>
          <w:color w:val="auto"/>
          <w:kern w:val="0"/>
          <w:sz w:val="24"/>
          <w:u w:val="single"/>
          <w:lang w:val="zh-CN"/>
        </w:rPr>
        <w:t>：</w:t>
      </w:r>
    </w:p>
    <w:p>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lang w:eastAsia="zh-CN"/>
        </w:rPr>
        <w:t>建德市2022年口腔诊疗机构智慧监管项目</w:t>
      </w:r>
      <w:r>
        <w:rPr>
          <w:rFonts w:hint="eastAsia" w:ascii="仿宋" w:hAnsi="仿宋" w:eastAsia="仿宋" w:cs="仿宋"/>
          <w:color w:val="auto"/>
          <w:sz w:val="24"/>
        </w:rPr>
        <w:t>【项目编号：</w:t>
      </w:r>
      <w:r>
        <w:rPr>
          <w:rFonts w:hint="eastAsia" w:ascii="仿宋" w:hAnsi="仿宋" w:eastAsia="仿宋" w:cs="仿宋"/>
          <w:color w:val="auto"/>
          <w:sz w:val="24"/>
          <w:lang w:eastAsia="zh-CN"/>
        </w:rPr>
        <w:t xml:space="preserve">JD2022BF- </w:t>
      </w:r>
      <w:r>
        <w:rPr>
          <w:rFonts w:hint="eastAsia" w:ascii="仿宋" w:hAnsi="仿宋" w:eastAsia="仿宋" w:cs="仿宋"/>
          <w:color w:val="auto"/>
          <w:sz w:val="24"/>
        </w:rPr>
        <w:t>】</w:t>
      </w:r>
      <w:r>
        <w:rPr>
          <w:rFonts w:hint="eastAsia" w:ascii="仿宋" w:hAnsi="仿宋" w:eastAsia="仿宋" w:cs="仿宋"/>
          <w:color w:val="auto"/>
          <w:kern w:val="0"/>
          <w:sz w:val="24"/>
          <w:lang w:val="zh-CN"/>
        </w:rPr>
        <w:t>政府采购投标的一切事项，其法律后果由我方承担。</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投标人名称(电子签名)：</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签发日期：  年  月   日</w:t>
      </w:r>
    </w:p>
    <w:p>
      <w:pPr>
        <w:snapToGrid w:val="0"/>
        <w:spacing w:line="360" w:lineRule="auto"/>
        <w:rPr>
          <w:rFonts w:hint="eastAsia" w:ascii="仿宋" w:hAnsi="仿宋" w:eastAsia="仿宋" w:cs="仿宋"/>
          <w:color w:val="auto"/>
          <w:sz w:val="24"/>
        </w:rPr>
      </w:pPr>
    </w:p>
    <w:p>
      <w:pPr>
        <w:snapToGrid w:val="0"/>
        <w:spacing w:line="360" w:lineRule="auto"/>
        <w:rPr>
          <w:rFonts w:hint="eastAsia" w:ascii="仿宋" w:hAnsi="仿宋" w:eastAsia="仿宋" w:cs="仿宋"/>
          <w:color w:val="auto"/>
          <w:sz w:val="24"/>
        </w:rPr>
      </w:pPr>
    </w:p>
    <w:p>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zh-CN"/>
        </w:rPr>
        <w:t xml:space="preserve">      </w:t>
      </w:r>
      <w:r>
        <w:rPr>
          <w:rFonts w:hint="eastAsia" w:ascii="仿宋" w:hAnsi="仿宋" w:eastAsia="仿宋" w:cs="仿宋"/>
          <w:b/>
          <w:color w:val="auto"/>
          <w:kern w:val="0"/>
          <w:sz w:val="32"/>
          <w:szCs w:val="32"/>
        </w:rPr>
        <w:t xml:space="preserve"> </w:t>
      </w:r>
      <w:r>
        <w:rPr>
          <w:rFonts w:hint="eastAsia" w:ascii="仿宋" w:hAnsi="仿宋" w:eastAsia="仿宋" w:cs="仿宋"/>
          <w:b/>
          <w:color w:val="auto"/>
          <w:kern w:val="0"/>
          <w:sz w:val="32"/>
          <w:szCs w:val="32"/>
          <w:lang w:val="zh-CN"/>
        </w:rPr>
        <w:t xml:space="preserve">   </w:t>
      </w:r>
      <w:r>
        <w:rPr>
          <w:rFonts w:hint="eastAsia" w:ascii="仿宋" w:hAnsi="仿宋" w:eastAsia="仿宋" w:cs="仿宋"/>
          <w:b/>
          <w:color w:val="auto"/>
          <w:kern w:val="0"/>
          <w:sz w:val="32"/>
          <w:szCs w:val="32"/>
        </w:rPr>
        <w:t xml:space="preserve"> </w:t>
      </w:r>
      <w:r>
        <w:rPr>
          <w:rFonts w:hint="eastAsia" w:ascii="仿宋" w:hAnsi="仿宋" w:eastAsia="仿宋" w:cs="仿宋"/>
          <w:b/>
          <w:color w:val="auto"/>
          <w:kern w:val="0"/>
          <w:sz w:val="32"/>
          <w:szCs w:val="32"/>
          <w:lang w:val="zh-CN"/>
        </w:rPr>
        <w:t>授权委托书（适用于联合体投标）</w:t>
      </w:r>
    </w:p>
    <w:p>
      <w:pPr>
        <w:snapToGrid w:val="0"/>
        <w:spacing w:line="360" w:lineRule="auto"/>
        <w:rPr>
          <w:rFonts w:hint="eastAsia" w:ascii="仿宋" w:hAnsi="仿宋" w:eastAsia="仿宋" w:cs="仿宋"/>
          <w:color w:val="auto"/>
          <w:kern w:val="0"/>
          <w:sz w:val="24"/>
          <w:u w:val="single"/>
        </w:rPr>
      </w:pPr>
      <w:r>
        <w:rPr>
          <w:rFonts w:hint="eastAsia" w:ascii="仿宋" w:hAnsi="仿宋" w:eastAsia="仿宋" w:cs="仿宋"/>
          <w:color w:val="auto"/>
          <w:sz w:val="24"/>
          <w:u w:val="single"/>
          <w:lang w:eastAsia="zh-CN"/>
        </w:rPr>
        <w:t xml:space="preserve">建德市卫生健康行政执法队 </w:t>
      </w:r>
      <w:r>
        <w:rPr>
          <w:rFonts w:hint="eastAsia" w:ascii="仿宋" w:hAnsi="仿宋" w:eastAsia="仿宋" w:cs="仿宋"/>
          <w:color w:val="auto"/>
          <w:sz w:val="24"/>
          <w:u w:val="single"/>
        </w:rPr>
        <w:t>、</w:t>
      </w:r>
      <w:r>
        <w:rPr>
          <w:rFonts w:hint="eastAsia" w:ascii="仿宋" w:hAnsi="仿宋" w:eastAsia="仿宋" w:cs="仿宋"/>
          <w:color w:val="auto"/>
          <w:sz w:val="24"/>
          <w:u w:val="single"/>
          <w:lang w:eastAsia="zh-CN"/>
        </w:rPr>
        <w:t>杭州欣兴建设工程招标代理有限公司</w:t>
      </w:r>
      <w:r>
        <w:rPr>
          <w:rFonts w:hint="eastAsia" w:ascii="仿宋" w:hAnsi="仿宋" w:eastAsia="仿宋" w:cs="仿宋"/>
          <w:color w:val="auto"/>
          <w:kern w:val="0"/>
          <w:sz w:val="24"/>
          <w:u w:val="single"/>
          <w:lang w:val="zh-CN"/>
        </w:rPr>
        <w:t>：</w:t>
      </w:r>
    </w:p>
    <w:p>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lang w:eastAsia="zh-CN"/>
        </w:rPr>
        <w:t>建德市2022年口腔诊疗机构智慧监管项目</w:t>
      </w:r>
      <w:r>
        <w:rPr>
          <w:rFonts w:hint="eastAsia" w:ascii="仿宋" w:hAnsi="仿宋" w:eastAsia="仿宋" w:cs="仿宋"/>
          <w:color w:val="auto"/>
          <w:sz w:val="24"/>
        </w:rPr>
        <w:t>【项目编号：</w:t>
      </w:r>
      <w:r>
        <w:rPr>
          <w:rFonts w:hint="eastAsia" w:ascii="仿宋" w:hAnsi="仿宋" w:eastAsia="仿宋" w:cs="仿宋"/>
          <w:color w:val="auto"/>
          <w:sz w:val="24"/>
          <w:lang w:eastAsia="zh-CN"/>
        </w:rPr>
        <w:t xml:space="preserve">JD2022BF- </w:t>
      </w:r>
      <w:r>
        <w:rPr>
          <w:rFonts w:hint="eastAsia" w:ascii="仿宋" w:hAnsi="仿宋" w:eastAsia="仿宋" w:cs="仿宋"/>
          <w:color w:val="auto"/>
          <w:sz w:val="24"/>
        </w:rPr>
        <w:t>】</w:t>
      </w:r>
      <w:r>
        <w:rPr>
          <w:rFonts w:hint="eastAsia" w:ascii="仿宋" w:hAnsi="仿宋" w:eastAsia="仿宋" w:cs="仿宋"/>
          <w:color w:val="auto"/>
          <w:kern w:val="0"/>
          <w:sz w:val="24"/>
          <w:lang w:val="zh-CN"/>
        </w:rPr>
        <w:t>政府采购投标的一切事项，其法律后果由我方承担。</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rPr>
          <w:rFonts w:hint="eastAsia" w:ascii="仿宋" w:hAnsi="仿宋" w:eastAsia="仿宋" w:cs="仿宋"/>
          <w:color w:val="auto"/>
        </w:rPr>
      </w:pPr>
    </w:p>
    <w:p>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pStyle w:val="4"/>
        <w:ind w:firstLine="0"/>
        <w:rPr>
          <w:rFonts w:hint="eastAsia" w:ascii="仿宋" w:hAnsi="仿宋" w:eastAsia="仿宋" w:cs="仿宋"/>
          <w:color w:val="auto"/>
        </w:rPr>
      </w:pPr>
    </w:p>
    <w:p>
      <w:pPr>
        <w:autoSpaceDE w:val="0"/>
        <w:autoSpaceDN w:val="0"/>
        <w:spacing w:line="360" w:lineRule="auto"/>
        <w:jc w:val="center"/>
        <w:rPr>
          <w:rFonts w:hint="eastAsia" w:ascii="仿宋" w:hAnsi="仿宋" w:eastAsia="仿宋" w:cs="仿宋"/>
          <w:b/>
          <w:color w:val="auto"/>
          <w:sz w:val="24"/>
        </w:rPr>
      </w:pPr>
      <w:r>
        <w:rPr>
          <w:rFonts w:hint="eastAsia" w:ascii="仿宋" w:hAnsi="仿宋" w:eastAsia="仿宋" w:cs="仿宋"/>
          <w:b/>
          <w:color w:val="auto"/>
          <w:kern w:val="0"/>
          <w:sz w:val="32"/>
          <w:szCs w:val="32"/>
          <w:lang w:val="zh-CN"/>
        </w:rPr>
        <w:t>法定代表人、单位负责人或自然人本人</w:t>
      </w:r>
      <w:r>
        <w:rPr>
          <w:rFonts w:hint="eastAsia" w:ascii="仿宋" w:hAnsi="仿宋" w:eastAsia="仿宋" w:cs="仿宋"/>
          <w:b/>
          <w:color w:val="auto"/>
          <w:sz w:val="30"/>
          <w:szCs w:val="30"/>
        </w:rPr>
        <w:t>的身份证明（适用于法定代表人、单位负责人或者自然人本人代表投标人参加投标）</w:t>
      </w:r>
    </w:p>
    <w:p>
      <w:pPr>
        <w:pStyle w:val="148"/>
        <w:spacing w:line="360" w:lineRule="auto"/>
        <w:rPr>
          <w:rFonts w:hint="eastAsia" w:ascii="仿宋" w:hAnsi="仿宋" w:eastAsia="仿宋" w:cs="仿宋"/>
          <w:bCs/>
          <w:color w:val="auto"/>
          <w:sz w:val="24"/>
        </w:rPr>
      </w:pPr>
      <w:r>
        <w:rPr>
          <w:rFonts w:hint="eastAsia" w:ascii="仿宋" w:hAnsi="仿宋" w:eastAsia="仿宋" w:cs="仿宋"/>
          <w:bCs/>
          <w:color w:val="auto"/>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正面：                                 反面：</w:t>
            </w:r>
          </w:p>
          <w:p>
            <w:pPr>
              <w:pStyle w:val="148"/>
              <w:adjustRightInd w:val="0"/>
              <w:spacing w:line="360" w:lineRule="auto"/>
              <w:rPr>
                <w:rFonts w:hint="eastAsia" w:ascii="仿宋" w:hAnsi="仿宋" w:eastAsia="仿宋" w:cs="仿宋"/>
                <w:bCs/>
                <w:color w:val="auto"/>
                <w:sz w:val="24"/>
              </w:rPr>
            </w:pPr>
          </w:p>
        </w:tc>
      </w:tr>
    </w:tbl>
    <w:p>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投标人名称(电子签名)：                              </w:t>
      </w:r>
    </w:p>
    <w:p>
      <w:pPr>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snapToGrid w:val="0"/>
        <w:spacing w:line="360" w:lineRule="auto"/>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三、分包意向协议（如果有）</w:t>
      </w:r>
    </w:p>
    <w:p>
      <w:pPr>
        <w:widowControl/>
        <w:spacing w:line="360" w:lineRule="auto"/>
        <w:ind w:firstLine="120" w:firstLineChars="50"/>
        <w:jc w:val="left"/>
        <w:rPr>
          <w:rFonts w:hint="eastAsia" w:ascii="仿宋" w:hAnsi="仿宋" w:eastAsia="仿宋" w:cs="仿宋"/>
          <w:color w:val="auto"/>
          <w:sz w:val="24"/>
        </w:rPr>
      </w:pPr>
      <w:bookmarkStart w:id="553" w:name="_Hlk101169080"/>
      <w:r>
        <w:rPr>
          <w:rFonts w:hint="eastAsia" w:ascii="仿宋" w:hAnsi="仿宋" w:eastAsia="仿宋" w:cs="仿宋"/>
          <w:color w:val="auto"/>
          <w:sz w:val="24"/>
        </w:rPr>
        <w:t>[</w:t>
      </w:r>
      <w:r>
        <w:rPr>
          <w:rFonts w:hint="eastAsia" w:ascii="仿宋" w:hAnsi="仿宋" w:eastAsia="仿宋" w:cs="仿宋"/>
          <w:b/>
          <w:color w:val="auto"/>
          <w:sz w:val="24"/>
        </w:rPr>
        <w:t>成交后以分包方式履行合同的，提供分包意向协议(附件7)；采购人不同意分包或者供应商成交后不以分包方式履行合同的，则不需要提供。</w:t>
      </w:r>
      <w:r>
        <w:rPr>
          <w:rFonts w:hint="eastAsia" w:ascii="仿宋" w:hAnsi="仿宋" w:eastAsia="仿宋" w:cs="仿宋"/>
          <w:color w:val="auto"/>
          <w:sz w:val="24"/>
        </w:rPr>
        <w:t>]</w:t>
      </w:r>
    </w:p>
    <w:bookmarkEnd w:id="553"/>
    <w:p>
      <w:pPr>
        <w:widowControl/>
        <w:adjustRightInd/>
        <w:jc w:val="left"/>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pStyle w:val="2"/>
        <w:ind w:firstLine="420"/>
        <w:rPr>
          <w:rFonts w:hint="eastAsia" w:ascii="仿宋" w:hAnsi="仿宋" w:eastAsia="仿宋" w:cs="仿宋"/>
          <w:color w:val="auto"/>
        </w:rPr>
      </w:pPr>
    </w:p>
    <w:p>
      <w:pP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四、符合性审查资料</w:t>
      </w:r>
    </w:p>
    <w:p>
      <w:pPr>
        <w:jc w:val="center"/>
        <w:rPr>
          <w:rFonts w:hint="eastAsia" w:ascii="仿宋" w:hAnsi="仿宋" w:eastAsia="仿宋" w:cs="仿宋"/>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65"/>
        <w:gridCol w:w="337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4165" w:type="dxa"/>
            <w:vAlign w:val="center"/>
          </w:tcPr>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实质性要求</w:t>
            </w:r>
          </w:p>
        </w:tc>
        <w:tc>
          <w:tcPr>
            <w:tcW w:w="3377" w:type="dxa"/>
            <w:vAlign w:val="center"/>
          </w:tcPr>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投标文件中的</w:t>
            </w:r>
          </w:p>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1</w:t>
            </w:r>
          </w:p>
        </w:tc>
        <w:tc>
          <w:tcPr>
            <w:tcW w:w="4165" w:type="dxa"/>
            <w:vAlign w:val="center"/>
          </w:tcPr>
          <w:p>
            <w:pPr>
              <w:rPr>
                <w:rFonts w:hint="eastAsia" w:ascii="仿宋" w:hAnsi="仿宋" w:eastAsia="仿宋" w:cs="仿宋"/>
                <w:color w:val="auto"/>
                <w:sz w:val="24"/>
              </w:rPr>
            </w:pPr>
            <w:r>
              <w:rPr>
                <w:rFonts w:hint="eastAsia" w:ascii="仿宋" w:hAnsi="仿宋" w:eastAsia="仿宋" w:cs="仿宋"/>
                <w:color w:val="auto"/>
                <w:sz w:val="24"/>
              </w:rPr>
              <w:t>投标文件按照招标文件要求签署、盖章。</w:t>
            </w:r>
          </w:p>
        </w:tc>
        <w:tc>
          <w:tcPr>
            <w:tcW w:w="3377" w:type="dxa"/>
            <w:vAlign w:val="center"/>
          </w:tcPr>
          <w:p>
            <w:pPr>
              <w:rPr>
                <w:rFonts w:hint="eastAsia" w:ascii="仿宋" w:hAnsi="仿宋" w:eastAsia="仿宋" w:cs="仿宋"/>
                <w:color w:val="auto"/>
                <w:sz w:val="24"/>
              </w:rPr>
            </w:pPr>
            <w:r>
              <w:rPr>
                <w:rFonts w:hint="eastAsia" w:ascii="仿宋" w:hAnsi="仿宋" w:eastAsia="仿宋" w:cs="仿宋"/>
                <w:color w:val="auto"/>
                <w:sz w:val="24"/>
              </w:rPr>
              <w:t>需要使用电子签名或者签字盖章的投标文件的组成部分</w:t>
            </w:r>
          </w:p>
        </w:tc>
        <w:tc>
          <w:tcPr>
            <w:tcW w:w="1418" w:type="dxa"/>
            <w:vAlign w:val="center"/>
          </w:tcPr>
          <w:p>
            <w:pPr>
              <w:rPr>
                <w:rFonts w:hint="eastAsia" w:ascii="仿宋" w:hAnsi="仿宋" w:eastAsia="仿宋" w:cs="仿宋"/>
                <w:color w:val="auto"/>
                <w:sz w:val="24"/>
              </w:rPr>
            </w:pPr>
            <w:r>
              <w:rPr>
                <w:rFonts w:hint="eastAsia" w:ascii="仿宋" w:hAnsi="仿宋" w:eastAsia="仿宋" w:cs="仿宋"/>
                <w:color w:val="auto"/>
                <w:sz w:val="24"/>
              </w:rPr>
              <w:t>见投标文件</w:t>
            </w:r>
          </w:p>
          <w:p>
            <w:pPr>
              <w:rPr>
                <w:rFonts w:hint="eastAsia" w:ascii="仿宋" w:hAnsi="仿宋" w:eastAsia="仿宋" w:cs="仿宋"/>
                <w:color w:val="auto"/>
              </w:rPr>
            </w:pPr>
            <w:r>
              <w:rPr>
                <w:rFonts w:hint="eastAsia" w:ascii="仿宋" w:hAnsi="仿宋" w:eastAsia="仿宋" w:cs="仿宋"/>
                <w:color w:val="auto"/>
                <w:sz w:val="24"/>
              </w:rPr>
              <w:t>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4165" w:type="dxa"/>
            <w:vAlign w:val="center"/>
          </w:tcPr>
          <w:p>
            <w:pPr>
              <w:rPr>
                <w:rFonts w:hint="eastAsia" w:ascii="仿宋" w:hAnsi="仿宋" w:eastAsia="仿宋" w:cs="仿宋"/>
                <w:color w:val="auto"/>
                <w:sz w:val="24"/>
              </w:rPr>
            </w:pPr>
            <w:r>
              <w:rPr>
                <w:rFonts w:hint="eastAsia" w:ascii="仿宋" w:hAnsi="仿宋" w:eastAsia="仿宋" w:cs="仿宋"/>
                <w:color w:val="auto"/>
                <w:sz w:val="24"/>
              </w:rPr>
              <w:t>采购人拟采购的产品属于政府强制采购的节能产品品目清单范围的，投标人按招标文件要求提供国家确定的认证机构出具的、处于有效期之内的节能产品认证证书。</w:t>
            </w:r>
          </w:p>
        </w:tc>
        <w:tc>
          <w:tcPr>
            <w:tcW w:w="3377" w:type="dxa"/>
            <w:vAlign w:val="center"/>
          </w:tcPr>
          <w:p>
            <w:pPr>
              <w:rPr>
                <w:rFonts w:hint="eastAsia" w:ascii="仿宋" w:hAnsi="仿宋" w:eastAsia="仿宋" w:cs="仿宋"/>
                <w:color w:val="auto"/>
                <w:sz w:val="24"/>
              </w:rPr>
            </w:pPr>
            <w:r>
              <w:rPr>
                <w:rFonts w:hint="eastAsia" w:ascii="仿宋" w:hAnsi="仿宋" w:eastAsia="仿宋" w:cs="仿宋"/>
                <w:color w:val="auto"/>
                <w:sz w:val="24"/>
              </w:rPr>
              <w:t>节能产品认证证书（本项目拟采购的产品不属于政府强制采购的节能产品品目清单范围的，无需提供）</w:t>
            </w:r>
          </w:p>
        </w:tc>
        <w:tc>
          <w:tcPr>
            <w:tcW w:w="1418" w:type="dxa"/>
            <w:vAlign w:val="center"/>
          </w:tcPr>
          <w:p>
            <w:pPr>
              <w:rPr>
                <w:rFonts w:hint="eastAsia" w:ascii="仿宋" w:hAnsi="仿宋" w:eastAsia="仿宋" w:cs="仿宋"/>
                <w:color w:val="auto"/>
                <w:sz w:val="24"/>
              </w:rPr>
            </w:pPr>
            <w:r>
              <w:rPr>
                <w:rFonts w:hint="eastAsia" w:ascii="仿宋" w:hAnsi="仿宋" w:eastAsia="仿宋" w:cs="仿宋"/>
                <w:color w:val="auto"/>
                <w:sz w:val="24"/>
              </w:rPr>
              <w:t>见投标文件</w:t>
            </w:r>
          </w:p>
          <w:p>
            <w:pPr>
              <w:pStyle w:val="8"/>
              <w:spacing w:line="240" w:lineRule="auto"/>
              <w:jc w:val="both"/>
              <w:rPr>
                <w:rFonts w:hint="eastAsia" w:ascii="仿宋" w:hAnsi="仿宋" w:eastAsia="仿宋" w:cs="仿宋"/>
                <w:color w:val="auto"/>
                <w:lang w:val="en-US"/>
              </w:rPr>
            </w:pPr>
            <w:r>
              <w:rPr>
                <w:rFonts w:hint="eastAsia" w:ascii="仿宋" w:hAnsi="仿宋" w:eastAsia="仿宋" w:cs="仿宋"/>
                <w:b w:val="0"/>
                <w:bCs w:val="0"/>
                <w:color w:val="auto"/>
                <w:sz w:val="24"/>
                <w:szCs w:val="24"/>
                <w:lang w:val="en-US"/>
              </w:rPr>
              <w:t>第</w:t>
            </w:r>
            <w:r>
              <w:rPr>
                <w:rFonts w:hint="eastAsia" w:ascii="仿宋" w:hAnsi="仿宋" w:eastAsia="仿宋" w:cs="仿宋"/>
                <w:b w:val="0"/>
                <w:bCs w:val="0"/>
                <w:color w:val="auto"/>
                <w:sz w:val="24"/>
                <w:szCs w:val="24"/>
                <w:u w:val="single"/>
                <w:lang w:val="en-US"/>
              </w:rPr>
              <w:t xml:space="preserve">  </w:t>
            </w:r>
            <w:r>
              <w:rPr>
                <w:rFonts w:hint="eastAsia" w:ascii="仿宋" w:hAnsi="仿宋" w:eastAsia="仿宋" w:cs="仿宋"/>
                <w:b w:val="0"/>
                <w:bCs w:val="0"/>
                <w:color w:val="auto"/>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3</w:t>
            </w:r>
          </w:p>
        </w:tc>
        <w:tc>
          <w:tcPr>
            <w:tcW w:w="4165" w:type="dxa"/>
            <w:vAlign w:val="center"/>
          </w:tcPr>
          <w:p>
            <w:pPr>
              <w:rPr>
                <w:rFonts w:hint="eastAsia" w:ascii="仿宋" w:hAnsi="仿宋" w:eastAsia="仿宋" w:cs="仿宋"/>
                <w:color w:val="auto"/>
                <w:sz w:val="24"/>
              </w:rPr>
            </w:pPr>
            <w:r>
              <w:rPr>
                <w:rFonts w:hint="eastAsia" w:ascii="仿宋" w:hAnsi="仿宋" w:eastAsia="仿宋" w:cs="仿宋"/>
                <w:color w:val="auto"/>
                <w:sz w:val="24"/>
              </w:rPr>
              <w:t>投标文件中承诺的投标有效期不少于招标文件中载明的投标有效期。</w:t>
            </w:r>
          </w:p>
        </w:tc>
        <w:tc>
          <w:tcPr>
            <w:tcW w:w="3377" w:type="dxa"/>
            <w:vAlign w:val="center"/>
          </w:tcPr>
          <w:p>
            <w:pPr>
              <w:rPr>
                <w:rFonts w:hint="eastAsia" w:ascii="仿宋" w:hAnsi="仿宋" w:eastAsia="仿宋" w:cs="仿宋"/>
                <w:color w:val="auto"/>
                <w:sz w:val="24"/>
              </w:rPr>
            </w:pPr>
            <w:r>
              <w:rPr>
                <w:rFonts w:hint="eastAsia" w:ascii="仿宋" w:hAnsi="仿宋" w:eastAsia="仿宋" w:cs="仿宋"/>
                <w:color w:val="auto"/>
                <w:sz w:val="24"/>
              </w:rPr>
              <w:t>投标函</w:t>
            </w:r>
          </w:p>
        </w:tc>
        <w:tc>
          <w:tcPr>
            <w:tcW w:w="1418" w:type="dxa"/>
            <w:vAlign w:val="center"/>
          </w:tcPr>
          <w:p>
            <w:pPr>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646" w:type="dxa"/>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4</w:t>
            </w:r>
          </w:p>
        </w:tc>
        <w:tc>
          <w:tcPr>
            <w:tcW w:w="4165" w:type="dxa"/>
            <w:vAlign w:val="center"/>
          </w:tcPr>
          <w:p>
            <w:pPr>
              <w:rPr>
                <w:rFonts w:hint="eastAsia" w:ascii="仿宋" w:hAnsi="仿宋" w:eastAsia="仿宋" w:cs="仿宋"/>
                <w:color w:val="auto"/>
                <w:sz w:val="24"/>
              </w:rPr>
            </w:pPr>
            <w:r>
              <w:rPr>
                <w:rFonts w:hint="eastAsia" w:ascii="仿宋" w:hAnsi="仿宋" w:eastAsia="仿宋" w:cs="仿宋"/>
                <w:color w:val="auto"/>
                <w:sz w:val="24"/>
              </w:rPr>
              <w:t>投标文件满足招标文件的其它实质性要求。</w:t>
            </w:r>
          </w:p>
        </w:tc>
        <w:tc>
          <w:tcPr>
            <w:tcW w:w="3377" w:type="dxa"/>
            <w:vAlign w:val="center"/>
          </w:tcPr>
          <w:p>
            <w:pPr>
              <w:rPr>
                <w:rFonts w:hint="eastAsia" w:ascii="仿宋" w:hAnsi="仿宋" w:eastAsia="仿宋" w:cs="仿宋"/>
                <w:color w:val="auto"/>
                <w:sz w:val="24"/>
              </w:rPr>
            </w:pPr>
            <w:r>
              <w:rPr>
                <w:rFonts w:hint="eastAsia" w:ascii="仿宋" w:hAnsi="仿宋" w:eastAsia="仿宋" w:cs="仿宋"/>
                <w:color w:val="auto"/>
                <w:kern w:val="0"/>
                <w:sz w:val="24"/>
              </w:rPr>
              <w:t>招标文件其它实质性要求相应的材料（“▲” 系指实质性要求条款，招标文件无其它实质性要求的，无需提供）</w:t>
            </w:r>
          </w:p>
        </w:tc>
        <w:tc>
          <w:tcPr>
            <w:tcW w:w="1418" w:type="dxa"/>
            <w:vAlign w:val="center"/>
          </w:tcPr>
          <w:p>
            <w:pPr>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bl>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 xml:space="preserve">            </w:t>
      </w: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color w:val="auto"/>
        </w:rPr>
      </w:pPr>
      <w:r>
        <w:rPr>
          <w:rFonts w:hint="eastAsia" w:ascii="仿宋" w:hAnsi="仿宋" w:eastAsia="仿宋" w:cs="仿宋"/>
          <w:b/>
          <w:color w:val="auto"/>
          <w:kern w:val="0"/>
          <w:sz w:val="32"/>
          <w:szCs w:val="32"/>
        </w:rPr>
        <w:t>五、评标标准相应的商务技术资料</w:t>
      </w:r>
    </w:p>
    <w:p>
      <w:pPr>
        <w:snapToGrid w:val="0"/>
        <w:spacing w:line="360" w:lineRule="auto"/>
        <w:jc w:val="left"/>
        <w:rPr>
          <w:rFonts w:hint="eastAsia" w:ascii="仿宋" w:hAnsi="仿宋" w:eastAsia="仿宋" w:cs="仿宋"/>
          <w:b/>
          <w:color w:val="auto"/>
          <w:sz w:val="24"/>
        </w:rPr>
      </w:pPr>
    </w:p>
    <w:p>
      <w:pPr>
        <w:snapToGrid w:val="0"/>
        <w:spacing w:line="360" w:lineRule="auto"/>
        <w:jc w:val="left"/>
        <w:rPr>
          <w:rFonts w:hint="eastAsia" w:ascii="仿宋" w:hAnsi="仿宋" w:eastAsia="仿宋" w:cs="仿宋"/>
          <w:b/>
          <w:color w:val="auto"/>
          <w:sz w:val="24"/>
        </w:rPr>
      </w:pPr>
      <w:r>
        <w:rPr>
          <w:rFonts w:hint="eastAsia" w:ascii="仿宋" w:hAnsi="仿宋" w:eastAsia="仿宋" w:cs="仿宋"/>
          <w:b/>
          <w:color w:val="auto"/>
          <w:sz w:val="24"/>
        </w:rPr>
        <w:t>（按招标文件第四部分评标办法前附表中“投标文件中评标标准相应的商务技术资料目录”提供资料）。</w:t>
      </w:r>
    </w:p>
    <w:p>
      <w:pP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pStyle w:val="2"/>
        <w:ind w:left="0" w:leftChars="0" w:firstLine="0" w:firstLineChars="0"/>
        <w:rPr>
          <w:rFonts w:hint="eastAsia" w:ascii="仿宋" w:hAnsi="仿宋" w:eastAsia="仿宋" w:cs="仿宋"/>
          <w:color w:val="auto"/>
        </w:rPr>
      </w:pPr>
    </w:p>
    <w:p>
      <w:pPr>
        <w:pStyle w:val="4"/>
        <w:rPr>
          <w:rFonts w:hint="eastAsia" w:ascii="仿宋" w:hAnsi="仿宋" w:eastAsia="仿宋" w:cs="仿宋"/>
          <w:color w:val="auto"/>
          <w:lang w:val="en-US"/>
        </w:rPr>
      </w:pPr>
    </w:p>
    <w:p>
      <w:pP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六、商务技术偏离表</w:t>
      </w:r>
    </w:p>
    <w:p>
      <w:pPr>
        <w:pStyle w:val="4"/>
        <w:ind w:firstLine="0"/>
        <w:rPr>
          <w:rFonts w:hint="eastAsia" w:ascii="仿宋" w:hAnsi="仿宋" w:eastAsia="仿宋" w:cs="仿宋"/>
          <w:color w:val="auto"/>
        </w:rPr>
      </w:pP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3683" w:type="dxa"/>
          </w:tcPr>
          <w:p>
            <w:pPr>
              <w:jc w:val="center"/>
              <w:rPr>
                <w:rFonts w:hint="eastAsia" w:ascii="仿宋" w:hAnsi="仿宋" w:eastAsia="仿宋" w:cs="仿宋"/>
                <w:b/>
                <w:bCs/>
                <w:color w:val="auto"/>
                <w:sz w:val="24"/>
              </w:rPr>
            </w:pPr>
            <w:r>
              <w:rPr>
                <w:rFonts w:hint="eastAsia" w:ascii="仿宋" w:hAnsi="仿宋" w:eastAsia="仿宋" w:cs="仿宋"/>
                <w:b/>
                <w:bCs/>
                <w:color w:val="auto"/>
                <w:sz w:val="24"/>
              </w:rPr>
              <w:t>招标文件章节及具体内容</w:t>
            </w:r>
          </w:p>
        </w:tc>
        <w:tc>
          <w:tcPr>
            <w:tcW w:w="3546" w:type="dxa"/>
          </w:tcPr>
          <w:p>
            <w:pPr>
              <w:jc w:val="center"/>
              <w:rPr>
                <w:rFonts w:hint="eastAsia" w:ascii="仿宋" w:hAnsi="仿宋" w:eastAsia="仿宋" w:cs="仿宋"/>
                <w:b/>
                <w:bCs/>
                <w:color w:val="auto"/>
                <w:sz w:val="24"/>
              </w:rPr>
            </w:pPr>
            <w:r>
              <w:rPr>
                <w:rFonts w:hint="eastAsia" w:ascii="仿宋" w:hAnsi="仿宋" w:eastAsia="仿宋" w:cs="仿宋"/>
                <w:b/>
                <w:bCs/>
                <w:color w:val="auto"/>
                <w:sz w:val="24"/>
              </w:rPr>
              <w:t>投标文件章节及具体内容</w:t>
            </w:r>
          </w:p>
        </w:tc>
        <w:tc>
          <w:tcPr>
            <w:tcW w:w="1276" w:type="dxa"/>
          </w:tcPr>
          <w:p>
            <w:pPr>
              <w:jc w:val="center"/>
              <w:rPr>
                <w:rFonts w:hint="eastAsia" w:ascii="仿宋" w:hAnsi="仿宋" w:eastAsia="仿宋" w:cs="仿宋"/>
                <w:b/>
                <w:bCs/>
                <w:color w:val="auto"/>
                <w:sz w:val="24"/>
              </w:rPr>
            </w:pPr>
            <w:r>
              <w:rPr>
                <w:rFonts w:hint="eastAsia" w:ascii="仿宋" w:hAnsi="仿宋" w:eastAsia="仿宋" w:cs="仿宋"/>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3683" w:type="dxa"/>
          </w:tcPr>
          <w:p>
            <w:pPr>
              <w:jc w:val="center"/>
              <w:rPr>
                <w:rFonts w:hint="eastAsia" w:ascii="仿宋" w:hAnsi="仿宋" w:eastAsia="仿宋" w:cs="仿宋"/>
                <w:b/>
                <w:color w:val="auto"/>
                <w:kern w:val="0"/>
                <w:sz w:val="32"/>
                <w:szCs w:val="32"/>
              </w:rPr>
            </w:pPr>
          </w:p>
        </w:tc>
        <w:tc>
          <w:tcPr>
            <w:tcW w:w="3546" w:type="dxa"/>
          </w:tcPr>
          <w:p>
            <w:pPr>
              <w:jc w:val="center"/>
              <w:rPr>
                <w:rFonts w:hint="eastAsia" w:ascii="仿宋" w:hAnsi="仿宋" w:eastAsia="仿宋" w:cs="仿宋"/>
                <w:b/>
                <w:color w:val="auto"/>
                <w:kern w:val="0"/>
                <w:sz w:val="32"/>
                <w:szCs w:val="32"/>
              </w:rPr>
            </w:pPr>
          </w:p>
        </w:tc>
        <w:tc>
          <w:tcPr>
            <w:tcW w:w="1276" w:type="dxa"/>
          </w:tcPr>
          <w:p>
            <w:pPr>
              <w:jc w:val="center"/>
              <w:rPr>
                <w:rFonts w:hint="eastAsia" w:ascii="仿宋" w:hAnsi="仿宋" w:eastAsia="仿宋" w:cs="仿宋"/>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3683" w:type="dxa"/>
          </w:tcPr>
          <w:p>
            <w:pPr>
              <w:jc w:val="center"/>
              <w:rPr>
                <w:rFonts w:hint="eastAsia" w:ascii="仿宋" w:hAnsi="仿宋" w:eastAsia="仿宋" w:cs="仿宋"/>
                <w:b/>
                <w:color w:val="auto"/>
                <w:kern w:val="0"/>
                <w:sz w:val="32"/>
                <w:szCs w:val="32"/>
              </w:rPr>
            </w:pPr>
          </w:p>
        </w:tc>
        <w:tc>
          <w:tcPr>
            <w:tcW w:w="3546" w:type="dxa"/>
          </w:tcPr>
          <w:p>
            <w:pPr>
              <w:jc w:val="center"/>
              <w:rPr>
                <w:rFonts w:hint="eastAsia" w:ascii="仿宋" w:hAnsi="仿宋" w:eastAsia="仿宋" w:cs="仿宋"/>
                <w:b/>
                <w:color w:val="auto"/>
                <w:kern w:val="0"/>
                <w:sz w:val="32"/>
                <w:szCs w:val="32"/>
              </w:rPr>
            </w:pPr>
          </w:p>
        </w:tc>
        <w:tc>
          <w:tcPr>
            <w:tcW w:w="1276" w:type="dxa"/>
          </w:tcPr>
          <w:p>
            <w:pPr>
              <w:jc w:val="center"/>
              <w:rPr>
                <w:rFonts w:hint="eastAsia" w:ascii="仿宋" w:hAnsi="仿宋" w:eastAsia="仿宋" w:cs="仿宋"/>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rPr>
            </w:pPr>
            <w:r>
              <w:rPr>
                <w:rFonts w:hint="eastAsia" w:ascii="仿宋" w:hAnsi="仿宋" w:eastAsia="仿宋" w:cs="仿宋"/>
                <w:color w:val="auto"/>
                <w:kern w:val="0"/>
                <w:sz w:val="24"/>
              </w:rPr>
              <w:t>……</w:t>
            </w:r>
          </w:p>
        </w:tc>
        <w:tc>
          <w:tcPr>
            <w:tcW w:w="3683" w:type="dxa"/>
          </w:tcPr>
          <w:p>
            <w:pPr>
              <w:jc w:val="center"/>
              <w:rPr>
                <w:rFonts w:hint="eastAsia" w:ascii="仿宋" w:hAnsi="仿宋" w:eastAsia="仿宋" w:cs="仿宋"/>
                <w:b/>
                <w:color w:val="auto"/>
                <w:kern w:val="0"/>
                <w:sz w:val="32"/>
                <w:szCs w:val="32"/>
              </w:rPr>
            </w:pPr>
          </w:p>
        </w:tc>
        <w:tc>
          <w:tcPr>
            <w:tcW w:w="3546" w:type="dxa"/>
          </w:tcPr>
          <w:p>
            <w:pPr>
              <w:jc w:val="center"/>
              <w:rPr>
                <w:rFonts w:hint="eastAsia" w:ascii="仿宋" w:hAnsi="仿宋" w:eastAsia="仿宋" w:cs="仿宋"/>
                <w:b/>
                <w:color w:val="auto"/>
                <w:kern w:val="0"/>
                <w:sz w:val="32"/>
                <w:szCs w:val="32"/>
              </w:rPr>
            </w:pPr>
          </w:p>
        </w:tc>
        <w:tc>
          <w:tcPr>
            <w:tcW w:w="1276" w:type="dxa"/>
          </w:tcPr>
          <w:p>
            <w:pPr>
              <w:jc w:val="center"/>
              <w:rPr>
                <w:rFonts w:hint="eastAsia" w:ascii="仿宋" w:hAnsi="仿宋" w:eastAsia="仿宋" w:cs="仿宋"/>
                <w:b/>
                <w:color w:val="auto"/>
                <w:kern w:val="0"/>
                <w:sz w:val="32"/>
                <w:szCs w:val="32"/>
              </w:rPr>
            </w:pPr>
          </w:p>
        </w:tc>
      </w:tr>
    </w:tbl>
    <w:p>
      <w:pPr>
        <w:jc w:val="left"/>
        <w:rPr>
          <w:rFonts w:hint="eastAsia" w:ascii="仿宋" w:hAnsi="仿宋" w:eastAsia="仿宋" w:cs="仿宋"/>
          <w:color w:val="auto"/>
          <w:kern w:val="0"/>
          <w:sz w:val="24"/>
        </w:rPr>
      </w:pPr>
      <w:r>
        <w:rPr>
          <w:rFonts w:hint="eastAsia" w:ascii="仿宋" w:hAnsi="仿宋" w:eastAsia="仿宋" w:cs="仿宋"/>
          <w:color w:val="auto"/>
          <w:kern w:val="0"/>
          <w:sz w:val="24"/>
        </w:rPr>
        <w:t>投标人保证：除商务技术偏离表列出的偏离外，投标人响应招标文件的全部要求。</w:t>
      </w:r>
    </w:p>
    <w:p>
      <w:pPr>
        <w:jc w:val="center"/>
        <w:rPr>
          <w:rFonts w:hint="eastAsia" w:ascii="仿宋" w:hAnsi="仿宋" w:eastAsia="仿宋" w:cs="仿宋"/>
          <w:b/>
          <w:color w:val="auto"/>
          <w:kern w:val="0"/>
          <w:sz w:val="32"/>
          <w:szCs w:val="32"/>
        </w:rPr>
      </w:pPr>
    </w:p>
    <w:p>
      <w:pPr>
        <w:rPr>
          <w:rFonts w:hint="eastAsia" w:ascii="仿宋" w:hAnsi="仿宋" w:eastAsia="仿宋" w:cs="仿宋"/>
          <w:b/>
          <w:color w:val="auto"/>
          <w:kern w:val="0"/>
          <w:sz w:val="32"/>
          <w:szCs w:val="32"/>
        </w:rPr>
      </w:pPr>
    </w:p>
    <w:p>
      <w:pPr>
        <w:ind w:firstLine="1911" w:firstLineChars="595"/>
        <w:rPr>
          <w:rFonts w:hint="eastAsia" w:ascii="仿宋" w:hAnsi="仿宋" w:eastAsia="仿宋" w:cs="仿宋"/>
          <w:b/>
          <w:color w:val="auto"/>
          <w:kern w:val="0"/>
          <w:sz w:val="32"/>
          <w:szCs w:val="32"/>
        </w:rPr>
      </w:pPr>
    </w:p>
    <w:p>
      <w:pPr>
        <w:ind w:firstLine="1911" w:firstLineChars="595"/>
        <w:rPr>
          <w:rFonts w:hint="eastAsia" w:ascii="仿宋" w:hAnsi="仿宋" w:eastAsia="仿宋" w:cs="仿宋"/>
          <w:b/>
          <w:color w:val="auto"/>
          <w:kern w:val="0"/>
          <w:sz w:val="32"/>
          <w:szCs w:val="32"/>
        </w:rPr>
      </w:pPr>
    </w:p>
    <w:p>
      <w:pPr>
        <w:pStyle w:val="2"/>
        <w:ind w:firstLine="420"/>
        <w:rPr>
          <w:rFonts w:hint="eastAsia" w:ascii="仿宋" w:hAnsi="仿宋" w:eastAsia="仿宋" w:cs="仿宋"/>
          <w:color w:val="auto"/>
        </w:rPr>
      </w:pPr>
    </w:p>
    <w:p>
      <w:pPr>
        <w:pStyle w:val="4"/>
        <w:rPr>
          <w:rFonts w:hint="eastAsia" w:ascii="仿宋" w:hAnsi="仿宋" w:eastAsia="仿宋" w:cs="仿宋"/>
          <w:color w:val="auto"/>
          <w:lang w:val="en-US"/>
        </w:rPr>
      </w:pPr>
    </w:p>
    <w:p>
      <w:pPr>
        <w:pStyle w:val="6"/>
        <w:rPr>
          <w:rFonts w:hint="eastAsia" w:ascii="仿宋" w:hAnsi="仿宋" w:eastAsia="仿宋" w:cs="仿宋"/>
          <w:color w:val="auto"/>
        </w:rPr>
      </w:pPr>
    </w:p>
    <w:p>
      <w:pPr>
        <w:rPr>
          <w:rFonts w:hint="eastAsia" w:ascii="仿宋" w:hAnsi="仿宋" w:eastAsia="仿宋" w:cs="仿宋"/>
          <w:color w:val="auto"/>
        </w:rPr>
      </w:pPr>
    </w:p>
    <w:p>
      <w:pPr>
        <w:pStyle w:val="2"/>
        <w:ind w:firstLine="420"/>
        <w:rPr>
          <w:rFonts w:hint="eastAsia" w:ascii="仿宋" w:hAnsi="仿宋" w:eastAsia="仿宋" w:cs="仿宋"/>
          <w:color w:val="auto"/>
        </w:rPr>
      </w:pPr>
    </w:p>
    <w:p>
      <w:pPr>
        <w:pStyle w:val="4"/>
        <w:rPr>
          <w:rFonts w:hint="eastAsia" w:ascii="仿宋" w:hAnsi="仿宋" w:eastAsia="仿宋" w:cs="仿宋"/>
          <w:color w:val="auto"/>
          <w:lang w:val="en-US"/>
        </w:rPr>
      </w:pPr>
    </w:p>
    <w:p>
      <w:pPr>
        <w:pStyle w:val="6"/>
        <w:rPr>
          <w:rFonts w:hint="eastAsia" w:ascii="仿宋" w:hAnsi="仿宋" w:eastAsia="仿宋" w:cs="仿宋"/>
          <w:color w:val="auto"/>
        </w:rPr>
      </w:pPr>
    </w:p>
    <w:p>
      <w:pPr>
        <w:rPr>
          <w:rFonts w:hint="eastAsia" w:ascii="仿宋" w:hAnsi="仿宋" w:eastAsia="仿宋" w:cs="仿宋"/>
          <w:color w:val="auto"/>
        </w:rPr>
      </w:pPr>
    </w:p>
    <w:p>
      <w:pPr>
        <w:pStyle w:val="2"/>
        <w:ind w:firstLine="420"/>
        <w:rPr>
          <w:rFonts w:hint="eastAsia" w:ascii="仿宋" w:hAnsi="仿宋" w:eastAsia="仿宋" w:cs="仿宋"/>
          <w:color w:val="auto"/>
        </w:rPr>
      </w:pPr>
    </w:p>
    <w:p>
      <w:pPr>
        <w:pStyle w:val="4"/>
        <w:rPr>
          <w:rFonts w:hint="eastAsia" w:ascii="仿宋" w:hAnsi="仿宋" w:eastAsia="仿宋" w:cs="仿宋"/>
          <w:color w:val="auto"/>
          <w:lang w:val="en-US"/>
        </w:rPr>
      </w:pPr>
    </w:p>
    <w:p>
      <w:pPr>
        <w:pStyle w:val="6"/>
        <w:rPr>
          <w:rFonts w:hint="eastAsia" w:ascii="仿宋" w:hAnsi="仿宋" w:eastAsia="仿宋" w:cs="仿宋"/>
          <w:color w:val="auto"/>
        </w:rPr>
      </w:pPr>
    </w:p>
    <w:p>
      <w:pPr>
        <w:rPr>
          <w:rFonts w:hint="eastAsia" w:ascii="仿宋" w:hAnsi="仿宋" w:eastAsia="仿宋" w:cs="仿宋"/>
          <w:color w:val="auto"/>
        </w:rPr>
      </w:pPr>
    </w:p>
    <w:p>
      <w:pPr>
        <w:pStyle w:val="2"/>
        <w:ind w:firstLine="420"/>
        <w:rPr>
          <w:rFonts w:hint="eastAsia" w:ascii="仿宋" w:hAnsi="仿宋" w:eastAsia="仿宋" w:cs="仿宋"/>
          <w:color w:val="auto"/>
        </w:rPr>
      </w:pPr>
    </w:p>
    <w:p>
      <w:pPr>
        <w:pStyle w:val="2"/>
        <w:ind w:firstLine="420"/>
        <w:rPr>
          <w:rFonts w:hint="eastAsia" w:ascii="仿宋" w:hAnsi="仿宋" w:eastAsia="仿宋" w:cs="仿宋"/>
          <w:color w:val="auto"/>
        </w:rPr>
      </w:pPr>
    </w:p>
    <w:p>
      <w:pPr>
        <w:ind w:firstLine="1911" w:firstLineChars="595"/>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七、</w:t>
      </w:r>
      <w:r>
        <w:rPr>
          <w:rFonts w:hint="eastAsia" w:ascii="仿宋" w:hAnsi="仿宋" w:eastAsia="仿宋" w:cs="仿宋"/>
          <w:b/>
          <w:color w:val="auto"/>
          <w:kern w:val="0"/>
          <w:sz w:val="32"/>
          <w:szCs w:val="32"/>
          <w:lang w:val="zh-CN"/>
        </w:rPr>
        <w:t>政府采购供应商廉洁自律承诺书</w:t>
      </w:r>
    </w:p>
    <w:p>
      <w:pPr>
        <w:snapToGrid w:val="0"/>
        <w:spacing w:line="360" w:lineRule="auto"/>
        <w:rPr>
          <w:rFonts w:hint="eastAsia" w:ascii="仿宋" w:hAnsi="仿宋" w:eastAsia="仿宋" w:cs="仿宋"/>
          <w:color w:val="auto"/>
          <w:sz w:val="24"/>
        </w:rPr>
      </w:pPr>
    </w:p>
    <w:p>
      <w:pPr>
        <w:snapToGrid w:val="0"/>
        <w:spacing w:line="360" w:lineRule="auto"/>
        <w:rPr>
          <w:rFonts w:hint="eastAsia" w:ascii="仿宋" w:hAnsi="仿宋" w:eastAsia="仿宋" w:cs="仿宋"/>
          <w:color w:val="auto"/>
          <w:kern w:val="0"/>
          <w:sz w:val="24"/>
          <w:u w:val="single"/>
        </w:rPr>
      </w:pPr>
      <w:r>
        <w:rPr>
          <w:rFonts w:hint="eastAsia" w:ascii="仿宋" w:hAnsi="仿宋" w:eastAsia="仿宋" w:cs="仿宋"/>
          <w:color w:val="auto"/>
          <w:sz w:val="24"/>
          <w:u w:val="single"/>
          <w:lang w:eastAsia="zh-CN"/>
        </w:rPr>
        <w:t xml:space="preserve">建德市卫生健康行政执法队 </w:t>
      </w:r>
      <w:r>
        <w:rPr>
          <w:rFonts w:hint="eastAsia" w:ascii="仿宋" w:hAnsi="仿宋" w:eastAsia="仿宋" w:cs="仿宋"/>
          <w:color w:val="auto"/>
          <w:sz w:val="24"/>
          <w:u w:val="single"/>
        </w:rPr>
        <w:t>、</w:t>
      </w:r>
      <w:r>
        <w:rPr>
          <w:rFonts w:hint="eastAsia" w:ascii="仿宋" w:hAnsi="仿宋" w:eastAsia="仿宋" w:cs="仿宋"/>
          <w:color w:val="auto"/>
          <w:sz w:val="24"/>
          <w:u w:val="single"/>
          <w:lang w:eastAsia="zh-CN"/>
        </w:rPr>
        <w:t>杭州欣兴建设工程招标代理有限公司</w:t>
      </w:r>
      <w:r>
        <w:rPr>
          <w:rFonts w:hint="eastAsia" w:ascii="仿宋" w:hAnsi="仿宋" w:eastAsia="仿宋" w:cs="仿宋"/>
          <w:color w:val="auto"/>
          <w:kern w:val="0"/>
          <w:sz w:val="24"/>
          <w:u w:val="single"/>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好处；</w:t>
      </w:r>
    </w:p>
    <w:p>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六、严格遵守《</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政府采购法》《</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招标投标</w:t>
      </w:r>
    </w:p>
    <w:p>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法》</w:t>
      </w:r>
      <w:r>
        <w:rPr>
          <w:rFonts w:hint="eastAsia" w:ascii="仿宋" w:hAnsi="仿宋" w:eastAsia="仿宋" w:cs="仿宋"/>
          <w:color w:val="auto"/>
          <w:sz w:val="24"/>
          <w:lang w:val="zh-CN"/>
        </w:rPr>
        <w:t>《中华人民共和国民法典》</w:t>
      </w:r>
      <w:r>
        <w:rPr>
          <w:rFonts w:hint="eastAsia" w:ascii="仿宋" w:hAnsi="仿宋" w:eastAsia="仿宋" w:cs="仿宋"/>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有权立即取消我单位投标、中标或在建项目的建设资格，有权拒绝我单位在一定时期内进入你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lang w:val="zh-CN"/>
        </w:rPr>
      </w:pPr>
    </w:p>
    <w:p>
      <w:pPr>
        <w:autoSpaceDE w:val="0"/>
        <w:autoSpaceDN w:val="0"/>
        <w:spacing w:line="360" w:lineRule="auto"/>
        <w:ind w:left="2"/>
        <w:jc w:val="left"/>
        <w:rPr>
          <w:rFonts w:hint="eastAsia" w:ascii="仿宋" w:hAnsi="仿宋" w:eastAsia="仿宋" w:cs="仿宋"/>
          <w:color w:val="auto"/>
          <w:kern w:val="0"/>
          <w:sz w:val="24"/>
          <w:lang w:val="zh-CN"/>
        </w:rPr>
      </w:pPr>
    </w:p>
    <w:p>
      <w:pPr>
        <w:autoSpaceDE w:val="0"/>
        <w:autoSpaceDN w:val="0"/>
        <w:spacing w:line="360" w:lineRule="auto"/>
        <w:ind w:left="2"/>
        <w:jc w:val="left"/>
        <w:rPr>
          <w:rFonts w:hint="eastAsia" w:ascii="仿宋" w:hAnsi="仿宋" w:eastAsia="仿宋" w:cs="仿宋"/>
          <w:color w:val="auto"/>
          <w:kern w:val="0"/>
          <w:sz w:val="24"/>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投标人名称（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pPr>
        <w:spacing w:line="360" w:lineRule="auto"/>
        <w:jc w:val="center"/>
        <w:rPr>
          <w:rFonts w:hint="eastAsia" w:ascii="仿宋" w:hAnsi="仿宋" w:eastAsia="仿宋" w:cs="仿宋"/>
          <w:b/>
          <w:bCs/>
          <w:color w:val="auto"/>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报价文件部分</w:t>
      </w:r>
    </w:p>
    <w:p>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pPr>
        <w:spacing w:line="360" w:lineRule="auto"/>
        <w:jc w:val="center"/>
        <w:outlineLvl w:val="0"/>
        <w:rPr>
          <w:rFonts w:hint="eastAsia" w:ascii="仿宋" w:hAnsi="仿宋" w:eastAsia="仿宋" w:cs="仿宋"/>
          <w:b/>
          <w:color w:val="auto"/>
          <w:kern w:val="0"/>
          <w:sz w:val="36"/>
          <w:szCs w:val="36"/>
        </w:rPr>
      </w:pP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（1）开标一览表（报价表）………………………………………………………（页码）</w:t>
      </w: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一、开标一览表（报价表）</w:t>
      </w:r>
    </w:p>
    <w:p>
      <w:pPr>
        <w:spacing w:line="360" w:lineRule="auto"/>
        <w:ind w:firstLine="480"/>
        <w:rPr>
          <w:rFonts w:hint="eastAsia" w:ascii="仿宋" w:hAnsi="仿宋" w:eastAsia="仿宋" w:cs="仿宋"/>
          <w:color w:val="auto"/>
          <w:sz w:val="24"/>
          <w:u w:val="single"/>
        </w:rPr>
      </w:pPr>
      <w:r>
        <w:rPr>
          <w:rFonts w:hint="eastAsia" w:ascii="仿宋" w:hAnsi="仿宋" w:eastAsia="仿宋" w:cs="仿宋"/>
          <w:color w:val="auto"/>
          <w:sz w:val="24"/>
          <w:u w:val="single"/>
          <w:lang w:eastAsia="zh-CN"/>
        </w:rPr>
        <w:t xml:space="preserve">建德市卫生健康行政执法队 </w:t>
      </w:r>
      <w:r>
        <w:rPr>
          <w:rFonts w:hint="eastAsia" w:ascii="仿宋" w:hAnsi="仿宋" w:eastAsia="仿宋" w:cs="仿宋"/>
          <w:color w:val="auto"/>
          <w:sz w:val="24"/>
          <w:u w:val="single"/>
        </w:rPr>
        <w:t>、</w:t>
      </w:r>
      <w:r>
        <w:rPr>
          <w:rFonts w:hint="eastAsia" w:ascii="仿宋" w:hAnsi="仿宋" w:eastAsia="仿宋" w:cs="仿宋"/>
          <w:color w:val="auto"/>
          <w:sz w:val="24"/>
          <w:u w:val="single"/>
          <w:lang w:eastAsia="zh-CN"/>
        </w:rPr>
        <w:t>杭州欣兴建设工程招标代理有限公司</w:t>
      </w:r>
      <w:r>
        <w:rPr>
          <w:rFonts w:hint="eastAsia" w:ascii="仿宋" w:hAnsi="仿宋" w:eastAsia="仿宋" w:cs="仿宋"/>
          <w:color w:val="auto"/>
          <w:kern w:val="0"/>
          <w:sz w:val="24"/>
          <w:u w:val="single"/>
          <w:lang w:val="zh-CN"/>
        </w:rPr>
        <w:t>：</w:t>
      </w:r>
    </w:p>
    <w:p>
      <w:pPr>
        <w:snapToGrid w:val="0"/>
        <w:spacing w:line="360" w:lineRule="auto"/>
        <w:ind w:firstLine="482"/>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lang w:eastAsia="zh-CN"/>
        </w:rPr>
        <w:t>建德市2022年口腔诊疗机构智慧监管项目</w:t>
      </w:r>
      <w:r>
        <w:rPr>
          <w:rFonts w:hint="eastAsia" w:ascii="仿宋" w:hAnsi="仿宋" w:eastAsia="仿宋" w:cs="仿宋"/>
          <w:color w:val="auto"/>
          <w:kern w:val="0"/>
          <w:sz w:val="24"/>
          <w:lang w:val="zh-CN"/>
        </w:rPr>
        <w:t>【项目编号：</w:t>
      </w:r>
      <w:r>
        <w:rPr>
          <w:rFonts w:hint="eastAsia" w:ascii="仿宋" w:hAnsi="仿宋" w:eastAsia="仿宋" w:cs="仿宋"/>
          <w:color w:val="auto"/>
          <w:sz w:val="24"/>
          <w:lang w:eastAsia="zh-CN"/>
        </w:rPr>
        <w:t xml:space="preserve">JD2022BF- </w:t>
      </w:r>
      <w:r>
        <w:rPr>
          <w:rFonts w:hint="eastAsia" w:ascii="仿宋" w:hAnsi="仿宋" w:eastAsia="仿宋" w:cs="仿宋"/>
          <w:color w:val="auto"/>
          <w:sz w:val="24"/>
        </w:rPr>
        <w:t>】的实施</w:t>
      </w:r>
      <w:r>
        <w:rPr>
          <w:rFonts w:hint="eastAsia" w:ascii="仿宋" w:hAnsi="仿宋" w:eastAsia="仿宋" w:cs="仿宋"/>
          <w:color w:val="auto"/>
          <w:kern w:val="0"/>
          <w:sz w:val="24"/>
          <w:lang w:val="zh-CN"/>
        </w:rPr>
        <w:t>。</w:t>
      </w:r>
    </w:p>
    <w:p>
      <w:pPr>
        <w:spacing w:line="360" w:lineRule="auto"/>
        <w:jc w:val="center"/>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534"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417"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名称</w:t>
            </w:r>
          </w:p>
        </w:tc>
        <w:tc>
          <w:tcPr>
            <w:tcW w:w="1843" w:type="dxa"/>
          </w:tcPr>
          <w:p>
            <w:pPr>
              <w:spacing w:line="360" w:lineRule="auto"/>
              <w:jc w:val="center"/>
              <w:rPr>
                <w:rFonts w:hint="eastAsia" w:ascii="仿宋" w:hAnsi="仿宋" w:eastAsia="仿宋" w:cs="仿宋"/>
                <w:b/>
                <w:color w:val="auto"/>
                <w:sz w:val="24"/>
              </w:rPr>
            </w:pPr>
          </w:p>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品牌（如果有）</w:t>
            </w:r>
          </w:p>
        </w:tc>
        <w:tc>
          <w:tcPr>
            <w:tcW w:w="3118"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规格型号（或具体服务）</w:t>
            </w:r>
          </w:p>
        </w:tc>
        <w:tc>
          <w:tcPr>
            <w:tcW w:w="993"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数量</w:t>
            </w:r>
          </w:p>
        </w:tc>
        <w:tc>
          <w:tcPr>
            <w:tcW w:w="1559"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单价</w:t>
            </w:r>
          </w:p>
        </w:tc>
        <w:tc>
          <w:tcPr>
            <w:tcW w:w="1984"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总价</w:t>
            </w:r>
          </w:p>
        </w:tc>
        <w:tc>
          <w:tcPr>
            <w:tcW w:w="3119" w:type="dxa"/>
            <w:vAlign w:val="center"/>
          </w:tcPr>
          <w:p>
            <w:pPr>
              <w:spacing w:line="360" w:lineRule="auto"/>
              <w:jc w:val="center"/>
              <w:rPr>
                <w:rFonts w:hint="eastAsia" w:ascii="仿宋" w:hAnsi="仿宋" w:eastAsia="仿宋" w:cs="仿宋"/>
                <w:b/>
                <w:color w:val="auto"/>
                <w:sz w:val="24"/>
              </w:rPr>
            </w:pPr>
          </w:p>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服务要求（年限）</w:t>
            </w:r>
          </w:p>
          <w:p>
            <w:pPr>
              <w:spacing w:line="360" w:lineRule="auto"/>
              <w:jc w:val="center"/>
              <w:rPr>
                <w:rFonts w:hint="eastAsia" w:ascii="仿宋" w:hAnsi="仿宋" w:eastAsia="仿宋" w:cs="仿宋"/>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417" w:type="dxa"/>
            <w:vAlign w:val="center"/>
          </w:tcPr>
          <w:p>
            <w:pPr>
              <w:snapToGrid w:val="0"/>
              <w:spacing w:line="360" w:lineRule="auto"/>
              <w:jc w:val="center"/>
              <w:rPr>
                <w:rFonts w:hint="eastAsia" w:ascii="仿宋" w:hAnsi="仿宋" w:eastAsia="仿宋" w:cs="仿宋"/>
                <w:color w:val="auto"/>
                <w:sz w:val="24"/>
              </w:rPr>
            </w:pPr>
          </w:p>
        </w:tc>
        <w:tc>
          <w:tcPr>
            <w:tcW w:w="1843" w:type="dxa"/>
            <w:vAlign w:val="center"/>
          </w:tcPr>
          <w:p>
            <w:pPr>
              <w:snapToGrid w:val="0"/>
              <w:spacing w:line="360" w:lineRule="auto"/>
              <w:jc w:val="center"/>
              <w:rPr>
                <w:rFonts w:hint="eastAsia" w:ascii="仿宋" w:hAnsi="仿宋" w:eastAsia="仿宋" w:cs="仿宋"/>
                <w:color w:val="auto"/>
                <w:sz w:val="24"/>
              </w:rPr>
            </w:pPr>
          </w:p>
        </w:tc>
        <w:tc>
          <w:tcPr>
            <w:tcW w:w="3118" w:type="dxa"/>
            <w:vAlign w:val="center"/>
          </w:tcPr>
          <w:p>
            <w:pPr>
              <w:snapToGrid w:val="0"/>
              <w:spacing w:line="360" w:lineRule="auto"/>
              <w:jc w:val="center"/>
              <w:rPr>
                <w:rFonts w:hint="eastAsia" w:ascii="仿宋" w:hAnsi="仿宋" w:eastAsia="仿宋" w:cs="仿宋"/>
                <w:color w:val="auto"/>
                <w:sz w:val="24"/>
              </w:rPr>
            </w:pPr>
          </w:p>
        </w:tc>
        <w:tc>
          <w:tcPr>
            <w:tcW w:w="993" w:type="dxa"/>
            <w:vAlign w:val="center"/>
          </w:tcPr>
          <w:p>
            <w:pPr>
              <w:snapToGrid w:val="0"/>
              <w:spacing w:line="360" w:lineRule="auto"/>
              <w:jc w:val="center"/>
              <w:rPr>
                <w:rFonts w:hint="eastAsia" w:ascii="仿宋" w:hAnsi="仿宋" w:eastAsia="仿宋" w:cs="仿宋"/>
                <w:color w:val="auto"/>
                <w:sz w:val="24"/>
              </w:rPr>
            </w:pPr>
          </w:p>
        </w:tc>
        <w:tc>
          <w:tcPr>
            <w:tcW w:w="1559" w:type="dxa"/>
            <w:vAlign w:val="center"/>
          </w:tcPr>
          <w:p>
            <w:pPr>
              <w:spacing w:line="360" w:lineRule="auto"/>
              <w:jc w:val="center"/>
              <w:rPr>
                <w:rFonts w:hint="eastAsia" w:ascii="仿宋" w:hAnsi="仿宋" w:eastAsia="仿宋" w:cs="仿宋"/>
                <w:color w:val="auto"/>
                <w:sz w:val="24"/>
              </w:rPr>
            </w:pPr>
          </w:p>
        </w:tc>
        <w:tc>
          <w:tcPr>
            <w:tcW w:w="1984" w:type="dxa"/>
            <w:vAlign w:val="center"/>
          </w:tcPr>
          <w:p>
            <w:pPr>
              <w:spacing w:line="360" w:lineRule="auto"/>
              <w:jc w:val="center"/>
              <w:rPr>
                <w:rFonts w:hint="eastAsia" w:ascii="仿宋" w:hAnsi="仿宋" w:eastAsia="仿宋" w:cs="仿宋"/>
                <w:color w:val="auto"/>
                <w:sz w:val="24"/>
              </w:rPr>
            </w:pPr>
          </w:p>
        </w:tc>
        <w:tc>
          <w:tcPr>
            <w:tcW w:w="3119" w:type="dxa"/>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417" w:type="dxa"/>
            <w:vAlign w:val="center"/>
          </w:tcPr>
          <w:p>
            <w:pPr>
              <w:snapToGrid w:val="0"/>
              <w:spacing w:line="360" w:lineRule="auto"/>
              <w:jc w:val="center"/>
              <w:rPr>
                <w:rFonts w:hint="eastAsia" w:ascii="仿宋" w:hAnsi="仿宋" w:eastAsia="仿宋" w:cs="仿宋"/>
                <w:color w:val="auto"/>
                <w:sz w:val="24"/>
              </w:rPr>
            </w:pPr>
          </w:p>
        </w:tc>
        <w:tc>
          <w:tcPr>
            <w:tcW w:w="1843" w:type="dxa"/>
            <w:vAlign w:val="center"/>
          </w:tcPr>
          <w:p>
            <w:pPr>
              <w:snapToGrid w:val="0"/>
              <w:spacing w:line="360" w:lineRule="auto"/>
              <w:jc w:val="center"/>
              <w:rPr>
                <w:rFonts w:hint="eastAsia" w:ascii="仿宋" w:hAnsi="仿宋" w:eastAsia="仿宋" w:cs="仿宋"/>
                <w:color w:val="auto"/>
                <w:sz w:val="24"/>
              </w:rPr>
            </w:pPr>
          </w:p>
        </w:tc>
        <w:tc>
          <w:tcPr>
            <w:tcW w:w="3118" w:type="dxa"/>
            <w:vAlign w:val="center"/>
          </w:tcPr>
          <w:p>
            <w:pPr>
              <w:snapToGrid w:val="0"/>
              <w:spacing w:line="360" w:lineRule="auto"/>
              <w:jc w:val="center"/>
              <w:rPr>
                <w:rFonts w:hint="eastAsia" w:ascii="仿宋" w:hAnsi="仿宋" w:eastAsia="仿宋" w:cs="仿宋"/>
                <w:color w:val="auto"/>
                <w:sz w:val="24"/>
              </w:rPr>
            </w:pPr>
          </w:p>
        </w:tc>
        <w:tc>
          <w:tcPr>
            <w:tcW w:w="993" w:type="dxa"/>
            <w:vAlign w:val="center"/>
          </w:tcPr>
          <w:p>
            <w:pPr>
              <w:snapToGrid w:val="0"/>
              <w:spacing w:line="360" w:lineRule="auto"/>
              <w:jc w:val="center"/>
              <w:rPr>
                <w:rFonts w:hint="eastAsia" w:ascii="仿宋" w:hAnsi="仿宋" w:eastAsia="仿宋" w:cs="仿宋"/>
                <w:color w:val="auto"/>
                <w:sz w:val="24"/>
              </w:rPr>
            </w:pPr>
          </w:p>
        </w:tc>
        <w:tc>
          <w:tcPr>
            <w:tcW w:w="1559" w:type="dxa"/>
            <w:vAlign w:val="center"/>
          </w:tcPr>
          <w:p>
            <w:pPr>
              <w:spacing w:line="360" w:lineRule="auto"/>
              <w:jc w:val="center"/>
              <w:rPr>
                <w:rFonts w:hint="eastAsia" w:ascii="仿宋" w:hAnsi="仿宋" w:eastAsia="仿宋" w:cs="仿宋"/>
                <w:color w:val="auto"/>
                <w:sz w:val="24"/>
              </w:rPr>
            </w:pPr>
          </w:p>
        </w:tc>
        <w:tc>
          <w:tcPr>
            <w:tcW w:w="1984" w:type="dxa"/>
            <w:vAlign w:val="center"/>
          </w:tcPr>
          <w:p>
            <w:pPr>
              <w:spacing w:line="360" w:lineRule="auto"/>
              <w:jc w:val="center"/>
              <w:rPr>
                <w:rFonts w:hint="eastAsia" w:ascii="仿宋" w:hAnsi="仿宋" w:eastAsia="仿宋" w:cs="仿宋"/>
                <w:color w:val="auto"/>
                <w:sz w:val="24"/>
              </w:rPr>
            </w:pPr>
          </w:p>
        </w:tc>
        <w:tc>
          <w:tcPr>
            <w:tcW w:w="3119" w:type="dxa"/>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534"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w:t>
            </w:r>
          </w:p>
        </w:tc>
        <w:tc>
          <w:tcPr>
            <w:tcW w:w="1417" w:type="dxa"/>
            <w:vAlign w:val="center"/>
          </w:tcPr>
          <w:p>
            <w:pPr>
              <w:snapToGrid w:val="0"/>
              <w:spacing w:line="360" w:lineRule="auto"/>
              <w:jc w:val="center"/>
              <w:rPr>
                <w:rFonts w:hint="eastAsia" w:ascii="仿宋" w:hAnsi="仿宋" w:eastAsia="仿宋" w:cs="仿宋"/>
                <w:color w:val="auto"/>
                <w:sz w:val="24"/>
              </w:rPr>
            </w:pPr>
          </w:p>
        </w:tc>
        <w:tc>
          <w:tcPr>
            <w:tcW w:w="1843" w:type="dxa"/>
            <w:vAlign w:val="center"/>
          </w:tcPr>
          <w:p>
            <w:pPr>
              <w:snapToGrid w:val="0"/>
              <w:spacing w:line="360" w:lineRule="auto"/>
              <w:jc w:val="center"/>
              <w:rPr>
                <w:rFonts w:hint="eastAsia" w:ascii="仿宋" w:hAnsi="仿宋" w:eastAsia="仿宋" w:cs="仿宋"/>
                <w:color w:val="auto"/>
                <w:sz w:val="24"/>
              </w:rPr>
            </w:pPr>
          </w:p>
        </w:tc>
        <w:tc>
          <w:tcPr>
            <w:tcW w:w="3118" w:type="dxa"/>
            <w:vAlign w:val="center"/>
          </w:tcPr>
          <w:p>
            <w:pPr>
              <w:snapToGrid w:val="0"/>
              <w:spacing w:line="360" w:lineRule="auto"/>
              <w:jc w:val="center"/>
              <w:rPr>
                <w:rFonts w:hint="eastAsia" w:ascii="仿宋" w:hAnsi="仿宋" w:eastAsia="仿宋" w:cs="仿宋"/>
                <w:color w:val="auto"/>
                <w:sz w:val="24"/>
              </w:rPr>
            </w:pPr>
          </w:p>
        </w:tc>
        <w:tc>
          <w:tcPr>
            <w:tcW w:w="993" w:type="dxa"/>
            <w:vAlign w:val="center"/>
          </w:tcPr>
          <w:p>
            <w:pPr>
              <w:snapToGrid w:val="0"/>
              <w:spacing w:line="360" w:lineRule="auto"/>
              <w:jc w:val="center"/>
              <w:rPr>
                <w:rFonts w:hint="eastAsia" w:ascii="仿宋" w:hAnsi="仿宋" w:eastAsia="仿宋" w:cs="仿宋"/>
                <w:color w:val="auto"/>
                <w:sz w:val="24"/>
              </w:rPr>
            </w:pPr>
          </w:p>
        </w:tc>
        <w:tc>
          <w:tcPr>
            <w:tcW w:w="1559" w:type="dxa"/>
            <w:vAlign w:val="center"/>
          </w:tcPr>
          <w:p>
            <w:pPr>
              <w:spacing w:line="360" w:lineRule="auto"/>
              <w:jc w:val="center"/>
              <w:rPr>
                <w:rFonts w:hint="eastAsia" w:ascii="仿宋" w:hAnsi="仿宋" w:eastAsia="仿宋" w:cs="仿宋"/>
                <w:color w:val="auto"/>
                <w:sz w:val="24"/>
              </w:rPr>
            </w:pPr>
          </w:p>
        </w:tc>
        <w:tc>
          <w:tcPr>
            <w:tcW w:w="1984" w:type="dxa"/>
            <w:vAlign w:val="center"/>
          </w:tcPr>
          <w:p>
            <w:pPr>
              <w:spacing w:line="360" w:lineRule="auto"/>
              <w:jc w:val="center"/>
              <w:rPr>
                <w:rFonts w:hint="eastAsia" w:ascii="仿宋" w:hAnsi="仿宋" w:eastAsia="仿宋" w:cs="仿宋"/>
                <w:color w:val="auto"/>
                <w:sz w:val="24"/>
              </w:rPr>
            </w:pPr>
          </w:p>
        </w:tc>
        <w:tc>
          <w:tcPr>
            <w:tcW w:w="3119" w:type="dxa"/>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34" w:type="dxa"/>
            <w:vAlign w:val="center"/>
          </w:tcPr>
          <w:p>
            <w:pPr>
              <w:spacing w:line="360" w:lineRule="auto"/>
              <w:jc w:val="center"/>
              <w:rPr>
                <w:rFonts w:hint="eastAsia" w:ascii="仿宋" w:hAnsi="仿宋" w:eastAsia="仿宋" w:cs="仿宋"/>
                <w:color w:val="auto"/>
                <w:sz w:val="24"/>
              </w:rPr>
            </w:pPr>
          </w:p>
        </w:tc>
        <w:tc>
          <w:tcPr>
            <w:tcW w:w="1417" w:type="dxa"/>
            <w:vAlign w:val="center"/>
          </w:tcPr>
          <w:p>
            <w:pPr>
              <w:snapToGrid w:val="0"/>
              <w:spacing w:line="360" w:lineRule="auto"/>
              <w:jc w:val="center"/>
              <w:rPr>
                <w:rFonts w:hint="eastAsia" w:ascii="仿宋" w:hAnsi="仿宋" w:eastAsia="仿宋" w:cs="仿宋"/>
                <w:color w:val="auto"/>
                <w:sz w:val="24"/>
              </w:rPr>
            </w:pPr>
          </w:p>
        </w:tc>
        <w:tc>
          <w:tcPr>
            <w:tcW w:w="1843" w:type="dxa"/>
            <w:vAlign w:val="center"/>
          </w:tcPr>
          <w:p>
            <w:pPr>
              <w:snapToGrid w:val="0"/>
              <w:spacing w:line="360" w:lineRule="auto"/>
              <w:jc w:val="center"/>
              <w:rPr>
                <w:rFonts w:hint="eastAsia" w:ascii="仿宋" w:hAnsi="仿宋" w:eastAsia="仿宋" w:cs="仿宋"/>
                <w:color w:val="auto"/>
                <w:sz w:val="24"/>
              </w:rPr>
            </w:pPr>
          </w:p>
        </w:tc>
        <w:tc>
          <w:tcPr>
            <w:tcW w:w="3118" w:type="dxa"/>
            <w:vAlign w:val="center"/>
          </w:tcPr>
          <w:p>
            <w:pPr>
              <w:snapToGrid w:val="0"/>
              <w:spacing w:line="360" w:lineRule="auto"/>
              <w:jc w:val="center"/>
              <w:rPr>
                <w:rFonts w:hint="eastAsia" w:ascii="仿宋" w:hAnsi="仿宋" w:eastAsia="仿宋" w:cs="仿宋"/>
                <w:color w:val="auto"/>
                <w:sz w:val="24"/>
              </w:rPr>
            </w:pPr>
          </w:p>
        </w:tc>
        <w:tc>
          <w:tcPr>
            <w:tcW w:w="993" w:type="dxa"/>
            <w:vAlign w:val="center"/>
          </w:tcPr>
          <w:p>
            <w:pPr>
              <w:snapToGrid w:val="0"/>
              <w:spacing w:line="360" w:lineRule="auto"/>
              <w:jc w:val="center"/>
              <w:rPr>
                <w:rFonts w:hint="eastAsia" w:ascii="仿宋" w:hAnsi="仿宋" w:eastAsia="仿宋" w:cs="仿宋"/>
                <w:color w:val="auto"/>
                <w:sz w:val="24"/>
              </w:rPr>
            </w:pPr>
          </w:p>
        </w:tc>
        <w:tc>
          <w:tcPr>
            <w:tcW w:w="1559" w:type="dxa"/>
            <w:vAlign w:val="center"/>
          </w:tcPr>
          <w:p>
            <w:pPr>
              <w:spacing w:line="360" w:lineRule="auto"/>
              <w:jc w:val="center"/>
              <w:rPr>
                <w:rFonts w:hint="eastAsia" w:ascii="仿宋" w:hAnsi="仿宋" w:eastAsia="仿宋" w:cs="仿宋"/>
                <w:color w:val="auto"/>
                <w:sz w:val="24"/>
              </w:rPr>
            </w:pPr>
          </w:p>
        </w:tc>
        <w:tc>
          <w:tcPr>
            <w:tcW w:w="1984" w:type="dxa"/>
            <w:vAlign w:val="center"/>
          </w:tcPr>
          <w:p>
            <w:pPr>
              <w:spacing w:line="360" w:lineRule="auto"/>
              <w:jc w:val="center"/>
              <w:rPr>
                <w:rFonts w:hint="eastAsia" w:ascii="仿宋" w:hAnsi="仿宋" w:eastAsia="仿宋" w:cs="仿宋"/>
                <w:color w:val="auto"/>
                <w:sz w:val="24"/>
              </w:rPr>
            </w:pPr>
          </w:p>
        </w:tc>
        <w:tc>
          <w:tcPr>
            <w:tcW w:w="3119" w:type="dxa"/>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投标报价（小写）</w:t>
            </w:r>
          </w:p>
        </w:tc>
        <w:tc>
          <w:tcPr>
            <w:tcW w:w="7655" w:type="dxa"/>
            <w:gridSpan w:val="4"/>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投标报价（大写）</w:t>
            </w:r>
          </w:p>
        </w:tc>
        <w:tc>
          <w:tcPr>
            <w:tcW w:w="7655" w:type="dxa"/>
            <w:gridSpan w:val="4"/>
            <w:vAlign w:val="center"/>
          </w:tcPr>
          <w:p>
            <w:pPr>
              <w:spacing w:line="360" w:lineRule="auto"/>
              <w:jc w:val="center"/>
              <w:rPr>
                <w:rFonts w:hint="eastAsia" w:ascii="仿宋" w:hAnsi="仿宋" w:eastAsia="仿宋" w:cs="仿宋"/>
                <w:color w:val="auto"/>
                <w:sz w:val="24"/>
              </w:rPr>
            </w:pPr>
          </w:p>
        </w:tc>
      </w:tr>
    </w:tbl>
    <w:p>
      <w:pPr>
        <w:snapToGrid w:val="0"/>
        <w:spacing w:line="360" w:lineRule="auto"/>
        <w:ind w:left="480"/>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注：</w:t>
      </w:r>
    </w:p>
    <w:p>
      <w:pPr>
        <w:spacing w:line="360" w:lineRule="auto"/>
        <w:ind w:left="-2" w:leftChars="-1"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1、投标人需按本表格式填写，不得自行更改。</w:t>
      </w:r>
    </w:p>
    <w:p>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2、有关本项目实施所涉及的一切费用均计入报价。</w:t>
      </w:r>
      <w:r>
        <w:rPr>
          <w:rFonts w:hint="eastAsia" w:ascii="仿宋" w:hAnsi="仿宋" w:eastAsia="仿宋" w:cs="仿宋"/>
          <w:b/>
          <w:color w:val="auto"/>
          <w:kern w:val="0"/>
          <w:sz w:val="24"/>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不得出现“0元”“免费赠送”等形式的无偿报价，</w:t>
      </w:r>
      <w:r>
        <w:rPr>
          <w:rFonts w:hint="eastAsia" w:ascii="仿宋" w:hAnsi="仿宋" w:eastAsia="仿宋" w:cs="仿宋"/>
          <w:b/>
          <w:color w:val="auto"/>
          <w:kern w:val="0"/>
          <w:sz w:val="24"/>
        </w:rPr>
        <w:t>否则视为</w:t>
      </w:r>
      <w:r>
        <w:rPr>
          <w:rFonts w:hint="eastAsia" w:ascii="仿宋" w:hAnsi="仿宋" w:eastAsia="仿宋" w:cs="仿宋"/>
          <w:b/>
          <w:color w:val="auto"/>
          <w:sz w:val="24"/>
        </w:rPr>
        <w:t>投标文件含有采购人不能接受的附加条件的，投标无效</w:t>
      </w:r>
      <w:r>
        <w:rPr>
          <w:rFonts w:hint="eastAsia" w:ascii="仿宋" w:hAnsi="仿宋" w:eastAsia="仿宋" w:cs="仿宋"/>
          <w:b/>
          <w:color w:val="auto"/>
          <w:kern w:val="0"/>
          <w:sz w:val="24"/>
          <w:lang w:val="zh-CN"/>
        </w:rPr>
        <w:t>。</w:t>
      </w:r>
    </w:p>
    <w:p>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4、特别提示：采购机构将对项目名称和项目编号，中标供应商名称、地址和中标金额，主要中标标的的名称、规格型号、数量、单价、服务要求等予以公示。</w:t>
      </w:r>
    </w:p>
    <w:p>
      <w:pPr>
        <w:pStyle w:val="691"/>
        <w:keepNext w:val="0"/>
        <w:pageBreakBefore w:val="0"/>
        <w:tabs>
          <w:tab w:val="clear" w:pos="720"/>
        </w:tabs>
        <w:snapToGrid w:val="0"/>
        <w:spacing w:before="120" w:after="120"/>
        <w:ind w:firstLine="472" w:firstLineChars="196"/>
        <w:jc w:val="both"/>
        <w:outlineLvl w:val="9"/>
        <w:rPr>
          <w:rFonts w:hint="eastAsia" w:ascii="仿宋" w:hAnsi="仿宋" w:eastAsia="仿宋" w:cs="仿宋"/>
          <w:color w:val="auto"/>
          <w:kern w:val="2"/>
          <w:sz w:val="32"/>
          <w:szCs w:val="32"/>
        </w:rPr>
        <w:sectPr>
          <w:pgSz w:w="16838" w:h="11906" w:orient="landscape"/>
          <w:pgMar w:top="1418" w:right="1247" w:bottom="1418" w:left="1276" w:header="851" w:footer="992" w:gutter="0"/>
          <w:cols w:space="720" w:num="1"/>
          <w:titlePg/>
          <w:docGrid w:linePitch="312" w:charSpace="0"/>
        </w:sectPr>
      </w:pPr>
      <w:r>
        <w:rPr>
          <w:rFonts w:hint="eastAsia" w:ascii="仿宋" w:hAnsi="仿宋" w:eastAsia="仿宋" w:cs="仿宋"/>
          <w:color w:val="auto"/>
          <w:kern w:val="0"/>
          <w:sz w:val="24"/>
          <w:szCs w:val="22"/>
          <w:lang w:val="zh-CN"/>
        </w:rPr>
        <w:t>5、</w:t>
      </w:r>
      <w:r>
        <w:rPr>
          <w:rFonts w:hint="eastAsia" w:ascii="仿宋" w:hAnsi="仿宋" w:eastAsia="仿宋" w:cs="仿宋"/>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tabs>
          <w:tab w:val="left" w:pos="8085"/>
        </w:tabs>
        <w:spacing w:line="360" w:lineRule="auto"/>
        <w:ind w:firstLine="1285" w:firstLineChars="400"/>
        <w:jc w:val="left"/>
        <w:rPr>
          <w:rFonts w:hint="eastAsia" w:ascii="仿宋" w:hAnsi="仿宋" w:eastAsia="仿宋" w:cs="仿宋"/>
          <w:b/>
          <w:color w:val="auto"/>
          <w:sz w:val="32"/>
          <w:szCs w:val="32"/>
        </w:rPr>
      </w:pPr>
      <w:r>
        <w:rPr>
          <w:rFonts w:hint="eastAsia" w:ascii="仿宋" w:hAnsi="仿宋" w:eastAsia="仿宋" w:cs="仿宋"/>
          <w:b/>
          <w:color w:val="auto"/>
          <w:sz w:val="32"/>
          <w:szCs w:val="32"/>
        </w:rPr>
        <w:t>政府采购支持中小企业信用融资相关事项通知</w:t>
      </w:r>
    </w:p>
    <w:p>
      <w:pPr>
        <w:widowControl/>
        <w:spacing w:line="440" w:lineRule="exact"/>
        <w:ind w:firstLine="480"/>
        <w:rPr>
          <w:rFonts w:hint="eastAsia" w:ascii="仿宋" w:hAnsi="仿宋" w:eastAsia="仿宋" w:cs="仿宋"/>
          <w:color w:val="auto"/>
          <w:szCs w:val="21"/>
        </w:rPr>
      </w:pPr>
      <w:r>
        <w:rPr>
          <w:rFonts w:hint="eastAsia" w:ascii="仿宋" w:hAnsi="仿宋" w:eastAsia="仿宋" w:cs="仿宋"/>
          <w:color w:val="auto"/>
          <w:kern w:val="0"/>
          <w:sz w:val="24"/>
        </w:rPr>
        <w:t>为贯彻落实中央、省、市关于支持民营经济健康发展有关精神，发挥政府采购在促进中小企业发展中的政策引导作用，缓解中小企业融资难、融资贵问题，建德市财政局、浙江银监局建德监管办事处、建德市人民政府金融工作办公室、建德市经济和信息化局制定《建德市政府采购支持中小企业信用融资实施细则》。相关事项通知如下：</w:t>
      </w:r>
    </w:p>
    <w:p>
      <w:pPr>
        <w:widowControl/>
        <w:spacing w:line="440" w:lineRule="exact"/>
        <w:ind w:firstLine="482"/>
        <w:rPr>
          <w:rFonts w:hint="eastAsia" w:ascii="仿宋" w:hAnsi="仿宋" w:eastAsia="仿宋" w:cs="仿宋"/>
          <w:color w:val="auto"/>
          <w:szCs w:val="21"/>
        </w:rPr>
      </w:pPr>
      <w:r>
        <w:rPr>
          <w:rFonts w:hint="eastAsia" w:ascii="仿宋" w:hAnsi="仿宋" w:eastAsia="仿宋" w:cs="仿宋"/>
          <w:b/>
          <w:bCs/>
          <w:color w:val="auto"/>
          <w:kern w:val="0"/>
          <w:sz w:val="24"/>
        </w:rPr>
        <w:t>一、适用对象</w:t>
      </w:r>
    </w:p>
    <w:p>
      <w:pPr>
        <w:widowControl/>
        <w:spacing w:line="440" w:lineRule="exact"/>
        <w:ind w:firstLine="480"/>
        <w:rPr>
          <w:rFonts w:hint="eastAsia" w:ascii="仿宋" w:hAnsi="仿宋" w:eastAsia="仿宋" w:cs="仿宋"/>
          <w:color w:val="auto"/>
          <w:szCs w:val="21"/>
        </w:rPr>
      </w:pPr>
      <w:r>
        <w:rPr>
          <w:rFonts w:hint="eastAsia" w:ascii="仿宋" w:hAnsi="仿宋" w:eastAsia="仿宋" w:cs="仿宋"/>
          <w:color w:val="auto"/>
          <w:kern w:val="0"/>
          <w:sz w:val="24"/>
        </w:rPr>
        <w:t>凡已在浙江政府采购网上注册入库，并取得建德市政府采购合同的中小企业供应商（以下简称“供应商”），均可申请政府采购信用融资。</w:t>
      </w:r>
    </w:p>
    <w:p>
      <w:pPr>
        <w:widowControl/>
        <w:spacing w:line="440" w:lineRule="exact"/>
        <w:ind w:firstLine="482"/>
        <w:rPr>
          <w:rFonts w:hint="eastAsia" w:ascii="仿宋" w:hAnsi="仿宋" w:eastAsia="仿宋" w:cs="仿宋"/>
          <w:color w:val="auto"/>
          <w:szCs w:val="21"/>
        </w:rPr>
      </w:pPr>
      <w:r>
        <w:rPr>
          <w:rFonts w:hint="eastAsia" w:ascii="仿宋" w:hAnsi="仿宋" w:eastAsia="仿宋" w:cs="仿宋"/>
          <w:b/>
          <w:bCs/>
          <w:color w:val="auto"/>
          <w:kern w:val="0"/>
          <w:sz w:val="24"/>
        </w:rPr>
        <w:t>二、政府采购信用融资操作流程：</w:t>
      </w:r>
    </w:p>
    <w:p>
      <w:pPr>
        <w:widowControl/>
        <w:spacing w:line="440" w:lineRule="exact"/>
        <w:ind w:firstLine="960"/>
        <w:rPr>
          <w:rFonts w:hint="eastAsia" w:ascii="仿宋" w:hAnsi="仿宋" w:eastAsia="仿宋" w:cs="仿宋"/>
          <w:color w:val="auto"/>
          <w:szCs w:val="21"/>
        </w:rPr>
      </w:pPr>
      <w:r>
        <w:rPr>
          <w:rFonts w:hint="eastAsia" w:ascii="仿宋" w:hAnsi="仿宋" w:eastAsia="仿宋" w:cs="仿宋"/>
          <w:color w:val="auto"/>
          <w:kern w:val="0"/>
          <w:sz w:val="24"/>
        </w:rPr>
        <w:t>（一）线上融资模式（政采云）：</w:t>
      </w:r>
    </w:p>
    <w:p>
      <w:pPr>
        <w:widowControl/>
        <w:spacing w:line="440" w:lineRule="exact"/>
        <w:ind w:firstLine="960"/>
        <w:rPr>
          <w:rFonts w:hint="eastAsia" w:ascii="仿宋" w:hAnsi="仿宋" w:eastAsia="仿宋" w:cs="仿宋"/>
          <w:color w:val="auto"/>
          <w:szCs w:val="21"/>
        </w:rPr>
      </w:pPr>
      <w:r>
        <w:rPr>
          <w:rFonts w:hint="eastAsia" w:ascii="仿宋" w:hAnsi="仿宋" w:eastAsia="仿宋" w:cs="仿宋"/>
          <w:color w:val="auto"/>
          <w:kern w:val="0"/>
          <w:sz w:val="24"/>
        </w:rPr>
        <w:t>操作路劲：登录政采云平台—金融服务中心—融资贷款。</w:t>
      </w:r>
    </w:p>
    <w:p>
      <w:pPr>
        <w:widowControl/>
        <w:spacing w:line="440" w:lineRule="exact"/>
        <w:ind w:firstLine="480"/>
        <w:rPr>
          <w:rFonts w:hint="eastAsia" w:ascii="仿宋" w:hAnsi="仿宋" w:eastAsia="仿宋" w:cs="仿宋"/>
          <w:color w:val="auto"/>
          <w:szCs w:val="21"/>
        </w:rPr>
      </w:pPr>
      <w:r>
        <w:rPr>
          <w:rFonts w:hint="eastAsia" w:ascii="仿宋" w:hAnsi="仿宋" w:eastAsia="仿宋" w:cs="仿宋"/>
          <w:color w:val="auto"/>
          <w:kern w:val="0"/>
          <w:sz w:val="24"/>
        </w:rPr>
        <w:t>　　1.供应商根据合作银行提供的方案，自行选择金融产品，并办理开户等手续；</w:t>
      </w:r>
    </w:p>
    <w:p>
      <w:pPr>
        <w:widowControl/>
        <w:spacing w:line="440" w:lineRule="exact"/>
        <w:ind w:firstLine="480"/>
        <w:rPr>
          <w:rFonts w:hint="eastAsia" w:ascii="仿宋" w:hAnsi="仿宋" w:eastAsia="仿宋" w:cs="仿宋"/>
          <w:color w:val="auto"/>
          <w:szCs w:val="21"/>
        </w:rPr>
      </w:pPr>
      <w:r>
        <w:rPr>
          <w:rFonts w:hint="eastAsia" w:ascii="仿宋" w:hAnsi="仿宋" w:eastAsia="仿宋" w:cs="仿宋"/>
          <w:color w:val="auto"/>
          <w:kern w:val="0"/>
          <w:sz w:val="24"/>
        </w:rPr>
        <w:t>　　2.采购合同签订后，供应商在“政采云”平台向合作银行发出融资申请。</w:t>
      </w:r>
    </w:p>
    <w:p>
      <w:pPr>
        <w:widowControl/>
        <w:spacing w:line="440" w:lineRule="exact"/>
        <w:ind w:firstLine="480"/>
        <w:rPr>
          <w:rFonts w:hint="eastAsia" w:ascii="仿宋" w:hAnsi="仿宋" w:eastAsia="仿宋" w:cs="仿宋"/>
          <w:color w:val="auto"/>
          <w:szCs w:val="21"/>
        </w:rPr>
      </w:pPr>
      <w:r>
        <w:rPr>
          <w:rFonts w:hint="eastAsia" w:ascii="仿宋" w:hAnsi="仿宋" w:eastAsia="仿宋" w:cs="仿宋"/>
          <w:color w:val="auto"/>
          <w:kern w:val="0"/>
          <w:sz w:val="24"/>
        </w:rPr>
        <w:t>　　3.审批通过后，办理放贷手续。</w:t>
      </w:r>
    </w:p>
    <w:p>
      <w:pPr>
        <w:widowControl/>
        <w:spacing w:line="440" w:lineRule="exact"/>
        <w:ind w:firstLine="480"/>
        <w:rPr>
          <w:rFonts w:hint="eastAsia" w:ascii="仿宋" w:hAnsi="仿宋" w:eastAsia="仿宋" w:cs="仿宋"/>
          <w:color w:val="auto"/>
          <w:szCs w:val="21"/>
        </w:rPr>
      </w:pPr>
      <w:r>
        <w:rPr>
          <w:rFonts w:hint="eastAsia" w:ascii="仿宋" w:hAnsi="仿宋" w:eastAsia="仿宋" w:cs="仿宋"/>
          <w:color w:val="auto"/>
          <w:kern w:val="0"/>
          <w:sz w:val="24"/>
        </w:rPr>
        <w:t>　　（二）线下融资模式：</w:t>
      </w:r>
    </w:p>
    <w:p>
      <w:pPr>
        <w:widowControl/>
        <w:spacing w:line="440" w:lineRule="exact"/>
        <w:ind w:firstLine="480"/>
        <w:rPr>
          <w:rFonts w:hint="eastAsia" w:ascii="仿宋" w:hAnsi="仿宋" w:eastAsia="仿宋" w:cs="仿宋"/>
          <w:color w:val="auto"/>
          <w:szCs w:val="21"/>
        </w:rPr>
      </w:pPr>
      <w:r>
        <w:rPr>
          <w:rFonts w:hint="eastAsia" w:ascii="仿宋" w:hAnsi="仿宋" w:eastAsia="仿宋" w:cs="仿宋"/>
          <w:color w:val="auto"/>
          <w:kern w:val="0"/>
          <w:sz w:val="24"/>
        </w:rPr>
        <w:t>　　1.供应商根据合作银行提供的方案，自行选择金融产品，向合作银行提出信用资格预审，并办理开户等手续；</w:t>
      </w:r>
    </w:p>
    <w:p>
      <w:pPr>
        <w:widowControl/>
        <w:spacing w:line="440" w:lineRule="exact"/>
        <w:ind w:firstLine="480"/>
        <w:rPr>
          <w:rFonts w:hint="eastAsia" w:ascii="仿宋" w:hAnsi="仿宋" w:eastAsia="仿宋" w:cs="仿宋"/>
          <w:color w:val="auto"/>
          <w:szCs w:val="21"/>
        </w:rPr>
      </w:pPr>
      <w:r>
        <w:rPr>
          <w:rFonts w:hint="eastAsia" w:ascii="仿宋" w:hAnsi="仿宋" w:eastAsia="仿宋" w:cs="仿宋"/>
          <w:color w:val="auto"/>
          <w:kern w:val="0"/>
          <w:sz w:val="24"/>
        </w:rPr>
        <w:t>　　2.采购合同签订后，供应商向合作银行发出融资申请；</w:t>
      </w:r>
    </w:p>
    <w:p>
      <w:pPr>
        <w:widowControl/>
        <w:spacing w:line="440" w:lineRule="exact"/>
        <w:ind w:firstLine="480"/>
        <w:rPr>
          <w:rFonts w:hint="eastAsia" w:ascii="仿宋" w:hAnsi="仿宋" w:eastAsia="仿宋" w:cs="仿宋"/>
          <w:color w:val="auto"/>
          <w:szCs w:val="21"/>
        </w:rPr>
      </w:pPr>
      <w:r>
        <w:rPr>
          <w:rFonts w:hint="eastAsia" w:ascii="仿宋" w:hAnsi="仿宋" w:eastAsia="仿宋" w:cs="仿宋"/>
          <w:color w:val="auto"/>
          <w:kern w:val="0"/>
          <w:sz w:val="24"/>
        </w:rPr>
        <w:t>　　3.合作银行受理申请后，供应商提供审批材料。合作银行应对申请信用融资的供应商及备案的政府采购合同信息进行核对和审查；</w:t>
      </w:r>
    </w:p>
    <w:p>
      <w:pPr>
        <w:widowControl/>
        <w:spacing w:line="440" w:lineRule="exact"/>
        <w:ind w:firstLine="480"/>
        <w:rPr>
          <w:rFonts w:hint="eastAsia" w:ascii="仿宋" w:hAnsi="仿宋" w:eastAsia="仿宋" w:cs="仿宋"/>
          <w:color w:val="auto"/>
          <w:szCs w:val="21"/>
        </w:rPr>
      </w:pPr>
      <w:r>
        <w:rPr>
          <w:rFonts w:hint="eastAsia" w:ascii="仿宋" w:hAnsi="仿宋" w:eastAsia="仿宋" w:cs="仿宋"/>
          <w:color w:val="auto"/>
          <w:kern w:val="0"/>
          <w:sz w:val="24"/>
        </w:rPr>
        <w:t>　　4.审批通过后，合作银行应按照合作备忘录中约定的审批放款期限和优惠利率及时予以放款。</w:t>
      </w:r>
    </w:p>
    <w:p>
      <w:pPr>
        <w:pStyle w:val="8"/>
        <w:keepNext w:val="0"/>
        <w:keepLines w:val="0"/>
        <w:widowControl/>
        <w:spacing w:line="440" w:lineRule="exact"/>
        <w:ind w:left="430" w:leftChars="205" w:firstLine="480" w:firstLineChars="200"/>
        <w:rPr>
          <w:rFonts w:hint="eastAsia" w:ascii="仿宋" w:hAnsi="仿宋" w:eastAsia="仿宋" w:cs="仿宋"/>
          <w:color w:val="auto"/>
        </w:rPr>
      </w:pPr>
      <w:r>
        <w:rPr>
          <w:rFonts w:hint="eastAsia" w:ascii="仿宋" w:hAnsi="仿宋" w:eastAsia="仿宋" w:cs="仿宋"/>
          <w:b w:val="0"/>
          <w:bCs w:val="0"/>
          <w:color w:val="auto"/>
          <w:sz w:val="24"/>
          <w:szCs w:val="24"/>
        </w:rPr>
        <w:t>（三）杭州e融平台申请融资</w:t>
      </w:r>
    </w:p>
    <w:p>
      <w:pPr>
        <w:pStyle w:val="8"/>
        <w:keepNext w:val="0"/>
        <w:keepLines w:val="0"/>
        <w:widowControl/>
        <w:spacing w:line="440" w:lineRule="exact"/>
        <w:ind w:left="433" w:leftChars="206" w:firstLine="600" w:firstLineChars="250"/>
        <w:rPr>
          <w:rFonts w:hint="eastAsia" w:ascii="仿宋" w:hAnsi="仿宋" w:eastAsia="仿宋" w:cs="仿宋"/>
          <w:color w:val="auto"/>
        </w:rPr>
      </w:pPr>
      <w:r>
        <w:rPr>
          <w:rFonts w:hint="eastAsia" w:ascii="仿宋" w:hAnsi="仿宋" w:eastAsia="仿宋" w:cs="仿宋"/>
          <w:b w:val="0"/>
          <w:bCs w:val="0"/>
          <w:color w:val="auto"/>
          <w:sz w:val="24"/>
          <w:szCs w:val="24"/>
        </w:rPr>
        <w:t>供应商通过杭州e融平台政采贷专区，自行选择金融产品，按规定手续办理贷款流程。</w:t>
      </w:r>
    </w:p>
    <w:p>
      <w:pPr>
        <w:widowControl/>
        <w:spacing w:line="440" w:lineRule="exact"/>
        <w:ind w:firstLine="482"/>
        <w:rPr>
          <w:rFonts w:hint="eastAsia" w:ascii="仿宋" w:hAnsi="仿宋" w:eastAsia="仿宋" w:cs="仿宋"/>
          <w:color w:val="auto"/>
          <w:szCs w:val="21"/>
        </w:rPr>
      </w:pPr>
      <w:r>
        <w:rPr>
          <w:rFonts w:hint="eastAsia" w:ascii="仿宋" w:hAnsi="仿宋" w:eastAsia="仿宋" w:cs="仿宋"/>
          <w:b/>
          <w:bCs/>
          <w:color w:val="auto"/>
          <w:kern w:val="0"/>
          <w:sz w:val="24"/>
        </w:rPr>
        <w:t>三、注意事项</w:t>
      </w:r>
    </w:p>
    <w:p>
      <w:pPr>
        <w:widowControl/>
        <w:spacing w:line="440" w:lineRule="exact"/>
        <w:ind w:firstLine="480"/>
        <w:rPr>
          <w:rFonts w:hint="eastAsia" w:ascii="仿宋" w:hAnsi="仿宋" w:eastAsia="仿宋" w:cs="仿宋"/>
          <w:color w:val="auto"/>
          <w:szCs w:val="21"/>
        </w:rPr>
      </w:pPr>
      <w:r>
        <w:rPr>
          <w:rFonts w:hint="eastAsia" w:ascii="仿宋" w:hAnsi="仿宋" w:eastAsia="仿宋" w:cs="仿宋"/>
          <w:color w:val="auto"/>
          <w:kern w:val="0"/>
          <w:sz w:val="24"/>
        </w:rPr>
        <w:t>1、对拟用于信用融资的政府采购合同，供应商在签订合同时应当在合同中注明融资银行名称及账号，作为在该银行的唯一收款账号。</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2、供应商弄虚作假或以伪造政府采购合同等方式违规获取政府采购信用融资，或不及时还款，或出现其他违反规定情形的，按融资合同约定承担违约责任；涉嫌犯罪的，移送司法机关处理。</w:t>
      </w:r>
    </w:p>
    <w:p>
      <w:pPr>
        <w:spacing w:line="360" w:lineRule="auto"/>
        <w:ind w:left="5060" w:hanging="5060" w:hangingChars="2100"/>
        <w:rPr>
          <w:rFonts w:hint="eastAsia" w:ascii="仿宋" w:hAnsi="仿宋" w:eastAsia="仿宋" w:cs="仿宋"/>
          <w:b/>
          <w:bCs/>
          <w:color w:val="auto"/>
          <w:kern w:val="0"/>
          <w:sz w:val="24"/>
        </w:rPr>
      </w:pPr>
    </w:p>
    <w:p>
      <w:pPr>
        <w:pStyle w:val="7"/>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rPr>
      </w:pPr>
      <w:bookmarkStart w:id="554" w:name="_Toc465665161"/>
      <w:r>
        <w:rPr>
          <w:rFonts w:hint="eastAsia" w:ascii="仿宋" w:hAnsi="仿宋" w:eastAsia="仿宋" w:cs="仿宋"/>
          <w:color w:val="auto"/>
        </w:rPr>
        <w:t>附件</w:t>
      </w:r>
      <w:bookmarkEnd w:id="554"/>
    </w:p>
    <w:p>
      <w:pPr>
        <w:spacing w:line="360" w:lineRule="auto"/>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附件1：</w:t>
      </w:r>
    </w:p>
    <w:p>
      <w:pPr>
        <w:spacing w:line="360" w:lineRule="auto"/>
        <w:jc w:val="center"/>
        <w:rPr>
          <w:rFonts w:hint="eastAsia" w:ascii="仿宋" w:hAnsi="仿宋" w:eastAsia="仿宋" w:cs="仿宋"/>
          <w:b/>
          <w:color w:val="auto"/>
          <w:spacing w:val="6"/>
          <w:sz w:val="32"/>
          <w:szCs w:val="32"/>
        </w:rPr>
      </w:pPr>
      <w:bookmarkStart w:id="555" w:name="OLE_LINK14"/>
      <w:bookmarkStart w:id="556" w:name="OLE_LINK13"/>
      <w:r>
        <w:rPr>
          <w:rFonts w:hint="eastAsia" w:ascii="仿宋" w:hAnsi="仿宋" w:eastAsia="仿宋" w:cs="仿宋"/>
          <w:b/>
          <w:color w:val="auto"/>
          <w:spacing w:val="6"/>
          <w:sz w:val="32"/>
          <w:szCs w:val="32"/>
        </w:rPr>
        <w:t>残疾人福利性单位声明函</w:t>
      </w:r>
    </w:p>
    <w:bookmarkEnd w:id="555"/>
    <w:bookmarkEnd w:id="556"/>
    <w:p>
      <w:pPr>
        <w:spacing w:line="360" w:lineRule="auto"/>
        <w:rPr>
          <w:rFonts w:hint="eastAsia" w:ascii="仿宋" w:hAnsi="仿宋" w:eastAsia="仿宋" w:cs="仿宋"/>
          <w:b/>
          <w:color w:val="auto"/>
          <w:spacing w:val="6"/>
          <w:sz w:val="30"/>
          <w:szCs w:val="30"/>
        </w:rPr>
      </w:pP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rPr>
      </w:pPr>
    </w:p>
    <w:p>
      <w:pPr>
        <w:spacing w:line="360" w:lineRule="auto"/>
        <w:ind w:firstLine="480" w:firstLineChars="200"/>
        <w:rPr>
          <w:rFonts w:hint="eastAsia" w:ascii="仿宋" w:hAnsi="仿宋" w:eastAsia="仿宋" w:cs="仿宋"/>
          <w:color w:val="auto"/>
          <w:sz w:val="24"/>
        </w:rPr>
      </w:pPr>
    </w:p>
    <w:p>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kern w:val="0"/>
          <w:sz w:val="24"/>
          <w:lang w:val="zh-CN"/>
        </w:rPr>
        <w:t>投标人名称（电子签名）</w:t>
      </w:r>
      <w:r>
        <w:rPr>
          <w:rFonts w:hint="eastAsia" w:ascii="仿宋" w:hAnsi="仿宋" w:eastAsia="仿宋" w:cs="仿宋"/>
          <w:color w:val="auto"/>
          <w:sz w:val="24"/>
        </w:rPr>
        <w:t>：</w:t>
      </w:r>
    </w:p>
    <w:p>
      <w:pPr>
        <w:tabs>
          <w:tab w:val="left" w:pos="4860"/>
        </w:tabs>
        <w:spacing w:line="360" w:lineRule="auto"/>
        <w:ind w:right="1560" w:firstLine="3360" w:firstLineChars="1400"/>
        <w:rPr>
          <w:rFonts w:hint="eastAsia" w:ascii="仿宋" w:hAnsi="仿宋" w:eastAsia="仿宋" w:cs="仿宋"/>
          <w:color w:val="auto"/>
          <w:sz w:val="24"/>
        </w:rPr>
      </w:pPr>
      <w:r>
        <w:rPr>
          <w:rFonts w:hint="eastAsia" w:ascii="仿宋" w:hAnsi="仿宋" w:eastAsia="仿宋" w:cs="仿宋"/>
          <w:color w:val="auto"/>
          <w:sz w:val="24"/>
        </w:rPr>
        <w:t>日  期：</w:t>
      </w:r>
    </w:p>
    <w:p>
      <w:pPr>
        <w:spacing w:line="360" w:lineRule="auto"/>
        <w:ind w:firstLine="480" w:firstLineChars="200"/>
        <w:rPr>
          <w:rFonts w:hint="eastAsia" w:ascii="仿宋" w:hAnsi="仿宋" w:eastAsia="仿宋" w:cs="仿宋"/>
          <w:color w:val="auto"/>
          <w:sz w:val="24"/>
        </w:rPr>
      </w:pPr>
    </w:p>
    <w:p>
      <w:pPr>
        <w:spacing w:line="360" w:lineRule="auto"/>
        <w:ind w:firstLine="420" w:firstLineChars="200"/>
        <w:rPr>
          <w:rFonts w:hint="eastAsia" w:ascii="仿宋" w:hAnsi="仿宋" w:eastAsia="仿宋" w:cs="仿宋"/>
          <w:color w:val="auto"/>
        </w:rPr>
      </w:pPr>
    </w:p>
    <w:p>
      <w:pPr>
        <w:spacing w:line="360" w:lineRule="auto"/>
        <w:ind w:firstLine="420" w:firstLineChars="200"/>
        <w:rPr>
          <w:rFonts w:hint="eastAsia" w:ascii="仿宋" w:hAnsi="仿宋" w:eastAsia="仿宋" w:cs="仿宋"/>
          <w:color w:val="auto"/>
        </w:rPr>
      </w:pPr>
    </w:p>
    <w:p>
      <w:pPr>
        <w:spacing w:line="360" w:lineRule="auto"/>
        <w:ind w:firstLine="420" w:firstLineChars="200"/>
        <w:rPr>
          <w:rFonts w:hint="eastAsia" w:ascii="仿宋" w:hAnsi="仿宋" w:eastAsia="仿宋" w:cs="仿宋"/>
          <w:color w:val="auto"/>
        </w:rPr>
      </w:pPr>
    </w:p>
    <w:p>
      <w:pPr>
        <w:spacing w:line="360" w:lineRule="auto"/>
        <w:ind w:firstLine="420" w:firstLineChars="200"/>
        <w:rPr>
          <w:rFonts w:hint="eastAsia" w:ascii="仿宋" w:hAnsi="仿宋" w:eastAsia="仿宋" w:cs="仿宋"/>
          <w:color w:val="auto"/>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附件2：质疑函范本及制作说明</w:t>
      </w:r>
    </w:p>
    <w:p>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质疑函范本</w:t>
      </w:r>
    </w:p>
    <w:p>
      <w:pPr>
        <w:snapToGrid w:val="0"/>
        <w:spacing w:beforeLines="100" w:line="360" w:lineRule="auto"/>
        <w:rPr>
          <w:rFonts w:hint="eastAsia" w:ascii="仿宋" w:hAnsi="仿宋" w:eastAsia="仿宋" w:cs="仿宋"/>
          <w:bCs/>
          <w:color w:val="auto"/>
          <w:sz w:val="24"/>
        </w:rPr>
      </w:pPr>
      <w:r>
        <w:rPr>
          <w:rFonts w:hint="eastAsia" w:ascii="仿宋" w:hAnsi="仿宋" w:eastAsia="仿宋" w:cs="仿宋"/>
          <w:bCs/>
          <w:color w:val="auto"/>
          <w:sz w:val="24"/>
        </w:rPr>
        <w:t>一、质疑供应商基本信息</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质疑供应商：</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地址： </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二、质疑项目基本情况</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质疑项目的名称：</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质疑项目的编号：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采购文件获取日期：</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三、质疑事项具体内容</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质疑事项1：</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质疑事项2</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w:t>
      </w:r>
    </w:p>
    <w:p>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四、与质疑事项相关的质疑请求</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日期：    </w:t>
      </w:r>
    </w:p>
    <w:p>
      <w:pPr>
        <w:spacing w:line="360" w:lineRule="auto"/>
        <w:jc w:val="center"/>
        <w:rPr>
          <w:rFonts w:hint="eastAsia" w:ascii="仿宋" w:hAnsi="仿宋" w:eastAsia="仿宋" w:cs="仿宋"/>
          <w:b/>
          <w:bCs/>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质疑函制作说明：</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2.质疑供应商若委托代理人进行质疑的，质疑函应按要求列明“授权代表”的有关内容，并在附件中提交由质疑</w:t>
      </w:r>
      <w:r>
        <w:rPr>
          <w:rFonts w:hint="eastAsia" w:ascii="仿宋" w:hAnsi="仿宋" w:eastAsia="仿宋" w:cs="仿宋"/>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5.质疑函的质疑请求应与质疑事项相关。</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left"/>
        <w:rPr>
          <w:rFonts w:hint="eastAsia" w:ascii="仿宋" w:hAnsi="仿宋" w:eastAsia="仿宋" w:cs="仿宋"/>
          <w:b/>
          <w:color w:val="auto"/>
          <w:spacing w:val="6"/>
          <w:sz w:val="32"/>
          <w:szCs w:val="32"/>
        </w:rPr>
      </w:pPr>
    </w:p>
    <w:p>
      <w:pPr>
        <w:spacing w:line="360" w:lineRule="auto"/>
        <w:jc w:val="left"/>
        <w:rPr>
          <w:rFonts w:hint="eastAsia" w:ascii="仿宋" w:hAnsi="仿宋" w:eastAsia="仿宋" w:cs="仿宋"/>
          <w:b/>
          <w:color w:val="auto"/>
          <w:spacing w:val="6"/>
          <w:sz w:val="32"/>
          <w:szCs w:val="32"/>
        </w:rPr>
      </w:pPr>
    </w:p>
    <w:p>
      <w:pPr>
        <w:spacing w:line="360" w:lineRule="auto"/>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附件3：投诉书范本及制作说明</w:t>
      </w:r>
    </w:p>
    <w:p>
      <w:pPr>
        <w:spacing w:line="360" w:lineRule="auto"/>
        <w:jc w:val="center"/>
        <w:rPr>
          <w:rFonts w:hint="eastAsia" w:ascii="仿宋" w:hAnsi="仿宋" w:eastAsia="仿宋" w:cs="仿宋"/>
          <w:b/>
          <w:color w:val="auto"/>
          <w:sz w:val="24"/>
        </w:rPr>
      </w:pPr>
    </w:p>
    <w:p>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投诉书范本</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一、投诉相关主体基本情况</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投诉人：</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tabs>
          <w:tab w:val="left" w:pos="6510"/>
        </w:tabs>
        <w:spacing w:line="360" w:lineRule="auto"/>
        <w:jc w:val="left"/>
        <w:rPr>
          <w:rFonts w:hint="eastAsia" w:ascii="仿宋" w:hAnsi="仿宋" w:eastAsia="仿宋" w:cs="仿宋"/>
          <w:color w:val="auto"/>
          <w:sz w:val="24"/>
        </w:rPr>
      </w:pPr>
      <w:r>
        <w:rPr>
          <w:rFonts w:hint="eastAsia" w:ascii="仿宋" w:hAnsi="仿宋" w:eastAsia="仿宋" w:cs="仿宋"/>
          <w:color w:val="auto"/>
          <w:sz w:val="24"/>
        </w:rPr>
        <w:t>法定代表人/主要负责人：</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tabs>
          <w:tab w:val="left" w:pos="6510"/>
        </w:tabs>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被投诉人1：</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被投诉人2</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相关供应商：</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二、投诉项目基本情况</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采购项目名称：</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采购项目编号：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代理机构名称：</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采购文件公告: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采购结果公告: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三、质疑基本情况</w:t>
      </w:r>
    </w:p>
    <w:p>
      <w:pPr>
        <w:spacing w:line="360" w:lineRule="auto"/>
        <w:ind w:firstLine="480" w:firstLineChars="200"/>
        <w:rPr>
          <w:rFonts w:hint="eastAsia" w:ascii="仿宋" w:hAnsi="仿宋" w:eastAsia="仿宋" w:cs="仿宋"/>
          <w:color w:val="auto"/>
          <w:sz w:val="24"/>
          <w:u w:val="dotted"/>
        </w:rPr>
      </w:pPr>
      <w:r>
        <w:rPr>
          <w:rFonts w:hint="eastAsia" w:ascii="仿宋" w:hAnsi="仿宋" w:eastAsia="仿宋" w:cs="仿宋"/>
          <w:color w:val="auto"/>
          <w:sz w:val="24"/>
        </w:rPr>
        <w:t>投诉人于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日,向</w:t>
      </w:r>
      <w:r>
        <w:rPr>
          <w:rFonts w:hint="eastAsia" w:ascii="仿宋" w:hAnsi="仿宋" w:eastAsia="仿宋" w:cs="仿宋"/>
          <w:color w:val="auto"/>
          <w:sz w:val="24"/>
          <w:u w:val="dotted"/>
        </w:rPr>
        <w:t xml:space="preserve">                   </w:t>
      </w:r>
      <w:r>
        <w:rPr>
          <w:rFonts w:hint="eastAsia" w:ascii="仿宋" w:hAnsi="仿宋" w:eastAsia="仿宋" w:cs="仿宋"/>
          <w:color w:val="auto"/>
          <w:sz w:val="24"/>
        </w:rPr>
        <w:t>提出质疑，质疑事项为：</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u w:val="dotted"/>
        </w:rPr>
        <w:t>采购人/代理机构</w:t>
      </w:r>
      <w:r>
        <w:rPr>
          <w:rFonts w:hint="eastAsia" w:ascii="仿宋" w:hAnsi="仿宋" w:eastAsia="仿宋" w:cs="仿宋"/>
          <w:color w:val="auto"/>
          <w:sz w:val="24"/>
        </w:rPr>
        <w:t>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日,就质疑事项作出了答复/没有在法定期限内作出答复。</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四、投诉事项具体内容</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投诉事项 1：</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投诉事项2</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五、与投诉事项相关的投诉请求</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日期：    </w:t>
      </w: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投诉书制作说明：</w:t>
      </w:r>
    </w:p>
    <w:p>
      <w:pPr>
        <w:widowControl/>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2.投诉人若委托代理人进行投诉的，投诉书应按照要求列明“授权代表”的有关内容，并在附件中提交由</w:t>
      </w:r>
      <w:r>
        <w:rPr>
          <w:rFonts w:hint="eastAsia" w:ascii="仿宋" w:hAnsi="仿宋" w:eastAsia="仿宋" w:cs="仿宋"/>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bCs/>
          <w:color w:val="auto"/>
          <w:sz w:val="32"/>
          <w:szCs w:val="32"/>
        </w:rPr>
      </w:pPr>
      <w:r>
        <w:rPr>
          <w:rFonts w:hint="eastAsia" w:ascii="仿宋" w:hAnsi="仿宋" w:eastAsia="仿宋" w:cs="仿宋"/>
          <w:b/>
          <w:color w:val="auto"/>
          <w:spacing w:val="6"/>
          <w:sz w:val="32"/>
          <w:szCs w:val="32"/>
        </w:rPr>
        <w:t>附件4：</w:t>
      </w:r>
      <w:r>
        <w:rPr>
          <w:rFonts w:hint="eastAsia" w:ascii="仿宋" w:hAnsi="仿宋" w:eastAsia="仿宋" w:cs="仿宋"/>
          <w:b/>
          <w:bCs/>
          <w:color w:val="auto"/>
          <w:sz w:val="32"/>
          <w:szCs w:val="32"/>
        </w:rPr>
        <w:t>业务专用章使用说明函</w:t>
      </w:r>
    </w:p>
    <w:p>
      <w:pPr>
        <w:spacing w:line="360" w:lineRule="auto"/>
        <w:rPr>
          <w:rFonts w:hint="eastAsia" w:ascii="仿宋" w:hAnsi="仿宋" w:eastAsia="仿宋" w:cs="仿宋"/>
          <w:color w:val="auto"/>
          <w:sz w:val="24"/>
          <w:u w:val="single"/>
        </w:rPr>
      </w:pPr>
    </w:p>
    <w:p>
      <w:pPr>
        <w:spacing w:line="360" w:lineRule="auto"/>
        <w:rPr>
          <w:rFonts w:hint="eastAsia" w:ascii="仿宋" w:hAnsi="仿宋" w:eastAsia="仿宋" w:cs="仿宋"/>
          <w:color w:val="auto"/>
          <w:sz w:val="24"/>
          <w:lang w:eastAsia="zh-CN"/>
        </w:rPr>
      </w:pPr>
      <w:r>
        <w:rPr>
          <w:rFonts w:hint="eastAsia" w:ascii="仿宋" w:hAnsi="仿宋" w:eastAsia="仿宋" w:cs="仿宋"/>
          <w:color w:val="auto"/>
          <w:sz w:val="24"/>
          <w:u w:val="single"/>
          <w:lang w:eastAsia="zh-CN"/>
        </w:rPr>
        <w:t xml:space="preserve">建德市卫生健康行政执法队 </w:t>
      </w:r>
      <w:r>
        <w:rPr>
          <w:rFonts w:hint="eastAsia" w:ascii="仿宋" w:hAnsi="仿宋" w:eastAsia="仿宋" w:cs="仿宋"/>
          <w:color w:val="auto"/>
          <w:sz w:val="24"/>
          <w:u w:val="single"/>
        </w:rPr>
        <w:t>、</w:t>
      </w:r>
      <w:r>
        <w:rPr>
          <w:rFonts w:hint="eastAsia" w:ascii="仿宋" w:hAnsi="仿宋" w:eastAsia="仿宋" w:cs="仿宋"/>
          <w:color w:val="auto"/>
          <w:sz w:val="24"/>
          <w:u w:val="single"/>
          <w:lang w:eastAsia="zh-CN"/>
        </w:rPr>
        <w:t>杭州欣兴建设工程招标代理有限公司</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我方</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rPr>
        <w:t>(投标人全称)是中华人民共和国依法登记注册的合法企业，</w:t>
      </w:r>
      <w:r>
        <w:rPr>
          <w:rFonts w:hint="eastAsia" w:ascii="仿宋" w:hAnsi="仿宋" w:eastAsia="仿宋" w:cs="仿宋"/>
          <w:bCs/>
          <w:color w:val="auto"/>
          <w:sz w:val="24"/>
        </w:rPr>
        <w:t>在参加</w:t>
      </w:r>
      <w:r>
        <w:rPr>
          <w:rFonts w:hint="eastAsia" w:ascii="仿宋" w:hAnsi="仿宋" w:eastAsia="仿宋" w:cs="仿宋"/>
          <w:color w:val="auto"/>
          <w:sz w:val="24"/>
        </w:rPr>
        <w:t>你方组织的</w:t>
      </w:r>
      <w:r>
        <w:rPr>
          <w:rFonts w:hint="eastAsia" w:ascii="仿宋" w:hAnsi="仿宋" w:eastAsia="仿宋" w:cs="仿宋"/>
          <w:color w:val="auto"/>
          <w:sz w:val="24"/>
          <w:lang w:eastAsia="zh-CN"/>
        </w:rPr>
        <w:t>建德市2022年口腔诊疗机构智慧监管项目</w:t>
      </w:r>
      <w:r>
        <w:rPr>
          <w:rFonts w:hint="eastAsia" w:ascii="仿宋" w:hAnsi="仿宋" w:eastAsia="仿宋" w:cs="仿宋"/>
          <w:color w:val="auto"/>
          <w:sz w:val="24"/>
        </w:rPr>
        <w:t>【项目编号：</w:t>
      </w:r>
      <w:r>
        <w:rPr>
          <w:rFonts w:hint="eastAsia" w:ascii="仿宋" w:hAnsi="仿宋" w:eastAsia="仿宋" w:cs="仿宋"/>
          <w:color w:val="auto"/>
          <w:sz w:val="24"/>
          <w:lang w:eastAsia="zh-CN"/>
        </w:rPr>
        <w:t xml:space="preserve">JD2022BF- </w:t>
      </w:r>
      <w:r>
        <w:rPr>
          <w:rFonts w:hint="eastAsia" w:ascii="仿宋" w:hAnsi="仿宋" w:eastAsia="仿宋" w:cs="仿宋"/>
          <w:color w:val="auto"/>
          <w:sz w:val="24"/>
        </w:rPr>
        <w:t>】</w:t>
      </w:r>
      <w:r>
        <w:rPr>
          <w:rFonts w:hint="eastAsia" w:ascii="仿宋" w:hAnsi="仿宋" w:eastAsia="仿宋" w:cs="仿宋"/>
          <w:bCs/>
          <w:color w:val="auto"/>
          <w:sz w:val="24"/>
        </w:rPr>
        <w:t>投标活动中作如下说明：</w:t>
      </w:r>
      <w:r>
        <w:rPr>
          <w:rFonts w:hint="eastAsia" w:ascii="仿宋" w:hAnsi="仿宋" w:eastAsia="仿宋" w:cs="仿宋"/>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特此说明。</w:t>
      </w:r>
    </w:p>
    <w:p>
      <w:pPr>
        <w:spacing w:line="360" w:lineRule="auto"/>
        <w:ind w:firstLine="494"/>
        <w:rPr>
          <w:rFonts w:hint="eastAsia" w:ascii="仿宋" w:hAnsi="仿宋" w:eastAsia="仿宋" w:cs="仿宋"/>
          <w:color w:val="auto"/>
          <w:sz w:val="24"/>
        </w:rPr>
      </w:pPr>
    </w:p>
    <w:p>
      <w:pPr>
        <w:spacing w:line="360" w:lineRule="auto"/>
        <w:ind w:firstLine="494"/>
        <w:rPr>
          <w:rFonts w:hint="eastAsia" w:ascii="仿宋" w:hAnsi="仿宋" w:eastAsia="仿宋" w:cs="仿宋"/>
          <w:color w:val="auto"/>
          <w:sz w:val="24"/>
        </w:rPr>
      </w:pPr>
    </w:p>
    <w:p>
      <w:pPr>
        <w:spacing w:line="360" w:lineRule="auto"/>
        <w:ind w:firstLine="494"/>
        <w:rPr>
          <w:rFonts w:hint="eastAsia" w:ascii="仿宋" w:hAnsi="仿宋" w:eastAsia="仿宋" w:cs="仿宋"/>
          <w:color w:val="auto"/>
          <w:sz w:val="24"/>
        </w:rPr>
      </w:pPr>
    </w:p>
    <w:p>
      <w:pPr>
        <w:spacing w:line="360" w:lineRule="auto"/>
        <w:ind w:firstLine="494"/>
        <w:rPr>
          <w:rFonts w:hint="eastAsia" w:ascii="仿宋" w:hAnsi="仿宋" w:eastAsia="仿宋" w:cs="仿宋"/>
          <w:color w:val="auto"/>
          <w:sz w:val="24"/>
        </w:rPr>
      </w:pPr>
    </w:p>
    <w:p>
      <w:pPr>
        <w:spacing w:line="360" w:lineRule="auto"/>
        <w:ind w:right="480" w:firstLine="4080" w:firstLineChars="1700"/>
        <w:rPr>
          <w:rFonts w:hint="eastAsia" w:ascii="仿宋" w:hAnsi="仿宋" w:eastAsia="仿宋" w:cs="仿宋"/>
          <w:color w:val="auto"/>
          <w:sz w:val="24"/>
        </w:rPr>
      </w:pPr>
      <w:r>
        <w:rPr>
          <w:rFonts w:hint="eastAsia" w:ascii="仿宋" w:hAnsi="仿宋" w:eastAsia="仿宋" w:cs="仿宋"/>
          <w:color w:val="auto"/>
          <w:sz w:val="24"/>
        </w:rPr>
        <w:t>投标单位（法定名称章）：</w:t>
      </w:r>
    </w:p>
    <w:p>
      <w:pPr>
        <w:ind w:right="1440" w:firstLine="494"/>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pPr>
        <w:rPr>
          <w:rFonts w:hint="eastAsia" w:ascii="仿宋" w:hAnsi="仿宋" w:eastAsia="仿宋" w:cs="仿宋"/>
          <w:color w:val="auto"/>
          <w:sz w:val="24"/>
        </w:rPr>
      </w:pPr>
      <w:r>
        <w:rPr>
          <w:rFonts w:hint="eastAsia" w:ascii="仿宋" w:hAnsi="仿宋" w:eastAsia="仿宋" w:cs="仿宋"/>
          <w:b/>
          <w:bCs/>
          <w:color w:val="auto"/>
          <w:sz w:val="24"/>
        </w:rPr>
        <w:t>附：</w:t>
      </w:r>
    </w:p>
    <w:p>
      <w:pPr>
        <w:spacing w:line="360" w:lineRule="auto"/>
        <w:rPr>
          <w:rFonts w:hint="eastAsia" w:ascii="仿宋" w:hAnsi="仿宋" w:eastAsia="仿宋" w:cs="仿宋"/>
          <w:bCs/>
          <w:color w:val="auto"/>
          <w:sz w:val="24"/>
        </w:rPr>
      </w:pPr>
      <w:r>
        <w:rPr>
          <w:rFonts w:hint="eastAsia" w:ascii="仿宋" w:hAnsi="仿宋" w:eastAsia="仿宋" w:cs="仿宋"/>
          <w:b/>
          <w:bCs/>
          <w:color w:val="auto"/>
          <w:sz w:val="24"/>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OaedMxMCAAA0BAAADgAAAGRycy9lMm9Eb2MueG1srVPb&#10;jtMwEH1H4h8sv9NctmnZqOlq1VUR0gIrFj7AdZzEwrHN2G1avp6x05Ys8ITwg+XxjI/PnJlZ3R17&#10;RQ4CnDS6otkspURobmqp24p+/bJ985YS55mumTJaVPQkHL1bv361GmwpctMZVQsgCKJdOdiKdt7b&#10;Mkkc70TP3MxYodHZGOiZRxPapAY2IHqvkjxNF8lgoLZguHAObx9GJ11H/KYR3H9qGic8URVFbj7u&#10;EPdd2JP1ipUtMNtJfqbB/oFFz6TGT69QD8wzsgf5B1QvORhnGj/jpk9M00guYg6YTZb+ls1zx6yI&#10;uaA4zl5lcv8Pln88PAGRdUVvKNGsxxJ9RtGYbpUg2TLoM1hXYtizfYKQobOPhn9zRJtNh2HiHsAM&#10;nWA1sspCfPLiQTAcPiW74YOpEZ7tvYlSHRvoAyCKQI6xIqdrRcTRE46X+TKdzxcFJRx9eV7cLLIi&#10;/sHKy3MLzr8TpifhUFFA9hGeHR6dD3RYeQmJ9I2S9VYqFQ1odxsF5MCwPbZxndHdNExpMlT0tsiL&#10;iPzC56YQaVx/g+ilxz5Xssc0pkFKBx4iduqZ70WxUfmdqU+oHpixdXHU8NAZ+EHJgG1bUfd9z0BQ&#10;ot5rrMBtNp+HPo/GvFjmaMDUs5t6mOYIVVFPyXjc+HE29hZk2+FPWcxYm3usWiOjnoHfyOpca2zN&#10;KPN5jELvT+0Y9WvY1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9ZAPP9gAAAAKAQAADwAAAAAA&#10;AAABACAAAAAiAAAAZHJzL2Rvd25yZXYueG1sUEsBAhQAFAAAAAgAh07iQDmnnTMTAgAANAQAAA4A&#10;AAAAAAAAAQAgAAAAJwEAAGRycy9lMm9Eb2MueG1sUEsFBgAAAAAGAAYAWQEAAKwFAAAAAA==&#10;">
            <v:path/>
            <v:fill focussize="0,0"/>
            <v:stroke miterlimit="2"/>
            <v:imagedata o:title=""/>
            <o:lock v:ext="edit"/>
          </v:rect>
        </w:pict>
      </w:r>
      <w:r>
        <w:rPr>
          <w:rFonts w:hint="eastAsia" w:ascii="仿宋" w:hAnsi="仿宋" w:eastAsia="仿宋" w:cs="仿宋"/>
          <w:b/>
          <w:bCs/>
          <w:color w:val="auto"/>
          <w:sz w:val="24"/>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L6wixICAAA0BAAADgAAAGRycy9lMm9Eb2MueG1srVPb&#10;jtMwEH1H4h8sv9M0oenSqOlq1VUR0sKuWPgA13ESC98Yu03L1zN2L2SBJ4QfLI9nfHzmzMzy9qAV&#10;2Qvw0pqa5pMpJcJw20jT1fTrl82bd5T4wEzDlDWipkfh6e3q9avl4CpR2N6qRgBBEOOrwdW0D8FV&#10;WeZ5LzTzE+uEQWdrQbOAJnRZA2xAdK2yYjqdZ4OFxoHlwnu8vT856Srht63g4bFtvQhE1RS5hbRD&#10;2rdxz1ZLVnXAXC/5mQb7BxaaSYOfXqHuWWBkB/IPKC05WG/bMOFWZ7ZtJRcpB8wmn/6WzXPPnEi5&#10;oDjeXWXy/w+Wf9o/AZFNTWeUGKaxRJ9RNGY6JUg+j/oMzlcY9uyeIGbo3YPl3zwxdt1jmLgDsEMv&#10;WIOs8hifvXgQDY9PyXb4aBuEZ7tgk1SHFnQERBHIIVXkeK2IOATC8bKYz24WJRaOo68oyrfzvEx/&#10;sOry3IEP74XVJB5qCsg+wbP9gw+RDqsuIYm+VbLZSKWSAd12rYDsGbbHJq0zuh+HKUOGmi7KokzI&#10;L3x+DDFN628QWgbscyU1pjEOUibyEKlTz3wvip2U39rmiOqBPbUujhoeegs/KBmwbWvqv+8YCErU&#10;B4MVWOSzWezzZMzKmwINGHu2Yw8zHKFqGig5HdfhNBs7B7Lr8ac8ZWzsHVatlUnPyO/E6lxrbM0k&#10;83mMYu+P7RT1a9hX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ZjEem2AAAAAoBAAAPAAAAAAAA&#10;AAEAIAAAACIAAABkcnMvZG93bnJldi54bWxQSwECFAAUAAAACACHTuJAqL6wixICAAA0BAAADgAA&#10;AAAAAAABACAAAAAnAQAAZHJzL2Uyb0RvYy54bWxQSwUGAAAAAAYABgBZAQAAqwUAAAAA&#10;">
            <v:path/>
            <v:fill focussize="0,0"/>
            <v:stroke miterlimit="2"/>
            <v:imagedata o:title=""/>
            <o:lock v:ext="edit"/>
          </v:rect>
        </w:pict>
      </w:r>
      <w:r>
        <w:rPr>
          <w:rFonts w:hint="eastAsia" w:ascii="仿宋" w:hAnsi="仿宋" w:eastAsia="仿宋" w:cs="仿宋"/>
          <w:color w:val="auto"/>
          <w:sz w:val="24"/>
        </w:rPr>
        <w:t>投标单位法定名称章（印模）                投标单位“XX专用章”（印模）</w:t>
      </w: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bCs/>
          <w:color w:val="auto"/>
          <w:sz w:val="32"/>
          <w:szCs w:val="32"/>
        </w:rPr>
      </w:pPr>
      <w:r>
        <w:rPr>
          <w:rFonts w:hint="eastAsia" w:ascii="仿宋" w:hAnsi="仿宋" w:eastAsia="仿宋" w:cs="仿宋"/>
          <w:b/>
          <w:color w:val="auto"/>
          <w:spacing w:val="6"/>
          <w:sz w:val="32"/>
          <w:szCs w:val="32"/>
        </w:rPr>
        <w:t>附件5：</w:t>
      </w:r>
      <w:r>
        <w:rPr>
          <w:rFonts w:hint="eastAsia" w:ascii="仿宋" w:hAnsi="仿宋" w:eastAsia="仿宋" w:cs="仿宋"/>
          <w:b/>
          <w:color w:val="auto"/>
          <w:sz w:val="32"/>
          <w:szCs w:val="32"/>
        </w:rPr>
        <w:t>中小企业声明函</w:t>
      </w:r>
    </w:p>
    <w:p>
      <w:pPr>
        <w:spacing w:line="360" w:lineRule="auto"/>
        <w:jc w:val="center"/>
        <w:rPr>
          <w:rFonts w:hint="eastAsia" w:ascii="仿宋" w:hAnsi="仿宋" w:eastAsia="仿宋" w:cs="仿宋"/>
          <w:color w:val="auto"/>
          <w:sz w:val="24"/>
          <w:u w:val="single"/>
        </w:rPr>
      </w:pPr>
    </w:p>
    <w:p>
      <w:pPr>
        <w:spacing w:line="360" w:lineRule="auto"/>
        <w:jc w:val="center"/>
        <w:rPr>
          <w:rFonts w:ascii="仿宋" w:hAnsi="仿宋" w:eastAsia="仿宋" w:cs="仿宋"/>
          <w:b/>
          <w:color w:val="auto"/>
          <w:sz w:val="32"/>
          <w:szCs w:val="32"/>
        </w:rPr>
      </w:pPr>
      <w:r>
        <w:rPr>
          <w:rFonts w:hint="eastAsia" w:ascii="仿宋" w:hAnsi="仿宋" w:eastAsia="仿宋" w:cs="仿宋"/>
          <w:b/>
          <w:color w:val="auto"/>
          <w:sz w:val="32"/>
          <w:szCs w:val="32"/>
        </w:rPr>
        <w:t>中小企业声明函（货物）</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本公司（联合体）郑重声明，根据《政府采购促进中小企业发展管理办法》（财库﹝2020﹞46 号）的规定，本公司（联合体）参加 （单位名称） 的 建德市工业技校多媒体等设备采购项目采购活动，提供的货物全部由符合政策要求的中小企业制造。相关企业（含联合体中的中小企业、签订分包意向协议的中小企业）的具体情况如下：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 ，属于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行业 ；制造商为</w:t>
      </w:r>
      <w:r>
        <w:rPr>
          <w:rFonts w:hint="eastAsia" w:ascii="仿宋" w:hAnsi="仿宋" w:eastAsia="仿宋" w:cs="仿宋"/>
          <w:color w:val="auto"/>
          <w:sz w:val="24"/>
          <w:u w:val="single"/>
        </w:rPr>
        <w:t xml:space="preserve"> （企业名称）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rPr>
        <w:t xml:space="preserve">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 ，属于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行业 ；制造商为</w:t>
      </w:r>
      <w:r>
        <w:rPr>
          <w:rFonts w:hint="eastAsia" w:ascii="仿宋" w:hAnsi="仿宋" w:eastAsia="仿宋" w:cs="仿宋"/>
          <w:color w:val="auto"/>
          <w:sz w:val="24"/>
          <w:u w:val="single"/>
        </w:rPr>
        <w:t xml:space="preserve"> （企业名称）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rPr>
        <w:t xml:space="preserve">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pPr>
        <w:snapToGrid w:val="0"/>
        <w:spacing w:line="360" w:lineRule="auto"/>
        <w:ind w:firstLine="5160" w:firstLineChars="2150"/>
        <w:rPr>
          <w:rFonts w:ascii="仿宋" w:hAnsi="仿宋" w:eastAsia="仿宋" w:cs="仿宋"/>
          <w:color w:val="auto"/>
          <w:kern w:val="0"/>
          <w:sz w:val="24"/>
        </w:rPr>
      </w:pPr>
      <w:r>
        <w:rPr>
          <w:rFonts w:hint="eastAsia" w:ascii="仿宋" w:hAnsi="仿宋" w:eastAsia="仿宋" w:cs="仿宋"/>
          <w:color w:val="auto"/>
          <w:kern w:val="0"/>
          <w:sz w:val="24"/>
          <w:lang w:val="zh-CN"/>
        </w:rPr>
        <w:t>投标人名称(电子签名)：</w:t>
      </w:r>
    </w:p>
    <w:p>
      <w:pPr>
        <w:snapToGrid w:val="0"/>
        <w:spacing w:line="360" w:lineRule="auto"/>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pPr>
        <w:spacing w:line="360" w:lineRule="auto"/>
        <w:jc w:val="left"/>
        <w:rPr>
          <w:rFonts w:ascii="仿宋" w:hAnsi="仿宋" w:eastAsia="仿宋" w:cs="仿宋"/>
          <w:color w:val="auto"/>
          <w:sz w:val="18"/>
          <w:szCs w:val="18"/>
        </w:rPr>
      </w:pPr>
      <w:r>
        <w:rPr>
          <w:rFonts w:hint="eastAsia" w:ascii="仿宋" w:hAnsi="仿宋" w:eastAsia="仿宋" w:cs="仿宋"/>
          <w:color w:val="auto"/>
          <w:sz w:val="18"/>
          <w:szCs w:val="18"/>
        </w:rPr>
        <w:t>从业人员、营业收入、资产总额填报上一年度数据，无上一年度数据的新成立企业可不填报。</w:t>
      </w:r>
    </w:p>
    <w:p>
      <w:pPr>
        <w:spacing w:line="360" w:lineRule="auto"/>
        <w:ind w:right="420" w:firstLine="480" w:firstLineChars="200"/>
        <w:rPr>
          <w:rFonts w:ascii="仿宋" w:hAnsi="仿宋" w:eastAsia="仿宋" w:cs="仿宋"/>
          <w:color w:val="auto"/>
          <w:sz w:val="24"/>
        </w:rPr>
      </w:pPr>
      <w:r>
        <w:rPr>
          <w:rFonts w:hint="eastAsia" w:ascii="仿宋" w:hAnsi="仿宋" w:eastAsia="仿宋" w:cs="仿宋"/>
          <w:color w:val="auto"/>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 w:hAnsi="仿宋" w:eastAsia="仿宋" w:cs="仿宋"/>
          <w:b/>
          <w:color w:val="auto"/>
          <w:sz w:val="32"/>
          <w:szCs w:val="32"/>
        </w:rPr>
      </w:pPr>
    </w:p>
    <w:p>
      <w:pPr>
        <w:spacing w:line="360" w:lineRule="auto"/>
        <w:jc w:val="center"/>
        <w:rPr>
          <w:rFonts w:ascii="仿宋" w:hAnsi="仿宋" w:eastAsia="仿宋" w:cs="仿宋"/>
          <w:b/>
          <w:color w:val="auto"/>
          <w:sz w:val="32"/>
          <w:szCs w:val="32"/>
        </w:rPr>
      </w:pPr>
    </w:p>
    <w:p>
      <w:pPr>
        <w:spacing w:line="360" w:lineRule="auto"/>
        <w:jc w:val="center"/>
        <w:rPr>
          <w:rFonts w:hint="eastAsia" w:ascii="仿宋" w:hAnsi="仿宋" w:eastAsia="仿宋" w:cs="仿宋"/>
          <w:b/>
          <w:color w:val="auto"/>
          <w:sz w:val="32"/>
          <w:szCs w:val="32"/>
        </w:rPr>
      </w:pPr>
    </w:p>
    <w:p>
      <w:pPr>
        <w:spacing w:line="360" w:lineRule="auto"/>
        <w:jc w:val="center"/>
        <w:rPr>
          <w:rFonts w:hint="eastAsia" w:ascii="仿宋" w:hAnsi="仿宋" w:eastAsia="仿宋" w:cs="仿宋"/>
          <w:b/>
          <w:color w:val="auto"/>
          <w:sz w:val="32"/>
          <w:szCs w:val="32"/>
        </w:rPr>
      </w:pPr>
    </w:p>
    <w:p>
      <w:pPr>
        <w:spacing w:line="360" w:lineRule="auto"/>
        <w:jc w:val="center"/>
        <w:rPr>
          <w:rFonts w:hint="eastAsia" w:ascii="仿宋" w:hAnsi="仿宋" w:eastAsia="仿宋" w:cs="仿宋"/>
          <w:b/>
          <w:color w:val="auto"/>
          <w:sz w:val="32"/>
          <w:szCs w:val="32"/>
        </w:rPr>
      </w:pPr>
    </w:p>
    <w:p>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中小企业声明函（工程、服务）</w:t>
      </w:r>
    </w:p>
    <w:p>
      <w:pPr>
        <w:spacing w:line="360" w:lineRule="auto"/>
        <w:rPr>
          <w:rFonts w:hint="eastAsia" w:ascii="仿宋" w:hAnsi="仿宋" w:eastAsia="仿宋" w:cs="仿宋"/>
          <w:color w:val="auto"/>
        </w:rPr>
      </w:pPr>
    </w:p>
    <w:p>
      <w:pPr>
        <w:spacing w:line="360" w:lineRule="auto"/>
        <w:ind w:firstLine="360" w:firstLineChars="150"/>
        <w:jc w:val="left"/>
        <w:rPr>
          <w:rFonts w:hint="eastAsia"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（单位名称） 的 </w:t>
      </w:r>
      <w:r>
        <w:rPr>
          <w:rFonts w:hint="eastAsia" w:ascii="仿宋" w:hAnsi="仿宋" w:eastAsia="仿宋" w:cs="仿宋"/>
          <w:color w:val="auto"/>
          <w:sz w:val="24"/>
          <w:lang w:eastAsia="zh-CN"/>
        </w:rPr>
        <w:t>建德市2022年口腔诊疗机构智慧监管项目</w:t>
      </w:r>
      <w:r>
        <w:rPr>
          <w:rFonts w:hint="eastAsia" w:ascii="仿宋" w:hAnsi="仿宋" w:eastAsia="仿宋" w:cs="仿宋"/>
          <w:color w:val="auto"/>
          <w:sz w:val="24"/>
        </w:rPr>
        <w:t xml:space="preserve">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rPr>
      </w:pPr>
      <w:r>
        <w:rPr>
          <w:rFonts w:hint="eastAsia" w:ascii="仿宋" w:hAnsi="仿宋" w:eastAsia="仿宋" w:cs="仿宋"/>
          <w:color w:val="auto"/>
          <w:sz w:val="24"/>
        </w:rPr>
        <w:t>投标人名称（电子签名）：</w:t>
      </w:r>
    </w:p>
    <w:p>
      <w:pPr>
        <w:spacing w:line="360" w:lineRule="auto"/>
        <w:ind w:right="1120" w:firstLine="4680" w:firstLineChars="1950"/>
        <w:rPr>
          <w:rFonts w:hint="eastAsia" w:ascii="仿宋" w:hAnsi="仿宋" w:eastAsia="仿宋" w:cs="仿宋"/>
          <w:color w:val="auto"/>
          <w:sz w:val="24"/>
        </w:rPr>
      </w:pPr>
      <w:r>
        <w:rPr>
          <w:rFonts w:hint="eastAsia" w:ascii="仿宋" w:hAnsi="仿宋" w:eastAsia="仿宋" w:cs="仿宋"/>
          <w:color w:val="auto"/>
          <w:sz w:val="24"/>
        </w:rPr>
        <w:t>日 期：</w:t>
      </w:r>
    </w:p>
    <w:p>
      <w:pPr>
        <w:spacing w:line="360" w:lineRule="auto"/>
        <w:ind w:firstLine="310" w:firstLineChars="147"/>
        <w:jc w:val="left"/>
        <w:rPr>
          <w:rFonts w:hint="eastAsia" w:ascii="仿宋" w:hAnsi="仿宋" w:eastAsia="仿宋" w:cs="仿宋"/>
          <w:b/>
          <w:color w:val="auto"/>
          <w:szCs w:val="21"/>
        </w:rPr>
      </w:pPr>
      <w:r>
        <w:rPr>
          <w:rFonts w:hint="eastAsia" w:ascii="仿宋" w:hAnsi="仿宋" w:eastAsia="仿宋" w:cs="仿宋"/>
          <w:b/>
          <w:color w:val="auto"/>
          <w:szCs w:val="21"/>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rPr>
      </w:pPr>
    </w:p>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hint="eastAsia" w:ascii="仿宋" w:hAnsi="仿宋" w:eastAsia="仿宋" w:cs="仿宋"/>
          <w:bCs/>
          <w:color w:val="auto"/>
          <w:sz w:val="24"/>
        </w:rPr>
      </w:pPr>
    </w:p>
    <w:p>
      <w:pPr>
        <w:pStyle w:val="2"/>
        <w:ind w:firstLine="420"/>
        <w:rPr>
          <w:rFonts w:hint="eastAsia" w:ascii="仿宋" w:hAnsi="仿宋" w:eastAsia="仿宋" w:cs="仿宋"/>
          <w:color w:val="auto"/>
        </w:rPr>
      </w:pPr>
    </w:p>
    <w:p>
      <w:pPr>
        <w:pStyle w:val="2"/>
        <w:ind w:left="0" w:leftChars="0" w:firstLine="0" w:firstLineChars="0"/>
        <w:rPr>
          <w:rFonts w:hint="eastAsia" w:ascii="仿宋" w:hAnsi="仿宋" w:eastAsia="仿宋" w:cs="仿宋"/>
          <w:color w:val="auto"/>
        </w:rPr>
      </w:pPr>
    </w:p>
    <w:p>
      <w:pPr>
        <w:jc w:val="center"/>
        <w:rPr>
          <w:rFonts w:hint="eastAsia" w:ascii="仿宋" w:hAnsi="仿宋" w:eastAsia="仿宋" w:cs="仿宋"/>
          <w:b/>
          <w:color w:val="auto"/>
          <w:kern w:val="0"/>
          <w:sz w:val="32"/>
          <w:szCs w:val="32"/>
          <w:lang w:val="zh-CN"/>
        </w:rPr>
      </w:pPr>
      <w:r>
        <w:rPr>
          <w:rFonts w:hint="eastAsia" w:ascii="仿宋" w:hAnsi="仿宋" w:eastAsia="仿宋" w:cs="仿宋"/>
          <w:b/>
          <w:color w:val="auto"/>
          <w:spacing w:val="6"/>
          <w:sz w:val="32"/>
          <w:szCs w:val="32"/>
        </w:rPr>
        <w:t>附件6：</w:t>
      </w:r>
      <w:r>
        <w:rPr>
          <w:rFonts w:hint="eastAsia" w:ascii="仿宋" w:hAnsi="仿宋" w:eastAsia="仿宋" w:cs="仿宋"/>
          <w:b/>
          <w:color w:val="auto"/>
          <w:kern w:val="0"/>
          <w:sz w:val="32"/>
          <w:szCs w:val="32"/>
          <w:lang w:val="zh-CN"/>
        </w:rPr>
        <w:t>联合协议</w:t>
      </w:r>
    </w:p>
    <w:p>
      <w:pPr>
        <w:widowControl/>
        <w:spacing w:line="400" w:lineRule="exact"/>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（以联合体形式投标的，提供联合协议；本项目不接受联合体投标或者投标人不以联合体形式投标的，则不需要提供）</w:t>
      </w:r>
    </w:p>
    <w:p>
      <w:pPr>
        <w:snapToGrid w:val="0"/>
        <w:spacing w:line="400" w:lineRule="exact"/>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lang w:eastAsia="zh-CN"/>
        </w:rPr>
        <w:t>建德市2022年口腔诊疗机构智慧监管项目</w:t>
      </w:r>
      <w:r>
        <w:rPr>
          <w:rFonts w:hint="eastAsia" w:ascii="仿宋" w:hAnsi="仿宋" w:eastAsia="仿宋" w:cs="仿宋"/>
          <w:color w:val="auto"/>
          <w:sz w:val="24"/>
        </w:rPr>
        <w:t>【项目编号：</w:t>
      </w:r>
      <w:r>
        <w:rPr>
          <w:rFonts w:hint="eastAsia" w:ascii="仿宋" w:hAnsi="仿宋" w:eastAsia="仿宋" w:cs="仿宋"/>
          <w:color w:val="auto"/>
          <w:sz w:val="24"/>
          <w:lang w:eastAsia="zh-CN"/>
        </w:rPr>
        <w:t xml:space="preserve">JD2022BF- </w:t>
      </w:r>
      <w:r>
        <w:rPr>
          <w:rFonts w:hint="eastAsia" w:ascii="仿宋" w:hAnsi="仿宋" w:eastAsia="仿宋" w:cs="仿宋"/>
          <w:color w:val="auto"/>
          <w:sz w:val="24"/>
        </w:rPr>
        <w:t>】</w:t>
      </w:r>
      <w:r>
        <w:rPr>
          <w:rFonts w:hint="eastAsia" w:ascii="仿宋" w:hAnsi="仿宋" w:eastAsia="仿宋" w:cs="仿宋"/>
          <w:color w:val="auto"/>
          <w:kern w:val="0"/>
          <w:sz w:val="24"/>
          <w:lang w:val="zh-CN"/>
        </w:rPr>
        <w:t xml:space="preserve">投标。 </w:t>
      </w:r>
    </w:p>
    <w:p>
      <w:pPr>
        <w:snapToGrid w:val="0"/>
        <w:spacing w:line="400" w:lineRule="exact"/>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，代表所有联合体成员负责投标和合同实施阶段的主办、协调工作</w:t>
      </w:r>
      <w:r>
        <w:rPr>
          <w:rFonts w:hint="eastAsia" w:ascii="仿宋" w:hAnsi="仿宋" w:eastAsia="仿宋" w:cs="仿宋"/>
          <w:color w:val="auto"/>
          <w:kern w:val="0"/>
          <w:sz w:val="24"/>
          <w:lang w:val="zh-CN"/>
        </w:rPr>
        <w:t>。</w:t>
      </w:r>
    </w:p>
    <w:p>
      <w:pPr>
        <w:snapToGrid w:val="0"/>
        <w:spacing w:line="400" w:lineRule="exact"/>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授权代表根据招标文件规定及投标内容而对采购人、采购机构所作的任何合法承诺，包括书面澄清及相应等均对联合投标各方产生约束力。</w:t>
      </w:r>
    </w:p>
    <w:p>
      <w:pPr>
        <w:snapToGrid w:val="0"/>
        <w:spacing w:line="400" w:lineRule="exact"/>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三、本次联合投标中，分工如下：</w:t>
      </w:r>
    </w:p>
    <w:p>
      <w:pPr>
        <w:snapToGrid w:val="0"/>
        <w:spacing w:line="400" w:lineRule="exact"/>
        <w:ind w:firstLine="576"/>
        <w:rPr>
          <w:rFonts w:hint="eastAsia" w:ascii="仿宋" w:hAnsi="仿宋" w:eastAsia="仿宋" w:cs="仿宋"/>
          <w:color w:val="auto"/>
          <w:kern w:val="0"/>
          <w:sz w:val="24"/>
          <w:lang w:val="zh-CN"/>
        </w:rPr>
      </w:pPr>
      <w:bookmarkStart w:id="557" w:name="_Hlk101134295"/>
      <w:r>
        <w:rPr>
          <w:rFonts w:hint="eastAsia" w:ascii="仿宋" w:hAnsi="仿宋" w:eastAsia="仿宋" w:cs="仿宋"/>
          <w:color w:val="auto"/>
          <w:kern w:val="0"/>
          <w:sz w:val="24"/>
          <w:u w:val="single"/>
        </w:rPr>
        <w:t>（联合体成员1）</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pPr>
        <w:snapToGrid w:val="0"/>
        <w:spacing w:line="400" w:lineRule="exact"/>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（联合体成员2）</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pPr>
        <w:snapToGrid w:val="0"/>
        <w:spacing w:line="400" w:lineRule="exact"/>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w:t>
      </w:r>
    </w:p>
    <w:bookmarkEnd w:id="557"/>
    <w:p>
      <w:pPr>
        <w:snapToGrid w:val="0"/>
        <w:spacing w:line="400" w:lineRule="exact"/>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四、联合体成员中小企业合同份额。</w:t>
      </w:r>
    </w:p>
    <w:p>
      <w:pPr>
        <w:snapToGrid w:val="0"/>
        <w:spacing w:line="400" w:lineRule="exact"/>
        <w:ind w:firstLine="576"/>
        <w:rPr>
          <w:rFonts w:hint="eastAsia" w:ascii="仿宋" w:hAnsi="仿宋" w:eastAsia="仿宋" w:cs="仿宋"/>
          <w:b/>
          <w:color w:val="auto"/>
          <w:kern w:val="0"/>
          <w:sz w:val="24"/>
          <w:lang w:val="zh-CN"/>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u w:val="single"/>
        </w:rPr>
        <w:t>（联合体成员X,……）</w:t>
      </w:r>
      <w:r>
        <w:rPr>
          <w:rFonts w:hint="eastAsia" w:ascii="仿宋" w:hAnsi="仿宋" w:eastAsia="仿宋" w:cs="仿宋"/>
          <w:color w:val="auto"/>
          <w:kern w:val="0"/>
          <w:sz w:val="24"/>
        </w:rPr>
        <w:t>提供的全部货物由小微企业制造，其合同份额占到合同总金额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hint="eastAsia" w:ascii="仿宋" w:hAnsi="仿宋" w:eastAsia="仿宋" w:cs="仿宋"/>
          <w:b/>
          <w:color w:val="auto"/>
          <w:kern w:val="0"/>
          <w:sz w:val="24"/>
        </w:rPr>
        <w:t>6</w:t>
      </w:r>
      <w:r>
        <w:rPr>
          <w:rFonts w:hint="eastAsia" w:ascii="仿宋" w:hAnsi="仿宋" w:eastAsia="仿宋" w:cs="仿宋"/>
          <w:b/>
          <w:color w:val="auto"/>
          <w:kern w:val="0"/>
          <w:sz w:val="24"/>
          <w:lang w:val="zh-CN"/>
        </w:rPr>
        <w:t>%的扣除。供应商</w:t>
      </w:r>
      <w:r>
        <w:rPr>
          <w:rFonts w:hint="eastAsia" w:ascii="仿宋" w:hAnsi="仿宋" w:eastAsia="仿宋" w:cs="仿宋"/>
          <w:b/>
          <w:color w:val="auto"/>
          <w:sz w:val="24"/>
        </w:rPr>
        <w:t>拟享受以上价格扣除政策的，填写有关内容。</w:t>
      </w:r>
      <w:r>
        <w:rPr>
          <w:rFonts w:hint="eastAsia" w:ascii="仿宋" w:hAnsi="仿宋" w:eastAsia="仿宋" w:cs="仿宋"/>
          <w:b/>
          <w:color w:val="auto"/>
          <w:kern w:val="0"/>
          <w:sz w:val="24"/>
          <w:lang w:val="zh-CN"/>
        </w:rPr>
        <w:t>）</w:t>
      </w:r>
    </w:p>
    <w:p>
      <w:pPr>
        <w:snapToGrid w:val="0"/>
        <w:spacing w:line="400" w:lineRule="exact"/>
        <w:ind w:firstLine="576"/>
        <w:rPr>
          <w:rFonts w:hint="eastAsia" w:ascii="仿宋" w:hAnsi="仿宋" w:eastAsia="仿宋" w:cs="仿宋"/>
          <w:color w:val="auto"/>
          <w:kern w:val="0"/>
          <w:sz w:val="24"/>
          <w:lang w:val="zh-CN"/>
        </w:rPr>
      </w:pPr>
      <w:r>
        <w:rPr>
          <w:rFonts w:hint="eastAsia" w:ascii="仿宋" w:hAnsi="仿宋" w:eastAsia="仿宋" w:cs="仿宋"/>
          <w:color w:val="auto"/>
          <w:sz w:val="24"/>
        </w:rPr>
        <w:t>2、中小企业合同金额达到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lang w:val="zh-CN"/>
        </w:rPr>
        <w:t>）</w:t>
      </w:r>
    </w:p>
    <w:p>
      <w:pPr>
        <w:snapToGrid w:val="0"/>
        <w:spacing w:line="400" w:lineRule="exact"/>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五、如果中标，</w:t>
      </w:r>
      <w:r>
        <w:rPr>
          <w:rFonts w:hint="eastAsia" w:ascii="仿宋" w:hAnsi="仿宋" w:eastAsia="仿宋" w:cs="仿宋"/>
          <w:color w:val="auto"/>
          <w:sz w:val="24"/>
        </w:rPr>
        <w:t>联合体各成员方共同与采购人签订合同，并就采购合同约定的事项对采购人承担连带责任。</w:t>
      </w:r>
    </w:p>
    <w:p>
      <w:pPr>
        <w:snapToGrid w:val="0"/>
        <w:spacing w:line="400" w:lineRule="exact"/>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六、有关本次联合投标的其他事宜：</w:t>
      </w:r>
    </w:p>
    <w:p>
      <w:pPr>
        <w:snapToGrid w:val="0"/>
        <w:spacing w:line="400" w:lineRule="exact"/>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pPr>
        <w:snapToGrid w:val="0"/>
        <w:spacing w:line="400" w:lineRule="exact"/>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pPr>
        <w:snapToGrid w:val="0"/>
        <w:spacing w:line="400" w:lineRule="exact"/>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3、本协议提交采购人、采购机构后，联合体各方不得以任何形式对上述内容进行修改或撤销。</w:t>
      </w:r>
    </w:p>
    <w:p>
      <w:pPr>
        <w:snapToGrid w:val="0"/>
        <w:spacing w:line="400" w:lineRule="exact"/>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400" w:lineRule="exac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spacing w:line="400" w:lineRule="exact"/>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pPr>
        <w:snapToGrid w:val="0"/>
        <w:spacing w:line="440" w:lineRule="exact"/>
        <w:ind w:firstLine="3666" w:firstLineChars="1100"/>
        <w:rPr>
          <w:rFonts w:hint="eastAsia" w:ascii="仿宋" w:hAnsi="仿宋" w:eastAsia="仿宋" w:cs="仿宋"/>
          <w:b/>
          <w:color w:val="auto"/>
          <w:kern w:val="0"/>
          <w:sz w:val="32"/>
          <w:szCs w:val="32"/>
        </w:rPr>
      </w:pPr>
      <w:r>
        <w:rPr>
          <w:rFonts w:hint="eastAsia" w:ascii="仿宋" w:hAnsi="仿宋" w:eastAsia="仿宋" w:cs="仿宋"/>
          <w:b/>
          <w:color w:val="auto"/>
          <w:spacing w:val="6"/>
          <w:sz w:val="32"/>
          <w:szCs w:val="32"/>
        </w:rPr>
        <w:t>附件7：</w:t>
      </w:r>
      <w:r>
        <w:rPr>
          <w:rFonts w:hint="eastAsia" w:ascii="仿宋" w:hAnsi="仿宋" w:eastAsia="仿宋" w:cs="仿宋"/>
          <w:b/>
          <w:color w:val="auto"/>
          <w:kern w:val="0"/>
          <w:sz w:val="32"/>
          <w:szCs w:val="32"/>
        </w:rPr>
        <w:t>分包意向协议</w:t>
      </w:r>
    </w:p>
    <w:p>
      <w:pPr>
        <w:widowControl/>
        <w:spacing w:line="440" w:lineRule="exact"/>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rPr>
        <w:t>）</w:t>
      </w:r>
    </w:p>
    <w:p>
      <w:pPr>
        <w:snapToGrid w:val="0"/>
        <w:spacing w:line="440" w:lineRule="exact"/>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若成为</w:t>
      </w:r>
      <w:r>
        <w:rPr>
          <w:rFonts w:hint="eastAsia" w:ascii="仿宋" w:hAnsi="仿宋" w:eastAsia="仿宋" w:cs="仿宋"/>
          <w:color w:val="auto"/>
          <w:sz w:val="24"/>
          <w:lang w:eastAsia="zh-CN"/>
        </w:rPr>
        <w:t>建德市2022年口腔诊疗机构智慧监管项目</w:t>
      </w:r>
      <w:r>
        <w:rPr>
          <w:rFonts w:hint="eastAsia" w:ascii="仿宋" w:hAnsi="仿宋" w:eastAsia="仿宋" w:cs="仿宋"/>
          <w:color w:val="auto"/>
          <w:sz w:val="24"/>
        </w:rPr>
        <w:t>【项目编号：</w:t>
      </w:r>
      <w:r>
        <w:rPr>
          <w:rFonts w:hint="eastAsia" w:ascii="仿宋" w:hAnsi="仿宋" w:eastAsia="仿宋" w:cs="仿宋"/>
          <w:color w:val="auto"/>
          <w:sz w:val="24"/>
          <w:lang w:eastAsia="zh-CN"/>
        </w:rPr>
        <w:t xml:space="preserve">JD2022BF- </w:t>
      </w:r>
      <w:r>
        <w:rPr>
          <w:rFonts w:hint="eastAsia" w:ascii="仿宋" w:hAnsi="仿宋" w:eastAsia="仿宋" w:cs="仿宋"/>
          <w:color w:val="auto"/>
          <w:sz w:val="24"/>
        </w:rPr>
        <w:t>】</w:t>
      </w:r>
      <w:r>
        <w:rPr>
          <w:rFonts w:hint="eastAsia" w:ascii="仿宋" w:hAnsi="仿宋" w:eastAsia="仿宋" w:cs="仿宋"/>
          <w:color w:val="auto"/>
          <w:kern w:val="0"/>
          <w:sz w:val="24"/>
          <w:lang w:val="zh-CN"/>
        </w:rPr>
        <w:t>的中标供应商，将依法采取分包方式履行合同。</w:t>
      </w: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rPr>
        <w:t>与</w:t>
      </w:r>
      <w:r>
        <w:rPr>
          <w:rFonts w:hint="eastAsia" w:ascii="仿宋" w:hAnsi="仿宋" w:eastAsia="仿宋" w:cs="仿宋"/>
          <w:color w:val="auto"/>
          <w:kern w:val="0"/>
          <w:sz w:val="24"/>
          <w:u w:val="single"/>
        </w:rPr>
        <w:t>（所有分包供应商名称）</w:t>
      </w:r>
      <w:r>
        <w:rPr>
          <w:rFonts w:hint="eastAsia" w:ascii="仿宋" w:hAnsi="仿宋" w:eastAsia="仿宋" w:cs="仿宋"/>
          <w:color w:val="auto"/>
          <w:kern w:val="0"/>
          <w:sz w:val="24"/>
        </w:rPr>
        <w:t>达成分包意向协议</w:t>
      </w:r>
      <w:r>
        <w:rPr>
          <w:rFonts w:hint="eastAsia" w:ascii="仿宋" w:hAnsi="仿宋" w:eastAsia="仿宋" w:cs="仿宋"/>
          <w:color w:val="auto"/>
          <w:kern w:val="0"/>
          <w:sz w:val="24"/>
          <w:lang w:val="zh-CN"/>
        </w:rPr>
        <w:t xml:space="preserve">。 </w:t>
      </w:r>
    </w:p>
    <w:p>
      <w:pPr>
        <w:snapToGrid w:val="0"/>
        <w:spacing w:line="440" w:lineRule="exact"/>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一、分包标的及数量</w:t>
      </w:r>
    </w:p>
    <w:p>
      <w:pPr>
        <w:snapToGrid w:val="0"/>
        <w:spacing w:line="440" w:lineRule="exact"/>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将</w:t>
      </w:r>
      <w:r>
        <w:rPr>
          <w:rFonts w:hint="eastAsia" w:ascii="仿宋" w:hAnsi="仿宋" w:eastAsia="仿宋" w:cs="仿宋"/>
          <w:color w:val="auto"/>
          <w:u w:val="single"/>
        </w:rPr>
        <w:t xml:space="preserve"> </w:t>
      </w:r>
      <w:r>
        <w:rPr>
          <w:rFonts w:hint="eastAsia" w:ascii="仿宋" w:hAnsi="仿宋" w:eastAsia="仿宋" w:cs="仿宋"/>
          <w:color w:val="auto"/>
          <w:kern w:val="0"/>
          <w:sz w:val="24"/>
          <w:u w:val="single"/>
        </w:rPr>
        <w:t xml:space="preserve">  XX工作内容   </w:t>
      </w:r>
      <w:r>
        <w:rPr>
          <w:rFonts w:hint="eastAsia" w:ascii="仿宋" w:hAnsi="仿宋" w:eastAsia="仿宋" w:cs="仿宋"/>
          <w:color w:val="auto"/>
          <w:sz w:val="24"/>
        </w:rPr>
        <w:t>分包给</w:t>
      </w:r>
      <w:r>
        <w:rPr>
          <w:rFonts w:hint="eastAsia" w:ascii="仿宋" w:hAnsi="仿宋" w:eastAsia="仿宋" w:cs="仿宋"/>
          <w:color w:val="auto"/>
          <w:kern w:val="0"/>
          <w:sz w:val="24"/>
          <w:u w:val="single"/>
        </w:rPr>
        <w:t>（分包供应商1名称）</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（分包供应商1名称），</w:t>
      </w:r>
      <w:r>
        <w:rPr>
          <w:rFonts w:hint="eastAsia" w:ascii="仿宋" w:hAnsi="仿宋" w:eastAsia="仿宋" w:cs="仿宋"/>
          <w:color w:val="auto"/>
          <w:kern w:val="0"/>
          <w:sz w:val="24"/>
          <w:lang w:val="zh-CN"/>
        </w:rPr>
        <w:t>具备承</w:t>
      </w:r>
      <w:r>
        <w:rPr>
          <w:rFonts w:hint="eastAsia" w:ascii="仿宋" w:hAnsi="仿宋" w:eastAsia="仿宋" w:cs="仿宋"/>
          <w:color w:val="auto"/>
          <w:kern w:val="0"/>
          <w:sz w:val="24"/>
        </w:rPr>
        <w:t>担</w:t>
      </w:r>
      <w:r>
        <w:rPr>
          <w:rFonts w:hint="eastAsia" w:ascii="仿宋" w:hAnsi="仿宋" w:eastAsia="仿宋" w:cs="仿宋"/>
          <w:color w:val="auto"/>
          <w:kern w:val="0"/>
          <w:sz w:val="24"/>
          <w:u w:val="single"/>
          <w:lang w:val="zh-CN"/>
        </w:rPr>
        <w:t>XX工作内容</w:t>
      </w:r>
      <w:r>
        <w:rPr>
          <w:rFonts w:hint="eastAsia" w:ascii="仿宋" w:hAnsi="仿宋" w:eastAsia="仿宋" w:cs="仿宋"/>
          <w:color w:val="auto"/>
          <w:kern w:val="0"/>
          <w:sz w:val="24"/>
          <w:lang w:val="zh-CN"/>
        </w:rPr>
        <w:t>相应资质条件且不得再次分包；</w:t>
      </w:r>
    </w:p>
    <w:p>
      <w:pPr>
        <w:keepNext/>
        <w:keepLines/>
        <w:tabs>
          <w:tab w:val="left" w:pos="432"/>
        </w:tabs>
        <w:adjustRightInd/>
        <w:spacing w:line="440" w:lineRule="exact"/>
        <w:ind w:left="863" w:leftChars="411"/>
        <w:jc w:val="left"/>
        <w:outlineLvl w:val="1"/>
        <w:rPr>
          <w:rFonts w:hint="eastAsia" w:ascii="仿宋" w:hAnsi="仿宋" w:eastAsia="仿宋" w:cs="仿宋"/>
          <w:b/>
          <w:bCs/>
          <w:color w:val="auto"/>
          <w:kern w:val="0"/>
          <w:sz w:val="24"/>
          <w:lang w:val="zh-CN"/>
        </w:rPr>
      </w:pPr>
      <w:r>
        <w:rPr>
          <w:rFonts w:hint="eastAsia" w:ascii="仿宋" w:hAnsi="仿宋" w:eastAsia="仿宋" w:cs="仿宋"/>
          <w:b/>
          <w:bCs/>
          <w:color w:val="auto"/>
          <w:kern w:val="0"/>
          <w:sz w:val="24"/>
          <w:lang w:val="zh-CN"/>
        </w:rPr>
        <w:t>……</w:t>
      </w:r>
    </w:p>
    <w:p>
      <w:pPr>
        <w:snapToGrid w:val="0"/>
        <w:spacing w:line="440" w:lineRule="exact"/>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二、分包供应商中小企业合同份额</w:t>
      </w:r>
    </w:p>
    <w:p>
      <w:pPr>
        <w:snapToGrid w:val="0"/>
        <w:spacing w:line="440" w:lineRule="exact"/>
        <w:ind w:firstLine="576"/>
        <w:rPr>
          <w:rFonts w:hint="eastAsia" w:ascii="仿宋" w:hAnsi="仿宋" w:eastAsia="仿宋" w:cs="仿宋"/>
          <w:b/>
          <w:color w:val="auto"/>
          <w:kern w:val="0"/>
          <w:sz w:val="24"/>
          <w:lang w:val="zh-CN"/>
        </w:rPr>
      </w:pPr>
      <w:r>
        <w:rPr>
          <w:rFonts w:hint="eastAsia" w:ascii="仿宋" w:hAnsi="仿宋" w:eastAsia="仿宋" w:cs="仿宋"/>
          <w:color w:val="auto"/>
          <w:kern w:val="0"/>
          <w:sz w:val="24"/>
        </w:rPr>
        <w:t>1、</w:t>
      </w:r>
      <w:r>
        <w:rPr>
          <w:rFonts w:hint="eastAsia" w:ascii="仿宋" w:hAnsi="仿宋" w:eastAsia="仿宋" w:cs="仿宋"/>
          <w:color w:val="auto"/>
          <w:kern w:val="0"/>
          <w:sz w:val="24"/>
          <w:u w:val="single"/>
        </w:rPr>
        <w:t>（分包供应商X,……）提供的货物全部由小微企业制造，</w:t>
      </w:r>
      <w:r>
        <w:rPr>
          <w:rFonts w:hint="eastAsia" w:ascii="仿宋" w:hAnsi="仿宋" w:eastAsia="仿宋" w:cs="仿宋"/>
          <w:color w:val="auto"/>
          <w:kern w:val="0"/>
          <w:sz w:val="24"/>
        </w:rPr>
        <w:t>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rPr>
        <w:t>。</w:t>
      </w:r>
      <w:r>
        <w:rPr>
          <w:rFonts w:hint="eastAsia" w:ascii="仿宋" w:hAnsi="仿宋" w:eastAsia="仿宋" w:cs="仿宋"/>
          <w:b/>
          <w:color w:val="auto"/>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仿宋" w:hAnsi="仿宋" w:eastAsia="仿宋" w:cs="仿宋"/>
          <w:b/>
          <w:color w:val="auto"/>
          <w:kern w:val="0"/>
          <w:sz w:val="24"/>
        </w:rPr>
        <w:t>6</w:t>
      </w:r>
      <w:r>
        <w:rPr>
          <w:rFonts w:hint="eastAsia" w:ascii="仿宋" w:hAnsi="仿宋" w:eastAsia="仿宋" w:cs="仿宋"/>
          <w:b/>
          <w:color w:val="auto"/>
          <w:kern w:val="0"/>
          <w:sz w:val="24"/>
          <w:lang w:val="zh-CN"/>
        </w:rPr>
        <w:t>%的扣除。供应商</w:t>
      </w:r>
      <w:r>
        <w:rPr>
          <w:rFonts w:hint="eastAsia" w:ascii="仿宋" w:hAnsi="仿宋" w:eastAsia="仿宋" w:cs="仿宋"/>
          <w:b/>
          <w:color w:val="auto"/>
          <w:sz w:val="24"/>
        </w:rPr>
        <w:t>拟享受以上价格扣除政策的，填写有关内容。</w:t>
      </w:r>
      <w:r>
        <w:rPr>
          <w:rFonts w:hint="eastAsia" w:ascii="仿宋" w:hAnsi="仿宋" w:eastAsia="仿宋" w:cs="仿宋"/>
          <w:b/>
          <w:color w:val="auto"/>
          <w:kern w:val="0"/>
          <w:sz w:val="24"/>
          <w:lang w:val="zh-CN"/>
        </w:rPr>
        <w:t>）</w:t>
      </w:r>
    </w:p>
    <w:p>
      <w:pPr>
        <w:spacing w:line="440" w:lineRule="exact"/>
        <w:ind w:firstLine="480" w:firstLineChars="200"/>
        <w:rPr>
          <w:rFonts w:hint="eastAsia" w:ascii="仿宋" w:hAnsi="仿宋" w:eastAsia="仿宋" w:cs="仿宋"/>
          <w:b/>
          <w:bCs/>
          <w:color w:val="auto"/>
          <w:kern w:val="0"/>
          <w:sz w:val="24"/>
          <w:lang w:val="zh-CN"/>
        </w:rPr>
      </w:pPr>
      <w:r>
        <w:rPr>
          <w:rFonts w:hint="eastAsia" w:ascii="仿宋" w:hAnsi="仿宋" w:eastAsia="仿宋" w:cs="仿宋"/>
          <w:color w:val="auto"/>
          <w:sz w:val="24"/>
        </w:rPr>
        <w:t>2、</w:t>
      </w:r>
      <w:bookmarkStart w:id="558" w:name="_Hlk101133173"/>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要求合同分包形式参加的项目或采购包，供应商按招标文件第一部分招标公告申请人的资格要求中规定的</w:t>
      </w:r>
      <w:r>
        <w:rPr>
          <w:rFonts w:hint="eastAsia" w:ascii="仿宋" w:hAnsi="仿宋" w:eastAsia="仿宋" w:cs="仿宋"/>
          <w:b/>
          <w:color w:val="auto"/>
          <w:kern w:val="0"/>
          <w:sz w:val="24"/>
          <w:lang w:val="zh-CN"/>
        </w:rPr>
        <w:t>分包意向协议</w:t>
      </w:r>
      <w:r>
        <w:rPr>
          <w:rFonts w:hint="eastAsia" w:ascii="仿宋" w:hAnsi="仿宋" w:eastAsia="仿宋" w:cs="仿宋"/>
          <w:b/>
          <w:bCs/>
          <w:color w:val="auto"/>
          <w:sz w:val="24"/>
        </w:rPr>
        <w:t>中中小企业、小微企业合同金额应当达到的比例要求填写。</w:t>
      </w:r>
      <w:r>
        <w:rPr>
          <w:rFonts w:hint="eastAsia" w:ascii="仿宋" w:hAnsi="仿宋" w:eastAsia="仿宋" w:cs="仿宋"/>
          <w:b/>
          <w:bCs/>
          <w:color w:val="auto"/>
          <w:kern w:val="0"/>
          <w:sz w:val="24"/>
          <w:lang w:val="zh-CN"/>
        </w:rPr>
        <w:t>）</w:t>
      </w:r>
      <w:bookmarkEnd w:id="558"/>
    </w:p>
    <w:p>
      <w:pPr>
        <w:snapToGrid w:val="0"/>
        <w:spacing w:line="400" w:lineRule="exact"/>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三、分包工作履行期限、地点、方式</w:t>
      </w:r>
    </w:p>
    <w:p>
      <w:pPr>
        <w:snapToGrid w:val="0"/>
        <w:spacing w:line="400" w:lineRule="exact"/>
        <w:ind w:firstLine="576"/>
        <w:rPr>
          <w:rFonts w:hint="eastAsia" w:ascii="仿宋" w:hAnsi="仿宋" w:eastAsia="仿宋" w:cs="仿宋"/>
          <w:color w:val="auto"/>
          <w:u w:val="single"/>
        </w:rPr>
      </w:pPr>
      <w:r>
        <w:rPr>
          <w:rFonts w:hint="eastAsia" w:ascii="仿宋" w:hAnsi="仿宋" w:eastAsia="仿宋" w:cs="仿宋"/>
          <w:color w:val="auto"/>
          <w:u w:val="single"/>
        </w:rPr>
        <w:t xml:space="preserve">                                                                                  </w:t>
      </w:r>
    </w:p>
    <w:p>
      <w:pPr>
        <w:snapToGrid w:val="0"/>
        <w:spacing w:line="400" w:lineRule="exact"/>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四、质量</w:t>
      </w:r>
    </w:p>
    <w:p>
      <w:pPr>
        <w:snapToGrid w:val="0"/>
        <w:spacing w:line="400" w:lineRule="exact"/>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400" w:lineRule="exact"/>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五、价款或者报酬</w:t>
      </w:r>
    </w:p>
    <w:p>
      <w:pPr>
        <w:snapToGrid w:val="0"/>
        <w:spacing w:line="400" w:lineRule="exact"/>
        <w:ind w:left="573" w:leftChars="273"/>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400" w:lineRule="exact"/>
        <w:ind w:left="573" w:leftChars="273"/>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六、违约责任</w:t>
      </w:r>
    </w:p>
    <w:p>
      <w:pPr>
        <w:snapToGrid w:val="0"/>
        <w:spacing w:line="400" w:lineRule="exact"/>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400" w:lineRule="exact"/>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七、争议解决的办法</w:t>
      </w:r>
    </w:p>
    <w:p>
      <w:pPr>
        <w:snapToGrid w:val="0"/>
        <w:spacing w:line="400" w:lineRule="exact"/>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400" w:lineRule="exact"/>
        <w:ind w:left="5758" w:leftChars="342" w:hanging="5040" w:hanging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投标人名称(电子签名)：</w:t>
      </w:r>
    </w:p>
    <w:p>
      <w:pPr>
        <w:snapToGrid w:val="0"/>
        <w:spacing w:line="400" w:lineRule="exact"/>
        <w:ind w:firstLine="5640" w:firstLineChars="235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分包供应商名称：</w:t>
      </w:r>
    </w:p>
    <w:p>
      <w:pPr>
        <w:pStyle w:val="4"/>
        <w:ind w:firstLine="5880" w:firstLineChars="2450"/>
        <w:rPr>
          <w:rFonts w:hint="eastAsia" w:ascii="仿宋" w:hAnsi="仿宋" w:eastAsia="仿宋" w:cs="仿宋"/>
          <w:color w:val="auto"/>
        </w:rPr>
      </w:pPr>
      <w:r>
        <w:rPr>
          <w:rFonts w:hint="eastAsia" w:ascii="仿宋" w:hAnsi="仿宋" w:eastAsia="仿宋" w:cs="仿宋"/>
          <w:color w:val="auto"/>
          <w:kern w:val="0"/>
        </w:rPr>
        <w:t>……</w:t>
      </w: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elvetica">
    <w:panose1 w:val="020B0604020202020204"/>
    <w:charset w:val="00"/>
    <w:family w:val="swiss"/>
    <w:pitch w:val="default"/>
    <w:sig w:usb0="00000000" w:usb1="00000000" w:usb2="00000000" w:usb3="00000000" w:csb0="00000000"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auto"/>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253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241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253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253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3"/>
      </w:rPr>
    </w:pPr>
    <w:r>
      <w:fldChar w:fldCharType="begin"/>
    </w:r>
    <w:r>
      <w:rPr>
        <w:rStyle w:val="73"/>
      </w:rPr>
      <w:instrText xml:space="preserve">PAGE  </w:instrText>
    </w:r>
    <w:r>
      <w:fldChar w:fldCharType="end"/>
    </w:r>
  </w:p>
  <w:p>
    <w:pPr>
      <w:pStyle w:val="44"/>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243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243</w:t>
    </w:r>
    <w:r>
      <w:rPr>
        <w:rFonts w:hint="eastAsia" w:ascii="仿宋_GB2312" w:eastAsia="仿宋_GB2312"/>
        <w:kern w:val="0"/>
        <w:szCs w:val="21"/>
      </w:rPr>
      <w:fldChar w:fldCharType="end"/>
    </w:r>
    <w:bookmarkStart w:id="559" w:name="_Toc36110187"/>
    <w:bookmarkStart w:id="560" w:name="_Toc164085800"/>
    <w:bookmarkStart w:id="561" w:name="_Toc91899912"/>
    <w:bookmarkStart w:id="562" w:name="_Toc131845147"/>
    <w:r>
      <w:rPr>
        <w:rFonts w:hint="eastAsia" w:ascii="仿宋_GB2312" w:eastAsia="仿宋_GB2312"/>
        <w:kern w:val="0"/>
        <w:szCs w:val="21"/>
      </w:rPr>
      <w:t xml:space="preserve"> 页</w:t>
    </w:r>
    <w:bookmarkEnd w:id="559"/>
    <w:bookmarkEnd w:id="560"/>
    <w:bookmarkEnd w:id="561"/>
    <w:bookmarkEnd w:id="56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3"/>
      </w:rPr>
    </w:pPr>
    <w:r>
      <w:fldChar w:fldCharType="begin"/>
    </w:r>
    <w:r>
      <w:rPr>
        <w:rStyle w:val="73"/>
      </w:rPr>
      <w:instrText xml:space="preserve">PAGE  </w:instrText>
    </w:r>
    <w:r>
      <w:fldChar w:fldCharType="end"/>
    </w:r>
  </w:p>
  <w:p>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3"/>
      </w:rPr>
    </w:pPr>
    <w:r>
      <w:fldChar w:fldCharType="begin"/>
    </w:r>
    <w:r>
      <w:rPr>
        <w:rStyle w:val="73"/>
      </w:rPr>
      <w:instrText xml:space="preserve">PAGE  </w:instrText>
    </w:r>
    <w:r>
      <w:fldChar w:fldCharType="separate"/>
    </w:r>
    <w:r>
      <w:rPr>
        <w:rStyle w:val="73"/>
      </w:rPr>
      <w:t>47</w:t>
    </w:r>
    <w:r>
      <w:fldChar w:fldCharType="end"/>
    </w:r>
  </w:p>
  <w:p>
    <w:pPr>
      <w:pStyle w:val="44"/>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3"/>
      </w:rPr>
    </w:pPr>
    <w:r>
      <w:fldChar w:fldCharType="begin"/>
    </w:r>
    <w:r>
      <w:rPr>
        <w:rStyle w:val="73"/>
      </w:rPr>
      <w:instrText xml:space="preserve">PAGE  </w:instrText>
    </w:r>
    <w:r>
      <w:fldChar w:fldCharType="end"/>
    </w:r>
  </w:p>
  <w:p>
    <w:pPr>
      <w:pStyle w:val="4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3"/>
      </w:rPr>
    </w:pPr>
    <w:r>
      <w:fldChar w:fldCharType="begin"/>
    </w:r>
    <w:r>
      <w:rPr>
        <w:rStyle w:val="73"/>
      </w:rPr>
      <w:instrText xml:space="preserve">PAGE  </w:instrText>
    </w:r>
    <w:r>
      <w:fldChar w:fldCharType="separate"/>
    </w:r>
    <w:r>
      <w:rPr>
        <w:rStyle w:val="73"/>
      </w:rPr>
      <w:t>217</w:t>
    </w:r>
    <w:r>
      <w:fldChar w:fldCharType="end"/>
    </w:r>
  </w:p>
  <w:p>
    <w:pPr>
      <w:pStyle w:val="44"/>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239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218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242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none" w:color="auto" w:sz="0" w:space="0"/>
      </w:pBdr>
      <w:jc w:val="right"/>
    </w:pPr>
    <w:r>
      <w:t></w:t>
    </w:r>
    <w:r>
      <w:rPr>
        <w:rFonts w:hint="eastAsia"/>
      </w:rPr>
      <w:t xml:space="preserve">             </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none" w:color="auto" w:sz="0" w:space="1"/>
      </w:pBdr>
      <w:jc w:val="right"/>
      <w:rPr>
        <w:rFonts w:ascii="仿宋_GB2312" w:eastAsia="仿宋_GB2312"/>
        <w:b/>
        <w:i/>
        <w:iCs/>
        <w:u w:val="single"/>
      </w:rPr>
    </w:pPr>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none" w:color="auto" w:sz="0" w:space="1"/>
      </w:pBdr>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none" w:color="auto" w:sz="0" w:space="0"/>
      </w:pBdr>
      <w:tabs>
        <w:tab w:val="center" w:pos="4535"/>
        <w:tab w:val="right" w:pos="9070"/>
        <w:tab w:val="clear" w:pos="4153"/>
        <w:tab w:val="clear" w:pos="8306"/>
      </w:tabs>
      <w:jc w:val="right"/>
    </w:pPr>
    <w:r>
      <w:rPr>
        <w:lang w:val="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jc w:val="center"/>
      <w:rPr>
        <w:rFonts w:eastAsia="方正仿宋简体"/>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none" w:color="auto" w:sz="0" w:space="0"/>
      </w:pBdr>
      <w:rPr>
        <w:rFonts w:ascii="仿宋_GB2312" w:eastAsia="仿宋_GB2312"/>
        <w:b/>
        <w:i/>
        <w:u w:val="single"/>
      </w:rPr>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none" w:color="auto" w:sz="0" w:space="1"/>
      </w:pBdr>
    </w:pPr>
    <w:r>
      <w:t></w:t>
    </w:r>
    <w:r>
      <w:rPr>
        <w:rFonts w:hint="eastAsia"/>
      </w:rPr>
      <w:t xml:space="preserve">         </w:t>
    </w:r>
  </w:p>
  <w:p>
    <w:pPr>
      <w:pStyle w:val="45"/>
      <w:pBdr>
        <w:bottom w:val="none" w:color="auto" w:sz="0" w:space="1"/>
      </w:pBdr>
    </w:pP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2C5CEF"/>
    <w:multiLevelType w:val="singleLevel"/>
    <w:tmpl w:val="232C5CEF"/>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JhYzE1NDNmYTJjNDM2ZjY1ZTJlNDQ1NWRiYjFiNDMifQ=="/>
  </w:docVars>
  <w:rsids>
    <w:rsidRoot w:val="00172A27"/>
    <w:rsid w:val="00000451"/>
    <w:rsid w:val="0000108B"/>
    <w:rsid w:val="0000133D"/>
    <w:rsid w:val="00001509"/>
    <w:rsid w:val="00002F2E"/>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C34"/>
    <w:rsid w:val="00013F31"/>
    <w:rsid w:val="00013FEF"/>
    <w:rsid w:val="000140D8"/>
    <w:rsid w:val="00014530"/>
    <w:rsid w:val="00014AFA"/>
    <w:rsid w:val="00014BBC"/>
    <w:rsid w:val="000150EE"/>
    <w:rsid w:val="000168D8"/>
    <w:rsid w:val="000170C8"/>
    <w:rsid w:val="000173F4"/>
    <w:rsid w:val="00020246"/>
    <w:rsid w:val="00020287"/>
    <w:rsid w:val="000202FE"/>
    <w:rsid w:val="00020B5F"/>
    <w:rsid w:val="000211BC"/>
    <w:rsid w:val="0002207B"/>
    <w:rsid w:val="000232FD"/>
    <w:rsid w:val="00023323"/>
    <w:rsid w:val="000233E4"/>
    <w:rsid w:val="00023495"/>
    <w:rsid w:val="00023777"/>
    <w:rsid w:val="00024130"/>
    <w:rsid w:val="000242AB"/>
    <w:rsid w:val="00024584"/>
    <w:rsid w:val="00024962"/>
    <w:rsid w:val="000249AA"/>
    <w:rsid w:val="00025350"/>
    <w:rsid w:val="000253E5"/>
    <w:rsid w:val="00025776"/>
    <w:rsid w:val="00026EAC"/>
    <w:rsid w:val="000270F2"/>
    <w:rsid w:val="00027540"/>
    <w:rsid w:val="0002789C"/>
    <w:rsid w:val="00030572"/>
    <w:rsid w:val="00030A97"/>
    <w:rsid w:val="00030CB3"/>
    <w:rsid w:val="00031B1F"/>
    <w:rsid w:val="0003206A"/>
    <w:rsid w:val="000326A7"/>
    <w:rsid w:val="00032A17"/>
    <w:rsid w:val="00032EA0"/>
    <w:rsid w:val="000331B0"/>
    <w:rsid w:val="000336D4"/>
    <w:rsid w:val="00034FA7"/>
    <w:rsid w:val="0003533D"/>
    <w:rsid w:val="000357E4"/>
    <w:rsid w:val="00035ACA"/>
    <w:rsid w:val="000366A9"/>
    <w:rsid w:val="00040447"/>
    <w:rsid w:val="00040494"/>
    <w:rsid w:val="00040B70"/>
    <w:rsid w:val="000414F5"/>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79B"/>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2AB"/>
    <w:rsid w:val="00061A3C"/>
    <w:rsid w:val="00061AE6"/>
    <w:rsid w:val="00061C48"/>
    <w:rsid w:val="000621B0"/>
    <w:rsid w:val="00064278"/>
    <w:rsid w:val="00064294"/>
    <w:rsid w:val="000646CA"/>
    <w:rsid w:val="00065E41"/>
    <w:rsid w:val="000665C4"/>
    <w:rsid w:val="00067821"/>
    <w:rsid w:val="0006785E"/>
    <w:rsid w:val="00067F92"/>
    <w:rsid w:val="00067FA7"/>
    <w:rsid w:val="0007038E"/>
    <w:rsid w:val="0007077C"/>
    <w:rsid w:val="00070825"/>
    <w:rsid w:val="00071BA3"/>
    <w:rsid w:val="00071CD8"/>
    <w:rsid w:val="00071DB2"/>
    <w:rsid w:val="000726CD"/>
    <w:rsid w:val="00072A9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08E"/>
    <w:rsid w:val="00077577"/>
    <w:rsid w:val="00077607"/>
    <w:rsid w:val="00077756"/>
    <w:rsid w:val="00077B7F"/>
    <w:rsid w:val="000808C1"/>
    <w:rsid w:val="00080970"/>
    <w:rsid w:val="00081671"/>
    <w:rsid w:val="00082AD4"/>
    <w:rsid w:val="00083CDC"/>
    <w:rsid w:val="00083E07"/>
    <w:rsid w:val="00084D27"/>
    <w:rsid w:val="00084ED6"/>
    <w:rsid w:val="00084F48"/>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C5"/>
    <w:rsid w:val="00096DFF"/>
    <w:rsid w:val="000A0729"/>
    <w:rsid w:val="000A0E69"/>
    <w:rsid w:val="000A1A52"/>
    <w:rsid w:val="000A1F98"/>
    <w:rsid w:val="000A24A5"/>
    <w:rsid w:val="000A3D58"/>
    <w:rsid w:val="000A3FE3"/>
    <w:rsid w:val="000A47B0"/>
    <w:rsid w:val="000A4851"/>
    <w:rsid w:val="000A49BB"/>
    <w:rsid w:val="000A4F22"/>
    <w:rsid w:val="000A5674"/>
    <w:rsid w:val="000A585B"/>
    <w:rsid w:val="000A5A46"/>
    <w:rsid w:val="000A7299"/>
    <w:rsid w:val="000A752E"/>
    <w:rsid w:val="000B0E04"/>
    <w:rsid w:val="000B1DB5"/>
    <w:rsid w:val="000B268D"/>
    <w:rsid w:val="000B291B"/>
    <w:rsid w:val="000B2EB9"/>
    <w:rsid w:val="000B456C"/>
    <w:rsid w:val="000B45B9"/>
    <w:rsid w:val="000B47CE"/>
    <w:rsid w:val="000B4B56"/>
    <w:rsid w:val="000B4C62"/>
    <w:rsid w:val="000B5283"/>
    <w:rsid w:val="000B541D"/>
    <w:rsid w:val="000B54C1"/>
    <w:rsid w:val="000B5553"/>
    <w:rsid w:val="000B5FE8"/>
    <w:rsid w:val="000B666E"/>
    <w:rsid w:val="000B67B6"/>
    <w:rsid w:val="000C03E8"/>
    <w:rsid w:val="000C0A43"/>
    <w:rsid w:val="000C0CB1"/>
    <w:rsid w:val="000C1411"/>
    <w:rsid w:val="000C1771"/>
    <w:rsid w:val="000C1946"/>
    <w:rsid w:val="000C1ADE"/>
    <w:rsid w:val="000C1C38"/>
    <w:rsid w:val="000C1E8C"/>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332"/>
    <w:rsid w:val="000D2834"/>
    <w:rsid w:val="000D2CAC"/>
    <w:rsid w:val="000D34C8"/>
    <w:rsid w:val="000D34FD"/>
    <w:rsid w:val="000D3BE5"/>
    <w:rsid w:val="000D3C37"/>
    <w:rsid w:val="000D453A"/>
    <w:rsid w:val="000D4AFA"/>
    <w:rsid w:val="000D5EA6"/>
    <w:rsid w:val="000D5F00"/>
    <w:rsid w:val="000D6BE0"/>
    <w:rsid w:val="000D6C9F"/>
    <w:rsid w:val="000D6E3B"/>
    <w:rsid w:val="000D6F30"/>
    <w:rsid w:val="000D74E4"/>
    <w:rsid w:val="000D7C9D"/>
    <w:rsid w:val="000D7CE0"/>
    <w:rsid w:val="000E272C"/>
    <w:rsid w:val="000E2785"/>
    <w:rsid w:val="000E27BB"/>
    <w:rsid w:val="000E3153"/>
    <w:rsid w:val="000E3484"/>
    <w:rsid w:val="000E386F"/>
    <w:rsid w:val="000E4051"/>
    <w:rsid w:val="000E4139"/>
    <w:rsid w:val="000E4765"/>
    <w:rsid w:val="000E5B7E"/>
    <w:rsid w:val="000E5EF7"/>
    <w:rsid w:val="000E5FF9"/>
    <w:rsid w:val="000E6AE1"/>
    <w:rsid w:val="000E7142"/>
    <w:rsid w:val="000E7632"/>
    <w:rsid w:val="000E7737"/>
    <w:rsid w:val="000E7739"/>
    <w:rsid w:val="000E77EE"/>
    <w:rsid w:val="000F1604"/>
    <w:rsid w:val="000F1AEC"/>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6E85"/>
    <w:rsid w:val="000F729C"/>
    <w:rsid w:val="000F7C2E"/>
    <w:rsid w:val="000F7D4B"/>
    <w:rsid w:val="000F7E40"/>
    <w:rsid w:val="001002BC"/>
    <w:rsid w:val="001002E2"/>
    <w:rsid w:val="0010118C"/>
    <w:rsid w:val="0010125E"/>
    <w:rsid w:val="001015F8"/>
    <w:rsid w:val="00101967"/>
    <w:rsid w:val="00103251"/>
    <w:rsid w:val="001033A1"/>
    <w:rsid w:val="00103509"/>
    <w:rsid w:val="0010393D"/>
    <w:rsid w:val="00103EBD"/>
    <w:rsid w:val="00104699"/>
    <w:rsid w:val="00104973"/>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15B"/>
    <w:rsid w:val="001164F4"/>
    <w:rsid w:val="001168F8"/>
    <w:rsid w:val="00116F14"/>
    <w:rsid w:val="001176FF"/>
    <w:rsid w:val="0012153F"/>
    <w:rsid w:val="0012159D"/>
    <w:rsid w:val="00121804"/>
    <w:rsid w:val="00121EC9"/>
    <w:rsid w:val="001224FE"/>
    <w:rsid w:val="001231D3"/>
    <w:rsid w:val="001232A7"/>
    <w:rsid w:val="00123DFF"/>
    <w:rsid w:val="00123F7C"/>
    <w:rsid w:val="0012419E"/>
    <w:rsid w:val="001248EF"/>
    <w:rsid w:val="001249E4"/>
    <w:rsid w:val="00124AC0"/>
    <w:rsid w:val="00124DC8"/>
    <w:rsid w:val="00124FC4"/>
    <w:rsid w:val="001253AB"/>
    <w:rsid w:val="0012574C"/>
    <w:rsid w:val="001259B8"/>
    <w:rsid w:val="001264B9"/>
    <w:rsid w:val="0012693E"/>
    <w:rsid w:val="00126A3A"/>
    <w:rsid w:val="00127060"/>
    <w:rsid w:val="00127B83"/>
    <w:rsid w:val="00131C2D"/>
    <w:rsid w:val="0013202C"/>
    <w:rsid w:val="00132704"/>
    <w:rsid w:val="00132CBF"/>
    <w:rsid w:val="0013329F"/>
    <w:rsid w:val="00133707"/>
    <w:rsid w:val="00133742"/>
    <w:rsid w:val="00133B70"/>
    <w:rsid w:val="00133E97"/>
    <w:rsid w:val="00133F06"/>
    <w:rsid w:val="001350F7"/>
    <w:rsid w:val="00135769"/>
    <w:rsid w:val="00135BE9"/>
    <w:rsid w:val="00135E5C"/>
    <w:rsid w:val="00136762"/>
    <w:rsid w:val="00136E33"/>
    <w:rsid w:val="0013773D"/>
    <w:rsid w:val="0014042F"/>
    <w:rsid w:val="00140693"/>
    <w:rsid w:val="00140D7A"/>
    <w:rsid w:val="0014189C"/>
    <w:rsid w:val="00141D28"/>
    <w:rsid w:val="00141DFE"/>
    <w:rsid w:val="00142185"/>
    <w:rsid w:val="001422E2"/>
    <w:rsid w:val="001433BC"/>
    <w:rsid w:val="00143872"/>
    <w:rsid w:val="00143A85"/>
    <w:rsid w:val="001441A3"/>
    <w:rsid w:val="00144649"/>
    <w:rsid w:val="00145022"/>
    <w:rsid w:val="00145662"/>
    <w:rsid w:val="00145B3E"/>
    <w:rsid w:val="00145C6D"/>
    <w:rsid w:val="001460FC"/>
    <w:rsid w:val="00146151"/>
    <w:rsid w:val="00146326"/>
    <w:rsid w:val="00147032"/>
    <w:rsid w:val="00147EA7"/>
    <w:rsid w:val="00151820"/>
    <w:rsid w:val="00151B2F"/>
    <w:rsid w:val="00151CC7"/>
    <w:rsid w:val="001524DC"/>
    <w:rsid w:val="001525E5"/>
    <w:rsid w:val="00153859"/>
    <w:rsid w:val="00153915"/>
    <w:rsid w:val="001539F0"/>
    <w:rsid w:val="00154BBA"/>
    <w:rsid w:val="00155B95"/>
    <w:rsid w:val="00156853"/>
    <w:rsid w:val="00157432"/>
    <w:rsid w:val="00160A10"/>
    <w:rsid w:val="00161185"/>
    <w:rsid w:val="001620BA"/>
    <w:rsid w:val="0016218F"/>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A36"/>
    <w:rsid w:val="00174C4F"/>
    <w:rsid w:val="00174F57"/>
    <w:rsid w:val="00175078"/>
    <w:rsid w:val="00175159"/>
    <w:rsid w:val="001755DC"/>
    <w:rsid w:val="001756D3"/>
    <w:rsid w:val="00176AA6"/>
    <w:rsid w:val="00177063"/>
    <w:rsid w:val="00177FD4"/>
    <w:rsid w:val="001803BF"/>
    <w:rsid w:val="00180A47"/>
    <w:rsid w:val="001827B7"/>
    <w:rsid w:val="001827EF"/>
    <w:rsid w:val="00182982"/>
    <w:rsid w:val="001829BC"/>
    <w:rsid w:val="00182D68"/>
    <w:rsid w:val="00183011"/>
    <w:rsid w:val="00183031"/>
    <w:rsid w:val="00183468"/>
    <w:rsid w:val="0018353E"/>
    <w:rsid w:val="0018397E"/>
    <w:rsid w:val="00183FB7"/>
    <w:rsid w:val="00184466"/>
    <w:rsid w:val="00184DBF"/>
    <w:rsid w:val="001852A8"/>
    <w:rsid w:val="00185620"/>
    <w:rsid w:val="0018620A"/>
    <w:rsid w:val="00186EB0"/>
    <w:rsid w:val="00187121"/>
    <w:rsid w:val="00187243"/>
    <w:rsid w:val="001873E1"/>
    <w:rsid w:val="00187C29"/>
    <w:rsid w:val="00190782"/>
    <w:rsid w:val="00190942"/>
    <w:rsid w:val="001909A7"/>
    <w:rsid w:val="001909C3"/>
    <w:rsid w:val="00190A9B"/>
    <w:rsid w:val="00191459"/>
    <w:rsid w:val="00191603"/>
    <w:rsid w:val="0019173E"/>
    <w:rsid w:val="0019174E"/>
    <w:rsid w:val="0019196B"/>
    <w:rsid w:val="001923D5"/>
    <w:rsid w:val="00192991"/>
    <w:rsid w:val="00193470"/>
    <w:rsid w:val="00193B94"/>
    <w:rsid w:val="001940A7"/>
    <w:rsid w:val="0019441C"/>
    <w:rsid w:val="00194BB1"/>
    <w:rsid w:val="00194BC6"/>
    <w:rsid w:val="00194E26"/>
    <w:rsid w:val="00195070"/>
    <w:rsid w:val="00195245"/>
    <w:rsid w:val="0019526D"/>
    <w:rsid w:val="0019553F"/>
    <w:rsid w:val="001956BE"/>
    <w:rsid w:val="001958A4"/>
    <w:rsid w:val="00195CD6"/>
    <w:rsid w:val="0019602C"/>
    <w:rsid w:val="00196108"/>
    <w:rsid w:val="001969F2"/>
    <w:rsid w:val="00196CD6"/>
    <w:rsid w:val="0019756A"/>
    <w:rsid w:val="00197D85"/>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5D1"/>
    <w:rsid w:val="001B06A6"/>
    <w:rsid w:val="001B1040"/>
    <w:rsid w:val="001B13BF"/>
    <w:rsid w:val="001B16F5"/>
    <w:rsid w:val="001B1C1F"/>
    <w:rsid w:val="001B219B"/>
    <w:rsid w:val="001B2703"/>
    <w:rsid w:val="001B3DCD"/>
    <w:rsid w:val="001B45B9"/>
    <w:rsid w:val="001B46B2"/>
    <w:rsid w:val="001B4725"/>
    <w:rsid w:val="001B48B2"/>
    <w:rsid w:val="001B49DA"/>
    <w:rsid w:val="001B4CA8"/>
    <w:rsid w:val="001B4DDE"/>
    <w:rsid w:val="001B572D"/>
    <w:rsid w:val="001B576E"/>
    <w:rsid w:val="001B5B10"/>
    <w:rsid w:val="001B6025"/>
    <w:rsid w:val="001B6D58"/>
    <w:rsid w:val="001B6FA7"/>
    <w:rsid w:val="001B7A15"/>
    <w:rsid w:val="001B7B69"/>
    <w:rsid w:val="001B7DC1"/>
    <w:rsid w:val="001C08DB"/>
    <w:rsid w:val="001C0A87"/>
    <w:rsid w:val="001C0D19"/>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3DA3"/>
    <w:rsid w:val="001D4AB6"/>
    <w:rsid w:val="001D4AD3"/>
    <w:rsid w:val="001D5281"/>
    <w:rsid w:val="001D5F52"/>
    <w:rsid w:val="001D670B"/>
    <w:rsid w:val="001E17E3"/>
    <w:rsid w:val="001E2052"/>
    <w:rsid w:val="001E2492"/>
    <w:rsid w:val="001E257C"/>
    <w:rsid w:val="001E27D4"/>
    <w:rsid w:val="001E286C"/>
    <w:rsid w:val="001E2F34"/>
    <w:rsid w:val="001E35EE"/>
    <w:rsid w:val="001E4B2C"/>
    <w:rsid w:val="001E507F"/>
    <w:rsid w:val="001E56C2"/>
    <w:rsid w:val="001E59FB"/>
    <w:rsid w:val="001E5D56"/>
    <w:rsid w:val="001E7F0E"/>
    <w:rsid w:val="001E7F81"/>
    <w:rsid w:val="001F0482"/>
    <w:rsid w:val="001F0FD1"/>
    <w:rsid w:val="001F1526"/>
    <w:rsid w:val="001F19D1"/>
    <w:rsid w:val="001F1CB9"/>
    <w:rsid w:val="001F1F18"/>
    <w:rsid w:val="001F2F92"/>
    <w:rsid w:val="001F5DA1"/>
    <w:rsid w:val="001F612E"/>
    <w:rsid w:val="001F6A92"/>
    <w:rsid w:val="001F77E8"/>
    <w:rsid w:val="00201A0C"/>
    <w:rsid w:val="00201B0F"/>
    <w:rsid w:val="0020255A"/>
    <w:rsid w:val="00202624"/>
    <w:rsid w:val="00202800"/>
    <w:rsid w:val="00202D33"/>
    <w:rsid w:val="00202E58"/>
    <w:rsid w:val="00202F99"/>
    <w:rsid w:val="00203C85"/>
    <w:rsid w:val="002043A5"/>
    <w:rsid w:val="0020449A"/>
    <w:rsid w:val="00204E9B"/>
    <w:rsid w:val="00205298"/>
    <w:rsid w:val="002055C0"/>
    <w:rsid w:val="0020569E"/>
    <w:rsid w:val="00206698"/>
    <w:rsid w:val="00206736"/>
    <w:rsid w:val="00206C88"/>
    <w:rsid w:val="00210B9C"/>
    <w:rsid w:val="00211185"/>
    <w:rsid w:val="00211A94"/>
    <w:rsid w:val="002120B2"/>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0EE"/>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06E"/>
    <w:rsid w:val="00231135"/>
    <w:rsid w:val="00231B0B"/>
    <w:rsid w:val="00232555"/>
    <w:rsid w:val="00233538"/>
    <w:rsid w:val="00234248"/>
    <w:rsid w:val="0023449F"/>
    <w:rsid w:val="002344F5"/>
    <w:rsid w:val="0023454D"/>
    <w:rsid w:val="00234679"/>
    <w:rsid w:val="002359FC"/>
    <w:rsid w:val="002361C8"/>
    <w:rsid w:val="00236690"/>
    <w:rsid w:val="0023669D"/>
    <w:rsid w:val="00237181"/>
    <w:rsid w:val="00237EAE"/>
    <w:rsid w:val="00237FA2"/>
    <w:rsid w:val="002403D5"/>
    <w:rsid w:val="00240C1F"/>
    <w:rsid w:val="00240F55"/>
    <w:rsid w:val="00240F67"/>
    <w:rsid w:val="00241144"/>
    <w:rsid w:val="00242510"/>
    <w:rsid w:val="00242F79"/>
    <w:rsid w:val="0024415B"/>
    <w:rsid w:val="0024442D"/>
    <w:rsid w:val="00245565"/>
    <w:rsid w:val="002458C1"/>
    <w:rsid w:val="00245E62"/>
    <w:rsid w:val="002460D0"/>
    <w:rsid w:val="00246357"/>
    <w:rsid w:val="00246ADD"/>
    <w:rsid w:val="00247422"/>
    <w:rsid w:val="00247BA2"/>
    <w:rsid w:val="00247C0D"/>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D7F"/>
    <w:rsid w:val="00256E23"/>
    <w:rsid w:val="00257246"/>
    <w:rsid w:val="00257438"/>
    <w:rsid w:val="002574B4"/>
    <w:rsid w:val="0026119C"/>
    <w:rsid w:val="00261AFE"/>
    <w:rsid w:val="0026212A"/>
    <w:rsid w:val="002621D7"/>
    <w:rsid w:val="00262996"/>
    <w:rsid w:val="00263044"/>
    <w:rsid w:val="00263759"/>
    <w:rsid w:val="002638BD"/>
    <w:rsid w:val="00263C33"/>
    <w:rsid w:val="00263D79"/>
    <w:rsid w:val="0026470B"/>
    <w:rsid w:val="0026486D"/>
    <w:rsid w:val="00264C4B"/>
    <w:rsid w:val="00264ED0"/>
    <w:rsid w:val="00265346"/>
    <w:rsid w:val="00265D22"/>
    <w:rsid w:val="00265DE4"/>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CD0"/>
    <w:rsid w:val="00277196"/>
    <w:rsid w:val="002775ED"/>
    <w:rsid w:val="002778AB"/>
    <w:rsid w:val="00280033"/>
    <w:rsid w:val="002802A5"/>
    <w:rsid w:val="00280CFB"/>
    <w:rsid w:val="00280D24"/>
    <w:rsid w:val="002815C4"/>
    <w:rsid w:val="00281BCB"/>
    <w:rsid w:val="00281C76"/>
    <w:rsid w:val="0028316D"/>
    <w:rsid w:val="00283296"/>
    <w:rsid w:val="00283807"/>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79C"/>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30"/>
    <w:rsid w:val="002A4868"/>
    <w:rsid w:val="002A4A05"/>
    <w:rsid w:val="002A4EB3"/>
    <w:rsid w:val="002A51D9"/>
    <w:rsid w:val="002A525A"/>
    <w:rsid w:val="002A5968"/>
    <w:rsid w:val="002A5CAB"/>
    <w:rsid w:val="002A5D40"/>
    <w:rsid w:val="002A622E"/>
    <w:rsid w:val="002A6424"/>
    <w:rsid w:val="002A64E7"/>
    <w:rsid w:val="002A7106"/>
    <w:rsid w:val="002A7748"/>
    <w:rsid w:val="002A7ED3"/>
    <w:rsid w:val="002A7FB1"/>
    <w:rsid w:val="002A7FC9"/>
    <w:rsid w:val="002B011B"/>
    <w:rsid w:val="002B05E9"/>
    <w:rsid w:val="002B139C"/>
    <w:rsid w:val="002B1881"/>
    <w:rsid w:val="002B1ECC"/>
    <w:rsid w:val="002B1F61"/>
    <w:rsid w:val="002B2070"/>
    <w:rsid w:val="002B2906"/>
    <w:rsid w:val="002B2C66"/>
    <w:rsid w:val="002B34E3"/>
    <w:rsid w:val="002B4967"/>
    <w:rsid w:val="002B51B6"/>
    <w:rsid w:val="002B5AEE"/>
    <w:rsid w:val="002B6177"/>
    <w:rsid w:val="002B6216"/>
    <w:rsid w:val="002B650C"/>
    <w:rsid w:val="002B68E6"/>
    <w:rsid w:val="002B6985"/>
    <w:rsid w:val="002B6D7A"/>
    <w:rsid w:val="002B7B56"/>
    <w:rsid w:val="002C02BA"/>
    <w:rsid w:val="002C0301"/>
    <w:rsid w:val="002C0326"/>
    <w:rsid w:val="002C0A9F"/>
    <w:rsid w:val="002C1AB3"/>
    <w:rsid w:val="002C1BB7"/>
    <w:rsid w:val="002C1FB3"/>
    <w:rsid w:val="002C2665"/>
    <w:rsid w:val="002C28E1"/>
    <w:rsid w:val="002C327D"/>
    <w:rsid w:val="002C3890"/>
    <w:rsid w:val="002C3AD9"/>
    <w:rsid w:val="002C3C7E"/>
    <w:rsid w:val="002C4286"/>
    <w:rsid w:val="002C43FC"/>
    <w:rsid w:val="002C45C3"/>
    <w:rsid w:val="002C483B"/>
    <w:rsid w:val="002C4DFE"/>
    <w:rsid w:val="002C519E"/>
    <w:rsid w:val="002C5D5E"/>
    <w:rsid w:val="002C6116"/>
    <w:rsid w:val="002C643D"/>
    <w:rsid w:val="002C66B8"/>
    <w:rsid w:val="002C70E7"/>
    <w:rsid w:val="002C7E9A"/>
    <w:rsid w:val="002D0032"/>
    <w:rsid w:val="002D0C27"/>
    <w:rsid w:val="002D0E88"/>
    <w:rsid w:val="002D0EA7"/>
    <w:rsid w:val="002D0F31"/>
    <w:rsid w:val="002D1593"/>
    <w:rsid w:val="002D1A1E"/>
    <w:rsid w:val="002D22A6"/>
    <w:rsid w:val="002D2804"/>
    <w:rsid w:val="002D2819"/>
    <w:rsid w:val="002D2CD6"/>
    <w:rsid w:val="002D2F81"/>
    <w:rsid w:val="002D3237"/>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D7FCF"/>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16B"/>
    <w:rsid w:val="002E469E"/>
    <w:rsid w:val="002E4C01"/>
    <w:rsid w:val="002E4D50"/>
    <w:rsid w:val="002E55FF"/>
    <w:rsid w:val="002E587E"/>
    <w:rsid w:val="002E672A"/>
    <w:rsid w:val="002E6853"/>
    <w:rsid w:val="002E74AB"/>
    <w:rsid w:val="002E7EC1"/>
    <w:rsid w:val="002E7EE5"/>
    <w:rsid w:val="002F0323"/>
    <w:rsid w:val="002F0DFB"/>
    <w:rsid w:val="002F109C"/>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76A"/>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69D"/>
    <w:rsid w:val="00315D77"/>
    <w:rsid w:val="00315D8E"/>
    <w:rsid w:val="00316002"/>
    <w:rsid w:val="00316A44"/>
    <w:rsid w:val="00316CDE"/>
    <w:rsid w:val="0031752D"/>
    <w:rsid w:val="00317543"/>
    <w:rsid w:val="00317709"/>
    <w:rsid w:val="00320688"/>
    <w:rsid w:val="00320B75"/>
    <w:rsid w:val="00321DB7"/>
    <w:rsid w:val="00321E7A"/>
    <w:rsid w:val="00322132"/>
    <w:rsid w:val="0032226D"/>
    <w:rsid w:val="003235E6"/>
    <w:rsid w:val="00324038"/>
    <w:rsid w:val="00324389"/>
    <w:rsid w:val="00324951"/>
    <w:rsid w:val="003249F6"/>
    <w:rsid w:val="00324B2F"/>
    <w:rsid w:val="00325FCC"/>
    <w:rsid w:val="00326106"/>
    <w:rsid w:val="00326805"/>
    <w:rsid w:val="003269B7"/>
    <w:rsid w:val="00326C0E"/>
    <w:rsid w:val="003272A3"/>
    <w:rsid w:val="003272E4"/>
    <w:rsid w:val="00327B71"/>
    <w:rsid w:val="0033145B"/>
    <w:rsid w:val="00331461"/>
    <w:rsid w:val="003316A8"/>
    <w:rsid w:val="00331C80"/>
    <w:rsid w:val="00331CC9"/>
    <w:rsid w:val="003320D7"/>
    <w:rsid w:val="00332265"/>
    <w:rsid w:val="00332862"/>
    <w:rsid w:val="00332B6F"/>
    <w:rsid w:val="00332D52"/>
    <w:rsid w:val="00333337"/>
    <w:rsid w:val="00333A28"/>
    <w:rsid w:val="00333A90"/>
    <w:rsid w:val="00333B6C"/>
    <w:rsid w:val="00334927"/>
    <w:rsid w:val="003360AD"/>
    <w:rsid w:val="0033631D"/>
    <w:rsid w:val="003369C7"/>
    <w:rsid w:val="0033731F"/>
    <w:rsid w:val="003373A3"/>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02A"/>
    <w:rsid w:val="0035455F"/>
    <w:rsid w:val="003548B7"/>
    <w:rsid w:val="00355D75"/>
    <w:rsid w:val="00355D8F"/>
    <w:rsid w:val="00356A73"/>
    <w:rsid w:val="00356FF0"/>
    <w:rsid w:val="003577EF"/>
    <w:rsid w:val="00357A60"/>
    <w:rsid w:val="00360304"/>
    <w:rsid w:val="00360A78"/>
    <w:rsid w:val="00361750"/>
    <w:rsid w:val="00362CFE"/>
    <w:rsid w:val="00363666"/>
    <w:rsid w:val="00363894"/>
    <w:rsid w:val="00363B2A"/>
    <w:rsid w:val="00363BF1"/>
    <w:rsid w:val="00365FC7"/>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1FF3"/>
    <w:rsid w:val="00372842"/>
    <w:rsid w:val="003729A5"/>
    <w:rsid w:val="00372C89"/>
    <w:rsid w:val="00372E9A"/>
    <w:rsid w:val="003735B9"/>
    <w:rsid w:val="00373634"/>
    <w:rsid w:val="00374677"/>
    <w:rsid w:val="0037510C"/>
    <w:rsid w:val="00375850"/>
    <w:rsid w:val="0037632F"/>
    <w:rsid w:val="00377B26"/>
    <w:rsid w:val="00381014"/>
    <w:rsid w:val="00381253"/>
    <w:rsid w:val="00381604"/>
    <w:rsid w:val="00381C68"/>
    <w:rsid w:val="00381F60"/>
    <w:rsid w:val="00382F0F"/>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1D16"/>
    <w:rsid w:val="003922DE"/>
    <w:rsid w:val="00392E35"/>
    <w:rsid w:val="00393247"/>
    <w:rsid w:val="00393551"/>
    <w:rsid w:val="00393816"/>
    <w:rsid w:val="00393F12"/>
    <w:rsid w:val="00393FCD"/>
    <w:rsid w:val="003944EA"/>
    <w:rsid w:val="00394639"/>
    <w:rsid w:val="00394DF6"/>
    <w:rsid w:val="00394EC6"/>
    <w:rsid w:val="00395518"/>
    <w:rsid w:val="00395A02"/>
    <w:rsid w:val="00395CD9"/>
    <w:rsid w:val="003962E6"/>
    <w:rsid w:val="00396831"/>
    <w:rsid w:val="003971A1"/>
    <w:rsid w:val="003A0F6B"/>
    <w:rsid w:val="003A12B6"/>
    <w:rsid w:val="003A13E8"/>
    <w:rsid w:val="003A1C44"/>
    <w:rsid w:val="003A20D5"/>
    <w:rsid w:val="003A24CC"/>
    <w:rsid w:val="003A2512"/>
    <w:rsid w:val="003A2A53"/>
    <w:rsid w:val="003A2EE8"/>
    <w:rsid w:val="003A373C"/>
    <w:rsid w:val="003A5378"/>
    <w:rsid w:val="003A553C"/>
    <w:rsid w:val="003A56DF"/>
    <w:rsid w:val="003A6008"/>
    <w:rsid w:val="003A608C"/>
    <w:rsid w:val="003A703F"/>
    <w:rsid w:val="003A7E2B"/>
    <w:rsid w:val="003A7E40"/>
    <w:rsid w:val="003B0336"/>
    <w:rsid w:val="003B0A3A"/>
    <w:rsid w:val="003B0D79"/>
    <w:rsid w:val="003B2930"/>
    <w:rsid w:val="003B31A7"/>
    <w:rsid w:val="003B344A"/>
    <w:rsid w:val="003B3DFD"/>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9C"/>
    <w:rsid w:val="003C4EBE"/>
    <w:rsid w:val="003C62EC"/>
    <w:rsid w:val="003C685A"/>
    <w:rsid w:val="003C6E9C"/>
    <w:rsid w:val="003C746F"/>
    <w:rsid w:val="003C7570"/>
    <w:rsid w:val="003C76E6"/>
    <w:rsid w:val="003C7E59"/>
    <w:rsid w:val="003C7F12"/>
    <w:rsid w:val="003D03D6"/>
    <w:rsid w:val="003D075D"/>
    <w:rsid w:val="003D0EE2"/>
    <w:rsid w:val="003D116D"/>
    <w:rsid w:val="003D1283"/>
    <w:rsid w:val="003D14C8"/>
    <w:rsid w:val="003D1517"/>
    <w:rsid w:val="003D16C5"/>
    <w:rsid w:val="003D1CA9"/>
    <w:rsid w:val="003D21C1"/>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2ED"/>
    <w:rsid w:val="003E0947"/>
    <w:rsid w:val="003E0E96"/>
    <w:rsid w:val="003E192C"/>
    <w:rsid w:val="003E20F7"/>
    <w:rsid w:val="003E24DE"/>
    <w:rsid w:val="003E3368"/>
    <w:rsid w:val="003E336A"/>
    <w:rsid w:val="003E3E2F"/>
    <w:rsid w:val="003E4048"/>
    <w:rsid w:val="003E4CE5"/>
    <w:rsid w:val="003E5A73"/>
    <w:rsid w:val="003E604C"/>
    <w:rsid w:val="003E60DA"/>
    <w:rsid w:val="003E6E00"/>
    <w:rsid w:val="003E7111"/>
    <w:rsid w:val="003E7940"/>
    <w:rsid w:val="003F01BD"/>
    <w:rsid w:val="003F0486"/>
    <w:rsid w:val="003F048E"/>
    <w:rsid w:val="003F0512"/>
    <w:rsid w:val="003F09FA"/>
    <w:rsid w:val="003F0AFF"/>
    <w:rsid w:val="003F1AA2"/>
    <w:rsid w:val="003F23CE"/>
    <w:rsid w:val="003F26DC"/>
    <w:rsid w:val="003F34DA"/>
    <w:rsid w:val="003F42FF"/>
    <w:rsid w:val="003F4B48"/>
    <w:rsid w:val="003F4DDC"/>
    <w:rsid w:val="003F56B8"/>
    <w:rsid w:val="003F5F1A"/>
    <w:rsid w:val="003F6327"/>
    <w:rsid w:val="003F6C1C"/>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B19"/>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04BA"/>
    <w:rsid w:val="004210C0"/>
    <w:rsid w:val="004211DD"/>
    <w:rsid w:val="00421762"/>
    <w:rsid w:val="00421AD8"/>
    <w:rsid w:val="00421B0F"/>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C6C"/>
    <w:rsid w:val="00427FA8"/>
    <w:rsid w:val="0043009D"/>
    <w:rsid w:val="0043026B"/>
    <w:rsid w:val="00430299"/>
    <w:rsid w:val="004306D4"/>
    <w:rsid w:val="00431A2A"/>
    <w:rsid w:val="00431C34"/>
    <w:rsid w:val="00432ECA"/>
    <w:rsid w:val="0043554E"/>
    <w:rsid w:val="004355D4"/>
    <w:rsid w:val="004357B1"/>
    <w:rsid w:val="00435821"/>
    <w:rsid w:val="0043583E"/>
    <w:rsid w:val="00436CCE"/>
    <w:rsid w:val="00436EAD"/>
    <w:rsid w:val="004375E1"/>
    <w:rsid w:val="00437A2F"/>
    <w:rsid w:val="00440262"/>
    <w:rsid w:val="004406BF"/>
    <w:rsid w:val="00440814"/>
    <w:rsid w:val="00440D16"/>
    <w:rsid w:val="0044105D"/>
    <w:rsid w:val="004412DE"/>
    <w:rsid w:val="00441424"/>
    <w:rsid w:val="00442731"/>
    <w:rsid w:val="00442C12"/>
    <w:rsid w:val="0044325D"/>
    <w:rsid w:val="004434DF"/>
    <w:rsid w:val="0044354B"/>
    <w:rsid w:val="0044437C"/>
    <w:rsid w:val="0044493E"/>
    <w:rsid w:val="00444A1F"/>
    <w:rsid w:val="00444FC6"/>
    <w:rsid w:val="00445874"/>
    <w:rsid w:val="00445C38"/>
    <w:rsid w:val="0044686B"/>
    <w:rsid w:val="00446EC9"/>
    <w:rsid w:val="004475F7"/>
    <w:rsid w:val="0045057B"/>
    <w:rsid w:val="0045069B"/>
    <w:rsid w:val="00450B22"/>
    <w:rsid w:val="00451709"/>
    <w:rsid w:val="004518FA"/>
    <w:rsid w:val="00451A02"/>
    <w:rsid w:val="0045277C"/>
    <w:rsid w:val="00452D2F"/>
    <w:rsid w:val="00453507"/>
    <w:rsid w:val="00453592"/>
    <w:rsid w:val="00454147"/>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034"/>
    <w:rsid w:val="00465A21"/>
    <w:rsid w:val="00465DE5"/>
    <w:rsid w:val="00465E49"/>
    <w:rsid w:val="00466978"/>
    <w:rsid w:val="00466ABA"/>
    <w:rsid w:val="004672E3"/>
    <w:rsid w:val="0046775D"/>
    <w:rsid w:val="00467823"/>
    <w:rsid w:val="004705FA"/>
    <w:rsid w:val="004708AC"/>
    <w:rsid w:val="00471387"/>
    <w:rsid w:val="0047145F"/>
    <w:rsid w:val="0047146C"/>
    <w:rsid w:val="0047149F"/>
    <w:rsid w:val="004718EC"/>
    <w:rsid w:val="00471963"/>
    <w:rsid w:val="004724B8"/>
    <w:rsid w:val="004728FB"/>
    <w:rsid w:val="00472914"/>
    <w:rsid w:val="004729AD"/>
    <w:rsid w:val="00472C5C"/>
    <w:rsid w:val="00472CA7"/>
    <w:rsid w:val="00472CEC"/>
    <w:rsid w:val="00473308"/>
    <w:rsid w:val="0047377C"/>
    <w:rsid w:val="0047471E"/>
    <w:rsid w:val="004749DA"/>
    <w:rsid w:val="00474A82"/>
    <w:rsid w:val="00474DEF"/>
    <w:rsid w:val="00474F71"/>
    <w:rsid w:val="00475729"/>
    <w:rsid w:val="004758E7"/>
    <w:rsid w:val="00475BAB"/>
    <w:rsid w:val="004764C6"/>
    <w:rsid w:val="00476A76"/>
    <w:rsid w:val="00476AC1"/>
    <w:rsid w:val="00476F97"/>
    <w:rsid w:val="00477247"/>
    <w:rsid w:val="004776BB"/>
    <w:rsid w:val="004776FB"/>
    <w:rsid w:val="0048055E"/>
    <w:rsid w:val="00480C2B"/>
    <w:rsid w:val="00480DC5"/>
    <w:rsid w:val="00480FD9"/>
    <w:rsid w:val="0048131D"/>
    <w:rsid w:val="00481D0B"/>
    <w:rsid w:val="004824A9"/>
    <w:rsid w:val="00482F94"/>
    <w:rsid w:val="00483091"/>
    <w:rsid w:val="00483140"/>
    <w:rsid w:val="00483984"/>
    <w:rsid w:val="00483B0B"/>
    <w:rsid w:val="00483BC7"/>
    <w:rsid w:val="00483CF0"/>
    <w:rsid w:val="00484D4D"/>
    <w:rsid w:val="004853F1"/>
    <w:rsid w:val="00486516"/>
    <w:rsid w:val="0048664F"/>
    <w:rsid w:val="004868AD"/>
    <w:rsid w:val="00486BCE"/>
    <w:rsid w:val="00486D00"/>
    <w:rsid w:val="00487FE1"/>
    <w:rsid w:val="00490707"/>
    <w:rsid w:val="00490815"/>
    <w:rsid w:val="0049117E"/>
    <w:rsid w:val="00492503"/>
    <w:rsid w:val="004925C8"/>
    <w:rsid w:val="00492AF9"/>
    <w:rsid w:val="00492B76"/>
    <w:rsid w:val="0049333E"/>
    <w:rsid w:val="004940ED"/>
    <w:rsid w:val="0049418F"/>
    <w:rsid w:val="0049570D"/>
    <w:rsid w:val="00495C48"/>
    <w:rsid w:val="00495DC6"/>
    <w:rsid w:val="00496CCE"/>
    <w:rsid w:val="004978C1"/>
    <w:rsid w:val="00497AAD"/>
    <w:rsid w:val="00497BD7"/>
    <w:rsid w:val="00497D1A"/>
    <w:rsid w:val="004A00C9"/>
    <w:rsid w:val="004A0365"/>
    <w:rsid w:val="004A03D0"/>
    <w:rsid w:val="004A1049"/>
    <w:rsid w:val="004A151D"/>
    <w:rsid w:val="004A1AFA"/>
    <w:rsid w:val="004A1EA7"/>
    <w:rsid w:val="004A26F5"/>
    <w:rsid w:val="004A2EF8"/>
    <w:rsid w:val="004A3A21"/>
    <w:rsid w:val="004A407A"/>
    <w:rsid w:val="004A4BA5"/>
    <w:rsid w:val="004A4E3B"/>
    <w:rsid w:val="004A6110"/>
    <w:rsid w:val="004A61B8"/>
    <w:rsid w:val="004A6415"/>
    <w:rsid w:val="004A64F9"/>
    <w:rsid w:val="004A65F4"/>
    <w:rsid w:val="004A6D2C"/>
    <w:rsid w:val="004B026C"/>
    <w:rsid w:val="004B0271"/>
    <w:rsid w:val="004B0BE8"/>
    <w:rsid w:val="004B0E4A"/>
    <w:rsid w:val="004B10EC"/>
    <w:rsid w:val="004B18F4"/>
    <w:rsid w:val="004B1A98"/>
    <w:rsid w:val="004B2463"/>
    <w:rsid w:val="004B2E9D"/>
    <w:rsid w:val="004B305F"/>
    <w:rsid w:val="004B34C4"/>
    <w:rsid w:val="004B34E8"/>
    <w:rsid w:val="004B3981"/>
    <w:rsid w:val="004B3A03"/>
    <w:rsid w:val="004B419F"/>
    <w:rsid w:val="004B4EA9"/>
    <w:rsid w:val="004B5C96"/>
    <w:rsid w:val="004B6124"/>
    <w:rsid w:val="004B6D7E"/>
    <w:rsid w:val="004B6E50"/>
    <w:rsid w:val="004B728F"/>
    <w:rsid w:val="004B7317"/>
    <w:rsid w:val="004B75B2"/>
    <w:rsid w:val="004B75C6"/>
    <w:rsid w:val="004C02C5"/>
    <w:rsid w:val="004C0BF0"/>
    <w:rsid w:val="004C0CEA"/>
    <w:rsid w:val="004C0D40"/>
    <w:rsid w:val="004C114F"/>
    <w:rsid w:val="004C11A9"/>
    <w:rsid w:val="004C27CF"/>
    <w:rsid w:val="004C2CA7"/>
    <w:rsid w:val="004C3592"/>
    <w:rsid w:val="004C45C8"/>
    <w:rsid w:val="004C46F7"/>
    <w:rsid w:val="004C4F8F"/>
    <w:rsid w:val="004C5F4B"/>
    <w:rsid w:val="004C612E"/>
    <w:rsid w:val="004C61B8"/>
    <w:rsid w:val="004C6639"/>
    <w:rsid w:val="004C69FE"/>
    <w:rsid w:val="004C6C0A"/>
    <w:rsid w:val="004C6C6D"/>
    <w:rsid w:val="004C77FF"/>
    <w:rsid w:val="004C7C53"/>
    <w:rsid w:val="004C7DB0"/>
    <w:rsid w:val="004C7FFC"/>
    <w:rsid w:val="004D0223"/>
    <w:rsid w:val="004D0C4C"/>
    <w:rsid w:val="004D16A3"/>
    <w:rsid w:val="004D1934"/>
    <w:rsid w:val="004D1E41"/>
    <w:rsid w:val="004D2326"/>
    <w:rsid w:val="004D2E11"/>
    <w:rsid w:val="004D3108"/>
    <w:rsid w:val="004D329C"/>
    <w:rsid w:val="004D34D1"/>
    <w:rsid w:val="004D38C7"/>
    <w:rsid w:val="004D4523"/>
    <w:rsid w:val="004D4990"/>
    <w:rsid w:val="004D51D6"/>
    <w:rsid w:val="004D6BF2"/>
    <w:rsid w:val="004D6F29"/>
    <w:rsid w:val="004D7BF5"/>
    <w:rsid w:val="004D7E84"/>
    <w:rsid w:val="004D7F9C"/>
    <w:rsid w:val="004E03F4"/>
    <w:rsid w:val="004E068F"/>
    <w:rsid w:val="004E06E2"/>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BD"/>
    <w:rsid w:val="004E777F"/>
    <w:rsid w:val="004F07F2"/>
    <w:rsid w:val="004F07F9"/>
    <w:rsid w:val="004F0A50"/>
    <w:rsid w:val="004F0D1F"/>
    <w:rsid w:val="004F0E82"/>
    <w:rsid w:val="004F14E7"/>
    <w:rsid w:val="004F1523"/>
    <w:rsid w:val="004F1847"/>
    <w:rsid w:val="004F1CE1"/>
    <w:rsid w:val="004F1F6B"/>
    <w:rsid w:val="004F1F9E"/>
    <w:rsid w:val="004F2CB6"/>
    <w:rsid w:val="004F2E6E"/>
    <w:rsid w:val="004F3015"/>
    <w:rsid w:val="004F313F"/>
    <w:rsid w:val="004F367F"/>
    <w:rsid w:val="004F3EEF"/>
    <w:rsid w:val="004F43A7"/>
    <w:rsid w:val="004F447B"/>
    <w:rsid w:val="004F497C"/>
    <w:rsid w:val="004F4C6B"/>
    <w:rsid w:val="004F4E6F"/>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2EB4"/>
    <w:rsid w:val="0050434C"/>
    <w:rsid w:val="0050537D"/>
    <w:rsid w:val="0050591C"/>
    <w:rsid w:val="005059BD"/>
    <w:rsid w:val="005060AE"/>
    <w:rsid w:val="0050790B"/>
    <w:rsid w:val="00507FDF"/>
    <w:rsid w:val="0051037C"/>
    <w:rsid w:val="0051050F"/>
    <w:rsid w:val="0051058B"/>
    <w:rsid w:val="00510DDC"/>
    <w:rsid w:val="00510FD9"/>
    <w:rsid w:val="00511166"/>
    <w:rsid w:val="00512217"/>
    <w:rsid w:val="00512459"/>
    <w:rsid w:val="005131A2"/>
    <w:rsid w:val="00513231"/>
    <w:rsid w:val="005137E4"/>
    <w:rsid w:val="00513BB9"/>
    <w:rsid w:val="0051440E"/>
    <w:rsid w:val="00514480"/>
    <w:rsid w:val="005148CD"/>
    <w:rsid w:val="00515180"/>
    <w:rsid w:val="00515973"/>
    <w:rsid w:val="00516069"/>
    <w:rsid w:val="00516FEA"/>
    <w:rsid w:val="00517A09"/>
    <w:rsid w:val="00517AC8"/>
    <w:rsid w:val="00517C3E"/>
    <w:rsid w:val="005207D8"/>
    <w:rsid w:val="0052091D"/>
    <w:rsid w:val="005212F4"/>
    <w:rsid w:val="00521908"/>
    <w:rsid w:val="00521D9A"/>
    <w:rsid w:val="005224BC"/>
    <w:rsid w:val="00522928"/>
    <w:rsid w:val="00522FF1"/>
    <w:rsid w:val="00523946"/>
    <w:rsid w:val="0052397A"/>
    <w:rsid w:val="00523C2D"/>
    <w:rsid w:val="005256D6"/>
    <w:rsid w:val="00525AD8"/>
    <w:rsid w:val="00526429"/>
    <w:rsid w:val="005266C1"/>
    <w:rsid w:val="005267F4"/>
    <w:rsid w:val="005269D3"/>
    <w:rsid w:val="00527317"/>
    <w:rsid w:val="00527ED6"/>
    <w:rsid w:val="0053024F"/>
    <w:rsid w:val="00530CB7"/>
    <w:rsid w:val="00531064"/>
    <w:rsid w:val="005312CB"/>
    <w:rsid w:val="005313B2"/>
    <w:rsid w:val="00531911"/>
    <w:rsid w:val="00531E92"/>
    <w:rsid w:val="005324D7"/>
    <w:rsid w:val="005326F0"/>
    <w:rsid w:val="00532764"/>
    <w:rsid w:val="00532AA5"/>
    <w:rsid w:val="00532C5F"/>
    <w:rsid w:val="0053315E"/>
    <w:rsid w:val="00533233"/>
    <w:rsid w:val="005335A2"/>
    <w:rsid w:val="00533D13"/>
    <w:rsid w:val="00533DEC"/>
    <w:rsid w:val="00534026"/>
    <w:rsid w:val="00534D55"/>
    <w:rsid w:val="00535B53"/>
    <w:rsid w:val="00536865"/>
    <w:rsid w:val="005369A4"/>
    <w:rsid w:val="00536B03"/>
    <w:rsid w:val="00536B5F"/>
    <w:rsid w:val="00537456"/>
    <w:rsid w:val="0053790C"/>
    <w:rsid w:val="00537B3D"/>
    <w:rsid w:val="00540401"/>
    <w:rsid w:val="005405B2"/>
    <w:rsid w:val="0054076A"/>
    <w:rsid w:val="00540D47"/>
    <w:rsid w:val="00540EE7"/>
    <w:rsid w:val="00541A22"/>
    <w:rsid w:val="00541E18"/>
    <w:rsid w:val="00541EAD"/>
    <w:rsid w:val="005424C2"/>
    <w:rsid w:val="005426B2"/>
    <w:rsid w:val="00543519"/>
    <w:rsid w:val="00543640"/>
    <w:rsid w:val="005438BA"/>
    <w:rsid w:val="00543942"/>
    <w:rsid w:val="0054398E"/>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361"/>
    <w:rsid w:val="00556441"/>
    <w:rsid w:val="00556494"/>
    <w:rsid w:val="00557031"/>
    <w:rsid w:val="00557F87"/>
    <w:rsid w:val="00560235"/>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0E0"/>
    <w:rsid w:val="00576B5C"/>
    <w:rsid w:val="00576F3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5C9D"/>
    <w:rsid w:val="00596CFA"/>
    <w:rsid w:val="00596EC6"/>
    <w:rsid w:val="005971A9"/>
    <w:rsid w:val="005975CE"/>
    <w:rsid w:val="005A0088"/>
    <w:rsid w:val="005A04F6"/>
    <w:rsid w:val="005A14F0"/>
    <w:rsid w:val="005A1861"/>
    <w:rsid w:val="005A1960"/>
    <w:rsid w:val="005A1A31"/>
    <w:rsid w:val="005A1AF9"/>
    <w:rsid w:val="005A361D"/>
    <w:rsid w:val="005A36C2"/>
    <w:rsid w:val="005A3719"/>
    <w:rsid w:val="005A3DD7"/>
    <w:rsid w:val="005A40FA"/>
    <w:rsid w:val="005A4C20"/>
    <w:rsid w:val="005A4F48"/>
    <w:rsid w:val="005A548A"/>
    <w:rsid w:val="005A54F1"/>
    <w:rsid w:val="005A57B8"/>
    <w:rsid w:val="005A5DDE"/>
    <w:rsid w:val="005A6387"/>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49CD"/>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B57"/>
    <w:rsid w:val="005C5F77"/>
    <w:rsid w:val="005C6AAB"/>
    <w:rsid w:val="005C6D5D"/>
    <w:rsid w:val="005C6FD0"/>
    <w:rsid w:val="005C77FF"/>
    <w:rsid w:val="005D01C3"/>
    <w:rsid w:val="005D05FF"/>
    <w:rsid w:val="005D0FB4"/>
    <w:rsid w:val="005D1176"/>
    <w:rsid w:val="005D1747"/>
    <w:rsid w:val="005D2027"/>
    <w:rsid w:val="005D266D"/>
    <w:rsid w:val="005D306D"/>
    <w:rsid w:val="005D3327"/>
    <w:rsid w:val="005D3EDA"/>
    <w:rsid w:val="005D4854"/>
    <w:rsid w:val="005D5BCF"/>
    <w:rsid w:val="005D65BF"/>
    <w:rsid w:val="005D68D6"/>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23A"/>
    <w:rsid w:val="005E642A"/>
    <w:rsid w:val="005E65A7"/>
    <w:rsid w:val="005E721E"/>
    <w:rsid w:val="005F0857"/>
    <w:rsid w:val="005F1470"/>
    <w:rsid w:val="005F15A9"/>
    <w:rsid w:val="005F1C3F"/>
    <w:rsid w:val="005F2807"/>
    <w:rsid w:val="005F28D2"/>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0BC1"/>
    <w:rsid w:val="006110CC"/>
    <w:rsid w:val="00611B59"/>
    <w:rsid w:val="00611FBA"/>
    <w:rsid w:val="00612098"/>
    <w:rsid w:val="006124BC"/>
    <w:rsid w:val="0061272A"/>
    <w:rsid w:val="006130D0"/>
    <w:rsid w:val="006130F9"/>
    <w:rsid w:val="0061355D"/>
    <w:rsid w:val="006139F7"/>
    <w:rsid w:val="00613AA2"/>
    <w:rsid w:val="00613C8A"/>
    <w:rsid w:val="00613E5F"/>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9ED"/>
    <w:rsid w:val="00622B22"/>
    <w:rsid w:val="00622F67"/>
    <w:rsid w:val="00623571"/>
    <w:rsid w:val="00623A5E"/>
    <w:rsid w:val="00625008"/>
    <w:rsid w:val="0062548B"/>
    <w:rsid w:val="006259AE"/>
    <w:rsid w:val="00626133"/>
    <w:rsid w:val="00626710"/>
    <w:rsid w:val="00626763"/>
    <w:rsid w:val="00626930"/>
    <w:rsid w:val="006269C5"/>
    <w:rsid w:val="00626AD3"/>
    <w:rsid w:val="00626BAC"/>
    <w:rsid w:val="006271C3"/>
    <w:rsid w:val="00627B14"/>
    <w:rsid w:val="0063001E"/>
    <w:rsid w:val="00630023"/>
    <w:rsid w:val="006308EE"/>
    <w:rsid w:val="00630C70"/>
    <w:rsid w:val="00630D67"/>
    <w:rsid w:val="00631005"/>
    <w:rsid w:val="00631C79"/>
    <w:rsid w:val="00632674"/>
    <w:rsid w:val="00632727"/>
    <w:rsid w:val="0063283D"/>
    <w:rsid w:val="00633769"/>
    <w:rsid w:val="00633FE3"/>
    <w:rsid w:val="00634276"/>
    <w:rsid w:val="00634570"/>
    <w:rsid w:val="0063487C"/>
    <w:rsid w:val="00635B73"/>
    <w:rsid w:val="00635BB7"/>
    <w:rsid w:val="00636CC7"/>
    <w:rsid w:val="00637F27"/>
    <w:rsid w:val="006405EC"/>
    <w:rsid w:val="00640A4D"/>
    <w:rsid w:val="00641065"/>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17A"/>
    <w:rsid w:val="006576BA"/>
    <w:rsid w:val="006600BF"/>
    <w:rsid w:val="0066061A"/>
    <w:rsid w:val="00660AF7"/>
    <w:rsid w:val="00660D3E"/>
    <w:rsid w:val="00661691"/>
    <w:rsid w:val="00662D3D"/>
    <w:rsid w:val="00662F1F"/>
    <w:rsid w:val="00663D15"/>
    <w:rsid w:val="00665030"/>
    <w:rsid w:val="00665670"/>
    <w:rsid w:val="006659EA"/>
    <w:rsid w:val="006661E8"/>
    <w:rsid w:val="00666424"/>
    <w:rsid w:val="0066676C"/>
    <w:rsid w:val="00666D58"/>
    <w:rsid w:val="006673B9"/>
    <w:rsid w:val="0066790C"/>
    <w:rsid w:val="00667FF0"/>
    <w:rsid w:val="00670C7C"/>
    <w:rsid w:val="00671480"/>
    <w:rsid w:val="006717E7"/>
    <w:rsid w:val="00671FD5"/>
    <w:rsid w:val="006720BC"/>
    <w:rsid w:val="00672906"/>
    <w:rsid w:val="00672C73"/>
    <w:rsid w:val="00672D57"/>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0E57"/>
    <w:rsid w:val="006811F3"/>
    <w:rsid w:val="00681240"/>
    <w:rsid w:val="006828FC"/>
    <w:rsid w:val="00683068"/>
    <w:rsid w:val="00683DAD"/>
    <w:rsid w:val="00684592"/>
    <w:rsid w:val="00684963"/>
    <w:rsid w:val="00684D81"/>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A14"/>
    <w:rsid w:val="00693B73"/>
    <w:rsid w:val="006945A1"/>
    <w:rsid w:val="00694A53"/>
    <w:rsid w:val="006952DE"/>
    <w:rsid w:val="00695985"/>
    <w:rsid w:val="00695BDC"/>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A7E87"/>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8C6"/>
    <w:rsid w:val="006D2F72"/>
    <w:rsid w:val="006D375F"/>
    <w:rsid w:val="006D43C1"/>
    <w:rsid w:val="006D4B1C"/>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839"/>
    <w:rsid w:val="00705E93"/>
    <w:rsid w:val="007062AF"/>
    <w:rsid w:val="007069AE"/>
    <w:rsid w:val="007069D4"/>
    <w:rsid w:val="00706C89"/>
    <w:rsid w:val="00707967"/>
    <w:rsid w:val="00710257"/>
    <w:rsid w:val="00710587"/>
    <w:rsid w:val="007107D5"/>
    <w:rsid w:val="007119DC"/>
    <w:rsid w:val="00711CC7"/>
    <w:rsid w:val="00711FF9"/>
    <w:rsid w:val="0071230A"/>
    <w:rsid w:val="007123A7"/>
    <w:rsid w:val="0071294A"/>
    <w:rsid w:val="00712960"/>
    <w:rsid w:val="00712BDD"/>
    <w:rsid w:val="00712E1E"/>
    <w:rsid w:val="00712F37"/>
    <w:rsid w:val="00713A6B"/>
    <w:rsid w:val="00713CB5"/>
    <w:rsid w:val="0071463B"/>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383"/>
    <w:rsid w:val="0072388C"/>
    <w:rsid w:val="0072454E"/>
    <w:rsid w:val="007249D1"/>
    <w:rsid w:val="00724FE4"/>
    <w:rsid w:val="00725829"/>
    <w:rsid w:val="00725D6A"/>
    <w:rsid w:val="007263A2"/>
    <w:rsid w:val="007266B9"/>
    <w:rsid w:val="0072698D"/>
    <w:rsid w:val="00727351"/>
    <w:rsid w:val="00727AC5"/>
    <w:rsid w:val="00727C65"/>
    <w:rsid w:val="007300F0"/>
    <w:rsid w:val="00730904"/>
    <w:rsid w:val="00731EDE"/>
    <w:rsid w:val="0073245C"/>
    <w:rsid w:val="00732493"/>
    <w:rsid w:val="0073266E"/>
    <w:rsid w:val="00732FE9"/>
    <w:rsid w:val="00733772"/>
    <w:rsid w:val="00733A43"/>
    <w:rsid w:val="00733AE4"/>
    <w:rsid w:val="00733D5F"/>
    <w:rsid w:val="00734932"/>
    <w:rsid w:val="00735D53"/>
    <w:rsid w:val="0073618A"/>
    <w:rsid w:val="007364A3"/>
    <w:rsid w:val="00736740"/>
    <w:rsid w:val="00736BA4"/>
    <w:rsid w:val="00737450"/>
    <w:rsid w:val="007378FD"/>
    <w:rsid w:val="007403FE"/>
    <w:rsid w:val="007413EB"/>
    <w:rsid w:val="007413FB"/>
    <w:rsid w:val="00742D32"/>
    <w:rsid w:val="00742E9B"/>
    <w:rsid w:val="007444E6"/>
    <w:rsid w:val="0074592C"/>
    <w:rsid w:val="00745C91"/>
    <w:rsid w:val="00746098"/>
    <w:rsid w:val="00746D58"/>
    <w:rsid w:val="00747578"/>
    <w:rsid w:val="007478AA"/>
    <w:rsid w:val="0075053C"/>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901"/>
    <w:rsid w:val="00763AED"/>
    <w:rsid w:val="00763F8B"/>
    <w:rsid w:val="007640F3"/>
    <w:rsid w:val="0076417E"/>
    <w:rsid w:val="0076497F"/>
    <w:rsid w:val="00764C8A"/>
    <w:rsid w:val="007660EC"/>
    <w:rsid w:val="007662C7"/>
    <w:rsid w:val="00766862"/>
    <w:rsid w:val="007675DD"/>
    <w:rsid w:val="007679FD"/>
    <w:rsid w:val="007702BF"/>
    <w:rsid w:val="007705F0"/>
    <w:rsid w:val="0077093F"/>
    <w:rsid w:val="00770A7B"/>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1D28"/>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331"/>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E5C"/>
    <w:rsid w:val="007A2FCB"/>
    <w:rsid w:val="007A3520"/>
    <w:rsid w:val="007A3604"/>
    <w:rsid w:val="007A3878"/>
    <w:rsid w:val="007A3D85"/>
    <w:rsid w:val="007A3E0D"/>
    <w:rsid w:val="007A4014"/>
    <w:rsid w:val="007A436D"/>
    <w:rsid w:val="007A54F6"/>
    <w:rsid w:val="007A55FE"/>
    <w:rsid w:val="007A582C"/>
    <w:rsid w:val="007A5950"/>
    <w:rsid w:val="007A6D91"/>
    <w:rsid w:val="007A7618"/>
    <w:rsid w:val="007B00C9"/>
    <w:rsid w:val="007B02C7"/>
    <w:rsid w:val="007B0306"/>
    <w:rsid w:val="007B08E4"/>
    <w:rsid w:val="007B0D86"/>
    <w:rsid w:val="007B0FB1"/>
    <w:rsid w:val="007B28C3"/>
    <w:rsid w:val="007B3A8E"/>
    <w:rsid w:val="007B3C9B"/>
    <w:rsid w:val="007B4106"/>
    <w:rsid w:val="007B4271"/>
    <w:rsid w:val="007B497D"/>
    <w:rsid w:val="007B4EE9"/>
    <w:rsid w:val="007B5234"/>
    <w:rsid w:val="007B54C7"/>
    <w:rsid w:val="007B5637"/>
    <w:rsid w:val="007B5DC5"/>
    <w:rsid w:val="007B5F32"/>
    <w:rsid w:val="007B63FC"/>
    <w:rsid w:val="007B6708"/>
    <w:rsid w:val="007B6B6E"/>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6FA"/>
    <w:rsid w:val="007C47FF"/>
    <w:rsid w:val="007C56E6"/>
    <w:rsid w:val="007C596B"/>
    <w:rsid w:val="007C60A8"/>
    <w:rsid w:val="007C660F"/>
    <w:rsid w:val="007C6664"/>
    <w:rsid w:val="007C66FF"/>
    <w:rsid w:val="007C69AE"/>
    <w:rsid w:val="007C6FE9"/>
    <w:rsid w:val="007C7688"/>
    <w:rsid w:val="007C76E3"/>
    <w:rsid w:val="007C76F3"/>
    <w:rsid w:val="007C7DD9"/>
    <w:rsid w:val="007C7E5A"/>
    <w:rsid w:val="007D03BC"/>
    <w:rsid w:val="007D06F0"/>
    <w:rsid w:val="007D0DC9"/>
    <w:rsid w:val="007D0ECD"/>
    <w:rsid w:val="007D2882"/>
    <w:rsid w:val="007D296C"/>
    <w:rsid w:val="007D2C31"/>
    <w:rsid w:val="007D2CDA"/>
    <w:rsid w:val="007D2E50"/>
    <w:rsid w:val="007D3D74"/>
    <w:rsid w:val="007D445F"/>
    <w:rsid w:val="007D4DED"/>
    <w:rsid w:val="007D5BA2"/>
    <w:rsid w:val="007D5ED3"/>
    <w:rsid w:val="007D682F"/>
    <w:rsid w:val="007D6FB9"/>
    <w:rsid w:val="007D7211"/>
    <w:rsid w:val="007E0595"/>
    <w:rsid w:val="007E0A63"/>
    <w:rsid w:val="007E0C63"/>
    <w:rsid w:val="007E0E05"/>
    <w:rsid w:val="007E0ECC"/>
    <w:rsid w:val="007E0F5D"/>
    <w:rsid w:val="007E23A1"/>
    <w:rsid w:val="007E259F"/>
    <w:rsid w:val="007E347E"/>
    <w:rsid w:val="007E41A4"/>
    <w:rsid w:val="007E43E3"/>
    <w:rsid w:val="007E54B8"/>
    <w:rsid w:val="007E5D12"/>
    <w:rsid w:val="007E6420"/>
    <w:rsid w:val="007E677F"/>
    <w:rsid w:val="007E6B25"/>
    <w:rsid w:val="007E6E06"/>
    <w:rsid w:val="007E6F4A"/>
    <w:rsid w:val="007E70CF"/>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B3"/>
    <w:rsid w:val="007F78E8"/>
    <w:rsid w:val="007F7A2B"/>
    <w:rsid w:val="007F7DA1"/>
    <w:rsid w:val="007F7F8F"/>
    <w:rsid w:val="00800509"/>
    <w:rsid w:val="0080078E"/>
    <w:rsid w:val="00800B7F"/>
    <w:rsid w:val="008012B1"/>
    <w:rsid w:val="00801D63"/>
    <w:rsid w:val="00802E2D"/>
    <w:rsid w:val="0080348B"/>
    <w:rsid w:val="00803965"/>
    <w:rsid w:val="00803D82"/>
    <w:rsid w:val="00803D98"/>
    <w:rsid w:val="008052CE"/>
    <w:rsid w:val="00805373"/>
    <w:rsid w:val="008058D0"/>
    <w:rsid w:val="008066C9"/>
    <w:rsid w:val="00806A4C"/>
    <w:rsid w:val="0080705B"/>
    <w:rsid w:val="0080723C"/>
    <w:rsid w:val="00807F71"/>
    <w:rsid w:val="0081000F"/>
    <w:rsid w:val="00810C08"/>
    <w:rsid w:val="00812657"/>
    <w:rsid w:val="00812A1A"/>
    <w:rsid w:val="00812DFF"/>
    <w:rsid w:val="0081362F"/>
    <w:rsid w:val="0081383A"/>
    <w:rsid w:val="0081497F"/>
    <w:rsid w:val="00814B90"/>
    <w:rsid w:val="00814FC7"/>
    <w:rsid w:val="0081660C"/>
    <w:rsid w:val="00817195"/>
    <w:rsid w:val="00817416"/>
    <w:rsid w:val="00817658"/>
    <w:rsid w:val="008202B3"/>
    <w:rsid w:val="008206AE"/>
    <w:rsid w:val="00821271"/>
    <w:rsid w:val="00821306"/>
    <w:rsid w:val="008213D9"/>
    <w:rsid w:val="008216CE"/>
    <w:rsid w:val="008218AE"/>
    <w:rsid w:val="00821D85"/>
    <w:rsid w:val="00821E47"/>
    <w:rsid w:val="008220F6"/>
    <w:rsid w:val="00822456"/>
    <w:rsid w:val="0082288E"/>
    <w:rsid w:val="00823819"/>
    <w:rsid w:val="00823A9E"/>
    <w:rsid w:val="00823C4B"/>
    <w:rsid w:val="0082427D"/>
    <w:rsid w:val="00825441"/>
    <w:rsid w:val="00826855"/>
    <w:rsid w:val="00830052"/>
    <w:rsid w:val="008300D0"/>
    <w:rsid w:val="008308D8"/>
    <w:rsid w:val="008320D2"/>
    <w:rsid w:val="008321CE"/>
    <w:rsid w:val="0083257C"/>
    <w:rsid w:val="0083261B"/>
    <w:rsid w:val="00832744"/>
    <w:rsid w:val="0083287E"/>
    <w:rsid w:val="00832B44"/>
    <w:rsid w:val="00832EC9"/>
    <w:rsid w:val="00833307"/>
    <w:rsid w:val="00833583"/>
    <w:rsid w:val="00833B5B"/>
    <w:rsid w:val="00833E9A"/>
    <w:rsid w:val="00834B8F"/>
    <w:rsid w:val="00834FEF"/>
    <w:rsid w:val="00836323"/>
    <w:rsid w:val="00837D3D"/>
    <w:rsid w:val="00837E9B"/>
    <w:rsid w:val="008404AA"/>
    <w:rsid w:val="008406D7"/>
    <w:rsid w:val="0084074F"/>
    <w:rsid w:val="008407BA"/>
    <w:rsid w:val="00840AA3"/>
    <w:rsid w:val="00840AAC"/>
    <w:rsid w:val="0084101C"/>
    <w:rsid w:val="0084181B"/>
    <w:rsid w:val="0084195E"/>
    <w:rsid w:val="00841F29"/>
    <w:rsid w:val="008425CC"/>
    <w:rsid w:val="00842DC2"/>
    <w:rsid w:val="0084357B"/>
    <w:rsid w:val="008437E2"/>
    <w:rsid w:val="00844A79"/>
    <w:rsid w:val="008458EB"/>
    <w:rsid w:val="008465B4"/>
    <w:rsid w:val="00846D25"/>
    <w:rsid w:val="00850013"/>
    <w:rsid w:val="008500DD"/>
    <w:rsid w:val="00850A0A"/>
    <w:rsid w:val="00850A94"/>
    <w:rsid w:val="00851E96"/>
    <w:rsid w:val="00851F1C"/>
    <w:rsid w:val="00852FA5"/>
    <w:rsid w:val="00853F7D"/>
    <w:rsid w:val="008541D3"/>
    <w:rsid w:val="0085517F"/>
    <w:rsid w:val="0085562D"/>
    <w:rsid w:val="00855A78"/>
    <w:rsid w:val="00856154"/>
    <w:rsid w:val="00856286"/>
    <w:rsid w:val="0085657E"/>
    <w:rsid w:val="00856F0E"/>
    <w:rsid w:val="00857221"/>
    <w:rsid w:val="008573AF"/>
    <w:rsid w:val="008576B0"/>
    <w:rsid w:val="00860296"/>
    <w:rsid w:val="008602E3"/>
    <w:rsid w:val="00860DA4"/>
    <w:rsid w:val="00861146"/>
    <w:rsid w:val="00861948"/>
    <w:rsid w:val="008619A9"/>
    <w:rsid w:val="00862011"/>
    <w:rsid w:val="00862800"/>
    <w:rsid w:val="00862A15"/>
    <w:rsid w:val="00862CC9"/>
    <w:rsid w:val="00862D8E"/>
    <w:rsid w:val="00862EF2"/>
    <w:rsid w:val="00865234"/>
    <w:rsid w:val="00865388"/>
    <w:rsid w:val="0086598A"/>
    <w:rsid w:val="00865C3D"/>
    <w:rsid w:val="00865F4C"/>
    <w:rsid w:val="00866453"/>
    <w:rsid w:val="0086707F"/>
    <w:rsid w:val="00867501"/>
    <w:rsid w:val="00867D8E"/>
    <w:rsid w:val="00867E6B"/>
    <w:rsid w:val="008700C0"/>
    <w:rsid w:val="008704E0"/>
    <w:rsid w:val="0087058B"/>
    <w:rsid w:val="0087099A"/>
    <w:rsid w:val="00870D79"/>
    <w:rsid w:val="008710AE"/>
    <w:rsid w:val="00871333"/>
    <w:rsid w:val="00871952"/>
    <w:rsid w:val="00872006"/>
    <w:rsid w:val="00872386"/>
    <w:rsid w:val="008726D7"/>
    <w:rsid w:val="00873128"/>
    <w:rsid w:val="008735BC"/>
    <w:rsid w:val="00873AAC"/>
    <w:rsid w:val="00873C61"/>
    <w:rsid w:val="00873DFD"/>
    <w:rsid w:val="008749BF"/>
    <w:rsid w:val="00875542"/>
    <w:rsid w:val="00875E14"/>
    <w:rsid w:val="00875E25"/>
    <w:rsid w:val="0087677E"/>
    <w:rsid w:val="0087712C"/>
    <w:rsid w:val="008776E7"/>
    <w:rsid w:val="00877746"/>
    <w:rsid w:val="00877C5D"/>
    <w:rsid w:val="00880354"/>
    <w:rsid w:val="0088093C"/>
    <w:rsid w:val="00880BC0"/>
    <w:rsid w:val="0088127A"/>
    <w:rsid w:val="00881D59"/>
    <w:rsid w:val="00881F94"/>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0CE"/>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6EE6"/>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5FAD"/>
    <w:rsid w:val="008B67E6"/>
    <w:rsid w:val="008B69B8"/>
    <w:rsid w:val="008B7042"/>
    <w:rsid w:val="008B7202"/>
    <w:rsid w:val="008B770C"/>
    <w:rsid w:val="008C0325"/>
    <w:rsid w:val="008C094A"/>
    <w:rsid w:val="008C1570"/>
    <w:rsid w:val="008C1792"/>
    <w:rsid w:val="008C17B2"/>
    <w:rsid w:val="008C1E3E"/>
    <w:rsid w:val="008C2059"/>
    <w:rsid w:val="008C21D0"/>
    <w:rsid w:val="008C24A3"/>
    <w:rsid w:val="008C2DBC"/>
    <w:rsid w:val="008C3651"/>
    <w:rsid w:val="008C3A4E"/>
    <w:rsid w:val="008C45F8"/>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1FD"/>
    <w:rsid w:val="008D3381"/>
    <w:rsid w:val="008D33FE"/>
    <w:rsid w:val="008D3B9F"/>
    <w:rsid w:val="008D3D02"/>
    <w:rsid w:val="008D3D5A"/>
    <w:rsid w:val="008D4226"/>
    <w:rsid w:val="008D4D7C"/>
    <w:rsid w:val="008D538F"/>
    <w:rsid w:val="008D53AB"/>
    <w:rsid w:val="008D5432"/>
    <w:rsid w:val="008D54C0"/>
    <w:rsid w:val="008D5558"/>
    <w:rsid w:val="008D5806"/>
    <w:rsid w:val="008D5B9F"/>
    <w:rsid w:val="008D5ED9"/>
    <w:rsid w:val="008D7247"/>
    <w:rsid w:val="008D7567"/>
    <w:rsid w:val="008D7948"/>
    <w:rsid w:val="008E02DA"/>
    <w:rsid w:val="008E0ED6"/>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3A67"/>
    <w:rsid w:val="008F4FE8"/>
    <w:rsid w:val="008F4FED"/>
    <w:rsid w:val="008F5D5A"/>
    <w:rsid w:val="008F6200"/>
    <w:rsid w:val="008F62F8"/>
    <w:rsid w:val="008F6893"/>
    <w:rsid w:val="008F7292"/>
    <w:rsid w:val="008F76C0"/>
    <w:rsid w:val="008F7EEB"/>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5D97"/>
    <w:rsid w:val="0091627F"/>
    <w:rsid w:val="00916E45"/>
    <w:rsid w:val="0092077A"/>
    <w:rsid w:val="00920DC0"/>
    <w:rsid w:val="009219F3"/>
    <w:rsid w:val="009221CB"/>
    <w:rsid w:val="00922320"/>
    <w:rsid w:val="00923643"/>
    <w:rsid w:val="00923E1A"/>
    <w:rsid w:val="009245CC"/>
    <w:rsid w:val="0092490A"/>
    <w:rsid w:val="00925A3E"/>
    <w:rsid w:val="00925EC7"/>
    <w:rsid w:val="009261DB"/>
    <w:rsid w:val="00926939"/>
    <w:rsid w:val="00926F4C"/>
    <w:rsid w:val="00927330"/>
    <w:rsid w:val="00927710"/>
    <w:rsid w:val="009302D1"/>
    <w:rsid w:val="009307CA"/>
    <w:rsid w:val="009312F9"/>
    <w:rsid w:val="00931445"/>
    <w:rsid w:val="00931AB8"/>
    <w:rsid w:val="00931C19"/>
    <w:rsid w:val="00931C63"/>
    <w:rsid w:val="00931D10"/>
    <w:rsid w:val="0093218A"/>
    <w:rsid w:val="00932ADB"/>
    <w:rsid w:val="0093386D"/>
    <w:rsid w:val="009340BD"/>
    <w:rsid w:val="00934C8E"/>
    <w:rsid w:val="00935194"/>
    <w:rsid w:val="00936EA5"/>
    <w:rsid w:val="00937114"/>
    <w:rsid w:val="009400F7"/>
    <w:rsid w:val="0094015D"/>
    <w:rsid w:val="00940916"/>
    <w:rsid w:val="009412B7"/>
    <w:rsid w:val="00941921"/>
    <w:rsid w:val="00941B13"/>
    <w:rsid w:val="0094215C"/>
    <w:rsid w:val="00942A3C"/>
    <w:rsid w:val="00942C18"/>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68E"/>
    <w:rsid w:val="00957380"/>
    <w:rsid w:val="00957409"/>
    <w:rsid w:val="00957499"/>
    <w:rsid w:val="009577BD"/>
    <w:rsid w:val="00957ED2"/>
    <w:rsid w:val="009604AE"/>
    <w:rsid w:val="009609AF"/>
    <w:rsid w:val="00960DE4"/>
    <w:rsid w:val="009610C7"/>
    <w:rsid w:val="00961164"/>
    <w:rsid w:val="00961867"/>
    <w:rsid w:val="00961A4F"/>
    <w:rsid w:val="0096215E"/>
    <w:rsid w:val="009625B7"/>
    <w:rsid w:val="00962FB8"/>
    <w:rsid w:val="00963183"/>
    <w:rsid w:val="0096373F"/>
    <w:rsid w:val="00964007"/>
    <w:rsid w:val="0096422A"/>
    <w:rsid w:val="00964283"/>
    <w:rsid w:val="009642A4"/>
    <w:rsid w:val="009643F4"/>
    <w:rsid w:val="009645A6"/>
    <w:rsid w:val="00964F5A"/>
    <w:rsid w:val="0096527F"/>
    <w:rsid w:val="009653ED"/>
    <w:rsid w:val="009664BD"/>
    <w:rsid w:val="00966A21"/>
    <w:rsid w:val="00966AD2"/>
    <w:rsid w:val="009702BC"/>
    <w:rsid w:val="00971415"/>
    <w:rsid w:val="009716D8"/>
    <w:rsid w:val="00971F54"/>
    <w:rsid w:val="00972057"/>
    <w:rsid w:val="0097227B"/>
    <w:rsid w:val="0097262E"/>
    <w:rsid w:val="0097293F"/>
    <w:rsid w:val="00973103"/>
    <w:rsid w:val="0097332D"/>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3D2C"/>
    <w:rsid w:val="009846BF"/>
    <w:rsid w:val="009851F5"/>
    <w:rsid w:val="0098534B"/>
    <w:rsid w:val="00986019"/>
    <w:rsid w:val="00986281"/>
    <w:rsid w:val="009866B5"/>
    <w:rsid w:val="00986FC9"/>
    <w:rsid w:val="0098764E"/>
    <w:rsid w:val="00987683"/>
    <w:rsid w:val="00987826"/>
    <w:rsid w:val="00987B4F"/>
    <w:rsid w:val="00987D58"/>
    <w:rsid w:val="0099034B"/>
    <w:rsid w:val="009906D4"/>
    <w:rsid w:val="00990A8E"/>
    <w:rsid w:val="00990EB7"/>
    <w:rsid w:val="00990F5F"/>
    <w:rsid w:val="009910E2"/>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97FE6"/>
    <w:rsid w:val="009A113D"/>
    <w:rsid w:val="009A1B16"/>
    <w:rsid w:val="009A1ECA"/>
    <w:rsid w:val="009A2BE9"/>
    <w:rsid w:val="009A2BF3"/>
    <w:rsid w:val="009A3157"/>
    <w:rsid w:val="009A3688"/>
    <w:rsid w:val="009A3713"/>
    <w:rsid w:val="009A3C3E"/>
    <w:rsid w:val="009A4153"/>
    <w:rsid w:val="009A4C2C"/>
    <w:rsid w:val="009A4F43"/>
    <w:rsid w:val="009A50AE"/>
    <w:rsid w:val="009A59B3"/>
    <w:rsid w:val="009A5FAE"/>
    <w:rsid w:val="009A6B3A"/>
    <w:rsid w:val="009A70A3"/>
    <w:rsid w:val="009A7C81"/>
    <w:rsid w:val="009A7E7C"/>
    <w:rsid w:val="009B05D2"/>
    <w:rsid w:val="009B09EB"/>
    <w:rsid w:val="009B152B"/>
    <w:rsid w:val="009B2731"/>
    <w:rsid w:val="009B2DCF"/>
    <w:rsid w:val="009B39D8"/>
    <w:rsid w:val="009B3B83"/>
    <w:rsid w:val="009B3D38"/>
    <w:rsid w:val="009B4368"/>
    <w:rsid w:val="009B4D4C"/>
    <w:rsid w:val="009B66F5"/>
    <w:rsid w:val="009B7505"/>
    <w:rsid w:val="009C0020"/>
    <w:rsid w:val="009C03F7"/>
    <w:rsid w:val="009C10DA"/>
    <w:rsid w:val="009C16B1"/>
    <w:rsid w:val="009C19FC"/>
    <w:rsid w:val="009C27F7"/>
    <w:rsid w:val="009C3BC4"/>
    <w:rsid w:val="009C3C93"/>
    <w:rsid w:val="009C3E97"/>
    <w:rsid w:val="009C4017"/>
    <w:rsid w:val="009C424E"/>
    <w:rsid w:val="009C428B"/>
    <w:rsid w:val="009C4708"/>
    <w:rsid w:val="009C4870"/>
    <w:rsid w:val="009C4C4E"/>
    <w:rsid w:val="009C4D37"/>
    <w:rsid w:val="009C567E"/>
    <w:rsid w:val="009C574C"/>
    <w:rsid w:val="009C5753"/>
    <w:rsid w:val="009C58E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0EE"/>
    <w:rsid w:val="009D5130"/>
    <w:rsid w:val="009D53D1"/>
    <w:rsid w:val="009D53FB"/>
    <w:rsid w:val="009D56A4"/>
    <w:rsid w:val="009D6081"/>
    <w:rsid w:val="009D678C"/>
    <w:rsid w:val="009D68FA"/>
    <w:rsid w:val="009D6B9A"/>
    <w:rsid w:val="009D6D30"/>
    <w:rsid w:val="009D7523"/>
    <w:rsid w:val="009D76B5"/>
    <w:rsid w:val="009D7AF1"/>
    <w:rsid w:val="009D7BC7"/>
    <w:rsid w:val="009D7C00"/>
    <w:rsid w:val="009D7FAC"/>
    <w:rsid w:val="009E0109"/>
    <w:rsid w:val="009E0342"/>
    <w:rsid w:val="009E08FB"/>
    <w:rsid w:val="009E098B"/>
    <w:rsid w:val="009E09AB"/>
    <w:rsid w:val="009E0D7D"/>
    <w:rsid w:val="009E0DAF"/>
    <w:rsid w:val="009E19BB"/>
    <w:rsid w:val="009E1C47"/>
    <w:rsid w:val="009E38D1"/>
    <w:rsid w:val="009E3DF1"/>
    <w:rsid w:val="009E4EF4"/>
    <w:rsid w:val="009E514A"/>
    <w:rsid w:val="009E5177"/>
    <w:rsid w:val="009E5701"/>
    <w:rsid w:val="009E5711"/>
    <w:rsid w:val="009E63DC"/>
    <w:rsid w:val="009E758E"/>
    <w:rsid w:val="009E7BFB"/>
    <w:rsid w:val="009E7D6B"/>
    <w:rsid w:val="009E7E81"/>
    <w:rsid w:val="009F020A"/>
    <w:rsid w:val="009F05AD"/>
    <w:rsid w:val="009F05C4"/>
    <w:rsid w:val="009F0659"/>
    <w:rsid w:val="009F0C7A"/>
    <w:rsid w:val="009F1109"/>
    <w:rsid w:val="009F143E"/>
    <w:rsid w:val="009F1DE8"/>
    <w:rsid w:val="009F2186"/>
    <w:rsid w:val="009F227C"/>
    <w:rsid w:val="009F230C"/>
    <w:rsid w:val="009F28DC"/>
    <w:rsid w:val="009F2EDB"/>
    <w:rsid w:val="009F33DC"/>
    <w:rsid w:val="009F4550"/>
    <w:rsid w:val="009F56C0"/>
    <w:rsid w:val="009F5C76"/>
    <w:rsid w:val="009F5F18"/>
    <w:rsid w:val="009F6CFE"/>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4CB"/>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231"/>
    <w:rsid w:val="00A254AB"/>
    <w:rsid w:val="00A259F2"/>
    <w:rsid w:val="00A266CC"/>
    <w:rsid w:val="00A26DB4"/>
    <w:rsid w:val="00A27425"/>
    <w:rsid w:val="00A27FDE"/>
    <w:rsid w:val="00A30173"/>
    <w:rsid w:val="00A3023E"/>
    <w:rsid w:val="00A30265"/>
    <w:rsid w:val="00A305C5"/>
    <w:rsid w:val="00A30919"/>
    <w:rsid w:val="00A31F05"/>
    <w:rsid w:val="00A31FD2"/>
    <w:rsid w:val="00A3404D"/>
    <w:rsid w:val="00A341AB"/>
    <w:rsid w:val="00A34290"/>
    <w:rsid w:val="00A355F9"/>
    <w:rsid w:val="00A357D3"/>
    <w:rsid w:val="00A35AA9"/>
    <w:rsid w:val="00A35E3A"/>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5513"/>
    <w:rsid w:val="00A4665D"/>
    <w:rsid w:val="00A46859"/>
    <w:rsid w:val="00A4692C"/>
    <w:rsid w:val="00A46D39"/>
    <w:rsid w:val="00A47019"/>
    <w:rsid w:val="00A472B8"/>
    <w:rsid w:val="00A5004A"/>
    <w:rsid w:val="00A5017C"/>
    <w:rsid w:val="00A502D6"/>
    <w:rsid w:val="00A502F5"/>
    <w:rsid w:val="00A504F4"/>
    <w:rsid w:val="00A507C4"/>
    <w:rsid w:val="00A508AA"/>
    <w:rsid w:val="00A50EE7"/>
    <w:rsid w:val="00A512F8"/>
    <w:rsid w:val="00A526CE"/>
    <w:rsid w:val="00A54909"/>
    <w:rsid w:val="00A54DC0"/>
    <w:rsid w:val="00A550C9"/>
    <w:rsid w:val="00A55228"/>
    <w:rsid w:val="00A55410"/>
    <w:rsid w:val="00A55A04"/>
    <w:rsid w:val="00A55AFD"/>
    <w:rsid w:val="00A564DE"/>
    <w:rsid w:val="00A6054E"/>
    <w:rsid w:val="00A60799"/>
    <w:rsid w:val="00A6170B"/>
    <w:rsid w:val="00A61991"/>
    <w:rsid w:val="00A61B7F"/>
    <w:rsid w:val="00A61B91"/>
    <w:rsid w:val="00A61C3A"/>
    <w:rsid w:val="00A620E8"/>
    <w:rsid w:val="00A63335"/>
    <w:rsid w:val="00A634EB"/>
    <w:rsid w:val="00A63685"/>
    <w:rsid w:val="00A636FA"/>
    <w:rsid w:val="00A63EA5"/>
    <w:rsid w:val="00A64219"/>
    <w:rsid w:val="00A64545"/>
    <w:rsid w:val="00A645AC"/>
    <w:rsid w:val="00A64C79"/>
    <w:rsid w:val="00A65EFB"/>
    <w:rsid w:val="00A66E28"/>
    <w:rsid w:val="00A67429"/>
    <w:rsid w:val="00A677E7"/>
    <w:rsid w:val="00A67CE9"/>
    <w:rsid w:val="00A70590"/>
    <w:rsid w:val="00A7062E"/>
    <w:rsid w:val="00A70834"/>
    <w:rsid w:val="00A71542"/>
    <w:rsid w:val="00A7168C"/>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A14"/>
    <w:rsid w:val="00A80C54"/>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A70"/>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5493"/>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2BE"/>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036"/>
    <w:rsid w:val="00AC2D5F"/>
    <w:rsid w:val="00AC4094"/>
    <w:rsid w:val="00AC42B6"/>
    <w:rsid w:val="00AC4AB7"/>
    <w:rsid w:val="00AC51E0"/>
    <w:rsid w:val="00AC6D24"/>
    <w:rsid w:val="00AC6DFC"/>
    <w:rsid w:val="00AC6E18"/>
    <w:rsid w:val="00AC789D"/>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7D0"/>
    <w:rsid w:val="00AE1A42"/>
    <w:rsid w:val="00AE1C5C"/>
    <w:rsid w:val="00AE315E"/>
    <w:rsid w:val="00AE319F"/>
    <w:rsid w:val="00AE31D9"/>
    <w:rsid w:val="00AE3CF0"/>
    <w:rsid w:val="00AE4546"/>
    <w:rsid w:val="00AE6575"/>
    <w:rsid w:val="00AE6C2C"/>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881"/>
    <w:rsid w:val="00B00D91"/>
    <w:rsid w:val="00B00E46"/>
    <w:rsid w:val="00B00E84"/>
    <w:rsid w:val="00B01DD9"/>
    <w:rsid w:val="00B01F0E"/>
    <w:rsid w:val="00B0287A"/>
    <w:rsid w:val="00B038F1"/>
    <w:rsid w:val="00B03C1B"/>
    <w:rsid w:val="00B04678"/>
    <w:rsid w:val="00B047C9"/>
    <w:rsid w:val="00B04A04"/>
    <w:rsid w:val="00B04B78"/>
    <w:rsid w:val="00B04C37"/>
    <w:rsid w:val="00B04F00"/>
    <w:rsid w:val="00B05BA6"/>
    <w:rsid w:val="00B066FE"/>
    <w:rsid w:val="00B06912"/>
    <w:rsid w:val="00B071BB"/>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2C5"/>
    <w:rsid w:val="00B14E20"/>
    <w:rsid w:val="00B14F47"/>
    <w:rsid w:val="00B15282"/>
    <w:rsid w:val="00B15286"/>
    <w:rsid w:val="00B1539F"/>
    <w:rsid w:val="00B1550D"/>
    <w:rsid w:val="00B15F6C"/>
    <w:rsid w:val="00B163E8"/>
    <w:rsid w:val="00B167D8"/>
    <w:rsid w:val="00B1767E"/>
    <w:rsid w:val="00B20760"/>
    <w:rsid w:val="00B2125C"/>
    <w:rsid w:val="00B21676"/>
    <w:rsid w:val="00B219E1"/>
    <w:rsid w:val="00B21ECF"/>
    <w:rsid w:val="00B22150"/>
    <w:rsid w:val="00B226DE"/>
    <w:rsid w:val="00B22FB5"/>
    <w:rsid w:val="00B23008"/>
    <w:rsid w:val="00B23966"/>
    <w:rsid w:val="00B241D5"/>
    <w:rsid w:val="00B24BE9"/>
    <w:rsid w:val="00B2551D"/>
    <w:rsid w:val="00B25F8C"/>
    <w:rsid w:val="00B260BE"/>
    <w:rsid w:val="00B26677"/>
    <w:rsid w:val="00B26A96"/>
    <w:rsid w:val="00B274E3"/>
    <w:rsid w:val="00B2765C"/>
    <w:rsid w:val="00B2778A"/>
    <w:rsid w:val="00B279EF"/>
    <w:rsid w:val="00B27C4B"/>
    <w:rsid w:val="00B30563"/>
    <w:rsid w:val="00B3069E"/>
    <w:rsid w:val="00B30A76"/>
    <w:rsid w:val="00B31246"/>
    <w:rsid w:val="00B31E73"/>
    <w:rsid w:val="00B32295"/>
    <w:rsid w:val="00B338A1"/>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722"/>
    <w:rsid w:val="00B47979"/>
    <w:rsid w:val="00B479D3"/>
    <w:rsid w:val="00B47A59"/>
    <w:rsid w:val="00B47ECD"/>
    <w:rsid w:val="00B47FF3"/>
    <w:rsid w:val="00B503D6"/>
    <w:rsid w:val="00B51520"/>
    <w:rsid w:val="00B515C3"/>
    <w:rsid w:val="00B517C2"/>
    <w:rsid w:val="00B518CE"/>
    <w:rsid w:val="00B51F56"/>
    <w:rsid w:val="00B52234"/>
    <w:rsid w:val="00B52C5E"/>
    <w:rsid w:val="00B53068"/>
    <w:rsid w:val="00B53623"/>
    <w:rsid w:val="00B53D1D"/>
    <w:rsid w:val="00B53E98"/>
    <w:rsid w:val="00B53F9B"/>
    <w:rsid w:val="00B54B19"/>
    <w:rsid w:val="00B55F64"/>
    <w:rsid w:val="00B56ECA"/>
    <w:rsid w:val="00B57093"/>
    <w:rsid w:val="00B57B5D"/>
    <w:rsid w:val="00B60613"/>
    <w:rsid w:val="00B61AEC"/>
    <w:rsid w:val="00B6244C"/>
    <w:rsid w:val="00B62A2F"/>
    <w:rsid w:val="00B62B42"/>
    <w:rsid w:val="00B62B7B"/>
    <w:rsid w:val="00B62F0A"/>
    <w:rsid w:val="00B63484"/>
    <w:rsid w:val="00B634B7"/>
    <w:rsid w:val="00B634F1"/>
    <w:rsid w:val="00B637EF"/>
    <w:rsid w:val="00B63B21"/>
    <w:rsid w:val="00B63EF6"/>
    <w:rsid w:val="00B6440A"/>
    <w:rsid w:val="00B65788"/>
    <w:rsid w:val="00B65844"/>
    <w:rsid w:val="00B659B9"/>
    <w:rsid w:val="00B66054"/>
    <w:rsid w:val="00B664AB"/>
    <w:rsid w:val="00B6677F"/>
    <w:rsid w:val="00B66C7A"/>
    <w:rsid w:val="00B672EA"/>
    <w:rsid w:val="00B6747B"/>
    <w:rsid w:val="00B70200"/>
    <w:rsid w:val="00B702D7"/>
    <w:rsid w:val="00B70389"/>
    <w:rsid w:val="00B704A3"/>
    <w:rsid w:val="00B70E01"/>
    <w:rsid w:val="00B72CF0"/>
    <w:rsid w:val="00B7380E"/>
    <w:rsid w:val="00B740F6"/>
    <w:rsid w:val="00B74615"/>
    <w:rsid w:val="00B74789"/>
    <w:rsid w:val="00B755B6"/>
    <w:rsid w:val="00B75977"/>
    <w:rsid w:val="00B75A48"/>
    <w:rsid w:val="00B75CC0"/>
    <w:rsid w:val="00B76021"/>
    <w:rsid w:val="00B76FCD"/>
    <w:rsid w:val="00B7718F"/>
    <w:rsid w:val="00B7764D"/>
    <w:rsid w:val="00B804F8"/>
    <w:rsid w:val="00B8095A"/>
    <w:rsid w:val="00B80BB5"/>
    <w:rsid w:val="00B81274"/>
    <w:rsid w:val="00B815D3"/>
    <w:rsid w:val="00B81742"/>
    <w:rsid w:val="00B817B5"/>
    <w:rsid w:val="00B823A6"/>
    <w:rsid w:val="00B83E76"/>
    <w:rsid w:val="00B83FA0"/>
    <w:rsid w:val="00B840FA"/>
    <w:rsid w:val="00B84156"/>
    <w:rsid w:val="00B846E6"/>
    <w:rsid w:val="00B8537B"/>
    <w:rsid w:val="00B85586"/>
    <w:rsid w:val="00B86289"/>
    <w:rsid w:val="00B863B3"/>
    <w:rsid w:val="00B869D3"/>
    <w:rsid w:val="00B86CF8"/>
    <w:rsid w:val="00B86E44"/>
    <w:rsid w:val="00B87359"/>
    <w:rsid w:val="00B87F1C"/>
    <w:rsid w:val="00B90D88"/>
    <w:rsid w:val="00B90D8D"/>
    <w:rsid w:val="00B90F9E"/>
    <w:rsid w:val="00B91263"/>
    <w:rsid w:val="00B91B61"/>
    <w:rsid w:val="00B93849"/>
    <w:rsid w:val="00B938BD"/>
    <w:rsid w:val="00B93CF3"/>
    <w:rsid w:val="00B9407F"/>
    <w:rsid w:val="00B944E9"/>
    <w:rsid w:val="00B945D7"/>
    <w:rsid w:val="00B94896"/>
    <w:rsid w:val="00B94CDD"/>
    <w:rsid w:val="00B94DA7"/>
    <w:rsid w:val="00B95163"/>
    <w:rsid w:val="00B954D0"/>
    <w:rsid w:val="00B95883"/>
    <w:rsid w:val="00B96DD9"/>
    <w:rsid w:val="00B96EA6"/>
    <w:rsid w:val="00B9789D"/>
    <w:rsid w:val="00B97A4C"/>
    <w:rsid w:val="00BA050E"/>
    <w:rsid w:val="00BA1289"/>
    <w:rsid w:val="00BA14B2"/>
    <w:rsid w:val="00BA15DC"/>
    <w:rsid w:val="00BA1866"/>
    <w:rsid w:val="00BA1A68"/>
    <w:rsid w:val="00BA1E2F"/>
    <w:rsid w:val="00BA1EB8"/>
    <w:rsid w:val="00BA2C82"/>
    <w:rsid w:val="00BA3032"/>
    <w:rsid w:val="00BA3869"/>
    <w:rsid w:val="00BA39F5"/>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873"/>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37"/>
    <w:rsid w:val="00BD4BA8"/>
    <w:rsid w:val="00BD4CBA"/>
    <w:rsid w:val="00BD5624"/>
    <w:rsid w:val="00BD62E6"/>
    <w:rsid w:val="00BD6B0E"/>
    <w:rsid w:val="00BD734D"/>
    <w:rsid w:val="00BD7941"/>
    <w:rsid w:val="00BE0591"/>
    <w:rsid w:val="00BE0C55"/>
    <w:rsid w:val="00BE0F03"/>
    <w:rsid w:val="00BE11A2"/>
    <w:rsid w:val="00BE1B87"/>
    <w:rsid w:val="00BE1EF0"/>
    <w:rsid w:val="00BE246C"/>
    <w:rsid w:val="00BE2657"/>
    <w:rsid w:val="00BE2FD2"/>
    <w:rsid w:val="00BE377A"/>
    <w:rsid w:val="00BE37AE"/>
    <w:rsid w:val="00BE3B14"/>
    <w:rsid w:val="00BE3C65"/>
    <w:rsid w:val="00BE4222"/>
    <w:rsid w:val="00BE472D"/>
    <w:rsid w:val="00BE4C03"/>
    <w:rsid w:val="00BE5301"/>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CCC"/>
    <w:rsid w:val="00C0234A"/>
    <w:rsid w:val="00C0247B"/>
    <w:rsid w:val="00C02D52"/>
    <w:rsid w:val="00C0378E"/>
    <w:rsid w:val="00C04314"/>
    <w:rsid w:val="00C04BD0"/>
    <w:rsid w:val="00C05730"/>
    <w:rsid w:val="00C05AF4"/>
    <w:rsid w:val="00C05AFD"/>
    <w:rsid w:val="00C0661C"/>
    <w:rsid w:val="00C0675F"/>
    <w:rsid w:val="00C0702A"/>
    <w:rsid w:val="00C0724C"/>
    <w:rsid w:val="00C07C11"/>
    <w:rsid w:val="00C07D9C"/>
    <w:rsid w:val="00C07E10"/>
    <w:rsid w:val="00C10015"/>
    <w:rsid w:val="00C1110A"/>
    <w:rsid w:val="00C11689"/>
    <w:rsid w:val="00C12414"/>
    <w:rsid w:val="00C12ECB"/>
    <w:rsid w:val="00C148B2"/>
    <w:rsid w:val="00C14ABD"/>
    <w:rsid w:val="00C14E9D"/>
    <w:rsid w:val="00C151E0"/>
    <w:rsid w:val="00C155A8"/>
    <w:rsid w:val="00C159FD"/>
    <w:rsid w:val="00C15B31"/>
    <w:rsid w:val="00C15F66"/>
    <w:rsid w:val="00C1604F"/>
    <w:rsid w:val="00C166D4"/>
    <w:rsid w:val="00C168E5"/>
    <w:rsid w:val="00C1696D"/>
    <w:rsid w:val="00C16C90"/>
    <w:rsid w:val="00C17576"/>
    <w:rsid w:val="00C17AB5"/>
    <w:rsid w:val="00C17B1D"/>
    <w:rsid w:val="00C20051"/>
    <w:rsid w:val="00C20B6C"/>
    <w:rsid w:val="00C20B86"/>
    <w:rsid w:val="00C21145"/>
    <w:rsid w:val="00C215ED"/>
    <w:rsid w:val="00C22350"/>
    <w:rsid w:val="00C22C3D"/>
    <w:rsid w:val="00C23615"/>
    <w:rsid w:val="00C2397E"/>
    <w:rsid w:val="00C23A83"/>
    <w:rsid w:val="00C24381"/>
    <w:rsid w:val="00C2476A"/>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2D4B"/>
    <w:rsid w:val="00C332D4"/>
    <w:rsid w:val="00C33A66"/>
    <w:rsid w:val="00C33E51"/>
    <w:rsid w:val="00C34BA3"/>
    <w:rsid w:val="00C34C45"/>
    <w:rsid w:val="00C34C47"/>
    <w:rsid w:val="00C34FCE"/>
    <w:rsid w:val="00C35411"/>
    <w:rsid w:val="00C35EED"/>
    <w:rsid w:val="00C36B2C"/>
    <w:rsid w:val="00C3701A"/>
    <w:rsid w:val="00C379EF"/>
    <w:rsid w:val="00C405C8"/>
    <w:rsid w:val="00C40C2F"/>
    <w:rsid w:val="00C40D6C"/>
    <w:rsid w:val="00C412FA"/>
    <w:rsid w:val="00C415AC"/>
    <w:rsid w:val="00C4194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1F11"/>
    <w:rsid w:val="00C53CE9"/>
    <w:rsid w:val="00C5531B"/>
    <w:rsid w:val="00C55375"/>
    <w:rsid w:val="00C5570F"/>
    <w:rsid w:val="00C56C98"/>
    <w:rsid w:val="00C56DE1"/>
    <w:rsid w:val="00C56DEE"/>
    <w:rsid w:val="00C57120"/>
    <w:rsid w:val="00C571D5"/>
    <w:rsid w:val="00C575D4"/>
    <w:rsid w:val="00C60391"/>
    <w:rsid w:val="00C604A3"/>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67FD"/>
    <w:rsid w:val="00C6728B"/>
    <w:rsid w:val="00C7044B"/>
    <w:rsid w:val="00C70718"/>
    <w:rsid w:val="00C70B25"/>
    <w:rsid w:val="00C71528"/>
    <w:rsid w:val="00C71655"/>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5B1"/>
    <w:rsid w:val="00C81716"/>
    <w:rsid w:val="00C81E47"/>
    <w:rsid w:val="00C832CB"/>
    <w:rsid w:val="00C84085"/>
    <w:rsid w:val="00C8456B"/>
    <w:rsid w:val="00C852DC"/>
    <w:rsid w:val="00C854A8"/>
    <w:rsid w:val="00C85677"/>
    <w:rsid w:val="00C85E17"/>
    <w:rsid w:val="00C868A7"/>
    <w:rsid w:val="00C86ABA"/>
    <w:rsid w:val="00C86BF7"/>
    <w:rsid w:val="00C87164"/>
    <w:rsid w:val="00C8786A"/>
    <w:rsid w:val="00C87B2C"/>
    <w:rsid w:val="00C87B3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2AA"/>
    <w:rsid w:val="00CA5685"/>
    <w:rsid w:val="00CA5D92"/>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B33"/>
    <w:rsid w:val="00CB6C79"/>
    <w:rsid w:val="00CB77C3"/>
    <w:rsid w:val="00CB7E9C"/>
    <w:rsid w:val="00CC0072"/>
    <w:rsid w:val="00CC027A"/>
    <w:rsid w:val="00CC0915"/>
    <w:rsid w:val="00CC1398"/>
    <w:rsid w:val="00CC1AF5"/>
    <w:rsid w:val="00CC1B74"/>
    <w:rsid w:val="00CC291E"/>
    <w:rsid w:val="00CC2D03"/>
    <w:rsid w:val="00CC2EB0"/>
    <w:rsid w:val="00CC4701"/>
    <w:rsid w:val="00CC4D23"/>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225"/>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DEF"/>
    <w:rsid w:val="00CE2E2E"/>
    <w:rsid w:val="00CE3A51"/>
    <w:rsid w:val="00CE41F9"/>
    <w:rsid w:val="00CE59F6"/>
    <w:rsid w:val="00CE66CD"/>
    <w:rsid w:val="00CE6A4E"/>
    <w:rsid w:val="00CE6BA9"/>
    <w:rsid w:val="00CE71C3"/>
    <w:rsid w:val="00CE727A"/>
    <w:rsid w:val="00CF029C"/>
    <w:rsid w:val="00CF0AF0"/>
    <w:rsid w:val="00CF12EC"/>
    <w:rsid w:val="00CF157E"/>
    <w:rsid w:val="00CF1631"/>
    <w:rsid w:val="00CF1834"/>
    <w:rsid w:val="00CF1AAA"/>
    <w:rsid w:val="00CF1EC2"/>
    <w:rsid w:val="00CF2543"/>
    <w:rsid w:val="00CF2ACF"/>
    <w:rsid w:val="00CF345B"/>
    <w:rsid w:val="00CF475F"/>
    <w:rsid w:val="00CF5008"/>
    <w:rsid w:val="00CF5069"/>
    <w:rsid w:val="00CF5CA8"/>
    <w:rsid w:val="00CF5E34"/>
    <w:rsid w:val="00CF635A"/>
    <w:rsid w:val="00CF6707"/>
    <w:rsid w:val="00CF7101"/>
    <w:rsid w:val="00CF7327"/>
    <w:rsid w:val="00CF7385"/>
    <w:rsid w:val="00CF7539"/>
    <w:rsid w:val="00CF75C6"/>
    <w:rsid w:val="00CF7B77"/>
    <w:rsid w:val="00CF7DF5"/>
    <w:rsid w:val="00D001D2"/>
    <w:rsid w:val="00D01561"/>
    <w:rsid w:val="00D01C2D"/>
    <w:rsid w:val="00D01C48"/>
    <w:rsid w:val="00D02A80"/>
    <w:rsid w:val="00D0352D"/>
    <w:rsid w:val="00D04E47"/>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9EB"/>
    <w:rsid w:val="00D15AE3"/>
    <w:rsid w:val="00D160C4"/>
    <w:rsid w:val="00D16502"/>
    <w:rsid w:val="00D165D8"/>
    <w:rsid w:val="00D1724E"/>
    <w:rsid w:val="00D17C26"/>
    <w:rsid w:val="00D17E08"/>
    <w:rsid w:val="00D206F6"/>
    <w:rsid w:val="00D20A50"/>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8F5"/>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6F4"/>
    <w:rsid w:val="00D36BB8"/>
    <w:rsid w:val="00D377D4"/>
    <w:rsid w:val="00D401A1"/>
    <w:rsid w:val="00D40217"/>
    <w:rsid w:val="00D40385"/>
    <w:rsid w:val="00D404CE"/>
    <w:rsid w:val="00D40E8F"/>
    <w:rsid w:val="00D412BF"/>
    <w:rsid w:val="00D417C6"/>
    <w:rsid w:val="00D417D0"/>
    <w:rsid w:val="00D42A8C"/>
    <w:rsid w:val="00D42B0C"/>
    <w:rsid w:val="00D42D6E"/>
    <w:rsid w:val="00D43DEF"/>
    <w:rsid w:val="00D44259"/>
    <w:rsid w:val="00D4479D"/>
    <w:rsid w:val="00D44968"/>
    <w:rsid w:val="00D44DFF"/>
    <w:rsid w:val="00D45C61"/>
    <w:rsid w:val="00D45DDC"/>
    <w:rsid w:val="00D47308"/>
    <w:rsid w:val="00D5064C"/>
    <w:rsid w:val="00D50C94"/>
    <w:rsid w:val="00D511E7"/>
    <w:rsid w:val="00D517ED"/>
    <w:rsid w:val="00D5251C"/>
    <w:rsid w:val="00D52F56"/>
    <w:rsid w:val="00D539DA"/>
    <w:rsid w:val="00D54A50"/>
    <w:rsid w:val="00D54FFD"/>
    <w:rsid w:val="00D5552C"/>
    <w:rsid w:val="00D5556D"/>
    <w:rsid w:val="00D55C34"/>
    <w:rsid w:val="00D55C81"/>
    <w:rsid w:val="00D55E55"/>
    <w:rsid w:val="00D5674B"/>
    <w:rsid w:val="00D56B56"/>
    <w:rsid w:val="00D56BF5"/>
    <w:rsid w:val="00D56F99"/>
    <w:rsid w:val="00D56FB7"/>
    <w:rsid w:val="00D5743F"/>
    <w:rsid w:val="00D57F1F"/>
    <w:rsid w:val="00D60065"/>
    <w:rsid w:val="00D60270"/>
    <w:rsid w:val="00D605C2"/>
    <w:rsid w:val="00D60733"/>
    <w:rsid w:val="00D60C60"/>
    <w:rsid w:val="00D61763"/>
    <w:rsid w:val="00D61E1D"/>
    <w:rsid w:val="00D629A4"/>
    <w:rsid w:val="00D62BDF"/>
    <w:rsid w:val="00D62CB0"/>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2F0"/>
    <w:rsid w:val="00D72454"/>
    <w:rsid w:val="00D729A7"/>
    <w:rsid w:val="00D72A5B"/>
    <w:rsid w:val="00D73991"/>
    <w:rsid w:val="00D73CD4"/>
    <w:rsid w:val="00D73F06"/>
    <w:rsid w:val="00D740B2"/>
    <w:rsid w:val="00D74247"/>
    <w:rsid w:val="00D743F1"/>
    <w:rsid w:val="00D744CF"/>
    <w:rsid w:val="00D7456E"/>
    <w:rsid w:val="00D74936"/>
    <w:rsid w:val="00D753A9"/>
    <w:rsid w:val="00D755F7"/>
    <w:rsid w:val="00D75DDB"/>
    <w:rsid w:val="00D75E4B"/>
    <w:rsid w:val="00D774F4"/>
    <w:rsid w:val="00D77687"/>
    <w:rsid w:val="00D77AF6"/>
    <w:rsid w:val="00D804C5"/>
    <w:rsid w:val="00D80E47"/>
    <w:rsid w:val="00D815E6"/>
    <w:rsid w:val="00D81A28"/>
    <w:rsid w:val="00D81BDE"/>
    <w:rsid w:val="00D8201D"/>
    <w:rsid w:val="00D82283"/>
    <w:rsid w:val="00D82B00"/>
    <w:rsid w:val="00D82B04"/>
    <w:rsid w:val="00D82BE4"/>
    <w:rsid w:val="00D82E05"/>
    <w:rsid w:val="00D83C0D"/>
    <w:rsid w:val="00D83C80"/>
    <w:rsid w:val="00D83F5B"/>
    <w:rsid w:val="00D84A9E"/>
    <w:rsid w:val="00D85FDE"/>
    <w:rsid w:val="00D8665E"/>
    <w:rsid w:val="00D869C1"/>
    <w:rsid w:val="00D86EC6"/>
    <w:rsid w:val="00D87418"/>
    <w:rsid w:val="00D87A39"/>
    <w:rsid w:val="00D87FE6"/>
    <w:rsid w:val="00D90A1A"/>
    <w:rsid w:val="00D90BC3"/>
    <w:rsid w:val="00D90C93"/>
    <w:rsid w:val="00D90DB9"/>
    <w:rsid w:val="00D91001"/>
    <w:rsid w:val="00D910FF"/>
    <w:rsid w:val="00D91337"/>
    <w:rsid w:val="00D915C9"/>
    <w:rsid w:val="00D917BB"/>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54E"/>
    <w:rsid w:val="00DA4A61"/>
    <w:rsid w:val="00DA5AFE"/>
    <w:rsid w:val="00DA5C06"/>
    <w:rsid w:val="00DA61AB"/>
    <w:rsid w:val="00DA61CD"/>
    <w:rsid w:val="00DA6EE2"/>
    <w:rsid w:val="00DA718A"/>
    <w:rsid w:val="00DA78CF"/>
    <w:rsid w:val="00DA78D5"/>
    <w:rsid w:val="00DA7A89"/>
    <w:rsid w:val="00DA7BF4"/>
    <w:rsid w:val="00DB052F"/>
    <w:rsid w:val="00DB14D3"/>
    <w:rsid w:val="00DB154B"/>
    <w:rsid w:val="00DB1BDC"/>
    <w:rsid w:val="00DB2D1A"/>
    <w:rsid w:val="00DB3490"/>
    <w:rsid w:val="00DB3593"/>
    <w:rsid w:val="00DB440B"/>
    <w:rsid w:val="00DB4426"/>
    <w:rsid w:val="00DB451D"/>
    <w:rsid w:val="00DB4522"/>
    <w:rsid w:val="00DB4766"/>
    <w:rsid w:val="00DB4B40"/>
    <w:rsid w:val="00DB4F12"/>
    <w:rsid w:val="00DB4F21"/>
    <w:rsid w:val="00DB4F42"/>
    <w:rsid w:val="00DB540C"/>
    <w:rsid w:val="00DB6F96"/>
    <w:rsid w:val="00DB71B9"/>
    <w:rsid w:val="00DB7662"/>
    <w:rsid w:val="00DB7E46"/>
    <w:rsid w:val="00DC06AD"/>
    <w:rsid w:val="00DC1395"/>
    <w:rsid w:val="00DC2CAB"/>
    <w:rsid w:val="00DC32FC"/>
    <w:rsid w:val="00DC3D89"/>
    <w:rsid w:val="00DC4567"/>
    <w:rsid w:val="00DC4D6C"/>
    <w:rsid w:val="00DC4F47"/>
    <w:rsid w:val="00DC5059"/>
    <w:rsid w:val="00DC5860"/>
    <w:rsid w:val="00DC5BD0"/>
    <w:rsid w:val="00DC5BE2"/>
    <w:rsid w:val="00DC6284"/>
    <w:rsid w:val="00DC628E"/>
    <w:rsid w:val="00DC6747"/>
    <w:rsid w:val="00DC6AF3"/>
    <w:rsid w:val="00DC730C"/>
    <w:rsid w:val="00DC7608"/>
    <w:rsid w:val="00DC761E"/>
    <w:rsid w:val="00DC7B3B"/>
    <w:rsid w:val="00DC7CFC"/>
    <w:rsid w:val="00DD09F2"/>
    <w:rsid w:val="00DD0DEE"/>
    <w:rsid w:val="00DD1205"/>
    <w:rsid w:val="00DD1633"/>
    <w:rsid w:val="00DD17A0"/>
    <w:rsid w:val="00DD1B97"/>
    <w:rsid w:val="00DD2831"/>
    <w:rsid w:val="00DD2A6D"/>
    <w:rsid w:val="00DD2ADC"/>
    <w:rsid w:val="00DD2E17"/>
    <w:rsid w:val="00DD42DE"/>
    <w:rsid w:val="00DD4309"/>
    <w:rsid w:val="00DD4344"/>
    <w:rsid w:val="00DD4357"/>
    <w:rsid w:val="00DD4DDD"/>
    <w:rsid w:val="00DD573B"/>
    <w:rsid w:val="00DD57E7"/>
    <w:rsid w:val="00DD5A1E"/>
    <w:rsid w:val="00DD5B8C"/>
    <w:rsid w:val="00DD5DFA"/>
    <w:rsid w:val="00DD5E91"/>
    <w:rsid w:val="00DD6363"/>
    <w:rsid w:val="00DD6CE2"/>
    <w:rsid w:val="00DD720D"/>
    <w:rsid w:val="00DE0229"/>
    <w:rsid w:val="00DE04E0"/>
    <w:rsid w:val="00DE12F1"/>
    <w:rsid w:val="00DE1A9D"/>
    <w:rsid w:val="00DE1CB1"/>
    <w:rsid w:val="00DE2073"/>
    <w:rsid w:val="00DE30AC"/>
    <w:rsid w:val="00DE38D1"/>
    <w:rsid w:val="00DE4101"/>
    <w:rsid w:val="00DE4106"/>
    <w:rsid w:val="00DE4349"/>
    <w:rsid w:val="00DE466B"/>
    <w:rsid w:val="00DE48F4"/>
    <w:rsid w:val="00DE5563"/>
    <w:rsid w:val="00DE5962"/>
    <w:rsid w:val="00DE5C19"/>
    <w:rsid w:val="00DE5D48"/>
    <w:rsid w:val="00DE6E4D"/>
    <w:rsid w:val="00DE7498"/>
    <w:rsid w:val="00DE75EF"/>
    <w:rsid w:val="00DE7611"/>
    <w:rsid w:val="00DE7D19"/>
    <w:rsid w:val="00DF03F5"/>
    <w:rsid w:val="00DF05A0"/>
    <w:rsid w:val="00DF0785"/>
    <w:rsid w:val="00DF1162"/>
    <w:rsid w:val="00DF1BA8"/>
    <w:rsid w:val="00DF1F63"/>
    <w:rsid w:val="00DF2385"/>
    <w:rsid w:val="00DF28F2"/>
    <w:rsid w:val="00DF2BFF"/>
    <w:rsid w:val="00DF3798"/>
    <w:rsid w:val="00DF4311"/>
    <w:rsid w:val="00DF472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27B1"/>
    <w:rsid w:val="00E0356F"/>
    <w:rsid w:val="00E03AA4"/>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3E6"/>
    <w:rsid w:val="00E13D07"/>
    <w:rsid w:val="00E14356"/>
    <w:rsid w:val="00E14961"/>
    <w:rsid w:val="00E14D76"/>
    <w:rsid w:val="00E15183"/>
    <w:rsid w:val="00E15D6C"/>
    <w:rsid w:val="00E1720B"/>
    <w:rsid w:val="00E17FF9"/>
    <w:rsid w:val="00E203DE"/>
    <w:rsid w:val="00E20CE7"/>
    <w:rsid w:val="00E217B1"/>
    <w:rsid w:val="00E2229E"/>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0D4E"/>
    <w:rsid w:val="00E31687"/>
    <w:rsid w:val="00E31699"/>
    <w:rsid w:val="00E31761"/>
    <w:rsid w:val="00E31812"/>
    <w:rsid w:val="00E31889"/>
    <w:rsid w:val="00E31B61"/>
    <w:rsid w:val="00E31CE7"/>
    <w:rsid w:val="00E333D5"/>
    <w:rsid w:val="00E3394F"/>
    <w:rsid w:val="00E33A0B"/>
    <w:rsid w:val="00E34A2F"/>
    <w:rsid w:val="00E35A45"/>
    <w:rsid w:val="00E35F7F"/>
    <w:rsid w:val="00E36392"/>
    <w:rsid w:val="00E36B32"/>
    <w:rsid w:val="00E37A6F"/>
    <w:rsid w:val="00E37A9C"/>
    <w:rsid w:val="00E40222"/>
    <w:rsid w:val="00E40406"/>
    <w:rsid w:val="00E4067C"/>
    <w:rsid w:val="00E4082B"/>
    <w:rsid w:val="00E40835"/>
    <w:rsid w:val="00E408EC"/>
    <w:rsid w:val="00E409B5"/>
    <w:rsid w:val="00E40BCB"/>
    <w:rsid w:val="00E4208F"/>
    <w:rsid w:val="00E42E94"/>
    <w:rsid w:val="00E43006"/>
    <w:rsid w:val="00E4312A"/>
    <w:rsid w:val="00E4331B"/>
    <w:rsid w:val="00E43551"/>
    <w:rsid w:val="00E437FA"/>
    <w:rsid w:val="00E44656"/>
    <w:rsid w:val="00E45A2C"/>
    <w:rsid w:val="00E468B4"/>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FC3"/>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80F"/>
    <w:rsid w:val="00E66CBA"/>
    <w:rsid w:val="00E66E11"/>
    <w:rsid w:val="00E672C6"/>
    <w:rsid w:val="00E70192"/>
    <w:rsid w:val="00E70C55"/>
    <w:rsid w:val="00E70E34"/>
    <w:rsid w:val="00E71809"/>
    <w:rsid w:val="00E71D1E"/>
    <w:rsid w:val="00E726F2"/>
    <w:rsid w:val="00E728E2"/>
    <w:rsid w:val="00E738FA"/>
    <w:rsid w:val="00E739B6"/>
    <w:rsid w:val="00E74A2B"/>
    <w:rsid w:val="00E750F1"/>
    <w:rsid w:val="00E75667"/>
    <w:rsid w:val="00E756D3"/>
    <w:rsid w:val="00E75A5A"/>
    <w:rsid w:val="00E76004"/>
    <w:rsid w:val="00E7608F"/>
    <w:rsid w:val="00E760D7"/>
    <w:rsid w:val="00E769CC"/>
    <w:rsid w:val="00E76E72"/>
    <w:rsid w:val="00E77124"/>
    <w:rsid w:val="00E77341"/>
    <w:rsid w:val="00E7783E"/>
    <w:rsid w:val="00E778B8"/>
    <w:rsid w:val="00E80141"/>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1ED1"/>
    <w:rsid w:val="00E92C6E"/>
    <w:rsid w:val="00E92D0B"/>
    <w:rsid w:val="00E92FFF"/>
    <w:rsid w:val="00E93195"/>
    <w:rsid w:val="00E9391C"/>
    <w:rsid w:val="00E93D05"/>
    <w:rsid w:val="00E951D8"/>
    <w:rsid w:val="00E95C2A"/>
    <w:rsid w:val="00E961CB"/>
    <w:rsid w:val="00E963BC"/>
    <w:rsid w:val="00E966A6"/>
    <w:rsid w:val="00E96D74"/>
    <w:rsid w:val="00E96E91"/>
    <w:rsid w:val="00E9751D"/>
    <w:rsid w:val="00E97DC6"/>
    <w:rsid w:val="00E97F7A"/>
    <w:rsid w:val="00EA0010"/>
    <w:rsid w:val="00EA0143"/>
    <w:rsid w:val="00EA089B"/>
    <w:rsid w:val="00EA0D3F"/>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38E"/>
    <w:rsid w:val="00EB54AB"/>
    <w:rsid w:val="00EB6257"/>
    <w:rsid w:val="00EB68E6"/>
    <w:rsid w:val="00EB6AE9"/>
    <w:rsid w:val="00EB6B2D"/>
    <w:rsid w:val="00EB71C9"/>
    <w:rsid w:val="00EB763E"/>
    <w:rsid w:val="00EB7AD7"/>
    <w:rsid w:val="00EB7B67"/>
    <w:rsid w:val="00EC03CC"/>
    <w:rsid w:val="00EC07F1"/>
    <w:rsid w:val="00EC1E8A"/>
    <w:rsid w:val="00EC2C81"/>
    <w:rsid w:val="00EC328C"/>
    <w:rsid w:val="00EC32F5"/>
    <w:rsid w:val="00EC3852"/>
    <w:rsid w:val="00EC4528"/>
    <w:rsid w:val="00EC4857"/>
    <w:rsid w:val="00EC4A2E"/>
    <w:rsid w:val="00EC5241"/>
    <w:rsid w:val="00EC5817"/>
    <w:rsid w:val="00EC594C"/>
    <w:rsid w:val="00EC5C7B"/>
    <w:rsid w:val="00EC66AA"/>
    <w:rsid w:val="00EC6B30"/>
    <w:rsid w:val="00EC6B8F"/>
    <w:rsid w:val="00EC6CF2"/>
    <w:rsid w:val="00EC7154"/>
    <w:rsid w:val="00EC7371"/>
    <w:rsid w:val="00EC73F5"/>
    <w:rsid w:val="00EC7894"/>
    <w:rsid w:val="00EC7A28"/>
    <w:rsid w:val="00EC7B48"/>
    <w:rsid w:val="00ED0151"/>
    <w:rsid w:val="00ED0257"/>
    <w:rsid w:val="00ED071B"/>
    <w:rsid w:val="00ED0E47"/>
    <w:rsid w:val="00ED18B1"/>
    <w:rsid w:val="00ED1ADE"/>
    <w:rsid w:val="00ED3692"/>
    <w:rsid w:val="00ED4A77"/>
    <w:rsid w:val="00ED4B6E"/>
    <w:rsid w:val="00ED5981"/>
    <w:rsid w:val="00ED613A"/>
    <w:rsid w:val="00ED6514"/>
    <w:rsid w:val="00ED66B2"/>
    <w:rsid w:val="00ED68EC"/>
    <w:rsid w:val="00ED71BA"/>
    <w:rsid w:val="00ED728F"/>
    <w:rsid w:val="00ED73A1"/>
    <w:rsid w:val="00ED7CA2"/>
    <w:rsid w:val="00EE04F9"/>
    <w:rsid w:val="00EE05E0"/>
    <w:rsid w:val="00EE13DA"/>
    <w:rsid w:val="00EE1595"/>
    <w:rsid w:val="00EE1E71"/>
    <w:rsid w:val="00EE2087"/>
    <w:rsid w:val="00EE20C2"/>
    <w:rsid w:val="00EE2A9D"/>
    <w:rsid w:val="00EE3384"/>
    <w:rsid w:val="00EE401C"/>
    <w:rsid w:val="00EE499F"/>
    <w:rsid w:val="00EE56E2"/>
    <w:rsid w:val="00EE58F7"/>
    <w:rsid w:val="00EE5FCD"/>
    <w:rsid w:val="00EE63BF"/>
    <w:rsid w:val="00EE6D45"/>
    <w:rsid w:val="00EE6E89"/>
    <w:rsid w:val="00EE73B7"/>
    <w:rsid w:val="00EF0D4B"/>
    <w:rsid w:val="00EF0FE6"/>
    <w:rsid w:val="00EF1130"/>
    <w:rsid w:val="00EF1432"/>
    <w:rsid w:val="00EF1511"/>
    <w:rsid w:val="00EF1F01"/>
    <w:rsid w:val="00EF2C39"/>
    <w:rsid w:val="00EF2C5F"/>
    <w:rsid w:val="00EF3811"/>
    <w:rsid w:val="00EF3AC4"/>
    <w:rsid w:val="00EF3FF9"/>
    <w:rsid w:val="00EF41AF"/>
    <w:rsid w:val="00EF4249"/>
    <w:rsid w:val="00EF4DB4"/>
    <w:rsid w:val="00EF51F0"/>
    <w:rsid w:val="00EF5234"/>
    <w:rsid w:val="00EF55E9"/>
    <w:rsid w:val="00EF5B41"/>
    <w:rsid w:val="00EF611C"/>
    <w:rsid w:val="00EF625F"/>
    <w:rsid w:val="00EF62C0"/>
    <w:rsid w:val="00EF6D5A"/>
    <w:rsid w:val="00EF71E6"/>
    <w:rsid w:val="00F0058A"/>
    <w:rsid w:val="00F00630"/>
    <w:rsid w:val="00F00922"/>
    <w:rsid w:val="00F00924"/>
    <w:rsid w:val="00F0092D"/>
    <w:rsid w:val="00F0187E"/>
    <w:rsid w:val="00F01BE6"/>
    <w:rsid w:val="00F01F75"/>
    <w:rsid w:val="00F0217A"/>
    <w:rsid w:val="00F025FE"/>
    <w:rsid w:val="00F026D3"/>
    <w:rsid w:val="00F027E8"/>
    <w:rsid w:val="00F03395"/>
    <w:rsid w:val="00F034E6"/>
    <w:rsid w:val="00F03E4C"/>
    <w:rsid w:val="00F04D19"/>
    <w:rsid w:val="00F050A3"/>
    <w:rsid w:val="00F06340"/>
    <w:rsid w:val="00F0665D"/>
    <w:rsid w:val="00F06C2C"/>
    <w:rsid w:val="00F06D42"/>
    <w:rsid w:val="00F07134"/>
    <w:rsid w:val="00F0724D"/>
    <w:rsid w:val="00F07378"/>
    <w:rsid w:val="00F10B81"/>
    <w:rsid w:val="00F10BC9"/>
    <w:rsid w:val="00F113C9"/>
    <w:rsid w:val="00F11C01"/>
    <w:rsid w:val="00F11D80"/>
    <w:rsid w:val="00F13EDC"/>
    <w:rsid w:val="00F14B08"/>
    <w:rsid w:val="00F14B4B"/>
    <w:rsid w:val="00F14CD1"/>
    <w:rsid w:val="00F15115"/>
    <w:rsid w:val="00F15A85"/>
    <w:rsid w:val="00F15C81"/>
    <w:rsid w:val="00F15D8C"/>
    <w:rsid w:val="00F15F18"/>
    <w:rsid w:val="00F16B86"/>
    <w:rsid w:val="00F16E13"/>
    <w:rsid w:val="00F16E1A"/>
    <w:rsid w:val="00F16F92"/>
    <w:rsid w:val="00F17C3E"/>
    <w:rsid w:val="00F20197"/>
    <w:rsid w:val="00F20369"/>
    <w:rsid w:val="00F20607"/>
    <w:rsid w:val="00F208BB"/>
    <w:rsid w:val="00F20C9E"/>
    <w:rsid w:val="00F213D8"/>
    <w:rsid w:val="00F21A5D"/>
    <w:rsid w:val="00F21C13"/>
    <w:rsid w:val="00F21CF5"/>
    <w:rsid w:val="00F22362"/>
    <w:rsid w:val="00F22796"/>
    <w:rsid w:val="00F2296A"/>
    <w:rsid w:val="00F234A4"/>
    <w:rsid w:val="00F2363A"/>
    <w:rsid w:val="00F238F7"/>
    <w:rsid w:val="00F23BA0"/>
    <w:rsid w:val="00F2420C"/>
    <w:rsid w:val="00F24C28"/>
    <w:rsid w:val="00F25318"/>
    <w:rsid w:val="00F254C4"/>
    <w:rsid w:val="00F25641"/>
    <w:rsid w:val="00F256D8"/>
    <w:rsid w:val="00F25824"/>
    <w:rsid w:val="00F25E8C"/>
    <w:rsid w:val="00F26065"/>
    <w:rsid w:val="00F266E3"/>
    <w:rsid w:val="00F2689C"/>
    <w:rsid w:val="00F27158"/>
    <w:rsid w:val="00F27E44"/>
    <w:rsid w:val="00F27ECA"/>
    <w:rsid w:val="00F30313"/>
    <w:rsid w:val="00F303BC"/>
    <w:rsid w:val="00F30472"/>
    <w:rsid w:val="00F31052"/>
    <w:rsid w:val="00F318A1"/>
    <w:rsid w:val="00F31CF5"/>
    <w:rsid w:val="00F3265C"/>
    <w:rsid w:val="00F32C4A"/>
    <w:rsid w:val="00F33113"/>
    <w:rsid w:val="00F33262"/>
    <w:rsid w:val="00F343EE"/>
    <w:rsid w:val="00F353F4"/>
    <w:rsid w:val="00F35494"/>
    <w:rsid w:val="00F35607"/>
    <w:rsid w:val="00F359AB"/>
    <w:rsid w:val="00F35DBA"/>
    <w:rsid w:val="00F3619D"/>
    <w:rsid w:val="00F36DDE"/>
    <w:rsid w:val="00F3722A"/>
    <w:rsid w:val="00F37366"/>
    <w:rsid w:val="00F37C99"/>
    <w:rsid w:val="00F37FCC"/>
    <w:rsid w:val="00F4134A"/>
    <w:rsid w:val="00F419B8"/>
    <w:rsid w:val="00F41C0F"/>
    <w:rsid w:val="00F42856"/>
    <w:rsid w:val="00F42ED7"/>
    <w:rsid w:val="00F43777"/>
    <w:rsid w:val="00F4482B"/>
    <w:rsid w:val="00F44F02"/>
    <w:rsid w:val="00F45039"/>
    <w:rsid w:val="00F45164"/>
    <w:rsid w:val="00F4526B"/>
    <w:rsid w:val="00F45298"/>
    <w:rsid w:val="00F45F64"/>
    <w:rsid w:val="00F462DF"/>
    <w:rsid w:val="00F46534"/>
    <w:rsid w:val="00F4662D"/>
    <w:rsid w:val="00F467BA"/>
    <w:rsid w:val="00F4689E"/>
    <w:rsid w:val="00F468AC"/>
    <w:rsid w:val="00F4696F"/>
    <w:rsid w:val="00F46A5F"/>
    <w:rsid w:val="00F46C47"/>
    <w:rsid w:val="00F47316"/>
    <w:rsid w:val="00F47507"/>
    <w:rsid w:val="00F47A01"/>
    <w:rsid w:val="00F47CEE"/>
    <w:rsid w:val="00F5052D"/>
    <w:rsid w:val="00F51A82"/>
    <w:rsid w:val="00F51B78"/>
    <w:rsid w:val="00F51BDD"/>
    <w:rsid w:val="00F52065"/>
    <w:rsid w:val="00F521CE"/>
    <w:rsid w:val="00F5253E"/>
    <w:rsid w:val="00F5254B"/>
    <w:rsid w:val="00F52CB7"/>
    <w:rsid w:val="00F530EA"/>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79D"/>
    <w:rsid w:val="00F758E1"/>
    <w:rsid w:val="00F75BB5"/>
    <w:rsid w:val="00F75FD5"/>
    <w:rsid w:val="00F7604C"/>
    <w:rsid w:val="00F773A9"/>
    <w:rsid w:val="00F77ABB"/>
    <w:rsid w:val="00F8056E"/>
    <w:rsid w:val="00F805B7"/>
    <w:rsid w:val="00F80FA8"/>
    <w:rsid w:val="00F810C1"/>
    <w:rsid w:val="00F81623"/>
    <w:rsid w:val="00F81D23"/>
    <w:rsid w:val="00F81D25"/>
    <w:rsid w:val="00F8245C"/>
    <w:rsid w:val="00F82928"/>
    <w:rsid w:val="00F829B9"/>
    <w:rsid w:val="00F83045"/>
    <w:rsid w:val="00F831E6"/>
    <w:rsid w:val="00F83615"/>
    <w:rsid w:val="00F83EC7"/>
    <w:rsid w:val="00F8421D"/>
    <w:rsid w:val="00F85329"/>
    <w:rsid w:val="00F85683"/>
    <w:rsid w:val="00F856D5"/>
    <w:rsid w:val="00F85841"/>
    <w:rsid w:val="00F86079"/>
    <w:rsid w:val="00F8610A"/>
    <w:rsid w:val="00F87282"/>
    <w:rsid w:val="00F878CD"/>
    <w:rsid w:val="00F87905"/>
    <w:rsid w:val="00F87A66"/>
    <w:rsid w:val="00F90C1F"/>
    <w:rsid w:val="00F912D9"/>
    <w:rsid w:val="00F91A44"/>
    <w:rsid w:val="00F91BFA"/>
    <w:rsid w:val="00F91F8F"/>
    <w:rsid w:val="00F9217B"/>
    <w:rsid w:val="00F94097"/>
    <w:rsid w:val="00F94668"/>
    <w:rsid w:val="00F97A34"/>
    <w:rsid w:val="00F97E4A"/>
    <w:rsid w:val="00F97EA1"/>
    <w:rsid w:val="00FA003A"/>
    <w:rsid w:val="00FA05C8"/>
    <w:rsid w:val="00FA0678"/>
    <w:rsid w:val="00FA095D"/>
    <w:rsid w:val="00FA0DB6"/>
    <w:rsid w:val="00FA1A2B"/>
    <w:rsid w:val="00FA23F7"/>
    <w:rsid w:val="00FA27EB"/>
    <w:rsid w:val="00FA35B6"/>
    <w:rsid w:val="00FA3983"/>
    <w:rsid w:val="00FA3EBC"/>
    <w:rsid w:val="00FA423C"/>
    <w:rsid w:val="00FA44D0"/>
    <w:rsid w:val="00FA4590"/>
    <w:rsid w:val="00FA511C"/>
    <w:rsid w:val="00FA55A2"/>
    <w:rsid w:val="00FA672F"/>
    <w:rsid w:val="00FA76D2"/>
    <w:rsid w:val="00FA775E"/>
    <w:rsid w:val="00FA7792"/>
    <w:rsid w:val="00FA7AA8"/>
    <w:rsid w:val="00FA7D4B"/>
    <w:rsid w:val="00FA7F1D"/>
    <w:rsid w:val="00FB011C"/>
    <w:rsid w:val="00FB0D60"/>
    <w:rsid w:val="00FB1824"/>
    <w:rsid w:val="00FB18FD"/>
    <w:rsid w:val="00FB237A"/>
    <w:rsid w:val="00FB24FA"/>
    <w:rsid w:val="00FB2A28"/>
    <w:rsid w:val="00FB2BF5"/>
    <w:rsid w:val="00FB2D20"/>
    <w:rsid w:val="00FB2F8E"/>
    <w:rsid w:val="00FB30C3"/>
    <w:rsid w:val="00FB39B0"/>
    <w:rsid w:val="00FB5138"/>
    <w:rsid w:val="00FB547F"/>
    <w:rsid w:val="00FB5A71"/>
    <w:rsid w:val="00FB63F6"/>
    <w:rsid w:val="00FB7823"/>
    <w:rsid w:val="00FC05B2"/>
    <w:rsid w:val="00FC08B3"/>
    <w:rsid w:val="00FC09D7"/>
    <w:rsid w:val="00FC0ABE"/>
    <w:rsid w:val="00FC1269"/>
    <w:rsid w:val="00FC1D87"/>
    <w:rsid w:val="00FC22D0"/>
    <w:rsid w:val="00FC249A"/>
    <w:rsid w:val="00FC2F32"/>
    <w:rsid w:val="00FC38D4"/>
    <w:rsid w:val="00FC391E"/>
    <w:rsid w:val="00FC39B3"/>
    <w:rsid w:val="00FC3BB7"/>
    <w:rsid w:val="00FC4345"/>
    <w:rsid w:val="00FC444A"/>
    <w:rsid w:val="00FC453D"/>
    <w:rsid w:val="00FC4A89"/>
    <w:rsid w:val="00FC619B"/>
    <w:rsid w:val="00FC665F"/>
    <w:rsid w:val="00FC6C35"/>
    <w:rsid w:val="00FC6D59"/>
    <w:rsid w:val="00FC6E83"/>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04D"/>
    <w:rsid w:val="00FE033F"/>
    <w:rsid w:val="00FE07A8"/>
    <w:rsid w:val="00FE091E"/>
    <w:rsid w:val="00FE0AD1"/>
    <w:rsid w:val="00FE0CC0"/>
    <w:rsid w:val="00FE1852"/>
    <w:rsid w:val="00FE194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A8"/>
    <w:rsid w:val="00FF1AD3"/>
    <w:rsid w:val="00FF1B46"/>
    <w:rsid w:val="00FF219D"/>
    <w:rsid w:val="00FF2A7B"/>
    <w:rsid w:val="00FF31B5"/>
    <w:rsid w:val="00FF3D2B"/>
    <w:rsid w:val="00FF49B4"/>
    <w:rsid w:val="00FF49F4"/>
    <w:rsid w:val="00FF5C6A"/>
    <w:rsid w:val="00FF608A"/>
    <w:rsid w:val="00FF651D"/>
    <w:rsid w:val="00FF6843"/>
    <w:rsid w:val="00FF6C25"/>
    <w:rsid w:val="00FF6E5B"/>
    <w:rsid w:val="010651D9"/>
    <w:rsid w:val="011F6449"/>
    <w:rsid w:val="0120006A"/>
    <w:rsid w:val="01236AFB"/>
    <w:rsid w:val="01260E98"/>
    <w:rsid w:val="019F7441"/>
    <w:rsid w:val="01B37585"/>
    <w:rsid w:val="01D55165"/>
    <w:rsid w:val="01DF61C5"/>
    <w:rsid w:val="01DF6BF8"/>
    <w:rsid w:val="01EC2C57"/>
    <w:rsid w:val="022B10F9"/>
    <w:rsid w:val="023F2A53"/>
    <w:rsid w:val="024C0BFD"/>
    <w:rsid w:val="024F6A76"/>
    <w:rsid w:val="025A34EF"/>
    <w:rsid w:val="02650493"/>
    <w:rsid w:val="026B2E25"/>
    <w:rsid w:val="026C2BD6"/>
    <w:rsid w:val="02824D4D"/>
    <w:rsid w:val="02DC4B10"/>
    <w:rsid w:val="02DD76CE"/>
    <w:rsid w:val="02F36323"/>
    <w:rsid w:val="02F5619C"/>
    <w:rsid w:val="0326446A"/>
    <w:rsid w:val="032D5555"/>
    <w:rsid w:val="03604B36"/>
    <w:rsid w:val="036634D2"/>
    <w:rsid w:val="03975C7F"/>
    <w:rsid w:val="03D318FF"/>
    <w:rsid w:val="03DD35E4"/>
    <w:rsid w:val="03EA2651"/>
    <w:rsid w:val="04076900"/>
    <w:rsid w:val="04173BBA"/>
    <w:rsid w:val="041A5A3B"/>
    <w:rsid w:val="042311BA"/>
    <w:rsid w:val="04277401"/>
    <w:rsid w:val="042B157A"/>
    <w:rsid w:val="04745EB1"/>
    <w:rsid w:val="048F763B"/>
    <w:rsid w:val="049F330E"/>
    <w:rsid w:val="04AA775C"/>
    <w:rsid w:val="04AF1889"/>
    <w:rsid w:val="04F66F48"/>
    <w:rsid w:val="05251E14"/>
    <w:rsid w:val="058B39C0"/>
    <w:rsid w:val="05A16594"/>
    <w:rsid w:val="05A7762D"/>
    <w:rsid w:val="060E5941"/>
    <w:rsid w:val="06110FAF"/>
    <w:rsid w:val="06493CA7"/>
    <w:rsid w:val="065A6178"/>
    <w:rsid w:val="066F1CF3"/>
    <w:rsid w:val="06930BB8"/>
    <w:rsid w:val="07245D42"/>
    <w:rsid w:val="07264C62"/>
    <w:rsid w:val="07656115"/>
    <w:rsid w:val="0779354C"/>
    <w:rsid w:val="07885862"/>
    <w:rsid w:val="07A96C95"/>
    <w:rsid w:val="08061376"/>
    <w:rsid w:val="08452D77"/>
    <w:rsid w:val="086401F8"/>
    <w:rsid w:val="086929F5"/>
    <w:rsid w:val="08751CAA"/>
    <w:rsid w:val="087E4C40"/>
    <w:rsid w:val="08890636"/>
    <w:rsid w:val="08AB29C6"/>
    <w:rsid w:val="08D66AD6"/>
    <w:rsid w:val="08DA33A3"/>
    <w:rsid w:val="08E80F13"/>
    <w:rsid w:val="09335624"/>
    <w:rsid w:val="09357238"/>
    <w:rsid w:val="0944690F"/>
    <w:rsid w:val="09535675"/>
    <w:rsid w:val="095B7898"/>
    <w:rsid w:val="095F057D"/>
    <w:rsid w:val="09642282"/>
    <w:rsid w:val="09733572"/>
    <w:rsid w:val="09772C16"/>
    <w:rsid w:val="098353B5"/>
    <w:rsid w:val="09A92330"/>
    <w:rsid w:val="09B06B87"/>
    <w:rsid w:val="09C13146"/>
    <w:rsid w:val="09E04166"/>
    <w:rsid w:val="0A1C0718"/>
    <w:rsid w:val="0A3E7710"/>
    <w:rsid w:val="0A5B7E63"/>
    <w:rsid w:val="0A7F7F97"/>
    <w:rsid w:val="0AA374A5"/>
    <w:rsid w:val="0AAB7649"/>
    <w:rsid w:val="0AAF21C5"/>
    <w:rsid w:val="0ABC5606"/>
    <w:rsid w:val="0B024724"/>
    <w:rsid w:val="0B185CF6"/>
    <w:rsid w:val="0B1E3145"/>
    <w:rsid w:val="0B30404E"/>
    <w:rsid w:val="0B4C6C14"/>
    <w:rsid w:val="0B631A88"/>
    <w:rsid w:val="0B683D45"/>
    <w:rsid w:val="0B6E1DBA"/>
    <w:rsid w:val="0B7F3F11"/>
    <w:rsid w:val="0B884417"/>
    <w:rsid w:val="0B995089"/>
    <w:rsid w:val="0BF6188C"/>
    <w:rsid w:val="0BF73C91"/>
    <w:rsid w:val="0C0701CD"/>
    <w:rsid w:val="0C170175"/>
    <w:rsid w:val="0C257A64"/>
    <w:rsid w:val="0C571A41"/>
    <w:rsid w:val="0C5C1171"/>
    <w:rsid w:val="0C5E1CBC"/>
    <w:rsid w:val="0C615B50"/>
    <w:rsid w:val="0C840344"/>
    <w:rsid w:val="0C8445DA"/>
    <w:rsid w:val="0C87121B"/>
    <w:rsid w:val="0CC007F7"/>
    <w:rsid w:val="0CFE707A"/>
    <w:rsid w:val="0D03485F"/>
    <w:rsid w:val="0D063BDA"/>
    <w:rsid w:val="0D08375F"/>
    <w:rsid w:val="0D184CFB"/>
    <w:rsid w:val="0D2412E4"/>
    <w:rsid w:val="0D2804A9"/>
    <w:rsid w:val="0D4A7419"/>
    <w:rsid w:val="0D827401"/>
    <w:rsid w:val="0D84094E"/>
    <w:rsid w:val="0D8A00E9"/>
    <w:rsid w:val="0D8D589E"/>
    <w:rsid w:val="0DA01C73"/>
    <w:rsid w:val="0DD63300"/>
    <w:rsid w:val="0DF50604"/>
    <w:rsid w:val="0DF67DF0"/>
    <w:rsid w:val="0DF702FE"/>
    <w:rsid w:val="0E060E51"/>
    <w:rsid w:val="0E0C6608"/>
    <w:rsid w:val="0E5604B2"/>
    <w:rsid w:val="0E6D5D79"/>
    <w:rsid w:val="0E8F43C2"/>
    <w:rsid w:val="0E9D0089"/>
    <w:rsid w:val="0EB803EE"/>
    <w:rsid w:val="0EF94D4B"/>
    <w:rsid w:val="0F062EFA"/>
    <w:rsid w:val="0F0A79A3"/>
    <w:rsid w:val="0F4958DC"/>
    <w:rsid w:val="0F515DF7"/>
    <w:rsid w:val="0F596BA8"/>
    <w:rsid w:val="0F5A2BFE"/>
    <w:rsid w:val="0F6248D2"/>
    <w:rsid w:val="0F693536"/>
    <w:rsid w:val="0F7B0511"/>
    <w:rsid w:val="0F7B76D9"/>
    <w:rsid w:val="0F816ACD"/>
    <w:rsid w:val="0F9832DB"/>
    <w:rsid w:val="0FBF3FD2"/>
    <w:rsid w:val="0FBF7FF3"/>
    <w:rsid w:val="10646583"/>
    <w:rsid w:val="10765998"/>
    <w:rsid w:val="107D4B15"/>
    <w:rsid w:val="108A3C80"/>
    <w:rsid w:val="1097590F"/>
    <w:rsid w:val="10C26171"/>
    <w:rsid w:val="10F33360"/>
    <w:rsid w:val="10FC16EA"/>
    <w:rsid w:val="110E10F1"/>
    <w:rsid w:val="110F1D40"/>
    <w:rsid w:val="111B02EE"/>
    <w:rsid w:val="11266F33"/>
    <w:rsid w:val="11274EE5"/>
    <w:rsid w:val="118253BD"/>
    <w:rsid w:val="118963A1"/>
    <w:rsid w:val="11A96BF0"/>
    <w:rsid w:val="11C6522A"/>
    <w:rsid w:val="11DB01A5"/>
    <w:rsid w:val="11DB7CE5"/>
    <w:rsid w:val="11E104CC"/>
    <w:rsid w:val="11E20309"/>
    <w:rsid w:val="12244F80"/>
    <w:rsid w:val="12255233"/>
    <w:rsid w:val="12425176"/>
    <w:rsid w:val="12530213"/>
    <w:rsid w:val="125C6E10"/>
    <w:rsid w:val="127723A9"/>
    <w:rsid w:val="12862074"/>
    <w:rsid w:val="12883966"/>
    <w:rsid w:val="129E45B4"/>
    <w:rsid w:val="12D81596"/>
    <w:rsid w:val="12D9499C"/>
    <w:rsid w:val="12ED1EA1"/>
    <w:rsid w:val="13072A44"/>
    <w:rsid w:val="13122DFA"/>
    <w:rsid w:val="135F4BE2"/>
    <w:rsid w:val="137D0DEC"/>
    <w:rsid w:val="139B1A0A"/>
    <w:rsid w:val="139D25C7"/>
    <w:rsid w:val="13BF3CE4"/>
    <w:rsid w:val="1403429C"/>
    <w:rsid w:val="141008D8"/>
    <w:rsid w:val="14125FE6"/>
    <w:rsid w:val="146D271E"/>
    <w:rsid w:val="148F7C0F"/>
    <w:rsid w:val="14982588"/>
    <w:rsid w:val="149A5AD9"/>
    <w:rsid w:val="14A7619D"/>
    <w:rsid w:val="150536C3"/>
    <w:rsid w:val="15085646"/>
    <w:rsid w:val="150C1963"/>
    <w:rsid w:val="151447A0"/>
    <w:rsid w:val="154A6454"/>
    <w:rsid w:val="156669A8"/>
    <w:rsid w:val="15762120"/>
    <w:rsid w:val="15A9411A"/>
    <w:rsid w:val="15B351E1"/>
    <w:rsid w:val="15DB004C"/>
    <w:rsid w:val="15EC04AB"/>
    <w:rsid w:val="161659E7"/>
    <w:rsid w:val="16715E17"/>
    <w:rsid w:val="16A8729C"/>
    <w:rsid w:val="16B33777"/>
    <w:rsid w:val="16BC70A7"/>
    <w:rsid w:val="16C6339E"/>
    <w:rsid w:val="17042E02"/>
    <w:rsid w:val="170A15C8"/>
    <w:rsid w:val="172F2D79"/>
    <w:rsid w:val="17557BEF"/>
    <w:rsid w:val="17784B61"/>
    <w:rsid w:val="17BE19D3"/>
    <w:rsid w:val="17D349C1"/>
    <w:rsid w:val="17F33351"/>
    <w:rsid w:val="1807554D"/>
    <w:rsid w:val="18144782"/>
    <w:rsid w:val="1830729E"/>
    <w:rsid w:val="184A0353"/>
    <w:rsid w:val="18533FE4"/>
    <w:rsid w:val="1870062C"/>
    <w:rsid w:val="18817102"/>
    <w:rsid w:val="18830A15"/>
    <w:rsid w:val="18852B28"/>
    <w:rsid w:val="188B5321"/>
    <w:rsid w:val="18FC2175"/>
    <w:rsid w:val="19022756"/>
    <w:rsid w:val="1980756A"/>
    <w:rsid w:val="19932372"/>
    <w:rsid w:val="19A20DD5"/>
    <w:rsid w:val="19AE03F1"/>
    <w:rsid w:val="1A071A03"/>
    <w:rsid w:val="1A1F16AE"/>
    <w:rsid w:val="1A3B5C77"/>
    <w:rsid w:val="1A9009AD"/>
    <w:rsid w:val="1A91693E"/>
    <w:rsid w:val="1A984BAD"/>
    <w:rsid w:val="1AB8220E"/>
    <w:rsid w:val="1AE4166C"/>
    <w:rsid w:val="1AF06CFB"/>
    <w:rsid w:val="1AF11B8D"/>
    <w:rsid w:val="1B11359C"/>
    <w:rsid w:val="1B2163CC"/>
    <w:rsid w:val="1B2A271F"/>
    <w:rsid w:val="1B530544"/>
    <w:rsid w:val="1B56689D"/>
    <w:rsid w:val="1B713184"/>
    <w:rsid w:val="1BA101B7"/>
    <w:rsid w:val="1BA209CF"/>
    <w:rsid w:val="1BA64C58"/>
    <w:rsid w:val="1BB4777D"/>
    <w:rsid w:val="1BD75AB8"/>
    <w:rsid w:val="1C0459C2"/>
    <w:rsid w:val="1C1B3B4A"/>
    <w:rsid w:val="1C7B4364"/>
    <w:rsid w:val="1C88086E"/>
    <w:rsid w:val="1D266CE1"/>
    <w:rsid w:val="1D3963AF"/>
    <w:rsid w:val="1D6A673C"/>
    <w:rsid w:val="1D9247AE"/>
    <w:rsid w:val="1DB567EC"/>
    <w:rsid w:val="1DF51A98"/>
    <w:rsid w:val="1E2F362A"/>
    <w:rsid w:val="1E360FF1"/>
    <w:rsid w:val="1E3D060F"/>
    <w:rsid w:val="1E3F7D2E"/>
    <w:rsid w:val="1E4134E4"/>
    <w:rsid w:val="1E5062B3"/>
    <w:rsid w:val="1E523514"/>
    <w:rsid w:val="1E5B1448"/>
    <w:rsid w:val="1E714A66"/>
    <w:rsid w:val="1E802593"/>
    <w:rsid w:val="1E82212B"/>
    <w:rsid w:val="1EA703CC"/>
    <w:rsid w:val="1EB7330C"/>
    <w:rsid w:val="1EBC6746"/>
    <w:rsid w:val="1EE44A2B"/>
    <w:rsid w:val="1EF503D0"/>
    <w:rsid w:val="1F0A0FF3"/>
    <w:rsid w:val="1F5771FF"/>
    <w:rsid w:val="1F691DB5"/>
    <w:rsid w:val="1F6966C8"/>
    <w:rsid w:val="1F8D0BD7"/>
    <w:rsid w:val="1FE868A9"/>
    <w:rsid w:val="20034907"/>
    <w:rsid w:val="20173E4B"/>
    <w:rsid w:val="204E48BC"/>
    <w:rsid w:val="20696A4F"/>
    <w:rsid w:val="207277FE"/>
    <w:rsid w:val="208921B3"/>
    <w:rsid w:val="20973DEB"/>
    <w:rsid w:val="20A86FEA"/>
    <w:rsid w:val="20B26522"/>
    <w:rsid w:val="20B44310"/>
    <w:rsid w:val="20D517C4"/>
    <w:rsid w:val="20E13D6B"/>
    <w:rsid w:val="211116EB"/>
    <w:rsid w:val="214C3C4D"/>
    <w:rsid w:val="216133FC"/>
    <w:rsid w:val="21D56769"/>
    <w:rsid w:val="21E52EF3"/>
    <w:rsid w:val="21EB7203"/>
    <w:rsid w:val="21FB5D7B"/>
    <w:rsid w:val="220129F6"/>
    <w:rsid w:val="220B1C3D"/>
    <w:rsid w:val="221D1D20"/>
    <w:rsid w:val="222039B6"/>
    <w:rsid w:val="22334A87"/>
    <w:rsid w:val="22435A01"/>
    <w:rsid w:val="229210CE"/>
    <w:rsid w:val="22BE6801"/>
    <w:rsid w:val="22E73A08"/>
    <w:rsid w:val="2324347E"/>
    <w:rsid w:val="233500BF"/>
    <w:rsid w:val="23377FF7"/>
    <w:rsid w:val="234A5230"/>
    <w:rsid w:val="236B425F"/>
    <w:rsid w:val="23836192"/>
    <w:rsid w:val="23901F29"/>
    <w:rsid w:val="239C0061"/>
    <w:rsid w:val="23B908A4"/>
    <w:rsid w:val="23BE0115"/>
    <w:rsid w:val="23E95BEF"/>
    <w:rsid w:val="23FD0064"/>
    <w:rsid w:val="241F1A4B"/>
    <w:rsid w:val="245375B0"/>
    <w:rsid w:val="24642C0A"/>
    <w:rsid w:val="246A5BF5"/>
    <w:rsid w:val="24B22173"/>
    <w:rsid w:val="24B95AD9"/>
    <w:rsid w:val="24BE24DA"/>
    <w:rsid w:val="24CF5825"/>
    <w:rsid w:val="24D663E6"/>
    <w:rsid w:val="24D77F2B"/>
    <w:rsid w:val="2554491A"/>
    <w:rsid w:val="258B00E2"/>
    <w:rsid w:val="258E0C37"/>
    <w:rsid w:val="25A917A6"/>
    <w:rsid w:val="25BE27CC"/>
    <w:rsid w:val="25C23F72"/>
    <w:rsid w:val="25F74A5C"/>
    <w:rsid w:val="262801C8"/>
    <w:rsid w:val="2628662C"/>
    <w:rsid w:val="262D45DE"/>
    <w:rsid w:val="264A0B30"/>
    <w:rsid w:val="266D3134"/>
    <w:rsid w:val="2681079B"/>
    <w:rsid w:val="269E759F"/>
    <w:rsid w:val="26A53EF9"/>
    <w:rsid w:val="26A94201"/>
    <w:rsid w:val="26AC274F"/>
    <w:rsid w:val="26B9175D"/>
    <w:rsid w:val="26BB47D1"/>
    <w:rsid w:val="27044A29"/>
    <w:rsid w:val="270C2948"/>
    <w:rsid w:val="271D34C8"/>
    <w:rsid w:val="2746416C"/>
    <w:rsid w:val="275C2BD9"/>
    <w:rsid w:val="276142BF"/>
    <w:rsid w:val="27783712"/>
    <w:rsid w:val="27907362"/>
    <w:rsid w:val="27B150B0"/>
    <w:rsid w:val="27D2429A"/>
    <w:rsid w:val="28333E1D"/>
    <w:rsid w:val="28454BD6"/>
    <w:rsid w:val="28455253"/>
    <w:rsid w:val="284A0FF5"/>
    <w:rsid w:val="28551971"/>
    <w:rsid w:val="285B1C53"/>
    <w:rsid w:val="289F7086"/>
    <w:rsid w:val="28C32028"/>
    <w:rsid w:val="28CB64EB"/>
    <w:rsid w:val="28CC490F"/>
    <w:rsid w:val="28DE40AA"/>
    <w:rsid w:val="29345E77"/>
    <w:rsid w:val="294C65AD"/>
    <w:rsid w:val="29806583"/>
    <w:rsid w:val="298B3C4C"/>
    <w:rsid w:val="29F26D24"/>
    <w:rsid w:val="29F84342"/>
    <w:rsid w:val="2A15033F"/>
    <w:rsid w:val="2A1662C1"/>
    <w:rsid w:val="2A1C7367"/>
    <w:rsid w:val="2A2815FA"/>
    <w:rsid w:val="2A4D7312"/>
    <w:rsid w:val="2A6D6092"/>
    <w:rsid w:val="2A7D76B4"/>
    <w:rsid w:val="2B437463"/>
    <w:rsid w:val="2B443561"/>
    <w:rsid w:val="2B7807EE"/>
    <w:rsid w:val="2BB83BEA"/>
    <w:rsid w:val="2BBF00EC"/>
    <w:rsid w:val="2BC37CFD"/>
    <w:rsid w:val="2BD5237F"/>
    <w:rsid w:val="2BD96984"/>
    <w:rsid w:val="2BE536CE"/>
    <w:rsid w:val="2BE758D9"/>
    <w:rsid w:val="2C0004FA"/>
    <w:rsid w:val="2C085189"/>
    <w:rsid w:val="2C09049E"/>
    <w:rsid w:val="2C0A653C"/>
    <w:rsid w:val="2C0F02F4"/>
    <w:rsid w:val="2C191F85"/>
    <w:rsid w:val="2C3139CF"/>
    <w:rsid w:val="2C58133E"/>
    <w:rsid w:val="2C6C7DEF"/>
    <w:rsid w:val="2C9D0FFC"/>
    <w:rsid w:val="2CE82D6F"/>
    <w:rsid w:val="2D343236"/>
    <w:rsid w:val="2D4D3ECB"/>
    <w:rsid w:val="2DD15014"/>
    <w:rsid w:val="2DF72DE4"/>
    <w:rsid w:val="2E0220AF"/>
    <w:rsid w:val="2E4B082A"/>
    <w:rsid w:val="2E5D4E86"/>
    <w:rsid w:val="2E5D790B"/>
    <w:rsid w:val="2E9A3C18"/>
    <w:rsid w:val="2EBB0FEE"/>
    <w:rsid w:val="2EC63002"/>
    <w:rsid w:val="2EE90CDE"/>
    <w:rsid w:val="2F0A6B38"/>
    <w:rsid w:val="2F2919D0"/>
    <w:rsid w:val="2F946CCB"/>
    <w:rsid w:val="2FCD07FA"/>
    <w:rsid w:val="2FD25781"/>
    <w:rsid w:val="2FF41FDE"/>
    <w:rsid w:val="2FFD7934"/>
    <w:rsid w:val="30471E1A"/>
    <w:rsid w:val="30596DAB"/>
    <w:rsid w:val="30733ACD"/>
    <w:rsid w:val="308C3862"/>
    <w:rsid w:val="309379D8"/>
    <w:rsid w:val="30937A49"/>
    <w:rsid w:val="30A270F7"/>
    <w:rsid w:val="30A9072B"/>
    <w:rsid w:val="30DF1478"/>
    <w:rsid w:val="30EC586F"/>
    <w:rsid w:val="3105779E"/>
    <w:rsid w:val="31112756"/>
    <w:rsid w:val="31500C26"/>
    <w:rsid w:val="319C6071"/>
    <w:rsid w:val="31AC537E"/>
    <w:rsid w:val="31C51B88"/>
    <w:rsid w:val="31E3679B"/>
    <w:rsid w:val="31E51E01"/>
    <w:rsid w:val="31E732FD"/>
    <w:rsid w:val="32517576"/>
    <w:rsid w:val="3287131A"/>
    <w:rsid w:val="32A22167"/>
    <w:rsid w:val="32BE5C2C"/>
    <w:rsid w:val="32FB6478"/>
    <w:rsid w:val="33263B3F"/>
    <w:rsid w:val="33380434"/>
    <w:rsid w:val="33636BD2"/>
    <w:rsid w:val="336963EB"/>
    <w:rsid w:val="336C4FD9"/>
    <w:rsid w:val="337C1C26"/>
    <w:rsid w:val="33816EEB"/>
    <w:rsid w:val="33C9028D"/>
    <w:rsid w:val="33D94636"/>
    <w:rsid w:val="33E03C4D"/>
    <w:rsid w:val="33EB55CD"/>
    <w:rsid w:val="33EC4C02"/>
    <w:rsid w:val="340D2360"/>
    <w:rsid w:val="3410665D"/>
    <w:rsid w:val="3413690A"/>
    <w:rsid w:val="34211214"/>
    <w:rsid w:val="342E63AB"/>
    <w:rsid w:val="3490769C"/>
    <w:rsid w:val="34950E68"/>
    <w:rsid w:val="34986E94"/>
    <w:rsid w:val="34AF62C9"/>
    <w:rsid w:val="34CB4388"/>
    <w:rsid w:val="34FA6E12"/>
    <w:rsid w:val="35260E8C"/>
    <w:rsid w:val="35440C51"/>
    <w:rsid w:val="35530223"/>
    <w:rsid w:val="358D5588"/>
    <w:rsid w:val="358E07DF"/>
    <w:rsid w:val="35B117AD"/>
    <w:rsid w:val="35CD5AA2"/>
    <w:rsid w:val="36140CC0"/>
    <w:rsid w:val="363A3B40"/>
    <w:rsid w:val="365302AE"/>
    <w:rsid w:val="36607A0A"/>
    <w:rsid w:val="366E227C"/>
    <w:rsid w:val="366F2E0D"/>
    <w:rsid w:val="367B6A5C"/>
    <w:rsid w:val="36A74ADA"/>
    <w:rsid w:val="36AD60D5"/>
    <w:rsid w:val="36B224F9"/>
    <w:rsid w:val="36DA584C"/>
    <w:rsid w:val="36EC0CC9"/>
    <w:rsid w:val="373F410B"/>
    <w:rsid w:val="37837B24"/>
    <w:rsid w:val="37DB629B"/>
    <w:rsid w:val="37EE7094"/>
    <w:rsid w:val="38296C89"/>
    <w:rsid w:val="383002EB"/>
    <w:rsid w:val="38586797"/>
    <w:rsid w:val="386817BB"/>
    <w:rsid w:val="38BC0149"/>
    <w:rsid w:val="38D87D1C"/>
    <w:rsid w:val="39636459"/>
    <w:rsid w:val="39647F89"/>
    <w:rsid w:val="396B7F6C"/>
    <w:rsid w:val="396D6BCB"/>
    <w:rsid w:val="39B417A9"/>
    <w:rsid w:val="39FC5695"/>
    <w:rsid w:val="3A006D8E"/>
    <w:rsid w:val="3A0A0C34"/>
    <w:rsid w:val="3A3651E5"/>
    <w:rsid w:val="3A5E29F9"/>
    <w:rsid w:val="3A744481"/>
    <w:rsid w:val="3A8C7BEF"/>
    <w:rsid w:val="3A906246"/>
    <w:rsid w:val="3B2349B7"/>
    <w:rsid w:val="3B410F13"/>
    <w:rsid w:val="3B616CFF"/>
    <w:rsid w:val="3B6259F6"/>
    <w:rsid w:val="3B976654"/>
    <w:rsid w:val="3BC01EFC"/>
    <w:rsid w:val="3BCA786A"/>
    <w:rsid w:val="3BCD02B3"/>
    <w:rsid w:val="3BD31E2F"/>
    <w:rsid w:val="3BF15831"/>
    <w:rsid w:val="3C105946"/>
    <w:rsid w:val="3C212ABA"/>
    <w:rsid w:val="3C471448"/>
    <w:rsid w:val="3C5F759A"/>
    <w:rsid w:val="3C6C525A"/>
    <w:rsid w:val="3CAB143F"/>
    <w:rsid w:val="3CB920FA"/>
    <w:rsid w:val="3CCE23CB"/>
    <w:rsid w:val="3CD17D17"/>
    <w:rsid w:val="3D2A703F"/>
    <w:rsid w:val="3D3C7F39"/>
    <w:rsid w:val="3D440F09"/>
    <w:rsid w:val="3D4504A0"/>
    <w:rsid w:val="3D65276D"/>
    <w:rsid w:val="3D8734BB"/>
    <w:rsid w:val="3D9A11D4"/>
    <w:rsid w:val="3DA16D89"/>
    <w:rsid w:val="3DA364BE"/>
    <w:rsid w:val="3DE041CB"/>
    <w:rsid w:val="3DE2456D"/>
    <w:rsid w:val="3DE636EB"/>
    <w:rsid w:val="3E0D48F6"/>
    <w:rsid w:val="3E1868B4"/>
    <w:rsid w:val="3E377251"/>
    <w:rsid w:val="3E3D71B9"/>
    <w:rsid w:val="3E42664B"/>
    <w:rsid w:val="3E5A7334"/>
    <w:rsid w:val="3E7B5D6B"/>
    <w:rsid w:val="3E843E66"/>
    <w:rsid w:val="3E8F51FE"/>
    <w:rsid w:val="3E926F87"/>
    <w:rsid w:val="3E9A59DE"/>
    <w:rsid w:val="3EAF4836"/>
    <w:rsid w:val="3EC33DFA"/>
    <w:rsid w:val="3F060E16"/>
    <w:rsid w:val="3F1D1096"/>
    <w:rsid w:val="3F2F0234"/>
    <w:rsid w:val="3F6363FE"/>
    <w:rsid w:val="3F6532F2"/>
    <w:rsid w:val="3F756B8F"/>
    <w:rsid w:val="3F95482B"/>
    <w:rsid w:val="4019356B"/>
    <w:rsid w:val="401B0862"/>
    <w:rsid w:val="401F27C9"/>
    <w:rsid w:val="402402AE"/>
    <w:rsid w:val="40592157"/>
    <w:rsid w:val="406E1CAE"/>
    <w:rsid w:val="40A0133A"/>
    <w:rsid w:val="40C31A53"/>
    <w:rsid w:val="40FF545D"/>
    <w:rsid w:val="410067C8"/>
    <w:rsid w:val="41383E22"/>
    <w:rsid w:val="413C4507"/>
    <w:rsid w:val="414B79D2"/>
    <w:rsid w:val="418F0D2A"/>
    <w:rsid w:val="41AF32FF"/>
    <w:rsid w:val="41D01505"/>
    <w:rsid w:val="42474939"/>
    <w:rsid w:val="424C3C57"/>
    <w:rsid w:val="426043A2"/>
    <w:rsid w:val="42613FF3"/>
    <w:rsid w:val="42660D96"/>
    <w:rsid w:val="42752F31"/>
    <w:rsid w:val="428667D2"/>
    <w:rsid w:val="42C024C7"/>
    <w:rsid w:val="42CD1CE0"/>
    <w:rsid w:val="42E1381E"/>
    <w:rsid w:val="42ED6459"/>
    <w:rsid w:val="42FE58DD"/>
    <w:rsid w:val="43174B3D"/>
    <w:rsid w:val="432602A9"/>
    <w:rsid w:val="434A1377"/>
    <w:rsid w:val="434B790E"/>
    <w:rsid w:val="4360274F"/>
    <w:rsid w:val="43977AB6"/>
    <w:rsid w:val="43A3342B"/>
    <w:rsid w:val="43C77C27"/>
    <w:rsid w:val="43DE09EE"/>
    <w:rsid w:val="44002FAD"/>
    <w:rsid w:val="443244F7"/>
    <w:rsid w:val="4459699D"/>
    <w:rsid w:val="449101DD"/>
    <w:rsid w:val="44A96E38"/>
    <w:rsid w:val="44DE1391"/>
    <w:rsid w:val="450F4A4B"/>
    <w:rsid w:val="451B225C"/>
    <w:rsid w:val="452410C9"/>
    <w:rsid w:val="45317DFB"/>
    <w:rsid w:val="454915B8"/>
    <w:rsid w:val="456D3CE4"/>
    <w:rsid w:val="4579042C"/>
    <w:rsid w:val="457F0571"/>
    <w:rsid w:val="45851176"/>
    <w:rsid w:val="45BF61BF"/>
    <w:rsid w:val="45C63B94"/>
    <w:rsid w:val="45DD7344"/>
    <w:rsid w:val="45F15A9C"/>
    <w:rsid w:val="460E7DA5"/>
    <w:rsid w:val="46264834"/>
    <w:rsid w:val="46422483"/>
    <w:rsid w:val="4659254A"/>
    <w:rsid w:val="465B0637"/>
    <w:rsid w:val="465E3F0D"/>
    <w:rsid w:val="466A16E6"/>
    <w:rsid w:val="46893F2B"/>
    <w:rsid w:val="469F311A"/>
    <w:rsid w:val="46AE2A8F"/>
    <w:rsid w:val="46C4686E"/>
    <w:rsid w:val="47762C7D"/>
    <w:rsid w:val="477912EF"/>
    <w:rsid w:val="477B778F"/>
    <w:rsid w:val="478203EC"/>
    <w:rsid w:val="47B025FA"/>
    <w:rsid w:val="47BE4F54"/>
    <w:rsid w:val="4809698F"/>
    <w:rsid w:val="4811697D"/>
    <w:rsid w:val="482024E1"/>
    <w:rsid w:val="487A3E25"/>
    <w:rsid w:val="488B5503"/>
    <w:rsid w:val="48937E21"/>
    <w:rsid w:val="489A0361"/>
    <w:rsid w:val="48B94FF3"/>
    <w:rsid w:val="48E37AAB"/>
    <w:rsid w:val="48FD1849"/>
    <w:rsid w:val="48FD4B4C"/>
    <w:rsid w:val="490A68E0"/>
    <w:rsid w:val="491055FE"/>
    <w:rsid w:val="49307A8A"/>
    <w:rsid w:val="495F5B3E"/>
    <w:rsid w:val="496F77D7"/>
    <w:rsid w:val="49712F73"/>
    <w:rsid w:val="497654FD"/>
    <w:rsid w:val="49970EBB"/>
    <w:rsid w:val="49B64211"/>
    <w:rsid w:val="49BC0963"/>
    <w:rsid w:val="49D5385D"/>
    <w:rsid w:val="49F6167F"/>
    <w:rsid w:val="4A064FA0"/>
    <w:rsid w:val="4A16615C"/>
    <w:rsid w:val="4A4424D7"/>
    <w:rsid w:val="4A697CFB"/>
    <w:rsid w:val="4AB82D0F"/>
    <w:rsid w:val="4AB909D1"/>
    <w:rsid w:val="4AE65F38"/>
    <w:rsid w:val="4AEB7664"/>
    <w:rsid w:val="4AFD7C19"/>
    <w:rsid w:val="4B0567D1"/>
    <w:rsid w:val="4B07781E"/>
    <w:rsid w:val="4B236AAE"/>
    <w:rsid w:val="4B247FD7"/>
    <w:rsid w:val="4B4267C3"/>
    <w:rsid w:val="4B707271"/>
    <w:rsid w:val="4B9739F7"/>
    <w:rsid w:val="4BC27620"/>
    <w:rsid w:val="4BD02FA4"/>
    <w:rsid w:val="4BE37A13"/>
    <w:rsid w:val="4BEE2503"/>
    <w:rsid w:val="4C0575F5"/>
    <w:rsid w:val="4C1A1980"/>
    <w:rsid w:val="4C245A30"/>
    <w:rsid w:val="4C9C4528"/>
    <w:rsid w:val="4CB6685F"/>
    <w:rsid w:val="4CC367FE"/>
    <w:rsid w:val="4CEA2347"/>
    <w:rsid w:val="4CF65190"/>
    <w:rsid w:val="4D077F3C"/>
    <w:rsid w:val="4D123355"/>
    <w:rsid w:val="4D2A3B31"/>
    <w:rsid w:val="4D312C52"/>
    <w:rsid w:val="4D8C5C96"/>
    <w:rsid w:val="4D905305"/>
    <w:rsid w:val="4D964A72"/>
    <w:rsid w:val="4D995A9E"/>
    <w:rsid w:val="4D9C1254"/>
    <w:rsid w:val="4DB73C0B"/>
    <w:rsid w:val="4DF25957"/>
    <w:rsid w:val="4E462BC1"/>
    <w:rsid w:val="4E79292D"/>
    <w:rsid w:val="4E793892"/>
    <w:rsid w:val="4E800872"/>
    <w:rsid w:val="4EC569ED"/>
    <w:rsid w:val="4ED50EA1"/>
    <w:rsid w:val="4EEC050C"/>
    <w:rsid w:val="4F0C77A2"/>
    <w:rsid w:val="4F104EC3"/>
    <w:rsid w:val="4F47354A"/>
    <w:rsid w:val="4F7E1357"/>
    <w:rsid w:val="4F911C54"/>
    <w:rsid w:val="4FB5535D"/>
    <w:rsid w:val="4FE625E0"/>
    <w:rsid w:val="5009037C"/>
    <w:rsid w:val="5020391B"/>
    <w:rsid w:val="5021480F"/>
    <w:rsid w:val="5028468C"/>
    <w:rsid w:val="50962ECB"/>
    <w:rsid w:val="50A42E38"/>
    <w:rsid w:val="50A4577F"/>
    <w:rsid w:val="50B73D1F"/>
    <w:rsid w:val="50BD5BC9"/>
    <w:rsid w:val="50C11EEE"/>
    <w:rsid w:val="50E97CFC"/>
    <w:rsid w:val="50FA4028"/>
    <w:rsid w:val="510D65B7"/>
    <w:rsid w:val="511157AB"/>
    <w:rsid w:val="5142540C"/>
    <w:rsid w:val="518832C8"/>
    <w:rsid w:val="51932E4D"/>
    <w:rsid w:val="51A0432A"/>
    <w:rsid w:val="51A86090"/>
    <w:rsid w:val="51B0210F"/>
    <w:rsid w:val="51B7396D"/>
    <w:rsid w:val="51D874A6"/>
    <w:rsid w:val="520F6D3C"/>
    <w:rsid w:val="521B775A"/>
    <w:rsid w:val="522E4CC3"/>
    <w:rsid w:val="5244713B"/>
    <w:rsid w:val="52615633"/>
    <w:rsid w:val="52977FD4"/>
    <w:rsid w:val="52A25790"/>
    <w:rsid w:val="52A410B3"/>
    <w:rsid w:val="52A96B6F"/>
    <w:rsid w:val="52B45975"/>
    <w:rsid w:val="52D94AA4"/>
    <w:rsid w:val="52EA3A62"/>
    <w:rsid w:val="52F50BB8"/>
    <w:rsid w:val="53097272"/>
    <w:rsid w:val="5348751B"/>
    <w:rsid w:val="53544462"/>
    <w:rsid w:val="5397158E"/>
    <w:rsid w:val="54013861"/>
    <w:rsid w:val="54245E6F"/>
    <w:rsid w:val="54487265"/>
    <w:rsid w:val="544D1B39"/>
    <w:rsid w:val="544D6070"/>
    <w:rsid w:val="54605E1E"/>
    <w:rsid w:val="548B182B"/>
    <w:rsid w:val="54B3506A"/>
    <w:rsid w:val="54C51E91"/>
    <w:rsid w:val="54CA0D16"/>
    <w:rsid w:val="54DD4057"/>
    <w:rsid w:val="54E7490F"/>
    <w:rsid w:val="550764A4"/>
    <w:rsid w:val="550B2BF6"/>
    <w:rsid w:val="55214EB5"/>
    <w:rsid w:val="55364EFD"/>
    <w:rsid w:val="555D4828"/>
    <w:rsid w:val="557A4C8B"/>
    <w:rsid w:val="558931E1"/>
    <w:rsid w:val="55923347"/>
    <w:rsid w:val="55925180"/>
    <w:rsid w:val="55983B1B"/>
    <w:rsid w:val="55A61974"/>
    <w:rsid w:val="55A8376B"/>
    <w:rsid w:val="55B17EA6"/>
    <w:rsid w:val="55DC29B6"/>
    <w:rsid w:val="55DD4241"/>
    <w:rsid w:val="56417E01"/>
    <w:rsid w:val="566B6D1E"/>
    <w:rsid w:val="56CE394C"/>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7E56CCC"/>
    <w:rsid w:val="584B3471"/>
    <w:rsid w:val="58917D2F"/>
    <w:rsid w:val="5894085C"/>
    <w:rsid w:val="58AE4F0C"/>
    <w:rsid w:val="58B85899"/>
    <w:rsid w:val="58E363A9"/>
    <w:rsid w:val="595E1678"/>
    <w:rsid w:val="59691F93"/>
    <w:rsid w:val="596D5BD4"/>
    <w:rsid w:val="597E3DD8"/>
    <w:rsid w:val="59BE1899"/>
    <w:rsid w:val="59ED3476"/>
    <w:rsid w:val="59F80043"/>
    <w:rsid w:val="5A09252F"/>
    <w:rsid w:val="5A0B2778"/>
    <w:rsid w:val="5A2A7C7B"/>
    <w:rsid w:val="5A312F94"/>
    <w:rsid w:val="5A3E2560"/>
    <w:rsid w:val="5A5D3B6E"/>
    <w:rsid w:val="5A5D684E"/>
    <w:rsid w:val="5A637A76"/>
    <w:rsid w:val="5A6D33BA"/>
    <w:rsid w:val="5A792B1F"/>
    <w:rsid w:val="5A824AAA"/>
    <w:rsid w:val="5A874767"/>
    <w:rsid w:val="5A9D0C4F"/>
    <w:rsid w:val="5AA71877"/>
    <w:rsid w:val="5AAD6F28"/>
    <w:rsid w:val="5AD63A24"/>
    <w:rsid w:val="5AF75FB2"/>
    <w:rsid w:val="5B1C7423"/>
    <w:rsid w:val="5B2E1A1D"/>
    <w:rsid w:val="5B843A1C"/>
    <w:rsid w:val="5B873E3F"/>
    <w:rsid w:val="5BE417F7"/>
    <w:rsid w:val="5BF216C3"/>
    <w:rsid w:val="5C02690E"/>
    <w:rsid w:val="5C196DA7"/>
    <w:rsid w:val="5C2A048C"/>
    <w:rsid w:val="5C496A99"/>
    <w:rsid w:val="5C6C0E01"/>
    <w:rsid w:val="5C80234E"/>
    <w:rsid w:val="5C8A680C"/>
    <w:rsid w:val="5C94755B"/>
    <w:rsid w:val="5C9800BC"/>
    <w:rsid w:val="5C9B365E"/>
    <w:rsid w:val="5CD07C61"/>
    <w:rsid w:val="5CEE19DF"/>
    <w:rsid w:val="5D0C4701"/>
    <w:rsid w:val="5D0F0395"/>
    <w:rsid w:val="5D221076"/>
    <w:rsid w:val="5D397964"/>
    <w:rsid w:val="5D465CA3"/>
    <w:rsid w:val="5D4A1228"/>
    <w:rsid w:val="5D534F4F"/>
    <w:rsid w:val="5D5A391C"/>
    <w:rsid w:val="5D5F10C0"/>
    <w:rsid w:val="5D687149"/>
    <w:rsid w:val="5D736A1E"/>
    <w:rsid w:val="5D891B7B"/>
    <w:rsid w:val="5D967765"/>
    <w:rsid w:val="5DAD38EE"/>
    <w:rsid w:val="5E006862"/>
    <w:rsid w:val="5E0207B9"/>
    <w:rsid w:val="5E041912"/>
    <w:rsid w:val="5E1834A1"/>
    <w:rsid w:val="5E261785"/>
    <w:rsid w:val="5E4A7017"/>
    <w:rsid w:val="5E50172C"/>
    <w:rsid w:val="5E552BBA"/>
    <w:rsid w:val="5E611C10"/>
    <w:rsid w:val="5E671A49"/>
    <w:rsid w:val="5E69089E"/>
    <w:rsid w:val="5E6A4482"/>
    <w:rsid w:val="5EA04525"/>
    <w:rsid w:val="5EF632C7"/>
    <w:rsid w:val="5EFC7377"/>
    <w:rsid w:val="5F06174D"/>
    <w:rsid w:val="5F246552"/>
    <w:rsid w:val="5F3A3602"/>
    <w:rsid w:val="5F6277C6"/>
    <w:rsid w:val="5F637717"/>
    <w:rsid w:val="5F6D0B1D"/>
    <w:rsid w:val="5F8D0B82"/>
    <w:rsid w:val="5FCC5339"/>
    <w:rsid w:val="5FE34A5B"/>
    <w:rsid w:val="5FEC38CE"/>
    <w:rsid w:val="5FFE1E36"/>
    <w:rsid w:val="60232584"/>
    <w:rsid w:val="603F2E02"/>
    <w:rsid w:val="607330CE"/>
    <w:rsid w:val="60825176"/>
    <w:rsid w:val="609F2AC4"/>
    <w:rsid w:val="60A528FF"/>
    <w:rsid w:val="60FA2EE8"/>
    <w:rsid w:val="61054A27"/>
    <w:rsid w:val="610A52BC"/>
    <w:rsid w:val="611D2366"/>
    <w:rsid w:val="61421856"/>
    <w:rsid w:val="615227C4"/>
    <w:rsid w:val="61654E3F"/>
    <w:rsid w:val="6182292A"/>
    <w:rsid w:val="619F7F92"/>
    <w:rsid w:val="61BC3E5A"/>
    <w:rsid w:val="61F94C26"/>
    <w:rsid w:val="62000E56"/>
    <w:rsid w:val="62013264"/>
    <w:rsid w:val="624F3E49"/>
    <w:rsid w:val="62632286"/>
    <w:rsid w:val="6280045C"/>
    <w:rsid w:val="62885958"/>
    <w:rsid w:val="629B0718"/>
    <w:rsid w:val="62F40B65"/>
    <w:rsid w:val="62FB040C"/>
    <w:rsid w:val="62FC2CFE"/>
    <w:rsid w:val="63024505"/>
    <w:rsid w:val="630F26B0"/>
    <w:rsid w:val="635B1DB5"/>
    <w:rsid w:val="63711FED"/>
    <w:rsid w:val="63880DDC"/>
    <w:rsid w:val="638D750D"/>
    <w:rsid w:val="63974D8E"/>
    <w:rsid w:val="63AC6CC0"/>
    <w:rsid w:val="64055776"/>
    <w:rsid w:val="64240056"/>
    <w:rsid w:val="643E143A"/>
    <w:rsid w:val="64603DFC"/>
    <w:rsid w:val="648B6EEF"/>
    <w:rsid w:val="64C158BF"/>
    <w:rsid w:val="64C463A3"/>
    <w:rsid w:val="64CE2EAA"/>
    <w:rsid w:val="64E42046"/>
    <w:rsid w:val="6530528B"/>
    <w:rsid w:val="653C3090"/>
    <w:rsid w:val="65702339"/>
    <w:rsid w:val="65854376"/>
    <w:rsid w:val="658767BE"/>
    <w:rsid w:val="65892531"/>
    <w:rsid w:val="658E26E3"/>
    <w:rsid w:val="65AF7B55"/>
    <w:rsid w:val="66195831"/>
    <w:rsid w:val="661974A2"/>
    <w:rsid w:val="662E75B1"/>
    <w:rsid w:val="662F72F1"/>
    <w:rsid w:val="66342C2E"/>
    <w:rsid w:val="663E784C"/>
    <w:rsid w:val="668B6A45"/>
    <w:rsid w:val="66E328B4"/>
    <w:rsid w:val="67135CE8"/>
    <w:rsid w:val="672F3F24"/>
    <w:rsid w:val="673E055F"/>
    <w:rsid w:val="673F2C7D"/>
    <w:rsid w:val="67551CE3"/>
    <w:rsid w:val="67A22552"/>
    <w:rsid w:val="67B0432D"/>
    <w:rsid w:val="67B22DCC"/>
    <w:rsid w:val="67BE71AA"/>
    <w:rsid w:val="67D90273"/>
    <w:rsid w:val="67DE5875"/>
    <w:rsid w:val="67E55852"/>
    <w:rsid w:val="67EB1AB4"/>
    <w:rsid w:val="67FA1285"/>
    <w:rsid w:val="67FD4D39"/>
    <w:rsid w:val="68273FF7"/>
    <w:rsid w:val="68551F4F"/>
    <w:rsid w:val="68737AFB"/>
    <w:rsid w:val="687C10C9"/>
    <w:rsid w:val="68840C16"/>
    <w:rsid w:val="68876EFB"/>
    <w:rsid w:val="68884654"/>
    <w:rsid w:val="689F444F"/>
    <w:rsid w:val="68AD1810"/>
    <w:rsid w:val="68B96DBB"/>
    <w:rsid w:val="68CA2805"/>
    <w:rsid w:val="68E937A3"/>
    <w:rsid w:val="693E15D3"/>
    <w:rsid w:val="69627681"/>
    <w:rsid w:val="6977531D"/>
    <w:rsid w:val="69CC2BFF"/>
    <w:rsid w:val="69FD55B8"/>
    <w:rsid w:val="6A025FC0"/>
    <w:rsid w:val="6A0B1C62"/>
    <w:rsid w:val="6A2406C8"/>
    <w:rsid w:val="6A343766"/>
    <w:rsid w:val="6ADE0BD1"/>
    <w:rsid w:val="6ADF4614"/>
    <w:rsid w:val="6AE96859"/>
    <w:rsid w:val="6B147746"/>
    <w:rsid w:val="6B24787C"/>
    <w:rsid w:val="6B460C38"/>
    <w:rsid w:val="6B573233"/>
    <w:rsid w:val="6B583B8B"/>
    <w:rsid w:val="6B5B6274"/>
    <w:rsid w:val="6B935D53"/>
    <w:rsid w:val="6BBE444C"/>
    <w:rsid w:val="6C196F71"/>
    <w:rsid w:val="6C226FCB"/>
    <w:rsid w:val="6C31226F"/>
    <w:rsid w:val="6C552F0B"/>
    <w:rsid w:val="6C8C67B7"/>
    <w:rsid w:val="6C9D744C"/>
    <w:rsid w:val="6CA04DB4"/>
    <w:rsid w:val="6CAC1AE4"/>
    <w:rsid w:val="6CB71A8D"/>
    <w:rsid w:val="6D167928"/>
    <w:rsid w:val="6D26299B"/>
    <w:rsid w:val="6D3D22B1"/>
    <w:rsid w:val="6D4772EC"/>
    <w:rsid w:val="6D48513C"/>
    <w:rsid w:val="6D5955CE"/>
    <w:rsid w:val="6D9078AF"/>
    <w:rsid w:val="6DAA3FEF"/>
    <w:rsid w:val="6DC0172B"/>
    <w:rsid w:val="6DCB690C"/>
    <w:rsid w:val="6DD41A5B"/>
    <w:rsid w:val="6DF43C2E"/>
    <w:rsid w:val="6DF51CA3"/>
    <w:rsid w:val="6E8335BD"/>
    <w:rsid w:val="6E8E12EF"/>
    <w:rsid w:val="6E972936"/>
    <w:rsid w:val="6EB659E2"/>
    <w:rsid w:val="6ED446C5"/>
    <w:rsid w:val="6F2A7D94"/>
    <w:rsid w:val="6F8331F1"/>
    <w:rsid w:val="6FAE1A09"/>
    <w:rsid w:val="6FD75BF8"/>
    <w:rsid w:val="6FF60E7F"/>
    <w:rsid w:val="707723D0"/>
    <w:rsid w:val="70D540F2"/>
    <w:rsid w:val="70D81AA2"/>
    <w:rsid w:val="70F52EE5"/>
    <w:rsid w:val="70F5661B"/>
    <w:rsid w:val="71360107"/>
    <w:rsid w:val="713B688E"/>
    <w:rsid w:val="7177062A"/>
    <w:rsid w:val="719820B9"/>
    <w:rsid w:val="71B07FF4"/>
    <w:rsid w:val="71D43752"/>
    <w:rsid w:val="71F1796A"/>
    <w:rsid w:val="7209299C"/>
    <w:rsid w:val="72154626"/>
    <w:rsid w:val="72262B5D"/>
    <w:rsid w:val="72283FF7"/>
    <w:rsid w:val="722E7212"/>
    <w:rsid w:val="723A0474"/>
    <w:rsid w:val="72473F1B"/>
    <w:rsid w:val="725923E4"/>
    <w:rsid w:val="72864BF7"/>
    <w:rsid w:val="7288591D"/>
    <w:rsid w:val="729023FC"/>
    <w:rsid w:val="73223D39"/>
    <w:rsid w:val="738B5D82"/>
    <w:rsid w:val="73BB0416"/>
    <w:rsid w:val="73C0646E"/>
    <w:rsid w:val="73EF0CEB"/>
    <w:rsid w:val="742222F5"/>
    <w:rsid w:val="74415D0D"/>
    <w:rsid w:val="74476126"/>
    <w:rsid w:val="744B7C3A"/>
    <w:rsid w:val="744C72C0"/>
    <w:rsid w:val="74706664"/>
    <w:rsid w:val="747F3682"/>
    <w:rsid w:val="749C4185"/>
    <w:rsid w:val="74E37F7F"/>
    <w:rsid w:val="75067759"/>
    <w:rsid w:val="752E6DCD"/>
    <w:rsid w:val="75313BF6"/>
    <w:rsid w:val="7551380D"/>
    <w:rsid w:val="75600BE5"/>
    <w:rsid w:val="7564475C"/>
    <w:rsid w:val="7583797F"/>
    <w:rsid w:val="75B54655"/>
    <w:rsid w:val="75D20F1D"/>
    <w:rsid w:val="75DA2C18"/>
    <w:rsid w:val="75F54412"/>
    <w:rsid w:val="761D08E0"/>
    <w:rsid w:val="765D347C"/>
    <w:rsid w:val="765D4C39"/>
    <w:rsid w:val="76826699"/>
    <w:rsid w:val="76917445"/>
    <w:rsid w:val="76C87133"/>
    <w:rsid w:val="76CD08D5"/>
    <w:rsid w:val="76DB4B92"/>
    <w:rsid w:val="77052AA4"/>
    <w:rsid w:val="770A7A34"/>
    <w:rsid w:val="77136511"/>
    <w:rsid w:val="77340A39"/>
    <w:rsid w:val="77351FD0"/>
    <w:rsid w:val="77446974"/>
    <w:rsid w:val="77472422"/>
    <w:rsid w:val="777B33FD"/>
    <w:rsid w:val="777F31F2"/>
    <w:rsid w:val="77D1700D"/>
    <w:rsid w:val="77EC04CC"/>
    <w:rsid w:val="78192E32"/>
    <w:rsid w:val="78414C61"/>
    <w:rsid w:val="78775729"/>
    <w:rsid w:val="78A42DB0"/>
    <w:rsid w:val="78A656AB"/>
    <w:rsid w:val="78B2245C"/>
    <w:rsid w:val="78E172CC"/>
    <w:rsid w:val="78EA1D1F"/>
    <w:rsid w:val="7904172F"/>
    <w:rsid w:val="790F7E27"/>
    <w:rsid w:val="792A231A"/>
    <w:rsid w:val="79316829"/>
    <w:rsid w:val="797E66A9"/>
    <w:rsid w:val="79880CFE"/>
    <w:rsid w:val="79A97383"/>
    <w:rsid w:val="79D52F41"/>
    <w:rsid w:val="79E27E8B"/>
    <w:rsid w:val="79F850CE"/>
    <w:rsid w:val="79FD443C"/>
    <w:rsid w:val="7A1D1975"/>
    <w:rsid w:val="7A2938BC"/>
    <w:rsid w:val="7A3E5150"/>
    <w:rsid w:val="7A4670D6"/>
    <w:rsid w:val="7A534B63"/>
    <w:rsid w:val="7A615382"/>
    <w:rsid w:val="7A67303B"/>
    <w:rsid w:val="7AAB1D04"/>
    <w:rsid w:val="7ABA4368"/>
    <w:rsid w:val="7ACF29F8"/>
    <w:rsid w:val="7AD05746"/>
    <w:rsid w:val="7AD324E9"/>
    <w:rsid w:val="7B257FFD"/>
    <w:rsid w:val="7B343476"/>
    <w:rsid w:val="7B564EC8"/>
    <w:rsid w:val="7B5A2978"/>
    <w:rsid w:val="7B5A7E4C"/>
    <w:rsid w:val="7B667AF9"/>
    <w:rsid w:val="7B7468F8"/>
    <w:rsid w:val="7BEE0103"/>
    <w:rsid w:val="7C0A0FE4"/>
    <w:rsid w:val="7C254906"/>
    <w:rsid w:val="7C312BC2"/>
    <w:rsid w:val="7C3C40B3"/>
    <w:rsid w:val="7C407167"/>
    <w:rsid w:val="7C590818"/>
    <w:rsid w:val="7C7C10F6"/>
    <w:rsid w:val="7C853BEA"/>
    <w:rsid w:val="7C881368"/>
    <w:rsid w:val="7CE27788"/>
    <w:rsid w:val="7D0C32F1"/>
    <w:rsid w:val="7D0F408D"/>
    <w:rsid w:val="7D3F2DB8"/>
    <w:rsid w:val="7D491C6C"/>
    <w:rsid w:val="7D5429C0"/>
    <w:rsid w:val="7D6E6D43"/>
    <w:rsid w:val="7D8C2B9A"/>
    <w:rsid w:val="7D936E93"/>
    <w:rsid w:val="7D9F2048"/>
    <w:rsid w:val="7DB0109D"/>
    <w:rsid w:val="7DB57A34"/>
    <w:rsid w:val="7DE60973"/>
    <w:rsid w:val="7DEF0916"/>
    <w:rsid w:val="7E1E5218"/>
    <w:rsid w:val="7E6416AA"/>
    <w:rsid w:val="7E8C79AE"/>
    <w:rsid w:val="7E9A4E1F"/>
    <w:rsid w:val="7EA7723A"/>
    <w:rsid w:val="7EF56FBB"/>
    <w:rsid w:val="7F0768EB"/>
    <w:rsid w:val="7F143BEC"/>
    <w:rsid w:val="7F5D5936"/>
    <w:rsid w:val="7F715AF2"/>
    <w:rsid w:val="7F886E69"/>
    <w:rsid w:val="BB7FA927"/>
    <w:rsid w:val="EFD6B702"/>
    <w:rsid w:val="F5FFD31F"/>
    <w:rsid w:val="FF98404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282"/>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8">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9">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10">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1">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3">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4">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5">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120"/>
    <w:qFormat/>
    <w:uiPriority w:val="0"/>
    <w:pPr>
      <w:adjustRightInd/>
      <w:spacing w:after="120" w:line="240" w:lineRule="auto"/>
      <w:ind w:left="420" w:leftChars="200" w:firstLine="210"/>
    </w:pPr>
    <w:rPr>
      <w:sz w:val="21"/>
    </w:rPr>
  </w:style>
  <w:style w:type="paragraph" w:styleId="3">
    <w:name w:val="Body Text Indent"/>
    <w:basedOn w:val="1"/>
    <w:next w:val="1"/>
    <w:link w:val="264"/>
    <w:qFormat/>
    <w:uiPriority w:val="0"/>
    <w:pPr>
      <w:spacing w:line="480" w:lineRule="exact"/>
      <w:ind w:firstLine="480" w:firstLineChars="200"/>
    </w:pPr>
    <w:rPr>
      <w:rFonts w:ascii="宋体" w:hAnsi="宋体"/>
      <w:sz w:val="24"/>
    </w:rPr>
  </w:style>
  <w:style w:type="paragraph" w:styleId="4">
    <w:name w:val="Body Text First Indent"/>
    <w:basedOn w:val="5"/>
    <w:next w:val="6"/>
    <w:link w:val="320"/>
    <w:qFormat/>
    <w:uiPriority w:val="0"/>
    <w:pPr>
      <w:ind w:firstLine="420"/>
    </w:pPr>
    <w:rPr>
      <w:rFonts w:hAnsi="Calibri" w:cs="Times New Roman"/>
      <w:snapToGrid/>
      <w:szCs w:val="20"/>
    </w:rPr>
  </w:style>
  <w:style w:type="paragraph" w:styleId="5">
    <w:name w:val="Body Text"/>
    <w:basedOn w:val="1"/>
    <w:next w:val="4"/>
    <w:link w:val="429"/>
    <w:qFormat/>
    <w:uiPriority w:val="0"/>
    <w:pPr>
      <w:autoSpaceDE w:val="0"/>
      <w:autoSpaceDN w:val="0"/>
      <w:spacing w:line="360" w:lineRule="auto"/>
    </w:pPr>
    <w:rPr>
      <w:rFonts w:ascii="宋体" w:hAnsi="Arial" w:cs="Arial"/>
      <w:snapToGrid w:val="0"/>
      <w:sz w:val="24"/>
      <w:szCs w:val="21"/>
      <w:lang w:val="zh-CN"/>
    </w:rPr>
  </w:style>
  <w:style w:type="paragraph" w:styleId="6">
    <w:name w:val="toc 6"/>
    <w:basedOn w:val="1"/>
    <w:next w:val="1"/>
    <w:qFormat/>
    <w:uiPriority w:val="0"/>
    <w:pPr>
      <w:ind w:left="2100" w:leftChars="1000"/>
    </w:pPr>
  </w:style>
  <w:style w:type="paragraph" w:styleId="16">
    <w:name w:val="toc 7"/>
    <w:basedOn w:val="1"/>
    <w:next w:val="1"/>
    <w:qFormat/>
    <w:uiPriority w:val="0"/>
    <w:pPr>
      <w:ind w:left="2520" w:leftChars="1200"/>
    </w:pPr>
  </w:style>
  <w:style w:type="paragraph" w:styleId="17">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0">
    <w:name w:val="Normal Indent"/>
    <w:basedOn w:val="1"/>
    <w:next w:val="3"/>
    <w:link w:val="192"/>
    <w:qFormat/>
    <w:uiPriority w:val="0"/>
    <w:pPr>
      <w:widowControl/>
      <w:snapToGrid w:val="0"/>
      <w:spacing w:line="480" w:lineRule="exact"/>
      <w:ind w:firstLine="567"/>
    </w:pPr>
    <w:rPr>
      <w:rFonts w:ascii="宋体"/>
      <w:snapToGrid w:val="0"/>
      <w:color w:val="000000"/>
      <w:kern w:val="28"/>
      <w:sz w:val="28"/>
      <w:szCs w:val="20"/>
    </w:rPr>
  </w:style>
  <w:style w:type="paragraph" w:styleId="21">
    <w:name w:val="caption"/>
    <w:basedOn w:val="1"/>
    <w:next w:val="1"/>
    <w:link w:val="228"/>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Document Map"/>
    <w:basedOn w:val="1"/>
    <w:link w:val="201"/>
    <w:qFormat/>
    <w:uiPriority w:val="0"/>
    <w:pPr>
      <w:shd w:val="clear" w:color="auto" w:fill="000080"/>
    </w:pPr>
  </w:style>
  <w:style w:type="paragraph" w:styleId="24">
    <w:name w:val="toa heading"/>
    <w:basedOn w:val="1"/>
    <w:next w:val="1"/>
    <w:qFormat/>
    <w:uiPriority w:val="0"/>
    <w:pPr>
      <w:spacing w:before="120"/>
    </w:pPr>
    <w:rPr>
      <w:rFonts w:ascii="Arial"/>
      <w:kern w:val="0"/>
      <w:sz w:val="24"/>
      <w:szCs w:val="20"/>
    </w:rPr>
  </w:style>
  <w:style w:type="paragraph" w:styleId="25">
    <w:name w:val="annotation text"/>
    <w:basedOn w:val="1"/>
    <w:link w:val="343"/>
    <w:qFormat/>
    <w:uiPriority w:val="99"/>
    <w:pPr>
      <w:jc w:val="left"/>
    </w:pPr>
  </w:style>
  <w:style w:type="paragraph" w:styleId="26">
    <w:name w:val="Salutation"/>
    <w:basedOn w:val="1"/>
    <w:next w:val="1"/>
    <w:link w:val="297"/>
    <w:qFormat/>
    <w:uiPriority w:val="0"/>
    <w:rPr>
      <w:rFonts w:ascii="仿宋_GB2312" w:eastAsia="仿宋_GB2312"/>
      <w:sz w:val="28"/>
      <w:szCs w:val="20"/>
    </w:rPr>
  </w:style>
  <w:style w:type="paragraph" w:styleId="27">
    <w:name w:val="Body Text 3"/>
    <w:basedOn w:val="1"/>
    <w:link w:val="329"/>
    <w:qFormat/>
    <w:uiPriority w:val="0"/>
    <w:pPr>
      <w:jc w:val="center"/>
    </w:pPr>
    <w:rPr>
      <w:szCs w:val="20"/>
    </w:rPr>
  </w:style>
  <w:style w:type="paragraph" w:styleId="28">
    <w:name w:val="List Bullet 3"/>
    <w:basedOn w:val="1"/>
    <w:unhideWhenUsed/>
    <w:qFormat/>
    <w:uiPriority w:val="0"/>
    <w:pPr>
      <w:snapToGrid w:val="0"/>
      <w:spacing w:line="360" w:lineRule="auto"/>
      <w:ind w:left="360" w:right="238" w:hanging="360"/>
      <w:contextualSpacing/>
    </w:pPr>
    <w:rPr>
      <w:sz w:val="24"/>
    </w:rPr>
  </w:style>
  <w:style w:type="paragraph" w:styleId="29">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37"/>
    <w:link w:val="124"/>
    <w:qFormat/>
    <w:uiPriority w:val="0"/>
    <w:rPr>
      <w:rFonts w:ascii="宋体" w:hAnsi="Courier New" w:cs="Arial"/>
      <w:snapToGrid w:val="0"/>
      <w:szCs w:val="21"/>
    </w:rPr>
  </w:style>
  <w:style w:type="paragraph" w:styleId="37">
    <w:name w:val="toc 2"/>
    <w:basedOn w:val="1"/>
    <w:next w:val="1"/>
    <w:qFormat/>
    <w:uiPriority w:val="0"/>
    <w:pPr>
      <w:ind w:left="420" w:leftChars="200"/>
    </w:p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180"/>
    <w:qFormat/>
    <w:uiPriority w:val="0"/>
    <w:pPr>
      <w:ind w:left="100" w:leftChars="2500"/>
    </w:pPr>
    <w:rPr>
      <w:rFonts w:ascii="宋体"/>
      <w:sz w:val="24"/>
      <w:szCs w:val="21"/>
      <w:lang w:val="zh-CN"/>
    </w:rPr>
  </w:style>
  <w:style w:type="paragraph" w:styleId="41">
    <w:name w:val="Body Text Indent 2"/>
    <w:basedOn w:val="1"/>
    <w:link w:val="307"/>
    <w:qFormat/>
    <w:uiPriority w:val="0"/>
    <w:pPr>
      <w:spacing w:line="360" w:lineRule="auto"/>
      <w:ind w:firstLine="601"/>
      <w:textAlignment w:val="baseline"/>
    </w:pPr>
    <w:rPr>
      <w:rFonts w:ascii="宋体"/>
      <w:kern w:val="0"/>
      <w:sz w:val="28"/>
      <w:szCs w:val="20"/>
    </w:rPr>
  </w:style>
  <w:style w:type="paragraph" w:styleId="42">
    <w:name w:val="endnote text"/>
    <w:basedOn w:val="1"/>
    <w:link w:val="930"/>
    <w:qFormat/>
    <w:uiPriority w:val="0"/>
    <w:rPr>
      <w:lang w:val="zh-CN"/>
    </w:rPr>
  </w:style>
  <w:style w:type="paragraph" w:styleId="43">
    <w:name w:val="Balloon Text"/>
    <w:basedOn w:val="1"/>
    <w:link w:val="187"/>
    <w:qFormat/>
    <w:uiPriority w:val="0"/>
    <w:rPr>
      <w:sz w:val="18"/>
      <w:szCs w:val="18"/>
    </w:rPr>
  </w:style>
  <w:style w:type="paragraph" w:styleId="44">
    <w:name w:val="footer"/>
    <w:basedOn w:val="1"/>
    <w:link w:val="382"/>
    <w:qFormat/>
    <w:uiPriority w:val="99"/>
    <w:pPr>
      <w:tabs>
        <w:tab w:val="center" w:pos="4153"/>
        <w:tab w:val="right" w:pos="8306"/>
      </w:tabs>
      <w:snapToGrid w:val="0"/>
      <w:jc w:val="left"/>
    </w:pPr>
    <w:rPr>
      <w:sz w:val="18"/>
      <w:szCs w:val="18"/>
    </w:rPr>
  </w:style>
  <w:style w:type="paragraph" w:styleId="45">
    <w:name w:val="header"/>
    <w:basedOn w:val="1"/>
    <w:link w:val="391"/>
    <w:qFormat/>
    <w:uiPriority w:val="0"/>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20"/>
    <w:link w:val="309"/>
    <w:qFormat/>
    <w:uiPriority w:val="0"/>
    <w:pPr>
      <w:adjustRightInd/>
      <w:snapToGrid/>
      <w:spacing w:before="60" w:after="60" w:line="300" w:lineRule="exact"/>
      <w:ind w:firstLine="0"/>
    </w:pPr>
    <w:rPr>
      <w:rFonts w:ascii="Calibri"/>
      <w:snapToGrid/>
      <w:color w:val="0000FF"/>
      <w:kern w:val="0"/>
      <w:sz w:val="21"/>
    </w:r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4"/>
    <w:qFormat/>
    <w:uiPriority w:val="0"/>
    <w:pPr>
      <w:spacing w:line="360" w:lineRule="auto"/>
      <w:ind w:firstLine="420"/>
    </w:pPr>
    <w:rPr>
      <w:sz w:val="24"/>
      <w:szCs w:val="20"/>
    </w:rPr>
  </w:style>
  <w:style w:type="paragraph" w:styleId="57">
    <w:name w:val="toc 9"/>
    <w:basedOn w:val="1"/>
    <w:next w:val="1"/>
    <w:qFormat/>
    <w:uiPriority w:val="0"/>
    <w:pPr>
      <w:ind w:left="3360" w:leftChars="1600"/>
    </w:pPr>
  </w:style>
  <w:style w:type="paragraph" w:styleId="58">
    <w:name w:val="Body Text 2"/>
    <w:basedOn w:val="1"/>
    <w:link w:val="301"/>
    <w:qFormat/>
    <w:uiPriority w:val="0"/>
    <w:pPr>
      <w:spacing w:after="120" w:line="480" w:lineRule="auto"/>
    </w:pPr>
  </w:style>
  <w:style w:type="paragraph" w:styleId="59">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5"/>
    <w:next w:val="25"/>
    <w:link w:val="95"/>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章正文"/>
    <w:basedOn w:val="1"/>
    <w:qFormat/>
    <w:uiPriority w:val="0"/>
    <w:pPr>
      <w:adjustRightInd/>
      <w:spacing w:beforeLines="50" w:after="120" w:line="300" w:lineRule="auto"/>
      <w:ind w:firstLine="480" w:firstLineChars="200"/>
    </w:pPr>
    <w:rPr>
      <w:rFonts w:ascii="Helvetica" w:hAnsi="Helvetica"/>
      <w:kern w:val="0"/>
      <w:sz w:val="24"/>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2"/>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2"/>
    <w:qFormat/>
    <w:uiPriority w:val="0"/>
    <w:rPr>
      <w:rFonts w:ascii="宋体" w:hAnsi="宋体"/>
      <w:kern w:val="2"/>
      <w:sz w:val="21"/>
      <w:szCs w:val="24"/>
    </w:rPr>
  </w:style>
  <w:style w:type="character" w:customStyle="1" w:styleId="121">
    <w:name w:val="font11"/>
    <w:basedOn w:val="70"/>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0"/>
    <w:qFormat/>
    <w:uiPriority w:val="0"/>
    <w:rPr>
      <w:rFonts w:ascii="Arial" w:hAnsi="Arial" w:eastAsia="黑体" w:cs="Arial"/>
      <w:snapToGrid w:val="0"/>
      <w:kern w:val="0"/>
      <w:szCs w:val="21"/>
    </w:rPr>
  </w:style>
  <w:style w:type="character" w:customStyle="1" w:styleId="124">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51"/>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12"/>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99"/>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8"/>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40"/>
    <w:qFormat/>
    <w:uiPriority w:val="0"/>
    <w:rPr>
      <w:rFonts w:ascii="宋体"/>
      <w:kern w:val="2"/>
      <w:sz w:val="24"/>
      <w:szCs w:val="21"/>
      <w:lang w:val="zh-CN"/>
    </w:rPr>
  </w:style>
  <w:style w:type="character" w:customStyle="1" w:styleId="181">
    <w:name w:val="标题 9 Char"/>
    <w:link w:val="15"/>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43"/>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20"/>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9"/>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23"/>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0"/>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3"/>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10"/>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21"/>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列出段落1"/>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3"/>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7"/>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61"/>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11"/>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6"/>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9"/>
    <w:qFormat/>
    <w:uiPriority w:val="0"/>
    <w:rPr>
      <w:rFonts w:ascii="黑体" w:hAnsi="Courier New" w:eastAsia="黑体"/>
    </w:rPr>
  </w:style>
  <w:style w:type="character" w:customStyle="1" w:styleId="301">
    <w:name w:val="正文文本 2 Char1"/>
    <w:link w:val="58"/>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10"/>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3"/>
    <w:qFormat/>
    <w:uiPriority w:val="0"/>
    <w:rPr>
      <w:b/>
      <w:bCs/>
      <w:kern w:val="2"/>
      <w:sz w:val="24"/>
      <w:szCs w:val="24"/>
    </w:rPr>
  </w:style>
  <w:style w:type="character" w:customStyle="1" w:styleId="307">
    <w:name w:val="正文文本缩进 2 Char"/>
    <w:link w:val="41"/>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4"/>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4"/>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10"/>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7"/>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99"/>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5"/>
    <w:qFormat/>
    <w:uiPriority w:val="0"/>
    <w:rPr>
      <w:kern w:val="2"/>
      <w:sz w:val="21"/>
      <w:szCs w:val="24"/>
    </w:rPr>
  </w:style>
  <w:style w:type="character" w:customStyle="1" w:styleId="344">
    <w:name w:val="签名 Char"/>
    <w:link w:val="46"/>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basedOn w:val="70"/>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4"/>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6"/>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4"/>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5"/>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20"/>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5"/>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10"/>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8"/>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8"/>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12"/>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无间隔2"/>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8"/>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7"/>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9"/>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11"/>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9"/>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8"/>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20"/>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7"/>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10"/>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8"/>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20"/>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3"/>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8"/>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8"/>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9"/>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8"/>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9"/>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7"/>
    <w:qFormat/>
    <w:uiPriority w:val="0"/>
    <w:pPr>
      <w:tabs>
        <w:tab w:val="left" w:pos="840"/>
      </w:tabs>
      <w:adjustRightInd/>
      <w:ind w:left="840" w:hanging="420"/>
    </w:pPr>
  </w:style>
  <w:style w:type="paragraph" w:customStyle="1" w:styleId="625">
    <w:name w:val="样式 标题 2标题2H2Heading 2 HiddenHeading 2 CCBSheading 22nd lev..."/>
    <w:basedOn w:val="8"/>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10"/>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8"/>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8"/>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7"/>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7"/>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10"/>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8"/>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41"/>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9"/>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5"/>
    <w:qFormat/>
    <w:uiPriority w:val="0"/>
    <w:pPr>
      <w:autoSpaceDE/>
      <w:autoSpaceDN/>
      <w:snapToGrid w:val="0"/>
      <w:ind w:firstLine="480" w:firstLineChars="200"/>
    </w:pPr>
    <w:rPr>
      <w:rFonts w:ascii="Times New Roman"/>
      <w:szCs w:val="24"/>
      <w:lang w:val="en-US"/>
    </w:rPr>
  </w:style>
  <w:style w:type="paragraph" w:customStyle="1" w:styleId="768">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20"/>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9"/>
    <w:next w:val="56"/>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7"/>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9"/>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4"/>
    <w:next w:val="639"/>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next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3"/>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5"/>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10"/>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3"/>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9"/>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9"/>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3"/>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9"/>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7"/>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11"/>
    <w:next w:val="1"/>
    <w:qFormat/>
    <w:uiPriority w:val="0"/>
    <w:pPr>
      <w:tabs>
        <w:tab w:val="left" w:pos="1080"/>
      </w:tabs>
      <w:ind w:left="1080" w:hanging="1080"/>
    </w:pPr>
  </w:style>
  <w:style w:type="paragraph" w:customStyle="1" w:styleId="895">
    <w:name w:val="数字标题1"/>
    <w:basedOn w:val="7"/>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42"/>
    <w:qFormat/>
    <w:uiPriority w:val="0"/>
    <w:rPr>
      <w:kern w:val="2"/>
      <w:sz w:val="21"/>
      <w:szCs w:val="24"/>
      <w:lang w:val="zh-CN"/>
    </w:rPr>
  </w:style>
  <w:style w:type="character" w:customStyle="1" w:styleId="931">
    <w:name w:val="无间隔 Char"/>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8"/>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z-窗体底端1"/>
    <w:basedOn w:val="1"/>
    <w:next w:val="1"/>
    <w:qFormat/>
    <w:uiPriority w:val="0"/>
    <w:pPr>
      <w:pBdr>
        <w:top w:val="single" w:color="auto" w:sz="6" w:space="1"/>
      </w:pBdr>
      <w:jc w:val="center"/>
    </w:pPr>
    <w:rPr>
      <w:rFonts w:ascii="Arial"/>
      <w:vanish/>
      <w:sz w:val="16"/>
    </w:rPr>
  </w:style>
  <w:style w:type="paragraph" w:customStyle="1" w:styleId="963">
    <w:name w:val="z-窗体底端11"/>
    <w:basedOn w:val="1"/>
    <w:next w:val="1"/>
    <w:qFormat/>
    <w:uiPriority w:val="0"/>
    <w:pPr>
      <w:pBdr>
        <w:top w:val="single" w:color="auto" w:sz="6" w:space="1"/>
      </w:pBdr>
      <w:jc w:val="center"/>
    </w:pPr>
    <w:rPr>
      <w:rFonts w:ascii="Arial"/>
      <w:vanish/>
      <w:sz w:val="16"/>
    </w:rPr>
  </w:style>
  <w:style w:type="paragraph" w:customStyle="1" w:styleId="964">
    <w:name w:val="样式 样式 左侧:  2 字符 + 左侧:  0.85 厘米 首行缩进:  2 字符1"/>
    <w:basedOn w:val="1"/>
    <w:qFormat/>
    <w:uiPriority w:val="0"/>
    <w:pPr>
      <w:ind w:left="482" w:firstLine="200" w:firstLineChars="200"/>
    </w:pPr>
    <w:rPr>
      <w:rFonts w:cs="宋体"/>
      <w:szCs w:val="20"/>
    </w:rPr>
  </w:style>
  <w:style w:type="paragraph" w:styleId="965">
    <w:name w:val="List Paragraph"/>
    <w:basedOn w:val="1"/>
    <w:unhideWhenUsed/>
    <w:qFormat/>
    <w:uiPriority w:val="99"/>
    <w:pPr>
      <w:ind w:firstLine="420" w:firstLineChars="200"/>
    </w:pPr>
  </w:style>
  <w:style w:type="character" w:customStyle="1" w:styleId="966">
    <w:name w:val="font171"/>
    <w:basedOn w:val="70"/>
    <w:qFormat/>
    <w:uiPriority w:val="0"/>
    <w:rPr>
      <w:rFonts w:hint="default" w:ascii="Times New Roman" w:hAnsi="Times New Roman" w:cs="Times New Roman"/>
      <w:color w:val="000000"/>
      <w:sz w:val="20"/>
      <w:szCs w:val="20"/>
      <w:u w:val="none"/>
    </w:rPr>
  </w:style>
  <w:style w:type="character" w:customStyle="1" w:styleId="967">
    <w:name w:val="font151"/>
    <w:basedOn w:val="70"/>
    <w:qFormat/>
    <w:uiPriority w:val="0"/>
    <w:rPr>
      <w:rFonts w:hint="eastAsia" w:ascii="宋体" w:hAnsi="宋体" w:eastAsia="宋体" w:cs="宋体"/>
      <w:color w:val="000000"/>
      <w:sz w:val="22"/>
      <w:szCs w:val="22"/>
      <w:u w:val="none"/>
    </w:rPr>
  </w:style>
  <w:style w:type="character" w:customStyle="1" w:styleId="968">
    <w:name w:val="font121"/>
    <w:basedOn w:val="70"/>
    <w:qFormat/>
    <w:uiPriority w:val="0"/>
    <w:rPr>
      <w:rFonts w:hint="eastAsia" w:ascii="宋体" w:hAnsi="宋体" w:eastAsia="宋体" w:cs="宋体"/>
      <w:color w:val="FF0000"/>
      <w:sz w:val="20"/>
      <w:szCs w:val="20"/>
      <w:u w:val="none"/>
    </w:rPr>
  </w:style>
  <w:style w:type="character" w:customStyle="1" w:styleId="969">
    <w:name w:val="font112"/>
    <w:basedOn w:val="70"/>
    <w:qFormat/>
    <w:uiPriority w:val="0"/>
    <w:rPr>
      <w:rFonts w:ascii="微软雅黑" w:hAnsi="微软雅黑" w:eastAsia="微软雅黑" w:cs="微软雅黑"/>
      <w:color w:val="000000"/>
      <w:sz w:val="20"/>
      <w:szCs w:val="20"/>
      <w:u w:val="none"/>
    </w:rPr>
  </w:style>
  <w:style w:type="character" w:customStyle="1" w:styleId="970">
    <w:name w:val="font181"/>
    <w:basedOn w:val="70"/>
    <w:qFormat/>
    <w:uiPriority w:val="0"/>
    <w:rPr>
      <w:rFonts w:hint="default" w:ascii="Times New Roman" w:hAnsi="Times New Roman" w:cs="Times New Roman"/>
      <w:color w:val="000000"/>
      <w:sz w:val="22"/>
      <w:szCs w:val="22"/>
      <w:u w:val="none"/>
    </w:rPr>
  </w:style>
  <w:style w:type="character" w:customStyle="1" w:styleId="971">
    <w:name w:val="font101"/>
    <w:basedOn w:val="70"/>
    <w:qFormat/>
    <w:uiPriority w:val="0"/>
    <w:rPr>
      <w:rFonts w:hint="default" w:ascii="Times New Roman" w:hAnsi="Times New Roman" w:cs="Times New Roman"/>
      <w:b/>
      <w:color w:val="000000"/>
      <w:sz w:val="20"/>
      <w:szCs w:val="20"/>
      <w:u w:val="none"/>
    </w:rPr>
  </w:style>
  <w:style w:type="paragraph" w:customStyle="1" w:styleId="972">
    <w:name w:val="正文首行缩进 21"/>
    <w:basedOn w:val="1"/>
    <w:qFormat/>
    <w:uiPriority w:val="0"/>
    <w:pPr>
      <w:adjustRightInd/>
      <w:spacing w:after="120"/>
      <w:ind w:left="420" w:leftChars="200" w:firstLine="420"/>
    </w:pPr>
    <w:rPr>
      <w:rFonts w:cs="宋体"/>
      <w:color w:val="000000"/>
      <w:szCs w:val="21"/>
    </w:rPr>
  </w:style>
  <w:style w:type="table" w:customStyle="1" w:styleId="973">
    <w:name w:val="网格型7"/>
    <w:basedOn w:val="63"/>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974">
    <w:name w:val="网格型8"/>
    <w:basedOn w:val="63"/>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75">
    <w:name w:val="font131"/>
    <w:basedOn w:val="70"/>
    <w:qFormat/>
    <w:uiPriority w:val="0"/>
    <w:rPr>
      <w:rFonts w:hint="eastAsia" w:ascii="宋体" w:hAnsi="宋体" w:eastAsia="宋体" w:cs="宋体"/>
      <w:color w:val="000000"/>
      <w:sz w:val="20"/>
      <w:szCs w:val="20"/>
      <w:u w:val="none"/>
      <w:vertAlign w:val="superscript"/>
    </w:rPr>
  </w:style>
  <w:style w:type="character" w:customStyle="1" w:styleId="976">
    <w:name w:val="font141"/>
    <w:basedOn w:val="70"/>
    <w:qFormat/>
    <w:uiPriority w:val="0"/>
    <w:rPr>
      <w:rFonts w:hint="default"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E02668-3EAD-4F00-BBE5-310A58A650C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72</Pages>
  <Words>38343</Words>
  <Characters>41135</Characters>
  <Lines>1319</Lines>
  <Paragraphs>371</Paragraphs>
  <TotalTime>20</TotalTime>
  <ScaleCrop>false</ScaleCrop>
  <LinksUpToDate>false</LinksUpToDate>
  <CharactersWithSpaces>46340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2022-01-30T10:29:00Z</dcterms:created>
  <dc:creator>玥</dc:creator>
  <cp:lastModifiedBy>畅歌</cp:lastModifiedBy>
  <cp:lastPrinted>2022-02-17T16:24:00Z</cp:lastPrinted>
  <dcterms:modified xsi:type="dcterms:W3CDTF">2022-09-08T08:34:57Z</dcterms:modified>
  <dc:title>杭州市市民卡扩大发卡工程</dc:title>
  <cp:revision>254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E4EE567BBFA34A9E8C1C8548460712EF</vt:lpwstr>
  </property>
</Properties>
</file>