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hint="eastAsia" w:ascii="仿宋" w:hAnsi="仿宋" w:eastAsia="仿宋" w:cs="仿宋"/>
          <w:color w:val="auto"/>
          <w:sz w:val="48"/>
          <w:szCs w:val="48"/>
          <w:highlight w:val="none"/>
          <w:lang w:eastAsia="zh-CN"/>
        </w:rPr>
      </w:pPr>
    </w:p>
    <w:p>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lang w:eastAsia="zh-CN"/>
        </w:rPr>
        <w:t>2022-2025年建德市大气污染防治第三方技术服务采购项目</w:t>
      </w:r>
    </w:p>
    <w:p>
      <w:pPr>
        <w:adjustRightInd/>
        <w:spacing w:line="360" w:lineRule="auto"/>
        <w:jc w:val="center"/>
        <w:rPr>
          <w:rFonts w:ascii="仿宋" w:hAnsi="仿宋" w:eastAsia="仿宋" w:cs="仿宋"/>
          <w:color w:val="auto"/>
          <w:sz w:val="48"/>
          <w:szCs w:val="48"/>
          <w:highlight w:val="none"/>
        </w:rPr>
      </w:pPr>
      <w:r>
        <w:rPr>
          <w:rFonts w:hint="eastAsia" w:ascii="仿宋" w:hAnsi="仿宋" w:eastAsia="仿宋" w:cs="仿宋"/>
          <w:color w:val="auto"/>
          <w:sz w:val="48"/>
          <w:szCs w:val="48"/>
          <w:highlight w:val="none"/>
        </w:rPr>
        <w:t>招标文件</w:t>
      </w:r>
    </w:p>
    <w:p>
      <w:pPr>
        <w:adjustRightInd/>
        <w:spacing w:line="360" w:lineRule="auto"/>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pPr>
        <w:snapToGrid w:val="0"/>
        <w:spacing w:line="360" w:lineRule="auto"/>
        <w:jc w:val="center"/>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eastAsia="zh-CN"/>
        </w:rPr>
        <w:t>JD2022BF-138</w:t>
      </w:r>
    </w:p>
    <w:p>
      <w:pPr>
        <w:adjustRightInd/>
        <w:spacing w:line="360" w:lineRule="auto"/>
        <w:rPr>
          <w:rFonts w:ascii="仿宋" w:hAnsi="仿宋" w:eastAsia="仿宋" w:cs="仿宋"/>
          <w:color w:val="auto"/>
          <w:sz w:val="28"/>
          <w:szCs w:val="20"/>
          <w:highlight w:val="none"/>
        </w:rPr>
      </w:pPr>
    </w:p>
    <w:p>
      <w:pPr>
        <w:spacing w:line="360" w:lineRule="auto"/>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pPr>
        <w:spacing w:line="360" w:lineRule="auto"/>
        <w:jc w:val="center"/>
        <w:rPr>
          <w:rFonts w:ascii="仿宋" w:hAnsi="仿宋" w:eastAsia="仿宋" w:cs="仿宋"/>
          <w:b/>
          <w:color w:val="auto"/>
          <w:sz w:val="44"/>
          <w:szCs w:val="44"/>
          <w:highlight w:val="none"/>
        </w:rPr>
      </w:pPr>
    </w:p>
    <w:p>
      <w:pPr>
        <w:spacing w:line="360" w:lineRule="auto"/>
        <w:jc w:val="center"/>
        <w:rPr>
          <w:rFonts w:ascii="仿宋" w:hAnsi="仿宋" w:eastAsia="仿宋" w:cs="仿宋"/>
          <w:color w:val="auto"/>
          <w:sz w:val="24"/>
          <w:highlight w:val="none"/>
        </w:rPr>
      </w:pPr>
    </w:p>
    <w:p>
      <w:pPr>
        <w:spacing w:line="360" w:lineRule="auto"/>
        <w:jc w:val="center"/>
        <w:rPr>
          <w:rFonts w:ascii="仿宋" w:hAnsi="仿宋" w:eastAsia="仿宋" w:cs="仿宋"/>
          <w:color w:val="auto"/>
          <w:sz w:val="24"/>
          <w:highlight w:val="none"/>
        </w:rPr>
      </w:pPr>
    </w:p>
    <w:p>
      <w:pPr>
        <w:spacing w:line="360" w:lineRule="auto"/>
        <w:rPr>
          <w:rFonts w:ascii="仿宋" w:hAnsi="仿宋" w:eastAsia="仿宋" w:cs="仿宋"/>
          <w:color w:val="auto"/>
          <w:sz w:val="32"/>
          <w:szCs w:val="32"/>
          <w:highlight w:val="none"/>
        </w:rPr>
      </w:pPr>
    </w:p>
    <w:p>
      <w:pPr>
        <w:snapToGrid w:val="0"/>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杭州市生态环境局建德分局</w:t>
      </w:r>
    </w:p>
    <w:p>
      <w:pPr>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rPr>
        <w:t>采购代理机构：</w:t>
      </w:r>
      <w:r>
        <w:rPr>
          <w:rFonts w:hint="eastAsia" w:ascii="仿宋" w:hAnsi="仿宋" w:eastAsia="仿宋" w:cs="仿宋"/>
          <w:bCs/>
          <w:color w:val="auto"/>
          <w:sz w:val="32"/>
          <w:szCs w:val="32"/>
          <w:highlight w:val="none"/>
          <w:lang w:eastAsia="zh-CN"/>
        </w:rPr>
        <w:t>杭州欣兴建设工程招标代理有限公司</w:t>
      </w:r>
    </w:p>
    <w:p>
      <w:pPr>
        <w:snapToGrid w:val="0"/>
        <w:spacing w:line="360" w:lineRule="auto"/>
        <w:jc w:val="center"/>
        <w:rPr>
          <w:rFonts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二〇二二年</w:t>
      </w:r>
      <w:r>
        <w:rPr>
          <w:rFonts w:hint="eastAsia" w:ascii="仿宋" w:hAnsi="仿宋" w:eastAsia="仿宋" w:cs="仿宋"/>
          <w:bCs/>
          <w:color w:val="auto"/>
          <w:sz w:val="32"/>
          <w:szCs w:val="32"/>
          <w:highlight w:val="none"/>
          <w:lang w:val="en-US" w:eastAsia="zh-CN"/>
        </w:rPr>
        <w:t>九</w:t>
      </w:r>
      <w:r>
        <w:rPr>
          <w:rFonts w:hint="eastAsia" w:ascii="仿宋" w:hAnsi="仿宋" w:eastAsia="仿宋" w:cs="仿宋"/>
          <w:bCs/>
          <w:color w:val="auto"/>
          <w:sz w:val="32"/>
          <w:szCs w:val="32"/>
          <w:highlight w:val="none"/>
        </w:rPr>
        <w:t>月</w:t>
      </w:r>
      <w:r>
        <w:rPr>
          <w:rFonts w:hint="eastAsia" w:ascii="仿宋" w:hAnsi="仿宋" w:eastAsia="仿宋" w:cs="仿宋"/>
          <w:bCs/>
          <w:color w:val="auto"/>
          <w:sz w:val="32"/>
          <w:szCs w:val="32"/>
          <w:highlight w:val="none"/>
          <w:lang w:val="en-US" w:eastAsia="zh-CN"/>
        </w:rPr>
        <w:t>十三</w:t>
      </w:r>
      <w:r>
        <w:rPr>
          <w:rFonts w:hint="eastAsia" w:ascii="仿宋" w:hAnsi="仿宋" w:eastAsia="仿宋" w:cs="仿宋"/>
          <w:bCs/>
          <w:color w:val="auto"/>
          <w:sz w:val="32"/>
          <w:szCs w:val="32"/>
          <w:highlight w:val="none"/>
        </w:rPr>
        <w:t>日</w:t>
      </w:r>
    </w:p>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pPr>
        <w:spacing w:line="360" w:lineRule="auto"/>
        <w:jc w:val="center"/>
        <w:rPr>
          <w:rFonts w:ascii="仿宋" w:hAnsi="仿宋" w:eastAsia="仿宋" w:cs="仿宋"/>
          <w:color w:val="auto"/>
          <w:sz w:val="24"/>
          <w:highlight w:val="none"/>
        </w:rPr>
      </w:pPr>
    </w:p>
    <w:p>
      <w:pPr>
        <w:spacing w:line="360" w:lineRule="auto"/>
        <w:jc w:val="center"/>
        <w:rPr>
          <w:rFonts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pPr>
        <w:spacing w:line="360" w:lineRule="auto"/>
        <w:rPr>
          <w:rFonts w:ascii="仿宋" w:hAnsi="仿宋" w:eastAsia="仿宋" w:cs="仿宋"/>
          <w:color w:val="auto"/>
          <w:sz w:val="32"/>
          <w:szCs w:val="32"/>
          <w:highlight w:val="none"/>
        </w:rPr>
      </w:pPr>
    </w:p>
    <w:p>
      <w:pPr>
        <w:spacing w:line="360" w:lineRule="auto"/>
        <w:rPr>
          <w:rFonts w:ascii="仿宋" w:hAnsi="仿宋" w:eastAsia="仿宋" w:cs="仿宋"/>
          <w:color w:val="auto"/>
          <w:sz w:val="32"/>
          <w:szCs w:val="32"/>
          <w:highlight w:val="none"/>
        </w:rPr>
      </w:pPr>
    </w:p>
    <w:p>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pPr>
        <w:spacing w:line="360" w:lineRule="auto"/>
        <w:ind w:firstLine="549" w:firstLineChars="229"/>
        <w:rPr>
          <w:rFonts w:ascii="仿宋" w:hAnsi="仿宋" w:eastAsia="仿宋" w:cs="仿宋"/>
          <w:color w:val="auto"/>
          <w:sz w:val="24"/>
          <w:highlight w:val="none"/>
        </w:rPr>
      </w:pPr>
      <w:bookmarkStart w:id="1" w:name="_Hlt91233176"/>
      <w:bookmarkEnd w:id="1"/>
      <w:bookmarkStart w:id="2" w:name="_Toc91899869"/>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ind w:firstLine="549" w:firstLineChars="229"/>
        <w:rPr>
          <w:rFonts w:ascii="仿宋" w:hAnsi="仿宋" w:eastAsia="仿宋" w:cs="仿宋"/>
          <w:color w:val="auto"/>
          <w:sz w:val="24"/>
          <w:highlight w:val="none"/>
        </w:rPr>
      </w:pPr>
    </w:p>
    <w:p>
      <w:pPr>
        <w:spacing w:line="360" w:lineRule="auto"/>
        <w:rPr>
          <w:rFonts w:ascii="仿宋" w:hAnsi="仿宋" w:eastAsia="仿宋" w:cs="仿宋"/>
          <w:color w:val="auto"/>
          <w:sz w:val="24"/>
          <w:highlight w:val="none"/>
        </w:rPr>
      </w:pPr>
    </w:p>
    <w:p>
      <w:pPr>
        <w:adjustRightInd/>
        <w:spacing w:line="360" w:lineRule="auto"/>
        <w:jc w:val="center"/>
        <w:outlineLvl w:val="0"/>
        <w:rPr>
          <w:rFonts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8647"/>
      <w:bookmarkEnd w:id="4"/>
      <w:bookmarkStart w:id="5" w:name="_Hlt74729822"/>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2022-2025年建德市大气污染防治第三方技术服务采购项目</w:t>
      </w:r>
      <w:r>
        <w:rPr>
          <w:rFonts w:hint="eastAsia" w:ascii="仿宋" w:hAnsi="仿宋" w:eastAsia="仿宋" w:cs="仿宋"/>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color w:val="auto"/>
          <w:sz w:val="24"/>
          <w:highlight w:val="none"/>
          <w:u w:val="single"/>
        </w:rPr>
        <w:t>2022年</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0分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highlight w:val="none"/>
          <w:u w:val="singl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JD2022BF-138</w:t>
      </w:r>
    </w:p>
    <w:p>
      <w:pPr>
        <w:spacing w:line="360" w:lineRule="auto"/>
        <w:ind w:firstLine="480"/>
        <w:rPr>
          <w:rFonts w:ascii="仿宋" w:hAnsi="仿宋" w:eastAsia="仿宋" w:cs="仿宋"/>
          <w:b/>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color w:val="auto"/>
          <w:spacing w:val="-20"/>
          <w:sz w:val="24"/>
          <w:highlight w:val="none"/>
          <w:lang w:eastAsia="zh-CN"/>
        </w:rPr>
        <w:t>2022-2025年建德市大气污染防治第三方技术服务采购项目</w:t>
      </w: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w:t>
      </w:r>
    </w:p>
    <w:p>
      <w:pPr>
        <w:spacing w:line="360" w:lineRule="auto"/>
        <w:ind w:firstLine="480"/>
        <w:rPr>
          <w:rFonts w:hint="eastAsia" w:ascii="仿宋" w:hAnsi="仿宋" w:eastAsia="仿宋" w:cs="仿宋"/>
          <w:b w:val="0"/>
          <w:bCs/>
          <w:color w:val="auto"/>
          <w:sz w:val="24"/>
          <w:highlight w:val="none"/>
          <w:lang w:val="en-US"/>
        </w:rPr>
      </w:pPr>
      <w:r>
        <w:rPr>
          <w:rFonts w:hint="eastAsia" w:ascii="仿宋" w:hAnsi="仿宋" w:eastAsia="仿宋" w:cs="仿宋"/>
          <w:b/>
          <w:color w:val="auto"/>
          <w:sz w:val="24"/>
          <w:highlight w:val="none"/>
        </w:rPr>
        <w:t>预算金额（元）：</w:t>
      </w:r>
      <w:r>
        <w:rPr>
          <w:rFonts w:hint="eastAsia" w:ascii="仿宋" w:hAnsi="仿宋" w:eastAsia="仿宋" w:cs="仿宋"/>
          <w:b w:val="0"/>
          <w:bCs/>
          <w:color w:val="auto"/>
          <w:sz w:val="24"/>
          <w:highlight w:val="none"/>
          <w:lang w:val="en-US" w:eastAsia="zh-CN"/>
        </w:rPr>
        <w:t>4500000</w:t>
      </w:r>
      <w:r>
        <w:rPr>
          <w:rFonts w:hint="eastAsia" w:ascii="仿宋" w:hAnsi="仿宋" w:eastAsia="仿宋" w:cs="仿宋"/>
          <w:b w:val="0"/>
          <w:bCs/>
          <w:color w:val="auto"/>
          <w:sz w:val="24"/>
          <w:highlight w:val="none"/>
          <w:lang w:eastAsia="zh-CN"/>
        </w:rPr>
        <w:t>.00</w:t>
      </w:r>
    </w:p>
    <w:p>
      <w:pPr>
        <w:spacing w:line="360" w:lineRule="auto"/>
        <w:ind w:firstLine="480"/>
        <w:rPr>
          <w:rFonts w:hint="eastAsia" w:ascii="仿宋" w:hAnsi="仿宋" w:eastAsia="仿宋" w:cs="仿宋"/>
          <w:b/>
          <w:color w:val="auto"/>
          <w:sz w:val="24"/>
          <w:highlight w:val="none"/>
          <w:lang w:val="en-US"/>
        </w:rPr>
      </w:pPr>
      <w:r>
        <w:rPr>
          <w:rFonts w:hint="eastAsia" w:ascii="仿宋" w:hAnsi="仿宋" w:eastAsia="仿宋" w:cs="仿宋"/>
          <w:b/>
          <w:color w:val="auto"/>
          <w:sz w:val="24"/>
          <w:highlight w:val="none"/>
        </w:rPr>
        <w:t>最高限价（元）：</w:t>
      </w:r>
      <w:r>
        <w:rPr>
          <w:rFonts w:hint="eastAsia" w:ascii="仿宋" w:hAnsi="仿宋" w:eastAsia="仿宋" w:cs="仿宋"/>
          <w:b w:val="0"/>
          <w:bCs/>
          <w:color w:val="auto"/>
          <w:sz w:val="24"/>
          <w:highlight w:val="none"/>
          <w:lang w:val="en-US" w:eastAsia="zh-CN"/>
        </w:rPr>
        <w:t>4500000</w:t>
      </w:r>
      <w:r>
        <w:rPr>
          <w:rFonts w:hint="eastAsia" w:ascii="仿宋" w:hAnsi="仿宋" w:eastAsia="仿宋" w:cs="仿宋"/>
          <w:b w:val="0"/>
          <w:bCs/>
          <w:color w:val="auto"/>
          <w:sz w:val="24"/>
          <w:highlight w:val="none"/>
          <w:lang w:eastAsia="zh-CN"/>
        </w:rPr>
        <w:t>.00</w:t>
      </w:r>
    </w:p>
    <w:p>
      <w:pPr>
        <w:widowControl/>
        <w:snapToGrid w:val="0"/>
        <w:spacing w:line="360" w:lineRule="auto"/>
        <w:ind w:firstLine="482" w:firstLineChars="200"/>
        <w:jc w:val="lef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lang w:eastAsia="zh-CN"/>
        </w:rPr>
        <w:t>简要规格描述：</w:t>
      </w:r>
      <w:r>
        <w:rPr>
          <w:rFonts w:hint="eastAsia" w:ascii="仿宋" w:hAnsi="仿宋" w:eastAsia="仿宋" w:cs="仿宋"/>
          <w:b w:val="0"/>
          <w:bCs w:val="0"/>
          <w:color w:val="auto"/>
          <w:kern w:val="0"/>
          <w:sz w:val="24"/>
          <w:highlight w:val="none"/>
          <w:lang w:eastAsia="zh-CN"/>
        </w:rPr>
        <w:t>选择一家供应商对2022-2025年建德市大气污染防治第三方技术服务</w:t>
      </w:r>
      <w:r>
        <w:rPr>
          <w:rFonts w:hint="eastAsia" w:ascii="仿宋" w:hAnsi="仿宋" w:eastAsia="仿宋" w:cs="仿宋"/>
          <w:b w:val="0"/>
          <w:bCs w:val="0"/>
          <w:color w:val="auto"/>
          <w:sz w:val="24"/>
          <w:szCs w:val="24"/>
        </w:rPr>
        <w:t>。</w:t>
      </w:r>
      <w:r>
        <w:rPr>
          <w:rFonts w:hint="eastAsia" w:ascii="仿宋" w:hAnsi="仿宋" w:eastAsia="仿宋" w:cs="仿宋"/>
          <w:b/>
          <w:bCs/>
          <w:color w:val="auto"/>
          <w:kern w:val="0"/>
          <w:sz w:val="24"/>
          <w:highlight w:val="none"/>
        </w:rPr>
        <w:t> </w:t>
      </w:r>
    </w:p>
    <w:p>
      <w:pPr>
        <w:pStyle w:val="61"/>
        <w:ind w:left="0" w:leftChars="0" w:firstLine="48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合同履行期限：本项目的服务期为一年，自政府采购合同签订生效之日起计算。</w:t>
      </w:r>
      <w:r>
        <w:rPr>
          <w:rFonts w:hint="eastAsia" w:ascii="仿宋" w:hAnsi="仿宋" w:eastAsia="仿宋" w:cs="仿宋"/>
          <w:b/>
          <w:bCs/>
          <w:color w:val="auto"/>
          <w:kern w:val="0"/>
          <w:sz w:val="24"/>
          <w:highlight w:val="none"/>
          <w:lang w:val="en-US" w:eastAsia="zh-CN"/>
        </w:rPr>
        <w:t>本项目一次招标延用三年，</w:t>
      </w:r>
      <w:r>
        <w:rPr>
          <w:rFonts w:hint="eastAsia" w:ascii="仿宋" w:hAnsi="仿宋" w:eastAsia="仿宋" w:cs="仿宋"/>
          <w:b/>
          <w:bCs/>
          <w:color w:val="auto"/>
          <w:kern w:val="0"/>
          <w:sz w:val="24"/>
          <w:highlight w:val="none"/>
        </w:rPr>
        <w:t>一年服务期满后，若年度考核分达到优秀（90分及以上，考核办法见附件）的，可以按照本次中标价续签一年，续签次数≤2次。除因政策性因素引起改变的，续签合同的主要条款不予调整。</w:t>
      </w:r>
    </w:p>
    <w:p>
      <w:pPr>
        <w:pStyle w:val="3"/>
        <w:spacing w:line="360" w:lineRule="auto"/>
        <w:ind w:firstLine="480"/>
        <w:rPr>
          <w:rFonts w:ascii="仿宋" w:hAnsi="仿宋" w:eastAsia="仿宋" w:cs="仿宋"/>
          <w:b/>
          <w:color w:val="auto"/>
          <w:sz w:val="24"/>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b/>
          <w:color w:val="auto"/>
          <w:sz w:val="24"/>
          <w:highlight w:val="none"/>
          <w:lang w:val="en-US" w:eastAsia="zh-CN"/>
        </w:rPr>
        <w:sym w:font="Wingdings 2" w:char="0052"/>
      </w:r>
      <w:r>
        <w:rPr>
          <w:rFonts w:hint="eastAsia" w:ascii="仿宋" w:hAnsi="仿宋" w:eastAsia="仿宋" w:cs="仿宋"/>
          <w:b/>
          <w:color w:val="auto"/>
          <w:sz w:val="24"/>
          <w:highlight w:val="none"/>
        </w:rPr>
        <w:t>是，</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pPr>
        <w:spacing w:line="360" w:lineRule="auto"/>
        <w:ind w:firstLine="48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2.落实政府采购政策需满足的资格要求：</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w:t>
      </w:r>
      <w:r>
        <w:rPr>
          <w:rFonts w:hint="eastAsia" w:ascii="仿宋" w:hAnsi="仿宋" w:eastAsia="仿宋" w:cs="仿宋"/>
          <w:color w:val="auto"/>
          <w:sz w:val="24"/>
          <w:highlight w:val="none"/>
        </w:rPr>
        <w:t>无；</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sym w:font="Wingdings 2" w:char="0052"/>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pPr>
        <w:spacing w:line="360" w:lineRule="auto"/>
        <w:ind w:firstLine="901" w:firstLineChars="374"/>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lang w:val="en-US" w:eastAsia="zh-CN"/>
        </w:rPr>
        <w:t>□</w:t>
      </w:r>
      <w:r>
        <w:rPr>
          <w:rFonts w:hint="eastAsia" w:ascii="仿宋" w:hAnsi="仿宋" w:eastAsia="仿宋" w:cs="仿宋"/>
          <w:color w:val="auto"/>
          <w:sz w:val="24"/>
          <w:highlight w:val="none"/>
        </w:rPr>
        <w:t>货物全部由符合政策要求的中小企业制造，提供中小企业声明函；</w:t>
      </w:r>
    </w:p>
    <w:p>
      <w:pPr>
        <w:spacing w:line="360" w:lineRule="auto"/>
        <w:ind w:firstLine="901" w:firstLineChars="374"/>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w:t>
      </w:r>
      <w:r>
        <w:rPr>
          <w:rFonts w:hint="eastAsia" w:ascii="仿宋" w:hAnsi="仿宋" w:eastAsia="仿宋" w:cs="仿宋"/>
          <w:color w:val="auto"/>
          <w:sz w:val="24"/>
          <w:highlight w:val="none"/>
        </w:rPr>
        <w:t>货物全部由符合政策要求的小微企业制造，提供中小企业声明函；</w:t>
      </w:r>
    </w:p>
    <w:p>
      <w:pPr>
        <w:spacing w:line="360" w:lineRule="auto"/>
        <w:ind w:firstLine="901" w:firstLineChars="374"/>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sym w:font="Wingdings 2" w:char="0052"/>
      </w:r>
      <w:r>
        <w:rPr>
          <w:rFonts w:hint="eastAsia" w:ascii="仿宋" w:hAnsi="仿宋" w:eastAsia="仿宋" w:cs="仿宋"/>
          <w:color w:val="auto"/>
          <w:sz w:val="24"/>
          <w:highlight w:val="none"/>
        </w:rPr>
        <w:t>服务全部由符合政策要求的中小企业承接，提供中小企业声明函；</w:t>
      </w:r>
    </w:p>
    <w:p>
      <w:pPr>
        <w:spacing w:line="360" w:lineRule="auto"/>
        <w:ind w:firstLine="901" w:firstLineChars="374"/>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w:t>
      </w:r>
      <w:r>
        <w:rPr>
          <w:rFonts w:hint="eastAsia" w:ascii="仿宋" w:hAnsi="仿宋" w:eastAsia="仿宋" w:cs="仿宋"/>
          <w:color w:val="auto"/>
          <w:sz w:val="24"/>
          <w:highlight w:val="none"/>
        </w:rPr>
        <w:t>服务全部由符合政策要求的小微企业承接，提供中小企业声明函；</w:t>
      </w:r>
    </w:p>
    <w:p>
      <w:pPr>
        <w:spacing w:line="360" w:lineRule="auto"/>
        <w:ind w:firstLine="482" w:firstLineChars="200"/>
        <w:rPr>
          <w:rFonts w:ascii="仿宋" w:hAnsi="仿宋" w:eastAsia="仿宋"/>
          <w:color w:val="auto"/>
          <w:sz w:val="24"/>
          <w:highlight w:val="none"/>
        </w:rPr>
      </w:pPr>
      <w:r>
        <w:rPr>
          <w:rFonts w:hint="eastAsia" w:ascii="仿宋" w:hAnsi="仿宋" w:eastAsia="仿宋" w:cs="仿宋"/>
          <w:b/>
          <w:color w:val="auto"/>
          <w:sz w:val="24"/>
          <w:highlight w:val="none"/>
          <w:lang w:val="en-US" w:eastAsia="zh-CN"/>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lang w:eastAsia="zh-CN"/>
        </w:rPr>
        <w:t>若</w:t>
      </w:r>
      <w:r>
        <w:rPr>
          <w:rFonts w:hint="eastAsia" w:ascii="仿宋" w:hAnsi="仿宋" w:eastAsia="仿宋" w:cs="仿宋"/>
          <w:color w:val="auto"/>
          <w:spacing w:val="8"/>
          <w:kern w:val="0"/>
          <w:sz w:val="24"/>
          <w:highlight w:val="none"/>
        </w:rPr>
        <w:t>供应商本身提供所有标的均由中小企业制造、承建或承接，视同符合了资格</w:t>
      </w:r>
      <w:r>
        <w:rPr>
          <w:rFonts w:hint="eastAsia" w:ascii="仿宋" w:hAnsi="仿宋" w:eastAsia="仿宋" w:cs="宋体"/>
          <w:color w:val="auto"/>
          <w:spacing w:val="8"/>
          <w:kern w:val="0"/>
          <w:sz w:val="24"/>
          <w:highlight w:val="none"/>
        </w:rPr>
        <w:t>条件，无需再与其他中小企业组成联合体参加政府采购活动，无需提供联合协议</w:t>
      </w:r>
      <w:r>
        <w:rPr>
          <w:rFonts w:hint="eastAsia" w:ascii="仿宋" w:hAnsi="仿宋" w:eastAsia="仿宋"/>
          <w:color w:val="auto"/>
          <w:sz w:val="24"/>
          <w:highlight w:val="none"/>
        </w:rPr>
        <w:t>；</w:t>
      </w:r>
    </w:p>
    <w:p>
      <w:pPr>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lang w:val="en-US" w:eastAsia="zh-CN"/>
        </w:rPr>
        <w:t>□</w:t>
      </w:r>
      <w:r>
        <w:rPr>
          <w:rFonts w:hint="eastAsia" w:ascii="仿宋" w:hAnsi="仿宋" w:eastAsia="仿宋"/>
          <w:color w:val="auto"/>
          <w:sz w:val="24"/>
          <w:highlight w:val="none"/>
        </w:rPr>
        <w:t>要求合同分包，提供分包意向协议和中小企业声明函，分</w:t>
      </w:r>
      <w:r>
        <w:rPr>
          <w:rFonts w:hint="eastAsia" w:ascii="仿宋" w:hAnsi="仿宋" w:eastAsia="仿宋" w:cs="仿宋"/>
          <w:color w:val="auto"/>
          <w:sz w:val="24"/>
          <w:highlight w:val="none"/>
        </w:rPr>
        <w:t>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lang w:eastAsia="zh-CN"/>
        </w:rPr>
        <w:t>若</w:t>
      </w:r>
      <w:r>
        <w:rPr>
          <w:rFonts w:hint="eastAsia" w:ascii="仿宋" w:hAnsi="仿宋" w:eastAsia="仿宋" w:cs="仿宋"/>
          <w:color w:val="auto"/>
          <w:spacing w:val="8"/>
          <w:kern w:val="0"/>
          <w:sz w:val="24"/>
          <w:highlight w:val="none"/>
        </w:rPr>
        <w:t>供应商本身提供所</w:t>
      </w:r>
      <w:r>
        <w:rPr>
          <w:rFonts w:hint="eastAsia" w:ascii="仿宋" w:hAnsi="仿宋" w:eastAsia="仿宋" w:cs="宋体"/>
          <w:color w:val="auto"/>
          <w:spacing w:val="8"/>
          <w:kern w:val="0"/>
          <w:sz w:val="24"/>
          <w:highlight w:val="none"/>
        </w:rPr>
        <w:t>有标的均由中小企业制造、承建或承接，视同符合了资格条件，无需再向中小企业分包，无需提供分包意向协议</w:t>
      </w:r>
      <w:r>
        <w:rPr>
          <w:rFonts w:hint="eastAsia" w:ascii="仿宋" w:hAnsi="仿宋" w:eastAsia="仿宋" w:cs="宋体"/>
          <w:color w:val="auto"/>
          <w:spacing w:val="8"/>
          <w:kern w:val="0"/>
          <w:sz w:val="24"/>
          <w:highlight w:val="none"/>
          <w:lang w:eastAsia="zh-CN"/>
        </w:rPr>
        <w:t>；</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3.本项目的特定资格要求：无；</w:t>
      </w:r>
    </w:p>
    <w:p>
      <w:pPr>
        <w:snapToGrid w:val="0"/>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4.本项目允许中型企业与小微企业组成联合体、小微企业与小微企业组成联合体参与投标；允许中型企业向小微企业、小微企业向小微企业合理分包；</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2022年</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2022年</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0分</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pPr>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pPr>
        <w:spacing w:line="360" w:lineRule="auto"/>
        <w:ind w:firstLine="482" w:firstLineChars="200"/>
        <w:rPr>
          <w:rFonts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2022年</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0分</w:t>
      </w:r>
      <w:r>
        <w:rPr>
          <w:rFonts w:hint="eastAsia" w:ascii="仿宋" w:hAnsi="仿宋" w:eastAsia="仿宋" w:cs="仿宋"/>
          <w:bCs/>
          <w:color w:val="auto"/>
          <w:sz w:val="24"/>
          <w:highlight w:val="none"/>
          <w:u w:val="single"/>
        </w:rPr>
        <w:t xml:space="preserve"> </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pPr>
        <w:spacing w:line="360" w:lineRule="auto"/>
        <w:rPr>
          <w:rFonts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详见附件2。</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杭州市生态环境局建德分局</w:t>
      </w:r>
      <w:r>
        <w:rPr>
          <w:rFonts w:hint="eastAsia" w:ascii="仿宋" w:hAnsi="仿宋" w:eastAsia="仿宋" w:cs="仿宋"/>
          <w:color w:val="auto"/>
          <w:sz w:val="24"/>
          <w:highlight w:val="none"/>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地    址：建德市新安江街道新安东路</w:t>
      </w:r>
      <w:r>
        <w:rPr>
          <w:rFonts w:hint="eastAsia" w:ascii="仿宋" w:hAnsi="仿宋" w:eastAsia="仿宋" w:cs="仿宋"/>
          <w:color w:val="auto"/>
          <w:sz w:val="24"/>
          <w:highlight w:val="none"/>
          <w:lang w:val="en-US" w:eastAsia="zh-CN"/>
        </w:rPr>
        <w:t>5</w:t>
      </w:r>
      <w:bookmarkStart w:id="191" w:name="_GoBack"/>
      <w:bookmarkEnd w:id="191"/>
      <w:r>
        <w:rPr>
          <w:rFonts w:hint="eastAsia" w:ascii="仿宋" w:hAnsi="仿宋" w:eastAsia="仿宋" w:cs="仿宋"/>
          <w:color w:val="auto"/>
          <w:sz w:val="24"/>
          <w:highlight w:val="none"/>
        </w:rPr>
        <w:t xml:space="preserve">81号 </w:t>
      </w:r>
    </w:p>
    <w:p>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传    真：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谢哲</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项目联系方式（询问）：17767116213</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质疑联系人：赵梦瑶 </w:t>
      </w:r>
    </w:p>
    <w:p>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质疑联系方式：18822145927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pPr>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杭州欣兴建设工程招标代理有限公司</w:t>
      </w:r>
    </w:p>
    <w:p>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地    址：杭州市江干区凯旋路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w:t>
      </w:r>
      <w:r>
        <w:rPr>
          <w:rFonts w:hint="eastAsia" w:ascii="仿宋" w:hAnsi="仿宋" w:eastAsia="仿宋" w:cs="仿宋"/>
          <w:color w:val="auto"/>
          <w:sz w:val="24"/>
          <w:highlight w:val="none"/>
          <w:lang w:val="en-US" w:eastAsia="zh-CN"/>
        </w:rPr>
        <w:t>季姜春</w:t>
      </w:r>
      <w:r>
        <w:rPr>
          <w:rFonts w:hint="eastAsia" w:ascii="仿宋" w:hAnsi="仿宋" w:eastAsia="仿宋" w:cs="仿宋"/>
          <w:color w:val="auto"/>
          <w:sz w:val="24"/>
          <w:highlight w:val="none"/>
        </w:rPr>
        <w:t xml:space="preserve">          </w:t>
      </w:r>
    </w:p>
    <w:p>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13567150257</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质疑联系人：</w:t>
      </w:r>
      <w:r>
        <w:rPr>
          <w:rFonts w:hint="eastAsia" w:ascii="仿宋" w:hAnsi="仿宋" w:eastAsia="仿宋" w:cs="仿宋"/>
          <w:color w:val="auto"/>
          <w:sz w:val="24"/>
          <w:highlight w:val="none"/>
          <w:lang w:val="en-US" w:eastAsia="zh-CN"/>
        </w:rPr>
        <w:t>洪献娟</w:t>
      </w:r>
      <w:r>
        <w:rPr>
          <w:rFonts w:hint="eastAsia" w:ascii="仿宋" w:hAnsi="仿宋" w:eastAsia="仿宋" w:cs="仿宋"/>
          <w:color w:val="auto"/>
          <w:sz w:val="24"/>
          <w:highlight w:val="none"/>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质疑联系方式：</w:t>
      </w:r>
      <w:r>
        <w:rPr>
          <w:rFonts w:hint="eastAsia" w:ascii="仿宋" w:hAnsi="仿宋" w:eastAsia="仿宋" w:cs="仿宋"/>
          <w:color w:val="auto"/>
          <w:sz w:val="24"/>
          <w:highlight w:val="none"/>
          <w:lang w:val="en-US" w:eastAsia="zh-CN"/>
        </w:rPr>
        <w:t>13858074323</w:t>
      </w:r>
      <w:r>
        <w:rPr>
          <w:rFonts w:hint="eastAsia" w:ascii="仿宋" w:hAnsi="仿宋" w:eastAsia="仿宋" w:cs="仿宋"/>
          <w:color w:val="auto"/>
          <w:sz w:val="24"/>
          <w:highlight w:val="none"/>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3.同级政府采购监督管理部门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名    称：建德市采购办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地    址：建德市新安江街道严州大道1089号 </w:t>
      </w:r>
    </w:p>
    <w:p>
      <w:pPr>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联系人 ：邵</w:t>
      </w:r>
      <w:r>
        <w:rPr>
          <w:rFonts w:hint="eastAsia" w:ascii="仿宋" w:hAnsi="仿宋" w:eastAsia="仿宋" w:cs="仿宋"/>
          <w:color w:val="auto"/>
          <w:sz w:val="24"/>
          <w:highlight w:val="none"/>
          <w:lang w:val="en-US" w:eastAsia="zh-CN"/>
        </w:rPr>
        <w:t>菁</w:t>
      </w:r>
      <w:r>
        <w:rPr>
          <w:rFonts w:hint="eastAsia" w:ascii="仿宋" w:hAnsi="仿宋" w:eastAsia="仿宋" w:cs="仿宋"/>
          <w:color w:val="auto"/>
          <w:sz w:val="24"/>
          <w:highlight w:val="none"/>
        </w:rPr>
        <w:t xml:space="preserve">    </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监督投诉电话：0571-64718168           </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pPr>
        <w:pStyle w:val="33"/>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highlight w:val="none"/>
        </w:rPr>
        <w:t xml:space="preserve">                              </w:t>
      </w:r>
    </w:p>
    <w:p>
      <w:pPr>
        <w:adjustRightInd/>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pPr>
        <w:snapToGrid w:val="0"/>
        <w:spacing w:line="360" w:lineRule="auto"/>
        <w:jc w:val="center"/>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94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3"/>
        <w:gridCol w:w="712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69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40"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69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color w:val="auto"/>
                <w:sz w:val="24"/>
                <w:highlight w:val="none"/>
              </w:rPr>
              <w:t>开标一览表（报价表）是报价的唯一载体</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提醒：验收时检测费用由中标人承担，包含在投标总价中。</w:t>
            </w:r>
          </w:p>
          <w:p>
            <w:pPr>
              <w:snapToGrid w:val="0"/>
              <w:spacing w:line="360" w:lineRule="auto"/>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pPr>
              <w:snapToGrid w:val="0"/>
              <w:spacing w:line="360" w:lineRule="auto"/>
              <w:jc w:val="left"/>
              <w:rPr>
                <w:rFonts w:ascii="仿宋" w:hAnsi="仿宋" w:eastAsia="仿宋" w:cs="仿宋"/>
                <w:b/>
                <w:color w:val="auto"/>
                <w:kern w:val="0"/>
                <w:sz w:val="24"/>
                <w:highlight w:val="none"/>
                <w:lang w:val="zh-CN"/>
              </w:rPr>
            </w:pPr>
            <w:r>
              <w:rPr>
                <w:rFonts w:hint="eastAsia" w:ascii="仿宋" w:hAnsi="仿宋" w:eastAsia="仿宋" w:cs="仿宋"/>
                <w:color w:val="auto"/>
                <w:sz w:val="24"/>
                <w:highlight w:val="none"/>
              </w:rPr>
              <w:t>▲</w:t>
            </w:r>
            <w:r>
              <w:rPr>
                <w:rFonts w:hint="eastAsia" w:ascii="仿宋" w:hAnsi="仿宋" w:eastAsia="仿宋" w:cs="仿宋"/>
                <w:b/>
                <w:color w:val="auto"/>
                <w:kern w:val="0"/>
                <w:sz w:val="24"/>
                <w:highlight w:val="none"/>
                <w:lang w:val="zh-CN"/>
              </w:rPr>
              <w:t>投标文件出现不是唯一的、有选择性投标报价的；</w:t>
            </w:r>
          </w:p>
          <w:p>
            <w:pPr>
              <w:snapToGrid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sz w:val="24"/>
                <w:highlight w:val="none"/>
              </w:rPr>
              <w:t>▲</w:t>
            </w:r>
            <w:r>
              <w:rPr>
                <w:rFonts w:hint="eastAsia" w:ascii="仿宋" w:hAnsi="仿宋" w:eastAsia="仿宋" w:cs="仿宋"/>
                <w:b/>
                <w:color w:val="auto"/>
                <w:kern w:val="0"/>
                <w:sz w:val="24"/>
                <w:highlight w:val="none"/>
                <w:lang w:val="zh-CN"/>
              </w:rPr>
              <w:t>投标报价超过招标文件中规定的预算金额或者最高限价的;</w:t>
            </w:r>
          </w:p>
          <w:p>
            <w:pPr>
              <w:spacing w:line="360" w:lineRule="auto"/>
              <w:rPr>
                <w:rFonts w:ascii="仿宋" w:hAnsi="仿宋" w:eastAsia="仿宋" w:cs="仿宋"/>
                <w:b/>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69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7121"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pPr>
              <w:spacing w:line="360" w:lineRule="auto"/>
              <w:rPr>
                <w:rFonts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7" w:hRule="atLeast"/>
          <w:tblHeader/>
          <w:jc w:val="cent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color w:val="auto"/>
                <w:sz w:val="24"/>
                <w:highlight w:val="none"/>
              </w:rPr>
            </w:pPr>
          </w:p>
        </w:tc>
        <w:tc>
          <w:tcPr>
            <w:tcW w:w="169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p>
        </w:tc>
        <w:tc>
          <w:tcPr>
            <w:tcW w:w="7121"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7" w:hRule="atLeast"/>
          <w:tblHeader/>
          <w:jc w:val="center"/>
        </w:trPr>
        <w:tc>
          <w:tcPr>
            <w:tcW w:w="629" w:type="dxa"/>
            <w:tcBorders>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1693" w:type="dxa"/>
            <w:tcBorders>
              <w:left w:val="single" w:color="auto" w:sz="4" w:space="0"/>
              <w:bottom w:val="single" w:color="000000" w:sz="8" w:space="0"/>
              <w:right w:val="single" w:color="000000" w:sz="8" w:space="0"/>
            </w:tcBorders>
            <w:vAlign w:val="center"/>
          </w:tcPr>
          <w:p>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7121"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sym w:font="Wingdings 2" w:char="0052"/>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A同意将非主体、非关键性的</w:t>
            </w:r>
            <w:r>
              <w:rPr>
                <w:rFonts w:hint="eastAsia" w:ascii="仿宋" w:hAnsi="仿宋" w:eastAsia="仿宋" w:cs="仿宋"/>
                <w:color w:val="auto"/>
                <w:sz w:val="24"/>
                <w:szCs w:val="24"/>
                <w:highlight w:val="none"/>
                <w:u w:val="single"/>
                <w:lang w:val="en-US" w:eastAsia="zh-CN"/>
              </w:rPr>
              <w:t>PM2.5源解析和颗粒物雷达扫描</w:t>
            </w:r>
            <w:r>
              <w:rPr>
                <w:rFonts w:hint="eastAsia" w:ascii="仿宋" w:hAnsi="仿宋" w:eastAsia="仿宋" w:cs="仿宋"/>
                <w:color w:val="auto"/>
                <w:sz w:val="24"/>
                <w:szCs w:val="24"/>
                <w:highlight w:val="none"/>
              </w:rPr>
              <w:t>工作分包。</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sym w:font="Wingdings 2" w:char="00A3"/>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B不同意分包。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ind w:firstLine="240" w:firstLineChars="100"/>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项目属性与核心产品</w:t>
            </w:r>
          </w:p>
        </w:tc>
        <w:tc>
          <w:tcPr>
            <w:tcW w:w="7121"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sym w:font="Wingdings 2" w:char="0052"/>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采购标的对应的中小企业划分标准所属行业</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lang w:eastAsia="zh-CN"/>
              </w:rPr>
              <w:t>大气污染防治第三方技术服务</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u w:val="single"/>
                <w:lang w:val="en-US" w:eastAsia="zh-CN"/>
              </w:rPr>
              <w:t xml:space="preserve">其他未列明行业 </w:t>
            </w:r>
            <w:r>
              <w:rPr>
                <w:rFonts w:hint="eastAsia" w:ascii="仿宋" w:hAnsi="仿宋" w:eastAsia="仿宋" w:cs="仿宋"/>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s="仿宋"/>
                <w:color w:val="auto"/>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jc w:val="cent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p>
        </w:tc>
        <w:tc>
          <w:tcPr>
            <w:tcW w:w="169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为支持和促进中小企业发展，进一步发挥政府采购政策，建德市财政局、浙江银监局建德监管办事处、建德市人民政府金融工作办公室、市经济和信息化局共同出台了《建德市政府采购支持中小企业信用融资实施细则》，供应商若有融资意向，详见《政府采购支持中小企业信用融资相关事项通知》。具体可咨询建德市财政局采购办，联系电话：64718168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70" w:hRule="atLeast"/>
          <w:tblHeader/>
          <w:jc w:val="center"/>
        </w:trPr>
        <w:tc>
          <w:tcPr>
            <w:tcW w:w="629" w:type="dxa"/>
            <w:vMerge w:val="continue"/>
            <w:tcBorders>
              <w:left w:val="single" w:color="000000" w:sz="8" w:space="0"/>
              <w:right w:val="single" w:color="000000" w:sz="2" w:space="0"/>
            </w:tcBorders>
            <w:vAlign w:val="center"/>
          </w:tcPr>
          <w:p>
            <w:pPr>
              <w:spacing w:line="360" w:lineRule="auto"/>
              <w:ind w:firstLine="420" w:firstLineChars="200"/>
              <w:jc w:val="center"/>
              <w:rPr>
                <w:rFonts w:ascii="仿宋" w:hAnsi="仿宋" w:eastAsia="仿宋" w:cs="仿宋"/>
                <w:color w:val="auto"/>
                <w:highlight w:val="none"/>
              </w:rPr>
            </w:pPr>
          </w:p>
        </w:tc>
        <w:tc>
          <w:tcPr>
            <w:tcW w:w="1693" w:type="dxa"/>
            <w:vMerge w:val="continue"/>
            <w:tcBorders>
              <w:left w:val="single" w:color="000000" w:sz="2" w:space="0"/>
              <w:right w:val="single" w:color="000000" w:sz="8" w:space="0"/>
            </w:tcBorders>
            <w:vAlign w:val="center"/>
          </w:tcPr>
          <w:p>
            <w:pPr>
              <w:spacing w:line="360" w:lineRule="auto"/>
              <w:ind w:firstLine="420" w:firstLineChars="200"/>
              <w:rPr>
                <w:rFonts w:ascii="仿宋" w:hAnsi="仿宋" w:eastAsia="仿宋" w:cs="仿宋"/>
                <w:color w:val="auto"/>
                <w:highlight w:val="none"/>
              </w:rPr>
            </w:pPr>
          </w:p>
        </w:tc>
        <w:tc>
          <w:tcPr>
            <w:tcW w:w="7121" w:type="dxa"/>
            <w:tcBorders>
              <w:top w:val="single" w:color="000000" w:sz="8" w:space="0"/>
              <w:left w:val="single" w:color="000000" w:sz="2" w:space="0"/>
              <w:right w:val="single" w:color="000000" w:sz="8" w:space="0"/>
            </w:tcBorders>
            <w:vAlign w:val="center"/>
          </w:tcPr>
          <w:p>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供应商中标后也可在“政采云”平台（登陆https://jinrong.zcygov.cn/?utm=a0017.b1540.ct001.11.3a0260f064fd11eba8f1adac56aaf47c办理业务）申请政采贷：操作路径：登录政采云平台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7121" w:type="dxa"/>
            <w:tcBorders>
              <w:top w:val="single" w:color="000000" w:sz="8" w:space="0"/>
              <w:left w:val="single" w:color="000000" w:sz="2" w:space="0"/>
              <w:bottom w:val="single" w:color="000000" w:sz="8" w:space="0"/>
              <w:right w:val="single" w:color="000000" w:sz="8" w:space="0"/>
            </w:tcBorders>
            <w:vAlign w:val="center"/>
          </w:tcPr>
          <w:p>
            <w:pPr>
              <w:pStyle w:val="33"/>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u w:val="single"/>
              </w:rPr>
            </w:pPr>
            <w:r>
              <w:rPr>
                <w:rFonts w:hint="eastAsia" w:ascii="仿宋" w:hAnsi="仿宋" w:eastAsia="仿宋" w:cs="仿宋"/>
                <w:color w:val="auto"/>
                <w:kern w:val="28"/>
                <w:sz w:val="24"/>
                <w:szCs w:val="24"/>
                <w:highlight w:val="none"/>
              </w:rPr>
              <w:t>备份响应文件送达地点：</w:t>
            </w:r>
            <w:r>
              <w:rPr>
                <w:rFonts w:hint="eastAsia" w:ascii="仿宋" w:hAnsi="仿宋" w:eastAsia="仿宋" w:cs="仿宋"/>
                <w:color w:val="auto"/>
                <w:kern w:val="28"/>
                <w:sz w:val="24"/>
                <w:szCs w:val="24"/>
                <w:highlight w:val="none"/>
                <w:u w:val="single"/>
              </w:rPr>
              <w:t>浙江省杭州市建德市新安江街道严州大道水韵天城108幢201；</w:t>
            </w:r>
          </w:p>
          <w:p>
            <w:pPr>
              <w:pStyle w:val="33"/>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8"/>
                <w:sz w:val="24"/>
                <w:szCs w:val="24"/>
                <w:highlight w:val="none"/>
              </w:rPr>
              <w:t>备份响应文件签收联系人：</w:t>
            </w:r>
            <w:r>
              <w:rPr>
                <w:rFonts w:hint="eastAsia" w:ascii="仿宋" w:hAnsi="仿宋" w:eastAsia="仿宋" w:cs="仿宋"/>
                <w:color w:val="auto"/>
                <w:kern w:val="28"/>
                <w:sz w:val="24"/>
                <w:szCs w:val="24"/>
                <w:highlight w:val="none"/>
                <w:u w:val="single"/>
                <w:lang w:eastAsia="zh-CN"/>
              </w:rPr>
              <w:t>季姜春</w:t>
            </w:r>
            <w:r>
              <w:rPr>
                <w:rFonts w:hint="eastAsia" w:ascii="仿宋" w:hAnsi="仿宋" w:eastAsia="仿宋" w:cs="仿宋"/>
                <w:color w:val="auto"/>
                <w:kern w:val="28"/>
                <w:sz w:val="24"/>
                <w:szCs w:val="24"/>
                <w:highlight w:val="none"/>
              </w:rPr>
              <w:t>；联系电话：</w:t>
            </w:r>
            <w:r>
              <w:rPr>
                <w:rFonts w:hint="eastAsia" w:ascii="仿宋" w:hAnsi="仿宋" w:eastAsia="仿宋" w:cs="仿宋"/>
                <w:color w:val="auto"/>
                <w:kern w:val="28"/>
                <w:sz w:val="24"/>
                <w:szCs w:val="24"/>
                <w:highlight w:val="none"/>
                <w:u w:val="single"/>
                <w:lang w:val="en-US" w:eastAsia="zh-CN"/>
              </w:rPr>
              <w:t>13567150257</w:t>
            </w:r>
            <w:r>
              <w:rPr>
                <w:rFonts w:hint="eastAsia" w:ascii="仿宋" w:hAnsi="仿宋" w:eastAsia="仿宋" w:cs="仿宋"/>
                <w:color w:val="auto"/>
                <w:sz w:val="24"/>
                <w:szCs w:val="24"/>
                <w:highlight w:val="none"/>
              </w:rPr>
              <w:t>。</w:t>
            </w:r>
          </w:p>
          <w:p>
            <w:pPr>
              <w:pStyle w:val="33"/>
              <w:spacing w:line="360" w:lineRule="auto"/>
              <w:rPr>
                <w:rFonts w:ascii="仿宋" w:hAnsi="仿宋" w:eastAsia="仿宋" w:cs="仿宋"/>
                <w:color w:val="auto"/>
                <w:kern w:val="28"/>
                <w:sz w:val="24"/>
                <w:highlight w:val="none"/>
              </w:rPr>
            </w:pPr>
            <w:r>
              <w:rPr>
                <w:rFonts w:hint="eastAsia" w:ascii="仿宋" w:hAnsi="仿宋" w:eastAsia="仿宋" w:cs="仿宋"/>
                <w:b/>
                <w:color w:val="auto"/>
                <w:sz w:val="24"/>
                <w:szCs w:val="24"/>
                <w:highlight w:val="none"/>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9</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采购代理机构代理费用</w:t>
            </w:r>
          </w:p>
        </w:tc>
        <w:tc>
          <w:tcPr>
            <w:tcW w:w="7121"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b/>
                <w:bCs/>
                <w:color w:val="auto"/>
                <w:spacing w:val="-2"/>
                <w:sz w:val="24"/>
                <w:highlight w:val="none"/>
              </w:rPr>
            </w:pPr>
            <w:r>
              <w:rPr>
                <w:rFonts w:hint="eastAsia" w:ascii="仿宋" w:hAnsi="仿宋" w:eastAsia="仿宋" w:cs="仿宋"/>
                <w:b/>
                <w:color w:val="auto"/>
                <w:kern w:val="0"/>
                <w:sz w:val="24"/>
                <w:highlight w:val="none"/>
              </w:rPr>
              <w:t>投标总</w:t>
            </w:r>
            <w:r>
              <w:rPr>
                <w:rFonts w:hint="eastAsia" w:ascii="仿宋" w:hAnsi="仿宋" w:eastAsia="仿宋" w:cs="仿宋"/>
                <w:b/>
                <w:bCs/>
                <w:color w:val="auto"/>
                <w:spacing w:val="-2"/>
                <w:sz w:val="24"/>
                <w:highlight w:val="none"/>
              </w:rPr>
              <w:t>报价应含采购服务费，采购服务费按照国家发展计划委员会计价格[2002]1980 号文《招标代理服务费管理暂行办法》及发改办价格[2003]857号文的收费标准（服务类）计取，</w:t>
            </w:r>
            <w:r>
              <w:rPr>
                <w:rFonts w:hint="eastAsia" w:ascii="仿宋" w:hAnsi="仿宋" w:eastAsia="仿宋" w:cs="仿宋"/>
                <w:b/>
                <w:bCs/>
                <w:color w:val="auto"/>
                <w:sz w:val="24"/>
                <w:szCs w:val="24"/>
              </w:rPr>
              <w:t>为人民币</w:t>
            </w:r>
            <w:r>
              <w:rPr>
                <w:rFonts w:hint="eastAsia" w:ascii="仿宋" w:hAnsi="仿宋" w:eastAsia="仿宋" w:cs="仿宋"/>
                <w:b/>
                <w:bCs/>
                <w:color w:val="auto"/>
                <w:sz w:val="24"/>
                <w:szCs w:val="24"/>
                <w:lang w:val="en-US" w:eastAsia="zh-CN"/>
              </w:rPr>
              <w:t>壹万叁仟叁佰</w:t>
            </w:r>
            <w:r>
              <w:rPr>
                <w:rFonts w:hint="eastAsia" w:ascii="仿宋" w:hAnsi="仿宋" w:eastAsia="仿宋" w:cs="仿宋"/>
                <w:b/>
                <w:bCs/>
                <w:color w:val="auto"/>
                <w:sz w:val="24"/>
                <w:szCs w:val="24"/>
                <w:lang w:eastAsia="zh-CN"/>
              </w:rPr>
              <w:t>元整</w:t>
            </w:r>
            <w:r>
              <w:rPr>
                <w:rFonts w:hint="eastAsia" w:ascii="仿宋" w:hAnsi="仿宋" w:eastAsia="仿宋" w:cs="仿宋"/>
                <w:b/>
                <w:bCs/>
                <w:color w:val="auto"/>
                <w:sz w:val="24"/>
                <w:szCs w:val="24"/>
              </w:rPr>
              <w:t>（￥</w:t>
            </w:r>
            <w:r>
              <w:rPr>
                <w:rFonts w:hint="eastAsia" w:ascii="仿宋" w:hAnsi="仿宋" w:eastAsia="仿宋" w:cs="仿宋"/>
                <w:b/>
                <w:bCs/>
                <w:color w:val="auto"/>
                <w:sz w:val="24"/>
                <w:szCs w:val="24"/>
                <w:lang w:val="en-US" w:eastAsia="zh-CN"/>
              </w:rPr>
              <w:t>13300</w:t>
            </w:r>
            <w:r>
              <w:rPr>
                <w:rFonts w:hint="eastAsia" w:ascii="仿宋" w:hAnsi="仿宋" w:eastAsia="仿宋" w:cs="仿宋"/>
                <w:b/>
                <w:bCs/>
                <w:color w:val="auto"/>
                <w:sz w:val="24"/>
                <w:szCs w:val="24"/>
                <w:lang w:eastAsia="zh-CN"/>
              </w:rPr>
              <w:t>.00</w:t>
            </w:r>
            <w:r>
              <w:rPr>
                <w:rFonts w:hint="eastAsia" w:ascii="仿宋" w:hAnsi="仿宋" w:eastAsia="仿宋" w:cs="仿宋"/>
                <w:b/>
                <w:bCs/>
                <w:color w:val="auto"/>
                <w:sz w:val="24"/>
                <w:szCs w:val="24"/>
              </w:rPr>
              <w:t>元）。</w:t>
            </w:r>
            <w:r>
              <w:rPr>
                <w:rFonts w:hint="eastAsia" w:ascii="仿宋" w:hAnsi="仿宋" w:eastAsia="仿宋" w:cs="仿宋"/>
                <w:b/>
                <w:bCs/>
                <w:color w:val="auto"/>
                <w:spacing w:val="-2"/>
                <w:sz w:val="24"/>
                <w:highlight w:val="none"/>
              </w:rPr>
              <w:t>由中标单位在领取中标通知书时支付给采购代理公司。</w:t>
            </w:r>
          </w:p>
          <w:p>
            <w:pPr>
              <w:spacing w:line="360" w:lineRule="auto"/>
              <w:rPr>
                <w:rFonts w:ascii="仿宋" w:hAnsi="仿宋" w:eastAsia="仿宋" w:cs="仿宋"/>
                <w:snapToGrid w:val="0"/>
                <w:color w:val="auto"/>
                <w:kern w:val="28"/>
                <w:sz w:val="24"/>
                <w:highlight w:val="none"/>
              </w:rPr>
            </w:pPr>
            <w:r>
              <w:rPr>
                <w:rFonts w:hint="eastAsia" w:ascii="仿宋" w:hAnsi="仿宋" w:eastAsia="仿宋" w:cs="仿宋"/>
                <w:b/>
                <w:bCs/>
                <w:color w:val="auto"/>
                <w:spacing w:val="-2"/>
                <w:sz w:val="24"/>
                <w:highlight w:val="none"/>
              </w:rPr>
              <w:t>对放弃中标（成交）资格的供应商，要求其承担代理费和专家评审费等费用。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3" w:hRule="atLeast"/>
          <w:tblHeader/>
          <w:jc w:val="cent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169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7121"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3" w:hRule="atLeast"/>
          <w:tblHeader/>
          <w:jc w:val="cent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lang w:val="en-US" w:eastAsia="zh-CN"/>
              </w:rPr>
            </w:pPr>
          </w:p>
        </w:tc>
        <w:tc>
          <w:tcPr>
            <w:tcW w:w="1693" w:type="dxa"/>
            <w:vMerge w:val="continue"/>
            <w:tcBorders>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p>
        </w:tc>
        <w:tc>
          <w:tcPr>
            <w:tcW w:w="7121"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lang w:val="en-US" w:eastAsia="zh-CN"/>
              </w:rPr>
              <w:t>□</w:t>
            </w:r>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lang w:val="en-US" w:eastAsia="zh-CN"/>
              </w:rPr>
              <w:sym w:font="Wingdings 2" w:char="0052"/>
            </w:r>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bl>
    <w:p>
      <w:pPr>
        <w:snapToGrid w:val="0"/>
        <w:spacing w:line="360" w:lineRule="auto"/>
        <w:jc w:val="center"/>
        <w:rPr>
          <w:rFonts w:ascii="仿宋" w:hAnsi="仿宋" w:eastAsia="仿宋" w:cs="仿宋"/>
          <w:b/>
          <w:color w:val="auto"/>
          <w:sz w:val="32"/>
          <w:szCs w:val="20"/>
          <w:highlight w:val="none"/>
        </w:rPr>
      </w:pPr>
    </w:p>
    <w:bookmarkEnd w:id="10"/>
    <w:p>
      <w:pPr>
        <w:adjustRightInd/>
        <w:spacing w:line="360" w:lineRule="auto"/>
        <w:ind w:firstLine="3845" w:firstLineChars="1197"/>
        <w:outlineLvl w:val="0"/>
        <w:rPr>
          <w:rFonts w:ascii="仿宋" w:hAnsi="仿宋" w:eastAsia="仿宋" w:cs="仿宋"/>
          <w:b/>
          <w:color w:val="auto"/>
          <w:sz w:val="32"/>
          <w:szCs w:val="20"/>
          <w:highlight w:val="none"/>
        </w:rPr>
      </w:pPr>
      <w:bookmarkStart w:id="11" w:name="第三部分"/>
      <w:bookmarkStart w:id="12" w:name="_Toc164416483"/>
    </w:p>
    <w:p>
      <w:pPr>
        <w:adjustRightInd/>
        <w:spacing w:line="360" w:lineRule="auto"/>
        <w:ind w:firstLine="3845" w:firstLineChars="1197"/>
        <w:outlineLvl w:val="0"/>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pStyle w:val="79"/>
        <w:rPr>
          <w:rFonts w:ascii="仿宋" w:hAnsi="仿宋" w:eastAsia="仿宋" w:cs="仿宋"/>
          <w:b/>
          <w:color w:val="auto"/>
          <w:sz w:val="32"/>
          <w:szCs w:val="20"/>
          <w:highlight w:val="none"/>
        </w:rPr>
      </w:pPr>
    </w:p>
    <w:p>
      <w:pPr>
        <w:adjustRightInd/>
        <w:spacing w:line="360" w:lineRule="auto"/>
        <w:ind w:firstLine="3845" w:firstLineChars="1197"/>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pPr>
        <w:snapToGrid w:val="0"/>
        <w:spacing w:line="360" w:lineRule="auto"/>
        <w:ind w:firstLine="361" w:firstLineChars="150"/>
        <w:jc w:val="left"/>
        <w:outlineLvl w:val="1"/>
        <w:rPr>
          <w:rFonts w:ascii="仿宋" w:hAnsi="仿宋" w:eastAsia="仿宋" w:cs="仿宋"/>
          <w:b/>
          <w:color w:val="auto"/>
          <w:sz w:val="24"/>
          <w:highlight w:val="none"/>
        </w:rPr>
      </w:pPr>
      <w:r>
        <w:rPr>
          <w:rFonts w:hint="eastAsia" w:ascii="仿宋" w:hAnsi="仿宋" w:eastAsia="仿宋" w:cs="仿宋"/>
          <w:b/>
          <w:color w:val="auto"/>
          <w:sz w:val="24"/>
          <w:highlight w:val="none"/>
        </w:rPr>
        <w:t>1.适用范围</w:t>
      </w:r>
    </w:p>
    <w:p>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 “采购机构”系指招标公告中载明的本项目的采购机构。</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 “▲” 系指实质性要求条款，“★”系产品采购项目中单一产品或核心产品，</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sym w:font="Wingdings 2" w:char="0052"/>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系指适用本项目的要求，</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系指不适用本项目的要求。</w:t>
      </w:r>
    </w:p>
    <w:p>
      <w:pPr>
        <w:spacing w:line="360" w:lineRule="auto"/>
        <w:ind w:firstLine="241" w:firstLineChars="100"/>
        <w:rPr>
          <w:rFonts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pPr>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3.3.2.2在工程采购项目中，工程由中小企业承建，即工程施工单位为中小企业；</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ascii="仿宋" w:hAnsi="仿宋" w:eastAsia="仿宋" w:cs="仿宋"/>
          <w:b/>
          <w:color w:val="auto"/>
          <w:sz w:val="24"/>
          <w:highlight w:val="none"/>
        </w:rPr>
      </w:pPr>
      <w:r>
        <w:rPr>
          <w:rFonts w:hint="eastAsia" w:ascii="仿宋" w:hAnsi="仿宋" w:eastAsia="仿宋" w:cs="仿宋"/>
          <w:color w:val="auto"/>
          <w:sz w:val="24"/>
          <w:highlight w:val="none"/>
        </w:rPr>
        <w:t>3.5中小企业信用融资：</w:t>
      </w:r>
      <w:r>
        <w:rPr>
          <w:rFonts w:hint="eastAsia" w:ascii="仿宋" w:hAnsi="仿宋" w:eastAsia="仿宋" w:cs="仿宋"/>
          <w:color w:val="auto"/>
          <w:kern w:val="0"/>
          <w:sz w:val="24"/>
          <w:highlight w:val="none"/>
        </w:rPr>
        <w:t>为支持和促进中小企业发展，进一步发挥政府采购政策，建德市财政局、浙江银监局建德监管办事处、建德市人民政府金融工作办公室、市经济和信息化局共同出台了《建德市政府采购支持中小企业信用融资实施细则》，供应商若有融资意向，详见《政府采购支持中小企业信用融资相关事项通知》。具体可咨询建德市财政局采购办，联系电话：64718168；</w:t>
      </w:r>
      <w:r>
        <w:rPr>
          <w:rFonts w:hint="eastAsia" w:ascii="仿宋" w:hAnsi="仿宋" w:eastAsia="仿宋" w:cs="仿宋"/>
          <w:snapToGrid w:val="0"/>
          <w:color w:val="auto"/>
          <w:kern w:val="28"/>
          <w:sz w:val="24"/>
          <w:highlight w:val="none"/>
        </w:rPr>
        <w:t>供</w:t>
      </w:r>
      <w:r>
        <w:rPr>
          <w:rFonts w:hint="eastAsia" w:ascii="仿宋" w:hAnsi="仿宋" w:eastAsia="仿宋" w:cs="仿宋"/>
          <w:color w:val="auto"/>
          <w:kern w:val="0"/>
          <w:sz w:val="24"/>
          <w:highlight w:val="none"/>
        </w:rPr>
        <w:t>应商中标后也可在“政采云”平台（登陆https://jinrong.zcygov.cn/?utm=a0017.b1540.ct001.11.3a0260f064fd11eba8f1adac56aaf47c办理业务）申请政采贷：操作路径：登录政采云平台 - 金融服务中心 -【融资服务】，可在热门申请中选择产品直接申请，也可点击云智贷匹配适合产品进行申请，或者在可申请项目中根据该项目进行申请。</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w:t>
      </w:r>
    </w:p>
    <w:p>
      <w:pPr>
        <w:autoSpaceDE w:val="0"/>
        <w:autoSpaceDN w:val="0"/>
        <w:spacing w:line="360" w:lineRule="auto"/>
        <w:ind w:firstLine="240" w:firstLineChars="1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4.1供应商询问</w:t>
      </w:r>
    </w:p>
    <w:p>
      <w:pPr>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4.2供应商质疑</w:t>
      </w:r>
    </w:p>
    <w:p>
      <w:pPr>
        <w:pStyle w:val="33"/>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3"/>
        <w:spacing w:line="360" w:lineRule="auto"/>
        <w:ind w:firstLine="480" w:firstLineChars="200"/>
        <w:rPr>
          <w:rFonts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4.2.2.1对招标文件提出质疑的，质疑期限为供应商获得招标文件之日或者招标文件公告期限届满之日起计算。</w:t>
      </w:r>
    </w:p>
    <w:p>
      <w:pPr>
        <w:pStyle w:val="33"/>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4.2.2.2对采购过程提出质疑的，质疑期限为各采购程序环节结束之日起计算。对同一采购程序环节的质疑，供应商须一次性提出。</w:t>
      </w:r>
    </w:p>
    <w:p>
      <w:pPr>
        <w:pStyle w:val="33"/>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4.2.2.3对采购结果提出质疑的，质疑期限自采购结果公告期限届满之日起计算。</w:t>
      </w:r>
    </w:p>
    <w:p>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w:t>
      </w:r>
      <w:r>
        <w:rPr>
          <w:rFonts w:hint="eastAsia" w:ascii="仿宋" w:hAnsi="仿宋" w:eastAsia="仿宋" w:cs="仿宋"/>
          <w:color w:val="auto"/>
          <w:sz w:val="24"/>
          <w:highlight w:val="none"/>
        </w:rPr>
        <w:t>供应商提出质疑应当提交质疑函和必要的证明材料。质疑函应当包括下列内容：</w:t>
      </w:r>
    </w:p>
    <w:p>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4.2.3.1供应商的姓名或者名称、地址、邮编、联系人及联系电话；</w:t>
      </w:r>
    </w:p>
    <w:p>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4.2.3.2质疑项目的名称、编号；</w:t>
      </w:r>
    </w:p>
    <w:p>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4.2.3.3具体、明确的质疑事项和与质疑事项相关的请求；</w:t>
      </w:r>
    </w:p>
    <w:p>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4.2.3.4事实依据；</w:t>
      </w:r>
    </w:p>
    <w:p>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4.2.3.5必要的法律依据；</w:t>
      </w:r>
    </w:p>
    <w:p>
      <w:pPr>
        <w:pStyle w:val="33"/>
        <w:spacing w:line="360" w:lineRule="auto"/>
        <w:ind w:firstLine="960" w:firstLineChars="4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4.2.3.6提出质疑的日期。</w:t>
      </w:r>
    </w:p>
    <w:p>
      <w:pPr>
        <w:pStyle w:val="889"/>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9"/>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pPr>
        <w:pStyle w:val="889"/>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4采购人或者采购机构应当在收到供应商的书面质疑后七个工作日内作出答复，并以书面形式通知质疑供应商和其他与质疑处理结果有利害关系的政府采购当事人，但答复的内容不得涉及商业秘密。根据建德市财政局关于转发“《杭州市财政局关于进一步加强政府采购信息公开优化营商环境的通知》（杭财采监〔2021〕17号）”的通知（</w:t>
      </w:r>
      <w:r>
        <w:rPr>
          <w:rFonts w:hint="eastAsia" w:ascii="仿宋" w:hAnsi="仿宋" w:eastAsia="仿宋" w:cs="仿宋"/>
          <w:color w:val="auto"/>
          <w:szCs w:val="30"/>
          <w:highlight w:val="none"/>
        </w:rPr>
        <w:t>建财采监〔2021〕68号</w:t>
      </w:r>
      <w:r>
        <w:rPr>
          <w:rFonts w:hint="eastAsia" w:ascii="仿宋" w:hAnsi="仿宋" w:eastAsia="仿宋" w:cs="仿宋"/>
          <w:color w:val="auto"/>
          <w:highlight w:val="none"/>
        </w:rPr>
        <w:t>）,采购人或者采购机构在质疑回复后5个工作日内，在浙江政府采购网的“其他公告”栏目公开质疑答复，答复内容应当完整。质疑函作为附件上传。</w:t>
      </w:r>
    </w:p>
    <w:p>
      <w:pPr>
        <w:pStyle w:val="889"/>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.5询问或者质疑事项可能影响采购结果的，采购人应当暂停签订合同，已经签订合同的，应当中止履行合同。</w:t>
      </w:r>
    </w:p>
    <w:p>
      <w:pPr>
        <w:pStyle w:val="889"/>
        <w:shd w:val="clear" w:color="auto" w:fill="FFFFFF"/>
        <w:snapToGrid w:val="0"/>
        <w:spacing w:after="240" w:afterAutospacing="0" w:line="360" w:lineRule="auto"/>
        <w:ind w:firstLine="480" w:firstLineChars="200"/>
        <w:contextualSpacing/>
        <w:rPr>
          <w:rFonts w:ascii="仿宋" w:hAnsi="仿宋" w:eastAsia="仿宋" w:cs="仿宋"/>
          <w:color w:val="auto"/>
          <w:highlight w:val="none"/>
          <w:lang w:val="zh-CN"/>
        </w:rPr>
      </w:pPr>
      <w:r>
        <w:rPr>
          <w:rFonts w:hint="eastAsia" w:ascii="仿宋" w:hAnsi="仿宋" w:eastAsia="仿宋" w:cs="仿宋"/>
          <w:color w:val="auto"/>
          <w:highlight w:val="none"/>
          <w:lang w:val="zh-CN"/>
        </w:rPr>
        <w:t>4.3供应商投诉</w:t>
      </w:r>
    </w:p>
    <w:p>
      <w:pPr>
        <w:pStyle w:val="889"/>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4.3.1质疑供应商对采购人、采购机构的答复不满意或者采购人、采购机构未在规定的时间内作出答复的，可以在答复期满后十五个工作日内向同级政府采购监督管理部门提出投诉。</w:t>
      </w:r>
    </w:p>
    <w:p>
      <w:pPr>
        <w:pStyle w:val="889"/>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4.3.</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pPr>
        <w:pStyle w:val="889"/>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4.3.3供应商投诉应当有明确的请求和必要的证明材料。</w:t>
      </w:r>
    </w:p>
    <w:p>
      <w:pPr>
        <w:pStyle w:val="889"/>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4.3.5以联合体形式参加政府采购活动的，其投诉应当由组成联合体的所有供应商共同提出。</w:t>
      </w:r>
    </w:p>
    <w:p>
      <w:pPr>
        <w:pStyle w:val="889"/>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pPr>
        <w:pStyle w:val="130"/>
        <w:snapToGrid w:val="0"/>
        <w:spacing w:before="0"/>
        <w:ind w:firstLine="0" w:firstLineChars="0"/>
        <w:rPr>
          <w:rFonts w:ascii="仿宋" w:hAnsi="仿宋" w:eastAsia="仿宋" w:cs="仿宋"/>
          <w:color w:val="auto"/>
          <w:sz w:val="18"/>
          <w:szCs w:val="18"/>
          <w:highlight w:val="none"/>
        </w:rPr>
      </w:pPr>
    </w:p>
    <w:p>
      <w:pPr>
        <w:adjustRightInd/>
        <w:spacing w:line="360"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pPr>
        <w:pStyle w:val="33"/>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6.1已获取招标文件的潜在投标人，若有问题需要澄清，应于投标截止时间前，以书面形式向采购机构提出。</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pPr>
        <w:adjustRightInd/>
        <w:spacing w:line="360" w:lineRule="auto"/>
        <w:jc w:val="center"/>
        <w:outlineLvl w:val="0"/>
        <w:rPr>
          <w:rFonts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pPr>
        <w:spacing w:line="360" w:lineRule="auto"/>
        <w:ind w:firstLine="480" w:firstLineChars="200"/>
        <w:rPr>
          <w:rFonts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pPr>
        <w:pStyle w:val="33"/>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spacing w:line="360" w:lineRule="auto"/>
        <w:rPr>
          <w:rFonts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pPr>
        <w:pStyle w:val="3"/>
        <w:spacing w:line="360" w:lineRule="auto"/>
        <w:ind w:firstLine="470" w:firstLineChars="196"/>
        <w:rPr>
          <w:rFonts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pPr>
        <w:autoSpaceDE w:val="0"/>
        <w:autoSpaceDN w:val="0"/>
        <w:spacing w:line="360" w:lineRule="auto"/>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11.1资格文件：</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11.1.1</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符合参加政府采购活动应当具备的一般条件的承诺函；</w:t>
      </w:r>
    </w:p>
    <w:p>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11.1.2 联合协议（如果有)；</w:t>
      </w:r>
    </w:p>
    <w:p>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11.1.3 分包意向协议（如果有)；</w:t>
      </w:r>
    </w:p>
    <w:p>
      <w:pPr>
        <w:snapToGrid w:val="0"/>
        <w:spacing w:line="360" w:lineRule="auto"/>
        <w:ind w:firstLine="960" w:firstLineChars="4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lang w:val="en-US" w:eastAsia="zh-CN"/>
        </w:rPr>
        <w:t xml:space="preserve">11.1.4 </w:t>
      </w:r>
      <w:r>
        <w:rPr>
          <w:rFonts w:hint="eastAsia" w:ascii="仿宋" w:hAnsi="仿宋" w:eastAsia="仿宋" w:cs="仿宋"/>
          <w:color w:val="auto"/>
          <w:sz w:val="24"/>
          <w:highlight w:val="none"/>
        </w:rPr>
        <w:t>落实政府采购政策需满足的资格要求：</w:t>
      </w:r>
      <w:r>
        <w:rPr>
          <w:rFonts w:hint="eastAsia" w:ascii="仿宋" w:hAnsi="仿宋" w:eastAsia="仿宋" w:cs="仿宋"/>
          <w:color w:val="auto"/>
          <w:sz w:val="24"/>
          <w:highlight w:val="none"/>
          <w:lang w:eastAsia="zh-CN"/>
        </w:rPr>
        <w:t>提供《中小企业声明函》或残疾人福利性单位声明函或由省级以上监狱管理局、戒毒管理局（含新疆生产建设兵团）出具的属于监狱企业证明文件。</w:t>
      </w:r>
    </w:p>
    <w:p>
      <w:pPr>
        <w:snapToGrid w:val="0"/>
        <w:spacing w:line="360" w:lineRule="auto"/>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11.2.3</w:t>
      </w:r>
      <w:r>
        <w:rPr>
          <w:rFonts w:hint="eastAsia" w:ascii="仿宋" w:hAnsi="仿宋" w:eastAsia="仿宋" w:cs="仿宋"/>
          <w:color w:val="auto"/>
          <w:sz w:val="24"/>
          <w:highlight w:val="none"/>
        </w:rPr>
        <w:t>符合性审查资料；</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商务技术偏离表；</w:t>
      </w:r>
    </w:p>
    <w:p>
      <w:pPr>
        <w:snapToGrid w:val="0"/>
        <w:spacing w:line="360" w:lineRule="auto"/>
        <w:ind w:firstLine="960" w:firstLineChars="4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zh-CN"/>
        </w:rPr>
        <w:t>政府采购供应商廉洁自律承诺书。</w:t>
      </w:r>
    </w:p>
    <w:p>
      <w:pPr>
        <w:snapToGrid w:val="0"/>
        <w:spacing w:line="360" w:lineRule="auto"/>
        <w:ind w:firstLine="480" w:firstLineChars="200"/>
        <w:rPr>
          <w:rFonts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pPr>
        <w:spacing w:line="360" w:lineRule="auto"/>
        <w:ind w:firstLine="723" w:firstLineChars="300"/>
        <w:rPr>
          <w:rFonts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pPr>
        <w:spacing w:line="360" w:lineRule="auto"/>
        <w:ind w:firstLine="723" w:firstLineChars="300"/>
        <w:rPr>
          <w:rFonts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pPr>
        <w:pStyle w:val="130"/>
        <w:snapToGrid w:val="0"/>
        <w:spacing w:before="0"/>
        <w:ind w:firstLine="0" w:firstLineChars="0"/>
        <w:outlineLvl w:val="0"/>
        <w:rPr>
          <w:rFonts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pPr>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pPr>
        <w:pStyle w:val="130"/>
        <w:snapToGrid w:val="0"/>
        <w:spacing w:before="0"/>
        <w:ind w:firstLine="480"/>
        <w:rPr>
          <w:rFonts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0"/>
        <w:snapToGrid w:val="0"/>
        <w:spacing w:before="0"/>
        <w:ind w:firstLine="480"/>
        <w:rPr>
          <w:rFonts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pPr>
        <w:pStyle w:val="13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pPr>
        <w:pStyle w:val="13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pPr>
        <w:pStyle w:val="33"/>
        <w:spacing w:line="360" w:lineRule="auto"/>
        <w:ind w:firstLine="360" w:firstLineChars="15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但采购人、采购机构不强制或变相强制投标人提交备份投标文件。</w:t>
      </w:r>
    </w:p>
    <w:p>
      <w:pPr>
        <w:pStyle w:val="33"/>
        <w:spacing w:line="360" w:lineRule="auto"/>
        <w:ind w:firstLine="480" w:firstLineChars="20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pPr>
        <w:pStyle w:val="33"/>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3"/>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pPr>
        <w:pStyle w:val="33"/>
        <w:spacing w:line="360" w:lineRule="auto"/>
        <w:ind w:firstLine="477" w:firstLineChars="199"/>
        <w:rPr>
          <w:rFonts w:ascii="仿宋" w:hAnsi="仿宋" w:eastAsia="仿宋" w:cs="仿宋"/>
          <w:b/>
          <w:color w:val="auto"/>
          <w:sz w:val="24"/>
          <w:szCs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szCs w:val="24"/>
          <w:highlight w:val="none"/>
        </w:rPr>
        <w:t>15.5投标人仅提交备份投标文件，没有在电子交易平台传输递交投标文件的，投标无效。</w:t>
      </w:r>
    </w:p>
    <w:p>
      <w:pPr>
        <w:pStyle w:val="13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pPr>
        <w:pStyle w:val="4"/>
        <w:spacing w:line="360" w:lineRule="auto"/>
        <w:ind w:firstLine="360" w:firstLineChars="150"/>
        <w:rPr>
          <w:rFonts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第13项规定</w:t>
      </w:r>
      <w:r>
        <w:rPr>
          <w:rFonts w:hint="eastAsia" w:ascii="仿宋" w:hAnsi="仿宋" w:eastAsia="仿宋" w:cs="仿宋"/>
          <w:color w:val="auto"/>
          <w:szCs w:val="21"/>
          <w:highlight w:val="none"/>
        </w:rPr>
        <w:t>的情形之一的，投标无效：</w:t>
      </w:r>
    </w:p>
    <w:p>
      <w:pPr>
        <w:pStyle w:val="13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pPr>
        <w:spacing w:line="360" w:lineRule="auto"/>
        <w:ind w:firstLine="480" w:firstLineChars="200"/>
        <w:rPr>
          <w:rFonts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pPr>
        <w:pStyle w:val="130"/>
        <w:spacing w:before="0"/>
        <w:ind w:firstLine="480"/>
        <w:rPr>
          <w:rFonts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pPr>
        <w:pStyle w:val="130"/>
        <w:spacing w:before="0"/>
        <w:ind w:firstLine="480"/>
        <w:rPr>
          <w:rFonts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130"/>
        <w:spacing w:before="0"/>
        <w:ind w:firstLine="643"/>
        <w:rPr>
          <w:rFonts w:ascii="仿宋" w:hAnsi="仿宋" w:eastAsia="仿宋" w:cs="仿宋"/>
          <w:b/>
          <w:color w:val="auto"/>
          <w:sz w:val="32"/>
          <w:highlight w:val="none"/>
        </w:rPr>
      </w:pPr>
    </w:p>
    <w:p>
      <w:pPr>
        <w:pStyle w:val="130"/>
        <w:spacing w:before="0"/>
        <w:ind w:firstLine="1928" w:firstLineChars="600"/>
        <w:rPr>
          <w:rFonts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pPr>
        <w:pStyle w:val="558"/>
        <w:spacing w:before="0" w:line="360" w:lineRule="auto"/>
        <w:ind w:left="0" w:firstLine="241" w:firstLineChars="100"/>
        <w:contextualSpacing/>
        <w:rPr>
          <w:rFonts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pPr>
        <w:pStyle w:val="558"/>
        <w:spacing w:before="0" w:line="360" w:lineRule="auto"/>
        <w:ind w:left="0" w:firstLine="480" w:firstLineChars="200"/>
        <w:contextualSpacing/>
        <w:rPr>
          <w:rFonts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采购机构按照招标文件规定的时间通过电子交易平台组织开标，所有投标人均应当准时在线参加。投标人不足3家的，不得开标。</w:t>
      </w:r>
    </w:p>
    <w:p>
      <w:pPr>
        <w:pStyle w:val="558"/>
        <w:spacing w:before="0" w:line="360" w:lineRule="auto"/>
        <w:ind w:left="0" w:firstLine="240" w:firstLineChars="100"/>
        <w:contextualSpacing/>
        <w:rPr>
          <w:rFonts w:ascii="仿宋" w:hAnsi="仿宋" w:eastAsia="仿宋" w:cs="仿宋"/>
          <w:color w:val="auto"/>
          <w:sz w:val="24"/>
          <w:highlight w:val="none"/>
        </w:rPr>
      </w:pPr>
      <w:r>
        <w:rPr>
          <w:rFonts w:hint="eastAsia" w:ascii="仿宋" w:hAnsi="仿宋" w:eastAsia="仿宋" w:cs="仿宋"/>
          <w:color w:val="auto"/>
          <w:sz w:val="24"/>
          <w:highlight w:val="none"/>
        </w:rPr>
        <w:t>　18.2</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开标时，电子交易平台按开标时间自动提取所有投标文件。采购机构依托电子交易平台发起开始解密指令，投标人按照平台提示和招标文件的规定在半小时内完成在线解密。</w:t>
      </w:r>
    </w:p>
    <w:p>
      <w:pPr>
        <w:pStyle w:val="558"/>
        <w:spacing w:before="0" w:line="360" w:lineRule="auto"/>
        <w:ind w:left="0" w:firstLine="240" w:firstLineChars="100"/>
        <w:contextualSpacing/>
        <w:rPr>
          <w:rFonts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color w:val="auto"/>
          <w:sz w:val="24"/>
          <w:highlight w:val="none"/>
          <w:lang w:val="en-US" w:eastAsia="zh-CN"/>
        </w:rPr>
        <w:t xml:space="preserve"> </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jc w:val="left"/>
        <w:rPr>
          <w:rFonts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pPr>
        <w:pStyle w:val="130"/>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19.1开标后，采购人或采购机构将依法对投标人的资格进行审查。</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采购人或采购机构依据法律法规和招标文件的规定，对投标人的基本资格条件、特定资格条件进行审查。</w:t>
      </w:r>
    </w:p>
    <w:p>
      <w:pPr>
        <w:pStyle w:val="130"/>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19.3投标人未按照招标文件要求提供与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pPr>
        <w:pStyle w:val="130"/>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4对未通过资格审查的投标人，采购人或采购机构告知其未通过的原因。</w:t>
      </w:r>
    </w:p>
    <w:p>
      <w:pPr>
        <w:pStyle w:val="130"/>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5合格投标人不足3家的，不再评标。</w:t>
      </w:r>
    </w:p>
    <w:p>
      <w:pPr>
        <w:pStyle w:val="13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pPr>
        <w:pStyle w:val="130"/>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20.1信用信息查询渠道及截止时间：采购机构将通过“信用中国”网站(www.creditchina.gov.cn)、中国政府采购网(www.ccgp.gov.cn)渠道查询投标人投标截止时间当天的信用记录。</w:t>
      </w:r>
    </w:p>
    <w:p>
      <w:pPr>
        <w:pStyle w:val="130"/>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pPr>
        <w:pStyle w:val="130"/>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0"/>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pPr>
        <w:pStyle w:val="130"/>
        <w:spacing w:before="0"/>
        <w:ind w:firstLine="0" w:firstLineChars="0"/>
        <w:rPr>
          <w:rFonts w:ascii="仿宋" w:hAnsi="仿宋" w:eastAsia="仿宋" w:cs="仿宋"/>
          <w:color w:val="auto"/>
          <w:kern w:val="0"/>
          <w:szCs w:val="24"/>
          <w:highlight w:val="none"/>
        </w:rPr>
      </w:pPr>
    </w:p>
    <w:p>
      <w:pPr>
        <w:snapToGrid w:val="0"/>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pPr>
        <w:spacing w:line="360" w:lineRule="auto"/>
        <w:rPr>
          <w:rFonts w:ascii="仿宋" w:hAnsi="仿宋" w:eastAsia="仿宋" w:cs="仿宋"/>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得分高低推荐中标单位。</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详见招标文件第四部分评标办法。</w:t>
      </w:r>
    </w:p>
    <w:p>
      <w:pPr>
        <w:spacing w:line="360" w:lineRule="auto"/>
        <w:rPr>
          <w:rFonts w:ascii="仿宋" w:hAnsi="仿宋" w:eastAsia="仿宋" w:cs="仿宋"/>
          <w:b/>
          <w:color w:val="auto"/>
          <w:sz w:val="24"/>
          <w:highlight w:val="none"/>
        </w:rPr>
      </w:pPr>
    </w:p>
    <w:p>
      <w:pPr>
        <w:snapToGrid w:val="0"/>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pPr>
        <w:pStyle w:val="4"/>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22. 确定中标供应商</w:t>
      </w:r>
    </w:p>
    <w:p>
      <w:pPr>
        <w:pStyle w:val="130"/>
        <w:snapToGrid w:val="0"/>
        <w:spacing w:before="0"/>
        <w:ind w:firstLine="480"/>
        <w:rPr>
          <w:rFonts w:ascii="仿宋" w:hAnsi="仿宋" w:eastAsia="仿宋" w:cs="仿宋"/>
          <w:b/>
          <w:color w:val="auto"/>
          <w:szCs w:val="24"/>
          <w:highlight w:val="none"/>
        </w:rPr>
      </w:pPr>
      <w:r>
        <w:rPr>
          <w:rFonts w:hint="eastAsia" w:ascii="仿宋" w:hAnsi="仿宋" w:eastAsia="仿宋" w:cs="仿宋"/>
          <w:color w:val="auto"/>
          <w:szCs w:val="24"/>
          <w:highlight w:val="none"/>
        </w:rPr>
        <w:t>本项目由采购人事先授权评标委员会确定预中标人。</w:t>
      </w:r>
    </w:p>
    <w:p>
      <w:pPr>
        <w:pStyle w:val="130"/>
        <w:snapToGrid w:val="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pPr>
        <w:widowControl/>
        <w:shd w:val="clear" w:color="auto" w:fill="FFFFFF"/>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pPr>
        <w:snapToGrid w:val="0"/>
        <w:spacing w:line="360" w:lineRule="auto"/>
        <w:ind w:left="120" w:leftChars="57" w:firstLine="482" w:firstLineChars="150"/>
        <w:jc w:val="center"/>
        <w:rPr>
          <w:rFonts w:ascii="仿宋" w:hAnsi="仿宋" w:eastAsia="仿宋" w:cs="仿宋"/>
          <w:b/>
          <w:color w:val="auto"/>
          <w:sz w:val="32"/>
          <w:highlight w:val="none"/>
        </w:rPr>
      </w:pPr>
    </w:p>
    <w:p>
      <w:pPr>
        <w:snapToGrid w:val="0"/>
        <w:spacing w:line="360" w:lineRule="auto"/>
        <w:ind w:left="120" w:leftChars="57" w:firstLine="482" w:firstLineChars="150"/>
        <w:jc w:val="center"/>
        <w:rPr>
          <w:rFonts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pPr>
        <w:pStyle w:val="4"/>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pPr>
        <w:pStyle w:val="4"/>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25. 合同的签订</w:t>
      </w:r>
    </w:p>
    <w:p>
      <w:pPr>
        <w:widowControl/>
        <w:shd w:val="clear" w:color="auto" w:fill="FFFFFF"/>
        <w:spacing w:line="360" w:lineRule="auto"/>
        <w:ind w:firstLine="48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pPr>
        <w:pStyle w:val="130"/>
        <w:snapToGrid w:val="0"/>
        <w:spacing w:before="0"/>
        <w:ind w:firstLine="480"/>
        <w:rPr>
          <w:rFonts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30"/>
        <w:snapToGrid w:val="0"/>
        <w:spacing w:before="0" w:after="120"/>
        <w:ind w:firstLine="480"/>
        <w:rPr>
          <w:rFonts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pPr>
        <w:pStyle w:val="4"/>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26. 履约保证金</w:t>
      </w:r>
    </w:p>
    <w:p>
      <w:pPr>
        <w:tabs>
          <w:tab w:val="left" w:pos="0"/>
        </w:tabs>
        <w:spacing w:line="360" w:lineRule="auto"/>
        <w:ind w:firstLine="482"/>
        <w:rPr>
          <w:rFonts w:ascii="仿宋" w:hAnsi="仿宋" w:eastAsia="仿宋" w:cs="仿宋"/>
          <w:b/>
          <w:color w:val="auto"/>
          <w:sz w:val="24"/>
          <w:highlight w:val="none"/>
        </w:rPr>
      </w:pPr>
      <w:r>
        <w:rPr>
          <w:rFonts w:hint="eastAsia" w:ascii="仿宋" w:hAnsi="仿宋" w:eastAsia="仿宋" w:cs="仿宋"/>
          <w:color w:val="auto"/>
          <w:kern w:val="0"/>
          <w:sz w:val="24"/>
          <w:highlight w:val="none"/>
        </w:rPr>
        <w:t>拟签订的合同文本要求中标人提交履约保证金的，中标人应当以支票、汇票、本票或者金融机构、担保机构出具的保函等非现金形式提交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%。鼓励和支持</w:t>
      </w:r>
      <w:r>
        <w:rPr>
          <w:rFonts w:hint="eastAsia" w:ascii="仿宋" w:hAnsi="仿宋" w:eastAsia="仿宋" w:cs="仿宋"/>
          <w:color w:val="auto"/>
          <w:kern w:val="0"/>
          <w:sz w:val="24"/>
          <w:highlight w:val="none"/>
        </w:rPr>
        <w:t>中标人</w:t>
      </w:r>
      <w:r>
        <w:rPr>
          <w:rFonts w:hint="eastAsia" w:ascii="仿宋" w:hAnsi="仿宋" w:eastAsia="仿宋" w:cs="仿宋"/>
          <w:color w:val="auto"/>
          <w:sz w:val="24"/>
          <w:highlight w:val="none"/>
        </w:rPr>
        <w:t>以银行、保险公司出具的保函形式提供履约保证金。</w:t>
      </w:r>
      <w:r>
        <w:rPr>
          <w:rFonts w:hint="eastAsia" w:ascii="仿宋" w:hAnsi="仿宋" w:eastAsia="仿宋" w:cs="仿宋"/>
          <w:b/>
          <w:color w:val="auto"/>
          <w:sz w:val="24"/>
          <w:highlight w:val="none"/>
        </w:rPr>
        <w:t>采购人不得拒收履约保函。</w:t>
      </w:r>
    </w:p>
    <w:p>
      <w:pPr>
        <w:tabs>
          <w:tab w:val="left" w:pos="0"/>
        </w:tabs>
        <w:spacing w:line="360" w:lineRule="auto"/>
        <w:ind w:firstLine="482"/>
        <w:rPr>
          <w:rFonts w:ascii="仿宋" w:hAnsi="仿宋" w:eastAsia="仿宋" w:cs="仿宋"/>
          <w:color w:val="auto"/>
          <w:sz w:val="24"/>
          <w:szCs w:val="20"/>
          <w:highlight w:val="none"/>
        </w:rPr>
      </w:pPr>
      <w:r>
        <w:rPr>
          <w:rFonts w:hint="eastAsia" w:ascii="仿宋" w:hAnsi="仿宋" w:eastAsia="仿宋" w:cs="仿宋"/>
          <w:color w:val="auto"/>
          <w:sz w:val="24"/>
          <w:szCs w:val="20"/>
          <w:highlight w:val="none"/>
        </w:rPr>
        <w:t>政府采购货物和服务项目中，采购人可根据杭州市政府采购网公布的供应商履约评价情况减免履约保证金。</w:t>
      </w:r>
      <w:r>
        <w:rPr>
          <w:rFonts w:hint="eastAsia" w:ascii="仿宋" w:hAnsi="仿宋" w:eastAsia="仿宋" w:cs="仿宋"/>
          <w:color w:val="auto"/>
          <w:kern w:val="0"/>
          <w:sz w:val="24"/>
          <w:highlight w:val="none"/>
        </w:rPr>
        <w:t>中标人</w:t>
      </w:r>
      <w:r>
        <w:rPr>
          <w:rFonts w:hint="eastAsia" w:ascii="仿宋" w:hAnsi="仿宋" w:eastAsia="仿宋" w:cs="仿宋"/>
          <w:color w:val="auto"/>
          <w:sz w:val="24"/>
          <w:szCs w:val="20"/>
          <w:highlight w:val="none"/>
        </w:rPr>
        <w:t>履约验收评价总分为100分的，采购人应当免收履约保证金；评价总分在90分以上的，收取履约保证金不得高于合同金额</w:t>
      </w:r>
      <w:r>
        <w:rPr>
          <w:rFonts w:hint="eastAsia" w:ascii="仿宋" w:hAnsi="仿宋" w:eastAsia="仿宋" w:cs="仿宋"/>
          <w:color w:val="auto"/>
          <w:sz w:val="24"/>
          <w:szCs w:val="20"/>
          <w:highlight w:val="none"/>
          <w:lang w:val="en-US" w:eastAsia="zh-CN"/>
        </w:rPr>
        <w:t>0.5</w:t>
      </w:r>
      <w:r>
        <w:rPr>
          <w:rFonts w:hint="eastAsia" w:ascii="仿宋" w:hAnsi="仿宋" w:eastAsia="仿宋" w:cs="仿宋"/>
          <w:color w:val="auto"/>
          <w:sz w:val="24"/>
          <w:szCs w:val="20"/>
          <w:highlight w:val="none"/>
        </w:rPr>
        <w:t>%；评价总分在90分以下或者暂无评分的，收取履约保证金不得高于合同金额</w:t>
      </w:r>
      <w:r>
        <w:rPr>
          <w:rFonts w:hint="eastAsia" w:ascii="仿宋" w:hAnsi="仿宋" w:eastAsia="仿宋" w:cs="仿宋"/>
          <w:color w:val="auto"/>
          <w:sz w:val="24"/>
          <w:szCs w:val="20"/>
          <w:highlight w:val="none"/>
          <w:lang w:val="en-US" w:eastAsia="zh-CN"/>
        </w:rPr>
        <w:t>1.0</w:t>
      </w:r>
      <w:r>
        <w:rPr>
          <w:rFonts w:hint="eastAsia" w:ascii="仿宋" w:hAnsi="仿宋" w:eastAsia="仿宋" w:cs="仿宋"/>
          <w:color w:val="auto"/>
          <w:sz w:val="24"/>
          <w:szCs w:val="20"/>
          <w:highlight w:val="none"/>
        </w:rPr>
        <w:t>%。</w:t>
      </w:r>
    </w:p>
    <w:p>
      <w:pPr>
        <w:pStyle w:val="2"/>
        <w:ind w:left="0" w:firstLine="480" w:firstLineChars="200"/>
        <w:rPr>
          <w:rFonts w:hint="eastAsia" w:ascii="仿宋" w:eastAsia="仿宋" w:cs="仿宋"/>
          <w:b w:val="0"/>
          <w:bCs w:val="0"/>
          <w:snapToGrid w:val="0"/>
          <w:color w:val="auto"/>
          <w:kern w:val="28"/>
          <w:sz w:val="24"/>
          <w:highlight w:val="none"/>
        </w:rPr>
      </w:pPr>
      <w:r>
        <w:rPr>
          <w:rFonts w:hint="eastAsia" w:ascii="仿宋" w:eastAsia="仿宋" w:cs="仿宋"/>
          <w:b w:val="0"/>
          <w:bCs w:val="0"/>
          <w:snapToGrid w:val="0"/>
          <w:color w:val="auto"/>
          <w:kern w:val="28"/>
          <w:sz w:val="24"/>
          <w:highlight w:val="none"/>
        </w:rPr>
        <w:t>中标人</w:t>
      </w:r>
      <w:r>
        <w:rPr>
          <w:rFonts w:hint="eastAsia" w:ascii="仿宋" w:eastAsia="仿宋" w:cs="仿宋"/>
          <w:b w:val="0"/>
          <w:bCs w:val="0"/>
          <w:snapToGrid w:val="0"/>
          <w:color w:val="auto"/>
          <w:kern w:val="28"/>
          <w:sz w:val="24"/>
          <w:highlight w:val="none"/>
          <w:lang w:val="en-US"/>
        </w:rPr>
        <w:t>可</w:t>
      </w:r>
      <w:r>
        <w:rPr>
          <w:rFonts w:hint="eastAsia" w:ascii="仿宋" w:eastAsia="仿宋" w:cs="仿宋"/>
          <w:b w:val="0"/>
          <w:bCs w:val="0"/>
          <w:snapToGrid w:val="0"/>
          <w:color w:val="auto"/>
          <w:kern w:val="28"/>
          <w:sz w:val="24"/>
          <w:highlight w:val="none"/>
        </w:rPr>
        <w:t>登录政采云平台-【金融服务】—【我的项目】—【已备案合同】以保函形式提供：1、中标人在合同列表选择需要投保的合同，点击[保函推荐]。</w:t>
      </w:r>
    </w:p>
    <w:p>
      <w:pPr>
        <w:pStyle w:val="2"/>
        <w:numPr>
          <w:ilvl w:val="0"/>
          <w:numId w:val="1"/>
        </w:numPr>
        <w:ind w:left="0" w:firstLine="480" w:firstLineChars="200"/>
        <w:rPr>
          <w:rFonts w:hint="eastAsia" w:ascii="仿宋" w:eastAsia="仿宋" w:cs="仿宋"/>
          <w:b w:val="0"/>
          <w:bCs w:val="0"/>
          <w:snapToGrid w:val="0"/>
          <w:color w:val="auto"/>
          <w:kern w:val="28"/>
          <w:sz w:val="24"/>
          <w:highlight w:val="none"/>
        </w:rPr>
      </w:pPr>
      <w:r>
        <w:rPr>
          <w:rFonts w:hint="eastAsia" w:ascii="仿宋" w:eastAsia="仿宋" w:cs="仿宋"/>
          <w:b w:val="0"/>
          <w:bCs w:val="0"/>
          <w:snapToGrid w:val="0"/>
          <w:color w:val="auto"/>
          <w:kern w:val="28"/>
          <w:sz w:val="24"/>
          <w:highlight w:val="none"/>
        </w:rPr>
        <w:t>在弹框里查看推荐的保函产品，中标人自行选择保函产品，点击[立即申请]。</w:t>
      </w:r>
    </w:p>
    <w:p>
      <w:pPr>
        <w:pStyle w:val="2"/>
        <w:numPr>
          <w:ilvl w:val="0"/>
          <w:numId w:val="0"/>
        </w:numPr>
        <w:ind w:leftChars="200"/>
        <w:rPr>
          <w:rFonts w:ascii="仿宋" w:eastAsia="仿宋" w:cs="仿宋"/>
          <w:color w:val="auto"/>
          <w:highlight w:val="none"/>
          <w:lang w:val="en-US"/>
        </w:rPr>
      </w:pPr>
      <w:r>
        <w:rPr>
          <w:rFonts w:hint="eastAsia" w:ascii="仿宋" w:eastAsia="仿宋" w:cs="仿宋"/>
          <w:b w:val="0"/>
          <w:bCs w:val="0"/>
          <w:snapToGrid w:val="0"/>
          <w:color w:val="auto"/>
          <w:kern w:val="28"/>
          <w:sz w:val="24"/>
          <w:highlight w:val="none"/>
        </w:rPr>
        <w:t>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仿宋" w:hAnsi="仿宋" w:eastAsia="仿宋" w:cs="仿宋"/>
          <w:b/>
          <w:color w:val="auto"/>
          <w:sz w:val="32"/>
          <w:highlight w:val="none"/>
        </w:rPr>
      </w:pPr>
    </w:p>
    <w:p>
      <w:pPr>
        <w:snapToGrid w:val="0"/>
        <w:spacing w:line="360" w:lineRule="auto"/>
        <w:ind w:firstLine="2570" w:firstLineChars="800"/>
        <w:rPr>
          <w:rFonts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pPr>
        <w:pStyle w:val="130"/>
        <w:snapToGrid w:val="0"/>
        <w:spacing w:before="0"/>
        <w:ind w:firstLine="0" w:firstLineChars="0"/>
        <w:rPr>
          <w:rFonts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b/>
          <w:color w:val="auto"/>
          <w:szCs w:val="24"/>
          <w:highlight w:val="none"/>
        </w:rPr>
        <w:t>7.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 xml:space="preserve">27.1电子交易平台发生故障而无法登录访问的； </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27.2电子交易平台应用或数据库出现错误，不能进行正常操作的；</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27.3电子交易平台发现严重安全漏洞，有潜在泄密危险的；</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 xml:space="preserve">27.4病毒发作导致不能进行正常操作的； </w:t>
      </w:r>
    </w:p>
    <w:p>
      <w:pPr>
        <w:pStyle w:val="13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pPr>
        <w:pStyle w:val="130"/>
        <w:snapToGrid w:val="0"/>
        <w:spacing w:before="0"/>
        <w:ind w:firstLine="0" w:firstLineChars="0"/>
        <w:rPr>
          <w:rFonts w:ascii="仿宋" w:hAnsi="仿宋" w:eastAsia="仿宋" w:cs="仿宋"/>
          <w:color w:val="auto"/>
          <w:sz w:val="24"/>
          <w:highlight w:val="none"/>
        </w:rPr>
      </w:pPr>
      <w:r>
        <w:rPr>
          <w:rFonts w:hint="eastAsia" w:ascii="仿宋" w:hAnsi="仿宋" w:eastAsia="仿宋" w:cs="仿宋"/>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line="360" w:lineRule="auto"/>
        <w:ind w:left="120" w:leftChars="57" w:firstLine="482" w:firstLineChars="150"/>
        <w:jc w:val="center"/>
        <w:rPr>
          <w:rFonts w:ascii="仿宋" w:hAnsi="仿宋" w:eastAsia="仿宋" w:cs="仿宋"/>
          <w:b/>
          <w:color w:val="auto"/>
          <w:sz w:val="32"/>
          <w:highlight w:val="none"/>
        </w:rPr>
      </w:pPr>
      <w:r>
        <w:rPr>
          <w:rFonts w:hint="eastAsia" w:ascii="仿宋" w:hAnsi="仿宋" w:eastAsia="仿宋" w:cs="仿宋"/>
          <w:b/>
          <w:color w:val="auto"/>
          <w:sz w:val="32"/>
          <w:highlight w:val="none"/>
        </w:rPr>
        <w:t>九、验收</w:t>
      </w:r>
    </w:p>
    <w:p>
      <w:pPr>
        <w:pStyle w:val="4"/>
        <w:spacing w:line="360" w:lineRule="auto"/>
        <w:ind w:firstLine="0" w:firstLineChars="0"/>
        <w:rPr>
          <w:rFonts w:ascii="仿宋" w:hAnsi="仿宋" w:eastAsia="仿宋" w:cs="仿宋"/>
          <w:b/>
          <w:color w:val="auto"/>
          <w:highlight w:val="none"/>
        </w:rPr>
      </w:pPr>
      <w:r>
        <w:rPr>
          <w:rFonts w:hint="eastAsia" w:ascii="仿宋" w:hAnsi="仿宋" w:eastAsia="仿宋" w:cs="仿宋"/>
          <w:b/>
          <w:color w:val="auto"/>
          <w:highlight w:val="none"/>
        </w:rPr>
        <w:t>29.验收</w:t>
      </w:r>
    </w:p>
    <w:p>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134" w:bottom="468" w:left="1134" w:header="851" w:footer="992" w:gutter="0"/>
          <w:cols w:space="720" w:num="1"/>
          <w:titlePg/>
          <w:docGrid w:linePitch="312" w:charSpace="0"/>
        </w:sectPr>
      </w:pPr>
      <w:r>
        <w:rPr>
          <w:rFonts w:hint="eastAsia" w:ascii="仿宋" w:hAnsi="仿宋" w:eastAsia="仿宋" w:cs="仿宋"/>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3"/>
      <w:bookmarkStart w:id="14" w:name="_Hlt68072998"/>
      <w:bookmarkEnd w:id="14"/>
      <w:bookmarkStart w:id="15" w:name="_Hlt68073093"/>
      <w:bookmarkEnd w:id="15"/>
      <w:bookmarkStart w:id="16" w:name="_Hlt74714665"/>
      <w:bookmarkEnd w:id="16"/>
      <w:bookmarkStart w:id="17" w:name="_Hlt75236101"/>
      <w:bookmarkEnd w:id="17"/>
      <w:bookmarkStart w:id="18" w:name="_Hlt74729768"/>
      <w:bookmarkEnd w:id="18"/>
      <w:bookmarkStart w:id="19" w:name="_Hlt74730295"/>
      <w:bookmarkEnd w:id="19"/>
      <w:bookmarkStart w:id="20" w:name="_Hlt68057669"/>
      <w:bookmarkEnd w:id="20"/>
      <w:bookmarkStart w:id="21" w:name="_Hlt68403820"/>
      <w:bookmarkEnd w:id="21"/>
      <w:bookmarkStart w:id="22" w:name="_Hlt75236011"/>
      <w:bookmarkEnd w:id="22"/>
      <w:bookmarkStart w:id="23" w:name="_Hlt68072990"/>
      <w:bookmarkEnd w:id="23"/>
      <w:bookmarkStart w:id="24" w:name="_Hlt75236290"/>
      <w:bookmarkEnd w:id="24"/>
      <w:bookmarkStart w:id="25" w:name="_Hlt74707468"/>
      <w:bookmarkEnd w:id="25"/>
    </w:p>
    <w:bookmarkEnd w:id="11"/>
    <w:bookmarkEnd w:id="12"/>
    <w:p>
      <w:pPr>
        <w:tabs>
          <w:tab w:val="left" w:pos="2408"/>
          <w:tab w:val="center" w:pos="7004"/>
        </w:tabs>
        <w:spacing w:line="360" w:lineRule="auto"/>
        <w:ind w:firstLine="1205" w:firstLineChars="500"/>
        <w:jc w:val="left"/>
        <w:rPr>
          <w:rFonts w:hint="eastAsia" w:ascii="仿宋" w:hAnsi="仿宋" w:eastAsia="仿宋" w:cs="仿宋"/>
          <w:sz w:val="21"/>
          <w:szCs w:val="21"/>
        </w:rPr>
      </w:pPr>
      <w:bookmarkStart w:id="26" w:name="第四部分"/>
      <w:r>
        <w:rPr>
          <w:rFonts w:hint="eastAsia" w:ascii="仿宋" w:hAnsi="仿宋" w:eastAsia="仿宋" w:cs="仿宋"/>
          <w:b/>
          <w:color w:val="000000"/>
          <w:sz w:val="24"/>
          <w:szCs w:val="24"/>
        </w:rPr>
        <w:br w:type="textWrapping"/>
      </w:r>
      <w:r>
        <w:rPr>
          <w:rFonts w:hint="eastAsia" w:ascii="仿宋" w:hAnsi="仿宋" w:eastAsia="仿宋" w:cs="仿宋"/>
          <w:b/>
          <w:bCs/>
          <w:kern w:val="0"/>
          <w:sz w:val="36"/>
          <w:szCs w:val="36"/>
          <w:lang w:val="en-US" w:eastAsia="zh-CN"/>
        </w:rPr>
        <w:t>2022-2025年建德市大气污染防治第三方技术服务采购项目</w:t>
      </w:r>
      <w:r>
        <w:rPr>
          <w:rFonts w:hint="eastAsia" w:ascii="仿宋" w:hAnsi="仿宋" w:eastAsia="仿宋" w:cs="仿宋"/>
          <w:b/>
          <w:bCs/>
          <w:kern w:val="0"/>
          <w:sz w:val="36"/>
          <w:szCs w:val="36"/>
        </w:rPr>
        <w:t>考核细则</w:t>
      </w:r>
    </w:p>
    <w:tbl>
      <w:tblPr>
        <w:tblStyle w:val="62"/>
        <w:tblW w:w="134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4380"/>
        <w:gridCol w:w="6156"/>
        <w:gridCol w:w="1122"/>
        <w:gridCol w:w="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1035"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项目</w:t>
            </w: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考核内容</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评分标准</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 xml:space="preserve">分值 </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目标达成</w:t>
            </w: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环境空气质量PM2.5浓度绝对值及排名、PM2.5浓度改善幅度排名、PM10浓度绝对值</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PM2.5浓度绝未达杭州市下达目标的扣3分；</w:t>
            </w:r>
          </w:p>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绝对值排名没有达到杭州市第二名以上的扣3分；</w:t>
            </w:r>
          </w:p>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PM2.5浓度改善幅度排名没有达天朝杭州市13个县市区第5名以内的扣3分</w:t>
            </w:r>
          </w:p>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PM10浓度绝对值未达杭州市考核目标的扣3分。</w:t>
            </w:r>
          </w:p>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（上述分值扣完为止）</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12</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vMerge w:val="restart"/>
            <w:tcBorders>
              <w:top w:val="single" w:color="auto" w:sz="4" w:space="0"/>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项目保障</w:t>
            </w: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1.项目组人员按要求配备齐全，其中项目负责人具有研究生及以上学历，并具有环境专业副高级职称及以上环境专业职称，有大气污染防治领域工作经验和团队管理经验10年以上；</w:t>
            </w:r>
          </w:p>
          <w:p>
            <w:pPr>
              <w:widowControl/>
              <w:rPr>
                <w:rFonts w:hint="eastAsia" w:ascii="仿宋" w:hAnsi="仿宋" w:eastAsia="仿宋" w:cs="仿宋"/>
                <w:kern w:val="0"/>
                <w:sz w:val="24"/>
                <w:szCs w:val="24"/>
              </w:rPr>
            </w:pPr>
            <w:r>
              <w:rPr>
                <w:rFonts w:hint="eastAsia" w:ascii="仿宋" w:hAnsi="仿宋" w:eastAsia="仿宋" w:cs="仿宋"/>
                <w:kern w:val="0"/>
                <w:sz w:val="24"/>
                <w:szCs w:val="24"/>
              </w:rPr>
              <w:t>2.项目主管全日制本科或以上学历，要求具有环评编制、规划编写或报告编写相关专业经验和大气污染防治领域相关工作经验3年以上，具有优秀的文字编辑能力；</w:t>
            </w:r>
          </w:p>
          <w:p>
            <w:pPr>
              <w:widowControl/>
              <w:rPr>
                <w:rFonts w:hint="eastAsia" w:ascii="仿宋" w:hAnsi="仿宋" w:eastAsia="仿宋" w:cs="仿宋"/>
                <w:kern w:val="0"/>
                <w:sz w:val="24"/>
                <w:szCs w:val="24"/>
              </w:rPr>
            </w:pPr>
            <w:r>
              <w:rPr>
                <w:rFonts w:hint="eastAsia" w:ascii="仿宋" w:hAnsi="仿宋" w:eastAsia="仿宋" w:cs="仿宋"/>
                <w:kern w:val="0"/>
                <w:sz w:val="24"/>
                <w:szCs w:val="24"/>
              </w:rPr>
              <w:t>3.其余项目成员中要求本科或以上学历，有环保专业相应工力经历，能吃苦耐劳，其中3名有中级以上职称，3名有初级职称。</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1.项目班子不齐全扣4分；</w:t>
            </w:r>
          </w:p>
          <w:p>
            <w:pPr>
              <w:widowControl/>
              <w:rPr>
                <w:rFonts w:hint="eastAsia" w:ascii="仿宋" w:hAnsi="仿宋" w:eastAsia="仿宋" w:cs="仿宋"/>
                <w:kern w:val="0"/>
                <w:sz w:val="24"/>
                <w:szCs w:val="24"/>
              </w:rPr>
            </w:pPr>
            <w:r>
              <w:rPr>
                <w:rFonts w:hint="eastAsia" w:ascii="仿宋" w:hAnsi="仿宋" w:eastAsia="仿宋" w:cs="仿宋"/>
                <w:kern w:val="0"/>
                <w:sz w:val="24"/>
                <w:szCs w:val="24"/>
              </w:rPr>
              <w:t>2．项目负责人、技术负责人达不到要求的扣3分；</w:t>
            </w:r>
          </w:p>
          <w:p>
            <w:pPr>
              <w:widowControl/>
              <w:rPr>
                <w:rFonts w:hint="eastAsia" w:ascii="仿宋" w:hAnsi="仿宋" w:eastAsia="仿宋" w:cs="仿宋"/>
                <w:kern w:val="0"/>
                <w:sz w:val="24"/>
                <w:szCs w:val="24"/>
              </w:rPr>
            </w:pPr>
            <w:r>
              <w:rPr>
                <w:rFonts w:hint="eastAsia" w:ascii="仿宋" w:hAnsi="仿宋" w:eastAsia="仿宋" w:cs="仿宋"/>
                <w:kern w:val="0"/>
                <w:sz w:val="24"/>
                <w:szCs w:val="24"/>
              </w:rPr>
              <w:t>3．其它项目人员中少1名环保专业中级职称扣2分，少1名初级职称扣1分。学历不符合要求的每不符合一人扣2分。</w:t>
            </w:r>
          </w:p>
          <w:p>
            <w:pPr>
              <w:widowControl/>
              <w:rPr>
                <w:rFonts w:hint="eastAsia" w:ascii="仿宋" w:hAnsi="仿宋" w:eastAsia="仿宋" w:cs="仿宋"/>
                <w:kern w:val="0"/>
                <w:sz w:val="24"/>
                <w:szCs w:val="24"/>
              </w:rPr>
            </w:pPr>
            <w:r>
              <w:rPr>
                <w:rFonts w:hint="eastAsia" w:ascii="仿宋" w:hAnsi="仿宋" w:eastAsia="仿宋" w:cs="仿宋"/>
                <w:kern w:val="0"/>
                <w:sz w:val="24"/>
                <w:szCs w:val="24"/>
              </w:rPr>
              <w:t>（上述分值扣完为止）</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ind w:firstLine="240" w:firstLineChars="100"/>
              <w:rPr>
                <w:rFonts w:hint="eastAsia" w:ascii="仿宋" w:hAnsi="仿宋" w:eastAsia="仿宋" w:cs="仿宋"/>
                <w:kern w:val="0"/>
                <w:sz w:val="24"/>
                <w:szCs w:val="24"/>
              </w:rPr>
            </w:pPr>
            <w:r>
              <w:rPr>
                <w:rFonts w:hint="eastAsia" w:ascii="仿宋" w:hAnsi="仿宋" w:eastAsia="仿宋" w:cs="仿宋"/>
                <w:kern w:val="0"/>
                <w:sz w:val="24"/>
                <w:szCs w:val="24"/>
              </w:rPr>
              <w:t>10</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1035" w:type="dxa"/>
            <w:vMerge w:val="continue"/>
            <w:tcBorders>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巡查车辆到位（不少于2辆），办公设施齐全。</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rPr>
                <w:rFonts w:hint="eastAsia" w:ascii="仿宋" w:hAnsi="仿宋" w:eastAsia="仿宋" w:cs="仿宋"/>
                <w:kern w:val="0"/>
                <w:sz w:val="24"/>
                <w:szCs w:val="24"/>
              </w:rPr>
            </w:pPr>
            <w:r>
              <w:rPr>
                <w:rFonts w:hint="eastAsia" w:ascii="仿宋" w:hAnsi="仿宋" w:eastAsia="仿宋" w:cs="仿宋"/>
                <w:kern w:val="0"/>
                <w:sz w:val="24"/>
                <w:szCs w:val="24"/>
              </w:rPr>
              <w:t>巡查车辆不到位缺一辆扣3分；办公设施不齐全扣1-3分</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1035" w:type="dxa"/>
            <w:vMerge w:val="continue"/>
            <w:tcBorders>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开展本项目所需要的相关监测仪器设备</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rPr>
                <w:rFonts w:hint="eastAsia" w:ascii="仿宋" w:hAnsi="仿宋" w:eastAsia="仿宋" w:cs="仿宋"/>
                <w:kern w:val="0"/>
                <w:sz w:val="24"/>
                <w:szCs w:val="24"/>
              </w:rPr>
            </w:pPr>
            <w:r>
              <w:rPr>
                <w:rFonts w:hint="eastAsia" w:ascii="仿宋" w:hAnsi="仿宋" w:eastAsia="仿宋" w:cs="仿宋"/>
                <w:kern w:val="0"/>
                <w:sz w:val="24"/>
                <w:szCs w:val="24"/>
              </w:rPr>
              <w:t>走航监测车、PM10/PM2.5检测仪、颗粒物雷达、便携式挥发性有机物分析仪、VOCs泄漏检测仪、微风风速仪各1台（购买或租用均可），每少一台扣1分。</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6</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35" w:type="dxa"/>
            <w:vMerge w:val="continue"/>
            <w:tcBorders>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rPr>
                <w:rFonts w:hint="eastAsia" w:ascii="仿宋" w:hAnsi="仿宋" w:eastAsia="仿宋" w:cs="仿宋"/>
                <w:kern w:val="0"/>
                <w:sz w:val="24"/>
                <w:szCs w:val="24"/>
              </w:rPr>
            </w:pPr>
            <w:r>
              <w:rPr>
                <w:rFonts w:hint="eastAsia" w:ascii="仿宋" w:hAnsi="仿宋" w:eastAsia="仿宋" w:cs="仿宋"/>
                <w:kern w:val="0"/>
                <w:sz w:val="24"/>
                <w:szCs w:val="24"/>
              </w:rPr>
              <w:t>人员本地到岗率：项目负责人不少于22天/月，其它工作人员不少于25天/月。</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rPr>
                <w:rFonts w:hint="eastAsia" w:ascii="仿宋" w:hAnsi="仿宋" w:eastAsia="仿宋" w:cs="仿宋"/>
                <w:kern w:val="0"/>
                <w:sz w:val="24"/>
                <w:szCs w:val="24"/>
              </w:rPr>
            </w:pPr>
            <w:r>
              <w:rPr>
                <w:rFonts w:hint="eastAsia" w:ascii="仿宋" w:hAnsi="仿宋" w:eastAsia="仿宋" w:cs="仿宋"/>
                <w:kern w:val="0"/>
                <w:sz w:val="24"/>
                <w:szCs w:val="24"/>
              </w:rPr>
              <w:t>项目负责人到岗率少1天扣2分，其它工作人员到岗率少1天扣1 分。</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kern w:val="0"/>
                <w:sz w:val="24"/>
                <w:szCs w:val="24"/>
              </w:rPr>
            </w:pPr>
            <w:r>
              <w:rPr>
                <w:rFonts w:hint="eastAsia" w:ascii="仿宋" w:hAnsi="仿宋" w:eastAsia="仿宋" w:cs="仿宋"/>
                <w:kern w:val="0"/>
                <w:sz w:val="24"/>
                <w:szCs w:val="24"/>
              </w:rPr>
              <w:t>6</w:t>
            </w:r>
          </w:p>
        </w:tc>
        <w:tc>
          <w:tcPr>
            <w:tcW w:w="792"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hint="eastAsia" w:ascii="仿宋" w:hAnsi="仿宋" w:eastAsia="仿宋" w:cs="仿宋"/>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vMerge w:val="continue"/>
            <w:tcBorders>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明确职责分工，有完善的项目开展计划和管理制度，建立所承担工作项目的台账资料。</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职责分工不明确扣1分；没有相应可操作的开展计划和管理制度扣1分；未建立相应台账资料扣1分。</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vMerge w:val="restart"/>
            <w:tcBorders>
              <w:top w:val="single" w:color="auto" w:sz="4" w:space="0"/>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项目开展</w:t>
            </w: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按要求开展空气站及智慧治气平台、高空瞭望系统等巡查，及时交办问题和预警信息。</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未及时交办和现场核实的发现一次扣1分，扣完为止。</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vMerge w:val="continue"/>
            <w:tcBorders>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sz w:val="24"/>
                <w:szCs w:val="24"/>
              </w:rPr>
              <w:t>开展扬尘和秸秆禁烧巡查，编制问题交办单。</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未及时交办和现场核实的发现一次扣1分，扣完为止。</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vMerge w:val="continue"/>
            <w:tcBorders>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sz w:val="24"/>
                <w:szCs w:val="24"/>
              </w:rPr>
            </w:pPr>
            <w:r>
              <w:rPr>
                <w:rFonts w:hint="eastAsia" w:ascii="仿宋" w:hAnsi="仿宋" w:eastAsia="仿宋" w:cs="仿宋"/>
                <w:sz w:val="24"/>
                <w:szCs w:val="24"/>
              </w:rPr>
              <w:t>根据要求完成各类方案编制。</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未完成一项方案编制的扣2分，扣完为止。</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vMerge w:val="continue"/>
            <w:tcBorders>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sz w:val="24"/>
                <w:szCs w:val="24"/>
              </w:rPr>
            </w:pPr>
            <w:r>
              <w:rPr>
                <w:rFonts w:hint="eastAsia" w:ascii="仿宋" w:hAnsi="仿宋" w:eastAsia="仿宋" w:cs="仿宋"/>
                <w:sz w:val="24"/>
                <w:szCs w:val="24"/>
              </w:rPr>
              <w:t>根据要求完成各类评估报告。</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未完成一项评估的扣2分，扣完为止。</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vMerge w:val="continue"/>
            <w:tcBorders>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开展分组定期巡查、接受电话咨询、不定期到场指导相关企业做好大气等污染防治重点任务。年度重点任务巡查指导应每半月乡镇全覆盖。</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未做好指导工作的每次扣2 分；重点任务巡查未按要求全覆盖的，每项扣2分。扣完为止。</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vMerge w:val="continue"/>
            <w:tcBorders>
              <w:left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sz w:val="24"/>
                <w:szCs w:val="24"/>
              </w:rPr>
              <w:t>根据有关监测数据以及省内其它地区大气污染和空气质量数据，进行大气污染形势和各类指标排名分析，提供下周空气质量变化预报。每月会商建德市空气质量情况，提供防控建议。</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未提供上周空气质量变化预报及每月空气质量防控建议的，每少一次扣2分，扣完为止</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10</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35"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其他事项</w:t>
            </w: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按要求协助做好临时交办的各项任务。</w:t>
            </w: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r>
              <w:rPr>
                <w:rFonts w:hint="eastAsia" w:ascii="仿宋" w:hAnsi="仿宋" w:eastAsia="仿宋" w:cs="仿宋"/>
                <w:kern w:val="0"/>
                <w:sz w:val="24"/>
                <w:szCs w:val="24"/>
              </w:rPr>
              <w:t>未按要求协助开展工作的，每次扣1分</w:t>
            </w: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5</w:t>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1035"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p>
        </w:tc>
        <w:tc>
          <w:tcPr>
            <w:tcW w:w="4380"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p>
        </w:tc>
        <w:tc>
          <w:tcPr>
            <w:tcW w:w="6156"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szCs w:val="24"/>
              </w:rPr>
            </w:pPr>
          </w:p>
        </w:tc>
        <w:tc>
          <w:tcPr>
            <w:tcW w:w="112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fldChar w:fldCharType="begin"/>
            </w:r>
            <w:r>
              <w:rPr>
                <w:rFonts w:hint="eastAsia" w:ascii="仿宋" w:hAnsi="仿宋" w:eastAsia="仿宋" w:cs="仿宋"/>
                <w:kern w:val="0"/>
                <w:sz w:val="24"/>
                <w:szCs w:val="24"/>
              </w:rPr>
              <w:instrText xml:space="preserve"> =SUM(ABOVE) </w:instrText>
            </w:r>
            <w:r>
              <w:rPr>
                <w:rFonts w:hint="eastAsia" w:ascii="仿宋" w:hAnsi="仿宋" w:eastAsia="仿宋" w:cs="仿宋"/>
                <w:kern w:val="0"/>
                <w:sz w:val="24"/>
                <w:szCs w:val="24"/>
              </w:rPr>
              <w:fldChar w:fldCharType="separate"/>
            </w:r>
            <w:r>
              <w:rPr>
                <w:rFonts w:hint="eastAsia" w:ascii="仿宋" w:hAnsi="仿宋" w:eastAsia="仿宋" w:cs="仿宋"/>
                <w:kern w:val="0"/>
                <w:sz w:val="24"/>
                <w:szCs w:val="24"/>
              </w:rPr>
              <w:t>100</w:t>
            </w:r>
            <w:r>
              <w:rPr>
                <w:rFonts w:hint="eastAsia" w:ascii="仿宋" w:hAnsi="仿宋" w:eastAsia="仿宋" w:cs="仿宋"/>
                <w:kern w:val="0"/>
                <w:sz w:val="24"/>
                <w:szCs w:val="24"/>
              </w:rPr>
              <w:fldChar w:fldCharType="end"/>
            </w:r>
          </w:p>
        </w:tc>
        <w:tc>
          <w:tcPr>
            <w:tcW w:w="792" w:type="dxa"/>
            <w:tcBorders>
              <w:top w:val="single" w:color="auto" w:sz="4" w:space="0"/>
              <w:left w:val="single" w:color="auto" w:sz="4" w:space="0"/>
              <w:bottom w:val="single" w:color="auto" w:sz="4" w:space="0"/>
              <w:right w:val="single" w:color="auto" w:sz="4" w:space="0"/>
            </w:tcBorders>
            <w:noWrap w:val="0"/>
            <w:vAlign w:val="center"/>
          </w:tcPr>
          <w:p>
            <w:pPr>
              <w:widowControl/>
              <w:spacing w:line="220" w:lineRule="exact"/>
              <w:jc w:val="center"/>
              <w:rPr>
                <w:rFonts w:hint="eastAsia" w:ascii="仿宋" w:hAnsi="仿宋" w:eastAsia="仿宋" w:cs="仿宋"/>
                <w:kern w:val="0"/>
                <w:sz w:val="24"/>
                <w:szCs w:val="24"/>
              </w:rPr>
            </w:pPr>
          </w:p>
        </w:tc>
      </w:tr>
    </w:tbl>
    <w:p>
      <w:pPr>
        <w:pStyle w:val="235"/>
        <w:rPr>
          <w:rFonts w:hint="eastAsia" w:ascii="仿宋" w:hAnsi="仿宋" w:eastAsia="仿宋" w:cs="仿宋"/>
          <w:sz w:val="24"/>
          <w:szCs w:val="24"/>
        </w:rPr>
        <w:sectPr>
          <w:headerReference r:id="rId8" w:type="default"/>
          <w:footerReference r:id="rId9" w:type="default"/>
          <w:pgSz w:w="16838" w:h="11906" w:orient="landscape"/>
          <w:pgMar w:top="1474" w:right="1247" w:bottom="1474" w:left="1247" w:header="851" w:footer="992" w:gutter="0"/>
          <w:cols w:space="720" w:num="1"/>
          <w:docGrid w:linePitch="319" w:charSpace="0"/>
        </w:sectPr>
      </w:pPr>
    </w:p>
    <w:p>
      <w:pPr>
        <w:pStyle w:val="25"/>
        <w:ind w:left="0" w:leftChars="0" w:firstLine="0" w:firstLineChars="0"/>
        <w:rPr>
          <w:rFonts w:hint="eastAsia" w:ascii="仿宋" w:hAnsi="仿宋" w:eastAsia="仿宋" w:cs="仿宋"/>
          <w:sz w:val="24"/>
        </w:rPr>
      </w:pPr>
    </w:p>
    <w:p>
      <w:pPr>
        <w:snapToGrid w:val="0"/>
        <w:spacing w:line="360" w:lineRule="auto"/>
        <w:ind w:firstLine="562" w:firstLineChars="200"/>
        <w:rPr>
          <w:rFonts w:hint="eastAsia" w:ascii="仿宋" w:hAnsi="仿宋" w:eastAsia="仿宋" w:cs="仿宋"/>
          <w:b/>
          <w:color w:val="000000"/>
          <w:sz w:val="28"/>
          <w:szCs w:val="28"/>
        </w:rPr>
      </w:pPr>
      <w:r>
        <w:rPr>
          <w:rFonts w:hint="eastAsia" w:ascii="仿宋" w:hAnsi="仿宋" w:eastAsia="仿宋" w:cs="仿宋"/>
          <w:b/>
          <w:color w:val="000000"/>
          <w:sz w:val="28"/>
          <w:szCs w:val="28"/>
          <w:lang w:val="en-US" w:eastAsia="zh-CN"/>
        </w:rPr>
        <w:t>（五）</w:t>
      </w:r>
      <w:r>
        <w:rPr>
          <w:rFonts w:hint="eastAsia" w:ascii="仿宋" w:hAnsi="仿宋" w:eastAsia="仿宋" w:cs="仿宋"/>
          <w:b/>
          <w:color w:val="000000"/>
          <w:sz w:val="28"/>
          <w:szCs w:val="28"/>
        </w:rPr>
        <w:t>商务条款</w:t>
      </w:r>
    </w:p>
    <w:p>
      <w:pPr>
        <w:widowControl/>
        <w:autoSpaceDE w:val="0"/>
        <w:autoSpaceDN w:val="0"/>
        <w:spacing w:line="500" w:lineRule="exact"/>
        <w:ind w:right="-178" w:rightChars="-85" w:firstLine="472" w:firstLineChars="196"/>
        <w:textAlignment w:val="bottom"/>
        <w:rPr>
          <w:rFonts w:hint="eastAsia" w:ascii="仿宋" w:hAnsi="仿宋" w:eastAsia="仿宋" w:cs="仿宋"/>
          <w:b/>
          <w:sz w:val="24"/>
          <w:szCs w:val="24"/>
        </w:rPr>
      </w:pP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1</w:t>
      </w:r>
      <w:r>
        <w:rPr>
          <w:rFonts w:hint="eastAsia" w:ascii="仿宋" w:hAnsi="仿宋" w:eastAsia="仿宋" w:cs="仿宋"/>
          <w:b/>
          <w:sz w:val="24"/>
          <w:szCs w:val="24"/>
          <w:lang w:eastAsia="zh-CN"/>
        </w:rPr>
        <w:t>）</w:t>
      </w:r>
      <w:r>
        <w:rPr>
          <w:rFonts w:hint="eastAsia" w:ascii="仿宋" w:hAnsi="仿宋" w:eastAsia="仿宋" w:cs="仿宋"/>
          <w:b/>
          <w:sz w:val="24"/>
          <w:szCs w:val="24"/>
        </w:rPr>
        <w:t>总体要求</w:t>
      </w:r>
    </w:p>
    <w:p>
      <w:pPr>
        <w:widowControl/>
        <w:autoSpaceDE w:val="0"/>
        <w:autoSpaceDN w:val="0"/>
        <w:spacing w:line="500" w:lineRule="exact"/>
        <w:ind w:left="-181" w:leftChars="-86" w:right="-178" w:rightChars="-85" w:firstLine="600" w:firstLineChars="250"/>
        <w:textAlignment w:val="bottom"/>
        <w:rPr>
          <w:rFonts w:hint="eastAsia" w:ascii="仿宋" w:hAnsi="仿宋" w:eastAsia="仿宋" w:cs="仿宋"/>
          <w:bCs/>
          <w:sz w:val="24"/>
          <w:szCs w:val="24"/>
        </w:rPr>
      </w:pPr>
      <w:r>
        <w:rPr>
          <w:rFonts w:hint="eastAsia" w:ascii="仿宋" w:hAnsi="仿宋" w:eastAsia="仿宋" w:cs="仿宋"/>
          <w:bCs/>
          <w:sz w:val="24"/>
          <w:szCs w:val="24"/>
        </w:rPr>
        <w:t>必须符合招标文件(包括补充更正，如有)的技术和服务要求，符合国家相关部门标准和招标文件规定标准。</w:t>
      </w:r>
    </w:p>
    <w:p>
      <w:pPr>
        <w:widowControl/>
        <w:autoSpaceDE w:val="0"/>
        <w:autoSpaceDN w:val="0"/>
        <w:spacing w:line="500" w:lineRule="exact"/>
        <w:ind w:left="-181" w:leftChars="-86" w:right="-178" w:rightChars="-85" w:firstLine="602" w:firstLineChars="250"/>
        <w:textAlignment w:val="bottom"/>
        <w:rPr>
          <w:rFonts w:hint="eastAsia" w:ascii="仿宋" w:hAnsi="仿宋" w:eastAsia="仿宋" w:cs="仿宋"/>
          <w:b/>
          <w:sz w:val="24"/>
          <w:szCs w:val="24"/>
        </w:rPr>
      </w:pP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2</w:t>
      </w:r>
      <w:r>
        <w:rPr>
          <w:rFonts w:hint="eastAsia" w:ascii="仿宋" w:hAnsi="仿宋" w:eastAsia="仿宋" w:cs="仿宋"/>
          <w:b/>
          <w:sz w:val="24"/>
          <w:szCs w:val="24"/>
          <w:lang w:eastAsia="zh-CN"/>
        </w:rPr>
        <w:t>）</w:t>
      </w:r>
      <w:r>
        <w:rPr>
          <w:rFonts w:hint="eastAsia" w:ascii="仿宋" w:hAnsi="仿宋" w:eastAsia="仿宋" w:cs="仿宋"/>
          <w:b/>
          <w:sz w:val="24"/>
          <w:szCs w:val="24"/>
        </w:rPr>
        <w:t>付款方式</w:t>
      </w:r>
    </w:p>
    <w:p>
      <w:pPr>
        <w:pStyle w:val="971"/>
        <w:tabs>
          <w:tab w:val="left" w:pos="1440"/>
        </w:tabs>
        <w:spacing w:line="276" w:lineRule="auto"/>
        <w:ind w:firstLine="482" w:firstLineChars="200"/>
        <w:rPr>
          <w:rFonts w:hint="eastAsia" w:ascii="仿宋" w:hAnsi="仿宋" w:eastAsia="仿宋" w:cs="仿宋"/>
          <w:bCs w:val="0"/>
          <w:sz w:val="24"/>
          <w:szCs w:val="24"/>
        </w:rPr>
      </w:pPr>
      <w:r>
        <w:rPr>
          <w:rFonts w:hint="eastAsia" w:ascii="仿宋" w:hAnsi="仿宋" w:eastAsia="仿宋" w:cs="仿宋"/>
          <w:bCs w:val="0"/>
          <w:sz w:val="24"/>
          <w:szCs w:val="24"/>
        </w:rPr>
        <w:t>按财务结算要求，通过银行划帐方式结算。</w:t>
      </w:r>
    </w:p>
    <w:p>
      <w:pPr>
        <w:spacing w:line="440" w:lineRule="exact"/>
        <w:ind w:left="-57" w:leftChars="-27" w:right="-176" w:rightChars="-84" w:firstLine="482" w:firstLineChars="200"/>
        <w:rPr>
          <w:rFonts w:hint="eastAsia" w:ascii="仿宋" w:hAnsi="仿宋" w:eastAsia="仿宋" w:cs="仿宋"/>
          <w:b/>
          <w:sz w:val="24"/>
          <w:szCs w:val="24"/>
        </w:rPr>
      </w:pP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3</w:t>
      </w:r>
      <w:r>
        <w:rPr>
          <w:rFonts w:hint="eastAsia" w:ascii="仿宋" w:hAnsi="仿宋" w:eastAsia="仿宋" w:cs="仿宋"/>
          <w:b/>
          <w:sz w:val="24"/>
          <w:szCs w:val="24"/>
          <w:lang w:eastAsia="zh-CN"/>
        </w:rPr>
        <w:t>）</w:t>
      </w:r>
      <w:r>
        <w:rPr>
          <w:rFonts w:hint="eastAsia" w:ascii="仿宋" w:hAnsi="仿宋" w:eastAsia="仿宋" w:cs="仿宋"/>
          <w:b/>
          <w:sz w:val="24"/>
          <w:szCs w:val="24"/>
        </w:rPr>
        <w:t>服务期限</w:t>
      </w:r>
    </w:p>
    <w:p>
      <w:pPr>
        <w:spacing w:line="440" w:lineRule="exact"/>
        <w:ind w:left="-57" w:leftChars="-27" w:right="-176" w:rightChars="-84" w:firstLine="708" w:firstLineChars="300"/>
        <w:rPr>
          <w:rFonts w:hint="eastAsia" w:ascii="仿宋" w:hAnsi="仿宋" w:eastAsia="仿宋" w:cs="仿宋"/>
          <w:b w:val="0"/>
          <w:bCs w:val="0"/>
          <w:spacing w:val="-2"/>
          <w:sz w:val="24"/>
          <w:szCs w:val="24"/>
        </w:rPr>
      </w:pPr>
      <w:r>
        <w:rPr>
          <w:rFonts w:hint="eastAsia" w:ascii="仿宋" w:hAnsi="仿宋" w:eastAsia="仿宋" w:cs="仿宋"/>
          <w:b w:val="0"/>
          <w:bCs w:val="0"/>
          <w:spacing w:val="-2"/>
          <w:sz w:val="24"/>
          <w:szCs w:val="24"/>
        </w:rPr>
        <w:t>1、本项目的服务期为一年，自政府采购合同签订生效之日起计算。</w:t>
      </w:r>
      <w:r>
        <w:rPr>
          <w:rFonts w:hint="eastAsia" w:ascii="仿宋" w:hAnsi="仿宋" w:eastAsia="仿宋" w:cs="仿宋"/>
          <w:color w:val="auto"/>
          <w:kern w:val="0"/>
          <w:sz w:val="24"/>
          <w:highlight w:val="none"/>
          <w:lang w:val="en-US" w:eastAsia="zh-CN"/>
        </w:rPr>
        <w:t>本项目一次招标延用三年，</w:t>
      </w:r>
      <w:r>
        <w:rPr>
          <w:rFonts w:hint="eastAsia" w:ascii="仿宋" w:hAnsi="仿宋" w:eastAsia="仿宋" w:cs="仿宋"/>
          <w:b w:val="0"/>
          <w:bCs w:val="0"/>
          <w:spacing w:val="-2"/>
          <w:sz w:val="24"/>
          <w:szCs w:val="24"/>
        </w:rPr>
        <w:t>一年</w:t>
      </w:r>
      <w:r>
        <w:rPr>
          <w:rFonts w:hint="eastAsia" w:ascii="仿宋" w:hAnsi="仿宋" w:eastAsia="仿宋" w:cs="仿宋"/>
          <w:b w:val="0"/>
          <w:bCs w:val="0"/>
          <w:spacing w:val="-2"/>
          <w:sz w:val="24"/>
          <w:szCs w:val="24"/>
          <w:lang w:val="en-US" w:eastAsia="zh-CN"/>
        </w:rPr>
        <w:t>服务</w:t>
      </w:r>
      <w:r>
        <w:rPr>
          <w:rFonts w:hint="eastAsia" w:ascii="仿宋" w:hAnsi="仿宋" w:eastAsia="仿宋" w:cs="仿宋"/>
          <w:b w:val="0"/>
          <w:bCs w:val="0"/>
          <w:spacing w:val="-2"/>
          <w:sz w:val="24"/>
          <w:szCs w:val="24"/>
        </w:rPr>
        <w:t>期满后，若年度考核分达到优秀（90分及以上，考核办法见附件）的，可以按照本次中标价续签一年，续签次数≤2次</w:t>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rPr>
        <w:t>除因政策性因素引起改变的，续签合同的主要条款不予调整。</w:t>
      </w:r>
    </w:p>
    <w:p>
      <w:pPr>
        <w:spacing w:line="440" w:lineRule="exact"/>
        <w:ind w:left="-57" w:leftChars="-27" w:right="-176" w:rightChars="-84" w:firstLine="720" w:firstLineChars="300"/>
        <w:rPr>
          <w:rFonts w:hint="eastAsia" w:ascii="仿宋" w:hAnsi="仿宋" w:eastAsia="仿宋" w:cs="仿宋"/>
          <w:bCs/>
          <w:kern w:val="0"/>
          <w:sz w:val="24"/>
          <w:szCs w:val="24"/>
        </w:rPr>
      </w:pPr>
      <w:r>
        <w:rPr>
          <w:rFonts w:hint="eastAsia" w:ascii="仿宋" w:hAnsi="仿宋" w:eastAsia="仿宋" w:cs="仿宋"/>
          <w:bCs/>
          <w:kern w:val="0"/>
          <w:sz w:val="24"/>
          <w:szCs w:val="24"/>
        </w:rPr>
        <w:t>2、标准：符合我国国家或部门有关技术规范要求和技术标准。</w:t>
      </w:r>
    </w:p>
    <w:p>
      <w:pPr>
        <w:spacing w:line="440" w:lineRule="exact"/>
        <w:ind w:left="-57" w:leftChars="-27" w:right="-176" w:rightChars="-84" w:firstLine="720" w:firstLineChars="300"/>
        <w:rPr>
          <w:rFonts w:hint="eastAsia" w:ascii="仿宋" w:hAnsi="仿宋" w:eastAsia="仿宋" w:cs="仿宋"/>
          <w:bCs/>
          <w:kern w:val="0"/>
          <w:sz w:val="24"/>
          <w:szCs w:val="24"/>
        </w:rPr>
      </w:pPr>
      <w:r>
        <w:rPr>
          <w:rFonts w:hint="eastAsia" w:ascii="仿宋" w:hAnsi="仿宋" w:eastAsia="仿宋" w:cs="仿宋"/>
          <w:bCs/>
          <w:kern w:val="0"/>
          <w:sz w:val="24"/>
          <w:szCs w:val="24"/>
        </w:rPr>
        <w:t>3、投标供应商应在投标文件中应提供实施计划。</w:t>
      </w:r>
    </w:p>
    <w:p>
      <w:pPr>
        <w:spacing w:line="440" w:lineRule="exact"/>
        <w:ind w:left="-57" w:leftChars="-27" w:right="-176" w:rightChars="-84" w:firstLine="482" w:firstLineChars="200"/>
        <w:rPr>
          <w:rFonts w:hint="eastAsia" w:ascii="仿宋" w:hAnsi="仿宋" w:eastAsia="仿宋" w:cs="仿宋"/>
          <w:b/>
          <w:sz w:val="24"/>
          <w:szCs w:val="24"/>
        </w:rPr>
      </w:pP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4</w:t>
      </w:r>
      <w:r>
        <w:rPr>
          <w:rFonts w:hint="eastAsia" w:ascii="仿宋" w:hAnsi="仿宋" w:eastAsia="仿宋" w:cs="仿宋"/>
          <w:b/>
          <w:sz w:val="24"/>
          <w:szCs w:val="24"/>
          <w:lang w:eastAsia="zh-CN"/>
        </w:rPr>
        <w:t>）</w:t>
      </w:r>
      <w:r>
        <w:rPr>
          <w:rFonts w:hint="eastAsia" w:ascii="仿宋" w:hAnsi="仿宋" w:eastAsia="仿宋" w:cs="仿宋"/>
          <w:b/>
          <w:sz w:val="24"/>
          <w:szCs w:val="24"/>
        </w:rPr>
        <w:t>服务要求</w:t>
      </w:r>
    </w:p>
    <w:p>
      <w:pPr>
        <w:spacing w:line="440" w:lineRule="exact"/>
        <w:ind w:left="-57" w:leftChars="-27" w:right="-176" w:rightChars="-84" w:firstLine="720" w:firstLineChars="300"/>
        <w:rPr>
          <w:rFonts w:hint="eastAsia" w:ascii="仿宋" w:hAnsi="仿宋" w:eastAsia="仿宋" w:cs="仿宋"/>
          <w:bCs/>
          <w:kern w:val="0"/>
          <w:sz w:val="24"/>
          <w:szCs w:val="24"/>
        </w:rPr>
      </w:pPr>
      <w:r>
        <w:rPr>
          <w:rFonts w:hint="eastAsia" w:ascii="仿宋" w:hAnsi="仿宋" w:eastAsia="仿宋" w:cs="仿宋"/>
          <w:bCs/>
          <w:kern w:val="0"/>
          <w:sz w:val="24"/>
          <w:szCs w:val="24"/>
        </w:rPr>
        <w:t>1、供应商在履行合同义务期间，应遵守国家有关法律、法规、维护采购人的合法权益。</w:t>
      </w:r>
    </w:p>
    <w:p>
      <w:pPr>
        <w:spacing w:line="440" w:lineRule="exact"/>
        <w:ind w:left="-57" w:leftChars="-27" w:right="-176" w:rightChars="-84" w:firstLine="720" w:firstLineChars="300"/>
        <w:rPr>
          <w:rFonts w:hint="eastAsia" w:ascii="仿宋" w:hAnsi="仿宋" w:eastAsia="仿宋" w:cs="仿宋"/>
          <w:bCs/>
          <w:kern w:val="0"/>
          <w:sz w:val="24"/>
          <w:szCs w:val="24"/>
        </w:rPr>
      </w:pPr>
      <w:r>
        <w:rPr>
          <w:rFonts w:hint="eastAsia" w:ascii="仿宋" w:hAnsi="仿宋" w:eastAsia="仿宋" w:cs="仿宋"/>
          <w:bCs/>
          <w:kern w:val="0"/>
          <w:sz w:val="24"/>
          <w:szCs w:val="24"/>
        </w:rPr>
        <w:t>2、供应商应组建能够满足所投项目服务需要的项目组，按照工作范围和内容完成安全生产检查工作，并按约定向采购人汇报工作进展。</w:t>
      </w:r>
    </w:p>
    <w:p>
      <w:pPr>
        <w:spacing w:line="440" w:lineRule="exact"/>
        <w:ind w:left="-57" w:leftChars="-27" w:right="-176" w:rightChars="-84" w:firstLine="720" w:firstLineChars="300"/>
        <w:rPr>
          <w:rFonts w:ascii="宋体" w:hAnsi="宋体" w:cs="宋体"/>
          <w:sz w:val="24"/>
          <w:u w:val="single"/>
        </w:rPr>
      </w:pPr>
      <w:r>
        <w:rPr>
          <w:rFonts w:hint="eastAsia" w:ascii="仿宋" w:hAnsi="仿宋" w:eastAsia="仿宋" w:cs="仿宋"/>
          <w:bCs/>
          <w:kern w:val="0"/>
          <w:sz w:val="24"/>
          <w:szCs w:val="24"/>
        </w:rPr>
        <w:t>3、供应商应自行承担项目实施过程中的安全责任，采购人在任何情况下不承担任何责任。</w:t>
      </w:r>
    </w:p>
    <w:p>
      <w:pPr>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440" w:lineRule="exact"/>
        <w:ind w:firstLine="723" w:firstLineChars="200"/>
        <w:jc w:val="center"/>
        <w:textAlignment w:val="auto"/>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723" w:firstLineChars="200"/>
        <w:jc w:val="center"/>
        <w:textAlignment w:val="auto"/>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723" w:firstLineChars="200"/>
        <w:jc w:val="center"/>
        <w:textAlignment w:val="auto"/>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723" w:firstLineChars="200"/>
        <w:jc w:val="center"/>
        <w:textAlignment w:val="auto"/>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723" w:firstLineChars="200"/>
        <w:jc w:val="center"/>
        <w:textAlignment w:val="auto"/>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723" w:firstLineChars="200"/>
        <w:jc w:val="center"/>
        <w:textAlignment w:val="auto"/>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723" w:firstLineChars="200"/>
        <w:jc w:val="center"/>
        <w:textAlignment w:val="auto"/>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723" w:firstLineChars="200"/>
        <w:jc w:val="center"/>
        <w:textAlignment w:val="auto"/>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723" w:firstLineChars="200"/>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评审方法及评审标准</w:t>
      </w:r>
    </w:p>
    <w:p>
      <w:pPr>
        <w:snapToGrid w:val="0"/>
        <w:spacing w:before="120" w:beforeLines="50" w:after="120" w:afterLines="50" w:line="360" w:lineRule="auto"/>
        <w:jc w:val="center"/>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评标办法前附表</w:t>
      </w:r>
    </w:p>
    <w:tbl>
      <w:tblPr>
        <w:tblStyle w:val="62"/>
        <w:tblW w:w="9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28" w:type="dxa"/>
          <w:right w:w="108" w:type="dxa"/>
        </w:tblCellMar>
      </w:tblPr>
      <w:tblGrid>
        <w:gridCol w:w="1049"/>
        <w:gridCol w:w="6379"/>
        <w:gridCol w:w="810"/>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560" w:hRule="atLeast"/>
          <w:jc w:val="center"/>
        </w:trPr>
        <w:tc>
          <w:tcPr>
            <w:tcW w:w="1049" w:type="dxa"/>
            <w:noWrap w:val="0"/>
            <w:vAlign w:val="center"/>
          </w:tcPr>
          <w:p>
            <w:pPr>
              <w:snapToGrid w:val="0"/>
              <w:jc w:val="center"/>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序号</w:t>
            </w:r>
          </w:p>
        </w:tc>
        <w:tc>
          <w:tcPr>
            <w:tcW w:w="6379" w:type="dxa"/>
            <w:noWrap w:val="0"/>
            <w:vAlign w:val="center"/>
          </w:tcPr>
          <w:p>
            <w:pPr>
              <w:snapToGrid w:val="0"/>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评分标准</w:t>
            </w:r>
          </w:p>
        </w:tc>
        <w:tc>
          <w:tcPr>
            <w:tcW w:w="810" w:type="dxa"/>
            <w:noWrap w:val="0"/>
            <w:vAlign w:val="center"/>
          </w:tcPr>
          <w:p>
            <w:pPr>
              <w:snapToGrid w:val="0"/>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权重</w:t>
            </w:r>
          </w:p>
        </w:tc>
        <w:tc>
          <w:tcPr>
            <w:tcW w:w="1560" w:type="dxa"/>
            <w:noWrap w:val="0"/>
            <w:vAlign w:val="center"/>
          </w:tcPr>
          <w:p>
            <w:pPr>
              <w:snapToGrid w:val="0"/>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投标文件中评标标准相应的商务技术资料目录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560" w:hRule="atLeast"/>
          <w:jc w:val="center"/>
        </w:trPr>
        <w:tc>
          <w:tcPr>
            <w:tcW w:w="1049" w:type="dxa"/>
            <w:noWrap w:val="0"/>
            <w:vAlign w:val="center"/>
          </w:tcPr>
          <w:p>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6379" w:type="dxa"/>
            <w:noWrap w:val="0"/>
            <w:vAlign w:val="center"/>
          </w:tcPr>
          <w:p>
            <w:p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有效投标报价的最低价作为评标基准价，其最低报价为满分；按［投标报价得分=（评标基准价/投标报价）*</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］的计算公式计算。</w:t>
            </w:r>
          </w:p>
          <w:p>
            <w:p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评标过程中，不得去掉报价中的最高报价和最低报价。</w:t>
            </w:r>
          </w:p>
          <w:p>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因落实政府采购政策需要进行价格调整的，以调整后的价格计算评标基准价和投标报价。</w:t>
            </w:r>
          </w:p>
        </w:tc>
        <w:tc>
          <w:tcPr>
            <w:tcW w:w="810" w:type="dxa"/>
            <w:noWrap w:val="0"/>
            <w:vAlign w:val="center"/>
          </w:tcPr>
          <w:p>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0</w:t>
            </w:r>
          </w:p>
        </w:tc>
        <w:tc>
          <w:tcPr>
            <w:tcW w:w="1560" w:type="dxa"/>
            <w:noWrap w:val="0"/>
            <w:vAlign w:val="center"/>
          </w:tcPr>
          <w:p>
            <w:pPr>
              <w:widowControl/>
              <w:ind w:firstLine="480" w:firstLineChars="200"/>
              <w:jc w:val="left"/>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432"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根据投标供应商针对本项目环境空气质量制作的日报、周报、月报及臭氧和颗粒物预测小报进行综合评分（2分）；项目目标的阐述、技术路线图、月度分解目标（2分）是否满足招标文件要求，最高分4分。</w:t>
            </w:r>
          </w:p>
        </w:tc>
        <w:tc>
          <w:tcPr>
            <w:tcW w:w="810" w:type="dxa"/>
            <w:noWrap w:val="0"/>
            <w:vAlign w:val="center"/>
          </w:tcPr>
          <w:p>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560" w:type="dxa"/>
            <w:noWrap w:val="0"/>
            <w:vAlign w:val="center"/>
          </w:tcPr>
          <w:p>
            <w:pPr>
              <w:snapToGrid w:val="0"/>
              <w:jc w:val="both"/>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对本项目需求的重点和难点进行分析，分析存在问题，并提出针对性的、合理的、可行的解决办法，每具有1项内容得2分，最高4分。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560" w:type="dxa"/>
            <w:noWrap w:val="0"/>
            <w:vAlign w:val="center"/>
          </w:tcPr>
          <w:p>
            <w:pPr>
              <w:jc w:val="left"/>
              <w:outlineLvl w:val="0"/>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根据投标供应商编制的环境空气质量精细化管控方案的合理性、科学性进行综合评分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最高得5分。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560" w:type="dxa"/>
            <w:noWrap w:val="0"/>
            <w:vAlign w:val="center"/>
          </w:tcPr>
          <w:p>
            <w:pPr>
              <w:jc w:val="left"/>
              <w:outlineLvl w:val="0"/>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174"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根据投标供应商针对本项目制定的开展工作具体流程，包括管理细则、部门设置、岗位职责、人员分工、质控管理等情况进行打分，最高得5分。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560" w:type="dxa"/>
            <w:noWrap w:val="0"/>
            <w:vAlign w:val="center"/>
          </w:tcPr>
          <w:p>
            <w:pPr>
              <w:jc w:val="left"/>
              <w:outlineLvl w:val="0"/>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投标供应商针对采购需求，编制巡查方案，包括重点区域的划分、重点巡查内容等，根据方案针对性、本地化情况打分，最多得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810" w:type="dxa"/>
            <w:noWrap w:val="0"/>
            <w:vAlign w:val="center"/>
          </w:tcPr>
          <w:p>
            <w:pPr>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560" w:type="dxa"/>
            <w:noWrap w:val="0"/>
            <w:vAlign w:val="center"/>
          </w:tcPr>
          <w:p>
            <w:pPr>
              <w:jc w:val="left"/>
              <w:outlineLvl w:val="0"/>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1476"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针对2022年1-8月份PM2.5排名下降幅度最大的2个乡镇空气站（具体站点及数据可联系采购</w:t>
            </w:r>
            <w:r>
              <w:rPr>
                <w:rFonts w:hint="eastAsia" w:ascii="仿宋" w:hAnsi="仿宋" w:eastAsia="仿宋" w:cs="仿宋"/>
                <w:color w:val="auto"/>
                <w:sz w:val="24"/>
                <w:szCs w:val="24"/>
                <w:highlight w:val="none"/>
                <w:lang w:val="en-US" w:eastAsia="zh-CN"/>
              </w:rPr>
              <w:t>单位</w:t>
            </w:r>
            <w:r>
              <w:rPr>
                <w:rFonts w:hint="eastAsia" w:ascii="仿宋" w:hAnsi="仿宋" w:eastAsia="仿宋" w:cs="仿宋"/>
                <w:color w:val="auto"/>
                <w:sz w:val="24"/>
                <w:szCs w:val="24"/>
                <w:highlight w:val="none"/>
              </w:rPr>
              <w:t>获取），初步编制“一点一策”方案，根据方案的合理性、科学性进行打分，每个乡镇1-</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1547"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根据年度目标任务和要求，初步编制《建德市LDAR实施方案》、《建德市秋冬季大气污染防治攻坚行动方案》《建德市夏季臭氧和PM2.5双控双减方案》内容完整、合理、符合当地实际情况等方面进行综合打分。每个方案最高得2分，一共6分。</w:t>
            </w:r>
          </w:p>
        </w:tc>
        <w:tc>
          <w:tcPr>
            <w:tcW w:w="810" w:type="dxa"/>
            <w:noWrap w:val="0"/>
            <w:vAlign w:val="center"/>
          </w:tcPr>
          <w:p>
            <w:pPr>
              <w:jc w:val="center"/>
              <w:outlineLvl w:val="0"/>
              <w:rPr>
                <w:rFonts w:hint="eastAsia" w:ascii="仿宋" w:hAnsi="仿宋" w:eastAsia="仿宋" w:cs="仿宋"/>
                <w:color w:val="FF0000"/>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据投标供应商对本项目中提出的蓝天保卫战重点任务的了解程度及进度把控情况（如VOCs源头替代、末端治理情况等）进行打分，最高4分。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根据投标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针对本项目保密制度内容的严密性、可行性情况进行打分，最高</w:t>
            </w:r>
            <w:r>
              <w:rPr>
                <w:rFonts w:hint="eastAsia" w:ascii="仿宋" w:hAnsi="仿宋" w:eastAsia="仿宋" w:cs="仿宋"/>
                <w:color w:val="auto"/>
                <w:sz w:val="24"/>
                <w:szCs w:val="24"/>
                <w:highlight w:val="none"/>
                <w:lang w:val="en-US" w:eastAsia="zh-CN"/>
              </w:rPr>
              <w:t>得4</w:t>
            </w:r>
            <w:r>
              <w:rPr>
                <w:rFonts w:hint="eastAsia" w:ascii="仿宋" w:hAnsi="仿宋" w:eastAsia="仿宋" w:cs="仿宋"/>
                <w:color w:val="auto"/>
                <w:sz w:val="24"/>
                <w:szCs w:val="24"/>
                <w:highlight w:val="none"/>
              </w:rPr>
              <w:t>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投标供应商是否建立完整的工作台帐制度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41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根据投标供应商提供的档案管理方案是否全面，档案保存安全性打分，最高得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根据投标供应商提供的培训工作方案进行打分，最高得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提供开展本项目咨询管理过程所需要的车辆、专用电脑等工器具，配置情况满足采购需求的得2分,一项不满足扣1分。（提供相应的设备发票</w:t>
            </w:r>
            <w:r>
              <w:rPr>
                <w:rFonts w:hint="eastAsia" w:ascii="仿宋" w:hAnsi="仿宋" w:eastAsia="仿宋" w:cs="仿宋"/>
                <w:color w:val="auto"/>
                <w:sz w:val="24"/>
                <w:szCs w:val="24"/>
                <w:highlight w:val="none"/>
                <w:lang w:val="en-US" w:eastAsia="zh-CN"/>
              </w:rPr>
              <w:t>复印件，如是租赁提供租赁协议和设备发票复印件</w:t>
            </w:r>
            <w:r>
              <w:rPr>
                <w:rFonts w:hint="eastAsia" w:ascii="仿宋" w:hAnsi="仿宋" w:eastAsia="仿宋" w:cs="仿宋"/>
                <w:color w:val="auto"/>
                <w:sz w:val="24"/>
                <w:szCs w:val="24"/>
                <w:highlight w:val="none"/>
              </w:rPr>
              <w:t>）</w:t>
            </w:r>
          </w:p>
        </w:tc>
        <w:tc>
          <w:tcPr>
            <w:tcW w:w="810" w:type="dxa"/>
            <w:noWrap w:val="0"/>
            <w:vAlign w:val="center"/>
          </w:tcPr>
          <w:p>
            <w:pPr>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拥有具备颗粒物、VOC监测巡查功能的无人机拍摄设备且携带激光及夜视镜头的得2分，租用的得1分。</w:t>
            </w:r>
            <w:r>
              <w:rPr>
                <w:rFonts w:hint="eastAsia" w:ascii="仿宋" w:hAnsi="仿宋" w:eastAsia="仿宋" w:cs="仿宋"/>
                <w:color w:val="auto"/>
                <w:sz w:val="24"/>
                <w:szCs w:val="24"/>
                <w:highlight w:val="none"/>
                <w:lang w:val="en-US" w:eastAsia="zh-CN"/>
              </w:rPr>
              <w:t>本项最高得2分。</w:t>
            </w:r>
            <w:r>
              <w:rPr>
                <w:rFonts w:hint="eastAsia" w:ascii="仿宋" w:hAnsi="仿宋" w:eastAsia="仿宋" w:cs="仿宋"/>
                <w:color w:val="auto"/>
                <w:sz w:val="24"/>
                <w:szCs w:val="24"/>
                <w:highlight w:val="none"/>
              </w:rPr>
              <w:t>（提供相应的设备发票</w:t>
            </w:r>
            <w:r>
              <w:rPr>
                <w:rFonts w:hint="eastAsia" w:ascii="仿宋" w:hAnsi="仿宋" w:eastAsia="仿宋" w:cs="仿宋"/>
                <w:color w:val="auto"/>
                <w:sz w:val="24"/>
                <w:szCs w:val="24"/>
                <w:highlight w:val="none"/>
                <w:lang w:val="en-US" w:eastAsia="zh-CN"/>
              </w:rPr>
              <w:t>复印件，如是租赁提供租赁协议和设备发票复印件</w:t>
            </w:r>
            <w:r>
              <w:rPr>
                <w:rFonts w:hint="eastAsia" w:ascii="仿宋" w:hAnsi="仿宋" w:eastAsia="仿宋" w:cs="仿宋"/>
                <w:color w:val="auto"/>
                <w:sz w:val="24"/>
                <w:szCs w:val="24"/>
                <w:highlight w:val="none"/>
              </w:rPr>
              <w:t>）</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trHeight w:val="303" w:hRule="atLeast"/>
          <w:jc w:val="center"/>
        </w:trPr>
        <w:tc>
          <w:tcPr>
            <w:tcW w:w="1049" w:type="dxa"/>
            <w:noWrap w:val="0"/>
            <w:vAlign w:val="center"/>
          </w:tcPr>
          <w:p>
            <w:pPr>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6379" w:type="dxa"/>
            <w:noWrap w:val="0"/>
            <w:vAlign w:val="center"/>
          </w:tcPr>
          <w:p>
            <w:p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具有航空管理部门颁发的通用民航企业经营许可证得2分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提供</w:t>
            </w:r>
            <w:r>
              <w:rPr>
                <w:rFonts w:hint="eastAsia" w:ascii="仿宋" w:hAnsi="仿宋" w:eastAsia="仿宋" w:cs="仿宋"/>
                <w:color w:val="auto"/>
                <w:sz w:val="24"/>
                <w:szCs w:val="24"/>
                <w:highlight w:val="none"/>
              </w:rPr>
              <w:t>证书复印件并加盖公章</w:t>
            </w:r>
            <w:r>
              <w:rPr>
                <w:rFonts w:hint="eastAsia" w:ascii="仿宋" w:hAnsi="仿宋" w:eastAsia="仿宋" w:cs="仿宋"/>
                <w:color w:val="auto"/>
                <w:sz w:val="24"/>
                <w:szCs w:val="24"/>
                <w:highlight w:val="none"/>
                <w:lang w:eastAsia="zh-CN"/>
              </w:rPr>
              <w:t>）</w:t>
            </w:r>
          </w:p>
        </w:tc>
        <w:tc>
          <w:tcPr>
            <w:tcW w:w="810" w:type="dxa"/>
            <w:noWrap w:val="0"/>
            <w:vAlign w:val="center"/>
          </w:tcPr>
          <w:p>
            <w:pPr>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cantSplit/>
          <w:trHeight w:val="432"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17</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提供开展本项目咨询管理过程中所需要的PM10/PM2.5检测仪、颗物激光雷达、大气走航车、便携式挥发性有机物分析仪、VOCs泄漏检测仪、微风风速仪等仪器的得5分，一项不满足扣1分。（提供购买合同</w:t>
            </w:r>
            <w:r>
              <w:rPr>
                <w:rFonts w:hint="eastAsia" w:ascii="仿宋" w:hAnsi="仿宋" w:eastAsia="仿宋" w:cs="仿宋"/>
                <w:color w:val="auto"/>
                <w:sz w:val="24"/>
                <w:szCs w:val="24"/>
                <w:highlight w:val="none"/>
                <w:lang w:val="en-US" w:eastAsia="zh-CN"/>
              </w:rPr>
              <w:t>或发票</w:t>
            </w:r>
            <w:r>
              <w:rPr>
                <w:rFonts w:hint="eastAsia" w:ascii="仿宋" w:hAnsi="仿宋" w:eastAsia="仿宋" w:cs="仿宋"/>
                <w:color w:val="auto"/>
                <w:sz w:val="24"/>
                <w:szCs w:val="24"/>
                <w:highlight w:val="none"/>
              </w:rPr>
              <w:t>等有效证明文件材料）</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cantSplit/>
          <w:trHeight w:val="436"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18</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拟派</w:t>
            </w:r>
            <w:r>
              <w:rPr>
                <w:rFonts w:hint="eastAsia" w:ascii="仿宋" w:hAnsi="仿宋" w:eastAsia="仿宋" w:cs="仿宋"/>
                <w:color w:val="auto"/>
                <w:sz w:val="24"/>
                <w:szCs w:val="24"/>
                <w:highlight w:val="none"/>
              </w:rPr>
              <w:t>项目负责人具有研究生及以上学历并具有环境专业副高级职称及以上的得3分，同时具有注册环评工程师证书和环境监理证书的得3分，最高的6分。（提供相关人员证书复印件及连续近三个月在本单位社保缴纳证明材料）</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560" w:type="dxa"/>
            <w:noWrap w:val="0"/>
            <w:vAlign w:val="center"/>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cantSplit/>
          <w:trHeight w:val="436"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19</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拟派</w:t>
            </w:r>
            <w:r>
              <w:rPr>
                <w:rFonts w:hint="eastAsia" w:ascii="仿宋" w:hAnsi="仿宋" w:eastAsia="仿宋" w:cs="仿宋"/>
                <w:color w:val="auto"/>
                <w:sz w:val="24"/>
                <w:szCs w:val="24"/>
                <w:highlight w:val="none"/>
              </w:rPr>
              <w:t>目组人员（不含项目负责人）具有环境专业中级技术职称的每人得1分，最高得6分。（提供相关人员连续近三个月在本单位社保缴纳证明材料）</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560" w:type="dxa"/>
            <w:noWrap w:val="0"/>
            <w:vAlign w:val="top"/>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cantSplit/>
          <w:trHeight w:val="436" w:hRule="atLeast"/>
          <w:jc w:val="center"/>
        </w:trPr>
        <w:tc>
          <w:tcPr>
            <w:tcW w:w="1049" w:type="dxa"/>
            <w:noWrap w:val="0"/>
            <w:vAlign w:val="center"/>
          </w:tcPr>
          <w:p>
            <w:pPr>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聘请省级及以上科研院所及高校知名环保专家3名，专家至少为高级工程师，符合条件的得3分，不满足的不得分。（投标时提供相应的</w:t>
            </w:r>
            <w:r>
              <w:rPr>
                <w:rFonts w:hint="eastAsia" w:ascii="仿宋" w:hAnsi="仿宋" w:eastAsia="仿宋" w:cs="仿宋"/>
                <w:color w:val="auto"/>
                <w:sz w:val="24"/>
                <w:szCs w:val="24"/>
                <w:highlight w:val="none"/>
                <w:lang w:val="zh-CN"/>
              </w:rPr>
              <w:t>聘请协议及专家职称等证明材料复印件</w:t>
            </w:r>
            <w:r>
              <w:rPr>
                <w:rFonts w:hint="eastAsia" w:ascii="仿宋" w:hAnsi="仿宋" w:eastAsia="仿宋" w:cs="仿宋"/>
                <w:color w:val="auto"/>
                <w:sz w:val="24"/>
                <w:szCs w:val="24"/>
                <w:highlight w:val="none"/>
              </w:rPr>
              <w:t>并加盖公章，否则不得分）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560" w:type="dxa"/>
            <w:noWrap w:val="0"/>
            <w:vAlign w:val="top"/>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cantSplit/>
          <w:trHeight w:val="436"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w:t>
            </w:r>
          </w:p>
        </w:tc>
        <w:tc>
          <w:tcPr>
            <w:tcW w:w="6379" w:type="dxa"/>
            <w:noWrap w:val="0"/>
            <w:vAlign w:val="center"/>
          </w:tcPr>
          <w:p>
            <w:p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针对本项目实施需要的拟投入的大气污染防治辅助数字化平台情况打分：</w:t>
            </w:r>
          </w:p>
          <w:p>
            <w:pPr>
              <w:numPr>
                <w:ilvl w:val="0"/>
                <w:numId w:val="2"/>
              </w:num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智慧治气平台；</w:t>
            </w:r>
          </w:p>
          <w:p>
            <w:pPr>
              <w:numPr>
                <w:ilvl w:val="0"/>
                <w:numId w:val="0"/>
              </w:num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2.臭氧预测软件平台；</w:t>
            </w:r>
          </w:p>
          <w:p>
            <w:pPr>
              <w:numPr>
                <w:ilvl w:val="0"/>
                <w:numId w:val="0"/>
              </w:num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3.污染物管控平台；</w:t>
            </w:r>
          </w:p>
          <w:p>
            <w:pPr>
              <w:numPr>
                <w:ilvl w:val="0"/>
                <w:numId w:val="0"/>
              </w:num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4.大气环境监管平台；</w:t>
            </w:r>
          </w:p>
          <w:p>
            <w:pPr>
              <w:numPr>
                <w:ilvl w:val="0"/>
                <w:numId w:val="0"/>
              </w:num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5.工地扬尘智慧监管平台；</w:t>
            </w:r>
          </w:p>
          <w:p>
            <w:pPr>
              <w:numPr>
                <w:ilvl w:val="0"/>
                <w:numId w:val="0"/>
              </w:num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6.走航监测平台。</w:t>
            </w:r>
          </w:p>
          <w:p>
            <w:pPr>
              <w:numPr>
                <w:ilvl w:val="0"/>
                <w:numId w:val="0"/>
              </w:num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每提供1个得</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分。（需提供</w:t>
            </w:r>
            <w:r>
              <w:rPr>
                <w:rFonts w:hint="eastAsia" w:ascii="仿宋" w:hAnsi="仿宋" w:eastAsia="仿宋" w:cs="仿宋"/>
                <w:color w:val="auto"/>
                <w:sz w:val="24"/>
                <w:szCs w:val="24"/>
                <w:highlight w:val="none"/>
                <w:lang w:val="en-US" w:eastAsia="zh-CN"/>
              </w:rPr>
              <w:t>相关证明材料复印件</w:t>
            </w:r>
            <w:r>
              <w:rPr>
                <w:rFonts w:hint="eastAsia" w:ascii="仿宋" w:hAnsi="仿宋" w:eastAsia="仿宋" w:cs="仿宋"/>
                <w:color w:val="auto"/>
                <w:sz w:val="24"/>
                <w:szCs w:val="24"/>
                <w:highlight w:val="none"/>
              </w:rPr>
              <w:t>并加盖公章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不提供证明材料不得分</w:t>
            </w:r>
            <w:r>
              <w:rPr>
                <w:rFonts w:hint="eastAsia" w:ascii="仿宋" w:hAnsi="仿宋" w:eastAsia="仿宋" w:cs="仿宋"/>
                <w:color w:val="auto"/>
                <w:sz w:val="24"/>
                <w:szCs w:val="24"/>
                <w:highlight w:val="none"/>
              </w:rPr>
              <w:t>）</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560" w:type="dxa"/>
            <w:noWrap w:val="0"/>
            <w:vAlign w:val="top"/>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cantSplit/>
          <w:trHeight w:val="436"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w:t>
            </w:r>
          </w:p>
        </w:tc>
        <w:tc>
          <w:tcPr>
            <w:tcW w:w="6379" w:type="dxa"/>
            <w:noWrap w:val="0"/>
            <w:vAlign w:val="center"/>
          </w:tcPr>
          <w:p>
            <w:pPr>
              <w:jc w:val="left"/>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具有ISO9000质量管理体系认证、ISO14000环境质量管理体系认证、ISO45001职业健康安全管理，每提供1个得1分，最高得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分。（需提供证书复印件</w:t>
            </w:r>
            <w:r>
              <w:rPr>
                <w:rFonts w:hint="eastAsia" w:ascii="仿宋" w:hAnsi="仿宋" w:eastAsia="仿宋" w:cs="仿宋"/>
                <w:color w:val="auto"/>
                <w:sz w:val="24"/>
                <w:szCs w:val="24"/>
                <w:highlight w:val="none"/>
                <w:lang w:val="en-US" w:eastAsia="zh-CN"/>
              </w:rPr>
              <w:t>并加盖公章</w:t>
            </w:r>
            <w:r>
              <w:rPr>
                <w:rFonts w:hint="eastAsia" w:ascii="仿宋" w:hAnsi="仿宋" w:eastAsia="仿宋" w:cs="仿宋"/>
                <w:color w:val="auto"/>
                <w:sz w:val="24"/>
                <w:szCs w:val="24"/>
                <w:highlight w:val="none"/>
              </w:rPr>
              <w:t>）</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560" w:type="dxa"/>
            <w:noWrap w:val="0"/>
            <w:vAlign w:val="top"/>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cantSplit/>
          <w:trHeight w:val="436"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23</w:t>
            </w:r>
          </w:p>
        </w:tc>
        <w:tc>
          <w:tcPr>
            <w:tcW w:w="6379" w:type="dxa"/>
            <w:noWrap w:val="0"/>
            <w:vAlign w:val="center"/>
          </w:tcPr>
          <w:p>
            <w:pPr>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根据投标</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提供的售后服务保障措施情况进行打分，最高得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560" w:type="dxa"/>
            <w:noWrap w:val="0"/>
            <w:vAlign w:val="top"/>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cantSplit/>
          <w:trHeight w:val="436"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24</w:t>
            </w:r>
          </w:p>
        </w:tc>
        <w:tc>
          <w:tcPr>
            <w:tcW w:w="6379" w:type="dxa"/>
            <w:noWrap w:val="0"/>
            <w:vAlign w:val="center"/>
          </w:tcPr>
          <w:p>
            <w:pPr>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供应商的本地化服务网点设在</w:t>
            </w:r>
            <w:r>
              <w:rPr>
                <w:rFonts w:hint="eastAsia" w:ascii="仿宋" w:hAnsi="仿宋" w:eastAsia="仿宋" w:cs="仿宋"/>
                <w:color w:val="auto"/>
                <w:sz w:val="24"/>
                <w:szCs w:val="24"/>
                <w:highlight w:val="none"/>
                <w:lang w:val="en-US" w:eastAsia="zh-CN"/>
              </w:rPr>
              <w:t>杭州</w:t>
            </w:r>
            <w:r>
              <w:rPr>
                <w:rFonts w:hint="eastAsia" w:ascii="仿宋" w:hAnsi="仿宋" w:eastAsia="仿宋" w:cs="仿宋"/>
                <w:color w:val="auto"/>
                <w:sz w:val="24"/>
                <w:szCs w:val="24"/>
                <w:highlight w:val="none"/>
                <w:lang w:val="zh-CN" w:eastAsia="zh-CN"/>
              </w:rPr>
              <w:t>市范围内的得2分,在浙江省范围内（除杭州地区范围外）的得1分，其余地区不得分。(注：投标人若未在以上区域设置本地化服务网点的，可于投标文件中提供相应的承诺函，承诺函中至少需包含在中标后30日历天内何处设立售后服务网点，否则不予认可)（投标文件中提供有效的承诺函或营业执照或房屋租赁合同等证明材料并加盖供应商公章，不提供不得分）</w:t>
            </w:r>
          </w:p>
        </w:tc>
        <w:tc>
          <w:tcPr>
            <w:tcW w:w="810" w:type="dxa"/>
            <w:noWrap w:val="0"/>
            <w:vAlign w:val="center"/>
          </w:tcPr>
          <w:p>
            <w:pPr>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560" w:type="dxa"/>
            <w:noWrap w:val="0"/>
            <w:vAlign w:val="top"/>
          </w:tcPr>
          <w:p>
            <w:pPr>
              <w:jc w:val="left"/>
              <w:outlineLvl w:val="0"/>
              <w:rPr>
                <w:rFonts w:hint="eastAsia" w:ascii="仿宋" w:hAnsi="仿宋" w:eastAsia="仿宋" w:cs="仿宋"/>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28" w:type="dxa"/>
            <w:right w:w="108" w:type="dxa"/>
          </w:tblCellMar>
        </w:tblPrEx>
        <w:trPr>
          <w:cantSplit/>
          <w:trHeight w:val="436" w:hRule="atLeast"/>
          <w:jc w:val="center"/>
        </w:trPr>
        <w:tc>
          <w:tcPr>
            <w:tcW w:w="1049"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25</w:t>
            </w:r>
          </w:p>
        </w:tc>
        <w:tc>
          <w:tcPr>
            <w:tcW w:w="6379" w:type="dxa"/>
            <w:noWrap w:val="0"/>
            <w:vAlign w:val="center"/>
          </w:tcPr>
          <w:p>
            <w:pPr>
              <w:jc w:val="left"/>
              <w:outlineLvl w:val="0"/>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投标</w:t>
            </w:r>
            <w:r>
              <w:rPr>
                <w:rFonts w:hint="eastAsia" w:ascii="仿宋" w:hAnsi="仿宋" w:eastAsia="仿宋" w:cs="仿宋"/>
                <w:color w:val="auto"/>
                <w:sz w:val="24"/>
                <w:szCs w:val="24"/>
                <w:highlight w:val="none"/>
                <w:lang w:val="en-US" w:eastAsia="zh-CN"/>
              </w:rPr>
              <w:t>供应商自2019年1月1日以来</w:t>
            </w:r>
            <w:r>
              <w:rPr>
                <w:rFonts w:hint="eastAsia" w:ascii="仿宋" w:hAnsi="仿宋" w:eastAsia="仿宋" w:cs="仿宋"/>
                <w:color w:val="auto"/>
                <w:sz w:val="24"/>
                <w:szCs w:val="24"/>
                <w:highlight w:val="none"/>
              </w:rPr>
              <w:t>区域空气质量提升或区域大气污染防治相关的第三方服务业绩，每个案例得0.5分，最多得1分。（时间以合同签订时间为准，必须</w:t>
            </w:r>
            <w:r>
              <w:rPr>
                <w:rFonts w:hint="eastAsia" w:ascii="仿宋" w:hAnsi="仿宋" w:eastAsia="仿宋" w:cs="仿宋"/>
                <w:color w:val="auto"/>
                <w:sz w:val="24"/>
                <w:szCs w:val="24"/>
                <w:highlight w:val="none"/>
                <w:lang w:val="en-US" w:eastAsia="zh-CN"/>
              </w:rPr>
              <w:t>同时</w:t>
            </w:r>
            <w:r>
              <w:rPr>
                <w:rFonts w:hint="eastAsia" w:ascii="仿宋" w:hAnsi="仿宋" w:eastAsia="仿宋" w:cs="仿宋"/>
                <w:color w:val="auto"/>
                <w:sz w:val="24"/>
                <w:szCs w:val="24"/>
                <w:highlight w:val="none"/>
              </w:rPr>
              <w:t>提供中标通知书和合同复印件并加盖公章）</w:t>
            </w:r>
          </w:p>
        </w:tc>
        <w:tc>
          <w:tcPr>
            <w:tcW w:w="810" w:type="dxa"/>
            <w:noWrap w:val="0"/>
            <w:vAlign w:val="center"/>
          </w:tcPr>
          <w:p>
            <w:pPr>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560" w:type="dxa"/>
            <w:noWrap w:val="0"/>
            <w:vAlign w:val="top"/>
          </w:tcPr>
          <w:p>
            <w:pPr>
              <w:jc w:val="left"/>
              <w:outlineLvl w:val="0"/>
              <w:rPr>
                <w:rFonts w:hint="eastAsia" w:ascii="仿宋" w:hAnsi="仿宋" w:eastAsia="仿宋" w:cs="仿宋"/>
                <w:color w:val="auto"/>
                <w:sz w:val="24"/>
                <w:szCs w:val="24"/>
                <w:highlight w:val="none"/>
                <w:lang w:val="en-US" w:eastAsia="zh-CN"/>
              </w:rPr>
            </w:pPr>
          </w:p>
        </w:tc>
      </w:tr>
    </w:tbl>
    <w:p>
      <w:pPr>
        <w:snapToGrid w:val="0"/>
        <w:spacing w:line="360" w:lineRule="auto"/>
        <w:rPr>
          <w:rFonts w:hint="eastAsia" w:ascii="仿宋" w:hAnsi="仿宋" w:eastAsia="仿宋" w:cs="仿宋"/>
          <w:b/>
          <w:color w:val="auto"/>
          <w:sz w:val="24"/>
          <w:highlight w:val="none"/>
          <w:lang w:eastAsia="zh-CN"/>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供应商编制响应文件（商务技术文件部分）时，建议按此目录（序号和内容）提供评标标准相应的商务技术资料。 </w:t>
      </w:r>
    </w:p>
    <w:p>
      <w:pPr>
        <w:snapToGrid w:val="0"/>
        <w:spacing w:line="360" w:lineRule="auto"/>
        <w:rPr>
          <w:rFonts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pPr>
        <w:adjustRightInd/>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pPr>
        <w:spacing w:line="360" w:lineRule="auto"/>
        <w:ind w:firstLine="472" w:firstLineChars="196"/>
        <w:rPr>
          <w:rFonts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pPr>
        <w:spacing w:line="360" w:lineRule="auto"/>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pPr>
        <w:pStyle w:val="130"/>
        <w:spacing w:before="0"/>
        <w:ind w:firstLine="508" w:firstLineChars="212"/>
        <w:rPr>
          <w:rFonts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pPr>
        <w:pStyle w:val="130"/>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pPr>
        <w:pStyle w:val="130"/>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pPr>
        <w:pStyle w:val="130"/>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pPr>
        <w:pStyle w:val="130"/>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pPr>
        <w:pStyle w:val="130"/>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pPr>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pPr>
        <w:pStyle w:val="130"/>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0"/>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20</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pPr>
        <w:pStyle w:val="130"/>
        <w:spacing w:before="0"/>
        <w:ind w:firstLine="472" w:firstLineChars="196"/>
        <w:rPr>
          <w:rFonts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4"/>
        <w:spacing w:line="360" w:lineRule="auto"/>
        <w:ind w:left="954" w:leftChars="226" w:hanging="479" w:firstLineChars="0"/>
        <w:rPr>
          <w:rFonts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有下列情况之一的，投标无效：</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pPr>
        <w:spacing w:line="360" w:lineRule="auto"/>
        <w:ind w:firstLine="240" w:firstLineChars="1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4.2.12投标人仅提交备份投标文件，没有在电子交易平台传输递交投标文件的，投标无效；</w:t>
      </w:r>
    </w:p>
    <w:p>
      <w:pPr>
        <w:spacing w:line="360" w:lineRule="auto"/>
        <w:ind w:firstLine="480" w:firstLineChars="200"/>
        <w:rPr>
          <w:rFonts w:hint="eastAsia" w:ascii="仿宋" w:hAnsi="仿宋" w:eastAsia="仿宋" w:cs="仿宋"/>
          <w:color w:val="auto"/>
          <w:kern w:val="0"/>
          <w:sz w:val="24"/>
          <w:highlight w:val="none"/>
          <w:lang w:val="en-US"/>
        </w:rPr>
      </w:pPr>
      <w:r>
        <w:rPr>
          <w:rFonts w:hint="eastAsia" w:ascii="仿宋" w:hAnsi="仿宋" w:eastAsia="仿宋" w:cs="仿宋"/>
          <w:color w:val="auto"/>
          <w:kern w:val="0"/>
          <w:sz w:val="24"/>
          <w:highlight w:val="none"/>
          <w:lang w:val="en-US"/>
        </w:rPr>
        <w:t>4.2.13 投标文件不满足招标文件的其它实质性要求的；</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pPr>
        <w:pStyle w:val="4"/>
        <w:snapToGrid w:val="0"/>
        <w:spacing w:line="360" w:lineRule="auto"/>
        <w:ind w:firstLine="472" w:firstLineChars="196"/>
        <w:rPr>
          <w:rFonts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pPr>
        <w:pStyle w:val="4"/>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pPr>
        <w:pStyle w:val="4"/>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pPr>
        <w:pStyle w:val="4"/>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pPr>
        <w:pStyle w:val="4"/>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5.4因重大变故，采购任务取消的。</w:t>
      </w:r>
    </w:p>
    <w:p>
      <w:pPr>
        <w:pStyle w:val="4"/>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pPr>
        <w:pStyle w:val="4"/>
        <w:snapToGrid w:val="0"/>
        <w:spacing w:line="360" w:lineRule="auto"/>
        <w:ind w:firstLine="590" w:firstLineChars="245"/>
        <w:rPr>
          <w:rFonts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4"/>
        <w:snapToGrid w:val="0"/>
        <w:spacing w:line="360" w:lineRule="auto"/>
        <w:ind w:firstLine="590" w:firstLineChars="245"/>
        <w:rPr>
          <w:rFonts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pPr>
        <w:pStyle w:val="4"/>
        <w:snapToGrid w:val="0"/>
        <w:spacing w:line="360" w:lineRule="auto"/>
        <w:ind w:firstLine="600" w:firstLineChars="250"/>
        <w:rPr>
          <w:rFonts w:ascii="仿宋" w:hAnsi="仿宋" w:eastAsia="仿宋" w:cs="仿宋"/>
          <w:color w:val="auto"/>
          <w:highlight w:val="none"/>
        </w:rPr>
      </w:pPr>
      <w:r>
        <w:rPr>
          <w:rFonts w:hint="eastAsia" w:ascii="仿宋" w:hAnsi="仿宋" w:eastAsia="仿宋" w:cs="仿宋"/>
          <w:color w:val="auto"/>
          <w:highlight w:val="none"/>
        </w:rPr>
        <w:t>7.1未确定中标或者中标人的，终止本次政府采购活动，重新开展政府采购活动。</w:t>
      </w:r>
    </w:p>
    <w:p>
      <w:pPr>
        <w:pStyle w:val="4"/>
        <w:snapToGrid w:val="0"/>
        <w:spacing w:line="360" w:lineRule="auto"/>
        <w:ind w:firstLine="600" w:firstLineChars="250"/>
        <w:rPr>
          <w:rFonts w:ascii="仿宋" w:hAnsi="仿宋" w:eastAsia="仿宋" w:cs="仿宋"/>
          <w:color w:val="auto"/>
          <w:highlight w:val="none"/>
        </w:rPr>
      </w:pPr>
      <w:r>
        <w:rPr>
          <w:rFonts w:hint="eastAsia" w:ascii="仿宋" w:hAnsi="仿宋" w:eastAsia="仿宋" w:cs="仿宋"/>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4"/>
        <w:snapToGrid w:val="0"/>
        <w:spacing w:line="360" w:lineRule="auto"/>
        <w:ind w:firstLine="600" w:firstLineChars="250"/>
        <w:rPr>
          <w:rFonts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4"/>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pPr>
        <w:pStyle w:val="4"/>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的行为，经改正后仍然影响或者可能影响中标、成交结果或者依法被认定为中标、成交无效的，依照7.1-7.4规定处理。</w:t>
      </w:r>
    </w:p>
    <w:p>
      <w:pPr>
        <w:pStyle w:val="4"/>
        <w:snapToGrid w:val="0"/>
        <w:spacing w:line="360" w:lineRule="auto"/>
        <w:ind w:firstLine="0" w:firstLineChars="0"/>
        <w:rPr>
          <w:rFonts w:ascii="仿宋" w:hAnsi="仿宋" w:eastAsia="仿宋" w:cs="仿宋"/>
          <w:color w:val="auto"/>
          <w:highlight w:val="none"/>
        </w:rPr>
      </w:pPr>
    </w:p>
    <w:bookmarkEnd w:id="26"/>
    <w:p>
      <w:pPr>
        <w:spacing w:line="360" w:lineRule="auto"/>
        <w:ind w:left="720" w:leftChars="343" w:firstLine="1084" w:firstLineChars="300"/>
        <w:outlineLvl w:val="0"/>
        <w:rPr>
          <w:rFonts w:ascii="仿宋" w:hAnsi="仿宋" w:eastAsia="仿宋" w:cs="仿宋"/>
          <w:b/>
          <w:color w:val="auto"/>
          <w:sz w:val="36"/>
          <w:szCs w:val="36"/>
          <w:highlight w:val="none"/>
        </w:rPr>
      </w:pPr>
      <w:bookmarkStart w:id="27" w:name="第五部分"/>
      <w:bookmarkStart w:id="28" w:name="_Toc86217003"/>
    </w:p>
    <w:p>
      <w:pPr>
        <w:spacing w:line="360" w:lineRule="auto"/>
        <w:ind w:left="720" w:leftChars="343" w:firstLine="1084" w:firstLineChars="300"/>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p>
    <w:p>
      <w:pPr>
        <w:pStyle w:val="80"/>
        <w:rPr>
          <w:color w:val="auto"/>
          <w:highlight w:val="none"/>
        </w:rPr>
      </w:pPr>
    </w:p>
    <w:p>
      <w:pPr>
        <w:spacing w:line="360" w:lineRule="auto"/>
        <w:ind w:left="720" w:leftChars="343" w:firstLine="1084" w:firstLineChars="300"/>
        <w:outlineLvl w:val="0"/>
        <w:rPr>
          <w:rFonts w:hint="eastAsia" w:ascii="仿宋" w:hAnsi="仿宋" w:eastAsia="仿宋" w:cs="仿宋"/>
          <w:b/>
          <w:color w:val="auto"/>
          <w:sz w:val="36"/>
          <w:szCs w:val="36"/>
          <w:highlight w:val="none"/>
        </w:rPr>
      </w:pPr>
    </w:p>
    <w:p>
      <w:pPr>
        <w:spacing w:line="360" w:lineRule="auto"/>
        <w:ind w:left="720" w:leftChars="343" w:firstLine="1084" w:firstLineChars="300"/>
        <w:outlineLvl w:val="0"/>
        <w:rPr>
          <w:rFonts w:hint="eastAsia" w:ascii="仿宋" w:hAnsi="仿宋" w:eastAsia="仿宋" w:cs="仿宋"/>
          <w:b/>
          <w:color w:val="auto"/>
          <w:sz w:val="36"/>
          <w:szCs w:val="36"/>
          <w:highlight w:val="none"/>
        </w:rPr>
      </w:pPr>
    </w:p>
    <w:p>
      <w:pPr>
        <w:pStyle w:val="2"/>
        <w:rPr>
          <w:rFonts w:hint="eastAsia" w:ascii="仿宋" w:hAnsi="仿宋" w:eastAsia="仿宋" w:cs="仿宋"/>
          <w:b/>
          <w:color w:val="auto"/>
          <w:sz w:val="36"/>
          <w:szCs w:val="36"/>
          <w:highlight w:val="none"/>
        </w:rPr>
      </w:pPr>
    </w:p>
    <w:p>
      <w:pPr>
        <w:pStyle w:val="3"/>
        <w:rPr>
          <w:rFonts w:hint="eastAsia" w:ascii="仿宋" w:hAnsi="仿宋" w:eastAsia="仿宋" w:cs="仿宋"/>
          <w:b/>
          <w:color w:val="auto"/>
          <w:sz w:val="36"/>
          <w:szCs w:val="36"/>
          <w:highlight w:val="none"/>
        </w:rPr>
      </w:pPr>
    </w:p>
    <w:p>
      <w:pPr>
        <w:pStyle w:val="4"/>
        <w:rPr>
          <w:rFonts w:hint="eastAsia" w:ascii="仿宋" w:hAnsi="仿宋" w:eastAsia="仿宋" w:cs="仿宋"/>
          <w:b/>
          <w:color w:val="auto"/>
          <w:sz w:val="36"/>
          <w:szCs w:val="36"/>
          <w:highlight w:val="none"/>
        </w:rPr>
      </w:pPr>
    </w:p>
    <w:p>
      <w:pPr>
        <w:pStyle w:val="3"/>
        <w:rPr>
          <w:rFonts w:hint="eastAsia" w:ascii="仿宋" w:hAnsi="仿宋" w:eastAsia="仿宋" w:cs="仿宋"/>
          <w:b/>
          <w:color w:val="auto"/>
          <w:sz w:val="36"/>
          <w:szCs w:val="36"/>
          <w:highlight w:val="none"/>
        </w:rPr>
      </w:pPr>
    </w:p>
    <w:p>
      <w:pPr>
        <w:pStyle w:val="4"/>
        <w:rPr>
          <w:rFonts w:hint="eastAsia" w:ascii="仿宋" w:hAnsi="仿宋" w:eastAsia="仿宋" w:cs="仿宋"/>
          <w:b/>
          <w:color w:val="auto"/>
          <w:sz w:val="36"/>
          <w:szCs w:val="36"/>
          <w:highlight w:val="none"/>
        </w:rPr>
      </w:pPr>
    </w:p>
    <w:p>
      <w:pPr>
        <w:pStyle w:val="3"/>
        <w:rPr>
          <w:rFonts w:hint="eastAsia"/>
        </w:rPr>
      </w:pPr>
    </w:p>
    <w:p>
      <w:pPr>
        <w:spacing w:line="360" w:lineRule="auto"/>
        <w:ind w:left="720" w:leftChars="343" w:firstLine="1084" w:firstLineChars="300"/>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pPr>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（以最终合同为准）</w:t>
      </w:r>
    </w:p>
    <w:p>
      <w:pPr>
        <w:rPr>
          <w:rFonts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pPr>
        <w:spacing w:line="480" w:lineRule="auto"/>
        <w:jc w:val="center"/>
        <w:rPr>
          <w:rFonts w:ascii="仿宋" w:hAnsi="仿宋" w:eastAsia="仿宋" w:cs="仿宋"/>
          <w:b/>
          <w:color w:val="auto"/>
          <w:sz w:val="28"/>
          <w:szCs w:val="28"/>
          <w:highlight w:val="none"/>
        </w:rPr>
      </w:pPr>
    </w:p>
    <w:p>
      <w:pPr>
        <w:spacing w:line="480" w:lineRule="auto"/>
        <w:jc w:val="center"/>
        <w:rPr>
          <w:rFonts w:ascii="仿宋" w:hAnsi="仿宋" w:eastAsia="仿宋" w:cs="仿宋"/>
          <w:b/>
          <w:color w:val="auto"/>
          <w:sz w:val="24"/>
          <w:highlight w:val="none"/>
        </w:rPr>
      </w:pPr>
    </w:p>
    <w:p>
      <w:pPr>
        <w:spacing w:line="480" w:lineRule="auto"/>
        <w:jc w:val="center"/>
        <w:rPr>
          <w:rFonts w:ascii="仿宋" w:hAnsi="仿宋" w:eastAsia="仿宋" w:cs="仿宋"/>
          <w:b/>
          <w:color w:val="auto"/>
          <w:sz w:val="24"/>
          <w:highlight w:val="none"/>
        </w:rPr>
      </w:pPr>
    </w:p>
    <w:p>
      <w:pPr>
        <w:spacing w:line="480"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pPr>
        <w:spacing w:line="480"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pPr>
        <w:pStyle w:val="4"/>
        <w:ind w:left="0" w:leftChars="0" w:firstLine="0" w:firstLineChars="0"/>
        <w:rPr>
          <w:rFonts w:ascii="仿宋" w:hAnsi="仿宋" w:eastAsia="仿宋" w:cs="仿宋"/>
          <w:color w:val="auto"/>
          <w:highlight w:val="none"/>
        </w:rPr>
      </w:pPr>
    </w:p>
    <w:p>
      <w:pPr>
        <w:pStyle w:val="3"/>
        <w:rPr>
          <w:rFonts w:ascii="仿宋" w:hAnsi="仿宋" w:eastAsia="仿宋" w:cs="仿宋"/>
          <w:color w:val="auto"/>
          <w:highlight w:val="none"/>
        </w:rPr>
      </w:pPr>
    </w:p>
    <w:p>
      <w:pPr>
        <w:pStyle w:val="702"/>
        <w:ind w:left="0" w:leftChars="0" w:firstLine="0" w:firstLineChars="0"/>
        <w:jc w:val="center"/>
        <w:rPr>
          <w:rFonts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pPr>
        <w:pStyle w:val="702"/>
        <w:rPr>
          <w:rFonts w:ascii="仿宋" w:hAnsi="仿宋" w:eastAsia="仿宋" w:cs="仿宋"/>
          <w:color w:val="auto"/>
          <w:szCs w:val="24"/>
          <w:highlight w:val="none"/>
        </w:rPr>
      </w:pPr>
    </w:p>
    <w:p>
      <w:pPr>
        <w:spacing w:before="120" w:line="22" w:lineRule="atLeast"/>
        <w:rPr>
          <w:rFonts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u w:val="single"/>
          <w:lang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lang w:eastAsia="zh-CN"/>
        </w:rPr>
        <w:t>2022-2025年建德市大气污染防治第三方技术服务采购项目</w:t>
      </w:r>
    </w:p>
    <w:p>
      <w:pPr>
        <w:rPr>
          <w:rFonts w:ascii="仿宋" w:hAnsi="仿宋" w:eastAsia="仿宋" w:cs="仿宋"/>
          <w:color w:val="auto"/>
          <w:sz w:val="24"/>
          <w:highlight w:val="none"/>
        </w:rPr>
      </w:pPr>
    </w:p>
    <w:p>
      <w:pPr>
        <w:spacing w:before="120" w:line="22" w:lineRule="atLeast"/>
        <w:ind w:left="960"/>
        <w:rPr>
          <w:rFonts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杭州市生态环境局建德分局</w:t>
      </w:r>
      <w:r>
        <w:rPr>
          <w:rFonts w:hint="eastAsia" w:ascii="仿宋" w:hAnsi="仿宋" w:eastAsia="仿宋" w:cs="仿宋"/>
          <w:color w:val="auto"/>
          <w:sz w:val="24"/>
          <w:highlight w:val="none"/>
          <w:u w:val="single"/>
        </w:rPr>
        <w:t xml:space="preserve">             </w:t>
      </w:r>
    </w:p>
    <w:p>
      <w:pPr>
        <w:spacing w:before="120" w:line="22" w:lineRule="atLeast"/>
        <w:rPr>
          <w:rFonts w:ascii="仿宋" w:hAnsi="仿宋" w:eastAsia="仿宋" w:cs="仿宋"/>
          <w:color w:val="auto"/>
          <w:sz w:val="24"/>
          <w:highlight w:val="none"/>
        </w:rPr>
      </w:pPr>
    </w:p>
    <w:p>
      <w:pPr>
        <w:spacing w:before="120" w:line="22" w:lineRule="atLeast"/>
        <w:ind w:left="960"/>
        <w:rPr>
          <w:rFonts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pPr>
        <w:spacing w:before="120" w:line="22" w:lineRule="atLeast"/>
        <w:rPr>
          <w:rFonts w:ascii="仿宋" w:hAnsi="仿宋" w:eastAsia="仿宋" w:cs="仿宋"/>
          <w:color w:val="auto"/>
          <w:sz w:val="24"/>
          <w:highlight w:val="none"/>
        </w:rPr>
      </w:pPr>
    </w:p>
    <w:p>
      <w:pPr>
        <w:spacing w:before="120" w:line="22" w:lineRule="atLeast"/>
        <w:ind w:firstLine="960" w:firstLineChars="4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pPr>
        <w:spacing w:before="120" w:line="22" w:lineRule="atLeast"/>
        <w:rPr>
          <w:rFonts w:ascii="仿宋" w:hAnsi="仿宋" w:eastAsia="仿宋" w:cs="仿宋"/>
          <w:color w:val="auto"/>
          <w:sz w:val="24"/>
          <w:highlight w:val="none"/>
        </w:rPr>
      </w:pPr>
    </w:p>
    <w:p>
      <w:pPr>
        <w:spacing w:before="120" w:line="22" w:lineRule="atLeast"/>
        <w:ind w:firstLine="960" w:firstLineChars="4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2022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pPr>
        <w:widowControl/>
        <w:jc w:val="left"/>
        <w:rPr>
          <w:rFonts w:ascii="仿宋" w:hAnsi="仿宋" w:eastAsia="仿宋" w:cs="仿宋"/>
          <w:color w:val="auto"/>
          <w:kern w:val="0"/>
          <w:sz w:val="24"/>
          <w:highlight w:val="none"/>
        </w:rPr>
        <w:sectPr>
          <w:pgSz w:w="11907" w:h="16840"/>
          <w:pgMar w:top="1474" w:right="1814" w:bottom="1474" w:left="1814" w:header="851" w:footer="851" w:gutter="0"/>
          <w:cols w:space="720" w:num="1"/>
        </w:sectPr>
      </w:pP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u w:val="single"/>
        </w:rPr>
        <w:t>2022</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杭州市生态环境局建德分局</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公开招标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（同前页项目名称）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（中标供应商名称）</w:t>
      </w:r>
      <w:r>
        <w:rPr>
          <w:rFonts w:hint="eastAsia" w:ascii="仿宋" w:hAnsi="仿宋" w:eastAsia="仿宋" w:cs="仿宋"/>
          <w:color w:val="auto"/>
          <w:sz w:val="24"/>
          <w:highlight w:val="none"/>
        </w:rPr>
        <w:t>为该项目中标供应商。现于中标通知书发出之日起三十日内，按照采购文件确定的事项签订本合同。</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杭州市生态环境局建德分局</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pPr>
        <w:spacing w:line="560" w:lineRule="exact"/>
        <w:ind w:firstLine="482" w:firstLineChars="200"/>
        <w:outlineLvl w:val="0"/>
        <w:rPr>
          <w:rFonts w:ascii="仿宋" w:hAnsi="仿宋" w:eastAsia="仿宋" w:cs="仿宋"/>
          <w:b/>
          <w:color w:val="auto"/>
          <w:sz w:val="24"/>
          <w:highlight w:val="none"/>
        </w:rPr>
      </w:pPr>
      <w:bookmarkStart w:id="29" w:name="_Toc24059"/>
      <w:bookmarkStart w:id="30" w:name="_Toc3029"/>
      <w:bookmarkStart w:id="31" w:name="_Toc2232"/>
      <w:r>
        <w:rPr>
          <w:rFonts w:hint="eastAsia" w:ascii="仿宋" w:hAnsi="仿宋" w:eastAsia="仿宋" w:cs="仿宋"/>
          <w:b/>
          <w:color w:val="auto"/>
          <w:sz w:val="24"/>
          <w:highlight w:val="none"/>
        </w:rPr>
        <w:t>1.1 合同组成部分</w:t>
      </w:r>
      <w:bookmarkEnd w:id="29"/>
      <w:bookmarkEnd w:id="30"/>
      <w:bookmarkEnd w:id="31"/>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1.1.2 中标通知书；</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1.1.3 投标文件（含澄清或者说明文件）；</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1.1.4 招标文件（含澄清或者修改文件）；</w:t>
      </w:r>
    </w:p>
    <w:p>
      <w:pPr>
        <w:spacing w:line="56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1.1.5 </w:t>
      </w:r>
      <w:r>
        <w:rPr>
          <w:rFonts w:hint="eastAsia" w:ascii="仿宋" w:hAnsi="仿宋" w:eastAsia="仿宋" w:cs="仿宋"/>
          <w:color w:val="auto"/>
          <w:sz w:val="24"/>
          <w:highlight w:val="none"/>
          <w:lang w:eastAsia="zh-CN"/>
        </w:rPr>
        <w:t>本合同为中小企业预留合同，附件中包含联合体协议或分包意向协议作为采购合同的组成部分；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1.1.6</w:t>
      </w:r>
      <w:r>
        <w:rPr>
          <w:rFonts w:hint="eastAsia" w:ascii="仿宋" w:hAnsi="仿宋" w:eastAsia="仿宋" w:cs="仿宋"/>
          <w:color w:val="auto"/>
          <w:sz w:val="24"/>
          <w:highlight w:val="none"/>
        </w:rPr>
        <w:t>其他相关采购文件。</w:t>
      </w:r>
    </w:p>
    <w:p>
      <w:pPr>
        <w:spacing w:line="440" w:lineRule="exact"/>
        <w:ind w:firstLine="482" w:firstLineChars="200"/>
        <w:outlineLvl w:val="0"/>
        <w:rPr>
          <w:rFonts w:ascii="仿宋" w:hAnsi="仿宋" w:eastAsia="仿宋" w:cs="仿宋"/>
          <w:b/>
          <w:color w:val="auto"/>
          <w:sz w:val="24"/>
          <w:highlight w:val="none"/>
        </w:rPr>
      </w:pPr>
      <w:bookmarkStart w:id="32" w:name="_Toc24300"/>
      <w:bookmarkStart w:id="33" w:name="_Toc27126"/>
      <w:bookmarkStart w:id="34" w:name="_Toc21295"/>
      <w:bookmarkStart w:id="35" w:name="_Toc10340"/>
      <w:bookmarkStart w:id="36" w:name="_Toc1814"/>
      <w:bookmarkStart w:id="37" w:name="_Toc22618"/>
      <w:r>
        <w:rPr>
          <w:rFonts w:hint="eastAsia" w:ascii="仿宋" w:hAnsi="仿宋" w:eastAsia="仿宋" w:cs="仿宋"/>
          <w:b/>
          <w:color w:val="auto"/>
          <w:sz w:val="24"/>
          <w:highlight w:val="none"/>
        </w:rPr>
        <w:t xml:space="preserve">1.2 </w:t>
      </w:r>
      <w:bookmarkEnd w:id="32"/>
      <w:bookmarkEnd w:id="33"/>
      <w:bookmarkEnd w:id="34"/>
      <w:r>
        <w:rPr>
          <w:rFonts w:hint="eastAsia" w:ascii="仿宋" w:hAnsi="仿宋" w:eastAsia="仿宋" w:cs="仿宋"/>
          <w:b/>
          <w:color w:val="auto"/>
          <w:sz w:val="24"/>
          <w:highlight w:val="none"/>
        </w:rPr>
        <w:t>服务</w:t>
      </w:r>
    </w:p>
    <w:p>
      <w:pP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1.2.1 </w:t>
      </w:r>
      <w:r>
        <w:rPr>
          <w:rFonts w:hint="eastAsia" w:ascii="仿宋" w:hAnsi="仿宋" w:eastAsia="仿宋" w:cs="仿宋"/>
          <w:bCs/>
          <w:color w:val="auto"/>
          <w:sz w:val="24"/>
          <w:highlight w:val="none"/>
        </w:rPr>
        <w:t>服务</w:t>
      </w: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u w:val="single"/>
          <w:lang w:eastAsia="zh-CN"/>
        </w:rPr>
        <w:t>2022-2025年建德市大气污染防治第三方技术服务采购项目</w:t>
      </w:r>
      <w:r>
        <w:rPr>
          <w:rFonts w:hint="eastAsia" w:ascii="仿宋" w:hAnsi="仿宋" w:eastAsia="仿宋" w:cs="仿宋"/>
          <w:color w:val="auto"/>
          <w:sz w:val="24"/>
          <w:highlight w:val="none"/>
        </w:rPr>
        <w:t>；</w:t>
      </w:r>
    </w:p>
    <w:p>
      <w:pP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1.2.2 </w:t>
      </w:r>
      <w:r>
        <w:rPr>
          <w:rFonts w:hint="eastAsia" w:ascii="仿宋" w:hAnsi="仿宋" w:eastAsia="仿宋" w:cs="仿宋"/>
          <w:bCs/>
          <w:color w:val="auto"/>
          <w:sz w:val="24"/>
          <w:highlight w:val="none"/>
        </w:rPr>
        <w:t>服务</w:t>
      </w:r>
      <w:r>
        <w:rPr>
          <w:rFonts w:hint="eastAsia" w:ascii="仿宋" w:hAnsi="仿宋" w:eastAsia="仿宋" w:cs="仿宋"/>
          <w:color w:val="auto"/>
          <w:sz w:val="24"/>
          <w:highlight w:val="none"/>
        </w:rPr>
        <w:t>内容：</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lang w:eastAsia="zh-CN"/>
        </w:rPr>
        <w:t>022-2025年建德市大气污染防治第三方技术服务</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1.2.3 </w:t>
      </w:r>
      <w:r>
        <w:rPr>
          <w:rFonts w:hint="eastAsia" w:ascii="仿宋" w:hAnsi="仿宋" w:eastAsia="仿宋" w:cs="仿宋"/>
          <w:bCs/>
          <w:color w:val="auto"/>
          <w:sz w:val="24"/>
          <w:highlight w:val="none"/>
        </w:rPr>
        <w:t>服务</w:t>
      </w:r>
      <w:r>
        <w:rPr>
          <w:rFonts w:hint="eastAsia" w:ascii="仿宋" w:hAnsi="仿宋" w:eastAsia="仿宋" w:cs="仿宋"/>
          <w:color w:val="auto"/>
          <w:sz w:val="24"/>
          <w:highlight w:val="none"/>
        </w:rPr>
        <w:t>质量：</w:t>
      </w:r>
      <w:r>
        <w:rPr>
          <w:rFonts w:hint="eastAsia" w:ascii="仿宋" w:hAnsi="仿宋" w:eastAsia="仿宋" w:cs="仿宋"/>
          <w:color w:val="auto"/>
          <w:sz w:val="24"/>
          <w:u w:val="single"/>
          <w:lang w:val="en-US" w:eastAsia="zh-CN"/>
        </w:rPr>
        <w:t>中标</w:t>
      </w:r>
      <w:r>
        <w:rPr>
          <w:rFonts w:hint="eastAsia" w:ascii="仿宋" w:hAnsi="仿宋" w:eastAsia="仿宋" w:cs="仿宋"/>
          <w:color w:val="auto"/>
          <w:sz w:val="24"/>
          <w:u w:val="single"/>
        </w:rPr>
        <w:t>供应商要接受采购单位对工作进度和工作质量的控制，接受采购单位制定的质量监督计划，当出现异常情况时，配合采购单位开展核查工作。</w:t>
      </w:r>
    </w:p>
    <w:p>
      <w:pPr>
        <w:spacing w:line="440" w:lineRule="exact"/>
        <w:ind w:firstLine="482" w:firstLineChars="200"/>
        <w:outlineLvl w:val="0"/>
        <w:rPr>
          <w:rFonts w:ascii="仿宋" w:hAnsi="仿宋" w:eastAsia="仿宋" w:cs="仿宋"/>
          <w:b/>
          <w:color w:val="auto"/>
          <w:sz w:val="24"/>
          <w:highlight w:val="none"/>
        </w:rPr>
      </w:pPr>
      <w:bookmarkStart w:id="38" w:name="_Toc21631"/>
      <w:bookmarkStart w:id="39" w:name="_Toc21551"/>
      <w:bookmarkStart w:id="40" w:name="_Toc23292"/>
      <w:r>
        <w:rPr>
          <w:rFonts w:hint="eastAsia" w:ascii="仿宋" w:hAnsi="仿宋" w:eastAsia="仿宋" w:cs="仿宋"/>
          <w:b/>
          <w:color w:val="auto"/>
          <w:sz w:val="24"/>
          <w:highlight w:val="none"/>
        </w:rPr>
        <w:t>1.3 价款</w:t>
      </w:r>
      <w:bookmarkEnd w:id="38"/>
      <w:bookmarkEnd w:id="39"/>
      <w:bookmarkEnd w:id="40"/>
    </w:p>
    <w:p>
      <w:pPr>
        <w:keepNext w:val="0"/>
        <w:keepLines w:val="0"/>
        <w:pageBreakBefore w:val="0"/>
        <w:kinsoku/>
        <w:wordWrap/>
        <w:overflowPunct/>
        <w:topLinePunct w:val="0"/>
        <w:bidi w:val="0"/>
        <w:snapToGrid/>
        <w:spacing w:line="440" w:lineRule="exact"/>
        <w:ind w:firstLine="480" w:firstLineChars="200"/>
        <w:textAlignment w:val="auto"/>
        <w:outlineLvl w:val="0"/>
        <w:rPr>
          <w:rFonts w:hint="eastAsia" w:ascii="仿宋" w:hAnsi="仿宋" w:eastAsia="仿宋" w:cs="仿宋"/>
          <w:b w:val="0"/>
          <w:bCs/>
          <w:sz w:val="24"/>
        </w:rPr>
      </w:pPr>
      <w:r>
        <w:rPr>
          <w:rFonts w:hint="eastAsia" w:ascii="仿宋" w:hAnsi="仿宋" w:eastAsia="仿宋" w:cs="仿宋"/>
          <w:b w:val="0"/>
          <w:bCs/>
          <w:sz w:val="24"/>
        </w:rPr>
        <w:t>本合同总价为：￥</w:t>
      </w:r>
      <w:r>
        <w:rPr>
          <w:rFonts w:hint="eastAsia" w:ascii="仿宋" w:hAnsi="仿宋" w:eastAsia="仿宋" w:cs="仿宋"/>
          <w:b w:val="0"/>
          <w:bCs/>
          <w:sz w:val="24"/>
          <w:u w:val="single"/>
        </w:rPr>
        <w:t xml:space="preserve">           </w:t>
      </w:r>
      <w:r>
        <w:rPr>
          <w:rFonts w:hint="eastAsia" w:ascii="仿宋" w:hAnsi="仿宋" w:eastAsia="仿宋" w:cs="仿宋"/>
          <w:b w:val="0"/>
          <w:bCs/>
          <w:sz w:val="24"/>
        </w:rPr>
        <w:t>元</w:t>
      </w:r>
      <w:r>
        <w:rPr>
          <w:rFonts w:hint="eastAsia" w:ascii="仿宋" w:hAnsi="仿宋" w:eastAsia="仿宋" w:cs="仿宋"/>
          <w:b w:val="0"/>
          <w:bCs/>
          <w:sz w:val="24"/>
          <w:lang w:val="en-US" w:eastAsia="zh-CN"/>
        </w:rPr>
        <w:t>/年 ，</w:t>
      </w:r>
      <w:r>
        <w:rPr>
          <w:rFonts w:hint="eastAsia" w:ascii="仿宋" w:hAnsi="仿宋" w:eastAsia="仿宋" w:cs="仿宋"/>
          <w:b w:val="0"/>
          <w:bCs/>
          <w:sz w:val="24"/>
        </w:rPr>
        <w:t>（大写：</w:t>
      </w:r>
      <w:r>
        <w:rPr>
          <w:rFonts w:hint="eastAsia" w:ascii="仿宋" w:hAnsi="仿宋" w:eastAsia="仿宋" w:cs="仿宋"/>
          <w:b w:val="0"/>
          <w:bCs/>
          <w:sz w:val="24"/>
          <w:u w:val="single"/>
        </w:rPr>
        <w:t xml:space="preserve">                 </w:t>
      </w:r>
      <w:r>
        <w:rPr>
          <w:rFonts w:hint="eastAsia" w:ascii="仿宋" w:hAnsi="仿宋" w:eastAsia="仿宋" w:cs="仿宋"/>
          <w:b w:val="0"/>
          <w:bCs/>
          <w:sz w:val="24"/>
        </w:rPr>
        <w:t>元人民币）。</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p>
      <w:pPr>
        <w:spacing w:line="56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20"/>
              <w:spacing w:line="560" w:lineRule="exact"/>
              <w:ind w:firstLine="200"/>
              <w:jc w:val="center"/>
              <w:rPr>
                <w:rFonts w:hint="eastAsia" w:ascii="仿宋" w:hAnsi="仿宋" w:eastAsia="仿宋" w:cs="仿宋"/>
                <w:color w:val="auto"/>
                <w:sz w:val="24"/>
                <w:szCs w:val="24"/>
                <w:highlight w:val="none"/>
              </w:rPr>
            </w:pPr>
          </w:p>
        </w:tc>
      </w:tr>
    </w:tbl>
    <w:p>
      <w:pPr>
        <w:spacing w:line="560" w:lineRule="exact"/>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1.4 付款</w:t>
      </w:r>
      <w:bookmarkEnd w:id="35"/>
      <w:bookmarkEnd w:id="36"/>
      <w:bookmarkEnd w:id="37"/>
      <w:r>
        <w:rPr>
          <w:rFonts w:hint="eastAsia" w:ascii="仿宋" w:hAnsi="仿宋" w:eastAsia="仿宋" w:cs="仿宋"/>
          <w:b/>
          <w:color w:val="auto"/>
          <w:sz w:val="24"/>
          <w:highlight w:val="none"/>
        </w:rPr>
        <w:t>方式、时间和条件</w:t>
      </w:r>
    </w:p>
    <w:p>
      <w:pPr>
        <w:pStyle w:val="960"/>
        <w:spacing w:before="0" w:beforeAutospacing="0" w:after="0" w:afterAutospacing="0" w:line="440" w:lineRule="exact"/>
        <w:ind w:firstLine="480"/>
        <w:rPr>
          <w:rFonts w:ascii="仿宋" w:hAnsi="仿宋" w:eastAsia="仿宋" w:cs="仿宋"/>
          <w:color w:val="auto"/>
          <w:highlight w:val="none"/>
        </w:rPr>
      </w:pPr>
      <w:bookmarkStart w:id="41" w:name="_Toc19304"/>
      <w:bookmarkStart w:id="42" w:name="_Toc2846"/>
      <w:bookmarkStart w:id="43" w:name="_Toc32071"/>
      <w:r>
        <w:rPr>
          <w:rFonts w:hint="eastAsia" w:ascii="仿宋" w:hAnsi="仿宋" w:eastAsia="仿宋" w:cs="仿宋"/>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1.4.2甲方在政府采购合同中约定预付款，预付款比例为合同金额的</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0％。乙方可登录政采云前台大厅选择金融服务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440" w:lineRule="exact"/>
        <w:ind w:firstLine="480" w:firstLineChars="200"/>
        <w:outlineLvl w:val="0"/>
        <w:rPr>
          <w:rFonts w:ascii="仿宋" w:hAnsi="仿宋" w:eastAsia="仿宋" w:cs="仿宋"/>
          <w:color w:val="auto"/>
          <w:sz w:val="24"/>
          <w:highlight w:val="none"/>
        </w:rPr>
      </w:pPr>
      <w:r>
        <w:rPr>
          <w:rFonts w:hint="eastAsia" w:ascii="仿宋" w:hAnsi="仿宋" w:eastAsia="仿宋" w:cs="仿宋"/>
          <w:color w:val="auto"/>
          <w:sz w:val="24"/>
          <w:highlight w:val="none"/>
        </w:rPr>
        <w:t>1.4.4资金支付的方式、时间和条件详见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bookmarkEnd w:id="41"/>
    <w:bookmarkEnd w:id="42"/>
    <w:bookmarkEnd w:id="43"/>
    <w:p>
      <w:pPr>
        <w:spacing w:line="440" w:lineRule="exact"/>
        <w:ind w:firstLine="482" w:firstLineChars="200"/>
        <w:outlineLvl w:val="0"/>
        <w:rPr>
          <w:rFonts w:ascii="仿宋" w:hAnsi="仿宋" w:eastAsia="仿宋" w:cs="仿宋"/>
          <w:b/>
          <w:color w:val="auto"/>
          <w:sz w:val="24"/>
          <w:highlight w:val="none"/>
        </w:rPr>
      </w:pPr>
      <w:bookmarkStart w:id="44" w:name="_Toc331685783"/>
      <w:r>
        <w:rPr>
          <w:rFonts w:hint="eastAsia" w:ascii="仿宋" w:hAnsi="仿宋" w:eastAsia="仿宋" w:cs="仿宋"/>
          <w:b/>
          <w:color w:val="auto"/>
          <w:sz w:val="24"/>
          <w:highlight w:val="none"/>
        </w:rPr>
        <w:t>1.5 服务期限、地点和内容</w:t>
      </w:r>
    </w:p>
    <w:p>
      <w:pP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1.5.1服务期限：详见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1.5.2服务地点：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1.5.3 服务内容：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440" w:lineRule="exact"/>
        <w:ind w:firstLine="482" w:firstLineChars="200"/>
        <w:outlineLvl w:val="0"/>
        <w:rPr>
          <w:rFonts w:ascii="仿宋" w:hAnsi="仿宋" w:eastAsia="仿宋" w:cs="仿宋"/>
          <w:b/>
          <w:color w:val="auto"/>
          <w:sz w:val="24"/>
          <w:highlight w:val="none"/>
        </w:rPr>
      </w:pPr>
      <w:bookmarkStart w:id="45" w:name="_Toc19554"/>
      <w:bookmarkStart w:id="46" w:name="_Toc27250"/>
      <w:bookmarkStart w:id="47" w:name="_Toc21423"/>
      <w:r>
        <w:rPr>
          <w:rFonts w:hint="eastAsia" w:ascii="仿宋" w:hAnsi="仿宋" w:eastAsia="仿宋" w:cs="仿宋"/>
          <w:b/>
          <w:color w:val="auto"/>
          <w:sz w:val="24"/>
          <w:highlight w:val="none"/>
        </w:rPr>
        <w:t>1.6 违约责任</w:t>
      </w:r>
      <w:bookmarkEnd w:id="45"/>
      <w:bookmarkEnd w:id="46"/>
      <w:bookmarkEnd w:id="47"/>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1.6.1 除不可抗力外，如果乙方没有按照本合同约定的期限、地点和内容完成服务，那么甲方可要求乙方支付违约金，违约金按每迟延完成服务一日的应交付而未完成服务价格的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%；迟延完成服务的违约金计算数额达到前述最高限额之日起，甲方有权在要求乙方支付违约金的同时，书面通知乙方解除本合同；</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pPr>
        <w:spacing w:line="440" w:lineRule="exact"/>
        <w:ind w:left="-420" w:leftChars="-200" w:right="-420" w:rightChars="-200" w:firstLine="960" w:firstLineChars="400"/>
        <w:rPr>
          <w:rFonts w:ascii="仿宋" w:hAnsi="仿宋" w:eastAsia="仿宋" w:cs="仿宋"/>
          <w:color w:val="auto"/>
          <w:highlight w:val="none"/>
        </w:rPr>
      </w:pPr>
      <w:r>
        <w:rPr>
          <w:rFonts w:hint="eastAsia" w:ascii="仿宋" w:hAnsi="仿宋" w:eastAsia="仿宋" w:cs="仿宋"/>
          <w:color w:val="auto"/>
          <w:sz w:val="24"/>
          <w:highlight w:val="none"/>
        </w:rPr>
        <w:t>1.6.7违约责任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pPr>
        <w:spacing w:line="440" w:lineRule="exact"/>
        <w:ind w:firstLine="482" w:firstLineChars="200"/>
        <w:outlineLvl w:val="0"/>
        <w:rPr>
          <w:rFonts w:ascii="仿宋" w:hAnsi="仿宋" w:eastAsia="仿宋" w:cs="仿宋"/>
          <w:b/>
          <w:color w:val="auto"/>
          <w:sz w:val="24"/>
          <w:highlight w:val="none"/>
        </w:rPr>
      </w:pPr>
      <w:bookmarkStart w:id="48" w:name="_Toc15583"/>
      <w:bookmarkStart w:id="49" w:name="_Toc28375"/>
      <w:bookmarkStart w:id="50" w:name="_Toc16021"/>
      <w:r>
        <w:rPr>
          <w:rFonts w:hint="eastAsia" w:ascii="仿宋" w:hAnsi="仿宋" w:eastAsia="仿宋" w:cs="仿宋"/>
          <w:b/>
          <w:color w:val="auto"/>
          <w:sz w:val="24"/>
          <w:highlight w:val="none"/>
        </w:rPr>
        <w:t>1.7 合同争议的解决</w:t>
      </w:r>
      <w:bookmarkEnd w:id="48"/>
      <w:bookmarkEnd w:id="49"/>
      <w:bookmarkEnd w:id="50"/>
    </w:p>
    <w:p>
      <w:pPr>
        <w:spacing w:line="440" w:lineRule="exact"/>
        <w:ind w:left="-61" w:leftChars="-29" w:right="-420" w:rightChars="-200"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合同专用条款  </w:t>
      </w:r>
      <w:r>
        <w:rPr>
          <w:rFonts w:hint="eastAsia" w:ascii="仿宋" w:hAnsi="仿宋" w:eastAsia="仿宋" w:cs="仿宋"/>
          <w:color w:val="auto"/>
          <w:sz w:val="24"/>
          <w:highlight w:val="none"/>
        </w:rPr>
        <w:t>条款规定的方式解决：</w:t>
      </w:r>
    </w:p>
    <w:p>
      <w:pPr>
        <w:spacing w:line="440" w:lineRule="exact"/>
        <w:ind w:left="-420" w:leftChars="-200" w:right="-420" w:rightChars="-200" w:firstLine="600" w:firstLineChars="250"/>
        <w:rPr>
          <w:rFonts w:ascii="仿宋" w:hAnsi="仿宋" w:eastAsia="仿宋" w:cs="仿宋"/>
          <w:color w:val="auto"/>
          <w:sz w:val="24"/>
          <w:highlight w:val="none"/>
        </w:rPr>
      </w:pPr>
      <w:r>
        <w:rPr>
          <w:rFonts w:hint="eastAsia" w:ascii="仿宋" w:hAnsi="仿宋" w:eastAsia="仿宋" w:cs="仿宋"/>
          <w:color w:val="auto"/>
          <w:sz w:val="24"/>
          <w:highlight w:val="none"/>
        </w:rPr>
        <w:t>1.7.1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pPr>
        <w:spacing w:line="440" w:lineRule="exact"/>
        <w:ind w:left="-420" w:leftChars="-200" w:right="-420" w:rightChars="-200" w:firstLine="600" w:firstLineChars="250"/>
        <w:rPr>
          <w:rFonts w:ascii="仿宋" w:hAnsi="仿宋" w:eastAsia="仿宋" w:cs="仿宋"/>
          <w:color w:val="auto"/>
          <w:sz w:val="24"/>
          <w:highlight w:val="none"/>
        </w:rPr>
      </w:pPr>
      <w:r>
        <w:rPr>
          <w:rFonts w:hint="eastAsia" w:ascii="仿宋" w:hAnsi="仿宋" w:eastAsia="仿宋" w:cs="仿宋"/>
          <w:color w:val="auto"/>
          <w:sz w:val="24"/>
          <w:highlight w:val="none"/>
        </w:rPr>
        <w:t>1.7.2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pPr>
        <w:spacing w:line="440" w:lineRule="exact"/>
        <w:ind w:firstLine="482" w:firstLineChars="200"/>
        <w:outlineLvl w:val="0"/>
        <w:rPr>
          <w:rFonts w:ascii="仿宋" w:hAnsi="仿宋" w:eastAsia="仿宋" w:cs="仿宋"/>
          <w:b/>
          <w:color w:val="auto"/>
          <w:sz w:val="24"/>
          <w:highlight w:val="none"/>
        </w:rPr>
      </w:pPr>
      <w:bookmarkStart w:id="51" w:name="_Toc11173"/>
      <w:bookmarkStart w:id="52" w:name="_Toc7245"/>
      <w:bookmarkStart w:id="53" w:name="_Toc15322"/>
      <w:r>
        <w:rPr>
          <w:rFonts w:hint="eastAsia" w:ascii="仿宋" w:hAnsi="仿宋" w:eastAsia="仿宋" w:cs="仿宋"/>
          <w:b/>
          <w:color w:val="auto"/>
          <w:sz w:val="24"/>
          <w:highlight w:val="none"/>
        </w:rPr>
        <w:t>1.8 合同生效</w:t>
      </w:r>
      <w:bookmarkEnd w:id="51"/>
      <w:bookmarkEnd w:id="52"/>
      <w:bookmarkEnd w:id="53"/>
    </w:p>
    <w:p>
      <w:pPr>
        <w:spacing w:line="440" w:lineRule="exact"/>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本合同自双方当事人盖章或者签字时生效。</w:t>
      </w:r>
    </w:p>
    <w:p>
      <w:pPr>
        <w:autoSpaceDE w:val="0"/>
        <w:autoSpaceDN w:val="0"/>
        <w:spacing w:line="440" w:lineRule="exact"/>
        <w:rPr>
          <w:rFonts w:ascii="仿宋" w:hAnsi="仿宋" w:eastAsia="仿宋" w:cs="仿宋"/>
          <w:color w:val="auto"/>
          <w:sz w:val="24"/>
          <w:highlight w:val="none"/>
          <w:lang w:val="zh-CN"/>
        </w:rPr>
      </w:pPr>
    </w:p>
    <w:p>
      <w:pP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pP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pPr>
        <w:autoSpaceDE w:val="0"/>
        <w:autoSpaceDN w:val="0"/>
        <w:spacing w:line="440" w:lineRule="exact"/>
        <w:rPr>
          <w:rFonts w:ascii="仿宋" w:hAnsi="仿宋" w:eastAsia="仿宋" w:cs="仿宋"/>
          <w:color w:val="auto"/>
          <w:sz w:val="24"/>
          <w:highlight w:val="none"/>
          <w:lang w:val="zh-CN"/>
        </w:rPr>
      </w:pP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住所：</w:t>
      </w:r>
      <w:r>
        <w:rPr>
          <w:rFonts w:ascii="仿宋" w:hAnsi="仿宋" w:eastAsia="仿宋"/>
          <w:sz w:val="24"/>
          <w:lang w:val="zh-CN"/>
        </w:rPr>
        <w:t xml:space="preserve">                                   </w:t>
      </w:r>
      <w:r>
        <w:rPr>
          <w:rFonts w:hint="eastAsia" w:ascii="仿宋" w:hAnsi="仿宋" w:eastAsia="仿宋"/>
          <w:sz w:val="24"/>
          <w:lang w:val="zh-CN"/>
        </w:rPr>
        <w:t>住所：</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法定代表人或</w:t>
      </w:r>
      <w:r>
        <w:rPr>
          <w:rFonts w:ascii="仿宋" w:hAnsi="仿宋" w:eastAsia="仿宋"/>
          <w:sz w:val="24"/>
          <w:lang w:val="zh-CN"/>
        </w:rPr>
        <w:t xml:space="preserve">                             </w:t>
      </w:r>
      <w:r>
        <w:rPr>
          <w:rFonts w:hint="eastAsia" w:ascii="仿宋" w:hAnsi="仿宋" w:eastAsia="仿宋"/>
          <w:sz w:val="24"/>
          <w:lang w:val="zh-CN"/>
        </w:rPr>
        <w:t>法定代表人</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授权代表（签字）：</w:t>
      </w:r>
      <w:r>
        <w:rPr>
          <w:rFonts w:ascii="仿宋" w:hAnsi="仿宋" w:eastAsia="仿宋"/>
          <w:sz w:val="24"/>
          <w:lang w:val="zh-CN"/>
        </w:rPr>
        <w:t xml:space="preserve">                       或授权代表（签字）: </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联系人：</w:t>
      </w:r>
      <w:r>
        <w:rPr>
          <w:rFonts w:ascii="仿宋" w:hAnsi="仿宋" w:eastAsia="仿宋"/>
          <w:sz w:val="24"/>
          <w:lang w:val="zh-CN"/>
        </w:rPr>
        <w:t xml:space="preserve">                                 </w:t>
      </w:r>
      <w:r>
        <w:rPr>
          <w:rFonts w:hint="eastAsia" w:ascii="仿宋" w:hAnsi="仿宋" w:eastAsia="仿宋"/>
          <w:sz w:val="24"/>
          <w:lang w:val="zh-CN"/>
        </w:rPr>
        <w:t>联系人：</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约定送达地址：</w:t>
      </w:r>
      <w:r>
        <w:rPr>
          <w:rFonts w:ascii="仿宋" w:hAnsi="仿宋" w:eastAsia="仿宋"/>
          <w:sz w:val="24"/>
          <w:lang w:val="zh-CN"/>
        </w:rPr>
        <w:t xml:space="preserve">                           </w:t>
      </w:r>
      <w:r>
        <w:rPr>
          <w:rFonts w:hint="eastAsia" w:ascii="仿宋" w:hAnsi="仿宋" w:eastAsia="仿宋"/>
          <w:sz w:val="24"/>
          <w:lang w:val="zh-CN"/>
        </w:rPr>
        <w:t>约定送达地址：</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邮政编码：</w:t>
      </w:r>
      <w:r>
        <w:rPr>
          <w:rFonts w:ascii="仿宋" w:hAnsi="仿宋" w:eastAsia="仿宋"/>
          <w:sz w:val="24"/>
          <w:lang w:val="zh-CN"/>
        </w:rPr>
        <w:t xml:space="preserve">                               </w:t>
      </w:r>
      <w:r>
        <w:rPr>
          <w:rFonts w:hint="eastAsia" w:ascii="仿宋" w:hAnsi="仿宋" w:eastAsia="仿宋"/>
          <w:sz w:val="24"/>
          <w:lang w:val="zh-CN"/>
        </w:rPr>
        <w:t>邮政编码：</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电话</w:t>
      </w:r>
      <w:r>
        <w:rPr>
          <w:rFonts w:ascii="仿宋" w:hAnsi="仿宋" w:eastAsia="仿宋"/>
          <w:sz w:val="24"/>
          <w:lang w:val="zh-CN"/>
        </w:rPr>
        <w:t xml:space="preserve">:                                    电话: </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传真</w:t>
      </w:r>
      <w:r>
        <w:rPr>
          <w:rFonts w:ascii="仿宋" w:hAnsi="仿宋" w:eastAsia="仿宋"/>
          <w:sz w:val="24"/>
          <w:lang w:val="zh-CN"/>
        </w:rPr>
        <w:t xml:space="preserve">:                                    </w:t>
      </w:r>
      <w:r>
        <w:rPr>
          <w:rFonts w:hint="eastAsia" w:ascii="仿宋" w:hAnsi="仿宋" w:eastAsia="仿宋"/>
          <w:sz w:val="24"/>
          <w:lang w:val="zh-CN"/>
        </w:rPr>
        <w:t>传真</w:t>
      </w:r>
      <w:r>
        <w:rPr>
          <w:rFonts w:ascii="仿宋" w:hAnsi="仿宋" w:eastAsia="仿宋"/>
          <w:sz w:val="24"/>
          <w:lang w:val="zh-CN"/>
        </w:rPr>
        <w:t>:</w:t>
      </w:r>
    </w:p>
    <w:p>
      <w:pPr>
        <w:autoSpaceDE w:val="0"/>
        <w:autoSpaceDN w:val="0"/>
        <w:spacing w:line="560" w:lineRule="exact"/>
        <w:rPr>
          <w:rFonts w:ascii="仿宋" w:hAnsi="仿宋" w:eastAsia="仿宋"/>
          <w:sz w:val="24"/>
        </w:rPr>
      </w:pPr>
      <w:r>
        <w:rPr>
          <w:rFonts w:hint="eastAsia" w:ascii="仿宋" w:hAnsi="仿宋" w:eastAsia="仿宋"/>
          <w:sz w:val="24"/>
          <w:lang w:val="zh-CN"/>
        </w:rPr>
        <w:t>电子邮箱：</w:t>
      </w:r>
      <w:r>
        <w:rPr>
          <w:rFonts w:ascii="仿宋" w:hAnsi="仿宋" w:eastAsia="仿宋"/>
          <w:sz w:val="24"/>
          <w:lang w:val="zh-CN"/>
        </w:rPr>
        <w:t xml:space="preserve">                               </w:t>
      </w:r>
      <w:r>
        <w:rPr>
          <w:rFonts w:hint="eastAsia" w:ascii="仿宋" w:hAnsi="仿宋" w:eastAsia="仿宋"/>
          <w:sz w:val="24"/>
          <w:lang w:val="zh-CN"/>
        </w:rPr>
        <w:t>电子邮箱：</w:t>
      </w:r>
    </w:p>
    <w:p>
      <w:pPr>
        <w:autoSpaceDE w:val="0"/>
        <w:autoSpaceDN w:val="0"/>
        <w:spacing w:line="560" w:lineRule="exact"/>
        <w:rPr>
          <w:rFonts w:ascii="仿宋" w:hAnsi="仿宋" w:eastAsia="仿宋"/>
          <w:sz w:val="24"/>
        </w:rPr>
      </w:pPr>
      <w:r>
        <w:rPr>
          <w:rFonts w:hint="eastAsia" w:ascii="仿宋" w:hAnsi="仿宋" w:eastAsia="仿宋"/>
          <w:sz w:val="24"/>
        </w:rPr>
        <w:t>开户银行：</w:t>
      </w:r>
      <w:r>
        <w:rPr>
          <w:rFonts w:ascii="仿宋" w:hAnsi="仿宋" w:eastAsia="仿宋"/>
          <w:sz w:val="24"/>
        </w:rPr>
        <w:t xml:space="preserve">                               开户银行： </w:t>
      </w:r>
    </w:p>
    <w:p>
      <w:pPr>
        <w:autoSpaceDE w:val="0"/>
        <w:autoSpaceDN w:val="0"/>
        <w:spacing w:line="560" w:lineRule="exact"/>
        <w:rPr>
          <w:rFonts w:ascii="仿宋" w:hAnsi="仿宋" w:eastAsia="仿宋"/>
          <w:sz w:val="24"/>
        </w:rPr>
      </w:pPr>
      <w:r>
        <w:rPr>
          <w:rFonts w:hint="eastAsia" w:ascii="仿宋" w:hAnsi="仿宋" w:eastAsia="仿宋"/>
          <w:sz w:val="24"/>
        </w:rPr>
        <w:t>开户名称：</w:t>
      </w:r>
      <w:r>
        <w:rPr>
          <w:rFonts w:ascii="仿宋" w:hAnsi="仿宋" w:eastAsia="仿宋"/>
          <w:sz w:val="24"/>
        </w:rPr>
        <w:t xml:space="preserve">                               开户名称： </w:t>
      </w:r>
    </w:p>
    <w:p>
      <w:pPr>
        <w:autoSpaceDE w:val="0"/>
        <w:autoSpaceDN w:val="0"/>
        <w:spacing w:line="560" w:lineRule="exact"/>
        <w:rPr>
          <w:rFonts w:ascii="仿宋" w:hAnsi="仿宋" w:eastAsia="仿宋" w:cs="仿宋"/>
          <w:sz w:val="24"/>
        </w:rPr>
      </w:pPr>
      <w:r>
        <w:rPr>
          <w:rFonts w:hint="eastAsia" w:ascii="仿宋" w:hAnsi="仿宋" w:eastAsia="仿宋"/>
          <w:sz w:val="24"/>
        </w:rPr>
        <w:t>开户账号：</w:t>
      </w:r>
      <w:r>
        <w:rPr>
          <w:rFonts w:ascii="仿宋" w:hAnsi="仿宋" w:eastAsia="仿宋"/>
          <w:sz w:val="24"/>
          <w:lang w:val="zh-CN"/>
        </w:rPr>
        <w:t xml:space="preserve">                               </w:t>
      </w:r>
      <w:r>
        <w:rPr>
          <w:rFonts w:hint="eastAsia" w:ascii="仿宋" w:hAnsi="仿宋" w:eastAsia="仿宋"/>
          <w:sz w:val="24"/>
        </w:rPr>
        <w:t>开户账号：</w:t>
      </w:r>
    </w:p>
    <w:p>
      <w:pPr>
        <w:widowControl/>
        <w:spacing w:line="560" w:lineRule="exact"/>
        <w:jc w:val="left"/>
        <w:rPr>
          <w:rFonts w:ascii="仿宋" w:hAnsi="仿宋" w:eastAsia="仿宋" w:cs="仿宋"/>
          <w:b/>
          <w:color w:val="auto"/>
          <w:sz w:val="24"/>
          <w:highlight w:val="none"/>
        </w:rPr>
      </w:pPr>
    </w:p>
    <w:p>
      <w:pPr>
        <w:pStyle w:val="702"/>
        <w:spacing w:line="560" w:lineRule="exact"/>
        <w:ind w:firstLine="2409" w:firstLineChars="1000"/>
        <w:rPr>
          <w:rFonts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bookmarkEnd w:id="44"/>
    </w:p>
    <w:p>
      <w:pPr>
        <w:spacing w:line="560" w:lineRule="exact"/>
        <w:ind w:firstLine="482" w:firstLineChars="200"/>
        <w:outlineLvl w:val="0"/>
        <w:rPr>
          <w:rFonts w:ascii="仿宋" w:hAnsi="仿宋" w:eastAsia="仿宋" w:cs="仿宋"/>
          <w:b/>
          <w:color w:val="auto"/>
          <w:sz w:val="24"/>
          <w:highlight w:val="none"/>
        </w:rPr>
      </w:pPr>
      <w:bookmarkStart w:id="54" w:name="_Ref467379101"/>
      <w:bookmarkStart w:id="55" w:name="_Ref467379214"/>
      <w:bookmarkStart w:id="56" w:name="_Ref467378404"/>
      <w:bookmarkStart w:id="57" w:name="_Ref467379109"/>
      <w:bookmarkStart w:id="58" w:name="_Ref467379225"/>
      <w:bookmarkStart w:id="59" w:name="_Toc279701240"/>
      <w:bookmarkStart w:id="60" w:name="_Toc259093669"/>
      <w:bookmarkStart w:id="61" w:name="_Toc19614"/>
      <w:bookmarkStart w:id="62" w:name="_Toc487900349"/>
      <w:bookmarkStart w:id="63" w:name="_Toc16917"/>
      <w:bookmarkStart w:id="64" w:name="_Ref467379205"/>
      <w:bookmarkStart w:id="65" w:name="_Ref467379195"/>
      <w:bookmarkStart w:id="66" w:name="_Toc28763"/>
      <w:bookmarkStart w:id="67" w:name="_Ref467379094"/>
      <w:bookmarkStart w:id="68" w:name="_Ref467378463"/>
      <w:bookmarkStart w:id="69" w:name="_Ref467378499"/>
      <w:r>
        <w:rPr>
          <w:rFonts w:hint="eastAsia" w:ascii="仿宋" w:hAnsi="仿宋" w:eastAsia="仿宋" w:cs="仿宋"/>
          <w:b/>
          <w:color w:val="auto"/>
          <w:sz w:val="24"/>
          <w:highlight w:val="none"/>
        </w:rPr>
        <w:t>2.1 定义</w:t>
      </w:r>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“合同”系指采购人和中标供应商签订的载明双方当事人所达成的协议，并包括所有的附件、附录和构成合同的其他文件。</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“合同价”系指根据合同约定，中标供应商在完全履行合同义务后，采购人应支付给中标供应商的价格。</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 “服务”系指成交供应商根据合同约定应向采购人交付的一切各种形态和种类的服务和成果，包括咨询服务、评审服务、编制成果、项目实施过程中的质量、进度的控制、合同、文档的管理等相关资料。</w:t>
      </w:r>
    </w:p>
    <w:p>
      <w:pPr>
        <w:spacing w:line="560" w:lineRule="exact"/>
        <w:ind w:firstLine="480" w:firstLineChars="200"/>
        <w:rPr>
          <w:rFonts w:ascii="仿宋" w:hAnsi="仿宋" w:eastAsia="仿宋" w:cs="仿宋"/>
          <w:color w:val="auto"/>
          <w:sz w:val="24"/>
          <w:highlight w:val="none"/>
        </w:rPr>
      </w:pPr>
      <w:bookmarkStart w:id="70" w:name="_Ref467378840"/>
      <w:r>
        <w:rPr>
          <w:rFonts w:hint="eastAsia" w:ascii="仿宋" w:hAnsi="仿宋" w:eastAsia="仿宋" w:cs="仿宋"/>
          <w:color w:val="auto"/>
          <w:sz w:val="24"/>
          <w:highlight w:val="none"/>
        </w:rPr>
        <w:t>2.1.4 “甲方”系指与中标供应商签署合同的采购人</w:t>
      </w:r>
      <w:bookmarkEnd w:id="70"/>
      <w:r>
        <w:rPr>
          <w:rFonts w:hint="eastAsia" w:ascii="仿宋" w:hAnsi="仿宋" w:eastAsia="仿宋" w:cs="仿宋"/>
          <w:color w:val="auto"/>
          <w:sz w:val="24"/>
          <w:highlight w:val="none"/>
        </w:rPr>
        <w:t>；采购人委托采购代理机构代表其与乙方签订合同的，采购人的授权委托书作为合同附件。</w:t>
      </w:r>
    </w:p>
    <w:p>
      <w:pPr>
        <w:spacing w:line="560" w:lineRule="exact"/>
        <w:ind w:firstLine="480" w:firstLineChars="200"/>
        <w:rPr>
          <w:rFonts w:ascii="仿宋" w:hAnsi="仿宋" w:eastAsia="仿宋" w:cs="仿宋"/>
          <w:color w:val="auto"/>
          <w:sz w:val="24"/>
          <w:highlight w:val="none"/>
        </w:rPr>
      </w:pPr>
      <w:bookmarkStart w:id="71" w:name="_Ref467379400"/>
      <w:r>
        <w:rPr>
          <w:rFonts w:hint="eastAsia" w:ascii="仿宋" w:hAnsi="仿宋" w:eastAsia="仿宋" w:cs="仿宋"/>
          <w:color w:val="auto"/>
          <w:sz w:val="24"/>
          <w:highlight w:val="none"/>
        </w:rPr>
        <w:t>2.1.5 “乙方”系指根据合同约定交付货物的中标供应商</w:t>
      </w:r>
      <w:bookmarkEnd w:id="71"/>
      <w:r>
        <w:rPr>
          <w:rFonts w:hint="eastAsia" w:ascii="仿宋" w:hAnsi="仿宋" w:eastAsia="仿宋" w:cs="仿宋"/>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仿宋" w:hAnsi="仿宋" w:eastAsia="仿宋" w:cs="仿宋"/>
          <w:color w:val="auto"/>
          <w:sz w:val="24"/>
          <w:highlight w:val="none"/>
        </w:rPr>
      </w:pPr>
      <w:bookmarkStart w:id="72" w:name="_Ref467379436"/>
      <w:r>
        <w:rPr>
          <w:rFonts w:hint="eastAsia" w:ascii="仿宋" w:hAnsi="仿宋" w:eastAsia="仿宋" w:cs="仿宋"/>
          <w:color w:val="auto"/>
          <w:sz w:val="24"/>
          <w:highlight w:val="none"/>
        </w:rPr>
        <w:t xml:space="preserve">2.1.6 </w:t>
      </w:r>
      <w:bookmarkEnd w:id="72"/>
      <w:r>
        <w:rPr>
          <w:rFonts w:hint="eastAsia" w:ascii="仿宋" w:hAnsi="仿宋" w:eastAsia="仿宋" w:cs="仿宋"/>
          <w:color w:val="auto"/>
          <w:sz w:val="24"/>
          <w:highlight w:val="none"/>
        </w:rPr>
        <w:t>“现场”系指将要进行服务的工程地点。</w:t>
      </w:r>
    </w:p>
    <w:p>
      <w:pPr>
        <w:spacing w:line="440" w:lineRule="exact"/>
        <w:ind w:firstLine="482" w:firstLineChars="200"/>
        <w:outlineLvl w:val="0"/>
        <w:rPr>
          <w:rFonts w:ascii="仿宋" w:hAnsi="仿宋" w:eastAsia="仿宋" w:cs="仿宋"/>
          <w:b/>
          <w:color w:val="auto"/>
          <w:sz w:val="24"/>
          <w:highlight w:val="none"/>
        </w:rPr>
      </w:pPr>
      <w:bookmarkStart w:id="73" w:name="_Toc487900350"/>
      <w:bookmarkStart w:id="74" w:name="_Toc27635"/>
      <w:bookmarkStart w:id="75" w:name="_Toc279701241"/>
      <w:bookmarkStart w:id="76" w:name="_Toc13336"/>
      <w:bookmarkStart w:id="77" w:name="_Toc32504"/>
      <w:bookmarkStart w:id="78" w:name="_Toc259093670"/>
      <w:r>
        <w:rPr>
          <w:rFonts w:hint="eastAsia" w:ascii="仿宋" w:hAnsi="仿宋" w:eastAsia="仿宋" w:cs="仿宋"/>
          <w:b/>
          <w:color w:val="auto"/>
          <w:sz w:val="24"/>
          <w:highlight w:val="none"/>
        </w:rPr>
        <w:t>2.2 技术规范</w:t>
      </w:r>
      <w:bookmarkEnd w:id="73"/>
      <w:bookmarkEnd w:id="74"/>
      <w:bookmarkEnd w:id="75"/>
      <w:bookmarkEnd w:id="76"/>
      <w:bookmarkEnd w:id="77"/>
      <w:bookmarkEnd w:id="78"/>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440" w:lineRule="exact"/>
        <w:ind w:firstLine="482" w:firstLineChars="200"/>
        <w:outlineLvl w:val="0"/>
        <w:rPr>
          <w:rFonts w:ascii="仿宋" w:hAnsi="仿宋" w:eastAsia="仿宋" w:cs="仿宋"/>
          <w:b/>
          <w:color w:val="auto"/>
          <w:sz w:val="24"/>
          <w:highlight w:val="none"/>
        </w:rPr>
      </w:pPr>
      <w:bookmarkStart w:id="79" w:name="_Toc487900351"/>
      <w:bookmarkStart w:id="80" w:name="_Toc9829"/>
      <w:bookmarkStart w:id="81" w:name="_Toc279701242"/>
      <w:bookmarkStart w:id="82" w:name="_Toc27853"/>
      <w:bookmarkStart w:id="83" w:name="_Toc259093671"/>
      <w:bookmarkStart w:id="84" w:name="_Toc31634"/>
      <w:r>
        <w:rPr>
          <w:rFonts w:hint="eastAsia" w:ascii="仿宋" w:hAnsi="仿宋" w:eastAsia="仿宋" w:cs="仿宋"/>
          <w:b/>
          <w:color w:val="auto"/>
          <w:sz w:val="24"/>
          <w:highlight w:val="none"/>
        </w:rPr>
        <w:t>2.3 知识产权</w:t>
      </w:r>
      <w:bookmarkEnd w:id="79"/>
      <w:bookmarkEnd w:id="80"/>
      <w:bookmarkEnd w:id="81"/>
      <w:bookmarkEnd w:id="82"/>
      <w:bookmarkEnd w:id="83"/>
      <w:bookmarkEnd w:id="84"/>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2.3.1 乙方应保证甲方在使用该服务或其任何一部分时不受任何第三方提出的侵犯其著作权、商标权、专利权等知识产权方面的起诉；如果任何第三方提出侵权指控，那么乙方须与该第三方交涉并承担由此发生的一切责任、费用和赔偿；</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2.3.2具有知识产权的计算机软件等货物的知识产权归属，详见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440" w:lineRule="exact"/>
        <w:ind w:firstLine="482" w:firstLineChars="200"/>
        <w:outlineLvl w:val="0"/>
        <w:rPr>
          <w:rFonts w:ascii="仿宋" w:hAnsi="仿宋" w:eastAsia="仿宋" w:cs="仿宋"/>
          <w:b/>
          <w:color w:val="auto"/>
          <w:sz w:val="24"/>
          <w:highlight w:val="none"/>
        </w:rPr>
      </w:pPr>
      <w:bookmarkStart w:id="85" w:name="_Ref467378591"/>
      <w:bookmarkStart w:id="86" w:name="_Toc279701245"/>
      <w:bookmarkStart w:id="87" w:name="_Ref467379527"/>
      <w:bookmarkStart w:id="88" w:name="_Ref467379542"/>
      <w:bookmarkStart w:id="89" w:name="_Toc487900354"/>
      <w:bookmarkStart w:id="90" w:name="_Toc259093674"/>
      <w:bookmarkStart w:id="91" w:name="_Ref467378541"/>
      <w:bookmarkStart w:id="92" w:name="_Ref467379536"/>
      <w:bookmarkStart w:id="93" w:name="_Toc26182"/>
      <w:bookmarkStart w:id="94" w:name="_Toc30272"/>
      <w:bookmarkStart w:id="95" w:name="_Toc19074"/>
      <w:r>
        <w:rPr>
          <w:rFonts w:hint="eastAsia" w:ascii="仿宋" w:hAnsi="仿宋" w:eastAsia="仿宋" w:cs="仿宋"/>
          <w:b/>
          <w:color w:val="auto"/>
          <w:sz w:val="24"/>
          <w:highlight w:val="none"/>
        </w:rPr>
        <w:t>2.</w:t>
      </w:r>
      <w:bookmarkEnd w:id="85"/>
      <w:bookmarkEnd w:id="86"/>
      <w:bookmarkEnd w:id="87"/>
      <w:bookmarkEnd w:id="88"/>
      <w:bookmarkEnd w:id="89"/>
      <w:bookmarkEnd w:id="90"/>
      <w:bookmarkEnd w:id="91"/>
      <w:bookmarkEnd w:id="92"/>
      <w:r>
        <w:rPr>
          <w:rFonts w:hint="eastAsia" w:ascii="仿宋" w:hAnsi="仿宋" w:eastAsia="仿宋" w:cs="仿宋"/>
          <w:b/>
          <w:color w:val="auto"/>
          <w:sz w:val="24"/>
          <w:highlight w:val="none"/>
        </w:rPr>
        <w:t>4 履约检查和问题反馈</w:t>
      </w:r>
      <w:bookmarkEnd w:id="93"/>
      <w:bookmarkEnd w:id="94"/>
      <w:bookmarkEnd w:id="95"/>
    </w:p>
    <w:p>
      <w:pPr>
        <w:spacing w:line="440" w:lineRule="exact"/>
        <w:ind w:firstLine="480" w:firstLineChars="200"/>
        <w:rPr>
          <w:rFonts w:ascii="仿宋" w:hAnsi="仿宋" w:eastAsia="仿宋" w:cs="仿宋"/>
          <w:color w:val="auto"/>
          <w:sz w:val="24"/>
          <w:highlight w:val="none"/>
        </w:rPr>
      </w:pPr>
      <w:bookmarkStart w:id="96" w:name="_Ref467379657"/>
      <w:r>
        <w:rPr>
          <w:rFonts w:hint="eastAsia" w:ascii="仿宋" w:hAnsi="仿宋" w:eastAsia="仿宋" w:cs="仿宋"/>
          <w:color w:val="auto"/>
          <w:sz w:val="24"/>
          <w:highlight w:val="none"/>
        </w:rPr>
        <w:t>2.4.1</w:t>
      </w:r>
      <w:bookmarkEnd w:id="96"/>
      <w:bookmarkStart w:id="97" w:name="_Toc186431854"/>
      <w:bookmarkStart w:id="98" w:name="_Toc279701247"/>
      <w:bookmarkStart w:id="99" w:name="_Ref467379793"/>
      <w:bookmarkStart w:id="100" w:name="_Ref467379807"/>
      <w:bookmarkStart w:id="101" w:name="_Toc487900357"/>
      <w:bookmarkStart w:id="102" w:name="_Toc259093676"/>
      <w:r>
        <w:rPr>
          <w:rFonts w:hint="eastAsia" w:ascii="仿宋" w:hAnsi="仿宋" w:eastAsia="仿宋" w:cs="仿宋"/>
          <w:color w:val="auto"/>
          <w:sz w:val="24"/>
          <w:highlight w:val="none"/>
        </w:rPr>
        <w:t>甲方有权在其认为必要时，对乙方是否能够按照合同约定完成服务进行履约检查，以确保乙方所交付的成果能够依约满足甲方之项目需求，但不得因履约检查妨碍乙方的正常工作，乙方应予积极配合；</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bookmarkEnd w:id="97"/>
      <w:bookmarkStart w:id="103" w:name="_Toc186431855"/>
      <w:r>
        <w:rPr>
          <w:rFonts w:hint="eastAsia" w:ascii="仿宋" w:hAnsi="仿宋" w:eastAsia="仿宋" w:cs="仿宋"/>
          <w:color w:val="auto"/>
          <w:sz w:val="24"/>
          <w:highlight w:val="none"/>
        </w:rPr>
        <w:t>。</w:t>
      </w:r>
    </w:p>
    <w:bookmarkEnd w:id="98"/>
    <w:bookmarkEnd w:id="99"/>
    <w:bookmarkEnd w:id="100"/>
    <w:bookmarkEnd w:id="101"/>
    <w:bookmarkEnd w:id="102"/>
    <w:bookmarkEnd w:id="103"/>
    <w:p>
      <w:pPr>
        <w:spacing w:line="440" w:lineRule="exact"/>
        <w:ind w:firstLine="482" w:firstLineChars="200"/>
        <w:outlineLvl w:val="0"/>
        <w:rPr>
          <w:rFonts w:ascii="仿宋" w:hAnsi="仿宋" w:eastAsia="仿宋" w:cs="仿宋"/>
          <w:b/>
          <w:color w:val="auto"/>
          <w:sz w:val="24"/>
          <w:highlight w:val="none"/>
        </w:rPr>
      </w:pPr>
      <w:bookmarkStart w:id="104" w:name="_Ref467379852"/>
      <w:bookmarkStart w:id="105" w:name="_Toc259093677"/>
      <w:bookmarkStart w:id="106" w:name="_Ref467379863"/>
      <w:bookmarkStart w:id="107" w:name="_Toc487900358"/>
      <w:bookmarkStart w:id="108" w:name="_Toc279701248"/>
      <w:bookmarkStart w:id="109" w:name="_Ref467379923"/>
      <w:bookmarkStart w:id="110" w:name="_Toc16110"/>
      <w:bookmarkStart w:id="111" w:name="_Toc3225"/>
      <w:bookmarkStart w:id="112" w:name="_Toc774"/>
      <w:r>
        <w:rPr>
          <w:rFonts w:hint="eastAsia" w:ascii="仿宋" w:hAnsi="仿宋" w:eastAsia="仿宋" w:cs="仿宋"/>
          <w:b/>
          <w:color w:val="auto"/>
          <w:sz w:val="24"/>
          <w:highlight w:val="none"/>
        </w:rPr>
        <w:t>2.5 技术资料</w:t>
      </w:r>
      <w:bookmarkEnd w:id="104"/>
      <w:bookmarkEnd w:id="105"/>
      <w:bookmarkEnd w:id="106"/>
      <w:bookmarkEnd w:id="107"/>
      <w:bookmarkEnd w:id="108"/>
      <w:bookmarkEnd w:id="109"/>
      <w:r>
        <w:rPr>
          <w:rFonts w:hint="eastAsia" w:ascii="仿宋" w:hAnsi="仿宋" w:eastAsia="仿宋" w:cs="仿宋"/>
          <w:b/>
          <w:color w:val="auto"/>
          <w:sz w:val="24"/>
          <w:highlight w:val="none"/>
        </w:rPr>
        <w:t>和保密义务</w:t>
      </w:r>
      <w:bookmarkEnd w:id="110"/>
      <w:bookmarkEnd w:id="111"/>
      <w:bookmarkEnd w:id="112"/>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2.5.1 乙方有权依据合同约定和项目需要，向甲方了解有关情况，调阅有关资料等，甲方应予积极配合；</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2.5.2 乙方有义务妥善保管和保护由甲方提供的前款信息和资料等；</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440" w:lineRule="exact"/>
        <w:ind w:firstLine="482" w:firstLineChars="200"/>
        <w:outlineLvl w:val="0"/>
        <w:rPr>
          <w:rFonts w:ascii="仿宋" w:hAnsi="仿宋" w:eastAsia="仿宋" w:cs="仿宋"/>
          <w:b/>
          <w:color w:val="auto"/>
          <w:sz w:val="24"/>
          <w:highlight w:val="none"/>
        </w:rPr>
      </w:pPr>
      <w:bookmarkStart w:id="113" w:name="_Toc7860"/>
      <w:r>
        <w:rPr>
          <w:rFonts w:hint="eastAsia" w:ascii="仿宋" w:hAnsi="仿宋" w:eastAsia="仿宋" w:cs="仿宋"/>
          <w:b/>
          <w:color w:val="auto"/>
          <w:sz w:val="24"/>
          <w:highlight w:val="none"/>
        </w:rPr>
        <w:t>2.6 质量保证</w:t>
      </w:r>
      <w:bookmarkEnd w:id="113"/>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2.6.1 乙方应建立和完善履行合同的内部质量保证体系，并提供相关内部规章制度给甲方，以便甲方进行监督检查；</w:t>
      </w:r>
    </w:p>
    <w:p>
      <w:pPr>
        <w:spacing w:line="440" w:lineRule="exact"/>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2.6.2 乙方应保证履行合同的人员数量和素质、软件和硬件设备的配置、场地、环境和设施等满足全面履行合同的要求，并应接受甲方的监督检查。</w:t>
      </w:r>
      <w:bookmarkStart w:id="114" w:name="_Toc259093681"/>
      <w:bookmarkStart w:id="115" w:name="_Toc487900362"/>
      <w:bookmarkStart w:id="116" w:name="_Toc279701252"/>
    </w:p>
    <w:p>
      <w:pPr>
        <w:spacing w:line="440" w:lineRule="exact"/>
        <w:ind w:firstLine="482" w:firstLineChars="200"/>
        <w:outlineLvl w:val="0"/>
        <w:rPr>
          <w:rFonts w:ascii="仿宋" w:hAnsi="仿宋" w:eastAsia="仿宋" w:cs="仿宋"/>
          <w:b/>
          <w:color w:val="auto"/>
          <w:sz w:val="24"/>
          <w:highlight w:val="none"/>
        </w:rPr>
      </w:pPr>
      <w:bookmarkStart w:id="117" w:name="_Toc14055"/>
      <w:r>
        <w:rPr>
          <w:rFonts w:hint="eastAsia" w:ascii="仿宋" w:hAnsi="仿宋" w:eastAsia="仿宋" w:cs="仿宋"/>
          <w:b/>
          <w:color w:val="auto"/>
          <w:sz w:val="24"/>
          <w:highlight w:val="none"/>
        </w:rPr>
        <w:t>2.7 延迟</w:t>
      </w:r>
      <w:bookmarkEnd w:id="114"/>
      <w:bookmarkEnd w:id="115"/>
      <w:bookmarkEnd w:id="116"/>
      <w:bookmarkEnd w:id="117"/>
      <w:r>
        <w:rPr>
          <w:rFonts w:hint="eastAsia" w:ascii="仿宋" w:hAnsi="仿宋" w:eastAsia="仿宋" w:cs="仿宋"/>
          <w:b/>
          <w:color w:val="auto"/>
          <w:sz w:val="24"/>
          <w:highlight w:val="none"/>
        </w:rPr>
        <w:t>服务</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在合同履行过程中，如果乙方遇到不能按时完成服务的情况，应及时以书面形式将不能按时完成服务的理由、预期延误时间通知甲方；甲方收到乙方通知后，认为其理由正当的，可以书面形式酌情同意乙方可以延长交货的具体时间。</w:t>
      </w:r>
    </w:p>
    <w:p>
      <w:pPr>
        <w:spacing w:line="440" w:lineRule="exact"/>
        <w:ind w:firstLine="482" w:firstLineChars="200"/>
        <w:outlineLvl w:val="0"/>
        <w:rPr>
          <w:rFonts w:ascii="仿宋" w:hAnsi="仿宋" w:eastAsia="仿宋" w:cs="仿宋"/>
          <w:b/>
          <w:color w:val="auto"/>
          <w:sz w:val="24"/>
          <w:highlight w:val="none"/>
        </w:rPr>
      </w:pPr>
      <w:bookmarkStart w:id="118" w:name="_Toc7502"/>
      <w:bookmarkStart w:id="119" w:name="_Ref467378121"/>
      <w:bookmarkStart w:id="120" w:name="_Toc279701254"/>
      <w:bookmarkStart w:id="121" w:name="_Toc259093683"/>
      <w:bookmarkStart w:id="122" w:name="_Toc487900364"/>
      <w:r>
        <w:rPr>
          <w:rFonts w:hint="eastAsia" w:ascii="仿宋" w:hAnsi="仿宋" w:eastAsia="仿宋" w:cs="仿宋"/>
          <w:b/>
          <w:color w:val="auto"/>
          <w:sz w:val="24"/>
          <w:highlight w:val="none"/>
        </w:rPr>
        <w:t>2.8 合同变更</w:t>
      </w:r>
      <w:bookmarkEnd w:id="118"/>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123" w:name="_Toc279701259"/>
      <w:bookmarkStart w:id="124" w:name="_Toc487900369"/>
      <w:bookmarkStart w:id="125" w:name="_Toc259093688"/>
    </w:p>
    <w:p>
      <w:pPr>
        <w:spacing w:line="440" w:lineRule="exact"/>
        <w:ind w:firstLine="482" w:firstLineChars="200"/>
        <w:outlineLvl w:val="0"/>
        <w:rPr>
          <w:rFonts w:ascii="仿宋" w:hAnsi="仿宋" w:eastAsia="仿宋" w:cs="仿宋"/>
          <w:b/>
          <w:color w:val="auto"/>
          <w:sz w:val="24"/>
          <w:highlight w:val="none"/>
        </w:rPr>
      </w:pPr>
      <w:bookmarkStart w:id="126" w:name="_Toc22955"/>
      <w:bookmarkStart w:id="127" w:name="_Toc15237"/>
      <w:bookmarkStart w:id="128" w:name="_Toc10366"/>
      <w:r>
        <w:rPr>
          <w:rFonts w:hint="eastAsia" w:ascii="仿宋" w:hAnsi="仿宋" w:eastAsia="仿宋" w:cs="仿宋"/>
          <w:b/>
          <w:color w:val="auto"/>
          <w:sz w:val="24"/>
          <w:highlight w:val="none"/>
        </w:rPr>
        <w:t>2.9 合同转让</w:t>
      </w:r>
      <w:bookmarkEnd w:id="123"/>
      <w:bookmarkEnd w:id="124"/>
      <w:bookmarkEnd w:id="125"/>
      <w:r>
        <w:rPr>
          <w:rFonts w:hint="eastAsia" w:ascii="仿宋" w:hAnsi="仿宋" w:eastAsia="仿宋" w:cs="仿宋"/>
          <w:b/>
          <w:color w:val="auto"/>
          <w:sz w:val="24"/>
          <w:highlight w:val="none"/>
        </w:rPr>
        <w:t>和分包</w:t>
      </w:r>
      <w:bookmarkEnd w:id="126"/>
      <w:bookmarkEnd w:id="127"/>
      <w:bookmarkEnd w:id="128"/>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2.9.1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2.9.2乙方采取分包方式履行合同的，甲方可直接向分包供应商支付款项。</w:t>
      </w:r>
    </w:p>
    <w:p>
      <w:pPr>
        <w:spacing w:line="440" w:lineRule="exact"/>
        <w:ind w:firstLine="482" w:firstLineChars="200"/>
        <w:outlineLvl w:val="0"/>
        <w:rPr>
          <w:rFonts w:ascii="仿宋" w:hAnsi="仿宋" w:eastAsia="仿宋" w:cs="仿宋"/>
          <w:b/>
          <w:color w:val="auto"/>
          <w:sz w:val="24"/>
          <w:highlight w:val="none"/>
        </w:rPr>
      </w:pPr>
      <w:bookmarkStart w:id="129" w:name="_Toc16508"/>
      <w:bookmarkStart w:id="130" w:name="_Toc13566"/>
      <w:bookmarkStart w:id="131" w:name="_Toc14066"/>
      <w:r>
        <w:rPr>
          <w:rFonts w:hint="eastAsia" w:ascii="仿宋" w:hAnsi="仿宋" w:eastAsia="仿宋" w:cs="仿宋"/>
          <w:b/>
          <w:color w:val="auto"/>
          <w:sz w:val="24"/>
          <w:highlight w:val="none"/>
        </w:rPr>
        <w:t>2.10 不可抗力</w:t>
      </w:r>
      <w:bookmarkEnd w:id="129"/>
      <w:bookmarkEnd w:id="130"/>
      <w:bookmarkEnd w:id="131"/>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2.10.1如果任何一方遭遇法律规定的不可抗力，致使合同履行受阻时，履行合同的期限应予延长，延长的期限应相当于不可抗力所影响的时间；</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2.10.2 因不可抗力致使不能实现合同目的的，当事人可以解除合同；</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2.10.3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2.10.4受不可抗力影响的一方在不可抗力发生后，应在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pPr>
        <w:spacing w:line="440" w:lineRule="exact"/>
        <w:ind w:firstLine="482" w:firstLineChars="200"/>
        <w:outlineLvl w:val="0"/>
        <w:rPr>
          <w:rFonts w:ascii="仿宋" w:hAnsi="仿宋" w:eastAsia="仿宋" w:cs="仿宋"/>
          <w:b/>
          <w:color w:val="auto"/>
          <w:sz w:val="24"/>
          <w:highlight w:val="none"/>
        </w:rPr>
      </w:pPr>
      <w:bookmarkStart w:id="132" w:name="_Toc487900365"/>
      <w:bookmarkStart w:id="133" w:name="_Toc259093684"/>
      <w:bookmarkStart w:id="134" w:name="_Toc279701255"/>
      <w:bookmarkStart w:id="135" w:name="_Toc6969"/>
      <w:bookmarkStart w:id="136" w:name="_Toc30676"/>
      <w:bookmarkStart w:id="137" w:name="_Toc689"/>
      <w:r>
        <w:rPr>
          <w:rFonts w:hint="eastAsia" w:ascii="仿宋" w:hAnsi="仿宋" w:eastAsia="仿宋" w:cs="仿宋"/>
          <w:b/>
          <w:color w:val="auto"/>
          <w:sz w:val="24"/>
          <w:highlight w:val="none"/>
        </w:rPr>
        <w:t>2.11 税费</w:t>
      </w:r>
      <w:bookmarkEnd w:id="132"/>
      <w:bookmarkEnd w:id="133"/>
      <w:bookmarkEnd w:id="134"/>
      <w:bookmarkEnd w:id="135"/>
      <w:bookmarkEnd w:id="136"/>
      <w:bookmarkEnd w:id="137"/>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w:t>
      </w:r>
    </w:p>
    <w:p>
      <w:pPr>
        <w:spacing w:line="440" w:lineRule="exact"/>
        <w:ind w:firstLine="482" w:firstLineChars="200"/>
        <w:outlineLvl w:val="0"/>
        <w:rPr>
          <w:rFonts w:ascii="仿宋" w:hAnsi="仿宋" w:eastAsia="仿宋" w:cs="仿宋"/>
          <w:b/>
          <w:color w:val="auto"/>
          <w:sz w:val="24"/>
          <w:highlight w:val="none"/>
        </w:rPr>
      </w:pPr>
      <w:bookmarkStart w:id="138" w:name="_Toc487900368"/>
      <w:bookmarkStart w:id="139" w:name="_Toc16959"/>
      <w:bookmarkStart w:id="140" w:name="_Toc7102"/>
      <w:bookmarkStart w:id="141" w:name="_Toc8298"/>
      <w:bookmarkStart w:id="142" w:name="_Toc259093687"/>
      <w:bookmarkStart w:id="143" w:name="_Toc279701258"/>
      <w:r>
        <w:rPr>
          <w:rFonts w:hint="eastAsia" w:ascii="仿宋" w:hAnsi="仿宋" w:eastAsia="仿宋" w:cs="仿宋"/>
          <w:b/>
          <w:color w:val="auto"/>
          <w:sz w:val="24"/>
          <w:highlight w:val="none"/>
        </w:rPr>
        <w:t>2.12乙方破产</w:t>
      </w:r>
      <w:bookmarkEnd w:id="138"/>
      <w:bookmarkEnd w:id="139"/>
      <w:bookmarkEnd w:id="140"/>
      <w:bookmarkEnd w:id="141"/>
      <w:bookmarkEnd w:id="142"/>
      <w:bookmarkEnd w:id="143"/>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440" w:lineRule="exact"/>
        <w:ind w:firstLine="482" w:firstLineChars="200"/>
        <w:outlineLvl w:val="0"/>
        <w:rPr>
          <w:rFonts w:ascii="仿宋" w:hAnsi="仿宋" w:eastAsia="仿宋" w:cs="仿宋"/>
          <w:b/>
          <w:color w:val="auto"/>
          <w:sz w:val="24"/>
          <w:highlight w:val="none"/>
        </w:rPr>
      </w:pPr>
      <w:bookmarkStart w:id="144" w:name="_Toc6134"/>
      <w:bookmarkStart w:id="145" w:name="_Toc29333"/>
      <w:bookmarkStart w:id="146" w:name="_Toc15387"/>
      <w:r>
        <w:rPr>
          <w:rFonts w:hint="eastAsia" w:ascii="仿宋" w:hAnsi="仿宋" w:eastAsia="仿宋" w:cs="仿宋"/>
          <w:b/>
          <w:color w:val="auto"/>
          <w:sz w:val="24"/>
          <w:highlight w:val="none"/>
        </w:rPr>
        <w:t>2.13 合同中止、终止</w:t>
      </w:r>
      <w:bookmarkEnd w:id="144"/>
      <w:bookmarkEnd w:id="145"/>
      <w:bookmarkEnd w:id="146"/>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2.13.1 双方当事人不得擅自中止或者终止合同；</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2.13.2合同继续履行将损害国家利益和社会公共利益的，双方当事人应当中止或者终止合同。有过错的一方应当承担赔偿责任，双方当事人都有过错的，各自承担相应的责任。</w:t>
      </w:r>
    </w:p>
    <w:p>
      <w:pPr>
        <w:spacing w:line="440" w:lineRule="exact"/>
        <w:ind w:firstLine="482" w:firstLineChars="200"/>
        <w:outlineLvl w:val="0"/>
        <w:rPr>
          <w:rFonts w:ascii="仿宋" w:hAnsi="仿宋" w:eastAsia="仿宋" w:cs="仿宋"/>
          <w:b/>
          <w:color w:val="auto"/>
          <w:sz w:val="24"/>
          <w:highlight w:val="none"/>
        </w:rPr>
      </w:pPr>
      <w:bookmarkStart w:id="147" w:name="_Toc14563"/>
      <w:bookmarkStart w:id="148" w:name="_Toc6596"/>
      <w:bookmarkStart w:id="149" w:name="_Toc1125"/>
      <w:r>
        <w:rPr>
          <w:rFonts w:hint="eastAsia" w:ascii="仿宋" w:hAnsi="仿宋" w:eastAsia="仿宋" w:cs="仿宋"/>
          <w:b/>
          <w:color w:val="auto"/>
          <w:sz w:val="24"/>
          <w:highlight w:val="none"/>
        </w:rPr>
        <w:t>2.14检验和验收</w:t>
      </w:r>
      <w:bookmarkEnd w:id="147"/>
      <w:bookmarkEnd w:id="148"/>
      <w:bookmarkEnd w:id="149"/>
    </w:p>
    <w:bookmarkEnd w:id="119"/>
    <w:bookmarkEnd w:id="120"/>
    <w:bookmarkEnd w:id="121"/>
    <w:bookmarkEnd w:id="122"/>
    <w:p>
      <w:pPr>
        <w:tabs>
          <w:tab w:val="left" w:pos="360"/>
          <w:tab w:val="left" w:pos="540"/>
          <w:tab w:val="left" w:pos="1080"/>
        </w:tabs>
        <w:spacing w:line="440" w:lineRule="exact"/>
        <w:ind w:firstLine="480" w:firstLineChars="200"/>
        <w:rPr>
          <w:rFonts w:ascii="仿宋" w:hAnsi="仿宋" w:eastAsia="仿宋" w:cs="仿宋"/>
          <w:color w:val="auto"/>
          <w:sz w:val="24"/>
          <w:highlight w:val="none"/>
        </w:rPr>
      </w:pPr>
      <w:bookmarkStart w:id="150" w:name="_Toc487900371"/>
      <w:bookmarkStart w:id="151" w:name="_Toc259093690"/>
      <w:bookmarkStart w:id="152" w:name="_Toc279701261"/>
      <w:bookmarkStart w:id="153" w:name="_Toc11284"/>
      <w:bookmarkStart w:id="154" w:name="_Toc25182"/>
      <w:bookmarkStart w:id="155" w:name="_Toc19604"/>
      <w:r>
        <w:rPr>
          <w:rFonts w:hint="eastAsia" w:ascii="仿宋" w:hAnsi="仿宋" w:eastAsia="仿宋" w:cs="仿宋"/>
          <w:color w:val="auto"/>
          <w:sz w:val="24"/>
          <w:highlight w:val="none"/>
        </w:rPr>
        <w:t>2.14.1项目完工交付前，乙方应对服务的质量进行详细、全面的检验，并向甲方出具证明符合合同约定的文件；服务结束时，乙方在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约定时间内组织验收，并可依法邀请相关方参加，验收应出具验收书。</w:t>
      </w:r>
    </w:p>
    <w:p>
      <w:pPr>
        <w:tabs>
          <w:tab w:val="left" w:pos="360"/>
          <w:tab w:val="left" w:pos="540"/>
          <w:tab w:val="left" w:pos="1080"/>
        </w:tabs>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spacing w:line="440" w:lineRule="exact"/>
        <w:ind w:firstLine="480" w:firstLineChars="200"/>
        <w:outlineLvl w:val="0"/>
        <w:rPr>
          <w:rFonts w:ascii="仿宋" w:hAnsi="仿宋" w:eastAsia="仿宋" w:cs="仿宋"/>
          <w:i/>
          <w:color w:val="auto"/>
          <w:sz w:val="24"/>
          <w:highlight w:val="none"/>
        </w:rPr>
      </w:pPr>
      <w:r>
        <w:rPr>
          <w:rFonts w:hint="eastAsia" w:ascii="仿宋" w:hAnsi="仿宋" w:eastAsia="仿宋" w:cs="仿宋"/>
          <w:color w:val="auto"/>
          <w:sz w:val="24"/>
          <w:highlight w:val="none"/>
        </w:rPr>
        <w:t>2.14.3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pPr>
        <w:spacing w:line="440" w:lineRule="exact"/>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2.15 通知</w:t>
      </w:r>
      <w:bookmarkEnd w:id="150"/>
      <w:bookmarkEnd w:id="151"/>
      <w:bookmarkEnd w:id="152"/>
      <w:r>
        <w:rPr>
          <w:rFonts w:hint="eastAsia" w:ascii="仿宋" w:hAnsi="仿宋" w:eastAsia="仿宋" w:cs="仿宋"/>
          <w:b/>
          <w:color w:val="auto"/>
          <w:sz w:val="24"/>
          <w:highlight w:val="none"/>
        </w:rPr>
        <w:t>和送达</w:t>
      </w:r>
      <w:bookmarkEnd w:id="153"/>
      <w:bookmarkEnd w:id="154"/>
      <w:bookmarkEnd w:id="155"/>
    </w:p>
    <w:p>
      <w:pPr>
        <w:spacing w:line="440" w:lineRule="exact"/>
        <w:ind w:firstLine="480" w:firstLineChars="200"/>
        <w:rPr>
          <w:rFonts w:ascii="仿宋" w:hAnsi="仿宋" w:eastAsia="仿宋" w:cs="仿宋"/>
          <w:color w:val="auto"/>
          <w:sz w:val="24"/>
          <w:highlight w:val="none"/>
        </w:rPr>
      </w:pPr>
      <w:bookmarkStart w:id="156" w:name="_Toc3135"/>
      <w:bookmarkStart w:id="157" w:name="_Toc6698"/>
      <w:bookmarkStart w:id="158" w:name="_Toc259093691"/>
      <w:bookmarkStart w:id="159" w:name="_Toc487900372"/>
      <w:bookmarkStart w:id="160" w:name="_Toc279701262"/>
      <w:r>
        <w:rPr>
          <w:rFonts w:hint="eastAsia" w:ascii="仿宋" w:hAnsi="仿宋" w:eastAsia="仿宋" w:cs="仿宋"/>
          <w:color w:val="auto"/>
          <w:sz w:val="24"/>
          <w:highlight w:val="none"/>
        </w:rPr>
        <w:t xml:space="preserve">2.15.1任何一方因履行合同而以合同第一部分尾部所列明的传真或电子邮件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bookmarkEnd w:id="156"/>
      <w:bookmarkEnd w:id="157"/>
    </w:p>
    <w:p>
      <w:pPr>
        <w:spacing w:line="440" w:lineRule="exact"/>
        <w:ind w:firstLine="480" w:firstLineChars="200"/>
        <w:rPr>
          <w:rFonts w:ascii="仿宋" w:hAnsi="仿宋" w:eastAsia="仿宋" w:cs="仿宋"/>
          <w:color w:val="auto"/>
          <w:sz w:val="24"/>
          <w:highlight w:val="none"/>
        </w:rPr>
      </w:pPr>
      <w:bookmarkStart w:id="161" w:name="_Toc23128"/>
      <w:bookmarkStart w:id="162" w:name="_Toc23294"/>
      <w:r>
        <w:rPr>
          <w:rFonts w:hint="eastAsia" w:ascii="仿宋" w:hAnsi="仿宋" w:eastAsia="仿宋" w:cs="仿宋"/>
          <w:color w:val="auto"/>
          <w:sz w:val="24"/>
          <w:highlight w:val="none"/>
        </w:rPr>
        <w:t>2.15.2以当面交付方式送达的，交付之时视为送达；以电子邮件方式送达的，发出电子邮件之时视为送达；以传真方式送达的，发出传真之时视为送达；以邮寄方式送达的，邮件挂号寄出或者交邮之日之次日视为送达。</w:t>
      </w:r>
      <w:bookmarkEnd w:id="161"/>
      <w:bookmarkEnd w:id="162"/>
    </w:p>
    <w:p>
      <w:pPr>
        <w:spacing w:line="440" w:lineRule="exact"/>
        <w:ind w:firstLine="482" w:firstLineChars="200"/>
        <w:outlineLvl w:val="0"/>
        <w:rPr>
          <w:rFonts w:ascii="仿宋" w:hAnsi="仿宋" w:eastAsia="仿宋" w:cs="仿宋"/>
          <w:b/>
          <w:color w:val="auto"/>
          <w:sz w:val="24"/>
          <w:highlight w:val="none"/>
        </w:rPr>
      </w:pPr>
      <w:bookmarkStart w:id="163" w:name="_Toc30599"/>
      <w:bookmarkStart w:id="164" w:name="_Toc18540"/>
      <w:bookmarkStart w:id="165" w:name="_Toc4355"/>
      <w:r>
        <w:rPr>
          <w:rFonts w:hint="eastAsia" w:ascii="仿宋" w:hAnsi="仿宋" w:eastAsia="仿宋" w:cs="仿宋"/>
          <w:b/>
          <w:color w:val="auto"/>
          <w:sz w:val="24"/>
          <w:highlight w:val="none"/>
        </w:rPr>
        <w:t>2.16 计量单位</w:t>
      </w:r>
      <w:bookmarkEnd w:id="158"/>
      <w:bookmarkEnd w:id="159"/>
      <w:bookmarkEnd w:id="160"/>
      <w:bookmarkEnd w:id="163"/>
      <w:bookmarkEnd w:id="164"/>
      <w:bookmarkEnd w:id="165"/>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pPr>
        <w:spacing w:line="440" w:lineRule="exact"/>
        <w:ind w:firstLine="482" w:firstLineChars="200"/>
        <w:outlineLvl w:val="0"/>
        <w:rPr>
          <w:rFonts w:ascii="仿宋" w:hAnsi="仿宋" w:eastAsia="仿宋" w:cs="仿宋"/>
          <w:b/>
          <w:color w:val="auto"/>
          <w:sz w:val="24"/>
          <w:highlight w:val="none"/>
        </w:rPr>
      </w:pPr>
      <w:bookmarkStart w:id="166" w:name="_Toc279701263"/>
      <w:bookmarkStart w:id="167" w:name="_Toc259093692"/>
      <w:bookmarkStart w:id="168" w:name="_Toc12773"/>
      <w:bookmarkStart w:id="169" w:name="_Toc18567"/>
      <w:bookmarkStart w:id="170" w:name="_Toc10330"/>
      <w:bookmarkStart w:id="171" w:name="_Toc487900373"/>
      <w:r>
        <w:rPr>
          <w:rFonts w:hint="eastAsia" w:ascii="仿宋" w:hAnsi="仿宋" w:eastAsia="仿宋" w:cs="仿宋"/>
          <w:b/>
          <w:color w:val="auto"/>
          <w:sz w:val="24"/>
          <w:highlight w:val="none"/>
        </w:rPr>
        <w:t>2.17 合同使用的文字和适用的法律</w:t>
      </w:r>
      <w:bookmarkEnd w:id="166"/>
      <w:bookmarkEnd w:id="167"/>
      <w:bookmarkEnd w:id="168"/>
      <w:bookmarkEnd w:id="169"/>
      <w:bookmarkEnd w:id="170"/>
      <w:bookmarkEnd w:id="171"/>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pPr>
        <w:spacing w:line="440" w:lineRule="exact"/>
        <w:ind w:firstLine="482" w:firstLineChars="200"/>
        <w:outlineLvl w:val="0"/>
        <w:rPr>
          <w:rFonts w:ascii="仿宋" w:hAnsi="仿宋" w:eastAsia="仿宋" w:cs="仿宋"/>
          <w:b/>
          <w:color w:val="auto"/>
          <w:sz w:val="24"/>
          <w:highlight w:val="none"/>
        </w:rPr>
      </w:pPr>
      <w:bookmarkStart w:id="172" w:name="_Toc12004"/>
      <w:bookmarkStart w:id="173" w:name="_Toc3148"/>
      <w:bookmarkStart w:id="174" w:name="_Toc16673"/>
      <w:bookmarkStart w:id="175" w:name="_Toc279701264"/>
      <w:bookmarkStart w:id="176" w:name="_Toc259093693"/>
      <w:bookmarkStart w:id="177" w:name="_Toc487900374"/>
      <w:r>
        <w:rPr>
          <w:rFonts w:hint="eastAsia" w:ascii="仿宋" w:hAnsi="仿宋" w:eastAsia="仿宋" w:cs="仿宋"/>
          <w:b/>
          <w:color w:val="auto"/>
          <w:sz w:val="24"/>
          <w:highlight w:val="none"/>
        </w:rPr>
        <w:t>2.18 履约保证金</w:t>
      </w:r>
      <w:bookmarkEnd w:id="172"/>
      <w:bookmarkEnd w:id="173"/>
      <w:bookmarkEnd w:id="174"/>
      <w:bookmarkEnd w:id="175"/>
      <w:bookmarkEnd w:id="176"/>
    </w:p>
    <w:p>
      <w:pPr>
        <w:pStyle w:val="960"/>
        <w:spacing w:before="0" w:beforeAutospacing="0" w:after="0" w:afterAutospacing="0" w:line="440" w:lineRule="exact"/>
        <w:ind w:firstLine="420"/>
        <w:rPr>
          <w:rFonts w:ascii="仿宋" w:hAnsi="仿宋" w:eastAsia="仿宋" w:cs="仿宋"/>
          <w:color w:val="auto"/>
          <w:highlight w:val="none"/>
        </w:rPr>
      </w:pPr>
      <w:r>
        <w:rPr>
          <w:rFonts w:hint="eastAsia" w:ascii="仿宋" w:hAnsi="仿宋" w:eastAsia="仿宋" w:cs="仿宋"/>
          <w:color w:val="auto"/>
          <w:highlight w:val="none"/>
        </w:rPr>
        <w:t>2.18.1 采购文件要求乙方提交履约保证金的，乙方应按</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约定的方式，以支票、汇票、本票或者金融机构、担保机构出具的保函等非现金形式，提交不超过合同金额</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%的履约保证金；鼓励和支持乙方以银行、保险公司出具的保函形式提供履约保证。</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2.18.2  履约保证金在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约定期间内不予退还。乙方在前述约定期间届满前能履行完合同约定义务事项的，甲方在前述约定期间届满之日起</w:t>
      </w:r>
      <w:r>
        <w:rPr>
          <w:rFonts w:hint="eastAsia" w:ascii="仿宋" w:hAnsi="仿宋" w:eastAsia="仿宋" w:cs="仿宋"/>
          <w:color w:val="auto"/>
          <w:sz w:val="24"/>
          <w:highlight w:val="none"/>
          <w:u w:val="single"/>
        </w:rPr>
        <w:t xml:space="preserve"> 5 </w:t>
      </w:r>
      <w:r>
        <w:rPr>
          <w:rFonts w:hint="eastAsia" w:ascii="仿宋" w:hAnsi="仿宋" w:eastAsia="仿宋" w:cs="仿宋"/>
          <w:color w:val="auto"/>
          <w:sz w:val="24"/>
          <w:highlight w:val="none"/>
        </w:rPr>
        <w:t>个工作日内，按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约定的方式将履约保证金退还乙方，逾期退还的，乙方可要求甲方支付违约金，违约金按每迟延退还一日的应退还而未退还金额的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%计算，最高限额为本合同履约保证金的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 xml:space="preserve">%； </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440" w:lineRule="exact"/>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2.18.</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甲方在乙方履行完合同约定义务事项后及时退还，延迟退还的，应当按照合同约定和法律规定承担相应的赔偿责任。</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2.19对于因甲方原因导致变更、中止或者终止政府采购合同的，甲方应当依照合同约定对供应商受到的损失予以赔偿或者补偿。</w:t>
      </w:r>
    </w:p>
    <w:bookmarkEnd w:id="177"/>
    <w:p>
      <w:pPr>
        <w:spacing w:line="440" w:lineRule="exact"/>
        <w:ind w:firstLine="482" w:firstLineChars="200"/>
        <w:outlineLvl w:val="0"/>
        <w:rPr>
          <w:rFonts w:ascii="仿宋" w:hAnsi="仿宋" w:eastAsia="仿宋" w:cs="仿宋"/>
          <w:b/>
          <w:color w:val="auto"/>
          <w:sz w:val="24"/>
          <w:highlight w:val="none"/>
        </w:rPr>
      </w:pPr>
      <w:bookmarkStart w:id="178" w:name="_Toc6885"/>
      <w:bookmarkStart w:id="179" w:name="_Toc14001"/>
      <w:bookmarkStart w:id="180" w:name="_Toc19890"/>
      <w:r>
        <w:rPr>
          <w:rFonts w:hint="eastAsia" w:ascii="仿宋" w:hAnsi="仿宋" w:eastAsia="仿宋" w:cs="仿宋"/>
          <w:b/>
          <w:color w:val="auto"/>
          <w:sz w:val="24"/>
          <w:highlight w:val="none"/>
        </w:rPr>
        <w:t>2.20合同份数</w:t>
      </w:r>
      <w:bookmarkEnd w:id="178"/>
      <w:bookmarkEnd w:id="179"/>
      <w:bookmarkEnd w:id="180"/>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pPr>
        <w:pStyle w:val="702"/>
        <w:spacing w:line="560" w:lineRule="exact"/>
        <w:rPr>
          <w:rFonts w:ascii="仿宋" w:hAnsi="仿宋" w:eastAsia="仿宋" w:cs="仿宋"/>
          <w:b/>
          <w:color w:val="auto"/>
          <w:szCs w:val="24"/>
          <w:highlight w:val="none"/>
        </w:rPr>
      </w:pPr>
      <w:r>
        <w:rPr>
          <w:rFonts w:hint="eastAsia" w:ascii="仿宋" w:hAnsi="仿宋" w:eastAsia="仿宋" w:cs="仿宋"/>
          <w:color w:val="auto"/>
          <w:kern w:val="0"/>
          <w:szCs w:val="24"/>
          <w:highlight w:val="none"/>
        </w:rPr>
        <w:br w:type="page"/>
      </w:r>
      <w:bookmarkStart w:id="181" w:name="_Toc331685784"/>
      <w:r>
        <w:rPr>
          <w:rFonts w:hint="eastAsia" w:ascii="仿宋" w:hAnsi="仿宋" w:eastAsia="仿宋" w:cs="仿宋"/>
          <w:color w:val="auto"/>
          <w:kern w:val="0"/>
          <w:szCs w:val="24"/>
          <w:highlight w:val="none"/>
        </w:rPr>
        <w:t xml:space="preserve">                </w:t>
      </w:r>
      <w:r>
        <w:rPr>
          <w:rFonts w:hint="eastAsia" w:ascii="仿宋" w:hAnsi="仿宋" w:eastAsia="仿宋" w:cs="仿宋"/>
          <w:b/>
          <w:color w:val="auto"/>
          <w:szCs w:val="24"/>
          <w:highlight w:val="none"/>
        </w:rPr>
        <w:t xml:space="preserve"> </w:t>
      </w:r>
      <w:bookmarkEnd w:id="181"/>
      <w:r>
        <w:rPr>
          <w:rFonts w:hint="eastAsia" w:ascii="仿宋" w:hAnsi="仿宋" w:eastAsia="仿宋" w:cs="仿宋"/>
          <w:b/>
          <w:color w:val="auto"/>
          <w:szCs w:val="24"/>
          <w:highlight w:val="none"/>
        </w:rPr>
        <w:t>第三部分  合同专用条款</w:t>
      </w:r>
    </w:p>
    <w:p>
      <w:pPr>
        <w:spacing w:line="560" w:lineRule="exact"/>
        <w:ind w:left="-420" w:leftChars="-200" w:right="-420" w:rightChars="-200"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53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68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8685" w:type="dxa"/>
            <w:vAlign w:val="center"/>
          </w:tcPr>
          <w:p>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1.4.4</w:t>
            </w:r>
          </w:p>
        </w:tc>
        <w:tc>
          <w:tcPr>
            <w:tcW w:w="8685" w:type="dxa"/>
            <w:vAlign w:val="center"/>
          </w:tcPr>
          <w:p>
            <w:pPr>
              <w:keepNext w:val="0"/>
              <w:keepLines w:val="0"/>
              <w:pageBreakBefore w:val="0"/>
              <w:widowControl/>
              <w:kinsoku/>
              <w:wordWrap/>
              <w:overflowPunct/>
              <w:topLinePunct w:val="0"/>
              <w:autoSpaceDE w:val="0"/>
              <w:autoSpaceDN w:val="0"/>
              <w:bidi w:val="0"/>
              <w:adjustRightInd w:val="0"/>
              <w:snapToGrid/>
              <w:spacing w:line="440" w:lineRule="exact"/>
              <w:textAlignment w:val="bottom"/>
              <w:rPr>
                <w:rFonts w:hint="eastAsia" w:ascii="仿宋" w:hAnsi="仿宋" w:eastAsia="仿宋" w:cs="仿宋"/>
                <w:color w:val="auto"/>
                <w:sz w:val="24"/>
                <w:lang w:eastAsia="zh-CN"/>
              </w:rPr>
            </w:pPr>
            <w:r>
              <w:rPr>
                <w:rFonts w:hint="eastAsia" w:ascii="仿宋" w:hAnsi="仿宋" w:eastAsia="仿宋" w:cs="仿宋"/>
                <w:color w:val="auto"/>
                <w:sz w:val="24"/>
              </w:rPr>
              <w:t>资金支付的方式、时间和条件</w:t>
            </w:r>
            <w:r>
              <w:rPr>
                <w:rFonts w:hint="eastAsia" w:ascii="仿宋" w:hAnsi="仿宋" w:eastAsia="仿宋" w:cs="仿宋"/>
                <w:color w:val="auto"/>
                <w:sz w:val="24"/>
                <w:lang w:eastAsia="zh-CN"/>
              </w:rPr>
              <w:t>：</w:t>
            </w:r>
          </w:p>
          <w:p>
            <w:pPr>
              <w:keepNext w:val="0"/>
              <w:keepLines w:val="0"/>
              <w:pageBreakBefore w:val="0"/>
              <w:widowControl/>
              <w:kinsoku/>
              <w:wordWrap/>
              <w:overflowPunct/>
              <w:topLinePunct w:val="0"/>
              <w:autoSpaceDE w:val="0"/>
              <w:autoSpaceDN w:val="0"/>
              <w:bidi w:val="0"/>
              <w:adjustRightInd w:val="0"/>
              <w:snapToGrid/>
              <w:spacing w:line="440" w:lineRule="exact"/>
              <w:ind w:firstLine="482" w:firstLineChars="200"/>
              <w:textAlignment w:val="bottom"/>
              <w:rPr>
                <w:rFonts w:hint="eastAsia" w:ascii="仿宋" w:hAnsi="仿宋" w:eastAsia="仿宋" w:cs="仿宋"/>
                <w:b/>
                <w:bCs/>
                <w:color w:val="auto"/>
                <w:sz w:val="24"/>
                <w:lang w:val="en-US" w:eastAsia="zh-CN"/>
              </w:rPr>
            </w:pPr>
            <w:r>
              <w:rPr>
                <w:rFonts w:hint="eastAsia" w:ascii="仿宋" w:hAnsi="仿宋" w:eastAsia="仿宋" w:cs="仿宋"/>
                <w:b/>
                <w:bCs/>
                <w:color w:val="auto"/>
                <w:sz w:val="24"/>
                <w:lang w:val="en-US" w:eastAsia="zh-CN"/>
              </w:rPr>
              <w:t>采购人根据合同、投标文件等资料进行验收。</w:t>
            </w:r>
          </w:p>
          <w:p>
            <w:pPr>
              <w:keepNext w:val="0"/>
              <w:keepLines w:val="0"/>
              <w:pageBreakBefore w:val="0"/>
              <w:widowControl/>
              <w:numPr>
                <w:ilvl w:val="0"/>
                <w:numId w:val="0"/>
              </w:numPr>
              <w:kinsoku/>
              <w:wordWrap/>
              <w:overflowPunct/>
              <w:topLinePunct w:val="0"/>
              <w:autoSpaceDE w:val="0"/>
              <w:autoSpaceDN w:val="0"/>
              <w:bidi w:val="0"/>
              <w:adjustRightInd w:val="0"/>
              <w:snapToGrid/>
              <w:spacing w:line="440" w:lineRule="exact"/>
              <w:ind w:firstLine="482" w:firstLineChars="200"/>
              <w:textAlignment w:val="bottom"/>
              <w:rPr>
                <w:rFonts w:hint="eastAsia" w:ascii="仿宋" w:hAnsi="仿宋" w:eastAsia="仿宋" w:cs="仿宋"/>
                <w:b/>
                <w:bCs/>
                <w:color w:val="auto"/>
                <w:sz w:val="24"/>
                <w:lang w:val="en-US" w:eastAsia="zh-CN"/>
              </w:rPr>
            </w:pPr>
            <w:r>
              <w:rPr>
                <w:rFonts w:hint="eastAsia" w:ascii="仿宋" w:hAnsi="仿宋" w:eastAsia="仿宋" w:cs="仿宋"/>
                <w:b/>
                <w:bCs/>
                <w:color w:val="auto"/>
                <w:sz w:val="24"/>
                <w:lang w:val="en-US" w:eastAsia="zh-CN"/>
              </w:rPr>
              <w:t>签订合同后7个工作日内支付一年合同价的50%预付款（供应商需提供相应金额的预付款保函至采购单位）；服务期满经验收合格后5个工作日内支付一年合同价的50%。</w:t>
            </w:r>
          </w:p>
          <w:p>
            <w:pPr>
              <w:widowControl/>
              <w:autoSpaceDE w:val="0"/>
              <w:autoSpaceDN w:val="0"/>
              <w:spacing w:line="480" w:lineRule="exact"/>
              <w:ind w:firstLine="482" w:firstLineChars="200"/>
              <w:textAlignment w:val="bottom"/>
              <w:rPr>
                <w:rFonts w:ascii="仿宋" w:hAnsi="仿宋" w:eastAsia="仿宋" w:cs="仿宋"/>
                <w:color w:val="auto"/>
                <w:sz w:val="24"/>
                <w:highlight w:val="none"/>
              </w:rPr>
            </w:pPr>
            <w:r>
              <w:rPr>
                <w:rFonts w:hint="eastAsia" w:ascii="仿宋" w:hAnsi="仿宋" w:eastAsia="仿宋" w:cs="仿宋"/>
                <w:b/>
                <w:bCs/>
                <w:color w:val="auto"/>
                <w:sz w:val="24"/>
                <w:lang w:val="en-US" w:eastAsia="zh-CN"/>
              </w:rPr>
              <w:t>结算时乙方将结款申请1份、发票原件及复印件1份、合同复印件1份和经甲方验收确认的《建德市政府采购验收反馈表》（还需提供验收报告）提交甲方，甲方应自收到发票后5个工作日内支付相应款项。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685" w:type="dxa"/>
            <w:vAlign w:val="center"/>
          </w:tcPr>
          <w:p>
            <w:pPr>
              <w:widowControl/>
              <w:autoSpaceDE w:val="0"/>
              <w:autoSpaceDN w:val="0"/>
              <w:spacing w:line="480" w:lineRule="exact"/>
              <w:jc w:val="left"/>
              <w:textAlignment w:val="bottom"/>
              <w:rPr>
                <w:rFonts w:ascii="仿宋" w:hAnsi="仿宋" w:eastAsia="仿宋" w:cs="仿宋"/>
                <w:color w:val="auto"/>
                <w:sz w:val="24"/>
                <w:highlight w:val="none"/>
              </w:rPr>
            </w:pPr>
            <w:r>
              <w:rPr>
                <w:rFonts w:hint="eastAsia" w:ascii="仿宋" w:hAnsi="仿宋" w:eastAsia="仿宋" w:cs="仿宋"/>
                <w:b/>
                <w:bCs/>
                <w:color w:val="auto"/>
                <w:sz w:val="24"/>
                <w:lang w:eastAsia="zh-CN"/>
              </w:rPr>
              <w:t>服务</w:t>
            </w:r>
            <w:r>
              <w:rPr>
                <w:rFonts w:hint="eastAsia" w:ascii="仿宋" w:hAnsi="仿宋" w:eastAsia="仿宋" w:cs="仿宋"/>
                <w:b/>
                <w:bCs/>
                <w:color w:val="auto"/>
                <w:sz w:val="24"/>
              </w:rPr>
              <w:t>期限：本项目的服务期为一年，自政府采购合同签订生效之日起计算。</w:t>
            </w:r>
            <w:r>
              <w:rPr>
                <w:rFonts w:hint="eastAsia" w:ascii="仿宋" w:hAnsi="仿宋" w:eastAsia="仿宋" w:cs="仿宋"/>
                <w:b/>
                <w:bCs/>
                <w:color w:val="auto"/>
                <w:sz w:val="24"/>
                <w:lang w:val="en-US" w:eastAsia="zh-CN"/>
              </w:rPr>
              <w:t>本项目一次招标延用三年，</w:t>
            </w:r>
            <w:r>
              <w:rPr>
                <w:rFonts w:hint="eastAsia" w:ascii="仿宋" w:hAnsi="仿宋" w:eastAsia="仿宋" w:cs="仿宋"/>
                <w:b/>
                <w:bCs/>
                <w:color w:val="auto"/>
                <w:sz w:val="24"/>
              </w:rPr>
              <w:t>一年</w:t>
            </w:r>
            <w:r>
              <w:rPr>
                <w:rFonts w:hint="eastAsia" w:ascii="仿宋" w:hAnsi="仿宋" w:eastAsia="仿宋" w:cs="仿宋"/>
                <w:b/>
                <w:bCs/>
                <w:color w:val="auto"/>
                <w:sz w:val="24"/>
                <w:lang w:val="en-US" w:eastAsia="zh-CN"/>
              </w:rPr>
              <w:t>服务</w:t>
            </w:r>
            <w:r>
              <w:rPr>
                <w:rFonts w:hint="eastAsia" w:ascii="仿宋" w:hAnsi="仿宋" w:eastAsia="仿宋" w:cs="仿宋"/>
                <w:b/>
                <w:bCs/>
                <w:color w:val="auto"/>
                <w:sz w:val="24"/>
              </w:rPr>
              <w:t>期满后，若年度考核分达到优秀（90分及以上，考核办法见附件）的，可以按照本次中标价续签一年，续签次数≤2次</w:t>
            </w:r>
            <w:r>
              <w:rPr>
                <w:rFonts w:hint="eastAsia" w:ascii="仿宋" w:hAnsi="仿宋" w:eastAsia="仿宋" w:cs="仿宋"/>
                <w:b/>
                <w:bCs/>
                <w:color w:val="auto"/>
                <w:sz w:val="24"/>
                <w:lang w:eastAsia="zh-CN"/>
              </w:rPr>
              <w:t>。</w:t>
            </w:r>
            <w:r>
              <w:rPr>
                <w:rFonts w:hint="eastAsia" w:ascii="仿宋" w:hAnsi="仿宋" w:eastAsia="仿宋" w:cs="仿宋"/>
                <w:b/>
                <w:bCs/>
                <w:color w:val="auto"/>
                <w:sz w:val="24"/>
              </w:rPr>
              <w:t>除因政策性因素引起改变的，续签合同的主要条款不予调整。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56"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685"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服务地点：</w:t>
            </w:r>
            <w:r>
              <w:rPr>
                <w:rFonts w:hint="eastAsia" w:ascii="仿宋" w:hAnsi="仿宋" w:eastAsia="仿宋" w:cs="仿宋"/>
                <w:b/>
                <w:bCs/>
                <w:color w:val="auto"/>
                <w:sz w:val="24"/>
                <w:highlight w:val="none"/>
              </w:rPr>
              <w:t>由甲方指定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685"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服务内容：按采购需求及投标方案完成本项目并提交相应成果。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1.6.7</w:t>
            </w:r>
          </w:p>
        </w:tc>
        <w:tc>
          <w:tcPr>
            <w:tcW w:w="8685" w:type="dxa"/>
            <w:vAlign w:val="center"/>
          </w:tcPr>
          <w:p>
            <w:pPr>
              <w:widowControl/>
              <w:autoSpaceDE w:val="0"/>
              <w:autoSpaceDN w:val="0"/>
              <w:spacing w:line="480" w:lineRule="exact"/>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违约责任：</w:t>
            </w:r>
          </w:p>
          <w:p>
            <w:pPr>
              <w:widowControl/>
              <w:autoSpaceDE w:val="0"/>
              <w:autoSpaceDN w:val="0"/>
              <w:spacing w:line="480" w:lineRule="exact"/>
              <w:ind w:firstLine="480" w:firstLineChars="200"/>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除不可抗力外，如果乙方没有按照本合同约定的期限、地点和内容完成服务，那么甲方可要求乙方支付违约金，违约金按每迟延完成服务一日的应交付而未完成服务价格的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；迟延完成服务的违约金计算数额达到前述最高限额之日起，甲方有权在要求乙方支付违约金的同时，书面通知乙方解除本合同；</w:t>
            </w:r>
          </w:p>
          <w:p>
            <w:pPr>
              <w:widowControl/>
              <w:autoSpaceDE w:val="0"/>
              <w:autoSpaceDN w:val="0"/>
              <w:spacing w:line="480" w:lineRule="exact"/>
              <w:ind w:firstLine="480" w:firstLineChars="200"/>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 xml:space="preserve">除不可抗力外，如果甲方没有按照本合同约定的付款方式付款，那么乙方可要求甲方支付违约金，违约金按每迟延付款一日的应付而未付款的 </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1.7</w:t>
            </w:r>
          </w:p>
        </w:tc>
        <w:tc>
          <w:tcPr>
            <w:tcW w:w="8685"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1.7.2  </w:t>
            </w:r>
            <w:r>
              <w:rPr>
                <w:rFonts w:hint="eastAsia" w:ascii="仿宋" w:hAnsi="仿宋" w:eastAsia="仿宋" w:cs="仿宋"/>
                <w:color w:val="auto"/>
                <w:sz w:val="24"/>
                <w:highlight w:val="none"/>
              </w:rPr>
              <w:t>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685"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685"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向</w:t>
            </w:r>
            <w:r>
              <w:rPr>
                <w:rFonts w:hint="eastAsia" w:ascii="仿宋" w:hAnsi="仿宋" w:eastAsia="仿宋" w:cs="仿宋"/>
                <w:b/>
                <w:i/>
                <w:color w:val="auto"/>
                <w:sz w:val="24"/>
                <w:highlight w:val="none"/>
                <w:u w:val="single"/>
              </w:rPr>
              <w:t>建德市人民法院</w:t>
            </w:r>
            <w:r>
              <w:rPr>
                <w:rFonts w:hint="eastAsia" w:ascii="仿宋" w:hAnsi="仿宋" w:eastAsia="仿宋" w:cs="仿宋"/>
                <w:color w:val="auto"/>
                <w:sz w:val="24"/>
                <w:highlight w:val="none"/>
              </w:rPr>
              <w:t>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685" w:type="dxa"/>
            <w:vAlign w:val="center"/>
          </w:tcPr>
          <w:p>
            <w:pPr>
              <w:widowControl/>
              <w:autoSpaceDE w:val="0"/>
              <w:autoSpaceDN w:val="0"/>
              <w:spacing w:line="480" w:lineRule="exact"/>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具有知识产权的计算机软件等货物的知识产权归属</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归甲方所有</w:t>
            </w:r>
            <w:r>
              <w:rPr>
                <w:rFonts w:hint="eastAsia" w:ascii="仿宋" w:hAnsi="仿宋" w:eastAsia="仿宋" w:cs="仿宋"/>
                <w:color w:val="auto"/>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2.10.3</w:t>
            </w:r>
          </w:p>
        </w:tc>
        <w:tc>
          <w:tcPr>
            <w:tcW w:w="8685"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因不可抗力致使合同有变更必要的，双方当事人应在</w:t>
            </w:r>
            <w:r>
              <w:rPr>
                <w:rFonts w:hint="eastAsia" w:ascii="仿宋" w:hAnsi="仿宋" w:eastAsia="仿宋" w:cs="仿宋"/>
                <w:b/>
                <w:i/>
                <w:color w:val="auto"/>
                <w:sz w:val="24"/>
                <w:highlight w:val="none"/>
                <w:u w:val="single"/>
              </w:rPr>
              <w:t xml:space="preserve">30日 </w:t>
            </w:r>
            <w:r>
              <w:rPr>
                <w:rFonts w:hint="eastAsia" w:ascii="仿宋" w:hAnsi="仿宋" w:eastAsia="仿宋" w:cs="仿宋"/>
                <w:color w:val="auto"/>
                <w:sz w:val="24"/>
                <w:highlight w:val="none"/>
              </w:rPr>
              <w:t>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2.10.4</w:t>
            </w:r>
          </w:p>
        </w:tc>
        <w:tc>
          <w:tcPr>
            <w:tcW w:w="8685"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受不可抗力影响的一方在不可抗力发生后，应在</w:t>
            </w:r>
            <w:r>
              <w:rPr>
                <w:rFonts w:hint="eastAsia" w:ascii="仿宋" w:hAnsi="仿宋" w:eastAsia="仿宋" w:cs="仿宋"/>
                <w:b/>
                <w:i/>
                <w:color w:val="auto"/>
                <w:sz w:val="24"/>
                <w:highlight w:val="none"/>
                <w:u w:val="single"/>
              </w:rPr>
              <w:t xml:space="preserve">7日 </w:t>
            </w:r>
            <w:r>
              <w:rPr>
                <w:rFonts w:hint="eastAsia" w:ascii="仿宋" w:hAnsi="仿宋" w:eastAsia="仿宋" w:cs="仿宋"/>
                <w:color w:val="auto"/>
                <w:sz w:val="24"/>
                <w:highlight w:val="none"/>
              </w:rPr>
              <w:t>内以书面形式通知对方当事人，并在</w:t>
            </w:r>
            <w:r>
              <w:rPr>
                <w:rFonts w:hint="eastAsia" w:ascii="仿宋" w:hAnsi="仿宋" w:eastAsia="仿宋" w:cs="仿宋"/>
                <w:b/>
                <w:i/>
                <w:color w:val="auto"/>
                <w:sz w:val="24"/>
                <w:highlight w:val="none"/>
                <w:u w:val="single"/>
              </w:rPr>
              <w:t xml:space="preserve">14日 </w:t>
            </w:r>
            <w:r>
              <w:rPr>
                <w:rFonts w:hint="eastAsia" w:ascii="仿宋" w:hAnsi="仿宋" w:eastAsia="仿宋" w:cs="仿宋"/>
                <w:color w:val="auto"/>
                <w:sz w:val="24"/>
                <w:highlight w:val="none"/>
              </w:rPr>
              <w:t>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2.14.1</w:t>
            </w:r>
          </w:p>
        </w:tc>
        <w:tc>
          <w:tcPr>
            <w:tcW w:w="8685"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服务结束时，乙方在</w:t>
            </w:r>
            <w:r>
              <w:rPr>
                <w:rFonts w:hint="eastAsia" w:ascii="仿宋" w:hAnsi="仿宋" w:eastAsia="仿宋" w:cs="仿宋"/>
                <w:b/>
                <w:i/>
                <w:color w:val="auto"/>
                <w:sz w:val="24"/>
                <w:highlight w:val="none"/>
                <w:u w:val="single"/>
                <w:lang w:val="en-US" w:eastAsia="zh-CN"/>
              </w:rPr>
              <w:t>7</w:t>
            </w:r>
            <w:r>
              <w:rPr>
                <w:rFonts w:hint="eastAsia" w:ascii="仿宋" w:hAnsi="仿宋" w:eastAsia="仿宋" w:cs="仿宋"/>
                <w:b/>
                <w:i/>
                <w:color w:val="auto"/>
                <w:sz w:val="24"/>
                <w:highlight w:val="none"/>
                <w:u w:val="single"/>
              </w:rPr>
              <w:t xml:space="preserve">日内 </w:t>
            </w:r>
            <w:r>
              <w:rPr>
                <w:rFonts w:hint="eastAsia" w:ascii="仿宋" w:hAnsi="仿宋" w:eastAsia="仿宋" w:cs="仿宋"/>
                <w:color w:val="auto"/>
                <w:sz w:val="24"/>
                <w:highlight w:val="none"/>
              </w:rPr>
              <w:t>约定时间内组织验收，并可依法邀请相关方参加，验收应出具验收书。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2.14.3</w:t>
            </w:r>
          </w:p>
        </w:tc>
        <w:tc>
          <w:tcPr>
            <w:tcW w:w="8685"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检验和验收标准、程序等具体内容：通过采购人验收要求。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2.18.1</w:t>
            </w:r>
          </w:p>
        </w:tc>
        <w:tc>
          <w:tcPr>
            <w:tcW w:w="8685" w:type="dxa"/>
          </w:tcPr>
          <w:p>
            <w:pPr>
              <w:spacing w:line="360" w:lineRule="auto"/>
              <w:rPr>
                <w:rFonts w:ascii="仿宋" w:hAnsi="仿宋" w:eastAsia="仿宋" w:cs="仿宋"/>
                <w:color w:val="auto"/>
                <w:sz w:val="24"/>
                <w:highlight w:val="none"/>
              </w:rPr>
            </w:pPr>
            <w:r>
              <w:rPr>
                <w:rStyle w:val="355"/>
                <w:rFonts w:hint="eastAsia" w:ascii="仿宋" w:hAnsi="仿宋" w:eastAsia="仿宋" w:cs="仿宋"/>
                <w:b w:val="0"/>
              </w:rPr>
              <w:t>履约保证金</w:t>
            </w:r>
            <w:r>
              <w:rPr>
                <w:rStyle w:val="355"/>
                <w:rFonts w:hint="eastAsia" w:ascii="仿宋" w:hAnsi="仿宋" w:eastAsia="仿宋" w:cs="仿宋"/>
                <w:b w:val="0"/>
                <w:lang w:eastAsia="zh-CN"/>
              </w:rPr>
              <w:t>：</w:t>
            </w:r>
            <w:r>
              <w:rPr>
                <w:rStyle w:val="355"/>
                <w:rFonts w:hint="eastAsia" w:ascii="仿宋" w:hAnsi="仿宋" w:eastAsia="仿宋" w:cs="仿宋"/>
                <w:b w:val="0"/>
                <w:highlight w:val="none"/>
                <w:lang w:eastAsia="zh-CN"/>
              </w:rPr>
              <w:t>本项目将</w:t>
            </w:r>
            <w:r>
              <w:rPr>
                <w:rFonts w:hint="eastAsia" w:ascii="仿宋" w:hAnsi="仿宋" w:eastAsia="仿宋" w:cs="仿宋"/>
                <w:sz w:val="24"/>
                <w:highlight w:val="none"/>
              </w:rPr>
              <w:t>根据杭州市政府采购网公布的供应商履约评价情况</w:t>
            </w:r>
            <w:r>
              <w:rPr>
                <w:rFonts w:hint="eastAsia" w:ascii="仿宋" w:hAnsi="仿宋" w:eastAsia="仿宋" w:cs="仿宋"/>
                <w:sz w:val="24"/>
                <w:highlight w:val="none"/>
                <w:lang w:eastAsia="zh-CN"/>
              </w:rPr>
              <w:t>收取</w:t>
            </w:r>
            <w:r>
              <w:rPr>
                <w:rFonts w:hint="eastAsia" w:ascii="仿宋" w:hAnsi="仿宋" w:eastAsia="仿宋" w:cs="仿宋"/>
                <w:sz w:val="24"/>
                <w:highlight w:val="none"/>
              </w:rPr>
              <w:t>履约保证金。乙方履约验收评价总分为100分的，</w:t>
            </w:r>
            <w:r>
              <w:rPr>
                <w:rFonts w:hint="eastAsia" w:ascii="仿宋" w:hAnsi="仿宋" w:eastAsia="仿宋" w:cs="仿宋"/>
                <w:sz w:val="24"/>
                <w:highlight w:val="none"/>
                <w:lang w:eastAsia="zh-CN"/>
              </w:rPr>
              <w:t>本项目</w:t>
            </w:r>
            <w:r>
              <w:rPr>
                <w:rFonts w:hint="eastAsia" w:ascii="仿宋" w:hAnsi="仿宋" w:eastAsia="仿宋" w:cs="仿宋"/>
                <w:sz w:val="24"/>
                <w:highlight w:val="none"/>
              </w:rPr>
              <w:t>免收履约保证金；评价总分在90分以上的，</w:t>
            </w:r>
            <w:r>
              <w:rPr>
                <w:rFonts w:hint="eastAsia" w:ascii="仿宋" w:hAnsi="仿宋" w:eastAsia="仿宋" w:cs="仿宋"/>
                <w:sz w:val="24"/>
                <w:highlight w:val="none"/>
                <w:lang w:eastAsia="zh-CN"/>
              </w:rPr>
              <w:t>本项目</w:t>
            </w:r>
            <w:r>
              <w:rPr>
                <w:rFonts w:hint="eastAsia" w:ascii="仿宋" w:hAnsi="仿宋" w:eastAsia="仿宋" w:cs="仿宋"/>
                <w:sz w:val="24"/>
                <w:highlight w:val="none"/>
              </w:rPr>
              <w:t>收取履约保证金为合同金额</w:t>
            </w:r>
            <w:r>
              <w:rPr>
                <w:rFonts w:hint="eastAsia" w:ascii="仿宋" w:hAnsi="仿宋" w:eastAsia="仿宋" w:cs="仿宋"/>
                <w:sz w:val="24"/>
                <w:highlight w:val="none"/>
                <w:lang w:val="en-US" w:eastAsia="zh-CN"/>
              </w:rPr>
              <w:t>0.5</w:t>
            </w:r>
            <w:r>
              <w:rPr>
                <w:rFonts w:hint="eastAsia" w:ascii="仿宋" w:hAnsi="仿宋" w:eastAsia="仿宋" w:cs="仿宋"/>
                <w:sz w:val="24"/>
                <w:highlight w:val="none"/>
              </w:rPr>
              <w:t>%；评价总分在不满90分或者暂无评分的，</w:t>
            </w:r>
            <w:r>
              <w:rPr>
                <w:rFonts w:hint="eastAsia" w:ascii="仿宋" w:hAnsi="仿宋" w:eastAsia="仿宋" w:cs="仿宋"/>
                <w:sz w:val="24"/>
                <w:highlight w:val="none"/>
                <w:lang w:eastAsia="zh-CN"/>
              </w:rPr>
              <w:t>本项目</w:t>
            </w:r>
            <w:r>
              <w:rPr>
                <w:rFonts w:hint="eastAsia" w:ascii="仿宋" w:hAnsi="仿宋" w:eastAsia="仿宋" w:cs="仿宋"/>
                <w:sz w:val="24"/>
                <w:highlight w:val="none"/>
              </w:rPr>
              <w:t>收取履约保证金为合同金额</w:t>
            </w:r>
            <w:r>
              <w:rPr>
                <w:rFonts w:hint="eastAsia" w:ascii="仿宋" w:hAnsi="仿宋" w:eastAsia="仿宋" w:cs="仿宋"/>
                <w:sz w:val="24"/>
                <w:highlight w:val="none"/>
                <w:lang w:eastAsia="zh-CN"/>
              </w:rPr>
              <w:t>1%。需要收取保证金的供应商</w:t>
            </w:r>
            <w:r>
              <w:rPr>
                <w:rStyle w:val="355"/>
                <w:rFonts w:hint="eastAsia" w:ascii="仿宋" w:hAnsi="仿宋" w:eastAsia="仿宋" w:cs="仿宋"/>
                <w:b w:val="0"/>
                <w:bCs w:val="0"/>
                <w:highlight w:val="none"/>
              </w:rPr>
              <w:t>在正式合同签订生效之日起7个工作日内，</w:t>
            </w:r>
            <w:r>
              <w:rPr>
                <w:rFonts w:hint="eastAsia" w:ascii="仿宋" w:hAnsi="仿宋" w:eastAsia="仿宋" w:cs="仿宋"/>
                <w:sz w:val="24"/>
                <w:highlight w:val="none"/>
                <w:lang w:eastAsia="zh-CN"/>
              </w:rPr>
              <w:t>缴纳</w:t>
            </w:r>
            <w:r>
              <w:rPr>
                <w:rStyle w:val="355"/>
                <w:rFonts w:hint="eastAsia" w:ascii="仿宋" w:hAnsi="仿宋" w:eastAsia="仿宋" w:cs="仿宋"/>
                <w:b w:val="0"/>
                <w:bCs w:val="0"/>
                <w:highlight w:val="none"/>
              </w:rPr>
              <w:t>保证金至甲方指定账户（可采用银行、保险公司出具保函形式提交）。在验收合格后经回访正常后凭正式收款收据、履约保证金缴款凭证复印件、《建德市政府采购回访意见单》办理结算手续。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2.18.2 </w:t>
            </w:r>
          </w:p>
        </w:tc>
        <w:tc>
          <w:tcPr>
            <w:tcW w:w="8685" w:type="dxa"/>
            <w:vAlign w:val="center"/>
          </w:tcPr>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sz w:val="24"/>
              </w:rPr>
              <w:t>履约保证金在</w:t>
            </w:r>
            <w:r>
              <w:rPr>
                <w:rFonts w:hint="eastAsia" w:ascii="仿宋" w:hAnsi="仿宋" w:eastAsia="仿宋" w:cs="仿宋"/>
                <w:b/>
                <w:bCs/>
                <w:sz w:val="24"/>
                <w:szCs w:val="24"/>
                <w:u w:val="single"/>
                <w:lang w:eastAsia="zh-CN"/>
              </w:rPr>
              <w:t>履约</w:t>
            </w:r>
            <w:r>
              <w:rPr>
                <w:rFonts w:hint="eastAsia" w:ascii="仿宋" w:hAnsi="仿宋" w:eastAsia="仿宋" w:cs="仿宋"/>
                <w:sz w:val="24"/>
              </w:rPr>
              <w:t>期间内不予退还。乙方在前述约定期间届满前能履行完合同约定义务事项的，甲方在前述约定期间届满之日起</w:t>
            </w:r>
            <w:r>
              <w:rPr>
                <w:rFonts w:hint="eastAsia" w:ascii="仿宋" w:hAnsi="仿宋" w:eastAsia="仿宋" w:cs="仿宋"/>
                <w:sz w:val="24"/>
                <w:u w:val="single"/>
              </w:rPr>
              <w:t xml:space="preserve"> 5 </w:t>
            </w:r>
            <w:r>
              <w:rPr>
                <w:rFonts w:hint="eastAsia" w:ascii="仿宋" w:hAnsi="仿宋" w:eastAsia="仿宋" w:cs="仿宋"/>
                <w:sz w:val="24"/>
              </w:rPr>
              <w:t>个工作日内，按</w:t>
            </w:r>
            <w:r>
              <w:rPr>
                <w:rFonts w:hint="eastAsia" w:ascii="仿宋" w:hAnsi="仿宋" w:eastAsia="仿宋" w:cs="仿宋"/>
                <w:b/>
                <w:i/>
                <w:sz w:val="24"/>
                <w:u w:val="single"/>
                <w:lang w:val="en-US" w:eastAsia="zh-CN"/>
              </w:rPr>
              <w:t>100%</w:t>
            </w:r>
            <w:r>
              <w:rPr>
                <w:rFonts w:hint="eastAsia" w:ascii="仿宋" w:hAnsi="仿宋" w:eastAsia="仿宋" w:cs="仿宋"/>
                <w:sz w:val="24"/>
              </w:rPr>
              <w:t>将履约保证金退还乙方，逾期退还的，乙方可要求甲方支付违约金，违约金按每迟延退还一日的应退还而未退还金额的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%计算，最高限额为本合同履约保证金的</w:t>
            </w:r>
            <w:r>
              <w:rPr>
                <w:rFonts w:hint="eastAsia" w:ascii="仿宋" w:hAnsi="仿宋" w:eastAsia="仿宋" w:cs="仿宋"/>
                <w:sz w:val="24"/>
                <w:u w:val="single"/>
              </w:rPr>
              <w:t xml:space="preserve">  20   </w:t>
            </w:r>
            <w:r>
              <w:rPr>
                <w:rFonts w:hint="eastAsia" w:ascii="仿宋" w:hAnsi="仿宋" w:eastAsia="仿宋" w:cs="仿宋"/>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ind w:left="-420" w:leftChars="-200" w:right="-420" w:rightChars="-200" w:firstLine="480" w:firstLineChars="200"/>
              <w:outlineLvl w:val="0"/>
              <w:rPr>
                <w:rFonts w:ascii="仿宋" w:hAnsi="仿宋" w:eastAsia="仿宋" w:cs="仿宋"/>
                <w:color w:val="auto"/>
                <w:sz w:val="24"/>
                <w:highlight w:val="none"/>
              </w:rPr>
            </w:pPr>
            <w:r>
              <w:rPr>
                <w:rFonts w:hint="eastAsia" w:ascii="仿宋" w:hAnsi="仿宋" w:eastAsia="仿宋" w:cs="仿宋"/>
                <w:color w:val="auto"/>
                <w:sz w:val="24"/>
                <w:highlight w:val="none"/>
              </w:rPr>
              <w:t xml:space="preserve">2.20 </w:t>
            </w:r>
          </w:p>
        </w:tc>
        <w:tc>
          <w:tcPr>
            <w:tcW w:w="8685"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合同份数：</w:t>
            </w:r>
            <w:r>
              <w:rPr>
                <w:rFonts w:hint="eastAsia" w:ascii="仿宋" w:hAnsi="仿宋" w:eastAsia="仿宋" w:cs="仿宋"/>
                <w:color w:val="auto"/>
                <w:kern w:val="0"/>
                <w:sz w:val="24"/>
                <w:highlight w:val="none"/>
              </w:rPr>
              <w:t>本合同壹式柒份，甲、乙双方各执叁份，见证单位壹份。</w:t>
            </w:r>
          </w:p>
        </w:tc>
      </w:tr>
    </w:tbl>
    <w:p>
      <w:pPr>
        <w:spacing w:line="360" w:lineRule="auto"/>
        <w:ind w:left="-420" w:leftChars="-200" w:right="-420" w:rightChars="-200" w:firstLine="480" w:firstLineChars="200"/>
        <w:rPr>
          <w:rFonts w:ascii="仿宋" w:hAnsi="仿宋" w:eastAsia="仿宋" w:cs="仿宋"/>
          <w:color w:val="auto"/>
          <w:sz w:val="24"/>
          <w:highlight w:val="none"/>
        </w:rPr>
      </w:pPr>
    </w:p>
    <w:p>
      <w:pPr>
        <w:spacing w:line="360" w:lineRule="auto"/>
        <w:ind w:left="-420" w:leftChars="-200" w:right="-420" w:rightChars="-200"/>
        <w:rPr>
          <w:rFonts w:ascii="仿宋" w:hAnsi="仿宋" w:eastAsia="仿宋" w:cs="仿宋"/>
          <w:color w:val="auto"/>
          <w:sz w:val="24"/>
          <w:highlight w:val="none"/>
        </w:rPr>
      </w:pPr>
    </w:p>
    <w:p>
      <w:pPr>
        <w:spacing w:line="360" w:lineRule="auto"/>
        <w:ind w:left="-420" w:leftChars="-200" w:right="-420" w:rightChars="-200" w:firstLine="480" w:firstLineChars="200"/>
        <w:jc w:val="center"/>
        <w:outlineLvl w:val="0"/>
        <w:rPr>
          <w:rFonts w:ascii="仿宋" w:hAnsi="仿宋" w:eastAsia="仿宋" w:cs="仿宋"/>
          <w:color w:val="auto"/>
          <w:sz w:val="24"/>
          <w:highlight w:val="none"/>
        </w:rPr>
      </w:pPr>
    </w:p>
    <w:p>
      <w:pPr>
        <w:spacing w:line="360" w:lineRule="auto"/>
        <w:ind w:left="-420" w:leftChars="-200" w:right="-420" w:rightChars="-200" w:firstLine="480" w:firstLineChars="200"/>
        <w:jc w:val="center"/>
        <w:outlineLvl w:val="0"/>
        <w:rPr>
          <w:rFonts w:ascii="仿宋" w:hAnsi="仿宋" w:eastAsia="仿宋" w:cs="仿宋"/>
          <w:color w:val="auto"/>
          <w:sz w:val="24"/>
          <w:highlight w:val="none"/>
        </w:rPr>
      </w:pPr>
    </w:p>
    <w:p>
      <w:pPr>
        <w:pStyle w:val="4"/>
      </w:pPr>
    </w:p>
    <w:p>
      <w:pPr>
        <w:rPr>
          <w:rFonts w:ascii="仿宋" w:hAnsi="仿宋" w:eastAsia="仿宋" w:cs="仿宋"/>
          <w:b/>
          <w:color w:val="auto"/>
          <w:sz w:val="36"/>
          <w:szCs w:val="20"/>
          <w:highlight w:val="none"/>
        </w:rPr>
      </w:pPr>
    </w:p>
    <w:p>
      <w:pPr>
        <w:spacing w:line="360" w:lineRule="auto"/>
        <w:ind w:left="720" w:firstLine="723" w:firstLineChars="200"/>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27"/>
      <w:r>
        <w:rPr>
          <w:rFonts w:hint="eastAsia" w:ascii="仿宋" w:hAnsi="仿宋" w:eastAsia="仿宋" w:cs="仿宋"/>
          <w:b/>
          <w:color w:val="auto"/>
          <w:sz w:val="36"/>
          <w:szCs w:val="20"/>
          <w:highlight w:val="none"/>
        </w:rPr>
        <w:t xml:space="preserve"> </w:t>
      </w:r>
      <w:bookmarkEnd w:id="28"/>
      <w:r>
        <w:rPr>
          <w:rFonts w:hint="eastAsia" w:ascii="仿宋" w:hAnsi="仿宋" w:eastAsia="仿宋" w:cs="仿宋"/>
          <w:b/>
          <w:color w:val="auto"/>
          <w:sz w:val="36"/>
          <w:szCs w:val="20"/>
          <w:highlight w:val="none"/>
        </w:rPr>
        <w:t>应提交的有关格式范例</w:t>
      </w:r>
    </w:p>
    <w:p>
      <w:pPr>
        <w:spacing w:line="360" w:lineRule="auto"/>
        <w:jc w:val="center"/>
        <w:outlineLvl w:val="0"/>
        <w:rPr>
          <w:rFonts w:ascii="仿宋" w:hAnsi="仿宋" w:eastAsia="仿宋" w:cs="仿宋"/>
          <w:b/>
          <w:color w:val="auto"/>
          <w:kern w:val="0"/>
          <w:sz w:val="36"/>
          <w:szCs w:val="36"/>
          <w:highlight w:val="none"/>
        </w:rPr>
      </w:pPr>
    </w:p>
    <w:p>
      <w:pP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pP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ascii="仿宋" w:hAnsi="仿宋" w:eastAsia="仿宋" w:cs="仿宋"/>
          <w:b/>
          <w:color w:val="auto"/>
          <w:kern w:val="0"/>
          <w:sz w:val="36"/>
          <w:szCs w:val="36"/>
          <w:highlight w:val="none"/>
        </w:rPr>
      </w:pPr>
    </w:p>
    <w:p>
      <w:pPr>
        <w:numPr>
          <w:ilvl w:val="0"/>
          <w:numId w:val="3"/>
        </w:numPr>
        <w:snapToGrid w:val="0"/>
        <w:spacing w:line="360" w:lineRule="auto"/>
        <w:rPr>
          <w:rFonts w:hint="eastAsia" w:ascii="仿宋" w:hAnsi="仿宋" w:eastAsia="仿宋" w:cs="仿宋"/>
          <w:sz w:val="24"/>
        </w:rPr>
      </w:pPr>
      <w:r>
        <w:rPr>
          <w:rFonts w:hint="eastAsia" w:ascii="仿宋" w:hAnsi="仿宋" w:eastAsia="仿宋" w:cs="仿宋"/>
          <w:sz w:val="24"/>
        </w:rPr>
        <w:t>符合参加政府采购活动应当具备的一般条件的承诺函……………（页码）</w:t>
      </w:r>
    </w:p>
    <w:p>
      <w:pPr>
        <w:numPr>
          <w:ilvl w:val="0"/>
          <w:numId w:val="3"/>
        </w:numPr>
        <w:snapToGrid w:val="0"/>
        <w:spacing w:line="360" w:lineRule="auto"/>
        <w:rPr>
          <w:rFonts w:hint="eastAsia" w:ascii="仿宋" w:hAnsi="仿宋" w:eastAsia="仿宋" w:cs="仿宋"/>
          <w:sz w:val="24"/>
        </w:rPr>
      </w:pPr>
      <w:r>
        <w:rPr>
          <w:rFonts w:hint="eastAsia" w:ascii="仿宋" w:hAnsi="仿宋" w:eastAsia="仿宋" w:cs="仿宋"/>
          <w:sz w:val="24"/>
        </w:rPr>
        <w:t>联合协议（如果有）…………………………………………………（页码）</w:t>
      </w:r>
    </w:p>
    <w:p>
      <w:pPr>
        <w:numPr>
          <w:ilvl w:val="0"/>
          <w:numId w:val="3"/>
        </w:numPr>
        <w:snapToGrid w:val="0"/>
        <w:spacing w:line="360" w:lineRule="auto"/>
        <w:rPr>
          <w:rFonts w:hint="eastAsia" w:ascii="仿宋" w:hAnsi="仿宋" w:eastAsia="仿宋" w:cs="仿宋"/>
          <w:sz w:val="24"/>
        </w:rPr>
      </w:pPr>
      <w:r>
        <w:rPr>
          <w:rFonts w:hint="eastAsia" w:ascii="仿宋" w:hAnsi="仿宋" w:eastAsia="仿宋" w:cs="仿宋"/>
          <w:sz w:val="24"/>
        </w:rPr>
        <w:t>分包意向协议（如果有）……………………………………………（页码）</w:t>
      </w:r>
    </w:p>
    <w:p>
      <w:pPr>
        <w:numPr>
          <w:ilvl w:val="0"/>
          <w:numId w:val="3"/>
        </w:numPr>
        <w:snapToGrid w:val="0"/>
        <w:rPr>
          <w:rFonts w:hint="eastAsia" w:ascii="仿宋" w:hAnsi="仿宋" w:eastAsia="仿宋" w:cs="仿宋"/>
          <w:sz w:val="24"/>
        </w:rPr>
      </w:pPr>
      <w:r>
        <w:rPr>
          <w:rFonts w:hint="eastAsia" w:ascii="仿宋" w:hAnsi="仿宋" w:eastAsia="仿宋" w:cs="仿宋"/>
          <w:sz w:val="24"/>
        </w:rPr>
        <w:t>落实政府采购政策需满足的资格要求………………………………（页码）</w:t>
      </w:r>
    </w:p>
    <w:p>
      <w:pPr>
        <w:snapToGrid w:val="0"/>
        <w:spacing w:line="360" w:lineRule="auto"/>
        <w:rPr>
          <w:rFonts w:ascii="仿宋" w:hAnsi="仿宋" w:eastAsia="仿宋" w:cs="仿宋"/>
          <w:color w:val="auto"/>
          <w:sz w:val="24"/>
          <w:highlight w:val="none"/>
        </w:rPr>
      </w:pPr>
    </w:p>
    <w:p>
      <w:pPr>
        <w:snapToGrid w:val="0"/>
        <w:spacing w:line="360" w:lineRule="auto"/>
        <w:ind w:firstLine="480" w:firstLineChars="200"/>
        <w:rPr>
          <w:rFonts w:ascii="仿宋" w:hAnsi="仿宋" w:eastAsia="仿宋" w:cs="仿宋"/>
          <w:color w:val="auto"/>
          <w:sz w:val="24"/>
          <w:highlight w:val="none"/>
        </w:rPr>
      </w:pPr>
    </w:p>
    <w:p>
      <w:pPr>
        <w:spacing w:line="360" w:lineRule="auto"/>
        <w:ind w:firstLine="480" w:firstLineChars="200"/>
        <w:rPr>
          <w:rFonts w:ascii="仿宋" w:hAnsi="仿宋" w:eastAsia="仿宋" w:cs="仿宋"/>
          <w:color w:val="auto"/>
          <w:sz w:val="24"/>
          <w:highlight w:val="none"/>
        </w:rPr>
      </w:pPr>
    </w:p>
    <w:p>
      <w:pPr>
        <w:snapToGrid w:val="0"/>
        <w:spacing w:line="360" w:lineRule="auto"/>
        <w:ind w:right="480"/>
        <w:jc w:val="center"/>
        <w:rPr>
          <w:rFonts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杭州市生态环境局建德分局</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杭州欣兴建设工程招标代理有限公司</w:t>
      </w:r>
      <w:r>
        <w:rPr>
          <w:rFonts w:hint="eastAsia" w:ascii="仿宋" w:hAnsi="仿宋" w:eastAsia="仿宋" w:cs="仿宋"/>
          <w:color w:val="auto"/>
          <w:sz w:val="24"/>
          <w:highlight w:val="none"/>
        </w:rPr>
        <w:t>：</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2022-2025年建德市大气污染防治第三方技术服务采购项目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JD2022BF-138</w:t>
      </w:r>
      <w:r>
        <w:rPr>
          <w:rFonts w:hint="eastAsia" w:ascii="仿宋" w:hAnsi="仿宋" w:eastAsia="仿宋" w:cs="仿宋"/>
          <w:color w:val="auto"/>
          <w:sz w:val="24"/>
          <w:highlight w:val="none"/>
        </w:rPr>
        <w:t>】政府采购活动，郑重承诺：</w:t>
      </w:r>
    </w:p>
    <w:p>
      <w:pPr>
        <w:snapToGrid w:val="0"/>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rPr>
          <w:rFonts w:ascii="仿宋" w:hAnsi="仿宋" w:eastAsia="仿宋" w:cs="仿宋"/>
          <w:color w:val="auto"/>
          <w:highlight w:val="none"/>
        </w:rPr>
      </w:pPr>
    </w:p>
    <w:p>
      <w:pPr>
        <w:pStyle w:val="2"/>
        <w:rPr>
          <w:rFonts w:ascii="仿宋" w:eastAsia="仿宋" w:cs="仿宋"/>
          <w:color w:val="auto"/>
          <w:highlight w:val="none"/>
        </w:rPr>
      </w:pPr>
    </w:p>
    <w:p>
      <w:pPr>
        <w:pStyle w:val="2"/>
        <w:ind w:left="0" w:firstLine="0"/>
        <w:rPr>
          <w:rFonts w:ascii="仿宋" w:eastAsia="仿宋" w:cs="仿宋"/>
          <w:color w:val="auto"/>
          <w:highlight w:val="none"/>
        </w:rPr>
      </w:pPr>
    </w:p>
    <w:p>
      <w:pPr>
        <w:rPr>
          <w:color w:val="auto"/>
          <w:highlight w:val="none"/>
        </w:rPr>
      </w:pPr>
    </w:p>
    <w:p>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w:t>
      </w:r>
      <w:r>
        <w:rPr>
          <w:rFonts w:hint="eastAsia" w:ascii="仿宋" w:hAnsi="仿宋" w:eastAsia="仿宋" w:cs="仿宋"/>
          <w:b/>
          <w:color w:val="auto"/>
          <w:kern w:val="0"/>
          <w:sz w:val="32"/>
          <w:szCs w:val="32"/>
          <w:highlight w:val="none"/>
          <w:lang w:val="en-US" w:eastAsia="zh-CN"/>
        </w:rPr>
        <w:t>如果</w:t>
      </w:r>
      <w:r>
        <w:rPr>
          <w:rFonts w:hint="eastAsia" w:ascii="仿宋" w:hAnsi="仿宋" w:eastAsia="仿宋" w:cs="仿宋"/>
          <w:b/>
          <w:color w:val="auto"/>
          <w:kern w:val="0"/>
          <w:sz w:val="32"/>
          <w:szCs w:val="32"/>
          <w:highlight w:val="none"/>
        </w:rPr>
        <w:t>有）</w:t>
      </w:r>
    </w:p>
    <w:p>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w:t>
      </w: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）；本项目不接受联合体投标或者投标人不以联合体形式投标的，则不需要提供]</w:t>
      </w:r>
    </w:p>
    <w:p>
      <w:pPr>
        <w:snapToGrid w:val="0"/>
        <w:spacing w:line="360" w:lineRule="auto"/>
        <w:jc w:val="center"/>
        <w:rPr>
          <w:rFonts w:hint="eastAsia" w:ascii="仿宋" w:hAnsi="仿宋" w:eastAsia="仿宋" w:cs="仿宋"/>
          <w:b/>
          <w:color w:val="auto"/>
          <w:sz w:val="24"/>
          <w:highlight w:val="none"/>
        </w:rPr>
      </w:pPr>
    </w:p>
    <w:p>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三</w:t>
      </w:r>
      <w:r>
        <w:rPr>
          <w:rFonts w:hint="eastAsia" w:ascii="仿宋" w:hAnsi="仿宋" w:eastAsia="仿宋" w:cs="仿宋"/>
          <w:b/>
          <w:kern w:val="0"/>
          <w:sz w:val="32"/>
          <w:szCs w:val="32"/>
        </w:rPr>
        <w:t>、分包意向协议（如果有）</w:t>
      </w:r>
    </w:p>
    <w:p>
      <w:pPr>
        <w:snapToGrid w:val="0"/>
        <w:spacing w:line="360" w:lineRule="auto"/>
        <w:jc w:val="left"/>
        <w:rPr>
          <w:rFonts w:hint="eastAsia" w:ascii="仿宋" w:hAnsi="仿宋" w:eastAsia="仿宋" w:cs="仿宋"/>
          <w:b/>
          <w:color w:val="auto"/>
          <w:kern w:val="0"/>
          <w:sz w:val="32"/>
          <w:szCs w:val="32"/>
          <w:highlight w:val="none"/>
        </w:rPr>
      </w:pPr>
      <w:r>
        <w:rPr>
          <w:rFonts w:hint="eastAsia" w:ascii="仿宋" w:hAnsi="仿宋" w:eastAsia="仿宋" w:cs="仿宋"/>
          <w:b/>
          <w:sz w:val="24"/>
        </w:rPr>
        <w:t>[中标后以分包方式履行合同的，提供分包意向协议(附件7)；采购人不同意分包或者供应商中标后不以分包方式履行合同的，则不需要提供。]</w:t>
      </w:r>
    </w:p>
    <w:p>
      <w:pPr>
        <w:rPr>
          <w:rFonts w:hint="eastAsia" w:ascii="仿宋" w:hAnsi="仿宋" w:eastAsia="仿宋" w:cs="仿宋"/>
          <w:color w:val="auto"/>
          <w:sz w:val="24"/>
          <w:highlight w:val="none"/>
        </w:rPr>
      </w:pPr>
    </w:p>
    <w:p>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四</w:t>
      </w:r>
      <w:r>
        <w:rPr>
          <w:rFonts w:hint="eastAsia" w:ascii="仿宋" w:hAnsi="仿宋" w:eastAsia="仿宋" w:cs="仿宋"/>
          <w:b/>
          <w:color w:val="auto"/>
          <w:kern w:val="0"/>
          <w:sz w:val="32"/>
          <w:szCs w:val="32"/>
          <w:highlight w:val="none"/>
        </w:rPr>
        <w:t>、落实政府采购政策需满足的资格要求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pPr>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rPr>
          <w:color w:val="auto"/>
          <w:highlight w:val="none"/>
        </w:rPr>
      </w:pPr>
      <w:r>
        <w:rPr>
          <w:rFonts w:hint="eastAsia" w:ascii="宋体" w:hAnsi="宋体" w:cs="宋体"/>
          <w:color w:val="auto"/>
          <w:sz w:val="24"/>
          <w:highlight w:val="none"/>
        </w:rPr>
        <w:br w:type="page"/>
      </w: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pacing w:line="360" w:lineRule="auto"/>
        <w:ind w:right="420" w:firstLine="3614" w:firstLineChars="100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pPr>
        <w:spacing w:line="360" w:lineRule="auto"/>
        <w:jc w:val="center"/>
        <w:outlineLvl w:val="0"/>
        <w:rPr>
          <w:rFonts w:ascii="仿宋" w:hAnsi="仿宋" w:eastAsia="仿宋" w:cs="仿宋"/>
          <w:b/>
          <w:color w:val="auto"/>
          <w:kern w:val="0"/>
          <w:sz w:val="24"/>
          <w:highlight w:val="none"/>
        </w:rPr>
      </w:pPr>
    </w:p>
    <w:p>
      <w:pPr>
        <w:spacing w:line="360"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pPr>
        <w:snapToGrid w:val="0"/>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（3）符合性审查资料</w:t>
      </w:r>
      <w:r>
        <w:rPr>
          <w:rFonts w:hint="eastAsia" w:ascii="仿宋" w:hAnsi="仿宋" w:eastAsia="仿宋" w:cs="仿宋"/>
          <w:color w:val="auto"/>
          <w:highlight w:val="none"/>
        </w:rPr>
        <w:t>………………………………………………………………………（页码）</w:t>
      </w:r>
    </w:p>
    <w:p>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）商务技术偏离表</w:t>
      </w:r>
      <w:r>
        <w:rPr>
          <w:rFonts w:hint="eastAsia" w:ascii="仿宋" w:hAnsi="仿宋" w:eastAsia="仿宋" w:cs="仿宋"/>
          <w:color w:val="auto"/>
          <w:highlight w:val="none"/>
        </w:rPr>
        <w:t>………………………………………………………………………（页码）</w:t>
      </w:r>
    </w:p>
    <w:p>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pPr>
        <w:snapToGrid w:val="0"/>
        <w:spacing w:line="360" w:lineRule="auto"/>
        <w:jc w:val="center"/>
        <w:rPr>
          <w:rFonts w:ascii="仿宋" w:hAnsi="仿宋" w:eastAsia="仿宋" w:cs="仿宋"/>
          <w:b/>
          <w:color w:val="auto"/>
          <w:kern w:val="0"/>
          <w:sz w:val="32"/>
          <w:szCs w:val="32"/>
          <w:highlight w:val="none"/>
          <w:lang w:val="zh-CN"/>
        </w:rPr>
      </w:pPr>
    </w:p>
    <w:p>
      <w:pPr>
        <w:snapToGrid w:val="0"/>
        <w:spacing w:line="360" w:lineRule="auto"/>
        <w:jc w:val="center"/>
        <w:rPr>
          <w:rFonts w:ascii="仿宋" w:hAnsi="仿宋" w:eastAsia="仿宋" w:cs="仿宋"/>
          <w:b/>
          <w:color w:val="auto"/>
          <w:kern w:val="0"/>
          <w:sz w:val="32"/>
          <w:szCs w:val="32"/>
          <w:highlight w:val="none"/>
          <w:lang w:val="zh-CN"/>
        </w:rPr>
      </w:pPr>
    </w:p>
    <w:p>
      <w:pPr>
        <w:snapToGrid w:val="0"/>
        <w:spacing w:line="360" w:lineRule="auto"/>
        <w:jc w:val="center"/>
        <w:rPr>
          <w:rFonts w:ascii="仿宋" w:hAnsi="仿宋" w:eastAsia="仿宋" w:cs="仿宋"/>
          <w:b/>
          <w:color w:val="auto"/>
          <w:kern w:val="0"/>
          <w:sz w:val="32"/>
          <w:szCs w:val="32"/>
          <w:highlight w:val="none"/>
          <w:lang w:val="zh-CN"/>
        </w:rPr>
      </w:pPr>
    </w:p>
    <w:p>
      <w:pPr>
        <w:snapToGrid w:val="0"/>
        <w:spacing w:line="360" w:lineRule="auto"/>
        <w:jc w:val="center"/>
        <w:rPr>
          <w:rFonts w:ascii="仿宋" w:hAnsi="仿宋" w:eastAsia="仿宋" w:cs="仿宋"/>
          <w:b/>
          <w:color w:val="auto"/>
          <w:kern w:val="0"/>
          <w:sz w:val="32"/>
          <w:szCs w:val="32"/>
          <w:highlight w:val="none"/>
          <w:lang w:val="zh-CN"/>
        </w:rPr>
      </w:pPr>
    </w:p>
    <w:p>
      <w:pPr>
        <w:snapToGrid w:val="0"/>
        <w:spacing w:line="360" w:lineRule="auto"/>
        <w:jc w:val="center"/>
        <w:rPr>
          <w:rFonts w:ascii="仿宋" w:hAnsi="仿宋" w:eastAsia="仿宋" w:cs="仿宋"/>
          <w:b/>
          <w:color w:val="auto"/>
          <w:kern w:val="0"/>
          <w:sz w:val="32"/>
          <w:szCs w:val="32"/>
          <w:highlight w:val="none"/>
          <w:lang w:val="zh-CN"/>
        </w:rPr>
      </w:pPr>
    </w:p>
    <w:p>
      <w:pPr>
        <w:snapToGrid w:val="0"/>
        <w:spacing w:line="360" w:lineRule="auto"/>
        <w:jc w:val="center"/>
        <w:outlineLvl w:val="0"/>
        <w:rPr>
          <w:rFonts w:ascii="仿宋" w:hAnsi="仿宋" w:eastAsia="仿宋" w:cs="仿宋"/>
          <w:b/>
          <w:color w:val="auto"/>
          <w:kern w:val="0"/>
          <w:sz w:val="32"/>
          <w:szCs w:val="32"/>
          <w:highlight w:val="none"/>
        </w:rPr>
      </w:pPr>
    </w:p>
    <w:p>
      <w:pPr>
        <w:snapToGrid w:val="0"/>
        <w:spacing w:line="360" w:lineRule="auto"/>
        <w:jc w:val="center"/>
        <w:outlineLvl w:val="0"/>
        <w:rPr>
          <w:rFonts w:ascii="仿宋" w:hAnsi="仿宋" w:eastAsia="仿宋" w:cs="仿宋"/>
          <w:b/>
          <w:color w:val="auto"/>
          <w:kern w:val="0"/>
          <w:sz w:val="32"/>
          <w:szCs w:val="32"/>
          <w:highlight w:val="none"/>
        </w:rPr>
      </w:pPr>
    </w:p>
    <w:p>
      <w:pPr>
        <w:rPr>
          <w:rFonts w:ascii="仿宋" w:hAnsi="仿宋" w:eastAsia="仿宋" w:cs="仿宋"/>
          <w:color w:val="auto"/>
          <w:highlight w:val="none"/>
        </w:rPr>
      </w:pPr>
    </w:p>
    <w:p>
      <w:pPr>
        <w:snapToGrid w:val="0"/>
        <w:spacing w:line="360" w:lineRule="auto"/>
        <w:jc w:val="center"/>
        <w:outlineLvl w:val="0"/>
        <w:rPr>
          <w:rFonts w:ascii="仿宋" w:hAnsi="仿宋" w:eastAsia="仿宋" w:cs="仿宋"/>
          <w:b/>
          <w:color w:val="auto"/>
          <w:kern w:val="0"/>
          <w:sz w:val="32"/>
          <w:szCs w:val="32"/>
          <w:highlight w:val="none"/>
        </w:rPr>
      </w:pPr>
    </w:p>
    <w:p>
      <w:pPr>
        <w:snapToGrid w:val="0"/>
        <w:spacing w:line="360" w:lineRule="auto"/>
        <w:jc w:val="center"/>
        <w:outlineLvl w:val="0"/>
        <w:rPr>
          <w:rFonts w:ascii="仿宋" w:hAnsi="仿宋" w:eastAsia="仿宋" w:cs="仿宋"/>
          <w:b/>
          <w:color w:val="auto"/>
          <w:kern w:val="0"/>
          <w:sz w:val="32"/>
          <w:szCs w:val="32"/>
          <w:highlight w:val="none"/>
        </w:rPr>
      </w:pPr>
    </w:p>
    <w:p>
      <w:pPr>
        <w:snapToGrid w:val="0"/>
        <w:spacing w:line="360" w:lineRule="auto"/>
        <w:jc w:val="center"/>
        <w:outlineLvl w:val="0"/>
        <w:rPr>
          <w:rFonts w:ascii="仿宋" w:hAnsi="仿宋" w:eastAsia="仿宋" w:cs="仿宋"/>
          <w:b/>
          <w:color w:val="auto"/>
          <w:kern w:val="0"/>
          <w:sz w:val="32"/>
          <w:szCs w:val="32"/>
          <w:highlight w:val="none"/>
        </w:rPr>
      </w:pPr>
    </w:p>
    <w:p>
      <w:pPr>
        <w:snapToGrid w:val="0"/>
        <w:spacing w:line="360" w:lineRule="auto"/>
        <w:jc w:val="center"/>
        <w:outlineLvl w:val="0"/>
        <w:rPr>
          <w:rFonts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杭州市生态环境局建德分局</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杭州欣兴建设工程招标代理有限公司</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我方参加你方组织的</w:t>
      </w:r>
      <w:r>
        <w:rPr>
          <w:rFonts w:hint="eastAsia" w:ascii="仿宋" w:hAnsi="仿宋" w:eastAsia="仿宋" w:cs="仿宋"/>
          <w:color w:val="auto"/>
          <w:sz w:val="24"/>
          <w:highlight w:val="none"/>
          <w:lang w:eastAsia="zh-CN"/>
        </w:rPr>
        <w:t>2022-2025年建德市大气污染防治第三方技术服务采购项目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JD2022BF-138</w:t>
      </w:r>
      <w:r>
        <w:rPr>
          <w:rFonts w:hint="eastAsia" w:ascii="仿宋" w:hAnsi="仿宋" w:eastAsia="仿宋" w:cs="仿宋"/>
          <w:color w:val="auto"/>
          <w:sz w:val="24"/>
          <w:highlight w:val="none"/>
        </w:rPr>
        <w:t>】招标的有关活动，并对此项目进行投标。为此：</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i/>
          <w:iCs/>
          <w:color w:val="auto"/>
          <w:sz w:val="24"/>
          <w:highlight w:val="none"/>
        </w:rPr>
      </w:pPr>
      <w:r>
        <w:rPr>
          <w:rFonts w:hint="eastAsia" w:ascii="仿宋" w:hAnsi="仿宋" w:eastAsia="仿宋" w:cs="仿宋"/>
          <w:color w:val="auto"/>
          <w:sz w:val="24"/>
          <w:highlight w:val="none"/>
        </w:rPr>
        <w:t>2、我方的投标文件包括以下内容：</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2.1资格文件：</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2.1.1承诺函；</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color w:val="auto"/>
          <w:sz w:val="24"/>
          <w:highlight w:val="none"/>
          <w:lang w:val="en-US" w:eastAsia="zh-CN"/>
        </w:rPr>
        <w:t xml:space="preserve"> </w:t>
      </w:r>
      <w:r>
        <w:rPr>
          <w:rFonts w:hint="eastAsia" w:ascii="仿宋" w:hAnsi="仿宋" w:eastAsia="仿宋" w:cs="仿宋"/>
          <w:bCs/>
          <w:color w:val="auto"/>
          <w:sz w:val="24"/>
          <w:highlight w:val="none"/>
          <w:lang w:val="zh-CN"/>
        </w:rPr>
        <w:t>联合协议（若有）</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2.1.3分包意向协议（</w:t>
      </w:r>
      <w:r>
        <w:rPr>
          <w:rFonts w:hint="eastAsia" w:ascii="仿宋" w:hAnsi="仿宋" w:eastAsia="仿宋" w:cs="仿宋"/>
          <w:color w:val="auto"/>
          <w:sz w:val="24"/>
          <w:highlight w:val="none"/>
          <w:lang w:val="en-US" w:eastAsia="zh-CN"/>
        </w:rPr>
        <w:t>若</w:t>
      </w:r>
      <w:r>
        <w:rPr>
          <w:rFonts w:hint="eastAsia" w:ascii="仿宋" w:hAnsi="仿宋" w:eastAsia="仿宋" w:cs="仿宋"/>
          <w:color w:val="auto"/>
          <w:sz w:val="24"/>
          <w:highlight w:val="none"/>
        </w:rPr>
        <w:t>有）</w:t>
      </w:r>
      <w:r>
        <w:rPr>
          <w:rFonts w:hint="eastAsia" w:ascii="仿宋" w:hAnsi="仿宋" w:eastAsia="仿宋" w:cs="仿宋"/>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2.1.4</w:t>
      </w:r>
      <w:r>
        <w:rPr>
          <w:rFonts w:hint="eastAsia" w:ascii="仿宋" w:hAnsi="仿宋" w:eastAsia="仿宋" w:cs="仿宋"/>
          <w:color w:val="auto"/>
          <w:sz w:val="24"/>
          <w:highlight w:val="none"/>
        </w:rPr>
        <w:t>落实政府采购政策需满足的资格要求。</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2.2.3符合性审查资料；</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商务技术偏离表；</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zh-CN"/>
        </w:rPr>
        <w:t>政府采购供应商廉洁自律承诺书；</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pacing w:line="400" w:lineRule="exact"/>
        <w:ind w:firstLine="3600" w:firstLineChars="15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pPr>
        <w:keepNext w:val="0"/>
        <w:keepLines w:val="0"/>
        <w:pageBreakBefore w:val="0"/>
        <w:widowControl w:val="0"/>
        <w:kinsoku/>
        <w:wordWrap/>
        <w:overflowPunct/>
        <w:topLinePunct w:val="0"/>
        <w:autoSpaceDE/>
        <w:autoSpaceDN/>
        <w:bidi w:val="0"/>
        <w:adjustRightInd w:val="0"/>
        <w:spacing w:line="40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napToGrid w:val="0"/>
        <w:spacing w:line="360" w:lineRule="auto"/>
        <w:ind w:left="420" w:leftChars="200" w:firstLine="4200" w:firstLineChars="1750"/>
        <w:rPr>
          <w:rFonts w:ascii="仿宋" w:hAnsi="仿宋" w:eastAsia="仿宋" w:cs="仿宋"/>
          <w:color w:val="auto"/>
          <w:kern w:val="0"/>
          <w:sz w:val="24"/>
          <w:highlight w:val="none"/>
          <w:u w:val="single"/>
          <w:lang w:val="zh-CN"/>
        </w:rPr>
      </w:pPr>
    </w:p>
    <w:p>
      <w:pPr>
        <w:snapToGrid w:val="0"/>
        <w:spacing w:line="360" w:lineRule="auto"/>
        <w:jc w:val="center"/>
        <w:rPr>
          <w:rFonts w:ascii="仿宋" w:hAnsi="仿宋" w:eastAsia="仿宋" w:cs="仿宋"/>
          <w:b/>
          <w:color w:val="auto"/>
          <w:kern w:val="0"/>
          <w:sz w:val="32"/>
          <w:szCs w:val="32"/>
          <w:highlight w:val="none"/>
          <w:lang w:val="zh-CN"/>
        </w:rPr>
      </w:pPr>
    </w:p>
    <w:p>
      <w:pPr>
        <w:snapToGrid w:val="0"/>
        <w:spacing w:line="360" w:lineRule="auto"/>
        <w:rPr>
          <w:rFonts w:ascii="仿宋" w:hAnsi="仿宋" w:eastAsia="仿宋" w:cs="仿宋"/>
          <w:color w:val="auto"/>
          <w:sz w:val="24"/>
          <w:highlight w:val="none"/>
        </w:rPr>
      </w:pPr>
    </w:p>
    <w:p>
      <w:pPr>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w:t>
      </w:r>
    </w:p>
    <w:p>
      <w:pPr>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身份证明</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snapToGrid w:val="0"/>
        <w:spacing w:line="360" w:lineRule="auto"/>
        <w:ind w:firstLine="2872" w:firstLineChars="894"/>
        <w:rPr>
          <w:rFonts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杭州市生态环境局建德分局</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杭州欣兴建设工程招标代理有限公司</w:t>
      </w: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lang w:eastAsia="zh-CN"/>
        </w:rPr>
        <w:t>2022-2025年建德市大气污染防治第三方技术服务采购项目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JD2022BF-138</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pPr>
        <w:snapToGrid w:val="0"/>
        <w:spacing w:line="360" w:lineRule="auto"/>
        <w:rPr>
          <w:rFonts w:ascii="仿宋" w:hAnsi="仿宋" w:eastAsia="仿宋" w:cs="仿宋"/>
          <w:color w:val="auto"/>
          <w:sz w:val="24"/>
          <w:highlight w:val="none"/>
        </w:rPr>
      </w:pP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pPr>
        <w:snapToGrid w:val="0"/>
        <w:spacing w:line="360" w:lineRule="auto"/>
        <w:rPr>
          <w:rFonts w:hint="eastAsia" w:ascii="仿宋" w:hAnsi="仿宋" w:eastAsia="仿宋" w:cs="仿宋"/>
          <w:color w:val="auto"/>
          <w:sz w:val="24"/>
          <w:highlight w:val="none"/>
          <w:u w:val="single"/>
          <w:lang w:eastAsia="zh-CN"/>
        </w:rPr>
      </w:pP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u w:val="single"/>
          <w:lang w:eastAsia="zh-CN"/>
        </w:rPr>
        <w:t>杭州市生态环境局建德分局</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杭州欣兴建设工程招标代理有限公司</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lang w:eastAsia="zh-CN"/>
        </w:rPr>
        <w:t>2022-2025年建德市大气污染防治第三方技术服务采购项目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JD2022BF-138</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pStyle w:val="79"/>
        <w:rPr>
          <w:rFonts w:hint="eastAsia" w:ascii="仿宋" w:hAnsi="仿宋" w:eastAsia="仿宋" w:cs="仿宋"/>
          <w:b/>
          <w:color w:val="auto"/>
          <w:kern w:val="0"/>
          <w:sz w:val="32"/>
          <w:szCs w:val="32"/>
          <w:highlight w:val="none"/>
          <w:lang w:val="zh-CN"/>
        </w:rPr>
      </w:pPr>
      <w:r>
        <w:rPr>
          <w:rFonts w:hint="eastAsia" w:ascii="仿宋" w:hAnsi="仿宋" w:eastAsia="仿宋" w:cs="仿宋"/>
          <w:color w:val="auto"/>
          <w:kern w:val="0"/>
          <w:sz w:val="24"/>
          <w:highlight w:val="none"/>
          <w:lang w:val="zh-CN"/>
        </w:rPr>
        <w:t xml:space="preserve">                                               日期：  年  月   日</w:t>
      </w:r>
    </w:p>
    <w:p>
      <w:pPr>
        <w:pStyle w:val="79"/>
        <w:rPr>
          <w:rFonts w:hint="eastAsia" w:ascii="仿宋" w:hAnsi="仿宋" w:eastAsia="仿宋" w:cs="仿宋"/>
          <w:b/>
          <w:color w:val="auto"/>
          <w:kern w:val="0"/>
          <w:sz w:val="32"/>
          <w:szCs w:val="32"/>
          <w:highlight w:val="none"/>
          <w:lang w:val="zh-CN"/>
        </w:rPr>
      </w:pP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pPr>
        <w:pStyle w:val="148"/>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8"/>
              <w:adjustRightIn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pPr>
              <w:pStyle w:val="148"/>
              <w:adjustRightInd w:val="0"/>
              <w:spacing w:line="360" w:lineRule="auto"/>
              <w:rPr>
                <w:rFonts w:ascii="仿宋" w:hAnsi="仿宋" w:eastAsia="仿宋" w:cs="仿宋"/>
                <w:bCs/>
                <w:color w:val="auto"/>
                <w:sz w:val="24"/>
                <w:highlight w:val="none"/>
              </w:rPr>
            </w:pPr>
          </w:p>
        </w:tc>
      </w:tr>
    </w:tbl>
    <w:p>
      <w:pPr>
        <w:snapToGrid w:val="0"/>
        <w:spacing w:line="360" w:lineRule="auto"/>
        <w:ind w:firstLine="576"/>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snapToGrid w:val="0"/>
        <w:spacing w:line="360" w:lineRule="auto"/>
        <w:ind w:firstLine="576"/>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pPr>
        <w:spacing w:line="360" w:lineRule="auto"/>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pStyle w:val="79"/>
        <w:rPr>
          <w:color w:val="auto"/>
          <w:highlight w:val="none"/>
        </w:rPr>
      </w:pPr>
    </w:p>
    <w:p>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三</w:t>
      </w:r>
      <w:r>
        <w:rPr>
          <w:rFonts w:hint="eastAsia" w:ascii="仿宋" w:hAnsi="仿宋" w:eastAsia="仿宋" w:cs="仿宋"/>
          <w:b/>
          <w:color w:val="auto"/>
          <w:kern w:val="0"/>
          <w:sz w:val="32"/>
          <w:szCs w:val="32"/>
          <w:highlight w:val="none"/>
        </w:rPr>
        <w:t>、符合性审查资料</w:t>
      </w:r>
    </w:p>
    <w:p>
      <w:pPr>
        <w:jc w:val="center"/>
        <w:rPr>
          <w:rFonts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pPr>
              <w:rPr>
                <w:rFonts w:ascii="仿宋" w:hAnsi="仿宋" w:eastAsia="仿宋" w:cs="仿宋"/>
                <w:color w:val="auto"/>
                <w:sz w:val="24"/>
                <w:highlight w:val="none"/>
              </w:rPr>
            </w:pPr>
          </w:p>
          <w:p>
            <w:pPr>
              <w:rPr>
                <w:rFonts w:ascii="仿宋" w:hAnsi="仿宋" w:eastAsia="仿宋" w:cs="仿宋"/>
                <w:color w:val="auto"/>
                <w:sz w:val="24"/>
                <w:highlight w:val="none"/>
              </w:rPr>
            </w:pPr>
            <w:r>
              <w:rPr>
                <w:rFonts w:hint="eastAsia" w:ascii="仿宋" w:hAnsi="仿宋" w:eastAsia="仿宋" w:cs="仿宋"/>
                <w:color w:val="auto"/>
                <w:sz w:val="24"/>
                <w:highlight w:val="none"/>
              </w:rPr>
              <w:t>见投标文件</w:t>
            </w:r>
          </w:p>
          <w:p>
            <w:pPr>
              <w:rPr>
                <w:rFonts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节能产品认证证书（本项目拟采购的产品不属于政府强制采购的节能产品品目清单范围的，无需提供）</w:t>
            </w:r>
          </w:p>
        </w:tc>
        <w:tc>
          <w:tcPr>
            <w:tcW w:w="1418" w:type="dxa"/>
          </w:tcPr>
          <w:p>
            <w:pPr>
              <w:rPr>
                <w:rFonts w:ascii="仿宋" w:hAnsi="仿宋" w:eastAsia="仿宋" w:cs="仿宋"/>
                <w:color w:val="auto"/>
                <w:sz w:val="24"/>
                <w:highlight w:val="none"/>
              </w:rPr>
            </w:pPr>
          </w:p>
          <w:p>
            <w:pPr>
              <w:rPr>
                <w:rFonts w:ascii="仿宋" w:hAnsi="仿宋" w:eastAsia="仿宋" w:cs="仿宋"/>
                <w:color w:val="auto"/>
                <w:sz w:val="24"/>
                <w:highlight w:val="none"/>
              </w:rPr>
            </w:pPr>
          </w:p>
          <w:p>
            <w:pPr>
              <w:rPr>
                <w:rFonts w:ascii="仿宋" w:hAnsi="仿宋" w:eastAsia="仿宋" w:cs="仿宋"/>
                <w:color w:val="auto"/>
                <w:sz w:val="24"/>
                <w:highlight w:val="none"/>
              </w:rPr>
            </w:pPr>
            <w:r>
              <w:rPr>
                <w:rFonts w:hint="eastAsia" w:ascii="仿宋" w:hAnsi="仿宋" w:eastAsia="仿宋" w:cs="仿宋"/>
                <w:color w:val="auto"/>
                <w:sz w:val="24"/>
                <w:highlight w:val="none"/>
              </w:rPr>
              <w:t>见投标文件</w:t>
            </w:r>
          </w:p>
          <w:p>
            <w:pPr>
              <w:pStyle w:val="2"/>
              <w:rPr>
                <w:rFonts w:ascii="仿宋" w:eastAsia="仿宋" w:cs="仿宋"/>
                <w:color w:val="auto"/>
                <w:highlight w:val="none"/>
                <w:lang w:val="en-US"/>
              </w:rPr>
            </w:pPr>
            <w:r>
              <w:rPr>
                <w:rFonts w:hint="eastAsia" w:ascii="仿宋" w:eastAsia="仿宋" w:cs="仿宋"/>
                <w:b w:val="0"/>
                <w:bCs w:val="0"/>
                <w:color w:val="auto"/>
                <w:sz w:val="24"/>
                <w:szCs w:val="24"/>
                <w:highlight w:val="none"/>
                <w:lang w:val="en-US"/>
              </w:rPr>
              <w:t>第</w:t>
            </w:r>
            <w:r>
              <w:rPr>
                <w:rFonts w:hint="eastAsia" w:asci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pPr>
              <w:rPr>
                <w:rFonts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4991" w:type="dxa"/>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pPr>
              <w:rPr>
                <w:rFonts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pPr>
              <w:rPr>
                <w:rFonts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lang w:val="en-US" w:eastAsia="zh-CN"/>
        </w:rPr>
      </w:pPr>
    </w:p>
    <w:p>
      <w:pPr>
        <w:jc w:val="center"/>
        <w:rPr>
          <w:rFonts w:ascii="仿宋" w:hAnsi="仿宋" w:eastAsia="仿宋" w:cs="仿宋"/>
          <w:color w:val="auto"/>
          <w:highlight w:val="none"/>
        </w:rPr>
      </w:pPr>
      <w:r>
        <w:rPr>
          <w:rFonts w:hint="eastAsia" w:ascii="仿宋" w:hAnsi="仿宋" w:eastAsia="仿宋" w:cs="仿宋"/>
          <w:b/>
          <w:color w:val="auto"/>
          <w:kern w:val="0"/>
          <w:sz w:val="32"/>
          <w:szCs w:val="32"/>
          <w:highlight w:val="none"/>
          <w:lang w:val="en-US" w:eastAsia="zh-CN"/>
        </w:rPr>
        <w:t>四</w:t>
      </w:r>
      <w:r>
        <w:rPr>
          <w:rFonts w:hint="eastAsia" w:ascii="仿宋" w:hAnsi="仿宋" w:eastAsia="仿宋" w:cs="仿宋"/>
          <w:b/>
          <w:color w:val="auto"/>
          <w:kern w:val="0"/>
          <w:sz w:val="32"/>
          <w:szCs w:val="32"/>
          <w:highlight w:val="none"/>
        </w:rPr>
        <w:t>、评标标准相应的商务技术资料</w:t>
      </w:r>
    </w:p>
    <w:p>
      <w:pPr>
        <w:snapToGrid w:val="0"/>
        <w:spacing w:line="360"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五</w:t>
      </w:r>
      <w:r>
        <w:rPr>
          <w:rFonts w:hint="eastAsia" w:ascii="仿宋" w:hAnsi="仿宋" w:eastAsia="仿宋" w:cs="仿宋"/>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pPr>
              <w:jc w:val="center"/>
              <w:rPr>
                <w:rFonts w:ascii="仿宋" w:hAnsi="仿宋" w:eastAsia="仿宋" w:cs="仿宋"/>
                <w:b/>
                <w:color w:val="auto"/>
                <w:kern w:val="0"/>
                <w:sz w:val="32"/>
                <w:szCs w:val="32"/>
                <w:highlight w:val="none"/>
              </w:rPr>
            </w:pPr>
          </w:p>
        </w:tc>
        <w:tc>
          <w:tcPr>
            <w:tcW w:w="3546" w:type="dxa"/>
          </w:tcPr>
          <w:p>
            <w:pPr>
              <w:jc w:val="center"/>
              <w:rPr>
                <w:rFonts w:ascii="仿宋" w:hAnsi="仿宋" w:eastAsia="仿宋" w:cs="仿宋"/>
                <w:b/>
                <w:color w:val="auto"/>
                <w:kern w:val="0"/>
                <w:sz w:val="32"/>
                <w:szCs w:val="32"/>
                <w:highlight w:val="none"/>
              </w:rPr>
            </w:pPr>
          </w:p>
        </w:tc>
        <w:tc>
          <w:tcPr>
            <w:tcW w:w="1276" w:type="dxa"/>
          </w:tcPr>
          <w:p>
            <w:pPr>
              <w:jc w:val="center"/>
              <w:rPr>
                <w:rFonts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pPr>
              <w:jc w:val="center"/>
              <w:rPr>
                <w:rFonts w:ascii="仿宋" w:hAnsi="仿宋" w:eastAsia="仿宋" w:cs="仿宋"/>
                <w:b/>
                <w:color w:val="auto"/>
                <w:kern w:val="0"/>
                <w:sz w:val="32"/>
                <w:szCs w:val="32"/>
                <w:highlight w:val="none"/>
              </w:rPr>
            </w:pPr>
          </w:p>
        </w:tc>
        <w:tc>
          <w:tcPr>
            <w:tcW w:w="3546" w:type="dxa"/>
          </w:tcPr>
          <w:p>
            <w:pPr>
              <w:jc w:val="center"/>
              <w:rPr>
                <w:rFonts w:ascii="仿宋" w:hAnsi="仿宋" w:eastAsia="仿宋" w:cs="仿宋"/>
                <w:b/>
                <w:color w:val="auto"/>
                <w:kern w:val="0"/>
                <w:sz w:val="32"/>
                <w:szCs w:val="32"/>
                <w:highlight w:val="none"/>
              </w:rPr>
            </w:pPr>
          </w:p>
        </w:tc>
        <w:tc>
          <w:tcPr>
            <w:tcW w:w="1276" w:type="dxa"/>
          </w:tcPr>
          <w:p>
            <w:pPr>
              <w:jc w:val="center"/>
              <w:rPr>
                <w:rFonts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pPr>
              <w:jc w:val="center"/>
              <w:rPr>
                <w:rFonts w:ascii="仿宋" w:hAnsi="仿宋" w:eastAsia="仿宋" w:cs="仿宋"/>
                <w:b/>
                <w:color w:val="auto"/>
                <w:kern w:val="0"/>
                <w:sz w:val="32"/>
                <w:szCs w:val="32"/>
                <w:highlight w:val="none"/>
              </w:rPr>
            </w:pPr>
          </w:p>
        </w:tc>
        <w:tc>
          <w:tcPr>
            <w:tcW w:w="3546" w:type="dxa"/>
          </w:tcPr>
          <w:p>
            <w:pPr>
              <w:jc w:val="center"/>
              <w:rPr>
                <w:rFonts w:ascii="仿宋" w:hAnsi="仿宋" w:eastAsia="仿宋" w:cs="仿宋"/>
                <w:b/>
                <w:color w:val="auto"/>
                <w:kern w:val="0"/>
                <w:sz w:val="32"/>
                <w:szCs w:val="32"/>
                <w:highlight w:val="none"/>
              </w:rPr>
            </w:pPr>
          </w:p>
        </w:tc>
        <w:tc>
          <w:tcPr>
            <w:tcW w:w="1276" w:type="dxa"/>
          </w:tcPr>
          <w:p>
            <w:pPr>
              <w:jc w:val="center"/>
              <w:rPr>
                <w:rFonts w:ascii="仿宋" w:hAnsi="仿宋" w:eastAsia="仿宋" w:cs="仿宋"/>
                <w:b/>
                <w:color w:val="auto"/>
                <w:kern w:val="0"/>
                <w:sz w:val="32"/>
                <w:szCs w:val="32"/>
                <w:highlight w:val="none"/>
              </w:rPr>
            </w:pPr>
          </w:p>
        </w:tc>
      </w:tr>
    </w:tbl>
    <w:p>
      <w:pP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jc w:val="center"/>
        <w:rPr>
          <w:rFonts w:ascii="仿宋" w:hAnsi="仿宋" w:eastAsia="仿宋" w:cs="仿宋"/>
          <w:b/>
          <w:color w:val="auto"/>
          <w:kern w:val="0"/>
          <w:sz w:val="32"/>
          <w:szCs w:val="32"/>
          <w:highlight w:val="none"/>
        </w:rPr>
      </w:pPr>
    </w:p>
    <w:p>
      <w:pPr>
        <w:ind w:firstLine="2891" w:firstLineChars="900"/>
        <w:rPr>
          <w:rFonts w:ascii="仿宋" w:hAnsi="仿宋" w:eastAsia="仿宋" w:cs="仿宋"/>
          <w:b/>
          <w:bCs/>
          <w:color w:val="auto"/>
          <w:sz w:val="32"/>
          <w:szCs w:val="32"/>
          <w:highlight w:val="none"/>
        </w:rPr>
      </w:pPr>
    </w:p>
    <w:p>
      <w:pPr>
        <w:ind w:firstLine="2891" w:firstLineChars="900"/>
        <w:rPr>
          <w:rFonts w:ascii="仿宋" w:hAnsi="仿宋" w:eastAsia="仿宋" w:cs="仿宋"/>
          <w:b/>
          <w:bCs/>
          <w:color w:val="auto"/>
          <w:sz w:val="32"/>
          <w:szCs w:val="32"/>
          <w:highlight w:val="none"/>
        </w:rPr>
      </w:pPr>
    </w:p>
    <w:p>
      <w:pPr>
        <w:ind w:firstLine="2891" w:firstLineChars="900"/>
        <w:rPr>
          <w:rFonts w:ascii="仿宋" w:hAnsi="仿宋" w:eastAsia="仿宋" w:cs="仿宋"/>
          <w:b/>
          <w:bCs/>
          <w:color w:val="auto"/>
          <w:sz w:val="32"/>
          <w:szCs w:val="32"/>
          <w:highlight w:val="none"/>
        </w:rPr>
      </w:pPr>
    </w:p>
    <w:p>
      <w:pPr>
        <w:ind w:firstLine="2891" w:firstLineChars="900"/>
        <w:rPr>
          <w:rFonts w:ascii="仿宋" w:hAnsi="仿宋" w:eastAsia="仿宋" w:cs="仿宋"/>
          <w:b/>
          <w:bCs/>
          <w:color w:val="auto"/>
          <w:sz w:val="32"/>
          <w:szCs w:val="32"/>
          <w:highlight w:val="none"/>
        </w:rPr>
      </w:pPr>
    </w:p>
    <w:p>
      <w:pPr>
        <w:ind w:firstLine="2891" w:firstLineChars="900"/>
        <w:rPr>
          <w:rFonts w:ascii="仿宋" w:hAnsi="仿宋" w:eastAsia="仿宋" w:cs="仿宋"/>
          <w:b/>
          <w:bCs/>
          <w:color w:val="auto"/>
          <w:sz w:val="32"/>
          <w:szCs w:val="32"/>
          <w:highlight w:val="none"/>
        </w:rPr>
      </w:pPr>
    </w:p>
    <w:p>
      <w:pPr>
        <w:ind w:firstLine="2891" w:firstLineChars="900"/>
        <w:rPr>
          <w:rFonts w:ascii="仿宋" w:hAnsi="仿宋" w:eastAsia="仿宋" w:cs="仿宋"/>
          <w:b/>
          <w:bCs/>
          <w:color w:val="auto"/>
          <w:sz w:val="32"/>
          <w:szCs w:val="32"/>
          <w:highlight w:val="none"/>
        </w:rPr>
      </w:pPr>
    </w:p>
    <w:p>
      <w:pPr>
        <w:ind w:firstLine="2891" w:firstLineChars="900"/>
        <w:rPr>
          <w:rFonts w:ascii="仿宋" w:hAnsi="仿宋" w:eastAsia="仿宋" w:cs="仿宋"/>
          <w:b/>
          <w:color w:val="auto"/>
          <w:kern w:val="0"/>
          <w:sz w:val="32"/>
          <w:szCs w:val="32"/>
          <w:highlight w:val="none"/>
        </w:rPr>
      </w:pPr>
    </w:p>
    <w:p>
      <w:pPr>
        <w:ind w:firstLine="2891" w:firstLineChars="900"/>
        <w:rPr>
          <w:rFonts w:ascii="仿宋" w:hAnsi="仿宋" w:eastAsia="仿宋" w:cs="仿宋"/>
          <w:b/>
          <w:color w:val="auto"/>
          <w:kern w:val="0"/>
          <w:sz w:val="32"/>
          <w:szCs w:val="32"/>
          <w:highlight w:val="none"/>
        </w:rPr>
      </w:pPr>
    </w:p>
    <w:p>
      <w:pPr>
        <w:ind w:firstLine="2891" w:firstLineChars="900"/>
        <w:rPr>
          <w:rFonts w:ascii="仿宋" w:hAnsi="仿宋" w:eastAsia="仿宋" w:cs="仿宋"/>
          <w:b/>
          <w:color w:val="auto"/>
          <w:kern w:val="0"/>
          <w:sz w:val="32"/>
          <w:szCs w:val="32"/>
          <w:highlight w:val="none"/>
        </w:rPr>
      </w:pPr>
    </w:p>
    <w:p>
      <w:pPr>
        <w:ind w:firstLine="2891" w:firstLineChars="900"/>
        <w:rPr>
          <w:rFonts w:ascii="仿宋" w:hAnsi="仿宋" w:eastAsia="仿宋" w:cs="仿宋"/>
          <w:b/>
          <w:color w:val="auto"/>
          <w:kern w:val="0"/>
          <w:sz w:val="32"/>
          <w:szCs w:val="32"/>
          <w:highlight w:val="none"/>
        </w:rPr>
      </w:pPr>
    </w:p>
    <w:p>
      <w:pPr>
        <w:ind w:firstLine="2891" w:firstLineChars="900"/>
        <w:rPr>
          <w:rFonts w:ascii="仿宋" w:hAnsi="仿宋" w:eastAsia="仿宋" w:cs="仿宋"/>
          <w:b/>
          <w:color w:val="auto"/>
          <w:kern w:val="0"/>
          <w:sz w:val="32"/>
          <w:szCs w:val="32"/>
          <w:highlight w:val="none"/>
        </w:rPr>
      </w:pPr>
    </w:p>
    <w:p>
      <w:pPr>
        <w:ind w:firstLine="1911" w:firstLineChars="595"/>
        <w:rPr>
          <w:rFonts w:hint="eastAsia" w:ascii="仿宋" w:hAnsi="仿宋" w:eastAsia="仿宋" w:cs="仿宋"/>
          <w:b/>
          <w:color w:val="auto"/>
          <w:kern w:val="0"/>
          <w:sz w:val="32"/>
          <w:szCs w:val="32"/>
          <w:highlight w:val="none"/>
          <w:lang w:val="en-US" w:eastAsia="zh-CN"/>
        </w:rPr>
      </w:pPr>
    </w:p>
    <w:p>
      <w:pPr>
        <w:ind w:firstLine="1911" w:firstLineChars="595"/>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pPr>
        <w:snapToGrid w:val="0"/>
        <w:spacing w:line="360" w:lineRule="auto"/>
        <w:rPr>
          <w:rFonts w:ascii="仿宋" w:hAnsi="仿宋" w:eastAsia="仿宋" w:cs="仿宋"/>
          <w:color w:val="auto"/>
          <w:sz w:val="24"/>
          <w:highlight w:val="none"/>
        </w:rPr>
      </w:pP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杭州市生态环境局建德分局</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杭州欣兴建设工程招标代理有限公司</w:t>
      </w:r>
      <w:r>
        <w:rPr>
          <w:rFonts w:hint="eastAsia" w:ascii="仿宋" w:hAnsi="仿宋" w:eastAsia="仿宋" w:cs="仿宋"/>
          <w:color w:val="auto"/>
          <w:kern w:val="0"/>
          <w:sz w:val="24"/>
          <w:highlight w:val="none"/>
          <w:lang w:val="zh-CN"/>
        </w:rPr>
        <w:t>：</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pP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pPr>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color w:val="auto"/>
          <w:kern w:val="0"/>
          <w:sz w:val="24"/>
          <w:highlight w:val="none"/>
          <w:lang w:val="zh-CN"/>
        </w:rPr>
      </w:pPr>
    </w:p>
    <w:p>
      <w:pPr>
        <w:autoSpaceDE w:val="0"/>
        <w:autoSpaceDN w:val="0"/>
        <w:spacing w:line="360" w:lineRule="auto"/>
        <w:ind w:left="2"/>
        <w:jc w:val="left"/>
        <w:rPr>
          <w:rFonts w:ascii="仿宋" w:hAnsi="仿宋" w:eastAsia="仿宋" w:cs="仿宋"/>
          <w:color w:val="auto"/>
          <w:kern w:val="0"/>
          <w:sz w:val="24"/>
          <w:highlight w:val="none"/>
          <w:lang w:val="zh-CN"/>
        </w:rPr>
      </w:pPr>
    </w:p>
    <w:p>
      <w:pPr>
        <w:autoSpaceDE w:val="0"/>
        <w:autoSpaceDN w:val="0"/>
        <w:spacing w:line="360" w:lineRule="auto"/>
        <w:ind w:left="2"/>
        <w:jc w:val="left"/>
        <w:rPr>
          <w:rFonts w:ascii="仿宋" w:hAnsi="仿宋" w:eastAsia="仿宋" w:cs="仿宋"/>
          <w:color w:val="auto"/>
          <w:kern w:val="0"/>
          <w:sz w:val="24"/>
          <w:highlight w:val="none"/>
          <w:lang w:val="zh-CN"/>
        </w:rPr>
      </w:pPr>
    </w:p>
    <w:p>
      <w:pPr>
        <w:autoSpaceDE w:val="0"/>
        <w:autoSpaceDN w:val="0"/>
        <w:spacing w:line="360" w:lineRule="auto"/>
        <w:ind w:left="2" w:leftChars="1" w:right="1120" w:firstLine="4560" w:firstLineChars="19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pPr>
        <w:spacing w:line="360" w:lineRule="auto"/>
        <w:ind w:left="4620" w:leftChars="2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spacing w:line="360" w:lineRule="auto"/>
        <w:jc w:val="center"/>
        <w:rPr>
          <w:rFonts w:ascii="仿宋" w:hAnsi="仿宋" w:eastAsia="仿宋" w:cs="仿宋"/>
          <w:b/>
          <w:bCs/>
          <w:color w:val="auto"/>
          <w:sz w:val="24"/>
          <w:highlight w:val="none"/>
        </w:rPr>
      </w:pPr>
    </w:p>
    <w:p>
      <w:pPr>
        <w:spacing w:line="360" w:lineRule="auto"/>
        <w:jc w:val="center"/>
        <w:rPr>
          <w:rFonts w:ascii="仿宋" w:hAnsi="仿宋" w:eastAsia="仿宋" w:cs="仿宋"/>
          <w:b/>
          <w:bCs/>
          <w:color w:val="auto"/>
          <w:sz w:val="24"/>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pP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ascii="仿宋" w:hAnsi="仿宋" w:eastAsia="仿宋" w:cs="仿宋"/>
          <w:b/>
          <w:color w:val="auto"/>
          <w:kern w:val="0"/>
          <w:sz w:val="36"/>
          <w:szCs w:val="36"/>
          <w:highlight w:val="none"/>
        </w:rPr>
      </w:pP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snapToGrid w:val="0"/>
        <w:spacing w:line="360" w:lineRule="auto"/>
        <w:ind w:right="480"/>
        <w:jc w:val="center"/>
        <w:rPr>
          <w:rFonts w:ascii="仿宋" w:hAnsi="仿宋" w:eastAsia="仿宋" w:cs="仿宋"/>
          <w:b/>
          <w:color w:val="auto"/>
          <w:kern w:val="0"/>
          <w:sz w:val="32"/>
          <w:szCs w:val="32"/>
          <w:highlight w:val="none"/>
        </w:rPr>
      </w:pPr>
    </w:p>
    <w:p>
      <w:pPr>
        <w:pStyle w:val="693"/>
        <w:keepNext w:val="0"/>
        <w:pageBreakBefore w:val="0"/>
        <w:tabs>
          <w:tab w:val="clear" w:pos="720"/>
        </w:tabs>
        <w:snapToGrid w:val="0"/>
        <w:spacing w:before="120" w:after="120"/>
        <w:ind w:firstLine="643"/>
        <w:outlineLvl w:val="9"/>
        <w:rPr>
          <w:rFonts w:ascii="仿宋" w:hAnsi="仿宋" w:eastAsia="仿宋" w:cs="仿宋"/>
          <w:color w:val="auto"/>
          <w:kern w:val="2"/>
          <w:sz w:val="32"/>
          <w:szCs w:val="32"/>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杭州市生态环境局建德分局</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杭州欣兴建设工程招标代理有限公司</w:t>
      </w:r>
      <w:r>
        <w:rPr>
          <w:rFonts w:hint="eastAsia" w:ascii="仿宋" w:hAnsi="仿宋" w:eastAsia="仿宋" w:cs="仿宋"/>
          <w:color w:val="auto"/>
          <w:kern w:val="0"/>
          <w:sz w:val="24"/>
          <w:highlight w:val="none"/>
          <w:lang w:val="zh-CN"/>
        </w:rPr>
        <w:t>：</w:t>
      </w:r>
    </w:p>
    <w:p>
      <w:pPr>
        <w:snapToGrid w:val="0"/>
        <w:spacing w:line="360" w:lineRule="auto"/>
        <w:ind w:firstLine="482"/>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2022-2025年建德市大气污染防治第三方技术服务采购项目</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lang w:eastAsia="zh-CN"/>
        </w:rPr>
        <w:t>JD2022BF-138</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pPr>
        <w:spacing w:line="360" w:lineRule="auto"/>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97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3690"/>
        <w:gridCol w:w="1080"/>
        <w:gridCol w:w="768"/>
        <w:gridCol w:w="1128"/>
        <w:gridCol w:w="1260"/>
        <w:gridCol w:w="10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852" w:type="dxa"/>
            <w:noWrap w:val="0"/>
            <w:vAlign w:val="center"/>
          </w:tcPr>
          <w:p>
            <w:pPr>
              <w:widowControl/>
              <w:tabs>
                <w:tab w:val="left" w:pos="360"/>
              </w:tabs>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3690" w:type="dxa"/>
            <w:noWrap w:val="0"/>
            <w:vAlign w:val="center"/>
          </w:tcPr>
          <w:p>
            <w:pPr>
              <w:widowControl/>
              <w:tabs>
                <w:tab w:val="left" w:pos="360"/>
              </w:tabs>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项目名称</w:t>
            </w:r>
          </w:p>
        </w:tc>
        <w:tc>
          <w:tcPr>
            <w:tcW w:w="1080" w:type="dxa"/>
            <w:noWrap w:val="0"/>
            <w:vAlign w:val="center"/>
          </w:tcPr>
          <w:p>
            <w:pPr>
              <w:widowControl/>
              <w:tabs>
                <w:tab w:val="left" w:pos="360"/>
              </w:tabs>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单位</w:t>
            </w:r>
          </w:p>
        </w:tc>
        <w:tc>
          <w:tcPr>
            <w:tcW w:w="768" w:type="dxa"/>
            <w:noWrap w:val="0"/>
            <w:vAlign w:val="center"/>
          </w:tcPr>
          <w:p>
            <w:pPr>
              <w:widowControl/>
              <w:tabs>
                <w:tab w:val="left" w:pos="360"/>
              </w:tabs>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数量</w:t>
            </w:r>
          </w:p>
        </w:tc>
        <w:tc>
          <w:tcPr>
            <w:tcW w:w="1128" w:type="dxa"/>
            <w:noWrap w:val="0"/>
            <w:vAlign w:val="center"/>
          </w:tcPr>
          <w:p>
            <w:pPr>
              <w:widowControl/>
              <w:tabs>
                <w:tab w:val="left" w:pos="360"/>
              </w:tabs>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单价</w:t>
            </w:r>
          </w:p>
          <w:p>
            <w:pPr>
              <w:widowControl/>
              <w:tabs>
                <w:tab w:val="left" w:pos="360"/>
              </w:tabs>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（一年）</w:t>
            </w:r>
          </w:p>
        </w:tc>
        <w:tc>
          <w:tcPr>
            <w:tcW w:w="1260" w:type="dxa"/>
            <w:noWrap w:val="0"/>
            <w:vAlign w:val="center"/>
          </w:tcPr>
          <w:p>
            <w:pPr>
              <w:widowControl/>
              <w:tabs>
                <w:tab w:val="left" w:pos="360"/>
              </w:tabs>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合价</w:t>
            </w:r>
          </w:p>
          <w:p>
            <w:pPr>
              <w:widowControl/>
              <w:tabs>
                <w:tab w:val="left" w:pos="360"/>
              </w:tabs>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（三年）</w:t>
            </w:r>
          </w:p>
        </w:tc>
        <w:tc>
          <w:tcPr>
            <w:tcW w:w="1008" w:type="dxa"/>
            <w:noWrap w:val="0"/>
            <w:vAlign w:val="center"/>
          </w:tcPr>
          <w:p>
            <w:pPr>
              <w:widowControl/>
              <w:tabs>
                <w:tab w:val="left" w:pos="360"/>
              </w:tabs>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852" w:type="dxa"/>
            <w:noWrap w:val="0"/>
            <w:vAlign w:val="center"/>
          </w:tcPr>
          <w:p>
            <w:pPr>
              <w:widowControl/>
              <w:tabs>
                <w:tab w:val="left" w:pos="360"/>
              </w:tabs>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3690" w:type="dxa"/>
            <w:noWrap w:val="0"/>
            <w:vAlign w:val="center"/>
          </w:tcPr>
          <w:p>
            <w:pPr>
              <w:widowControl/>
              <w:tabs>
                <w:tab w:val="left" w:pos="360"/>
              </w:tabs>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2022-2025年建德市大气污染防治第三方技术服务采购项目</w:t>
            </w:r>
          </w:p>
        </w:tc>
        <w:tc>
          <w:tcPr>
            <w:tcW w:w="1080" w:type="dxa"/>
            <w:noWrap w:val="0"/>
            <w:vAlign w:val="center"/>
          </w:tcPr>
          <w:p>
            <w:pPr>
              <w:widowControl/>
              <w:tabs>
                <w:tab w:val="left" w:pos="360"/>
              </w:tabs>
              <w:jc w:val="center"/>
              <w:rPr>
                <w:rFonts w:hint="eastAsia" w:ascii="仿宋" w:hAnsi="仿宋" w:eastAsia="仿宋" w:cs="仿宋"/>
                <w:color w:val="auto"/>
                <w:sz w:val="24"/>
                <w:szCs w:val="24"/>
              </w:rPr>
            </w:pPr>
          </w:p>
        </w:tc>
        <w:tc>
          <w:tcPr>
            <w:tcW w:w="768" w:type="dxa"/>
            <w:noWrap w:val="0"/>
            <w:vAlign w:val="center"/>
          </w:tcPr>
          <w:p>
            <w:pPr>
              <w:widowControl/>
              <w:tabs>
                <w:tab w:val="left" w:pos="360"/>
              </w:tabs>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 </w:t>
            </w:r>
          </w:p>
        </w:tc>
        <w:tc>
          <w:tcPr>
            <w:tcW w:w="1128" w:type="dxa"/>
            <w:noWrap w:val="0"/>
            <w:vAlign w:val="center"/>
          </w:tcPr>
          <w:p>
            <w:pPr>
              <w:widowControl/>
              <w:tabs>
                <w:tab w:val="left" w:pos="360"/>
              </w:tabs>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  </w:t>
            </w:r>
          </w:p>
        </w:tc>
        <w:tc>
          <w:tcPr>
            <w:tcW w:w="1260" w:type="dxa"/>
            <w:noWrap w:val="0"/>
            <w:vAlign w:val="center"/>
          </w:tcPr>
          <w:p>
            <w:pPr>
              <w:widowControl/>
              <w:tabs>
                <w:tab w:val="left" w:pos="360"/>
              </w:tabs>
              <w:jc w:val="center"/>
              <w:rPr>
                <w:rFonts w:hint="eastAsia" w:ascii="仿宋" w:hAnsi="仿宋" w:eastAsia="仿宋" w:cs="仿宋"/>
                <w:color w:val="auto"/>
                <w:sz w:val="24"/>
                <w:szCs w:val="24"/>
                <w:lang w:val="en-US" w:eastAsia="zh-CN"/>
              </w:rPr>
            </w:pPr>
          </w:p>
        </w:tc>
        <w:tc>
          <w:tcPr>
            <w:tcW w:w="1008" w:type="dxa"/>
            <w:noWrap w:val="0"/>
            <w:vAlign w:val="center"/>
          </w:tcPr>
          <w:p>
            <w:pPr>
              <w:widowControl/>
              <w:tabs>
                <w:tab w:val="left" w:pos="360"/>
              </w:tabs>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9786" w:type="dxa"/>
            <w:gridSpan w:val="7"/>
            <w:noWrap w:val="0"/>
            <w:vAlign w:val="center"/>
          </w:tcPr>
          <w:p>
            <w:pPr>
              <w:widowControl/>
              <w:tabs>
                <w:tab w:val="left" w:pos="360"/>
              </w:tabs>
              <w:jc w:val="both"/>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en-US" w:eastAsia="zh-CN"/>
              </w:rPr>
              <w:t>投标报价</w:t>
            </w:r>
            <w:r>
              <w:rPr>
                <w:rFonts w:hint="eastAsia" w:ascii="仿宋" w:hAnsi="仿宋" w:eastAsia="仿宋" w:cs="仿宋"/>
                <w:b/>
                <w:bCs/>
                <w:color w:val="auto"/>
                <w:sz w:val="24"/>
                <w:szCs w:val="24"/>
                <w:lang w:val="zh-CN" w:eastAsia="zh-CN"/>
              </w:rPr>
              <w:t>（</w:t>
            </w:r>
            <w:r>
              <w:rPr>
                <w:rFonts w:hint="eastAsia" w:ascii="仿宋" w:hAnsi="仿宋" w:eastAsia="仿宋" w:cs="仿宋"/>
                <w:b/>
                <w:bCs/>
                <w:color w:val="auto"/>
                <w:sz w:val="24"/>
                <w:szCs w:val="24"/>
                <w:lang w:val="en-US" w:eastAsia="zh-CN"/>
              </w:rPr>
              <w:t>三年</w:t>
            </w:r>
            <w:r>
              <w:rPr>
                <w:rFonts w:hint="eastAsia" w:ascii="仿宋" w:hAnsi="仿宋" w:eastAsia="仿宋" w:cs="仿宋"/>
                <w:b/>
                <w:bCs/>
                <w:color w:val="auto"/>
                <w:sz w:val="24"/>
                <w:szCs w:val="24"/>
                <w:lang w:val="zh-CN" w:eastAsia="zh-CN"/>
              </w:rPr>
              <w:t>合价）</w:t>
            </w:r>
            <w:r>
              <w:rPr>
                <w:rFonts w:hint="eastAsia" w:ascii="仿宋" w:hAnsi="仿宋" w:eastAsia="仿宋" w:cs="仿宋"/>
                <w:color w:val="auto"/>
                <w:sz w:val="24"/>
                <w:szCs w:val="24"/>
                <w:lang w:val="zh-CN" w:eastAsia="zh-CN"/>
              </w:rPr>
              <w:t>报价小写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9786" w:type="dxa"/>
            <w:gridSpan w:val="7"/>
            <w:noWrap w:val="0"/>
            <w:vAlign w:val="center"/>
          </w:tcPr>
          <w:p>
            <w:pPr>
              <w:widowControl/>
              <w:tabs>
                <w:tab w:val="left" w:pos="360"/>
              </w:tabs>
              <w:jc w:val="both"/>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en-US" w:eastAsia="zh-CN"/>
              </w:rPr>
              <w:t>投标报价</w:t>
            </w:r>
            <w:r>
              <w:rPr>
                <w:rFonts w:hint="eastAsia" w:ascii="仿宋" w:hAnsi="仿宋" w:eastAsia="仿宋" w:cs="仿宋"/>
                <w:b/>
                <w:bCs/>
                <w:color w:val="auto"/>
                <w:sz w:val="24"/>
                <w:szCs w:val="24"/>
                <w:lang w:val="zh-CN" w:eastAsia="zh-CN"/>
              </w:rPr>
              <w:t>（</w:t>
            </w:r>
            <w:r>
              <w:rPr>
                <w:rFonts w:hint="eastAsia" w:ascii="仿宋" w:hAnsi="仿宋" w:eastAsia="仿宋" w:cs="仿宋"/>
                <w:b/>
                <w:bCs/>
                <w:color w:val="auto"/>
                <w:sz w:val="24"/>
                <w:szCs w:val="24"/>
                <w:lang w:val="en-US" w:eastAsia="zh-CN"/>
              </w:rPr>
              <w:t>三年</w:t>
            </w:r>
            <w:r>
              <w:rPr>
                <w:rFonts w:hint="eastAsia" w:ascii="仿宋" w:hAnsi="仿宋" w:eastAsia="仿宋" w:cs="仿宋"/>
                <w:b/>
                <w:bCs/>
                <w:color w:val="auto"/>
                <w:sz w:val="24"/>
                <w:szCs w:val="24"/>
                <w:lang w:val="zh-CN" w:eastAsia="zh-CN"/>
              </w:rPr>
              <w:t>合价）</w:t>
            </w:r>
            <w:r>
              <w:rPr>
                <w:rFonts w:hint="eastAsia" w:ascii="仿宋" w:hAnsi="仿宋" w:eastAsia="仿宋" w:cs="仿宋"/>
                <w:color w:val="auto"/>
                <w:sz w:val="24"/>
                <w:szCs w:val="24"/>
                <w:lang w:val="zh-CN" w:eastAsia="zh-CN"/>
              </w:rPr>
              <w:t>报价大写</w:t>
            </w:r>
          </w:p>
        </w:tc>
      </w:tr>
    </w:tbl>
    <w:p>
      <w:pPr>
        <w:snapToGrid w:val="0"/>
        <w:spacing w:line="360" w:lineRule="auto"/>
        <w:ind w:left="480"/>
        <w:rPr>
          <w:rFonts w:hint="eastAsia" w:ascii="仿宋" w:hAnsi="仿宋" w:eastAsia="仿宋" w:cs="仿宋"/>
          <w:b/>
          <w:color w:val="auto"/>
          <w:kern w:val="0"/>
          <w:sz w:val="24"/>
          <w:highlight w:val="none"/>
          <w:lang w:val="zh-CN"/>
        </w:rPr>
      </w:pPr>
    </w:p>
    <w:p>
      <w:pPr>
        <w:snapToGrid w:val="0"/>
        <w:spacing w:line="360" w:lineRule="auto"/>
        <w:ind w:firstLine="576"/>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napToGrid w:val="0"/>
        <w:spacing w:line="360" w:lineRule="auto"/>
        <w:ind w:left="-2" w:leftChars="-1"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1、供应商需按本表格式填写，不得自行更改。</w:t>
      </w:r>
    </w:p>
    <w:p>
      <w:pPr>
        <w:snapToGrid w:val="0"/>
        <w:spacing w:line="360" w:lineRule="auto"/>
        <w:ind w:firstLine="420" w:firstLineChars="200"/>
        <w:jc w:val="left"/>
        <w:rPr>
          <w:rFonts w:hint="eastAsia" w:ascii="仿宋" w:hAnsi="仿宋" w:eastAsia="仿宋" w:cs="仿宋"/>
          <w:b/>
          <w:color w:val="auto"/>
          <w:szCs w:val="21"/>
          <w:highlight w:val="none"/>
          <w:lang w:eastAsia="zh-CN"/>
        </w:rPr>
      </w:pPr>
      <w:r>
        <w:rPr>
          <w:rFonts w:hint="eastAsia" w:ascii="仿宋" w:hAnsi="仿宋" w:eastAsia="仿宋" w:cs="仿宋"/>
          <w:color w:val="auto"/>
          <w:kern w:val="0"/>
          <w:szCs w:val="21"/>
          <w:highlight w:val="none"/>
          <w:lang w:val="zh-CN"/>
        </w:rPr>
        <w:t>2、有关本项目实施所涉及的一切费用均计入报价。</w:t>
      </w:r>
      <w:r>
        <w:rPr>
          <w:rFonts w:hint="eastAsia" w:ascii="仿宋" w:hAnsi="仿宋" w:eastAsia="仿宋" w:cs="仿宋"/>
          <w:b/>
          <w:color w:val="auto"/>
          <w:kern w:val="0"/>
          <w:szCs w:val="21"/>
          <w:highlight w:val="none"/>
          <w:lang w:val="zh-CN"/>
        </w:rPr>
        <w:t>采购人将以合同形式有偿取得货物或服务，不接受供应商给予的赠品、回扣或者与采购无关的其他商品、服务</w:t>
      </w:r>
      <w:r>
        <w:rPr>
          <w:rFonts w:hint="eastAsia" w:ascii="仿宋" w:hAnsi="仿宋" w:eastAsia="仿宋" w:cs="仿宋"/>
          <w:color w:val="auto"/>
          <w:kern w:val="0"/>
          <w:szCs w:val="21"/>
          <w:highlight w:val="none"/>
          <w:lang w:val="zh-CN"/>
        </w:rPr>
        <w:t>，</w:t>
      </w:r>
      <w:r>
        <w:rPr>
          <w:rFonts w:hint="eastAsia" w:ascii="仿宋" w:hAnsi="仿宋" w:eastAsia="仿宋" w:cs="仿宋"/>
          <w:b/>
          <w:color w:val="auto"/>
          <w:kern w:val="0"/>
          <w:szCs w:val="21"/>
          <w:highlight w:val="none"/>
          <w:lang w:val="zh-CN"/>
        </w:rPr>
        <w:t>不得出现“0元”“免费赠送”等形式的无偿报价，</w:t>
      </w:r>
      <w:r>
        <w:rPr>
          <w:rFonts w:hint="eastAsia" w:ascii="仿宋" w:hAnsi="仿宋" w:eastAsia="仿宋" w:cs="仿宋"/>
          <w:b/>
          <w:color w:val="auto"/>
          <w:kern w:val="0"/>
          <w:szCs w:val="21"/>
          <w:highlight w:val="none"/>
        </w:rPr>
        <w:t>否则视为</w:t>
      </w:r>
      <w:r>
        <w:rPr>
          <w:rFonts w:hint="eastAsia" w:ascii="仿宋" w:hAnsi="仿宋" w:eastAsia="仿宋" w:cs="仿宋"/>
          <w:b/>
          <w:color w:val="auto"/>
          <w:szCs w:val="21"/>
          <w:highlight w:val="none"/>
        </w:rPr>
        <w:t>响应文件含有采购人不能接受的附加条件的，响应无效</w:t>
      </w:r>
      <w:r>
        <w:rPr>
          <w:rFonts w:hint="eastAsia" w:ascii="仿宋" w:hAnsi="仿宋" w:eastAsia="仿宋" w:cs="仿宋"/>
          <w:b/>
          <w:color w:val="auto"/>
          <w:szCs w:val="21"/>
          <w:highlight w:val="none"/>
          <w:lang w:eastAsia="zh-CN"/>
        </w:rPr>
        <w:t>。</w:t>
      </w:r>
    </w:p>
    <w:p>
      <w:pPr>
        <w:snapToGrid w:val="0"/>
        <w:spacing w:line="360" w:lineRule="auto"/>
        <w:ind w:firstLine="420" w:firstLineChars="200"/>
        <w:jc w:val="left"/>
        <w:rPr>
          <w:rFonts w:hint="eastAsia" w:ascii="仿宋" w:hAnsi="仿宋" w:eastAsia="仿宋" w:cs="仿宋"/>
          <w:lang w:val="en-US" w:eastAsia="zh-CN"/>
        </w:rPr>
      </w:pPr>
      <w:r>
        <w:rPr>
          <w:rFonts w:hint="eastAsia" w:ascii="仿宋" w:hAnsi="仿宋" w:eastAsia="仿宋" w:cs="仿宋"/>
          <w:color w:val="000000"/>
          <w:kern w:val="0"/>
          <w:szCs w:val="21"/>
          <w:highlight w:val="none"/>
          <w:lang w:val="zh-CN"/>
        </w:rPr>
        <w:t>3、以上表格要求细分项目及报价，服务类项目填写具体服务。</w:t>
      </w:r>
    </w:p>
    <w:p>
      <w:pPr>
        <w:snapToGrid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en-US" w:eastAsia="zh-CN"/>
        </w:rPr>
        <w:t>4、</w:t>
      </w:r>
      <w:r>
        <w:rPr>
          <w:rFonts w:hint="eastAsia" w:ascii="仿宋" w:hAnsi="仿宋" w:eastAsia="仿宋" w:cs="仿宋"/>
          <w:color w:val="auto"/>
          <w:kern w:val="0"/>
          <w:szCs w:val="21"/>
          <w:highlight w:val="none"/>
          <w:lang w:val="zh-CN"/>
        </w:rPr>
        <w:t>特别提示：采购代理机构将对项目名称和项目编号，成交供应商名称、地址和中标金额，主要中标标的的名称、数量、单价、服务要求等予以公示。</w:t>
      </w:r>
    </w:p>
    <w:p>
      <w:pPr>
        <w:snapToGrid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en-US" w:eastAsia="zh-CN"/>
        </w:rPr>
        <w:t>5</w:t>
      </w:r>
      <w:r>
        <w:rPr>
          <w:rFonts w:hint="eastAsia" w:ascii="仿宋" w:hAnsi="仿宋" w:eastAsia="仿宋" w:cs="仿宋"/>
          <w:color w:val="auto"/>
          <w:kern w:val="0"/>
          <w:szCs w:val="21"/>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tabs>
          <w:tab w:val="left" w:pos="8085"/>
        </w:tabs>
        <w:spacing w:line="360" w:lineRule="auto"/>
        <w:ind w:firstLine="1285" w:firstLineChars="400"/>
        <w:jc w:val="left"/>
        <w:rPr>
          <w:rFonts w:hint="eastAsia" w:ascii="仿宋" w:hAnsi="仿宋" w:eastAsia="仿宋" w:cs="仿宋"/>
          <w:b/>
          <w:color w:val="auto"/>
          <w:sz w:val="32"/>
          <w:szCs w:val="32"/>
          <w:highlight w:val="none"/>
        </w:rPr>
      </w:pPr>
    </w:p>
    <w:p>
      <w:pPr>
        <w:tabs>
          <w:tab w:val="left" w:pos="8085"/>
        </w:tabs>
        <w:spacing w:line="360" w:lineRule="auto"/>
        <w:ind w:firstLine="1285" w:firstLineChars="400"/>
        <w:jc w:val="left"/>
        <w:rPr>
          <w:rFonts w:hint="eastAsia" w:ascii="仿宋" w:hAnsi="仿宋" w:eastAsia="仿宋" w:cs="仿宋"/>
          <w:b/>
          <w:color w:val="auto"/>
          <w:sz w:val="32"/>
          <w:szCs w:val="32"/>
          <w:highlight w:val="none"/>
        </w:rPr>
      </w:pPr>
    </w:p>
    <w:p>
      <w:pPr>
        <w:tabs>
          <w:tab w:val="left" w:pos="8085"/>
        </w:tabs>
        <w:spacing w:line="360" w:lineRule="auto"/>
        <w:ind w:firstLine="1285" w:firstLineChars="400"/>
        <w:jc w:val="left"/>
        <w:rPr>
          <w:rFonts w:hint="eastAsia" w:ascii="仿宋" w:hAnsi="仿宋" w:eastAsia="仿宋" w:cs="仿宋"/>
          <w:b/>
          <w:color w:val="auto"/>
          <w:sz w:val="32"/>
          <w:szCs w:val="32"/>
          <w:highlight w:val="none"/>
        </w:rPr>
      </w:pPr>
    </w:p>
    <w:p>
      <w:pPr>
        <w:tabs>
          <w:tab w:val="left" w:pos="8085"/>
        </w:tabs>
        <w:spacing w:line="360" w:lineRule="auto"/>
        <w:ind w:firstLine="1285" w:firstLineChars="400"/>
        <w:jc w:val="left"/>
        <w:rPr>
          <w:rFonts w:hint="eastAsia" w:ascii="仿宋" w:hAnsi="仿宋" w:eastAsia="仿宋" w:cs="仿宋"/>
          <w:b/>
          <w:color w:val="auto"/>
          <w:sz w:val="32"/>
          <w:szCs w:val="32"/>
          <w:highlight w:val="none"/>
        </w:rPr>
      </w:pPr>
    </w:p>
    <w:p>
      <w:pPr>
        <w:tabs>
          <w:tab w:val="left" w:pos="8085"/>
        </w:tabs>
        <w:spacing w:line="360" w:lineRule="auto"/>
        <w:ind w:firstLine="1285" w:firstLineChars="400"/>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政府采购支持中小企业信用融资相关事项通知</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为贯彻落实中央、省、市关于支持民营经济健康发展有关精神，发挥政府采购在促进中小企业发展中的政策引导作用，缓解中小企业融资难、融资贵问题，建德市财政局、浙江银监局建德监管办事处、建德市人民政府金融工作办公室、建德市经济和信息化局制定《建德市政府采购支持中小企业信用融资实施细则》。相关事项通知如下：</w:t>
      </w:r>
    </w:p>
    <w:p>
      <w:pPr>
        <w:widowControl/>
        <w:spacing w:line="440" w:lineRule="exact"/>
        <w:ind w:firstLine="482"/>
        <w:rPr>
          <w:rFonts w:ascii="仿宋" w:hAnsi="仿宋" w:eastAsia="仿宋" w:cs="仿宋"/>
          <w:color w:val="auto"/>
          <w:szCs w:val="21"/>
          <w:highlight w:val="none"/>
        </w:rPr>
      </w:pPr>
      <w:r>
        <w:rPr>
          <w:rFonts w:hint="eastAsia" w:ascii="仿宋" w:hAnsi="仿宋" w:eastAsia="仿宋" w:cs="仿宋"/>
          <w:b/>
          <w:bCs/>
          <w:color w:val="auto"/>
          <w:kern w:val="0"/>
          <w:sz w:val="24"/>
          <w:highlight w:val="none"/>
          <w:lang w:bidi="ar"/>
        </w:rPr>
        <w:t>一、适用对象</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凡已在浙江政府采购网上注册入库，并取得建德市政府采购合同的中小企业供应商（以下简称“供应商”），均可申请政府采购信用融资。</w:t>
      </w:r>
    </w:p>
    <w:p>
      <w:pPr>
        <w:widowControl/>
        <w:spacing w:line="440" w:lineRule="exact"/>
        <w:ind w:firstLine="482"/>
        <w:rPr>
          <w:rFonts w:ascii="仿宋" w:hAnsi="仿宋" w:eastAsia="仿宋" w:cs="仿宋"/>
          <w:color w:val="auto"/>
          <w:szCs w:val="21"/>
          <w:highlight w:val="none"/>
        </w:rPr>
      </w:pPr>
      <w:r>
        <w:rPr>
          <w:rFonts w:hint="eastAsia" w:ascii="仿宋" w:hAnsi="仿宋" w:eastAsia="仿宋" w:cs="仿宋"/>
          <w:b/>
          <w:bCs/>
          <w:color w:val="auto"/>
          <w:kern w:val="0"/>
          <w:sz w:val="24"/>
          <w:highlight w:val="none"/>
          <w:lang w:bidi="ar"/>
        </w:rPr>
        <w:t>二、政府采购信用融资操作流程：</w:t>
      </w:r>
    </w:p>
    <w:p>
      <w:pPr>
        <w:widowControl/>
        <w:spacing w:line="440" w:lineRule="exact"/>
        <w:ind w:firstLine="96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（一）线上融资模式（政采云）：</w:t>
      </w:r>
    </w:p>
    <w:p>
      <w:pPr>
        <w:widowControl/>
        <w:spacing w:line="440" w:lineRule="exact"/>
        <w:ind w:firstLine="96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操作路劲：登录政采云平台—金融服务中心—融资贷款。</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1.供应商根据合作银行提供的方案，自行选择金融产品，并办理开户等手续；</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2.采购合同签订后，供应商在“政采云”平台向合作银行发出融资申请。</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3.审批通过后，办理放贷手续。</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　　（二）线下融资模式：</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1.供应商根据合作银行提供的方案，自行选择金融产品，向合作银行提出信用资格预审，并办理开户等手续；</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2.采购合同签订后，供应商向合作银行发出融资申请；</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3.合作银行受理申请后，供应商提供审批材料。合作银行应对申请信用融资的供应商及备案的政府采购合同信息进行核对和审查；</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4.审批通过后，合作银行应按照合作备忘录中约定的审批放款期限和优惠利率及时予以放款。</w:t>
      </w:r>
    </w:p>
    <w:p>
      <w:pPr>
        <w:pStyle w:val="2"/>
        <w:keepNext w:val="0"/>
        <w:keepLines w:val="0"/>
        <w:widowControl/>
        <w:spacing w:line="440" w:lineRule="exact"/>
        <w:ind w:left="664" w:leftChars="316" w:firstLine="228" w:firstLineChars="95"/>
        <w:rPr>
          <w:rFonts w:ascii="仿宋" w:eastAsia="仿宋" w:cs="仿宋"/>
          <w:color w:val="auto"/>
          <w:highlight w:val="none"/>
        </w:rPr>
      </w:pPr>
      <w:r>
        <w:rPr>
          <w:rFonts w:hint="eastAsia" w:ascii="仿宋" w:eastAsia="仿宋" w:cs="仿宋"/>
          <w:b w:val="0"/>
          <w:bCs w:val="0"/>
          <w:color w:val="auto"/>
          <w:sz w:val="24"/>
          <w:szCs w:val="24"/>
          <w:highlight w:val="none"/>
        </w:rPr>
        <w:t>（三）杭州e融平台申请融资</w:t>
      </w:r>
    </w:p>
    <w:p>
      <w:pPr>
        <w:widowControl/>
        <w:spacing w:line="440" w:lineRule="exact"/>
        <w:ind w:firstLine="480"/>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供应商通过杭州e融平台政采贷专区，自行选择金融产品，按规定手续办理贷款流程。</w:t>
      </w:r>
    </w:p>
    <w:p>
      <w:pPr>
        <w:widowControl/>
        <w:spacing w:line="440" w:lineRule="exact"/>
        <w:ind w:firstLine="482"/>
        <w:rPr>
          <w:rFonts w:ascii="仿宋" w:hAnsi="仿宋" w:eastAsia="仿宋" w:cs="仿宋"/>
          <w:color w:val="auto"/>
          <w:szCs w:val="21"/>
          <w:highlight w:val="none"/>
        </w:rPr>
      </w:pPr>
      <w:r>
        <w:rPr>
          <w:rFonts w:hint="eastAsia" w:ascii="仿宋" w:hAnsi="仿宋" w:eastAsia="仿宋" w:cs="仿宋"/>
          <w:b/>
          <w:bCs/>
          <w:color w:val="auto"/>
          <w:kern w:val="0"/>
          <w:sz w:val="24"/>
          <w:highlight w:val="none"/>
          <w:lang w:bidi="ar"/>
        </w:rPr>
        <w:t>三、注意事项</w:t>
      </w:r>
    </w:p>
    <w:p>
      <w:pPr>
        <w:widowControl/>
        <w:spacing w:line="440" w:lineRule="exact"/>
        <w:ind w:firstLine="480"/>
        <w:rPr>
          <w:rFonts w:ascii="仿宋" w:hAnsi="仿宋" w:eastAsia="仿宋" w:cs="仿宋"/>
          <w:color w:val="auto"/>
          <w:szCs w:val="21"/>
          <w:highlight w:val="none"/>
        </w:rPr>
      </w:pPr>
      <w:r>
        <w:rPr>
          <w:rFonts w:hint="eastAsia" w:ascii="仿宋" w:hAnsi="仿宋" w:eastAsia="仿宋" w:cs="仿宋"/>
          <w:color w:val="auto"/>
          <w:kern w:val="0"/>
          <w:sz w:val="24"/>
          <w:highlight w:val="none"/>
          <w:lang w:bidi="ar"/>
        </w:rPr>
        <w:t>1.对拟用于信用融资的政府采购合同，供应商在签订合同时应当在合同中注明融资银行名称及账号，作为在该银行的唯一收款账号。</w:t>
      </w:r>
    </w:p>
    <w:p>
      <w:pPr>
        <w:spacing w:line="440" w:lineRule="exact"/>
        <w:ind w:firstLine="480" w:firstLineChars="200"/>
        <w:rPr>
          <w:rFonts w:hint="eastAsia" w:ascii="仿宋" w:hAnsi="仿宋" w:eastAsia="仿宋" w:cs="仿宋"/>
          <w:b/>
          <w:bCs/>
          <w:color w:val="auto"/>
          <w:kern w:val="0"/>
          <w:sz w:val="24"/>
          <w:highlight w:val="none"/>
          <w:lang w:val="en-US" w:eastAsia="zh-CN"/>
        </w:rPr>
      </w:pPr>
      <w:r>
        <w:rPr>
          <w:rFonts w:hint="eastAsia" w:ascii="仿宋" w:hAnsi="仿宋" w:eastAsia="仿宋" w:cs="仿宋"/>
          <w:color w:val="auto"/>
          <w:kern w:val="0"/>
          <w:sz w:val="24"/>
          <w:highlight w:val="none"/>
          <w:lang w:bidi="ar"/>
        </w:rPr>
        <w:t>2.供应商弄虚作假或以伪造政府采购合同等方式违规获取政府采购信用融资，或不及时还款，或出现其他违反规定情形的，按融资合同约定承担违约责任；涉嫌犯罪的，移送司法机关处理。</w:t>
      </w:r>
      <w:r>
        <w:rPr>
          <w:rFonts w:hint="eastAsia" w:ascii="仿宋" w:hAnsi="仿宋" w:eastAsia="仿宋" w:cs="仿宋"/>
          <w:color w:val="auto"/>
          <w:kern w:val="0"/>
          <w:sz w:val="24"/>
          <w:highlight w:val="none"/>
          <w:lang w:val="en-US" w:eastAsia="zh-CN" w:bidi="ar"/>
        </w:rPr>
        <w:t xml:space="preserve"> </w:t>
      </w:r>
    </w:p>
    <w:p>
      <w:pPr>
        <w:pStyle w:val="5"/>
        <w:keepNext w:val="0"/>
        <w:keepLines w:val="0"/>
        <w:pageBreakBefore/>
        <w:widowControl/>
        <w:spacing w:before="100" w:beforeAutospacing="1" w:after="100" w:afterAutospacing="1" w:line="360" w:lineRule="auto"/>
        <w:ind w:left="1290" w:firstLine="3092" w:firstLineChars="700"/>
        <w:rPr>
          <w:rFonts w:ascii="仿宋" w:hAnsi="仿宋" w:eastAsia="仿宋" w:cs="仿宋"/>
          <w:color w:val="auto"/>
          <w:highlight w:val="none"/>
        </w:rPr>
      </w:pPr>
      <w:bookmarkStart w:id="182" w:name="_Toc465665161"/>
      <w:r>
        <w:rPr>
          <w:rFonts w:hint="eastAsia" w:ascii="仿宋" w:hAnsi="仿宋" w:eastAsia="仿宋" w:cs="仿宋"/>
          <w:color w:val="auto"/>
          <w:highlight w:val="none"/>
        </w:rPr>
        <w:t>附件</w:t>
      </w:r>
      <w:bookmarkEnd w:id="182"/>
    </w:p>
    <w:p>
      <w:pPr>
        <w:spacing w:line="360" w:lineRule="auto"/>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pPr>
        <w:spacing w:line="360" w:lineRule="auto"/>
        <w:jc w:val="center"/>
        <w:rPr>
          <w:rFonts w:ascii="仿宋" w:hAnsi="仿宋" w:eastAsia="仿宋" w:cs="仿宋"/>
          <w:b/>
          <w:color w:val="auto"/>
          <w:spacing w:val="6"/>
          <w:sz w:val="32"/>
          <w:szCs w:val="32"/>
          <w:highlight w:val="none"/>
        </w:rPr>
      </w:pPr>
      <w:bookmarkStart w:id="183" w:name="OLE_LINK13"/>
      <w:bookmarkStart w:id="184" w:name="OLE_LINK14"/>
      <w:r>
        <w:rPr>
          <w:rFonts w:hint="eastAsia" w:ascii="仿宋" w:hAnsi="仿宋" w:eastAsia="仿宋" w:cs="仿宋"/>
          <w:b/>
          <w:color w:val="auto"/>
          <w:spacing w:val="6"/>
          <w:sz w:val="32"/>
          <w:szCs w:val="32"/>
          <w:highlight w:val="none"/>
        </w:rPr>
        <w:t>残疾人福利性单位声明函</w:t>
      </w:r>
    </w:p>
    <w:bookmarkEnd w:id="183"/>
    <w:bookmarkEnd w:id="184"/>
    <w:p>
      <w:pPr>
        <w:spacing w:line="360" w:lineRule="auto"/>
        <w:rPr>
          <w:rFonts w:ascii="仿宋" w:hAnsi="仿宋" w:eastAsia="仿宋" w:cs="仿宋"/>
          <w:b/>
          <w:color w:val="auto"/>
          <w:spacing w:val="6"/>
          <w:sz w:val="30"/>
          <w:szCs w:val="30"/>
          <w:highlight w:val="none"/>
        </w:rPr>
      </w:pP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spacing w:line="360" w:lineRule="auto"/>
        <w:ind w:firstLine="480" w:firstLineChars="200"/>
        <w:rPr>
          <w:rFonts w:ascii="仿宋" w:hAnsi="仿宋" w:eastAsia="仿宋" w:cs="仿宋"/>
          <w:color w:val="auto"/>
          <w:sz w:val="24"/>
          <w:highlight w:val="none"/>
        </w:rPr>
      </w:pPr>
    </w:p>
    <w:p>
      <w:pPr>
        <w:spacing w:line="360" w:lineRule="auto"/>
        <w:ind w:firstLine="480" w:firstLineChars="200"/>
        <w:rPr>
          <w:rFonts w:ascii="仿宋" w:hAnsi="仿宋" w:eastAsia="仿宋" w:cs="仿宋"/>
          <w:color w:val="auto"/>
          <w:sz w:val="24"/>
          <w:highlight w:val="none"/>
        </w:rPr>
      </w:pPr>
    </w:p>
    <w:p>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spacing w:line="360" w:lineRule="auto"/>
        <w:ind w:firstLine="480" w:firstLineChars="200"/>
        <w:rPr>
          <w:rFonts w:ascii="仿宋" w:hAnsi="仿宋" w:eastAsia="仿宋" w:cs="仿宋"/>
          <w:color w:val="auto"/>
          <w:sz w:val="24"/>
          <w:highlight w:val="none"/>
        </w:rPr>
      </w:pPr>
    </w:p>
    <w:p>
      <w:pPr>
        <w:spacing w:line="360" w:lineRule="auto"/>
        <w:ind w:firstLine="420" w:firstLineChars="200"/>
        <w:rPr>
          <w:rFonts w:ascii="仿宋" w:hAnsi="仿宋" w:eastAsia="仿宋" w:cs="仿宋"/>
          <w:color w:val="auto"/>
          <w:highlight w:val="none"/>
        </w:rPr>
      </w:pPr>
    </w:p>
    <w:p>
      <w:pPr>
        <w:spacing w:line="360" w:lineRule="auto"/>
        <w:ind w:firstLine="420" w:firstLineChars="200"/>
        <w:rPr>
          <w:rFonts w:ascii="仿宋" w:hAnsi="仿宋" w:eastAsia="仿宋" w:cs="仿宋"/>
          <w:color w:val="auto"/>
          <w:highlight w:val="none"/>
        </w:rPr>
      </w:pPr>
    </w:p>
    <w:p>
      <w:pPr>
        <w:spacing w:line="360" w:lineRule="auto"/>
        <w:ind w:firstLine="420" w:firstLineChars="200"/>
        <w:rPr>
          <w:rFonts w:ascii="仿宋" w:hAnsi="仿宋" w:eastAsia="仿宋" w:cs="仿宋"/>
          <w:color w:val="auto"/>
          <w:highlight w:val="none"/>
        </w:rPr>
      </w:pPr>
    </w:p>
    <w:p>
      <w:pPr>
        <w:spacing w:line="360" w:lineRule="auto"/>
        <w:ind w:firstLine="420" w:firstLineChars="200"/>
        <w:rPr>
          <w:rFonts w:ascii="仿宋" w:hAnsi="仿宋" w:eastAsia="仿宋" w:cs="仿宋"/>
          <w:color w:val="auto"/>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jc w:val="lef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pPr>
        <w:snapToGrid w:val="0"/>
        <w:spacing w:before="240" w:beforeLines="100"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jc w:val="center"/>
        <w:rPr>
          <w:rFonts w:ascii="仿宋" w:hAnsi="仿宋" w:eastAsia="仿宋" w:cs="仿宋"/>
          <w:b/>
          <w:bCs/>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color w:val="auto"/>
          <w:sz w:val="30"/>
          <w:szCs w:val="30"/>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left"/>
        <w:rPr>
          <w:rFonts w:ascii="仿宋" w:hAnsi="仿宋" w:eastAsia="仿宋" w:cs="仿宋"/>
          <w:b/>
          <w:color w:val="auto"/>
          <w:spacing w:val="6"/>
          <w:sz w:val="32"/>
          <w:szCs w:val="32"/>
          <w:highlight w:val="none"/>
        </w:rPr>
      </w:pPr>
    </w:p>
    <w:p>
      <w:pPr>
        <w:spacing w:line="360" w:lineRule="auto"/>
        <w:jc w:val="left"/>
        <w:rPr>
          <w:rFonts w:ascii="仿宋" w:hAnsi="仿宋" w:eastAsia="仿宋" w:cs="仿宋"/>
          <w:b/>
          <w:color w:val="auto"/>
          <w:spacing w:val="6"/>
          <w:sz w:val="32"/>
          <w:szCs w:val="32"/>
          <w:highlight w:val="none"/>
        </w:rPr>
      </w:pPr>
    </w:p>
    <w:p>
      <w:pPr>
        <w:spacing w:line="360" w:lineRule="auto"/>
        <w:jc w:val="lef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pPr>
        <w:spacing w:line="360" w:lineRule="auto"/>
        <w:jc w:val="center"/>
        <w:rPr>
          <w:rFonts w:ascii="仿宋" w:hAnsi="仿宋" w:eastAsia="仿宋" w:cs="仿宋"/>
          <w:b/>
          <w:color w:val="auto"/>
          <w:sz w:val="24"/>
          <w:highlight w:val="none"/>
        </w:rPr>
      </w:pPr>
    </w:p>
    <w:p>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tabs>
          <w:tab w:val="left" w:pos="6510"/>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tabs>
          <w:tab w:val="left" w:pos="6510"/>
        </w:tabs>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被投诉人2</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pPr>
        <w:spacing w:line="360" w:lineRule="auto"/>
        <w:ind w:firstLine="480" w:firstLineChars="200"/>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投诉事项2</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pPr>
        <w:widowControl/>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
          <w:b/>
          <w:color w:val="auto"/>
          <w:sz w:val="24"/>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u w:val="single"/>
          <w:lang w:eastAsia="zh-CN"/>
        </w:rPr>
        <w:t>杭州市生态环境局建德分局</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杭州欣兴建设工程招标代理有限公司</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2022-2025年建德市大气污染防治第三方技术服务采购项目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JD2022BF-138</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特此说明。</w:t>
      </w:r>
    </w:p>
    <w:p>
      <w:pPr>
        <w:spacing w:line="360" w:lineRule="auto"/>
        <w:ind w:firstLine="494"/>
        <w:rPr>
          <w:rFonts w:ascii="仿宋" w:hAnsi="仿宋" w:eastAsia="仿宋" w:cs="仿宋"/>
          <w:color w:val="auto"/>
          <w:sz w:val="24"/>
          <w:highlight w:val="none"/>
        </w:rPr>
      </w:pPr>
    </w:p>
    <w:p>
      <w:pPr>
        <w:spacing w:line="360" w:lineRule="auto"/>
        <w:ind w:firstLine="494"/>
        <w:rPr>
          <w:rFonts w:ascii="仿宋" w:hAnsi="仿宋" w:eastAsia="仿宋" w:cs="仿宋"/>
          <w:color w:val="auto"/>
          <w:sz w:val="24"/>
          <w:highlight w:val="none"/>
        </w:rPr>
      </w:pPr>
    </w:p>
    <w:p>
      <w:pPr>
        <w:spacing w:line="360" w:lineRule="auto"/>
        <w:ind w:firstLine="494"/>
        <w:rPr>
          <w:rFonts w:ascii="仿宋" w:hAnsi="仿宋" w:eastAsia="仿宋" w:cs="仿宋"/>
          <w:color w:val="auto"/>
          <w:sz w:val="24"/>
          <w:highlight w:val="none"/>
        </w:rPr>
      </w:pPr>
    </w:p>
    <w:p>
      <w:pPr>
        <w:spacing w:line="360" w:lineRule="auto"/>
        <w:ind w:firstLine="494"/>
        <w:rPr>
          <w:rFonts w:ascii="仿宋" w:hAnsi="仿宋" w:eastAsia="仿宋" w:cs="仿宋"/>
          <w:color w:val="auto"/>
          <w:sz w:val="24"/>
          <w:highlight w:val="none"/>
        </w:rPr>
      </w:pPr>
    </w:p>
    <w:p>
      <w:pPr>
        <w:spacing w:line="360" w:lineRule="auto"/>
        <w:ind w:right="480"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pPr>
        <w:ind w:right="1440" w:firstLine="494"/>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rPr>
          <w:rFonts w:ascii="仿宋" w:hAnsi="仿宋" w:eastAsia="仿宋" w:cs="仿宋"/>
          <w:color w:val="auto"/>
          <w:sz w:val="24"/>
          <w:highlight w:val="none"/>
        </w:rPr>
      </w:pPr>
      <w:r>
        <w:rPr>
          <w:rFonts w:hint="eastAsia" w:ascii="仿宋" w:hAnsi="仿宋" w:eastAsia="仿宋" w:cs="仿宋"/>
          <w:b/>
          <w:bCs/>
          <w:color w:val="auto"/>
          <w:sz w:val="24"/>
          <w:highlight w:val="none"/>
        </w:rPr>
        <w:t>附：</w:t>
      </w:r>
    </w:p>
    <w:p>
      <w:pPr>
        <w:spacing w:line="360" w:lineRule="auto"/>
        <w:rPr>
          <w:rFonts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color w:val="auto"/>
          <w:spacing w:val="6"/>
          <w:sz w:val="32"/>
          <w:szCs w:val="32"/>
          <w:highlight w:val="none"/>
        </w:rPr>
      </w:pPr>
    </w:p>
    <w:p>
      <w:pPr>
        <w:autoSpaceDE w:val="0"/>
        <w:autoSpaceDN w:val="0"/>
        <w:jc w:val="center"/>
        <w:rPr>
          <w:rFonts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p>
    <w:p>
      <w:pPr>
        <w:spacing w:line="360" w:lineRule="auto"/>
        <w:jc w:val="center"/>
        <w:rPr>
          <w:rFonts w:ascii="仿宋" w:hAnsi="仿宋" w:eastAsia="仿宋" w:cs="仿宋"/>
          <w:color w:val="auto"/>
          <w:sz w:val="24"/>
          <w:highlight w:val="none"/>
          <w:u w:val="single"/>
        </w:rPr>
      </w:pPr>
    </w:p>
    <w:p>
      <w:pPr>
        <w:spacing w:line="360" w:lineRule="auto"/>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中小企业声明函（工程、服务）</w:t>
      </w:r>
    </w:p>
    <w:p>
      <w:pPr>
        <w:spacing w:line="360" w:lineRule="auto"/>
        <w:rPr>
          <w:rFonts w:ascii="仿宋" w:hAnsi="仿宋" w:eastAsia="仿宋" w:cs="仿宋"/>
          <w:color w:val="auto"/>
          <w:highlight w:val="none"/>
        </w:rPr>
      </w:pPr>
    </w:p>
    <w:p>
      <w:pPr>
        <w:spacing w:line="360" w:lineRule="auto"/>
        <w:ind w:firstLine="360" w:firstLineChars="15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（单位名称） 的 </w:t>
      </w:r>
      <w:r>
        <w:rPr>
          <w:rFonts w:hint="eastAsia" w:ascii="仿宋" w:hAnsi="仿宋" w:eastAsia="仿宋" w:cs="仿宋"/>
          <w:color w:val="auto"/>
          <w:sz w:val="24"/>
          <w:highlight w:val="none"/>
          <w:lang w:eastAsia="zh-CN"/>
        </w:rPr>
        <w:t>2022-2025年建德市大气污染防治第三方技术服务采购项目</w:t>
      </w:r>
      <w:r>
        <w:rPr>
          <w:rFonts w:hint="eastAsia" w:ascii="仿宋" w:hAnsi="仿宋" w:eastAsia="仿宋" w:cs="仿宋"/>
          <w:color w:val="auto"/>
          <w:sz w:val="24"/>
          <w:highlight w:val="none"/>
        </w:rPr>
        <w:t xml:space="preserve"> 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pacing w:line="360" w:lineRule="auto"/>
        <w:ind w:right="1760"/>
        <w:jc w:val="right"/>
        <w:rPr>
          <w:rFonts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pPr>
        <w:spacing w:line="360" w:lineRule="auto"/>
        <w:ind w:right="1120" w:firstLine="4560" w:firstLineChars="190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pPr>
        <w:spacing w:line="360" w:lineRule="auto"/>
        <w:ind w:firstLine="310" w:firstLineChars="147"/>
        <w:jc w:val="left"/>
        <w:rPr>
          <w:rFonts w:hint="eastAsia" w:ascii="仿宋" w:hAnsi="仿宋" w:eastAsia="仿宋" w:cs="仿宋"/>
          <w:b/>
          <w:color w:val="auto"/>
          <w:szCs w:val="21"/>
          <w:highlight w:val="none"/>
        </w:rPr>
      </w:pPr>
    </w:p>
    <w:p>
      <w:pPr>
        <w:spacing w:line="360" w:lineRule="auto"/>
        <w:ind w:firstLine="310" w:firstLineChars="147"/>
        <w:jc w:val="left"/>
        <w:rPr>
          <w:rFonts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pPr>
        <w:spacing w:line="360" w:lineRule="auto"/>
        <w:ind w:right="420"/>
        <w:rPr>
          <w:rFonts w:ascii="仿宋" w:hAnsi="仿宋" w:eastAsia="仿宋" w:cs="仿宋"/>
          <w:color w:val="auto"/>
          <w:sz w:val="24"/>
          <w:highlight w:val="non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jc w:val="center"/>
        <w:rPr>
          <w:rFonts w:hint="eastAsia" w:ascii="仿宋" w:hAnsi="仿宋" w:eastAsia="仿宋" w:cs="仿宋"/>
          <w:b/>
          <w:color w:val="auto"/>
          <w:spacing w:val="6"/>
          <w:sz w:val="32"/>
          <w:szCs w:val="32"/>
          <w:highlight w:val="none"/>
        </w:rPr>
      </w:pPr>
    </w:p>
    <w:p>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lang w:val="zh-CN"/>
        </w:rPr>
        <w:t>联合协议</w:t>
      </w:r>
    </w:p>
    <w:p>
      <w:pPr>
        <w:keepNext w:val="0"/>
        <w:keepLines w:val="0"/>
        <w:pageBreakBefore w:val="0"/>
        <w:widowControl/>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kern w:val="0"/>
          <w:sz w:val="24"/>
          <w:highlight w:val="none"/>
          <w:lang w:eastAsia="zh-CN"/>
        </w:rPr>
        <w:t>2022-2025年建德市大气污染防治第三方技术服务采购项目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JD2022BF-138</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投标。 </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bookmarkStart w:id="185"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185"/>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（未预留份额专门面向中小企业采购的的采购项目，以及预留份额中的非预留部分采购包，接受联合体投标的，联合协议约定小微企业的合同份额占到合同总金额30%以上的，对联合体报价给予</w:t>
      </w:r>
      <w:r>
        <w:rPr>
          <w:rFonts w:hint="eastAsia" w:ascii="仿宋" w:hAnsi="仿宋" w:eastAsia="仿宋" w:cs="仿宋"/>
          <w:b/>
          <w:color w:val="auto"/>
          <w:kern w:val="0"/>
          <w:sz w:val="24"/>
          <w:highlight w:val="none"/>
          <w:lang w:val="en-US" w:eastAsia="zh-CN"/>
        </w:rPr>
        <w:t>6</w:t>
      </w:r>
      <w:r>
        <w:rPr>
          <w:rFonts w:hint="eastAsia" w:ascii="仿宋" w:hAnsi="仿宋" w:eastAsia="仿宋" w:cs="仿宋"/>
          <w:b/>
          <w:color w:val="auto"/>
          <w:kern w:val="0"/>
          <w:sz w:val="24"/>
          <w:highlight w:val="none"/>
          <w:lang w:val="zh-CN"/>
        </w:rPr>
        <w:t>%的扣除。供应商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400" w:lineRule="exact"/>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五、若中标，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keepNext w:val="0"/>
        <w:keepLines w:val="0"/>
        <w:pageBreakBefore w:val="0"/>
        <w:kinsoku/>
        <w:wordWrap/>
        <w:overflowPunct/>
        <w:topLinePunct w:val="0"/>
        <w:autoSpaceDE/>
        <w:autoSpaceDN/>
        <w:bidi w:val="0"/>
        <w:adjustRightInd w:val="0"/>
        <w:snapToGrid w:val="0"/>
        <w:spacing w:line="240"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keepNext w:val="0"/>
        <w:keepLines w:val="0"/>
        <w:pageBreakBefore w:val="0"/>
        <w:kinsoku/>
        <w:wordWrap/>
        <w:overflowPunct/>
        <w:topLinePunct w:val="0"/>
        <w:autoSpaceDE/>
        <w:autoSpaceDN/>
        <w:bidi w:val="0"/>
        <w:adjustRightInd w:val="0"/>
        <w:snapToGrid w:val="0"/>
        <w:spacing w:line="240"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keepNext w:val="0"/>
        <w:keepLines w:val="0"/>
        <w:pageBreakBefore w:val="0"/>
        <w:kinsoku/>
        <w:wordWrap/>
        <w:overflowPunct/>
        <w:topLinePunct w:val="0"/>
        <w:autoSpaceDE/>
        <w:autoSpaceDN/>
        <w:bidi w:val="0"/>
        <w:adjustRightInd w:val="0"/>
        <w:snapToGrid w:val="0"/>
        <w:spacing w:line="240"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keepNext w:val="0"/>
        <w:keepLines w:val="0"/>
        <w:pageBreakBefore w:val="0"/>
        <w:kinsoku/>
        <w:wordWrap/>
        <w:overflowPunct/>
        <w:topLinePunct w:val="0"/>
        <w:autoSpaceDE/>
        <w:autoSpaceDN/>
        <w:bidi w:val="0"/>
        <w:adjustRightInd w:val="0"/>
        <w:snapToGrid w:val="0"/>
        <w:spacing w:line="240"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pPr>
        <w:keepNext w:val="0"/>
        <w:keepLines w:val="0"/>
        <w:pageBreakBefore w:val="0"/>
        <w:kinsoku/>
        <w:wordWrap/>
        <w:overflowPunct/>
        <w:topLinePunct w:val="0"/>
        <w:autoSpaceDE/>
        <w:autoSpaceDN/>
        <w:bidi w:val="0"/>
        <w:adjustRightInd w:val="0"/>
        <w:snapToGrid w:val="0"/>
        <w:spacing w:line="400" w:lineRule="exact"/>
        <w:ind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napToGrid w:val="0"/>
        <w:spacing w:line="440" w:lineRule="exact"/>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snapToGrid w:val="0"/>
        <w:spacing w:line="440" w:lineRule="exact"/>
        <w:jc w:val="center"/>
        <w:rPr>
          <w:rFonts w:hint="eastAsia" w:ascii="仿宋" w:hAnsi="仿宋" w:eastAsia="仿宋" w:cs="仿宋"/>
          <w:b/>
          <w:spacing w:val="6"/>
          <w:sz w:val="32"/>
          <w:szCs w:val="32"/>
        </w:rPr>
      </w:pPr>
    </w:p>
    <w:p>
      <w:pPr>
        <w:snapToGrid w:val="0"/>
        <w:spacing w:line="440" w:lineRule="exact"/>
        <w:jc w:val="center"/>
        <w:rPr>
          <w:rFonts w:hint="eastAsia" w:ascii="仿宋" w:hAnsi="仿宋" w:eastAsia="仿宋" w:cs="仿宋"/>
          <w:b/>
          <w:kern w:val="0"/>
          <w:sz w:val="32"/>
          <w:szCs w:val="32"/>
        </w:rPr>
      </w:pPr>
      <w:r>
        <w:rPr>
          <w:rFonts w:hint="eastAsia" w:ascii="仿宋" w:hAnsi="仿宋" w:eastAsia="仿宋" w:cs="仿宋"/>
          <w:b/>
          <w:spacing w:val="6"/>
          <w:sz w:val="32"/>
          <w:szCs w:val="32"/>
        </w:rPr>
        <w:t>附件7：</w:t>
      </w:r>
      <w:r>
        <w:rPr>
          <w:rFonts w:hint="eastAsia" w:ascii="仿宋" w:hAnsi="仿宋" w:eastAsia="仿宋" w:cs="仿宋"/>
          <w:b/>
          <w:kern w:val="0"/>
          <w:sz w:val="32"/>
          <w:szCs w:val="32"/>
        </w:rPr>
        <w:t>分包意向协议</w:t>
      </w:r>
    </w:p>
    <w:p>
      <w:pPr>
        <w:widowControl/>
        <w:spacing w:line="440" w:lineRule="exact"/>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snapToGrid w:val="0"/>
        <w:spacing w:line="440" w:lineRule="exact"/>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lang w:eastAsia="zh-CN"/>
        </w:rPr>
        <w:t>2022-2025年建德市大气污染防治第三方技术服务采购项目</w:t>
      </w:r>
      <w:r>
        <w:rPr>
          <w:rFonts w:hint="eastAsia" w:ascii="仿宋" w:hAnsi="仿宋" w:eastAsia="仿宋" w:cs="仿宋"/>
          <w:sz w:val="24"/>
        </w:rPr>
        <w:t>【招标编号：</w:t>
      </w:r>
      <w:r>
        <w:rPr>
          <w:rFonts w:hint="eastAsia" w:ascii="仿宋" w:hAnsi="仿宋" w:eastAsia="仿宋" w:cs="仿宋"/>
          <w:sz w:val="24"/>
          <w:lang w:eastAsia="zh-CN"/>
        </w:rPr>
        <w:t>JD2022BF-138</w:t>
      </w:r>
      <w:r>
        <w:rPr>
          <w:rFonts w:hint="eastAsia" w:ascii="仿宋" w:hAnsi="仿宋" w:eastAsia="仿宋" w:cs="仿宋"/>
          <w:sz w:val="24"/>
        </w:rPr>
        <w:t>】</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snapToGrid w:val="0"/>
        <w:spacing w:line="44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pPr>
        <w:snapToGrid w:val="0"/>
        <w:spacing w:line="440" w:lineRule="exact"/>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pPr>
        <w:pStyle w:val="2"/>
        <w:spacing w:line="440" w:lineRule="exact"/>
        <w:ind w:left="863" w:leftChars="411" w:firstLine="0"/>
        <w:rPr>
          <w:rFonts w:hint="eastAsia" w:ascii="仿宋" w:eastAsia="仿宋" w:cs="仿宋"/>
          <w:kern w:val="0"/>
          <w:sz w:val="24"/>
          <w:szCs w:val="24"/>
        </w:rPr>
      </w:pPr>
      <w:r>
        <w:rPr>
          <w:rFonts w:hint="eastAsia" w:ascii="仿宋" w:eastAsia="仿宋" w:cs="仿宋"/>
          <w:kern w:val="0"/>
          <w:sz w:val="24"/>
          <w:szCs w:val="24"/>
        </w:rPr>
        <w:t>……</w:t>
      </w:r>
    </w:p>
    <w:p>
      <w:pPr>
        <w:snapToGrid w:val="0"/>
        <w:spacing w:line="44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pPr>
        <w:snapToGrid w:val="0"/>
        <w:spacing w:line="440" w:lineRule="exact"/>
        <w:ind w:firstLine="576"/>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（未预留份额专门面向中小企业采购的的采购项目，以及预留份额中的非预留部分采购包，允许分包的，分包意向协议约定小微企业的合同份额占到合同总金额30%以上的，对大中型企业的报价给予</w:t>
      </w:r>
      <w:r>
        <w:rPr>
          <w:rFonts w:hint="eastAsia" w:ascii="仿宋" w:hAnsi="仿宋" w:eastAsia="仿宋" w:cs="仿宋"/>
          <w:b/>
          <w:kern w:val="0"/>
          <w:sz w:val="24"/>
        </w:rPr>
        <w:t>6</w:t>
      </w:r>
      <w:r>
        <w:rPr>
          <w:rFonts w:hint="eastAsia" w:ascii="仿宋" w:hAnsi="仿宋" w:eastAsia="仿宋" w:cs="仿宋"/>
          <w:b/>
          <w:kern w:val="0"/>
          <w:sz w:val="24"/>
          <w:lang w:val="zh-CN"/>
        </w:rPr>
        <w:t>%的扣除。供应商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pacing w:line="440" w:lineRule="exact"/>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186"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bookmarkEnd w:id="186"/>
    </w:p>
    <w:p>
      <w:pPr>
        <w:snapToGrid w:val="0"/>
        <w:spacing w:line="40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pPr>
        <w:snapToGrid w:val="0"/>
        <w:spacing w:line="400" w:lineRule="exact"/>
        <w:ind w:firstLine="576"/>
        <w:rPr>
          <w:rFonts w:hint="eastAsia" w:ascii="仿宋" w:hAnsi="仿宋" w:eastAsia="仿宋" w:cs="仿宋"/>
          <w:u w:val="single"/>
        </w:rPr>
      </w:pPr>
      <w:r>
        <w:rPr>
          <w:rFonts w:hint="eastAsia" w:ascii="仿宋" w:hAnsi="仿宋" w:eastAsia="仿宋" w:cs="仿宋"/>
          <w:u w:val="single"/>
        </w:rPr>
        <w:t xml:space="preserve">                                                                                  </w:t>
      </w:r>
    </w:p>
    <w:p>
      <w:pPr>
        <w:snapToGrid w:val="0"/>
        <w:spacing w:line="40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四、质量</w:t>
      </w:r>
    </w:p>
    <w:p>
      <w:pPr>
        <w:snapToGrid w:val="0"/>
        <w:spacing w:line="400" w:lineRule="exact"/>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40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pPr>
        <w:snapToGrid w:val="0"/>
        <w:spacing w:line="400" w:lineRule="exact"/>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400" w:lineRule="exact"/>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pPr>
        <w:snapToGrid w:val="0"/>
        <w:spacing w:line="400" w:lineRule="exact"/>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40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pPr>
        <w:snapToGrid w:val="0"/>
        <w:spacing w:line="400" w:lineRule="exact"/>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400" w:lineRule="exact"/>
        <w:ind w:left="5758" w:leftChars="342" w:hanging="5040" w:hangingChars="2100"/>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w:t>
      </w:r>
    </w:p>
    <w:p>
      <w:pPr>
        <w:snapToGrid w:val="0"/>
        <w:spacing w:line="400" w:lineRule="exact"/>
        <w:ind w:firstLine="5640" w:firstLineChars="23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pPr>
        <w:snapToGrid w:val="0"/>
        <w:spacing w:line="400" w:lineRule="exact"/>
        <w:ind w:firstLine="5760" w:firstLineChars="2400"/>
        <w:rPr>
          <w:rFonts w:hint="eastAsia" w:ascii="仿宋" w:hAnsi="仿宋" w:eastAsia="仿宋" w:cs="仿宋"/>
        </w:rPr>
      </w:pPr>
      <w:r>
        <w:rPr>
          <w:rFonts w:hint="eastAsia" w:ascii="仿宋" w:hAnsi="仿宋" w:eastAsia="仿宋" w:cs="仿宋"/>
          <w:kern w:val="0"/>
          <w:sz w:val="24"/>
          <w:lang w:val="zh-CN"/>
        </w:rPr>
        <w:t>……</w:t>
      </w:r>
    </w:p>
    <w:p>
      <w:pPr>
        <w:spacing w:line="400" w:lineRule="exact"/>
        <w:jc w:val="center"/>
        <w:outlineLvl w:val="0"/>
        <w:rPr>
          <w:rFonts w:hint="eastAsia"/>
        </w:rPr>
      </w:pPr>
      <w:r>
        <w:rPr>
          <w:rFonts w:hint="eastAsia" w:ascii="仿宋" w:hAnsi="仿宋" w:eastAsia="仿宋" w:cs="仿宋"/>
          <w:kern w:val="0"/>
          <w:sz w:val="24"/>
          <w:lang w:val="zh-CN"/>
        </w:rPr>
        <w:t xml:space="preserve">                                        日期：  年  月   日</w:t>
      </w:r>
    </w:p>
    <w:sectPr>
      <w:headerReference r:id="rId19" w:type="first"/>
      <w:footerReference r:id="rId22" w:type="first"/>
      <w:headerReference r:id="rId18" w:type="default"/>
      <w:footerReference r:id="rId20" w:type="default"/>
      <w:footerReference r:id="rId21"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panose1 w:val="020B0604020202020204"/>
    <w:charset w:val="00"/>
    <w:family w:val="swiss"/>
    <w:pitch w:val="default"/>
    <w:sig w:usb0="00000000" w:usb1="00000000" w:usb2="00000000" w:usb3="00000000" w:csb0="00000000" w:csb1="00000000"/>
  </w:font>
  <w:font w:name="Futura Bk">
    <w:altName w:val="Courier New"/>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Courier New"/>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Wingdings 2">
    <w:panose1 w:val="05020102010507070707"/>
    <w:charset w:val="00"/>
    <w:family w:val="auto"/>
    <w:pitch w:val="default"/>
    <w:sig w:usb0="00000000" w:usb1="00000000" w:usb2="00000000" w:usb3="00000000" w:csb0="80000000"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02870" cy="52705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02870" cy="527050"/>
                      </a:xfrm>
                      <a:prstGeom prst="rect">
                        <a:avLst/>
                      </a:prstGeom>
                      <a:noFill/>
                      <a:ln>
                        <a:noFill/>
                      </a:ln>
                      <a:effectLst/>
                    </wps:spPr>
                    <wps:txbx>
                      <w:txbxContent>
                        <w:p>
                          <w:pPr>
                            <w:pStyle w:val="41"/>
                            <w:rPr>
                              <w:rStyle w:val="72"/>
                              <w:b w:val="0"/>
                              <w:sz w:val="18"/>
                              <w:szCs w:val="18"/>
                            </w:rPr>
                          </w:pPr>
                          <w:r>
                            <w:rPr>
                              <w:b/>
                            </w:rPr>
                            <w:fldChar w:fldCharType="begin"/>
                          </w:r>
                          <w:r>
                            <w:rPr>
                              <w:rStyle w:val="72"/>
                              <w:b w:val="0"/>
                              <w:sz w:val="18"/>
                              <w:szCs w:val="18"/>
                            </w:rPr>
                            <w:instrText xml:space="preserve">PAGE  </w:instrText>
                          </w:r>
                          <w:r>
                            <w:rPr>
                              <w:b/>
                            </w:rPr>
                            <w:fldChar w:fldCharType="separate"/>
                          </w:r>
                          <w:r>
                            <w:rPr>
                              <w:rStyle w:val="72"/>
                              <w:b w:val="0"/>
                              <w:sz w:val="18"/>
                              <w:szCs w:val="18"/>
                            </w:rPr>
                            <w:t>26</w:t>
                          </w:r>
                          <w:r>
                            <w:rPr>
                              <w:b/>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41.5pt;width:8.1pt;mso-position-horizontal:center;mso-position-horizontal-relative:margin;mso-wrap-style:none;z-index:251661312;mso-width-relative:page;mso-height-relative:page;" filled="f" stroked="f" coordsize="21600,21600" o:gfxdata="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s4FjW0AAAAAMBAAAPAAAAAAAAAAEAIAAAACIAAABkcnMv&#10;ZG93bnJldi54bWxQSwECFAAUAAAACACHTuJA0u365tIBAAClAwAADgAAAAAAAAABACAAAAAfAQAA&#10;ZHJzL2Uyb0RvYy54bWxQSwUGAAAAAAYABgBZAQAAYwUAAAAA&#10;">
              <v:fill on="f" focussize="0,0"/>
              <v:stroke on="f"/>
              <v:imagedata o:title=""/>
              <o:lock v:ext="edit" aspectratio="f"/>
              <v:textbox inset="0mm,0mm,0mm,0mm" style="mso-fit-shape-to-text:t;">
                <w:txbxContent>
                  <w:p>
                    <w:pPr>
                      <w:pStyle w:val="41"/>
                      <w:rPr>
                        <w:rStyle w:val="72"/>
                        <w:b w:val="0"/>
                        <w:sz w:val="18"/>
                        <w:szCs w:val="18"/>
                      </w:rPr>
                    </w:pPr>
                    <w:r>
                      <w:rPr>
                        <w:b/>
                      </w:rPr>
                      <w:fldChar w:fldCharType="begin"/>
                    </w:r>
                    <w:r>
                      <w:rPr>
                        <w:rStyle w:val="72"/>
                        <w:b w:val="0"/>
                        <w:sz w:val="18"/>
                        <w:szCs w:val="18"/>
                      </w:rPr>
                      <w:instrText xml:space="preserve">PAGE  </w:instrText>
                    </w:r>
                    <w:r>
                      <w:rPr>
                        <w:b/>
                      </w:rPr>
                      <w:fldChar w:fldCharType="separate"/>
                    </w:r>
                    <w:r>
                      <w:rPr>
                        <w:rStyle w:val="72"/>
                        <w:b w:val="0"/>
                        <w:sz w:val="18"/>
                        <w:szCs w:val="18"/>
                      </w:rPr>
                      <w:t>26</w:t>
                    </w:r>
                    <w:r>
                      <w:rPr>
                        <w:b/>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bookmarkStart w:id="187" w:name="_Toc164085800"/>
    <w:bookmarkStart w:id="188" w:name="_Toc91899912"/>
    <w:bookmarkStart w:id="189" w:name="_Toc131845147"/>
    <w:bookmarkStart w:id="190" w:name="_Toc36110187"/>
    <w:r>
      <w:rPr>
        <w:rFonts w:hint="eastAsia" w:ascii="仿宋_GB2312" w:eastAsia="仿宋_GB2312"/>
        <w:kern w:val="0"/>
        <w:szCs w:val="21"/>
      </w:rPr>
      <w:t xml:space="preserve"> 页</w:t>
    </w:r>
    <w:bookmarkEnd w:id="187"/>
    <w:bookmarkEnd w:id="188"/>
    <w:bookmarkEnd w:id="189"/>
    <w:bookmarkEnd w:id="19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w:t>
    </w:r>
    <w:r>
      <w:t>杭州市政府采购公开招标文件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rPr>
        <w:rFonts w:hint="eastAsia"/>
        <w:sz w:val="21"/>
        <w:szCs w:val="21"/>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72B752"/>
    <w:multiLevelType w:val="singleLevel"/>
    <w:tmpl w:val="C372B752"/>
    <w:lvl w:ilvl="0" w:tentative="0">
      <w:start w:val="1"/>
      <w:numFmt w:val="decimal"/>
      <w:lvlText w:val="%1."/>
      <w:lvlJc w:val="left"/>
      <w:pPr>
        <w:tabs>
          <w:tab w:val="left" w:pos="312"/>
        </w:tabs>
      </w:pPr>
    </w:lvl>
  </w:abstractNum>
  <w:abstractNum w:abstractNumId="1">
    <w:nsid w:val="45F16575"/>
    <w:multiLevelType w:val="singleLevel"/>
    <w:tmpl w:val="45F16575"/>
    <w:lvl w:ilvl="0" w:tentative="0">
      <w:start w:val="1"/>
      <w:numFmt w:val="decimal"/>
      <w:suff w:val="nothing"/>
      <w:lvlText w:val="（%1）"/>
      <w:lvlJc w:val="left"/>
    </w:lvl>
  </w:abstractNum>
  <w:abstractNum w:abstractNumId="2">
    <w:nsid w:val="6E4A2406"/>
    <w:multiLevelType w:val="singleLevel"/>
    <w:tmpl w:val="6E4A2406"/>
    <w:lvl w:ilvl="0" w:tentative="0">
      <w:start w:val="2"/>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dit="readOnly"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JhYzE1NDNmYTJjNDM2ZjY1ZTJlNDQ1NWRiYjFiND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4EB8"/>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0887"/>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946"/>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2FA"/>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109"/>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3C6D"/>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5C5B"/>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3F2A53"/>
    <w:rsid w:val="026B2E25"/>
    <w:rsid w:val="02824D4D"/>
    <w:rsid w:val="02DC4B10"/>
    <w:rsid w:val="02DD76CE"/>
    <w:rsid w:val="02F36323"/>
    <w:rsid w:val="02F5619C"/>
    <w:rsid w:val="030F6088"/>
    <w:rsid w:val="0326446A"/>
    <w:rsid w:val="032D5555"/>
    <w:rsid w:val="03604B36"/>
    <w:rsid w:val="036634D2"/>
    <w:rsid w:val="03B447A3"/>
    <w:rsid w:val="03DD35E4"/>
    <w:rsid w:val="04076900"/>
    <w:rsid w:val="041A5A3B"/>
    <w:rsid w:val="042311BA"/>
    <w:rsid w:val="04277401"/>
    <w:rsid w:val="042B157A"/>
    <w:rsid w:val="048F763B"/>
    <w:rsid w:val="049F330E"/>
    <w:rsid w:val="04AA775C"/>
    <w:rsid w:val="04AF1889"/>
    <w:rsid w:val="04D61A2A"/>
    <w:rsid w:val="04F66F48"/>
    <w:rsid w:val="05107A47"/>
    <w:rsid w:val="05251E14"/>
    <w:rsid w:val="05A16594"/>
    <w:rsid w:val="05A7762D"/>
    <w:rsid w:val="060E5941"/>
    <w:rsid w:val="06110FAF"/>
    <w:rsid w:val="06460BF7"/>
    <w:rsid w:val="06493CA7"/>
    <w:rsid w:val="065A6178"/>
    <w:rsid w:val="066F1CF3"/>
    <w:rsid w:val="06930BB8"/>
    <w:rsid w:val="070E664D"/>
    <w:rsid w:val="07245D42"/>
    <w:rsid w:val="07264C62"/>
    <w:rsid w:val="0745054C"/>
    <w:rsid w:val="075F245C"/>
    <w:rsid w:val="0779354C"/>
    <w:rsid w:val="07885862"/>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013A9"/>
    <w:rsid w:val="0A1C0718"/>
    <w:rsid w:val="0A36539C"/>
    <w:rsid w:val="0A3E7710"/>
    <w:rsid w:val="0A5B7E63"/>
    <w:rsid w:val="0A7F7F97"/>
    <w:rsid w:val="0AA374A5"/>
    <w:rsid w:val="0AAB7649"/>
    <w:rsid w:val="0ABC5606"/>
    <w:rsid w:val="0AC969E6"/>
    <w:rsid w:val="0B30404E"/>
    <w:rsid w:val="0B41524D"/>
    <w:rsid w:val="0B4C6C14"/>
    <w:rsid w:val="0B583FCB"/>
    <w:rsid w:val="0B631A88"/>
    <w:rsid w:val="0B683D45"/>
    <w:rsid w:val="0B7F3F11"/>
    <w:rsid w:val="0B867103"/>
    <w:rsid w:val="0B884417"/>
    <w:rsid w:val="0BA807E1"/>
    <w:rsid w:val="0BE80ADC"/>
    <w:rsid w:val="0BF6188C"/>
    <w:rsid w:val="0BF73C91"/>
    <w:rsid w:val="0C0701CD"/>
    <w:rsid w:val="0C170175"/>
    <w:rsid w:val="0C21576A"/>
    <w:rsid w:val="0C571A41"/>
    <w:rsid w:val="0C5C1171"/>
    <w:rsid w:val="0C5E1CBC"/>
    <w:rsid w:val="0C615B50"/>
    <w:rsid w:val="0C8445DA"/>
    <w:rsid w:val="0C87121B"/>
    <w:rsid w:val="0CBC00A1"/>
    <w:rsid w:val="0CC007F7"/>
    <w:rsid w:val="0CFE707A"/>
    <w:rsid w:val="0D063BDA"/>
    <w:rsid w:val="0D08375F"/>
    <w:rsid w:val="0D184CFB"/>
    <w:rsid w:val="0D4A7419"/>
    <w:rsid w:val="0D5E124A"/>
    <w:rsid w:val="0D827401"/>
    <w:rsid w:val="0D84094E"/>
    <w:rsid w:val="0D8A00E9"/>
    <w:rsid w:val="0D8D589E"/>
    <w:rsid w:val="0DA01C73"/>
    <w:rsid w:val="0DD63300"/>
    <w:rsid w:val="0DF50604"/>
    <w:rsid w:val="0DF702FE"/>
    <w:rsid w:val="0E060E51"/>
    <w:rsid w:val="0E5604B2"/>
    <w:rsid w:val="0E6D5D79"/>
    <w:rsid w:val="0E8F43C2"/>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9768A"/>
    <w:rsid w:val="107D4B15"/>
    <w:rsid w:val="108A3C80"/>
    <w:rsid w:val="10C26171"/>
    <w:rsid w:val="10F33360"/>
    <w:rsid w:val="10FC16EA"/>
    <w:rsid w:val="110E10F1"/>
    <w:rsid w:val="110F1D40"/>
    <w:rsid w:val="11266F33"/>
    <w:rsid w:val="118253BD"/>
    <w:rsid w:val="118963A1"/>
    <w:rsid w:val="11A96BF0"/>
    <w:rsid w:val="11C6522A"/>
    <w:rsid w:val="11E104CC"/>
    <w:rsid w:val="11E20309"/>
    <w:rsid w:val="11F40FD7"/>
    <w:rsid w:val="12255233"/>
    <w:rsid w:val="12530213"/>
    <w:rsid w:val="126948FE"/>
    <w:rsid w:val="127723A9"/>
    <w:rsid w:val="12862074"/>
    <w:rsid w:val="12883966"/>
    <w:rsid w:val="129E45B4"/>
    <w:rsid w:val="12D81596"/>
    <w:rsid w:val="13072A44"/>
    <w:rsid w:val="135F4BE2"/>
    <w:rsid w:val="137D0DEC"/>
    <w:rsid w:val="139B1A0A"/>
    <w:rsid w:val="139B50EA"/>
    <w:rsid w:val="139D25C7"/>
    <w:rsid w:val="13BF3CE4"/>
    <w:rsid w:val="13C72F70"/>
    <w:rsid w:val="141008D8"/>
    <w:rsid w:val="14125FE6"/>
    <w:rsid w:val="141A6CBF"/>
    <w:rsid w:val="146D271E"/>
    <w:rsid w:val="14982588"/>
    <w:rsid w:val="149A5AD9"/>
    <w:rsid w:val="14A7619D"/>
    <w:rsid w:val="150177FB"/>
    <w:rsid w:val="150536C3"/>
    <w:rsid w:val="150C1963"/>
    <w:rsid w:val="151447A0"/>
    <w:rsid w:val="154A6454"/>
    <w:rsid w:val="156669A8"/>
    <w:rsid w:val="15762120"/>
    <w:rsid w:val="15EC04AB"/>
    <w:rsid w:val="15FA06DC"/>
    <w:rsid w:val="1618304E"/>
    <w:rsid w:val="16A8729C"/>
    <w:rsid w:val="16B33777"/>
    <w:rsid w:val="16BC70A7"/>
    <w:rsid w:val="16C6339E"/>
    <w:rsid w:val="17042E02"/>
    <w:rsid w:val="170A15C8"/>
    <w:rsid w:val="171E28E6"/>
    <w:rsid w:val="172F2D79"/>
    <w:rsid w:val="17557BEF"/>
    <w:rsid w:val="17D349C1"/>
    <w:rsid w:val="1830729E"/>
    <w:rsid w:val="185F7B6D"/>
    <w:rsid w:val="1870062C"/>
    <w:rsid w:val="18817102"/>
    <w:rsid w:val="18830A15"/>
    <w:rsid w:val="18852B28"/>
    <w:rsid w:val="188B5321"/>
    <w:rsid w:val="18FC2175"/>
    <w:rsid w:val="193B777F"/>
    <w:rsid w:val="19473443"/>
    <w:rsid w:val="1968609A"/>
    <w:rsid w:val="1980756A"/>
    <w:rsid w:val="19932372"/>
    <w:rsid w:val="19A20DD5"/>
    <w:rsid w:val="19AE03F1"/>
    <w:rsid w:val="1A071A03"/>
    <w:rsid w:val="1A1E4D29"/>
    <w:rsid w:val="1A1F16AE"/>
    <w:rsid w:val="1A2D2CF6"/>
    <w:rsid w:val="1A3B5C77"/>
    <w:rsid w:val="1A8A011D"/>
    <w:rsid w:val="1A984BAD"/>
    <w:rsid w:val="1AB8220E"/>
    <w:rsid w:val="1AE4166C"/>
    <w:rsid w:val="1AF06CFB"/>
    <w:rsid w:val="1AF11B8D"/>
    <w:rsid w:val="1B11359C"/>
    <w:rsid w:val="1B2163CC"/>
    <w:rsid w:val="1B2A271F"/>
    <w:rsid w:val="1B530544"/>
    <w:rsid w:val="1B713184"/>
    <w:rsid w:val="1BA209CF"/>
    <w:rsid w:val="1BB4777D"/>
    <w:rsid w:val="1BD75AB8"/>
    <w:rsid w:val="1C0459C2"/>
    <w:rsid w:val="1C1B3B4A"/>
    <w:rsid w:val="1C88086E"/>
    <w:rsid w:val="1D266CE1"/>
    <w:rsid w:val="1D3963AF"/>
    <w:rsid w:val="1D4E6D2E"/>
    <w:rsid w:val="1D6A673C"/>
    <w:rsid w:val="1D9247AE"/>
    <w:rsid w:val="1DB567EC"/>
    <w:rsid w:val="1DC1745F"/>
    <w:rsid w:val="1DD90774"/>
    <w:rsid w:val="1DEB70D5"/>
    <w:rsid w:val="1DF51A98"/>
    <w:rsid w:val="1E3D060F"/>
    <w:rsid w:val="1E3F7D2E"/>
    <w:rsid w:val="1E4134E4"/>
    <w:rsid w:val="1E5062B3"/>
    <w:rsid w:val="1E523514"/>
    <w:rsid w:val="1E5D435F"/>
    <w:rsid w:val="1E714A66"/>
    <w:rsid w:val="1E802593"/>
    <w:rsid w:val="1E82212B"/>
    <w:rsid w:val="1EA703CC"/>
    <w:rsid w:val="1EB7330C"/>
    <w:rsid w:val="1F0A0FF3"/>
    <w:rsid w:val="1F5771FF"/>
    <w:rsid w:val="1FE868A9"/>
    <w:rsid w:val="20034907"/>
    <w:rsid w:val="20173E4B"/>
    <w:rsid w:val="204E48BC"/>
    <w:rsid w:val="208921B3"/>
    <w:rsid w:val="20973DEB"/>
    <w:rsid w:val="20A86FEA"/>
    <w:rsid w:val="20B26522"/>
    <w:rsid w:val="20B44310"/>
    <w:rsid w:val="211116EB"/>
    <w:rsid w:val="214C3C4D"/>
    <w:rsid w:val="216133FC"/>
    <w:rsid w:val="21D56769"/>
    <w:rsid w:val="21E52EF3"/>
    <w:rsid w:val="21FB5D7B"/>
    <w:rsid w:val="220129F6"/>
    <w:rsid w:val="220B1C3D"/>
    <w:rsid w:val="22123B8A"/>
    <w:rsid w:val="22140B6D"/>
    <w:rsid w:val="221D1D20"/>
    <w:rsid w:val="222039B6"/>
    <w:rsid w:val="22334A87"/>
    <w:rsid w:val="22BE6801"/>
    <w:rsid w:val="233500BF"/>
    <w:rsid w:val="23377FF7"/>
    <w:rsid w:val="236B425F"/>
    <w:rsid w:val="23836192"/>
    <w:rsid w:val="23901F29"/>
    <w:rsid w:val="239C0061"/>
    <w:rsid w:val="23A046D7"/>
    <w:rsid w:val="23B908A4"/>
    <w:rsid w:val="23C30A9D"/>
    <w:rsid w:val="23E95BEF"/>
    <w:rsid w:val="23FD0064"/>
    <w:rsid w:val="240702A0"/>
    <w:rsid w:val="245375B0"/>
    <w:rsid w:val="24642C0A"/>
    <w:rsid w:val="249647E8"/>
    <w:rsid w:val="24B22173"/>
    <w:rsid w:val="24B95AD9"/>
    <w:rsid w:val="24BE24DA"/>
    <w:rsid w:val="24CF5825"/>
    <w:rsid w:val="24D663E6"/>
    <w:rsid w:val="24D77F2B"/>
    <w:rsid w:val="255362A0"/>
    <w:rsid w:val="258B00E2"/>
    <w:rsid w:val="25967156"/>
    <w:rsid w:val="25A917A6"/>
    <w:rsid w:val="25BE27CC"/>
    <w:rsid w:val="25D8140D"/>
    <w:rsid w:val="25F74A5C"/>
    <w:rsid w:val="2628662C"/>
    <w:rsid w:val="262D45DE"/>
    <w:rsid w:val="26906587"/>
    <w:rsid w:val="269E759F"/>
    <w:rsid w:val="26A53EF9"/>
    <w:rsid w:val="26A94201"/>
    <w:rsid w:val="26AC274F"/>
    <w:rsid w:val="27044A29"/>
    <w:rsid w:val="27053614"/>
    <w:rsid w:val="271D34C8"/>
    <w:rsid w:val="276142BF"/>
    <w:rsid w:val="27783712"/>
    <w:rsid w:val="27895B59"/>
    <w:rsid w:val="27907362"/>
    <w:rsid w:val="27934C2A"/>
    <w:rsid w:val="27B150B0"/>
    <w:rsid w:val="27C167AA"/>
    <w:rsid w:val="28333E1D"/>
    <w:rsid w:val="28454BD6"/>
    <w:rsid w:val="28455253"/>
    <w:rsid w:val="285223EF"/>
    <w:rsid w:val="28551971"/>
    <w:rsid w:val="285550BC"/>
    <w:rsid w:val="285B1C53"/>
    <w:rsid w:val="289F7086"/>
    <w:rsid w:val="28C32028"/>
    <w:rsid w:val="28CC490F"/>
    <w:rsid w:val="28DE40AA"/>
    <w:rsid w:val="2909455A"/>
    <w:rsid w:val="29345E77"/>
    <w:rsid w:val="294C65AD"/>
    <w:rsid w:val="29802F8C"/>
    <w:rsid w:val="29806583"/>
    <w:rsid w:val="298B3C4C"/>
    <w:rsid w:val="29F26D24"/>
    <w:rsid w:val="2A15033F"/>
    <w:rsid w:val="2A1662C1"/>
    <w:rsid w:val="2A1C7367"/>
    <w:rsid w:val="2A2815FA"/>
    <w:rsid w:val="2A6D6092"/>
    <w:rsid w:val="2A7D76B4"/>
    <w:rsid w:val="2B390F9F"/>
    <w:rsid w:val="2B437463"/>
    <w:rsid w:val="2B7807EE"/>
    <w:rsid w:val="2BBF00EC"/>
    <w:rsid w:val="2BC37CFD"/>
    <w:rsid w:val="2BD5237F"/>
    <w:rsid w:val="2BE536CE"/>
    <w:rsid w:val="2BE758D9"/>
    <w:rsid w:val="2C09049E"/>
    <w:rsid w:val="2C0A653C"/>
    <w:rsid w:val="2C0F02F4"/>
    <w:rsid w:val="2C191F85"/>
    <w:rsid w:val="2C4C271D"/>
    <w:rsid w:val="2C58133E"/>
    <w:rsid w:val="2C6C7DEF"/>
    <w:rsid w:val="2C7843EE"/>
    <w:rsid w:val="2C91668B"/>
    <w:rsid w:val="2CE82D6F"/>
    <w:rsid w:val="2D343236"/>
    <w:rsid w:val="2D74292E"/>
    <w:rsid w:val="2DD15014"/>
    <w:rsid w:val="2DE502E1"/>
    <w:rsid w:val="2DF72DE4"/>
    <w:rsid w:val="2E0220AF"/>
    <w:rsid w:val="2E150147"/>
    <w:rsid w:val="2E4B082A"/>
    <w:rsid w:val="2E5D4E86"/>
    <w:rsid w:val="2E5D790B"/>
    <w:rsid w:val="2E823422"/>
    <w:rsid w:val="2E8A4B0C"/>
    <w:rsid w:val="2E9A3C18"/>
    <w:rsid w:val="2EBB0FEE"/>
    <w:rsid w:val="2EC63002"/>
    <w:rsid w:val="2F0A6B38"/>
    <w:rsid w:val="2F946CCB"/>
    <w:rsid w:val="2FD25781"/>
    <w:rsid w:val="2FFD7934"/>
    <w:rsid w:val="30733ACD"/>
    <w:rsid w:val="308C3862"/>
    <w:rsid w:val="309379D8"/>
    <w:rsid w:val="30A270F7"/>
    <w:rsid w:val="30DF1478"/>
    <w:rsid w:val="30EC586F"/>
    <w:rsid w:val="3105779E"/>
    <w:rsid w:val="31112756"/>
    <w:rsid w:val="319A3CB2"/>
    <w:rsid w:val="319C6071"/>
    <w:rsid w:val="31A50EC7"/>
    <w:rsid w:val="31AC537E"/>
    <w:rsid w:val="31D97321"/>
    <w:rsid w:val="31E3679B"/>
    <w:rsid w:val="31E732FD"/>
    <w:rsid w:val="32517576"/>
    <w:rsid w:val="327546BB"/>
    <w:rsid w:val="32BE5C2C"/>
    <w:rsid w:val="32FB6478"/>
    <w:rsid w:val="33263B3F"/>
    <w:rsid w:val="336963EB"/>
    <w:rsid w:val="33816EEB"/>
    <w:rsid w:val="33EB55CD"/>
    <w:rsid w:val="33EC4C02"/>
    <w:rsid w:val="340D2360"/>
    <w:rsid w:val="3410665D"/>
    <w:rsid w:val="34211214"/>
    <w:rsid w:val="342E63AB"/>
    <w:rsid w:val="34950E68"/>
    <w:rsid w:val="34986E94"/>
    <w:rsid w:val="349E076A"/>
    <w:rsid w:val="34A37DE2"/>
    <w:rsid w:val="34AF62C9"/>
    <w:rsid w:val="34CB4388"/>
    <w:rsid w:val="34FA6E12"/>
    <w:rsid w:val="3509652C"/>
    <w:rsid w:val="35530223"/>
    <w:rsid w:val="358D5588"/>
    <w:rsid w:val="35AA52D2"/>
    <w:rsid w:val="36140CC0"/>
    <w:rsid w:val="363A3B40"/>
    <w:rsid w:val="365302AE"/>
    <w:rsid w:val="36607A0A"/>
    <w:rsid w:val="366E227C"/>
    <w:rsid w:val="366F2E0D"/>
    <w:rsid w:val="367B6A5C"/>
    <w:rsid w:val="36A74ADA"/>
    <w:rsid w:val="36AD60D5"/>
    <w:rsid w:val="36B224F9"/>
    <w:rsid w:val="36EC0CC9"/>
    <w:rsid w:val="373F410B"/>
    <w:rsid w:val="37893954"/>
    <w:rsid w:val="37976CDE"/>
    <w:rsid w:val="37EE7094"/>
    <w:rsid w:val="38296C89"/>
    <w:rsid w:val="383002EB"/>
    <w:rsid w:val="38586797"/>
    <w:rsid w:val="386817BB"/>
    <w:rsid w:val="38BC0149"/>
    <w:rsid w:val="38D87D1C"/>
    <w:rsid w:val="39636459"/>
    <w:rsid w:val="39647F89"/>
    <w:rsid w:val="396B7F6C"/>
    <w:rsid w:val="39B417A9"/>
    <w:rsid w:val="39FC5695"/>
    <w:rsid w:val="3A006D8E"/>
    <w:rsid w:val="3A3651E5"/>
    <w:rsid w:val="3A744481"/>
    <w:rsid w:val="3A8C7BEF"/>
    <w:rsid w:val="3A906246"/>
    <w:rsid w:val="3AC51FBE"/>
    <w:rsid w:val="3B2349B7"/>
    <w:rsid w:val="3B410F13"/>
    <w:rsid w:val="3B616CFF"/>
    <w:rsid w:val="3B6259F6"/>
    <w:rsid w:val="3B976654"/>
    <w:rsid w:val="3BB96BCA"/>
    <w:rsid w:val="3BC01EFC"/>
    <w:rsid w:val="3BCA786A"/>
    <w:rsid w:val="3BD31E2F"/>
    <w:rsid w:val="3BF15831"/>
    <w:rsid w:val="3C105946"/>
    <w:rsid w:val="3C471448"/>
    <w:rsid w:val="3C5F759A"/>
    <w:rsid w:val="3C6C525A"/>
    <w:rsid w:val="3CB504E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16F79"/>
    <w:rsid w:val="3F2F0234"/>
    <w:rsid w:val="3F6363FE"/>
    <w:rsid w:val="3F6532F2"/>
    <w:rsid w:val="3F756B8F"/>
    <w:rsid w:val="3F95482B"/>
    <w:rsid w:val="3FB95BC8"/>
    <w:rsid w:val="4019356B"/>
    <w:rsid w:val="401F27C9"/>
    <w:rsid w:val="402A136D"/>
    <w:rsid w:val="404D30EB"/>
    <w:rsid w:val="40592157"/>
    <w:rsid w:val="406E1CAE"/>
    <w:rsid w:val="407B27E6"/>
    <w:rsid w:val="408E7B2D"/>
    <w:rsid w:val="40A0133A"/>
    <w:rsid w:val="40C31A53"/>
    <w:rsid w:val="40FF545D"/>
    <w:rsid w:val="410067C8"/>
    <w:rsid w:val="418F0D2A"/>
    <w:rsid w:val="419E2857"/>
    <w:rsid w:val="41AF32FF"/>
    <w:rsid w:val="41D01505"/>
    <w:rsid w:val="42474939"/>
    <w:rsid w:val="424C3C57"/>
    <w:rsid w:val="426043A2"/>
    <w:rsid w:val="42613FF3"/>
    <w:rsid w:val="42660D96"/>
    <w:rsid w:val="428667D2"/>
    <w:rsid w:val="42C024C7"/>
    <w:rsid w:val="42CD1CE0"/>
    <w:rsid w:val="42E1381E"/>
    <w:rsid w:val="42ED6459"/>
    <w:rsid w:val="42FE58DD"/>
    <w:rsid w:val="43174B3D"/>
    <w:rsid w:val="434B790E"/>
    <w:rsid w:val="4360274F"/>
    <w:rsid w:val="43977AB6"/>
    <w:rsid w:val="43A3342B"/>
    <w:rsid w:val="43C77C27"/>
    <w:rsid w:val="43DE09EE"/>
    <w:rsid w:val="43F6333F"/>
    <w:rsid w:val="44002FAD"/>
    <w:rsid w:val="449101DD"/>
    <w:rsid w:val="44A96E38"/>
    <w:rsid w:val="44DE1391"/>
    <w:rsid w:val="45092CD6"/>
    <w:rsid w:val="451B225C"/>
    <w:rsid w:val="452410C9"/>
    <w:rsid w:val="45317DFB"/>
    <w:rsid w:val="45662DAB"/>
    <w:rsid w:val="456D3CE4"/>
    <w:rsid w:val="4579042C"/>
    <w:rsid w:val="457F0571"/>
    <w:rsid w:val="45851176"/>
    <w:rsid w:val="45BF61BF"/>
    <w:rsid w:val="45C63B94"/>
    <w:rsid w:val="460B1E88"/>
    <w:rsid w:val="460E7DA5"/>
    <w:rsid w:val="463B40AB"/>
    <w:rsid w:val="46422483"/>
    <w:rsid w:val="4659254A"/>
    <w:rsid w:val="465B0637"/>
    <w:rsid w:val="465E3F0D"/>
    <w:rsid w:val="466A16E6"/>
    <w:rsid w:val="46893F2B"/>
    <w:rsid w:val="46C4686E"/>
    <w:rsid w:val="477B778F"/>
    <w:rsid w:val="47813396"/>
    <w:rsid w:val="478203EC"/>
    <w:rsid w:val="479D63CA"/>
    <w:rsid w:val="47B025FA"/>
    <w:rsid w:val="47DC5B8D"/>
    <w:rsid w:val="4809698F"/>
    <w:rsid w:val="4811697D"/>
    <w:rsid w:val="48504112"/>
    <w:rsid w:val="48553208"/>
    <w:rsid w:val="487A3E25"/>
    <w:rsid w:val="488B5503"/>
    <w:rsid w:val="48937E21"/>
    <w:rsid w:val="489A0361"/>
    <w:rsid w:val="48B94FF3"/>
    <w:rsid w:val="48E37AAB"/>
    <w:rsid w:val="48FD4B4C"/>
    <w:rsid w:val="490A68E0"/>
    <w:rsid w:val="491055FE"/>
    <w:rsid w:val="492F75C0"/>
    <w:rsid w:val="49481ACB"/>
    <w:rsid w:val="495F5B3E"/>
    <w:rsid w:val="496F77D7"/>
    <w:rsid w:val="497654FD"/>
    <w:rsid w:val="49867716"/>
    <w:rsid w:val="49B64211"/>
    <w:rsid w:val="49F6167F"/>
    <w:rsid w:val="49FA4CCB"/>
    <w:rsid w:val="4A064FA0"/>
    <w:rsid w:val="4A16615C"/>
    <w:rsid w:val="4A2A5DB2"/>
    <w:rsid w:val="4A4424D7"/>
    <w:rsid w:val="4A697CFB"/>
    <w:rsid w:val="4A8B785B"/>
    <w:rsid w:val="4AB80380"/>
    <w:rsid w:val="4AB82D0F"/>
    <w:rsid w:val="4AEB7664"/>
    <w:rsid w:val="4AFD7C19"/>
    <w:rsid w:val="4B0567D1"/>
    <w:rsid w:val="4B236AAE"/>
    <w:rsid w:val="4B707271"/>
    <w:rsid w:val="4B9739F7"/>
    <w:rsid w:val="4BEE2503"/>
    <w:rsid w:val="4C1A1980"/>
    <w:rsid w:val="4C245A30"/>
    <w:rsid w:val="4C417B78"/>
    <w:rsid w:val="4CB6685F"/>
    <w:rsid w:val="4CC367FE"/>
    <w:rsid w:val="4CF02D63"/>
    <w:rsid w:val="4D077F3C"/>
    <w:rsid w:val="4D123355"/>
    <w:rsid w:val="4D171E91"/>
    <w:rsid w:val="4D2A3B31"/>
    <w:rsid w:val="4D312C52"/>
    <w:rsid w:val="4D6A0258"/>
    <w:rsid w:val="4D905305"/>
    <w:rsid w:val="4D964A72"/>
    <w:rsid w:val="4D9C1254"/>
    <w:rsid w:val="4DEE5DF2"/>
    <w:rsid w:val="4E4B6F71"/>
    <w:rsid w:val="4E793892"/>
    <w:rsid w:val="4E800872"/>
    <w:rsid w:val="4EC015B1"/>
    <w:rsid w:val="4EC569ED"/>
    <w:rsid w:val="4ED155BC"/>
    <w:rsid w:val="4ED50EA1"/>
    <w:rsid w:val="4EEC050C"/>
    <w:rsid w:val="4F104EC3"/>
    <w:rsid w:val="4F371C8D"/>
    <w:rsid w:val="4F47354A"/>
    <w:rsid w:val="4F4C7CFB"/>
    <w:rsid w:val="4F7E1357"/>
    <w:rsid w:val="4F911C54"/>
    <w:rsid w:val="4FE625E0"/>
    <w:rsid w:val="5021480F"/>
    <w:rsid w:val="50962ECB"/>
    <w:rsid w:val="50A42E38"/>
    <w:rsid w:val="50A4577F"/>
    <w:rsid w:val="50B73D1F"/>
    <w:rsid w:val="50BD5BC9"/>
    <w:rsid w:val="50C11EEE"/>
    <w:rsid w:val="50D67693"/>
    <w:rsid w:val="50E52AF7"/>
    <w:rsid w:val="50E97CFC"/>
    <w:rsid w:val="50F1639A"/>
    <w:rsid w:val="50FA4028"/>
    <w:rsid w:val="510D65B7"/>
    <w:rsid w:val="511157AB"/>
    <w:rsid w:val="5142540C"/>
    <w:rsid w:val="518832C8"/>
    <w:rsid w:val="519144DE"/>
    <w:rsid w:val="51A0432A"/>
    <w:rsid w:val="51A86090"/>
    <w:rsid w:val="51AD057B"/>
    <w:rsid w:val="51B7396D"/>
    <w:rsid w:val="51D874A6"/>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8B182B"/>
    <w:rsid w:val="54B3506A"/>
    <w:rsid w:val="54CA0D16"/>
    <w:rsid w:val="54DD4057"/>
    <w:rsid w:val="54E7490F"/>
    <w:rsid w:val="550764A4"/>
    <w:rsid w:val="550B2BF6"/>
    <w:rsid w:val="55214EB5"/>
    <w:rsid w:val="55364EFD"/>
    <w:rsid w:val="55436A98"/>
    <w:rsid w:val="555D4828"/>
    <w:rsid w:val="557A4C8B"/>
    <w:rsid w:val="558931E1"/>
    <w:rsid w:val="55923347"/>
    <w:rsid w:val="55925180"/>
    <w:rsid w:val="55983B1B"/>
    <w:rsid w:val="55A8376B"/>
    <w:rsid w:val="55D21FF1"/>
    <w:rsid w:val="55DC29B6"/>
    <w:rsid w:val="55DD4241"/>
    <w:rsid w:val="55E42029"/>
    <w:rsid w:val="56644C3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EE6F52"/>
    <w:rsid w:val="584B3471"/>
    <w:rsid w:val="588F000D"/>
    <w:rsid w:val="58917D2F"/>
    <w:rsid w:val="5894085C"/>
    <w:rsid w:val="58AE4F0C"/>
    <w:rsid w:val="58B85899"/>
    <w:rsid w:val="58B92E88"/>
    <w:rsid w:val="58D42829"/>
    <w:rsid w:val="58E363A9"/>
    <w:rsid w:val="595E1678"/>
    <w:rsid w:val="596D5BD4"/>
    <w:rsid w:val="597E3DD8"/>
    <w:rsid w:val="59F43F22"/>
    <w:rsid w:val="59F80043"/>
    <w:rsid w:val="5A09252F"/>
    <w:rsid w:val="5A0B2778"/>
    <w:rsid w:val="5A2A7C7B"/>
    <w:rsid w:val="5A3E2560"/>
    <w:rsid w:val="5A5D3B6E"/>
    <w:rsid w:val="5A5D684E"/>
    <w:rsid w:val="5A637A76"/>
    <w:rsid w:val="5A6D33BA"/>
    <w:rsid w:val="5A792B1F"/>
    <w:rsid w:val="5A874767"/>
    <w:rsid w:val="5AAD6F28"/>
    <w:rsid w:val="5AD63A24"/>
    <w:rsid w:val="5B2E1A1D"/>
    <w:rsid w:val="5B3620C1"/>
    <w:rsid w:val="5B843A1C"/>
    <w:rsid w:val="5B873E3F"/>
    <w:rsid w:val="5C02690E"/>
    <w:rsid w:val="5C196DA7"/>
    <w:rsid w:val="5C2A048C"/>
    <w:rsid w:val="5C50330C"/>
    <w:rsid w:val="5C80234E"/>
    <w:rsid w:val="5C8A680C"/>
    <w:rsid w:val="5C9800BC"/>
    <w:rsid w:val="5CB8619A"/>
    <w:rsid w:val="5D0C4701"/>
    <w:rsid w:val="5D0F0395"/>
    <w:rsid w:val="5D221076"/>
    <w:rsid w:val="5D397964"/>
    <w:rsid w:val="5D4A1228"/>
    <w:rsid w:val="5D5A391C"/>
    <w:rsid w:val="5D5F10C0"/>
    <w:rsid w:val="5D736A1E"/>
    <w:rsid w:val="5D891B7B"/>
    <w:rsid w:val="5DA35BB0"/>
    <w:rsid w:val="5DAD38EE"/>
    <w:rsid w:val="5E006862"/>
    <w:rsid w:val="5E0207B9"/>
    <w:rsid w:val="5E041912"/>
    <w:rsid w:val="5E1834A1"/>
    <w:rsid w:val="5E261785"/>
    <w:rsid w:val="5E4A7017"/>
    <w:rsid w:val="5E50172C"/>
    <w:rsid w:val="5E552BBA"/>
    <w:rsid w:val="5E611C10"/>
    <w:rsid w:val="5E69089E"/>
    <w:rsid w:val="5E6A4482"/>
    <w:rsid w:val="5EFC7377"/>
    <w:rsid w:val="5F06174D"/>
    <w:rsid w:val="5F3A3602"/>
    <w:rsid w:val="5F6277C6"/>
    <w:rsid w:val="5F6D0B1D"/>
    <w:rsid w:val="5F8D0B82"/>
    <w:rsid w:val="5FC829BC"/>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012B7"/>
    <w:rsid w:val="619F7F92"/>
    <w:rsid w:val="61F94C26"/>
    <w:rsid w:val="62000E56"/>
    <w:rsid w:val="62013264"/>
    <w:rsid w:val="624F3E49"/>
    <w:rsid w:val="62632286"/>
    <w:rsid w:val="62727F9C"/>
    <w:rsid w:val="6280045C"/>
    <w:rsid w:val="62885958"/>
    <w:rsid w:val="62D11B87"/>
    <w:rsid w:val="62F40B65"/>
    <w:rsid w:val="62FC2CFE"/>
    <w:rsid w:val="63024505"/>
    <w:rsid w:val="635B1DB5"/>
    <w:rsid w:val="63711FED"/>
    <w:rsid w:val="63880DDC"/>
    <w:rsid w:val="638D750D"/>
    <w:rsid w:val="63AC5D55"/>
    <w:rsid w:val="63AC6CC0"/>
    <w:rsid w:val="63D135A5"/>
    <w:rsid w:val="64055776"/>
    <w:rsid w:val="64240056"/>
    <w:rsid w:val="643E143A"/>
    <w:rsid w:val="647939F3"/>
    <w:rsid w:val="648B6EEF"/>
    <w:rsid w:val="64C158BF"/>
    <w:rsid w:val="64CE2EAA"/>
    <w:rsid w:val="653C3090"/>
    <w:rsid w:val="65854376"/>
    <w:rsid w:val="658767BE"/>
    <w:rsid w:val="65892531"/>
    <w:rsid w:val="66195831"/>
    <w:rsid w:val="66254A80"/>
    <w:rsid w:val="662E75B1"/>
    <w:rsid w:val="66342C2E"/>
    <w:rsid w:val="663E784C"/>
    <w:rsid w:val="66753807"/>
    <w:rsid w:val="66805B4F"/>
    <w:rsid w:val="668B6A45"/>
    <w:rsid w:val="66E328B4"/>
    <w:rsid w:val="66E8749F"/>
    <w:rsid w:val="66F84F97"/>
    <w:rsid w:val="66FC21CD"/>
    <w:rsid w:val="67135CE8"/>
    <w:rsid w:val="671939D8"/>
    <w:rsid w:val="672F3F24"/>
    <w:rsid w:val="673E055F"/>
    <w:rsid w:val="67551CE3"/>
    <w:rsid w:val="676C18F6"/>
    <w:rsid w:val="67A22552"/>
    <w:rsid w:val="67B22DCC"/>
    <w:rsid w:val="67BE71AA"/>
    <w:rsid w:val="67D90273"/>
    <w:rsid w:val="67DE5875"/>
    <w:rsid w:val="67E55852"/>
    <w:rsid w:val="67EB1AB4"/>
    <w:rsid w:val="67FA1285"/>
    <w:rsid w:val="68273FF7"/>
    <w:rsid w:val="68551F4F"/>
    <w:rsid w:val="68737AFB"/>
    <w:rsid w:val="687C10C9"/>
    <w:rsid w:val="68840C16"/>
    <w:rsid w:val="68876EFB"/>
    <w:rsid w:val="68884654"/>
    <w:rsid w:val="689F444F"/>
    <w:rsid w:val="68B96DBB"/>
    <w:rsid w:val="68CA2805"/>
    <w:rsid w:val="68E937A3"/>
    <w:rsid w:val="693E15D3"/>
    <w:rsid w:val="69627681"/>
    <w:rsid w:val="6977531D"/>
    <w:rsid w:val="69CC2BFF"/>
    <w:rsid w:val="69FD55B8"/>
    <w:rsid w:val="6A025FC0"/>
    <w:rsid w:val="6A0B1C62"/>
    <w:rsid w:val="6A2406C8"/>
    <w:rsid w:val="6A343766"/>
    <w:rsid w:val="6A9954F5"/>
    <w:rsid w:val="6ADE0BD1"/>
    <w:rsid w:val="6ADF4614"/>
    <w:rsid w:val="6AE96859"/>
    <w:rsid w:val="6B147746"/>
    <w:rsid w:val="6B24787C"/>
    <w:rsid w:val="6B460C38"/>
    <w:rsid w:val="6B573233"/>
    <w:rsid w:val="6B583B8B"/>
    <w:rsid w:val="6B5B6274"/>
    <w:rsid w:val="6B62131E"/>
    <w:rsid w:val="6B935D53"/>
    <w:rsid w:val="6C196F71"/>
    <w:rsid w:val="6C226FCB"/>
    <w:rsid w:val="6C31226F"/>
    <w:rsid w:val="6C552F0B"/>
    <w:rsid w:val="6C8C67B7"/>
    <w:rsid w:val="6C9D744C"/>
    <w:rsid w:val="6CA04DB4"/>
    <w:rsid w:val="6CF62F73"/>
    <w:rsid w:val="6D167928"/>
    <w:rsid w:val="6D26299B"/>
    <w:rsid w:val="6D3D22B1"/>
    <w:rsid w:val="6D4772EC"/>
    <w:rsid w:val="6D8019D5"/>
    <w:rsid w:val="6D9078AF"/>
    <w:rsid w:val="6DAA3FEF"/>
    <w:rsid w:val="6DC0172B"/>
    <w:rsid w:val="6DCB690C"/>
    <w:rsid w:val="6DD41A5B"/>
    <w:rsid w:val="6DE4135F"/>
    <w:rsid w:val="6DF43C2E"/>
    <w:rsid w:val="6DF51CA3"/>
    <w:rsid w:val="6E603094"/>
    <w:rsid w:val="6E8335BD"/>
    <w:rsid w:val="6E8E12EF"/>
    <w:rsid w:val="6E8E6B7E"/>
    <w:rsid w:val="6E972936"/>
    <w:rsid w:val="6ED446C5"/>
    <w:rsid w:val="6EE51035"/>
    <w:rsid w:val="6F2A7D94"/>
    <w:rsid w:val="6F8331F1"/>
    <w:rsid w:val="6F8A1A3C"/>
    <w:rsid w:val="6FAE1A09"/>
    <w:rsid w:val="6FD75BF8"/>
    <w:rsid w:val="6FF60E7F"/>
    <w:rsid w:val="707723D0"/>
    <w:rsid w:val="70F5661B"/>
    <w:rsid w:val="71360107"/>
    <w:rsid w:val="713B688E"/>
    <w:rsid w:val="7177062A"/>
    <w:rsid w:val="71D43752"/>
    <w:rsid w:val="71F1796A"/>
    <w:rsid w:val="72154626"/>
    <w:rsid w:val="72262B5D"/>
    <w:rsid w:val="72283FF7"/>
    <w:rsid w:val="722E7212"/>
    <w:rsid w:val="723A0474"/>
    <w:rsid w:val="725923E4"/>
    <w:rsid w:val="727A7B45"/>
    <w:rsid w:val="72864BF7"/>
    <w:rsid w:val="729023FC"/>
    <w:rsid w:val="7294672D"/>
    <w:rsid w:val="73025CFD"/>
    <w:rsid w:val="7379100F"/>
    <w:rsid w:val="738B5D82"/>
    <w:rsid w:val="73C0646E"/>
    <w:rsid w:val="742222F5"/>
    <w:rsid w:val="74403294"/>
    <w:rsid w:val="74476126"/>
    <w:rsid w:val="74706664"/>
    <w:rsid w:val="747F3682"/>
    <w:rsid w:val="749C4185"/>
    <w:rsid w:val="75067759"/>
    <w:rsid w:val="752E6DCD"/>
    <w:rsid w:val="7551380D"/>
    <w:rsid w:val="75600BE5"/>
    <w:rsid w:val="7564475C"/>
    <w:rsid w:val="757E0220"/>
    <w:rsid w:val="7583797F"/>
    <w:rsid w:val="75D20F1D"/>
    <w:rsid w:val="75DA2C18"/>
    <w:rsid w:val="75F54412"/>
    <w:rsid w:val="7612454A"/>
    <w:rsid w:val="761D08E0"/>
    <w:rsid w:val="765D347C"/>
    <w:rsid w:val="76826699"/>
    <w:rsid w:val="76C87133"/>
    <w:rsid w:val="76CD08D5"/>
    <w:rsid w:val="76D02273"/>
    <w:rsid w:val="76DB4B92"/>
    <w:rsid w:val="77052AA4"/>
    <w:rsid w:val="77094258"/>
    <w:rsid w:val="77136511"/>
    <w:rsid w:val="77340A39"/>
    <w:rsid w:val="77351FD0"/>
    <w:rsid w:val="77472422"/>
    <w:rsid w:val="777B33FD"/>
    <w:rsid w:val="777F31F2"/>
    <w:rsid w:val="77A733EF"/>
    <w:rsid w:val="77D1700D"/>
    <w:rsid w:val="77EC04CC"/>
    <w:rsid w:val="78642060"/>
    <w:rsid w:val="78775729"/>
    <w:rsid w:val="78A42DB0"/>
    <w:rsid w:val="78A656AB"/>
    <w:rsid w:val="78B2245C"/>
    <w:rsid w:val="78E172CC"/>
    <w:rsid w:val="78EA1D1F"/>
    <w:rsid w:val="7904172F"/>
    <w:rsid w:val="790F7E27"/>
    <w:rsid w:val="791B0D69"/>
    <w:rsid w:val="792A231A"/>
    <w:rsid w:val="79316829"/>
    <w:rsid w:val="797E66A9"/>
    <w:rsid w:val="79986B03"/>
    <w:rsid w:val="79A97383"/>
    <w:rsid w:val="79D52F41"/>
    <w:rsid w:val="79E27E8B"/>
    <w:rsid w:val="79F850CE"/>
    <w:rsid w:val="79FD443C"/>
    <w:rsid w:val="7A1D1975"/>
    <w:rsid w:val="7A3E5150"/>
    <w:rsid w:val="7A4670D6"/>
    <w:rsid w:val="7A534B63"/>
    <w:rsid w:val="7A615382"/>
    <w:rsid w:val="7A67303B"/>
    <w:rsid w:val="7A7F18A6"/>
    <w:rsid w:val="7AAB1D04"/>
    <w:rsid w:val="7ABA4368"/>
    <w:rsid w:val="7AD05746"/>
    <w:rsid w:val="7AD61FD9"/>
    <w:rsid w:val="7B257FFD"/>
    <w:rsid w:val="7B343476"/>
    <w:rsid w:val="7B3645D8"/>
    <w:rsid w:val="7B5A2978"/>
    <w:rsid w:val="7B5A7E4C"/>
    <w:rsid w:val="7B667AF9"/>
    <w:rsid w:val="7B7468F8"/>
    <w:rsid w:val="7BBF33B2"/>
    <w:rsid w:val="7BEE0103"/>
    <w:rsid w:val="7C0A0FE4"/>
    <w:rsid w:val="7C254906"/>
    <w:rsid w:val="7C29655A"/>
    <w:rsid w:val="7C590818"/>
    <w:rsid w:val="7C7C10F6"/>
    <w:rsid w:val="7C853BEA"/>
    <w:rsid w:val="7C881368"/>
    <w:rsid w:val="7CAB21AE"/>
    <w:rsid w:val="7CCD0254"/>
    <w:rsid w:val="7CE27788"/>
    <w:rsid w:val="7D0C32F1"/>
    <w:rsid w:val="7D0F408D"/>
    <w:rsid w:val="7D491C6C"/>
    <w:rsid w:val="7D5429C0"/>
    <w:rsid w:val="7D590DCE"/>
    <w:rsid w:val="7D5E4866"/>
    <w:rsid w:val="7D6E6D43"/>
    <w:rsid w:val="7DB0109D"/>
    <w:rsid w:val="7DB57A34"/>
    <w:rsid w:val="7DE60973"/>
    <w:rsid w:val="7DEF0916"/>
    <w:rsid w:val="7E1E5218"/>
    <w:rsid w:val="7E9A4E1F"/>
    <w:rsid w:val="7EA7723A"/>
    <w:rsid w:val="7EB37C8D"/>
    <w:rsid w:val="7ED14674"/>
    <w:rsid w:val="7EF56FBB"/>
    <w:rsid w:val="7F0768EB"/>
    <w:rsid w:val="7F143BEC"/>
    <w:rsid w:val="7F715AF2"/>
    <w:rsid w:val="7F886E69"/>
    <w:rsid w:val="7F910091"/>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3"/>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3">
    <w:name w:val="Normal Indent"/>
    <w:basedOn w:val="1"/>
    <w:next w:val="4"/>
    <w:link w:val="192"/>
    <w:qFormat/>
    <w:uiPriority w:val="0"/>
    <w:pPr>
      <w:widowControl/>
      <w:snapToGrid w:val="0"/>
      <w:spacing w:line="480" w:lineRule="exact"/>
      <w:ind w:firstLine="567"/>
    </w:pPr>
    <w:rPr>
      <w:rFonts w:ascii="宋体"/>
      <w:snapToGrid w:val="0"/>
      <w:color w:val="000000"/>
      <w:kern w:val="28"/>
      <w:sz w:val="28"/>
      <w:szCs w:val="20"/>
    </w:rPr>
  </w:style>
  <w:style w:type="paragraph" w:styleId="4">
    <w:name w:val="Body Text Indent"/>
    <w:basedOn w:val="1"/>
    <w:next w:val="3"/>
    <w:link w:val="265"/>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1"/>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0"/>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1"/>
    <w:qFormat/>
    <w:uiPriority w:val="0"/>
    <w:pPr>
      <w:ind w:firstLine="420"/>
    </w:pPr>
    <w:rPr>
      <w:rFonts w:hAnsi="Calibri" w:cs="Times New Roman"/>
      <w:snapToGrid/>
      <w:szCs w:val="20"/>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34"/>
    <w:link w:val="124"/>
    <w:qFormat/>
    <w:uiPriority w:val="0"/>
    <w:rPr>
      <w:rFonts w:ascii="宋体" w:hAnsi="Courier New" w:cs="Arial"/>
      <w:snapToGrid w:val="0"/>
      <w:szCs w:val="21"/>
    </w:rPr>
  </w:style>
  <w:style w:type="paragraph" w:styleId="34">
    <w:name w:val="toc 2"/>
    <w:basedOn w:val="1"/>
    <w:next w:val="1"/>
    <w:qFormat/>
    <w:uiPriority w:val="0"/>
    <w:pPr>
      <w:ind w:left="420" w:leftChars="200"/>
    </w:p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0"/>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Balloon Text"/>
    <w:basedOn w:val="1"/>
    <w:link w:val="187"/>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3"/>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5"/>
    <w:qFormat/>
    <w:uiPriority w:val="0"/>
    <w:rPr>
      <w:b/>
      <w:bCs/>
    </w:rPr>
  </w:style>
  <w:style w:type="paragraph" w:styleId="61">
    <w:name w:val="Body Text First Indent 2"/>
    <w:basedOn w:val="4"/>
    <w:next w:val="25"/>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80">
    <w:name w:val="首行缩进"/>
    <w:basedOn w:val="1"/>
    <w:next w:val="1"/>
    <w:qFormat/>
    <w:uiPriority w:val="0"/>
    <w:pPr>
      <w:spacing w:line="360" w:lineRule="auto"/>
      <w:ind w:firstLine="480" w:firstLineChars="200"/>
    </w:pPr>
    <w:rPr>
      <w:rFonts w:ascii="宋体"/>
      <w:sz w:val="24"/>
      <w:szCs w:val="20"/>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8"/>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9"/>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2"/>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7"/>
    <w:qFormat/>
    <w:uiPriority w:val="0"/>
    <w:rPr>
      <w:rFonts w:ascii="宋体"/>
      <w:kern w:val="2"/>
      <w:sz w:val="24"/>
      <w:szCs w:val="21"/>
      <w:lang w:val="zh-CN"/>
    </w:rPr>
  </w:style>
  <w:style w:type="character" w:customStyle="1" w:styleId="181">
    <w:name w:val="标题 9 Char"/>
    <w:link w:val="12"/>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Char"/>
    <w:link w:val="40"/>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3"/>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9"/>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7"/>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7"/>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next w:val="235"/>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5">
    <w:name w:val="toc 7"/>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列出段落1"/>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5"/>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8"/>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7"/>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0"/>
    <w:qFormat/>
    <w:uiPriority w:val="0"/>
    <w:rPr>
      <w:b/>
      <w:bCs/>
      <w:kern w:val="2"/>
      <w:sz w:val="24"/>
      <w:szCs w:val="24"/>
    </w:rPr>
  </w:style>
  <w:style w:type="character" w:customStyle="1" w:styleId="308">
    <w:name w:val="正文文本缩进 2 Char"/>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5"/>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7"/>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2"/>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qFormat/>
    <w:uiPriority w:val="0"/>
    <w:rPr>
      <w:kern w:val="2"/>
      <w:sz w:val="21"/>
      <w:szCs w:val="24"/>
    </w:rPr>
  </w:style>
  <w:style w:type="character" w:customStyle="1" w:styleId="345">
    <w:name w:val="签名 Char"/>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basedOn w:val="69"/>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1"/>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3"/>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无间隔2"/>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3"/>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next w:val="523"/>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customStyle="1" w:styleId="524">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7"/>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4"/>
    <w:next w:val="234"/>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4"/>
    <w:next w:val="234"/>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3"/>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5"/>
    <w:qFormat/>
    <w:uiPriority w:val="0"/>
    <w:pPr>
      <w:tabs>
        <w:tab w:val="left" w:pos="840"/>
      </w:tabs>
      <w:adjustRightInd/>
      <w:ind w:left="840" w:hanging="420"/>
    </w:pPr>
  </w:style>
  <w:style w:type="paragraph" w:customStyle="1" w:styleId="627">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3"/>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1"/>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6"/>
    <w:next w:val="641"/>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5"/>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50"/>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next w:val="840"/>
    <w:qFormat/>
    <w:uiPriority w:val="0"/>
    <w:pPr>
      <w:ind w:left="0" w:leftChars="0" w:firstLine="480" w:firstLineChars="200"/>
    </w:pPr>
    <w:rPr>
      <w:rFonts w:ascii="仿宋_GB2312" w:hAnsi="Courier New" w:eastAsia="仿宋_GB2312"/>
      <w:kern w:val="28"/>
      <w:sz w:val="24"/>
    </w:rPr>
  </w:style>
  <w:style w:type="paragraph" w:customStyle="1" w:styleId="840">
    <w:name w:val="自动更正"/>
    <w:next w:val="52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9"/>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5"/>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3"/>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z-窗体底端1"/>
    <w:basedOn w:val="1"/>
    <w:next w:val="1"/>
    <w:qFormat/>
    <w:uiPriority w:val="0"/>
    <w:pPr>
      <w:pBdr>
        <w:top w:val="single" w:color="auto" w:sz="6" w:space="1"/>
      </w:pBdr>
      <w:jc w:val="center"/>
    </w:pPr>
    <w:rPr>
      <w:rFonts w:ascii="Arial"/>
      <w:vanish/>
      <w:sz w:val="16"/>
    </w:rPr>
  </w:style>
  <w:style w:type="paragraph" w:customStyle="1" w:styleId="965">
    <w:name w:val="z-窗体底端11"/>
    <w:basedOn w:val="1"/>
    <w:next w:val="1"/>
    <w:qFormat/>
    <w:uiPriority w:val="0"/>
    <w:pPr>
      <w:pBdr>
        <w:top w:val="single" w:color="auto" w:sz="6" w:space="1"/>
      </w:pBdr>
      <w:jc w:val="center"/>
    </w:pPr>
    <w:rPr>
      <w:rFonts w:ascii="Arial"/>
      <w:vanish/>
      <w:sz w:val="16"/>
    </w:rPr>
  </w:style>
  <w:style w:type="paragraph" w:customStyle="1" w:styleId="966">
    <w:name w:val="样式 标题 1 + 段后: 0.5 行"/>
    <w:basedOn w:val="5"/>
    <w:qFormat/>
    <w:uiPriority w:val="0"/>
    <w:pPr>
      <w:keepLines w:val="0"/>
      <w:adjustRightInd/>
      <w:spacing w:before="120" w:after="120" w:afterLines="50" w:line="240" w:lineRule="auto"/>
      <w:ind w:left="0" w:firstLine="0"/>
    </w:pPr>
    <w:rPr>
      <w:rFonts w:cs="宋体"/>
      <w:snapToGrid w:val="0"/>
      <w:kern w:val="0"/>
      <w:sz w:val="28"/>
    </w:rPr>
  </w:style>
  <w:style w:type="character" w:customStyle="1" w:styleId="967">
    <w:name w:val="font121"/>
    <w:qFormat/>
    <w:uiPriority w:val="0"/>
    <w:rPr>
      <w:rFonts w:ascii="宋体" w:hAnsi="Tahoma" w:eastAsia="宋体" w:cs="宋体"/>
      <w:color w:val="000000"/>
      <w:sz w:val="20"/>
      <w:szCs w:val="20"/>
      <w:u w:val="none"/>
      <w:lang w:bidi="ar-SA"/>
    </w:rPr>
  </w:style>
  <w:style w:type="paragraph" w:customStyle="1" w:styleId="968">
    <w:name w:val="List Paragraph"/>
    <w:basedOn w:val="1"/>
    <w:qFormat/>
    <w:uiPriority w:val="0"/>
    <w:pPr>
      <w:ind w:firstLine="420" w:firstLineChars="200"/>
    </w:pPr>
    <w:rPr>
      <w:rFonts w:cs="Calibri"/>
      <w:szCs w:val="22"/>
    </w:rPr>
  </w:style>
  <w:style w:type="paragraph" w:customStyle="1" w:styleId="969">
    <w:name w:val="Basistekst Batenburg"/>
    <w:basedOn w:val="970"/>
    <w:qFormat/>
    <w:uiPriority w:val="0"/>
  </w:style>
  <w:style w:type="paragraph" w:customStyle="1" w:styleId="970">
    <w:name w:val="Zsysbasis Batenburg"/>
    <w:next w:val="969"/>
    <w:qFormat/>
    <w:uiPriority w:val="0"/>
    <w:pPr>
      <w:spacing w:line="300" w:lineRule="atLeast"/>
    </w:pPr>
    <w:rPr>
      <w:rFonts w:ascii="Calibri" w:hAnsi="Calibri" w:eastAsia="宋体" w:cs="Times New Roman"/>
      <w:sz w:val="22"/>
      <w:szCs w:val="18"/>
      <w:lang w:val="en-US" w:eastAsia="zh-CN" w:bidi="ar-SA"/>
    </w:rPr>
  </w:style>
  <w:style w:type="paragraph" w:customStyle="1" w:styleId="971">
    <w:name w:val="p17"/>
    <w:basedOn w:val="1"/>
    <w:qFormat/>
    <w:uiPriority w:val="0"/>
    <w:pPr>
      <w:ind w:firstLine="420"/>
    </w:pPr>
    <w:rPr>
      <w:rFonts w:cs="黑体"/>
      <w:b/>
      <w:bCs/>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25DE0C9-FC8C-4FCC-BA01-C037357F4B11}">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65</Pages>
  <Words>34177</Words>
  <Characters>36511</Characters>
  <Lines>68</Lines>
  <Paragraphs>90</Paragraphs>
  <TotalTime>17</TotalTime>
  <ScaleCrop>false</ScaleCrop>
  <LinksUpToDate>false</LinksUpToDate>
  <CharactersWithSpaces>41546</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畅歌</cp:lastModifiedBy>
  <cp:lastPrinted>2022-09-13T09:23:00Z</cp:lastPrinted>
  <dcterms:modified xsi:type="dcterms:W3CDTF">2022-09-13T09:29:22Z</dcterms:modified>
  <dc:title>杭州市市民卡扩大发卡工程</dc:title>
  <cp:revision>202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718A7B0189944743A64BD81CE471F16C</vt:lpwstr>
  </property>
</Properties>
</file>