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lang w:eastAsia="zh-CN"/>
          <w14:textFill>
            <w14:solidFill>
              <w14:schemeClr w14:val="tx1"/>
            </w14:solidFill>
          </w14:textFill>
        </w:rPr>
      </w:pPr>
      <w:r>
        <w:rPr>
          <w:rFonts w:hint="eastAsia" w:ascii="宋体" w:hAnsi="宋体" w:cs="宋体"/>
          <w:color w:val="000000" w:themeColor="text1"/>
          <w:sz w:val="48"/>
          <w:szCs w:val="48"/>
          <w:highlight w:val="none"/>
          <w:lang w:eastAsia="zh-CN"/>
          <w14:textFill>
            <w14:solidFill>
              <w14:schemeClr w14:val="tx1"/>
            </w14:solidFill>
          </w14:textFill>
        </w:rPr>
        <w:t>2023年度建筑工程消防验收第三方服务项目</w:t>
      </w:r>
    </w:p>
    <w:p>
      <w:pPr>
        <w:adjustRightInd/>
        <w:spacing w:line="360" w:lineRule="auto"/>
        <w:jc w:val="center"/>
        <w:rPr>
          <w:rFonts w:hint="eastAsia" w:ascii="宋体" w:hAnsi="宋体" w:cs="宋体"/>
          <w:color w:val="000000" w:themeColor="text1"/>
          <w:sz w:val="48"/>
          <w:szCs w:val="48"/>
          <w:highlight w:val="none"/>
          <w14:textFill>
            <w14:solidFill>
              <w14:schemeClr w14:val="tx1"/>
            </w14:solidFill>
          </w14:textFill>
        </w:rPr>
      </w:pPr>
    </w:p>
    <w:p>
      <w:pPr>
        <w:adjustRightInd/>
        <w:spacing w:line="360" w:lineRule="auto"/>
        <w:jc w:val="center"/>
        <w:rPr>
          <w:rFonts w:hint="eastAsia" w:ascii="宋体" w:hAnsi="宋体" w:cs="宋体"/>
          <w:color w:val="000000" w:themeColor="text1"/>
          <w:sz w:val="48"/>
          <w:szCs w:val="48"/>
          <w:highlight w:val="none"/>
          <w14:textFill>
            <w14:solidFill>
              <w14:schemeClr w14:val="tx1"/>
            </w14:solidFill>
          </w14:textFill>
        </w:rPr>
      </w:pPr>
    </w:p>
    <w:p>
      <w:pPr>
        <w:adjustRightInd/>
        <w:spacing w:line="360" w:lineRule="auto"/>
        <w:jc w:val="center"/>
        <w:rPr>
          <w:rFonts w:ascii="宋体" w:hAnsi="宋体" w:cs="宋体"/>
          <w:color w:val="000000" w:themeColor="text1"/>
          <w:sz w:val="48"/>
          <w:szCs w:val="48"/>
          <w:highlight w:val="none"/>
          <w14:textFill>
            <w14:solidFill>
              <w14:schemeClr w14:val="tx1"/>
            </w14:solidFill>
          </w14:textFill>
        </w:rPr>
      </w:pPr>
      <w:r>
        <w:rPr>
          <w:rFonts w:hint="eastAsia" w:ascii="宋体" w:hAnsi="宋体" w:cs="宋体"/>
          <w:color w:val="000000" w:themeColor="text1"/>
          <w:sz w:val="48"/>
          <w:szCs w:val="48"/>
          <w:highlight w:val="none"/>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（电子招投标）</w:t>
      </w:r>
    </w:p>
    <w:p>
      <w:pPr>
        <w:snapToGrid w:val="0"/>
        <w:spacing w:line="360" w:lineRule="auto"/>
        <w:jc w:val="center"/>
        <w:rPr>
          <w:rFonts w:hint="eastAsia" w:ascii="宋体" w:hAnsi="宋体" w:eastAsia="宋体" w:cs="宋体"/>
          <w:color w:val="000000" w:themeColor="text1"/>
          <w:sz w:val="30"/>
          <w:szCs w:val="30"/>
          <w:highlight w:val="none"/>
          <w:lang w:eastAsia="zh-CN"/>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编号</w:t>
      </w:r>
      <w:r>
        <w:rPr>
          <w:rFonts w:hint="eastAsia" w:ascii="宋体" w:hAnsi="宋体" w:cs="宋体"/>
          <w:color w:val="000000" w:themeColor="text1"/>
          <w:sz w:val="30"/>
          <w:szCs w:val="30"/>
          <w:highlight w:val="none"/>
          <w:lang w:eastAsia="zh-CN"/>
          <w14:textFill>
            <w14:solidFill>
              <w14:schemeClr w14:val="tx1"/>
            </w14:solidFill>
          </w14:textFill>
        </w:rPr>
        <w:t>：JD2023BF-073</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32"/>
          <w:szCs w:val="32"/>
          <w:highlight w:val="none"/>
          <w:lang w:eastAsia="zh-CN"/>
          <w14:textFill>
            <w14:solidFill>
              <w14:schemeClr w14:val="tx1"/>
            </w14:solidFill>
          </w14:textFill>
        </w:rPr>
        <w:t>建德市住房和城乡建设局</w:t>
      </w:r>
    </w:p>
    <w:p>
      <w:pPr>
        <w:spacing w:line="360" w:lineRule="auto"/>
        <w:jc w:val="center"/>
        <w:rPr>
          <w:rFonts w:hint="eastAsia" w:ascii="宋体" w:hAnsi="宋体" w:eastAsia="宋体" w:cs="宋体"/>
          <w:bCs/>
          <w:color w:val="000000" w:themeColor="text1"/>
          <w:sz w:val="32"/>
          <w:szCs w:val="32"/>
          <w:highlight w:val="none"/>
          <w:lang w:eastAsia="zh-CN"/>
          <w14:textFill>
            <w14:solidFill>
              <w14:schemeClr w14:val="tx1"/>
            </w14:solidFill>
          </w14:textFill>
        </w:rPr>
      </w:pPr>
      <w:r>
        <w:rPr>
          <w:rFonts w:hint="eastAsia" w:ascii="宋体" w:hAnsi="宋体" w:cs="宋体"/>
          <w:bCs/>
          <w:color w:val="000000" w:themeColor="text1"/>
          <w:sz w:val="32"/>
          <w:szCs w:val="32"/>
          <w:highlight w:val="none"/>
          <w:lang w:eastAsia="zh-CN"/>
          <w14:textFill>
            <w14:solidFill>
              <w14:schemeClr w14:val="tx1"/>
            </w14:solidFill>
          </w14:textFill>
        </w:rPr>
        <w:t>杭州欣兴建设工程招标代理有限公司</w:t>
      </w:r>
    </w:p>
    <w:p>
      <w:pPr>
        <w:snapToGrid w:val="0"/>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二〇二</w:t>
      </w:r>
      <w:r>
        <w:rPr>
          <w:rFonts w:hint="eastAsia" w:ascii="宋体" w:hAnsi="宋体" w:cs="宋体"/>
          <w:bCs/>
          <w:color w:val="000000" w:themeColor="text1"/>
          <w:sz w:val="32"/>
          <w:szCs w:val="32"/>
          <w:highlight w:val="none"/>
          <w:lang w:val="en-US" w:eastAsia="zh-CN"/>
          <w14:textFill>
            <w14:solidFill>
              <w14:schemeClr w14:val="tx1"/>
            </w14:solidFill>
          </w14:textFill>
        </w:rPr>
        <w:t>三</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五</w:t>
      </w:r>
      <w:r>
        <w:rPr>
          <w:rFonts w:hint="eastAsia" w:ascii="宋体" w:hAnsi="宋体" w:cs="宋体"/>
          <w:bCs/>
          <w:color w:val="000000" w:themeColor="text1"/>
          <w:sz w:val="32"/>
          <w:szCs w:val="32"/>
          <w:highlight w:val="none"/>
          <w14:textFill>
            <w14:solidFill>
              <w14:schemeClr w14:val="tx1"/>
            </w14:solidFill>
          </w14:textFill>
        </w:rPr>
        <w:t>月</w:t>
      </w:r>
      <w:r>
        <w:rPr>
          <w:rFonts w:hint="eastAsia" w:ascii="宋体" w:hAnsi="宋体" w:cs="宋体"/>
          <w:bCs/>
          <w:color w:val="000000" w:themeColor="text1"/>
          <w:sz w:val="32"/>
          <w:szCs w:val="32"/>
          <w:highlight w:val="none"/>
          <w:lang w:val="en-US" w:eastAsia="zh-CN"/>
          <w14:textFill>
            <w14:solidFill>
              <w14:schemeClr w14:val="tx1"/>
            </w14:solidFill>
          </w14:textFill>
        </w:rPr>
        <w:t>二十二</w:t>
      </w:r>
      <w:r>
        <w:rPr>
          <w:rFonts w:hint="eastAsia" w:ascii="宋体" w:hAnsi="宋体" w:cs="宋体"/>
          <w:bCs/>
          <w:color w:val="000000" w:themeColor="text1"/>
          <w:sz w:val="32"/>
          <w:szCs w:val="32"/>
          <w:highlight w:val="none"/>
          <w14:textFill>
            <w14:solidFill>
              <w14:schemeClr w14:val="tx1"/>
            </w14:solidFill>
          </w14:textFill>
        </w:rPr>
        <w:t>日</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br w:type="page"/>
      </w:r>
      <w:bookmarkStart w:id="0" w:name="_Hlt67893495"/>
      <w:bookmarkEnd w:id="0"/>
    </w:p>
    <w:p>
      <w:pPr>
        <w:pStyle w:val="635"/>
        <w:rPr>
          <w:color w:val="000000" w:themeColor="text1"/>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目  录</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3" w:name="第一部分"/>
      <w:r>
        <w:rPr>
          <w:rFonts w:hint="eastAsia" w:ascii="宋体" w:hAnsi="宋体" w:cs="宋体"/>
          <w:b/>
          <w:color w:val="000000" w:themeColor="text1"/>
          <w:sz w:val="36"/>
          <w:szCs w:val="36"/>
          <w:highlight w:val="none"/>
          <w14:textFill>
            <w14:solidFill>
              <w14:schemeClr w14:val="tx1"/>
            </w14:solidFill>
          </w14:textFill>
        </w:rPr>
        <w:br w:type="page"/>
      </w:r>
      <w:bookmarkEnd w:id="2"/>
      <w:bookmarkEnd w:id="3"/>
      <w:bookmarkStart w:id="4" w:name="_Hlt74729822"/>
      <w:bookmarkEnd w:id="4"/>
      <w:bookmarkStart w:id="5" w:name="_Hlt74649545"/>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招标项目的潜在投标人应在政采云平台（</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color w:val="000000" w:themeColor="text1"/>
          <w:highlight w:val="none"/>
          <w14:textFill>
            <w14:solidFill>
              <w14:schemeClr w14:val="tx1"/>
            </w14:solidFill>
          </w14:textFill>
        </w:rPr>
        <w:fldChar w:fldCharType="separate"/>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https://www.zcygov.cn/）获取（下载）招标文件，并于202</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3</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年</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6</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月</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14</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日</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09</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点</w:t>
      </w:r>
      <w:r>
        <w:rPr>
          <w:rStyle w:val="76"/>
          <w:rFonts w:hint="eastAsia" w:ascii="宋体" w:hAnsi="宋体" w:cs="宋体"/>
          <w:snapToGrid/>
          <w:color w:val="000000" w:themeColor="text1"/>
          <w:kern w:val="2"/>
          <w:sz w:val="24"/>
          <w:szCs w:val="24"/>
          <w:highlight w:val="none"/>
          <w:lang w:val="en-US" w:eastAsia="zh-CN"/>
          <w14:textFill>
            <w14:solidFill>
              <w14:schemeClr w14:val="tx1"/>
            </w14:solidFill>
          </w14:textFill>
        </w:rPr>
        <w:t>30</w:t>
      </w:r>
      <w:r>
        <w:rPr>
          <w:rStyle w:val="76"/>
          <w:rFonts w:hint="eastAsia" w:ascii="宋体" w:hAnsi="宋体" w:eastAsia="宋体" w:cs="宋体"/>
          <w:snapToGrid/>
          <w:color w:val="000000" w:themeColor="text1"/>
          <w:kern w:val="2"/>
          <w:sz w:val="24"/>
          <w:szCs w:val="24"/>
          <w:highlight w:val="none"/>
          <w14:textFill>
            <w14:solidFill>
              <w14:schemeClr w14:val="tx1"/>
            </w14:solidFill>
          </w14:textFill>
        </w:rPr>
        <w:t>分</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t>00秒</w:t>
      </w:r>
      <w:r>
        <w:rPr>
          <w:rStyle w:val="76"/>
          <w:rFonts w:hint="eastAsia" w:ascii="宋体" w:hAnsi="宋体" w:eastAsia="宋体" w:cs="宋体"/>
          <w:bCs/>
          <w:snapToGrid/>
          <w:color w:val="000000" w:themeColor="text1"/>
          <w:kern w:val="2"/>
          <w:sz w:val="24"/>
          <w:szCs w:val="24"/>
          <w:highlight w:val="none"/>
          <w14:textFill>
            <w14:solidFill>
              <w14:schemeClr w14:val="tx1"/>
            </w14:solidFill>
          </w14:textFill>
        </w:rPr>
        <w:fldChar w:fldCharType="end"/>
      </w:r>
      <w:r>
        <w:rPr>
          <w:rFonts w:hint="eastAsia" w:ascii="宋体" w:hAnsi="宋体" w:cs="宋体"/>
          <w:bCs/>
          <w:color w:val="000000" w:themeColor="text1"/>
          <w:sz w:val="24"/>
          <w:highlight w:val="none"/>
          <w14:textFill>
            <w14:solidFill>
              <w14:schemeClr w14:val="tx1"/>
            </w14:solidFill>
          </w14:textFill>
        </w:rPr>
        <w:t>（北京时间）前</w:t>
      </w:r>
      <w:r>
        <w:rPr>
          <w:rFonts w:hint="eastAsia" w:ascii="宋体" w:hAnsi="宋体" w:cs="宋体"/>
          <w:color w:val="000000" w:themeColor="text1"/>
          <w:sz w:val="24"/>
          <w:highlight w:val="none"/>
          <w14:textFill>
            <w14:solidFill>
              <w14:schemeClr w14:val="tx1"/>
            </w14:solidFill>
          </w14:textFill>
        </w:rPr>
        <w:t>递交（上传）投标文件。</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JD2023BF-073</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预算金额（元）：</w:t>
      </w:r>
      <w:r>
        <w:rPr>
          <w:rFonts w:hint="eastAsia" w:ascii="宋体" w:hAnsi="宋体" w:cs="宋体"/>
          <w:b w:val="0"/>
          <w:bCs/>
          <w:color w:val="000000" w:themeColor="text1"/>
          <w:sz w:val="24"/>
          <w:highlight w:val="none"/>
          <w:lang w:val="en-US" w:eastAsia="zh-CN"/>
          <w14:textFill>
            <w14:solidFill>
              <w14:schemeClr w14:val="tx1"/>
            </w14:solidFill>
          </w14:textFill>
        </w:rPr>
        <w:t>1200000.00</w:t>
      </w:r>
      <w:r>
        <w:rPr>
          <w:rFonts w:hint="eastAsia" w:ascii="宋体" w:hAnsi="宋体" w:cs="宋体"/>
          <w:b w:val="0"/>
          <w:bCs/>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b w:val="0"/>
          <w:bCs/>
          <w:color w:val="000000" w:themeColor="text1"/>
          <w:sz w:val="24"/>
          <w:highlight w:val="none"/>
          <w:lang w:val="en-US" w:eastAsia="zh-CN"/>
          <w14:textFill>
            <w14:solidFill>
              <w14:schemeClr w14:val="tx1"/>
            </w14:solidFill>
          </w14:textFill>
        </w:rPr>
        <w:t>2</w:t>
      </w:r>
      <w:r>
        <w:rPr>
          <w:rFonts w:hint="eastAsia" w:ascii="宋体" w:hAnsi="宋体" w:cs="宋体"/>
          <w:b w:val="0"/>
          <w:bCs/>
          <w:color w:val="000000" w:themeColor="text1"/>
          <w:sz w:val="24"/>
          <w:highlight w:val="none"/>
          <w14:textFill>
            <w14:solidFill>
              <w14:schemeClr w14:val="tx1"/>
            </w14:solidFill>
          </w14:textFill>
        </w:rPr>
        <w:t>元/平方米（年度总预算</w:t>
      </w:r>
      <w:r>
        <w:rPr>
          <w:rFonts w:hint="eastAsia" w:ascii="宋体" w:hAnsi="宋体" w:cs="宋体"/>
          <w:b w:val="0"/>
          <w:bCs/>
          <w:color w:val="000000" w:themeColor="text1"/>
          <w:sz w:val="24"/>
          <w:highlight w:val="none"/>
          <w:lang w:val="en-US" w:eastAsia="zh-CN"/>
          <w14:textFill>
            <w14:solidFill>
              <w14:schemeClr w14:val="tx1"/>
            </w14:solidFill>
          </w14:textFill>
        </w:rPr>
        <w:t>12</w:t>
      </w:r>
      <w:r>
        <w:rPr>
          <w:rFonts w:hint="eastAsia" w:ascii="宋体" w:hAnsi="宋体" w:cs="宋体"/>
          <w:b w:val="0"/>
          <w:bCs/>
          <w:color w:val="000000" w:themeColor="text1"/>
          <w:sz w:val="24"/>
          <w:highlight w:val="none"/>
          <w14:textFill>
            <w14:solidFill>
              <w14:schemeClr w14:val="tx1"/>
            </w14:solidFill>
          </w14:textFill>
        </w:rPr>
        <w:t>0.00万元）；</w:t>
      </w:r>
      <w:r>
        <w:rPr>
          <w:rFonts w:hint="eastAsia" w:ascii="宋体" w:hAnsi="宋体" w:cs="宋体"/>
          <w:b/>
          <w:color w:val="000000" w:themeColor="text1"/>
          <w:sz w:val="24"/>
          <w:highlight w:val="none"/>
          <w14:textFill>
            <w14:solidFill>
              <w14:schemeClr w14:val="tx1"/>
            </w14:solidFill>
          </w14:textFill>
        </w:rPr>
        <w:t xml:space="preserve"> </w:t>
      </w:r>
      <w:r>
        <w:rPr>
          <w:rFonts w:ascii="宋体" w:hAnsi="宋体" w:cs="宋体"/>
          <w:color w:val="000000" w:themeColor="text1"/>
          <w:sz w:val="24"/>
          <w:highlight w:val="none"/>
          <w14:textFill>
            <w14:solidFill>
              <w14:schemeClr w14:val="tx1"/>
            </w14:solidFill>
          </w14:textFill>
        </w:rPr>
        <w:t xml:space="preserve"> </w:t>
      </w:r>
    </w:p>
    <w:p>
      <w:pPr>
        <w:pStyle w:val="7"/>
        <w:spacing w:line="360" w:lineRule="auto"/>
        <w:ind w:firstLine="480"/>
        <w:rPr>
          <w:rFonts w:hint="eastAsia" w:hAnsi="宋体" w:cs="宋体"/>
          <w:bCs/>
          <w:snapToGrid/>
          <w:color w:val="000000" w:themeColor="text1"/>
          <w:kern w:val="2"/>
          <w:sz w:val="24"/>
          <w:szCs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r>
        <w:rPr>
          <w:rFonts w:hint="eastAsia" w:hAnsi="宋体" w:cs="宋体"/>
          <w:bCs/>
          <w:snapToGrid/>
          <w:color w:val="000000" w:themeColor="text1"/>
          <w:kern w:val="2"/>
          <w:sz w:val="24"/>
          <w:szCs w:val="24"/>
          <w:highlight w:val="none"/>
          <w:lang w:eastAsia="zh-CN"/>
          <w14:textFill>
            <w14:solidFill>
              <w14:schemeClr w14:val="tx1"/>
            </w14:solidFill>
          </w14:textFill>
        </w:rPr>
        <w:t>2023年度建筑工程消防验收第三方服务项目，</w:t>
      </w:r>
      <w:r>
        <w:rPr>
          <w:rFonts w:hint="eastAsia" w:hAnsi="宋体" w:cs="宋体"/>
          <w:bCs/>
          <w:snapToGrid/>
          <w:color w:val="000000" w:themeColor="text1"/>
          <w:kern w:val="2"/>
          <w:sz w:val="24"/>
          <w:szCs w:val="24"/>
          <w:highlight w:val="none"/>
          <w14:textFill>
            <w14:solidFill>
              <w14:schemeClr w14:val="tx1"/>
            </w14:solidFill>
          </w14:textFill>
        </w:rPr>
        <w:t>主要内容：供应商对建德市住房和城乡建设局指定的项目，严格依据国家法律法规、国家工程建设消防技术标准和省、市有关规定，开展现场交底及建设阶段性服务、图纸及资料核查服务、现场评定及消防设施检测服务、整改监督服务及档案整理等工作，及时出具意见或报告，并对出具的意见或报告负责</w:t>
      </w:r>
      <w:r>
        <w:rPr>
          <w:rFonts w:hint="eastAsia" w:hAnsi="宋体" w:cs="宋体"/>
          <w:bCs/>
          <w:snapToGrid/>
          <w:color w:val="000000" w:themeColor="text1"/>
          <w:kern w:val="2"/>
          <w:sz w:val="24"/>
          <w:szCs w:val="24"/>
          <w:highlight w:val="none"/>
          <w:lang w:val="en-US" w:eastAsia="zh-CN"/>
          <w14:textFill>
            <w14:solidFill>
              <w14:schemeClr w14:val="tx1"/>
            </w14:solidFill>
          </w14:textFill>
        </w:rPr>
        <w:t>并提供档案管理服务</w:t>
      </w:r>
      <w:r>
        <w:rPr>
          <w:rFonts w:hint="eastAsia" w:hAnsi="宋体" w:cs="宋体"/>
          <w:bCs/>
          <w:snapToGrid/>
          <w:color w:val="000000" w:themeColor="text1"/>
          <w:kern w:val="2"/>
          <w:sz w:val="24"/>
          <w:szCs w:val="24"/>
          <w:highlight w:val="none"/>
          <w14:textFill>
            <w14:solidFill>
              <w14:schemeClr w14:val="tx1"/>
            </w14:solidFill>
          </w14:textFill>
        </w:rPr>
        <w:t xml:space="preserve">。 </w:t>
      </w:r>
    </w:p>
    <w:p>
      <w:pPr>
        <w:pStyle w:val="7"/>
        <w:spacing w:line="360" w:lineRule="auto"/>
        <w:ind w:firstLine="480"/>
        <w:rPr>
          <w:rFonts w:hAnsi="宋体" w:cs="宋体"/>
          <w:bCs/>
          <w:snapToGrid/>
          <w:color w:val="000000" w:themeColor="text1"/>
          <w:kern w:val="2"/>
          <w:sz w:val="24"/>
          <w:szCs w:val="24"/>
          <w:highlight w:val="none"/>
          <w14:textFill>
            <w14:solidFill>
              <w14:schemeClr w14:val="tx1"/>
            </w14:solidFill>
          </w14:textFill>
        </w:rPr>
      </w:pP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具体以招标文件第三部分采购需求为准，供应商可点击本公告下方“浏览采购文件”查看采购需求。</w:t>
      </w:r>
    </w:p>
    <w:p>
      <w:pPr>
        <w:spacing w:line="360" w:lineRule="auto"/>
        <w:ind w:firstLine="480"/>
        <w:rPr>
          <w:rFonts w:hint="eastAsia" w:ascii="宋体" w:hAnsi="宋体" w:eastAsia="宋体" w:cs="宋体"/>
          <w:bCs/>
          <w:snapToGrid/>
          <w:color w:val="000000" w:themeColor="text1"/>
          <w:kern w:val="2"/>
          <w:sz w:val="24"/>
          <w:szCs w:val="24"/>
          <w:highlight w:val="none"/>
          <w:lang w:val="zh-CN"/>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合同履约期限：</w:t>
      </w:r>
      <w:r>
        <w:rPr>
          <w:rFonts w:hint="eastAsia" w:ascii="宋体" w:hAnsi="宋体" w:cs="宋体"/>
          <w:b w:val="0"/>
          <w:bCs/>
          <w:color w:val="000000" w:themeColor="text1"/>
          <w:sz w:val="24"/>
          <w:highlight w:val="none"/>
          <w:lang w:val="en-US" w:eastAsia="zh-CN"/>
          <w14:textFill>
            <w14:solidFill>
              <w14:schemeClr w14:val="tx1"/>
            </w14:solidFill>
          </w14:textFill>
        </w:rPr>
        <w:t>2023年6月21日至2024年6月20日</w:t>
      </w:r>
      <w:r>
        <w:rPr>
          <w:rFonts w:hint="eastAsia" w:ascii="宋体" w:hAnsi="宋体" w:eastAsia="宋体" w:cs="宋体"/>
          <w:b w:val="0"/>
          <w:bCs/>
          <w:color w:val="000000" w:themeColor="text1"/>
          <w:sz w:val="24"/>
          <w:highlight w:val="none"/>
          <w14:textFill>
            <w14:solidFill>
              <w14:schemeClr w14:val="tx1"/>
            </w14:solidFill>
          </w14:textFill>
        </w:rPr>
        <w:t>。</w:t>
      </w:r>
    </w:p>
    <w:p>
      <w:pPr>
        <w:pStyle w:val="7"/>
        <w:spacing w:line="360" w:lineRule="auto"/>
        <w:ind w:firstLine="480"/>
        <w:rPr>
          <w:rFonts w:hAnsi="宋体" w:cs="宋体"/>
          <w:b/>
          <w:color w:val="000000" w:themeColor="text1"/>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r>
        <w:rPr>
          <w:rFonts w:hint="eastAsia" w:hAnsi="宋体" w:cs="宋体"/>
          <w:b w:val="0"/>
          <w:bCs/>
          <w:color w:val="000000" w:themeColor="text1"/>
          <w:sz w:val="24"/>
          <w:highlight w:val="none"/>
          <w:lang w:val="en-US" w:eastAsia="zh-CN"/>
          <w14:textFill>
            <w14:solidFill>
              <w14:schemeClr w14:val="tx1"/>
            </w14:solidFill>
          </w14:textFill>
        </w:rPr>
        <w:sym w:font="Wingdings 2" w:char="0052"/>
      </w:r>
      <w:r>
        <w:rPr>
          <w:rFonts w:hint="eastAsia" w:hAnsi="宋体" w:cs="宋体"/>
          <w:b/>
          <w:color w:val="000000" w:themeColor="text1"/>
          <w:sz w:val="24"/>
          <w:highlight w:val="none"/>
          <w14:textFill>
            <w14:solidFill>
              <w14:schemeClr w14:val="tx1"/>
            </w14:solidFill>
          </w14:textFill>
        </w:rPr>
        <w:t>是；</w:t>
      </w:r>
      <w:sdt>
        <w:sdtPr>
          <w:rPr>
            <w:rFonts w:hAnsi="宋体" w:cs="宋体"/>
            <w:color w:val="000000" w:themeColor="text1"/>
            <w:kern w:val="0"/>
            <w:sz w:val="24"/>
            <w:highlight w:val="none"/>
            <w14:textFill>
              <w14:solidFill>
                <w14:schemeClr w14:val="tx1"/>
              </w14:solidFill>
            </w14:textFill>
          </w:rPr>
          <w:id w:val="-1591624199"/>
        </w:sdtPr>
        <w:sdtEndPr>
          <w:rPr>
            <w:rFonts w:hAnsi="宋体" w:cs="宋体"/>
            <w:color w:val="000000" w:themeColor="text1"/>
            <w:kern w:val="0"/>
            <w:sz w:val="24"/>
            <w:highlight w:val="none"/>
            <w14:textFill>
              <w14:solidFill>
                <w14:schemeClr w14:val="tx1"/>
              </w14:solidFill>
            </w14:textFill>
          </w:rPr>
        </w:sdtEndPr>
        <w:sdtContent>
          <w:r>
            <w:rPr>
              <w:rFonts w:hint="eastAsia" w:hAnsi="宋体" w:cs="宋体"/>
              <w:b w:val="0"/>
              <w:bCs/>
              <w:color w:val="000000" w:themeColor="text1"/>
              <w:sz w:val="24"/>
              <w:highlight w:val="none"/>
              <w:lang w:val="en-US" w:eastAsia="zh-CN"/>
              <w14:textFill>
                <w14:solidFill>
                  <w14:schemeClr w14:val="tx1"/>
                </w14:solidFill>
              </w14:textFill>
            </w:rPr>
            <w:sym w:font="Wingdings 2" w:char="00A3"/>
          </w:r>
        </w:sdtContent>
      </w:sdt>
      <w:r>
        <w:rPr>
          <w:rFonts w:hint="eastAsia" w:hAnsi="宋体" w:cs="宋体"/>
          <w:b/>
          <w:color w:val="000000" w:themeColor="text1"/>
          <w:sz w:val="24"/>
          <w:highlight w:val="none"/>
          <w14:textFill>
            <w14:solidFill>
              <w14:schemeClr w14:val="tx1"/>
            </w14:solidFill>
          </w14:textFill>
        </w:rPr>
        <w:t>否</w:t>
      </w:r>
      <w:r>
        <w:rPr>
          <w:rFonts w:hint="eastAsia"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1.满足《中华人民共和国政府采购法》第二十二条规定；未被“信用中国”（www.creditchina.gov.cn)、中国政府采购网（www.ccgp.gov.cn）列入失信被执行人、</w:t>
      </w:r>
      <w:r>
        <w:rPr>
          <w:rFonts w:hint="eastAsia" w:ascii="宋体" w:hAnsi="宋体" w:cs="宋体"/>
          <w:snapToGrid w:val="0"/>
          <w:color w:val="000000" w:themeColor="text1"/>
          <w:kern w:val="28"/>
          <w:sz w:val="24"/>
          <w:szCs w:val="20"/>
          <w:highlight w:val="none"/>
          <w:lang w:eastAsia="zh-CN"/>
          <w14:textFill>
            <w14:solidFill>
              <w14:schemeClr w14:val="tx1"/>
            </w14:solidFill>
          </w14:textFill>
        </w:rPr>
        <w:t>重大税收违法案件当事人名单</w:t>
      </w:r>
      <w:r>
        <w:rPr>
          <w:rFonts w:hint="eastAsia" w:ascii="宋体" w:hAnsi="宋体" w:cs="宋体"/>
          <w:snapToGrid w:val="0"/>
          <w:color w:val="000000" w:themeColor="text1"/>
          <w:kern w:val="28"/>
          <w:sz w:val="24"/>
          <w:szCs w:val="20"/>
          <w:highlight w:val="none"/>
          <w14:textFill>
            <w14:solidFill>
              <w14:schemeClr w14:val="tx1"/>
            </w14:solidFill>
          </w14:textFill>
        </w:rPr>
        <w:t>、政府采购严重违法失信行为记录名单；</w:t>
      </w:r>
    </w:p>
    <w:p>
      <w:pPr>
        <w:spacing w:line="360" w:lineRule="auto"/>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 xml:space="preserve">    </w:t>
      </w:r>
      <w:r>
        <w:rPr>
          <w:rFonts w:ascii="宋体" w:hAnsi="宋体" w:cs="宋体"/>
          <w:snapToGrid w:val="0"/>
          <w:color w:val="000000" w:themeColor="text1"/>
          <w:kern w:val="28"/>
          <w:sz w:val="24"/>
          <w:szCs w:val="20"/>
          <w:highlight w:val="none"/>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highlight w:val="none"/>
          <w14:textFill>
            <w14:solidFill>
              <w14:schemeClr w14:val="tx1"/>
            </w14:solidFill>
          </w14:textFill>
        </w:rPr>
      </w:pPr>
      <w:r>
        <w:rPr>
          <w:rFonts w:ascii="宋体" w:hAnsi="宋体" w:cs="宋体"/>
          <w:snapToGrid w:val="0"/>
          <w:color w:val="000000" w:themeColor="text1"/>
          <w:kern w:val="28"/>
          <w:sz w:val="24"/>
          <w:szCs w:val="20"/>
          <w:highlight w:val="none"/>
          <w14:textFill>
            <w14:solidFill>
              <w14:schemeClr w14:val="tx1"/>
            </w14:solidFill>
          </w14:textFill>
        </w:rPr>
        <w:t>3</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无</w:t>
      </w:r>
      <w:r>
        <w:rPr>
          <w:rFonts w:hint="eastAsia" w:ascii="宋体" w:hAnsi="宋体" w:cs="宋体"/>
          <w:snapToGrid w:val="0"/>
          <w:color w:val="000000" w:themeColor="text1"/>
          <w:kern w:val="28"/>
          <w:sz w:val="24"/>
          <w:szCs w:val="20"/>
          <w:highlight w:val="none"/>
          <w14:textFill>
            <w14:solidFill>
              <w14:schemeClr w14:val="tx1"/>
            </w14:solidFill>
          </w14:textFill>
        </w:rPr>
        <w:t>（注：不得限制大中型企业与小微企业组成联合体参与投标）；</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专</w:t>
      </w:r>
      <w:r>
        <w:rPr>
          <w:rFonts w:hint="eastAsia" w:ascii="宋体" w:hAnsi="宋体" w:cs="宋体"/>
          <w:color w:val="000000" w:themeColor="text1"/>
          <w:sz w:val="24"/>
          <w:highlight w:val="none"/>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sym w:font="Wingdings 2" w:char="0052"/>
      </w:r>
      <w:r>
        <w:rPr>
          <w:rFonts w:hint="eastAsia" w:ascii="宋体" w:hAnsi="宋体" w:cs="宋体"/>
          <w:color w:val="000000" w:themeColor="text1"/>
          <w:sz w:val="24"/>
          <w:highlight w:val="none"/>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服务全部由符合政策要求的小微企业承接，提供中小企业声明函；</w:t>
      </w:r>
    </w:p>
    <w:p>
      <w:pPr>
        <w:rPr>
          <w:rFonts w:ascii="宋体" w:hAnsi="宋体" w:cs="宋体"/>
          <w:color w:val="000000" w:themeColor="text1"/>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，其中小微企业合同金额应当达到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4.本项目的特定资格要求：满足国家、省级消防部门制定的《消防技术服务机构从业条件》，并在“浙江省消防技术服务管理系统”备案登记，接受行业监管。</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14</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14</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（北京时间）</w:t>
      </w:r>
    </w:p>
    <w:p>
      <w:pPr>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6</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14</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09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cs="宋体"/>
          <w:color w:val="000000" w:themeColor="text1"/>
          <w:sz w:val="24"/>
          <w:highlight w:val="none"/>
          <w:u w:val="single"/>
          <w14:textFill>
            <w14:solidFill>
              <w14:schemeClr w14:val="tx1"/>
            </w14:solidFill>
          </w14:textFill>
        </w:rPr>
        <w:t>分00秒</w:t>
      </w:r>
      <w:r>
        <w:rPr>
          <w:rFonts w:hint="eastAsia" w:ascii="宋体" w:hAnsi="宋体" w:cs="宋体"/>
          <w:bCs/>
          <w:color w:val="000000" w:themeColor="text1"/>
          <w:sz w:val="24"/>
          <w:highlight w:val="none"/>
          <w:u w:val="singl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1.采购人信息</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名    称：</w:t>
      </w: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址：建德市新安江街道</w:t>
      </w:r>
      <w:r>
        <w:rPr>
          <w:rFonts w:hint="eastAsia" w:ascii="宋体" w:hAnsi="宋体" w:cs="宋体"/>
          <w:color w:val="000000" w:themeColor="text1"/>
          <w:sz w:val="24"/>
          <w:highlight w:val="none"/>
          <w:lang w:val="en-US" w:eastAsia="zh-CN"/>
          <w14:textFill>
            <w14:solidFill>
              <w14:schemeClr w14:val="tx1"/>
            </w14:solidFill>
          </w14:textFill>
        </w:rPr>
        <w:t>新安路188号建设大厦</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项目联系人（询问）：朱超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0571-</w:t>
      </w:r>
      <w:r>
        <w:rPr>
          <w:rFonts w:hint="eastAsia" w:ascii="宋体" w:hAnsi="宋体" w:cs="宋体"/>
          <w:color w:val="000000" w:themeColor="text1"/>
          <w:sz w:val="24"/>
          <w:highlight w:val="none"/>
          <w14:textFill>
            <w14:solidFill>
              <w14:schemeClr w14:val="tx1"/>
            </w14:solidFill>
          </w14:textFill>
        </w:rPr>
        <w:t xml:space="preserve">64728885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质疑联系人：叶立新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0571-</w:t>
      </w:r>
      <w:r>
        <w:rPr>
          <w:rFonts w:hint="eastAsia" w:ascii="宋体" w:hAnsi="宋体" w:cs="宋体"/>
          <w:color w:val="000000" w:themeColor="text1"/>
          <w:sz w:val="24"/>
          <w:highlight w:val="none"/>
          <w14:textFill>
            <w14:solidFill>
              <w14:schemeClr w14:val="tx1"/>
            </w14:solidFill>
          </w14:textFill>
        </w:rPr>
        <w:t xml:space="preserve">64728885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2.采购代理机构信息            </w:t>
      </w:r>
    </w:p>
    <w:p>
      <w:pPr>
        <w:spacing w:line="360" w:lineRule="auto"/>
        <w:ind w:firstLine="48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p>
    <w:p>
      <w:pPr>
        <w:spacing w:line="360" w:lineRule="auto"/>
        <w:ind w:firstLine="480"/>
        <w:rPr>
          <w:rFonts w:hint="default" w:ascii="宋体" w:hAnsi="宋体" w:cs="宋体"/>
          <w:color w:val="000000" w:themeColor="text1"/>
          <w:sz w:val="24"/>
          <w:highlight w:val="none"/>
          <w:lang w:val="en-US"/>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eastAsia="宋体" w:cs="宋体"/>
          <w:color w:val="000000" w:themeColor="text1"/>
          <w:sz w:val="24"/>
          <w:highlight w:val="none"/>
          <w14:textFill>
            <w14:solidFill>
              <w14:schemeClr w14:val="tx1"/>
            </w14:solidFill>
          </w14:textFill>
        </w:rPr>
        <w:t>建德市新安江街道严州大道</w:t>
      </w:r>
      <w:r>
        <w:rPr>
          <w:rFonts w:hint="eastAsia" w:ascii="宋体" w:hAnsi="宋体" w:cs="宋体"/>
          <w:color w:val="000000" w:themeColor="text1"/>
          <w:sz w:val="24"/>
          <w:highlight w:val="none"/>
          <w:lang w:val="en-US" w:eastAsia="zh-CN"/>
          <w14:textFill>
            <w14:solidFill>
              <w14:schemeClr w14:val="tx1"/>
            </w14:solidFill>
          </w14:textFill>
        </w:rPr>
        <w:t>水韵天城108幢201室</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    真：</w:t>
      </w:r>
      <w:r>
        <w:rPr>
          <w:rFonts w:hint="eastAsia" w:ascii="宋体" w:hAnsi="宋体" w:eastAsia="宋体" w:cs="宋体"/>
          <w:color w:val="000000" w:themeColor="text1"/>
          <w:sz w:val="24"/>
          <w:highlight w:val="none"/>
          <w:lang w:val="zh-CN"/>
          <w14:textFill>
            <w14:solidFill>
              <w14:schemeClr w14:val="tx1"/>
            </w14:solidFill>
          </w14:textFill>
        </w:rPr>
        <w:t>0571-64</w:t>
      </w:r>
      <w:r>
        <w:rPr>
          <w:rFonts w:hint="eastAsia" w:ascii="宋体" w:hAnsi="宋体" w:eastAsia="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lang w:val="en-US" w:eastAsia="zh-CN"/>
          <w14:textFill>
            <w14:solidFill>
              <w14:schemeClr w14:val="tx1"/>
            </w14:solidFill>
          </w14:textFill>
        </w:rPr>
        <w:t>20051</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娄云</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15168412971</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洪献娟</w:t>
      </w:r>
    </w:p>
    <w:p>
      <w:pPr>
        <w:spacing w:line="36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13858074323</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3.同级政府采购监督管理部门            </w:t>
      </w:r>
    </w:p>
    <w:p>
      <w:pPr>
        <w:spacing w:line="360" w:lineRule="auto"/>
        <w:ind w:firstLine="480" w:firstLineChars="20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名    称：建德市财政局采购办</w:t>
      </w:r>
    </w:p>
    <w:p>
      <w:pPr>
        <w:spacing w:line="360" w:lineRule="auto"/>
        <w:ind w:firstLine="480" w:firstLineChars="20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地    址：建德市新安江街道严州大道1089号</w:t>
      </w:r>
    </w:p>
    <w:p>
      <w:pPr>
        <w:spacing w:line="360" w:lineRule="auto"/>
        <w:ind w:firstLine="480" w:firstLineChars="20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传    真： /</w:t>
      </w:r>
    </w:p>
    <w:p>
      <w:pPr>
        <w:spacing w:line="360" w:lineRule="auto"/>
        <w:ind w:firstLine="480" w:firstLineChars="20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联系人 ：邵菁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 xml:space="preserve">监督投诉电话：电话：0571-64718168 </w:t>
      </w:r>
    </w:p>
    <w:p>
      <w:pPr>
        <w:spacing w:line="360" w:lineRule="auto"/>
        <w:ind w:firstLine="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highlight w:val="none"/>
          <w14:textFill>
            <w14:solidFill>
              <w14:schemeClr w14:val="tx1"/>
            </w14:solidFill>
          </w14:textFill>
        </w:rPr>
      </w:pPr>
      <w:r>
        <w:rPr>
          <w:rFonts w:ascii="宋体" w:hAnsi="宋体" w:cs="宋体"/>
          <w:b/>
          <w:color w:val="000000" w:themeColor="text1"/>
          <w:sz w:val="36"/>
          <w:szCs w:val="20"/>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第二部分</w:t>
      </w:r>
      <w:bookmarkEnd w:id="8"/>
      <w:r>
        <w:rPr>
          <w:rFonts w:hint="eastAsia" w:ascii="宋体" w:hAnsi="宋体" w:cs="宋体"/>
          <w:b/>
          <w:color w:val="000000" w:themeColor="text1"/>
          <w:sz w:val="36"/>
          <w:szCs w:val="20"/>
          <w:highlight w:val="none"/>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2"/>
        <w:tblW w:w="8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2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kern w:val="0"/>
                <w:sz w:val="24"/>
                <w:highlight w:val="none"/>
                <w:lang w:val="en-US"/>
                <w14:textFill>
                  <w14:solidFill>
                    <w14:schemeClr w14:val="tx1"/>
                  </w14:solidFill>
                </w14:textFill>
              </w:rPr>
              <w:t>标的：</w:t>
            </w:r>
            <w:r>
              <w:rPr>
                <w:rFonts w:hint="eastAsia" w:ascii="宋体" w:hAnsi="宋体" w:eastAsia="宋体" w:cs="宋体"/>
                <w:color w:val="000000" w:themeColor="text1"/>
                <w:kern w:val="0"/>
                <w:sz w:val="24"/>
                <w:highlight w:val="none"/>
                <w:u w:val="single"/>
                <w:lang w:val="en-US"/>
                <w14:textFill>
                  <w14:solidFill>
                    <w14:schemeClr w14:val="tx1"/>
                  </w14:solidFill>
                </w14:textFill>
              </w:rPr>
              <w:t>建筑工程消防验收第三方服务</w:t>
            </w:r>
            <w:r>
              <w:rPr>
                <w:rFonts w:hint="eastAsia" w:ascii="宋体" w:hAnsi="宋体" w:cs="宋体"/>
                <w:color w:val="000000" w:themeColor="text1"/>
                <w:kern w:val="0"/>
                <w:sz w:val="24"/>
                <w:highlight w:val="none"/>
                <w:u w:val="single"/>
                <w:lang w:val="en-US" w:eastAsia="zh-CN"/>
                <w14:textFill>
                  <w14:solidFill>
                    <w14:schemeClr w14:val="tx1"/>
                  </w14:solidFill>
                </w14:textFill>
              </w:rPr>
              <w:t>、档案管理服务</w:t>
            </w:r>
            <w:r>
              <w:rPr>
                <w:rFonts w:hint="eastAsia" w:ascii="宋体" w:hAnsi="宋体" w:eastAsia="宋体" w:cs="宋体"/>
                <w:color w:val="000000" w:themeColor="text1"/>
                <w:kern w:val="0"/>
                <w:sz w:val="24"/>
                <w:highlight w:val="none"/>
                <w:lang w:val="en-US"/>
                <w14:textFill>
                  <w14:solidFill>
                    <w14:schemeClr w14:val="tx1"/>
                  </w14:solidFill>
                </w14:textFill>
              </w:rPr>
              <w:t>，属于</w:t>
            </w:r>
            <w:r>
              <w:rPr>
                <w:rFonts w:hint="eastAsia" w:ascii="宋体" w:hAnsi="宋体" w:eastAsia="宋体" w:cs="宋体"/>
                <w:color w:val="000000" w:themeColor="text1"/>
                <w:kern w:val="0"/>
                <w:sz w:val="24"/>
                <w:highlight w:val="none"/>
                <w:u w:val="single"/>
                <w:lang w:val="en-US"/>
                <w14:textFill>
                  <w14:solidFill>
                    <w14:schemeClr w14:val="tx1"/>
                  </w14:solidFill>
                </w14:textFill>
              </w:rPr>
              <w:t>其他未列明行业</w:t>
            </w:r>
            <w:r>
              <w:rPr>
                <w:rFonts w:hint="eastAsia" w:ascii="宋体" w:hAnsi="宋体" w:eastAsia="宋体" w:cs="宋体"/>
                <w:color w:val="000000" w:themeColor="text1"/>
                <w:kern w:val="0"/>
                <w:sz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30"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本项目不允许采购进口产品。</w:t>
            </w:r>
          </w:p>
          <w:p>
            <w:pPr>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可以就</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2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同意将非主体、非关键性的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现场评定相关消防设施检测服务（具体内容为：对建筑物防（灭）火设施的外观进行现场查看；通过专业仪器设备对涉及距离、高度、宽度、长度、面积、厚度等可测量的指标进行现场测量；对消防设施的功能进行测试、联调联试消防设施的系统功能等</w:t>
            </w:r>
            <w:r>
              <w:rPr>
                <w:rFonts w:hint="eastAsia" w:ascii="宋体" w:hAnsi="宋体" w:cs="宋体"/>
                <w:color w:val="000000" w:themeColor="text1"/>
                <w:sz w:val="24"/>
                <w:highlight w:val="none"/>
                <w:u w:val="single"/>
                <w:lang w:eastAsia="zh-CN"/>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工作分包。</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不同意分包。</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6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sz w:val="24"/>
                <w:szCs w:val="20"/>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B组织，</w:t>
            </w: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B要求提供，</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A3"/>
            </w:r>
            <w:r>
              <w:rPr>
                <w:rFonts w:hint="eastAsia" w:ascii="宋体" w:hAnsi="宋体" w:cs="宋体"/>
                <w:color w:val="000000" w:themeColor="text1"/>
                <w:kern w:val="0"/>
                <w:sz w:val="24"/>
                <w:highlight w:val="none"/>
                <w14:textFill>
                  <w14:solidFill>
                    <w14:schemeClr w14:val="tx1"/>
                  </w14:solidFill>
                </w14:textFill>
              </w:rPr>
              <w:t>B组织。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highlight w:val="none"/>
                <w:u w:val="single"/>
                <w14:textFill>
                  <w14:solidFill>
                    <w14:schemeClr w14:val="tx1"/>
                  </w14:solidFill>
                </w14:textFill>
              </w:rPr>
              <w:t>20</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u w:val="single"/>
                <w:lang w:val="en-US" w:eastAsia="zh-CN"/>
                <w14:textFill>
                  <w14:solidFill>
                    <w14:schemeClr w14:val="tx1"/>
                  </w14:solidFill>
                </w14:textFill>
              </w:rPr>
              <w:t>编制时可根据项目情况进行调整</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highlight w:val="none"/>
                <w:u w:val="single"/>
                <w14:textFill>
                  <w14:solidFill>
                    <w14:schemeClr w14:val="tx1"/>
                  </w14:solidFill>
                </w14:textFill>
              </w:rPr>
              <w:t>3</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u w:val="single"/>
                <w:lang w:val="en-US" w:eastAsia="zh-CN"/>
                <w14:textFill>
                  <w14:solidFill>
                    <w14:schemeClr w14:val="tx1"/>
                  </w14:solidFill>
                </w14:textFill>
              </w:rPr>
              <w:t>编制时可根据项目情况进行调整</w:t>
            </w:r>
            <w:r>
              <w:rPr>
                <w:rFonts w:hint="eastAsia" w:ascii="宋体" w:hAnsi="宋体" w:cs="宋体"/>
                <w:color w:val="000000" w:themeColor="text1"/>
                <w:kern w:val="0"/>
                <w:sz w:val="24"/>
                <w:highlight w:val="none"/>
                <w:u w:val="single"/>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人。讲解演示结束后按要求解答评标委员会提问。</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（2）方案讲解演示可选择以下其中一种方式：</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方式二：交易中心现场讲解演示。现场讲解地点为</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jc w:val="cent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（1）资格证明文件：见招标文件第二部分11.1。</w:t>
            </w:r>
          </w:p>
          <w:p>
            <w:pPr>
              <w:spacing w:line="36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6" w:hRule="atLeast"/>
          <w:tblHeader/>
          <w:jc w:val="cent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36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360" w:lineRule="auto"/>
              <w:ind w:firstLine="241" w:firstLineChars="100"/>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360" w:lineRule="auto"/>
              <w:ind w:firstLine="241"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14:textFill>
                  <w14:solidFill>
                    <w14:schemeClr w14:val="tx1"/>
                  </w14:solidFill>
                </w14:textFill>
              </w:rPr>
              <w:t>;</w:t>
            </w:r>
          </w:p>
          <w:p>
            <w:pPr>
              <w:spacing w:line="360" w:lineRule="auto"/>
              <w:ind w:firstLine="241"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000000" w:themeColor="text1"/>
                <w:kern w:val="28"/>
                <w:sz w:val="24"/>
                <w:highlight w:val="none"/>
                <w14:textFill>
                  <w14:solidFill>
                    <w14:schemeClr w14:val="tx1"/>
                  </w14:solidFill>
                </w14:textFill>
              </w:rPr>
              <w:t>具体可咨询建德市财政局采购办，联系电话：0571-64718168.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color w:val="000000" w:themeColor="text1"/>
                <w:kern w:val="28"/>
                <w:sz w:val="24"/>
                <w:highlight w:val="none"/>
                <w14:textFill>
                  <w14:solidFill>
                    <w14:schemeClr w14:val="tx1"/>
                  </w14:solidFill>
                </w14:textFill>
              </w:rPr>
            </w:pPr>
            <w:r>
              <w:rPr>
                <w:rFonts w:hint="eastAsia" w:hAnsi="宋体" w:cs="宋体"/>
                <w:color w:val="000000" w:themeColor="text1"/>
                <w:kern w:val="28"/>
                <w:sz w:val="24"/>
                <w:szCs w:val="24"/>
                <w:highlight w:val="none"/>
                <w14:textFill>
                  <w14:solidFill>
                    <w14:schemeClr w14:val="tx1"/>
                  </w14:solidFill>
                </w14:textFill>
              </w:rPr>
              <w:t>备份投标文件送达地点：</w:t>
            </w:r>
            <w:r>
              <w:rPr>
                <w:rFonts w:hint="eastAsia" w:ascii="宋体" w:hAnsi="宋体" w:eastAsia="宋体" w:cs="宋体"/>
                <w:color w:val="000000" w:themeColor="text1"/>
                <w:kern w:val="28"/>
                <w:sz w:val="24"/>
                <w:szCs w:val="24"/>
                <w:highlight w:val="none"/>
                <w:u w:val="single"/>
                <w14:textFill>
                  <w14:solidFill>
                    <w14:schemeClr w14:val="tx1"/>
                  </w14:solidFill>
                </w14:textFill>
              </w:rPr>
              <w:t>建德市新安江街道严州大道水韵天城108幢201室</w:t>
            </w:r>
            <w:r>
              <w:rPr>
                <w:rFonts w:hint="eastAsia" w:hAnsi="宋体" w:cs="宋体"/>
                <w:color w:val="000000" w:themeColor="text1"/>
                <w:kern w:val="28"/>
                <w:sz w:val="24"/>
                <w:szCs w:val="24"/>
                <w:highlight w:val="none"/>
                <w14:textFill>
                  <w14:solidFill>
                    <w14:schemeClr w14:val="tx1"/>
                  </w14:solidFill>
                </w14:textFill>
              </w:rPr>
              <w:t>；备份投标文件签收人员联系电话：</w:t>
            </w:r>
            <w:r>
              <w:rPr>
                <w:rFonts w:hint="eastAsia" w:hAnsi="宋体" w:cs="宋体"/>
                <w:color w:val="000000" w:themeColor="text1"/>
                <w:kern w:val="28"/>
                <w:sz w:val="24"/>
                <w:szCs w:val="24"/>
                <w:highlight w:val="none"/>
                <w:u w:val="single"/>
                <w:lang w:val="en-US" w:eastAsia="zh-CN"/>
                <w14:textFill>
                  <w14:solidFill>
                    <w14:schemeClr w14:val="tx1"/>
                  </w14:solidFill>
                </w14:textFill>
              </w:rPr>
              <w:t>娄云</w:t>
            </w:r>
            <w:r>
              <w:rPr>
                <w:rFonts w:hint="eastAsia" w:ascii="宋体" w:hAnsi="宋体" w:eastAsia="宋体" w:cs="宋体"/>
                <w:color w:val="000000" w:themeColor="text1"/>
                <w:kern w:val="28"/>
                <w:sz w:val="24"/>
                <w:szCs w:val="24"/>
                <w:highlight w:val="none"/>
                <w:u w:val="single"/>
                <w14:textFill>
                  <w14:solidFill>
                    <w14:schemeClr w14:val="tx1"/>
                  </w14:solidFill>
                </w14:textFill>
              </w:rPr>
              <w:t>，15</w:t>
            </w:r>
            <w:r>
              <w:rPr>
                <w:rFonts w:hint="eastAsia" w:hAnsi="宋体" w:cs="宋体"/>
                <w:color w:val="000000" w:themeColor="text1"/>
                <w:kern w:val="28"/>
                <w:sz w:val="24"/>
                <w:szCs w:val="24"/>
                <w:highlight w:val="none"/>
                <w:u w:val="single"/>
                <w:lang w:val="en-US" w:eastAsia="zh-CN"/>
                <w14:textFill>
                  <w14:solidFill>
                    <w14:schemeClr w14:val="tx1"/>
                  </w14:solidFill>
                </w14:textFill>
              </w:rPr>
              <w:t>168412971</w:t>
            </w:r>
            <w:r>
              <w:rPr>
                <w:rFonts w:hint="eastAsia" w:hAnsi="宋体" w:cs="宋体"/>
                <w:color w:val="000000" w:themeColor="text1"/>
                <w:sz w:val="24"/>
                <w:szCs w:val="24"/>
                <w:highlight w:val="none"/>
                <w14:textFill>
                  <w14:solidFill>
                    <w14:schemeClr w14:val="tx1"/>
                  </w14:solidFill>
                </w14:textFill>
              </w:rPr>
              <w:t>。</w:t>
            </w:r>
            <w:r>
              <w:rPr>
                <w:rFonts w:hint="eastAsia" w:hAnsi="宋体" w:cs="宋体"/>
                <w:b/>
                <w:color w:val="000000" w:themeColor="text1"/>
                <w:sz w:val="24"/>
                <w:szCs w:val="24"/>
                <w:highlight w:val="none"/>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color w:val="000000" w:themeColor="text1"/>
                <w:sz w:val="24"/>
                <w:highlight w:val="none"/>
                <w14:textFill>
                  <w14:solidFill>
                    <w14:schemeClr w14:val="tx1"/>
                  </w14:solidFill>
                </w14:textFill>
              </w:rPr>
            </w:pPr>
            <w:r>
              <w:rPr>
                <w:rFonts w:hint="eastAsia" w:cs="宋体" w:asciiTheme="minorEastAsia" w:hAnsiTheme="minorEastAsia" w:eastAsiaTheme="minorEastAsia"/>
                <w:b/>
                <w:color w:val="000000" w:themeColor="text1"/>
                <w:sz w:val="24"/>
                <w:highlight w:val="none"/>
                <w14:textFill>
                  <w14:solidFill>
                    <w14:schemeClr w14:val="tx1"/>
                  </w14:solidFill>
                </w14:textFill>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A</w:t>
            </w:r>
            <w:r>
              <w:rPr>
                <w:rFonts w:hint="eastAsia" w:cs="宋体" w:asciiTheme="minorEastAsia" w:hAnsiTheme="minorEastAsia" w:eastAsiaTheme="minorEastAsia"/>
                <w:color w:val="000000" w:themeColor="text1"/>
                <w:sz w:val="24"/>
                <w:highlight w:val="none"/>
                <w14:textFill>
                  <w14:solidFill>
                    <w14:schemeClr w14:val="tx1"/>
                  </w14:solidFill>
                </w14:textFill>
              </w:rPr>
              <w:t>本项目不收取采购代理服务费。</w:t>
            </w:r>
          </w:p>
          <w:p>
            <w:pPr>
              <w:spacing w:line="360" w:lineRule="auto"/>
              <w:rPr>
                <w:rFonts w:cs="宋体" w:asciiTheme="minorEastAsia" w:hAnsiTheme="minorEastAsia" w:eastAsiaTheme="minorEastAsia"/>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cs="宋体" w:asciiTheme="minorEastAsia" w:hAnsiTheme="minorEastAsia" w:eastAsiaTheme="minorEastAsia"/>
                <w:color w:val="000000" w:themeColor="text1"/>
                <w:kern w:val="0"/>
                <w:sz w:val="24"/>
                <w:highlight w:val="none"/>
                <w14:textFill>
                  <w14:solidFill>
                    <w14:schemeClr w14:val="tx1"/>
                  </w14:solidFill>
                </w14:textFill>
              </w:rPr>
              <w:t>B</w:t>
            </w:r>
            <w:r>
              <w:rPr>
                <w:rFonts w:hint="eastAsia" w:cs="宋体" w:asciiTheme="minorEastAsia" w:hAnsiTheme="minorEastAsia" w:eastAsiaTheme="minorEastAsia"/>
                <w:color w:val="000000" w:themeColor="text1"/>
                <w:sz w:val="24"/>
                <w:highlight w:val="none"/>
                <w14:textFill>
                  <w14:solidFill>
                    <w14:schemeClr w14:val="tx1"/>
                  </w14:solidFill>
                </w14:textFill>
              </w:rPr>
              <w:t>本项目收取采购代理服务费。</w:t>
            </w:r>
            <w:r>
              <w:rPr>
                <w:rFonts w:hint="eastAsia" w:ascii="宋体" w:hAnsi="宋体" w:cs="宋体"/>
                <w:snapToGrid w:val="0"/>
                <w:color w:val="000000" w:themeColor="text1"/>
                <w:kern w:val="28"/>
                <w:sz w:val="24"/>
                <w:highlight w:val="none"/>
                <w14:textFill>
                  <w14:solidFill>
                    <w14:schemeClr w14:val="tx1"/>
                  </w14:solidFill>
                </w14:textFill>
              </w:rPr>
              <w:t>响应总报价应包含采购服务费，采购服务费按照</w:t>
            </w:r>
            <w:r>
              <w:rPr>
                <w:rFonts w:hint="eastAsia" w:ascii="宋体" w:hAnsi="宋体" w:cs="宋体"/>
                <w:snapToGrid w:val="0"/>
                <w:color w:val="000000" w:themeColor="text1"/>
                <w:kern w:val="28"/>
                <w:sz w:val="24"/>
                <w:highlight w:val="none"/>
                <w:u w:val="single"/>
                <w14:textFill>
                  <w14:solidFill>
                    <w14:schemeClr w14:val="tx1"/>
                  </w14:solidFill>
                </w14:textFill>
              </w:rPr>
              <w:t>国家发展计划委员会计价格[2002]1980号文《招标代理服务费管理暂行办法》及发改办价格[2003]857号文</w:t>
            </w:r>
            <w:r>
              <w:rPr>
                <w:rFonts w:hint="eastAsia" w:ascii="宋体" w:hAnsi="宋体" w:cs="宋体"/>
                <w:snapToGrid w:val="0"/>
                <w:color w:val="000000" w:themeColor="text1"/>
                <w:kern w:val="28"/>
                <w:sz w:val="24"/>
                <w:highlight w:val="none"/>
                <w14:textFill>
                  <w14:solidFill>
                    <w14:schemeClr w14:val="tx1"/>
                  </w14:solidFill>
                </w14:textFill>
              </w:rPr>
              <w:t>的收费标准（</w:t>
            </w:r>
            <w:r>
              <w:rPr>
                <w:rFonts w:hint="eastAsia" w:cs="宋体" w:asciiTheme="minorEastAsia" w:hAnsiTheme="minorEastAsia" w:eastAsiaTheme="minorEastAsia"/>
                <w:color w:val="000000" w:themeColor="text1"/>
                <w:sz w:val="24"/>
                <w:highlight w:val="none"/>
                <w:u w:val="none"/>
                <w14:textFill>
                  <w14:solidFill>
                    <w14:schemeClr w14:val="tx1"/>
                  </w14:solidFill>
                </w14:textFill>
              </w:rPr>
              <w:t>服务</w:t>
            </w:r>
            <w:r>
              <w:rPr>
                <w:rFonts w:hint="eastAsia" w:ascii="宋体" w:hAnsi="宋体" w:cs="宋体"/>
                <w:snapToGrid w:val="0"/>
                <w:color w:val="000000" w:themeColor="text1"/>
                <w:kern w:val="28"/>
                <w:sz w:val="24"/>
                <w:highlight w:val="none"/>
                <w14:textFill>
                  <w14:solidFill>
                    <w14:schemeClr w14:val="tx1"/>
                  </w14:solidFill>
                </w14:textFill>
              </w:rPr>
              <w:t>类）计取</w:t>
            </w:r>
            <w:r>
              <w:rPr>
                <w:rFonts w:hint="eastAsia" w:ascii="宋体" w:hAnsi="宋体" w:cs="宋体"/>
                <w:snapToGrid w:val="0"/>
                <w:color w:val="000000" w:themeColor="text1"/>
                <w:kern w:val="28"/>
                <w:sz w:val="24"/>
                <w:highlight w:val="none"/>
                <w:lang w:eastAsia="zh-CN"/>
                <w14:textFill>
                  <w14:solidFill>
                    <w14:schemeClr w14:val="tx1"/>
                  </w14:solidFill>
                </w14:textFill>
              </w:rPr>
              <w:t>，采购服务费</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为</w:t>
            </w:r>
            <w:r>
              <w:rPr>
                <w:rFonts w:hint="eastAsia" w:ascii="宋体" w:hAnsi="宋体" w:cs="宋体"/>
                <w:snapToGrid w:val="0"/>
                <w:color w:val="000000" w:themeColor="text1"/>
                <w:kern w:val="28"/>
                <w:sz w:val="24"/>
                <w:highlight w:val="none"/>
                <w:u w:val="none"/>
                <w14:textFill>
                  <w14:solidFill>
                    <w14:schemeClr w14:val="tx1"/>
                  </w14:solidFill>
                </w14:textFill>
              </w:rPr>
              <w:t>人民币</w:t>
            </w:r>
            <w:r>
              <w:rPr>
                <w:rFonts w:hint="eastAsia" w:ascii="宋体" w:hAnsi="宋体" w:cs="宋体"/>
                <w:snapToGrid w:val="0"/>
                <w:color w:val="000000" w:themeColor="text1"/>
                <w:kern w:val="28"/>
                <w:sz w:val="24"/>
                <w:highlight w:val="none"/>
                <w:u w:val="single"/>
                <w14:textFill>
                  <w14:solidFill>
                    <w14:schemeClr w14:val="tx1"/>
                  </w14:solidFill>
                </w14:textFill>
              </w:rPr>
              <w:fldChar w:fldCharType="begin"/>
            </w:r>
            <w:r>
              <w:rPr>
                <w:rFonts w:hint="eastAsia" w:ascii="宋体" w:hAnsi="宋体" w:cs="宋体"/>
                <w:snapToGrid w:val="0"/>
                <w:color w:val="000000" w:themeColor="text1"/>
                <w:kern w:val="28"/>
                <w:sz w:val="24"/>
                <w:highlight w:val="none"/>
                <w:u w:val="single"/>
                <w14:textFill>
                  <w14:solidFill>
                    <w14:schemeClr w14:val="tx1"/>
                  </w14:solidFill>
                </w14:textFill>
              </w:rPr>
              <w:instrText xml:space="preserve"> = 6900 \* CHINESENUM4 \* MERGEFORMAT </w:instrText>
            </w:r>
            <w:r>
              <w:rPr>
                <w:rFonts w:hint="eastAsia" w:ascii="宋体" w:hAnsi="宋体" w:cs="宋体"/>
                <w:snapToGrid w:val="0"/>
                <w:color w:val="000000" w:themeColor="text1"/>
                <w:kern w:val="28"/>
                <w:sz w:val="24"/>
                <w:highlight w:val="none"/>
                <w:u w:val="single"/>
                <w14:textFill>
                  <w14:solidFill>
                    <w14:schemeClr w14:val="tx1"/>
                  </w14:solidFill>
                </w14:textFill>
              </w:rPr>
              <w:fldChar w:fldCharType="separate"/>
            </w:r>
            <w:r>
              <w:rPr>
                <w:rFonts w:hint="eastAsia" w:ascii="宋体" w:hAnsi="宋体" w:cs="宋体"/>
                <w:snapToGrid w:val="0"/>
                <w:color w:val="000000" w:themeColor="text1"/>
                <w:kern w:val="28"/>
                <w:sz w:val="24"/>
                <w:highlight w:val="none"/>
                <w:u w:val="single"/>
                <w:lang w:val="en-US" w:eastAsia="zh-CN"/>
                <w14:textFill>
                  <w14:solidFill>
                    <w14:schemeClr w14:val="tx1"/>
                  </w14:solidFill>
                </w14:textFill>
              </w:rPr>
              <w:t>壹万壹仟陆佰贰拾</w:t>
            </w:r>
            <w:r>
              <w:rPr>
                <w:rFonts w:hint="eastAsia" w:ascii="宋体" w:hAnsi="宋体" w:cs="宋体"/>
                <w:snapToGrid w:val="0"/>
                <w:color w:val="000000" w:themeColor="text1"/>
                <w:kern w:val="28"/>
                <w:sz w:val="24"/>
                <w:highlight w:val="none"/>
                <w:u w:val="none"/>
                <w14:textFill>
                  <w14:solidFill>
                    <w14:schemeClr w14:val="tx1"/>
                  </w14:solidFill>
                </w14:textFill>
              </w:rPr>
              <w:t>元整</w:t>
            </w:r>
            <w:r>
              <w:rPr>
                <w:rFonts w:hint="eastAsia" w:ascii="宋体" w:hAnsi="宋体" w:cs="宋体"/>
                <w:snapToGrid w:val="0"/>
                <w:color w:val="000000" w:themeColor="text1"/>
                <w:kern w:val="28"/>
                <w:sz w:val="24"/>
                <w:highlight w:val="none"/>
                <w:u w:val="single"/>
                <w14:textFill>
                  <w14:solidFill>
                    <w14:schemeClr w14:val="tx1"/>
                  </w14:solidFill>
                </w14:textFill>
              </w:rPr>
              <w:fldChar w:fldCharType="end"/>
            </w:r>
            <w:r>
              <w:rPr>
                <w:rFonts w:hint="eastAsia" w:ascii="宋体" w:hAnsi="宋体" w:cs="宋体"/>
                <w:snapToGrid w:val="0"/>
                <w:color w:val="000000" w:themeColor="text1"/>
                <w:kern w:val="28"/>
                <w:sz w:val="24"/>
                <w:highlight w:val="none"/>
                <w:u w:val="none"/>
                <w14:textFill>
                  <w14:solidFill>
                    <w14:schemeClr w14:val="tx1"/>
                  </w14:solidFill>
                </w14:textFill>
              </w:rPr>
              <w:t>（¥：</w:t>
            </w:r>
            <w:r>
              <w:rPr>
                <w:rFonts w:hint="eastAsia" w:ascii="宋体" w:hAnsi="宋体" w:cs="宋体"/>
                <w:snapToGrid w:val="0"/>
                <w:color w:val="000000" w:themeColor="text1"/>
                <w:kern w:val="28"/>
                <w:sz w:val="24"/>
                <w:highlight w:val="none"/>
                <w:u w:val="single"/>
                <w14:textFill>
                  <w14:solidFill>
                    <w14:schemeClr w14:val="tx1"/>
                  </w14:solidFill>
                </w14:textFill>
              </w:rPr>
              <w:t>11620.00</w:t>
            </w:r>
            <w:r>
              <w:rPr>
                <w:rFonts w:hint="eastAsia" w:ascii="宋体" w:hAnsi="宋体" w:cs="宋体"/>
                <w:snapToGrid w:val="0"/>
                <w:color w:val="000000" w:themeColor="text1"/>
                <w:kern w:val="28"/>
                <w:sz w:val="24"/>
                <w:highlight w:val="none"/>
                <w:u w:val="none"/>
                <w14:textFill>
                  <w14:solidFill>
                    <w14:schemeClr w14:val="tx1"/>
                  </w14:solidFill>
                </w14:textFill>
              </w:rPr>
              <w:t>元）</w:t>
            </w:r>
            <w:r>
              <w:rPr>
                <w:rFonts w:hint="eastAsia" w:hAnsi="宋体" w:cs="宋体"/>
                <w:snapToGrid w:val="0"/>
                <w:color w:val="000000" w:themeColor="text1"/>
                <w:kern w:val="28"/>
                <w:sz w:val="24"/>
                <w:highlight w:val="none"/>
                <w14:textFill>
                  <w14:solidFill>
                    <w14:schemeClr w14:val="tx1"/>
                  </w14:solidFill>
                </w14:textFill>
              </w:rPr>
              <w:t>，由中标人</w:t>
            </w:r>
            <w:r>
              <w:rPr>
                <w:rFonts w:hint="eastAsia" w:ascii="宋体" w:hAnsi="宋体" w:cs="宋体"/>
                <w:snapToGrid w:val="0"/>
                <w:color w:val="000000" w:themeColor="text1"/>
                <w:kern w:val="28"/>
                <w:sz w:val="24"/>
                <w:highlight w:val="none"/>
                <w14:textFill>
                  <w14:solidFill>
                    <w14:schemeClr w14:val="tx1"/>
                  </w14:solidFill>
                </w14:textFill>
              </w:rPr>
              <w:t>在领取</w:t>
            </w:r>
            <w:r>
              <w:rPr>
                <w:rFonts w:hint="eastAsia" w:ascii="宋体" w:hAnsi="宋体" w:cs="宋体"/>
                <w:snapToGrid w:val="0"/>
                <w:color w:val="000000" w:themeColor="text1"/>
                <w:kern w:val="28"/>
                <w:sz w:val="24"/>
                <w:highlight w:val="none"/>
                <w:lang w:val="en-US"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5"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jc w:val="cent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000000" w:themeColor="text1"/>
                <w:sz w:val="24"/>
                <w:highlight w:val="none"/>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10"/>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bookmarkStart w:id="11" w:name="第三部分"/>
      <w:bookmarkStart w:id="12" w:name="_Toc164416483"/>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sym w:font="Wingdings 2" w:char="0052"/>
      </w:r>
      <w:r>
        <w:rPr>
          <w:rFonts w:hint="eastAsia" w:ascii="宋体" w:hAnsi="宋体" w:cs="宋体"/>
          <w:color w:val="000000" w:themeColor="text1"/>
          <w:sz w:val="24"/>
          <w:highlight w:val="none"/>
          <w14:textFill>
            <w14:solidFill>
              <w14:schemeClr w14:val="tx1"/>
            </w14:solidFill>
          </w14:textFill>
        </w:rPr>
        <w:t>”系指适用本项目的要求，“</w:t>
      </w:r>
      <w:r>
        <w:rPr>
          <w:rFonts w:hint="eastAsia" w:ascii="宋体" w:hAnsi="宋体" w:cs="宋体"/>
          <w:color w:val="000000" w:themeColor="text1"/>
          <w:kern w:val="0"/>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highlight w:val="none"/>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3.2.4</w:t>
      </w:r>
      <w:r>
        <w:rPr>
          <w:rFonts w:hint="eastAsia" w:ascii="宋体" w:hAnsi="宋体" w:cs="宋体"/>
          <w:color w:val="000000" w:themeColor="text1"/>
          <w:sz w:val="24"/>
          <w:highlight w:val="none"/>
          <w14:textFill>
            <w14:solidFill>
              <w14:schemeClr w14:val="tx1"/>
            </w14:solidFill>
          </w14:textFill>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3.3.3对于未预留份额专门面向中小企业的政府采购服务项目，以及预留份额政府采购服务项目中的非预留部分标项，对小型和微型企业的投标报价给予</w:t>
      </w:r>
      <w:r>
        <w:rPr>
          <w:rFonts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ascii="宋体" w:hAnsi="宋体" w:cs="宋体"/>
          <w:b/>
          <w:color w:val="000000" w:themeColor="text1"/>
          <w:sz w:val="24"/>
          <w:highlight w:val="none"/>
          <w14:textFill>
            <w14:solidFill>
              <w14:schemeClr w14:val="tx1"/>
            </w14:solidFill>
          </w14:textFill>
        </w:rPr>
        <w:t>4. 询问、质疑、投诉</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4.3供应商质疑</w:t>
      </w:r>
    </w:p>
    <w:p>
      <w:pPr>
        <w:pStyle w:val="33"/>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7"/>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4.3.3.1供应商的姓名或者名称、地址、邮编、联系人及联系电话；</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4.3.3.2质疑项目的名称、编号；</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4.3.3.3具体、明确的质疑事项和与质疑事项相关的请求；</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4.3.3.4事实依据；</w:t>
      </w:r>
    </w:p>
    <w:p>
      <w:pPr>
        <w:pStyle w:val="33"/>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4.3.3.5必要的法律依据；</w:t>
      </w:r>
    </w:p>
    <w:p>
      <w:pPr>
        <w:pStyle w:val="33"/>
        <w:shd w:val="clear"/>
        <w:spacing w:line="360" w:lineRule="auto"/>
        <w:ind w:firstLine="960" w:firstLineChars="4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4.3.3.6提出质疑的日期。</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质疑函范本及制作说明详见附件2。</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4.3.4对同一采购程序环节的质疑，供应商须在法定质疑期内一次性提出。</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887"/>
        <w:shd w:val="clear" w:color="auto"/>
        <w:snapToGrid w:val="0"/>
        <w:spacing w:after="240" w:afterAutospacing="0" w:line="360" w:lineRule="auto"/>
        <w:ind w:firstLine="480" w:firstLineChars="2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4.4供应商投诉</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w:t>
      </w:r>
      <w:r>
        <w:rPr>
          <w:rFonts w:hint="eastAsia"/>
          <w:color w:val="000000" w:themeColor="text1"/>
          <w:highlight w:val="none"/>
          <w:lang w:val="zh-CN"/>
          <w14:textFill>
            <w14:solidFill>
              <w14:schemeClr w14:val="tx1"/>
            </w14:solidFill>
          </w14:textFill>
        </w:rPr>
        <w:t>2</w:t>
      </w:r>
      <w:r>
        <w:rPr>
          <w:rFonts w:hint="eastAsia"/>
          <w:color w:val="000000" w:themeColor="text1"/>
          <w:highlight w:val="none"/>
          <w14:textFill>
            <w14:solidFill>
              <w14:schemeClr w14:val="tx1"/>
            </w14:solidFill>
          </w14:textFill>
        </w:rPr>
        <w:t>供应商投诉的事项不得超出已质疑事项的范围，基于质疑答复内容提出的投诉事项除外。</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4.4.3供应商投诉应当有明确的请求和必要的证明材料。</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4.4.4以联合体形式参加政府采购活动的，其投诉应当由组成联合体的所有供应商共同提出。</w:t>
      </w:r>
    </w:p>
    <w:p>
      <w:pPr>
        <w:pStyle w:val="887"/>
        <w:shd w:val="clear" w:color="auto"/>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投诉书范本及制作说明详见附件3。</w:t>
      </w:r>
    </w:p>
    <w:p>
      <w:pPr>
        <w:pStyle w:val="129"/>
        <w:shd w:val="clear"/>
        <w:snapToGrid w:val="0"/>
        <w:spacing w:before="0"/>
        <w:ind w:firstLine="360"/>
        <w:rPr>
          <w:rFonts w:ascii="宋体" w:hAnsi="宋体" w:cs="宋体"/>
          <w:color w:val="000000" w:themeColor="text1"/>
          <w:sz w:val="18"/>
          <w:szCs w:val="18"/>
          <w:highlight w:val="none"/>
          <w14:textFill>
            <w14:solidFill>
              <w14:schemeClr w14:val="tx1"/>
            </w14:solidFill>
          </w14:textFill>
        </w:rPr>
      </w:pPr>
    </w:p>
    <w:p>
      <w:pPr>
        <w:shd w:val="clea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 xml:space="preserve">      二、招标文件的构成、澄清、修改</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5．招标文件的构成</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招标文件包括下列文件及附件：</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5.1.2投标人须知；</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3"/>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cs="宋体"/>
          <w:color w:val="000000" w:themeColor="text1"/>
          <w:sz w:val="24"/>
          <w:highlight w:val="none"/>
          <w14:textFill>
            <w14:solidFill>
              <w14:schemeClr w14:val="tx1"/>
            </w14:solidFill>
          </w14:textFill>
        </w:rPr>
        <w:t>。</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 招标文件的澄清、修改</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6.1已获取招标文件的潜在投标人，若有问题需要澄清，应于投标截止时间前，以书面形式向采购代理机构提出。</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highlight w:val="none"/>
          <w14:textFill>
            <w14:solidFill>
              <w14:schemeClr w14:val="tx1"/>
            </w14:solidFill>
          </w14:textFill>
        </w:rPr>
      </w:pPr>
      <w:r>
        <w:rPr>
          <w:rFonts w:hint="eastAsia" w:ascii="宋体" w:hAnsi="宋体" w:cs="宋体"/>
          <w:b/>
          <w:color w:val="000000" w:themeColor="text1"/>
          <w:sz w:val="30"/>
          <w:szCs w:val="20"/>
          <w:highlight w:val="none"/>
          <w14:textFill>
            <w14:solidFill>
              <w14:schemeClr w14:val="tx1"/>
            </w14:solidFill>
          </w14:textFill>
        </w:rPr>
        <w:t>三、投标</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7"/>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3"/>
        <w:numPr>
          <w:ilvl w:val="0"/>
          <w:numId w:val="1"/>
        </w:numPr>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投标文件的组成</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1.1.2</w:t>
      </w:r>
      <w:r>
        <w:rPr>
          <w:rFonts w:hint="eastAsia" w:ascii="宋体" w:hAnsi="宋体" w:cs="宋体"/>
          <w:snapToGrid w:val="0"/>
          <w:color w:val="000000" w:themeColor="text1"/>
          <w:kern w:val="28"/>
          <w:sz w:val="24"/>
          <w:szCs w:val="20"/>
          <w:highlight w:val="none"/>
          <w14:textFill>
            <w14:solidFill>
              <w14:schemeClr w14:val="tx1"/>
            </w14:solidFill>
          </w14:textFill>
        </w:rPr>
        <w:t>联合协议（如果有)；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lang w:eastAsia="zh-CN"/>
          <w14:textFill>
            <w14:solidFill>
              <w14:schemeClr w14:val="tx1"/>
            </w14:solidFill>
          </w14:textFill>
        </w:rPr>
        <w:t>：提供《中小企业声明函》</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p>
    <w:p>
      <w:pPr>
        <w:snapToGrid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firstLine="960" w:firstLineChars="4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11.2.5评标标准相应的商务技术资料；</w:t>
      </w:r>
    </w:p>
    <w:p>
      <w:pPr>
        <w:snapToGrid w:val="0"/>
        <w:spacing w:line="360" w:lineRule="auto"/>
        <w:ind w:firstLine="960" w:firstLineChars="4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11.2.6投标标的清单；</w:t>
      </w:r>
    </w:p>
    <w:p>
      <w:pPr>
        <w:snapToGrid w:val="0"/>
        <w:spacing w:line="360" w:lineRule="auto"/>
        <w:ind w:firstLine="960" w:firstLineChars="4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11.2.7商务技术偏离表；</w:t>
      </w:r>
    </w:p>
    <w:p>
      <w:pPr>
        <w:snapToGrid w:val="0"/>
        <w:spacing w:line="360" w:lineRule="auto"/>
        <w:ind w:firstLine="960" w:firstLineChars="400"/>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投标人提供虚假材料投标的，投标无效。</w:t>
      </w:r>
    </w:p>
    <w:p>
      <w:pPr>
        <w:pStyle w:val="129"/>
        <w:snapToGrid w:val="0"/>
        <w:spacing w:before="0"/>
        <w:ind w:firstLine="0" w:firstLineChars="0"/>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29"/>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13.3招标文件对投标文件签署、盖章的要求适用于电子签名。</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29"/>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3"/>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highlight w:val="none"/>
          <w14:textFill>
            <w14:solidFill>
              <w14:schemeClr w14:val="tx1"/>
            </w14:solidFill>
          </w14:textFill>
        </w:rPr>
        <w:t>但采购人、采购代理机构不强制或变相强制投标人提交备份投标文件。</w:t>
      </w:r>
    </w:p>
    <w:p>
      <w:pPr>
        <w:pStyle w:val="33"/>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sz w:val="24"/>
          <w:highlight w:val="none"/>
          <w14:textFill>
            <w14:solidFill>
              <w14:schemeClr w14:val="tx1"/>
            </w14:solidFill>
          </w14:textFill>
        </w:rPr>
        <w:t>DVD光盘等存储介质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highlight w:val="none"/>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8"/>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有招标文件第四部分</w:t>
      </w:r>
      <w:r>
        <w:rPr>
          <w:rFonts w:cs="宋体"/>
          <w:color w:val="000000" w:themeColor="text1"/>
          <w:szCs w:val="2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highlight w:val="none"/>
          <w14:textFill>
            <w14:solidFill>
              <w14:schemeClr w14:val="tx1"/>
            </w14:solidFill>
          </w14:textFill>
        </w:rPr>
        <w:t>投标人的投标文件中承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9"/>
        <w:spacing w:before="0"/>
        <w:ind w:firstLine="643"/>
        <w:rPr>
          <w:rFonts w:ascii="宋体" w:hAnsi="宋体" w:cs="宋体"/>
          <w:b/>
          <w:color w:val="000000" w:themeColor="text1"/>
          <w:sz w:val="32"/>
          <w:highlight w:val="none"/>
          <w14:textFill>
            <w14:solidFill>
              <w14:schemeClr w14:val="tx1"/>
            </w14:solidFill>
          </w14:textFill>
        </w:rPr>
      </w:pPr>
    </w:p>
    <w:p>
      <w:pPr>
        <w:pStyle w:val="129"/>
        <w:spacing w:before="0"/>
        <w:ind w:firstLine="1928" w:firstLineChars="600"/>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四、开标、资格审查与信用信息查询</w:t>
      </w:r>
    </w:p>
    <w:p>
      <w:pPr>
        <w:pStyle w:val="555"/>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5"/>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highlight w:val="none"/>
          <w14:textFill>
            <w14:solidFill>
              <w14:schemeClr w14:val="tx1"/>
            </w14:solidFill>
          </w14:textFill>
        </w:rPr>
      </w:pPr>
      <w:r>
        <w:rPr>
          <w:rFonts w:hint="eastAsia" w:ascii="宋体" w:hAnsi="宋体" w:cs="宋体"/>
          <w:b/>
          <w:color w:val="000000" w:themeColor="text1"/>
          <w:sz w:val="24"/>
          <w:szCs w:val="20"/>
          <w:highlight w:val="none"/>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采购人或采购代理机构依据法律法规和招标文件的规定，对投标人的资格进行审查。</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19.2投标人未按照招标文件要求提供与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投标人不具备招标文件中规定的资格要求，其投标无效。</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3对未通过资格审查的投标人，采购人或采购代理机构告知其未通过的原因。</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4合格投标人不足3家的，不再评标。</w:t>
      </w:r>
    </w:p>
    <w:p>
      <w:pPr>
        <w:pStyle w:val="129"/>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20.1信用信息查询渠道及截止时间：采购代理机构将在资格审查时通过“信用中国”网站(www.creditchina.gov.cn)、中国政府采购网(www.ccgp.gov.cn)渠道查询投标人接受资格时的信用记录。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w:t>
      </w:r>
      <w:r>
        <w:rPr>
          <w:rFonts w:hint="eastAsia" w:ascii="宋体" w:hAnsi="宋体" w:cs="宋体"/>
          <w:color w:val="000000" w:themeColor="text1"/>
          <w:kern w:val="0"/>
          <w:szCs w:val="24"/>
          <w:highlight w:val="none"/>
          <w:lang w:eastAsia="zh-CN"/>
          <w14:textFill>
            <w14:solidFill>
              <w14:schemeClr w14:val="tx1"/>
            </w14:solidFill>
          </w14:textFill>
        </w:rPr>
        <w:t>重大税收违法案件当事人名单</w:t>
      </w:r>
      <w:r>
        <w:rPr>
          <w:rFonts w:hint="eastAsia" w:ascii="宋体" w:hAnsi="宋体" w:cs="宋体"/>
          <w:color w:val="000000" w:themeColor="text1"/>
          <w:kern w:val="0"/>
          <w:szCs w:val="24"/>
          <w:highlight w:val="none"/>
          <w14:textFill>
            <w14:solidFill>
              <w14:schemeClr w14:val="tx1"/>
            </w14:solidFill>
          </w14:textFill>
        </w:rPr>
        <w:t>、政府采购严重违法失信行为记录名单的投标人将被拒绝参与政府采购活动。</w:t>
      </w:r>
    </w:p>
    <w:p>
      <w:pPr>
        <w:pStyle w:val="129"/>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29"/>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五、评标</w:t>
      </w:r>
    </w:p>
    <w:p>
      <w:pPr>
        <w:spacing w:line="360" w:lineRule="auto"/>
        <w:rPr>
          <w:rFonts w:ascii="宋体" w:hAnsi="宋体" w:cs="宋体"/>
          <w:b/>
          <w:color w:val="000000" w:themeColor="text1"/>
          <w:sz w:val="24"/>
          <w:highlight w:val="none"/>
          <w14:textFill>
            <w14:solidFill>
              <w14:schemeClr w14:val="tx1"/>
            </w14:solidFill>
          </w14:textFill>
        </w:rPr>
      </w:pPr>
      <w:bookmarkStart w:id="13" w:name="_Toc91899903"/>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highlight w:val="none"/>
          <w14:textFill>
            <w14:solidFill>
              <w14:schemeClr w14:val="tx1"/>
            </w14:solidFill>
          </w14:textFill>
        </w:rPr>
        <w:t>详见招标文件第四部分评标办法。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六、定 标</w:t>
      </w:r>
    </w:p>
    <w:p>
      <w:pPr>
        <w:pStyle w:val="8"/>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29"/>
        <w:shd w:val="clear"/>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9"/>
        <w:shd w:val="clear"/>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23. 中标通知与中标结果公告</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000000" w:themeColor="text1"/>
          <w:sz w:val="24"/>
          <w:highlight w:val="none"/>
          <w14:textFill>
            <w14:solidFill>
              <w14:schemeClr w14:val="tx1"/>
            </w14:solidFill>
          </w14:textFill>
        </w:rPr>
        <w:t>资格审查情况、评审专家抽取规则、符合性审查情况、</w:t>
      </w:r>
      <w:bookmarkEnd w:id="14"/>
      <w:r>
        <w:rPr>
          <w:rFonts w:hint="eastAsia" w:ascii="宋体" w:hAnsi="宋体" w:cs="宋体"/>
          <w:color w:val="000000" w:themeColor="text1"/>
          <w:sz w:val="24"/>
          <w:highlight w:val="none"/>
          <w14:textFill>
            <w14:solidFill>
              <w14:schemeClr w14:val="tx1"/>
            </w14:solidFill>
          </w14:textFill>
        </w:rPr>
        <w:t>未中标情况说明、中标公告期限以及评审专家名单、评分汇总及明细。</w:t>
      </w:r>
    </w:p>
    <w:p>
      <w:pPr>
        <w:widowControl/>
        <w:shd w:val="clear" w:color="auto"/>
        <w:spacing w:line="360" w:lineRule="auto"/>
        <w:ind w:firstLine="48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hd w:val="clea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七、合同授予</w:t>
      </w:r>
    </w:p>
    <w:p>
      <w:pPr>
        <w:pStyle w:val="8"/>
        <w:shd w:val="clear"/>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color w:val="000000" w:themeColor="text1"/>
          <w:highlight w:val="none"/>
          <w14:textFill>
            <w14:solidFill>
              <w14:schemeClr w14:val="tx1"/>
            </w14:solidFill>
          </w14:textFill>
        </w:rPr>
        <w:t>合同主要条款详见第五部分拟签订的合同文本。</w:t>
      </w:r>
    </w:p>
    <w:p>
      <w:pPr>
        <w:pStyle w:val="8"/>
        <w:shd w:val="clear"/>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widowControl/>
        <w:shd w:val="clear" w:color="auto"/>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25.1</w:t>
      </w:r>
      <w:r>
        <w:rPr>
          <w:rFonts w:hint="eastAsia" w:ascii="宋体" w:hAnsi="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hd w:val="clear"/>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25.5采购合同由采购人与中标供应商根据招标文件、投标文件等内容通过政府采购电子交易平台在线签订，自动备案。</w:t>
      </w:r>
    </w:p>
    <w:p>
      <w:pPr>
        <w:pStyle w:val="8"/>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highlight w:val="none"/>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highlight w:val="none"/>
          <w14:textFill>
            <w14:solidFill>
              <w14:schemeClr w14:val="tx1"/>
            </w14:solidFill>
          </w14:textFill>
        </w:rPr>
        <w:t>。</w:t>
      </w:r>
    </w:p>
    <w:p>
      <w:pPr>
        <w:pStyle w:val="5"/>
        <w:ind w:left="0" w:firstLine="480" w:firstLineChars="200"/>
        <w:rPr>
          <w:rFonts w:ascii="宋体" w:hAnsi="宋体" w:eastAsia="宋体" w:cs="宋体"/>
          <w:b w:val="0"/>
          <w:bCs w:val="0"/>
          <w:snapToGrid w:val="0"/>
          <w:color w:val="000000" w:themeColor="text1"/>
          <w:kern w:val="28"/>
          <w:sz w:val="24"/>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5"/>
        <w:rPr>
          <w:color w:val="000000" w:themeColor="text1"/>
          <w:highlight w:val="none"/>
          <w14:textFill>
            <w14:solidFill>
              <w14:schemeClr w14:val="tx1"/>
            </w14:solidFill>
          </w14:textFill>
        </w:rPr>
      </w:pPr>
      <w:r>
        <w:rPr>
          <w:rFonts w:ascii="宋体" w:hAnsi="宋体" w:eastAsia="宋体"/>
          <w:color w:val="000000" w:themeColor="text1"/>
          <w:sz w:val="24"/>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采购单位应当在政府采购合同中约定预付款，对中小企业合同预付款比例原则上不低于合同金额的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highlight w:val="none"/>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采购单位</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rPr>
          <w:color w:val="000000" w:themeColor="text1"/>
          <w:highlight w:val="none"/>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29"/>
        <w:snapToGrid w:val="0"/>
        <w:spacing w:before="0"/>
        <w:ind w:firstLine="0" w:firstLineChars="0"/>
        <w:rPr>
          <w:rFonts w:ascii="宋体" w:hAnsi="宋体" w:cs="宋体"/>
          <w:color w:val="000000" w:themeColor="text1"/>
          <w:highlight w:val="none"/>
          <w14:textFill>
            <w14:solidFill>
              <w14:schemeClr w14:val="tx1"/>
            </w14:solidFill>
          </w14:textFill>
        </w:rPr>
      </w:pPr>
      <w:r>
        <w:rPr>
          <w:rFonts w:ascii="宋体" w:hAnsi="宋体" w:cs="宋体"/>
          <w:b/>
          <w:bCs/>
          <w:color w:val="000000" w:themeColor="text1"/>
          <w:highlight w:val="none"/>
          <w14:textFill>
            <w14:solidFill>
              <w14:schemeClr w14:val="tx1"/>
            </w14:solidFill>
          </w14:textFill>
        </w:rPr>
        <w:t>2</w:t>
      </w:r>
      <w:r>
        <w:rPr>
          <w:rFonts w:ascii="宋体" w:hAnsi="宋体" w:cs="宋体"/>
          <w:b/>
          <w:bCs/>
          <w:color w:val="000000" w:themeColor="text1"/>
          <w:szCs w:val="24"/>
          <w:highlight w:val="none"/>
          <w14:textFill>
            <w14:solidFill>
              <w14:schemeClr w14:val="tx1"/>
            </w14:solidFill>
          </w14:textFill>
        </w:rPr>
        <w:t>8</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28.1电子交易平台发生故障而无法登录访问的； </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28.2电子交易平台应用或数据库出现错误，不能进行正常操作的；</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28.3电子交易平台发现严重安全漏洞，有潜在泄密危险的；</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28.4病毒发作导致不能进行正常操作的； </w:t>
      </w:r>
    </w:p>
    <w:p>
      <w:pPr>
        <w:pStyle w:val="129"/>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28.5其他无法保证电子交易的公平、公正和安全的情况。</w:t>
      </w:r>
    </w:p>
    <w:p>
      <w:pPr>
        <w:pStyle w:val="129"/>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p>
    <w:p>
      <w:pPr>
        <w:pStyle w:val="8"/>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74707468"/>
      <w:bookmarkEnd w:id="16"/>
      <w:bookmarkStart w:id="17" w:name="_Hlt75236011"/>
      <w:bookmarkEnd w:id="17"/>
      <w:bookmarkStart w:id="18" w:name="_Hlt75236290"/>
      <w:bookmarkEnd w:id="18"/>
      <w:bookmarkStart w:id="19" w:name="_Hlt74714665"/>
      <w:bookmarkEnd w:id="19"/>
      <w:bookmarkStart w:id="20" w:name="_Hlt74730295"/>
      <w:bookmarkEnd w:id="20"/>
      <w:bookmarkStart w:id="21" w:name="_Hlt74729768"/>
      <w:bookmarkEnd w:id="21"/>
      <w:bookmarkStart w:id="22" w:name="_Hlt68073093"/>
      <w:bookmarkEnd w:id="22"/>
      <w:bookmarkStart w:id="23" w:name="_Hlt68072998"/>
      <w:bookmarkEnd w:id="23"/>
      <w:bookmarkStart w:id="24" w:name="_Hlt68403820"/>
      <w:bookmarkEnd w:id="24"/>
      <w:bookmarkStart w:id="25" w:name="_Hlt68057669"/>
      <w:bookmarkEnd w:id="25"/>
      <w:bookmarkStart w:id="26" w:name="_Hlt68072990"/>
      <w:bookmarkEnd w:id="26"/>
    </w:p>
    <w:bookmarkEnd w:id="11"/>
    <w:bookmarkEnd w:id="12"/>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bookmarkStart w:id="27" w:name="第四部分"/>
      <w:r>
        <w:rPr>
          <w:rFonts w:hint="eastAsia" w:ascii="宋体" w:hAnsi="宋体" w:cs="宋体"/>
          <w:b/>
          <w:color w:val="000000" w:themeColor="text1"/>
          <w:sz w:val="36"/>
          <w:szCs w:val="36"/>
          <w:highlight w:val="none"/>
          <w14:textFill>
            <w14:solidFill>
              <w14:schemeClr w14:val="tx1"/>
            </w14:solidFill>
          </w14:textFill>
        </w:rPr>
        <w:t>第三部分   采购需求</w:t>
      </w:r>
    </w:p>
    <w:p>
      <w:pPr>
        <w:snapToGrid w:val="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一、需求内容及数量</w:t>
      </w:r>
    </w:p>
    <w:tbl>
      <w:tblPr>
        <w:tblStyle w:val="62"/>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785"/>
        <w:gridCol w:w="975"/>
        <w:gridCol w:w="1319"/>
        <w:gridCol w:w="1465"/>
        <w:gridCol w:w="1826"/>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jc w:val="center"/>
        </w:trPr>
        <w:tc>
          <w:tcPr>
            <w:tcW w:w="556"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序号</w:t>
            </w:r>
          </w:p>
        </w:tc>
        <w:tc>
          <w:tcPr>
            <w:tcW w:w="1785"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服务内容</w:t>
            </w:r>
          </w:p>
        </w:tc>
        <w:tc>
          <w:tcPr>
            <w:tcW w:w="975"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单位</w:t>
            </w:r>
          </w:p>
        </w:tc>
        <w:tc>
          <w:tcPr>
            <w:tcW w:w="1319"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预估数量</w:t>
            </w:r>
          </w:p>
        </w:tc>
        <w:tc>
          <w:tcPr>
            <w:tcW w:w="1465"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预算单价</w:t>
            </w:r>
          </w:p>
        </w:tc>
        <w:tc>
          <w:tcPr>
            <w:tcW w:w="1826"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预算总价</w:t>
            </w:r>
          </w:p>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（元/年）</w:t>
            </w:r>
          </w:p>
        </w:tc>
        <w:tc>
          <w:tcPr>
            <w:tcW w:w="1489"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56"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w:t>
            </w:r>
          </w:p>
        </w:tc>
        <w:tc>
          <w:tcPr>
            <w:tcW w:w="1785" w:type="dxa"/>
            <w:vAlign w:val="center"/>
          </w:tcPr>
          <w:p>
            <w:pPr>
              <w:widowControl/>
              <w:tabs>
                <w:tab w:val="left" w:pos="360"/>
              </w:tabs>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eastAsia="zh-CN"/>
                <w14:textFill>
                  <w14:solidFill>
                    <w14:schemeClr w14:val="tx1"/>
                  </w14:solidFill>
                </w14:textFill>
              </w:rPr>
              <w:t>消防验收</w:t>
            </w:r>
            <w:r>
              <w:rPr>
                <w:rFonts w:hint="eastAsia" w:ascii="宋体" w:hAnsi="宋体" w:cs="宋体"/>
                <w:color w:val="000000" w:themeColor="text1"/>
                <w:kern w:val="0"/>
                <w:sz w:val="24"/>
                <w:highlight w:val="none"/>
                <w:lang w:val="en-US" w:eastAsia="zh-CN"/>
                <w14:textFill>
                  <w14:solidFill>
                    <w14:schemeClr w14:val="tx1"/>
                  </w14:solidFill>
                </w14:textFill>
              </w:rPr>
              <w:t>服务</w:t>
            </w:r>
          </w:p>
        </w:tc>
        <w:tc>
          <w:tcPr>
            <w:tcW w:w="975"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平方米</w:t>
            </w:r>
          </w:p>
        </w:tc>
        <w:tc>
          <w:tcPr>
            <w:tcW w:w="1319"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600000</w:t>
            </w:r>
          </w:p>
        </w:tc>
        <w:tc>
          <w:tcPr>
            <w:tcW w:w="1465"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2元/平方米</w:t>
            </w:r>
          </w:p>
        </w:tc>
        <w:tc>
          <w:tcPr>
            <w:tcW w:w="1826" w:type="dxa"/>
            <w:vAlign w:val="center"/>
          </w:tcPr>
          <w:p>
            <w:pPr>
              <w:widowControl/>
              <w:tabs>
                <w:tab w:val="left" w:pos="360"/>
              </w:tabs>
              <w:jc w:val="center"/>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en-US" w:eastAsia="zh-CN"/>
                <w14:textFill>
                  <w14:solidFill>
                    <w14:schemeClr w14:val="tx1"/>
                  </w14:solidFill>
                </w14:textFill>
              </w:rPr>
              <w:t>1</w:t>
            </w:r>
            <w:r>
              <w:rPr>
                <w:rFonts w:hint="eastAsia" w:ascii="宋体" w:hAnsi="宋体" w:cs="宋体"/>
                <w:color w:val="000000" w:themeColor="text1"/>
                <w:kern w:val="0"/>
                <w:sz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highlight w:val="none"/>
                <w:lang w:val="en-US" w:eastAsia="zh-CN"/>
                <w14:textFill>
                  <w14:solidFill>
                    <w14:schemeClr w14:val="tx1"/>
                  </w14:solidFill>
                </w14:textFill>
              </w:rPr>
              <w:t>0</w:t>
            </w:r>
            <w:r>
              <w:rPr>
                <w:rFonts w:hint="eastAsia" w:ascii="宋体" w:hAnsi="宋体" w:eastAsia="宋体" w:cs="宋体"/>
                <w:color w:val="000000" w:themeColor="text1"/>
                <w:kern w:val="0"/>
                <w:sz w:val="24"/>
                <w:highlight w:val="none"/>
                <w14:textFill>
                  <w14:solidFill>
                    <w14:schemeClr w14:val="tx1"/>
                  </w14:solidFill>
                </w14:textFill>
              </w:rPr>
              <w:t>0000.00</w:t>
            </w:r>
          </w:p>
        </w:tc>
        <w:tc>
          <w:tcPr>
            <w:tcW w:w="1489" w:type="dxa"/>
            <w:vAlign w:val="center"/>
          </w:tcPr>
          <w:p>
            <w:pPr>
              <w:widowControl/>
              <w:tabs>
                <w:tab w:val="left" w:pos="360"/>
              </w:tabs>
              <w:jc w:val="center"/>
              <w:rPr>
                <w:rFonts w:hint="default" w:ascii="宋体" w:hAnsi="宋体" w:eastAsia="宋体" w:cs="宋体"/>
                <w:color w:val="000000" w:themeColor="text1"/>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2元/平方米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15" w:type="dxa"/>
            <w:gridSpan w:val="7"/>
            <w:vAlign w:val="center"/>
          </w:tcPr>
          <w:p>
            <w:pPr>
              <w:widowControl/>
              <w:tabs>
                <w:tab w:val="left" w:pos="360"/>
              </w:tabs>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预算</w:t>
            </w:r>
            <w:r>
              <w:rPr>
                <w:rFonts w:hint="eastAsia" w:ascii="宋体" w:hAnsi="宋体" w:cs="宋体"/>
                <w:color w:val="000000" w:themeColor="text1"/>
                <w:kern w:val="0"/>
                <w:sz w:val="24"/>
                <w:highlight w:val="none"/>
                <w:lang w:val="en-US" w:eastAsia="zh-CN"/>
                <w14:textFill>
                  <w14:solidFill>
                    <w14:schemeClr w14:val="tx1"/>
                  </w14:solidFill>
                </w14:textFill>
              </w:rPr>
              <w:t>总</w:t>
            </w:r>
            <w:r>
              <w:rPr>
                <w:rFonts w:hint="eastAsia" w:ascii="宋体" w:hAnsi="宋体" w:eastAsia="宋体" w:cs="宋体"/>
                <w:color w:val="000000" w:themeColor="text1"/>
                <w:kern w:val="0"/>
                <w:sz w:val="24"/>
                <w:highlight w:val="none"/>
                <w14:textFill>
                  <w14:solidFill>
                    <w14:schemeClr w14:val="tx1"/>
                  </w14:solidFill>
                </w14:textFill>
              </w:rPr>
              <w:t>价：人民币（大写）</w:t>
            </w:r>
            <w:r>
              <w:rPr>
                <w:rFonts w:hint="eastAsia" w:ascii="宋体" w:hAnsi="宋体" w:eastAsia="宋体" w:cs="宋体"/>
                <w:color w:val="000000" w:themeColor="text1"/>
                <w:kern w:val="0"/>
                <w:sz w:val="24"/>
                <w:highlight w:val="none"/>
                <w:lang w:eastAsia="zh-CN"/>
                <w14:textFill>
                  <w14:solidFill>
                    <w14:schemeClr w14:val="tx1"/>
                  </w14:solidFill>
                </w14:textFill>
              </w:rPr>
              <w:t>：</w:t>
            </w:r>
            <w:r>
              <w:rPr>
                <w:rFonts w:hint="eastAsia" w:ascii="宋体" w:hAnsi="宋体" w:cs="宋体"/>
                <w:color w:val="000000" w:themeColor="text1"/>
                <w:kern w:val="0"/>
                <w:sz w:val="24"/>
                <w:highlight w:val="none"/>
                <w:lang w:val="en-US" w:eastAsia="zh-CN"/>
                <w14:textFill>
                  <w14:solidFill>
                    <w14:schemeClr w14:val="tx1"/>
                  </w14:solidFill>
                </w14:textFill>
              </w:rPr>
              <w:t>壹佰贰拾万</w:t>
            </w:r>
            <w:r>
              <w:rPr>
                <w:rFonts w:hint="eastAsia" w:ascii="宋体" w:hAnsi="宋体" w:eastAsia="宋体" w:cs="宋体"/>
                <w:color w:val="000000" w:themeColor="text1"/>
                <w:kern w:val="0"/>
                <w:sz w:val="24"/>
                <w:highlight w:val="none"/>
                <w14:textFill>
                  <w14:solidFill>
                    <w14:schemeClr w14:val="tx1"/>
                  </w14:solidFill>
                </w14:textFill>
              </w:rPr>
              <w:t>元整</w:t>
            </w:r>
          </w:p>
        </w:tc>
      </w:tr>
    </w:tbl>
    <w:p>
      <w:pPr>
        <w:spacing w:line="340" w:lineRule="exact"/>
        <w:ind w:firstLine="420" w:firstLineChars="2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w:t>
      </w:r>
      <w:r>
        <w:rPr>
          <w:rFonts w:hint="eastAsia" w:ascii="宋体" w:hAnsi="宋体" w:eastAsia="宋体" w:cs="宋体"/>
          <w:b/>
          <w:bCs/>
          <w:color w:val="000000" w:themeColor="text1"/>
          <w:highlight w:val="none"/>
          <w:lang w:val="en-US" w:eastAsia="zh-CN"/>
          <w14:textFill>
            <w14:solidFill>
              <w14:schemeClr w14:val="tx1"/>
            </w14:solidFill>
          </w14:textFill>
        </w:rPr>
        <w:t>1.以上预算总价包括人员工资、交通、住宿、税金、保险、验收、管理费、采购服务费、辅助工作、售后服务等完成本项目的所有费用。</w:t>
      </w:r>
    </w:p>
    <w:p>
      <w:pPr>
        <w:spacing w:line="340" w:lineRule="exact"/>
        <w:ind w:firstLine="422" w:firstLineChars="2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▲2.以上数量为采购人预估数量，项目服务款项结算时以服务实际发生数*中标单价进行结算。如服务实际发生数较预估数量有减少的，投标人自行承担相关风险。</w:t>
      </w:r>
    </w:p>
    <w:p>
      <w:pPr>
        <w:spacing w:line="340" w:lineRule="exact"/>
        <w:ind w:firstLine="422" w:firstLineChars="200"/>
        <w:rPr>
          <w:rFonts w:hint="eastAsia" w:ascii="宋体" w:hAnsi="宋体" w:eastAsia="宋体" w:cs="宋体"/>
          <w:b/>
          <w:bCs/>
          <w:color w:val="000000" w:themeColor="text1"/>
          <w:highlight w:val="none"/>
          <w:lang w:val="en-US" w:eastAsia="zh-CN"/>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▲3.消防验收服务：消防验收及备案抽中项目，最终以中标单价*消防验收及备案抽中项目面积计算，不足3000元项目按3000元计取（特殊建设工程、重点项目建设阶段服务不单独计费）。</w:t>
      </w:r>
    </w:p>
    <w:p>
      <w:pPr>
        <w:spacing w:line="340" w:lineRule="exact"/>
        <w:ind w:firstLine="422" w:firstLineChars="200"/>
        <w:rPr>
          <w:rFonts w:hint="eastAsia"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lang w:val="en-US" w:eastAsia="zh-CN"/>
          <w14:textFill>
            <w14:solidFill>
              <w14:schemeClr w14:val="tx1"/>
            </w14:solidFill>
          </w14:textFill>
        </w:rPr>
        <w:t>▲4.同一项目，验收不合格按照中标单价计算价格，重新申请复验后通过验收则不再重复收取费用。</w:t>
      </w:r>
    </w:p>
    <w:p>
      <w:pPr>
        <w:widowControl/>
        <w:spacing w:line="400" w:lineRule="exact"/>
        <w:jc w:val="left"/>
        <w:rPr>
          <w:rFonts w:hint="eastAsia" w:ascii="宋体" w:hAnsi="宋体" w:eastAsia="宋体" w:cs="宋体"/>
          <w:b/>
          <w:color w:val="000000" w:themeColor="text1"/>
          <w:sz w:val="28"/>
          <w:szCs w:val="28"/>
          <w:highlight w:val="none"/>
          <w14:textFill>
            <w14:solidFill>
              <w14:schemeClr w14:val="tx1"/>
            </w14:solidFill>
          </w14:textFill>
        </w:rPr>
      </w:pPr>
    </w:p>
    <w:p>
      <w:pPr>
        <w:widowControl/>
        <w:spacing w:line="400" w:lineRule="exact"/>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二</w:t>
      </w:r>
      <w:r>
        <w:rPr>
          <w:rFonts w:hint="eastAsia" w:ascii="宋体" w:hAnsi="宋体" w:eastAsia="宋体" w:cs="宋体"/>
          <w:b/>
          <w:color w:val="000000" w:themeColor="text1"/>
          <w:sz w:val="28"/>
          <w:szCs w:val="28"/>
          <w:highlight w:val="none"/>
          <w:lang w:eastAsia="zh-CN"/>
          <w14:textFill>
            <w14:solidFill>
              <w14:schemeClr w14:val="tx1"/>
            </w14:solidFill>
          </w14:textFill>
        </w:rPr>
        <w:t>、</w:t>
      </w:r>
      <w:r>
        <w:rPr>
          <w:rFonts w:hint="eastAsia" w:ascii="宋体" w:hAnsi="宋体" w:eastAsia="宋体" w:cs="宋体"/>
          <w:b/>
          <w:color w:val="000000" w:themeColor="text1"/>
          <w:sz w:val="28"/>
          <w:szCs w:val="28"/>
          <w:highlight w:val="none"/>
          <w14:textFill>
            <w14:solidFill>
              <w14:schemeClr w14:val="tx1"/>
            </w14:solidFill>
          </w14:textFill>
        </w:rPr>
        <w:t>采购需求</w:t>
      </w:r>
    </w:p>
    <w:p>
      <w:pPr>
        <w:spacing w:line="360" w:lineRule="auto"/>
        <w:ind w:firstLine="480"/>
        <w:jc w:val="left"/>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&lt;一&gt;项目</w:t>
      </w:r>
      <w:r>
        <w:rPr>
          <w:rFonts w:hint="eastAsia" w:ascii="宋体" w:hAnsi="宋体" w:cs="宋体"/>
          <w:b/>
          <w:bCs/>
          <w:color w:val="000000" w:themeColor="text1"/>
          <w:sz w:val="24"/>
          <w:highlight w:val="none"/>
          <w:lang w:val="en-US" w:eastAsia="zh-CN"/>
          <w14:textFill>
            <w14:solidFill>
              <w14:schemeClr w14:val="tx1"/>
            </w14:solidFill>
          </w14:textFill>
        </w:rPr>
        <w:t>背景及服务内容</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项目背景</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根据《中华人民共和国消防法》、《建建设工程消防设计审查验收管理暂行规定》、《住房和城乡建设部应急管理部关于做好移交承接建设工程消防设计审查验收职责的通知》（建科函〔2019〕52号）等文件精神，建设工程消防设计审核、消防验收、备案和抽查职责划入建设主管部门。同时适应改革需要。《建设工程消防设计审查验收管理暂行规定》已于2020年6月1日正式施行，《规定》中多次提及技术服务机构。6月19日，住建部又下发《建设工程消防设计审查验收工作细则》，《细则》中第十七条提到“消防设计审查验收主管部门可以委托具备相应能力的技术服务机构开展特殊建设工程消防验收的消防设施检测、现场评定，并形成意见或者报告，作为出具特殊建设工程消防验收意见的依据”。</w:t>
      </w:r>
      <w:r>
        <w:rPr>
          <w:rFonts w:hint="eastAsia" w:ascii="宋体" w:hAnsi="宋体" w:eastAsia="宋体" w:cs="宋体"/>
          <w:color w:val="000000" w:themeColor="text1"/>
          <w:sz w:val="24"/>
          <w:highlight w:val="none"/>
          <w:lang w:val="en-US" w:eastAsia="zh-CN"/>
          <w14:textFill>
            <w14:solidFill>
              <w14:schemeClr w14:val="tx1"/>
            </w14:solidFill>
          </w14:textFill>
        </w:rPr>
        <w:t>为</w:t>
      </w:r>
      <w:r>
        <w:rPr>
          <w:rFonts w:hint="eastAsia" w:ascii="宋体" w:hAnsi="宋体" w:eastAsia="宋体" w:cs="宋体"/>
          <w:color w:val="000000" w:themeColor="text1"/>
          <w:sz w:val="24"/>
          <w:highlight w:val="none"/>
          <w:lang w:eastAsia="zh-CN"/>
          <w14:textFill>
            <w14:solidFill>
              <w14:schemeClr w14:val="tx1"/>
            </w14:solidFill>
          </w14:textFill>
        </w:rPr>
        <w:t>切实履行建设工程消防设计审查验收工作细则中的有关消防验收职责和规定，做好建设工程消防验收工作，</w:t>
      </w:r>
      <w:r>
        <w:rPr>
          <w:rFonts w:hint="eastAsia" w:ascii="宋体" w:hAnsi="宋体" w:eastAsia="宋体" w:cs="宋体"/>
          <w:color w:val="000000" w:themeColor="text1"/>
          <w:sz w:val="24"/>
          <w:highlight w:val="none"/>
          <w:lang w:val="en-US" w:eastAsia="zh-CN"/>
          <w14:textFill>
            <w14:solidFill>
              <w14:schemeClr w14:val="tx1"/>
            </w14:solidFill>
          </w14:textFill>
        </w:rPr>
        <w:t>建德市住房和城乡建设局特开展本项目</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2</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项目服务内容</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按照国家、省、市等建设工程消防验收和相关规定，开展对新建、扩建、改建（含室内外装修、建筑保温、用途变更）等建设工程竣工后实施消防验收或备案抽查</w:t>
      </w:r>
      <w:r>
        <w:rPr>
          <w:rFonts w:hint="eastAsia" w:ascii="宋体" w:hAnsi="宋体" w:cs="宋体"/>
          <w:color w:val="000000" w:themeColor="text1"/>
          <w:sz w:val="24"/>
          <w:highlight w:val="none"/>
          <w:lang w:eastAsia="zh-CN"/>
          <w14:textFill>
            <w14:solidFill>
              <w14:schemeClr w14:val="tx1"/>
            </w14:solidFill>
          </w14:textFill>
        </w:rPr>
        <w:t>、对特殊建设工程等重点工程提供建设阶段消防技术服务等工作</w:t>
      </w:r>
      <w:r>
        <w:rPr>
          <w:rFonts w:hint="eastAsia" w:ascii="宋体" w:hAnsi="宋体" w:eastAsia="宋体" w:cs="宋体"/>
          <w:color w:val="000000" w:themeColor="text1"/>
          <w:sz w:val="24"/>
          <w:highlight w:val="none"/>
          <w:lang w:eastAsia="zh-CN"/>
          <w14:textFill>
            <w14:solidFill>
              <w14:schemeClr w14:val="tx1"/>
            </w14:solidFill>
          </w14:textFill>
        </w:rPr>
        <w:t>，并向采购人提供每个项目完整的归档技术资料后，由行政部门出具正式消防验收意见书。服务的具体内容包括但不限于以下内容：</w:t>
      </w:r>
    </w:p>
    <w:p>
      <w:pPr>
        <w:spacing w:line="360" w:lineRule="auto"/>
        <w:ind w:firstLine="48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2.1建设阶段服务</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对特殊建设工程、重点工程等</w:t>
      </w:r>
      <w:r>
        <w:rPr>
          <w:rFonts w:hint="eastAsia" w:ascii="宋体" w:hAnsi="宋体" w:eastAsia="宋体" w:cs="宋体"/>
          <w:color w:val="000000" w:themeColor="text1"/>
          <w:sz w:val="24"/>
          <w:highlight w:val="none"/>
          <w:lang w:eastAsia="zh-CN"/>
          <w14:textFill>
            <w14:solidFill>
              <w14:schemeClr w14:val="tx1"/>
            </w14:solidFill>
          </w14:textFill>
        </w:rPr>
        <w:t>提供建设阶段</w:t>
      </w:r>
      <w:r>
        <w:rPr>
          <w:rFonts w:hint="eastAsia" w:ascii="宋体" w:hAnsi="宋体" w:cs="宋体"/>
          <w:color w:val="000000" w:themeColor="text1"/>
          <w:sz w:val="24"/>
          <w:highlight w:val="none"/>
          <w:lang w:eastAsia="zh-CN"/>
          <w14:textFill>
            <w14:solidFill>
              <w14:schemeClr w14:val="tx1"/>
            </w14:solidFill>
          </w14:textFill>
        </w:rPr>
        <w:t>消防技术</w:t>
      </w:r>
      <w:r>
        <w:rPr>
          <w:rFonts w:hint="eastAsia" w:ascii="宋体" w:hAnsi="宋体" w:eastAsia="宋体" w:cs="宋体"/>
          <w:color w:val="000000" w:themeColor="text1"/>
          <w:sz w:val="24"/>
          <w:highlight w:val="none"/>
          <w:lang w:eastAsia="zh-CN"/>
          <w14:textFill>
            <w14:solidFill>
              <w14:schemeClr w14:val="tx1"/>
            </w14:solidFill>
          </w14:textFill>
        </w:rPr>
        <w:t>服务。</w:t>
      </w:r>
    </w:p>
    <w:p>
      <w:pPr>
        <w:spacing w:line="360" w:lineRule="auto"/>
        <w:ind w:firstLine="48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2.2现场评定服务</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核验咨询涉及消防的建设工程竣工图纸与经</w:t>
      </w:r>
      <w:r>
        <w:rPr>
          <w:rFonts w:hint="eastAsia" w:ascii="宋体" w:hAnsi="宋体" w:cs="宋体"/>
          <w:color w:val="000000" w:themeColor="text1"/>
          <w:sz w:val="24"/>
          <w:highlight w:val="none"/>
          <w:lang w:eastAsia="zh-CN"/>
          <w14:textFill>
            <w14:solidFill>
              <w14:schemeClr w14:val="tx1"/>
            </w14:solidFill>
          </w14:textFill>
        </w:rPr>
        <w:t>施工图审查的</w:t>
      </w:r>
      <w:r>
        <w:rPr>
          <w:rFonts w:hint="eastAsia" w:ascii="宋体" w:hAnsi="宋体" w:eastAsia="宋体" w:cs="宋体"/>
          <w:color w:val="000000" w:themeColor="text1"/>
          <w:sz w:val="24"/>
          <w:highlight w:val="none"/>
          <w:lang w:eastAsia="zh-CN"/>
          <w14:textFill>
            <w14:solidFill>
              <w14:schemeClr w14:val="tx1"/>
            </w14:solidFill>
          </w14:textFill>
        </w:rPr>
        <w:t>消防设计文件相符情况。核验咨询消防验收报验材料是否齐全完整，真实合法。</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①现场评定应当依据消防法律法规、国家工程建设消防技术标准和省、市住房和城乡建设主管部门有关规定、涉及消防的建设工程竣工图纸、消防设计核验咨询意见，对建筑物防（灭）火设施的外观进行现场查看；通过专业仪器设备对涉及距离、高度、宽度、长度、面积、厚度等可测量的指标进行现场测量；对消防设施的功能进行测试、联调联试消防设施的系统功能等。现场评定具体项目包括：</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(1)建筑分类与耐火等级；</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(2)总平面布局，包括防火间距、消防车道、消防车登高面、消防救援口、消防车登高操作场地等项目；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(3)平面布置，包括消防控制室、消防水泵房、柴油发电机房、变配电房、民用建筑中其他特殊场所、工业建筑中其他特殊场所等项目；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(4)建筑外墙、屋面保温和建筑外墙装饰；</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(5)建筑内部装修防火，包括装修情况、建筑吊顶墙面和地面等装修材料的防火性能、电气安装与装修、对消防设施的影响，对疏散设施的影响等项目；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(6)防火分隔、防烟分隔、固定窗，包括防火分区，防火墙，防火隔墙、柱、梁、楼板、疏散楼梯、屋顶承重构件，防火门、窗，竖向管道井，防火卷帘，变形缝，其他有防火分隔要求的部位，防烟分隔，固定窗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(7)防爆，包括爆炸危险场所（部位），泄压设施，电气防爆，以及防静电、防积聚、防流散等措施；</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(8)安全疏散，包括安全出口、疏散门、疏散走道、避难层(间)、避难走道等项目；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(9)消防电梯；</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(10)消火栓系统，包括供水水源、消防水池、消防水泵、消防给水设备、消防水箱、管网、室外消火栓及取水口、室内消火栓、水泵接合器、系统功能、消防排水等项目；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(11)自动喷水灭火系统，包括供水水源、消防水池、消防水泵、气压给水设备、消防水箱、报警阀组、管网、喷头、水泵接合器、系统功能等项目；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(12)消防供配电及电器装置，包括消防电源、备用发电机、其他备用电源、消防配电、用电设施等项目；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(13) 消防应急照明和疏散指示系统，包括文件资料、系统类型选择、系统路线、布线、灯具、应急照明控制器、集中电源、应急照明配电箱、集中控制型系统、非集中控制型系统、系统备用照明等项目；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(14)火灾自动报警系统，包括文件资料和消防控制室，火灾探测器，消防通讯，布线，应急广播及警报装置，火灾报警控制器、联动设备及消防控制室图形显示装置，系统功能，电气火灾监控系统，消防设备电源监控系统，防火门监控系统，可燃气体探测报警系统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(15)防烟排烟系统及通风、空调系统防火，包括自然通风，加压送风系统设置与送风机，自然排烟，机械排烟系统设置与排烟风机，防排烟管道，排烟防火阀、排烟阀（口）、常闭加压风口及防火阀等，挡烟垂壁，系统功能，通风、空调系统防火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(16)建筑灭火器，包括种类、数量、配置、布置等项目；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(17)泡沫灭火系统，包括泡沫灭火系统防护区，泡沫储罐，以及泡沫比例混合、泡沫发生装置等，系统功能等项目；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(18)气体灭火系统的系统，包括防护区、储存装置间、灭火剂储存装置、驱动装置、管网、喷嘴、系统功能等项目；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(19)热能动力防火，包括锅炉房、柴油发电机房、液化石油气瓶组间（站）、燃油燃气管道等项目；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(20)其他国家工程建设消防技术标准强制性条文规定的项目，以及带有“严禁”、“必须”、“应”、“不应”、“不得”要求的非强制性条文规定的项目。</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②抽样要求</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现场查看、测量、设施及系统功能测试</w:t>
      </w:r>
      <w:r>
        <w:rPr>
          <w:rFonts w:hint="eastAsia" w:ascii="宋体" w:hAnsi="宋体" w:cs="宋体"/>
          <w:color w:val="000000" w:themeColor="text1"/>
          <w:sz w:val="24"/>
          <w:highlight w:val="none"/>
          <w:lang w:eastAsia="zh-CN"/>
          <w14:textFill>
            <w14:solidFill>
              <w14:schemeClr w14:val="tx1"/>
            </w14:solidFill>
          </w14:textFill>
        </w:rPr>
        <w:t>应符合</w:t>
      </w:r>
      <w:r>
        <w:rPr>
          <w:rFonts w:hint="eastAsia" w:ascii="宋体" w:hAnsi="宋体" w:eastAsia="宋体" w:cs="宋体"/>
          <w:color w:val="000000" w:themeColor="text1"/>
          <w:sz w:val="24"/>
          <w:highlight w:val="none"/>
          <w:lang w:eastAsia="zh-CN"/>
          <w14:textFill>
            <w14:solidFill>
              <w14:schemeClr w14:val="tx1"/>
            </w14:solidFill>
          </w14:textFill>
        </w:rPr>
        <w:t>《浙江省建筑工程消防验收操作技术导则（试行）》</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《杭州市建设工程消防验收技术导则（试行）》</w:t>
      </w:r>
      <w:r>
        <w:rPr>
          <w:rFonts w:hint="eastAsia" w:ascii="宋体" w:hAnsi="宋体" w:cs="宋体"/>
          <w:color w:val="000000" w:themeColor="text1"/>
          <w:sz w:val="24"/>
          <w:highlight w:val="none"/>
          <w:lang w:eastAsia="zh-CN"/>
          <w14:textFill>
            <w14:solidFill>
              <w14:schemeClr w14:val="tx1"/>
            </w14:solidFill>
          </w14:textFill>
        </w:rPr>
        <w:t>等规定</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③现场评定结论</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消防验收现场评定符合下列条件的，结论为合格；不符合下列任意一项的，结论为不合格：</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（1）现场评定内容符合经消防设计核验咨询合格的消防设计文件；</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（2）现场评定内容符合国家工程建设消防技术标准强制性条文规定的要求；</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3）有距离、高度、宽度、长度、面积、厚度等要求的内容，其与设计图纸标示的数值误差满足国家工程建设消防技术标准的要求；国家工程建设消防技术标准没有数值误差要求的，误差不超过5%，且不影响正常使用功能和消防安全；</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（4）现场评定内容为消防设施性能的，满足设计文件要求并能正常实现；</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（5）现场评定内容为系统功能的，系统主要功能满足设计文件要求并能正常实现。</w:t>
      </w:r>
    </w:p>
    <w:p>
      <w:pPr>
        <w:spacing w:line="360" w:lineRule="auto"/>
        <w:ind w:firstLine="48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2.</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lang w:eastAsia="zh-CN"/>
          <w14:textFill>
            <w14:solidFill>
              <w14:schemeClr w14:val="tx1"/>
            </w14:solidFill>
          </w14:textFill>
        </w:rPr>
        <w:t>档案管理服务</w:t>
      </w:r>
    </w:p>
    <w:p>
      <w:pPr>
        <w:spacing w:line="360" w:lineRule="auto"/>
        <w:ind w:firstLine="48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服务期内，建设工程消防审验档案的管理（约230个）由中标供应商负责承担。</w:t>
      </w:r>
      <w:r>
        <w:rPr>
          <w:rFonts w:hint="eastAsia" w:ascii="宋体" w:hAnsi="宋体" w:cs="宋体"/>
          <w:color w:val="000000" w:themeColor="text1"/>
          <w:sz w:val="24"/>
          <w:highlight w:val="none"/>
          <w:lang w:eastAsia="zh-CN"/>
          <w14:textFill>
            <w14:solidFill>
              <w14:schemeClr w14:val="tx1"/>
            </w14:solidFill>
          </w14:textFill>
        </w:rPr>
        <w:t>供应商在应当在建设工程完成消防设计审查、经消防验收（备案）合格或不合格后10个工作日内，根据省、市相关档案要求，将建设工程消防审验档案归档。</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供应商在应当建立档案管理制度，在技术服务项目完成后，及时按项目建立技术服务档案。委托合同、服务活动数据原始记录、出具的意见或者报告应当按照项目统一编号，编号应当连续，不得随意抽撤、涂改</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360" w:lineRule="auto"/>
        <w:ind w:firstLine="241" w:firstLineChars="100"/>
        <w:jc w:val="left"/>
        <w:rPr>
          <w:rFonts w:hint="eastAsia" w:ascii="宋体" w:hAnsi="宋体" w:eastAsia="宋体" w:cs="宋体"/>
          <w:b/>
          <w:bCs/>
          <w:color w:val="000000" w:themeColor="text1"/>
          <w:sz w:val="24"/>
          <w:highlight w:val="none"/>
          <w:lang w:val="en-US"/>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&lt;二&gt;</w:t>
      </w:r>
      <w:r>
        <w:rPr>
          <w:rFonts w:hint="eastAsia" w:ascii="宋体" w:hAnsi="宋体" w:eastAsia="宋体" w:cs="宋体"/>
          <w:b/>
          <w:bCs/>
          <w:color w:val="000000" w:themeColor="text1"/>
          <w:sz w:val="24"/>
          <w:highlight w:val="none"/>
          <w:lang w:val="en-US" w:eastAsia="zh-CN"/>
          <w14:textFill>
            <w14:solidFill>
              <w14:schemeClr w14:val="tx1"/>
            </w14:solidFill>
          </w14:textFill>
        </w:rPr>
        <w:t>项目需执行的标准或规范（如有新法规或制度的按新规范执行）</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《中华人民共和国消防法》（2021年4月29日修正版）；</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《建设工程消防设计审查验收管理暂行规定》（住房和城乡建设部令第51号）；</w:t>
      </w:r>
    </w:p>
    <w:p>
      <w:pPr>
        <w:spacing w:line="360" w:lineRule="auto"/>
        <w:ind w:firstLine="48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住房和城乡建设部《关于印发〈建设工程消防设计审查验收工作细则〉和〈建设工程消防设计审查、消防验收、备案和抽查文书式样〉的通知》（建科规〔2020〕5号)</w:t>
      </w:r>
      <w:r>
        <w:rPr>
          <w:rFonts w:hint="eastAsia" w:ascii="宋体" w:hAnsi="宋体" w:cs="宋体"/>
          <w:color w:val="000000" w:themeColor="text1"/>
          <w:sz w:val="24"/>
          <w:highlight w:val="none"/>
          <w:lang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4.</w:t>
      </w:r>
      <w:r>
        <w:rPr>
          <w:rFonts w:hint="eastAsia" w:ascii="宋体" w:hAnsi="宋体" w:eastAsia="宋体" w:cs="宋体"/>
          <w:color w:val="000000" w:themeColor="text1"/>
          <w:sz w:val="24"/>
          <w:highlight w:val="none"/>
          <w:lang w:eastAsia="zh-CN"/>
          <w14:textFill>
            <w14:solidFill>
              <w14:schemeClr w14:val="tx1"/>
            </w14:solidFill>
          </w14:textFill>
        </w:rPr>
        <w:t>《建筑设计防火规范》GB50016-2014（2018年版）</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5.</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浙江省消防条例</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lang w:eastAsia="zh-CN"/>
          <w14:textFill>
            <w14:solidFill>
              <w14:schemeClr w14:val="tx1"/>
            </w14:solidFill>
          </w14:textFill>
        </w:rPr>
        <w:t>021年11月25日）</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浙江省住房和城乡建设厅、浙江省交通运输厅浙江省水利厅、国网浙江省电力有限公司《关于印发&lt;浙江省建设工程消防设计审查验收管理暂行办法&gt;的通知》(浙建〔2021〕3号)</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7.浙江省住房和城乡建设厅《浙江省建筑工程消防验收操作技术导则（试行）》</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8.《浙江省既有建筑托育机构、老年人照料设施改建工程防火技术导则（试行）》</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9.浙江省消防技术规范难点问题操作技术指南（2020)</w:t>
      </w:r>
    </w:p>
    <w:p>
      <w:pPr>
        <w:spacing w:line="360" w:lineRule="auto"/>
        <w:ind w:firstLine="48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w:t>
      </w:r>
      <w:r>
        <w:rPr>
          <w:rFonts w:hint="eastAsia" w:ascii="宋体" w:hAnsi="宋体" w:cs="宋体"/>
          <w:color w:val="000000" w:themeColor="text1"/>
          <w:sz w:val="24"/>
          <w:highlight w:val="none"/>
          <w:lang w:eastAsia="zh-CN"/>
          <w14:textFill>
            <w14:solidFill>
              <w14:schemeClr w14:val="tx1"/>
            </w14:solidFill>
          </w14:textFill>
        </w:rPr>
        <w:t>杭州市城乡建设委员会《关于印发&lt;杭州市建设工程消防验收技术导则&gt;（试行）的通知》；</w:t>
      </w:r>
    </w:p>
    <w:p>
      <w:pPr>
        <w:spacing w:line="360" w:lineRule="auto"/>
        <w:ind w:firstLine="48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r>
        <w:rPr>
          <w:rFonts w:hint="eastAsia" w:ascii="宋体" w:hAnsi="宋体" w:cs="宋体"/>
          <w:color w:val="000000" w:themeColor="text1"/>
          <w:sz w:val="24"/>
          <w:highlight w:val="none"/>
          <w:lang w:eastAsia="zh-CN"/>
          <w14:textFill>
            <w14:solidFill>
              <w14:schemeClr w14:val="tx1"/>
            </w14:solidFill>
          </w14:textFill>
        </w:rPr>
        <w:t>《杭州市建设工消防设计审查工作指南》（试行）；</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lang w:eastAsia="zh-CN"/>
          <w14:textFill>
            <w14:solidFill>
              <w14:schemeClr w14:val="tx1"/>
            </w14:solidFill>
          </w14:textFill>
        </w:rPr>
        <w:t>其他国家和地方要求执行的法律法规。</w:t>
      </w:r>
    </w:p>
    <w:p>
      <w:pPr>
        <w:spacing w:line="360" w:lineRule="auto"/>
        <w:ind w:firstLine="480"/>
        <w:jc w:val="left"/>
        <w:rPr>
          <w:rFonts w:hint="eastAsia" w:ascii="宋体" w:hAnsi="宋体" w:eastAsia="宋体" w:cs="宋体"/>
          <w:b w:val="0"/>
          <w:bCs w:val="0"/>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highlight w:val="none"/>
          <w:lang w:val="en-US" w:eastAsia="zh-CN"/>
          <w14:textFill>
            <w14:solidFill>
              <w14:schemeClr w14:val="tx1"/>
            </w14:solidFill>
          </w14:textFill>
        </w:rPr>
        <w:t>注：项目实施过程中，</w:t>
      </w:r>
      <w:r>
        <w:rPr>
          <w:rFonts w:hint="eastAsia" w:ascii="宋体" w:hAnsi="宋体" w:cs="宋体"/>
          <w:b w:val="0"/>
          <w:bCs w:val="0"/>
          <w:color w:val="000000" w:themeColor="text1"/>
          <w:sz w:val="24"/>
          <w:highlight w:val="none"/>
          <w:lang w:val="en-US" w:eastAsia="zh-CN"/>
          <w14:textFill>
            <w14:solidFill>
              <w14:schemeClr w14:val="tx1"/>
            </w14:solidFill>
          </w14:textFill>
        </w:rPr>
        <w:t>供应商</w:t>
      </w:r>
      <w:r>
        <w:rPr>
          <w:rFonts w:hint="eastAsia" w:ascii="宋体" w:hAnsi="宋体" w:eastAsia="宋体" w:cs="宋体"/>
          <w:b w:val="0"/>
          <w:bCs w:val="0"/>
          <w:color w:val="000000" w:themeColor="text1"/>
          <w:sz w:val="24"/>
          <w:highlight w:val="none"/>
          <w:lang w:val="en-US" w:eastAsia="zh-CN"/>
          <w14:textFill>
            <w14:solidFill>
              <w14:schemeClr w14:val="tx1"/>
            </w14:solidFill>
          </w14:textFill>
        </w:rPr>
        <w:t>如违背上述法规或规章制度，采购人有权终止合同，并要求供应商做出相应赔偿。</w:t>
      </w:r>
    </w:p>
    <w:p>
      <w:pPr>
        <w:spacing w:line="360" w:lineRule="auto"/>
        <w:ind w:firstLine="241" w:firstLineChars="100"/>
        <w:jc w:val="left"/>
        <w:rPr>
          <w:rFonts w:hint="default" w:ascii="宋体" w:hAnsi="宋体" w:eastAsia="宋体" w:cs="宋体"/>
          <w:b/>
          <w:bCs/>
          <w:color w:val="000000" w:themeColor="text1"/>
          <w:sz w:val="24"/>
          <w:highlight w:val="none"/>
          <w:lang w:val="en-US"/>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&lt;</w:t>
      </w:r>
      <w:r>
        <w:rPr>
          <w:rFonts w:hint="eastAsia" w:ascii="宋体" w:hAnsi="宋体" w:eastAsia="宋体" w:cs="宋体"/>
          <w:b/>
          <w:bCs/>
          <w:color w:val="000000" w:themeColor="text1"/>
          <w:sz w:val="24"/>
          <w:highlight w:val="none"/>
          <w:lang w:val="en-US" w:eastAsia="zh-CN"/>
          <w14:textFill>
            <w14:solidFill>
              <w14:schemeClr w14:val="tx1"/>
            </w14:solidFill>
          </w14:textFill>
        </w:rPr>
        <w:t>三</w:t>
      </w:r>
      <w:r>
        <w:rPr>
          <w:rFonts w:hint="eastAsia" w:ascii="宋体" w:hAnsi="宋体" w:eastAsia="宋体" w:cs="宋体"/>
          <w:b/>
          <w:bCs/>
          <w:color w:val="000000" w:themeColor="text1"/>
          <w:sz w:val="24"/>
          <w:highlight w:val="none"/>
          <w14:textFill>
            <w14:solidFill>
              <w14:schemeClr w14:val="tx1"/>
            </w14:solidFill>
          </w14:textFill>
        </w:rPr>
        <w:t>&gt;</w:t>
      </w:r>
      <w:r>
        <w:rPr>
          <w:rFonts w:hint="eastAsia" w:ascii="宋体" w:hAnsi="宋体" w:eastAsia="宋体" w:cs="宋体"/>
          <w:b/>
          <w:bCs/>
          <w:color w:val="000000" w:themeColor="text1"/>
          <w:sz w:val="24"/>
          <w:highlight w:val="none"/>
          <w:lang w:val="en-US" w:eastAsia="zh-CN"/>
          <w14:textFill>
            <w14:solidFill>
              <w14:schemeClr w14:val="tx1"/>
            </w14:solidFill>
          </w14:textFill>
        </w:rPr>
        <w:t>服务要求</w:t>
      </w:r>
    </w:p>
    <w:p>
      <w:pPr>
        <w:spacing w:line="360" w:lineRule="auto"/>
        <w:ind w:firstLine="480"/>
        <w:jc w:val="left"/>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1.对本项目技术服务单位的要求</w:t>
      </w:r>
    </w:p>
    <w:p>
      <w:pPr>
        <w:spacing w:line="360" w:lineRule="auto"/>
        <w:ind w:firstLine="48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▲供应商应</w:t>
      </w:r>
      <w:r>
        <w:rPr>
          <w:rFonts w:hint="eastAsia" w:ascii="宋体" w:hAnsi="宋体"/>
          <w:color w:val="000000" w:themeColor="text1"/>
          <w:sz w:val="24"/>
          <w:highlight w:val="none"/>
          <w:u w:val="single"/>
          <w:lang w:val="en-US" w:eastAsia="zh-CN"/>
          <w14:textFill>
            <w14:solidFill>
              <w14:schemeClr w14:val="tx1"/>
            </w14:solidFill>
          </w14:textFill>
        </w:rPr>
        <w:t>满足国家、省级消防部门制定的《消防技术服务机构从业条件》，并在“浙江省消防技术服务管理系统”备案登记，接受行业监管。</w:t>
      </w:r>
    </w:p>
    <w:p>
      <w:pPr>
        <w:spacing w:line="360" w:lineRule="auto"/>
        <w:ind w:firstLine="480"/>
        <w:jc w:val="left"/>
        <w:rPr>
          <w:rFonts w:hint="eastAsia" w:ascii="宋体" w:hAnsi="宋体" w:eastAsia="宋体" w:cs="宋体"/>
          <w:b/>
          <w:bCs/>
          <w:strike w:val="0"/>
          <w:dstrike w:val="0"/>
          <w:color w:val="000000" w:themeColor="text1"/>
          <w:sz w:val="24"/>
          <w:highlight w:val="none"/>
          <w:lang w:val="en-US" w:eastAsia="zh-CN"/>
          <w14:textFill>
            <w14:solidFill>
              <w14:schemeClr w14:val="tx1"/>
            </w14:solidFill>
          </w14:textFill>
        </w:rPr>
      </w:pPr>
      <w:r>
        <w:rPr>
          <w:rFonts w:hint="eastAsia" w:ascii="宋体" w:hAnsi="宋体" w:eastAsia="宋体" w:cs="宋体"/>
          <w:b/>
          <w:bCs/>
          <w:strike w:val="0"/>
          <w:dstrike w:val="0"/>
          <w:color w:val="000000" w:themeColor="text1"/>
          <w:sz w:val="24"/>
          <w:highlight w:val="none"/>
          <w14:textFill>
            <w14:solidFill>
              <w14:schemeClr w14:val="tx1"/>
            </w14:solidFill>
          </w14:textFill>
        </w:rPr>
        <w:t>（3）</w:t>
      </w:r>
      <w:r>
        <w:rPr>
          <w:rFonts w:hint="eastAsia" w:ascii="宋体" w:hAnsi="宋体" w:eastAsia="宋体" w:cs="宋体"/>
          <w:b/>
          <w:bCs/>
          <w:strike w:val="0"/>
          <w:dstrike w:val="0"/>
          <w:color w:val="000000" w:themeColor="text1"/>
          <w:sz w:val="24"/>
          <w:highlight w:val="none"/>
          <w:lang w:val="en-US" w:eastAsia="zh-CN"/>
          <w14:textFill>
            <w14:solidFill>
              <w14:schemeClr w14:val="tx1"/>
            </w14:solidFill>
          </w14:textFill>
        </w:rPr>
        <w:t>分包要求</w:t>
      </w:r>
    </w:p>
    <w:p>
      <w:pPr>
        <w:spacing w:line="360" w:lineRule="auto"/>
        <w:ind w:firstLine="480"/>
        <w:jc w:val="left"/>
        <w:rPr>
          <w:rFonts w:hint="eastAsia" w:ascii="宋体" w:hAnsi="宋体" w:eastAsia="宋体" w:cs="宋体"/>
          <w:strike w:val="0"/>
          <w:dstrike w:val="0"/>
          <w:color w:val="000000" w:themeColor="text1"/>
          <w:sz w:val="24"/>
          <w:highlight w:val="none"/>
          <w14:textFill>
            <w14:solidFill>
              <w14:schemeClr w14:val="tx1"/>
            </w14:solidFill>
          </w14:textFill>
        </w:rPr>
      </w:pPr>
      <w:r>
        <w:rPr>
          <w:rFonts w:hint="eastAsia" w:ascii="宋体" w:hAnsi="宋体" w:eastAsia="宋体" w:cs="宋体"/>
          <w:strike w:val="0"/>
          <w:dstrike w:val="0"/>
          <w:color w:val="000000" w:themeColor="text1"/>
          <w:sz w:val="24"/>
          <w:highlight w:val="none"/>
          <w14:textFill>
            <w14:solidFill>
              <w14:schemeClr w14:val="tx1"/>
            </w14:solidFill>
          </w14:textFill>
        </w:rPr>
        <w:t>供应商拟在中标后将中标项目的非主体、非关键性工作分包的，应当在投标文件中载明分包承担主体及内容，分包承担主体应当具备相应资质条件且不得再次分包。享受扶持政策获得政府采购合同的，小微企业不得将合同分包给大中型企业，中型企业不得将合同分包给大型企业。</w:t>
      </w:r>
    </w:p>
    <w:p>
      <w:pPr>
        <w:spacing w:line="360" w:lineRule="auto"/>
        <w:ind w:firstLine="480"/>
        <w:jc w:val="left"/>
        <w:rPr>
          <w:rFonts w:hint="eastAsia" w:ascii="宋体" w:hAnsi="宋体" w:eastAsia="宋体" w:cs="宋体"/>
          <w:strike w:val="0"/>
          <w:dstrike w:val="0"/>
          <w:color w:val="000000" w:themeColor="text1"/>
          <w:sz w:val="24"/>
          <w:highlight w:val="none"/>
          <w14:textFill>
            <w14:solidFill>
              <w14:schemeClr w14:val="tx1"/>
            </w14:solidFill>
          </w14:textFill>
        </w:rPr>
      </w:pPr>
      <w:r>
        <w:rPr>
          <w:rFonts w:hint="eastAsia" w:ascii="宋体" w:hAnsi="宋体" w:eastAsia="宋体" w:cs="宋体"/>
          <w:strike w:val="0"/>
          <w:dstrike w:val="0"/>
          <w:color w:val="000000" w:themeColor="text1"/>
          <w:sz w:val="24"/>
          <w:highlight w:val="none"/>
          <w14:textFill>
            <w14:solidFill>
              <w14:schemeClr w14:val="tx1"/>
            </w14:solidFill>
          </w14:textFill>
        </w:rPr>
        <w:t>分包允许内容仅限将非主体、非关键性的现场评定相关消防设施检测服务。</w:t>
      </w:r>
    </w:p>
    <w:p>
      <w:pPr>
        <w:spacing w:line="360" w:lineRule="auto"/>
        <w:ind w:firstLine="480"/>
        <w:jc w:val="left"/>
        <w:rPr>
          <w:rFonts w:hint="eastAsia" w:ascii="宋体" w:hAnsi="宋体" w:eastAsia="宋体" w:cs="宋体"/>
          <w:strike w:val="0"/>
          <w:dstrike w:val="0"/>
          <w:color w:val="000000" w:themeColor="text1"/>
          <w:sz w:val="24"/>
          <w:highlight w:val="none"/>
          <w14:textFill>
            <w14:solidFill>
              <w14:schemeClr w14:val="tx1"/>
            </w14:solidFill>
          </w14:textFill>
        </w:rPr>
      </w:pPr>
      <w:r>
        <w:rPr>
          <w:rFonts w:hint="eastAsia" w:ascii="宋体" w:hAnsi="宋体" w:eastAsia="宋体" w:cs="宋体"/>
          <w:strike w:val="0"/>
          <w:dstrike w:val="0"/>
          <w:color w:val="000000" w:themeColor="text1"/>
          <w:sz w:val="24"/>
          <w:highlight w:val="none"/>
          <w14:textFill>
            <w14:solidFill>
              <w14:schemeClr w14:val="tx1"/>
            </w14:solidFill>
          </w14:textFill>
        </w:rPr>
        <w:t>具体内容为：对建筑物防（灭）火设施的外观进行现场查看；通过专业仪器设备对涉及距离、高度、宽度、长度、面积、厚度等可测量的指标进行现场测量；对消防设施的功能进行测试、联调联试消防设施的系统功能等。</w:t>
      </w:r>
    </w:p>
    <w:p>
      <w:pPr>
        <w:spacing w:line="360" w:lineRule="auto"/>
        <w:ind w:firstLine="480"/>
        <w:jc w:val="left"/>
        <w:rPr>
          <w:rFonts w:hint="eastAsia" w:ascii="宋体" w:hAnsi="宋体" w:eastAsia="宋体" w:cs="宋体"/>
          <w:strike w:val="0"/>
          <w:dstrike w:val="0"/>
          <w:color w:val="000000" w:themeColor="text1"/>
          <w:sz w:val="24"/>
          <w:highlight w:val="none"/>
          <w14:textFill>
            <w14:solidFill>
              <w14:schemeClr w14:val="tx1"/>
            </w14:solidFill>
          </w14:textFill>
        </w:rPr>
      </w:pPr>
      <w:r>
        <w:rPr>
          <w:rFonts w:hint="eastAsia" w:ascii="宋体" w:hAnsi="宋体" w:eastAsia="宋体" w:cs="宋体"/>
          <w:strike w:val="0"/>
          <w:dstrike w:val="0"/>
          <w:color w:val="000000" w:themeColor="text1"/>
          <w:sz w:val="24"/>
          <w:highlight w:val="none"/>
          <w14:textFill>
            <w14:solidFill>
              <w14:schemeClr w14:val="tx1"/>
            </w14:solidFill>
          </w14:textFill>
        </w:rPr>
        <w:t>分包单位应具备相应技术能力。</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（4）</w:t>
      </w:r>
      <w:r>
        <w:rPr>
          <w:rFonts w:hint="eastAsia" w:ascii="宋体" w:hAnsi="宋体" w:eastAsia="宋体" w:cs="宋体"/>
          <w:b/>
          <w:bCs/>
          <w:color w:val="000000" w:themeColor="text1"/>
          <w:sz w:val="24"/>
          <w:highlight w:val="none"/>
          <w:lang w:val="en-US" w:eastAsia="zh-CN"/>
          <w14:textFill>
            <w14:solidFill>
              <w14:schemeClr w14:val="tx1"/>
            </w14:solidFill>
          </w14:textFill>
        </w:rPr>
        <w:t>供应商应当具备下列条件：</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①具备独立法人资格；</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②有符合条件的技术负责人和技术人员；</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③有满足工作需要的固定办公场所；</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④有健全的技术管理和质量保证体系</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jc w:val="left"/>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本项目技术服务人员应具备下列条件：</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①应明确项目负责人1人，项目负责人应当具有5年及以上消防技术服务从业经验并具有高级工程师及以上职称，近5年内未因违反工程建设法律法规和强制性标准受到行政处罚；</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②技术负责人应当具有5年以上建设工程消防设计施工验收经历，主持过3项以上竣工验收消防查验或现场评定工作，近5年内未因违反工程建设法律法规和强制性标准受到行政处罚；</w:t>
      </w:r>
    </w:p>
    <w:p>
      <w:pPr>
        <w:spacing w:line="360" w:lineRule="auto"/>
        <w:ind w:firstLine="480"/>
        <w:jc w:val="left"/>
        <w:rPr>
          <w:rFonts w:hint="eastAsia" w:ascii="宋体" w:hAnsi="宋体" w:eastAsia="宋体" w:cs="宋体"/>
          <w:strike w:val="0"/>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③</w:t>
      </w:r>
      <w:r>
        <w:rPr>
          <w:rFonts w:hint="eastAsia" w:ascii="宋体" w:hAnsi="宋体" w:eastAsia="宋体" w:cs="宋体"/>
          <w:strike w:val="0"/>
          <w:dstrike w:val="0"/>
          <w:color w:val="000000" w:themeColor="text1"/>
          <w:sz w:val="24"/>
          <w:highlight w:val="none"/>
          <w:lang w:val="en-US" w:eastAsia="zh-CN"/>
          <w14:textFill>
            <w14:solidFill>
              <w14:schemeClr w14:val="tx1"/>
            </w14:solidFill>
          </w14:textFill>
        </w:rPr>
        <w:t>项目专业技术人员（不含项目负责人）</w:t>
      </w:r>
      <w:r>
        <w:rPr>
          <w:rFonts w:hint="eastAsia" w:ascii="宋体" w:hAnsi="宋体" w:cs="宋体"/>
          <w:strike w:val="0"/>
          <w:dstrike w:val="0"/>
          <w:color w:val="000000" w:themeColor="text1"/>
          <w:sz w:val="24"/>
          <w:highlight w:val="none"/>
          <w:lang w:val="en-US" w:eastAsia="zh-CN"/>
          <w14:textFill>
            <w14:solidFill>
              <w14:schemeClr w14:val="tx1"/>
            </w14:solidFill>
          </w14:textFill>
        </w:rPr>
        <w:t>：人数不少于10人，其中具有中级工程师及以上职称的人员不少于5人；国家一级注册消防工程师(或一级注册建筑师、或一级注册公用设备工程师）不少于5人</w:t>
      </w:r>
      <w:r>
        <w:rPr>
          <w:rFonts w:hint="eastAsia" w:ascii="宋体" w:hAnsi="宋体" w:eastAsia="宋体" w:cs="宋体"/>
          <w:strike w:val="0"/>
          <w:color w:val="000000" w:themeColor="text1"/>
          <w:sz w:val="24"/>
          <w:highlight w:val="none"/>
          <w:lang w:val="en-US"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④服务人员变更要求：</w:t>
      </w:r>
    </w:p>
    <w:p>
      <w:pPr>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服务人员未经采购人同意不得随意变更。采购人每月对服务人员的责任心、工作能力、合作性、廉洁性进行考核，如有考核不合格人员需立即更换，直至能满足相应岗位要求，采购人不承担任何人员更换的额外费用。</w:t>
      </w:r>
    </w:p>
    <w:p>
      <w:pPr>
        <w:spacing w:line="360" w:lineRule="auto"/>
        <w:ind w:firstLine="480"/>
        <w:jc w:val="left"/>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（5）</w:t>
      </w:r>
      <w:r>
        <w:rPr>
          <w:rFonts w:hint="eastAsia" w:ascii="宋体" w:hAnsi="宋体" w:eastAsia="宋体" w:cs="宋体"/>
          <w:b/>
          <w:bCs/>
          <w:color w:val="000000" w:themeColor="text1"/>
          <w:sz w:val="24"/>
          <w:highlight w:val="none"/>
          <w:lang w:val="en-US" w:eastAsia="zh-CN"/>
          <w14:textFill>
            <w14:solidFill>
              <w14:schemeClr w14:val="tx1"/>
            </w14:solidFill>
          </w14:textFill>
        </w:rPr>
        <w:t>仪器、设备、设施要求</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仪器、设备、设施</w:t>
      </w:r>
      <w:r>
        <w:rPr>
          <w:rFonts w:hint="eastAsia" w:ascii="宋体" w:hAnsi="宋体" w:eastAsia="宋体" w:cs="宋体"/>
          <w:color w:val="000000" w:themeColor="text1"/>
          <w:sz w:val="24"/>
          <w:highlight w:val="none"/>
          <w:lang w:val="en-US" w:eastAsia="zh-CN"/>
          <w14:textFill>
            <w14:solidFill>
              <w14:schemeClr w14:val="tx1"/>
            </w14:solidFill>
          </w14:textFill>
        </w:rPr>
        <w:t>配备完整，满足现场评定的要求</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2</w:t>
      </w:r>
      <w:r>
        <w:rPr>
          <w:rFonts w:hint="eastAsia" w:ascii="宋体" w:hAnsi="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服务要求</w:t>
      </w:r>
    </w:p>
    <w:p>
      <w:pPr>
        <w:spacing w:line="360" w:lineRule="auto"/>
        <w:ind w:firstLine="480"/>
        <w:jc w:val="left"/>
        <w:rPr>
          <w:rFonts w:hint="default"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供应商在履行合同义务期间，应当严格遵照以下要求提供服务。供应商未按以下服务要求提供服务的，采购人将报有关主管部门作出处罚并解除合同。</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服务质量要求</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sz w:val="24"/>
          <w:highlight w:val="none"/>
          <w:lang w:val="en-US" w:eastAsia="zh-CN"/>
          <w14:textFill>
            <w14:solidFill>
              <w14:schemeClr w14:val="tx1"/>
            </w14:solidFill>
          </w14:textFill>
        </w:rPr>
        <w:t>及其从业人员应当依照有关法律、法规和国家工程建设消防技术标准，开展消防</w:t>
      </w:r>
      <w:r>
        <w:rPr>
          <w:rFonts w:hint="eastAsia" w:ascii="宋体" w:hAnsi="宋体" w:cs="宋体"/>
          <w:color w:val="000000" w:themeColor="text1"/>
          <w:sz w:val="24"/>
          <w:highlight w:val="none"/>
          <w:lang w:val="en-US" w:eastAsia="zh-CN"/>
          <w14:textFill>
            <w14:solidFill>
              <w14:schemeClr w14:val="tx1"/>
            </w14:solidFill>
          </w14:textFill>
        </w:rPr>
        <w:t>审验技术</w:t>
      </w:r>
      <w:r>
        <w:rPr>
          <w:rFonts w:hint="eastAsia" w:ascii="宋体" w:hAnsi="宋体" w:eastAsia="宋体" w:cs="宋体"/>
          <w:color w:val="000000" w:themeColor="text1"/>
          <w:sz w:val="24"/>
          <w:highlight w:val="none"/>
          <w:lang w:val="en-US" w:eastAsia="zh-CN"/>
          <w14:textFill>
            <w14:solidFill>
              <w14:schemeClr w14:val="tx1"/>
            </w14:solidFill>
          </w14:textFill>
        </w:rPr>
        <w:t>服务活动。供应商应当对出具的意见或者报告负责。</w:t>
      </w:r>
    </w:p>
    <w:p>
      <w:pPr>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lang w:val="en-US" w:eastAsia="zh-CN"/>
          <w14:textFill>
            <w14:solidFill>
              <w14:schemeClr w14:val="tx1"/>
            </w14:solidFill>
          </w14:textFill>
        </w:rPr>
        <w:t>（2）技术负责人</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技术负责人应当对本单位的消防审验技术服务实施质量监督管理，对出具的意见或者报告进行技术审核</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项目负责人</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highlight w:val="none"/>
          <w14:textFill>
            <w14:solidFill>
              <w14:schemeClr w14:val="tx1"/>
            </w14:solidFill>
          </w14:textFill>
        </w:rPr>
        <w:t>应明确项目负责人，项目负责人应当具有5年及以上消防技术服务从业经验</w:t>
      </w:r>
      <w:r>
        <w:rPr>
          <w:rFonts w:hint="eastAsia" w:ascii="宋体" w:hAnsi="宋体" w:cs="宋体"/>
          <w:color w:val="000000" w:themeColor="text1"/>
          <w:sz w:val="24"/>
          <w:highlight w:val="none"/>
          <w:lang w:val="en-US" w:eastAsia="zh-CN"/>
          <w14:textFill>
            <w14:solidFill>
              <w14:schemeClr w14:val="tx1"/>
            </w14:solidFill>
          </w14:textFill>
        </w:rPr>
        <w:t>并具有高级工程师及以上职称</w:t>
      </w:r>
      <w:r>
        <w:rPr>
          <w:rFonts w:hint="eastAsia" w:ascii="宋体" w:hAnsi="宋体" w:eastAsia="宋体" w:cs="宋体"/>
          <w:color w:val="000000" w:themeColor="text1"/>
          <w:sz w:val="24"/>
          <w:highlight w:val="none"/>
          <w14:textFill>
            <w14:solidFill>
              <w14:schemeClr w14:val="tx1"/>
            </w14:solidFill>
          </w14:textFill>
        </w:rPr>
        <w:t>，近5年内未因违反工程建设法律法规和强制性标准受到行政处罚。</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4</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签章要求</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供应商出具的意见或者报告应当由本单位技术负责人、项目负责人签名并加盖执业印章，同时加盖单位印章。</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单位行为规范</w:t>
      </w:r>
    </w:p>
    <w:p>
      <w:pPr>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供应商在</w:t>
      </w:r>
      <w:r>
        <w:rPr>
          <w:rFonts w:hint="eastAsia" w:ascii="宋体" w:hAnsi="宋体" w:eastAsia="宋体" w:cs="宋体"/>
          <w:color w:val="000000" w:themeColor="text1"/>
          <w:sz w:val="24"/>
          <w:highlight w:val="none"/>
          <w:lang w:val="en-US" w:eastAsia="zh-CN"/>
          <w14:textFill>
            <w14:solidFill>
              <w14:schemeClr w14:val="tx1"/>
            </w14:solidFill>
          </w14:textFill>
        </w:rPr>
        <w:t>履行合同义务中，应当履行下列责任和义务</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①不得出具虚假、失真的意见或者报告；</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②依照有关法律、法规和国家工程建设消防技术标准开展服务活动；</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③指派满足项目需要、具备相应资格的从业人员从事服务活动；</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④独立完成承接业务，不得转包，或者冒用其他单位名义从事消防审验技术服务活动；</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⑤配备仪器、设备、设施应当符合有关标准、规定、计量认证要求；</w:t>
      </w:r>
    </w:p>
    <w:p>
      <w:pPr>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⑥</w:t>
      </w:r>
      <w:r>
        <w:rPr>
          <w:rFonts w:hint="eastAsia" w:ascii="宋体" w:hAnsi="宋体" w:eastAsia="宋体" w:cs="宋体"/>
          <w:color w:val="000000" w:themeColor="text1"/>
          <w:sz w:val="24"/>
          <w:highlight w:val="none"/>
          <w:lang w:val="en-US" w:eastAsia="zh-CN"/>
          <w14:textFill>
            <w14:solidFill>
              <w14:schemeClr w14:val="tx1"/>
            </w14:solidFill>
          </w14:textFill>
        </w:rPr>
        <w:t>服务活动全过程记录，客观、真实、完整记录服务活动数据，做到全过程可追溯。对于试验、测量、测试等现场技术服务活动，应当全过程视频记录。</w:t>
      </w:r>
    </w:p>
    <w:p>
      <w:pPr>
        <w:spacing w:line="360" w:lineRule="auto"/>
        <w:ind w:firstLine="480"/>
        <w:jc w:val="left"/>
        <w:rPr>
          <w:rFonts w:hint="eastAsia" w:ascii="宋体" w:hAnsi="宋体" w:eastAsia="宋体" w:cs="宋体"/>
          <w:b/>
          <w:bCs/>
          <w:color w:val="000000" w:themeColor="text1"/>
          <w:sz w:val="24"/>
          <w:highlight w:val="none"/>
          <w:lang w:val="en-US"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6</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b/>
          <w:bCs/>
          <w:color w:val="000000" w:themeColor="text1"/>
          <w:sz w:val="24"/>
          <w:highlight w:val="none"/>
          <w:lang w:val="en-US" w:eastAsia="zh-CN"/>
          <w14:textFill>
            <w14:solidFill>
              <w14:schemeClr w14:val="tx1"/>
            </w14:solidFill>
          </w14:textFill>
        </w:rPr>
        <w:t>服务人员行为规范</w:t>
      </w:r>
    </w:p>
    <w:p>
      <w:pPr>
        <w:spacing w:line="360" w:lineRule="auto"/>
        <w:ind w:firstLine="480"/>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供应商在</w:t>
      </w:r>
      <w:r>
        <w:rPr>
          <w:rFonts w:hint="eastAsia" w:ascii="宋体" w:hAnsi="宋体" w:eastAsia="宋体" w:cs="宋体"/>
          <w:color w:val="000000" w:themeColor="text1"/>
          <w:sz w:val="24"/>
          <w:highlight w:val="none"/>
          <w:lang w:val="en-US" w:eastAsia="zh-CN"/>
          <w14:textFill>
            <w14:solidFill>
              <w14:schemeClr w14:val="tx1"/>
            </w14:solidFill>
          </w14:textFill>
        </w:rPr>
        <w:t>履行合同义务中，服务人员应当履行下列责任和义务：</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①依照有关法律、法规和国家工程建设消防技术标准开展服务活动；</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②不得同时受聘于两个或两个以上消防审验技术服务单位；</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③服务人员从事消防审验技术服务活动应当具备相应的资格或者职称；</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④不得冒用其他从业人员名义从事消防审验技术服务活动；</w:t>
      </w:r>
    </w:p>
    <w:p>
      <w:pPr>
        <w:spacing w:line="360" w:lineRule="auto"/>
        <w:ind w:firstLine="48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⑤提供现场评定、消防</w:t>
      </w:r>
      <w:r>
        <w:rPr>
          <w:rFonts w:hint="eastAsia" w:ascii="宋体" w:hAnsi="宋体" w:cs="宋体"/>
          <w:color w:val="000000" w:themeColor="text1"/>
          <w:sz w:val="24"/>
          <w:highlight w:val="none"/>
          <w:lang w:val="en-US" w:eastAsia="zh-CN"/>
          <w14:textFill>
            <w14:solidFill>
              <w14:schemeClr w14:val="tx1"/>
            </w14:solidFill>
          </w14:textFill>
        </w:rPr>
        <w:t>建设</w:t>
      </w:r>
      <w:r>
        <w:rPr>
          <w:rFonts w:hint="eastAsia" w:ascii="宋体" w:hAnsi="宋体" w:eastAsia="宋体" w:cs="宋体"/>
          <w:color w:val="000000" w:themeColor="text1"/>
          <w:sz w:val="24"/>
          <w:highlight w:val="none"/>
          <w:lang w:val="en-US" w:eastAsia="zh-CN"/>
          <w14:textFill>
            <w14:solidFill>
              <w14:schemeClr w14:val="tx1"/>
            </w14:solidFill>
          </w14:textFill>
        </w:rPr>
        <w:t>过程</w:t>
      </w:r>
      <w:r>
        <w:rPr>
          <w:rFonts w:hint="eastAsia" w:ascii="宋体" w:hAnsi="宋体" w:cs="宋体"/>
          <w:color w:val="000000" w:themeColor="text1"/>
          <w:sz w:val="24"/>
          <w:highlight w:val="none"/>
          <w:lang w:val="en-US" w:eastAsia="zh-CN"/>
          <w14:textFill>
            <w14:solidFill>
              <w14:schemeClr w14:val="tx1"/>
            </w14:solidFill>
          </w14:textFill>
        </w:rPr>
        <w:t>服务</w:t>
      </w:r>
      <w:r>
        <w:rPr>
          <w:rFonts w:hint="eastAsia" w:ascii="宋体" w:hAnsi="宋体" w:eastAsia="宋体" w:cs="宋体"/>
          <w:color w:val="000000" w:themeColor="text1"/>
          <w:sz w:val="24"/>
          <w:highlight w:val="none"/>
          <w:lang w:val="en-US" w:eastAsia="zh-CN"/>
          <w14:textFill>
            <w14:solidFill>
              <w14:schemeClr w14:val="tx1"/>
            </w14:solidFill>
          </w14:textFill>
        </w:rPr>
        <w:t>等的项目负责人应当到现场实际地点开展工作；</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3.成果</w:t>
      </w:r>
      <w:r>
        <w:rPr>
          <w:rFonts w:hint="eastAsia" w:ascii="宋体" w:hAnsi="宋体" w:eastAsia="宋体" w:cs="宋体"/>
          <w:b/>
          <w:bCs/>
          <w:color w:val="000000" w:themeColor="text1"/>
          <w:sz w:val="24"/>
          <w:highlight w:val="none"/>
          <w14:textFill>
            <w14:solidFill>
              <w14:schemeClr w14:val="tx1"/>
            </w14:solidFill>
          </w14:textFill>
        </w:rPr>
        <w:t>质量要求</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严格依据建设工程法律法规、国家工程建设消防技术标准、《建设工程消防设计审查验收管理暂行规定》（住建部令第51号）和国家、省、市有关规定、实施细则和技术导则等要求、涉及消防的建设工程竣工图纸等提供服务，开展建设过程服务、现场评定服务、档案整理服务等，现场评定意见或报告应及时反馈，结论应清晰、明确，并对提供的意见或报告负责，提供的意见或报告须技术负责人、项目负责人签字，供应商盖章确认（若存在分包，分包部分需供应商及分包单位同时盖章确认）。</w:t>
      </w:r>
    </w:p>
    <w:p>
      <w:pPr>
        <w:spacing w:line="360" w:lineRule="auto"/>
        <w:ind w:firstLine="241" w:firstLineChars="100"/>
        <w:jc w:val="left"/>
        <w:rPr>
          <w:rFonts w:hint="default" w:ascii="宋体" w:hAnsi="宋体" w:eastAsia="宋体" w:cs="宋体"/>
          <w:b/>
          <w:bCs/>
          <w:color w:val="000000" w:themeColor="text1"/>
          <w:sz w:val="24"/>
          <w:highlight w:val="none"/>
          <w:lang w:val="en-US"/>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&lt;</w:t>
      </w:r>
      <w:r>
        <w:rPr>
          <w:rFonts w:hint="eastAsia" w:ascii="宋体" w:hAnsi="宋体" w:cs="宋体"/>
          <w:b/>
          <w:bCs/>
          <w:color w:val="000000" w:themeColor="text1"/>
          <w:sz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highlight w:val="none"/>
          <w14:textFill>
            <w14:solidFill>
              <w14:schemeClr w14:val="tx1"/>
            </w14:solidFill>
          </w14:textFill>
        </w:rPr>
        <w:t>&gt;</w:t>
      </w:r>
      <w:r>
        <w:rPr>
          <w:rFonts w:hint="eastAsia" w:ascii="宋体" w:hAnsi="宋体" w:cs="宋体"/>
          <w:b/>
          <w:bCs/>
          <w:color w:val="000000" w:themeColor="text1"/>
          <w:sz w:val="24"/>
          <w:highlight w:val="none"/>
          <w:lang w:val="en-US" w:eastAsia="zh-CN"/>
          <w14:textFill>
            <w14:solidFill>
              <w14:schemeClr w14:val="tx1"/>
            </w14:solidFill>
          </w14:textFill>
        </w:rPr>
        <w:t>其他</w:t>
      </w:r>
      <w:r>
        <w:rPr>
          <w:rFonts w:hint="eastAsia" w:ascii="宋体" w:hAnsi="宋体" w:eastAsia="宋体" w:cs="宋体"/>
          <w:b/>
          <w:bCs/>
          <w:color w:val="000000" w:themeColor="text1"/>
          <w:sz w:val="24"/>
          <w:highlight w:val="none"/>
          <w:lang w:val="en-US" w:eastAsia="zh-CN"/>
          <w14:textFill>
            <w14:solidFill>
              <w14:schemeClr w14:val="tx1"/>
            </w14:solidFill>
          </w14:textFill>
        </w:rPr>
        <w:t>要求</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采购人对中标供应商验收合格的项目有权进行复验，如出现复验一次性不通过的，取消该项目服务费用，三次不通过的，采购人有权提前终止合同，并上报相关主管部门将其列入黑名单。</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中标供应商接到任务单后应按采购人要求的期限内完成验收工作，中标供应商现场验收时采购人将派代表进行现场监督。</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部分项目由采购人自行验收，如遇部分项目外围需要由中标供应商配合测量相关数据的，中标供应商应无偿配合。</w:t>
      </w:r>
    </w:p>
    <w:p>
      <w:pPr>
        <w:spacing w:line="360" w:lineRule="auto"/>
        <w:ind w:firstLine="241" w:firstLineChars="10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&lt;</w:t>
      </w:r>
      <w:r>
        <w:rPr>
          <w:rFonts w:hint="eastAsia" w:ascii="宋体" w:hAnsi="宋体" w:cs="宋体"/>
          <w:b/>
          <w:bCs/>
          <w:color w:val="000000" w:themeColor="text1"/>
          <w:sz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highlight w:val="none"/>
          <w14:textFill>
            <w14:solidFill>
              <w14:schemeClr w14:val="tx1"/>
            </w14:solidFill>
          </w14:textFill>
        </w:rPr>
        <w:t>&gt;商务要求</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eastAsia="宋体" w:cs="宋体"/>
          <w:b/>
          <w:bCs/>
          <w:color w:val="000000" w:themeColor="text1"/>
          <w:sz w:val="24"/>
          <w:highlight w:val="none"/>
          <w:lang w:val="en-US" w:eastAsia="zh-CN"/>
          <w14:textFill>
            <w14:solidFill>
              <w14:schemeClr w14:val="tx1"/>
            </w14:solidFill>
          </w14:textFill>
        </w:rPr>
        <w:t>总体要求</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必须符合</w:t>
      </w:r>
      <w:r>
        <w:rPr>
          <w:rFonts w:hint="eastAsia" w:ascii="宋体" w:hAnsi="宋体" w:eastAsia="宋体" w:cs="宋体"/>
          <w:color w:val="000000" w:themeColor="text1"/>
          <w:sz w:val="24"/>
          <w:highlight w:val="none"/>
          <w:lang w:val="en-US" w:eastAsia="zh-CN"/>
          <w14:textFill>
            <w14:solidFill>
              <w14:schemeClr w14:val="tx1"/>
            </w14:solidFill>
          </w14:textFill>
        </w:rPr>
        <w:t>招标</w:t>
      </w:r>
      <w:r>
        <w:rPr>
          <w:rFonts w:hint="eastAsia" w:ascii="宋体" w:hAnsi="宋体" w:eastAsia="宋体" w:cs="宋体"/>
          <w:color w:val="000000" w:themeColor="text1"/>
          <w:sz w:val="24"/>
          <w:highlight w:val="none"/>
          <w14:textFill>
            <w14:solidFill>
              <w14:schemeClr w14:val="tx1"/>
            </w14:solidFill>
          </w14:textFill>
        </w:rPr>
        <w:t>文件(包括补充更正，如有)的服务要求，符合国家相关服务标准和招标文件规定标准。</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w:t>
      </w:r>
      <w:r>
        <w:rPr>
          <w:rFonts w:hint="eastAsia" w:ascii="宋体" w:hAnsi="宋体" w:eastAsia="宋体" w:cs="宋体"/>
          <w:b/>
          <w:bCs/>
          <w:color w:val="000000" w:themeColor="text1"/>
          <w:sz w:val="24"/>
          <w:highlight w:val="none"/>
          <w:lang w:val="en-US" w:eastAsia="zh-CN"/>
          <w14:textFill>
            <w14:solidFill>
              <w14:schemeClr w14:val="tx1"/>
            </w14:solidFill>
          </w14:textFill>
        </w:rPr>
        <w:t>付款方式</w:t>
      </w:r>
      <w:r>
        <w:rPr>
          <w:rFonts w:hint="eastAsia" w:ascii="宋体" w:hAnsi="宋体" w:eastAsia="宋体" w:cs="宋体"/>
          <w:b/>
          <w:bCs/>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按财务结算要求，通过银行划帐方式结算。</w:t>
      </w:r>
    </w:p>
    <w:p>
      <w:pPr>
        <w:spacing w:line="360" w:lineRule="auto"/>
        <w:ind w:firstLine="480"/>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3.服务期限</w:t>
      </w:r>
      <w:r>
        <w:rPr>
          <w:rFonts w:hint="eastAsia" w:ascii="宋体" w:hAnsi="宋体" w:eastAsia="宋体" w:cs="宋体"/>
          <w:b/>
          <w:bCs/>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lang w:eastAsia="zh-CN"/>
          <w14:textFill>
            <w14:solidFill>
              <w14:schemeClr w14:val="tx1"/>
            </w14:solidFill>
          </w14:textFill>
        </w:rPr>
        <w:t>2023</w:t>
      </w:r>
      <w:r>
        <w:rPr>
          <w:rFonts w:hint="eastAsia" w:ascii="宋体" w:hAnsi="宋体" w:cs="宋体"/>
          <w:color w:val="000000" w:themeColor="text1"/>
          <w:sz w:val="24"/>
          <w:highlight w:val="none"/>
          <w:lang w:val="en-US" w:eastAsia="zh-CN"/>
          <w14:textFill>
            <w14:solidFill>
              <w14:schemeClr w14:val="tx1"/>
            </w14:solidFill>
          </w14:textFill>
        </w:rPr>
        <w:t>年</w:t>
      </w:r>
      <w:r>
        <w:rPr>
          <w:rFonts w:hint="eastAsia" w:ascii="宋体" w:hAnsi="宋体" w:eastAsia="宋体" w:cs="宋体"/>
          <w:color w:val="000000" w:themeColor="text1"/>
          <w:sz w:val="24"/>
          <w:highlight w:val="none"/>
          <w:lang w:eastAsia="zh-CN"/>
          <w14:textFill>
            <w14:solidFill>
              <w14:schemeClr w14:val="tx1"/>
            </w14:solidFill>
          </w14:textFill>
        </w:rPr>
        <w:t>6</w:t>
      </w:r>
      <w:r>
        <w:rPr>
          <w:rFonts w:hint="eastAsia" w:ascii="宋体" w:hAnsi="宋体" w:cs="宋体"/>
          <w:color w:val="000000" w:themeColor="text1"/>
          <w:sz w:val="24"/>
          <w:highlight w:val="none"/>
          <w:lang w:val="en-US" w:eastAsia="zh-CN"/>
          <w14:textFill>
            <w14:solidFill>
              <w14:schemeClr w14:val="tx1"/>
            </w14:solidFill>
          </w14:textFill>
        </w:rPr>
        <w:t>月</w:t>
      </w:r>
      <w:r>
        <w:rPr>
          <w:rFonts w:hint="eastAsia" w:ascii="宋体" w:hAnsi="宋体" w:eastAsia="宋体" w:cs="宋体"/>
          <w:color w:val="000000" w:themeColor="text1"/>
          <w:sz w:val="24"/>
          <w:highlight w:val="none"/>
          <w:lang w:eastAsia="zh-CN"/>
          <w14:textFill>
            <w14:solidFill>
              <w14:schemeClr w14:val="tx1"/>
            </w14:solidFill>
          </w14:textFill>
        </w:rPr>
        <w:t>21</w:t>
      </w:r>
      <w:r>
        <w:rPr>
          <w:rFonts w:hint="eastAsia" w:ascii="宋体" w:hAnsi="宋体" w:cs="宋体"/>
          <w:color w:val="000000" w:themeColor="text1"/>
          <w:sz w:val="24"/>
          <w:highlight w:val="none"/>
          <w:lang w:val="en-US" w:eastAsia="zh-CN"/>
          <w14:textFill>
            <w14:solidFill>
              <w14:schemeClr w14:val="tx1"/>
            </w14:solidFill>
          </w14:textFill>
        </w:rPr>
        <w:t>日至</w:t>
      </w:r>
      <w:r>
        <w:rPr>
          <w:rFonts w:hint="eastAsia" w:ascii="宋体" w:hAnsi="宋体" w:eastAsia="宋体" w:cs="宋体"/>
          <w:color w:val="000000" w:themeColor="text1"/>
          <w:sz w:val="24"/>
          <w:highlight w:val="none"/>
          <w:lang w:eastAsia="zh-CN"/>
          <w14:textFill>
            <w14:solidFill>
              <w14:schemeClr w14:val="tx1"/>
            </w14:solidFill>
          </w14:textFill>
        </w:rPr>
        <w:t>2024</w:t>
      </w:r>
      <w:r>
        <w:rPr>
          <w:rFonts w:hint="eastAsia" w:ascii="宋体" w:hAnsi="宋体" w:cs="宋体"/>
          <w:color w:val="000000" w:themeColor="text1"/>
          <w:sz w:val="24"/>
          <w:highlight w:val="none"/>
          <w:lang w:val="en-US" w:eastAsia="zh-CN"/>
          <w14:textFill>
            <w14:solidFill>
              <w14:schemeClr w14:val="tx1"/>
            </w14:solidFill>
          </w14:textFill>
        </w:rPr>
        <w:t>年</w:t>
      </w:r>
      <w:r>
        <w:rPr>
          <w:rFonts w:hint="eastAsia" w:ascii="宋体" w:hAnsi="宋体" w:eastAsia="宋体" w:cs="宋体"/>
          <w:color w:val="000000" w:themeColor="text1"/>
          <w:sz w:val="24"/>
          <w:highlight w:val="none"/>
          <w:lang w:eastAsia="zh-CN"/>
          <w14:textFill>
            <w14:solidFill>
              <w14:schemeClr w14:val="tx1"/>
            </w14:solidFill>
          </w14:textFill>
        </w:rPr>
        <w:t>6</w:t>
      </w:r>
      <w:r>
        <w:rPr>
          <w:rFonts w:hint="eastAsia" w:ascii="宋体" w:hAnsi="宋体" w:cs="宋体"/>
          <w:color w:val="000000" w:themeColor="text1"/>
          <w:sz w:val="24"/>
          <w:highlight w:val="none"/>
          <w:lang w:val="en-US" w:eastAsia="zh-CN"/>
          <w14:textFill>
            <w14:solidFill>
              <w14:schemeClr w14:val="tx1"/>
            </w14:solidFill>
          </w14:textFill>
        </w:rPr>
        <w:t>月</w:t>
      </w:r>
      <w:r>
        <w:rPr>
          <w:rFonts w:hint="eastAsia" w:ascii="宋体" w:hAnsi="宋体" w:eastAsia="宋体" w:cs="宋体"/>
          <w:color w:val="000000" w:themeColor="text1"/>
          <w:sz w:val="24"/>
          <w:highlight w:val="none"/>
          <w:lang w:eastAsia="zh-CN"/>
          <w14:textFill>
            <w14:solidFill>
              <w14:schemeClr w14:val="tx1"/>
            </w14:solidFill>
          </w14:textFill>
        </w:rPr>
        <w:t>20</w:t>
      </w:r>
      <w:r>
        <w:rPr>
          <w:rFonts w:hint="eastAsia" w:ascii="宋体" w:hAnsi="宋体" w:cs="宋体"/>
          <w:color w:val="000000" w:themeColor="text1"/>
          <w:sz w:val="24"/>
          <w:highlight w:val="none"/>
          <w:lang w:val="en-US" w:eastAsia="zh-CN"/>
          <w14:textFill>
            <w14:solidFill>
              <w14:schemeClr w14:val="tx1"/>
            </w14:solidFill>
          </w14:textFill>
        </w:rPr>
        <w:t>日</w:t>
      </w:r>
      <w:r>
        <w:rPr>
          <w:rFonts w:hint="eastAsia" w:ascii="宋体" w:hAnsi="宋体" w:eastAsia="宋体" w:cs="宋体"/>
          <w:color w:val="000000" w:themeColor="text1"/>
          <w:sz w:val="24"/>
          <w:highlight w:val="none"/>
          <w:lang w:eastAsia="zh-CN"/>
          <w14:textFill>
            <w14:solidFill>
              <w14:schemeClr w14:val="tx1"/>
            </w14:solidFill>
          </w14:textFill>
        </w:rPr>
        <w:t>。</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4.服务要求</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（1）供应商须为本项目配备足量的人员、设备，确保按期完成工作内容，服务人员未经采购人同意不得随意变更。</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（2）供应商应向本项目提供完整的记录和相关资料，并对</w:t>
      </w:r>
      <w:r>
        <w:rPr>
          <w:rFonts w:hint="eastAsia" w:ascii="宋体" w:hAnsi="宋体" w:cs="宋体"/>
          <w:color w:val="000000" w:themeColor="text1"/>
          <w:sz w:val="24"/>
          <w:highlight w:val="none"/>
          <w:lang w:eastAsia="zh-CN"/>
          <w14:textFill>
            <w14:solidFill>
              <w14:schemeClr w14:val="tx1"/>
            </w14:solidFill>
          </w14:textFill>
        </w:rPr>
        <w:t>评定意见及报告</w:t>
      </w:r>
      <w:r>
        <w:rPr>
          <w:rFonts w:hint="eastAsia" w:ascii="宋体" w:hAnsi="宋体" w:eastAsia="宋体" w:cs="宋体"/>
          <w:color w:val="000000" w:themeColor="text1"/>
          <w:sz w:val="24"/>
          <w:highlight w:val="none"/>
          <w14:textFill>
            <w14:solidFill>
              <w14:schemeClr w14:val="tx1"/>
            </w14:solidFill>
          </w14:textFill>
        </w:rPr>
        <w:t>的真实性和有效性和时效性负责。</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（3）供应商</w:t>
      </w:r>
      <w:r>
        <w:rPr>
          <w:rFonts w:hint="eastAsia" w:ascii="宋体" w:hAnsi="宋体" w:cs="宋体"/>
          <w:color w:val="000000" w:themeColor="text1"/>
          <w:sz w:val="24"/>
          <w:highlight w:val="none"/>
          <w:lang w:val="en-US" w:eastAsia="zh-CN"/>
          <w14:textFill>
            <w14:solidFill>
              <w14:schemeClr w14:val="tx1"/>
            </w14:solidFill>
          </w14:textFill>
        </w:rPr>
        <w:t>履行合同义务期间</w:t>
      </w:r>
      <w:r>
        <w:rPr>
          <w:rFonts w:hint="eastAsia" w:ascii="宋体" w:hAnsi="宋体" w:eastAsia="宋体" w:cs="宋体"/>
          <w:color w:val="000000" w:themeColor="text1"/>
          <w:sz w:val="24"/>
          <w:highlight w:val="none"/>
          <w14:textFill>
            <w14:solidFill>
              <w14:schemeClr w14:val="tx1"/>
            </w14:solidFill>
          </w14:textFill>
        </w:rPr>
        <w:t>，必须遵守项目业主或</w:t>
      </w:r>
      <w:r>
        <w:rPr>
          <w:rFonts w:hint="eastAsia" w:ascii="宋体" w:hAnsi="宋体" w:cs="宋体"/>
          <w:color w:val="000000" w:themeColor="text1"/>
          <w:sz w:val="24"/>
          <w:highlight w:val="none"/>
          <w:lang w:val="en-US" w:eastAsia="zh-CN"/>
          <w14:textFill>
            <w14:solidFill>
              <w14:schemeClr w14:val="tx1"/>
            </w14:solidFill>
          </w14:textFill>
        </w:rPr>
        <w:t>采购</w:t>
      </w:r>
      <w:r>
        <w:rPr>
          <w:rFonts w:hint="eastAsia" w:ascii="宋体" w:hAnsi="宋体" w:eastAsia="宋体" w:cs="宋体"/>
          <w:color w:val="000000" w:themeColor="text1"/>
          <w:sz w:val="24"/>
          <w:highlight w:val="none"/>
          <w14:textFill>
            <w14:solidFill>
              <w14:schemeClr w14:val="tx1"/>
            </w14:solidFill>
          </w14:textFill>
        </w:rPr>
        <w:t>人的各项规定。</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（4）供应商在为本项目服务期间，须与项目业主或</w:t>
      </w:r>
      <w:r>
        <w:rPr>
          <w:rFonts w:hint="eastAsia" w:ascii="宋体" w:hAnsi="宋体" w:cs="宋体"/>
          <w:color w:val="000000" w:themeColor="text1"/>
          <w:sz w:val="24"/>
          <w:highlight w:val="none"/>
          <w:lang w:val="en-US" w:eastAsia="zh-CN"/>
          <w14:textFill>
            <w14:solidFill>
              <w14:schemeClr w14:val="tx1"/>
            </w14:solidFill>
          </w14:textFill>
        </w:rPr>
        <w:t>采购</w:t>
      </w:r>
      <w:r>
        <w:rPr>
          <w:rFonts w:hint="eastAsia" w:ascii="宋体" w:hAnsi="宋体" w:eastAsia="宋体" w:cs="宋体"/>
          <w:color w:val="000000" w:themeColor="text1"/>
          <w:sz w:val="24"/>
          <w:highlight w:val="none"/>
          <w14:textFill>
            <w14:solidFill>
              <w14:schemeClr w14:val="tx1"/>
            </w14:solidFill>
          </w14:textFill>
        </w:rPr>
        <w:t>人做好沟通、协调、配合工作。</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（5）供应商应按要求记录现场评定（包含功能测试）的相关情况，判断建设工程消防安全状况，并出具消防</w:t>
      </w:r>
      <w:r>
        <w:rPr>
          <w:rFonts w:hint="eastAsia" w:ascii="宋体" w:hAnsi="宋体" w:cs="宋体"/>
          <w:color w:val="000000" w:themeColor="text1"/>
          <w:sz w:val="24"/>
          <w:highlight w:val="none"/>
          <w:lang w:eastAsia="zh-CN"/>
          <w14:textFill>
            <w14:solidFill>
              <w14:schemeClr w14:val="tx1"/>
            </w14:solidFill>
          </w14:textFill>
        </w:rPr>
        <w:t>验收现场评定</w:t>
      </w:r>
      <w:r>
        <w:rPr>
          <w:rFonts w:hint="eastAsia" w:ascii="宋体" w:hAnsi="宋体" w:eastAsia="宋体" w:cs="宋体"/>
          <w:color w:val="000000" w:themeColor="text1"/>
          <w:sz w:val="24"/>
          <w:highlight w:val="none"/>
          <w14:textFill>
            <w14:solidFill>
              <w14:schemeClr w14:val="tx1"/>
            </w14:solidFill>
          </w14:textFill>
        </w:rPr>
        <w:t>意见</w:t>
      </w:r>
      <w:r>
        <w:rPr>
          <w:rFonts w:hint="eastAsia" w:ascii="宋体" w:hAnsi="宋体" w:cs="宋体"/>
          <w:color w:val="000000" w:themeColor="text1"/>
          <w:sz w:val="24"/>
          <w:highlight w:val="none"/>
          <w:lang w:eastAsia="zh-CN"/>
          <w14:textFill>
            <w14:solidFill>
              <w14:schemeClr w14:val="tx1"/>
            </w14:solidFill>
          </w14:textFill>
        </w:rPr>
        <w:t>及报告</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highlight w:val="none"/>
          <w14:textFill>
            <w14:solidFill>
              <w14:schemeClr w14:val="tx1"/>
            </w14:solidFill>
          </w14:textFill>
        </w:rPr>
        <w:t>.项目款的结算</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采购单位根据合同、投标文件等资料进行验收。</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合同生效以及具备实施条件后5个工作日内由采购人向供应商支付消防验收服务中标单价*预估服务工作量（消防验收服务60万平方米）*50%的预付款；</w:t>
      </w:r>
      <w:r>
        <w:rPr>
          <w:rFonts w:hint="eastAsia" w:ascii="宋体" w:hAnsi="宋体" w:eastAsia="宋体" w:cs="宋体"/>
          <w:color w:val="000000" w:themeColor="text1"/>
          <w:sz w:val="24"/>
          <w:highlight w:val="none"/>
          <w:lang w:val="en-US" w:eastAsia="zh-CN"/>
          <w14:textFill>
            <w14:solidFill>
              <w14:schemeClr w14:val="tx1"/>
            </w14:solidFill>
          </w14:textFill>
        </w:rPr>
        <w:t>服务期满</w:t>
      </w:r>
      <w:r>
        <w:rPr>
          <w:rFonts w:hint="eastAsia" w:ascii="宋体" w:hAnsi="宋体" w:cs="宋体"/>
          <w:color w:val="000000" w:themeColor="text1"/>
          <w:sz w:val="24"/>
          <w:highlight w:val="none"/>
          <w:lang w:val="en-US" w:eastAsia="zh-CN"/>
          <w14:textFill>
            <w14:solidFill>
              <w14:schemeClr w14:val="tx1"/>
            </w14:solidFill>
          </w14:textFill>
        </w:rPr>
        <w:t>且验收通过</w:t>
      </w:r>
      <w:r>
        <w:rPr>
          <w:rFonts w:hint="eastAsia" w:ascii="宋体" w:hAnsi="宋体" w:eastAsia="宋体" w:cs="宋体"/>
          <w:color w:val="000000" w:themeColor="text1"/>
          <w:sz w:val="24"/>
          <w:highlight w:val="none"/>
          <w:lang w:val="en-US" w:eastAsia="zh-CN"/>
          <w14:textFill>
            <w14:solidFill>
              <w14:schemeClr w14:val="tx1"/>
            </w14:solidFill>
          </w14:textFill>
        </w:rPr>
        <w:t>后，采购人根据中标人在此期间实际服务工作量结算并支付至结算费用的100%。结算费用=实际服务工作量*</w:t>
      </w:r>
      <w:r>
        <w:rPr>
          <w:rFonts w:hint="eastAsia" w:ascii="宋体" w:hAnsi="宋体" w:cs="宋体"/>
          <w:color w:val="000000" w:themeColor="text1"/>
          <w:sz w:val="24"/>
          <w:highlight w:val="none"/>
          <w:lang w:val="en-US" w:eastAsia="zh-CN"/>
          <w14:textFill>
            <w14:solidFill>
              <w14:schemeClr w14:val="tx1"/>
            </w14:solidFill>
          </w14:textFill>
        </w:rPr>
        <w:t>中标单价</w:t>
      </w:r>
      <w:r>
        <w:rPr>
          <w:rFonts w:hint="eastAsia" w:ascii="宋体" w:hAnsi="宋体" w:eastAsia="宋体" w:cs="宋体"/>
          <w:color w:val="000000" w:themeColor="text1"/>
          <w:sz w:val="24"/>
          <w:highlight w:val="none"/>
          <w:lang w:val="en-US" w:eastAsia="zh-CN"/>
          <w14:textFill>
            <w14:solidFill>
              <w14:schemeClr w14:val="tx1"/>
            </w14:solidFill>
          </w14:textFill>
        </w:rPr>
        <w:t>。（单个消防验收（备案）现场评定项目不足3000元的按3000元计（特殊建设工程、重点项目建设阶段服务</w:t>
      </w:r>
      <w:r>
        <w:rPr>
          <w:rFonts w:hint="eastAsia" w:ascii="宋体" w:hAnsi="宋体" w:cs="宋体"/>
          <w:color w:val="000000" w:themeColor="text1"/>
          <w:sz w:val="24"/>
          <w:highlight w:val="none"/>
          <w:lang w:val="en-US" w:eastAsia="zh-CN"/>
          <w14:textFill>
            <w14:solidFill>
              <w14:schemeClr w14:val="tx1"/>
            </w14:solidFill>
          </w14:textFill>
        </w:rPr>
        <w:t>及档案资料管理</w:t>
      </w:r>
      <w:r>
        <w:rPr>
          <w:rFonts w:hint="eastAsia" w:ascii="宋体" w:hAnsi="宋体" w:eastAsia="宋体" w:cs="宋体"/>
          <w:color w:val="000000" w:themeColor="text1"/>
          <w:sz w:val="24"/>
          <w:highlight w:val="none"/>
          <w:lang w:val="en-US" w:eastAsia="zh-CN"/>
          <w14:textFill>
            <w14:solidFill>
              <w14:schemeClr w14:val="tx1"/>
            </w14:solidFill>
          </w14:textFill>
        </w:rPr>
        <w:t>不单独计费）。合同周期内实际支付费用总额不超过预算价）。</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结算时供应商将结款申请1份、发票原件及复印件1份、合同复印件1份和经采购人验收确认的《建德市政府采购验收反馈表》（还需提供验收报告）提交采购人，采购人应自收到发票后5个工作日内支付相应款项。</w:t>
      </w:r>
    </w:p>
    <w:p>
      <w:pPr>
        <w:pStyle w:val="669"/>
        <w:ind w:firstLine="482"/>
        <w:rPr>
          <w:rFonts w:hint="eastAsia" w:ascii="宋体" w:hAnsi="宋体" w:eastAsia="宋体" w:cs="宋体"/>
          <w:b/>
          <w:bCs/>
          <w:color w:val="000000" w:themeColor="text1"/>
          <w:highlight w:val="none"/>
          <w:lang w:eastAsia="zh-CN"/>
          <w14:textFill>
            <w14:solidFill>
              <w14:schemeClr w14:val="tx1"/>
            </w14:solidFill>
          </w14:textFill>
        </w:rPr>
      </w:pPr>
      <w:r>
        <w:rPr>
          <w:rFonts w:hint="eastAsia" w:ascii="宋体" w:hAnsi="宋体" w:cs="宋体"/>
          <w:b/>
          <w:bCs/>
          <w:color w:val="000000" w:themeColor="text1"/>
          <w:highlight w:val="none"/>
          <w:lang w:val="en-US" w:eastAsia="zh-CN"/>
          <w14:textFill>
            <w14:solidFill>
              <w14:schemeClr w14:val="tx1"/>
            </w14:solidFill>
          </w14:textFill>
        </w:rPr>
        <w:t>6</w:t>
      </w:r>
      <w:r>
        <w:rPr>
          <w:rFonts w:hint="eastAsia" w:ascii="宋体" w:hAnsi="宋体" w:eastAsia="宋体" w:cs="宋体"/>
          <w:b/>
          <w:bCs/>
          <w:color w:val="000000" w:themeColor="text1"/>
          <w:highlight w:val="none"/>
          <w:lang w:val="en-US"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履约保证金</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采购人免收履约保证金</w:t>
      </w: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firstLine="480"/>
        <w:jc w:val="left"/>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6</w:t>
      </w:r>
      <w:r>
        <w:rPr>
          <w:rFonts w:hint="eastAsia" w:ascii="宋体" w:hAnsi="宋体" w:eastAsia="宋体" w:cs="宋体"/>
          <w:b/>
          <w:bCs/>
          <w:color w:val="000000" w:themeColor="text1"/>
          <w:sz w:val="24"/>
          <w:highlight w:val="none"/>
          <w:lang w:val="en-US" w:eastAsia="zh-CN"/>
          <w14:textFill>
            <w14:solidFill>
              <w14:schemeClr w14:val="tx1"/>
            </w14:solidFill>
          </w14:textFill>
        </w:rPr>
        <w:t>.</w:t>
      </w:r>
      <w:r>
        <w:rPr>
          <w:rFonts w:hint="eastAsia" w:ascii="宋体" w:hAnsi="宋体" w:eastAsia="宋体" w:cs="宋体"/>
          <w:b/>
          <w:bCs/>
          <w:color w:val="000000" w:themeColor="text1"/>
          <w:sz w:val="24"/>
          <w:highlight w:val="none"/>
          <w14:textFill>
            <w14:solidFill>
              <w14:schemeClr w14:val="tx1"/>
            </w14:solidFill>
          </w14:textFill>
        </w:rPr>
        <w:t>验收：</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（1）采购人负责对中标人的履约行为进行验收，验收符合相关政策法规和地方标准。</w:t>
      </w:r>
    </w:p>
    <w:p>
      <w:pPr>
        <w:spacing w:line="360" w:lineRule="auto"/>
        <w:ind w:firstLine="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（2）检验和验收标准、程序等具体内容：通过采购</w:t>
      </w:r>
      <w:r>
        <w:rPr>
          <w:rFonts w:hint="eastAsia" w:ascii="宋体" w:hAnsi="宋体" w:eastAsia="宋体" w:cs="宋体"/>
          <w:color w:val="000000" w:themeColor="text1"/>
          <w:sz w:val="24"/>
          <w:highlight w:val="none"/>
          <w:lang w:val="en-US" w:eastAsia="zh-CN"/>
          <w14:textFill>
            <w14:solidFill>
              <w14:schemeClr w14:val="tx1"/>
            </w14:solidFill>
          </w14:textFill>
        </w:rPr>
        <w:t>人</w:t>
      </w:r>
      <w:r>
        <w:rPr>
          <w:rFonts w:hint="eastAsia" w:ascii="宋体" w:hAnsi="宋体" w:eastAsia="宋体" w:cs="宋体"/>
          <w:color w:val="000000" w:themeColor="text1"/>
          <w:sz w:val="24"/>
          <w:highlight w:val="none"/>
          <w14:textFill>
            <w14:solidFill>
              <w14:schemeClr w14:val="tx1"/>
            </w14:solidFill>
          </w14:textFill>
        </w:rPr>
        <w:t>组织的评审。</w:t>
      </w:r>
    </w:p>
    <w:p>
      <w:pPr>
        <w:adjustRightInd/>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（3）验收费用由供应商承担。</w:t>
      </w: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28" w:name="_Toc184308080"/>
      <w:bookmarkEnd w:id="28"/>
      <w:bookmarkStart w:id="29" w:name="_Toc184314481"/>
      <w:bookmarkEnd w:id="29"/>
      <w:bookmarkStart w:id="30" w:name="_Toc184310310"/>
      <w:bookmarkEnd w:id="30"/>
      <w:bookmarkStart w:id="31" w:name="_Toc184313253"/>
      <w:bookmarkEnd w:id="31"/>
      <w:bookmarkStart w:id="32" w:name="_Toc184312100"/>
      <w:bookmarkEnd w:id="32"/>
      <w:bookmarkStart w:id="33" w:name="_Toc184314414"/>
      <w:bookmarkEnd w:id="33"/>
      <w:bookmarkStart w:id="34" w:name="_Toc184310322"/>
      <w:bookmarkEnd w:id="34"/>
      <w:bookmarkStart w:id="35" w:name="_Toc184310329"/>
      <w:bookmarkEnd w:id="35"/>
      <w:bookmarkStart w:id="36" w:name="_Toc184312103"/>
      <w:bookmarkEnd w:id="36"/>
      <w:bookmarkStart w:id="37" w:name="_Toc184310279"/>
      <w:bookmarkEnd w:id="37"/>
      <w:bookmarkStart w:id="38" w:name="_Toc184312114"/>
      <w:bookmarkEnd w:id="38"/>
      <w:bookmarkStart w:id="39" w:name="_Toc184310292"/>
      <w:bookmarkEnd w:id="39"/>
      <w:bookmarkStart w:id="40" w:name="_Toc184308048"/>
      <w:bookmarkEnd w:id="40"/>
      <w:bookmarkStart w:id="41" w:name="_Toc184310331"/>
      <w:bookmarkEnd w:id="41"/>
      <w:bookmarkStart w:id="42" w:name="_Toc184313302"/>
      <w:bookmarkEnd w:id="42"/>
      <w:bookmarkStart w:id="43" w:name="_Toc184312093"/>
      <w:bookmarkEnd w:id="43"/>
      <w:bookmarkStart w:id="44" w:name="_Toc184308066"/>
      <w:bookmarkEnd w:id="44"/>
      <w:bookmarkStart w:id="45" w:name="_Toc184314415"/>
      <w:bookmarkEnd w:id="45"/>
      <w:bookmarkStart w:id="46" w:name="_Toc184310307"/>
      <w:bookmarkEnd w:id="46"/>
      <w:bookmarkStart w:id="47" w:name="_Toc184314436"/>
      <w:bookmarkEnd w:id="47"/>
      <w:bookmarkStart w:id="48" w:name="_Toc184308104"/>
      <w:bookmarkEnd w:id="48"/>
      <w:bookmarkStart w:id="49" w:name="_Toc184312106"/>
      <w:bookmarkEnd w:id="49"/>
      <w:bookmarkStart w:id="50" w:name="_Toc184314480"/>
      <w:bookmarkEnd w:id="50"/>
      <w:bookmarkStart w:id="51" w:name="_Toc184312089"/>
      <w:bookmarkEnd w:id="51"/>
      <w:bookmarkStart w:id="52" w:name="_Toc184310334"/>
      <w:bookmarkEnd w:id="52"/>
      <w:bookmarkStart w:id="53" w:name="_Toc184310282"/>
      <w:bookmarkEnd w:id="53"/>
      <w:bookmarkStart w:id="54" w:name="_Toc184313272"/>
      <w:bookmarkEnd w:id="54"/>
      <w:bookmarkStart w:id="55" w:name="_Toc184313305"/>
      <w:bookmarkEnd w:id="55"/>
      <w:bookmarkStart w:id="56" w:name="_Toc184313263"/>
      <w:bookmarkEnd w:id="56"/>
      <w:bookmarkStart w:id="57" w:name="_Toc184310295"/>
      <w:bookmarkEnd w:id="57"/>
      <w:bookmarkStart w:id="58" w:name="_Toc184313261"/>
      <w:bookmarkEnd w:id="58"/>
      <w:bookmarkStart w:id="59" w:name="_Toc184314452"/>
      <w:bookmarkEnd w:id="59"/>
      <w:bookmarkStart w:id="60" w:name="_Toc184308043"/>
      <w:bookmarkEnd w:id="60"/>
      <w:bookmarkStart w:id="61" w:name="_Toc184314471"/>
      <w:bookmarkEnd w:id="61"/>
      <w:bookmarkStart w:id="62" w:name="_Toc184312111"/>
      <w:bookmarkEnd w:id="62"/>
      <w:bookmarkStart w:id="63" w:name="_Toc184314460"/>
      <w:bookmarkEnd w:id="63"/>
      <w:bookmarkStart w:id="64" w:name="_Toc184312123"/>
      <w:bookmarkEnd w:id="64"/>
      <w:bookmarkStart w:id="65" w:name="_Toc184312088"/>
      <w:bookmarkEnd w:id="65"/>
      <w:bookmarkStart w:id="66" w:name="_Toc184312130"/>
      <w:bookmarkEnd w:id="66"/>
      <w:bookmarkStart w:id="67" w:name="_Toc184313264"/>
      <w:bookmarkEnd w:id="67"/>
      <w:bookmarkStart w:id="68" w:name="_Toc184308085"/>
      <w:bookmarkEnd w:id="68"/>
      <w:bookmarkStart w:id="69" w:name="_Toc184313297"/>
      <w:bookmarkEnd w:id="69"/>
      <w:bookmarkStart w:id="70" w:name="_Toc184313245"/>
      <w:bookmarkEnd w:id="70"/>
      <w:bookmarkStart w:id="71" w:name="_Toc184314424"/>
      <w:bookmarkEnd w:id="71"/>
      <w:bookmarkStart w:id="72" w:name="_Toc184312115"/>
      <w:bookmarkEnd w:id="72"/>
      <w:bookmarkStart w:id="73" w:name="_Toc184312102"/>
      <w:bookmarkEnd w:id="73"/>
      <w:bookmarkStart w:id="74" w:name="_Toc184308082"/>
      <w:bookmarkEnd w:id="74"/>
      <w:bookmarkStart w:id="75" w:name="_Toc184310327"/>
      <w:bookmarkEnd w:id="75"/>
      <w:bookmarkStart w:id="76" w:name="_Toc184314464"/>
      <w:bookmarkEnd w:id="76"/>
      <w:bookmarkStart w:id="77" w:name="_Toc184312086"/>
      <w:bookmarkEnd w:id="77"/>
      <w:bookmarkStart w:id="78" w:name="_Toc184314430"/>
      <w:bookmarkEnd w:id="78"/>
      <w:bookmarkStart w:id="79" w:name="_Toc184310290"/>
      <w:bookmarkEnd w:id="79"/>
      <w:bookmarkStart w:id="80" w:name="_Toc184314472"/>
      <w:bookmarkEnd w:id="80"/>
      <w:bookmarkStart w:id="81" w:name="_Toc184312113"/>
      <w:bookmarkEnd w:id="81"/>
      <w:bookmarkStart w:id="82" w:name="_Toc184312079"/>
      <w:bookmarkEnd w:id="82"/>
      <w:bookmarkStart w:id="83" w:name="_Toc184312070"/>
      <w:bookmarkEnd w:id="83"/>
      <w:bookmarkStart w:id="84" w:name="_Toc184308086"/>
      <w:bookmarkEnd w:id="84"/>
      <w:bookmarkStart w:id="85" w:name="_Toc184312134"/>
      <w:bookmarkEnd w:id="85"/>
      <w:bookmarkStart w:id="86" w:name="_Toc184314440"/>
      <w:bookmarkEnd w:id="86"/>
      <w:bookmarkStart w:id="87" w:name="_Toc184310343"/>
      <w:bookmarkEnd w:id="87"/>
      <w:bookmarkStart w:id="88" w:name="_Toc184312126"/>
      <w:bookmarkEnd w:id="88"/>
      <w:bookmarkStart w:id="89" w:name="_Toc184308045"/>
      <w:bookmarkEnd w:id="89"/>
      <w:bookmarkStart w:id="90" w:name="_Toc184310341"/>
      <w:bookmarkEnd w:id="90"/>
      <w:bookmarkStart w:id="91" w:name="_Toc184314423"/>
      <w:bookmarkEnd w:id="91"/>
      <w:bookmarkStart w:id="92" w:name="_Toc184313273"/>
      <w:bookmarkEnd w:id="92"/>
      <w:bookmarkStart w:id="93" w:name="_Toc184310285"/>
      <w:bookmarkEnd w:id="93"/>
      <w:bookmarkStart w:id="94" w:name="_Toc184314431"/>
      <w:bookmarkEnd w:id="94"/>
      <w:bookmarkStart w:id="95" w:name="_Toc184313275"/>
      <w:bookmarkEnd w:id="95"/>
      <w:bookmarkStart w:id="96" w:name="_Toc184313270"/>
      <w:bookmarkEnd w:id="96"/>
      <w:bookmarkStart w:id="97" w:name="_Toc184313283"/>
      <w:bookmarkEnd w:id="97"/>
      <w:bookmarkStart w:id="98" w:name="_Toc184308096"/>
      <w:bookmarkEnd w:id="98"/>
      <w:bookmarkStart w:id="99" w:name="_Toc184308097"/>
      <w:bookmarkEnd w:id="99"/>
      <w:bookmarkStart w:id="100" w:name="_Toc184312073"/>
      <w:bookmarkEnd w:id="100"/>
      <w:bookmarkStart w:id="101" w:name="_Toc184313242"/>
      <w:bookmarkEnd w:id="101"/>
      <w:bookmarkStart w:id="102" w:name="_Toc184314420"/>
      <w:bookmarkEnd w:id="102"/>
      <w:bookmarkStart w:id="103" w:name="_Toc184310330"/>
      <w:bookmarkEnd w:id="103"/>
      <w:bookmarkStart w:id="104" w:name="_Toc184308103"/>
      <w:bookmarkEnd w:id="104"/>
      <w:bookmarkStart w:id="105" w:name="_Toc184313285"/>
      <w:bookmarkEnd w:id="105"/>
      <w:bookmarkStart w:id="106" w:name="_Toc184312129"/>
      <w:bookmarkEnd w:id="106"/>
      <w:bookmarkStart w:id="107" w:name="_Toc184308107"/>
      <w:bookmarkEnd w:id="107"/>
      <w:bookmarkStart w:id="108" w:name="_Toc184308061"/>
      <w:bookmarkEnd w:id="108"/>
      <w:bookmarkStart w:id="109" w:name="_Toc184313265"/>
      <w:bookmarkEnd w:id="109"/>
      <w:bookmarkStart w:id="110" w:name="_Toc184308037"/>
      <w:bookmarkEnd w:id="110"/>
      <w:bookmarkStart w:id="111" w:name="_Toc184310287"/>
      <w:bookmarkEnd w:id="111"/>
      <w:bookmarkStart w:id="112" w:name="_Toc184310337"/>
      <w:bookmarkEnd w:id="112"/>
      <w:bookmarkStart w:id="113" w:name="_Toc184308046"/>
      <w:bookmarkEnd w:id="113"/>
      <w:bookmarkStart w:id="114" w:name="_Toc184308038"/>
      <w:bookmarkEnd w:id="114"/>
      <w:bookmarkStart w:id="115" w:name="_Toc184313278"/>
      <w:bookmarkEnd w:id="115"/>
      <w:bookmarkStart w:id="116" w:name="_Toc184308078"/>
      <w:bookmarkEnd w:id="116"/>
      <w:bookmarkStart w:id="117" w:name="_Toc184310338"/>
      <w:bookmarkEnd w:id="117"/>
      <w:bookmarkStart w:id="118" w:name="_Toc184313252"/>
      <w:bookmarkEnd w:id="118"/>
      <w:bookmarkStart w:id="119" w:name="_Toc184313276"/>
      <w:bookmarkEnd w:id="119"/>
      <w:bookmarkStart w:id="120" w:name="_Toc184313282"/>
      <w:bookmarkEnd w:id="120"/>
      <w:bookmarkStart w:id="121" w:name="_Toc184314445"/>
      <w:bookmarkEnd w:id="121"/>
      <w:bookmarkStart w:id="122" w:name="_Toc184313294"/>
      <w:bookmarkEnd w:id="122"/>
      <w:bookmarkStart w:id="123" w:name="_Toc184312132"/>
      <w:bookmarkEnd w:id="123"/>
      <w:bookmarkStart w:id="124" w:name="_Toc184310272"/>
      <w:bookmarkEnd w:id="124"/>
      <w:bookmarkStart w:id="125" w:name="_Toc184312092"/>
      <w:bookmarkEnd w:id="125"/>
      <w:bookmarkStart w:id="126" w:name="_Toc184314456"/>
      <w:bookmarkEnd w:id="126"/>
      <w:bookmarkStart w:id="127" w:name="_Toc184312118"/>
      <w:bookmarkEnd w:id="127"/>
      <w:bookmarkStart w:id="128" w:name="_Toc184308093"/>
      <w:bookmarkEnd w:id="128"/>
      <w:bookmarkStart w:id="129" w:name="_Toc184313300"/>
      <w:bookmarkEnd w:id="129"/>
      <w:bookmarkStart w:id="130" w:name="_Toc184314429"/>
      <w:bookmarkEnd w:id="130"/>
      <w:bookmarkStart w:id="131" w:name="_Toc184313240"/>
      <w:bookmarkEnd w:id="131"/>
      <w:bookmarkStart w:id="132" w:name="_Toc184308077"/>
      <w:bookmarkEnd w:id="132"/>
      <w:bookmarkStart w:id="133" w:name="_Toc184312099"/>
      <w:bookmarkEnd w:id="133"/>
      <w:bookmarkStart w:id="134" w:name="_Toc184312084"/>
      <w:bookmarkEnd w:id="134"/>
      <w:bookmarkStart w:id="135" w:name="_Toc184308055"/>
      <w:bookmarkEnd w:id="135"/>
      <w:bookmarkStart w:id="136" w:name="_Toc184312094"/>
      <w:bookmarkEnd w:id="136"/>
      <w:bookmarkStart w:id="137" w:name="_Toc184308079"/>
      <w:bookmarkEnd w:id="137"/>
      <w:bookmarkStart w:id="138" w:name="_Toc184312124"/>
      <w:bookmarkEnd w:id="138"/>
      <w:bookmarkStart w:id="139" w:name="_Toc184314418"/>
      <w:bookmarkEnd w:id="139"/>
      <w:bookmarkStart w:id="140" w:name="_Toc184313288"/>
      <w:bookmarkEnd w:id="140"/>
      <w:bookmarkStart w:id="141" w:name="_Toc184312095"/>
      <w:bookmarkEnd w:id="141"/>
      <w:bookmarkStart w:id="142" w:name="_Toc184313301"/>
      <w:bookmarkEnd w:id="142"/>
      <w:bookmarkStart w:id="143" w:name="_Toc184312068"/>
      <w:bookmarkEnd w:id="143"/>
      <w:bookmarkStart w:id="144" w:name="_Toc184313239"/>
      <w:bookmarkEnd w:id="144"/>
      <w:bookmarkStart w:id="145" w:name="_Toc184314448"/>
      <w:bookmarkEnd w:id="145"/>
      <w:bookmarkStart w:id="146" w:name="_Toc184312137"/>
      <w:bookmarkEnd w:id="146"/>
      <w:bookmarkStart w:id="147" w:name="_Toc184310317"/>
      <w:bookmarkEnd w:id="147"/>
      <w:bookmarkStart w:id="148" w:name="_Toc184308056"/>
      <w:bookmarkEnd w:id="148"/>
      <w:bookmarkStart w:id="149" w:name="_Toc184308069"/>
      <w:bookmarkEnd w:id="149"/>
      <w:bookmarkStart w:id="150" w:name="_Toc184310309"/>
      <w:bookmarkEnd w:id="150"/>
      <w:bookmarkStart w:id="151" w:name="_Toc184314425"/>
      <w:bookmarkEnd w:id="151"/>
      <w:bookmarkStart w:id="152" w:name="_Toc184310316"/>
      <w:bookmarkEnd w:id="152"/>
      <w:bookmarkStart w:id="153" w:name="_Toc184313308"/>
      <w:bookmarkEnd w:id="153"/>
      <w:bookmarkStart w:id="154" w:name="_Toc184314467"/>
      <w:bookmarkEnd w:id="154"/>
      <w:bookmarkStart w:id="155" w:name="_Toc184313254"/>
      <w:bookmarkEnd w:id="155"/>
      <w:bookmarkStart w:id="156" w:name="_Toc184312075"/>
      <w:bookmarkEnd w:id="156"/>
      <w:bookmarkStart w:id="157" w:name="_Toc184314428"/>
      <w:bookmarkEnd w:id="157"/>
      <w:bookmarkStart w:id="158" w:name="_Toc184310286"/>
      <w:bookmarkEnd w:id="158"/>
      <w:bookmarkStart w:id="159" w:name="_Toc184314462"/>
      <w:bookmarkEnd w:id="159"/>
      <w:bookmarkStart w:id="160" w:name="_Toc184314447"/>
      <w:bookmarkEnd w:id="160"/>
      <w:bookmarkStart w:id="161" w:name="_Toc184314453"/>
      <w:bookmarkEnd w:id="161"/>
      <w:bookmarkStart w:id="162" w:name="_Toc184310306"/>
      <w:bookmarkEnd w:id="162"/>
      <w:bookmarkStart w:id="163" w:name="_Toc184310328"/>
      <w:bookmarkEnd w:id="163"/>
      <w:bookmarkStart w:id="164" w:name="_Toc184313246"/>
      <w:bookmarkEnd w:id="164"/>
      <w:bookmarkStart w:id="165" w:name="_Toc184308058"/>
      <w:bookmarkEnd w:id="165"/>
      <w:bookmarkStart w:id="166" w:name="_Toc184314457"/>
      <w:bookmarkEnd w:id="166"/>
      <w:bookmarkStart w:id="167" w:name="_Toc184313247"/>
      <w:bookmarkEnd w:id="167"/>
      <w:bookmarkStart w:id="168" w:name="_Toc184312077"/>
      <w:bookmarkEnd w:id="168"/>
      <w:bookmarkStart w:id="169" w:name="_Toc184314426"/>
      <w:bookmarkEnd w:id="169"/>
      <w:bookmarkStart w:id="170" w:name="_Toc184310300"/>
      <w:bookmarkEnd w:id="170"/>
      <w:bookmarkStart w:id="171" w:name="_Toc184308098"/>
      <w:bookmarkEnd w:id="171"/>
      <w:bookmarkStart w:id="172" w:name="_Toc184312122"/>
      <w:bookmarkEnd w:id="172"/>
      <w:bookmarkStart w:id="173" w:name="_Toc184308068"/>
      <w:bookmarkEnd w:id="173"/>
      <w:bookmarkStart w:id="174" w:name="_Toc184308100"/>
      <w:bookmarkEnd w:id="174"/>
      <w:bookmarkStart w:id="175" w:name="_Toc184314478"/>
      <w:bookmarkEnd w:id="175"/>
      <w:bookmarkStart w:id="176" w:name="_Toc184308083"/>
      <w:bookmarkEnd w:id="176"/>
      <w:bookmarkStart w:id="177" w:name="_Toc184308054"/>
      <w:bookmarkEnd w:id="177"/>
      <w:bookmarkStart w:id="178" w:name="_Toc184310308"/>
      <w:bookmarkEnd w:id="178"/>
      <w:bookmarkStart w:id="179" w:name="_Toc184308044"/>
      <w:bookmarkEnd w:id="179"/>
      <w:bookmarkStart w:id="180" w:name="_Toc184310303"/>
      <w:bookmarkEnd w:id="180"/>
      <w:bookmarkStart w:id="181" w:name="_Toc184308057"/>
      <w:bookmarkEnd w:id="181"/>
      <w:bookmarkStart w:id="182" w:name="_Toc184313281"/>
      <w:bookmarkEnd w:id="182"/>
      <w:bookmarkStart w:id="183" w:name="_Toc184312080"/>
      <w:bookmarkEnd w:id="183"/>
      <w:bookmarkStart w:id="184" w:name="_Toc184314463"/>
      <w:bookmarkEnd w:id="184"/>
      <w:bookmarkStart w:id="185" w:name="_Toc184314449"/>
      <w:bookmarkEnd w:id="185"/>
      <w:bookmarkStart w:id="186" w:name="_Toc184314421"/>
      <w:bookmarkEnd w:id="186"/>
      <w:bookmarkStart w:id="187" w:name="_Toc184313298"/>
      <w:bookmarkEnd w:id="187"/>
      <w:bookmarkStart w:id="188" w:name="_Toc184308036"/>
      <w:bookmarkEnd w:id="188"/>
      <w:bookmarkStart w:id="189" w:name="_Toc184308105"/>
      <w:bookmarkEnd w:id="189"/>
      <w:bookmarkStart w:id="190" w:name="_Toc184314417"/>
      <w:bookmarkEnd w:id="190"/>
      <w:bookmarkStart w:id="191" w:name="_Toc184313309"/>
      <w:bookmarkEnd w:id="191"/>
      <w:bookmarkStart w:id="192" w:name="_Toc184310304"/>
      <w:bookmarkEnd w:id="192"/>
      <w:bookmarkStart w:id="193" w:name="_Toc184310289"/>
      <w:bookmarkEnd w:id="193"/>
      <w:bookmarkStart w:id="194" w:name="_Toc184308047"/>
      <w:bookmarkEnd w:id="194"/>
      <w:bookmarkStart w:id="195" w:name="_Toc184308039"/>
      <w:bookmarkEnd w:id="195"/>
      <w:bookmarkStart w:id="196" w:name="_Toc184314474"/>
      <w:bookmarkEnd w:id="196"/>
      <w:bookmarkStart w:id="197" w:name="_Toc184314482"/>
      <w:bookmarkEnd w:id="197"/>
      <w:bookmarkStart w:id="198" w:name="_Toc184308042"/>
      <w:bookmarkEnd w:id="198"/>
      <w:bookmarkStart w:id="199" w:name="_Toc184308095"/>
      <w:bookmarkEnd w:id="199"/>
      <w:bookmarkStart w:id="200" w:name="_Toc184308089"/>
      <w:bookmarkEnd w:id="200"/>
      <w:bookmarkStart w:id="201" w:name="_Toc184310323"/>
      <w:bookmarkEnd w:id="201"/>
      <w:bookmarkStart w:id="202" w:name="_Toc184308062"/>
      <w:bookmarkEnd w:id="202"/>
      <w:bookmarkStart w:id="203" w:name="_Toc184313295"/>
      <w:bookmarkEnd w:id="203"/>
      <w:bookmarkStart w:id="204" w:name="_Toc184313299"/>
      <w:bookmarkEnd w:id="204"/>
      <w:bookmarkStart w:id="205" w:name="_Toc184314432"/>
      <w:bookmarkEnd w:id="205"/>
      <w:bookmarkStart w:id="206" w:name="_Toc184312091"/>
      <w:bookmarkEnd w:id="206"/>
      <w:bookmarkStart w:id="207" w:name="_Toc184312069"/>
      <w:bookmarkEnd w:id="207"/>
      <w:bookmarkStart w:id="208" w:name="_Toc184310332"/>
      <w:bookmarkEnd w:id="208"/>
      <w:bookmarkStart w:id="209" w:name="_Toc184312076"/>
      <w:bookmarkEnd w:id="209"/>
      <w:bookmarkStart w:id="210" w:name="_Toc184314477"/>
      <w:bookmarkEnd w:id="210"/>
      <w:bookmarkStart w:id="211" w:name="_Toc184314475"/>
      <w:bookmarkEnd w:id="211"/>
      <w:bookmarkStart w:id="212" w:name="_Toc184312082"/>
      <w:bookmarkEnd w:id="212"/>
      <w:bookmarkStart w:id="213" w:name="_Toc184312107"/>
      <w:bookmarkEnd w:id="213"/>
      <w:bookmarkStart w:id="214" w:name="_Toc184312120"/>
      <w:bookmarkEnd w:id="214"/>
      <w:bookmarkStart w:id="215" w:name="_Toc184310276"/>
      <w:bookmarkEnd w:id="215"/>
      <w:bookmarkStart w:id="216" w:name="_Toc184313268"/>
      <w:bookmarkEnd w:id="216"/>
      <w:bookmarkStart w:id="217" w:name="_Toc184313310"/>
      <w:bookmarkEnd w:id="217"/>
      <w:bookmarkStart w:id="218" w:name="_Toc184308090"/>
      <w:bookmarkEnd w:id="218"/>
      <w:bookmarkStart w:id="219" w:name="_Toc184312131"/>
      <w:bookmarkEnd w:id="219"/>
      <w:bookmarkStart w:id="220" w:name="_Toc184313248"/>
      <w:bookmarkEnd w:id="220"/>
      <w:bookmarkStart w:id="221" w:name="_Toc184308075"/>
      <w:bookmarkEnd w:id="221"/>
      <w:bookmarkStart w:id="222" w:name="_Toc184314412"/>
      <w:bookmarkEnd w:id="222"/>
      <w:bookmarkStart w:id="223" w:name="_Toc184312110"/>
      <w:bookmarkEnd w:id="223"/>
      <w:bookmarkStart w:id="224" w:name="_Toc184312081"/>
      <w:bookmarkEnd w:id="224"/>
      <w:bookmarkStart w:id="225" w:name="_Toc184314459"/>
      <w:bookmarkEnd w:id="225"/>
      <w:bookmarkStart w:id="226" w:name="_Toc184313303"/>
      <w:bookmarkEnd w:id="226"/>
      <w:bookmarkStart w:id="227" w:name="_Toc184308051"/>
      <w:bookmarkEnd w:id="227"/>
      <w:bookmarkStart w:id="228" w:name="_Toc184313260"/>
      <w:bookmarkEnd w:id="228"/>
      <w:bookmarkStart w:id="229" w:name="_Toc184314470"/>
      <w:bookmarkEnd w:id="229"/>
      <w:bookmarkStart w:id="230" w:name="_Toc184312074"/>
      <w:bookmarkEnd w:id="230"/>
      <w:bookmarkStart w:id="231" w:name="_Toc184314444"/>
      <w:bookmarkEnd w:id="231"/>
      <w:bookmarkStart w:id="232" w:name="_Toc184312097"/>
      <w:bookmarkEnd w:id="232"/>
      <w:bookmarkStart w:id="233" w:name="_Toc184310314"/>
      <w:bookmarkEnd w:id="233"/>
      <w:bookmarkStart w:id="234" w:name="_Toc184310275"/>
      <w:bookmarkEnd w:id="234"/>
      <w:bookmarkStart w:id="235" w:name="_Toc184313256"/>
      <w:bookmarkEnd w:id="235"/>
      <w:bookmarkStart w:id="236" w:name="_Toc184308094"/>
      <w:bookmarkEnd w:id="236"/>
      <w:bookmarkStart w:id="237" w:name="_Toc184310281"/>
      <w:bookmarkEnd w:id="237"/>
      <w:bookmarkStart w:id="238" w:name="_Toc184312105"/>
      <w:bookmarkEnd w:id="238"/>
      <w:bookmarkStart w:id="239" w:name="_Toc184310324"/>
      <w:bookmarkEnd w:id="239"/>
      <w:bookmarkStart w:id="240" w:name="_Toc184308087"/>
      <w:bookmarkEnd w:id="240"/>
      <w:bookmarkStart w:id="241" w:name="_Toc184313259"/>
      <w:bookmarkEnd w:id="241"/>
      <w:bookmarkStart w:id="242" w:name="_Toc184312090"/>
      <w:bookmarkEnd w:id="242"/>
      <w:bookmarkStart w:id="243" w:name="_Toc184312116"/>
      <w:bookmarkEnd w:id="243"/>
      <w:bookmarkStart w:id="244" w:name="_Toc184308091"/>
      <w:bookmarkEnd w:id="244"/>
      <w:bookmarkStart w:id="245" w:name="_Toc184310273"/>
      <w:bookmarkEnd w:id="245"/>
      <w:bookmarkStart w:id="246" w:name="_Toc184313267"/>
      <w:bookmarkEnd w:id="246"/>
      <w:bookmarkStart w:id="247" w:name="_Toc184310339"/>
      <w:bookmarkEnd w:id="247"/>
      <w:bookmarkStart w:id="248" w:name="_Toc184310325"/>
      <w:bookmarkEnd w:id="248"/>
      <w:bookmarkStart w:id="249" w:name="_Toc184310277"/>
      <w:bookmarkEnd w:id="249"/>
      <w:bookmarkStart w:id="250" w:name="_Toc184314450"/>
      <w:bookmarkEnd w:id="250"/>
      <w:bookmarkStart w:id="251" w:name="_Toc184314427"/>
      <w:bookmarkEnd w:id="251"/>
      <w:bookmarkStart w:id="252" w:name="_Toc184308084"/>
      <w:bookmarkEnd w:id="252"/>
      <w:bookmarkStart w:id="253" w:name="_Toc184308040"/>
      <w:bookmarkEnd w:id="253"/>
      <w:bookmarkStart w:id="254" w:name="_Toc184308064"/>
      <w:bookmarkEnd w:id="254"/>
      <w:bookmarkStart w:id="255" w:name="_Toc184308067"/>
      <w:bookmarkEnd w:id="255"/>
      <w:bookmarkStart w:id="256" w:name="_Toc184314476"/>
      <w:bookmarkEnd w:id="256"/>
      <w:bookmarkStart w:id="257" w:name="_Toc184312117"/>
      <w:bookmarkEnd w:id="257"/>
      <w:bookmarkStart w:id="258" w:name="_Toc184314479"/>
      <w:bookmarkEnd w:id="258"/>
      <w:bookmarkStart w:id="259" w:name="_Toc184313238"/>
      <w:bookmarkEnd w:id="259"/>
      <w:bookmarkStart w:id="260" w:name="_Toc184312098"/>
      <w:bookmarkEnd w:id="260"/>
      <w:bookmarkStart w:id="261" w:name="_Toc184313277"/>
      <w:bookmarkEnd w:id="261"/>
      <w:bookmarkStart w:id="262" w:name="_Toc184308101"/>
      <w:bookmarkEnd w:id="262"/>
      <w:bookmarkStart w:id="263" w:name="_Toc184308088"/>
      <w:bookmarkEnd w:id="263"/>
      <w:bookmarkStart w:id="264" w:name="_Toc184314473"/>
      <w:bookmarkEnd w:id="264"/>
      <w:bookmarkStart w:id="265" w:name="_Toc184312071"/>
      <w:bookmarkEnd w:id="265"/>
      <w:bookmarkStart w:id="266" w:name="_Toc184314413"/>
      <w:bookmarkEnd w:id="266"/>
      <w:bookmarkStart w:id="267" w:name="_Toc184312119"/>
      <w:bookmarkEnd w:id="267"/>
      <w:bookmarkStart w:id="268" w:name="_Toc184313257"/>
      <w:bookmarkEnd w:id="268"/>
      <w:bookmarkStart w:id="269" w:name="_Toc184310318"/>
      <w:bookmarkEnd w:id="269"/>
      <w:bookmarkStart w:id="270" w:name="_Toc184310344"/>
      <w:bookmarkEnd w:id="270"/>
      <w:bookmarkStart w:id="271" w:name="_Toc184310299"/>
      <w:bookmarkEnd w:id="271"/>
      <w:bookmarkStart w:id="272" w:name="_Toc184310305"/>
      <w:bookmarkEnd w:id="272"/>
      <w:bookmarkStart w:id="273" w:name="_Toc184314439"/>
      <w:bookmarkEnd w:id="273"/>
      <w:bookmarkStart w:id="274" w:name="_Toc184312127"/>
      <w:bookmarkEnd w:id="274"/>
      <w:bookmarkStart w:id="275" w:name="_Toc184310284"/>
      <w:bookmarkEnd w:id="275"/>
      <w:bookmarkStart w:id="276" w:name="_Toc184313284"/>
      <w:bookmarkEnd w:id="276"/>
      <w:bookmarkStart w:id="277" w:name="_Toc184310280"/>
      <w:bookmarkEnd w:id="277"/>
      <w:bookmarkStart w:id="278" w:name="_Toc184314465"/>
      <w:bookmarkEnd w:id="278"/>
      <w:bookmarkStart w:id="279" w:name="_Toc184310301"/>
      <w:bookmarkEnd w:id="279"/>
      <w:bookmarkStart w:id="280" w:name="_Toc184313241"/>
      <w:bookmarkEnd w:id="280"/>
      <w:bookmarkStart w:id="281" w:name="_Toc184312085"/>
      <w:bookmarkEnd w:id="281"/>
      <w:bookmarkStart w:id="282" w:name="_Toc184310333"/>
      <w:bookmarkEnd w:id="282"/>
      <w:bookmarkStart w:id="283" w:name="_Toc184310342"/>
      <w:bookmarkEnd w:id="283"/>
      <w:bookmarkStart w:id="284" w:name="_Toc184308059"/>
      <w:bookmarkEnd w:id="284"/>
      <w:bookmarkStart w:id="285" w:name="_Toc184314469"/>
      <w:bookmarkEnd w:id="285"/>
      <w:bookmarkStart w:id="286" w:name="_Toc184313269"/>
      <w:bookmarkEnd w:id="286"/>
      <w:bookmarkStart w:id="287" w:name="_Toc184310320"/>
      <w:bookmarkEnd w:id="287"/>
      <w:bookmarkStart w:id="288" w:name="_Toc184310312"/>
      <w:bookmarkEnd w:id="288"/>
      <w:bookmarkStart w:id="289" w:name="_Toc184310340"/>
      <w:bookmarkEnd w:id="289"/>
      <w:bookmarkStart w:id="290" w:name="_Toc184313287"/>
      <w:bookmarkEnd w:id="290"/>
      <w:bookmarkStart w:id="291" w:name="_Toc184308081"/>
      <w:bookmarkEnd w:id="291"/>
      <w:bookmarkStart w:id="292" w:name="_Toc184314419"/>
      <w:bookmarkEnd w:id="292"/>
      <w:bookmarkStart w:id="293" w:name="_Toc184312096"/>
      <w:bookmarkEnd w:id="293"/>
      <w:bookmarkStart w:id="294" w:name="_Toc184308102"/>
      <w:bookmarkEnd w:id="294"/>
      <w:bookmarkStart w:id="295" w:name="_Toc184314443"/>
      <w:bookmarkEnd w:id="295"/>
      <w:bookmarkStart w:id="296" w:name="_Toc184308065"/>
      <w:bookmarkEnd w:id="296"/>
      <w:bookmarkStart w:id="297" w:name="_Toc184312133"/>
      <w:bookmarkEnd w:id="297"/>
      <w:bookmarkStart w:id="298" w:name="_Toc184312128"/>
      <w:bookmarkEnd w:id="298"/>
      <w:bookmarkStart w:id="299" w:name="_Toc184313262"/>
      <w:bookmarkEnd w:id="299"/>
      <w:bookmarkStart w:id="300" w:name="_Toc184308050"/>
      <w:bookmarkEnd w:id="300"/>
      <w:bookmarkStart w:id="301" w:name="_Toc184310288"/>
      <w:bookmarkEnd w:id="301"/>
      <w:bookmarkStart w:id="302" w:name="_Toc184313286"/>
      <w:bookmarkEnd w:id="302"/>
      <w:bookmarkStart w:id="303" w:name="_Toc184313304"/>
      <w:bookmarkEnd w:id="303"/>
      <w:bookmarkStart w:id="304" w:name="_Toc184308074"/>
      <w:bookmarkEnd w:id="304"/>
      <w:bookmarkStart w:id="305" w:name="_Toc184312136"/>
      <w:bookmarkEnd w:id="305"/>
      <w:bookmarkStart w:id="306" w:name="_Toc184313296"/>
      <w:bookmarkEnd w:id="306"/>
      <w:bookmarkStart w:id="307" w:name="_Toc184313266"/>
      <w:bookmarkEnd w:id="307"/>
      <w:bookmarkStart w:id="308" w:name="_Toc184310291"/>
      <w:bookmarkEnd w:id="308"/>
      <w:bookmarkStart w:id="309" w:name="_Toc184308071"/>
      <w:bookmarkEnd w:id="309"/>
      <w:bookmarkStart w:id="310" w:name="_Toc184312121"/>
      <w:bookmarkEnd w:id="310"/>
      <w:bookmarkStart w:id="311" w:name="_Toc184310321"/>
      <w:bookmarkEnd w:id="311"/>
      <w:bookmarkStart w:id="312" w:name="_Toc184313251"/>
      <w:bookmarkEnd w:id="312"/>
      <w:bookmarkStart w:id="313" w:name="_Toc184313291"/>
      <w:bookmarkEnd w:id="313"/>
      <w:bookmarkStart w:id="314" w:name="_Toc184310274"/>
      <w:bookmarkEnd w:id="314"/>
      <w:bookmarkStart w:id="315" w:name="_Toc184308076"/>
      <w:bookmarkEnd w:id="315"/>
      <w:bookmarkStart w:id="316" w:name="_Toc184310296"/>
      <w:bookmarkEnd w:id="316"/>
      <w:bookmarkStart w:id="317" w:name="_Toc184314411"/>
      <w:bookmarkEnd w:id="317"/>
      <w:bookmarkStart w:id="318" w:name="_Toc184308049"/>
      <w:bookmarkEnd w:id="318"/>
      <w:bookmarkStart w:id="319" w:name="_Toc184314416"/>
      <w:bookmarkEnd w:id="319"/>
      <w:bookmarkStart w:id="320" w:name="_Toc184308063"/>
      <w:bookmarkEnd w:id="320"/>
      <w:bookmarkStart w:id="321" w:name="_Toc184314455"/>
      <w:bookmarkEnd w:id="321"/>
      <w:bookmarkStart w:id="322" w:name="_Toc184310283"/>
      <w:bookmarkEnd w:id="322"/>
      <w:bookmarkStart w:id="323" w:name="_Toc184312112"/>
      <w:bookmarkEnd w:id="323"/>
      <w:bookmarkStart w:id="324" w:name="_Toc184314458"/>
      <w:bookmarkEnd w:id="324"/>
      <w:bookmarkStart w:id="325" w:name="_Toc184313280"/>
      <w:bookmarkEnd w:id="325"/>
      <w:bookmarkStart w:id="326" w:name="_Toc184310313"/>
      <w:bookmarkEnd w:id="326"/>
      <w:bookmarkStart w:id="327" w:name="_Toc184312138"/>
      <w:bookmarkEnd w:id="327"/>
      <w:bookmarkStart w:id="328" w:name="_Toc184310335"/>
      <w:bookmarkEnd w:id="328"/>
      <w:bookmarkStart w:id="329" w:name="_Toc184310315"/>
      <w:bookmarkEnd w:id="329"/>
      <w:bookmarkStart w:id="330" w:name="_Toc184308060"/>
      <w:bookmarkEnd w:id="330"/>
      <w:bookmarkStart w:id="331" w:name="_Toc184312125"/>
      <w:bookmarkEnd w:id="331"/>
      <w:bookmarkStart w:id="332" w:name="_Toc184310302"/>
      <w:bookmarkEnd w:id="332"/>
      <w:bookmarkStart w:id="333" w:name="_Toc184310326"/>
      <w:bookmarkEnd w:id="333"/>
      <w:bookmarkStart w:id="334" w:name="_Toc184313258"/>
      <w:bookmarkEnd w:id="334"/>
      <w:bookmarkStart w:id="335" w:name="_Toc184312139"/>
      <w:bookmarkEnd w:id="335"/>
      <w:bookmarkStart w:id="336" w:name="_Toc184313289"/>
      <w:bookmarkEnd w:id="336"/>
      <w:bookmarkStart w:id="337" w:name="_Toc184310294"/>
      <w:bookmarkEnd w:id="337"/>
      <w:bookmarkStart w:id="338" w:name="_Toc184313293"/>
      <w:bookmarkEnd w:id="338"/>
      <w:bookmarkStart w:id="339" w:name="_Toc184314466"/>
      <w:bookmarkEnd w:id="339"/>
      <w:bookmarkStart w:id="340" w:name="_Toc184308041"/>
      <w:bookmarkEnd w:id="340"/>
      <w:bookmarkStart w:id="341" w:name="_Toc184308052"/>
      <w:bookmarkEnd w:id="341"/>
      <w:bookmarkStart w:id="342" w:name="_Toc184310298"/>
      <w:bookmarkEnd w:id="342"/>
      <w:bookmarkStart w:id="343" w:name="_Toc184313244"/>
      <w:bookmarkEnd w:id="343"/>
      <w:bookmarkStart w:id="344" w:name="_Toc184313271"/>
      <w:bookmarkEnd w:id="344"/>
      <w:bookmarkStart w:id="345" w:name="_Toc184313292"/>
      <w:bookmarkEnd w:id="345"/>
      <w:bookmarkStart w:id="346" w:name="_Toc184314434"/>
      <w:bookmarkEnd w:id="346"/>
      <w:bookmarkStart w:id="347" w:name="_Toc184308106"/>
      <w:bookmarkEnd w:id="347"/>
      <w:bookmarkStart w:id="348" w:name="_Toc184314441"/>
      <w:bookmarkEnd w:id="348"/>
      <w:bookmarkStart w:id="349" w:name="_Toc184314410"/>
      <w:bookmarkEnd w:id="349"/>
      <w:bookmarkStart w:id="350" w:name="_Toc184314454"/>
      <w:bookmarkEnd w:id="350"/>
      <w:bookmarkStart w:id="351" w:name="_Toc184313290"/>
      <w:bookmarkEnd w:id="351"/>
      <w:bookmarkStart w:id="352" w:name="_Toc184310293"/>
      <w:bookmarkEnd w:id="352"/>
      <w:bookmarkStart w:id="353" w:name="_Toc184312067"/>
      <w:bookmarkEnd w:id="353"/>
      <w:bookmarkStart w:id="354" w:name="_Toc184310336"/>
      <w:bookmarkEnd w:id="354"/>
      <w:bookmarkStart w:id="355" w:name="_Toc184313279"/>
      <w:bookmarkEnd w:id="355"/>
      <w:bookmarkStart w:id="356" w:name="_Toc184308092"/>
      <w:bookmarkEnd w:id="356"/>
      <w:bookmarkStart w:id="357" w:name="_Toc184312078"/>
      <w:bookmarkEnd w:id="357"/>
      <w:bookmarkStart w:id="358" w:name="_Toc184308072"/>
      <w:bookmarkEnd w:id="358"/>
      <w:bookmarkStart w:id="359" w:name="_Toc184313274"/>
      <w:bookmarkEnd w:id="359"/>
      <w:bookmarkStart w:id="360" w:name="_Toc184308073"/>
      <w:bookmarkEnd w:id="360"/>
      <w:bookmarkStart w:id="361" w:name="_Toc184312072"/>
      <w:bookmarkEnd w:id="361"/>
      <w:bookmarkStart w:id="362" w:name="_Toc184308070"/>
      <w:bookmarkEnd w:id="362"/>
      <w:bookmarkStart w:id="363" w:name="_Toc184314468"/>
      <w:bookmarkEnd w:id="363"/>
      <w:bookmarkStart w:id="364" w:name="_Toc184313250"/>
      <w:bookmarkEnd w:id="364"/>
      <w:bookmarkStart w:id="365" w:name="_Toc184312087"/>
      <w:bookmarkEnd w:id="365"/>
      <w:bookmarkStart w:id="366" w:name="_Toc184313307"/>
      <w:bookmarkEnd w:id="366"/>
      <w:bookmarkStart w:id="367" w:name="_Toc184312109"/>
      <w:bookmarkEnd w:id="367"/>
      <w:bookmarkStart w:id="368" w:name="_Toc184310297"/>
      <w:bookmarkEnd w:id="368"/>
      <w:bookmarkStart w:id="369" w:name="_Toc184314433"/>
      <w:bookmarkEnd w:id="369"/>
      <w:bookmarkStart w:id="370" w:name="_Toc184308099"/>
      <w:bookmarkEnd w:id="370"/>
      <w:bookmarkStart w:id="371" w:name="_Toc184308053"/>
      <w:bookmarkEnd w:id="371"/>
      <w:bookmarkStart w:id="372" w:name="_Toc184312135"/>
      <w:bookmarkEnd w:id="372"/>
      <w:bookmarkStart w:id="373" w:name="_Toc184314461"/>
      <w:bookmarkEnd w:id="373"/>
      <w:bookmarkStart w:id="374" w:name="_Toc184312083"/>
      <w:bookmarkEnd w:id="374"/>
      <w:bookmarkStart w:id="375" w:name="_Toc184313243"/>
      <w:bookmarkEnd w:id="375"/>
      <w:bookmarkStart w:id="376" w:name="_Toc184313255"/>
      <w:bookmarkEnd w:id="376"/>
      <w:bookmarkStart w:id="377" w:name="_Toc184312101"/>
      <w:bookmarkEnd w:id="377"/>
      <w:bookmarkStart w:id="378" w:name="_Toc184312108"/>
      <w:bookmarkEnd w:id="378"/>
      <w:bookmarkStart w:id="379" w:name="_Toc184314451"/>
      <w:bookmarkEnd w:id="379"/>
      <w:bookmarkStart w:id="380" w:name="_Toc184314442"/>
      <w:bookmarkEnd w:id="380"/>
      <w:bookmarkStart w:id="381" w:name="_Toc184312104"/>
      <w:bookmarkEnd w:id="381"/>
      <w:bookmarkStart w:id="382" w:name="_Toc184313306"/>
      <w:bookmarkEnd w:id="382"/>
      <w:bookmarkStart w:id="383" w:name="_Toc184314422"/>
      <w:bookmarkEnd w:id="383"/>
      <w:bookmarkStart w:id="384" w:name="_Toc184308108"/>
      <w:bookmarkEnd w:id="384"/>
      <w:bookmarkStart w:id="385" w:name="_Toc184310278"/>
      <w:bookmarkEnd w:id="385"/>
      <w:bookmarkStart w:id="386" w:name="_Toc184310319"/>
      <w:bookmarkEnd w:id="386"/>
      <w:bookmarkStart w:id="387" w:name="_Toc184310311"/>
      <w:bookmarkEnd w:id="387"/>
      <w:bookmarkStart w:id="388" w:name="_Toc184314435"/>
      <w:bookmarkEnd w:id="388"/>
      <w:bookmarkStart w:id="389" w:name="_Toc184314446"/>
      <w:bookmarkEnd w:id="389"/>
      <w:bookmarkStart w:id="390" w:name="_Toc184313249"/>
      <w:bookmarkEnd w:id="390"/>
      <w:bookmarkStart w:id="391" w:name="_Toc184314438"/>
      <w:bookmarkEnd w:id="391"/>
      <w:bookmarkStart w:id="392" w:name="_Toc184314437"/>
      <w:bookmarkEnd w:id="392"/>
      <w:r>
        <w:rPr>
          <w:rFonts w:hint="eastAsia" w:ascii="宋体" w:hAnsi="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tbl>
      <w:tblPr>
        <w:tblStyle w:val="63"/>
        <w:tblW w:w="9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5212"/>
        <w:gridCol w:w="750"/>
        <w:gridCol w:w="1365"/>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序号</w:t>
            </w:r>
          </w:p>
        </w:tc>
        <w:tc>
          <w:tcPr>
            <w:tcW w:w="5212"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评标标准</w:t>
            </w:r>
          </w:p>
        </w:tc>
        <w:tc>
          <w:tcPr>
            <w:tcW w:w="750" w:type="dxa"/>
            <w:vAlign w:val="center"/>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权重</w:t>
            </w:r>
          </w:p>
        </w:tc>
        <w:tc>
          <w:tcPr>
            <w:tcW w:w="1365" w:type="dxa"/>
            <w:vAlign w:val="center"/>
          </w:tcPr>
          <w:p>
            <w:pPr>
              <w:snapToGrid w:val="0"/>
              <w:spacing w:line="360" w:lineRule="auto"/>
              <w:jc w:val="center"/>
              <w:rPr>
                <w:rFonts w:cs="仿宋_GB2312" w:asciiTheme="minorEastAsia" w:hAnsiTheme="minorEastAsia" w:eastAsiaTheme="minorEastAsia"/>
                <w:bCs/>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4"/>
                <w:highlight w:val="none"/>
                <w14:textFill>
                  <w14:solidFill>
                    <w14:schemeClr w14:val="tx1"/>
                  </w14:solidFill>
                </w14:textFill>
              </w:rPr>
              <w:t>主观分/客观分属性</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bCs/>
                <w:color w:val="000000" w:themeColor="text1"/>
                <w:sz w:val="24"/>
                <w:highlight w:val="none"/>
                <w14:textFill>
                  <w14:solidFill>
                    <w14:schemeClr w14:val="tx1"/>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5212" w:type="dxa"/>
            <w:vAlign w:val="center"/>
          </w:tcPr>
          <w:p>
            <w:pPr>
              <w:widowControl/>
              <w:rPr>
                <w:rFonts w:hint="eastAsia" w:ascii="宋体" w:hAnsi="宋体" w:cs="宋体"/>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对项目</w:t>
            </w:r>
            <w:r>
              <w:rPr>
                <w:rFonts w:hint="eastAsia" w:ascii="宋体" w:hAnsi="宋体" w:cs="宋体"/>
                <w:bCs/>
                <w:color w:val="000000" w:themeColor="text1"/>
                <w:sz w:val="24"/>
                <w:szCs w:val="24"/>
                <w:highlight w:val="none"/>
                <w:lang w:val="en-US" w:eastAsia="zh-CN"/>
                <w14:textFill>
                  <w14:solidFill>
                    <w14:schemeClr w14:val="tx1"/>
                  </w14:solidFill>
                </w14:textFill>
              </w:rPr>
              <w:t>背景及现状分析</w:t>
            </w:r>
          </w:p>
          <w:p>
            <w:pPr>
              <w:widowControl/>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（1）对项目消防验收技术服务背景把握透彻；</w:t>
            </w:r>
          </w:p>
          <w:p>
            <w:pPr>
              <w:widowControl/>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（2）对项目消防验收技术服务现状分析到位。</w:t>
            </w:r>
          </w:p>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以上每项内容满足得2分，部分满足得1分，不满足不得分。最高得4分。</w:t>
            </w:r>
          </w:p>
        </w:tc>
        <w:tc>
          <w:tcPr>
            <w:tcW w:w="750" w:type="dxa"/>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5212" w:type="dxa"/>
            <w:vAlign w:val="center"/>
          </w:tcPr>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对项目</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需求</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理解</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（1）对项目消防验收技术服务的内容分析到位；</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（2）对项目消防验收技术服务实施思路理解清晰。</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以上每项内容满足得2分，部分满足得1分，不满足不得分。最高得4分。</w:t>
            </w:r>
          </w:p>
        </w:tc>
        <w:tc>
          <w:tcPr>
            <w:tcW w:w="750" w:type="dxa"/>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5212" w:type="dxa"/>
            <w:vAlign w:val="center"/>
          </w:tcPr>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项目消防验收技术服务实施方案</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（1）项目消防验收技术服务实施方案科学完整；</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（2）项目消防验收技术服务实施方案流程清晰、规范、可操作强；</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（3）项目消防验收技术服务各工序衔接自然、严密；</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（4）项目消防验收技术服务效率、服务水平，提出实施的整体思路；</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（5）与项目实施地现状相结合，方案中体现较高的服务效率和服务水平。</w:t>
            </w:r>
          </w:p>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以上每项内容满足得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分，部分满足得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0.5</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分，不满足不得分。最高得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w:t>
            </w:r>
          </w:p>
        </w:tc>
        <w:tc>
          <w:tcPr>
            <w:tcW w:w="750" w:type="dxa"/>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5212" w:type="dxa"/>
            <w:vAlign w:val="center"/>
          </w:tcPr>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现场评定服务方案，根据提供的方案内容的完整性、针对性、与项目的匹配性进行评分。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cs="宋体"/>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p>
        </w:tc>
        <w:tc>
          <w:tcPr>
            <w:tcW w:w="5212" w:type="dxa"/>
            <w:vAlign w:val="center"/>
          </w:tcPr>
          <w:p>
            <w:pPr>
              <w:tabs>
                <w:tab w:val="left" w:pos="1080"/>
              </w:tabs>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档案</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管理</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服务方案，根据提供的方案内容的完整性、针对性、与项目的匹配性进行评分。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cs="宋体"/>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p>
        </w:tc>
        <w:tc>
          <w:tcPr>
            <w:tcW w:w="5212" w:type="dxa"/>
            <w:vAlign w:val="center"/>
          </w:tcPr>
          <w:p>
            <w:pPr>
              <w:pStyle w:val="809"/>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风险防控方案</w:t>
            </w:r>
          </w:p>
          <w:p>
            <w:pPr>
              <w:pStyle w:val="809"/>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（1）具有针对项目消防验收技术服务完整的风险控制预案；</w:t>
            </w:r>
          </w:p>
          <w:p>
            <w:pPr>
              <w:pStyle w:val="809"/>
              <w:snapToGrid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（2）风险控制预案能确保项目消防验收技术服务目标按时达成，具有完善的保障措施。</w:t>
            </w:r>
          </w:p>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以上每项内容满足得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分，部分满足得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分，不满足不得分。最高得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4</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p>
        </w:tc>
        <w:tc>
          <w:tcPr>
            <w:tcW w:w="750" w:type="dxa"/>
            <w:vAlign w:val="center"/>
          </w:tcPr>
          <w:p>
            <w:pPr>
              <w:widowControl/>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p>
        </w:tc>
        <w:tc>
          <w:tcPr>
            <w:tcW w:w="5212" w:type="dxa"/>
            <w:vAlign w:val="center"/>
          </w:tcPr>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有完善的组织架构，包括组织管理、组织架构、岗位设置、监督机制、岗位职责。各项内容全部符合且完善、清晰的得5分，各项内容</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较为</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符合、清晰的得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4</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分，各项内容部分符合且不够完善、清晰的得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分，各项内容描述较为简单或粗略的得1分。其他不得分。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p>
        </w:tc>
        <w:tc>
          <w:tcPr>
            <w:tcW w:w="5212" w:type="dxa"/>
            <w:vAlign w:val="center"/>
          </w:tcPr>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根据投标人消防验收技术服务质量保证体系进行打分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包括质量目标</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及</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质量保证措施、安全保障措施、质量监管方法及措施、监管配合、奖罚措施。</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9</w:t>
            </w:r>
          </w:p>
        </w:tc>
        <w:tc>
          <w:tcPr>
            <w:tcW w:w="5212" w:type="dxa"/>
            <w:vAlign w:val="center"/>
          </w:tcPr>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根据投标人的监管制度进行打分，包括廉政措施，为防止出具虚假报告、不按规定验收、转包验收业务、等违规行为的监管制度、措施和惩治办法。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w:t>
            </w:r>
          </w:p>
        </w:tc>
        <w:tc>
          <w:tcPr>
            <w:tcW w:w="5212" w:type="dxa"/>
            <w:vAlign w:val="center"/>
          </w:tcPr>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建立考核机制，根据提供的方案内容的完整性、针对性、与项目的匹配性进行评分。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1</w:t>
            </w:r>
          </w:p>
        </w:tc>
        <w:tc>
          <w:tcPr>
            <w:tcW w:w="5212" w:type="dxa"/>
            <w:vAlign w:val="center"/>
          </w:tcPr>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建立及时处理机制，根据提供的方案内容的完整性、针对性、与项目的匹配性进行评分。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p>
        </w:tc>
        <w:tc>
          <w:tcPr>
            <w:tcW w:w="5212" w:type="dxa"/>
            <w:vAlign w:val="center"/>
          </w:tcPr>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建立管理指标承诺达到管理标准，根据提供的方案内容的完整性、针对性、与项目的匹配性进行评分。方案可行性、针对性、项目匹配性好得5分；方案可行性、针对性、项目匹配性较好得4分；方案可行性、针对性、项目匹配性一般得3分；有一定欠缺得2分；方案内容缺失严重或与匹配性不佳得1分；其余不得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13</w:t>
            </w:r>
          </w:p>
        </w:tc>
        <w:tc>
          <w:tcPr>
            <w:tcW w:w="5212" w:type="dxa"/>
            <w:vAlign w:val="center"/>
          </w:tcPr>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进度计划安排：根据服务方案，快速合理安排工作，按规定时间完成技术服务，提交服务成果</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方案内容完整且与项目匹配度好的得4分；方案内容基本完整且与项目匹配度较好的得3分；方案内容存在欠缺或与项目匹配度一般的得2分；方案内容缺失严重或与项目不匹配的不得分。</w:t>
            </w:r>
          </w:p>
        </w:tc>
        <w:tc>
          <w:tcPr>
            <w:tcW w:w="750" w:type="dxa"/>
            <w:vAlign w:val="center"/>
          </w:tcPr>
          <w:p>
            <w:pPr>
              <w:widowControl/>
              <w:jc w:val="center"/>
              <w:rPr>
                <w:rFonts w:hint="default"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4</w:t>
            </w:r>
          </w:p>
        </w:tc>
        <w:tc>
          <w:tcPr>
            <w:tcW w:w="5212" w:type="dxa"/>
            <w:vAlign w:val="center"/>
          </w:tcPr>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其他要求</w:t>
            </w:r>
          </w:p>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（1）项目消防验收技术服务基础资料信息掌握全面；</w:t>
            </w:r>
          </w:p>
          <w:p>
            <w:pPr>
              <w:pStyle w:val="809"/>
              <w:snapToGrid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（2）提出有助提高项目的研究深度和广度建议。</w:t>
            </w:r>
          </w:p>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以上每项内容满足得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分，部分满足得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0.5</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分，不满足不得分。最高得</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分。</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5</w:t>
            </w:r>
          </w:p>
        </w:tc>
        <w:tc>
          <w:tcPr>
            <w:tcW w:w="5212" w:type="dxa"/>
            <w:vAlign w:val="center"/>
          </w:tcPr>
          <w:p>
            <w:pPr>
              <w:widowControl/>
              <w:rPr>
                <w:rFonts w:hint="eastAsia"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拟派项目负责人（若现场评定相关消防设施检测服务内容分包，项目负责人须为总包单位人员）：具有5年及以上消防技术服务从业经验得1分；具有高级工程师及以上职称得1分；本项最高得2分。</w:t>
            </w:r>
          </w:p>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有效证明材料：投标文件中须提供项目负责人履历证明、相应证书复印件以及在本单位连续缴纳近三个月的社保证明材料复印件并加盖公章。</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客观</w:t>
            </w:r>
            <w:r>
              <w:rPr>
                <w:rFonts w:hint="eastAsia" w:ascii="宋体" w:hAnsi="宋体" w:eastAsia="宋体" w:cs="宋体"/>
                <w:bCs/>
                <w:color w:val="000000" w:themeColor="text1"/>
                <w:sz w:val="24"/>
                <w:szCs w:val="24"/>
                <w:highlight w:val="none"/>
                <w14:textFill>
                  <w14:solidFill>
                    <w14:schemeClr w14:val="tx1"/>
                  </w14:solidFill>
                </w14:textFill>
              </w:rPr>
              <w:t>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6</w:t>
            </w:r>
          </w:p>
        </w:tc>
        <w:tc>
          <w:tcPr>
            <w:tcW w:w="5212" w:type="dxa"/>
            <w:vAlign w:val="center"/>
          </w:tcPr>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拟派本项目专业技术人员</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（项目负责人除外）</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1.具有</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国家一级注册消防工程师(或一级注册建筑师或一级</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注册公用</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设备工程师）</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职称的</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每人得1分</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最高得5分</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widowControl/>
              <w:rPr>
                <w:rFonts w:hint="eastAsia" w:ascii="宋体" w:hAnsi="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2.具有高级及以上工程师职称的，每人得1分；具有中级工程师职称的，每人得0.5分；同一人按最高分计，最高得4分。</w:t>
            </w:r>
          </w:p>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有效证明材料：投标文件中须提供专业技术人员相应证书复印件以及在本单位缴纳</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的</w:t>
            </w: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近三个月的社保证明材料复印件并加盖公章。</w:t>
            </w:r>
          </w:p>
        </w:tc>
        <w:tc>
          <w:tcPr>
            <w:tcW w:w="750" w:type="dxa"/>
            <w:vAlign w:val="center"/>
          </w:tcPr>
          <w:p>
            <w:pPr>
              <w:widowControl/>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9</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客观</w:t>
            </w:r>
            <w:r>
              <w:rPr>
                <w:rFonts w:hint="eastAsia" w:ascii="宋体" w:hAnsi="宋体" w:eastAsia="宋体" w:cs="宋体"/>
                <w:bCs/>
                <w:color w:val="000000" w:themeColor="text1"/>
                <w:sz w:val="24"/>
                <w:szCs w:val="24"/>
                <w:highlight w:val="none"/>
                <w14:textFill>
                  <w14:solidFill>
                    <w14:schemeClr w14:val="tx1"/>
                  </w14:solidFill>
                </w14:textFill>
              </w:rPr>
              <w:t>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pStyle w:val="963"/>
              <w:widowControl w:val="0"/>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17</w:t>
            </w:r>
          </w:p>
        </w:tc>
        <w:tc>
          <w:tcPr>
            <w:tcW w:w="5212" w:type="dxa"/>
            <w:vAlign w:val="center"/>
          </w:tcPr>
          <w:p>
            <w:pPr>
              <w:widowControl/>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拟派本项目团队人员</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为浙江省建设工程消防技术专家库专家的，每人得2分，最高得4分。</w:t>
            </w:r>
          </w:p>
          <w:p>
            <w:pPr>
              <w:widowControl/>
              <w:jc w:val="left"/>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t>有效证明材料：投标文件中须提供相关证明文件复印件及在本单位缴纳的近三个月的社保证明材料（离退休返聘或自主择业人员，需提供退休证明或自主择业证及单位聘用证）复印件并加盖公章。</w:t>
            </w:r>
          </w:p>
        </w:tc>
        <w:tc>
          <w:tcPr>
            <w:tcW w:w="750" w:type="dxa"/>
            <w:vAlign w:val="center"/>
          </w:tcPr>
          <w:p>
            <w:pPr>
              <w:pStyle w:val="7"/>
              <w:spacing w:line="300" w:lineRule="exact"/>
              <w:ind w:firstLine="0" w:firstLineChars="0"/>
              <w:jc w:val="center"/>
              <w:rPr>
                <w:rFonts w:hint="default" w:hAnsi="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hAnsi="宋体" w:cs="宋体"/>
                <w:snapToGrid w:val="0"/>
                <w:color w:val="000000" w:themeColor="text1"/>
                <w:kern w:val="28"/>
                <w:sz w:val="24"/>
                <w:szCs w:val="24"/>
                <w:highlight w:val="none"/>
                <w:lang w:val="en-US" w:eastAsia="zh-CN" w:bidi="ar-SA"/>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cs="宋体"/>
                <w:bCs/>
                <w:color w:val="000000" w:themeColor="text1"/>
                <w:sz w:val="24"/>
                <w:szCs w:val="24"/>
                <w:highlight w:val="none"/>
                <w:lang w:val="en-US" w:eastAsia="zh-CN"/>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客观</w:t>
            </w:r>
            <w:r>
              <w:rPr>
                <w:rFonts w:hint="eastAsia" w:ascii="宋体" w:hAnsi="宋体" w:eastAsia="宋体" w:cs="宋体"/>
                <w:bCs/>
                <w:color w:val="000000" w:themeColor="text1"/>
                <w:sz w:val="24"/>
                <w:szCs w:val="24"/>
                <w:highlight w:val="none"/>
                <w14:textFill>
                  <w14:solidFill>
                    <w14:schemeClr w14:val="tx1"/>
                  </w14:solidFill>
                </w14:textFill>
              </w:rPr>
              <w:t>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pStyle w:val="963"/>
              <w:widowControl w:val="0"/>
              <w:jc w:val="center"/>
              <w:rPr>
                <w:rFonts w:hint="default" w:ascii="宋体" w:hAnsi="宋体" w:eastAsia="宋体" w:cs="宋体"/>
                <w:color w:val="000000" w:themeColor="text1"/>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18</w:t>
            </w:r>
          </w:p>
        </w:tc>
        <w:tc>
          <w:tcPr>
            <w:tcW w:w="5212" w:type="dxa"/>
            <w:vAlign w:val="center"/>
          </w:tcPr>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根据</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拟投入本项目服务所需的常用检测仪器设备（包括专业车辆、作业机具等配置情况）齐全、先进，数量满足消防验收检测要求，根据完善性和合理性进行打分（0-</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5</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分）。【（自有或租赁均可，提供设备发票及车辆行驶证（租赁的还需提供租赁协议）扫描件并加盖公章，否则不得分】</w:t>
            </w:r>
          </w:p>
        </w:tc>
        <w:tc>
          <w:tcPr>
            <w:tcW w:w="750" w:type="dxa"/>
            <w:vAlign w:val="center"/>
          </w:tcPr>
          <w:p>
            <w:pPr>
              <w:pStyle w:val="7"/>
              <w:ind w:firstLine="0" w:firstLineChars="0"/>
              <w:jc w:val="center"/>
              <w:rPr>
                <w:rFonts w:hint="default"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hAnsi="宋体" w:cs="宋体"/>
                <w:snapToGrid w:val="0"/>
                <w:color w:val="000000" w:themeColor="text1"/>
                <w:kern w:val="28"/>
                <w:sz w:val="24"/>
                <w:szCs w:val="24"/>
                <w:highlight w:val="none"/>
                <w:lang w:val="en-US" w:eastAsia="zh-CN" w:bidi="ar-SA"/>
                <w14:textFill>
                  <w14:solidFill>
                    <w14:schemeClr w14:val="tx1"/>
                  </w14:solidFill>
                </w14:textFill>
              </w:rPr>
              <w:t>5</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9</w:t>
            </w:r>
          </w:p>
        </w:tc>
        <w:tc>
          <w:tcPr>
            <w:tcW w:w="5212" w:type="dxa"/>
            <w:vAlign w:val="center"/>
          </w:tcPr>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售后服务方案</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p>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投标人具有较强售后服务能力，售后服务响应迅速，售后服务方案科学合理。方案内容完整且与项目匹配度好的得4分；方案内容基本完整且与项目匹配度较好的得3分；方案内容存在欠缺或与项目匹配度一般的得2分；方案内容缺失严重或与项目不匹配的不得分。</w:t>
            </w:r>
          </w:p>
        </w:tc>
        <w:tc>
          <w:tcPr>
            <w:tcW w:w="750" w:type="dxa"/>
            <w:vAlign w:val="center"/>
          </w:tcPr>
          <w:p>
            <w:pPr>
              <w:pStyle w:val="7"/>
              <w:ind w:firstLine="0" w:firstLineChars="0"/>
              <w:jc w:val="center"/>
              <w:rPr>
                <w:rFonts w:hint="default"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hAnsi="宋体" w:cs="宋体"/>
                <w:snapToGrid w:val="0"/>
                <w:color w:val="000000" w:themeColor="text1"/>
                <w:kern w:val="28"/>
                <w:sz w:val="24"/>
                <w:szCs w:val="24"/>
                <w:highlight w:val="none"/>
                <w:lang w:val="en-US" w:eastAsia="zh-CN" w:bidi="ar-SA"/>
                <w14:textFill>
                  <w14:solidFill>
                    <w14:schemeClr w14:val="tx1"/>
                  </w14:solidFill>
                </w14:textFill>
              </w:rPr>
              <w:t>4</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主观分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20</w:t>
            </w:r>
          </w:p>
        </w:tc>
        <w:tc>
          <w:tcPr>
            <w:tcW w:w="5212" w:type="dxa"/>
            <w:vAlign w:val="center"/>
          </w:tcPr>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投标人</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能承诺提供消防技术相关业务培训3次（含）以上的，得2分，否则不得分。</w:t>
            </w:r>
          </w:p>
          <w:p>
            <w:pPr>
              <w:widowControl/>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有效证明材料：提供承诺函并加盖公章。</w:t>
            </w:r>
          </w:p>
        </w:tc>
        <w:tc>
          <w:tcPr>
            <w:tcW w:w="750" w:type="dxa"/>
            <w:vAlign w:val="center"/>
          </w:tcPr>
          <w:p>
            <w:pPr>
              <w:pStyle w:val="7"/>
              <w:ind w:firstLine="0" w:firstLineChars="0"/>
              <w:jc w:val="center"/>
              <w:rPr>
                <w:rFonts w:hint="default" w:ascii="宋体" w:hAnsi="宋体" w:eastAsia="宋体" w:cs="宋体"/>
                <w:snapToGrid w:val="0"/>
                <w:color w:val="000000" w:themeColor="text1"/>
                <w:kern w:val="28"/>
                <w:sz w:val="24"/>
                <w:szCs w:val="24"/>
                <w:highlight w:val="none"/>
                <w:lang w:val="en-US" w:eastAsia="zh-CN" w:bidi="ar-SA"/>
                <w14:textFill>
                  <w14:solidFill>
                    <w14:schemeClr w14:val="tx1"/>
                  </w14:solidFill>
                </w14:textFill>
              </w:rPr>
            </w:pPr>
            <w:r>
              <w:rPr>
                <w:rFonts w:hint="eastAsia" w:hAnsi="宋体" w:cs="宋体"/>
                <w:snapToGrid w:val="0"/>
                <w:color w:val="000000" w:themeColor="text1"/>
                <w:kern w:val="28"/>
                <w:sz w:val="24"/>
                <w:szCs w:val="24"/>
                <w:highlight w:val="none"/>
                <w:lang w:val="en-US" w:eastAsia="zh-CN" w:bidi="ar-SA"/>
                <w14:textFill>
                  <w14:solidFill>
                    <w14:schemeClr w14:val="tx1"/>
                  </w14:solidFill>
                </w14:textFill>
              </w:rPr>
              <w:t>2</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sz w:val="24"/>
                <w:szCs w:val="24"/>
                <w:highlight w:val="none"/>
                <w:lang w:val="en-US" w:eastAsia="zh-CN"/>
                <w14:textFill>
                  <w14:solidFill>
                    <w14:schemeClr w14:val="tx1"/>
                  </w14:solidFill>
                </w14:textFill>
              </w:rPr>
              <w:t>客观</w:t>
            </w:r>
            <w:r>
              <w:rPr>
                <w:rFonts w:hint="eastAsia" w:ascii="宋体" w:hAnsi="宋体" w:eastAsia="宋体" w:cs="宋体"/>
                <w:bCs/>
                <w:color w:val="000000" w:themeColor="text1"/>
                <w:sz w:val="24"/>
                <w:szCs w:val="24"/>
                <w:highlight w:val="none"/>
                <w14:textFill>
                  <w14:solidFill>
                    <w14:schemeClr w14:val="tx1"/>
                  </w14:solidFill>
                </w14:textFill>
              </w:rPr>
              <w:t>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2" w:type="dxa"/>
            <w:vAlign w:val="center"/>
          </w:tcPr>
          <w:p>
            <w:pPr>
              <w:spacing w:line="360" w:lineRule="auto"/>
              <w:jc w:val="center"/>
              <w:outlineLvl w:val="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21</w:t>
            </w:r>
          </w:p>
        </w:tc>
        <w:tc>
          <w:tcPr>
            <w:tcW w:w="5212" w:type="dxa"/>
            <w:vAlign w:val="center"/>
          </w:tcPr>
          <w:p>
            <w:pPr>
              <w:widowControl/>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投标人自2021年1月1日</w:t>
            </w:r>
            <w:r>
              <w:rPr>
                <w:rFonts w:hint="eastAsia" w:ascii="宋体" w:hAnsi="宋体" w:cs="宋体"/>
                <w:bCs/>
                <w:color w:val="000000" w:themeColor="text1"/>
                <w:sz w:val="24"/>
                <w:szCs w:val="24"/>
                <w:highlight w:val="none"/>
                <w:lang w:val="en-US" w:eastAsia="zh-CN"/>
                <w14:textFill>
                  <w14:solidFill>
                    <w14:schemeClr w14:val="tx1"/>
                  </w14:solidFill>
                </w14:textFill>
              </w:rPr>
              <w:t>以来</w:t>
            </w:r>
            <w:r>
              <w:rPr>
                <w:rFonts w:hint="eastAsia" w:ascii="宋体" w:hAnsi="宋体" w:eastAsia="宋体" w:cs="宋体"/>
                <w:bCs/>
                <w:color w:val="000000" w:themeColor="text1"/>
                <w:sz w:val="24"/>
                <w:szCs w:val="24"/>
                <w:highlight w:val="none"/>
                <w14:textFill>
                  <w14:solidFill>
                    <w14:schemeClr w14:val="tx1"/>
                  </w14:solidFill>
                </w14:textFill>
              </w:rPr>
              <w:t>（以合同签订日期为准）作为第三方技术服务机构参与建设工程消防验收（合同内容须包含《建设工程消防设计审查验收管理暂行规定》（51号部令）要求的现场评定），每具有1个项目得0.5分，最多得1分，没有不得分。</w:t>
            </w:r>
          </w:p>
          <w:p>
            <w:pPr>
              <w:widowControl/>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证明材料：提供合同及现场评定报告扫描件，业绩材料须能体现项目信息。否则不得分。（若现场评定相关消防设施检测服务内容分包，分包单位业绩不得分。）</w:t>
            </w:r>
          </w:p>
        </w:tc>
        <w:tc>
          <w:tcPr>
            <w:tcW w:w="750" w:type="dxa"/>
            <w:vAlign w:val="center"/>
          </w:tcPr>
          <w:p>
            <w:pPr>
              <w:snapToGrid w:val="0"/>
              <w:jc w:val="center"/>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1</w:t>
            </w:r>
          </w:p>
        </w:tc>
        <w:tc>
          <w:tcPr>
            <w:tcW w:w="1365" w:type="dxa"/>
            <w:vAlign w:val="center"/>
          </w:tcPr>
          <w:p>
            <w:pPr>
              <w:shd w:val="clear"/>
              <w:snapToGrid w:val="0"/>
              <w:spacing w:line="360" w:lineRule="auto"/>
              <w:jc w:val="cente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客观分</w:t>
            </w:r>
          </w:p>
        </w:tc>
        <w:tc>
          <w:tcPr>
            <w:tcW w:w="2093" w:type="dxa"/>
          </w:tcPr>
          <w:p>
            <w:pPr>
              <w:snapToGrid w:val="0"/>
              <w:spacing w:line="360" w:lineRule="auto"/>
              <w:jc w:val="center"/>
              <w:rPr>
                <w:rFonts w:cs="仿宋_GB2312" w:asciiTheme="minorEastAsia" w:hAnsiTheme="minorEastAsia" w:eastAsiaTheme="minorEastAsia"/>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jc w:val="center"/>
        </w:trPr>
        <w:tc>
          <w:tcPr>
            <w:tcW w:w="512" w:type="dxa"/>
            <w:vAlign w:val="center"/>
          </w:tcPr>
          <w:p>
            <w:pPr>
              <w:snapToGrid w:val="0"/>
              <w:spacing w:line="360" w:lineRule="auto"/>
              <w:jc w:val="center"/>
              <w:rPr>
                <w:rFonts w:hint="default"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22</w:t>
            </w:r>
          </w:p>
        </w:tc>
        <w:tc>
          <w:tcPr>
            <w:tcW w:w="5212" w:type="dxa"/>
          </w:tcPr>
          <w:p>
            <w:pPr>
              <w:keepNext w:val="0"/>
              <w:keepLines w:val="0"/>
              <w:pageBreakBefore w:val="0"/>
              <w:shd w:val="clear"/>
              <w:kinsoku/>
              <w:wordWrap/>
              <w:overflowPunct/>
              <w:topLinePunct w:val="0"/>
              <w:autoSpaceDE/>
              <w:autoSpaceDN/>
              <w:bidi w:val="0"/>
              <w:snapToGrid/>
              <w:spacing w:line="240" w:lineRule="auto"/>
              <w:textAlignment w:val="auto"/>
              <w:outlineLvl w:val="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有效投标报价的最低价作为评标基准价，其最低报价为满分；按［投标报价得分</w:t>
            </w:r>
            <w:r>
              <w:rPr>
                <w:rFonts w:cs="仿宋_GB2312" w:asciiTheme="minorEastAsia" w:hAnsiTheme="minorEastAsia" w:eastAsiaTheme="minorEastAsia"/>
                <w:color w:val="000000" w:themeColor="text1"/>
                <w:sz w:val="24"/>
                <w:highlight w:val="none"/>
                <w14:textFill>
                  <w14:solidFill>
                    <w14:schemeClr w14:val="tx1"/>
                  </w14:solidFill>
                </w14:textFill>
              </w:rPr>
              <w:t>=（评标基准价/投标报价）*</w:t>
            </w: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10</w:t>
            </w:r>
            <w:r>
              <w:rPr>
                <w:rFonts w:cs="仿宋_GB2312" w:asciiTheme="minorEastAsia" w:hAnsiTheme="minorEastAsia" w:eastAsiaTheme="minorEastAsia"/>
                <w:color w:val="000000" w:themeColor="text1"/>
                <w:sz w:val="24"/>
                <w:highlight w:val="none"/>
                <w14:textFill>
                  <w14:solidFill>
                    <w14:schemeClr w14:val="tx1"/>
                  </w14:solidFill>
                </w14:textFill>
              </w:rPr>
              <w:t>］的计算公式计算。</w:t>
            </w:r>
          </w:p>
          <w:p>
            <w:pPr>
              <w:keepNext w:val="0"/>
              <w:keepLines w:val="0"/>
              <w:pageBreakBefore w:val="0"/>
              <w:shd w:val="clear"/>
              <w:kinsoku/>
              <w:wordWrap/>
              <w:overflowPunct/>
              <w:topLinePunct w:val="0"/>
              <w:autoSpaceDE/>
              <w:autoSpaceDN/>
              <w:bidi w:val="0"/>
              <w:snapToGrid/>
              <w:spacing w:line="240" w:lineRule="auto"/>
              <w:textAlignment w:val="auto"/>
              <w:outlineLvl w:val="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评标过程中</w:t>
            </w:r>
            <w:bookmarkStart w:id="519" w:name="_GoBack"/>
            <w:bookmarkEnd w:id="519"/>
            <w:r>
              <w:rPr>
                <w:rFonts w:hint="eastAsia" w:cs="仿宋_GB2312" w:asciiTheme="minorEastAsia" w:hAnsiTheme="minorEastAsia" w:eastAsiaTheme="minorEastAsia"/>
                <w:color w:val="000000" w:themeColor="text1"/>
                <w:sz w:val="24"/>
                <w:highlight w:val="none"/>
                <w14:textFill>
                  <w14:solidFill>
                    <w14:schemeClr w14:val="tx1"/>
                  </w14:solidFill>
                </w14:textFill>
              </w:rPr>
              <w:t>，不得去掉报价中的最高报价和最低报价。</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rPr>
                <w:rFonts w:cs="仿宋_GB2312" w:asciiTheme="minorEastAsia" w:hAnsiTheme="minorEastAsia" w:eastAsiaTheme="minorEastAsia"/>
                <w:color w:val="000000" w:themeColor="text1"/>
                <w:sz w:val="24"/>
                <w:highlight w:val="none"/>
                <w14:textFill>
                  <w14:solidFill>
                    <w14:schemeClr w14:val="tx1"/>
                  </w14:solidFill>
                </w14:textFill>
              </w:rPr>
            </w:pPr>
            <w:r>
              <w:rPr>
                <w:rFonts w:cs="仿宋_GB2312" w:asciiTheme="minorEastAsia" w:hAnsiTheme="minorEastAsia" w:eastAsiaTheme="minorEastAsia"/>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widowControl/>
              <w:shd w:val="clear" w:color="auto"/>
              <w:kinsoku/>
              <w:wordWrap/>
              <w:overflowPunct/>
              <w:topLinePunct w:val="0"/>
              <w:autoSpaceDE/>
              <w:autoSpaceDN/>
              <w:bidi w:val="0"/>
              <w:adjustRightInd/>
              <w:snapToGrid/>
              <w:spacing w:line="240" w:lineRule="auto"/>
              <w:jc w:val="left"/>
              <w:textAlignment w:val="auto"/>
              <w:rPr>
                <w:rFonts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zh-TW"/>
                <w14:textFill>
                  <w14:solidFill>
                    <w14:schemeClr w14:val="tx1"/>
                  </w14:solidFill>
                </w14:textFill>
              </w:rPr>
              <w:t>因落实政府采购政策需要进行价格调整的，以调整后的价格计算评标基准价和投标报价。</w:t>
            </w:r>
          </w:p>
        </w:tc>
        <w:tc>
          <w:tcPr>
            <w:tcW w:w="750" w:type="dxa"/>
            <w:vAlign w:val="center"/>
          </w:tcPr>
          <w:p>
            <w:pPr>
              <w:spacing w:line="360" w:lineRule="auto"/>
              <w:jc w:val="center"/>
              <w:outlineLvl w:val="0"/>
              <w:rPr>
                <w:rFonts w:hint="default" w:cs="仿宋_GB2312"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cs="仿宋_GB2312" w:asciiTheme="minorEastAsia" w:hAnsiTheme="minorEastAsia" w:eastAsiaTheme="minorEastAsia"/>
                <w:color w:val="000000" w:themeColor="text1"/>
                <w:sz w:val="24"/>
                <w:highlight w:val="none"/>
                <w:lang w:val="en-US" w:eastAsia="zh-CN"/>
                <w14:textFill>
                  <w14:solidFill>
                    <w14:schemeClr w14:val="tx1"/>
                  </w14:solidFill>
                </w14:textFill>
              </w:rPr>
              <w:t>10</w:t>
            </w:r>
          </w:p>
        </w:tc>
        <w:tc>
          <w:tcPr>
            <w:tcW w:w="1365" w:type="dxa"/>
            <w:vAlign w:val="center"/>
          </w:tcPr>
          <w:p>
            <w:pPr>
              <w:spacing w:line="360" w:lineRule="auto"/>
              <w:jc w:val="center"/>
              <w:outlineLvl w:val="0"/>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客观分</w:t>
            </w:r>
          </w:p>
        </w:tc>
        <w:tc>
          <w:tcPr>
            <w:tcW w:w="2093" w:type="dxa"/>
            <w:vAlign w:val="center"/>
          </w:tcPr>
          <w:p>
            <w:pPr>
              <w:spacing w:line="360" w:lineRule="auto"/>
              <w:jc w:val="center"/>
              <w:outlineLvl w:val="0"/>
              <w:rPr>
                <w:rFonts w:cs="仿宋_GB2312" w:asciiTheme="minorEastAsia" w:hAnsiTheme="minorEastAsia" w:eastAsiaTheme="minorEastAsia"/>
                <w:color w:val="000000" w:themeColor="text1"/>
                <w:sz w:val="24"/>
                <w:highlight w:val="none"/>
                <w14:textFill>
                  <w14:solidFill>
                    <w14:schemeClr w14:val="tx1"/>
                  </w14:solidFill>
                </w14:textFill>
              </w:rPr>
            </w:pPr>
            <w:r>
              <w:rPr>
                <w:rFonts w:cs="仿宋_GB2312" w:asciiTheme="minorEastAsia" w:hAnsiTheme="minorEastAsia" w:eastAsiaTheme="minorEastAsia"/>
                <w:color w:val="000000" w:themeColor="text1"/>
                <w:sz w:val="24"/>
                <w:highlight w:val="none"/>
                <w14:textFill>
                  <w14:solidFill>
                    <w14:schemeClr w14:val="tx1"/>
                  </w14:solidFill>
                </w14:textFill>
              </w:rPr>
              <w:t>/</w:t>
            </w:r>
          </w:p>
        </w:tc>
      </w:tr>
    </w:tbl>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0"/>
          <w:szCs w:val="20"/>
          <w:highlight w:val="none"/>
          <w:shd w:val="clear" w:color="auto" w:fill="FFFFFF"/>
          <w14:textFill>
            <w14:solidFill>
              <w14:schemeClr w14:val="tx1"/>
            </w14:solidFill>
          </w14:textFill>
        </w:rPr>
        <w:t> *</w:t>
      </w:r>
      <w:r>
        <w:rPr>
          <w:rFonts w:hint="eastAsia" w:ascii="宋体" w:hAnsi="宋体" w:cs="宋体"/>
          <w:b/>
          <w:color w:val="000000" w:themeColor="text1"/>
          <w:sz w:val="24"/>
          <w:highlight w:val="none"/>
          <w14:textFill>
            <w14:solidFill>
              <w14:schemeClr w14:val="tx1"/>
            </w14:solidFill>
          </w14:textFill>
        </w:rPr>
        <w:t>备注：</w:t>
      </w:r>
      <w:r>
        <w:rPr>
          <w:rFonts w:hint="eastAsia" w:ascii="宋体" w:hAnsi="宋体" w:cs="宋体"/>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29"/>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3.4.5对于未预留份额专门面向中小企业的政府采购服务项目，以及预留份额政府采购服务项目中的非预留部分标项，对小型和微型企业的投标报价给予</w:t>
      </w:r>
      <w:r>
        <w:rPr>
          <w:rFonts w:ascii="宋体" w:hAnsi="宋体" w:cs="宋体"/>
          <w:color w:val="000000" w:themeColor="text1"/>
          <w:kern w:val="0"/>
          <w:szCs w:val="24"/>
          <w:highlight w:val="none"/>
          <w14:textFill>
            <w14:solidFill>
              <w14:schemeClr w14:val="tx1"/>
            </w14:solidFill>
          </w14:textFill>
        </w:rPr>
        <w:t>20</w:t>
      </w:r>
      <w:r>
        <w:rPr>
          <w:rFonts w:hint="eastAsia" w:ascii="宋体" w:hAnsi="宋体" w:cs="宋体"/>
          <w:color w:val="000000" w:themeColor="text1"/>
          <w:kern w:val="0"/>
          <w:szCs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color w:val="000000" w:themeColor="text1"/>
          <w:kern w:val="0"/>
          <w:szCs w:val="24"/>
          <w:highlight w:val="none"/>
          <w14:textFill>
            <w14:solidFill>
              <w14:schemeClr w14:val="tx1"/>
            </w14:solidFill>
          </w14:textFill>
        </w:rPr>
        <w:t>6</w:t>
      </w:r>
      <w:r>
        <w:rPr>
          <w:rFonts w:hint="eastAsia" w:ascii="宋体" w:hAnsi="宋体" w:cs="宋体"/>
          <w:color w:val="000000" w:themeColor="text1"/>
          <w:kern w:val="0"/>
          <w:szCs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hd w:val="clea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四、评标中的其他事项</w:t>
      </w:r>
    </w:p>
    <w:p>
      <w:pPr>
        <w:pStyle w:val="129"/>
        <w:shd w:val="clear"/>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4.1投标人澄清、说明或者补正。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8"/>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4.2.12投标人仅提交备份投标文件，未在电子交易平台传输递交投标文件的，投标无效；</w:t>
      </w:r>
    </w:p>
    <w:p>
      <w:pPr>
        <w:spacing w:line="360" w:lineRule="auto"/>
        <w:ind w:firstLine="480" w:firstLineChars="200"/>
        <w:rPr>
          <w:rFonts w:hint="eastAsia" w:ascii="宋体" w:hAnsi="宋体" w:eastAsia="宋体" w:cs="宋体"/>
          <w:color w:val="000000" w:themeColor="text1"/>
          <w:kern w:val="0"/>
          <w:sz w:val="24"/>
          <w:highlight w:val="none"/>
          <w:lang w:val="en-US"/>
          <w14:textFill>
            <w14:solidFill>
              <w14:schemeClr w14:val="tx1"/>
            </w14:solidFill>
          </w14:textFill>
        </w:rPr>
      </w:pPr>
      <w:r>
        <w:rPr>
          <w:rFonts w:hint="eastAsia" w:ascii="宋体" w:hAnsi="宋体" w:eastAsia="宋体" w:cs="宋体"/>
          <w:color w:val="000000" w:themeColor="text1"/>
          <w:kern w:val="0"/>
          <w:sz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8"/>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5.1符合专业条件的供应商或者对招标文件作实质响应的供应商不足3家的；</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5.3投标人的报价均超过了采购预算，采购人不能支付的；</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废标后，采购代理机构应当将废标理由通知所有投标人。</w:t>
      </w:r>
    </w:p>
    <w:p>
      <w:pPr>
        <w:pStyle w:val="8"/>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6.修改招标文件，重新组织采购活动。</w:t>
      </w:r>
      <w:r>
        <w:rPr>
          <w:rFonts w:hint="eastAsia"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8"/>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7.1未确定中标供应商的，终止本次政府采购活动，重新开展政府采购活动。</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8"/>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8"/>
        <w:snapToGrid w:val="0"/>
        <w:spacing w:line="360" w:lineRule="auto"/>
        <w:ind w:firstLine="0" w:firstLineChars="0"/>
        <w:rPr>
          <w:rFonts w:cs="宋体"/>
          <w:color w:val="000000" w:themeColor="text1"/>
          <w:highlight w:val="none"/>
          <w14:textFill>
            <w14:solidFill>
              <w14:schemeClr w14:val="tx1"/>
            </w14:solidFill>
          </w14:textFill>
        </w:rPr>
      </w:pPr>
    </w:p>
    <w:bookmarkEnd w:id="27"/>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bookmarkStart w:id="393" w:name="第五部分"/>
      <w:bookmarkStart w:id="394" w:name="_Toc86217003"/>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w:t>
      </w:r>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p>
    <w:p>
      <w:pPr>
        <w:widowControl/>
        <w:adjustRightInd/>
        <w:jc w:val="left"/>
        <w:rPr>
          <w:rFonts w:ascii="宋体" w:hAnsi="宋体" w:cs="宋体"/>
          <w:b/>
          <w:color w:val="000000" w:themeColor="text1"/>
          <w:sz w:val="36"/>
          <w:szCs w:val="36"/>
          <w:highlight w:val="none"/>
          <w14:textFill>
            <w14:solidFill>
              <w14:schemeClr w14:val="tx1"/>
            </w14:solidFill>
          </w14:textFill>
        </w:rPr>
      </w:pPr>
      <w:r>
        <w:rPr>
          <w:rFonts w:ascii="宋体" w:hAnsi="宋体" w:cs="宋体"/>
          <w:b/>
          <w:color w:val="000000" w:themeColor="text1"/>
          <w:sz w:val="36"/>
          <w:szCs w:val="36"/>
          <w:highlight w:val="none"/>
          <w14:textFill>
            <w14:solidFill>
              <w14:schemeClr w14:val="tx1"/>
            </w14:solidFill>
          </w14:textFill>
        </w:rPr>
        <w:br w:type="page"/>
      </w:r>
    </w:p>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第五部分 拟签订的合同文本</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合同编号：</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（服务类）</w:t>
      </w:r>
    </w:p>
    <w:p>
      <w:pPr>
        <w:pStyle w:val="700"/>
        <w:ind w:firstLine="2843" w:firstLineChars="118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第一部分 合同书</w:t>
      </w:r>
    </w:p>
    <w:p>
      <w:pPr>
        <w:spacing w:before="120" w:line="22" w:lineRule="atLeast"/>
        <w:rPr>
          <w:rFonts w:ascii="宋体" w:hAnsi="宋体" w:cs="宋体"/>
          <w:color w:val="000000" w:themeColor="text1"/>
          <w:sz w:val="24"/>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lang w:eastAsia="zh-CN"/>
          <w14:textFill>
            <w14:solidFill>
              <w14:schemeClr w14:val="tx1"/>
            </w14:solidFill>
          </w14:textFill>
        </w:rPr>
        <w:t>2023年度建筑工程消防验收第三方服务项目</w:t>
      </w:r>
    </w:p>
    <w:p>
      <w:pPr>
        <w:pStyle w:val="597"/>
        <w:spacing w:before="120" w:line="22" w:lineRule="atLeast"/>
        <w:rPr>
          <w:rFonts w:ascii="宋体" w:hAnsi="宋体" w:eastAsia="宋体" w:cs="宋体"/>
          <w:color w:val="000000" w:themeColor="text1"/>
          <w:szCs w:val="24"/>
          <w:highlight w:val="none"/>
          <w14:textFill>
            <w14:solidFill>
              <w14:schemeClr w14:val="tx1"/>
            </w14:solidFill>
          </w14:textFill>
        </w:rPr>
      </w:pPr>
    </w:p>
    <w:p>
      <w:pPr>
        <w:pStyle w:val="597"/>
        <w:spacing w:before="120" w:line="22" w:lineRule="atLeast"/>
        <w:rPr>
          <w:rFonts w:ascii="宋体" w:hAnsi="宋体" w:eastAsia="宋体" w:cs="宋体"/>
          <w:color w:val="000000" w:themeColor="text1"/>
          <w:szCs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建德市住房和城乡建设局</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签订地：</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2023</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widowControl/>
        <w:jc w:val="left"/>
        <w:rPr>
          <w:rFonts w:ascii="宋体" w:hAnsi="宋体" w:cs="宋体"/>
          <w:color w:val="000000" w:themeColor="text1"/>
          <w:kern w:val="0"/>
          <w:sz w:val="24"/>
          <w:highlight w:val="none"/>
          <w14:textFill>
            <w14:solidFill>
              <w14:schemeClr w14:val="tx1"/>
            </w14:solidFill>
          </w14:textFill>
        </w:rPr>
        <w:sectPr>
          <w:pgSz w:w="11907" w:h="16840"/>
          <w:pgMar w:top="1474" w:right="1814" w:bottom="1474" w:left="1814" w:header="851" w:footer="851" w:gutter="0"/>
          <w:cols w:space="720" w:num="1"/>
        </w:sectPr>
      </w:pP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年</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月</w:t>
      </w:r>
      <w:r>
        <w:rPr>
          <w:rFonts w:ascii="宋体" w:hAnsi="宋体"/>
          <w:color w:val="000000" w:themeColor="text1"/>
          <w:sz w:val="24"/>
          <w:highlight w:val="none"/>
          <w:u w:val="singl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日</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建德市住房和城乡建设局</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以</w:t>
      </w:r>
      <w:r>
        <w:rPr>
          <w:rFonts w:ascii="宋体" w:hAnsi="宋体"/>
          <w:color w:val="000000" w:themeColor="text1"/>
          <w:sz w:val="24"/>
          <w:highlight w:val="none"/>
          <w:u w:val="single"/>
          <w14:textFill>
            <w14:solidFill>
              <w14:schemeClr w14:val="tx1"/>
            </w14:solidFill>
          </w14:textFill>
        </w:rPr>
        <w:t xml:space="preserve">   （政府采购方式）  </w:t>
      </w:r>
      <w:r>
        <w:rPr>
          <w:rFonts w:hint="eastAsia" w:ascii="宋体" w:hAnsi="宋体"/>
          <w:color w:val="000000" w:themeColor="text1"/>
          <w:sz w:val="24"/>
          <w:highlight w:val="none"/>
          <w14:textFill>
            <w14:solidFill>
              <w14:schemeClr w14:val="tx1"/>
            </w14:solidFill>
          </w14:textFill>
        </w:rPr>
        <w:t>对</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项目进行了采购。经</w:t>
      </w:r>
      <w:r>
        <w:rPr>
          <w:rFonts w:ascii="宋体" w:hAnsi="宋体"/>
          <w:color w:val="000000" w:themeColor="text1"/>
          <w:sz w:val="24"/>
          <w:highlight w:val="none"/>
          <w:u w:val="single"/>
          <w14:textFill>
            <w14:solidFill>
              <w14:schemeClr w14:val="tx1"/>
            </w14:solidFill>
          </w14:textFill>
        </w:rPr>
        <w:t xml:space="preserve">   （相关评定主体名称）   </w:t>
      </w:r>
      <w:r>
        <w:rPr>
          <w:rFonts w:hint="eastAsia" w:ascii="宋体" w:hAnsi="宋体"/>
          <w:color w:val="000000" w:themeColor="text1"/>
          <w:sz w:val="24"/>
          <w:highlight w:val="none"/>
          <w14:textFill>
            <w14:solidFill>
              <w14:schemeClr w14:val="tx1"/>
            </w14:solidFill>
          </w14:textFill>
        </w:rPr>
        <w:t>评定，</w:t>
      </w:r>
      <w:r>
        <w:rPr>
          <w:rFonts w:ascii="宋体" w:hAnsi="宋体"/>
          <w:color w:val="000000" w:themeColor="text1"/>
          <w:sz w:val="24"/>
          <w:highlight w:val="none"/>
          <w:u w:val="single"/>
          <w14:textFill>
            <w14:solidFill>
              <w14:schemeClr w14:val="tx1"/>
            </w14:solidFill>
          </w14:textFill>
        </w:rPr>
        <w:t xml:space="preserve">   （中标</w:t>
      </w:r>
      <w:r>
        <w:rPr>
          <w:rFonts w:hint="eastAsia" w:ascii="宋体" w:hAnsi="宋体"/>
          <w:color w:val="000000" w:themeColor="text1"/>
          <w:sz w:val="24"/>
          <w:highlight w:val="none"/>
          <w:u w:val="single"/>
          <w14:textFill>
            <w14:solidFill>
              <w14:schemeClr w14:val="tx1"/>
            </w14:solidFill>
          </w14:textFill>
        </w:rPr>
        <w:t>或者成交</w:t>
      </w:r>
      <w:r>
        <w:rPr>
          <w:rFonts w:ascii="宋体" w:hAnsi="宋体"/>
          <w:color w:val="000000" w:themeColor="text1"/>
          <w:sz w:val="24"/>
          <w:highlight w:val="none"/>
          <w:u w:val="single"/>
          <w14:textFill>
            <w14:solidFill>
              <w14:schemeClr w14:val="tx1"/>
            </w14:solidFill>
          </w14:textFill>
        </w:rPr>
        <w:t xml:space="preserve">供应商名称） </w:t>
      </w:r>
      <w:r>
        <w:rPr>
          <w:rFonts w:hint="eastAsia" w:ascii="宋体" w:hAnsi="宋体"/>
          <w:color w:val="000000" w:themeColor="text1"/>
          <w:sz w:val="24"/>
          <w:highlight w:val="none"/>
          <w14:textFill>
            <w14:solidFill>
              <w14:schemeClr w14:val="tx1"/>
            </w14:solidFill>
          </w14:textFill>
        </w:rPr>
        <w:t>为该项目</w:t>
      </w:r>
      <w:r>
        <w:rPr>
          <w:rFonts w:hint="eastAsia" w:ascii="宋体" w:hAnsi="宋体" w:cs="宋体"/>
          <w:color w:val="000000" w:themeColor="text1"/>
          <w:sz w:val="24"/>
          <w:highlight w:val="none"/>
          <w14:textFill>
            <w14:solidFill>
              <w14:schemeClr w14:val="tx1"/>
            </w14:solidFill>
          </w14:textFill>
        </w:rPr>
        <w:t>中标或者成交供应商</w:t>
      </w:r>
      <w:r>
        <w:rPr>
          <w:rFonts w:hint="eastAsia" w:ascii="宋体" w:hAnsi="宋体"/>
          <w:color w:val="000000" w:themeColor="text1"/>
          <w:sz w:val="24"/>
          <w:highlight w:val="none"/>
          <w14:textFill>
            <w14:solidFill>
              <w14:schemeClr w14:val="tx1"/>
            </w14:solidFill>
          </w14:textFill>
        </w:rPr>
        <w:t>。现于</w:t>
      </w:r>
      <w:r>
        <w:rPr>
          <w:rFonts w:hint="eastAsia" w:ascii="宋体" w:hAnsi="宋体" w:cs="宋体"/>
          <w:color w:val="000000" w:themeColor="text1"/>
          <w:sz w:val="24"/>
          <w:highlight w:val="none"/>
          <w14:textFill>
            <w14:solidFill>
              <w14:schemeClr w14:val="tx1"/>
            </w14:solidFill>
          </w14:textFill>
        </w:rPr>
        <w:t>中标或者成交通知书</w:t>
      </w:r>
      <w:r>
        <w:rPr>
          <w:rFonts w:hint="eastAsia" w:ascii="宋体" w:hAnsi="宋体"/>
          <w:color w:val="000000" w:themeColor="text1"/>
          <w:sz w:val="24"/>
          <w:highlight w:val="none"/>
          <w14:textFill>
            <w14:solidFill>
              <w14:schemeClr w14:val="tx1"/>
            </w14:solidFill>
          </w14:textFill>
        </w:rPr>
        <w:t>发出之日起10个工作日内，按照采购文件确定的事项签订本合同。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根据《中华人民共和国民法典》《中华人民共和国政府采购法》等相关法律法规之规定，按照平等、自愿、公平和诚实信用的原则，经</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lang w:eastAsia="zh-CN"/>
          <w14:textFill>
            <w14:solidFill>
              <w14:schemeClr w14:val="tx1"/>
            </w14:solidFill>
          </w14:textFill>
        </w:rPr>
        <w:t>建德市住房和城乡建设局</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lang w:val="zh-CN"/>
          <w14:textFill>
            <w14:solidFill>
              <w14:schemeClr w14:val="tx1"/>
            </w14:solidFill>
          </w14:textFill>
        </w:rPr>
        <w:t>(以下简称：甲方)和</w:t>
      </w:r>
      <w:r>
        <w:rPr>
          <w:rFonts w:ascii="宋体" w:hAnsi="宋体"/>
          <w:color w:val="000000" w:themeColor="text1"/>
          <w:sz w:val="24"/>
          <w:highlight w:val="none"/>
          <w:u w:val="single"/>
          <w14:textFill>
            <w14:solidFill>
              <w14:schemeClr w14:val="tx1"/>
            </w14:solidFill>
          </w14:textFill>
        </w:rPr>
        <w:t xml:space="preserve">   （中</w:t>
      </w:r>
      <w:r>
        <w:rPr>
          <w:rFonts w:hint="eastAsia" w:ascii="宋体" w:hAnsi="宋体"/>
          <w:color w:val="000000" w:themeColor="text1"/>
          <w:sz w:val="24"/>
          <w:highlight w:val="none"/>
          <w:u w:val="single"/>
          <w14:textFill>
            <w14:solidFill>
              <w14:schemeClr w14:val="tx1"/>
            </w14:solidFill>
          </w14:textFill>
        </w:rPr>
        <w:t>或者成交</w:t>
      </w:r>
      <w:r>
        <w:rPr>
          <w:rFonts w:ascii="宋体" w:hAnsi="宋体"/>
          <w:color w:val="000000" w:themeColor="text1"/>
          <w:sz w:val="24"/>
          <w:highlight w:val="none"/>
          <w:u w:val="single"/>
          <w14:textFill>
            <w14:solidFill>
              <w14:schemeClr w14:val="tx1"/>
            </w14:solidFill>
          </w14:textFill>
        </w:rPr>
        <w:t xml:space="preserve">标供应商名称）   </w:t>
      </w:r>
      <w:r>
        <w:rPr>
          <w:rFonts w:ascii="宋体" w:hAnsi="宋体"/>
          <w:color w:val="000000" w:themeColor="text1"/>
          <w:sz w:val="24"/>
          <w:highlight w:val="none"/>
          <w:lang w:val="zh-CN"/>
          <w14:textFill>
            <w14:solidFill>
              <w14:schemeClr w14:val="tx1"/>
            </w14:solidFill>
          </w14:textFill>
        </w:rPr>
        <w:t>(以下简称：乙方)协商一致，约定以下合同</w:t>
      </w:r>
      <w:r>
        <w:rPr>
          <w:rFonts w:hint="eastAsia" w:ascii="宋体" w:hAnsi="宋体"/>
          <w:color w:val="000000" w:themeColor="text1"/>
          <w:sz w:val="24"/>
          <w:highlight w:val="none"/>
          <w14:textFill>
            <w14:solidFill>
              <w14:schemeClr w14:val="tx1"/>
            </w14:solidFill>
          </w14:textFill>
        </w:rPr>
        <w:t>条款，以兹共同遵守、全面履行。</w:t>
      </w:r>
    </w:p>
    <w:p>
      <w:pPr>
        <w:spacing w:line="560" w:lineRule="exact"/>
        <w:ind w:firstLine="482" w:firstLineChars="200"/>
        <w:outlineLvl w:val="0"/>
        <w:rPr>
          <w:rFonts w:ascii="宋体" w:hAnsi="宋体"/>
          <w:color w:val="000000" w:themeColor="text1"/>
          <w:sz w:val="24"/>
          <w:highlight w:val="none"/>
          <w14:textFill>
            <w14:solidFill>
              <w14:schemeClr w14:val="tx1"/>
            </w14:solidFill>
          </w14:textFill>
        </w:rPr>
      </w:pPr>
      <w:bookmarkStart w:id="395" w:name="_Toc28855"/>
      <w:bookmarkStart w:id="396" w:name="_Toc19273"/>
      <w:bookmarkStart w:id="397" w:name="_Toc22967"/>
      <w:bookmarkStart w:id="398" w:name="_Toc15367"/>
      <w:bookmarkStart w:id="399" w:name="_Toc20421"/>
      <w:r>
        <w:rPr>
          <w:rFonts w:ascii="宋体" w:hAnsi="宋体"/>
          <w:b/>
          <w:color w:val="000000" w:themeColor="text1"/>
          <w:sz w:val="24"/>
          <w:highlight w:val="none"/>
          <w14:textFill>
            <w14:solidFill>
              <w14:schemeClr w14:val="tx1"/>
            </w14:solidFill>
          </w14:textFill>
        </w:rPr>
        <w:t xml:space="preserve">1.1 </w:t>
      </w:r>
      <w:r>
        <w:rPr>
          <w:rFonts w:hint="eastAsia" w:ascii="宋体" w:hAnsi="宋体"/>
          <w:b/>
          <w:color w:val="000000" w:themeColor="text1"/>
          <w:sz w:val="24"/>
          <w:highlight w:val="none"/>
          <w14:textFill>
            <w14:solidFill>
              <w14:schemeClr w14:val="tx1"/>
            </w14:solidFill>
          </w14:textFill>
        </w:rPr>
        <w:t>合同组成部分</w:t>
      </w:r>
      <w:bookmarkEnd w:id="395"/>
      <w:bookmarkEnd w:id="396"/>
      <w:bookmarkEnd w:id="397"/>
      <w:bookmarkEnd w:id="398"/>
      <w:bookmarkEnd w:id="39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1.1.1 </w:t>
      </w:r>
      <w:r>
        <w:rPr>
          <w:rFonts w:hint="eastAsia" w:ascii="宋体" w:hAnsi="宋体"/>
          <w:color w:val="000000" w:themeColor="text1"/>
          <w:sz w:val="24"/>
          <w:highlight w:val="none"/>
          <w14:textFill>
            <w14:solidFill>
              <w14:schemeClr w14:val="tx1"/>
            </w14:solidFill>
          </w14:textFill>
        </w:rPr>
        <w:t>本合同及其补充合同、变更协议；</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1.1.2 </w:t>
      </w:r>
      <w:r>
        <w:rPr>
          <w:rFonts w:hint="eastAsia" w:ascii="宋体" w:hAnsi="宋体"/>
          <w:color w:val="000000" w:themeColor="text1"/>
          <w:sz w:val="24"/>
          <w:highlight w:val="none"/>
          <w14:textFill>
            <w14:solidFill>
              <w14:schemeClr w14:val="tx1"/>
            </w14:solidFill>
          </w14:textFill>
        </w:rPr>
        <w:t>中标或者成交通知书；</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1.1.3 </w:t>
      </w:r>
      <w:r>
        <w:rPr>
          <w:rFonts w:hint="eastAsia" w:ascii="宋体" w:hAnsi="宋体"/>
          <w:color w:val="000000" w:themeColor="text1"/>
          <w:sz w:val="24"/>
          <w:highlight w:val="none"/>
          <w14:textFill>
            <w14:solidFill>
              <w14:schemeClr w14:val="tx1"/>
            </w14:solidFill>
          </w14:textFill>
        </w:rPr>
        <w:t>投标或者响应文件（含澄清或者说明文件）；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1.1.4 </w:t>
      </w:r>
      <w:r>
        <w:rPr>
          <w:rFonts w:hint="eastAsia" w:ascii="宋体" w:hAnsi="宋体"/>
          <w:color w:val="000000" w:themeColor="text1"/>
          <w:sz w:val="24"/>
          <w:highlight w:val="none"/>
          <w14:textFill>
            <w14:solidFill>
              <w14:schemeClr w14:val="tx1"/>
            </w14:solidFill>
          </w14:textFill>
        </w:rPr>
        <w:t>采购文件（含澄清或者修改文件）；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1.1.5 </w:t>
      </w:r>
      <w:r>
        <w:rPr>
          <w:rFonts w:hint="eastAsia" w:ascii="宋体" w:hAnsi="宋体"/>
          <w:color w:val="000000" w:themeColor="text1"/>
          <w:sz w:val="24"/>
          <w:highlight w:val="none"/>
          <w14:textFill>
            <w14:solidFill>
              <w14:schemeClr w14:val="tx1"/>
            </w14:solidFill>
          </w14:textFill>
        </w:rPr>
        <w:t>其他相关采购文件。</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00" w:name="_Toc6311"/>
      <w:bookmarkStart w:id="401" w:name="_Toc6773"/>
      <w:bookmarkStart w:id="402" w:name="_Toc2918"/>
      <w:bookmarkStart w:id="403" w:name="_Toc22185"/>
      <w:bookmarkStart w:id="404" w:name="_Toc18585"/>
      <w:r>
        <w:rPr>
          <w:rFonts w:ascii="宋体" w:hAnsi="宋体"/>
          <w:b/>
          <w:color w:val="000000" w:themeColor="text1"/>
          <w:sz w:val="24"/>
          <w:highlight w:val="none"/>
          <w14:textFill>
            <w14:solidFill>
              <w14:schemeClr w14:val="tx1"/>
            </w14:solidFill>
          </w14:textFill>
        </w:rPr>
        <w:t xml:space="preserve">1.2 </w:t>
      </w:r>
      <w:r>
        <w:rPr>
          <w:rFonts w:hint="eastAsia" w:ascii="宋体" w:hAnsi="宋体"/>
          <w:b/>
          <w:color w:val="000000" w:themeColor="text1"/>
          <w:sz w:val="24"/>
          <w:highlight w:val="none"/>
          <w14:textFill>
            <w14:solidFill>
              <w14:schemeClr w14:val="tx1"/>
            </w14:solidFill>
          </w14:textFill>
        </w:rPr>
        <w:t>标的</w:t>
      </w:r>
      <w:bookmarkEnd w:id="400"/>
      <w:bookmarkEnd w:id="401"/>
      <w:bookmarkEnd w:id="402"/>
      <w:bookmarkEnd w:id="403"/>
      <w:bookmarkEnd w:id="404"/>
    </w:p>
    <w:p>
      <w:pPr>
        <w:spacing w:line="480" w:lineRule="auto"/>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1.2.1 </w:t>
      </w:r>
      <w:r>
        <w:rPr>
          <w:rFonts w:hint="eastAsia" w:ascii="宋体" w:hAnsi="宋体"/>
          <w:color w:val="000000" w:themeColor="text1"/>
          <w:sz w:val="24"/>
          <w:highlight w:val="none"/>
          <w14:textFill>
            <w14:solidFill>
              <w14:schemeClr w14:val="tx1"/>
            </w14:solidFill>
          </w14:textFill>
        </w:rPr>
        <w:t>服务内容</w:t>
      </w:r>
      <w:r>
        <w:rPr>
          <w:rFonts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480" w:lineRule="auto"/>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1.2.2 </w:t>
      </w:r>
      <w:r>
        <w:rPr>
          <w:rFonts w:hint="eastAsia" w:ascii="宋体" w:hAnsi="宋体"/>
          <w:color w:val="000000" w:themeColor="text1"/>
          <w:sz w:val="24"/>
          <w:highlight w:val="none"/>
          <w14:textFill>
            <w14:solidFill>
              <w14:schemeClr w14:val="tx1"/>
            </w14:solidFill>
          </w14:textFill>
        </w:rPr>
        <w:t>服务标准</w:t>
      </w:r>
      <w:r>
        <w:rPr>
          <w:rFonts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spacing w:line="480" w:lineRule="auto"/>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1.2.3 </w:t>
      </w:r>
      <w:r>
        <w:rPr>
          <w:rFonts w:hint="eastAsia" w:ascii="宋体" w:hAnsi="宋体"/>
          <w:color w:val="000000" w:themeColor="text1"/>
          <w:sz w:val="24"/>
          <w:highlight w:val="none"/>
          <w14:textFill>
            <w14:solidFill>
              <w14:schemeClr w14:val="tx1"/>
            </w14:solidFill>
          </w14:textFill>
        </w:rPr>
        <w:t>技术保障：</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u w:val="single"/>
          <w14:textFill>
            <w14:solidFill>
              <w14:schemeClr w14:val="tx1"/>
            </w14:solidFill>
          </w14:textFill>
        </w:rPr>
        <w:t>；</w:t>
      </w:r>
    </w:p>
    <w:p>
      <w:pPr>
        <w:spacing w:line="48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1.2.4 服务人员组成：</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w:t>
      </w:r>
    </w:p>
    <w:p>
      <w:pPr>
        <w:pStyle w:val="958"/>
        <w:spacing w:before="0" w:beforeAutospacing="0" w:after="0" w:afterAutospacing="0" w:line="48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1.2.5合同</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否）涉及货物。若涉及货物的的，则：</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bookmarkStart w:id="405" w:name="_Toc1386"/>
      <w:bookmarkStart w:id="406" w:name="_Toc4929"/>
      <w:bookmarkStart w:id="407" w:name="_Toc21124"/>
      <w:bookmarkStart w:id="408" w:name="_Toc5635"/>
      <w:bookmarkStart w:id="409" w:name="_Toc13918"/>
      <w:r>
        <w:rPr>
          <w:rFonts w:hint="eastAsia" w:ascii="宋体" w:hAnsi="宋体" w:cs="宋体"/>
          <w:color w:val="000000" w:themeColor="text1"/>
          <w:sz w:val="24"/>
          <w:highlight w:val="none"/>
          <w14:textFill>
            <w14:solidFill>
              <w14:schemeClr w14:val="tx1"/>
            </w14:solidFill>
          </w14:textFill>
        </w:rPr>
        <w:t>1.2.5.1 货物名称、品牌、规格型号、花色：</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1.2.5.2 货物数量：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1.2.5.3 货物质量：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1.3 价款</w:t>
      </w:r>
      <w:bookmarkEnd w:id="405"/>
      <w:bookmarkEnd w:id="406"/>
      <w:bookmarkEnd w:id="407"/>
      <w:bookmarkEnd w:id="408"/>
      <w:bookmarkEnd w:id="40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本项目采用以下第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b/>
          <w:bCs/>
          <w:color w:val="000000" w:themeColor="text1"/>
          <w:sz w:val="24"/>
          <w:highlight w:val="none"/>
          <w:u w:val="single"/>
          <w:lang w:val="en-US" w:eastAsia="zh-CN"/>
          <w14:textFill>
            <w14:solidFill>
              <w14:schemeClr w14:val="tx1"/>
            </w14:solidFill>
          </w14:textFill>
        </w:rPr>
        <w:t>1.32</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条款规定的计价方式计价。</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1.3.1总价合同，</w:t>
      </w:r>
      <w:r>
        <w:rPr>
          <w:rFonts w:ascii="宋体" w:hAnsi="宋体"/>
          <w:color w:val="000000" w:themeColor="text1"/>
          <w:sz w:val="24"/>
          <w:highlight w:val="none"/>
          <w14:textFill>
            <w14:solidFill>
              <w14:schemeClr w14:val="tx1"/>
            </w14:solidFill>
          </w14:textFill>
        </w:rPr>
        <w:t>本合同总价</w:t>
      </w:r>
      <w:r>
        <w:rPr>
          <w:rFonts w:hint="eastAsia" w:ascii="宋体" w:hAnsi="宋体"/>
          <w:color w:val="000000" w:themeColor="text1"/>
          <w:sz w:val="24"/>
          <w:highlight w:val="none"/>
          <w14:textFill>
            <w14:solidFill>
              <w14:schemeClr w14:val="tx1"/>
            </w14:solidFill>
          </w14:textFill>
        </w:rPr>
        <w:t>（含税）</w:t>
      </w:r>
      <w:r>
        <w:rPr>
          <w:rFonts w:ascii="宋体" w:hAnsi="宋体"/>
          <w:color w:val="000000" w:themeColor="text1"/>
          <w:sz w:val="24"/>
          <w:highlight w:val="none"/>
          <w14:textFill>
            <w14:solidFill>
              <w14:schemeClr w14:val="tx1"/>
            </w14:solidFill>
          </w14:textFill>
        </w:rPr>
        <w:t>为</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元</w:t>
      </w:r>
      <w:r>
        <w:rPr>
          <w:rFonts w:hint="eastAsia" w:ascii="宋体" w:hAnsi="宋体"/>
          <w:color w:val="000000" w:themeColor="text1"/>
          <w:sz w:val="24"/>
          <w:highlight w:val="none"/>
          <w14:textFill>
            <w14:solidFill>
              <w14:schemeClr w14:val="tx1"/>
            </w14:solidFill>
          </w14:textFill>
        </w:rPr>
        <w:t>（大写：</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元人民币）</w:t>
      </w:r>
      <w:r>
        <w:rPr>
          <w:rFonts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序号</w:t>
            </w:r>
          </w:p>
        </w:tc>
        <w:tc>
          <w:tcPr>
            <w:tcW w:w="340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分项名称</w:t>
            </w:r>
          </w:p>
        </w:tc>
        <w:tc>
          <w:tcPr>
            <w:tcW w:w="2552" w:type="dxa"/>
            <w:vAlign w:val="center"/>
          </w:tcPr>
          <w:p>
            <w:pPr>
              <w:pStyle w:val="318"/>
              <w:spacing w:line="560" w:lineRule="exact"/>
              <w:jc w:val="center"/>
              <w:rPr>
                <w:rFonts w:hAnsi="宋体"/>
                <w:color w:val="000000" w:themeColor="text1"/>
                <w:sz w:val="24"/>
                <w:szCs w:val="24"/>
                <w:highlight w:val="none"/>
                <w14:textFill>
                  <w14:solidFill>
                    <w14:schemeClr w14:val="tx1"/>
                  </w14:solidFill>
                </w14:textFill>
              </w:rPr>
            </w:pPr>
            <w:r>
              <w:rPr>
                <w:rFonts w:hAnsi="宋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340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c>
          <w:tcPr>
            <w:tcW w:w="255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r>
              <w:rPr>
                <w:rFonts w:hint="eastAsia" w:hAnsi="宋体"/>
                <w:color w:val="000000" w:themeColor="text1"/>
                <w:sz w:val="24"/>
                <w:szCs w:val="24"/>
                <w:highlight w:val="none"/>
                <w14:textFill>
                  <w14:solidFill>
                    <w14:schemeClr w14:val="tx1"/>
                  </w14:solidFill>
                </w14:textFill>
              </w:rPr>
              <w:t>总价</w:t>
            </w:r>
          </w:p>
        </w:tc>
        <w:tc>
          <w:tcPr>
            <w:tcW w:w="2552" w:type="dxa"/>
            <w:vAlign w:val="center"/>
          </w:tcPr>
          <w:p>
            <w:pPr>
              <w:pStyle w:val="318"/>
              <w:spacing w:line="560" w:lineRule="exact"/>
              <w:ind w:firstLine="200"/>
              <w:jc w:val="center"/>
              <w:rPr>
                <w:rFonts w:hAnsi="宋体"/>
                <w:color w:val="000000" w:themeColor="text1"/>
                <w:sz w:val="24"/>
                <w:szCs w:val="24"/>
                <w:highlight w:val="none"/>
                <w14:textFill>
                  <w14:solidFill>
                    <w14:schemeClr w14:val="tx1"/>
                  </w14:solidFill>
                </w14:textFill>
              </w:rPr>
            </w:pPr>
          </w:p>
        </w:tc>
      </w:tr>
    </w:tbl>
    <w:p>
      <w:pPr>
        <w:spacing w:line="560" w:lineRule="exact"/>
        <w:ind w:firstLine="480" w:firstLineChars="200"/>
        <w:rPr>
          <w:rFonts w:ascii="宋体" w:hAnsi="宋体"/>
          <w:color w:val="000000" w:themeColor="text1"/>
          <w:sz w:val="24"/>
          <w:highlight w:val="none"/>
          <w14:textFill>
            <w14:solidFill>
              <w14:schemeClr w14:val="tx1"/>
            </w14:solidFill>
          </w14:textFill>
        </w:rPr>
      </w:pPr>
      <w:bookmarkStart w:id="410" w:name="_Toc3654"/>
      <w:bookmarkStart w:id="411" w:name="_Toc30506"/>
      <w:bookmarkStart w:id="412" w:name="_Toc14993"/>
      <w:bookmarkStart w:id="413" w:name="_Toc30158"/>
      <w:bookmarkStart w:id="414" w:name="_Toc26916"/>
      <w:r>
        <w:rPr>
          <w:rFonts w:hint="eastAsia" w:ascii="宋体" w:hAnsi="宋体"/>
          <w:bCs/>
          <w:color w:val="000000" w:themeColor="text1"/>
          <w:sz w:val="24"/>
          <w:highlight w:val="none"/>
          <w14:textFill>
            <w14:solidFill>
              <w14:schemeClr w14:val="tx1"/>
            </w14:solidFill>
          </w14:textFill>
        </w:rPr>
        <w:t>1.3.2单价合同，本合同单价（含税）标准为：</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bCs/>
          <w:color w:val="000000" w:themeColor="text1"/>
          <w:sz w:val="24"/>
          <w:highlight w:val="none"/>
          <w:u w:val="single"/>
          <w:lang w:val="en-US" w:eastAsia="zh-CN"/>
          <w14:textFill>
            <w14:solidFill>
              <w14:schemeClr w14:val="tx1"/>
            </w14:solidFill>
          </w14:textFill>
        </w:rPr>
        <w:t>元/平方米</w:t>
      </w:r>
      <w:r>
        <w:rPr>
          <w:rFonts w:hint="eastAsia" w:ascii="宋体" w:hAnsi="宋体"/>
          <w:bCs/>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服务工作量的计量方式为：</w:t>
      </w:r>
      <w:r>
        <w:rPr>
          <w:rFonts w:hint="eastAsia" w:ascii="宋体" w:hAnsi="宋体"/>
          <w:bCs/>
          <w:color w:val="000000" w:themeColor="text1"/>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bCs/>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单价合同，在合同履行期间内，根据实际完成的工作量据实结算，但结算总价上限不得超过预算金额或者双方确定的金额￥</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元</w:t>
      </w:r>
      <w:r>
        <w:rPr>
          <w:rFonts w:hint="eastAsia" w:ascii="宋体" w:hAnsi="宋体"/>
          <w:color w:val="000000" w:themeColor="text1"/>
          <w:sz w:val="24"/>
          <w:highlight w:val="none"/>
          <w14:textFill>
            <w14:solidFill>
              <w14:schemeClr w14:val="tx1"/>
            </w14:solidFill>
          </w14:textFill>
        </w:rPr>
        <w:t>（大写：</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元人民币）。</w:t>
      </w:r>
    </w:p>
    <w:p>
      <w:pPr>
        <w:pStyle w:val="5"/>
        <w:rPr>
          <w:color w:val="000000" w:themeColor="text1"/>
          <w:highlight w:val="none"/>
          <w:lang w:val="en-US"/>
          <w14:textFill>
            <w14:solidFill>
              <w14:schemeClr w14:val="tx1"/>
            </w14:solidFill>
          </w14:textFill>
        </w:rPr>
      </w:pPr>
      <w:r>
        <w:rPr>
          <w:rFonts w:hint="eastAsia" w:ascii="宋体" w:hAnsi="宋体"/>
          <w:color w:val="000000" w:themeColor="text1"/>
          <w:sz w:val="24"/>
          <w:highlight w:val="none"/>
          <w:lang w:val="en-US"/>
          <w14:textFill>
            <w14:solidFill>
              <w14:schemeClr w14:val="tx1"/>
            </w14:solidFill>
          </w14:textFill>
        </w:rPr>
        <w:t xml:space="preserve">    </w:t>
      </w:r>
      <w:r>
        <w:rPr>
          <w:rFonts w:hint="eastAsia" w:ascii="宋体" w:hAnsi="宋体" w:eastAsia="宋体" w:cs="宋体"/>
          <w:b w:val="0"/>
          <w:bCs w:val="0"/>
          <w:color w:val="000000" w:themeColor="text1"/>
          <w:sz w:val="24"/>
          <w:highlight w:val="none"/>
          <w:lang w:val="en-US"/>
          <w14:textFill>
            <w14:solidFill>
              <w14:schemeClr w14:val="tx1"/>
            </w14:solidFill>
          </w14:textFill>
        </w:rPr>
        <w:t>1.3.3其他计价方式：</w:t>
      </w:r>
      <w:r>
        <w:rPr>
          <w:rFonts w:hint="eastAsia" w:ascii="宋体" w:hAnsi="宋体" w:eastAsia="宋体" w:cs="宋体"/>
          <w:b w:val="0"/>
          <w:bCs w:val="0"/>
          <w:color w:val="000000" w:themeColor="text1"/>
          <w:sz w:val="24"/>
          <w:highlight w:val="none"/>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highlight w:val="none"/>
          <w14:textFill>
            <w14:solidFill>
              <w14:schemeClr w14:val="tx1"/>
            </w14:solidFill>
          </w14:textFill>
        </w:rPr>
        <w:t>。</w:t>
      </w:r>
    </w:p>
    <w:bookmarkEnd w:id="410"/>
    <w:bookmarkEnd w:id="411"/>
    <w:bookmarkEnd w:id="412"/>
    <w:bookmarkEnd w:id="413"/>
    <w:bookmarkEnd w:id="414"/>
    <w:p>
      <w:pPr>
        <w:pStyle w:val="958"/>
        <w:spacing w:before="0" w:beforeAutospacing="0" w:after="0" w:afterAutospacing="0" w:line="360" w:lineRule="auto"/>
        <w:ind w:firstLine="480"/>
        <w:rPr>
          <w:b/>
          <w:color w:val="000000" w:themeColor="text1"/>
          <w:highlight w:val="none"/>
          <w14:textFill>
            <w14:solidFill>
              <w14:schemeClr w14:val="tx1"/>
            </w14:solidFill>
          </w14:textFill>
        </w:rPr>
      </w:pPr>
      <w:bookmarkStart w:id="415" w:name="_Toc1814"/>
      <w:bookmarkStart w:id="416" w:name="_Toc10340"/>
      <w:bookmarkStart w:id="417" w:name="_Toc22618"/>
      <w:bookmarkStart w:id="418" w:name="_Toc3625"/>
      <w:bookmarkStart w:id="419" w:name="_Toc4760"/>
      <w:bookmarkStart w:id="420" w:name="_Toc8772"/>
      <w:bookmarkStart w:id="421" w:name="_Toc11108"/>
      <w:bookmarkStart w:id="422" w:name="_Toc31421"/>
      <w:r>
        <w:rPr>
          <w:rFonts w:hint="eastAsia"/>
          <w:b/>
          <w:color w:val="000000" w:themeColor="text1"/>
          <w:highlight w:val="none"/>
          <w14:textFill>
            <w14:solidFill>
              <w14:schemeClr w14:val="tx1"/>
            </w14:solidFill>
          </w14:textFill>
        </w:rPr>
        <w:t>1.4履约保证金</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rFonts w:hint="eastAsia"/>
          <w:color w:val="000000" w:themeColor="text1"/>
          <w:highlight w:val="none"/>
          <w:u w:val="single"/>
          <w14:textFill>
            <w14:solidFill>
              <w14:schemeClr w14:val="tx1"/>
            </w14:solidFill>
          </w14:textFill>
        </w:rPr>
        <w:t xml:space="preserve">  否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否）需要支付履约保证金。若需要支付履约保证金的，则：</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1.4.1履约保证金的比例为合同金额的</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1.4.2履约保证金支付方式详见</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Style w:val="5"/>
        <w:tabs>
          <w:tab w:val="left" w:pos="0"/>
        </w:tabs>
        <w:spacing w:line="560" w:lineRule="exact"/>
        <w:ind w:left="0" w:firstLine="480" w:firstLineChars="200"/>
        <w:rPr>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1.4.4甲方在项目验收结束后及时退还履约保证金。甲方在项目通过验收之日起</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highlight w:val="none"/>
          <w:u w:val="single"/>
          <w14:textFill>
            <w14:solidFill>
              <w14:schemeClr w14:val="tx1"/>
            </w14:solidFill>
          </w14:textFill>
        </w:rPr>
        <w:t xml:space="preserve">  0.05（可根据情况修改）  </w:t>
      </w:r>
      <w:r>
        <w:rPr>
          <w:rFonts w:hint="eastAsia" w:ascii="宋体" w:hAnsi="宋体" w:cs="宋体"/>
          <w:color w:val="000000" w:themeColor="text1"/>
          <w:kern w:val="0"/>
          <w:sz w:val="24"/>
          <w:highlight w:val="none"/>
          <w14:textFill>
            <w14:solidFill>
              <w14:schemeClr w14:val="tx1"/>
            </w14:solidFill>
          </w14:textFill>
        </w:rPr>
        <w:t>%计算，最高限额为本合同履约保证金的</w:t>
      </w:r>
      <w:r>
        <w:rPr>
          <w:rFonts w:hint="eastAsia" w:ascii="宋体" w:hAnsi="宋体" w:cs="宋体"/>
          <w:color w:val="000000" w:themeColor="text1"/>
          <w:kern w:val="0"/>
          <w:sz w:val="24"/>
          <w:highlight w:val="none"/>
          <w:u w:val="single"/>
          <w14:textFill>
            <w14:solidFill>
              <w14:schemeClr w14:val="tx1"/>
            </w14:solidFill>
          </w14:textFill>
        </w:rPr>
        <w:t xml:space="preserve">  20  </w:t>
      </w:r>
      <w:r>
        <w:rPr>
          <w:rFonts w:hint="eastAsia" w:ascii="宋体" w:hAnsi="宋体" w:cs="宋体"/>
          <w:color w:val="000000" w:themeColor="text1"/>
          <w:kern w:val="0"/>
          <w:sz w:val="24"/>
          <w:highlight w:val="none"/>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w:t>
      </w:r>
      <w:bookmarkEnd w:id="415"/>
      <w:bookmarkEnd w:id="416"/>
      <w:bookmarkEnd w:id="417"/>
      <w:r>
        <w:rPr>
          <w:rFonts w:hint="eastAsia" w:ascii="宋体" w:hAnsi="宋体" w:cs="宋体"/>
          <w:b/>
          <w:color w:val="000000" w:themeColor="text1"/>
          <w:sz w:val="24"/>
          <w:highlight w:val="none"/>
          <w14:textFill>
            <w14:solidFill>
              <w14:schemeClr w14:val="tx1"/>
            </w14:solidFill>
          </w14:textFill>
        </w:rPr>
        <w:t>预付款</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否）需要支付预付款。若需要支付预付款的，则：</w:t>
      </w:r>
    </w:p>
    <w:p>
      <w:pPr>
        <w:spacing w:line="560" w:lineRule="exact"/>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1.5.1预付款比例、支付方式、时间详见</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1.5.2预付款的扣回方式详见</w:t>
      </w:r>
      <w:r>
        <w:rPr>
          <w:rFonts w:hint="eastAsia"/>
          <w:color w:val="000000" w:themeColor="text1"/>
          <w:highlight w:val="none"/>
          <w:u w:val="single"/>
          <w14:textFill>
            <w14:solidFill>
              <w14:schemeClr w14:val="tx1"/>
            </w14:solidFill>
          </w14:textFill>
        </w:rPr>
        <w:t xml:space="preserve">    </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958"/>
        <w:spacing w:before="0" w:beforeAutospacing="0" w:after="0" w:afterAutospacing="0" w:line="360" w:lineRule="auto"/>
        <w:ind w:firstLine="480"/>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1.5.3预付款的担保措施详见</w:t>
      </w:r>
      <w:r>
        <w:rPr>
          <w:rFonts w:hint="eastAsia"/>
          <w:color w:val="000000" w:themeColor="text1"/>
          <w:highlight w:val="none"/>
          <w:u w:val="single"/>
          <w14:textFill>
            <w14:solidFill>
              <w14:schemeClr w14:val="tx1"/>
            </w14:solidFill>
          </w14:textFill>
        </w:rPr>
        <w:t xml:space="preserve">    </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958"/>
        <w:spacing w:before="0" w:beforeAutospacing="0" w:after="0" w:afterAutospacing="0" w:line="360" w:lineRule="auto"/>
        <w:ind w:firstLine="480"/>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1.6资金支付</w:t>
      </w:r>
    </w:p>
    <w:p>
      <w:pPr>
        <w:pStyle w:val="958"/>
        <w:spacing w:before="0" w:beforeAutospacing="0" w:after="0" w:afterAutospacing="0"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1.6.2资金支付的方式、时间和条件详见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7</w:t>
      </w:r>
      <w:r>
        <w:rPr>
          <w:rFonts w:ascii="宋体" w:hAnsi="宋体"/>
          <w:b/>
          <w:color w:val="000000" w:themeColor="text1"/>
          <w:sz w:val="24"/>
          <w:highlight w:val="none"/>
          <w14:textFill>
            <w14:solidFill>
              <w14:schemeClr w14:val="tx1"/>
            </w14:solidFill>
          </w14:textFill>
        </w:rPr>
        <w:t xml:space="preserve"> 履行期限</w:t>
      </w:r>
      <w:r>
        <w:rPr>
          <w:rFonts w:hint="eastAsia" w:ascii="宋体" w:hAnsi="宋体"/>
          <w:b/>
          <w:color w:val="000000" w:themeColor="text1"/>
          <w:sz w:val="24"/>
          <w:highlight w:val="none"/>
          <w14:textFill>
            <w14:solidFill>
              <w14:schemeClr w14:val="tx1"/>
            </w14:solidFill>
          </w14:textFill>
        </w:rPr>
        <w:t>、地点和方式</w:t>
      </w:r>
      <w:bookmarkEnd w:id="418"/>
      <w:bookmarkEnd w:id="419"/>
      <w:bookmarkEnd w:id="420"/>
      <w:bookmarkEnd w:id="421"/>
      <w:bookmarkEnd w:id="422"/>
    </w:p>
    <w:p>
      <w:pPr>
        <w:spacing w:line="560" w:lineRule="exact"/>
        <w:ind w:firstLine="480" w:firstLineChars="200"/>
        <w:rPr>
          <w:rFonts w:ascii="宋体" w:hAnsi="宋体"/>
          <w:color w:val="000000" w:themeColor="text1"/>
          <w:sz w:val="24"/>
          <w:highlight w:val="none"/>
          <w:u w:val="singl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.1 </w:t>
      </w:r>
      <w:r>
        <w:rPr>
          <w:rFonts w:hint="eastAsia" w:ascii="宋体" w:hAnsi="宋体"/>
          <w:color w:val="000000" w:themeColor="text1"/>
          <w:sz w:val="24"/>
          <w:highlight w:val="none"/>
          <w14:textFill>
            <w14:solidFill>
              <w14:schemeClr w14:val="tx1"/>
            </w14:solidFill>
          </w14:textFill>
        </w:rPr>
        <w:t>服务交付（实施）的时间（期限）</w:t>
      </w:r>
      <w:r>
        <w:rPr>
          <w:rFonts w:ascii="宋体" w:hAnsi="宋体"/>
          <w:color w:val="000000" w:themeColor="text1"/>
          <w:sz w:val="24"/>
          <w:highlight w:val="none"/>
          <w14:textFill>
            <w14:solidFill>
              <w14:schemeClr w14:val="tx1"/>
            </w14:solidFill>
          </w14:textFill>
        </w:rPr>
        <w:t>：</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.2 </w:t>
      </w:r>
      <w:r>
        <w:rPr>
          <w:rFonts w:hint="eastAsia" w:ascii="宋体" w:hAnsi="宋体"/>
          <w:color w:val="000000" w:themeColor="text1"/>
          <w:sz w:val="24"/>
          <w:highlight w:val="none"/>
          <w14:textFill>
            <w14:solidFill>
              <w14:schemeClr w14:val="tx1"/>
            </w14:solidFill>
          </w14:textFill>
        </w:rPr>
        <w:t>服</w:t>
      </w:r>
      <w:r>
        <w:rPr>
          <w:rFonts w:hint="eastAsia" w:ascii="宋体" w:hAnsi="宋体" w:cs="宋体"/>
          <w:color w:val="000000" w:themeColor="text1"/>
          <w:sz w:val="24"/>
          <w:highlight w:val="none"/>
          <w14:textFill>
            <w14:solidFill>
              <w14:schemeClr w14:val="tx1"/>
            </w14:solidFill>
          </w14:textFill>
        </w:rPr>
        <w:t>务交付（实施）的地点（地域范围）：</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7</w:t>
      </w:r>
      <w:r>
        <w:rPr>
          <w:rFonts w:ascii="宋体" w:hAnsi="宋体"/>
          <w:color w:val="000000" w:themeColor="text1"/>
          <w:sz w:val="24"/>
          <w:highlight w:val="none"/>
          <w14:textFill>
            <w14:solidFill>
              <w14:schemeClr w14:val="tx1"/>
            </w14:solidFill>
          </w14:textFill>
        </w:rPr>
        <w:t xml:space="preserve">.3 </w:t>
      </w:r>
      <w:r>
        <w:rPr>
          <w:rFonts w:hint="eastAsia" w:ascii="宋体" w:hAnsi="宋体"/>
          <w:color w:val="000000" w:themeColor="text1"/>
          <w:sz w:val="24"/>
          <w:highlight w:val="none"/>
          <w14:textFill>
            <w14:solidFill>
              <w14:schemeClr w14:val="tx1"/>
            </w14:solidFill>
          </w14:textFill>
        </w:rPr>
        <w:t>服务交付（实施）的方式：</w:t>
      </w:r>
      <w:r>
        <w:rPr>
          <w:rFonts w:hint="eastAsia" w:ascii="宋体" w:hAnsi="宋体"/>
          <w:b/>
          <w:i/>
          <w:color w:val="000000" w:themeColor="text1"/>
          <w:sz w:val="24"/>
          <w:highlight w:val="none"/>
          <w:u w:val="single"/>
          <w14:textFill>
            <w14:solidFill>
              <w14:schemeClr w14:val="tx1"/>
            </w14:solidFill>
          </w14:textFill>
        </w:rPr>
        <w:t>合同专用条款</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outlineLvl w:val="0"/>
        <w:rPr>
          <w:rFonts w:ascii="宋体" w:hAnsi="宋体"/>
          <w:bCs/>
          <w:color w:val="000000" w:themeColor="text1"/>
          <w:sz w:val="24"/>
          <w:highlight w:val="none"/>
          <w14:textFill>
            <w14:solidFill>
              <w14:schemeClr w14:val="tx1"/>
            </w14:solidFill>
          </w14:textFill>
        </w:rPr>
      </w:pPr>
      <w:bookmarkStart w:id="423" w:name="_Toc2375"/>
      <w:bookmarkStart w:id="424" w:name="_Toc3079"/>
      <w:bookmarkStart w:id="425" w:name="_Toc24662"/>
      <w:bookmarkStart w:id="426" w:name="_Toc8586"/>
      <w:bookmarkStart w:id="427" w:name="_Toc5698"/>
      <w:r>
        <w:rPr>
          <w:rFonts w:hint="eastAsia" w:ascii="宋体" w:hAnsi="宋体"/>
          <w:bCs/>
          <w:color w:val="000000" w:themeColor="text1"/>
          <w:sz w:val="24"/>
          <w:highlight w:val="none"/>
          <w14:textFill>
            <w14:solidFill>
              <w14:schemeClr w14:val="tx1"/>
            </w14:solidFill>
          </w14:textFill>
        </w:rPr>
        <w:t>1.7.4若服务</w:t>
      </w:r>
      <w:r>
        <w:rPr>
          <w:rFonts w:hint="eastAsia"/>
          <w:bCs/>
          <w:color w:val="000000" w:themeColor="text1"/>
          <w:sz w:val="24"/>
          <w:highlight w:val="none"/>
          <w14:textFill>
            <w14:solidFill>
              <w14:schemeClr w14:val="tx1"/>
            </w14:solidFill>
          </w14:textFill>
        </w:rPr>
        <w:t>涉及货物的，则货物的：</w:t>
      </w:r>
    </w:p>
    <w:p>
      <w:pPr>
        <w:spacing w:line="560" w:lineRule="exact"/>
        <w:ind w:firstLine="480" w:firstLineChars="2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1.7.4.1 交付期限：详见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1.7.4.2 交付地点：</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1.7.4.3 交付方式：</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color w:val="000000" w:themeColor="text1"/>
          <w:sz w:val="24"/>
          <w:highlight w:val="none"/>
          <w:u w:val="single"/>
          <w14:textFill>
            <w14:solidFill>
              <w14:schemeClr w14:val="tx1"/>
            </w14:solidFill>
          </w14:textFill>
        </w:rPr>
      </w:pPr>
      <w:r>
        <w:rPr>
          <w:rFonts w:ascii="宋体" w:hAnsi="宋体"/>
          <w:b/>
          <w:color w:val="000000" w:themeColor="text1"/>
          <w:sz w:val="24"/>
          <w:highlight w:val="none"/>
          <w14:textFill>
            <w14:solidFill>
              <w14:schemeClr w14:val="tx1"/>
            </w14:solidFill>
          </w14:textFill>
        </w:rPr>
        <w:t>1.</w:t>
      </w:r>
      <w:r>
        <w:rPr>
          <w:rFonts w:hint="eastAsia" w:ascii="宋体" w:hAnsi="宋体"/>
          <w:b/>
          <w:color w:val="000000" w:themeColor="text1"/>
          <w:sz w:val="24"/>
          <w:highlight w:val="none"/>
          <w14:textFill>
            <w14:solidFill>
              <w14:schemeClr w14:val="tx1"/>
            </w14:solidFill>
          </w14:textFill>
        </w:rPr>
        <w:t>8违约责任</w:t>
      </w:r>
      <w:bookmarkEnd w:id="423"/>
      <w:bookmarkEnd w:id="424"/>
      <w:bookmarkEnd w:id="425"/>
      <w:bookmarkEnd w:id="426"/>
      <w:bookmarkEnd w:id="427"/>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8</w:t>
      </w:r>
      <w:r>
        <w:rPr>
          <w:rFonts w:ascii="宋体" w:hAnsi="宋体"/>
          <w:color w:val="000000" w:themeColor="text1"/>
          <w:sz w:val="24"/>
          <w:highlight w:val="none"/>
          <w14:textFill>
            <w14:solidFill>
              <w14:schemeClr w14:val="tx1"/>
            </w14:solidFill>
          </w14:textFill>
        </w:rPr>
        <w:t>.1 除不可抗力外，如果乙方没有按照本合同约定的期限</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地点和方式</w:t>
      </w:r>
      <w:r>
        <w:rPr>
          <w:rFonts w:hint="eastAsia" w:ascii="宋体" w:hAnsi="宋体"/>
          <w:color w:val="000000" w:themeColor="text1"/>
          <w:sz w:val="24"/>
          <w:highlight w:val="none"/>
          <w14:textFill>
            <w14:solidFill>
              <w14:schemeClr w14:val="tx1"/>
            </w14:solidFill>
          </w14:textFill>
        </w:rPr>
        <w:t>交付服务成果或者实施服务</w:t>
      </w:r>
      <w:r>
        <w:rPr>
          <w:rFonts w:ascii="宋体" w:hAnsi="宋体"/>
          <w:color w:val="000000" w:themeColor="text1"/>
          <w:sz w:val="24"/>
          <w:highlight w:val="none"/>
          <w14:textFill>
            <w14:solidFill>
              <w14:schemeClr w14:val="tx1"/>
            </w14:solidFill>
          </w14:textFill>
        </w:rPr>
        <w:t>，那么甲方可要求乙方支付违约金</w:t>
      </w:r>
      <w:r>
        <w:rPr>
          <w:rFonts w:hint="eastAsia" w:ascii="宋体" w:hAnsi="宋体"/>
          <w:color w:val="000000" w:themeColor="text1"/>
          <w:sz w:val="24"/>
          <w:highlight w:val="none"/>
          <w14:textFill>
            <w14:solidFill>
              <w14:schemeClr w14:val="tx1"/>
            </w14:solidFill>
          </w14:textFill>
        </w:rPr>
        <w:t>，迟延履行</w:t>
      </w:r>
      <w:r>
        <w:rPr>
          <w:rFonts w:ascii="宋体" w:hAnsi="宋体"/>
          <w:color w:val="000000" w:themeColor="text1"/>
          <w:sz w:val="24"/>
          <w:highlight w:val="none"/>
          <w14:textFill>
            <w14:solidFill>
              <w14:schemeClr w14:val="tx1"/>
            </w14:solidFill>
          </w14:textFill>
        </w:rPr>
        <w:t>违约金按每迟延</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一日的应提供而未</w:t>
      </w:r>
      <w:r>
        <w:rPr>
          <w:rFonts w:hint="eastAsia" w:ascii="宋体" w:hAnsi="宋体"/>
          <w:color w:val="000000" w:themeColor="text1"/>
          <w:sz w:val="24"/>
          <w:highlight w:val="none"/>
          <w14:textFill>
            <w14:solidFill>
              <w14:schemeClr w14:val="tx1"/>
            </w14:solidFill>
          </w14:textFill>
        </w:rPr>
        <w:t>提供</w:t>
      </w:r>
      <w:r>
        <w:rPr>
          <w:rFonts w:ascii="宋体" w:hAnsi="宋体"/>
          <w:color w:val="000000" w:themeColor="text1"/>
          <w:sz w:val="24"/>
          <w:highlight w:val="none"/>
          <w14:textFill>
            <w14:solidFill>
              <w14:schemeClr w14:val="tx1"/>
            </w14:solidFill>
          </w14:textFill>
        </w:rPr>
        <w:t>服务价格的</w:t>
      </w:r>
      <w:r>
        <w:rPr>
          <w:rFonts w:hint="eastAsia" w:ascii="宋体" w:hAnsi="宋体"/>
          <w:color w:val="000000" w:themeColor="text1"/>
          <w:sz w:val="24"/>
          <w:highlight w:val="none"/>
          <w:u w:val="single"/>
          <w14:textFill>
            <w14:solidFill>
              <w14:schemeClr w14:val="tx1"/>
            </w14:solidFill>
          </w14:textFill>
        </w:rPr>
        <w:t>0.05</w:t>
      </w:r>
      <w:r>
        <w:rPr>
          <w:rFonts w:ascii="宋体" w:hAnsi="宋体"/>
          <w:color w:val="000000" w:themeColor="text1"/>
          <w:sz w:val="24"/>
          <w:highlight w:val="none"/>
          <w:u w:val="singl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%计算</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最高限额为</w:t>
      </w:r>
      <w:r>
        <w:rPr>
          <w:rFonts w:hint="eastAsia" w:ascii="宋体" w:hAnsi="宋体"/>
          <w:color w:val="000000" w:themeColor="text1"/>
          <w:sz w:val="24"/>
          <w:highlight w:val="none"/>
          <w14:textFill>
            <w14:solidFill>
              <w14:schemeClr w14:val="tx1"/>
            </w14:solidFill>
          </w14:textFill>
        </w:rPr>
        <w:t>本</w:t>
      </w:r>
      <w:r>
        <w:rPr>
          <w:rFonts w:ascii="宋体" w:hAnsi="宋体"/>
          <w:color w:val="000000" w:themeColor="text1"/>
          <w:sz w:val="24"/>
          <w:highlight w:val="none"/>
          <w14:textFill>
            <w14:solidFill>
              <w14:schemeClr w14:val="tx1"/>
            </w14:solidFill>
          </w14:textFill>
        </w:rPr>
        <w:t>合同总价的</w:t>
      </w:r>
      <w:r>
        <w:rPr>
          <w:rFonts w:ascii="宋体" w:hAnsi="宋体"/>
          <w:color w:val="000000" w:themeColor="text1"/>
          <w:sz w:val="24"/>
          <w:highlight w:val="none"/>
          <w:u w:val="single"/>
          <w14:textFill>
            <w14:solidFill>
              <w14:schemeClr w14:val="tx1"/>
            </w14:solidFill>
          </w14:textFill>
        </w:rPr>
        <w:t xml:space="preserve">  20   </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迟延</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的违约金计算数额达到前述最高限额之日起</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甲方有权在要求乙方支付违约金的同时</w:t>
      </w:r>
      <w:r>
        <w:rPr>
          <w:rFonts w:hint="eastAsia" w:ascii="宋体" w:hAnsi="宋体"/>
          <w:color w:val="000000" w:themeColor="text1"/>
          <w:sz w:val="24"/>
          <w:highlight w:val="none"/>
          <w14:textFill>
            <w14:solidFill>
              <w14:schemeClr w14:val="tx1"/>
            </w14:solidFill>
          </w14:textFill>
        </w:rPr>
        <w:t>，书面通知乙方</w:t>
      </w:r>
      <w:r>
        <w:rPr>
          <w:rFonts w:ascii="宋体" w:hAnsi="宋体"/>
          <w:color w:val="000000" w:themeColor="text1"/>
          <w:sz w:val="24"/>
          <w:highlight w:val="none"/>
          <w14:textFill>
            <w14:solidFill>
              <w14:schemeClr w14:val="tx1"/>
            </w14:solidFill>
          </w14:textFill>
        </w:rPr>
        <w:t>解除本合同</w:t>
      </w:r>
      <w:r>
        <w:rPr>
          <w:rFonts w:hint="eastAsia" w:ascii="宋体" w:hAnsi="宋体"/>
          <w:color w:val="000000" w:themeColor="text1"/>
          <w:sz w:val="24"/>
          <w:highlight w:val="none"/>
          <w14:textFill>
            <w14:solidFill>
              <w14:schemeClr w14:val="tx1"/>
            </w14:solidFill>
          </w14:textFill>
        </w:rPr>
        <w:t>；</w:t>
      </w:r>
    </w:p>
    <w:p>
      <w:pPr>
        <w:pStyle w:val="5"/>
        <w:ind w:left="0" w:firstLine="480" w:firstLineChars="200"/>
        <w:rPr>
          <w:rFonts w:ascii="宋体" w:hAnsi="宋体" w:eastAsia="宋体" w:cs="宋体"/>
          <w:b w:val="0"/>
          <w:bCs w:val="0"/>
          <w:color w:val="000000" w:themeColor="text1"/>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14:textFill>
            <w14:solidFill>
              <w14:schemeClr w14:val="tx1"/>
            </w14:solidFill>
          </w14:textFill>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0.0</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 xml:space="preserve">5（可根据情况修改） </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%计算，最高限额为本合同总价的</w:t>
      </w:r>
      <w:r>
        <w:rPr>
          <w:rFonts w:hint="eastAsia" w:ascii="宋体" w:hAnsi="宋体" w:eastAsia="宋体" w:cs="宋体"/>
          <w:b w:val="0"/>
          <w:bCs w:val="0"/>
          <w:color w:val="000000" w:themeColor="text1"/>
          <w:sz w:val="24"/>
          <w:szCs w:val="24"/>
          <w:highlight w:val="none"/>
          <w:u w:val="single"/>
          <w:lang w:val="en-US"/>
          <w14:textFill>
            <w14:solidFill>
              <w14:schemeClr w14:val="tx1"/>
            </w14:solidFill>
          </w14:textFill>
        </w:rPr>
        <w:t xml:space="preserve">  20  </w:t>
      </w:r>
      <w:r>
        <w:rPr>
          <w:rFonts w:hint="eastAsia" w:ascii="宋体" w:hAnsi="宋体" w:eastAsia="宋体" w:cs="宋体"/>
          <w:b w:val="0"/>
          <w:bCs w:val="0"/>
          <w:color w:val="000000" w:themeColor="text1"/>
          <w:sz w:val="24"/>
          <w:szCs w:val="24"/>
          <w:highlight w:val="none"/>
          <w:lang w:val="en-US"/>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1.</w:t>
      </w:r>
      <w:r>
        <w:rPr>
          <w:rFonts w:hint="eastAsia" w:ascii="宋体" w:hAnsi="宋体"/>
          <w:color w:val="000000" w:themeColor="text1"/>
          <w:sz w:val="24"/>
          <w:highlight w:val="none"/>
          <w14:textFill>
            <w14:solidFill>
              <w14:schemeClr w14:val="tx1"/>
            </w14:solidFill>
          </w14:textFill>
        </w:rPr>
        <w:t>8</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highlight w:val="none"/>
          <w:u w:val="single"/>
          <w14:textFill>
            <w14:solidFill>
              <w14:schemeClr w14:val="tx1"/>
            </w14:solidFill>
          </w14:textFill>
        </w:rPr>
        <w:t xml:space="preserve">   0.05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bookmarkStart w:id="428" w:name="_Toc9497"/>
      <w:bookmarkStart w:id="429" w:name="_Toc26807"/>
      <w:bookmarkStart w:id="430" w:name="_Toc18683"/>
      <w:bookmarkStart w:id="431" w:name="_Toc30329"/>
      <w:bookmarkStart w:id="432" w:name="_Toc32454"/>
      <w:r>
        <w:rPr>
          <w:rFonts w:hint="eastAsia" w:ascii="宋体" w:hAnsi="宋体" w:cs="宋体"/>
          <w:color w:val="000000" w:themeColor="text1"/>
          <w:sz w:val="24"/>
          <w:highlight w:val="none"/>
          <w14:textFill>
            <w14:solidFill>
              <w14:schemeClr w14:val="tx1"/>
            </w14:solidFill>
          </w14:textFill>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1.8.7违约责任</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33" w:name="_Toc28375"/>
      <w:bookmarkStart w:id="434" w:name="_Toc15583"/>
      <w:bookmarkStart w:id="435" w:name="_Toc16021"/>
      <w:r>
        <w:rPr>
          <w:rFonts w:hint="eastAsia" w:ascii="宋体" w:hAnsi="宋体" w:cs="宋体"/>
          <w:b/>
          <w:color w:val="000000" w:themeColor="text1"/>
          <w:sz w:val="24"/>
          <w:highlight w:val="none"/>
          <w14:textFill>
            <w14:solidFill>
              <w14:schemeClr w14:val="tx1"/>
            </w14:solidFill>
          </w14:textFill>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1.9.1 将争议提交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1.9.2 向</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436" w:name="_Toc7245"/>
      <w:bookmarkStart w:id="437" w:name="_Toc11173"/>
      <w:bookmarkStart w:id="438" w:name="_Toc15322"/>
      <w:r>
        <w:rPr>
          <w:rFonts w:hint="eastAsia" w:ascii="宋体" w:hAnsi="宋体" w:cs="宋体"/>
          <w:b/>
          <w:color w:val="000000" w:themeColor="text1"/>
          <w:sz w:val="24"/>
          <w:highlight w:val="none"/>
          <w14:textFill>
            <w14:solidFill>
              <w14:schemeClr w14:val="tx1"/>
            </w14:solidFill>
          </w14:textFill>
        </w:rPr>
        <w:t>2.0 合同生效</w:t>
      </w:r>
      <w:bookmarkEnd w:id="436"/>
      <w:bookmarkEnd w:id="437"/>
      <w:bookmarkEnd w:id="438"/>
    </w:p>
    <w:p>
      <w:pPr>
        <w:spacing w:line="560" w:lineRule="exact"/>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本合同自双方当事人盖章签字时生效。</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b/>
          <w:color w:val="000000" w:themeColor="text1"/>
          <w:sz w:val="24"/>
          <w:highlight w:val="none"/>
          <w:lang w:val="zh-CN"/>
          <w14:textFill>
            <w14:solidFill>
              <w14:schemeClr w14:val="tx1"/>
            </w14:solidFill>
          </w14:textFill>
        </w:rPr>
        <w:t>甲方</w:t>
      </w:r>
      <w:r>
        <w:rPr>
          <w:rFonts w:hint="eastAsia" w:ascii="宋体" w:hAnsi="宋体"/>
          <w:color w:val="000000" w:themeColor="text1"/>
          <w:sz w:val="24"/>
          <w:highlight w:val="none"/>
          <w:lang w:val="zh-CN"/>
          <w14:textFill>
            <w14:solidFill>
              <w14:schemeClr w14:val="tx1"/>
            </w14:solidFill>
          </w14:textFill>
        </w:rPr>
        <w:t>：</w:t>
      </w:r>
      <w:r>
        <w:rPr>
          <w:rFonts w:ascii="宋体" w:hAnsi="宋体"/>
          <w:color w:val="000000" w:themeColor="text1"/>
          <w:sz w:val="24"/>
          <w:highlight w:val="none"/>
          <w:lang w:val="zh-CN"/>
          <w14:textFill>
            <w14:solidFill>
              <w14:schemeClr w14:val="tx1"/>
            </w14:solidFill>
          </w14:textFill>
        </w:rPr>
        <w:t xml:space="preserve">                             </w:t>
      </w:r>
      <w:r>
        <w:rPr>
          <w:rFonts w:ascii="宋体" w:hAnsi="宋体"/>
          <w:b/>
          <w:color w:val="000000" w:themeColor="text1"/>
          <w:sz w:val="24"/>
          <w:highlight w:val="none"/>
          <w:lang w:val="zh-CN"/>
          <w14:textFill>
            <w14:solidFill>
              <w14:schemeClr w14:val="tx1"/>
            </w14:solidFill>
          </w14:textFill>
        </w:rPr>
        <w:t xml:space="preserve">      乙方</w:t>
      </w:r>
      <w:r>
        <w:rPr>
          <w:rFonts w:hint="eastAsia" w:ascii="宋体" w:hAnsi="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统一社会信用代码：</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统一社会信用代码或身份证号码：</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住所：</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住所：</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法定代表人或</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法定代表人或</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授权代表（签字）：</w:t>
      </w:r>
      <w:r>
        <w:rPr>
          <w:rFonts w:ascii="宋体" w:hAnsi="宋体"/>
          <w:color w:val="000000" w:themeColor="text1"/>
          <w:sz w:val="24"/>
          <w:highlight w:val="none"/>
          <w:lang w:val="zh-CN"/>
          <w14:textFill>
            <w14:solidFill>
              <w14:schemeClr w14:val="tx1"/>
            </w14:solidFill>
          </w14:textFill>
        </w:rPr>
        <w:t xml:space="preserve">                       授权代表（签字）: </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联系人：</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联系人：</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约定送达地址：</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约定送达地址：</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邮政编码：</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邮政编码：</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电话</w:t>
      </w:r>
      <w:r>
        <w:rPr>
          <w:rFonts w:ascii="宋体" w:hAnsi="宋体"/>
          <w:color w:val="000000" w:themeColor="text1"/>
          <w:sz w:val="24"/>
          <w:highlight w:val="none"/>
          <w:lang w:val="zh-CN"/>
          <w14:textFill>
            <w14:solidFill>
              <w14:schemeClr w14:val="tx1"/>
            </w14:solidFill>
          </w14:textFill>
        </w:rPr>
        <w:t xml:space="preserve">:                                    电话: </w:t>
      </w:r>
    </w:p>
    <w:p>
      <w:pPr>
        <w:autoSpaceDE w:val="0"/>
        <w:autoSpaceDN w:val="0"/>
        <w:spacing w:line="560" w:lineRule="exact"/>
        <w:rPr>
          <w:rFonts w:ascii="宋体" w:hAnsi="宋体"/>
          <w:color w:val="000000" w:themeColor="text1"/>
          <w:sz w:val="24"/>
          <w:highlight w:val="none"/>
          <w:lang w:val="zh-CN"/>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传真</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传真</w:t>
      </w:r>
      <w:r>
        <w:rPr>
          <w:rFonts w:ascii="宋体" w:hAnsi="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lang w:val="zh-CN"/>
          <w14:textFill>
            <w14:solidFill>
              <w14:schemeClr w14:val="tx1"/>
            </w14:solidFill>
          </w14:textFill>
        </w:rPr>
        <w:t>电子邮箱：</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lang w:val="zh-CN"/>
          <w14:textFill>
            <w14:solidFill>
              <w14:schemeClr w14:val="tx1"/>
            </w14:solidFill>
          </w14:textFill>
        </w:rPr>
        <w:t>电子邮箱：</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r>
        <w:rPr>
          <w:rFonts w:ascii="宋体" w:hAnsi="宋体"/>
          <w:color w:val="000000" w:themeColor="text1"/>
          <w:sz w:val="24"/>
          <w:highlight w:val="none"/>
          <w14:textFill>
            <w14:solidFill>
              <w14:schemeClr w14:val="tx1"/>
            </w14:solidFill>
          </w14:textFill>
        </w:rPr>
        <w:t xml:space="preserve">                               开户银行： </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开户名称：</w:t>
      </w:r>
      <w:r>
        <w:rPr>
          <w:rFonts w:ascii="宋体" w:hAnsi="宋体"/>
          <w:color w:val="000000" w:themeColor="text1"/>
          <w:sz w:val="24"/>
          <w:highlight w:val="none"/>
          <w14:textFill>
            <w14:solidFill>
              <w14:schemeClr w14:val="tx1"/>
            </w14:solidFill>
          </w14:textFill>
        </w:rPr>
        <w:t xml:space="preserve">                               开户名称： </w:t>
      </w:r>
    </w:p>
    <w:p>
      <w:pPr>
        <w:autoSpaceDE w:val="0"/>
        <w:autoSpaceDN w:val="0"/>
        <w:spacing w:line="56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开户账号：</w:t>
      </w:r>
      <w:r>
        <w:rPr>
          <w:rFonts w:ascii="宋体" w:hAnsi="宋体"/>
          <w:color w:val="000000" w:themeColor="text1"/>
          <w:sz w:val="24"/>
          <w:highlight w:val="none"/>
          <w:lang w:val="zh-CN"/>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开户账号：</w:t>
      </w:r>
    </w:p>
    <w:p>
      <w:pPr>
        <w:widowControl/>
        <w:spacing w:line="560" w:lineRule="exact"/>
        <w:jc w:val="left"/>
        <w:rPr>
          <w:rFonts w:ascii="宋体" w:hAnsi="宋体"/>
          <w:b/>
          <w:color w:val="000000" w:themeColor="text1"/>
          <w:sz w:val="24"/>
          <w:highlight w:val="none"/>
          <w14:textFill>
            <w14:solidFill>
              <w14:schemeClr w14:val="tx1"/>
            </w14:solidFill>
          </w14:textFill>
        </w:rPr>
      </w:pPr>
    </w:p>
    <w:p>
      <w:pPr>
        <w:widowControl/>
        <w:adjustRightInd/>
        <w:jc w:val="left"/>
        <w:rPr>
          <w:rFonts w:ascii="宋体" w:hAnsi="宋体"/>
          <w:b/>
          <w:color w:val="000000" w:themeColor="text1"/>
          <w:sz w:val="24"/>
          <w:highlight w:val="none"/>
          <w14:textFill>
            <w14:solidFill>
              <w14:schemeClr w14:val="tx1"/>
            </w14:solidFill>
          </w14:textFill>
        </w:rPr>
      </w:pPr>
      <w:r>
        <w:rPr>
          <w:rFonts w:ascii="宋体" w:hAnsi="宋体"/>
          <w:b/>
          <w:color w:val="000000" w:themeColor="text1"/>
          <w:highlight w:val="none"/>
          <w14:textFill>
            <w14:solidFill>
              <w14:schemeClr w14:val="tx1"/>
            </w14:solidFill>
          </w14:textFill>
        </w:rPr>
        <w:br w:type="page"/>
      </w:r>
    </w:p>
    <w:p>
      <w:pPr>
        <w:pStyle w:val="700"/>
        <w:spacing w:line="560" w:lineRule="exact"/>
        <w:ind w:firstLine="482"/>
        <w:jc w:val="center"/>
        <w:rPr>
          <w:rFonts w:ascii="宋体" w:hAnsi="宋体"/>
          <w:b/>
          <w:color w:val="000000" w:themeColor="text1"/>
          <w:szCs w:val="24"/>
          <w:highlight w:val="none"/>
          <w14:textFill>
            <w14:solidFill>
              <w14:schemeClr w14:val="tx1"/>
            </w14:solidFill>
          </w14:textFill>
        </w:rPr>
      </w:pPr>
      <w:r>
        <w:rPr>
          <w:rFonts w:hint="eastAsia" w:ascii="宋体" w:hAnsi="宋体"/>
          <w:b/>
          <w:color w:val="000000" w:themeColor="text1"/>
          <w:szCs w:val="24"/>
          <w:highlight w:val="none"/>
          <w14:textFill>
            <w14:solidFill>
              <w14:schemeClr w14:val="tx1"/>
            </w14:solidFill>
          </w14:textFill>
        </w:rPr>
        <w:t>第二部分</w:t>
      </w:r>
      <w:r>
        <w:rPr>
          <w:rFonts w:ascii="宋体" w:hAnsi="宋体"/>
          <w:b/>
          <w:color w:val="000000" w:themeColor="text1"/>
          <w:szCs w:val="24"/>
          <w:highlight w:val="none"/>
          <w14:textFill>
            <w14:solidFill>
              <w14:schemeClr w14:val="tx1"/>
            </w14:solidFill>
          </w14:textFill>
        </w:rPr>
        <w:t xml:space="preserve"> </w:t>
      </w:r>
      <w:r>
        <w:rPr>
          <w:rFonts w:hint="eastAsia" w:ascii="宋体" w:hAnsi="宋体"/>
          <w:b/>
          <w:color w:val="000000" w:themeColor="text1"/>
          <w:szCs w:val="24"/>
          <w:highlight w:val="none"/>
          <w14:textFill>
            <w14:solidFill>
              <w14:schemeClr w14:val="tx1"/>
            </w14:solidFill>
          </w14:textFill>
        </w:rPr>
        <w:t>合同一般条款</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39" w:name="_Toc14021"/>
      <w:bookmarkStart w:id="440" w:name="_Toc25079"/>
      <w:bookmarkStart w:id="441" w:name="_Toc31297"/>
      <w:bookmarkStart w:id="442" w:name="_Toc19680"/>
      <w:bookmarkStart w:id="443" w:name="_Toc5228"/>
      <w:r>
        <w:rPr>
          <w:rFonts w:ascii="宋体" w:hAnsi="宋体"/>
          <w:b/>
          <w:color w:val="000000" w:themeColor="text1"/>
          <w:sz w:val="24"/>
          <w:highlight w:val="none"/>
          <w14:textFill>
            <w14:solidFill>
              <w14:schemeClr w14:val="tx1"/>
            </w14:solidFill>
          </w14:textFill>
        </w:rPr>
        <w:t>2.1 定义</w:t>
      </w:r>
      <w:bookmarkEnd w:id="439"/>
      <w:bookmarkEnd w:id="440"/>
      <w:bookmarkEnd w:id="441"/>
      <w:bookmarkEnd w:id="442"/>
      <w:bookmarkEnd w:id="443"/>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本合同中的下列</w:t>
      </w:r>
      <w:r>
        <w:rPr>
          <w:rFonts w:hint="eastAsia" w:ascii="宋体" w:hAnsi="宋体"/>
          <w:color w:val="000000" w:themeColor="text1"/>
          <w:sz w:val="24"/>
          <w:highlight w:val="none"/>
          <w14:textFill>
            <w14:solidFill>
              <w14:schemeClr w14:val="tx1"/>
            </w14:solidFill>
          </w14:textFill>
        </w:rPr>
        <w:t>词</w:t>
      </w:r>
      <w:r>
        <w:rPr>
          <w:rFonts w:ascii="宋体" w:hAnsi="宋体"/>
          <w:color w:val="000000" w:themeColor="text1"/>
          <w:sz w:val="24"/>
          <w:highlight w:val="none"/>
          <w14:textFill>
            <w14:solidFill>
              <w14:schemeClr w14:val="tx1"/>
            </w14:solidFill>
          </w14:textFill>
        </w:rPr>
        <w:t>语应</w:t>
      </w:r>
      <w:r>
        <w:rPr>
          <w:rFonts w:hint="eastAsia" w:ascii="宋体" w:hAnsi="宋体"/>
          <w:color w:val="000000" w:themeColor="text1"/>
          <w:sz w:val="24"/>
          <w:highlight w:val="none"/>
          <w14:textFill>
            <w14:solidFill>
              <w14:schemeClr w14:val="tx1"/>
            </w14:solidFill>
          </w14:textFill>
        </w:rPr>
        <w:t>按以下内容进行</w:t>
      </w:r>
      <w:r>
        <w:rPr>
          <w:rFonts w:ascii="宋体" w:hAnsi="宋体"/>
          <w:color w:val="000000" w:themeColor="text1"/>
          <w:sz w:val="24"/>
          <w:highlight w:val="none"/>
          <w14:textFill>
            <w14:solidFill>
              <w14:schemeClr w14:val="tx1"/>
            </w14:solidFill>
          </w14:textFill>
        </w:rPr>
        <w:t>解释：</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 “合同”系指采购人和</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供应商签订的载明双方当事人所达成的协议，并包括所有的附件、附录和构成合同的其他文件。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2.1.2 “合同价”系指根据合同约定，</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供应商在完全履行合同义务后</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采购人应支付给</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供应商的价格。</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2.1.3 “</w:t>
      </w:r>
      <w:r>
        <w:rPr>
          <w:rFonts w:hint="eastAsia" w:ascii="宋体" w:hAnsi="宋体"/>
          <w:color w:val="000000" w:themeColor="text1"/>
          <w:sz w:val="24"/>
          <w:highlight w:val="none"/>
          <w14:textFill>
            <w14:solidFill>
              <w14:schemeClr w14:val="tx1"/>
            </w14:solidFill>
          </w14:textFill>
        </w:rPr>
        <w:t>服务</w:t>
      </w:r>
      <w:r>
        <w:rPr>
          <w:rFonts w:ascii="宋体" w:hAnsi="宋体"/>
          <w:color w:val="000000" w:themeColor="text1"/>
          <w:sz w:val="24"/>
          <w:highlight w:val="none"/>
          <w14:textFill>
            <w14:solidFill>
              <w14:schemeClr w14:val="tx1"/>
            </w14:solidFill>
          </w14:textFill>
        </w:rPr>
        <w:t>”系指</w:t>
      </w:r>
      <w:r>
        <w:rPr>
          <w:rFonts w:hint="eastAsia" w:ascii="宋体" w:hAnsi="宋体" w:cs="宋体"/>
          <w:color w:val="000000" w:themeColor="text1"/>
          <w:sz w:val="24"/>
          <w:highlight w:val="none"/>
          <w14:textFill>
            <w14:solidFill>
              <w14:schemeClr w14:val="tx1"/>
            </w14:solidFill>
          </w14:textFill>
        </w:rPr>
        <w:t>中标或成交</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根据合同约定应向采购人</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w:t>
      </w:r>
      <w:r>
        <w:rPr>
          <w:rFonts w:hint="eastAsia" w:ascii="宋体" w:hAnsi="宋体"/>
          <w:color w:val="000000" w:themeColor="text1"/>
          <w:sz w:val="24"/>
          <w:highlight w:val="none"/>
          <w14:textFill>
            <w14:solidFill>
              <w14:schemeClr w14:val="tx1"/>
            </w14:solidFill>
          </w14:textFill>
        </w:rPr>
        <w:t>除货物和工程以外的其他政府采购对象，包括采购人自身需要的服务和向社会公众提供的公共服务。</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2.1.4 “</w:t>
      </w:r>
      <w:r>
        <w:rPr>
          <w:rFonts w:hint="eastAsia" w:ascii="宋体" w:hAnsi="宋体"/>
          <w:color w:val="000000" w:themeColor="text1"/>
          <w:sz w:val="24"/>
          <w:highlight w:val="none"/>
          <w14:textFill>
            <w14:solidFill>
              <w14:schemeClr w14:val="tx1"/>
            </w14:solidFill>
          </w14:textFill>
        </w:rPr>
        <w:t>甲方</w:t>
      </w:r>
      <w:r>
        <w:rPr>
          <w:rFonts w:ascii="宋体" w:hAnsi="宋体"/>
          <w:color w:val="000000" w:themeColor="text1"/>
          <w:sz w:val="24"/>
          <w:highlight w:val="none"/>
          <w14:textFill>
            <w14:solidFill>
              <w14:schemeClr w14:val="tx1"/>
            </w14:solidFill>
          </w14:textFill>
        </w:rPr>
        <w:t>”系指与</w:t>
      </w:r>
      <w:r>
        <w:rPr>
          <w:rFonts w:hint="eastAsia" w:ascii="宋体" w:hAnsi="宋体" w:cs="宋体"/>
          <w:color w:val="000000" w:themeColor="text1"/>
          <w:sz w:val="24"/>
          <w:highlight w:val="none"/>
          <w14:textFill>
            <w14:solidFill>
              <w14:schemeClr w14:val="tx1"/>
            </w14:solidFill>
          </w14:textFill>
        </w:rPr>
        <w:t>中标或成交</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签署合同的采购人</w:t>
      </w:r>
      <w:r>
        <w:rPr>
          <w:rFonts w:hint="eastAsia" w:ascii="宋体" w:hAnsi="宋体"/>
          <w:color w:val="000000" w:themeColor="text1"/>
          <w:sz w:val="24"/>
          <w:highlight w:val="none"/>
          <w14:textFill>
            <w14:solidFill>
              <w14:schemeClr w14:val="tx1"/>
            </w14:solidFill>
          </w14:textFill>
        </w:rPr>
        <w:t>；采购人委托采购代理机构代表其与乙方签订合同的，采购人的授权委托书作为合同附件。</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2.1.5 “乙方”系指根据合同约定提供服务的</w:t>
      </w:r>
      <w:r>
        <w:rPr>
          <w:rFonts w:hint="eastAsia" w:ascii="宋体" w:hAnsi="宋体" w:cs="宋体"/>
          <w:color w:val="000000" w:themeColor="text1"/>
          <w:sz w:val="24"/>
          <w:highlight w:val="none"/>
          <w14:textFill>
            <w14:solidFill>
              <w14:schemeClr w14:val="tx1"/>
            </w14:solidFill>
          </w14:textFill>
        </w:rPr>
        <w:t>中标或成交</w:t>
      </w:r>
      <w:r>
        <w:rPr>
          <w:rFonts w:ascii="宋体" w:hAnsi="宋体"/>
          <w:color w:val="000000" w:themeColor="text1"/>
          <w:sz w:val="24"/>
          <w:highlight w:val="none"/>
          <w14:textFill>
            <w14:solidFill>
              <w14:schemeClr w14:val="tx1"/>
            </w14:solidFill>
          </w14:textFill>
        </w:rPr>
        <w:t>供应商</w:t>
      </w:r>
      <w:r>
        <w:rPr>
          <w:rFonts w:hint="eastAsia" w:ascii="宋体" w:hAnsi="宋体"/>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2.1.6 “现场”系指合同约定提供服务的地点。</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44" w:name="_Toc16752"/>
      <w:bookmarkStart w:id="445" w:name="_Toc19539"/>
      <w:bookmarkStart w:id="446" w:name="_Toc3769"/>
      <w:bookmarkStart w:id="447" w:name="_Toc23289"/>
      <w:bookmarkStart w:id="448" w:name="_Toc31402"/>
      <w:r>
        <w:rPr>
          <w:rFonts w:ascii="宋体" w:hAnsi="宋体"/>
          <w:b/>
          <w:color w:val="000000" w:themeColor="text1"/>
          <w:sz w:val="24"/>
          <w:highlight w:val="none"/>
          <w14:textFill>
            <w14:solidFill>
              <w14:schemeClr w14:val="tx1"/>
            </w14:solidFill>
          </w14:textFill>
        </w:rPr>
        <w:t>2.2 技术规范</w:t>
      </w:r>
      <w:bookmarkEnd w:id="444"/>
      <w:bookmarkEnd w:id="445"/>
      <w:bookmarkEnd w:id="446"/>
      <w:bookmarkEnd w:id="447"/>
      <w:bookmarkEnd w:id="448"/>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服务</w:t>
      </w:r>
      <w:r>
        <w:rPr>
          <w:rFonts w:ascii="宋体" w:hAnsi="宋体"/>
          <w:color w:val="000000" w:themeColor="text1"/>
          <w:sz w:val="24"/>
          <w:highlight w:val="none"/>
          <w14:textFill>
            <w14:solidFill>
              <w14:schemeClr w14:val="tx1"/>
            </w14:solidFill>
          </w14:textFill>
        </w:rPr>
        <w:t>所应遵守的技术规范应与采购文件规定的技术规范和技术规范附件(如果有的话)及其技术规范偏差表(如果被甲方接受的话)相一致</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如果采购文件中没有技术规范的相应说明，那么应以国家有关部门最新颁布的相应标准</w:t>
      </w:r>
      <w:r>
        <w:rPr>
          <w:rFonts w:hint="eastAsia" w:ascii="宋体" w:hAnsi="宋体"/>
          <w:color w:val="000000" w:themeColor="text1"/>
          <w:sz w:val="24"/>
          <w:highlight w:val="none"/>
          <w14:textFill>
            <w14:solidFill>
              <w14:schemeClr w14:val="tx1"/>
            </w14:solidFill>
          </w14:textFill>
        </w:rPr>
        <w:t>和</w:t>
      </w:r>
      <w:r>
        <w:rPr>
          <w:rFonts w:ascii="宋体" w:hAnsi="宋体"/>
          <w:color w:val="000000" w:themeColor="text1"/>
          <w:sz w:val="24"/>
          <w:highlight w:val="none"/>
          <w14:textFill>
            <w14:solidFill>
              <w14:schemeClr w14:val="tx1"/>
            </w14:solidFill>
          </w14:textFill>
        </w:rPr>
        <w:t>规范为准。</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49" w:name="_Toc27945"/>
      <w:bookmarkStart w:id="450" w:name="_Toc12412"/>
      <w:bookmarkStart w:id="451" w:name="_Toc13673"/>
      <w:bookmarkStart w:id="452" w:name="_Toc9161"/>
      <w:bookmarkStart w:id="453" w:name="_Toc4133"/>
      <w:r>
        <w:rPr>
          <w:rFonts w:ascii="宋体" w:hAnsi="宋体"/>
          <w:b/>
          <w:color w:val="000000" w:themeColor="text1"/>
          <w:sz w:val="24"/>
          <w:highlight w:val="none"/>
          <w14:textFill>
            <w14:solidFill>
              <w14:schemeClr w14:val="tx1"/>
            </w14:solidFill>
          </w14:textFill>
        </w:rPr>
        <w:t>2.3 知识产权</w:t>
      </w:r>
      <w:bookmarkEnd w:id="449"/>
      <w:bookmarkEnd w:id="450"/>
      <w:bookmarkEnd w:id="451"/>
      <w:bookmarkEnd w:id="452"/>
      <w:bookmarkEnd w:id="453"/>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2.3.1 </w:t>
      </w:r>
      <w:r>
        <w:rPr>
          <w:rFonts w:hint="eastAsia" w:ascii="宋体" w:hAnsi="宋体"/>
          <w:color w:val="000000" w:themeColor="text1"/>
          <w:sz w:val="24"/>
          <w:highlight w:val="none"/>
          <w14:textFill>
            <w14:solidFill>
              <w14:schemeClr w14:val="tx1"/>
            </w14:solidFill>
          </w14:textFill>
        </w:rPr>
        <w:t>乙</w:t>
      </w:r>
      <w:r>
        <w:rPr>
          <w:rFonts w:ascii="宋体" w:hAnsi="宋体"/>
          <w:color w:val="000000" w:themeColor="text1"/>
          <w:sz w:val="24"/>
          <w:highlight w:val="none"/>
          <w14:textFill>
            <w14:solidFill>
              <w14:schemeClr w14:val="tx1"/>
            </w14:solidFill>
          </w14:textFill>
        </w:rPr>
        <w:t>方应保证</w:t>
      </w:r>
      <w:r>
        <w:rPr>
          <w:rFonts w:hint="eastAsia" w:ascii="宋体" w:hAnsi="宋体"/>
          <w:color w:val="000000" w:themeColor="text1"/>
          <w:sz w:val="24"/>
          <w:highlight w:val="none"/>
          <w14:textFill>
            <w14:solidFill>
              <w14:schemeClr w14:val="tx1"/>
            </w14:solidFill>
          </w14:textFill>
        </w:rPr>
        <w:t>其提供的服务</w:t>
      </w:r>
      <w:r>
        <w:rPr>
          <w:rFonts w:ascii="宋体" w:hAnsi="宋体"/>
          <w:color w:val="000000" w:themeColor="text1"/>
          <w:sz w:val="24"/>
          <w:highlight w:val="none"/>
          <w14:textFill>
            <w14:solidFill>
              <w14:schemeClr w14:val="tx1"/>
            </w14:solidFill>
          </w14:textFill>
        </w:rPr>
        <w:t>不受任何第三方提出的侵犯其著作权、商标权、专利权等知识产权方面的起诉</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如果任何第三方提出侵权</w:t>
      </w:r>
      <w:r>
        <w:rPr>
          <w:rFonts w:hint="eastAsia" w:ascii="宋体" w:hAnsi="宋体"/>
          <w:color w:val="000000" w:themeColor="text1"/>
          <w:sz w:val="24"/>
          <w:highlight w:val="none"/>
          <w14:textFill>
            <w14:solidFill>
              <w14:schemeClr w14:val="tx1"/>
            </w14:solidFill>
          </w14:textFill>
        </w:rPr>
        <w:t>指控</w:t>
      </w:r>
      <w:r>
        <w:rPr>
          <w:rFonts w:ascii="宋体" w:hAnsi="宋体"/>
          <w:color w:val="000000" w:themeColor="text1"/>
          <w:sz w:val="24"/>
          <w:highlight w:val="none"/>
          <w14:textFill>
            <w14:solidFill>
              <w14:schemeClr w14:val="tx1"/>
            </w14:solidFill>
          </w14:textFill>
        </w:rPr>
        <w:t>，那么乙方须与该第三方交涉并承担由此发生的一切责任、费用和赔偿</w:t>
      </w:r>
      <w:r>
        <w:rPr>
          <w:rFonts w:hint="eastAsia" w:ascii="宋体" w:hAnsi="宋体"/>
          <w:color w:val="000000" w:themeColor="text1"/>
          <w:sz w:val="24"/>
          <w:highlight w:val="none"/>
          <w14:textFill>
            <w14:solidFill>
              <w14:schemeClr w14:val="tx1"/>
            </w14:solidFill>
          </w14:textFill>
        </w:rPr>
        <w:t>，乙方还应及时澄清相关信息，使甲方声誉免受损害，甲方保留追责的权利。</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2.3.2 </w:t>
      </w:r>
      <w:r>
        <w:rPr>
          <w:rFonts w:hint="eastAsia" w:ascii="宋体" w:hAnsi="宋体"/>
          <w:color w:val="000000" w:themeColor="text1"/>
          <w:sz w:val="24"/>
          <w:highlight w:val="none"/>
          <w14:textFill>
            <w14:solidFill>
              <w14:schemeClr w14:val="tx1"/>
            </w14:solidFill>
          </w14:textFill>
        </w:rPr>
        <w:t>合同涉及技术成果的归属和收益的分成办法的，</w:t>
      </w:r>
      <w:r>
        <w:rPr>
          <w:rFonts w:ascii="宋体" w:hAnsi="宋体"/>
          <w:color w:val="000000" w:themeColor="text1"/>
          <w:sz w:val="24"/>
          <w:highlight w:val="none"/>
          <w14:textFill>
            <w14:solidFill>
              <w14:schemeClr w14:val="tx1"/>
            </w14:solidFill>
          </w14:textFill>
        </w:rPr>
        <w:t>详见</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 xml:space="preserve">2.4 </w:t>
      </w:r>
      <w:r>
        <w:rPr>
          <w:rFonts w:hint="eastAsia" w:ascii="宋体" w:hAnsi="宋体"/>
          <w:b/>
          <w:color w:val="000000" w:themeColor="text1"/>
          <w:sz w:val="24"/>
          <w:highlight w:val="none"/>
          <w14:textFill>
            <w14:solidFill>
              <w14:schemeClr w14:val="tx1"/>
            </w14:solidFill>
          </w14:textFill>
        </w:rPr>
        <w:t>履约检查和问题反馈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2.4.1甲方</w:t>
      </w:r>
      <w:r>
        <w:rPr>
          <w:rFonts w:hint="eastAsia" w:ascii="宋体" w:hAnsi="宋体"/>
          <w:color w:val="000000" w:themeColor="text1"/>
          <w:sz w:val="24"/>
          <w:highlight w:val="none"/>
          <w14:textFill>
            <w14:solidFill>
              <w14:schemeClr w14:val="tx1"/>
            </w14:solidFill>
          </w14:textFill>
        </w:rPr>
        <w:t>有权</w:t>
      </w:r>
      <w:r>
        <w:rPr>
          <w:rFonts w:ascii="宋体" w:hAnsi="宋体"/>
          <w:color w:val="000000" w:themeColor="text1"/>
          <w:sz w:val="24"/>
          <w:highlight w:val="none"/>
          <w14:textFill>
            <w14:solidFill>
              <w14:schemeClr w14:val="tx1"/>
            </w14:solidFill>
          </w14:textFill>
        </w:rPr>
        <w:t>在其认为必要时</w:t>
      </w:r>
      <w:r>
        <w:rPr>
          <w:rFonts w:hint="eastAsia" w:ascii="宋体" w:hAnsi="宋体"/>
          <w:color w:val="000000" w:themeColor="text1"/>
          <w:sz w:val="24"/>
          <w:highlight w:val="none"/>
          <w14:textFill>
            <w14:solidFill>
              <w14:schemeClr w14:val="tx1"/>
            </w14:solidFill>
          </w14:textFill>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2.4.2 </w:t>
      </w:r>
      <w:r>
        <w:rPr>
          <w:rFonts w:hint="eastAsia" w:ascii="宋体" w:hAnsi="宋体"/>
          <w:color w:val="000000" w:themeColor="text1"/>
          <w:sz w:val="24"/>
          <w:highlight w:val="none"/>
          <w14:textFill>
            <w14:solidFill>
              <w14:schemeClr w14:val="tx1"/>
            </w14:solidFill>
          </w14:textFill>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54" w:name="_Toc31233"/>
      <w:bookmarkStart w:id="455" w:name="_Toc15447"/>
      <w:bookmarkStart w:id="456" w:name="_Toc22011"/>
      <w:bookmarkStart w:id="457" w:name="_Toc32670"/>
      <w:bookmarkStart w:id="458" w:name="_Toc26555"/>
      <w:r>
        <w:rPr>
          <w:rFonts w:ascii="宋体" w:hAnsi="宋体"/>
          <w:b/>
          <w:color w:val="000000" w:themeColor="text1"/>
          <w:sz w:val="24"/>
          <w:highlight w:val="none"/>
          <w14:textFill>
            <w14:solidFill>
              <w14:schemeClr w14:val="tx1"/>
            </w14:solidFill>
          </w14:textFill>
        </w:rPr>
        <w:t>2.5 结算方式和付款条件</w:t>
      </w:r>
      <w:bookmarkEnd w:id="454"/>
      <w:bookmarkEnd w:id="455"/>
      <w:bookmarkEnd w:id="456"/>
      <w:bookmarkEnd w:id="457"/>
      <w:bookmarkEnd w:id="458"/>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详见</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59" w:name="_Toc30507"/>
      <w:bookmarkStart w:id="460" w:name="_Toc13467"/>
      <w:bookmarkStart w:id="461" w:name="_Toc16163"/>
      <w:bookmarkStart w:id="462" w:name="_Toc13154"/>
      <w:bookmarkStart w:id="463" w:name="_Toc18990"/>
      <w:r>
        <w:rPr>
          <w:rFonts w:ascii="宋体" w:hAnsi="宋体"/>
          <w:b/>
          <w:color w:val="000000" w:themeColor="text1"/>
          <w:sz w:val="24"/>
          <w:highlight w:val="none"/>
          <w14:textFill>
            <w14:solidFill>
              <w14:schemeClr w14:val="tx1"/>
            </w14:solidFill>
          </w14:textFill>
        </w:rPr>
        <w:t>2.6 技术资料和保密义务</w:t>
      </w:r>
      <w:bookmarkEnd w:id="459"/>
      <w:bookmarkEnd w:id="460"/>
      <w:bookmarkEnd w:id="461"/>
      <w:bookmarkEnd w:id="462"/>
      <w:bookmarkEnd w:id="463"/>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2.6.2 </w:t>
      </w:r>
      <w:r>
        <w:rPr>
          <w:rFonts w:hint="eastAsia" w:ascii="宋体" w:hAnsi="宋体"/>
          <w:color w:val="000000" w:themeColor="text1"/>
          <w:sz w:val="24"/>
          <w:highlight w:val="none"/>
          <w14:textFill>
            <w14:solidFill>
              <w14:schemeClr w14:val="tx1"/>
            </w14:solidFill>
          </w14:textFill>
        </w:rPr>
        <w:t>乙方有义务妥善保管和保护由甲方提供的前款信息和资料等；</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2.6.3 </w:t>
      </w:r>
      <w:r>
        <w:rPr>
          <w:rFonts w:hint="eastAsia" w:ascii="宋体" w:hAnsi="宋体"/>
          <w:color w:val="000000" w:themeColor="text1"/>
          <w:sz w:val="24"/>
          <w:highlight w:val="none"/>
          <w14:textFill>
            <w14:solidFill>
              <w14:schemeClr w14:val="tx1"/>
            </w14:solidFill>
          </w14:textFill>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000000" w:themeColor="text1"/>
          <w:sz w:val="24"/>
          <w:highlight w:val="none"/>
          <w14:textFill>
            <w14:solidFill>
              <w14:schemeClr w14:val="tx1"/>
            </w14:solidFill>
          </w14:textFill>
        </w:rPr>
        <w:t>技术情报</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技术资料</w:t>
      </w:r>
      <w:r>
        <w:rPr>
          <w:rFonts w:hint="eastAsia" w:ascii="宋体" w:hAnsi="宋体"/>
          <w:color w:val="000000" w:themeColor="text1"/>
          <w:sz w:val="24"/>
          <w:highlight w:val="none"/>
          <w14:textFill>
            <w14:solidFill>
              <w14:schemeClr w14:val="tx1"/>
            </w14:solidFill>
          </w14:textFill>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4" w:name="_Toc19069"/>
      <w:r>
        <w:rPr>
          <w:rFonts w:ascii="宋体" w:hAnsi="宋体"/>
          <w:b/>
          <w:color w:val="000000" w:themeColor="text1"/>
          <w:sz w:val="24"/>
          <w:highlight w:val="none"/>
          <w14:textFill>
            <w14:solidFill>
              <w14:schemeClr w14:val="tx1"/>
            </w14:solidFill>
          </w14:textFill>
        </w:rPr>
        <w:t xml:space="preserve">2.7 </w:t>
      </w:r>
      <w:r>
        <w:rPr>
          <w:rFonts w:hint="eastAsia" w:ascii="宋体" w:hAnsi="宋体"/>
          <w:b/>
          <w:color w:val="000000" w:themeColor="text1"/>
          <w:sz w:val="24"/>
          <w:highlight w:val="none"/>
          <w14:textFill>
            <w14:solidFill>
              <w14:schemeClr w14:val="tx1"/>
            </w14:solidFill>
          </w14:textFill>
        </w:rPr>
        <w:t>质量保证</w:t>
      </w:r>
      <w:bookmarkEnd w:id="464"/>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2.7.1 </w:t>
      </w:r>
      <w:r>
        <w:rPr>
          <w:rFonts w:hint="eastAsia" w:ascii="宋体" w:hAnsi="宋体"/>
          <w:color w:val="000000" w:themeColor="text1"/>
          <w:sz w:val="24"/>
          <w:highlight w:val="none"/>
          <w14:textFill>
            <w14:solidFill>
              <w14:schemeClr w14:val="tx1"/>
            </w14:solidFill>
          </w14:textFill>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2.7.2 </w:t>
      </w:r>
      <w:r>
        <w:rPr>
          <w:rFonts w:hint="eastAsia" w:ascii="宋体" w:hAnsi="宋体"/>
          <w:color w:val="000000" w:themeColor="text1"/>
          <w:sz w:val="24"/>
          <w:highlight w:val="none"/>
          <w14:textFill>
            <w14:solidFill>
              <w14:schemeClr w14:val="tx1"/>
            </w14:solidFill>
          </w14:textFill>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5" w:name="_Toc22267"/>
      <w:r>
        <w:rPr>
          <w:rFonts w:ascii="宋体" w:hAnsi="宋体"/>
          <w:b/>
          <w:color w:val="000000" w:themeColor="text1"/>
          <w:sz w:val="24"/>
          <w:highlight w:val="none"/>
          <w14:textFill>
            <w14:solidFill>
              <w14:schemeClr w14:val="tx1"/>
            </w14:solidFill>
          </w14:textFill>
        </w:rPr>
        <w:t xml:space="preserve">2.8 </w:t>
      </w:r>
      <w:r>
        <w:rPr>
          <w:rFonts w:hint="eastAsia" w:ascii="宋体" w:hAnsi="宋体"/>
          <w:b/>
          <w:color w:val="000000" w:themeColor="text1"/>
          <w:sz w:val="24"/>
          <w:highlight w:val="none"/>
          <w14:textFill>
            <w14:solidFill>
              <w14:schemeClr w14:val="tx1"/>
            </w14:solidFill>
          </w14:textFill>
        </w:rPr>
        <w:t>延迟履行</w:t>
      </w:r>
      <w:bookmarkEnd w:id="465"/>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甲乙双方签订合同后，乙方应按照合同约定履行合同义务，除不可抗力外，乙方不得延迟履行。</w:t>
      </w:r>
      <w:r>
        <w:rPr>
          <w:rFonts w:ascii="宋体" w:hAnsi="宋体"/>
          <w:color w:val="000000" w:themeColor="text1"/>
          <w:sz w:val="24"/>
          <w:highlight w:val="none"/>
          <w14:textFill>
            <w14:solidFill>
              <w14:schemeClr w14:val="tx1"/>
            </w14:solidFill>
          </w14:textFill>
        </w:rPr>
        <w:t>在合同履行过程中，如果</w:t>
      </w:r>
      <w:r>
        <w:rPr>
          <w:rFonts w:hint="eastAsia" w:ascii="宋体" w:hAnsi="宋体"/>
          <w:color w:val="000000" w:themeColor="text1"/>
          <w:sz w:val="24"/>
          <w:highlight w:val="none"/>
          <w14:textFill>
            <w14:solidFill>
              <w14:schemeClr w14:val="tx1"/>
            </w14:solidFill>
          </w14:textFill>
        </w:rPr>
        <w:t>因不可抗力，</w:t>
      </w:r>
      <w:r>
        <w:rPr>
          <w:rFonts w:ascii="宋体" w:hAnsi="宋体"/>
          <w:color w:val="000000" w:themeColor="text1"/>
          <w:sz w:val="24"/>
          <w:highlight w:val="none"/>
          <w14:textFill>
            <w14:solidFill>
              <w14:schemeClr w14:val="tx1"/>
            </w14:solidFill>
          </w14:textFill>
        </w:rPr>
        <w:t>乙方遇到不能按时</w:t>
      </w:r>
      <w:r>
        <w:rPr>
          <w:rFonts w:hint="eastAsia" w:ascii="宋体" w:hAnsi="宋体"/>
          <w:color w:val="000000" w:themeColor="text1"/>
          <w:sz w:val="24"/>
          <w:highlight w:val="none"/>
          <w14:textFill>
            <w14:solidFill>
              <w14:schemeClr w14:val="tx1"/>
            </w14:solidFill>
          </w14:textFill>
        </w:rPr>
        <w:t>提供服务</w:t>
      </w:r>
      <w:r>
        <w:rPr>
          <w:rFonts w:ascii="宋体" w:hAnsi="宋体"/>
          <w:color w:val="000000" w:themeColor="text1"/>
          <w:sz w:val="24"/>
          <w:highlight w:val="none"/>
          <w14:textFill>
            <w14:solidFill>
              <w14:schemeClr w14:val="tx1"/>
            </w14:solidFill>
          </w14:textFill>
        </w:rPr>
        <w:t>的情况，应及时以书面形式将不能按时</w:t>
      </w:r>
      <w:r>
        <w:rPr>
          <w:rFonts w:hint="eastAsia" w:ascii="宋体" w:hAnsi="宋体"/>
          <w:color w:val="000000" w:themeColor="text1"/>
          <w:sz w:val="24"/>
          <w:highlight w:val="none"/>
          <w14:textFill>
            <w14:solidFill>
              <w14:schemeClr w14:val="tx1"/>
            </w14:solidFill>
          </w14:textFill>
        </w:rPr>
        <w:t>提供服务</w:t>
      </w:r>
      <w:r>
        <w:rPr>
          <w:rFonts w:ascii="宋体" w:hAnsi="宋体"/>
          <w:color w:val="000000" w:themeColor="text1"/>
          <w:sz w:val="24"/>
          <w:highlight w:val="none"/>
          <w14:textFill>
            <w14:solidFill>
              <w14:schemeClr w14:val="tx1"/>
            </w14:solidFill>
          </w14:textFill>
        </w:rPr>
        <w:t>的理由、预期延误时间通知甲方</w:t>
      </w:r>
      <w:r>
        <w:rPr>
          <w:rFonts w:hint="eastAsia" w:ascii="宋体" w:hAnsi="宋体"/>
          <w:color w:val="000000" w:themeColor="text1"/>
          <w:sz w:val="24"/>
          <w:highlight w:val="none"/>
          <w14:textFill>
            <w14:solidFill>
              <w14:schemeClr w14:val="tx1"/>
            </w14:solidFill>
          </w14:textFill>
        </w:rPr>
        <w:t>；甲</w:t>
      </w:r>
      <w:r>
        <w:rPr>
          <w:rFonts w:ascii="宋体" w:hAnsi="宋体"/>
          <w:color w:val="000000" w:themeColor="text1"/>
          <w:sz w:val="24"/>
          <w:highlight w:val="none"/>
          <w14:textFill>
            <w14:solidFill>
              <w14:schemeClr w14:val="tx1"/>
            </w14:solidFill>
          </w14:textFill>
        </w:rPr>
        <w:t>方收到乙方通知后，认为其理由正当的，可以书面形式酌情同意乙方可以延长</w:t>
      </w:r>
      <w:r>
        <w:rPr>
          <w:rFonts w:hint="eastAsia" w:ascii="宋体" w:hAnsi="宋体"/>
          <w:color w:val="000000" w:themeColor="text1"/>
          <w:sz w:val="24"/>
          <w:highlight w:val="none"/>
          <w14:textFill>
            <w14:solidFill>
              <w14:schemeClr w14:val="tx1"/>
            </w14:solidFill>
          </w14:textFill>
        </w:rPr>
        <w:t>履行</w:t>
      </w:r>
      <w:r>
        <w:rPr>
          <w:rFonts w:ascii="宋体" w:hAnsi="宋体"/>
          <w:color w:val="000000" w:themeColor="text1"/>
          <w:sz w:val="24"/>
          <w:highlight w:val="none"/>
          <w14:textFill>
            <w14:solidFill>
              <w14:schemeClr w14:val="tx1"/>
            </w14:solidFill>
          </w14:textFill>
        </w:rPr>
        <w:t>的具体时间。</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6" w:name="_Toc10611"/>
      <w:r>
        <w:rPr>
          <w:rFonts w:ascii="宋体" w:hAnsi="宋体"/>
          <w:b/>
          <w:color w:val="000000" w:themeColor="text1"/>
          <w:sz w:val="24"/>
          <w:highlight w:val="none"/>
          <w14:textFill>
            <w14:solidFill>
              <w14:schemeClr w14:val="tx1"/>
            </w14:solidFill>
          </w14:textFill>
        </w:rPr>
        <w:t xml:space="preserve">2.9 </w:t>
      </w:r>
      <w:r>
        <w:rPr>
          <w:rFonts w:hint="eastAsia" w:ascii="宋体" w:hAnsi="宋体"/>
          <w:b/>
          <w:color w:val="000000" w:themeColor="text1"/>
          <w:sz w:val="24"/>
          <w:highlight w:val="none"/>
          <w14:textFill>
            <w14:solidFill>
              <w14:schemeClr w14:val="tx1"/>
            </w14:solidFill>
          </w14:textFill>
        </w:rPr>
        <w:t>合同变更</w:t>
      </w:r>
      <w:bookmarkEnd w:id="466"/>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67" w:name="_Toc23368"/>
      <w:bookmarkStart w:id="468" w:name="_Toc26689"/>
      <w:bookmarkStart w:id="469" w:name="_Toc42"/>
      <w:bookmarkStart w:id="470" w:name="_Toc10663"/>
      <w:bookmarkStart w:id="471" w:name="_Toc21830"/>
      <w:r>
        <w:rPr>
          <w:rFonts w:ascii="宋体" w:hAnsi="宋体"/>
          <w:b/>
          <w:color w:val="000000" w:themeColor="text1"/>
          <w:sz w:val="24"/>
          <w:highlight w:val="none"/>
          <w14:textFill>
            <w14:solidFill>
              <w14:schemeClr w14:val="tx1"/>
            </w14:solidFill>
          </w14:textFill>
        </w:rPr>
        <w:t>2.10 合同转让和分包</w:t>
      </w:r>
      <w:bookmarkEnd w:id="467"/>
      <w:bookmarkEnd w:id="468"/>
      <w:bookmarkEnd w:id="469"/>
      <w:bookmarkEnd w:id="470"/>
      <w:bookmarkEnd w:id="471"/>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合同的权利义务依法不</w:t>
      </w:r>
      <w:r>
        <w:rPr>
          <w:rFonts w:hint="eastAsia" w:ascii="宋体" w:hAnsi="宋体"/>
          <w:color w:val="000000" w:themeColor="text1"/>
          <w:sz w:val="24"/>
          <w:highlight w:val="none"/>
          <w14:textFill>
            <w14:solidFill>
              <w14:schemeClr w14:val="tx1"/>
            </w14:solidFill>
          </w14:textFill>
        </w:rPr>
        <w:t>得</w:t>
      </w:r>
      <w:r>
        <w:rPr>
          <w:rFonts w:ascii="宋体" w:hAnsi="宋体"/>
          <w:color w:val="000000" w:themeColor="text1"/>
          <w:sz w:val="24"/>
          <w:highlight w:val="none"/>
          <w14:textFill>
            <w14:solidFill>
              <w14:schemeClr w14:val="tx1"/>
            </w14:solidFill>
          </w14:textFill>
        </w:rPr>
        <w:t>转让</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但经甲方</w:t>
      </w:r>
      <w:r>
        <w:rPr>
          <w:rFonts w:hint="eastAsia" w:ascii="宋体" w:hAnsi="宋体"/>
          <w:color w:val="000000" w:themeColor="text1"/>
          <w:sz w:val="24"/>
          <w:highlight w:val="none"/>
          <w14:textFill>
            <w14:solidFill>
              <w14:schemeClr w14:val="tx1"/>
            </w14:solidFill>
          </w14:textFill>
        </w:rPr>
        <w:t>同意，乙方可以依法采取分包方式履行合同，即：依法可以</w:t>
      </w:r>
      <w:r>
        <w:rPr>
          <w:rFonts w:ascii="宋体" w:hAnsi="宋体"/>
          <w:color w:val="000000" w:themeColor="text1"/>
          <w:sz w:val="24"/>
          <w:highlight w:val="none"/>
          <w14:textFill>
            <w14:solidFill>
              <w14:schemeClr w14:val="tx1"/>
            </w14:solidFill>
          </w14:textFill>
        </w:rPr>
        <w:t>将合同项下的部分非主体、非关键性工作分包给他人完成</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接受分包的人应当具备相应的资格条件，并不得再次分包</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且乙方应就分包项目向甲方负责</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并</w:t>
      </w:r>
      <w:r>
        <w:rPr>
          <w:rFonts w:hint="eastAsia" w:ascii="宋体" w:hAnsi="宋体"/>
          <w:color w:val="000000" w:themeColor="text1"/>
          <w:sz w:val="24"/>
          <w:highlight w:val="none"/>
          <w14:textFill>
            <w14:solidFill>
              <w14:schemeClr w14:val="tx1"/>
            </w14:solidFill>
          </w14:textFill>
        </w:rPr>
        <w:t>与分包供应商就分包项目向甲方承担连带责任。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72" w:name="_Toc4720"/>
      <w:bookmarkStart w:id="473" w:name="_Toc25571"/>
      <w:bookmarkStart w:id="474" w:name="_Toc26633"/>
      <w:bookmarkStart w:id="475" w:name="_Toc14371"/>
      <w:bookmarkStart w:id="476" w:name="_Toc32494"/>
      <w:r>
        <w:rPr>
          <w:rFonts w:ascii="宋体" w:hAnsi="宋体"/>
          <w:b/>
          <w:color w:val="000000" w:themeColor="text1"/>
          <w:sz w:val="24"/>
          <w:highlight w:val="none"/>
          <w14:textFill>
            <w14:solidFill>
              <w14:schemeClr w14:val="tx1"/>
            </w14:solidFill>
          </w14:textFill>
        </w:rPr>
        <w:t>2.11 不可抗力</w:t>
      </w:r>
      <w:bookmarkEnd w:id="472"/>
      <w:bookmarkEnd w:id="473"/>
      <w:bookmarkEnd w:id="474"/>
      <w:bookmarkEnd w:id="475"/>
      <w:bookmarkEnd w:id="476"/>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2.11.1如果任何一方遭遇法律规定的不可抗力，致使合同履行受阻时，履行合同的期限应予延长，延长的期限应相当于不可抗力所影响的时间</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2.11.2 </w:t>
      </w:r>
      <w:r>
        <w:rPr>
          <w:rFonts w:hint="eastAsia" w:ascii="宋体" w:hAnsi="宋体"/>
          <w:color w:val="000000" w:themeColor="text1"/>
          <w:sz w:val="24"/>
          <w:highlight w:val="none"/>
          <w14:textFill>
            <w14:solidFill>
              <w14:schemeClr w14:val="tx1"/>
            </w14:solidFill>
          </w14:textFill>
        </w:rPr>
        <w:t>因不可抗力致使不能实现合同目的的，当事人可以解除合同；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2.11.3 </w:t>
      </w:r>
      <w:r>
        <w:rPr>
          <w:rFonts w:hint="eastAsia" w:ascii="宋体" w:hAnsi="宋体"/>
          <w:color w:val="000000" w:themeColor="text1"/>
          <w:sz w:val="24"/>
          <w:highlight w:val="none"/>
          <w14:textFill>
            <w14:solidFill>
              <w14:schemeClr w14:val="tx1"/>
            </w14:solidFill>
          </w14:textFill>
        </w:rPr>
        <w:t>因</w:t>
      </w:r>
      <w:r>
        <w:rPr>
          <w:rFonts w:ascii="宋体" w:hAnsi="宋体"/>
          <w:color w:val="000000" w:themeColor="text1"/>
          <w:sz w:val="24"/>
          <w:highlight w:val="none"/>
          <w14:textFill>
            <w14:solidFill>
              <w14:schemeClr w14:val="tx1"/>
            </w14:solidFill>
          </w14:textFill>
        </w:rPr>
        <w:t>不可抗力致使合同有变更必要的，双方当事人应在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约定时间内以书面形式变更合同</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2.11.4受</w:t>
      </w:r>
      <w:r>
        <w:rPr>
          <w:rFonts w:hint="eastAsia" w:ascii="宋体" w:hAnsi="宋体"/>
          <w:color w:val="000000" w:themeColor="text1"/>
          <w:sz w:val="24"/>
          <w:highlight w:val="none"/>
          <w14:textFill>
            <w14:solidFill>
              <w14:schemeClr w14:val="tx1"/>
            </w14:solidFill>
          </w14:textFill>
        </w:rPr>
        <w:t>不可抗力</w:t>
      </w:r>
      <w:r>
        <w:rPr>
          <w:rFonts w:ascii="宋体" w:hAnsi="宋体"/>
          <w:color w:val="000000" w:themeColor="text1"/>
          <w:sz w:val="24"/>
          <w:highlight w:val="none"/>
          <w14:textFill>
            <w14:solidFill>
              <w14:schemeClr w14:val="tx1"/>
            </w14:solidFill>
          </w14:textFill>
        </w:rPr>
        <w:t>影响的一方在不可抗力发生后</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应在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约定时间内以书面形式通知</w:t>
      </w:r>
      <w:r>
        <w:rPr>
          <w:rFonts w:hint="eastAsia" w:ascii="宋体" w:hAnsi="宋体"/>
          <w:color w:val="000000" w:themeColor="text1"/>
          <w:sz w:val="24"/>
          <w:highlight w:val="none"/>
          <w14:textFill>
            <w14:solidFill>
              <w14:schemeClr w14:val="tx1"/>
            </w14:solidFill>
          </w14:textFill>
        </w:rPr>
        <w:t>对</w:t>
      </w:r>
      <w:r>
        <w:rPr>
          <w:rFonts w:ascii="宋体" w:hAnsi="宋体"/>
          <w:color w:val="000000" w:themeColor="text1"/>
          <w:sz w:val="24"/>
          <w:highlight w:val="none"/>
          <w14:textFill>
            <w14:solidFill>
              <w14:schemeClr w14:val="tx1"/>
            </w14:solidFill>
          </w14:textFill>
        </w:rPr>
        <w:t>方当事人，并在</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约定时间内，将有关部门出具的证明文件送达</w:t>
      </w:r>
      <w:r>
        <w:rPr>
          <w:rFonts w:hint="eastAsia" w:ascii="宋体" w:hAnsi="宋体"/>
          <w:color w:val="000000" w:themeColor="text1"/>
          <w:sz w:val="24"/>
          <w:highlight w:val="none"/>
          <w14:textFill>
            <w14:solidFill>
              <w14:schemeClr w14:val="tx1"/>
            </w14:solidFill>
          </w14:textFill>
        </w:rPr>
        <w:t>对方当事人</w:t>
      </w:r>
      <w:r>
        <w:rPr>
          <w:rFonts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77" w:name="_Toc23854"/>
      <w:bookmarkStart w:id="478" w:name="_Toc24465"/>
      <w:bookmarkStart w:id="479" w:name="_Toc3638"/>
      <w:bookmarkStart w:id="480" w:name="_Toc14115"/>
      <w:bookmarkStart w:id="481" w:name="_Toc25783"/>
      <w:r>
        <w:rPr>
          <w:rFonts w:ascii="宋体" w:hAnsi="宋体"/>
          <w:b/>
          <w:color w:val="000000" w:themeColor="text1"/>
          <w:sz w:val="24"/>
          <w:highlight w:val="none"/>
          <w14:textFill>
            <w14:solidFill>
              <w14:schemeClr w14:val="tx1"/>
            </w14:solidFill>
          </w14:textFill>
        </w:rPr>
        <w:t>2.12 税费</w:t>
      </w:r>
      <w:bookmarkEnd w:id="477"/>
      <w:bookmarkEnd w:id="478"/>
      <w:bookmarkEnd w:id="479"/>
      <w:bookmarkEnd w:id="480"/>
      <w:bookmarkEnd w:id="481"/>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与合同有关的一切税费</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均按照中华人民共和国法律的相关规定缴纳。</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82" w:name="_Toc25525"/>
      <w:bookmarkStart w:id="483" w:name="_Toc30105"/>
      <w:bookmarkStart w:id="484" w:name="_Toc14814"/>
      <w:bookmarkStart w:id="485" w:name="_Toc7315"/>
      <w:bookmarkStart w:id="486" w:name="_Toc26883"/>
      <w:r>
        <w:rPr>
          <w:rFonts w:ascii="宋体" w:hAnsi="宋体"/>
          <w:b/>
          <w:color w:val="000000" w:themeColor="text1"/>
          <w:sz w:val="24"/>
          <w:highlight w:val="none"/>
          <w14:textFill>
            <w14:solidFill>
              <w14:schemeClr w14:val="tx1"/>
            </w14:solidFill>
          </w14:textFill>
        </w:rPr>
        <w:t>2.13 乙方破产</w:t>
      </w:r>
      <w:bookmarkEnd w:id="482"/>
      <w:bookmarkEnd w:id="483"/>
      <w:bookmarkEnd w:id="484"/>
      <w:bookmarkEnd w:id="485"/>
      <w:bookmarkEnd w:id="486"/>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如果乙方破产导致合同无法履行时，甲方可以书面形式通知乙方终止合同且不给予乙方任何补偿和赔偿</w:t>
      </w:r>
      <w:r>
        <w:rPr>
          <w:rFonts w:hint="eastAsia" w:ascii="宋体" w:hAnsi="宋体"/>
          <w:color w:val="000000" w:themeColor="text1"/>
          <w:sz w:val="24"/>
          <w:highlight w:val="none"/>
          <w14:textFill>
            <w14:solidFill>
              <w14:schemeClr w14:val="tx1"/>
            </w14:solidFill>
          </w14:textFill>
        </w:rPr>
        <w:t>，但合同的</w:t>
      </w:r>
      <w:r>
        <w:rPr>
          <w:rFonts w:ascii="宋体" w:hAnsi="宋体"/>
          <w:color w:val="000000" w:themeColor="text1"/>
          <w:sz w:val="24"/>
          <w:highlight w:val="none"/>
          <w14:textFill>
            <w14:solidFill>
              <w14:schemeClr w14:val="tx1"/>
            </w14:solidFill>
          </w14:textFill>
        </w:rPr>
        <w:t>终止不损害或不影响甲方已经采取或将要采取的任何要求乙方支付违约金</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赔偿损失等的行动或补救措施的权利</w:t>
      </w:r>
      <w:r>
        <w:rPr>
          <w:rFonts w:hint="eastAsia" w:ascii="宋体" w:hAnsi="宋体"/>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87" w:name="_Toc2016"/>
      <w:bookmarkStart w:id="488" w:name="_Toc23323"/>
      <w:bookmarkStart w:id="489" w:name="_Toc1123"/>
      <w:r>
        <w:rPr>
          <w:rFonts w:ascii="宋体" w:hAnsi="宋体"/>
          <w:b/>
          <w:color w:val="000000" w:themeColor="text1"/>
          <w:sz w:val="24"/>
          <w:highlight w:val="none"/>
          <w14:textFill>
            <w14:solidFill>
              <w14:schemeClr w14:val="tx1"/>
            </w14:solidFill>
          </w14:textFill>
        </w:rPr>
        <w:t>2.14 合同中止、终止</w:t>
      </w:r>
      <w:bookmarkEnd w:id="487"/>
      <w:bookmarkEnd w:id="488"/>
      <w:bookmarkEnd w:id="489"/>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2.14.1 </w:t>
      </w:r>
      <w:r>
        <w:rPr>
          <w:rFonts w:hint="eastAsia" w:ascii="宋体" w:hAnsi="宋体"/>
          <w:color w:val="000000" w:themeColor="text1"/>
          <w:sz w:val="24"/>
          <w:highlight w:val="none"/>
          <w14:textFill>
            <w14:solidFill>
              <w14:schemeClr w14:val="tx1"/>
            </w14:solidFill>
          </w14:textFill>
        </w:rPr>
        <w:t>双方当事人不得擅自中止或者终止合同；</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90" w:name="_Toc14525"/>
      <w:bookmarkStart w:id="491" w:name="_Toc1969"/>
      <w:bookmarkStart w:id="492" w:name="_Toc17363"/>
      <w:r>
        <w:rPr>
          <w:rFonts w:ascii="宋体" w:hAnsi="宋体"/>
          <w:b/>
          <w:color w:val="000000" w:themeColor="text1"/>
          <w:sz w:val="24"/>
          <w:highlight w:val="none"/>
          <w14:textFill>
            <w14:solidFill>
              <w14:schemeClr w14:val="tx1"/>
            </w14:solidFill>
          </w14:textFill>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2.15.1 </w:t>
      </w:r>
      <w:r>
        <w:rPr>
          <w:rFonts w:hint="eastAsia" w:ascii="宋体" w:hAnsi="宋体"/>
          <w:color w:val="000000" w:themeColor="text1"/>
          <w:sz w:val="24"/>
          <w:highlight w:val="none"/>
          <w14:textFill>
            <w14:solidFill>
              <w14:schemeClr w14:val="tx1"/>
            </w14:solidFill>
          </w14:textFill>
        </w:rPr>
        <w:t>乙方按照</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的约定</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定期提交服务报告</w:t>
      </w:r>
      <w:r>
        <w:rPr>
          <w:rFonts w:hint="eastAsia" w:ascii="宋体" w:hAnsi="宋体"/>
          <w:color w:val="000000" w:themeColor="text1"/>
          <w:sz w:val="24"/>
          <w:highlight w:val="none"/>
          <w14:textFill>
            <w14:solidFill>
              <w14:schemeClr w14:val="tx1"/>
            </w14:solidFill>
          </w14:textFill>
        </w:rPr>
        <w:t>，甲方按照</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的约定进行定期验收</w:t>
      </w:r>
      <w:r>
        <w:rPr>
          <w:rFonts w:hint="eastAsia" w:ascii="宋体" w:hAnsi="宋体"/>
          <w:color w:val="000000" w:themeColor="text1"/>
          <w:sz w:val="24"/>
          <w:highlight w:val="none"/>
          <w14:textFill>
            <w14:solidFill>
              <w14:schemeClr w14:val="tx1"/>
            </w14:solidFill>
          </w14:textFill>
        </w:rPr>
        <w:t>；</w:t>
      </w:r>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2.15.2 </w:t>
      </w:r>
      <w:r>
        <w:rPr>
          <w:rFonts w:hint="eastAsia" w:ascii="宋体" w:hAnsi="宋体"/>
          <w:color w:val="000000" w:themeColor="text1"/>
          <w:sz w:val="24"/>
          <w:highlight w:val="none"/>
          <w14:textFill>
            <w14:solidFill>
              <w14:schemeClr w14:val="tx1"/>
            </w14:solidFill>
          </w14:textFill>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2.15.3 </w:t>
      </w:r>
      <w:r>
        <w:rPr>
          <w:rFonts w:hint="eastAsia" w:ascii="宋体" w:hAnsi="宋体"/>
          <w:color w:val="000000" w:themeColor="text1"/>
          <w:sz w:val="24"/>
          <w:highlight w:val="none"/>
          <w14:textFill>
            <w14:solidFill>
              <w14:schemeClr w14:val="tx1"/>
            </w14:solidFill>
          </w14:textFill>
        </w:rPr>
        <w:t>检验和验收标准、程序等具体内容以及前述验收书的效力详见</w:t>
      </w:r>
      <w:r>
        <w:rPr>
          <w:rFonts w:ascii="宋体" w:hAnsi="宋体"/>
          <w:b/>
          <w:i/>
          <w:color w:val="000000" w:themeColor="text1"/>
          <w:sz w:val="24"/>
          <w:highlight w:val="none"/>
          <w:u w:val="single"/>
          <w14:textFill>
            <w14:solidFill>
              <w14:schemeClr w14:val="tx1"/>
            </w14:solidFill>
          </w14:textFill>
        </w:rPr>
        <w:t>合同专用条款</w:t>
      </w:r>
      <w:r>
        <w:rPr>
          <w:rFonts w:hint="eastAsia" w:ascii="宋体" w:hAnsi="宋体"/>
          <w:i/>
          <w:color w:val="000000" w:themeColor="text1"/>
          <w:sz w:val="24"/>
          <w:highlight w:val="none"/>
          <w14:textFill>
            <w14:solidFill>
              <w14:schemeClr w14:val="tx1"/>
            </w14:solidFill>
          </w14:textFill>
        </w:rPr>
        <w:t>。</w:t>
      </w:r>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493" w:name="_Toc2308"/>
      <w:bookmarkStart w:id="494" w:name="_Toc25198"/>
      <w:bookmarkStart w:id="495" w:name="_Toc12666"/>
      <w:bookmarkStart w:id="496" w:name="_Toc31892"/>
      <w:bookmarkStart w:id="497" w:name="_Toc9808"/>
      <w:r>
        <w:rPr>
          <w:rFonts w:ascii="宋体" w:hAnsi="宋体"/>
          <w:b/>
          <w:color w:val="000000" w:themeColor="text1"/>
          <w:sz w:val="24"/>
          <w:highlight w:val="none"/>
          <w14:textFill>
            <w14:solidFill>
              <w14:schemeClr w14:val="tx1"/>
            </w14:solidFill>
          </w14:textFill>
        </w:rPr>
        <w:t>2.16 通知和送达</w:t>
      </w:r>
      <w:bookmarkEnd w:id="493"/>
      <w:bookmarkEnd w:id="494"/>
      <w:bookmarkEnd w:id="495"/>
      <w:bookmarkEnd w:id="496"/>
      <w:bookmarkEnd w:id="497"/>
    </w:p>
    <w:p>
      <w:pPr>
        <w:spacing w:line="560" w:lineRule="exact"/>
        <w:ind w:firstLine="480" w:firstLineChars="200"/>
        <w:rPr>
          <w:rFonts w:ascii="宋体" w:hAnsi="宋体"/>
          <w:color w:val="000000" w:themeColor="text1"/>
          <w:sz w:val="24"/>
          <w:highlight w:val="none"/>
          <w14:textFill>
            <w14:solidFill>
              <w14:schemeClr w14:val="tx1"/>
            </w14:solidFill>
          </w14:textFill>
        </w:rPr>
      </w:pPr>
      <w:bookmarkStart w:id="498" w:name="_Toc18401"/>
      <w:bookmarkStart w:id="499" w:name="_Toc27674"/>
      <w:r>
        <w:rPr>
          <w:rFonts w:ascii="宋体" w:hAnsi="宋体"/>
          <w:color w:val="000000" w:themeColor="text1"/>
          <w:sz w:val="24"/>
          <w:highlight w:val="none"/>
          <w14:textFill>
            <w14:solidFill>
              <w14:schemeClr w14:val="tx1"/>
            </w14:solidFill>
          </w14:textFill>
        </w:rPr>
        <w:t>2.17.1</w:t>
      </w:r>
      <w:r>
        <w:rPr>
          <w:rFonts w:hint="eastAsia" w:ascii="宋体" w:hAnsi="宋体"/>
          <w:color w:val="000000" w:themeColor="text1"/>
          <w:sz w:val="24"/>
          <w:highlight w:val="none"/>
          <w14:textFill>
            <w14:solidFill>
              <w14:schemeClr w14:val="tx1"/>
            </w14:solidFill>
          </w14:textFill>
        </w:rPr>
        <w:t>任何一方因履行合同而以合同第一部分尾部所列明的传真或电子邮件</w:t>
      </w:r>
      <w:r>
        <w:rPr>
          <w:rFonts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u w:val="singl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ascii="宋体" w:hAnsi="宋体"/>
          <w:color w:val="000000" w:themeColor="text1"/>
          <w:sz w:val="24"/>
          <w:highlight w:val="none"/>
          <w:u w:val="single"/>
          <w14:textFill>
            <w14:solidFill>
              <w14:schemeClr w14:val="tx1"/>
            </w14:solidFill>
          </w14:textFill>
        </w:rPr>
        <w:t>3</w:t>
      </w:r>
      <w:r>
        <w:rPr>
          <w:rFonts w:hint="eastAsia" w:ascii="宋体" w:hAnsi="宋体"/>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000000" w:themeColor="text1"/>
          <w:sz w:val="24"/>
          <w:highlight w:val="none"/>
          <w14:textFill>
            <w14:solidFill>
              <w14:schemeClr w14:val="tx1"/>
            </w14:solidFill>
          </w14:textFill>
        </w:rPr>
        <w:t>的，邮件挂号寄出或者交邮之日之次日视为送达。</w:t>
      </w:r>
      <w:bookmarkEnd w:id="498"/>
      <w:bookmarkEnd w:id="499"/>
    </w:p>
    <w:p>
      <w:pPr>
        <w:spacing w:line="560" w:lineRule="exact"/>
        <w:ind w:firstLine="482" w:firstLineChars="200"/>
        <w:outlineLvl w:val="0"/>
        <w:rPr>
          <w:rFonts w:ascii="宋体" w:hAnsi="宋体"/>
          <w:b/>
          <w:color w:val="000000" w:themeColor="text1"/>
          <w:sz w:val="24"/>
          <w:highlight w:val="none"/>
          <w14:textFill>
            <w14:solidFill>
              <w14:schemeClr w14:val="tx1"/>
            </w14:solidFill>
          </w14:textFill>
        </w:rPr>
      </w:pPr>
      <w:bookmarkStart w:id="500" w:name="_Toc28906"/>
      <w:bookmarkStart w:id="501" w:name="_Toc27644"/>
      <w:bookmarkStart w:id="502" w:name="_Toc20808"/>
      <w:bookmarkStart w:id="503" w:name="_Toc12254"/>
      <w:bookmarkStart w:id="504" w:name="_Toc5063"/>
      <w:r>
        <w:rPr>
          <w:rFonts w:ascii="宋体" w:hAnsi="宋体"/>
          <w:b/>
          <w:color w:val="000000" w:themeColor="text1"/>
          <w:sz w:val="24"/>
          <w:highlight w:val="none"/>
          <w14:textFill>
            <w14:solidFill>
              <w14:schemeClr w14:val="tx1"/>
            </w14:solidFill>
          </w14:textFill>
        </w:rPr>
        <w:t xml:space="preserve">2.17 </w:t>
      </w:r>
      <w:r>
        <w:rPr>
          <w:rFonts w:hint="eastAsia" w:ascii="宋体" w:hAnsi="宋体"/>
          <w:b/>
          <w:color w:val="000000" w:themeColor="text1"/>
          <w:sz w:val="24"/>
          <w:highlight w:val="none"/>
          <w14:textFill>
            <w14:solidFill>
              <w14:schemeClr w14:val="tx1"/>
            </w14:solidFill>
          </w14:textFill>
        </w:rPr>
        <w:t>合同使用的文字和</w:t>
      </w:r>
      <w:r>
        <w:rPr>
          <w:rFonts w:ascii="宋体" w:hAnsi="宋体"/>
          <w:b/>
          <w:color w:val="000000" w:themeColor="text1"/>
          <w:sz w:val="24"/>
          <w:highlight w:val="none"/>
          <w14:textFill>
            <w14:solidFill>
              <w14:schemeClr w14:val="tx1"/>
            </w14:solidFill>
          </w14:textFill>
        </w:rPr>
        <w:t>适用的法律</w:t>
      </w:r>
      <w:bookmarkEnd w:id="500"/>
      <w:bookmarkEnd w:id="501"/>
      <w:bookmarkEnd w:id="502"/>
      <w:bookmarkEnd w:id="503"/>
      <w:bookmarkEnd w:id="504"/>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2.17.1 合同使用汉语书就</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变更和解释</w:t>
      </w:r>
      <w:r>
        <w:rPr>
          <w:rFonts w:hint="eastAsia" w:ascii="宋体" w:hAnsi="宋体"/>
          <w:color w:val="000000" w:themeColor="text1"/>
          <w:sz w:val="24"/>
          <w:highlight w:val="none"/>
          <w14:textFill>
            <w14:solidFill>
              <w14:schemeClr w14:val="tx1"/>
            </w14:solidFill>
          </w14:textFill>
        </w:rPr>
        <w:t>；</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2.17.2 </w:t>
      </w:r>
      <w:r>
        <w:rPr>
          <w:rFonts w:hint="eastAsia" w:ascii="宋体" w:hAnsi="宋体"/>
          <w:color w:val="000000" w:themeColor="text1"/>
          <w:sz w:val="24"/>
          <w:highlight w:val="none"/>
          <w14:textFill>
            <w14:solidFill>
              <w14:schemeClr w14:val="tx1"/>
            </w14:solidFill>
          </w14:textFill>
        </w:rPr>
        <w:t>合同适用</w:t>
      </w:r>
      <w:r>
        <w:rPr>
          <w:rFonts w:ascii="宋体" w:hAnsi="宋体"/>
          <w:color w:val="000000" w:themeColor="text1"/>
          <w:sz w:val="24"/>
          <w:highlight w:val="none"/>
          <w14:textFill>
            <w14:solidFill>
              <w14:schemeClr w14:val="tx1"/>
            </w14:solidFill>
          </w14:textFill>
        </w:rPr>
        <w:t>中华人民共和国法律。</w:t>
      </w:r>
    </w:p>
    <w:p>
      <w:pPr>
        <w:spacing w:line="560" w:lineRule="exact"/>
        <w:ind w:firstLine="482" w:firstLineChars="200"/>
        <w:outlineLvl w:val="0"/>
        <w:rPr>
          <w:rFonts w:ascii="宋体" w:hAnsi="宋体" w:cs="宋体"/>
          <w:b/>
          <w:color w:val="000000" w:themeColor="text1"/>
          <w:sz w:val="24"/>
          <w:highlight w:val="none"/>
          <w14:textFill>
            <w14:solidFill>
              <w14:schemeClr w14:val="tx1"/>
            </w14:solidFill>
          </w14:textFill>
        </w:rPr>
      </w:pPr>
      <w:bookmarkStart w:id="505" w:name="_Toc18540"/>
      <w:bookmarkStart w:id="506" w:name="_Toc4355"/>
      <w:bookmarkStart w:id="507" w:name="_Toc30599"/>
      <w:r>
        <w:rPr>
          <w:rFonts w:hint="eastAsia" w:ascii="宋体" w:hAnsi="宋体" w:cs="宋体"/>
          <w:b/>
          <w:color w:val="000000" w:themeColor="text1"/>
          <w:sz w:val="24"/>
          <w:highlight w:val="none"/>
          <w14:textFill>
            <w14:solidFill>
              <w14:schemeClr w14:val="tx1"/>
            </w14:solidFill>
          </w14:textFill>
        </w:rPr>
        <w:t>2.18 计量单位</w:t>
      </w:r>
      <w:bookmarkEnd w:id="505"/>
      <w:bookmarkEnd w:id="506"/>
      <w:bookmarkEnd w:id="507"/>
    </w:p>
    <w:p>
      <w:pPr>
        <w:spacing w:line="56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除技术规范中另有规定外,合同的计量单位均使用国家法定计量单位。</w:t>
      </w:r>
    </w:p>
    <w:p>
      <w:pPr>
        <w:spacing w:line="560" w:lineRule="exact"/>
        <w:ind w:firstLine="482" w:firstLineChars="200"/>
        <w:rPr>
          <w:rFonts w:ascii="宋体" w:hAnsi="宋体"/>
          <w:b/>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2.</w:t>
      </w:r>
      <w:r>
        <w:rPr>
          <w:rFonts w:hint="eastAsia" w:ascii="宋体" w:hAnsi="宋体"/>
          <w:b/>
          <w:color w:val="000000" w:themeColor="text1"/>
          <w:sz w:val="24"/>
          <w:highlight w:val="none"/>
          <w14:textFill>
            <w14:solidFill>
              <w14:schemeClr w14:val="tx1"/>
            </w14:solidFill>
          </w14:textFill>
        </w:rPr>
        <w:t>19</w:t>
      </w:r>
      <w:r>
        <w:rPr>
          <w:rFonts w:ascii="宋体" w:hAnsi="宋体"/>
          <w:b/>
          <w:color w:val="000000" w:themeColor="text1"/>
          <w:sz w:val="24"/>
          <w:highlight w:val="none"/>
          <w14:textFill>
            <w14:solidFill>
              <w14:schemeClr w14:val="tx1"/>
            </w14:solidFill>
          </w14:textFill>
        </w:rPr>
        <w:t>合同份数</w:t>
      </w:r>
    </w:p>
    <w:p>
      <w:pPr>
        <w:spacing w:line="560" w:lineRule="exact"/>
        <w:ind w:firstLine="480" w:firstLineChars="2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合同份数按</w:t>
      </w:r>
      <w:r>
        <w:rPr>
          <w:rFonts w:ascii="宋体" w:hAnsi="宋体"/>
          <w:b/>
          <w:i/>
          <w:color w:val="000000" w:themeColor="text1"/>
          <w:sz w:val="24"/>
          <w:highlight w:val="none"/>
          <w:u w:val="single"/>
          <w14:textFill>
            <w14:solidFill>
              <w14:schemeClr w14:val="tx1"/>
            </w14:solidFill>
          </w14:textFill>
        </w:rPr>
        <w:t>合同专用条款</w:t>
      </w:r>
      <w:r>
        <w:rPr>
          <w:rFonts w:ascii="宋体" w:hAnsi="宋体"/>
          <w:color w:val="000000" w:themeColor="text1"/>
          <w:sz w:val="24"/>
          <w:highlight w:val="none"/>
          <w14:textFill>
            <w14:solidFill>
              <w14:schemeClr w14:val="tx1"/>
            </w14:solidFill>
          </w14:textFill>
        </w:rPr>
        <w:t>规定</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每份均具有同等法律效力</w:t>
      </w:r>
      <w:r>
        <w:rPr>
          <w:rFonts w:hint="eastAsia" w:ascii="宋体" w:hAnsi="宋体"/>
          <w:color w:val="000000" w:themeColor="text1"/>
          <w:sz w:val="24"/>
          <w:highlight w:val="none"/>
          <w14:textFill>
            <w14:solidFill>
              <w14:schemeClr w14:val="tx1"/>
            </w14:solidFill>
          </w14:textFill>
        </w:rPr>
        <w:t>。</w:t>
      </w:r>
    </w:p>
    <w:p>
      <w:pPr>
        <w:spacing w:line="360" w:lineRule="auto"/>
        <w:jc w:val="center"/>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br w:type="page"/>
      </w:r>
      <w:bookmarkStart w:id="508" w:name="_Toc331685784"/>
      <w:r>
        <w:rPr>
          <w:rFonts w:hint="eastAsia" w:ascii="宋体" w:hAnsi="宋体" w:cs="宋体"/>
          <w:b/>
          <w:color w:val="000000" w:themeColor="text1"/>
          <w:sz w:val="24"/>
          <w:highlight w:val="none"/>
          <w14:textFill>
            <w14:solidFill>
              <w14:schemeClr w14:val="tx1"/>
            </w14:solidFill>
          </w14:textFill>
        </w:rPr>
        <w:t xml:space="preserve"> </w:t>
      </w:r>
      <w:bookmarkEnd w:id="508"/>
      <w:r>
        <w:rPr>
          <w:rFonts w:hint="eastAsia" w:ascii="宋体" w:hAnsi="宋体" w:cs="宋体"/>
          <w:b/>
          <w:color w:val="000000" w:themeColor="text1"/>
          <w:sz w:val="24"/>
          <w:highlight w:val="none"/>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6"/>
        <w:gridCol w:w="8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6" w:type="dxa"/>
            <w:tcBorders>
              <w:left w:val="single" w:color="auto" w:sz="4" w:space="0"/>
            </w:tcBorders>
            <w:vAlign w:val="center"/>
          </w:tcPr>
          <w:p>
            <w:pPr>
              <w:shd w:val="clear"/>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条款号</w:t>
            </w:r>
          </w:p>
        </w:tc>
        <w:tc>
          <w:tcPr>
            <w:tcW w:w="8150" w:type="dxa"/>
            <w:vAlign w:val="center"/>
          </w:tcPr>
          <w:p>
            <w:pPr>
              <w:shd w:val="clear"/>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1.3.2</w:t>
            </w:r>
          </w:p>
        </w:tc>
        <w:tc>
          <w:tcPr>
            <w:tcW w:w="8150" w:type="dxa"/>
            <w:vAlign w:val="center"/>
          </w:tcPr>
          <w:p>
            <w:pPr>
              <w:shd w:val="clear"/>
              <w:spacing w:line="240" w:lineRule="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服务工作量的计量方式</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按消防验收及备案抽中项目的面积计量（平方米）。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1.4.2</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履约保证金：</w:t>
            </w:r>
            <w:r>
              <w:rPr>
                <w:rFonts w:hint="eastAsia" w:ascii="宋体" w:hAnsi="宋体" w:cs="宋体"/>
                <w:color w:val="000000" w:themeColor="text1"/>
                <w:sz w:val="24"/>
                <w:highlight w:val="none"/>
                <w:lang w:val="en-US" w:eastAsia="zh-CN"/>
                <w14:textFill>
                  <w14:solidFill>
                    <w14:schemeClr w14:val="tx1"/>
                  </w14:solidFill>
                </w14:textFill>
              </w:rPr>
              <w:t>无</w:t>
            </w: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1.5.1</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合同生效以及具备实施条件后5个工作日内由采购人向供应商支付消防验收服务中标单价*预估服务工作量（消防验收服务60万平方米）*50%的预付款</w:t>
            </w:r>
            <w:r>
              <w:rPr>
                <w:rFonts w:hint="eastAsia" w:ascii="宋体" w:hAnsi="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1.5.2</w:t>
            </w:r>
          </w:p>
        </w:tc>
        <w:tc>
          <w:tcPr>
            <w:tcW w:w="81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预付款的扣回方式</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抵扣</w:t>
            </w:r>
            <w:r>
              <w:rPr>
                <w:rFonts w:hint="eastAsia" w:ascii="宋体" w:hAnsi="宋体" w:cs="宋体"/>
                <w:color w:val="000000" w:themeColor="text1"/>
                <w:sz w:val="24"/>
                <w:szCs w:val="24"/>
                <w:highlight w:val="none"/>
                <w:u w:val="none"/>
                <w:lang w:val="en-US" w:eastAsia="zh-CN"/>
                <w14:textFill>
                  <w14:solidFill>
                    <w14:schemeClr w14:val="tx1"/>
                  </w14:solidFill>
                </w14:textFill>
              </w:rPr>
              <w:t>服务</w:t>
            </w:r>
            <w:r>
              <w:rPr>
                <w:rFonts w:hint="eastAsia" w:ascii="宋体" w:hAnsi="宋体" w:eastAsia="宋体" w:cs="宋体"/>
                <w:color w:val="000000" w:themeColor="text1"/>
                <w:sz w:val="24"/>
                <w:szCs w:val="24"/>
                <w:highlight w:val="none"/>
                <w:u w:val="none"/>
                <w:lang w:eastAsia="zh-CN"/>
                <w14:textFill>
                  <w14:solidFill>
                    <w14:schemeClr w14:val="tx1"/>
                  </w14:solidFill>
                </w14:textFill>
              </w:rPr>
              <w:t>款</w:t>
            </w:r>
            <w:r>
              <w:rPr>
                <w:rFonts w:hint="eastAsia" w:ascii="宋体" w:hAnsi="宋体" w:cs="宋体"/>
                <w:color w:val="000000" w:themeColor="text1"/>
                <w:sz w:val="24"/>
                <w:szCs w:val="24"/>
                <w:highlight w:val="none"/>
                <w:u w:val="none"/>
                <w:lang w:eastAsia="zh-CN"/>
                <w14:textFill>
                  <w14:solidFill>
                    <w14:schemeClr w14:val="tx1"/>
                  </w14:solidFill>
                </w14:textFill>
              </w:rPr>
              <w:t>，</w:t>
            </w:r>
            <w:r>
              <w:rPr>
                <w:rFonts w:hint="eastAsia" w:ascii="宋体" w:hAnsi="宋体" w:cs="宋体"/>
                <w:color w:val="000000" w:themeColor="text1"/>
                <w:sz w:val="24"/>
                <w:szCs w:val="24"/>
                <w:highlight w:val="none"/>
                <w:u w:val="none"/>
                <w:lang w:val="en-US" w:eastAsia="zh-CN"/>
                <w14:textFill>
                  <w14:solidFill>
                    <w14:schemeClr w14:val="tx1"/>
                  </w14:solidFill>
                </w14:textFill>
              </w:rPr>
              <w:t>实际服务款不足的需退还至甲方指定账号</w:t>
            </w:r>
            <w:r>
              <w:rPr>
                <w:rFonts w:hint="eastAsia" w:ascii="宋体" w:hAnsi="宋体" w:cs="宋体"/>
                <w:color w:val="000000" w:themeColor="text1"/>
                <w:sz w:val="24"/>
                <w:szCs w:val="24"/>
                <w:highlight w:val="none"/>
                <w:u w:val="none"/>
                <w:lang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1.5.3</w:t>
            </w:r>
          </w:p>
        </w:tc>
        <w:tc>
          <w:tcPr>
            <w:tcW w:w="8150" w:type="dxa"/>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预付款的担保措施</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bCs/>
                <w:color w:val="000000" w:themeColor="text1"/>
                <w:sz w:val="24"/>
                <w:szCs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1.6.2</w:t>
            </w:r>
          </w:p>
        </w:tc>
        <w:tc>
          <w:tcPr>
            <w:tcW w:w="8150" w:type="dxa"/>
            <w:vAlign w:val="center"/>
          </w:tcPr>
          <w:p>
            <w:pPr>
              <w:shd w:val="clear"/>
              <w:spacing w:line="240" w:lineRule="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资金支付的方式、时间和条件：</w:t>
            </w:r>
          </w:p>
          <w:p>
            <w:pPr>
              <w:shd w:val="clear"/>
              <w:spacing w:line="24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lang w:val="en-US" w:eastAsia="zh-CN"/>
                <w14:textFill>
                  <w14:solidFill>
                    <w14:schemeClr w14:val="tx1"/>
                  </w14:solidFill>
                </w14:textFill>
              </w:rPr>
              <w:t>根据合同、招标文件等资料进行验收。</w:t>
            </w:r>
          </w:p>
          <w:p>
            <w:pPr>
              <w:shd w:val="clear"/>
              <w:spacing w:line="240" w:lineRule="auto"/>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合同生效以及具备实施条件后5个工作日内由采购人向供应商支付消防验收服务中标单价*预估服务工作量（消防验收服务60万平方米）*50%的预付款；服务期满且验收通过后，采购人根据中标人在此期间实际服务工作量结算并支付至结算费用的100%。结算费用=实际服务工作量*中标单价。（单个消防验收（备案）现场评定项目不足3000元的按3000元计（特殊建设工程、重点项目建设阶段服务及档案资料管理不单独计费）。合同周期内实际支付费用总额不超过预算价）。</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结算时</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eastAsia="宋体" w:cs="宋体"/>
                <w:color w:val="000000" w:themeColor="text1"/>
                <w:sz w:val="24"/>
                <w:highlight w:val="none"/>
                <w:lang w:val="en-US" w:eastAsia="zh-CN"/>
                <w14:textFill>
                  <w14:solidFill>
                    <w14:schemeClr w14:val="tx1"/>
                  </w14:solidFill>
                </w14:textFill>
              </w:rPr>
              <w:t>将结款申请1份、发票原件（按当期应付金额开具）及复印件1份、合同复印件1份、经</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lang w:val="en-US" w:eastAsia="zh-CN"/>
                <w14:textFill>
                  <w14:solidFill>
                    <w14:schemeClr w14:val="tx1"/>
                  </w14:solidFill>
                </w14:textFill>
              </w:rPr>
              <w:t>验收确认的《建德市政府采购验收反馈表》（还需提供验收报告）提交</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lang w:val="en-US" w:eastAsia="zh-CN"/>
                <w14:textFill>
                  <w14:solidFill>
                    <w14:schemeClr w14:val="tx1"/>
                  </w14:solidFill>
                </w14:textFill>
              </w:rPr>
              <w:t>自收到发票后5个工作日内支付相应款项。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1.7.1</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服务交付（实施）的时间（期限）：</w:t>
            </w:r>
            <w:r>
              <w:rPr>
                <w:rFonts w:hint="eastAsia" w:ascii="宋体" w:hAnsi="宋体" w:cs="宋体"/>
                <w:color w:val="000000" w:themeColor="text1"/>
                <w:sz w:val="24"/>
                <w:highlight w:val="none"/>
                <w:lang w:val="en-US" w:eastAsia="zh-CN"/>
                <w14:textFill>
                  <w14:solidFill>
                    <w14:schemeClr w14:val="tx1"/>
                  </w14:solidFill>
                </w14:textFill>
              </w:rPr>
              <w:t>2023年6月21日至2024年6月20日</w:t>
            </w:r>
            <w:r>
              <w:rPr>
                <w:rFonts w:hint="eastAsia" w:ascii="宋体" w:hAnsi="宋体" w:eastAsia="宋体" w:cs="宋体"/>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1.7.2</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服务交付（实施）的地点（地域范围）：根据甲方实际要求确定。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1.7.3</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服务交付（实施）的方式</w:t>
            </w:r>
            <w:r>
              <w:rPr>
                <w:rFonts w:hint="eastAsia" w:ascii="宋体" w:hAnsi="宋体" w:eastAsia="宋体" w:cs="宋体"/>
                <w:color w:val="000000" w:themeColor="text1"/>
                <w:sz w:val="24"/>
                <w:highlight w:val="none"/>
                <w:lang w:val="en-US" w:eastAsia="zh-CN"/>
                <w14:textFill>
                  <w14:solidFill>
                    <w14:schemeClr w14:val="tx1"/>
                  </w14:solidFill>
                </w14:textFill>
              </w:rPr>
              <w:t>:根据甲方实际要求交付。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1.7.4.1</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1.7.4.2</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1.7.4.3</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1.8.7</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1.9.1</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1.9.2</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向</w:t>
            </w:r>
            <w:r>
              <w:rPr>
                <w:rFonts w:hint="eastAsia" w:ascii="宋体" w:hAnsi="宋体" w:eastAsia="宋体" w:cs="宋体"/>
                <w:b/>
                <w:bCs/>
                <w:i/>
                <w:iCs/>
                <w:color w:val="000000" w:themeColor="text1"/>
                <w:sz w:val="24"/>
                <w:highlight w:val="none"/>
                <w:u w:val="single"/>
                <w14:textFill>
                  <w14:solidFill>
                    <w14:schemeClr w14:val="tx1"/>
                  </w14:solidFill>
                </w14:textFill>
              </w:rPr>
              <w:t>建德市人民法院</w:t>
            </w:r>
            <w:r>
              <w:rPr>
                <w:rFonts w:hint="eastAsia" w:ascii="宋体" w:hAnsi="宋体" w:eastAsia="宋体" w:cs="宋体"/>
                <w:color w:val="000000" w:themeColor="text1"/>
                <w:sz w:val="24"/>
                <w:highlight w:val="none"/>
                <w14:textFill>
                  <w14:solidFill>
                    <w14:schemeClr w14:val="tx1"/>
                  </w14:solidFill>
                </w14:textFill>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2.3.2</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合同涉及技术成果的归属和收益的分成办法的：</w:t>
            </w:r>
            <w:r>
              <w:rPr>
                <w:rFonts w:hint="eastAsia" w:ascii="宋体" w:hAnsi="宋体" w:cs="宋体"/>
                <w:color w:val="000000" w:themeColor="text1"/>
                <w:sz w:val="24"/>
                <w:highlight w:val="none"/>
                <w:lang w:val="en-US" w:eastAsia="zh-CN"/>
                <w14:textFill>
                  <w14:solidFill>
                    <w14:schemeClr w14:val="tx1"/>
                  </w14:solidFill>
                </w14:textFill>
              </w:rPr>
              <w:t>完全归属</w:t>
            </w:r>
            <w:r>
              <w:rPr>
                <w:rFonts w:hint="eastAsia" w:ascii="宋体" w:hAnsi="宋体" w:eastAsia="宋体" w:cs="宋体"/>
                <w:b/>
                <w:bCs/>
                <w:color w:val="000000" w:themeColor="text1"/>
                <w:sz w:val="24"/>
                <w:highlight w:val="none"/>
                <w14:textFill>
                  <w14:solidFill>
                    <w14:schemeClr w14:val="tx1"/>
                  </w14:solidFill>
                </w14:textFill>
              </w:rPr>
              <w:t>甲方</w:t>
            </w:r>
            <w:r>
              <w:rPr>
                <w:rFonts w:hint="eastAsia" w:ascii="宋体" w:hAnsi="宋体" w:cs="宋体"/>
                <w:b/>
                <w:bCs/>
                <w:color w:val="000000" w:themeColor="text1"/>
                <w:sz w:val="24"/>
                <w:highlight w:val="none"/>
                <w:lang w:val="en-US" w:eastAsia="zh-CN"/>
                <w14:textFill>
                  <w14:solidFill>
                    <w14:schemeClr w14:val="tx1"/>
                  </w14:solidFill>
                </w14:textFill>
              </w:rPr>
              <w:t>所有</w:t>
            </w:r>
            <w:r>
              <w:rPr>
                <w:rFonts w:hint="eastAsia" w:ascii="宋体" w:hAnsi="宋体" w:eastAsia="宋体" w:cs="宋体"/>
                <w:b/>
                <w:bCs/>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2.5</w:t>
            </w:r>
          </w:p>
        </w:tc>
        <w:tc>
          <w:tcPr>
            <w:tcW w:w="8150" w:type="dxa"/>
            <w:vAlign w:val="center"/>
          </w:tcPr>
          <w:p>
            <w:pPr>
              <w:shd w:val="clear"/>
              <w:spacing w:line="24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2.11.3</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因不可抗力致使合同有变更必要的，双方当事人应在</w:t>
            </w:r>
            <w:r>
              <w:rPr>
                <w:rFonts w:hint="eastAsia" w:ascii="宋体" w:hAnsi="宋体" w:eastAsia="宋体" w:cs="宋体"/>
                <w:b/>
                <w:bCs/>
                <w:i/>
                <w:iCs/>
                <w:color w:val="000000" w:themeColor="text1"/>
                <w:sz w:val="24"/>
                <w:highlight w:val="none"/>
                <w:u w:val="single"/>
                <w14:textFill>
                  <w14:solidFill>
                    <w14:schemeClr w14:val="tx1"/>
                  </w14:solidFill>
                </w14:textFill>
              </w:rPr>
              <w:t>30日</w:t>
            </w:r>
            <w:r>
              <w:rPr>
                <w:rFonts w:hint="eastAsia" w:ascii="宋体" w:hAnsi="宋体" w:eastAsia="宋体" w:cs="宋体"/>
                <w:color w:val="000000" w:themeColor="text1"/>
                <w:sz w:val="24"/>
                <w:highlight w:val="none"/>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top"/>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2.11.4</w:t>
            </w:r>
          </w:p>
        </w:tc>
        <w:tc>
          <w:tcPr>
            <w:tcW w:w="8150" w:type="dxa"/>
            <w:vAlign w:val="top"/>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受不可抗力影响的一方在不可抗力发生后，应在</w:t>
            </w:r>
            <w:r>
              <w:rPr>
                <w:rFonts w:hint="eastAsia" w:ascii="宋体" w:hAnsi="宋体" w:eastAsia="宋体" w:cs="宋体"/>
                <w:b/>
                <w:bCs/>
                <w:i/>
                <w:iCs/>
                <w:color w:val="000000" w:themeColor="text1"/>
                <w:sz w:val="24"/>
                <w:highlight w:val="none"/>
                <w:u w:val="single"/>
                <w14:textFill>
                  <w14:solidFill>
                    <w14:schemeClr w14:val="tx1"/>
                  </w14:solidFill>
                </w14:textFill>
              </w:rPr>
              <w:t>7日</w:t>
            </w:r>
            <w:r>
              <w:rPr>
                <w:rFonts w:hint="eastAsia" w:ascii="宋体" w:hAnsi="宋体" w:eastAsia="宋体" w:cs="宋体"/>
                <w:color w:val="000000" w:themeColor="text1"/>
                <w:sz w:val="24"/>
                <w:highlight w:val="none"/>
                <w14:textFill>
                  <w14:solidFill>
                    <w14:schemeClr w14:val="tx1"/>
                  </w14:solidFill>
                </w14:textFill>
              </w:rPr>
              <w:t>内以书面形式通知对方当事人，并在</w:t>
            </w:r>
            <w:r>
              <w:rPr>
                <w:rFonts w:hint="eastAsia" w:ascii="宋体" w:hAnsi="宋体" w:eastAsia="宋体" w:cs="宋体"/>
                <w:b/>
                <w:bCs/>
                <w:i/>
                <w:iCs/>
                <w:color w:val="000000" w:themeColor="text1"/>
                <w:sz w:val="24"/>
                <w:highlight w:val="none"/>
                <w:u w:val="single"/>
                <w14:textFill>
                  <w14:solidFill>
                    <w14:schemeClr w14:val="tx1"/>
                  </w14:solidFill>
                </w14:textFill>
              </w:rPr>
              <w:t>14日</w:t>
            </w:r>
            <w:r>
              <w:rPr>
                <w:rFonts w:hint="eastAsia" w:ascii="宋体" w:hAnsi="宋体" w:eastAsia="宋体" w:cs="宋体"/>
                <w:color w:val="000000" w:themeColor="text1"/>
                <w:sz w:val="24"/>
                <w:highlight w:val="none"/>
                <w14:textFill>
                  <w14:solidFill>
                    <w14:schemeClr w14:val="tx1"/>
                  </w14:solidFill>
                </w14:textFill>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2.15.1</w:t>
            </w:r>
          </w:p>
        </w:tc>
        <w:tc>
          <w:tcPr>
            <w:tcW w:w="8150" w:type="dxa"/>
            <w:vAlign w:val="center"/>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乙方按照</w:t>
            </w:r>
            <w:r>
              <w:rPr>
                <w:rFonts w:hint="eastAsia" w:ascii="宋体" w:hAnsi="宋体" w:cs="宋体"/>
                <w:b/>
                <w:bCs/>
                <w:i/>
                <w:iCs/>
                <w:color w:val="000000" w:themeColor="text1"/>
                <w:sz w:val="24"/>
                <w:highlight w:val="none"/>
                <w:u w:val="single"/>
                <w:lang w:val="en-US" w:eastAsia="zh-CN"/>
                <w14:textFill>
                  <w14:solidFill>
                    <w14:schemeClr w14:val="tx1"/>
                  </w14:solidFill>
                </w14:textFill>
              </w:rPr>
              <w:t>招标</w:t>
            </w:r>
            <w:r>
              <w:rPr>
                <w:rFonts w:hint="eastAsia" w:ascii="宋体" w:hAnsi="宋体" w:eastAsia="宋体" w:cs="宋体"/>
                <w:b/>
                <w:bCs/>
                <w:i/>
                <w:iCs/>
                <w:color w:val="000000" w:themeColor="text1"/>
                <w:sz w:val="24"/>
                <w:highlight w:val="none"/>
                <w:u w:val="single"/>
                <w:lang w:val="en-US" w:eastAsia="zh-CN"/>
                <w14:textFill>
                  <w14:solidFill>
                    <w14:schemeClr w14:val="tx1"/>
                  </w14:solidFill>
                </w14:textFill>
              </w:rPr>
              <w:t>文件</w:t>
            </w:r>
            <w:r>
              <w:rPr>
                <w:rFonts w:hint="eastAsia" w:ascii="宋体" w:hAnsi="宋体" w:eastAsia="宋体" w:cs="宋体"/>
                <w:color w:val="000000" w:themeColor="text1"/>
                <w:sz w:val="24"/>
                <w:highlight w:val="none"/>
                <w14:textFill>
                  <w14:solidFill>
                    <w14:schemeClr w14:val="tx1"/>
                  </w14:solidFill>
                </w14:textFill>
              </w:rPr>
              <w:t>的约定，定期提交服务报告，甲方按照</w:t>
            </w:r>
            <w:r>
              <w:rPr>
                <w:rFonts w:hint="eastAsia" w:ascii="宋体" w:hAnsi="宋体" w:eastAsia="宋体" w:cs="宋体"/>
                <w:b/>
                <w:bCs/>
                <w:i/>
                <w:iCs/>
                <w:color w:val="000000" w:themeColor="text1"/>
                <w:sz w:val="24"/>
                <w:highlight w:val="none"/>
                <w:u w:val="single"/>
                <w:lang w:eastAsia="zh-CN"/>
                <w14:textFill>
                  <w14:solidFill>
                    <w14:schemeClr w14:val="tx1"/>
                  </w14:solidFill>
                </w14:textFill>
              </w:rPr>
              <w:t>符合招标需求、合同方案标准</w:t>
            </w:r>
            <w:r>
              <w:rPr>
                <w:rFonts w:hint="eastAsia" w:ascii="宋体" w:hAnsi="宋体" w:eastAsia="宋体" w:cs="宋体"/>
                <w:color w:val="000000" w:themeColor="text1"/>
                <w:sz w:val="24"/>
                <w:highlight w:val="none"/>
                <w14:textFill>
                  <w14:solidFill>
                    <w14:schemeClr w14:val="tx1"/>
                  </w14:solidFill>
                </w14:textFill>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6" w:type="dxa"/>
            <w:tcBorders>
              <w:left w:val="single" w:color="auto" w:sz="4" w:space="0"/>
            </w:tcBorders>
            <w:vAlign w:val="center"/>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2.15.3</w:t>
            </w:r>
          </w:p>
        </w:tc>
        <w:tc>
          <w:tcPr>
            <w:tcW w:w="8150" w:type="dxa"/>
            <w:vAlign w:val="center"/>
          </w:tcPr>
          <w:p>
            <w:pPr>
              <w:shd w:val="clear"/>
              <w:spacing w:line="240" w:lineRule="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验收</w:t>
            </w:r>
            <w:r>
              <w:rPr>
                <w:rFonts w:hint="eastAsia" w:ascii="宋体" w:hAnsi="宋体" w:eastAsia="宋体" w:cs="宋体"/>
                <w:color w:val="000000" w:themeColor="text1"/>
                <w:sz w:val="24"/>
                <w:highlight w:val="none"/>
                <w:lang w:eastAsia="zh-CN"/>
                <w14:textFill>
                  <w14:solidFill>
                    <w14:schemeClr w14:val="tx1"/>
                  </w14:solidFill>
                </w14:textFill>
              </w:rPr>
              <w:t>：</w:t>
            </w:r>
          </w:p>
          <w:p>
            <w:pPr>
              <w:shd w:val="clear"/>
              <w:spacing w:line="24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14:textFill>
                  <w14:solidFill>
                    <w14:schemeClr w14:val="tx1"/>
                  </w14:solidFill>
                </w14:textFill>
              </w:rPr>
              <w:t>负责对</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eastAsia="宋体" w:cs="宋体"/>
                <w:color w:val="000000" w:themeColor="text1"/>
                <w:sz w:val="24"/>
                <w:highlight w:val="none"/>
                <w14:textFill>
                  <w14:solidFill>
                    <w14:schemeClr w14:val="tx1"/>
                  </w14:solidFill>
                </w14:textFill>
              </w:rPr>
              <w:t>的履约行为进行验收，验收符合相关政策法规和地方标准。</w:t>
            </w:r>
          </w:p>
          <w:p>
            <w:pPr>
              <w:shd w:val="clear"/>
              <w:spacing w:line="24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2）检验和验收标准、程序等具体内容：通过</w:t>
            </w:r>
            <w:r>
              <w:rPr>
                <w:rFonts w:hint="eastAsia" w:ascii="宋体" w:hAnsi="宋体" w:cs="宋体"/>
                <w:color w:val="000000" w:themeColor="text1"/>
                <w:sz w:val="24"/>
                <w:highlight w:val="none"/>
                <w:lang w:val="en-US" w:eastAsia="zh-CN"/>
                <w14:textFill>
                  <w14:solidFill>
                    <w14:schemeClr w14:val="tx1"/>
                  </w14:solidFill>
                </w14:textFill>
              </w:rPr>
              <w:t>甲方</w:t>
            </w:r>
            <w:r>
              <w:rPr>
                <w:rFonts w:hint="eastAsia" w:ascii="宋体" w:hAnsi="宋体" w:eastAsia="宋体" w:cs="宋体"/>
                <w:color w:val="000000" w:themeColor="text1"/>
                <w:sz w:val="24"/>
                <w:highlight w:val="none"/>
                <w14:textFill>
                  <w14:solidFill>
                    <w14:schemeClr w14:val="tx1"/>
                  </w14:solidFill>
                </w14:textFill>
              </w:rPr>
              <w:t>组织的评审。</w:t>
            </w:r>
          </w:p>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3）验收费用由</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eastAsia="宋体" w:cs="宋体"/>
                <w:color w:val="000000" w:themeColor="text1"/>
                <w:sz w:val="24"/>
                <w:highlight w:val="none"/>
                <w14:textFill>
                  <w14:solidFill>
                    <w14:schemeClr w14:val="tx1"/>
                  </w14:solidFill>
                </w14:textFill>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6" w:type="dxa"/>
            <w:tcBorders>
              <w:left w:val="single" w:color="auto" w:sz="4" w:space="0"/>
            </w:tcBorders>
            <w:vAlign w:val="top"/>
          </w:tcPr>
          <w:p>
            <w:pPr>
              <w:shd w:val="clea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2.19</w:t>
            </w:r>
          </w:p>
        </w:tc>
        <w:tc>
          <w:tcPr>
            <w:tcW w:w="8150" w:type="dxa"/>
            <w:vAlign w:val="top"/>
          </w:tcPr>
          <w:p>
            <w:pPr>
              <w:shd w:val="clea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合同份数：本合同壹式陆份，甲、乙双方各执贰份，见证单位壹份，监管部门壹份。</w:t>
            </w:r>
          </w:p>
        </w:tc>
      </w:tr>
    </w:tbl>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firstLine="480" w:firstLineChars="200"/>
        <w:jc w:val="center"/>
        <w:outlineLvl w:val="0"/>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p>
    <w:p>
      <w:pPr>
        <w:pStyle w:val="5"/>
        <w:rPr>
          <w:color w:val="000000" w:themeColor="text1"/>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hint="eastAsia" w:ascii="宋体" w:hAnsi="宋体" w:cs="宋体"/>
          <w:b/>
          <w:color w:val="000000" w:themeColor="text1"/>
          <w:sz w:val="36"/>
          <w:szCs w:val="20"/>
          <w:highlight w:val="none"/>
          <w14:textFill>
            <w14:solidFill>
              <w14:schemeClr w14:val="tx1"/>
            </w14:solidFill>
          </w14:textFill>
        </w:rPr>
      </w:pPr>
    </w:p>
    <w:p>
      <w:pPr>
        <w:widowControl/>
        <w:adjustRightInd/>
        <w:jc w:val="center"/>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393"/>
      <w:r>
        <w:rPr>
          <w:rFonts w:hint="eastAsia" w:ascii="宋体" w:hAnsi="宋体" w:cs="宋体"/>
          <w:b/>
          <w:color w:val="000000" w:themeColor="text1"/>
          <w:sz w:val="36"/>
          <w:szCs w:val="20"/>
          <w:highlight w:val="none"/>
          <w14:textFill>
            <w14:solidFill>
              <w14:schemeClr w14:val="tx1"/>
            </w14:solidFill>
          </w14:textFill>
        </w:rPr>
        <w:t xml:space="preserve"> </w:t>
      </w:r>
      <w:bookmarkEnd w:id="394"/>
      <w:r>
        <w:rPr>
          <w:rFonts w:hint="eastAsia" w:ascii="宋体" w:hAnsi="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（2）联合协议</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w:t>
      </w:r>
      <w:r>
        <w:rPr>
          <w:rFonts w:hint="eastAsia" w:ascii="宋体" w:hAnsi="宋体" w:cs="宋体"/>
          <w:color w:val="000000" w:themeColor="text1"/>
          <w:sz w:val="24"/>
          <w:highlight w:val="none"/>
          <w:lang w:eastAsia="zh-CN"/>
          <w14:textFill>
            <w14:solidFill>
              <w14:schemeClr w14:val="tx1"/>
            </w14:solidFill>
          </w14:textFill>
        </w:rPr>
        <w:t>重大税收违法案件当事人名单</w:t>
      </w:r>
      <w:r>
        <w:rPr>
          <w:rFonts w:hint="eastAsia" w:ascii="宋体" w:hAnsi="宋体" w:cs="宋体"/>
          <w:color w:val="000000" w:themeColor="text1"/>
          <w:sz w:val="24"/>
          <w:highlight w:val="none"/>
          <w14:textFill>
            <w14:solidFill>
              <w14:schemeClr w14:val="tx1"/>
            </w14:solidFill>
          </w14:textFill>
        </w:rPr>
        <w:t>、政府采购严重违法失信行为记录名单。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widowControl/>
        <w:numPr>
          <w:ilvl w:val="0"/>
          <w:numId w:val="2"/>
        </w:numPr>
        <w:spacing w:line="360" w:lineRule="auto"/>
        <w:ind w:firstLine="643" w:firstLineChars="20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联合协议（如果有）</w:t>
      </w:r>
    </w:p>
    <w:p>
      <w:pPr>
        <w:pStyle w:val="5"/>
        <w:numPr>
          <w:ilvl w:val="0"/>
          <w:numId w:val="0"/>
        </w:numPr>
        <w:ind w:leftChars="0"/>
        <w:jc w:val="center"/>
        <w:rPr>
          <w:rFonts w:hint="eastAsia" w:ascii="宋体" w:hAnsi="宋体" w:eastAsia="宋体" w:cs="宋体"/>
          <w:color w:val="000000" w:themeColor="text1"/>
          <w:highlight w:val="none"/>
          <w:u w:val="single"/>
          <w:lang w:val="en-US"/>
          <w14:textFill>
            <w14:solidFill>
              <w14:schemeClr w14:val="tx1"/>
            </w14:solidFill>
          </w14:textFill>
        </w:rPr>
      </w:pP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三、落实政府采购政策需满足的资格要求</w:t>
      </w:r>
    </w:p>
    <w:p>
      <w:pPr>
        <w:pStyle w:val="5"/>
        <w:numPr>
          <w:ilvl w:val="0"/>
          <w:numId w:val="0"/>
        </w:numPr>
        <w:ind w:leftChars="0"/>
        <w:jc w:val="center"/>
        <w:rPr>
          <w:rFonts w:hint="eastAsia" w:ascii="宋体" w:hAnsi="宋体" w:eastAsia="宋体" w:cs="宋体"/>
          <w:color w:val="000000" w:themeColor="text1"/>
          <w:highlight w:val="none"/>
          <w:u w:val="single"/>
          <w:lang w:val="en-US"/>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.专门面向中小企业，服务全部由符合政策要求的中小企业（或小微企业）承接的，提供相应的中小企业声明函（附件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（满足国家、省级消防部门制定的《消防技术服务机构从业条件》，并在“浙江省消防技术服务管理系统”备案登记，接受行业监管。）</w:t>
      </w: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6"/>
          <w:szCs w:val="36"/>
          <w:highlight w:val="none"/>
          <w14:textFill>
            <w14:solidFill>
              <w14:schemeClr w14:val="tx1"/>
            </w14:solidFill>
          </w14:textFill>
        </w:rPr>
      </w:pPr>
      <w:r>
        <w:rPr>
          <w:rFonts w:ascii="宋体" w:hAnsi="宋体" w:cs="宋体"/>
          <w:b/>
          <w:color w:val="000000" w:themeColor="text1"/>
          <w:kern w:val="0"/>
          <w:sz w:val="36"/>
          <w:szCs w:val="36"/>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4"/>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（1）投标函</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rPr>
          <w:rFonts w:ascii="宋体" w:hAnsi="宋体" w:cs="宋体"/>
          <w:b/>
          <w:color w:val="000000" w:themeColor="text1"/>
          <w:kern w:val="0"/>
          <w:sz w:val="32"/>
          <w:szCs w:val="32"/>
          <w:highlight w:val="none"/>
          <w:lang w:val="zh-CN"/>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一、投标</w:t>
      </w:r>
      <w:r>
        <w:rPr>
          <w:rFonts w:hint="eastAsia" w:ascii="宋体" w:hAnsi="宋体" w:cs="宋体"/>
          <w:b/>
          <w:color w:val="000000" w:themeColor="text1"/>
          <w:sz w:val="32"/>
          <w:szCs w:val="32"/>
          <w:highlight w:val="none"/>
          <w14:textFill>
            <w14:solidFill>
              <w14:schemeClr w14:val="tx1"/>
            </w14:solidFill>
          </w14:textFill>
        </w:rPr>
        <w:t>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我方参加你方组织的</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】招标的有关活动，并对此项目进行投标。为此：</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天（不少于90天）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2.1.1符合参加政府采购活动应当具备的一般条件的承诺函；</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w:t>
      </w:r>
      <w:r>
        <w:rPr>
          <w:rFonts w:hint="eastAsia" w:ascii="宋体" w:hAnsi="宋体" w:cs="宋体"/>
          <w:snapToGrid w:val="0"/>
          <w:color w:val="000000" w:themeColor="text1"/>
          <w:kern w:val="28"/>
          <w:sz w:val="24"/>
          <w:szCs w:val="20"/>
          <w:highlight w:val="none"/>
          <w14:textFill>
            <w14:solidFill>
              <w14:schemeClr w14:val="tx1"/>
            </w14:solidFill>
          </w14:textFill>
        </w:rPr>
        <w:t>联合协议</w:t>
      </w:r>
      <w:bookmarkStart w:id="509" w:name="_Hlk101257010"/>
      <w:r>
        <w:rPr>
          <w:rFonts w:hint="eastAsia" w:ascii="宋体" w:hAnsi="宋体" w:cs="宋体"/>
          <w:color w:val="000000" w:themeColor="text1"/>
          <w:sz w:val="24"/>
          <w:highlight w:val="none"/>
          <w14:textFill>
            <w14:solidFill>
              <w14:schemeClr w14:val="tx1"/>
            </w14:solidFill>
          </w14:textFill>
        </w:rPr>
        <w:t>（如果有)</w:t>
      </w:r>
      <w:bookmarkEnd w:id="509"/>
      <w:r>
        <w:rPr>
          <w:rFonts w:hint="eastAsia" w:ascii="宋体" w:hAnsi="宋体" w:cs="宋体"/>
          <w:snapToGrid w:val="0"/>
          <w:color w:val="000000" w:themeColor="text1"/>
          <w:kern w:val="28"/>
          <w:sz w:val="24"/>
          <w:szCs w:val="20"/>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落实政府采购政策需满足的资格要求（如果有）；</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本项目的特定资格要求（如果有)。</w:t>
      </w:r>
    </w:p>
    <w:p>
      <w:pPr>
        <w:snapToGrid w:val="0"/>
        <w:spacing w:line="360" w:lineRule="auto"/>
        <w:ind w:left="210" w:leftChars="1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分包意向协议（如果有)；</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5、其他补充说明: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highlight w:val="none"/>
          <w:u w:val="singl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5"/>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二、授权委托书或法定代表人（单位负责人、自然人本人）身份证明</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cs="宋体"/>
          <w:b/>
          <w:color w:val="000000" w:themeColor="text1"/>
          <w:kern w:val="0"/>
          <w:sz w:val="32"/>
          <w:szCs w:val="32"/>
          <w:highlight w:val="none"/>
          <w14:textFill>
            <w14:solidFill>
              <w14:schemeClr w14:val="tx1"/>
            </w14:solidFill>
          </w14:textFill>
        </w:rPr>
        <w:t xml:space="preserve"> </w:t>
      </w: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7"/>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7"/>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47"/>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中标后以分包方式履行合同的，提供分包意向协议(附件6</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numPr>
          <w:ilvl w:val="0"/>
          <w:numId w:val="0"/>
        </w:numPr>
        <w:ind w:leftChars="200"/>
        <w:jc w:val="center"/>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四、</w:t>
      </w:r>
      <w:r>
        <w:rPr>
          <w:rFonts w:hint="eastAsia" w:ascii="宋体" w:hAnsi="宋体" w:cs="宋体"/>
          <w:b/>
          <w:color w:val="000000" w:themeColor="text1"/>
          <w:kern w:val="0"/>
          <w:sz w:val="32"/>
          <w:szCs w:val="32"/>
          <w:highlight w:val="none"/>
          <w14:textFill>
            <w14:solidFill>
              <w14:schemeClr w14:val="tx1"/>
            </w14:solidFill>
          </w14:textFill>
        </w:rPr>
        <w:t>符合性审查资料</w:t>
      </w: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highlight w:val="none"/>
                <w14:textFill>
                  <w14:solidFill>
                    <w14:schemeClr w14:val="tx1"/>
                  </w14:solidFill>
                </w14:textFill>
              </w:rPr>
            </w:pP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991" w:type="dxa"/>
          </w:tcPr>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hint="eastAsia"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numPr>
          <w:ilvl w:val="0"/>
          <w:numId w:val="3"/>
        </w:numPr>
        <w:ind w:firstLine="2891" w:firstLineChars="900"/>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备注（如果有）</w:t>
            </w:r>
          </w:p>
          <w:p>
            <w:pPr>
              <w:spacing w:line="360" w:lineRule="auto"/>
              <w:jc w:val="center"/>
              <w:rPr>
                <w:rFonts w:ascii="宋体" w:hAnsi="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numPr>
          <w:ilvl w:val="0"/>
          <w:numId w:val="3"/>
        </w:numPr>
        <w:ind w:left="0" w:leftChars="0" w:firstLine="2891" w:firstLineChars="900"/>
        <w:jc w:val="both"/>
        <w:rPr>
          <w:rFonts w:hint="eastAsia"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683"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ind w:firstLine="1911" w:firstLineChars="595"/>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八</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both"/>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w:t>
      </w:r>
      <w:r>
        <w:rPr>
          <w:rFonts w:hint="eastAsia" w:ascii="宋体" w:hAnsi="宋体" w:cs="宋体"/>
          <w:color w:val="000000" w:themeColor="text1"/>
          <w:sz w:val="24"/>
          <w:highlight w:val="none"/>
          <w:lang w:val="zh-CN"/>
          <w14:textFill>
            <w14:solidFill>
              <w14:schemeClr w14:val="tx1"/>
            </w14:solidFill>
          </w14:textFill>
        </w:rPr>
        <w:t>《中华人民共和国民法典》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14:textFill>
            <w14:solidFill>
              <w14:schemeClr w14:val="tx1"/>
            </w14:solidFill>
          </w14:textFill>
        </w:rPr>
        <w:t>电子签名</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pacing w:line="360" w:lineRule="auto"/>
        <w:jc w:val="center"/>
        <w:rPr>
          <w:rFonts w:ascii="宋体" w:hAnsi="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（1）开标一览表（报价表）………………………………………………………（页码）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建德市住房和城乡建设局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杭州欣兴建设工程招标代理有限公司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kern w:val="0"/>
          <w:sz w:val="24"/>
          <w:highlight w:val="none"/>
          <w:lang w:val="zh-CN"/>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】的实施</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开标一览表（报价表）</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992"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2268" w:type="dxa"/>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服务范围</w:t>
            </w:r>
          </w:p>
        </w:tc>
        <w:tc>
          <w:tcPr>
            <w:tcW w:w="2410"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服务要求</w:t>
            </w:r>
          </w:p>
        </w:tc>
        <w:tc>
          <w:tcPr>
            <w:tcW w:w="2268"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服务时间</w:t>
            </w:r>
          </w:p>
        </w:tc>
        <w:tc>
          <w:tcPr>
            <w:tcW w:w="2126"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服务标准</w:t>
            </w:r>
          </w:p>
        </w:tc>
        <w:tc>
          <w:tcPr>
            <w:tcW w:w="2127" w:type="dxa"/>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服务人数</w:t>
            </w:r>
          </w:p>
        </w:tc>
        <w:tc>
          <w:tcPr>
            <w:tcW w:w="2126"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备注（如果有）</w:t>
            </w:r>
          </w:p>
          <w:p>
            <w:pPr>
              <w:spacing w:line="360" w:lineRule="auto"/>
              <w:jc w:val="center"/>
              <w:rPr>
                <w:rFonts w:ascii="宋体" w:hAnsi="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992"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7" w:type="dxa"/>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992"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7" w:type="dxa"/>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992"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7" w:type="dxa"/>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7" w:type="dxa"/>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7" w:type="dxa"/>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w:t>
            </w:r>
            <w:r>
              <w:rPr>
                <w:rFonts w:hint="eastAsia" w:ascii="宋体" w:hAnsi="宋体" w:cs="宋体"/>
                <w:b/>
                <w:color w:val="000000" w:themeColor="text1"/>
                <w:sz w:val="24"/>
                <w:highlight w:val="none"/>
                <w:lang w:val="en-US" w:eastAsia="zh-CN"/>
                <w14:textFill>
                  <w14:solidFill>
                    <w14:schemeClr w14:val="tx1"/>
                  </w14:solidFill>
                </w14:textFill>
              </w:rPr>
              <w:t>报价</w:t>
            </w: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小写</w:t>
            </w:r>
            <w:r>
              <w:rPr>
                <w:rFonts w:hint="eastAsia" w:ascii="宋体" w:hAnsi="宋体" w:cs="宋体"/>
                <w:b/>
                <w:color w:val="000000" w:themeColor="text1"/>
                <w:sz w:val="24"/>
                <w:highlight w:val="none"/>
                <w14:textFill>
                  <w14:solidFill>
                    <w14:schemeClr w14:val="tx1"/>
                  </w14:solidFill>
                </w14:textFill>
              </w:rPr>
              <w:t>）</w:t>
            </w:r>
          </w:p>
        </w:tc>
        <w:tc>
          <w:tcPr>
            <w:tcW w:w="8647" w:type="dxa"/>
            <w:gridSpan w:val="4"/>
          </w:tcPr>
          <w:p>
            <w:pPr>
              <w:spacing w:line="360"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元/平方米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w:t>
            </w:r>
            <w:r>
              <w:rPr>
                <w:rFonts w:hint="eastAsia" w:ascii="宋体" w:hAnsi="宋体" w:cs="宋体"/>
                <w:b/>
                <w:color w:val="000000" w:themeColor="text1"/>
                <w:sz w:val="24"/>
                <w:highlight w:val="none"/>
                <w:lang w:val="en-US" w:eastAsia="zh-CN"/>
                <w14:textFill>
                  <w14:solidFill>
                    <w14:schemeClr w14:val="tx1"/>
                  </w14:solidFill>
                </w14:textFill>
              </w:rPr>
              <w:t>报价</w:t>
            </w: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大写</w:t>
            </w:r>
            <w:r>
              <w:rPr>
                <w:rFonts w:hint="eastAsia" w:ascii="宋体" w:hAnsi="宋体" w:cs="宋体"/>
                <w:b/>
                <w:color w:val="000000" w:themeColor="text1"/>
                <w:sz w:val="24"/>
                <w:highlight w:val="none"/>
                <w14:textFill>
                  <w14:solidFill>
                    <w14:schemeClr w14:val="tx1"/>
                  </w14:solidFill>
                </w14:textFill>
              </w:rPr>
              <w:t>）</w:t>
            </w:r>
          </w:p>
        </w:tc>
        <w:tc>
          <w:tcPr>
            <w:tcW w:w="8647" w:type="dxa"/>
            <w:gridSpan w:val="4"/>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1、投标人需按本表格式填写</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highlight w:val="none"/>
          <w14:textFill>
            <w14:solidFill>
              <w14:schemeClr w14:val="tx1"/>
            </w14:solidFill>
          </w14:textFill>
        </w:rPr>
        <w:t>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szCs w:val="22"/>
          <w:highlight w:val="none"/>
          <w:lang w:val="zh-CN"/>
          <w14:textFill>
            <w14:solidFill>
              <w14:schemeClr w14:val="tx1"/>
            </w14:solidFill>
          </w14:textFill>
        </w:rPr>
        <w:t>4</w:t>
      </w:r>
      <w:r>
        <w:rPr>
          <w:rFonts w:hint="eastAsia" w:ascii="宋体" w:hAnsi="宋体" w:cs="宋体"/>
          <w:color w:val="000000" w:themeColor="text1"/>
          <w:kern w:val="0"/>
          <w:sz w:val="24"/>
          <w:szCs w:val="22"/>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p>
    <w:p>
      <w:pPr>
        <w:pStyle w:val="691"/>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pStyle w:val="4"/>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附件</w:t>
      </w:r>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510" w:name="OLE_LINK13"/>
      <w:bookmarkStart w:id="511" w:name="OLE_LINK14"/>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510"/>
    <w:bookmarkEnd w:id="511"/>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14:textFill>
            <w14:solidFill>
              <w14:schemeClr w14:val="tx1"/>
            </w14:solidFill>
          </w14:textFill>
        </w:rPr>
        <w:t>(采购人)</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质疑函范本</w:t>
      </w:r>
    </w:p>
    <w:p>
      <w:pPr>
        <w:snapToGrid w:val="0"/>
        <w:spacing w:beforeLines="100"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 </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投诉书范本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tabs>
          <w:tab w:val="left" w:pos="6510"/>
        </w:tabs>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代理机构名称：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日,向</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提出质疑，质疑事项为：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采购人/代理机构</w:t>
      </w:r>
      <w:r>
        <w:rPr>
          <w:rFonts w:hint="eastAsia" w:ascii="宋体" w:hAnsi="宋体" w:cs="宋体"/>
          <w:color w:val="000000" w:themeColor="text1"/>
          <w:sz w:val="24"/>
          <w:highlight w:val="none"/>
          <w14:textFill>
            <w14:solidFill>
              <w14:schemeClr w14:val="tx1"/>
            </w14:solidFill>
          </w14:textFill>
        </w:rPr>
        <w:t>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附件4：</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建德市住房和城乡建设局</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杭州欣兴建设工程招标代理有限公司</w:t>
      </w:r>
      <w:r>
        <w:rPr>
          <w:rFonts w:hint="eastAsia" w:ascii="宋体" w:hAnsi="宋体" w:cs="宋体"/>
          <w:color w:val="000000" w:themeColor="text1"/>
          <w:sz w:val="24"/>
          <w:highlight w:val="none"/>
          <w:u w:val="singl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投标单位（法定名称章）：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ed="f" stroked="t" coordsize="21600,21600" o:gfxdata="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xlIY2AAAAAoBAAAPAAAAAAAAAAEAIAAAACIAAABkcnMvZG93bnJldi54bWxQSwECFAAUAAAA&#10;CACHTuJAmj76cu4BAAD6AwAADgAAAAAAAAABACAAAAAnAQAAZHJzL2Uyb0RvYy54bWxQSwUGAAAA&#10;AAYABgBZAQAAhwUAAAAA&#10;">
                <v:fill on="f" focussize="0,0"/>
                <v:stroke color="#000000" joinstyle="miter"/>
                <v:imagedata o:title=""/>
                <o:lock v:ext="edit" aspectratio="f"/>
              </v:rect>
            </w:pict>
          </mc:Fallback>
        </mc:AlternateContent>
      </w: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ed="f" stroked="t" coordsize="21600,21600" o:gfxdata="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PaGoHXAAAACgEAAA8AAAAAAAAAAQAgAAAAIgAAAGRycy9kb3ducmV2LnhtbFBLAQIUABQAAAAI&#10;AIdO4kDuKu+g7gEAAPoDAAAOAAAAAAAAAAEAIAAAACYBAABkcnMvZTJvRG9jLnhtbFBLBQYAAAAA&#10;BgAGAFkBAACGBQAAAAA=&#10;">
                <v:fill on="f" focussize="0,0"/>
                <v:stroke color="#000000" joinstyle="miter"/>
                <v:imagedata o:title=""/>
                <o:lock v:ext="edit" aspectratio="f"/>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hint="eastAsia"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w:t>
      </w:r>
      <w:r>
        <w:rPr>
          <w:rFonts w:ascii="宋体" w:hAnsi="宋体" w:cs="宋体"/>
          <w:b/>
          <w:color w:val="000000" w:themeColor="text1"/>
          <w:spacing w:val="6"/>
          <w:sz w:val="32"/>
          <w:szCs w:val="32"/>
          <w:highlight w:val="none"/>
          <w14:textFill>
            <w14:solidFill>
              <w14:schemeClr w14:val="tx1"/>
            </w14:solidFill>
          </w14:textFill>
        </w:rPr>
        <w:t>5</w:t>
      </w:r>
      <w:r>
        <w:rPr>
          <w:rFonts w:hint="eastAsia" w:ascii="宋体" w:hAnsi="宋体" w:cs="宋体"/>
          <w:b/>
          <w:color w:val="000000" w:themeColor="text1"/>
          <w:spacing w:val="6"/>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w:t>
      </w:r>
      <w:bookmarkStart w:id="512" w:name="_Hlk101131882"/>
      <w:r>
        <w:rPr>
          <w:rFonts w:hint="eastAsia" w:ascii="宋体" w:hAnsi="宋体" w:cs="宋体"/>
          <w:color w:val="000000" w:themeColor="text1"/>
          <w:kern w:val="0"/>
          <w:sz w:val="24"/>
          <w:highlight w:val="none"/>
          <w:u w:val="single"/>
          <w14:textFill>
            <w14:solidFill>
              <w14:schemeClr w14:val="tx1"/>
            </w14:solidFill>
          </w14:textFill>
        </w:rPr>
        <w:t>联合体成员X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w:t>
      </w:r>
      <w:bookmarkEnd w:id="512"/>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w:t>
      </w:r>
      <w:bookmarkStart w:id="513" w:name="_Hlk101133598"/>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bookmarkEnd w:id="513"/>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514"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514"/>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highlight w:val="none"/>
          <w14:textFill>
            <w14:solidFill>
              <w14:schemeClr w14:val="tx1"/>
            </w14:solidFill>
          </w14:textFill>
        </w:rPr>
      </w:pPr>
    </w:p>
    <w:p>
      <w:pPr>
        <w:widowControl/>
        <w:adjustRightInd/>
        <w:jc w:val="left"/>
        <w:rPr>
          <w:rFonts w:ascii="宋体" w:hAnsi="宋体" w:cs="宋体"/>
          <w:b/>
          <w:color w:val="000000" w:themeColor="text1"/>
          <w:spacing w:val="6"/>
          <w:sz w:val="32"/>
          <w:szCs w:val="32"/>
          <w:highlight w:val="none"/>
          <w14:textFill>
            <w14:solidFill>
              <w14:schemeClr w14:val="tx1"/>
            </w14:solidFill>
          </w14:textFill>
        </w:rPr>
      </w:pPr>
      <w:r>
        <w:rPr>
          <w:rFonts w:ascii="宋体" w:hAnsi="宋体" w:cs="宋体"/>
          <w:b/>
          <w:color w:val="000000" w:themeColor="text1"/>
          <w:spacing w:val="6"/>
          <w:sz w:val="32"/>
          <w:szCs w:val="32"/>
          <w:highlight w:val="none"/>
          <w14:textFill>
            <w14:solidFill>
              <w14:schemeClr w14:val="tx1"/>
            </w14:solidFill>
          </w14:textFill>
        </w:rPr>
        <w:br w:type="page"/>
      </w:r>
    </w:p>
    <w:p>
      <w:pPr>
        <w:snapToGrid w:val="0"/>
        <w:spacing w:line="360" w:lineRule="auto"/>
        <w:ind w:firstLine="3666" w:firstLineChars="110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w:t>
      </w:r>
      <w:r>
        <w:rPr>
          <w:rFonts w:ascii="宋体" w:hAnsi="宋体" w:cs="宋体"/>
          <w:b/>
          <w:color w:val="000000" w:themeColor="text1"/>
          <w:spacing w:val="6"/>
          <w:sz w:val="32"/>
          <w:szCs w:val="32"/>
          <w:highlight w:val="none"/>
          <w14:textFill>
            <w14:solidFill>
              <w14:schemeClr w14:val="tx1"/>
            </w14:solidFill>
          </w14:textFill>
        </w:rPr>
        <w:t>6</w:t>
      </w:r>
      <w:r>
        <w:rPr>
          <w:rFonts w:hint="eastAsia" w:ascii="宋体" w:hAnsi="宋体" w:cs="宋体"/>
          <w:b/>
          <w:color w:val="000000" w:themeColor="text1"/>
          <w:spacing w:val="6"/>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JD2023BF-073</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（分包供应商2名称），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5"/>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……）提供的服务全部由小微企业承接，</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八、其他</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                                           投标人名称(电子签名)：</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附件</w:t>
      </w:r>
      <w:r>
        <w:rPr>
          <w:rFonts w:ascii="宋体" w:hAnsi="宋体" w:cs="宋体"/>
          <w:b/>
          <w:color w:val="000000" w:themeColor="text1"/>
          <w:sz w:val="36"/>
          <w:szCs w:val="20"/>
          <w:highlight w:val="none"/>
          <w14:textFill>
            <w14:solidFill>
              <w14:schemeClr w14:val="tx1"/>
            </w14:solidFill>
          </w14:textFill>
        </w:rPr>
        <w:t>7</w:t>
      </w:r>
      <w:r>
        <w:rPr>
          <w:rFonts w:hint="eastAsia" w:ascii="宋体" w:hAnsi="宋体" w:cs="宋体"/>
          <w:b/>
          <w:color w:val="000000" w:themeColor="text1"/>
          <w:sz w:val="36"/>
          <w:szCs w:val="20"/>
          <w:highlight w:val="none"/>
          <w14:textFill>
            <w14:solidFill>
              <w14:schemeClr w14:val="tx1"/>
            </w14:solidFill>
          </w14:textFill>
        </w:rPr>
        <w:t>：中小企业声明函</w:t>
      </w:r>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highlight w:val="none"/>
          <w:u w:val="single"/>
          <w:lang w:eastAsia="zh-CN"/>
          <w14:textFill>
            <w14:solidFill>
              <w14:schemeClr w14:val="tx1"/>
            </w14:solidFill>
          </w14:textFill>
        </w:rPr>
        <w:t>建德市住房和城乡建设局</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2023年度建筑工程消防验收第三方服务项目</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建筑工程消防验收第三方服务、档案管理服务</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，属于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其他未列明行业</w:t>
      </w:r>
      <w:r>
        <w:rPr>
          <w:rFonts w:hint="eastAsia" w:ascii="宋体" w:hAnsi="宋体" w:cs="宋体"/>
          <w:color w:val="000000" w:themeColor="text1"/>
          <w:sz w:val="24"/>
          <w:highlight w:val="none"/>
          <w14:textFill>
            <w14:solidFill>
              <w14:schemeClr w14:val="tx1"/>
            </w14:solidFill>
          </w14:textFill>
        </w:rPr>
        <w:t xml:space="preserve"> ；承建（承接）企业为 </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 xml:space="preserve"> （标的名称），</w:t>
      </w:r>
      <w:r>
        <w:rPr>
          <w:rFonts w:hint="eastAsia" w:ascii="宋体" w:hAnsi="宋体" w:cs="宋体"/>
          <w:color w:val="000000" w:themeColor="text1"/>
          <w:sz w:val="24"/>
          <w:highlight w:val="none"/>
          <w14:textFill>
            <w14:solidFill>
              <w14:schemeClr w14:val="tx1"/>
            </w14:solidFill>
          </w14:textFill>
        </w:rPr>
        <w:t xml:space="preserve">属于 </w:t>
      </w:r>
      <w:r>
        <w:rPr>
          <w:rFonts w:hint="eastAsia" w:ascii="宋体" w:hAnsi="宋体" w:cs="宋体"/>
          <w:color w:val="000000" w:themeColor="text1"/>
          <w:sz w:val="24"/>
          <w:highlight w:val="none"/>
          <w:u w:val="single"/>
          <w14:textFill>
            <w14:solidFill>
              <w14:schemeClr w14:val="tx1"/>
            </w14:solidFill>
          </w14:textFill>
        </w:rPr>
        <w:t xml:space="preserve">（采购文件中明确的所属行业） </w:t>
      </w:r>
      <w:r>
        <w:rPr>
          <w:rFonts w:hint="eastAsia" w:ascii="宋体" w:hAnsi="宋体" w:cs="宋体"/>
          <w:color w:val="000000" w:themeColor="text1"/>
          <w:sz w:val="24"/>
          <w:highlight w:val="none"/>
          <w14:textFill>
            <w14:solidFill>
              <w14:schemeClr w14:val="tx1"/>
            </w14:solidFill>
          </w14:textFill>
        </w:rPr>
        <w:t xml:space="preserve">；承建（承接）企业为 </w:t>
      </w:r>
      <w:r>
        <w:rPr>
          <w:rFonts w:hint="eastAsia" w:ascii="宋体" w:hAnsi="宋体" w:cs="宋体"/>
          <w:color w:val="000000" w:themeColor="text1"/>
          <w:sz w:val="24"/>
          <w:highlight w:val="none"/>
          <w:u w:val="single"/>
          <w14:textFill>
            <w14:solidFill>
              <w14:schemeClr w14:val="tx1"/>
            </w14:solidFill>
          </w14:textFill>
        </w:rPr>
        <w:t>（企业名称）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投标人名称（电子签名）：</w:t>
      </w:r>
    </w:p>
    <w:p>
      <w:pPr>
        <w:spacing w:line="360" w:lineRule="auto"/>
        <w:ind w:right="1120" w:firstLine="4680" w:firstLineChars="19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5"/>
        <w:rPr>
          <w:rFonts w:ascii="宋体" w:hAnsi="宋体" w:eastAsia="宋体" w:cs="宋体"/>
          <w:color w:val="000000" w:themeColor="text1"/>
          <w:highlight w:val="none"/>
          <w:lang w:val="en-US"/>
          <w14:textFill>
            <w14:solidFill>
              <w14:schemeClr w14:val="tx1"/>
            </w14:solidFill>
          </w14:textFill>
        </w:rPr>
      </w:pPr>
    </w:p>
    <w:p>
      <w:pPr>
        <w:spacing w:line="360" w:lineRule="auto"/>
        <w:ind w:right="42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Cs/>
          <w:color w:val="000000" w:themeColor="text1"/>
          <w:sz w:val="24"/>
          <w:highlight w:val="none"/>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Courier New"/>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Courier New"/>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Century"/>
    <w:panose1 w:val="020B0502020202020204"/>
    <w:charset w:val="00"/>
    <w:family w:val="swiss"/>
    <w:pitch w:val="default"/>
    <w:sig w:usb0="00000000" w:usb1="00000000" w:usb2="00000000" w:usb3="00000000" w:csb0="2000009F" w:csb1="DFD70000"/>
  </w:font>
  <w:font w:name="Aldine401 BT">
    <w:altName w:val="Courier New"/>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164085800"/>
    <w:bookmarkStart w:id="517" w:name="_Toc91899912"/>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57A9E"/>
    <w:multiLevelType w:val="singleLevel"/>
    <w:tmpl w:val="1BB57A9E"/>
    <w:lvl w:ilvl="0" w:tentative="0">
      <w:start w:val="11"/>
      <w:numFmt w:val="decimal"/>
      <w:suff w:val="space"/>
      <w:lvlText w:val="%1."/>
      <w:lvlJc w:val="left"/>
    </w:lvl>
  </w:abstractNum>
  <w:abstractNum w:abstractNumId="1">
    <w:nsid w:val="7E3A9EA0"/>
    <w:multiLevelType w:val="singleLevel"/>
    <w:tmpl w:val="7E3A9EA0"/>
    <w:lvl w:ilvl="0" w:tentative="0">
      <w:start w:val="6"/>
      <w:numFmt w:val="chineseCounting"/>
      <w:suff w:val="nothing"/>
      <w:lvlText w:val="%1、"/>
      <w:lvlJc w:val="left"/>
      <w:rPr>
        <w:rFonts w:hint="eastAsia"/>
      </w:rPr>
    </w:lvl>
  </w:abstractNum>
  <w:abstractNum w:abstractNumId="2">
    <w:nsid w:val="7F81B622"/>
    <w:multiLevelType w:val="singleLevel"/>
    <w:tmpl w:val="7F81B6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Njc4ZGJiNzMyMDMzNzRiMzU1MzYyZmUxMzQ1ZT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80A"/>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A5F"/>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85F"/>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C0"/>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8"/>
    <w:rsid w:val="00905469"/>
    <w:rsid w:val="00906078"/>
    <w:rsid w:val="0090629C"/>
    <w:rsid w:val="00906EA2"/>
    <w:rsid w:val="00907278"/>
    <w:rsid w:val="009076CA"/>
    <w:rsid w:val="00910041"/>
    <w:rsid w:val="00910A84"/>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44E8"/>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093D"/>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E32D09"/>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B6A8E"/>
    <w:rsid w:val="04F66F48"/>
    <w:rsid w:val="05251E14"/>
    <w:rsid w:val="05A16594"/>
    <w:rsid w:val="05A7762D"/>
    <w:rsid w:val="060E5941"/>
    <w:rsid w:val="06110FAF"/>
    <w:rsid w:val="06493CA7"/>
    <w:rsid w:val="065A6178"/>
    <w:rsid w:val="066F1CF3"/>
    <w:rsid w:val="06930BB8"/>
    <w:rsid w:val="06D23030"/>
    <w:rsid w:val="07245D42"/>
    <w:rsid w:val="07264C62"/>
    <w:rsid w:val="0779354C"/>
    <w:rsid w:val="08061376"/>
    <w:rsid w:val="08452D77"/>
    <w:rsid w:val="086401F8"/>
    <w:rsid w:val="08751CAA"/>
    <w:rsid w:val="087E4C40"/>
    <w:rsid w:val="08864D60"/>
    <w:rsid w:val="08A871D0"/>
    <w:rsid w:val="08B4706D"/>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23F32"/>
    <w:rsid w:val="0B631A88"/>
    <w:rsid w:val="0B683D45"/>
    <w:rsid w:val="0B7F3F11"/>
    <w:rsid w:val="0B84338B"/>
    <w:rsid w:val="0B884417"/>
    <w:rsid w:val="0BF6188C"/>
    <w:rsid w:val="0BF73C91"/>
    <w:rsid w:val="0C170175"/>
    <w:rsid w:val="0C364685"/>
    <w:rsid w:val="0C571A41"/>
    <w:rsid w:val="0C5C1171"/>
    <w:rsid w:val="0C5E1CBC"/>
    <w:rsid w:val="0C615B50"/>
    <w:rsid w:val="0C8445DA"/>
    <w:rsid w:val="0C87121B"/>
    <w:rsid w:val="0C8B3692"/>
    <w:rsid w:val="0CA072C0"/>
    <w:rsid w:val="0CC007F7"/>
    <w:rsid w:val="0CC617AC"/>
    <w:rsid w:val="0CE618DF"/>
    <w:rsid w:val="0CFE707A"/>
    <w:rsid w:val="0D063BDA"/>
    <w:rsid w:val="0D08375F"/>
    <w:rsid w:val="0D184CFB"/>
    <w:rsid w:val="0D4A7419"/>
    <w:rsid w:val="0D827401"/>
    <w:rsid w:val="0D84094E"/>
    <w:rsid w:val="0D8A00E9"/>
    <w:rsid w:val="0D8B0A01"/>
    <w:rsid w:val="0D8D589E"/>
    <w:rsid w:val="0DA01C73"/>
    <w:rsid w:val="0DD63300"/>
    <w:rsid w:val="0DF50604"/>
    <w:rsid w:val="0DF702FE"/>
    <w:rsid w:val="0E060E51"/>
    <w:rsid w:val="0E5604B2"/>
    <w:rsid w:val="0E6D5D79"/>
    <w:rsid w:val="0E8D72E4"/>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60820"/>
    <w:rsid w:val="118963A1"/>
    <w:rsid w:val="11C6522A"/>
    <w:rsid w:val="11E104CC"/>
    <w:rsid w:val="11E20309"/>
    <w:rsid w:val="11EE5A02"/>
    <w:rsid w:val="11F3076A"/>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293599"/>
    <w:rsid w:val="153F308B"/>
    <w:rsid w:val="154A6454"/>
    <w:rsid w:val="15762120"/>
    <w:rsid w:val="15EC4007"/>
    <w:rsid w:val="16296C4B"/>
    <w:rsid w:val="166D3279"/>
    <w:rsid w:val="168340B4"/>
    <w:rsid w:val="16A8729C"/>
    <w:rsid w:val="16B33777"/>
    <w:rsid w:val="16BC70A7"/>
    <w:rsid w:val="16C6339E"/>
    <w:rsid w:val="172F2D79"/>
    <w:rsid w:val="17557BEF"/>
    <w:rsid w:val="17D349C1"/>
    <w:rsid w:val="1830729E"/>
    <w:rsid w:val="1870062C"/>
    <w:rsid w:val="18817102"/>
    <w:rsid w:val="18830A15"/>
    <w:rsid w:val="18852B28"/>
    <w:rsid w:val="188B5321"/>
    <w:rsid w:val="19566367"/>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625B77"/>
    <w:rsid w:val="1C88086E"/>
    <w:rsid w:val="1D266CE1"/>
    <w:rsid w:val="1D3963AF"/>
    <w:rsid w:val="1D6327E7"/>
    <w:rsid w:val="1D6A673C"/>
    <w:rsid w:val="1D9247AE"/>
    <w:rsid w:val="1DB567EC"/>
    <w:rsid w:val="1DD65CC8"/>
    <w:rsid w:val="1DF51A98"/>
    <w:rsid w:val="1E21302E"/>
    <w:rsid w:val="1E3D060F"/>
    <w:rsid w:val="1E3F7D2E"/>
    <w:rsid w:val="1E4134E4"/>
    <w:rsid w:val="1E5062B3"/>
    <w:rsid w:val="1E523514"/>
    <w:rsid w:val="1E714A66"/>
    <w:rsid w:val="1E802593"/>
    <w:rsid w:val="1E8B6156"/>
    <w:rsid w:val="1E8E3FB0"/>
    <w:rsid w:val="1EA703CC"/>
    <w:rsid w:val="1EB7330C"/>
    <w:rsid w:val="1F0A0FF3"/>
    <w:rsid w:val="1F5771FF"/>
    <w:rsid w:val="1FD52DD5"/>
    <w:rsid w:val="1FE868A9"/>
    <w:rsid w:val="1FEE5F57"/>
    <w:rsid w:val="20034907"/>
    <w:rsid w:val="20173E4B"/>
    <w:rsid w:val="204E48BC"/>
    <w:rsid w:val="208921B3"/>
    <w:rsid w:val="20973DEB"/>
    <w:rsid w:val="20B26522"/>
    <w:rsid w:val="20B44310"/>
    <w:rsid w:val="211116EB"/>
    <w:rsid w:val="216133FC"/>
    <w:rsid w:val="21D56769"/>
    <w:rsid w:val="21D625A8"/>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8A64C6"/>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484ABD"/>
    <w:rsid w:val="276142BF"/>
    <w:rsid w:val="27783712"/>
    <w:rsid w:val="27907362"/>
    <w:rsid w:val="28333E1D"/>
    <w:rsid w:val="28454BD6"/>
    <w:rsid w:val="28455253"/>
    <w:rsid w:val="28551971"/>
    <w:rsid w:val="285B1C53"/>
    <w:rsid w:val="289F7086"/>
    <w:rsid w:val="28C32028"/>
    <w:rsid w:val="28CC490F"/>
    <w:rsid w:val="28DE40AA"/>
    <w:rsid w:val="292A3FD5"/>
    <w:rsid w:val="29345E77"/>
    <w:rsid w:val="294C65AD"/>
    <w:rsid w:val="29806583"/>
    <w:rsid w:val="298B3C4C"/>
    <w:rsid w:val="29F26D24"/>
    <w:rsid w:val="2A093747"/>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0C35AE"/>
    <w:rsid w:val="2F946CCB"/>
    <w:rsid w:val="2FCC2A87"/>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5BD6AF9"/>
    <w:rsid w:val="363A3B40"/>
    <w:rsid w:val="365302AE"/>
    <w:rsid w:val="36607A0A"/>
    <w:rsid w:val="366E227C"/>
    <w:rsid w:val="366F2E0D"/>
    <w:rsid w:val="367B6A5C"/>
    <w:rsid w:val="36A74ADA"/>
    <w:rsid w:val="36AD60D5"/>
    <w:rsid w:val="36B224F9"/>
    <w:rsid w:val="36EC0CC9"/>
    <w:rsid w:val="373F410B"/>
    <w:rsid w:val="3747215A"/>
    <w:rsid w:val="37EE7094"/>
    <w:rsid w:val="38296C89"/>
    <w:rsid w:val="383002EB"/>
    <w:rsid w:val="38586797"/>
    <w:rsid w:val="38653409"/>
    <w:rsid w:val="38BC0149"/>
    <w:rsid w:val="38D87D1C"/>
    <w:rsid w:val="39636459"/>
    <w:rsid w:val="396B7F6C"/>
    <w:rsid w:val="398D01E8"/>
    <w:rsid w:val="39B417A9"/>
    <w:rsid w:val="39FC5695"/>
    <w:rsid w:val="3A006D8E"/>
    <w:rsid w:val="3A3651E5"/>
    <w:rsid w:val="3A744481"/>
    <w:rsid w:val="3A8378F5"/>
    <w:rsid w:val="3A8C7BEF"/>
    <w:rsid w:val="3A906246"/>
    <w:rsid w:val="3B2349B7"/>
    <w:rsid w:val="3B616CFF"/>
    <w:rsid w:val="3B6259F6"/>
    <w:rsid w:val="3B976654"/>
    <w:rsid w:val="3BC01EFC"/>
    <w:rsid w:val="3BCA786A"/>
    <w:rsid w:val="3BD31E2F"/>
    <w:rsid w:val="3BF15831"/>
    <w:rsid w:val="3C105946"/>
    <w:rsid w:val="3C353B22"/>
    <w:rsid w:val="3C471448"/>
    <w:rsid w:val="3C4E0989"/>
    <w:rsid w:val="3C5F759A"/>
    <w:rsid w:val="3C6C525A"/>
    <w:rsid w:val="3CCE23CB"/>
    <w:rsid w:val="3CD17D17"/>
    <w:rsid w:val="3CE91BC1"/>
    <w:rsid w:val="3D0A6C1F"/>
    <w:rsid w:val="3D3C7F39"/>
    <w:rsid w:val="3D440F09"/>
    <w:rsid w:val="3D4504A0"/>
    <w:rsid w:val="3D8734BB"/>
    <w:rsid w:val="3D9A11D4"/>
    <w:rsid w:val="3DA16D89"/>
    <w:rsid w:val="3DA364BE"/>
    <w:rsid w:val="3DDA6AD1"/>
    <w:rsid w:val="3DE041CB"/>
    <w:rsid w:val="3DFC407A"/>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1E2613A"/>
    <w:rsid w:val="41FD2F74"/>
    <w:rsid w:val="42474939"/>
    <w:rsid w:val="424C3C57"/>
    <w:rsid w:val="42612E33"/>
    <w:rsid w:val="42613FF3"/>
    <w:rsid w:val="42660D96"/>
    <w:rsid w:val="42705AC3"/>
    <w:rsid w:val="428667D2"/>
    <w:rsid w:val="42CD1CE0"/>
    <w:rsid w:val="42E1381E"/>
    <w:rsid w:val="42ED6459"/>
    <w:rsid w:val="42FE58DD"/>
    <w:rsid w:val="43174B3D"/>
    <w:rsid w:val="434B790E"/>
    <w:rsid w:val="4360274F"/>
    <w:rsid w:val="43977AB6"/>
    <w:rsid w:val="43A3342B"/>
    <w:rsid w:val="43C77C27"/>
    <w:rsid w:val="43DE09EE"/>
    <w:rsid w:val="44002FAD"/>
    <w:rsid w:val="449101DD"/>
    <w:rsid w:val="44B40F84"/>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6C6602A"/>
    <w:rsid w:val="477B778F"/>
    <w:rsid w:val="478203EC"/>
    <w:rsid w:val="47B025FA"/>
    <w:rsid w:val="47B02ACF"/>
    <w:rsid w:val="4809698F"/>
    <w:rsid w:val="4811697D"/>
    <w:rsid w:val="4847665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97127"/>
    <w:rsid w:val="4AB82D0F"/>
    <w:rsid w:val="4AEB7664"/>
    <w:rsid w:val="4AFD7C19"/>
    <w:rsid w:val="4B0567D1"/>
    <w:rsid w:val="4B236AAE"/>
    <w:rsid w:val="4B707271"/>
    <w:rsid w:val="4B9739F7"/>
    <w:rsid w:val="4BEE2503"/>
    <w:rsid w:val="4C245A30"/>
    <w:rsid w:val="4CB6685F"/>
    <w:rsid w:val="4CB80E4F"/>
    <w:rsid w:val="4CC367FE"/>
    <w:rsid w:val="4CFD651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A76214"/>
    <w:rsid w:val="4FE625E0"/>
    <w:rsid w:val="5021480F"/>
    <w:rsid w:val="50962ECB"/>
    <w:rsid w:val="50A42E38"/>
    <w:rsid w:val="50A4577F"/>
    <w:rsid w:val="50B73D1F"/>
    <w:rsid w:val="50BD5BC9"/>
    <w:rsid w:val="50C11EEE"/>
    <w:rsid w:val="50E97CFC"/>
    <w:rsid w:val="50FA4028"/>
    <w:rsid w:val="5107138F"/>
    <w:rsid w:val="510D65B7"/>
    <w:rsid w:val="511157AB"/>
    <w:rsid w:val="5142540C"/>
    <w:rsid w:val="51426BF5"/>
    <w:rsid w:val="518832C8"/>
    <w:rsid w:val="519D3C50"/>
    <w:rsid w:val="51A0432A"/>
    <w:rsid w:val="51A86090"/>
    <w:rsid w:val="51B7396D"/>
    <w:rsid w:val="522E4CC3"/>
    <w:rsid w:val="5244713B"/>
    <w:rsid w:val="52615633"/>
    <w:rsid w:val="526F4DE4"/>
    <w:rsid w:val="52977FD4"/>
    <w:rsid w:val="52A25790"/>
    <w:rsid w:val="52A96B6F"/>
    <w:rsid w:val="52B45975"/>
    <w:rsid w:val="52CD0741"/>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E5223F"/>
    <w:rsid w:val="566B6D1E"/>
    <w:rsid w:val="567F61F6"/>
    <w:rsid w:val="57032A2C"/>
    <w:rsid w:val="570F5219"/>
    <w:rsid w:val="575D12B5"/>
    <w:rsid w:val="57610A87"/>
    <w:rsid w:val="577B1140"/>
    <w:rsid w:val="577B7F21"/>
    <w:rsid w:val="577F181B"/>
    <w:rsid w:val="57921984"/>
    <w:rsid w:val="579737F0"/>
    <w:rsid w:val="57AB7B30"/>
    <w:rsid w:val="57AD03DC"/>
    <w:rsid w:val="57AF5251"/>
    <w:rsid w:val="57B26373"/>
    <w:rsid w:val="57B63F04"/>
    <w:rsid w:val="57CD20C2"/>
    <w:rsid w:val="57D675AB"/>
    <w:rsid w:val="57D95FDD"/>
    <w:rsid w:val="58917D2F"/>
    <w:rsid w:val="5894085C"/>
    <w:rsid w:val="589D0BB5"/>
    <w:rsid w:val="58AE4F0C"/>
    <w:rsid w:val="58B85899"/>
    <w:rsid w:val="58E363A9"/>
    <w:rsid w:val="595B0854"/>
    <w:rsid w:val="595E1678"/>
    <w:rsid w:val="59617E35"/>
    <w:rsid w:val="596D5BD4"/>
    <w:rsid w:val="597C6A1D"/>
    <w:rsid w:val="597E3DD8"/>
    <w:rsid w:val="59F80043"/>
    <w:rsid w:val="59F82547"/>
    <w:rsid w:val="5A09252F"/>
    <w:rsid w:val="5A0B2778"/>
    <w:rsid w:val="5A2A7C7B"/>
    <w:rsid w:val="5A2B4E21"/>
    <w:rsid w:val="5A3E2560"/>
    <w:rsid w:val="5A5D3B6E"/>
    <w:rsid w:val="5A637A76"/>
    <w:rsid w:val="5A6D1786"/>
    <w:rsid w:val="5A6D33BA"/>
    <w:rsid w:val="5A792B1F"/>
    <w:rsid w:val="5A874767"/>
    <w:rsid w:val="5AA85BE2"/>
    <w:rsid w:val="5AAD6F28"/>
    <w:rsid w:val="5AD63A24"/>
    <w:rsid w:val="5AF967B6"/>
    <w:rsid w:val="5B2E1A1D"/>
    <w:rsid w:val="5B30103B"/>
    <w:rsid w:val="5B843A1C"/>
    <w:rsid w:val="5B873E3F"/>
    <w:rsid w:val="5C02690E"/>
    <w:rsid w:val="5C196DA7"/>
    <w:rsid w:val="5C2A048C"/>
    <w:rsid w:val="5C422F8E"/>
    <w:rsid w:val="5C80234E"/>
    <w:rsid w:val="5C8A680C"/>
    <w:rsid w:val="5CA15DC2"/>
    <w:rsid w:val="5D0C4701"/>
    <w:rsid w:val="5D0F0395"/>
    <w:rsid w:val="5D221076"/>
    <w:rsid w:val="5D397964"/>
    <w:rsid w:val="5D5A391C"/>
    <w:rsid w:val="5D5F10C0"/>
    <w:rsid w:val="5D891B7B"/>
    <w:rsid w:val="5DAD38EE"/>
    <w:rsid w:val="5DEA03F9"/>
    <w:rsid w:val="5E006862"/>
    <w:rsid w:val="5E0207B9"/>
    <w:rsid w:val="5E1834A1"/>
    <w:rsid w:val="5E261785"/>
    <w:rsid w:val="5E4A7017"/>
    <w:rsid w:val="5E552BBA"/>
    <w:rsid w:val="5E611C10"/>
    <w:rsid w:val="5E7A0F3F"/>
    <w:rsid w:val="5E87050B"/>
    <w:rsid w:val="5EFC7377"/>
    <w:rsid w:val="5F06174D"/>
    <w:rsid w:val="5F3A3602"/>
    <w:rsid w:val="5F443B39"/>
    <w:rsid w:val="5F45733B"/>
    <w:rsid w:val="5F6277C6"/>
    <w:rsid w:val="5F6D0B1D"/>
    <w:rsid w:val="5F8D0B82"/>
    <w:rsid w:val="5FCC5339"/>
    <w:rsid w:val="5FE34A5B"/>
    <w:rsid w:val="5FFE1E36"/>
    <w:rsid w:val="60232584"/>
    <w:rsid w:val="607330CE"/>
    <w:rsid w:val="60825176"/>
    <w:rsid w:val="609F2AC4"/>
    <w:rsid w:val="60B7783F"/>
    <w:rsid w:val="60FA2EE8"/>
    <w:rsid w:val="61054A27"/>
    <w:rsid w:val="610A52BC"/>
    <w:rsid w:val="611D2366"/>
    <w:rsid w:val="61421856"/>
    <w:rsid w:val="615227C4"/>
    <w:rsid w:val="61654E3F"/>
    <w:rsid w:val="6182292A"/>
    <w:rsid w:val="619F7F92"/>
    <w:rsid w:val="61E733BD"/>
    <w:rsid w:val="61F94C26"/>
    <w:rsid w:val="62000E56"/>
    <w:rsid w:val="624F3E49"/>
    <w:rsid w:val="62632286"/>
    <w:rsid w:val="62885958"/>
    <w:rsid w:val="62F40B65"/>
    <w:rsid w:val="62FC2CFE"/>
    <w:rsid w:val="63024505"/>
    <w:rsid w:val="635600A5"/>
    <w:rsid w:val="635B1DB5"/>
    <w:rsid w:val="63711FED"/>
    <w:rsid w:val="63880DDC"/>
    <w:rsid w:val="638D750D"/>
    <w:rsid w:val="63972C18"/>
    <w:rsid w:val="63AC6CC0"/>
    <w:rsid w:val="64055776"/>
    <w:rsid w:val="64240056"/>
    <w:rsid w:val="643E143A"/>
    <w:rsid w:val="64491666"/>
    <w:rsid w:val="646507D9"/>
    <w:rsid w:val="648B6EEF"/>
    <w:rsid w:val="64C158BF"/>
    <w:rsid w:val="64CE2EAA"/>
    <w:rsid w:val="653C3090"/>
    <w:rsid w:val="65526CEA"/>
    <w:rsid w:val="65656C9C"/>
    <w:rsid w:val="65681D17"/>
    <w:rsid w:val="65854376"/>
    <w:rsid w:val="658767BE"/>
    <w:rsid w:val="65892531"/>
    <w:rsid w:val="65B23EF2"/>
    <w:rsid w:val="66195831"/>
    <w:rsid w:val="662E75B1"/>
    <w:rsid w:val="66342C2E"/>
    <w:rsid w:val="663E784C"/>
    <w:rsid w:val="668B6A45"/>
    <w:rsid w:val="66A97572"/>
    <w:rsid w:val="67011F07"/>
    <w:rsid w:val="672F3F24"/>
    <w:rsid w:val="673E055F"/>
    <w:rsid w:val="67551CE3"/>
    <w:rsid w:val="67815B7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8060B5"/>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13DAD"/>
    <w:rsid w:val="6D4772EC"/>
    <w:rsid w:val="6D48513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6A0126"/>
    <w:rsid w:val="707723D0"/>
    <w:rsid w:val="707C234E"/>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17D6E"/>
    <w:rsid w:val="777F31F2"/>
    <w:rsid w:val="77A23EFA"/>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206DA"/>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CEC6B1F"/>
    <w:rsid w:val="7D0C32F1"/>
    <w:rsid w:val="7D0F408D"/>
    <w:rsid w:val="7D1312C2"/>
    <w:rsid w:val="7D491C6C"/>
    <w:rsid w:val="7D5429C0"/>
    <w:rsid w:val="7D6E6D43"/>
    <w:rsid w:val="7DB57A34"/>
    <w:rsid w:val="7DD02D0F"/>
    <w:rsid w:val="7DE60973"/>
    <w:rsid w:val="7DEF0916"/>
    <w:rsid w:val="7E1E5218"/>
    <w:rsid w:val="7E956EBF"/>
    <w:rsid w:val="7E9A4E1F"/>
    <w:rsid w:val="7EA7723A"/>
    <w:rsid w:val="7EF56FBB"/>
    <w:rsid w:val="7F0768EB"/>
    <w:rsid w:val="7F143BEC"/>
    <w:rsid w:val="7F715AF2"/>
    <w:rsid w:val="7F886E69"/>
    <w:rsid w:val="7FEE3921"/>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2">
    <w:name w:val="Body Text First Indent"/>
    <w:basedOn w:val="3"/>
    <w:link w:val="319"/>
    <w:qFormat/>
    <w:uiPriority w:val="0"/>
    <w:pPr>
      <w:ind w:firstLine="420"/>
    </w:pPr>
    <w:rPr>
      <w:rFonts w:hAnsi="Calibri" w:cs="Times New Roman"/>
      <w:snapToGrid/>
      <w:szCs w:val="20"/>
    </w:rPr>
  </w:style>
  <w:style w:type="paragraph" w:styleId="3">
    <w:name w:val="Body Text"/>
    <w:basedOn w:val="1"/>
    <w:next w:val="2"/>
    <w:link w:val="428"/>
    <w:qFormat/>
    <w:uiPriority w:val="0"/>
    <w:pPr>
      <w:autoSpaceDE w:val="0"/>
      <w:autoSpaceDN w:val="0"/>
      <w:spacing w:line="360" w:lineRule="auto"/>
    </w:pPr>
    <w:rPr>
      <w:rFonts w:ascii="宋体" w:hAnsi="Arial" w:cs="Arial"/>
      <w:snapToGrid w:val="0"/>
      <w:sz w:val="24"/>
      <w:szCs w:val="21"/>
      <w:lang w:val="zh-CN"/>
    </w:rPr>
  </w:style>
  <w:style w:type="paragraph" w:styleId="7">
    <w:name w:val="Normal Indent"/>
    <w:basedOn w:val="1"/>
    <w:next w:val="8"/>
    <w:link w:val="191"/>
    <w:qFormat/>
    <w:uiPriority w:val="0"/>
    <w:pPr>
      <w:widowControl/>
      <w:snapToGrid w:val="0"/>
      <w:spacing w:line="480" w:lineRule="exact"/>
      <w:ind w:firstLine="567"/>
    </w:pPr>
    <w:rPr>
      <w:rFonts w:ascii="宋体"/>
      <w:snapToGrid w:val="0"/>
      <w:color w:val="000000"/>
      <w:kern w:val="28"/>
      <w:sz w:val="28"/>
      <w:szCs w:val="20"/>
    </w:rPr>
  </w:style>
  <w:style w:type="paragraph" w:styleId="8">
    <w:name w:val="Body Text Indent"/>
    <w:basedOn w:val="1"/>
    <w:next w:val="7"/>
    <w:link w:val="263"/>
    <w:qFormat/>
    <w:uiPriority w:val="0"/>
    <w:pPr>
      <w:spacing w:line="480" w:lineRule="exact"/>
      <w:ind w:firstLine="480" w:firstLineChars="200"/>
    </w:pPr>
    <w:rPr>
      <w:rFonts w:ascii="宋体" w:hAnsi="宋体"/>
      <w:sz w:val="24"/>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9">
    <w:name w:val="caption"/>
    <w:basedOn w:val="1"/>
    <w:next w:val="1"/>
    <w:link w:val="227"/>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200"/>
    <w:qFormat/>
    <w:uiPriority w:val="0"/>
    <w:pPr>
      <w:shd w:val="clear" w:color="auto" w:fill="000080"/>
    </w:pPr>
  </w:style>
  <w:style w:type="paragraph" w:styleId="22">
    <w:name w:val="annotation text"/>
    <w:basedOn w:val="1"/>
    <w:link w:val="342"/>
    <w:qFormat/>
    <w:uiPriority w:val="99"/>
    <w:pPr>
      <w:jc w:val="left"/>
    </w:pPr>
  </w:style>
  <w:style w:type="paragraph" w:styleId="23">
    <w:name w:val="Salutation"/>
    <w:basedOn w:val="1"/>
    <w:next w:val="1"/>
    <w:link w:val="296"/>
    <w:qFormat/>
    <w:uiPriority w:val="0"/>
    <w:rPr>
      <w:rFonts w:ascii="仿宋_GB2312" w:eastAsia="仿宋_GB2312"/>
      <w:sz w:val="28"/>
      <w:szCs w:val="20"/>
    </w:rPr>
  </w:style>
  <w:style w:type="paragraph" w:styleId="24">
    <w:name w:val="Body Text 3"/>
    <w:basedOn w:val="1"/>
    <w:link w:val="328"/>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7"/>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2"/>
    <w:next w:val="22"/>
    <w:link w:val="94"/>
    <w:qFormat/>
    <w:uiPriority w:val="0"/>
    <w:rPr>
      <w:b/>
      <w:bCs/>
    </w:rPr>
  </w:style>
  <w:style w:type="paragraph" w:styleId="61">
    <w:name w:val="Body Text First Indent 2"/>
    <w:basedOn w:val="8"/>
    <w:next w:val="1"/>
    <w:link w:val="119"/>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_Style 2"/>
    <w:basedOn w:val="5"/>
    <w:next w:val="1"/>
    <w:qFormat/>
    <w:uiPriority w:val="39"/>
    <w:pPr>
      <w:spacing w:before="0" w:after="0" w:line="240" w:lineRule="auto"/>
      <w:outlineLvl w:val="9"/>
    </w:pPr>
    <w:rPr>
      <w:kern w:val="0"/>
      <w:sz w:val="21"/>
      <w:szCs w:val="28"/>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1"/>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69"/>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11"/>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5"/>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4"/>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7"/>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21"/>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9"/>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9"/>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8"/>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4"/>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10"/>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3"/>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9"/>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12"/>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9"/>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4"/>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2"/>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3"/>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7"/>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8"/>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9"/>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5"/>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6"/>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10"/>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6"/>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9"/>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8"/>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4"/>
    <w:qFormat/>
    <w:uiPriority w:val="0"/>
    <w:pPr>
      <w:tabs>
        <w:tab w:val="left" w:pos="840"/>
      </w:tabs>
      <w:adjustRightInd/>
      <w:ind w:left="840" w:hanging="420"/>
    </w:pPr>
  </w:style>
  <w:style w:type="paragraph" w:customStyle="1" w:styleId="624">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9"/>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Lines="50"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8"/>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6"/>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6"/>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8"/>
    <w:qFormat/>
    <w:uiPriority w:val="0"/>
    <w:pPr>
      <w:adjustRightInd/>
      <w:spacing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8"/>
    <w:qFormat/>
    <w:uiPriority w:val="2"/>
    <w:pPr>
      <w:tabs>
        <w:tab w:val="clear" w:pos="390"/>
        <w:tab w:val="clear" w:pos="454"/>
      </w:tabs>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21"/>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10"/>
    <w:next w:val="1"/>
    <w:qFormat/>
    <w:uiPriority w:val="0"/>
    <w:pPr>
      <w:tabs>
        <w:tab w:val="left" w:pos="1080"/>
      </w:tabs>
      <w:ind w:left="1080" w:hanging="1080"/>
    </w:pPr>
  </w:style>
  <w:style w:type="paragraph" w:customStyle="1" w:styleId="895">
    <w:name w:val="数字标题1"/>
    <w:basedOn w:val="4"/>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Basistekst Batenburg"/>
    <w:basedOn w:val="964"/>
    <w:qFormat/>
    <w:uiPriority w:val="0"/>
  </w:style>
  <w:style w:type="paragraph" w:customStyle="1" w:styleId="964">
    <w:name w:val="Zsysbasis Batenburg"/>
    <w:next w:val="963"/>
    <w:qFormat/>
    <w:uiPriority w:val="0"/>
    <w:pPr>
      <w:spacing w:line="300" w:lineRule="atLeast"/>
    </w:pPr>
    <w:rPr>
      <w:rFonts w:ascii="Times New Roman" w:hAnsi="Times New Roman" w:eastAsia="宋体" w:cs="Times New Roman"/>
      <w:sz w:val="22"/>
      <w:szCs w:val="18"/>
      <w:lang w:val="en-US" w:eastAsia="zh-CN" w:bidi="ar-SA"/>
    </w:rPr>
  </w:style>
  <w:style w:type="paragraph" w:customStyle="1" w:styleId="965">
    <w:name w:val="居中表格内容标题"/>
    <w:basedOn w:val="966"/>
    <w:qFormat/>
    <w:uiPriority w:val="0"/>
    <w:rPr>
      <w:b/>
    </w:rPr>
  </w:style>
  <w:style w:type="paragraph" w:customStyle="1" w:styleId="966">
    <w:name w:val="居中表格内容"/>
    <w:basedOn w:val="1"/>
    <w:next w:val="1"/>
    <w:qFormat/>
    <w:locked/>
    <w:uiPriority w:val="0"/>
    <w:pPr>
      <w:adjustRightInd w:val="0"/>
      <w:snapToGrid w:val="0"/>
      <w:jc w:val="center"/>
    </w:pPr>
    <w:rPr>
      <w:rFonts w:ascii="宋体" w:hAnsi="宋体" w:eastAsia="宋体"/>
      <w:color w:val="00000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41117</Words>
  <Characters>43388</Characters>
  <Lines>281</Lines>
  <Paragraphs>79</Paragraphs>
  <TotalTime>45</TotalTime>
  <ScaleCrop>false</ScaleCrop>
  <LinksUpToDate>false</LinksUpToDate>
  <CharactersWithSpaces>48696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不点</cp:lastModifiedBy>
  <cp:lastPrinted>2021-12-27T03:06:00Z</cp:lastPrinted>
  <dcterms:modified xsi:type="dcterms:W3CDTF">2023-05-22T09:49:15Z</dcterms:modified>
  <dc:title>杭州市市民卡扩大发卡工程</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51BF608EBEEB45ACB8B758A2B16994F0_13</vt:lpwstr>
  </property>
</Properties>
</file>