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adjustRightInd/>
        <w:spacing w:line="360" w:lineRule="auto"/>
        <w:jc w:val="center"/>
        <w:rPr>
          <w:rFonts w:hint="eastAsia" w:ascii="宋体" w:hAnsi="宋体" w:eastAsia="宋体" w:cs="宋体"/>
          <w:color w:val="auto"/>
          <w:sz w:val="48"/>
          <w:szCs w:val="48"/>
          <w:highlight w:val="none"/>
          <w:lang w:eastAsia="zh-CN"/>
        </w:rPr>
      </w:pPr>
      <w:r>
        <w:rPr>
          <w:rFonts w:hint="eastAsia" w:ascii="宋体" w:hAnsi="宋体" w:cs="宋体"/>
          <w:color w:val="auto"/>
          <w:sz w:val="48"/>
          <w:szCs w:val="48"/>
          <w:highlight w:val="none"/>
          <w:lang w:eastAsia="zh-CN"/>
        </w:rPr>
        <w:t>建德市物业维修资金数据治理迁移项目</w:t>
      </w:r>
    </w:p>
    <w:p>
      <w:pPr>
        <w:adjustRightInd/>
        <w:spacing w:line="360" w:lineRule="auto"/>
        <w:jc w:val="center"/>
        <w:rPr>
          <w:rFonts w:hint="eastAsia" w:ascii="宋体" w:hAnsi="宋体" w:cs="宋体"/>
          <w:color w:val="auto"/>
          <w:sz w:val="48"/>
          <w:szCs w:val="48"/>
          <w:highlight w:val="none"/>
        </w:rPr>
      </w:pPr>
    </w:p>
    <w:p>
      <w:pPr>
        <w:adjustRightInd/>
        <w:spacing w:line="360" w:lineRule="auto"/>
        <w:jc w:val="center"/>
        <w:rPr>
          <w:rFonts w:hint="eastAsia" w:ascii="宋体" w:hAnsi="宋体" w:cs="宋体"/>
          <w:color w:val="auto"/>
          <w:sz w:val="48"/>
          <w:szCs w:val="48"/>
          <w:highlight w:val="none"/>
        </w:rPr>
      </w:pP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hint="eastAsia" w:ascii="宋体" w:hAnsi="宋体" w:eastAsia="宋体" w:cs="宋体"/>
          <w:color w:val="auto"/>
          <w:sz w:val="30"/>
          <w:szCs w:val="30"/>
          <w:highlight w:val="none"/>
          <w:lang w:eastAsia="zh-CN"/>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eastAsia="zh-CN"/>
        </w:rPr>
        <w:t>：JD2023BF-055</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lang w:eastAsia="zh-CN"/>
        </w:rPr>
        <w:t>建德市房产和住房保障服务中心</w:t>
      </w:r>
    </w:p>
    <w:p>
      <w:pPr>
        <w:spacing w:line="360" w:lineRule="auto"/>
        <w:jc w:val="center"/>
        <w:rPr>
          <w:rFonts w:hint="eastAsia" w:ascii="宋体" w:hAnsi="宋体" w:eastAsia="宋体" w:cs="宋体"/>
          <w:bCs/>
          <w:color w:val="auto"/>
          <w:sz w:val="32"/>
          <w:szCs w:val="32"/>
          <w:highlight w:val="none"/>
          <w:lang w:eastAsia="zh-CN"/>
        </w:rPr>
      </w:pPr>
      <w:r>
        <w:rPr>
          <w:rFonts w:hint="eastAsia" w:ascii="宋体" w:hAnsi="宋体" w:cs="宋体"/>
          <w:bCs/>
          <w:color w:val="auto"/>
          <w:sz w:val="32"/>
          <w:szCs w:val="32"/>
          <w:highlight w:val="none"/>
          <w:lang w:eastAsia="zh-CN"/>
        </w:rPr>
        <w:t>杭州欣兴建设工程招标代理有限公司</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val="en-US" w:eastAsia="zh-CN"/>
        </w:rPr>
        <w:t>三</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val="en-US" w:eastAsia="zh-CN"/>
        </w:rPr>
        <w:t>二十八</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635"/>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29822"/>
      <w:bookmarkEnd w:id="4"/>
      <w:bookmarkStart w:id="5" w:name="_Hlt74728647"/>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eastAsia="zh-CN"/>
        </w:rPr>
        <w:t>建德市物业维修资金数据治理迁移项目</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7"/>
          <w:rFonts w:hint="eastAsia" w:ascii="宋体" w:hAnsi="宋体" w:eastAsia="宋体" w:cs="宋体"/>
          <w:snapToGrid/>
          <w:color w:val="auto"/>
          <w:kern w:val="2"/>
          <w:sz w:val="24"/>
          <w:szCs w:val="24"/>
          <w:highlight w:val="none"/>
        </w:rPr>
        <w:t>https://www.zcygov.cn/）获取（下载）招标文件，并于202</w:t>
      </w:r>
      <w:r>
        <w:rPr>
          <w:rStyle w:val="77"/>
          <w:rFonts w:hint="eastAsia" w:ascii="宋体" w:hAnsi="宋体" w:cs="宋体"/>
          <w:snapToGrid/>
          <w:color w:val="auto"/>
          <w:kern w:val="2"/>
          <w:sz w:val="24"/>
          <w:szCs w:val="24"/>
          <w:highlight w:val="none"/>
          <w:lang w:val="en-US" w:eastAsia="zh-CN"/>
        </w:rPr>
        <w:t>3</w:t>
      </w:r>
      <w:r>
        <w:rPr>
          <w:rStyle w:val="77"/>
          <w:rFonts w:hint="eastAsia" w:ascii="宋体" w:hAnsi="宋体" w:eastAsia="宋体" w:cs="宋体"/>
          <w:snapToGrid/>
          <w:color w:val="auto"/>
          <w:kern w:val="2"/>
          <w:sz w:val="24"/>
          <w:szCs w:val="24"/>
          <w:highlight w:val="none"/>
        </w:rPr>
        <w:t>年</w:t>
      </w:r>
      <w:r>
        <w:rPr>
          <w:rStyle w:val="77"/>
          <w:rFonts w:hint="eastAsia" w:ascii="宋体" w:hAnsi="宋体" w:cs="宋体"/>
          <w:snapToGrid/>
          <w:color w:val="auto"/>
          <w:kern w:val="2"/>
          <w:sz w:val="24"/>
          <w:szCs w:val="24"/>
          <w:highlight w:val="none"/>
          <w:lang w:val="en-US" w:eastAsia="zh-CN"/>
        </w:rPr>
        <w:t>5</w:t>
      </w:r>
      <w:r>
        <w:rPr>
          <w:rStyle w:val="77"/>
          <w:rFonts w:hint="eastAsia" w:ascii="宋体" w:hAnsi="宋体" w:eastAsia="宋体" w:cs="宋体"/>
          <w:snapToGrid/>
          <w:color w:val="auto"/>
          <w:kern w:val="2"/>
          <w:sz w:val="24"/>
          <w:szCs w:val="24"/>
          <w:highlight w:val="none"/>
        </w:rPr>
        <w:t>月</w:t>
      </w:r>
      <w:r>
        <w:rPr>
          <w:rStyle w:val="77"/>
          <w:rFonts w:hint="eastAsia" w:ascii="宋体" w:hAnsi="宋体" w:cs="宋体"/>
          <w:snapToGrid/>
          <w:color w:val="auto"/>
          <w:kern w:val="2"/>
          <w:sz w:val="24"/>
          <w:szCs w:val="24"/>
          <w:highlight w:val="none"/>
          <w:lang w:val="en-US" w:eastAsia="zh-CN"/>
        </w:rPr>
        <w:t>23</w:t>
      </w:r>
      <w:r>
        <w:rPr>
          <w:rStyle w:val="77"/>
          <w:rFonts w:hint="eastAsia" w:ascii="宋体" w:hAnsi="宋体" w:eastAsia="宋体" w:cs="宋体"/>
          <w:snapToGrid/>
          <w:color w:val="auto"/>
          <w:kern w:val="2"/>
          <w:sz w:val="24"/>
          <w:szCs w:val="24"/>
          <w:highlight w:val="none"/>
        </w:rPr>
        <w:t>日</w:t>
      </w:r>
      <w:r>
        <w:rPr>
          <w:rStyle w:val="77"/>
          <w:rFonts w:hint="eastAsia" w:ascii="宋体" w:hAnsi="宋体" w:cs="宋体"/>
          <w:snapToGrid/>
          <w:color w:val="auto"/>
          <w:kern w:val="2"/>
          <w:sz w:val="24"/>
          <w:szCs w:val="24"/>
          <w:highlight w:val="none"/>
          <w:lang w:val="en-US" w:eastAsia="zh-CN"/>
        </w:rPr>
        <w:t>09</w:t>
      </w:r>
      <w:r>
        <w:rPr>
          <w:rStyle w:val="77"/>
          <w:rFonts w:hint="eastAsia" w:ascii="宋体" w:hAnsi="宋体" w:eastAsia="宋体" w:cs="宋体"/>
          <w:snapToGrid/>
          <w:color w:val="auto"/>
          <w:kern w:val="2"/>
          <w:sz w:val="24"/>
          <w:szCs w:val="24"/>
          <w:highlight w:val="none"/>
        </w:rPr>
        <w:t>点</w:t>
      </w:r>
      <w:r>
        <w:rPr>
          <w:rStyle w:val="77"/>
          <w:rFonts w:hint="eastAsia" w:ascii="宋体" w:hAnsi="宋体" w:cs="宋体"/>
          <w:snapToGrid/>
          <w:color w:val="auto"/>
          <w:kern w:val="2"/>
          <w:sz w:val="24"/>
          <w:szCs w:val="24"/>
          <w:highlight w:val="none"/>
          <w:lang w:val="en-US" w:eastAsia="zh-CN"/>
        </w:rPr>
        <w:t>30</w:t>
      </w:r>
      <w:r>
        <w:rPr>
          <w:rStyle w:val="77"/>
          <w:rFonts w:hint="eastAsia" w:ascii="宋体" w:hAnsi="宋体" w:eastAsia="宋体" w:cs="宋体"/>
          <w:snapToGrid/>
          <w:color w:val="auto"/>
          <w:kern w:val="2"/>
          <w:sz w:val="24"/>
          <w:szCs w:val="24"/>
          <w:highlight w:val="none"/>
        </w:rPr>
        <w:t>分</w:t>
      </w:r>
      <w:r>
        <w:rPr>
          <w:rStyle w:val="77"/>
          <w:rFonts w:hint="eastAsia" w:ascii="宋体" w:hAnsi="宋体" w:eastAsia="宋体" w:cs="宋体"/>
          <w:bCs/>
          <w:snapToGrid/>
          <w:color w:val="auto"/>
          <w:kern w:val="2"/>
          <w:sz w:val="24"/>
          <w:szCs w:val="24"/>
          <w:highlight w:val="none"/>
        </w:rPr>
        <w:t>00秒</w:t>
      </w:r>
      <w:r>
        <w:rPr>
          <w:rStyle w:val="77"/>
          <w:rFonts w:hint="eastAsia" w:ascii="宋体" w:hAnsi="宋体" w:eastAsia="宋体" w:cs="宋体"/>
          <w:bCs/>
          <w:snapToGrid/>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JD2023BF-055</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lang w:eastAsia="zh-CN"/>
        </w:rPr>
        <w:t>建德市物业维修资金数据治理迁移项目</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b w:val="0"/>
          <w:bCs/>
          <w:color w:val="auto"/>
          <w:sz w:val="24"/>
          <w:highlight w:val="none"/>
          <w:lang w:val="en-US" w:eastAsia="zh-CN"/>
        </w:rPr>
        <w:t>1500000.00</w:t>
      </w:r>
      <w:r>
        <w:rPr>
          <w:rFonts w:hint="eastAsia" w:ascii="宋体" w:hAnsi="宋体" w:cs="宋体"/>
          <w:b w:val="0"/>
          <w:bCs/>
          <w:color w:val="auto"/>
          <w:sz w:val="24"/>
          <w:highlight w:val="none"/>
        </w:rPr>
        <w:t>；</w:t>
      </w:r>
      <w:r>
        <w:rPr>
          <w:rFonts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最高限价（元）：</w:t>
      </w:r>
      <w:r>
        <w:rPr>
          <w:rFonts w:hint="eastAsia" w:ascii="宋体" w:hAnsi="宋体" w:cs="宋体"/>
          <w:b w:val="0"/>
          <w:bCs/>
          <w:color w:val="auto"/>
          <w:sz w:val="24"/>
          <w:highlight w:val="none"/>
        </w:rPr>
        <w:t>1500000</w:t>
      </w:r>
      <w:r>
        <w:rPr>
          <w:rFonts w:hint="eastAsia" w:ascii="宋体" w:hAnsi="宋体" w:cs="宋体"/>
          <w:b w:val="0"/>
          <w:bCs/>
          <w:color w:val="auto"/>
          <w:sz w:val="24"/>
          <w:highlight w:val="none"/>
          <w:lang w:val="en-US" w:eastAsia="zh-CN"/>
        </w:rPr>
        <w:t>.00</w:t>
      </w:r>
      <w:r>
        <w:rPr>
          <w:rFonts w:hint="eastAsia" w:ascii="宋体" w:hAnsi="宋体" w:cs="宋体"/>
          <w:b w:val="0"/>
          <w:bCs/>
          <w:color w:val="auto"/>
          <w:sz w:val="24"/>
          <w:highlight w:val="none"/>
        </w:rPr>
        <w:t>；</w:t>
      </w:r>
      <w:r>
        <w:rPr>
          <w:rFonts w:hint="eastAsia" w:ascii="宋体" w:hAnsi="宋体" w:cs="宋体"/>
          <w:b/>
          <w:color w:val="auto"/>
          <w:sz w:val="24"/>
          <w:highlight w:val="none"/>
        </w:rPr>
        <w:t xml:space="preserve"> </w:t>
      </w:r>
      <w:r>
        <w:rPr>
          <w:rFonts w:ascii="宋体" w:hAnsi="宋体" w:cs="宋体"/>
          <w:color w:val="auto"/>
          <w:sz w:val="24"/>
          <w:highlight w:val="none"/>
        </w:rPr>
        <w:t xml:space="preserve"> </w:t>
      </w:r>
    </w:p>
    <w:p>
      <w:pPr>
        <w:pStyle w:val="7"/>
        <w:spacing w:line="360" w:lineRule="auto"/>
        <w:ind w:firstLine="480"/>
        <w:rPr>
          <w:rFonts w:hint="eastAsia"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hAnsi="宋体" w:cs="宋体"/>
          <w:bCs/>
          <w:snapToGrid/>
          <w:color w:val="auto"/>
          <w:kern w:val="2"/>
          <w:sz w:val="24"/>
          <w:szCs w:val="24"/>
          <w:highlight w:val="none"/>
          <w:lang w:eastAsia="zh-CN"/>
        </w:rPr>
        <w:t>建德市物业维修资金数据治理迁移项目，</w:t>
      </w:r>
      <w:r>
        <w:rPr>
          <w:rFonts w:hint="eastAsia" w:hAnsi="宋体" w:cs="宋体"/>
          <w:bCs/>
          <w:snapToGrid/>
          <w:color w:val="auto"/>
          <w:kern w:val="2"/>
          <w:sz w:val="24"/>
          <w:szCs w:val="24"/>
          <w:highlight w:val="none"/>
        </w:rPr>
        <w:t xml:space="preserve">主要内容：本期项目主要是围绕物业系统数据的整理工作开展的，主要涉及物业维修资金档案、物业保修金档案、物业维修资金使用档案和物业保修金使用、退还纸质档案的整理及扫描数字化建库，物业维修资金项目数据的录入，物业维修金数据的整理与扫描影像建立关联关系、业务数据与产权数据关联关系的核查和创建、维修资金数据建账到户、维修金缴交数据结息和小区数据整理。 </w:t>
      </w:r>
    </w:p>
    <w:p>
      <w:pPr>
        <w:pStyle w:val="7"/>
        <w:spacing w:line="360" w:lineRule="auto"/>
        <w:ind w:firstLine="480"/>
        <w:rPr>
          <w:rFonts w:hAnsi="宋体" w:cs="宋体"/>
          <w:bCs/>
          <w:snapToGrid/>
          <w:color w:val="auto"/>
          <w:kern w:val="2"/>
          <w:sz w:val="24"/>
          <w:szCs w:val="24"/>
          <w:highlight w:val="none"/>
        </w:rPr>
      </w:pPr>
      <w:r>
        <w:rPr>
          <w:rFonts w:hint="eastAsia" w:asciiTheme="minorEastAsia" w:hAnsiTheme="minorEastAsia" w:eastAsiaTheme="minorEastAsia"/>
          <w:snapToGrid/>
          <w:color w:val="auto"/>
          <w:kern w:val="2"/>
          <w:sz w:val="24"/>
          <w:szCs w:val="24"/>
          <w:highlight w:val="none"/>
        </w:rPr>
        <w:t>具体以招标文件第三部分采购需求为准，供应商可点击本公告下方“浏览采购文件”查看采购需求。</w:t>
      </w:r>
    </w:p>
    <w:p>
      <w:pPr>
        <w:spacing w:line="360" w:lineRule="auto"/>
        <w:ind w:firstLine="480"/>
        <w:rPr>
          <w:rFonts w:hint="eastAsia" w:ascii="宋体" w:hAnsi="宋体" w:eastAsia="宋体" w:cs="宋体"/>
          <w:bCs/>
          <w:snapToGrid/>
          <w:color w:val="auto"/>
          <w:kern w:val="2"/>
          <w:sz w:val="24"/>
          <w:szCs w:val="24"/>
          <w:highlight w:val="none"/>
          <w:lang w:val="zh-CN"/>
        </w:rPr>
      </w:pPr>
      <w:r>
        <w:rPr>
          <w:rFonts w:hint="eastAsia" w:ascii="宋体" w:hAnsi="宋体" w:eastAsia="宋体" w:cs="宋体"/>
          <w:b/>
          <w:color w:val="auto"/>
          <w:sz w:val="24"/>
          <w:highlight w:val="none"/>
        </w:rPr>
        <w:t>合同履约期限：</w:t>
      </w:r>
      <w:r>
        <w:rPr>
          <w:rFonts w:hint="eastAsia" w:ascii="宋体" w:hAnsi="宋体" w:eastAsia="宋体" w:cs="宋体"/>
          <w:b w:val="0"/>
          <w:bCs/>
          <w:color w:val="auto"/>
          <w:sz w:val="24"/>
          <w:highlight w:val="none"/>
        </w:rPr>
        <w:t>2024年4月底之前，完成项目所有的工作内容，并编写项目验收文档，组织项目验收。</w:t>
      </w:r>
    </w:p>
    <w:p>
      <w:pPr>
        <w:pStyle w:val="7"/>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r>
        <w:rPr>
          <w:rFonts w:hint="eastAsia" w:hAnsi="宋体" w:cs="宋体"/>
          <w:b w:val="0"/>
          <w:bCs/>
          <w:color w:val="auto"/>
          <w:sz w:val="24"/>
          <w:highlight w:val="none"/>
          <w:lang w:val="en-US" w:eastAsia="zh-CN"/>
        </w:rPr>
        <w:sym w:font="Wingdings 2" w:char="0052"/>
      </w:r>
      <w:r>
        <w:rPr>
          <w:rFonts w:hint="eastAsia" w:hAnsi="宋体" w:cs="宋体"/>
          <w:b/>
          <w:color w:val="auto"/>
          <w:sz w:val="24"/>
          <w:highlight w:val="none"/>
        </w:rPr>
        <w:t>是；</w:t>
      </w:r>
      <w:sdt>
        <w:sdtPr>
          <w:rPr>
            <w:rFonts w:hAnsi="宋体" w:cs="宋体"/>
            <w:color w:val="auto"/>
            <w:kern w:val="0"/>
            <w:sz w:val="24"/>
            <w:highlight w:val="none"/>
          </w:rPr>
          <w:id w:val="-1591624199"/>
        </w:sdtPr>
        <w:sdtEndPr>
          <w:rPr>
            <w:rFonts w:hAnsi="宋体" w:cs="宋体"/>
            <w:color w:val="auto"/>
            <w:kern w:val="0"/>
            <w:sz w:val="24"/>
            <w:highlight w:val="none"/>
          </w:rPr>
        </w:sdtEndPr>
        <w:sdtContent>
          <w:r>
            <w:rPr>
              <w:rFonts w:hint="eastAsia" w:hAnsi="宋体" w:cs="宋体"/>
              <w:b w:val="0"/>
              <w:bCs/>
              <w:color w:val="auto"/>
              <w:sz w:val="24"/>
              <w:highlight w:val="none"/>
              <w:lang w:val="en-US" w:eastAsia="zh-CN"/>
            </w:rPr>
            <w:sym w:font="Wingdings 2" w:char="00A3"/>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1.满足《中华人民共和国政府采购法》第二十二条规定；未被“信用中国”（www.creditchina.gov.cn)、中国政府采购网（www.ccgp.gov.cn）列入失信被执行人、</w:t>
      </w:r>
      <w:r>
        <w:rPr>
          <w:rFonts w:hint="eastAsia" w:ascii="宋体" w:hAnsi="宋体" w:cs="宋体"/>
          <w:snapToGrid w:val="0"/>
          <w:color w:val="auto"/>
          <w:kern w:val="28"/>
          <w:sz w:val="24"/>
          <w:szCs w:val="20"/>
          <w:highlight w:val="none"/>
          <w:lang w:eastAsia="zh-CN"/>
        </w:rPr>
        <w:t>重大税收违法失信主体</w:t>
      </w:r>
      <w:r>
        <w:rPr>
          <w:rFonts w:hint="eastAsia" w:ascii="宋体" w:hAnsi="宋体" w:cs="宋体"/>
          <w:snapToGrid w:val="0"/>
          <w:color w:val="auto"/>
          <w:kern w:val="28"/>
          <w:sz w:val="24"/>
          <w:szCs w:val="20"/>
          <w:highlight w:val="none"/>
        </w:rPr>
        <w:t>、政府采购严重违法失信行为记录名单；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w:t>
      </w:r>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sym w:font="Wingdings 2" w:char="0052"/>
      </w:r>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r>
        <w:rPr>
          <w:rFonts w:hint="eastAsia" w:ascii="宋体" w:hAnsi="宋体" w:cs="宋体"/>
          <w:color w:val="auto"/>
          <w:sz w:val="24"/>
          <w:highlight w:val="none"/>
          <w:lang w:val="en-US" w:eastAsia="zh-CN"/>
        </w:rPr>
        <w:sym w:font="Wingdings 2" w:char="0052"/>
      </w:r>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r>
        <w:rPr>
          <w:rFonts w:hint="eastAsia" w:ascii="宋体" w:hAnsi="宋体" w:cs="宋体"/>
          <w:color w:val="auto"/>
          <w:sz w:val="24"/>
          <w:highlight w:val="none"/>
          <w:lang w:val="en-US" w:eastAsia="zh-CN"/>
        </w:rPr>
        <w:t>□</w:t>
      </w:r>
      <w:r>
        <w:rPr>
          <w:rFonts w:hint="eastAsia" w:ascii="宋体" w:hAnsi="宋体" w:cs="宋体"/>
          <w:color w:val="auto"/>
          <w:sz w:val="24"/>
          <w:highlight w:val="none"/>
        </w:rPr>
        <w:t>服务全部由符合政策要求的小微企业承接，提供中小企业声明函；</w:t>
      </w:r>
    </w:p>
    <w:p>
      <w:pPr>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w:t>
      </w:r>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w:t>
      </w:r>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.本项目的特定资格要求：无；</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23</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23</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23</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w:t>
      </w:r>
      <w:r>
        <w:rPr>
          <w:rFonts w:hint="eastAsia" w:ascii="宋体" w:hAnsi="宋体" w:cs="宋体"/>
          <w:color w:val="auto"/>
          <w:sz w:val="24"/>
          <w:highlight w:val="none"/>
          <w:lang w:eastAsia="zh-CN"/>
        </w:rPr>
        <w:t>建德市房产和住房保障服务中心</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址：建德市新安江街道严州大道933号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cs="宋体"/>
          <w:color w:val="auto"/>
          <w:sz w:val="24"/>
          <w:highlight w:val="none"/>
          <w:lang w:val="en-US" w:eastAsia="zh-CN"/>
        </w:rPr>
        <w:t>项鹏</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w:t>
      </w:r>
      <w:r>
        <w:rPr>
          <w:rFonts w:hint="eastAsia" w:ascii="宋体" w:hAnsi="宋体" w:cs="宋体"/>
          <w:color w:val="auto"/>
          <w:sz w:val="24"/>
          <w:highlight w:val="none"/>
          <w:lang w:val="en-US" w:eastAsia="zh-CN"/>
        </w:rPr>
        <w:t>0571-64720604</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w:t>
      </w:r>
      <w:r>
        <w:rPr>
          <w:rFonts w:hint="eastAsia" w:ascii="宋体" w:hAnsi="宋体" w:cs="宋体"/>
          <w:color w:val="auto"/>
          <w:sz w:val="24"/>
          <w:highlight w:val="none"/>
          <w:lang w:val="en-US" w:eastAsia="zh-CN"/>
        </w:rPr>
        <w:t>鲍颖</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质疑联系方式：15168347966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杭州欣兴建设工程招标代理有限公司</w:t>
      </w:r>
    </w:p>
    <w:p>
      <w:pPr>
        <w:spacing w:line="360" w:lineRule="auto"/>
        <w:ind w:firstLine="480"/>
        <w:rPr>
          <w:rFonts w:hint="default" w:ascii="宋体" w:hAnsi="宋体" w:cs="宋体"/>
          <w:color w:val="auto"/>
          <w:sz w:val="24"/>
          <w:highlight w:val="none"/>
          <w:lang w:val="en-US"/>
        </w:rPr>
      </w:pPr>
      <w:r>
        <w:rPr>
          <w:rFonts w:hint="eastAsia" w:ascii="宋体" w:hAnsi="宋体" w:cs="宋体"/>
          <w:color w:val="auto"/>
          <w:sz w:val="24"/>
          <w:highlight w:val="none"/>
        </w:rPr>
        <w:t>地    址：</w:t>
      </w:r>
      <w:r>
        <w:rPr>
          <w:rFonts w:hint="eastAsia" w:ascii="宋体" w:hAnsi="宋体" w:eastAsia="宋体" w:cs="宋体"/>
          <w:color w:val="auto"/>
          <w:sz w:val="24"/>
          <w:highlight w:val="none"/>
        </w:rPr>
        <w:t>建德市新安江街道严州大道</w:t>
      </w:r>
      <w:r>
        <w:rPr>
          <w:rFonts w:hint="eastAsia" w:ascii="宋体" w:hAnsi="宋体" w:cs="宋体"/>
          <w:color w:val="auto"/>
          <w:sz w:val="24"/>
          <w:highlight w:val="none"/>
          <w:lang w:val="en-US" w:eastAsia="zh-CN"/>
        </w:rPr>
        <w:t>水韵天城108幢201室</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w:t>
      </w:r>
      <w:r>
        <w:rPr>
          <w:rFonts w:hint="eastAsia" w:ascii="宋体" w:hAnsi="宋体" w:eastAsia="宋体" w:cs="宋体"/>
          <w:color w:val="auto"/>
          <w:sz w:val="24"/>
          <w:highlight w:val="none"/>
          <w:lang w:val="zh-CN"/>
        </w:rPr>
        <w:t>0571-64</w:t>
      </w:r>
      <w:r>
        <w:rPr>
          <w:rFonts w:hint="eastAsia" w:ascii="宋体" w:hAnsi="宋体" w:eastAsia="宋体" w:cs="宋体"/>
          <w:color w:val="auto"/>
          <w:sz w:val="24"/>
          <w:highlight w:val="none"/>
        </w:rPr>
        <w:t>7</w:t>
      </w:r>
      <w:r>
        <w:rPr>
          <w:rFonts w:hint="eastAsia" w:ascii="宋体" w:hAnsi="宋体" w:cs="宋体"/>
          <w:color w:val="auto"/>
          <w:sz w:val="24"/>
          <w:highlight w:val="none"/>
          <w:lang w:val="en-US" w:eastAsia="zh-CN"/>
        </w:rPr>
        <w:t>20051</w:t>
      </w:r>
      <w:r>
        <w:rPr>
          <w:rFonts w:hint="eastAsia" w:ascii="宋体" w:hAnsi="宋体" w:cs="宋体"/>
          <w:color w:val="auto"/>
          <w:sz w:val="24"/>
          <w:highlight w:val="none"/>
        </w:rPr>
        <w:t xml:space="preserve"> </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项目联系人（询问）：</w:t>
      </w:r>
      <w:r>
        <w:rPr>
          <w:rFonts w:hint="eastAsia" w:ascii="宋体" w:hAnsi="宋体" w:cs="宋体"/>
          <w:color w:val="auto"/>
          <w:sz w:val="24"/>
          <w:highlight w:val="none"/>
          <w:lang w:val="en-US" w:eastAsia="zh-CN"/>
        </w:rPr>
        <w:t>娄云</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项目联系方式（询问）：</w:t>
      </w:r>
      <w:r>
        <w:rPr>
          <w:rFonts w:hint="eastAsia" w:ascii="宋体" w:hAnsi="宋体" w:cs="宋体"/>
          <w:color w:val="auto"/>
          <w:sz w:val="24"/>
          <w:highlight w:val="none"/>
          <w:lang w:val="en-US" w:eastAsia="zh-CN"/>
        </w:rPr>
        <w:t>15168412971</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w:t>
      </w:r>
      <w:r>
        <w:rPr>
          <w:rFonts w:hint="eastAsia" w:ascii="宋体" w:hAnsi="宋体" w:cs="宋体"/>
          <w:color w:val="auto"/>
          <w:sz w:val="24"/>
          <w:highlight w:val="none"/>
          <w:lang w:val="en-US" w:eastAsia="zh-CN"/>
        </w:rPr>
        <w:t>洪献娟</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质疑联系方式：</w:t>
      </w:r>
      <w:r>
        <w:rPr>
          <w:rFonts w:hint="eastAsia" w:ascii="宋体" w:hAnsi="宋体" w:cs="宋体"/>
          <w:color w:val="auto"/>
          <w:sz w:val="24"/>
          <w:highlight w:val="none"/>
          <w:lang w:val="en-US" w:eastAsia="zh-CN"/>
        </w:rPr>
        <w:t>13858074323</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名    称：建德市财政局采购办</w:t>
      </w:r>
    </w:p>
    <w:p>
      <w:pPr>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  地    址：建德市新安江街道严州大道1089号</w:t>
      </w:r>
    </w:p>
    <w:p>
      <w:pPr>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  传    真： /</w:t>
      </w:r>
    </w:p>
    <w:p>
      <w:pPr>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  联系人 ：邵菁</w:t>
      </w:r>
    </w:p>
    <w:p>
      <w:pPr>
        <w:spacing w:line="360" w:lineRule="auto"/>
        <w:ind w:firstLine="720" w:firstLineChars="300"/>
        <w:rPr>
          <w:rFonts w:ascii="宋体" w:hAnsi="宋体" w:cs="宋体"/>
          <w:color w:val="auto"/>
          <w:sz w:val="24"/>
          <w:highlight w:val="none"/>
        </w:rPr>
      </w:pPr>
      <w:r>
        <w:rPr>
          <w:rFonts w:hint="eastAsia" w:cs="仿宋_GB2312" w:asciiTheme="minorEastAsia" w:hAnsiTheme="minorEastAsia" w:eastAsiaTheme="minorEastAsia"/>
          <w:color w:val="auto"/>
          <w:sz w:val="24"/>
          <w:highlight w:val="none"/>
        </w:rPr>
        <w:t xml:space="preserve">监督投诉电话：电话：0571-64718168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20"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color w:val="auto"/>
                <w:highlight w:val="none"/>
                <w:lang w:val="en-US"/>
              </w:rPr>
            </w:pPr>
            <w:r>
              <w:rPr>
                <w:rFonts w:hint="eastAsia" w:ascii="宋体" w:hAnsi="宋体" w:eastAsia="宋体" w:cs="宋体"/>
                <w:color w:val="auto"/>
                <w:kern w:val="0"/>
                <w:sz w:val="24"/>
                <w:highlight w:val="none"/>
                <w:lang w:val="en-US"/>
              </w:rPr>
              <w:t>标的：</w:t>
            </w:r>
            <w:r>
              <w:rPr>
                <w:rFonts w:hint="eastAsia" w:ascii="宋体" w:hAnsi="宋体" w:eastAsia="宋体" w:cs="宋体"/>
                <w:color w:val="auto"/>
                <w:kern w:val="0"/>
                <w:sz w:val="24"/>
                <w:highlight w:val="none"/>
                <w:u w:val="single"/>
                <w:lang w:val="en-US"/>
              </w:rPr>
              <w:t>建德市物业维修资金数据治理迁移项目</w:t>
            </w:r>
            <w:r>
              <w:rPr>
                <w:rFonts w:hint="eastAsia" w:ascii="宋体" w:hAnsi="宋体" w:eastAsia="宋体" w:cs="宋体"/>
                <w:color w:val="auto"/>
                <w:kern w:val="0"/>
                <w:sz w:val="24"/>
                <w:highlight w:val="none"/>
                <w:lang w:val="en-US"/>
              </w:rPr>
              <w:t>，属于</w:t>
            </w:r>
            <w:r>
              <w:rPr>
                <w:rFonts w:hint="eastAsia" w:ascii="宋体" w:hAnsi="宋体" w:eastAsia="宋体" w:cs="宋体"/>
                <w:color w:val="auto"/>
                <w:kern w:val="0"/>
                <w:sz w:val="24"/>
                <w:highlight w:val="none"/>
                <w:u w:val="single"/>
                <w:lang w:val="en-US"/>
              </w:rPr>
              <w:t>软件和信息技术服务业</w:t>
            </w:r>
            <w:r>
              <w:rPr>
                <w:rFonts w:hint="eastAsia" w:ascii="宋体" w:hAnsi="宋体" w:eastAsia="宋体" w:cs="宋体"/>
                <w:color w:val="auto"/>
                <w:kern w:val="0"/>
                <w:sz w:val="24"/>
                <w:highlight w:val="none"/>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30"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en-US" w:eastAsia="zh-CN"/>
              </w:rPr>
              <w:sym w:font="Wingdings 2" w:char="0052"/>
            </w:r>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r>
              <w:rPr>
                <w:rFonts w:hint="eastAsia" w:ascii="宋体" w:hAnsi="宋体" w:cs="宋体"/>
                <w:color w:val="auto"/>
                <w:kern w:val="0"/>
                <w:sz w:val="24"/>
                <w:highlight w:val="none"/>
                <w:lang w:val="en-US" w:eastAsia="zh-CN"/>
              </w:rPr>
              <w:t>□</w:t>
            </w:r>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2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color w:val="auto"/>
                <w:sz w:val="24"/>
                <w:highlight w:val="none"/>
              </w:rPr>
            </w:pPr>
            <w:r>
              <w:rPr>
                <w:rFonts w:hint="eastAsia" w:ascii="宋体" w:hAnsi="宋体" w:cs="宋体"/>
                <w:color w:val="auto"/>
                <w:kern w:val="0"/>
                <w:sz w:val="24"/>
                <w:highlight w:val="none"/>
                <w:lang w:val="en-US" w:eastAsia="zh-CN"/>
              </w:rPr>
              <w:sym w:font="Wingdings 2" w:char="0052"/>
            </w:r>
            <w:r>
              <w:rPr>
                <w:rFonts w:hint="eastAsia" w:ascii="宋体" w:hAnsi="宋体" w:cs="宋体"/>
                <w:color w:val="auto"/>
                <w:kern w:val="0"/>
                <w:sz w:val="24"/>
                <w:highlight w:val="none"/>
              </w:rPr>
              <w:t>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前期档案整理</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工作分包。</w:t>
            </w:r>
          </w:p>
          <w:p>
            <w:pPr>
              <w:spacing w:line="360" w:lineRule="auto"/>
              <w:rPr>
                <w:rFonts w:ascii="宋体" w:hAnsi="宋体" w:cs="宋体"/>
                <w:color w:val="auto"/>
                <w:sz w:val="24"/>
                <w:highlight w:val="none"/>
              </w:rPr>
            </w:pPr>
            <w:r>
              <w:rPr>
                <w:rFonts w:hint="eastAsia" w:ascii="宋体" w:hAnsi="宋体" w:cs="宋体"/>
                <w:color w:val="auto"/>
                <w:kern w:val="0"/>
                <w:sz w:val="24"/>
                <w:highlight w:val="none"/>
                <w:lang w:val="en-US" w:eastAsia="zh-CN"/>
              </w:rPr>
              <w:t>□</w:t>
            </w:r>
            <w:r>
              <w:rPr>
                <w:rFonts w:hint="eastAsia" w:ascii="宋体" w:hAnsi="宋体" w:cs="宋体"/>
                <w:color w:val="auto"/>
                <w:sz w:val="24"/>
                <w:highlight w:val="none"/>
                <w:lang w:val="en-US" w:eastAsia="zh-CN"/>
              </w:rPr>
              <w:t>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65"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kern w:val="0"/>
                <w:sz w:val="24"/>
                <w:highlight w:val="none"/>
                <w:lang w:val="en-US" w:eastAsia="zh-CN"/>
              </w:rPr>
              <w:sym w:font="Wingdings 2" w:char="0052"/>
            </w:r>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r>
              <w:rPr>
                <w:rFonts w:hint="eastAsia" w:ascii="宋体" w:hAnsi="宋体" w:cs="宋体"/>
                <w:color w:val="auto"/>
                <w:kern w:val="0"/>
                <w:sz w:val="24"/>
                <w:highlight w:val="none"/>
                <w:lang w:val="en-US" w:eastAsia="zh-CN"/>
              </w:rPr>
              <w:t>□</w:t>
            </w:r>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kern w:val="0"/>
                <w:sz w:val="24"/>
                <w:highlight w:val="none"/>
                <w:lang w:val="en-US" w:eastAsia="zh-CN"/>
              </w:rPr>
              <w:sym w:font="Wingdings 2" w:char="0052"/>
            </w:r>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w:t>
            </w:r>
            <w:r>
              <w:rPr>
                <w:rFonts w:hint="eastAsia" w:ascii="宋体" w:hAnsi="宋体" w:cs="宋体"/>
                <w:color w:val="auto"/>
                <w:kern w:val="0"/>
                <w:sz w:val="24"/>
                <w:highlight w:val="none"/>
              </w:rPr>
              <w:t>B要求提供，</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：详见</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kern w:val="0"/>
                <w:sz w:val="24"/>
                <w:highlight w:val="none"/>
                <w:lang w:val="en-US" w:eastAsia="zh-CN"/>
              </w:rPr>
              <w:t>□</w:t>
            </w:r>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en-US" w:eastAsia="zh-CN"/>
              </w:rPr>
              <w:sym w:font="Wingdings 2" w:char="0052"/>
            </w:r>
            <w:r>
              <w:rPr>
                <w:rFonts w:hint="eastAsia" w:ascii="宋体" w:hAnsi="宋体" w:cs="宋体"/>
                <w:color w:val="auto"/>
                <w:kern w:val="0"/>
                <w:sz w:val="24"/>
                <w:highlight w:val="none"/>
              </w:rPr>
              <w:t>B组织。</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w:t>
            </w:r>
            <w:r>
              <w:rPr>
                <w:rFonts w:hint="eastAsia" w:ascii="宋体" w:hAnsi="宋体" w:cs="宋体"/>
                <w:color w:val="auto"/>
                <w:kern w:val="0"/>
                <w:sz w:val="24"/>
                <w:highlight w:val="none"/>
                <w:u w:val="single"/>
              </w:rPr>
              <w:t>20</w:t>
            </w:r>
            <w:r>
              <w:rPr>
                <w:rFonts w:hint="eastAsia" w:ascii="宋体" w:hAnsi="宋体" w:cs="宋体"/>
                <w:color w:val="auto"/>
                <w:kern w:val="0"/>
                <w:sz w:val="24"/>
                <w:highlight w:val="none"/>
              </w:rPr>
              <w:t>分钟，讲解次序以投标文件解密时间先后次序为准，讲解演示人员不超过</w:t>
            </w:r>
            <w:r>
              <w:rPr>
                <w:rFonts w:hint="eastAsia" w:ascii="宋体" w:hAnsi="宋体" w:cs="宋体"/>
                <w:color w:val="auto"/>
                <w:kern w:val="0"/>
                <w:sz w:val="24"/>
                <w:highlight w:val="none"/>
                <w:u w:val="single"/>
              </w:rPr>
              <w:t>3</w:t>
            </w:r>
            <w:r>
              <w:rPr>
                <w:rFonts w:hint="eastAsia" w:ascii="宋体" w:hAnsi="宋体" w:cs="宋体"/>
                <w:color w:val="auto"/>
                <w:kern w:val="0"/>
                <w:sz w:val="24"/>
                <w:highlight w:val="none"/>
              </w:rPr>
              <w:t>人。讲解演示结束后按要求解答评标委员会提问。</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w:t>
            </w:r>
            <w:r>
              <w:rPr>
                <w:rFonts w:hint="eastAsia" w:ascii="宋体" w:hAnsi="宋体" w:cs="宋体"/>
                <w:color w:val="auto"/>
                <w:kern w:val="0"/>
                <w:sz w:val="24"/>
                <w:highlight w:val="none"/>
                <w:lang w:val="en-US" w:eastAsia="zh-CN"/>
              </w:rPr>
              <w:t>按以下</w:t>
            </w:r>
            <w:r>
              <w:rPr>
                <w:rFonts w:hint="eastAsia" w:ascii="宋体" w:hAnsi="宋体" w:cs="宋体"/>
                <w:color w:val="auto"/>
                <w:kern w:val="0"/>
                <w:sz w:val="24"/>
                <w:highlight w:val="none"/>
              </w:rPr>
              <w:t>方式：</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jc w:val="cent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6" w:hRule="atLeast"/>
          <w:tblHeader/>
          <w:jc w:val="cent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jc w:val="cent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r>
              <w:rPr>
                <w:rFonts w:hint="eastAsia" w:cs="宋体" w:asciiTheme="minorEastAsia" w:hAnsiTheme="minorEastAsia" w:eastAsiaTheme="minorEastAsia"/>
                <w:snapToGrid w:val="0"/>
                <w:color w:val="auto"/>
                <w:kern w:val="28"/>
                <w:sz w:val="24"/>
                <w:highlight w:val="none"/>
              </w:rPr>
              <w:t>具体可咨询建德市财政局采购办，联系电话：0571-64718168.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color w:val="auto"/>
                <w:kern w:val="28"/>
                <w:sz w:val="24"/>
                <w:highlight w:val="none"/>
              </w:rPr>
            </w:pPr>
            <w:r>
              <w:rPr>
                <w:rFonts w:hint="eastAsia" w:hAnsi="宋体" w:cs="宋体"/>
                <w:color w:val="auto"/>
                <w:kern w:val="28"/>
                <w:sz w:val="24"/>
                <w:szCs w:val="24"/>
                <w:highlight w:val="none"/>
              </w:rPr>
              <w:t>备份投标文件送达地点：</w:t>
            </w:r>
            <w:r>
              <w:rPr>
                <w:rFonts w:hint="eastAsia" w:ascii="宋体" w:hAnsi="宋体" w:eastAsia="宋体" w:cs="宋体"/>
                <w:color w:val="auto"/>
                <w:kern w:val="28"/>
                <w:sz w:val="24"/>
                <w:szCs w:val="24"/>
                <w:highlight w:val="none"/>
                <w:u w:val="single"/>
              </w:rPr>
              <w:t>建德市新安江街道严州大道水韵天城108幢201室</w:t>
            </w:r>
            <w:r>
              <w:rPr>
                <w:rFonts w:hint="eastAsia" w:hAnsi="宋体" w:cs="宋体"/>
                <w:color w:val="auto"/>
                <w:kern w:val="28"/>
                <w:sz w:val="24"/>
                <w:szCs w:val="24"/>
                <w:highlight w:val="none"/>
              </w:rPr>
              <w:t>；备份投标文件签收人员联系电话：</w:t>
            </w:r>
            <w:r>
              <w:rPr>
                <w:rFonts w:hint="eastAsia" w:hAnsi="宋体" w:cs="宋体"/>
                <w:color w:val="auto"/>
                <w:kern w:val="28"/>
                <w:sz w:val="24"/>
                <w:szCs w:val="24"/>
                <w:highlight w:val="none"/>
                <w:u w:val="single"/>
                <w:lang w:val="en-US" w:eastAsia="zh-CN"/>
              </w:rPr>
              <w:t>娄云</w:t>
            </w:r>
            <w:r>
              <w:rPr>
                <w:rFonts w:hint="eastAsia" w:ascii="宋体" w:hAnsi="宋体" w:eastAsia="宋体" w:cs="宋体"/>
                <w:color w:val="auto"/>
                <w:kern w:val="28"/>
                <w:sz w:val="24"/>
                <w:szCs w:val="24"/>
                <w:highlight w:val="none"/>
                <w:u w:val="single"/>
              </w:rPr>
              <w:t>，15</w:t>
            </w:r>
            <w:r>
              <w:rPr>
                <w:rFonts w:hint="eastAsia" w:hAnsi="宋体" w:cs="宋体"/>
                <w:color w:val="auto"/>
                <w:kern w:val="28"/>
                <w:sz w:val="24"/>
                <w:szCs w:val="24"/>
                <w:highlight w:val="none"/>
                <w:u w:val="single"/>
                <w:lang w:val="en-US" w:eastAsia="zh-CN"/>
              </w:rPr>
              <w:t>168412971</w:t>
            </w:r>
            <w:r>
              <w:rPr>
                <w:rFonts w:hint="eastAsia" w:hAnsi="宋体" w:cs="宋体"/>
                <w:color w:val="auto"/>
                <w:sz w:val="24"/>
                <w:szCs w:val="24"/>
                <w:highlight w:val="none"/>
              </w:rPr>
              <w:t>。</w:t>
            </w:r>
            <w:r>
              <w:rPr>
                <w:rFonts w:hint="eastAsia" w:hAnsi="宋体" w:cs="宋体"/>
                <w:b/>
                <w:color w:val="auto"/>
                <w:sz w:val="24"/>
                <w:szCs w:val="24"/>
                <w:highlight w:val="none"/>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采购代理服务费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color w:val="auto"/>
                <w:sz w:val="24"/>
                <w:highlight w:val="none"/>
              </w:rPr>
            </w:pPr>
            <w:r>
              <w:rPr>
                <w:rFonts w:hint="eastAsia" w:ascii="宋体" w:hAnsi="宋体" w:cs="宋体"/>
                <w:color w:val="auto"/>
                <w:kern w:val="0"/>
                <w:sz w:val="24"/>
                <w:highlight w:val="none"/>
                <w:lang w:val="en-US" w:eastAsia="zh-CN"/>
              </w:rPr>
              <w:t>□</w:t>
            </w:r>
            <w:r>
              <w:rPr>
                <w:rFonts w:hint="eastAsia" w:cs="宋体" w:asciiTheme="minorEastAsia" w:hAnsiTheme="minorEastAsia" w:eastAsiaTheme="minorEastAsia"/>
                <w:color w:val="auto"/>
                <w:kern w:val="0"/>
                <w:sz w:val="24"/>
                <w:highlight w:val="none"/>
              </w:rPr>
              <w:t>A</w:t>
            </w:r>
            <w:r>
              <w:rPr>
                <w:rFonts w:hint="eastAsia" w:cs="宋体" w:asciiTheme="minorEastAsia" w:hAnsiTheme="minorEastAsia" w:eastAsiaTheme="minorEastAsia"/>
                <w:color w:val="auto"/>
                <w:sz w:val="24"/>
                <w:highlight w:val="none"/>
              </w:rPr>
              <w:t>本项目不收取采购代理服务费。</w:t>
            </w:r>
          </w:p>
          <w:p>
            <w:pPr>
              <w:spacing w:line="360" w:lineRule="auto"/>
              <w:rPr>
                <w:rFonts w:cs="宋体" w:asciiTheme="minorEastAsia" w:hAnsiTheme="minorEastAsia" w:eastAsiaTheme="minorEastAsia"/>
                <w:color w:val="auto"/>
                <w:kern w:val="0"/>
                <w:sz w:val="24"/>
                <w:highlight w:val="none"/>
              </w:rPr>
            </w:pPr>
            <w:r>
              <w:rPr>
                <w:rFonts w:hint="eastAsia" w:ascii="宋体" w:hAnsi="宋体" w:cs="宋体"/>
                <w:color w:val="auto"/>
                <w:kern w:val="0"/>
                <w:sz w:val="24"/>
                <w:highlight w:val="none"/>
                <w:lang w:val="en-US" w:eastAsia="zh-CN"/>
              </w:rPr>
              <w:sym w:font="Wingdings 2" w:char="0052"/>
            </w:r>
            <w:r>
              <w:rPr>
                <w:rFonts w:hint="eastAsia" w:cs="宋体" w:asciiTheme="minorEastAsia" w:hAnsiTheme="minorEastAsia" w:eastAsiaTheme="minorEastAsia"/>
                <w:color w:val="auto"/>
                <w:kern w:val="0"/>
                <w:sz w:val="24"/>
                <w:highlight w:val="none"/>
              </w:rPr>
              <w:t>B</w:t>
            </w:r>
            <w:r>
              <w:rPr>
                <w:rFonts w:hint="eastAsia" w:cs="宋体" w:asciiTheme="minorEastAsia" w:hAnsiTheme="minorEastAsia" w:eastAsiaTheme="minorEastAsia"/>
                <w:color w:val="auto"/>
                <w:sz w:val="24"/>
                <w:highlight w:val="none"/>
              </w:rPr>
              <w:t>本项目收取采购代理服务费。</w:t>
            </w:r>
            <w:r>
              <w:rPr>
                <w:rFonts w:hint="eastAsia" w:ascii="宋体" w:hAnsi="宋体" w:cs="宋体"/>
                <w:snapToGrid w:val="0"/>
                <w:color w:val="auto"/>
                <w:kern w:val="28"/>
                <w:sz w:val="24"/>
                <w:highlight w:val="none"/>
              </w:rPr>
              <w:t>响应总报价应包含采购服务费，采购服务费按照</w:t>
            </w:r>
            <w:r>
              <w:rPr>
                <w:rFonts w:hint="eastAsia" w:ascii="宋体" w:hAnsi="宋体" w:cs="宋体"/>
                <w:snapToGrid w:val="0"/>
                <w:color w:val="auto"/>
                <w:kern w:val="28"/>
                <w:sz w:val="24"/>
                <w:highlight w:val="none"/>
                <w:u w:val="single"/>
              </w:rPr>
              <w:t>国家发展计划委员会计价格[2002]1980号文《招标代理服务费管理暂行办法》及发改办价格[2003]857号文</w:t>
            </w:r>
            <w:r>
              <w:rPr>
                <w:rFonts w:hint="eastAsia" w:ascii="宋体" w:hAnsi="宋体" w:cs="宋体"/>
                <w:snapToGrid w:val="0"/>
                <w:color w:val="auto"/>
                <w:kern w:val="28"/>
                <w:sz w:val="24"/>
                <w:highlight w:val="none"/>
              </w:rPr>
              <w:t>的收费标准（</w:t>
            </w:r>
            <w:r>
              <w:rPr>
                <w:rFonts w:hint="eastAsia" w:cs="宋体" w:asciiTheme="minorEastAsia" w:hAnsiTheme="minorEastAsia" w:eastAsiaTheme="minorEastAsia"/>
                <w:color w:val="auto"/>
                <w:sz w:val="24"/>
                <w:highlight w:val="none"/>
                <w:u w:val="none"/>
              </w:rPr>
              <w:t>服务</w:t>
            </w:r>
            <w:r>
              <w:rPr>
                <w:rFonts w:hint="eastAsia" w:ascii="宋体" w:hAnsi="宋体" w:cs="宋体"/>
                <w:snapToGrid w:val="0"/>
                <w:color w:val="auto"/>
                <w:kern w:val="28"/>
                <w:sz w:val="24"/>
                <w:highlight w:val="none"/>
              </w:rPr>
              <w:t>类）计取</w:t>
            </w:r>
            <w:r>
              <w:rPr>
                <w:rFonts w:hint="eastAsia" w:ascii="宋体" w:hAnsi="宋体" w:cs="宋体"/>
                <w:snapToGrid w:val="0"/>
                <w:color w:val="auto"/>
                <w:kern w:val="28"/>
                <w:sz w:val="24"/>
                <w:highlight w:val="none"/>
                <w:lang w:eastAsia="zh-CN"/>
              </w:rPr>
              <w:t>，采购服务费</w:t>
            </w:r>
            <w:r>
              <w:rPr>
                <w:rFonts w:hint="eastAsia" w:ascii="宋体" w:hAnsi="宋体" w:cs="宋体"/>
                <w:snapToGrid w:val="0"/>
                <w:color w:val="auto"/>
                <w:kern w:val="28"/>
                <w:sz w:val="24"/>
                <w:highlight w:val="none"/>
                <w:lang w:val="en-US" w:eastAsia="zh-CN"/>
              </w:rPr>
              <w:t>为</w:t>
            </w:r>
            <w:r>
              <w:rPr>
                <w:rFonts w:hint="eastAsia" w:ascii="宋体" w:hAnsi="宋体" w:cs="宋体"/>
                <w:snapToGrid w:val="0"/>
                <w:color w:val="auto"/>
                <w:kern w:val="28"/>
                <w:sz w:val="24"/>
                <w:highlight w:val="none"/>
                <w:u w:val="none"/>
              </w:rPr>
              <w:t>人民币</w:t>
            </w:r>
            <w:r>
              <w:rPr>
                <w:rFonts w:hint="eastAsia" w:ascii="宋体" w:hAnsi="宋体" w:cs="宋体"/>
                <w:snapToGrid w:val="0"/>
                <w:color w:val="auto"/>
                <w:kern w:val="28"/>
                <w:sz w:val="24"/>
                <w:highlight w:val="none"/>
                <w:u w:val="single"/>
              </w:rPr>
              <w:fldChar w:fldCharType="begin"/>
            </w:r>
            <w:r>
              <w:rPr>
                <w:rFonts w:hint="eastAsia" w:ascii="宋体" w:hAnsi="宋体" w:cs="宋体"/>
                <w:snapToGrid w:val="0"/>
                <w:color w:val="auto"/>
                <w:kern w:val="28"/>
                <w:sz w:val="24"/>
                <w:highlight w:val="none"/>
                <w:u w:val="single"/>
              </w:rPr>
              <w:instrText xml:space="preserve"> = 6900 \* CHINESENUM4 \* MERGEFORMAT </w:instrText>
            </w:r>
            <w:r>
              <w:rPr>
                <w:rFonts w:hint="eastAsia" w:ascii="宋体" w:hAnsi="宋体" w:cs="宋体"/>
                <w:snapToGrid w:val="0"/>
                <w:color w:val="auto"/>
                <w:kern w:val="28"/>
                <w:sz w:val="24"/>
                <w:highlight w:val="none"/>
                <w:u w:val="single"/>
              </w:rPr>
              <w:fldChar w:fldCharType="separate"/>
            </w:r>
            <w:r>
              <w:rPr>
                <w:rFonts w:hint="eastAsia" w:ascii="宋体" w:hAnsi="宋体" w:cs="宋体"/>
                <w:snapToGrid w:val="0"/>
                <w:color w:val="auto"/>
                <w:kern w:val="28"/>
                <w:sz w:val="24"/>
                <w:highlight w:val="none"/>
                <w:u w:val="single"/>
                <w:lang w:val="en-US" w:eastAsia="zh-CN"/>
              </w:rPr>
              <w:t>壹万叁仟叁佰</w:t>
            </w:r>
            <w:r>
              <w:rPr>
                <w:rFonts w:hint="eastAsia" w:ascii="宋体" w:hAnsi="宋体" w:cs="宋体"/>
                <w:snapToGrid w:val="0"/>
                <w:color w:val="auto"/>
                <w:kern w:val="28"/>
                <w:sz w:val="24"/>
                <w:highlight w:val="none"/>
                <w:u w:val="none"/>
              </w:rPr>
              <w:t>元整</w:t>
            </w:r>
            <w:r>
              <w:rPr>
                <w:rFonts w:hint="eastAsia" w:ascii="宋体" w:hAnsi="宋体" w:cs="宋体"/>
                <w:snapToGrid w:val="0"/>
                <w:color w:val="auto"/>
                <w:kern w:val="28"/>
                <w:sz w:val="24"/>
                <w:highlight w:val="none"/>
                <w:u w:val="single"/>
              </w:rPr>
              <w:fldChar w:fldCharType="end"/>
            </w:r>
            <w:r>
              <w:rPr>
                <w:rFonts w:hint="eastAsia" w:ascii="宋体" w:hAnsi="宋体" w:cs="宋体"/>
                <w:snapToGrid w:val="0"/>
                <w:color w:val="auto"/>
                <w:kern w:val="28"/>
                <w:sz w:val="24"/>
                <w:highlight w:val="none"/>
                <w:u w:val="none"/>
              </w:rPr>
              <w:t>（¥：</w:t>
            </w:r>
            <w:r>
              <w:rPr>
                <w:rFonts w:hint="eastAsia" w:ascii="宋体" w:hAnsi="宋体" w:cs="宋体"/>
                <w:snapToGrid w:val="0"/>
                <w:color w:val="auto"/>
                <w:kern w:val="28"/>
                <w:sz w:val="24"/>
                <w:highlight w:val="none"/>
                <w:u w:val="single"/>
              </w:rPr>
              <w:t>13300.00</w:t>
            </w:r>
            <w:r>
              <w:rPr>
                <w:rFonts w:hint="eastAsia" w:ascii="宋体" w:hAnsi="宋体" w:cs="宋体"/>
                <w:snapToGrid w:val="0"/>
                <w:color w:val="auto"/>
                <w:kern w:val="28"/>
                <w:sz w:val="24"/>
                <w:highlight w:val="none"/>
                <w:u w:val="none"/>
              </w:rPr>
              <w:t>元）</w:t>
            </w:r>
            <w:r>
              <w:rPr>
                <w:rFonts w:hint="eastAsia" w:hAnsi="宋体" w:cs="宋体"/>
                <w:snapToGrid w:val="0"/>
                <w:color w:val="auto"/>
                <w:kern w:val="28"/>
                <w:sz w:val="24"/>
                <w:highlight w:val="none"/>
              </w:rPr>
              <w:t>，由中标人</w:t>
            </w:r>
            <w:r>
              <w:rPr>
                <w:rFonts w:hint="eastAsia" w:ascii="宋体" w:hAnsi="宋体" w:cs="宋体"/>
                <w:snapToGrid w:val="0"/>
                <w:color w:val="auto"/>
                <w:kern w:val="28"/>
                <w:sz w:val="24"/>
                <w:highlight w:val="none"/>
              </w:rPr>
              <w:t>在领取</w:t>
            </w:r>
            <w:r>
              <w:rPr>
                <w:rFonts w:hint="eastAsia" w:ascii="宋体" w:hAnsi="宋体" w:cs="宋体"/>
                <w:snapToGrid w:val="0"/>
                <w:color w:val="auto"/>
                <w:kern w:val="28"/>
                <w:sz w:val="24"/>
                <w:highlight w:val="none"/>
                <w:lang w:val="en-US" w:eastAsia="zh-CN"/>
              </w:rPr>
              <w:t>中标</w:t>
            </w:r>
            <w:r>
              <w:rPr>
                <w:rFonts w:hint="eastAsia" w:ascii="宋体" w:hAnsi="宋体" w:cs="宋体"/>
                <w:snapToGrid w:val="0"/>
                <w:color w:val="auto"/>
                <w:kern w:val="28"/>
                <w:sz w:val="24"/>
                <w:highlight w:val="none"/>
              </w:rPr>
              <w:t>通知书时支付给采购代理公司。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5" w:hRule="atLeast"/>
          <w:tblHeader/>
          <w:jc w:val="cent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14</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jc w:val="cent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color w:val="auto"/>
                <w:kern w:val="0"/>
                <w:sz w:val="24"/>
                <w:highlight w:val="none"/>
                <w:lang w:val="en-US" w:eastAsia="zh-CN"/>
              </w:rPr>
              <w:t>□</w:t>
            </w:r>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r>
              <w:rPr>
                <w:rFonts w:hint="eastAsia" w:ascii="宋体" w:hAnsi="宋体" w:cs="宋体"/>
                <w:color w:val="auto"/>
                <w:kern w:val="0"/>
                <w:sz w:val="24"/>
                <w:highlight w:val="none"/>
                <w:lang w:val="en-US" w:eastAsia="zh-CN"/>
              </w:rPr>
              <w:sym w:font="Wingdings 2" w:char="0052"/>
            </w:r>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outlineLvl w:val="0"/>
        <w:rPr>
          <w:rFonts w:ascii="宋体" w:hAnsi="宋体" w:cs="宋体"/>
          <w:b/>
          <w:color w:val="auto"/>
          <w:sz w:val="32"/>
          <w:szCs w:val="20"/>
          <w:highlight w:val="none"/>
        </w:rPr>
      </w:pPr>
      <w:bookmarkStart w:id="11" w:name="_Toc164416483"/>
      <w:bookmarkStart w:id="12" w:name="第三部分"/>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“采购代理机构”系指招标公告中载明的本项目的采购代理机构。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2.6“电子交易平台”系指本项目政府采购活动所依托的政府采购云平台（https://www.zcygov.cn/）。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r>
        <w:rPr>
          <w:rFonts w:hint="eastAsia" w:ascii="宋体" w:hAnsi="宋体" w:cs="宋体"/>
          <w:color w:val="auto"/>
          <w:sz w:val="24"/>
          <w:highlight w:val="none"/>
          <w:lang w:eastAsia="zh-CN"/>
        </w:rPr>
        <w:t>“</w:t>
      </w:r>
      <w:r>
        <w:rPr>
          <w:rFonts w:hint="eastAsia" w:ascii="宋体" w:hAnsi="宋体" w:cs="宋体"/>
          <w:color w:val="auto"/>
          <w:kern w:val="0"/>
          <w:sz w:val="24"/>
          <w:highlight w:val="none"/>
          <w:lang w:val="en-US" w:eastAsia="zh-CN"/>
        </w:rPr>
        <w:sym w:font="Wingdings 2" w:char="0052"/>
      </w:r>
      <w:r>
        <w:rPr>
          <w:rFonts w:hint="eastAsia" w:ascii="宋体" w:hAnsi="宋体" w:cs="宋体"/>
          <w:color w:val="auto"/>
          <w:sz w:val="24"/>
          <w:highlight w:val="none"/>
        </w:rPr>
        <w:t>”系指适用本项目的要求，“</w:t>
      </w:r>
      <w:r>
        <w:rPr>
          <w:rFonts w:hint="eastAsia" w:ascii="宋体" w:hAnsi="宋体" w:cs="宋体"/>
          <w:color w:val="auto"/>
          <w:kern w:val="0"/>
          <w:sz w:val="24"/>
          <w:highlight w:val="none"/>
          <w:lang w:val="en-US" w:eastAsia="zh-CN"/>
        </w:rPr>
        <w:t>□</w:t>
      </w:r>
      <w:r>
        <w:rPr>
          <w:rFonts w:hint="eastAsia" w:ascii="宋体" w:hAnsi="宋体" w:cs="宋体"/>
          <w:color w:val="auto"/>
          <w:sz w:val="24"/>
          <w:highlight w:val="none"/>
        </w:rPr>
        <w:t>”系指不适用本项目的要求。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3.2.4</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color w:val="auto"/>
          <w:sz w:val="24"/>
          <w:highlight w:val="none"/>
        </w:rPr>
        <w:t>6</w:t>
      </w:r>
      <w:r>
        <w:rPr>
          <w:rFonts w:hint="eastAsia" w:ascii="宋体" w:hAnsi="宋体" w:cs="宋体"/>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3"/>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7"/>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3"/>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3"/>
        <w:shd w:val="clear"/>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7"/>
        <w:shd w:val="clear" w:color="auto"/>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87"/>
        <w:shd w:val="clear" w:color="auto"/>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87"/>
        <w:shd w:val="clear" w:color="auto"/>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7"/>
        <w:shd w:val="clear" w:color="auto"/>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7"/>
        <w:shd w:val="clear" w:color="auto"/>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87"/>
        <w:shd w:val="clear" w:color="auto"/>
        <w:snapToGrid w:val="0"/>
        <w:spacing w:after="240" w:afterAutospacing="0" w:line="360" w:lineRule="auto"/>
        <w:ind w:firstLine="400"/>
        <w:contextualSpacing/>
        <w:rPr>
          <w:color w:val="auto"/>
          <w:highlight w:val="none"/>
        </w:rPr>
      </w:pPr>
      <w:r>
        <w:rPr>
          <w:rFonts w:hint="eastAsia"/>
          <w:color w:val="auto"/>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pStyle w:val="887"/>
        <w:shd w:val="clear" w:color="auto"/>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7"/>
        <w:shd w:val="clear" w:color="auto"/>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87"/>
        <w:shd w:val="clear" w:color="auto"/>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887"/>
        <w:shd w:val="clear" w:color="auto"/>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pStyle w:val="129"/>
        <w:shd w:val="clear"/>
        <w:snapToGrid w:val="0"/>
        <w:spacing w:before="0"/>
        <w:ind w:firstLine="360"/>
        <w:rPr>
          <w:rFonts w:ascii="宋体" w:hAnsi="宋体" w:cs="宋体"/>
          <w:color w:val="auto"/>
          <w:sz w:val="18"/>
          <w:szCs w:val="18"/>
          <w:highlight w:val="none"/>
        </w:rPr>
      </w:pPr>
    </w:p>
    <w:p>
      <w:pPr>
        <w:shd w:val="clea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6.1已获取招标文件的潜在投标人，若有问题需要澄清，应于投标截止时间前，以书面形式向采购代理机构提出。</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7"/>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3"/>
        <w:numPr>
          <w:ilvl w:val="0"/>
          <w:numId w:val="1"/>
        </w:numPr>
        <w:spacing w:line="360" w:lineRule="auto"/>
        <w:rPr>
          <w:rFonts w:hint="eastAsia" w:hAnsi="宋体" w:cs="宋体"/>
          <w:b/>
          <w:color w:val="auto"/>
          <w:sz w:val="24"/>
          <w:szCs w:val="24"/>
          <w:highlight w:val="none"/>
        </w:rPr>
      </w:pPr>
      <w:r>
        <w:rPr>
          <w:rFonts w:hint="eastAsia" w:hAnsi="宋体" w:cs="宋体"/>
          <w:b/>
          <w:color w:val="auto"/>
          <w:sz w:val="24"/>
          <w:szCs w:val="24"/>
          <w:highlight w:val="none"/>
        </w:rPr>
        <w:t>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lang w:eastAsia="zh-CN"/>
        </w:rPr>
        <w:t>：提供《中小企业声明函》</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firstLine="960" w:firstLineChars="400"/>
        <w:rPr>
          <w:rFonts w:hint="eastAsia" w:ascii="宋体" w:hAnsi="宋体" w:cs="宋体"/>
          <w:color w:val="auto"/>
          <w:sz w:val="24"/>
          <w:highlight w:val="none"/>
        </w:rPr>
      </w:pPr>
      <w:r>
        <w:rPr>
          <w:rFonts w:hint="eastAsia" w:ascii="宋体" w:hAnsi="宋体" w:cs="宋体"/>
          <w:color w:val="auto"/>
          <w:sz w:val="24"/>
          <w:highlight w:val="none"/>
        </w:rPr>
        <w:t>11.2.5评标标准相应的商务技术资料；</w:t>
      </w:r>
    </w:p>
    <w:p>
      <w:pPr>
        <w:snapToGrid w:val="0"/>
        <w:spacing w:line="360" w:lineRule="auto"/>
        <w:ind w:firstLine="960" w:firstLineChars="400"/>
        <w:rPr>
          <w:rFonts w:hint="eastAsia" w:ascii="宋体" w:hAnsi="宋体" w:cs="宋体"/>
          <w:color w:val="auto"/>
          <w:sz w:val="24"/>
          <w:highlight w:val="none"/>
        </w:rPr>
      </w:pPr>
      <w:r>
        <w:rPr>
          <w:rFonts w:hint="eastAsia" w:ascii="宋体" w:hAnsi="宋体" w:cs="宋体"/>
          <w:color w:val="auto"/>
          <w:sz w:val="24"/>
          <w:highlight w:val="none"/>
        </w:rPr>
        <w:t>11.2.6投标标的清单；</w:t>
      </w:r>
    </w:p>
    <w:p>
      <w:pPr>
        <w:snapToGrid w:val="0"/>
        <w:spacing w:line="360" w:lineRule="auto"/>
        <w:ind w:firstLine="960" w:firstLineChars="400"/>
        <w:rPr>
          <w:rFonts w:hint="eastAsia" w:ascii="宋体" w:hAnsi="宋体" w:cs="宋体"/>
          <w:color w:val="auto"/>
          <w:sz w:val="24"/>
          <w:highlight w:val="none"/>
        </w:rPr>
      </w:pPr>
      <w:r>
        <w:rPr>
          <w:rFonts w:hint="eastAsia" w:ascii="宋体" w:hAnsi="宋体" w:cs="宋体"/>
          <w:color w:val="auto"/>
          <w:sz w:val="24"/>
          <w:highlight w:val="none"/>
        </w:rPr>
        <w:t>11.2.7商务技术偏离表；</w:t>
      </w:r>
    </w:p>
    <w:p>
      <w:pPr>
        <w:snapToGrid w:val="0"/>
        <w:spacing w:line="360" w:lineRule="auto"/>
        <w:ind w:firstLine="960" w:firstLineChars="400"/>
        <w:rPr>
          <w:rFonts w:hint="eastAsia"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129"/>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29"/>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29"/>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3"/>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但采购人、采购代理机构不强制或变相强制投标人提交备份投标文件。</w:t>
      </w:r>
    </w:p>
    <w:p>
      <w:pPr>
        <w:pStyle w:val="33"/>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DVD光盘等存储介质</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15.3直接提交备份投标文件的，投标人应于投标截止时间前在招标公告中载明的开标地点将备份投标文件提交给采购代理机构，采购代理机构将拒绝接受逾期送达的备份投标文件。</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送达时间以签收人签收时间为准。采购代理机构将拒绝接受逾期送达的备份投标文件。邮寄过程中，电子备份投标文件发生泄露、遗失、损坏或延期送达等情况的，由投标人自行负责。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8"/>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29"/>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29"/>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29"/>
        <w:spacing w:before="0"/>
        <w:ind w:firstLine="643"/>
        <w:rPr>
          <w:rFonts w:ascii="宋体" w:hAnsi="宋体" w:cs="宋体"/>
          <w:b/>
          <w:color w:val="auto"/>
          <w:sz w:val="32"/>
          <w:highlight w:val="none"/>
        </w:rPr>
      </w:pPr>
    </w:p>
    <w:p>
      <w:pPr>
        <w:pStyle w:val="129"/>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5"/>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5"/>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18.1采购代理机构按照招标文件规定的时间通过电子交易平台组织开标，所有投标人均应当准时在线参加。投标人不足3家的，不得开标。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18.2开标时，电子交易平台按开标时间自动提取所有投标文件。采购代理机构依托电子交易平台发起开始解密指令，投标人按照平台提示和招标文件的规定在半小时内完成在线解密。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19.1</w:t>
      </w:r>
      <w:r>
        <w:rPr>
          <w:rFonts w:hint="eastAsia" w:ascii="宋体" w:hAnsi="宋体" w:cs="宋体"/>
          <w:color w:val="auto"/>
          <w:sz w:val="24"/>
          <w:highlight w:val="none"/>
        </w:rPr>
        <w:t>采购人或采购代理机构依据法律法规和招标文件的规定，对投标人的资格进行审查。</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3对未通过资格审查的投标人，采购人或采购代理机构告知其未通过的原因。</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29"/>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20.1信用信息查询渠道及截止时间：采购代理机构将在资格审查时通过“信用中国”网站(www.creditchina.gov.cn)、中国政府采购网(www.ccgp.gov.cn)渠道查询投标人接受资格时的信用记录。</w:t>
      </w:r>
    </w:p>
    <w:p>
      <w:pPr>
        <w:pStyle w:val="129"/>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29"/>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w:t>
      </w:r>
      <w:r>
        <w:rPr>
          <w:rFonts w:hint="eastAsia" w:ascii="宋体" w:hAnsi="宋体" w:cs="宋体"/>
          <w:color w:val="auto"/>
          <w:kern w:val="0"/>
          <w:szCs w:val="24"/>
          <w:highlight w:val="none"/>
          <w:lang w:eastAsia="zh-CN"/>
        </w:rPr>
        <w:t>重大税收违法失信主体</w:t>
      </w:r>
      <w:r>
        <w:rPr>
          <w:rFonts w:hint="eastAsia" w:ascii="宋体" w:hAnsi="宋体" w:cs="宋体"/>
          <w:color w:val="auto"/>
          <w:kern w:val="0"/>
          <w:szCs w:val="24"/>
          <w:highlight w:val="none"/>
        </w:rPr>
        <w:t>、政府采购严重违法失信行为记录名单的投标人将被拒绝参与政府采购活动。</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29"/>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8"/>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29"/>
        <w:shd w:val="clear"/>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9"/>
        <w:shd w:val="clear"/>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23.2中标结果公告内容包括采购人及其委托的采购代理机构的名称、地址、联系方式，项目名称和项目编号，中标人名称、地址和中标金额，主要中标标的的名称、规格型号、数量、单价、服务要求，开标记录、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hd w:val="clea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8"/>
        <w:shd w:val="clear"/>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8"/>
        <w:shd w:val="clear"/>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hd w:val="clear"/>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8"/>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4"/>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color w:val="auto"/>
          <w:highlight w:val="none"/>
        </w:rPr>
      </w:pPr>
      <w:r>
        <w:rPr>
          <w:rFonts w:ascii="宋体" w:hAnsi="宋体" w:eastAsia="宋体"/>
          <w:color w:val="auto"/>
          <w:sz w:val="24"/>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color w:val="auto"/>
          <w:highlight w:val="none"/>
        </w:rPr>
      </w:pP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29"/>
        <w:snapToGrid w:val="0"/>
        <w:spacing w:before="0"/>
        <w:ind w:firstLine="0" w:firstLineChars="0"/>
        <w:rPr>
          <w:rFonts w:ascii="宋体" w:hAnsi="宋体" w:cs="宋体"/>
          <w:color w:val="auto"/>
          <w:highlight w:val="none"/>
        </w:rPr>
      </w:pPr>
      <w:r>
        <w:rPr>
          <w:rFonts w:ascii="宋体" w:hAnsi="宋体" w:cs="宋体"/>
          <w:b/>
          <w:bCs/>
          <w:color w:val="auto"/>
          <w:highlight w:val="none"/>
        </w:rPr>
        <w:t>2</w:t>
      </w:r>
      <w:r>
        <w:rPr>
          <w:rFonts w:ascii="宋体" w:hAnsi="宋体" w:cs="宋体"/>
          <w:b/>
          <w:bCs/>
          <w:color w:val="auto"/>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采购过程中出现以下情形，导致电子交易平台无法正常运行，或者无法保证电子交易的公平、公正和安全时，采购代理机构可中止电子交易活动：</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29"/>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8"/>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4729768"/>
      <w:bookmarkEnd w:id="15"/>
      <w:bookmarkStart w:id="16" w:name="_Hlt75236011"/>
      <w:bookmarkEnd w:id="16"/>
      <w:bookmarkStart w:id="17" w:name="_Hlt74730295"/>
      <w:bookmarkEnd w:id="17"/>
      <w:bookmarkStart w:id="18" w:name="_Hlt68403820"/>
      <w:bookmarkEnd w:id="18"/>
      <w:bookmarkStart w:id="19" w:name="_Hlt68072998"/>
      <w:bookmarkEnd w:id="19"/>
      <w:bookmarkStart w:id="20" w:name="_Hlt75236290"/>
      <w:bookmarkEnd w:id="20"/>
      <w:bookmarkStart w:id="21" w:name="_Hlt68073093"/>
      <w:bookmarkEnd w:id="21"/>
      <w:bookmarkStart w:id="22" w:name="_Hlt68057669"/>
      <w:bookmarkEnd w:id="22"/>
      <w:bookmarkStart w:id="23" w:name="_Hlt75236101"/>
      <w:bookmarkEnd w:id="23"/>
      <w:bookmarkStart w:id="24" w:name="_Hlt74707468"/>
      <w:bookmarkEnd w:id="24"/>
      <w:bookmarkStart w:id="25" w:name="_Hlt68072990"/>
      <w:bookmarkEnd w:id="25"/>
      <w:bookmarkStart w:id="26" w:name="_Hlt74714665"/>
      <w:bookmarkEnd w:id="26"/>
    </w:p>
    <w:bookmarkEnd w:id="11"/>
    <w:bookmarkEnd w:id="12"/>
    <w:p>
      <w:pPr>
        <w:spacing w:line="360" w:lineRule="auto"/>
        <w:jc w:val="center"/>
        <w:outlineLvl w:val="0"/>
        <w:rPr>
          <w:rFonts w:ascii="宋体" w:hAnsi="宋体" w:cs="宋体"/>
          <w:b/>
          <w:color w:val="auto"/>
          <w:sz w:val="36"/>
          <w:szCs w:val="36"/>
          <w:highlight w:val="none"/>
        </w:rPr>
      </w:pPr>
      <w:bookmarkStart w:id="27" w:name="第四部分"/>
      <w:r>
        <w:rPr>
          <w:rFonts w:hint="eastAsia" w:ascii="宋体" w:hAnsi="宋体" w:cs="宋体"/>
          <w:b/>
          <w:color w:val="auto"/>
          <w:sz w:val="36"/>
          <w:szCs w:val="36"/>
          <w:highlight w:val="none"/>
        </w:rPr>
        <w:t>第三部分   采购需求</w:t>
      </w:r>
    </w:p>
    <w:p>
      <w:pPr>
        <w:snapToGrid w:val="0"/>
        <w:rPr>
          <w:rFonts w:hint="eastAsia" w:ascii="宋体" w:hAnsi="宋体" w:eastAsia="宋体" w:cs="宋体"/>
          <w:color w:val="auto"/>
          <w:highlight w:val="none"/>
        </w:rPr>
      </w:pPr>
      <w:r>
        <w:rPr>
          <w:rFonts w:hint="eastAsia" w:ascii="宋体" w:hAnsi="宋体" w:eastAsia="宋体" w:cs="宋体"/>
          <w:b/>
          <w:bCs/>
          <w:color w:val="auto"/>
          <w:sz w:val="28"/>
          <w:szCs w:val="28"/>
          <w:highlight w:val="none"/>
        </w:rPr>
        <w:t>一、需求内容及数量</w:t>
      </w:r>
    </w:p>
    <w:tbl>
      <w:tblPr>
        <w:tblStyle w:val="63"/>
        <w:tblW w:w="9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3270"/>
        <w:gridCol w:w="2550"/>
        <w:gridCol w:w="500"/>
        <w:gridCol w:w="560"/>
        <w:gridCol w:w="1485"/>
        <w:gridCol w:w="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37" w:type="dxa"/>
            <w:noWrap w:val="0"/>
            <w:vAlign w:val="center"/>
          </w:tcPr>
          <w:p>
            <w:pPr>
              <w:widowControl/>
              <w:tabs>
                <w:tab w:val="left" w:pos="360"/>
              </w:tabs>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序号</w:t>
            </w:r>
          </w:p>
        </w:tc>
        <w:tc>
          <w:tcPr>
            <w:tcW w:w="3270" w:type="dxa"/>
            <w:noWrap w:val="0"/>
            <w:vAlign w:val="center"/>
          </w:tcPr>
          <w:p>
            <w:pPr>
              <w:widowControl/>
              <w:tabs>
                <w:tab w:val="left" w:pos="360"/>
              </w:tabs>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项目名称</w:t>
            </w:r>
          </w:p>
        </w:tc>
        <w:tc>
          <w:tcPr>
            <w:tcW w:w="2550" w:type="dxa"/>
            <w:noWrap w:val="0"/>
            <w:vAlign w:val="center"/>
          </w:tcPr>
          <w:p>
            <w:pPr>
              <w:widowControl/>
              <w:tabs>
                <w:tab w:val="left" w:pos="360"/>
              </w:tabs>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主要服务技术要求</w:t>
            </w:r>
          </w:p>
        </w:tc>
        <w:tc>
          <w:tcPr>
            <w:tcW w:w="500" w:type="dxa"/>
            <w:noWrap w:val="0"/>
            <w:vAlign w:val="center"/>
          </w:tcPr>
          <w:p>
            <w:pPr>
              <w:widowControl/>
              <w:tabs>
                <w:tab w:val="left" w:pos="360"/>
              </w:tabs>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单位</w:t>
            </w:r>
          </w:p>
        </w:tc>
        <w:tc>
          <w:tcPr>
            <w:tcW w:w="560" w:type="dxa"/>
            <w:noWrap w:val="0"/>
            <w:vAlign w:val="center"/>
          </w:tcPr>
          <w:p>
            <w:pPr>
              <w:widowControl/>
              <w:tabs>
                <w:tab w:val="left" w:pos="360"/>
              </w:tabs>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数量</w:t>
            </w:r>
          </w:p>
        </w:tc>
        <w:tc>
          <w:tcPr>
            <w:tcW w:w="1485" w:type="dxa"/>
            <w:noWrap w:val="0"/>
            <w:vAlign w:val="center"/>
          </w:tcPr>
          <w:p>
            <w:pPr>
              <w:widowControl/>
              <w:tabs>
                <w:tab w:val="left" w:pos="360"/>
              </w:tabs>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预算价</w:t>
            </w:r>
          </w:p>
          <w:p>
            <w:pPr>
              <w:widowControl/>
              <w:tabs>
                <w:tab w:val="left" w:pos="360"/>
              </w:tabs>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（元）</w:t>
            </w:r>
          </w:p>
        </w:tc>
        <w:tc>
          <w:tcPr>
            <w:tcW w:w="577" w:type="dxa"/>
            <w:noWrap w:val="0"/>
            <w:vAlign w:val="center"/>
          </w:tcPr>
          <w:p>
            <w:pPr>
              <w:widowControl/>
              <w:tabs>
                <w:tab w:val="left" w:pos="360"/>
              </w:tabs>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备</w:t>
            </w:r>
          </w:p>
          <w:p>
            <w:pPr>
              <w:widowControl/>
              <w:tabs>
                <w:tab w:val="left" w:pos="360"/>
              </w:tabs>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37" w:type="dxa"/>
            <w:noWrap w:val="0"/>
            <w:vAlign w:val="center"/>
          </w:tcPr>
          <w:p>
            <w:pPr>
              <w:widowControl/>
              <w:tabs>
                <w:tab w:val="left" w:pos="360"/>
              </w:tabs>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3270" w:type="dxa"/>
            <w:noWrap w:val="0"/>
            <w:vAlign w:val="center"/>
          </w:tcPr>
          <w:p>
            <w:pPr>
              <w:widowControl/>
              <w:tabs>
                <w:tab w:val="left" w:pos="360"/>
              </w:tabs>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lang w:eastAsia="zh-CN"/>
              </w:rPr>
              <w:t>建德市物业维修资金数据治理迁移项目</w:t>
            </w:r>
          </w:p>
        </w:tc>
        <w:tc>
          <w:tcPr>
            <w:tcW w:w="2550" w:type="dxa"/>
            <w:noWrap w:val="0"/>
            <w:vAlign w:val="center"/>
          </w:tcPr>
          <w:p>
            <w:pPr>
              <w:widowControl/>
              <w:tabs>
                <w:tab w:val="left" w:pos="360"/>
              </w:tabs>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详见“二、采购需求”</w:t>
            </w:r>
          </w:p>
        </w:tc>
        <w:tc>
          <w:tcPr>
            <w:tcW w:w="500" w:type="dxa"/>
            <w:noWrap w:val="0"/>
            <w:vAlign w:val="center"/>
          </w:tcPr>
          <w:p>
            <w:pPr>
              <w:widowControl/>
              <w:tabs>
                <w:tab w:val="left" w:pos="360"/>
              </w:tabs>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项</w:t>
            </w:r>
          </w:p>
        </w:tc>
        <w:tc>
          <w:tcPr>
            <w:tcW w:w="560" w:type="dxa"/>
            <w:noWrap w:val="0"/>
            <w:vAlign w:val="center"/>
          </w:tcPr>
          <w:p>
            <w:pPr>
              <w:widowControl/>
              <w:tabs>
                <w:tab w:val="left" w:pos="360"/>
              </w:tabs>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1485" w:type="dxa"/>
            <w:noWrap w:val="0"/>
            <w:vAlign w:val="center"/>
          </w:tcPr>
          <w:p>
            <w:pPr>
              <w:widowControl/>
              <w:tabs>
                <w:tab w:val="left" w:pos="360"/>
              </w:tabs>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150</w:t>
            </w:r>
            <w:r>
              <w:rPr>
                <w:rFonts w:hint="eastAsia" w:ascii="宋体" w:hAnsi="宋体" w:eastAsia="宋体" w:cs="宋体"/>
                <w:color w:val="auto"/>
                <w:kern w:val="0"/>
                <w:sz w:val="24"/>
                <w:highlight w:val="none"/>
              </w:rPr>
              <w:t>0000.00</w:t>
            </w:r>
          </w:p>
        </w:tc>
        <w:tc>
          <w:tcPr>
            <w:tcW w:w="577" w:type="dxa"/>
            <w:noWrap w:val="0"/>
            <w:vAlign w:val="center"/>
          </w:tcPr>
          <w:p>
            <w:pPr>
              <w:widowControl/>
              <w:tabs>
                <w:tab w:val="left" w:pos="360"/>
              </w:tabs>
              <w:jc w:val="center"/>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679" w:type="dxa"/>
            <w:gridSpan w:val="7"/>
            <w:noWrap w:val="0"/>
            <w:vAlign w:val="center"/>
          </w:tcPr>
          <w:p>
            <w:pPr>
              <w:widowControl/>
              <w:tabs>
                <w:tab w:val="left" w:pos="360"/>
              </w:tabs>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预算价：人民币（大写）</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lang w:val="en-US" w:eastAsia="zh-CN"/>
              </w:rPr>
              <w:t>壹佰伍拾万</w:t>
            </w:r>
            <w:r>
              <w:rPr>
                <w:rFonts w:hint="eastAsia" w:ascii="宋体" w:hAnsi="宋体" w:eastAsia="宋体" w:cs="宋体"/>
                <w:color w:val="auto"/>
                <w:kern w:val="0"/>
                <w:sz w:val="24"/>
                <w:highlight w:val="none"/>
              </w:rPr>
              <w:t>元整</w:t>
            </w:r>
          </w:p>
        </w:tc>
      </w:tr>
    </w:tbl>
    <w:p>
      <w:pPr>
        <w:spacing w:line="3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注：以上金额包括人工工资、交通费、保险、税金、管理费、服务酬金、验收、辅助工作及售后服务等完成本项目的所有费用。</w:t>
      </w:r>
    </w:p>
    <w:p>
      <w:pPr>
        <w:widowControl/>
        <w:spacing w:line="400" w:lineRule="exact"/>
        <w:jc w:val="left"/>
        <w:rPr>
          <w:rFonts w:hint="eastAsia" w:ascii="宋体" w:hAnsi="宋体" w:eastAsia="宋体" w:cs="宋体"/>
          <w:b/>
          <w:color w:val="auto"/>
          <w:sz w:val="28"/>
          <w:szCs w:val="28"/>
          <w:highlight w:val="none"/>
        </w:rPr>
      </w:pPr>
    </w:p>
    <w:p>
      <w:pPr>
        <w:widowControl/>
        <w:spacing w:line="400" w:lineRule="exact"/>
        <w:jc w:val="left"/>
        <w:rPr>
          <w:rFonts w:hint="eastAsia" w:ascii="宋体" w:hAnsi="宋体" w:eastAsia="宋体" w:cs="宋体"/>
          <w:b/>
          <w:bCs/>
          <w:color w:val="auto"/>
          <w:sz w:val="24"/>
          <w:highlight w:val="none"/>
        </w:rPr>
      </w:pPr>
      <w:r>
        <w:rPr>
          <w:rFonts w:hint="eastAsia" w:ascii="宋体" w:hAnsi="宋体" w:eastAsia="宋体" w:cs="宋体"/>
          <w:b/>
          <w:color w:val="auto"/>
          <w:sz w:val="28"/>
          <w:szCs w:val="28"/>
          <w:highlight w:val="none"/>
        </w:rPr>
        <w:t>二</w:t>
      </w:r>
      <w:r>
        <w:rPr>
          <w:rFonts w:hint="eastAsia" w:ascii="宋体" w:hAnsi="宋体" w:eastAsia="宋体" w:cs="宋体"/>
          <w:b/>
          <w:color w:val="auto"/>
          <w:sz w:val="28"/>
          <w:szCs w:val="28"/>
          <w:highlight w:val="none"/>
          <w:lang w:eastAsia="zh-CN"/>
        </w:rPr>
        <w:t>、</w:t>
      </w:r>
      <w:r>
        <w:rPr>
          <w:rFonts w:hint="eastAsia" w:ascii="宋体" w:hAnsi="宋体" w:eastAsia="宋体" w:cs="宋体"/>
          <w:b/>
          <w:color w:val="auto"/>
          <w:sz w:val="28"/>
          <w:szCs w:val="28"/>
          <w:highlight w:val="none"/>
        </w:rPr>
        <w:t>采购需求</w:t>
      </w:r>
    </w:p>
    <w:p>
      <w:pPr>
        <w:spacing w:line="360" w:lineRule="auto"/>
        <w:ind w:firstLine="241" w:firstLineChars="1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&lt;一&gt;项目概况</w:t>
      </w:r>
    </w:p>
    <w:p>
      <w:pPr>
        <w:spacing w:line="360" w:lineRule="auto"/>
        <w:ind w:firstLine="480"/>
        <w:jc w:val="left"/>
        <w:rPr>
          <w:rFonts w:hint="eastAsia" w:ascii="宋体" w:hAnsi="宋体" w:eastAsia="宋体" w:cs="宋体"/>
          <w:color w:val="auto"/>
          <w:sz w:val="24"/>
          <w:highlight w:val="none"/>
          <w:lang w:eastAsia="zh-CN"/>
        </w:rPr>
      </w:pPr>
      <w:r>
        <w:rPr>
          <w:rFonts w:hint="eastAsia" w:ascii="宋体" w:hAnsi="宋体" w:eastAsia="宋体" w:cs="宋体"/>
          <w:b/>
          <w:bCs/>
          <w:color w:val="auto"/>
          <w:sz w:val="24"/>
          <w:highlight w:val="none"/>
        </w:rPr>
        <w:t>1</w:t>
      </w:r>
      <w:r>
        <w:rPr>
          <w:rFonts w:hint="eastAsia" w:ascii="宋体" w:hAnsi="宋体" w:eastAsia="宋体" w:cs="宋体"/>
          <w:b/>
          <w:bCs/>
          <w:color w:val="auto"/>
          <w:sz w:val="24"/>
          <w:highlight w:val="none"/>
          <w:lang w:val="en-US" w:eastAsia="zh-CN"/>
        </w:rPr>
        <w:t>.</w:t>
      </w:r>
      <w:r>
        <w:rPr>
          <w:rFonts w:hint="eastAsia" w:ascii="宋体" w:hAnsi="宋体" w:eastAsia="宋体" w:cs="宋体"/>
          <w:b/>
          <w:bCs/>
          <w:color w:val="auto"/>
          <w:sz w:val="24"/>
          <w:highlight w:val="none"/>
        </w:rPr>
        <w:t>项目名称：</w:t>
      </w:r>
      <w:r>
        <w:rPr>
          <w:rFonts w:hint="eastAsia" w:ascii="宋体" w:hAnsi="宋体" w:eastAsia="宋体" w:cs="宋体"/>
          <w:color w:val="auto"/>
          <w:sz w:val="24"/>
          <w:highlight w:val="none"/>
          <w:lang w:eastAsia="zh-CN"/>
        </w:rPr>
        <w:t>建德市物业维修资金数据治理迁移项目</w:t>
      </w:r>
    </w:p>
    <w:p>
      <w:pPr>
        <w:spacing w:line="360" w:lineRule="auto"/>
        <w:ind w:firstLine="48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w:t>
      </w:r>
      <w:r>
        <w:rPr>
          <w:rFonts w:hint="eastAsia" w:ascii="宋体" w:hAnsi="宋体" w:eastAsia="宋体" w:cs="宋体"/>
          <w:b/>
          <w:bCs/>
          <w:color w:val="auto"/>
          <w:sz w:val="24"/>
          <w:highlight w:val="none"/>
          <w:lang w:val="en-US" w:eastAsia="zh-CN"/>
        </w:rPr>
        <w:t>.</w:t>
      </w:r>
      <w:r>
        <w:rPr>
          <w:rFonts w:hint="eastAsia" w:ascii="宋体" w:hAnsi="宋体" w:eastAsia="宋体" w:cs="宋体"/>
          <w:b/>
          <w:bCs/>
          <w:color w:val="auto"/>
          <w:sz w:val="24"/>
          <w:highlight w:val="none"/>
        </w:rPr>
        <w:t>预算金额（元）：</w:t>
      </w:r>
      <w:r>
        <w:rPr>
          <w:rFonts w:hint="eastAsia" w:ascii="宋体" w:hAnsi="宋体" w:eastAsia="宋体" w:cs="宋体"/>
          <w:color w:val="auto"/>
          <w:sz w:val="24"/>
          <w:highlight w:val="none"/>
          <w:lang w:val="en-US" w:eastAsia="zh-CN"/>
        </w:rPr>
        <w:t>15</w:t>
      </w:r>
      <w:r>
        <w:rPr>
          <w:rFonts w:hint="eastAsia" w:ascii="宋体" w:hAnsi="宋体" w:eastAsia="宋体" w:cs="宋体"/>
          <w:color w:val="auto"/>
          <w:sz w:val="24"/>
          <w:highlight w:val="none"/>
        </w:rPr>
        <w:t>00000.00</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3</w:t>
      </w:r>
      <w:r>
        <w:rPr>
          <w:rFonts w:hint="eastAsia" w:ascii="宋体" w:hAnsi="宋体" w:eastAsia="宋体" w:cs="宋体"/>
          <w:b/>
          <w:bCs/>
          <w:color w:val="auto"/>
          <w:sz w:val="24"/>
          <w:highlight w:val="none"/>
          <w:lang w:val="en-US" w:eastAsia="zh-CN"/>
        </w:rPr>
        <w:t>.</w:t>
      </w:r>
      <w:r>
        <w:rPr>
          <w:rFonts w:hint="eastAsia" w:ascii="宋体" w:hAnsi="宋体" w:eastAsia="宋体" w:cs="宋体"/>
          <w:b/>
          <w:bCs/>
          <w:color w:val="auto"/>
          <w:sz w:val="24"/>
          <w:highlight w:val="none"/>
        </w:rPr>
        <w:t>最高限价（元）：</w:t>
      </w:r>
      <w:r>
        <w:rPr>
          <w:rFonts w:hint="eastAsia" w:ascii="宋体" w:hAnsi="宋体" w:eastAsia="宋体" w:cs="宋体"/>
          <w:color w:val="auto"/>
          <w:sz w:val="24"/>
          <w:highlight w:val="none"/>
          <w:lang w:val="en-US" w:eastAsia="zh-CN"/>
        </w:rPr>
        <w:t>15</w:t>
      </w:r>
      <w:r>
        <w:rPr>
          <w:rFonts w:hint="eastAsia" w:ascii="宋体" w:hAnsi="宋体" w:eastAsia="宋体" w:cs="宋体"/>
          <w:color w:val="auto"/>
          <w:sz w:val="24"/>
          <w:highlight w:val="none"/>
        </w:rPr>
        <w:t>00000.00</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4</w:t>
      </w:r>
      <w:r>
        <w:rPr>
          <w:rFonts w:hint="eastAsia" w:ascii="宋体" w:hAnsi="宋体" w:eastAsia="宋体" w:cs="宋体"/>
          <w:b/>
          <w:bCs/>
          <w:color w:val="auto"/>
          <w:sz w:val="24"/>
          <w:highlight w:val="none"/>
          <w:lang w:val="en-US" w:eastAsia="zh-CN"/>
        </w:rPr>
        <w:t>.</w:t>
      </w:r>
      <w:r>
        <w:rPr>
          <w:rFonts w:hint="eastAsia" w:ascii="宋体" w:hAnsi="宋体" w:eastAsia="宋体" w:cs="宋体"/>
          <w:b/>
          <w:bCs/>
          <w:color w:val="auto"/>
          <w:sz w:val="24"/>
          <w:highlight w:val="none"/>
        </w:rPr>
        <w:t>项目背景</w:t>
      </w:r>
    </w:p>
    <w:p>
      <w:pPr>
        <w:spacing w:line="360" w:lineRule="auto"/>
        <w:ind w:firstLine="48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物业专项维修资金（下称“维修资金”），是专项用于物业保修期满后维修、更新和改造物业共用部位、共用设施设备的资金，是由全体业主缴纳并属于全体业主所有，也被称之为物业的“养老金”和“保命钱”。</w:t>
      </w:r>
    </w:p>
    <w:p>
      <w:pPr>
        <w:spacing w:line="360" w:lineRule="auto"/>
        <w:ind w:firstLine="48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随着我国住房体制改革的深入，物业专项维修资金制度越来越受到关注。按照国家、部等对物业管理的工作部署，2007年，浙江省人民政府颁布实施《浙江省物业专项维修资金管理办法》，对浙江省行政区域内的物业专项维修资金的交存、使用、管理和监督做出了相应的规定，进一步完善了物业维修资金制度。但在实际工作中，维修资金潜藏的隐患和问题也逐渐暴露出来，当前存在的主要问题是：各地维修资金归集存在缴纳标准不统一；巨额资金被挪用；审批步骤繁琐导致资金闲置；缴存权属不清、收益被侵占等一系列问题。</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按照国家、部、省市关于物业维修资金管理的工作部署，杭州区县市维修资金管理要持续发展，需要业务系统不断完善、细化，提升相应的行政办公效率，以满足管理要求。同时对维修资金使用、增值等老百姓日渐关注的焦点问题，提出针对性的方案解决。重视数据准确和资金安全，既要改变现有系统不足的被动局面，又要加强数据基础建设。通过开展物业维修金数据专项治理，完善物业维修金业务数据库，建立产权关联，解决分户结息、分摊到户等问题，为物业维修资金使用、业主信息查询、物业信息公开及物业管理水平的提升提供坚实的数据支撑。</w:t>
      </w:r>
    </w:p>
    <w:p>
      <w:pPr>
        <w:spacing w:line="360" w:lineRule="auto"/>
        <w:ind w:firstLine="241" w:firstLineChars="100"/>
        <w:jc w:val="left"/>
        <w:rPr>
          <w:rFonts w:hint="eastAsia" w:ascii="宋体" w:hAnsi="宋体" w:eastAsia="宋体" w:cs="宋体"/>
          <w:b/>
          <w:bCs/>
          <w:color w:val="auto"/>
          <w:sz w:val="24"/>
          <w:highlight w:val="none"/>
          <w:lang w:val="en-US"/>
        </w:rPr>
      </w:pPr>
      <w:r>
        <w:rPr>
          <w:rFonts w:hint="eastAsia" w:ascii="宋体" w:hAnsi="宋体" w:eastAsia="宋体" w:cs="宋体"/>
          <w:b/>
          <w:bCs/>
          <w:color w:val="auto"/>
          <w:sz w:val="24"/>
          <w:highlight w:val="none"/>
        </w:rPr>
        <w:t>&lt;二&gt;</w:t>
      </w:r>
      <w:r>
        <w:rPr>
          <w:rFonts w:hint="eastAsia" w:ascii="宋体" w:hAnsi="宋体" w:eastAsia="宋体" w:cs="宋体"/>
          <w:b/>
          <w:bCs/>
          <w:color w:val="auto"/>
          <w:sz w:val="24"/>
          <w:highlight w:val="none"/>
          <w:lang w:val="en-US" w:eastAsia="zh-CN"/>
        </w:rPr>
        <w:t>项目需执行的标准或规范</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lang w:val="en-US" w:eastAsia="zh-CN"/>
        </w:rPr>
        <w:t>一、</w:t>
      </w:r>
      <w:r>
        <w:rPr>
          <w:rFonts w:hint="eastAsia" w:ascii="宋体" w:hAnsi="宋体" w:eastAsia="宋体" w:cs="宋体"/>
          <w:b/>
          <w:bCs/>
          <w:color w:val="auto"/>
          <w:sz w:val="24"/>
          <w:highlight w:val="none"/>
        </w:rPr>
        <w:t>管理性标准规范</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1.《中华人民共和国保守国家秘密法》；</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2.《中华人民共和国保守国家秘密法实施办法》；</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3.《关于严禁用涉密计算机上国际互联网的通知》(中保委[2003]4号)；</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4.《计算机病毒防治管理办法》(中华人民共和国公安部令第51号)；</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《计算机信息系统保密管理暂行规定》(国保发[1998]1号)。</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lang w:val="en-US" w:eastAsia="zh-CN"/>
        </w:rPr>
        <w:t>二、</w:t>
      </w:r>
      <w:r>
        <w:rPr>
          <w:rFonts w:hint="eastAsia" w:ascii="宋体" w:hAnsi="宋体" w:eastAsia="宋体" w:cs="宋体"/>
          <w:b/>
          <w:bCs/>
          <w:color w:val="auto"/>
          <w:sz w:val="24"/>
          <w:highlight w:val="none"/>
        </w:rPr>
        <w:t>业务性、技术性标准规范</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1.《中华人民共和国档案法》；</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2.《文书档案案卷格式》(GB9705—88)；</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3.《电子文件归档与管理规范》(GB／T 18894—2002)；</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4.《档案接收文据格式》(GB／T1 3968—92)；</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5.《中央档案馆档案接收标准》；</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6.《国家行政机关公文格式》(CB／T 9704—1999)；</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7.《纸质档案数字化技术规范》(DA／T 31—2005)；</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8.《照片档案管理规范》(CB／T 11821—2002)；</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9.《中国档案机读目录格式》(CB／T 2016 3-2006)；</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10.《档案著录规则》(DA／T 18—1999)；</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11.《电子文件管理系统通用功能要求》（BT 29194-2012）；</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12.《中共浙江省委办公厅浙江省人民政府办公厅关于切实加强电子文件管理的实施意见（暂行）》浙委办[2011]26号；</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13.《电子档案移交与接收办法》，档发[2012]7号；</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14.《浙江省档案登记备份管理办法》，浙江省人民政府令第306号，2012年；</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15.《浙江省档案登记备份工作规范》，浙档发〔2013〕23号；</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16.《数字档案室建设指南》，国家档案局，2014年；</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17.《档案数字化外包安全管理规范》国家档案局 2014年；</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18.《信息处理按记录组处理顺序文卷的程序流程》（GB／T 15697—1995）；</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19.《住宅专项维修资金管理办法》；</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20.《浙江省物业专项维修资金管理办法》；</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21.</w:t>
      </w:r>
      <w:r>
        <w:rPr>
          <w:rFonts w:hint="eastAsia" w:ascii="宋体" w:hAnsi="宋体" w:eastAsia="宋体" w:cs="宋体"/>
          <w:color w:val="auto"/>
          <w:sz w:val="24"/>
          <w:highlight w:val="none"/>
        </w:rPr>
        <w:t>《杭州市物业管理条例》。</w:t>
      </w:r>
    </w:p>
    <w:p>
      <w:pPr>
        <w:spacing w:line="360" w:lineRule="auto"/>
        <w:ind w:firstLine="48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注：项目实施过程中，以上标准或规范如与最新的法律、法规、国家相关标准、行业标准地方标准或其他标准、规范不一致的，以最新要求为准。</w:t>
      </w:r>
    </w:p>
    <w:p>
      <w:pPr>
        <w:spacing w:line="360" w:lineRule="auto"/>
        <w:ind w:firstLine="241" w:firstLineChars="100"/>
        <w:jc w:val="left"/>
        <w:rPr>
          <w:rFonts w:hint="eastAsia" w:ascii="宋体" w:hAnsi="宋体" w:eastAsia="宋体" w:cs="宋体"/>
          <w:b/>
          <w:bCs/>
          <w:color w:val="auto"/>
          <w:sz w:val="24"/>
          <w:highlight w:val="none"/>
          <w:lang w:val="en-US"/>
        </w:rPr>
      </w:pPr>
      <w:r>
        <w:rPr>
          <w:rFonts w:hint="eastAsia" w:ascii="宋体" w:hAnsi="宋体" w:eastAsia="宋体" w:cs="宋体"/>
          <w:b/>
          <w:bCs/>
          <w:color w:val="auto"/>
          <w:sz w:val="24"/>
          <w:highlight w:val="none"/>
        </w:rPr>
        <w:t>&lt;</w:t>
      </w:r>
      <w:r>
        <w:rPr>
          <w:rFonts w:hint="eastAsia" w:ascii="宋体" w:hAnsi="宋体" w:eastAsia="宋体" w:cs="宋体"/>
          <w:b/>
          <w:bCs/>
          <w:color w:val="auto"/>
          <w:sz w:val="24"/>
          <w:highlight w:val="none"/>
          <w:lang w:val="en-US" w:eastAsia="zh-CN"/>
        </w:rPr>
        <w:t>三</w:t>
      </w:r>
      <w:r>
        <w:rPr>
          <w:rFonts w:hint="eastAsia" w:ascii="宋体" w:hAnsi="宋体" w:eastAsia="宋体" w:cs="宋体"/>
          <w:b/>
          <w:bCs/>
          <w:color w:val="auto"/>
          <w:sz w:val="24"/>
          <w:highlight w:val="none"/>
        </w:rPr>
        <w:t>&gt;</w:t>
      </w:r>
      <w:r>
        <w:rPr>
          <w:rFonts w:hint="eastAsia" w:ascii="宋体" w:hAnsi="宋体" w:eastAsia="宋体" w:cs="宋体"/>
          <w:b/>
          <w:bCs/>
          <w:color w:val="auto"/>
          <w:sz w:val="24"/>
          <w:highlight w:val="none"/>
          <w:lang w:val="en-US" w:eastAsia="zh-CN"/>
        </w:rPr>
        <w:t>项目目标</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按照《住宅专项维修资金管理办法》、《浙江省物业专项维修资金管理办法》、《杭州市物业管理条例》等政策法规的要求，充分运用大数据等信息技术，以统一数据目录体系、分级管理、共享关联为导向，建立面向物业专项维修资金业务管理、监管决策和社会服务的数据资源体系，实现物业维修资金业务数据管理的精细化、智能化，为完善优化物业管理提供坚实的数据基础支撑。</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建德市物业维修资金数据建库及数据迁移项目的建设目标是：通过影像数据建库实现纸质材料的数字化建库，以及完成物业专项维修资金数据的核查，以提高业务系统数据的利用效率，最终形成完整、准确的物业业务数据和电子影像数据，从而能全面、及时反映区县市物业维修资金数据的现状，满足物业专项维修资金信息公开查询服务，以提高数据的利用率和政府的公信力。整个项目建设实现以下目标：</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物业纸质档案整理及扫描数字化建库：根据《纸质档案数字化技术规范》和《照片档案管理规范》完成纸质资料的标准化及纸质档案的数字化工作。</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物业系统缺失业务数据的录入：依据业务档案扫描影像，根据业务数据系统要求制定业务数据录入规则完成维修金的录入工作。</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物业维修金业务系统数据的整理：依据业务档案扫描影像，根据业务数据系统要求制定业务数据录入规则完成维修资金系统数据的整理工作。</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业务数据与扫描影像建立关联关系：依据业务档案扫描影像完成业务系统数据与业务档案扫描影像的关联工作。</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业务数据与产权数据关联关系的核查和创建：根据业务扫描影像和产权登记及扫描影像数据完成物业业务数据与产权业务数据的关联工作。</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未分摊到户的物业维修资金的建账到户工作：通过扫描后的电子档案，结合业务系统数据完成未分摊到户对应物业维修资金的建账到户工作。</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历年缴交数据结息：对历史所有缴交项目缺失的结息数据，按户进行结息，按照每年结息一次，确保数据的完善。</w:t>
      </w:r>
    </w:p>
    <w:p>
      <w:pPr>
        <w:spacing w:line="360" w:lineRule="auto"/>
        <w:ind w:firstLine="480"/>
        <w:jc w:val="left"/>
        <w:rPr>
          <w:rFonts w:hint="eastAsia" w:ascii="宋体" w:hAnsi="宋体" w:eastAsia="宋体" w:cs="宋体"/>
          <w:b/>
          <w:bCs/>
          <w:color w:val="auto"/>
          <w:sz w:val="24"/>
          <w:highlight w:val="none"/>
          <w:lang w:val="en-US" w:eastAsia="zh-CN"/>
        </w:rPr>
      </w:pP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物业小区整理：小区数据、缴交项目数据、缴交楼幢及房屋数据一体化管理。</w:t>
      </w:r>
    </w:p>
    <w:p>
      <w:pPr>
        <w:spacing w:line="360" w:lineRule="auto"/>
        <w:ind w:firstLine="241" w:firstLineChars="100"/>
        <w:jc w:val="left"/>
        <w:rPr>
          <w:rFonts w:hint="eastAsia" w:ascii="宋体" w:hAnsi="宋体" w:eastAsia="宋体" w:cs="宋体"/>
          <w:b/>
          <w:bCs/>
          <w:color w:val="auto"/>
          <w:sz w:val="24"/>
          <w:highlight w:val="none"/>
          <w:lang w:val="en-US"/>
        </w:rPr>
      </w:pPr>
      <w:r>
        <w:rPr>
          <w:rFonts w:hint="eastAsia" w:ascii="宋体" w:hAnsi="宋体" w:eastAsia="宋体" w:cs="宋体"/>
          <w:b/>
          <w:bCs/>
          <w:color w:val="auto"/>
          <w:sz w:val="24"/>
          <w:highlight w:val="none"/>
        </w:rPr>
        <w:t>&lt;</w:t>
      </w:r>
      <w:r>
        <w:rPr>
          <w:rFonts w:hint="eastAsia" w:ascii="宋体" w:hAnsi="宋体" w:eastAsia="宋体" w:cs="宋体"/>
          <w:b/>
          <w:bCs/>
          <w:color w:val="auto"/>
          <w:sz w:val="24"/>
          <w:highlight w:val="none"/>
          <w:lang w:val="en-US" w:eastAsia="zh-CN"/>
        </w:rPr>
        <w:t>四</w:t>
      </w:r>
      <w:r>
        <w:rPr>
          <w:rFonts w:hint="eastAsia" w:ascii="宋体" w:hAnsi="宋体" w:eastAsia="宋体" w:cs="宋体"/>
          <w:b/>
          <w:bCs/>
          <w:color w:val="auto"/>
          <w:sz w:val="24"/>
          <w:highlight w:val="none"/>
        </w:rPr>
        <w:t>&gt;</w:t>
      </w:r>
      <w:r>
        <w:rPr>
          <w:rFonts w:hint="eastAsia" w:ascii="宋体" w:hAnsi="宋体" w:eastAsia="宋体" w:cs="宋体"/>
          <w:b/>
          <w:bCs/>
          <w:color w:val="auto"/>
          <w:sz w:val="24"/>
          <w:highlight w:val="none"/>
          <w:lang w:val="en-US" w:eastAsia="zh-CN"/>
        </w:rPr>
        <w:t>项目服务内容清单</w:t>
      </w:r>
    </w:p>
    <w:tbl>
      <w:tblPr>
        <w:tblStyle w:val="63"/>
        <w:tblpPr w:leftFromText="180" w:rightFromText="180" w:vertAnchor="text" w:horzAnchor="page" w:tblpXSpec="center" w:tblpY="463"/>
        <w:tblOverlap w:val="never"/>
        <w:tblW w:w="8357" w:type="dxa"/>
        <w:jc w:val="center"/>
        <w:tblLayout w:type="fixed"/>
        <w:tblCellMar>
          <w:top w:w="0" w:type="dxa"/>
          <w:left w:w="108" w:type="dxa"/>
          <w:bottom w:w="0" w:type="dxa"/>
          <w:right w:w="108" w:type="dxa"/>
        </w:tblCellMar>
      </w:tblPr>
      <w:tblGrid>
        <w:gridCol w:w="876"/>
        <w:gridCol w:w="1267"/>
        <w:gridCol w:w="2037"/>
        <w:gridCol w:w="1204"/>
        <w:gridCol w:w="1070"/>
        <w:gridCol w:w="1903"/>
      </w:tblGrid>
      <w:tr>
        <w:tblPrEx>
          <w:tblCellMar>
            <w:top w:w="0" w:type="dxa"/>
            <w:left w:w="108" w:type="dxa"/>
            <w:bottom w:w="0" w:type="dxa"/>
            <w:right w:w="108" w:type="dxa"/>
          </w:tblCellMar>
        </w:tblPrEx>
        <w:trPr>
          <w:trHeight w:val="328" w:hRule="atLeast"/>
          <w:tblHeader/>
          <w:jc w:val="center"/>
        </w:trPr>
        <w:tc>
          <w:tcPr>
            <w:tcW w:w="876" w:type="dxa"/>
            <w:tcBorders>
              <w:top w:val="single" w:color="auto" w:sz="4" w:space="0"/>
              <w:left w:val="single" w:color="auto" w:sz="4" w:space="0"/>
              <w:bottom w:val="single" w:color="auto" w:sz="4" w:space="0"/>
              <w:right w:val="single" w:color="auto" w:sz="4" w:space="0"/>
            </w:tcBorders>
            <w:vAlign w:val="center"/>
          </w:tcPr>
          <w:p>
            <w:pPr>
              <w:pStyle w:val="965"/>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267" w:type="dxa"/>
            <w:tcBorders>
              <w:top w:val="single" w:color="auto" w:sz="4" w:space="0"/>
              <w:left w:val="nil"/>
              <w:bottom w:val="single" w:color="auto" w:sz="4" w:space="0"/>
              <w:right w:val="single" w:color="auto" w:sz="4" w:space="0"/>
            </w:tcBorders>
            <w:vAlign w:val="center"/>
          </w:tcPr>
          <w:p>
            <w:pPr>
              <w:pStyle w:val="965"/>
              <w:rPr>
                <w:rFonts w:hint="eastAsia" w:ascii="宋体" w:hAnsi="宋体" w:eastAsia="宋体" w:cs="宋体"/>
                <w:color w:val="auto"/>
                <w:highlight w:val="none"/>
              </w:rPr>
            </w:pPr>
            <w:r>
              <w:rPr>
                <w:rFonts w:hint="eastAsia" w:ascii="宋体" w:hAnsi="宋体" w:eastAsia="宋体" w:cs="宋体"/>
                <w:color w:val="auto"/>
                <w:highlight w:val="none"/>
              </w:rPr>
              <w:t>数据类别</w:t>
            </w:r>
          </w:p>
        </w:tc>
        <w:tc>
          <w:tcPr>
            <w:tcW w:w="2037" w:type="dxa"/>
            <w:tcBorders>
              <w:top w:val="single" w:color="auto" w:sz="4" w:space="0"/>
              <w:left w:val="nil"/>
              <w:bottom w:val="single" w:color="auto" w:sz="4" w:space="0"/>
              <w:right w:val="single" w:color="auto" w:sz="4" w:space="0"/>
            </w:tcBorders>
            <w:vAlign w:val="center"/>
          </w:tcPr>
          <w:p>
            <w:pPr>
              <w:pStyle w:val="965"/>
              <w:rPr>
                <w:rFonts w:hint="eastAsia" w:ascii="宋体" w:hAnsi="宋体" w:eastAsia="宋体" w:cs="宋体"/>
                <w:color w:val="auto"/>
                <w:highlight w:val="none"/>
              </w:rPr>
            </w:pPr>
            <w:r>
              <w:rPr>
                <w:rFonts w:hint="eastAsia" w:ascii="宋体" w:hAnsi="宋体" w:eastAsia="宋体" w:cs="宋体"/>
                <w:color w:val="auto"/>
                <w:highlight w:val="none"/>
              </w:rPr>
              <w:t>数据细分</w:t>
            </w:r>
          </w:p>
        </w:tc>
        <w:tc>
          <w:tcPr>
            <w:tcW w:w="1204" w:type="dxa"/>
            <w:tcBorders>
              <w:top w:val="single" w:color="auto" w:sz="4" w:space="0"/>
              <w:left w:val="nil"/>
              <w:bottom w:val="single" w:color="auto" w:sz="4" w:space="0"/>
              <w:right w:val="single" w:color="auto" w:sz="4" w:space="0"/>
            </w:tcBorders>
            <w:vAlign w:val="center"/>
          </w:tcPr>
          <w:p>
            <w:pPr>
              <w:pStyle w:val="965"/>
              <w:rPr>
                <w:rFonts w:hint="eastAsia" w:ascii="宋体" w:hAnsi="宋体" w:eastAsia="宋体" w:cs="宋体"/>
                <w:color w:val="auto"/>
                <w:highlight w:val="none"/>
              </w:rPr>
            </w:pPr>
            <w:r>
              <w:rPr>
                <w:rFonts w:hint="eastAsia" w:ascii="宋体" w:hAnsi="宋体" w:eastAsia="宋体" w:cs="宋体"/>
                <w:bCs/>
                <w:color w:val="auto"/>
                <w:kern w:val="0"/>
                <w:sz w:val="24"/>
                <w:szCs w:val="24"/>
                <w:highlight w:val="none"/>
                <w:lang w:bidi="ar"/>
              </w:rPr>
              <w:t>数量</w:t>
            </w:r>
          </w:p>
        </w:tc>
        <w:tc>
          <w:tcPr>
            <w:tcW w:w="1070" w:type="dxa"/>
            <w:tcBorders>
              <w:top w:val="single" w:color="auto" w:sz="4" w:space="0"/>
              <w:left w:val="nil"/>
              <w:bottom w:val="single" w:color="auto" w:sz="4" w:space="0"/>
              <w:right w:val="single" w:color="auto" w:sz="4" w:space="0"/>
            </w:tcBorders>
            <w:vAlign w:val="center"/>
          </w:tcPr>
          <w:p>
            <w:pPr>
              <w:pStyle w:val="965"/>
              <w:rPr>
                <w:rFonts w:hint="eastAsia" w:ascii="宋体" w:hAnsi="宋体" w:eastAsia="宋体" w:cs="宋体"/>
                <w:color w:val="auto"/>
                <w:highlight w:val="none"/>
              </w:rPr>
            </w:pPr>
            <w:r>
              <w:rPr>
                <w:rFonts w:hint="eastAsia" w:ascii="宋体" w:hAnsi="宋体" w:eastAsia="宋体" w:cs="宋体"/>
                <w:color w:val="auto"/>
                <w:highlight w:val="none"/>
              </w:rPr>
              <w:t>单位</w:t>
            </w:r>
          </w:p>
        </w:tc>
        <w:tc>
          <w:tcPr>
            <w:tcW w:w="1903" w:type="dxa"/>
            <w:tcBorders>
              <w:top w:val="single" w:color="auto" w:sz="4" w:space="0"/>
              <w:left w:val="nil"/>
              <w:bottom w:val="single" w:color="auto" w:sz="4" w:space="0"/>
              <w:right w:val="single" w:color="auto" w:sz="4" w:space="0"/>
            </w:tcBorders>
            <w:vAlign w:val="center"/>
          </w:tcPr>
          <w:p>
            <w:pPr>
              <w:pStyle w:val="965"/>
              <w:rPr>
                <w:rFonts w:hint="eastAsia" w:ascii="宋体" w:hAnsi="宋体" w:eastAsia="宋体" w:cs="宋体"/>
                <w:color w:val="auto"/>
                <w:highlight w:val="none"/>
              </w:rPr>
            </w:pPr>
            <w:r>
              <w:rPr>
                <w:rFonts w:hint="eastAsia" w:ascii="宋体" w:hAnsi="宋体" w:eastAsia="宋体" w:cs="宋体"/>
                <w:color w:val="auto"/>
                <w:highlight w:val="none"/>
              </w:rPr>
              <w:t>备注</w:t>
            </w:r>
          </w:p>
        </w:tc>
      </w:tr>
      <w:tr>
        <w:tblPrEx>
          <w:tblCellMar>
            <w:top w:w="0" w:type="dxa"/>
            <w:left w:w="108" w:type="dxa"/>
            <w:bottom w:w="0" w:type="dxa"/>
            <w:right w:w="108" w:type="dxa"/>
          </w:tblCellMar>
        </w:tblPrEx>
        <w:trPr>
          <w:trHeight w:val="329" w:hRule="atLeast"/>
          <w:jc w:val="center"/>
        </w:trPr>
        <w:tc>
          <w:tcPr>
            <w:tcW w:w="876" w:type="dxa"/>
            <w:tcBorders>
              <w:top w:val="nil"/>
              <w:left w:val="single" w:color="auto" w:sz="4" w:space="0"/>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267" w:type="dxa"/>
            <w:vMerge w:val="restart"/>
            <w:tcBorders>
              <w:top w:val="nil"/>
              <w:left w:val="single" w:color="auto" w:sz="4" w:space="0"/>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highlight w:val="none"/>
              </w:rPr>
              <w:t>档案数据</w:t>
            </w:r>
          </w:p>
        </w:tc>
        <w:tc>
          <w:tcPr>
            <w:tcW w:w="2037" w:type="dxa"/>
            <w:tcBorders>
              <w:top w:val="nil"/>
              <w:left w:val="nil"/>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highlight w:val="none"/>
              </w:rPr>
              <w:t>维修金缴交档案</w:t>
            </w:r>
          </w:p>
        </w:tc>
        <w:tc>
          <w:tcPr>
            <w:tcW w:w="120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olor w:val="auto"/>
                <w:kern w:val="0"/>
                <w:sz w:val="21"/>
                <w:szCs w:val="21"/>
                <w:highlight w:val="none"/>
                <w:u w:val="none"/>
                <w:lang w:val="en-US" w:eastAsia="zh-CN" w:bidi="ar"/>
              </w:rPr>
              <w:t xml:space="preserve">100 </w:t>
            </w:r>
          </w:p>
        </w:tc>
        <w:tc>
          <w:tcPr>
            <w:tcW w:w="1070" w:type="dxa"/>
            <w:tcBorders>
              <w:top w:val="nil"/>
              <w:left w:val="nil"/>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highlight w:val="none"/>
              </w:rPr>
              <w:t>个</w:t>
            </w:r>
          </w:p>
        </w:tc>
        <w:tc>
          <w:tcPr>
            <w:tcW w:w="1903" w:type="dxa"/>
            <w:tcBorders>
              <w:top w:val="nil"/>
              <w:left w:val="nil"/>
              <w:bottom w:val="single" w:color="auto" w:sz="4" w:space="0"/>
              <w:right w:val="single" w:color="auto" w:sz="4" w:space="0"/>
            </w:tcBorders>
            <w:vAlign w:val="center"/>
          </w:tcPr>
          <w:p>
            <w:pPr>
              <w:pStyle w:val="966"/>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329" w:hRule="atLeast"/>
          <w:jc w:val="center"/>
        </w:trPr>
        <w:tc>
          <w:tcPr>
            <w:tcW w:w="876" w:type="dxa"/>
            <w:tcBorders>
              <w:top w:val="nil"/>
              <w:left w:val="single" w:color="auto" w:sz="4" w:space="0"/>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267" w:type="dxa"/>
            <w:vMerge w:val="continue"/>
            <w:tcBorders>
              <w:top w:val="nil"/>
              <w:left w:val="single" w:color="auto" w:sz="4" w:space="0"/>
              <w:bottom w:val="single" w:color="auto" w:sz="4" w:space="0"/>
              <w:right w:val="single" w:color="auto" w:sz="4" w:space="0"/>
            </w:tcBorders>
            <w:vAlign w:val="center"/>
          </w:tcPr>
          <w:p>
            <w:pPr>
              <w:pStyle w:val="966"/>
              <w:rPr>
                <w:rFonts w:hint="eastAsia" w:ascii="宋体" w:hAnsi="宋体" w:eastAsia="宋体" w:cs="宋体"/>
                <w:color w:val="auto"/>
                <w:highlight w:val="none"/>
              </w:rPr>
            </w:pPr>
          </w:p>
        </w:tc>
        <w:tc>
          <w:tcPr>
            <w:tcW w:w="2037" w:type="dxa"/>
            <w:tcBorders>
              <w:top w:val="nil"/>
              <w:left w:val="nil"/>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highlight w:val="none"/>
              </w:rPr>
              <w:t>保修金缴交档案</w:t>
            </w:r>
          </w:p>
        </w:tc>
        <w:tc>
          <w:tcPr>
            <w:tcW w:w="120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olor w:val="auto"/>
                <w:kern w:val="0"/>
                <w:sz w:val="21"/>
                <w:szCs w:val="21"/>
                <w:highlight w:val="none"/>
                <w:u w:val="none"/>
                <w:lang w:val="en-US" w:eastAsia="zh-CN" w:bidi="ar"/>
              </w:rPr>
              <w:t xml:space="preserve">168 </w:t>
            </w:r>
          </w:p>
        </w:tc>
        <w:tc>
          <w:tcPr>
            <w:tcW w:w="1070" w:type="dxa"/>
            <w:tcBorders>
              <w:top w:val="nil"/>
              <w:left w:val="nil"/>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highlight w:val="none"/>
              </w:rPr>
              <w:t>个</w:t>
            </w:r>
          </w:p>
        </w:tc>
        <w:tc>
          <w:tcPr>
            <w:tcW w:w="1903" w:type="dxa"/>
            <w:tcBorders>
              <w:top w:val="nil"/>
              <w:left w:val="nil"/>
              <w:bottom w:val="single" w:color="auto" w:sz="4" w:space="0"/>
              <w:right w:val="single" w:color="auto" w:sz="4" w:space="0"/>
            </w:tcBorders>
            <w:vAlign w:val="center"/>
          </w:tcPr>
          <w:p>
            <w:pPr>
              <w:pStyle w:val="966"/>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329" w:hRule="atLeast"/>
          <w:jc w:val="center"/>
        </w:trPr>
        <w:tc>
          <w:tcPr>
            <w:tcW w:w="876" w:type="dxa"/>
            <w:tcBorders>
              <w:top w:val="nil"/>
              <w:left w:val="single" w:color="auto" w:sz="4" w:space="0"/>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267" w:type="dxa"/>
            <w:vMerge w:val="continue"/>
            <w:tcBorders>
              <w:top w:val="nil"/>
              <w:left w:val="single" w:color="auto" w:sz="4" w:space="0"/>
              <w:bottom w:val="single" w:color="auto" w:sz="4" w:space="0"/>
              <w:right w:val="single" w:color="auto" w:sz="4" w:space="0"/>
            </w:tcBorders>
            <w:vAlign w:val="center"/>
          </w:tcPr>
          <w:p>
            <w:pPr>
              <w:pStyle w:val="966"/>
              <w:rPr>
                <w:rFonts w:hint="eastAsia" w:ascii="宋体" w:hAnsi="宋体" w:eastAsia="宋体" w:cs="宋体"/>
                <w:color w:val="auto"/>
                <w:highlight w:val="none"/>
              </w:rPr>
            </w:pPr>
          </w:p>
        </w:tc>
        <w:tc>
          <w:tcPr>
            <w:tcW w:w="2037" w:type="dxa"/>
            <w:tcBorders>
              <w:top w:val="nil"/>
              <w:left w:val="nil"/>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highlight w:val="none"/>
              </w:rPr>
              <w:t>维修金使用档案</w:t>
            </w:r>
          </w:p>
        </w:tc>
        <w:tc>
          <w:tcPr>
            <w:tcW w:w="120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i w:val="0"/>
                <w:iCs w:val="0"/>
                <w:color w:val="auto"/>
                <w:kern w:val="0"/>
                <w:sz w:val="21"/>
                <w:szCs w:val="21"/>
                <w:highlight w:val="none"/>
                <w:u w:val="none"/>
                <w:lang w:val="en-US" w:eastAsia="zh-CN" w:bidi="ar"/>
              </w:rPr>
              <w:t>920</w:t>
            </w:r>
          </w:p>
        </w:tc>
        <w:tc>
          <w:tcPr>
            <w:tcW w:w="1070" w:type="dxa"/>
            <w:tcBorders>
              <w:top w:val="nil"/>
              <w:left w:val="nil"/>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highlight w:val="none"/>
              </w:rPr>
              <w:t>个</w:t>
            </w:r>
          </w:p>
        </w:tc>
        <w:tc>
          <w:tcPr>
            <w:tcW w:w="1903" w:type="dxa"/>
            <w:tcBorders>
              <w:top w:val="nil"/>
              <w:left w:val="nil"/>
              <w:bottom w:val="single" w:color="auto" w:sz="4" w:space="0"/>
              <w:right w:val="single" w:color="auto" w:sz="4" w:space="0"/>
            </w:tcBorders>
            <w:vAlign w:val="center"/>
          </w:tcPr>
          <w:p>
            <w:pPr>
              <w:pStyle w:val="966"/>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566" w:hRule="atLeast"/>
          <w:jc w:val="center"/>
        </w:trPr>
        <w:tc>
          <w:tcPr>
            <w:tcW w:w="876" w:type="dxa"/>
            <w:tcBorders>
              <w:top w:val="nil"/>
              <w:left w:val="single" w:color="auto" w:sz="4" w:space="0"/>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1267" w:type="dxa"/>
            <w:vMerge w:val="continue"/>
            <w:tcBorders>
              <w:top w:val="nil"/>
              <w:left w:val="single" w:color="auto" w:sz="4" w:space="0"/>
              <w:bottom w:val="single" w:color="auto" w:sz="4" w:space="0"/>
              <w:right w:val="single" w:color="auto" w:sz="4" w:space="0"/>
            </w:tcBorders>
            <w:vAlign w:val="center"/>
          </w:tcPr>
          <w:p>
            <w:pPr>
              <w:pStyle w:val="966"/>
              <w:rPr>
                <w:rFonts w:hint="eastAsia" w:ascii="宋体" w:hAnsi="宋体" w:eastAsia="宋体" w:cs="宋体"/>
                <w:color w:val="auto"/>
                <w:highlight w:val="none"/>
              </w:rPr>
            </w:pPr>
          </w:p>
        </w:tc>
        <w:tc>
          <w:tcPr>
            <w:tcW w:w="2037" w:type="dxa"/>
            <w:tcBorders>
              <w:top w:val="nil"/>
              <w:left w:val="nil"/>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highlight w:val="none"/>
              </w:rPr>
              <w:t>保修金使用、退还档案</w:t>
            </w:r>
          </w:p>
        </w:tc>
        <w:tc>
          <w:tcPr>
            <w:tcW w:w="120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olor w:val="auto"/>
                <w:kern w:val="0"/>
                <w:sz w:val="21"/>
                <w:szCs w:val="21"/>
                <w:highlight w:val="none"/>
                <w:u w:val="none"/>
                <w:lang w:val="en-US" w:eastAsia="zh-CN" w:bidi="ar"/>
              </w:rPr>
              <w:t xml:space="preserve">59 </w:t>
            </w:r>
          </w:p>
        </w:tc>
        <w:tc>
          <w:tcPr>
            <w:tcW w:w="1070" w:type="dxa"/>
            <w:tcBorders>
              <w:top w:val="nil"/>
              <w:left w:val="nil"/>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highlight w:val="none"/>
              </w:rPr>
              <w:t>个</w:t>
            </w:r>
          </w:p>
        </w:tc>
        <w:tc>
          <w:tcPr>
            <w:tcW w:w="1903" w:type="dxa"/>
            <w:tcBorders>
              <w:top w:val="nil"/>
              <w:left w:val="nil"/>
              <w:bottom w:val="single" w:color="auto" w:sz="4" w:space="0"/>
              <w:right w:val="single" w:color="auto" w:sz="4" w:space="0"/>
            </w:tcBorders>
            <w:vAlign w:val="center"/>
          </w:tcPr>
          <w:p>
            <w:pPr>
              <w:pStyle w:val="966"/>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566" w:hRule="atLeast"/>
          <w:jc w:val="center"/>
        </w:trPr>
        <w:tc>
          <w:tcPr>
            <w:tcW w:w="876" w:type="dxa"/>
            <w:tcBorders>
              <w:top w:val="nil"/>
              <w:left w:val="single" w:color="auto" w:sz="4" w:space="0"/>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highlight w:val="none"/>
              </w:rPr>
              <w:t>5</w:t>
            </w:r>
          </w:p>
        </w:tc>
        <w:tc>
          <w:tcPr>
            <w:tcW w:w="1267" w:type="dxa"/>
            <w:vMerge w:val="continue"/>
            <w:tcBorders>
              <w:top w:val="nil"/>
              <w:left w:val="single" w:color="auto" w:sz="4" w:space="0"/>
              <w:bottom w:val="single" w:color="auto" w:sz="4" w:space="0"/>
              <w:right w:val="single" w:color="auto" w:sz="4" w:space="0"/>
            </w:tcBorders>
            <w:vAlign w:val="center"/>
          </w:tcPr>
          <w:p>
            <w:pPr>
              <w:pStyle w:val="966"/>
              <w:rPr>
                <w:rFonts w:hint="eastAsia" w:ascii="宋体" w:hAnsi="宋体" w:eastAsia="宋体" w:cs="宋体"/>
                <w:color w:val="auto"/>
                <w:highlight w:val="none"/>
              </w:rPr>
            </w:pPr>
          </w:p>
        </w:tc>
        <w:tc>
          <w:tcPr>
            <w:tcW w:w="2037" w:type="dxa"/>
            <w:tcBorders>
              <w:top w:val="nil"/>
              <w:left w:val="nil"/>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highlight w:val="none"/>
              </w:rPr>
              <w:t>影像关系建立</w:t>
            </w:r>
          </w:p>
        </w:tc>
        <w:tc>
          <w:tcPr>
            <w:tcW w:w="120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1247</w:t>
            </w:r>
          </w:p>
        </w:tc>
        <w:tc>
          <w:tcPr>
            <w:tcW w:w="1070" w:type="dxa"/>
            <w:tcBorders>
              <w:top w:val="nil"/>
              <w:left w:val="nil"/>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highlight w:val="none"/>
              </w:rPr>
              <w:t>个</w:t>
            </w:r>
          </w:p>
        </w:tc>
        <w:tc>
          <w:tcPr>
            <w:tcW w:w="1903" w:type="dxa"/>
            <w:tcBorders>
              <w:top w:val="nil"/>
              <w:left w:val="nil"/>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highlight w:val="none"/>
              </w:rPr>
              <w:t>所有影像与业务数据建立关联关系</w:t>
            </w:r>
          </w:p>
        </w:tc>
      </w:tr>
      <w:tr>
        <w:tblPrEx>
          <w:tblCellMar>
            <w:top w:w="0" w:type="dxa"/>
            <w:left w:w="108" w:type="dxa"/>
            <w:bottom w:w="0" w:type="dxa"/>
            <w:right w:w="108" w:type="dxa"/>
          </w:tblCellMar>
        </w:tblPrEx>
        <w:trPr>
          <w:trHeight w:val="566" w:hRule="atLeast"/>
          <w:jc w:val="center"/>
        </w:trPr>
        <w:tc>
          <w:tcPr>
            <w:tcW w:w="876" w:type="dxa"/>
            <w:tcBorders>
              <w:top w:val="nil"/>
              <w:left w:val="single" w:color="auto" w:sz="4" w:space="0"/>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highlight w:val="none"/>
              </w:rPr>
              <w:t>6</w:t>
            </w:r>
          </w:p>
        </w:tc>
        <w:tc>
          <w:tcPr>
            <w:tcW w:w="1267" w:type="dxa"/>
            <w:vMerge w:val="restart"/>
            <w:tcBorders>
              <w:top w:val="nil"/>
              <w:left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highlight w:val="none"/>
              </w:rPr>
              <w:t>业务数据</w:t>
            </w:r>
          </w:p>
        </w:tc>
        <w:tc>
          <w:tcPr>
            <w:tcW w:w="2037" w:type="dxa"/>
            <w:tcBorders>
              <w:top w:val="nil"/>
              <w:left w:val="nil"/>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szCs w:val="22"/>
                <w:highlight w:val="none"/>
                <w:lang w:bidi="ar"/>
              </w:rPr>
              <w:t>数据录入</w:t>
            </w:r>
          </w:p>
        </w:tc>
        <w:tc>
          <w:tcPr>
            <w:tcW w:w="120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lang w:bidi="ar"/>
              </w:rPr>
            </w:pPr>
            <w:r>
              <w:rPr>
                <w:rFonts w:hint="eastAsia" w:ascii="宋体" w:hAnsi="宋体" w:eastAsia="宋体" w:cs="宋体"/>
                <w:i w:val="0"/>
                <w:iCs w:val="0"/>
                <w:color w:val="auto"/>
                <w:kern w:val="0"/>
                <w:sz w:val="21"/>
                <w:szCs w:val="21"/>
                <w:highlight w:val="none"/>
                <w:u w:val="none"/>
                <w:lang w:val="en-US" w:eastAsia="zh-CN" w:bidi="ar"/>
              </w:rPr>
              <w:t>1247</w:t>
            </w:r>
          </w:p>
        </w:tc>
        <w:tc>
          <w:tcPr>
            <w:tcW w:w="1070" w:type="dxa"/>
            <w:tcBorders>
              <w:top w:val="nil"/>
              <w:left w:val="nil"/>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szCs w:val="22"/>
                <w:highlight w:val="none"/>
                <w:lang w:bidi="ar"/>
              </w:rPr>
              <w:t>条</w:t>
            </w:r>
          </w:p>
        </w:tc>
        <w:tc>
          <w:tcPr>
            <w:tcW w:w="1903" w:type="dxa"/>
            <w:tcBorders>
              <w:top w:val="nil"/>
              <w:left w:val="nil"/>
              <w:bottom w:val="single" w:color="auto" w:sz="4" w:space="0"/>
              <w:right w:val="single" w:color="auto" w:sz="4" w:space="0"/>
            </w:tcBorders>
            <w:vAlign w:val="center"/>
          </w:tcPr>
          <w:p>
            <w:pPr>
              <w:pStyle w:val="966"/>
              <w:rPr>
                <w:rFonts w:hint="eastAsia" w:ascii="宋体" w:hAnsi="宋体" w:eastAsia="宋体" w:cs="宋体"/>
                <w:bCs/>
                <w:color w:val="auto"/>
                <w:highlight w:val="none"/>
              </w:rPr>
            </w:pPr>
            <w:r>
              <w:rPr>
                <w:rFonts w:hint="eastAsia" w:ascii="宋体" w:hAnsi="宋体" w:eastAsia="宋体" w:cs="宋体"/>
                <w:bCs/>
                <w:color w:val="auto"/>
                <w:highlight w:val="none"/>
              </w:rPr>
              <w:t>维修金缴交、使用的项目数据录入</w:t>
            </w:r>
          </w:p>
        </w:tc>
      </w:tr>
      <w:tr>
        <w:tblPrEx>
          <w:tblCellMar>
            <w:top w:w="0" w:type="dxa"/>
            <w:left w:w="108" w:type="dxa"/>
            <w:bottom w:w="0" w:type="dxa"/>
            <w:right w:w="108" w:type="dxa"/>
          </w:tblCellMar>
        </w:tblPrEx>
        <w:trPr>
          <w:trHeight w:val="566"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highlight w:val="none"/>
              </w:rPr>
              <w:t>7</w:t>
            </w:r>
          </w:p>
        </w:tc>
        <w:tc>
          <w:tcPr>
            <w:tcW w:w="1267" w:type="dxa"/>
            <w:vMerge w:val="continue"/>
            <w:tcBorders>
              <w:left w:val="single" w:color="auto" w:sz="4" w:space="0"/>
              <w:right w:val="single" w:color="auto" w:sz="4" w:space="0"/>
            </w:tcBorders>
            <w:vAlign w:val="center"/>
          </w:tcPr>
          <w:p>
            <w:pPr>
              <w:pStyle w:val="966"/>
              <w:rPr>
                <w:rFonts w:hint="eastAsia" w:ascii="宋体" w:hAnsi="宋体" w:eastAsia="宋体" w:cs="宋体"/>
                <w:color w:val="auto"/>
                <w:highlight w:val="none"/>
              </w:rPr>
            </w:pPr>
          </w:p>
        </w:tc>
        <w:tc>
          <w:tcPr>
            <w:tcW w:w="2037" w:type="dxa"/>
            <w:tcBorders>
              <w:top w:val="single" w:color="auto" w:sz="4" w:space="0"/>
              <w:left w:val="nil"/>
              <w:bottom w:val="single" w:color="auto" w:sz="4" w:space="0"/>
              <w:right w:val="nil"/>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szCs w:val="22"/>
                <w:highlight w:val="none"/>
                <w:lang w:bidi="ar"/>
              </w:rPr>
              <w:t>维修金业务数据整理</w:t>
            </w:r>
          </w:p>
        </w:tc>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170000</w:t>
            </w:r>
          </w:p>
        </w:tc>
        <w:tc>
          <w:tcPr>
            <w:tcW w:w="1070" w:type="dxa"/>
            <w:tcBorders>
              <w:top w:val="single" w:color="auto" w:sz="4" w:space="0"/>
              <w:left w:val="single" w:color="auto" w:sz="4" w:space="0"/>
              <w:bottom w:val="single" w:color="auto" w:sz="4" w:space="0"/>
              <w:right w:val="single" w:color="auto" w:sz="4" w:space="0"/>
            </w:tcBorders>
            <w:vAlign w:val="center"/>
          </w:tcPr>
          <w:p>
            <w:pPr>
              <w:pStyle w:val="966"/>
              <w:rPr>
                <w:rFonts w:hint="eastAsia" w:ascii="宋体" w:hAnsi="宋体" w:eastAsia="宋体" w:cs="宋体"/>
                <w:bCs/>
                <w:color w:val="auto"/>
                <w:highlight w:val="none"/>
              </w:rPr>
            </w:pPr>
            <w:r>
              <w:rPr>
                <w:rFonts w:hint="eastAsia" w:ascii="宋体" w:hAnsi="宋体" w:eastAsia="宋体" w:cs="宋体"/>
                <w:bCs/>
                <w:color w:val="auto"/>
                <w:highlight w:val="none"/>
              </w:rPr>
              <w:t>条</w:t>
            </w:r>
          </w:p>
        </w:tc>
        <w:tc>
          <w:tcPr>
            <w:tcW w:w="1903" w:type="dxa"/>
            <w:tcBorders>
              <w:top w:val="single" w:color="auto" w:sz="4" w:space="0"/>
              <w:left w:val="nil"/>
              <w:bottom w:val="single" w:color="auto" w:sz="4" w:space="0"/>
              <w:right w:val="single" w:color="auto" w:sz="4" w:space="0"/>
            </w:tcBorders>
            <w:vAlign w:val="center"/>
          </w:tcPr>
          <w:p>
            <w:pPr>
              <w:pStyle w:val="966"/>
              <w:rPr>
                <w:rFonts w:hint="eastAsia" w:ascii="宋体" w:hAnsi="宋体" w:eastAsia="宋体" w:cs="宋体"/>
                <w:bCs/>
                <w:color w:val="auto"/>
                <w:highlight w:val="none"/>
              </w:rPr>
            </w:pPr>
            <w:r>
              <w:rPr>
                <w:rFonts w:hint="eastAsia" w:ascii="宋体" w:hAnsi="宋体" w:eastAsia="宋体" w:cs="宋体"/>
                <w:bCs/>
                <w:color w:val="auto"/>
                <w:highlight w:val="none"/>
              </w:rPr>
              <w:t>维修金缴交数据整理</w:t>
            </w:r>
          </w:p>
        </w:tc>
      </w:tr>
      <w:tr>
        <w:tblPrEx>
          <w:tblCellMar>
            <w:top w:w="0" w:type="dxa"/>
            <w:left w:w="108" w:type="dxa"/>
            <w:bottom w:w="0" w:type="dxa"/>
            <w:right w:w="108" w:type="dxa"/>
          </w:tblCellMar>
        </w:tblPrEx>
        <w:trPr>
          <w:trHeight w:val="329"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highlight w:val="none"/>
              </w:rPr>
              <w:t>8</w:t>
            </w:r>
          </w:p>
        </w:tc>
        <w:tc>
          <w:tcPr>
            <w:tcW w:w="1267" w:type="dxa"/>
            <w:vMerge w:val="continue"/>
            <w:tcBorders>
              <w:left w:val="single" w:color="auto" w:sz="4" w:space="0"/>
              <w:right w:val="single" w:color="auto" w:sz="4" w:space="0"/>
            </w:tcBorders>
            <w:vAlign w:val="center"/>
          </w:tcPr>
          <w:p>
            <w:pPr>
              <w:pStyle w:val="966"/>
              <w:rPr>
                <w:rFonts w:hint="eastAsia" w:ascii="宋体" w:hAnsi="宋体" w:eastAsia="宋体" w:cs="宋体"/>
                <w:color w:val="auto"/>
                <w:highlight w:val="none"/>
              </w:rPr>
            </w:pPr>
          </w:p>
        </w:tc>
        <w:tc>
          <w:tcPr>
            <w:tcW w:w="2037" w:type="dxa"/>
            <w:tcBorders>
              <w:top w:val="single" w:color="auto" w:sz="4" w:space="0"/>
              <w:left w:val="nil"/>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szCs w:val="22"/>
                <w:highlight w:val="none"/>
                <w:lang w:bidi="ar"/>
              </w:rPr>
              <w:t>产权</w:t>
            </w:r>
            <w:r>
              <w:rPr>
                <w:rFonts w:hint="eastAsia" w:ascii="宋体" w:hAnsi="宋体" w:eastAsia="宋体" w:cs="宋体"/>
                <w:color w:val="auto"/>
                <w:szCs w:val="22"/>
                <w:highlight w:val="none"/>
                <w:lang w:val="en-US" w:eastAsia="zh-CN" w:bidi="ar"/>
              </w:rPr>
              <w:t>测绘</w:t>
            </w:r>
            <w:r>
              <w:rPr>
                <w:rFonts w:hint="eastAsia" w:ascii="宋体" w:hAnsi="宋体" w:eastAsia="宋体" w:cs="宋体"/>
                <w:color w:val="auto"/>
                <w:szCs w:val="22"/>
                <w:highlight w:val="none"/>
                <w:lang w:bidi="ar"/>
              </w:rPr>
              <w:t>关系建立</w:t>
            </w:r>
          </w:p>
        </w:tc>
        <w:tc>
          <w:tcPr>
            <w:tcW w:w="12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lang w:bidi="ar"/>
              </w:rPr>
            </w:pPr>
            <w:r>
              <w:rPr>
                <w:rFonts w:hint="eastAsia" w:ascii="宋体" w:hAnsi="宋体" w:eastAsia="宋体" w:cs="宋体"/>
                <w:i w:val="0"/>
                <w:iCs w:val="0"/>
                <w:color w:val="auto"/>
                <w:kern w:val="0"/>
                <w:sz w:val="21"/>
                <w:szCs w:val="21"/>
                <w:highlight w:val="none"/>
                <w:u w:val="none"/>
                <w:lang w:val="en-US" w:eastAsia="zh-CN" w:bidi="ar"/>
              </w:rPr>
              <w:t>170000</w:t>
            </w:r>
          </w:p>
        </w:tc>
        <w:tc>
          <w:tcPr>
            <w:tcW w:w="1070" w:type="dxa"/>
            <w:tcBorders>
              <w:top w:val="single" w:color="auto" w:sz="4" w:space="0"/>
              <w:left w:val="nil"/>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szCs w:val="22"/>
                <w:highlight w:val="none"/>
                <w:lang w:bidi="ar"/>
              </w:rPr>
              <w:t>条</w:t>
            </w:r>
          </w:p>
        </w:tc>
        <w:tc>
          <w:tcPr>
            <w:tcW w:w="1903" w:type="dxa"/>
            <w:tcBorders>
              <w:top w:val="single" w:color="auto" w:sz="4" w:space="0"/>
              <w:left w:val="nil"/>
              <w:bottom w:val="single" w:color="auto" w:sz="4" w:space="0"/>
              <w:right w:val="single" w:color="auto" w:sz="4" w:space="0"/>
            </w:tcBorders>
            <w:vAlign w:val="center"/>
          </w:tcPr>
          <w:p>
            <w:pPr>
              <w:pStyle w:val="966"/>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329"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highlight w:val="none"/>
              </w:rPr>
              <w:t>9</w:t>
            </w:r>
          </w:p>
        </w:tc>
        <w:tc>
          <w:tcPr>
            <w:tcW w:w="1267" w:type="dxa"/>
            <w:vMerge w:val="continue"/>
            <w:tcBorders>
              <w:left w:val="single" w:color="auto" w:sz="4" w:space="0"/>
              <w:right w:val="single" w:color="auto" w:sz="4" w:space="0"/>
            </w:tcBorders>
            <w:vAlign w:val="center"/>
          </w:tcPr>
          <w:p>
            <w:pPr>
              <w:pStyle w:val="966"/>
              <w:rPr>
                <w:rFonts w:hint="eastAsia" w:ascii="宋体" w:hAnsi="宋体" w:eastAsia="宋体" w:cs="宋体"/>
                <w:color w:val="auto"/>
                <w:highlight w:val="none"/>
              </w:rPr>
            </w:pPr>
          </w:p>
        </w:tc>
        <w:tc>
          <w:tcPr>
            <w:tcW w:w="2037" w:type="dxa"/>
            <w:tcBorders>
              <w:top w:val="single" w:color="auto" w:sz="4" w:space="0"/>
              <w:left w:val="nil"/>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szCs w:val="22"/>
                <w:highlight w:val="none"/>
                <w:lang w:bidi="ar"/>
              </w:rPr>
              <w:t>资金建账到户</w:t>
            </w:r>
          </w:p>
        </w:tc>
        <w:tc>
          <w:tcPr>
            <w:tcW w:w="12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lang w:bidi="ar"/>
              </w:rPr>
            </w:pPr>
            <w:r>
              <w:rPr>
                <w:rFonts w:hint="eastAsia" w:ascii="宋体" w:hAnsi="宋体" w:eastAsia="宋体" w:cs="宋体"/>
                <w:i w:val="0"/>
                <w:iCs w:val="0"/>
                <w:color w:val="auto"/>
                <w:kern w:val="0"/>
                <w:sz w:val="21"/>
                <w:szCs w:val="21"/>
                <w:highlight w:val="none"/>
                <w:u w:val="none"/>
                <w:lang w:val="en-US" w:eastAsia="zh-CN" w:bidi="ar"/>
              </w:rPr>
              <w:t>170000</w:t>
            </w:r>
          </w:p>
        </w:tc>
        <w:tc>
          <w:tcPr>
            <w:tcW w:w="1070" w:type="dxa"/>
            <w:tcBorders>
              <w:top w:val="single" w:color="auto" w:sz="4" w:space="0"/>
              <w:left w:val="nil"/>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szCs w:val="22"/>
                <w:highlight w:val="none"/>
                <w:lang w:bidi="ar"/>
              </w:rPr>
              <w:t>条</w:t>
            </w:r>
          </w:p>
        </w:tc>
        <w:tc>
          <w:tcPr>
            <w:tcW w:w="1903" w:type="dxa"/>
            <w:tcBorders>
              <w:top w:val="single" w:color="auto" w:sz="4" w:space="0"/>
              <w:left w:val="nil"/>
              <w:bottom w:val="single" w:color="auto" w:sz="4" w:space="0"/>
              <w:right w:val="single" w:color="auto" w:sz="4" w:space="0"/>
            </w:tcBorders>
            <w:vAlign w:val="center"/>
          </w:tcPr>
          <w:p>
            <w:pPr>
              <w:pStyle w:val="966"/>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845"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highlight w:val="none"/>
              </w:rPr>
              <w:t>10</w:t>
            </w:r>
          </w:p>
        </w:tc>
        <w:tc>
          <w:tcPr>
            <w:tcW w:w="1267" w:type="dxa"/>
            <w:vMerge w:val="continue"/>
            <w:tcBorders>
              <w:left w:val="single" w:color="auto" w:sz="4" w:space="0"/>
              <w:bottom w:val="single" w:color="auto" w:sz="4" w:space="0"/>
              <w:right w:val="single" w:color="auto" w:sz="4" w:space="0"/>
            </w:tcBorders>
            <w:vAlign w:val="center"/>
          </w:tcPr>
          <w:p>
            <w:pPr>
              <w:pStyle w:val="966"/>
              <w:rPr>
                <w:rFonts w:hint="eastAsia" w:ascii="宋体" w:hAnsi="宋体" w:eastAsia="宋体" w:cs="宋体"/>
                <w:color w:val="auto"/>
                <w:highlight w:val="none"/>
              </w:rPr>
            </w:pPr>
          </w:p>
        </w:tc>
        <w:tc>
          <w:tcPr>
            <w:tcW w:w="2037" w:type="dxa"/>
            <w:tcBorders>
              <w:top w:val="single" w:color="auto" w:sz="4" w:space="0"/>
              <w:left w:val="nil"/>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szCs w:val="22"/>
                <w:highlight w:val="none"/>
                <w:lang w:bidi="ar"/>
              </w:rPr>
              <w:t>缴交数据结息</w:t>
            </w:r>
          </w:p>
        </w:tc>
        <w:tc>
          <w:tcPr>
            <w:tcW w:w="12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lang w:bidi="ar"/>
              </w:rPr>
            </w:pPr>
            <w:r>
              <w:rPr>
                <w:rFonts w:hint="eastAsia" w:ascii="宋体" w:hAnsi="宋体" w:eastAsia="宋体" w:cs="宋体"/>
                <w:i w:val="0"/>
                <w:iCs w:val="0"/>
                <w:color w:val="auto"/>
                <w:kern w:val="0"/>
                <w:sz w:val="21"/>
                <w:szCs w:val="21"/>
                <w:highlight w:val="none"/>
                <w:u w:val="none"/>
                <w:lang w:val="en-US" w:eastAsia="zh-CN" w:bidi="ar"/>
              </w:rPr>
              <w:t>170000</w:t>
            </w:r>
          </w:p>
        </w:tc>
        <w:tc>
          <w:tcPr>
            <w:tcW w:w="1070" w:type="dxa"/>
            <w:tcBorders>
              <w:top w:val="single" w:color="auto" w:sz="4" w:space="0"/>
              <w:left w:val="nil"/>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szCs w:val="22"/>
                <w:highlight w:val="none"/>
                <w:lang w:bidi="ar"/>
              </w:rPr>
              <w:t>条</w:t>
            </w:r>
          </w:p>
        </w:tc>
        <w:tc>
          <w:tcPr>
            <w:tcW w:w="1903" w:type="dxa"/>
            <w:tcBorders>
              <w:top w:val="single" w:color="auto" w:sz="4" w:space="0"/>
              <w:left w:val="nil"/>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highlight w:val="none"/>
              </w:rPr>
              <w:t>所有缴交数据分摊到户，根据缴交年度进行每年结息</w:t>
            </w:r>
          </w:p>
        </w:tc>
      </w:tr>
      <w:tr>
        <w:tblPrEx>
          <w:tblCellMar>
            <w:top w:w="0" w:type="dxa"/>
            <w:left w:w="108" w:type="dxa"/>
            <w:bottom w:w="0" w:type="dxa"/>
            <w:right w:w="108" w:type="dxa"/>
          </w:tblCellMar>
        </w:tblPrEx>
        <w:trPr>
          <w:trHeight w:val="845"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highlight w:val="none"/>
              </w:rPr>
              <w:t>11</w:t>
            </w:r>
          </w:p>
        </w:tc>
        <w:tc>
          <w:tcPr>
            <w:tcW w:w="1267" w:type="dxa"/>
            <w:vMerge w:val="continue"/>
            <w:tcBorders>
              <w:top w:val="single" w:color="auto" w:sz="4" w:space="0"/>
              <w:left w:val="single" w:color="auto" w:sz="4" w:space="0"/>
              <w:right w:val="single" w:color="auto" w:sz="4" w:space="0"/>
            </w:tcBorders>
            <w:vAlign w:val="center"/>
          </w:tcPr>
          <w:p>
            <w:pPr>
              <w:pStyle w:val="966"/>
              <w:rPr>
                <w:rFonts w:hint="eastAsia" w:ascii="宋体" w:hAnsi="宋体" w:eastAsia="宋体" w:cs="宋体"/>
                <w:color w:val="auto"/>
                <w:highlight w:val="none"/>
              </w:rPr>
            </w:pPr>
          </w:p>
        </w:tc>
        <w:tc>
          <w:tcPr>
            <w:tcW w:w="2037" w:type="dxa"/>
            <w:tcBorders>
              <w:top w:val="single" w:color="auto" w:sz="4" w:space="0"/>
              <w:left w:val="nil"/>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szCs w:val="22"/>
                <w:highlight w:val="none"/>
                <w:lang w:bidi="ar"/>
              </w:rPr>
              <w:t>物业小区整理</w:t>
            </w:r>
          </w:p>
        </w:tc>
        <w:tc>
          <w:tcPr>
            <w:tcW w:w="12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lang w:bidi="ar"/>
              </w:rPr>
            </w:pPr>
            <w:r>
              <w:rPr>
                <w:rFonts w:hint="eastAsia" w:ascii="宋体" w:hAnsi="宋体" w:eastAsia="宋体" w:cs="宋体"/>
                <w:b w:val="0"/>
                <w:bCs w:val="0"/>
                <w:i w:val="0"/>
                <w:iCs w:val="0"/>
                <w:color w:val="auto"/>
                <w:kern w:val="0"/>
                <w:sz w:val="21"/>
                <w:szCs w:val="21"/>
                <w:highlight w:val="none"/>
                <w:u w:val="none"/>
                <w:lang w:val="en-US" w:eastAsia="zh-CN" w:bidi="ar"/>
              </w:rPr>
              <w:t xml:space="preserve">246 </w:t>
            </w:r>
          </w:p>
        </w:tc>
        <w:tc>
          <w:tcPr>
            <w:tcW w:w="1070" w:type="dxa"/>
            <w:tcBorders>
              <w:top w:val="single" w:color="auto" w:sz="4" w:space="0"/>
              <w:left w:val="nil"/>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szCs w:val="22"/>
                <w:highlight w:val="none"/>
                <w:lang w:bidi="ar"/>
              </w:rPr>
              <w:t>个</w:t>
            </w:r>
          </w:p>
        </w:tc>
        <w:tc>
          <w:tcPr>
            <w:tcW w:w="1903" w:type="dxa"/>
            <w:tcBorders>
              <w:top w:val="single" w:color="auto" w:sz="4" w:space="0"/>
              <w:left w:val="nil"/>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highlight w:val="none"/>
              </w:rPr>
              <w:t>所有项目、幢、单元、房屋进行归小区整理</w:t>
            </w:r>
          </w:p>
        </w:tc>
      </w:tr>
      <w:tr>
        <w:tblPrEx>
          <w:tblCellMar>
            <w:top w:w="0" w:type="dxa"/>
            <w:left w:w="108" w:type="dxa"/>
            <w:bottom w:w="0" w:type="dxa"/>
            <w:right w:w="108" w:type="dxa"/>
          </w:tblCellMar>
        </w:tblPrEx>
        <w:trPr>
          <w:trHeight w:val="855"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highlight w:val="none"/>
              </w:rPr>
              <w:t>12</w:t>
            </w:r>
          </w:p>
        </w:tc>
        <w:tc>
          <w:tcPr>
            <w:tcW w:w="1267" w:type="dxa"/>
            <w:vMerge w:val="continue"/>
            <w:tcBorders>
              <w:left w:val="single" w:color="auto" w:sz="4" w:space="0"/>
              <w:bottom w:val="single" w:color="auto" w:sz="4" w:space="0"/>
              <w:right w:val="single" w:color="auto" w:sz="4" w:space="0"/>
            </w:tcBorders>
            <w:vAlign w:val="center"/>
          </w:tcPr>
          <w:p>
            <w:pPr>
              <w:pStyle w:val="966"/>
              <w:rPr>
                <w:rFonts w:hint="eastAsia" w:ascii="宋体" w:hAnsi="宋体" w:eastAsia="宋体" w:cs="宋体"/>
                <w:color w:val="auto"/>
                <w:highlight w:val="none"/>
              </w:rPr>
            </w:pPr>
          </w:p>
        </w:tc>
        <w:tc>
          <w:tcPr>
            <w:tcW w:w="2037" w:type="dxa"/>
            <w:tcBorders>
              <w:top w:val="single" w:color="auto" w:sz="4" w:space="0"/>
              <w:left w:val="nil"/>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szCs w:val="22"/>
                <w:highlight w:val="none"/>
                <w:lang w:bidi="ar"/>
              </w:rPr>
              <w:t>数据成果入库</w:t>
            </w:r>
          </w:p>
        </w:tc>
        <w:tc>
          <w:tcPr>
            <w:tcW w:w="12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lang w:bidi="ar"/>
              </w:rPr>
            </w:pPr>
            <w:r>
              <w:rPr>
                <w:rFonts w:hint="eastAsia" w:ascii="宋体" w:hAnsi="宋体" w:eastAsia="宋体" w:cs="宋体"/>
                <w:b w:val="0"/>
                <w:bCs w:val="0"/>
                <w:i w:val="0"/>
                <w:iCs w:val="0"/>
                <w:color w:val="auto"/>
                <w:kern w:val="0"/>
                <w:sz w:val="21"/>
                <w:szCs w:val="21"/>
                <w:highlight w:val="none"/>
                <w:u w:val="none"/>
                <w:lang w:val="en-US" w:eastAsia="zh-CN" w:bidi="ar"/>
              </w:rPr>
              <w:t xml:space="preserve">1 </w:t>
            </w:r>
          </w:p>
        </w:tc>
        <w:tc>
          <w:tcPr>
            <w:tcW w:w="1070" w:type="dxa"/>
            <w:tcBorders>
              <w:top w:val="single" w:color="auto" w:sz="4" w:space="0"/>
              <w:left w:val="nil"/>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szCs w:val="22"/>
                <w:highlight w:val="none"/>
                <w:lang w:bidi="ar"/>
              </w:rPr>
              <w:t>项</w:t>
            </w:r>
          </w:p>
        </w:tc>
        <w:tc>
          <w:tcPr>
            <w:tcW w:w="1903" w:type="dxa"/>
            <w:tcBorders>
              <w:top w:val="single" w:color="auto" w:sz="4" w:space="0"/>
              <w:left w:val="nil"/>
              <w:bottom w:val="single" w:color="auto" w:sz="4" w:space="0"/>
              <w:right w:val="single" w:color="auto" w:sz="4" w:space="0"/>
            </w:tcBorders>
            <w:vAlign w:val="center"/>
          </w:tcPr>
          <w:p>
            <w:pPr>
              <w:pStyle w:val="966"/>
              <w:rPr>
                <w:rFonts w:hint="eastAsia" w:ascii="宋体" w:hAnsi="宋体" w:eastAsia="宋体" w:cs="宋体"/>
                <w:color w:val="auto"/>
                <w:highlight w:val="none"/>
              </w:rPr>
            </w:pPr>
            <w:r>
              <w:rPr>
                <w:rFonts w:hint="eastAsia" w:ascii="宋体" w:hAnsi="宋体" w:eastAsia="宋体" w:cs="宋体"/>
                <w:color w:val="auto"/>
                <w:highlight w:val="none"/>
              </w:rPr>
              <w:t>包含数据迁移，整理成果入库导入正式库工作</w:t>
            </w:r>
          </w:p>
        </w:tc>
      </w:tr>
    </w:tbl>
    <w:p>
      <w:pPr>
        <w:spacing w:line="360" w:lineRule="auto"/>
        <w:ind w:firstLine="723" w:firstLineChars="300"/>
        <w:jc w:val="left"/>
        <w:rPr>
          <w:rFonts w:hint="default" w:ascii="宋体" w:hAnsi="宋体" w:eastAsia="宋体" w:cs="宋体"/>
          <w:b/>
          <w:bCs/>
          <w:color w:val="auto"/>
          <w:sz w:val="24"/>
          <w:highlight w:val="none"/>
          <w:lang w:val="en-US" w:eastAsia="zh-CN"/>
        </w:rPr>
      </w:pPr>
      <w:r>
        <w:rPr>
          <w:rFonts w:hint="eastAsia" w:ascii="宋体" w:hAnsi="宋体" w:cs="宋体"/>
          <w:b/>
          <w:bCs/>
          <w:color w:val="auto"/>
          <w:sz w:val="24"/>
          <w:highlight w:val="none"/>
          <w:lang w:val="en-US" w:eastAsia="zh-CN"/>
        </w:rPr>
        <w:t>注:以上数量为采购单位预估数量，以实际服务发生数为准。</w:t>
      </w:r>
    </w:p>
    <w:p>
      <w:pPr>
        <w:spacing w:line="360" w:lineRule="auto"/>
        <w:ind w:firstLine="241" w:firstLineChars="100"/>
        <w:jc w:val="left"/>
        <w:rPr>
          <w:rFonts w:hint="eastAsia" w:ascii="宋体" w:hAnsi="宋体" w:eastAsia="宋体" w:cs="宋体"/>
          <w:b/>
          <w:bCs/>
          <w:color w:val="auto"/>
          <w:sz w:val="24"/>
          <w:highlight w:val="none"/>
          <w:lang w:val="en-US"/>
        </w:rPr>
      </w:pPr>
      <w:r>
        <w:rPr>
          <w:rFonts w:hint="eastAsia" w:ascii="宋体" w:hAnsi="宋体" w:eastAsia="宋体" w:cs="宋体"/>
          <w:b/>
          <w:bCs/>
          <w:color w:val="auto"/>
          <w:sz w:val="24"/>
          <w:highlight w:val="none"/>
        </w:rPr>
        <w:t>&lt;</w:t>
      </w:r>
      <w:r>
        <w:rPr>
          <w:rFonts w:hint="eastAsia" w:ascii="宋体" w:hAnsi="宋体" w:eastAsia="宋体" w:cs="宋体"/>
          <w:b/>
          <w:bCs/>
          <w:color w:val="auto"/>
          <w:sz w:val="24"/>
          <w:highlight w:val="none"/>
          <w:lang w:val="en-US" w:eastAsia="zh-CN"/>
        </w:rPr>
        <w:t>五</w:t>
      </w:r>
      <w:r>
        <w:rPr>
          <w:rFonts w:hint="eastAsia" w:ascii="宋体" w:hAnsi="宋体" w:eastAsia="宋体" w:cs="宋体"/>
          <w:b/>
          <w:bCs/>
          <w:color w:val="auto"/>
          <w:sz w:val="24"/>
          <w:highlight w:val="none"/>
        </w:rPr>
        <w:t>&gt;</w:t>
      </w:r>
      <w:r>
        <w:rPr>
          <w:rFonts w:hint="eastAsia" w:ascii="宋体" w:hAnsi="宋体" w:eastAsia="宋体" w:cs="宋体"/>
          <w:b/>
          <w:bCs/>
          <w:color w:val="auto"/>
          <w:sz w:val="24"/>
          <w:highlight w:val="none"/>
          <w:lang w:val="en-US" w:eastAsia="zh-CN"/>
        </w:rPr>
        <w:t>项目建设内容</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期项目主要是围绕物业系统数据的整理工作开展的，主要涉及物业维修资金档案、物业保修金档案、物业维修资金使用档案和物业保修金使用、退还纸质档案的整理及扫描数字化建库，物业维修资金项目数据的录入，物业维修金数据的整理与扫描影像建立关联关系、业务数据与产权数据关联关系的核查和创建、维修资金数据建账到户、维修金缴交数据结息和小区数据整理，详细介绍如下：</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物业纸质档案整理及扫描数字化建库：根据《纸质档案数字化技术规范》和《照片档案管理规范》完成纸质资料的标准化及纸质档案的数字化工作。</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物业系统缺失业务数据的录入：依据业务档案扫描影像，根据业务数据系统要求制定业务数据录入规则完成维修金的录入工作。</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物业维修金缺失业务系统数据的整理：依据业务档案扫描影像，根据业务数据系统要求制定业务数据录入规则完成维修资金系统数据的整理工作。</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业务数据与扫描影像建立关联关系：依据业务档案扫描影像完成业务系统数据与业务档案扫描影像的关联工作。</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业务数据与产权测绘数据关联关系的核查和创建：根据业务扫描影像和产权登记及扫描影像数据完成物业业务数据与产权业务数据的关联工作。</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未分摊到户的物业维修资金的建账到户工作：通过扫描后的电子档案，结合业务系统数据完成未分摊到户对应物业维修资金的建账到户工作。</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历年缴交数据结息：对历史所有缴交项目缺失的结息数据，按户进行结息，按照每年结息一次，确保数据的完善。</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物业小区整理：小区数据、缴交项目数据、缴交楼幢及房屋数据一体化管理。</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数据迁移：区县市业务系统多样化，数据结构不统一，后期要按照市局物业业务系统表结构，对数据进行整理、迁移，保障数据的准确性。</w:t>
      </w:r>
    </w:p>
    <w:p>
      <w:pPr>
        <w:spacing w:line="360" w:lineRule="auto"/>
        <w:ind w:firstLine="241" w:firstLineChars="1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&lt;</w:t>
      </w:r>
      <w:r>
        <w:rPr>
          <w:rFonts w:hint="eastAsia" w:ascii="宋体" w:hAnsi="宋体" w:eastAsia="宋体" w:cs="宋体"/>
          <w:b/>
          <w:bCs/>
          <w:color w:val="auto"/>
          <w:sz w:val="24"/>
          <w:highlight w:val="none"/>
          <w:lang w:val="en-US" w:eastAsia="zh-CN"/>
        </w:rPr>
        <w:t>六</w:t>
      </w:r>
      <w:r>
        <w:rPr>
          <w:rFonts w:hint="eastAsia" w:ascii="宋体" w:hAnsi="宋体" w:eastAsia="宋体" w:cs="宋体"/>
          <w:b/>
          <w:bCs/>
          <w:color w:val="auto"/>
          <w:sz w:val="24"/>
          <w:highlight w:val="none"/>
        </w:rPr>
        <w:t>&gt;</w:t>
      </w:r>
      <w:r>
        <w:rPr>
          <w:rFonts w:hint="eastAsia" w:ascii="宋体" w:hAnsi="宋体" w:eastAsia="宋体" w:cs="宋体"/>
          <w:b/>
          <w:bCs/>
          <w:color w:val="auto"/>
          <w:sz w:val="24"/>
          <w:highlight w:val="none"/>
          <w:lang w:val="en-US" w:eastAsia="zh-CN"/>
        </w:rPr>
        <w:t>技术服务</w:t>
      </w:r>
      <w:r>
        <w:rPr>
          <w:rFonts w:hint="eastAsia" w:ascii="宋体" w:hAnsi="宋体" w:eastAsia="宋体" w:cs="宋体"/>
          <w:b/>
          <w:bCs/>
          <w:color w:val="auto"/>
          <w:sz w:val="24"/>
          <w:highlight w:val="none"/>
        </w:rPr>
        <w:t>要求</w:t>
      </w:r>
    </w:p>
    <w:p>
      <w:pPr>
        <w:spacing w:line="360" w:lineRule="auto"/>
        <w:ind w:firstLine="48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一、</w:t>
      </w:r>
      <w:r>
        <w:rPr>
          <w:rFonts w:hint="eastAsia" w:ascii="宋体" w:hAnsi="宋体" w:eastAsia="宋体" w:cs="宋体"/>
          <w:b/>
          <w:bCs/>
          <w:color w:val="auto"/>
          <w:sz w:val="24"/>
          <w:highlight w:val="none"/>
        </w:rPr>
        <w:t>质量</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lang w:val="en-US" w:eastAsia="zh-CN"/>
        </w:rPr>
        <w:t>成果</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要求</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提交成果必须符合国家相关标准</w:t>
      </w:r>
      <w:r>
        <w:rPr>
          <w:rFonts w:hint="eastAsia" w:ascii="宋体" w:hAnsi="宋体" w:eastAsia="宋体" w:cs="宋体"/>
          <w:color w:val="auto"/>
          <w:sz w:val="24"/>
          <w:highlight w:val="none"/>
          <w:lang w:val="en-US" w:eastAsia="zh-CN"/>
        </w:rPr>
        <w:t>和规范以及</w:t>
      </w:r>
      <w:r>
        <w:rPr>
          <w:rFonts w:hint="eastAsia" w:ascii="宋体" w:hAnsi="宋体" w:eastAsia="宋体" w:cs="宋体"/>
          <w:color w:val="auto"/>
          <w:sz w:val="24"/>
          <w:highlight w:val="none"/>
        </w:rPr>
        <w:t>招标文件规定</w:t>
      </w:r>
      <w:r>
        <w:rPr>
          <w:rFonts w:hint="eastAsia" w:ascii="宋体" w:hAnsi="宋体" w:eastAsia="宋体" w:cs="宋体"/>
          <w:color w:val="auto"/>
          <w:sz w:val="24"/>
          <w:highlight w:val="none"/>
          <w:lang w:val="en-US" w:eastAsia="zh-CN"/>
        </w:rPr>
        <w:t>的标准和规范要求</w:t>
      </w:r>
      <w:r>
        <w:rPr>
          <w:rFonts w:hint="eastAsia" w:ascii="宋体" w:hAnsi="宋体" w:eastAsia="宋体" w:cs="宋体"/>
          <w:color w:val="auto"/>
          <w:sz w:val="24"/>
          <w:highlight w:val="none"/>
        </w:rPr>
        <w:t>。供应商应提供给采购人的成果</w:t>
      </w:r>
      <w:r>
        <w:rPr>
          <w:rFonts w:hint="eastAsia" w:ascii="宋体" w:hAnsi="宋体" w:eastAsia="宋体" w:cs="宋体"/>
          <w:color w:val="auto"/>
          <w:sz w:val="24"/>
          <w:highlight w:val="none"/>
          <w:lang w:val="en-US" w:eastAsia="zh-CN"/>
        </w:rPr>
        <w:t>应满足如下要求</w:t>
      </w:r>
      <w:r>
        <w:rPr>
          <w:rFonts w:hint="eastAsia" w:ascii="宋体" w:hAnsi="宋体" w:eastAsia="宋体" w:cs="宋体"/>
          <w:color w:val="auto"/>
          <w:sz w:val="24"/>
          <w:highlight w:val="none"/>
        </w:rPr>
        <w:t>：</w:t>
      </w:r>
    </w:p>
    <w:p>
      <w:pPr>
        <w:spacing w:line="360" w:lineRule="auto"/>
        <w:ind w:firstLine="48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1.档案数字化成果：提供档案数字化成果移交清单，提供档案数字化成果电子影像文件（光盘文件），并且签字确认。</w:t>
      </w:r>
    </w:p>
    <w:p>
      <w:pPr>
        <w:spacing w:line="360" w:lineRule="auto"/>
        <w:ind w:firstLine="48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2.数据整理成果：提供数据整理成果清单，并且签字确认。</w:t>
      </w:r>
    </w:p>
    <w:p>
      <w:pPr>
        <w:spacing w:line="360" w:lineRule="auto"/>
        <w:ind w:firstLine="48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3.所有档案数字化及物业数据整理成果，需要在“建德市住房保障和房产管理系统”里面展示。</w:t>
      </w:r>
    </w:p>
    <w:p>
      <w:pPr>
        <w:spacing w:line="360" w:lineRule="auto"/>
        <w:ind w:firstLine="480"/>
        <w:jc w:val="left"/>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lang w:val="en-US" w:eastAsia="zh-CN"/>
        </w:rPr>
        <w:t>.验收标准：经验收小组认可，出具《验收报告》视为验收通过。</w:t>
      </w:r>
    </w:p>
    <w:p>
      <w:pPr>
        <w:spacing w:line="360" w:lineRule="auto"/>
        <w:ind w:firstLine="48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二</w:t>
      </w:r>
      <w:r>
        <w:rPr>
          <w:rFonts w:hint="eastAsia" w:ascii="宋体" w:hAnsi="宋体" w:eastAsia="宋体" w:cs="宋体"/>
          <w:b/>
          <w:bCs/>
          <w:color w:val="auto"/>
          <w:sz w:val="24"/>
          <w:highlight w:val="none"/>
        </w:rPr>
        <w:t>、</w:t>
      </w:r>
      <w:r>
        <w:rPr>
          <w:rFonts w:hint="eastAsia" w:ascii="宋体" w:hAnsi="宋体" w:eastAsia="宋体" w:cs="宋体"/>
          <w:b/>
          <w:bCs/>
          <w:color w:val="auto"/>
          <w:sz w:val="24"/>
          <w:highlight w:val="none"/>
          <w:lang w:val="en-US" w:eastAsia="zh-CN"/>
        </w:rPr>
        <w:t>技术</w:t>
      </w:r>
      <w:r>
        <w:rPr>
          <w:rFonts w:hint="eastAsia" w:ascii="宋体" w:hAnsi="宋体" w:eastAsia="宋体" w:cs="宋体"/>
          <w:b/>
          <w:bCs/>
          <w:color w:val="auto"/>
          <w:sz w:val="24"/>
          <w:highlight w:val="none"/>
        </w:rPr>
        <w:t>服务要求</w:t>
      </w:r>
    </w:p>
    <w:p>
      <w:pPr>
        <w:spacing w:line="360" w:lineRule="auto"/>
        <w:ind w:firstLine="480"/>
        <w:jc w:val="left"/>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lang w:val="en-US" w:eastAsia="zh-CN"/>
        </w:rPr>
        <w:t>1.</w:t>
      </w:r>
      <w:r>
        <w:rPr>
          <w:rFonts w:hint="eastAsia" w:ascii="宋体" w:hAnsi="宋体" w:eastAsia="宋体" w:cs="宋体"/>
          <w:b/>
          <w:bCs/>
          <w:color w:val="auto"/>
          <w:sz w:val="24"/>
          <w:highlight w:val="none"/>
        </w:rPr>
        <w:t>档案整理要求</w:t>
      </w:r>
      <w:r>
        <w:rPr>
          <w:rFonts w:hint="eastAsia" w:ascii="宋体" w:hAnsi="宋体" w:eastAsia="宋体" w:cs="宋体"/>
          <w:b/>
          <w:bCs/>
          <w:color w:val="auto"/>
          <w:sz w:val="24"/>
          <w:highlight w:val="none"/>
          <w:lang w:eastAsia="zh-CN"/>
        </w:rPr>
        <w:t>：</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（1）按物业业务组卷，一般原则“一个业务一卷”。</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破损的文件修复后才能组卷，幅面不一致的文件必须折成或裱成一致的幅面。小于16开的文件用A4标准的白纸托裱，文件右边和下边分别与托裱纸右边和下边靠齐。托裱时，不可将文字图表和数据掩盖，签署意见在装订线以内的要粘贴补宽订装部分。</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（3）去除金属物，剔除重复资料。</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（4）每卷都必须有各自的封面、目录、封底和条形码（目录及备考表须采用A4打印纸打印）。</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（5）每卷内容排列顺序为：封面——卷内目录——文件材料——封底——条形码。</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（6）一律用线装订，采用三孔一线方法，装订孔在案卷左侧。</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（7）装订好的档案最后统一通过标准盒子按照数量不等的方式存放在一起。</w:t>
      </w:r>
    </w:p>
    <w:p>
      <w:pPr>
        <w:spacing w:line="360" w:lineRule="auto"/>
        <w:ind w:firstLine="48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2.档案数字化要求</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（1）扫描色彩模式</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图像文件采用黑白扫描。</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（2）扫描分辨率</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扫描分辨率要求200dpi，影像保存格式为tif格式。特殊情况下，如文字偏小、密集、清晰度较差等，可适当提高分辨率。</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（3）特殊档案扫描</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纸张质地状况较差的档案，如较薄纸张（如信纸、便笺纸）、破损修复后纸张、底灰较深（如草浆纸、油印纸）、字迹较浅（如铅笔字迹）等的扫描，采用平板扫描仪逐张进行扫描，扫描时必须轻拿轻放，确保不损伤档案原件。</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（4）建立电子卷内目录。</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（5）打印调档清单、档案封面、卷内目录、条形码等文件。</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（6）图象文件采用TIFF的CCITTGroup4（简称G4）格式或者甲方书面认可的其他高于G4的工业标准格式。</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（7）图象纠偏</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图象纠偏包括纸张纠偏和内容纠偏两部分内容，采用全自动纠偏；对于页面模糊，不易全自动纠偏的，可采用半自动纠偏，该操作需在同一界面内完成。未纠偏比率小于1‰。</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（8）权限设置：电子影像文件的权限设置到页。</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（9）将扫描形成的电子影像文件与住保电子属性数据建立关联，关联的匹配率大于99%。</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（10）所有宽度不超过A3的档案资料必须整页扫描；宽度超过A3的档案资料可以分页扫描，但最后的电子影像文件必须整合成一页。</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扫描文件要求：确保文件上的字迹满足屏幕阅读和打印件阅读。图像页面中的黑框、黑边等影响图像质量的杂质，进行去污处理。图像进行裁边处理，去除多余白边，以有效缩小图像文件的大小。单页图像文件大小控制在40K以下。</w:t>
      </w:r>
    </w:p>
    <w:p>
      <w:pPr>
        <w:spacing w:line="360" w:lineRule="auto"/>
        <w:ind w:firstLine="48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3.档案整理和扫描数字化内容</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次建设内容是物业维修金缴交、维修金使用、保修金缴交、保修金使用档案的整理工作，涉及调档交接、档案前期处理、档案立卷、档案编目、后期整理装订、档案归还和质量自检等建设内容，详细介绍如下所示：</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（1）调档交接。</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（2）档案前期处理。</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（3）档案立卷。</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（4）档案编目。</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（5）后期整理装订。</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（6）档案归还。</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（7）质量自检。</w:t>
      </w:r>
    </w:p>
    <w:p>
      <w:pPr>
        <w:spacing w:line="360" w:lineRule="auto"/>
        <w:ind w:firstLine="48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4.</w:t>
      </w:r>
      <w:r>
        <w:rPr>
          <w:rFonts w:hint="eastAsia" w:ascii="宋体" w:hAnsi="宋体" w:eastAsia="宋体" w:cs="宋体"/>
          <w:b/>
          <w:bCs/>
          <w:color w:val="auto"/>
          <w:sz w:val="24"/>
          <w:highlight w:val="none"/>
        </w:rPr>
        <w:t>项目具体要求</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中标人中标后应提供一个不少于200平方米的作业场地（要求消防、监控等达到行业规定要求），并且工作场地达到档案存储和加工的环境要求，同时办公场地必需通过采购人的认可。档案必须封闭运输至作业场地，同时应有专业的保安人员负责押送。若上述要求达不到采购人规定的要求，采购人有权不提供原始档案，并责令中标人按要求整改，直至上述要求满足采购人规定为止。由此而产生的费用或可能导致的违约风险，由中标人承担。</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必须采取三库分离的方式进行数据建库工作，建库工作在中间库中开展，通过验收的成果导入成果库，通过用户单位验收的成果同步至正式库。</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要求项目建设成果直接与业务系统进行对接，且业务信息系统可以直接调用项目建设成果。</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中标人工作人员在工作范围内必须佩带临时出入证，严禁在工作场地内吸烟、进食、大声喧哗，不能与英特网连接。</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中标人对项目成果提供自项目验收之日起一年质保期。</w:t>
      </w:r>
    </w:p>
    <w:p>
      <w:pPr>
        <w:spacing w:line="360" w:lineRule="auto"/>
        <w:ind w:firstLine="480"/>
        <w:jc w:val="left"/>
        <w:rPr>
          <w:rFonts w:hint="eastAsia" w:ascii="宋体" w:hAnsi="宋体" w:eastAsia="宋体" w:cs="宋体"/>
          <w:color w:val="auto"/>
          <w:sz w:val="24"/>
          <w:highlight w:val="none"/>
          <w:lang w:val="en-US" w:eastAsia="zh-CN"/>
        </w:rPr>
      </w:pPr>
      <w:r>
        <w:rPr>
          <w:rFonts w:hint="eastAsia" w:ascii="宋体" w:hAnsi="宋体" w:eastAsia="宋体" w:cs="宋体"/>
          <w:b/>
          <w:bCs/>
          <w:color w:val="auto"/>
          <w:sz w:val="24"/>
          <w:highlight w:val="none"/>
          <w:lang w:val="en-US" w:eastAsia="zh-CN"/>
        </w:rPr>
        <w:t>5.资料保密要求</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中标人对采购人的实物档案和业务系统数据有保密的义务，严禁复制，不得丢失、损坏和泄密，不得将采购人的业务情况、合作情况向任何第三方泄漏，并签订相应保密协议。</w:t>
      </w:r>
    </w:p>
    <w:p>
      <w:pPr>
        <w:spacing w:line="360" w:lineRule="auto"/>
        <w:ind w:firstLine="480"/>
        <w:jc w:val="left"/>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6.数据建库要求</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（1）要求采用基于工作流的方式管理整个数据建库环节，数据建库工具的设计要求满足业务系统应用要求，需具备初审、审核和抽查等功能。</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（2）对档案属性数据进行双机录入，做到在录入数据的同时做好校对工作。</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（3）要求整理过的业务数据关键字段申请人和证件号码准确率达到99%以上，其他字段正确率达到95%以上。</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（4）资料记录与房产数据关系清晰的数据需建立于房产数据的一一对应关系。</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（5）资料记录与房产数据关系清晰的物业维修资金数据需建立于房产数据的一一对应关系。</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（6）整理过程中不能影响业务系统正常运行。</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（7）数据转换安全，尽可能减少转换损耗。</w:t>
      </w:r>
    </w:p>
    <w:p>
      <w:pPr>
        <w:spacing w:line="360" w:lineRule="auto"/>
        <w:ind w:firstLine="48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7</w:t>
      </w:r>
      <w:r>
        <w:rPr>
          <w:rFonts w:hint="eastAsia" w:ascii="宋体" w:hAnsi="宋体" w:eastAsia="宋体" w:cs="宋体"/>
          <w:b/>
          <w:bCs/>
          <w:color w:val="auto"/>
          <w:sz w:val="24"/>
          <w:highlight w:val="none"/>
          <w:lang w:val="en-US" w:eastAsia="zh-CN"/>
        </w:rPr>
        <w:t>.</w:t>
      </w:r>
      <w:r>
        <w:rPr>
          <w:rFonts w:hint="eastAsia" w:ascii="宋体" w:hAnsi="宋体" w:eastAsia="宋体" w:cs="宋体"/>
          <w:b/>
          <w:bCs/>
          <w:color w:val="auto"/>
          <w:sz w:val="24"/>
          <w:highlight w:val="none"/>
        </w:rPr>
        <w:t>疑难问题处理规则</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疑难问题处理要求：因业务资料缺失，或业务资料信息与权属记载信息严重不一致等，导致不能进行数据整理（建帐到户）的，列出疑难问题数据清单，待甲方提供足够材料支撑时，再及时解决疑难问题数据。</w:t>
      </w:r>
      <w:bookmarkStart w:id="519" w:name="_GoBack"/>
      <w:bookmarkEnd w:id="519"/>
    </w:p>
    <w:p>
      <w:pPr>
        <w:spacing w:line="360" w:lineRule="auto"/>
        <w:ind w:firstLine="480"/>
        <w:jc w:val="left"/>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8.服务要求</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供应商在履行合同义务期间，应遵守国家有关法律、法规、维护采购人的合法权益。</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供应商应组建能够满足本项目服务需要的项目组，按照工作范围和内容完成服务工作。</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供应商应自行承担项目实施过程中的安全责任，采购人在任何情况下不承担任何责任。</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供应商免费提供涉及本项目工作的相关后续服务工作。</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服务响应：要求提供实时支持响应服务。未经采购人许可，本项目投入人员不得擅自更换。供应商应承诺在2小时内响应并提出解决方案，8小时之内到现场对存在问题进行处理，并及时提交修改意见。</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成果版权及使用：本次成果所有权和使用权均属于采购人所有。未经采购人书面同意，任何单位和个人不得转让和使用本项目的成果。</w:t>
      </w:r>
    </w:p>
    <w:p>
      <w:pPr>
        <w:spacing w:line="360" w:lineRule="auto"/>
        <w:ind w:firstLine="480"/>
        <w:jc w:val="left"/>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为此，供应商应对以上内容提供相应承诺书。</w:t>
      </w:r>
    </w:p>
    <w:p>
      <w:pPr>
        <w:spacing w:line="360" w:lineRule="auto"/>
        <w:ind w:firstLine="48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三</w:t>
      </w:r>
      <w:r>
        <w:rPr>
          <w:rFonts w:hint="eastAsia" w:ascii="宋体" w:hAnsi="宋体" w:eastAsia="宋体" w:cs="宋体"/>
          <w:b/>
          <w:bCs/>
          <w:color w:val="auto"/>
          <w:sz w:val="24"/>
          <w:highlight w:val="none"/>
        </w:rPr>
        <w:t>、时间进度要求</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2024年4月底之前，完成项目所有的工作内容，并编写项目验收文档，组织项目验收。</w:t>
      </w:r>
    </w:p>
    <w:p>
      <w:pPr>
        <w:spacing w:line="360" w:lineRule="auto"/>
        <w:ind w:firstLine="48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四</w:t>
      </w:r>
      <w:r>
        <w:rPr>
          <w:rFonts w:hint="eastAsia" w:ascii="宋体" w:hAnsi="宋体" w:eastAsia="宋体" w:cs="宋体"/>
          <w:b/>
          <w:bCs/>
          <w:color w:val="auto"/>
          <w:sz w:val="24"/>
          <w:highlight w:val="none"/>
        </w:rPr>
        <w:t>、项目团队要求</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供应商应组建能够满足服务需要的项目组，按照工作范围和内容完成工作，并按约定向采购人汇报工作进展。项目负责人（项目经理）为1人，应同时具备信息系统项目管理师证书和系统集成项目管理工程师证书。项目团队人员不得少于10人（不含项目负责人），需具备信息系统项目管理师、数据库系统工程师、GIS应用技术证书、省级档案信息安全保密培训证书、省级档案管理岗位证书、省级档案管理业务证书等相关职称证书或岗位证书至少一项。</w:t>
      </w:r>
    </w:p>
    <w:p>
      <w:pPr>
        <w:spacing w:line="360" w:lineRule="auto"/>
        <w:ind w:firstLine="241" w:firstLineChars="1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&lt;</w:t>
      </w:r>
      <w:r>
        <w:rPr>
          <w:rFonts w:hint="eastAsia" w:ascii="宋体" w:hAnsi="宋体" w:eastAsia="宋体" w:cs="宋体"/>
          <w:b/>
          <w:bCs/>
          <w:color w:val="auto"/>
          <w:sz w:val="24"/>
          <w:highlight w:val="none"/>
          <w:lang w:val="en-US" w:eastAsia="zh-CN"/>
        </w:rPr>
        <w:t>七</w:t>
      </w:r>
      <w:r>
        <w:rPr>
          <w:rFonts w:hint="eastAsia" w:ascii="宋体" w:hAnsi="宋体" w:eastAsia="宋体" w:cs="宋体"/>
          <w:b/>
          <w:bCs/>
          <w:color w:val="auto"/>
          <w:sz w:val="24"/>
          <w:highlight w:val="none"/>
        </w:rPr>
        <w:t>&gt;商务要求</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1.总体要求：</w:t>
      </w:r>
      <w:r>
        <w:rPr>
          <w:rFonts w:hint="eastAsia" w:ascii="宋体" w:hAnsi="宋体" w:eastAsia="宋体" w:cs="宋体"/>
          <w:color w:val="auto"/>
          <w:sz w:val="24"/>
          <w:highlight w:val="none"/>
        </w:rPr>
        <w:t>必须符合招标文件(包括补充更正，如有)的服务要求，符合国家相关服务标准和招标文件规定标准。</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2.付款方式：</w:t>
      </w:r>
      <w:r>
        <w:rPr>
          <w:rFonts w:hint="eastAsia" w:ascii="宋体" w:hAnsi="宋体" w:eastAsia="宋体" w:cs="宋体"/>
          <w:color w:val="auto"/>
          <w:sz w:val="24"/>
          <w:highlight w:val="none"/>
        </w:rPr>
        <w:t>按财务结算要求，通过银行划帐方式结算。</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3.服务期限</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（1）服务期限：2024年4月底之前，完成项目所有的工作内容，并编写项目验收文档，组织项目验收。</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（2）标准：符合我国国家有关技术规范要求和技术标准。</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（3）供应商免费提供涉及本项目工作的相关服务。</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（4）供应商应在投标文件中应提供实施计划。</w:t>
      </w:r>
    </w:p>
    <w:p>
      <w:pPr>
        <w:spacing w:line="360" w:lineRule="auto"/>
        <w:ind w:firstLine="48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4.项目款的结算</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采购单位根据合同、投标文件等资料进行验收。</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合同生效以及具备实施条件后</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个工作日内由采购人向供应商支付合同总价50%的预付款；</w:t>
      </w:r>
      <w:r>
        <w:rPr>
          <w:rFonts w:hint="eastAsia" w:ascii="宋体" w:hAnsi="宋体" w:cs="宋体"/>
          <w:color w:val="auto"/>
          <w:sz w:val="24"/>
          <w:highlight w:val="none"/>
          <w:lang w:val="en-US" w:eastAsia="zh-CN"/>
        </w:rPr>
        <w:t>项目初验通过后，</w:t>
      </w:r>
      <w:r>
        <w:rPr>
          <w:rFonts w:hint="eastAsia" w:ascii="宋体" w:hAnsi="宋体" w:eastAsia="宋体" w:cs="宋体"/>
          <w:color w:val="auto"/>
          <w:sz w:val="24"/>
          <w:highlight w:val="none"/>
        </w:rPr>
        <w:t>支付</w:t>
      </w:r>
      <w:r>
        <w:rPr>
          <w:rFonts w:hint="eastAsia" w:ascii="宋体" w:hAnsi="宋体" w:cs="宋体"/>
          <w:color w:val="auto"/>
          <w:sz w:val="24"/>
          <w:highlight w:val="none"/>
          <w:lang w:val="en-US" w:eastAsia="zh-CN"/>
        </w:rPr>
        <w:t>合同总价的40%；最终验收通过后，结清余款</w:t>
      </w:r>
      <w:r>
        <w:rPr>
          <w:rFonts w:hint="eastAsia" w:ascii="宋体" w:hAnsi="宋体" w:eastAsia="宋体" w:cs="宋体"/>
          <w:color w:val="auto"/>
          <w:sz w:val="24"/>
          <w:highlight w:val="none"/>
        </w:rPr>
        <w:t>。</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结算时供应商将结款申请1份、发票原件及复印件1份、合同复印件1份和经采购人验收确认的《建德市政府采购验收反馈表》（还需提供验收报告）提交采购人，采购人应自收到发票后5个工作日内支付相应款项。</w:t>
      </w:r>
    </w:p>
    <w:p>
      <w:pPr>
        <w:pStyle w:val="669"/>
        <w:ind w:firstLine="482"/>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rPr>
        <w:t>5</w:t>
      </w:r>
      <w:r>
        <w:rPr>
          <w:rFonts w:hint="eastAsia" w:ascii="宋体" w:hAnsi="宋体" w:eastAsia="宋体" w:cs="宋体"/>
          <w:b/>
          <w:bCs/>
          <w:color w:val="auto"/>
          <w:highlight w:val="none"/>
          <w:lang w:val="en-US" w:eastAsia="zh-CN"/>
        </w:rPr>
        <w:t>.</w:t>
      </w:r>
      <w:r>
        <w:rPr>
          <w:rFonts w:hint="eastAsia" w:ascii="宋体" w:hAnsi="宋体" w:eastAsia="宋体" w:cs="宋体"/>
          <w:b/>
          <w:bCs/>
          <w:color w:val="auto"/>
          <w:highlight w:val="none"/>
        </w:rPr>
        <w:t>履约保证金</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本项目收取履约保证金为合同金额1%。供应商在正式合同签订生效之日起7个工作日内，缴纳保证金至采购人指定账户（可采用银行、保险公司出具保函形式提交）。在验收合格后经回访正常后凭正式收款收据、履约保证金缴款凭证复印件办理结算手续</w:t>
      </w:r>
      <w:r>
        <w:rPr>
          <w:rFonts w:hint="eastAsia" w:ascii="宋体" w:hAnsi="宋体" w:eastAsia="宋体" w:cs="宋体"/>
          <w:color w:val="auto"/>
          <w:sz w:val="24"/>
          <w:highlight w:val="none"/>
        </w:rPr>
        <w:t>。</w:t>
      </w:r>
    </w:p>
    <w:p>
      <w:pPr>
        <w:spacing w:line="360" w:lineRule="auto"/>
        <w:ind w:firstLine="48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6</w:t>
      </w:r>
      <w:r>
        <w:rPr>
          <w:rFonts w:hint="eastAsia" w:ascii="宋体" w:hAnsi="宋体" w:eastAsia="宋体" w:cs="宋体"/>
          <w:b/>
          <w:bCs/>
          <w:color w:val="auto"/>
          <w:sz w:val="24"/>
          <w:highlight w:val="none"/>
          <w:lang w:val="en-US" w:eastAsia="zh-CN"/>
        </w:rPr>
        <w:t>.</w:t>
      </w:r>
      <w:r>
        <w:rPr>
          <w:rFonts w:hint="eastAsia" w:ascii="宋体" w:hAnsi="宋体" w:eastAsia="宋体" w:cs="宋体"/>
          <w:b/>
          <w:bCs/>
          <w:color w:val="auto"/>
          <w:sz w:val="24"/>
          <w:highlight w:val="none"/>
        </w:rPr>
        <w:t>验收：</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（1）采购人负责对中标人的履约行为进行验收，验收符合相关政策法规和地方标准。</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（2）检验和验收标准、程序等具体内容：通过采购</w:t>
      </w:r>
      <w:r>
        <w:rPr>
          <w:rFonts w:hint="eastAsia" w:ascii="宋体" w:hAnsi="宋体" w:eastAsia="宋体" w:cs="宋体"/>
          <w:color w:val="auto"/>
          <w:sz w:val="24"/>
          <w:highlight w:val="none"/>
          <w:lang w:val="en-US" w:eastAsia="zh-CN"/>
        </w:rPr>
        <w:t>人</w:t>
      </w:r>
      <w:r>
        <w:rPr>
          <w:rFonts w:hint="eastAsia" w:ascii="宋体" w:hAnsi="宋体" w:eastAsia="宋体" w:cs="宋体"/>
          <w:color w:val="auto"/>
          <w:sz w:val="24"/>
          <w:highlight w:val="none"/>
        </w:rPr>
        <w:t>组织的评审。</w:t>
      </w:r>
    </w:p>
    <w:p>
      <w:pPr>
        <w:adjustRightInd/>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（3）验收费用由供应商承担。</w:t>
      </w: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28" w:name="_Toc184310277"/>
      <w:bookmarkEnd w:id="28"/>
      <w:bookmarkStart w:id="29" w:name="_Toc184312125"/>
      <w:bookmarkEnd w:id="29"/>
      <w:bookmarkStart w:id="30" w:name="_Toc184314467"/>
      <w:bookmarkEnd w:id="30"/>
      <w:bookmarkStart w:id="31" w:name="_Toc184314447"/>
      <w:bookmarkEnd w:id="31"/>
      <w:bookmarkStart w:id="32" w:name="_Toc184308104"/>
      <w:bookmarkEnd w:id="32"/>
      <w:bookmarkStart w:id="33" w:name="_Toc184308076"/>
      <w:bookmarkEnd w:id="33"/>
      <w:bookmarkStart w:id="34" w:name="_Toc184314426"/>
      <w:bookmarkEnd w:id="34"/>
      <w:bookmarkStart w:id="35" w:name="_Toc184312123"/>
      <w:bookmarkEnd w:id="35"/>
      <w:bookmarkStart w:id="36" w:name="_Toc184313274"/>
      <w:bookmarkEnd w:id="36"/>
      <w:bookmarkStart w:id="37" w:name="_Toc184308099"/>
      <w:bookmarkEnd w:id="37"/>
      <w:bookmarkStart w:id="38" w:name="_Toc184313263"/>
      <w:bookmarkEnd w:id="38"/>
      <w:bookmarkStart w:id="39" w:name="_Toc184314446"/>
      <w:bookmarkEnd w:id="39"/>
      <w:bookmarkStart w:id="40" w:name="_Toc184313284"/>
      <w:bookmarkEnd w:id="40"/>
      <w:bookmarkStart w:id="41" w:name="_Toc184310308"/>
      <w:bookmarkEnd w:id="41"/>
      <w:bookmarkStart w:id="42" w:name="_Toc184308055"/>
      <w:bookmarkEnd w:id="42"/>
      <w:bookmarkStart w:id="43" w:name="_Toc184314427"/>
      <w:bookmarkEnd w:id="43"/>
      <w:bookmarkStart w:id="44" w:name="_Toc184308056"/>
      <w:bookmarkEnd w:id="44"/>
      <w:bookmarkStart w:id="45" w:name="_Toc184313294"/>
      <w:bookmarkEnd w:id="45"/>
      <w:bookmarkStart w:id="46" w:name="_Toc184314442"/>
      <w:bookmarkEnd w:id="46"/>
      <w:bookmarkStart w:id="47" w:name="_Toc184314481"/>
      <w:bookmarkEnd w:id="47"/>
      <w:bookmarkStart w:id="48" w:name="_Toc184314439"/>
      <w:bookmarkEnd w:id="48"/>
      <w:bookmarkStart w:id="49" w:name="_Toc184308072"/>
      <w:bookmarkEnd w:id="49"/>
      <w:bookmarkStart w:id="50" w:name="_Toc184312109"/>
      <w:bookmarkEnd w:id="50"/>
      <w:bookmarkStart w:id="51" w:name="_Toc184312103"/>
      <w:bookmarkEnd w:id="51"/>
      <w:bookmarkStart w:id="52" w:name="_Toc184312085"/>
      <w:bookmarkEnd w:id="52"/>
      <w:bookmarkStart w:id="53" w:name="_Toc184312129"/>
      <w:bookmarkEnd w:id="53"/>
      <w:bookmarkStart w:id="54" w:name="_Toc184314436"/>
      <w:bookmarkEnd w:id="54"/>
      <w:bookmarkStart w:id="55" w:name="_Toc184308060"/>
      <w:bookmarkEnd w:id="55"/>
      <w:bookmarkStart w:id="56" w:name="_Toc184313285"/>
      <w:bookmarkEnd w:id="56"/>
      <w:bookmarkStart w:id="57" w:name="_Toc184313278"/>
      <w:bookmarkEnd w:id="57"/>
      <w:bookmarkStart w:id="58" w:name="_Toc184314472"/>
      <w:bookmarkEnd w:id="58"/>
      <w:bookmarkStart w:id="59" w:name="_Toc184308048"/>
      <w:bookmarkEnd w:id="59"/>
      <w:bookmarkStart w:id="60" w:name="_Toc184308069"/>
      <w:bookmarkEnd w:id="60"/>
      <w:bookmarkStart w:id="61" w:name="_Toc184308106"/>
      <w:bookmarkEnd w:id="61"/>
      <w:bookmarkStart w:id="62" w:name="_Toc184313254"/>
      <w:bookmarkEnd w:id="62"/>
      <w:bookmarkStart w:id="63" w:name="_Toc184308043"/>
      <w:bookmarkEnd w:id="63"/>
      <w:bookmarkStart w:id="64" w:name="_Toc184310322"/>
      <w:bookmarkEnd w:id="64"/>
      <w:bookmarkStart w:id="65" w:name="_Toc184313245"/>
      <w:bookmarkEnd w:id="65"/>
      <w:bookmarkStart w:id="66" w:name="_Toc184312116"/>
      <w:bookmarkEnd w:id="66"/>
      <w:bookmarkStart w:id="67" w:name="_Toc184313298"/>
      <w:bookmarkEnd w:id="67"/>
      <w:bookmarkStart w:id="68" w:name="_Toc184310292"/>
      <w:bookmarkEnd w:id="68"/>
      <w:bookmarkStart w:id="69" w:name="_Toc184310294"/>
      <w:bookmarkEnd w:id="69"/>
      <w:bookmarkStart w:id="70" w:name="_Toc184312098"/>
      <w:bookmarkEnd w:id="70"/>
      <w:bookmarkStart w:id="71" w:name="_Toc184313279"/>
      <w:bookmarkEnd w:id="71"/>
      <w:bookmarkStart w:id="72" w:name="_Toc184312133"/>
      <w:bookmarkEnd w:id="72"/>
      <w:bookmarkStart w:id="73" w:name="_Toc184313265"/>
      <w:bookmarkEnd w:id="73"/>
      <w:bookmarkStart w:id="74" w:name="_Toc184310337"/>
      <w:bookmarkEnd w:id="74"/>
      <w:bookmarkStart w:id="75" w:name="_Toc184312139"/>
      <w:bookmarkEnd w:id="75"/>
      <w:bookmarkStart w:id="76" w:name="_Toc184310330"/>
      <w:bookmarkEnd w:id="76"/>
      <w:bookmarkStart w:id="77" w:name="_Toc184312075"/>
      <w:bookmarkEnd w:id="77"/>
      <w:bookmarkStart w:id="78" w:name="_Toc184310288"/>
      <w:bookmarkEnd w:id="78"/>
      <w:bookmarkStart w:id="79" w:name="_Toc184314413"/>
      <w:bookmarkEnd w:id="79"/>
      <w:bookmarkStart w:id="80" w:name="_Toc184313259"/>
      <w:bookmarkEnd w:id="80"/>
      <w:bookmarkStart w:id="81" w:name="_Toc184314444"/>
      <w:bookmarkEnd w:id="81"/>
      <w:bookmarkStart w:id="82" w:name="_Toc184313249"/>
      <w:bookmarkEnd w:id="82"/>
      <w:bookmarkStart w:id="83" w:name="_Toc184314456"/>
      <w:bookmarkEnd w:id="83"/>
      <w:bookmarkStart w:id="84" w:name="_Toc184308090"/>
      <w:bookmarkEnd w:id="84"/>
      <w:bookmarkStart w:id="85" w:name="_Toc184310295"/>
      <w:bookmarkEnd w:id="85"/>
      <w:bookmarkStart w:id="86" w:name="_Toc184314454"/>
      <w:bookmarkEnd w:id="86"/>
      <w:bookmarkStart w:id="87" w:name="_Toc184314420"/>
      <w:bookmarkEnd w:id="87"/>
      <w:bookmarkStart w:id="88" w:name="_Toc184310318"/>
      <w:bookmarkEnd w:id="88"/>
      <w:bookmarkStart w:id="89" w:name="_Toc184313266"/>
      <w:bookmarkEnd w:id="89"/>
      <w:bookmarkStart w:id="90" w:name="_Toc184308078"/>
      <w:bookmarkEnd w:id="90"/>
      <w:bookmarkStart w:id="91" w:name="_Toc184310342"/>
      <w:bookmarkEnd w:id="91"/>
      <w:bookmarkStart w:id="92" w:name="_Toc184310312"/>
      <w:bookmarkEnd w:id="92"/>
      <w:bookmarkStart w:id="93" w:name="_Toc184308108"/>
      <w:bookmarkEnd w:id="93"/>
      <w:bookmarkStart w:id="94" w:name="_Toc184314449"/>
      <w:bookmarkEnd w:id="94"/>
      <w:bookmarkStart w:id="95" w:name="_Toc184308086"/>
      <w:bookmarkEnd w:id="95"/>
      <w:bookmarkStart w:id="96" w:name="_Toc184313248"/>
      <w:bookmarkEnd w:id="96"/>
      <w:bookmarkStart w:id="97" w:name="_Toc184312111"/>
      <w:bookmarkEnd w:id="97"/>
      <w:bookmarkStart w:id="98" w:name="_Toc184310299"/>
      <w:bookmarkEnd w:id="98"/>
      <w:bookmarkStart w:id="99" w:name="_Toc184312072"/>
      <w:bookmarkEnd w:id="99"/>
      <w:bookmarkStart w:id="100" w:name="_Toc184314478"/>
      <w:bookmarkEnd w:id="100"/>
      <w:bookmarkStart w:id="101" w:name="_Toc184314417"/>
      <w:bookmarkEnd w:id="101"/>
      <w:bookmarkStart w:id="102" w:name="_Toc184310284"/>
      <w:bookmarkEnd w:id="102"/>
      <w:bookmarkStart w:id="103" w:name="_Toc184308070"/>
      <w:bookmarkEnd w:id="103"/>
      <w:bookmarkStart w:id="104" w:name="_Toc184310329"/>
      <w:bookmarkEnd w:id="104"/>
      <w:bookmarkStart w:id="105" w:name="_Toc184312067"/>
      <w:bookmarkEnd w:id="105"/>
      <w:bookmarkStart w:id="106" w:name="_Toc184312118"/>
      <w:bookmarkEnd w:id="106"/>
      <w:bookmarkStart w:id="107" w:name="_Toc184310286"/>
      <w:bookmarkEnd w:id="107"/>
      <w:bookmarkStart w:id="108" w:name="_Toc184313290"/>
      <w:bookmarkEnd w:id="108"/>
      <w:bookmarkStart w:id="109" w:name="_Toc184312081"/>
      <w:bookmarkEnd w:id="109"/>
      <w:bookmarkStart w:id="110" w:name="_Toc184313286"/>
      <w:bookmarkEnd w:id="110"/>
      <w:bookmarkStart w:id="111" w:name="_Toc184313301"/>
      <w:bookmarkEnd w:id="111"/>
      <w:bookmarkStart w:id="112" w:name="_Toc184314473"/>
      <w:bookmarkEnd w:id="112"/>
      <w:bookmarkStart w:id="113" w:name="_Toc184314453"/>
      <w:bookmarkEnd w:id="113"/>
      <w:bookmarkStart w:id="114" w:name="_Toc184308052"/>
      <w:bookmarkEnd w:id="114"/>
      <w:bookmarkStart w:id="115" w:name="_Toc184310315"/>
      <w:bookmarkEnd w:id="115"/>
      <w:bookmarkStart w:id="116" w:name="_Toc184314438"/>
      <w:bookmarkEnd w:id="116"/>
      <w:bookmarkStart w:id="117" w:name="_Toc184308074"/>
      <w:bookmarkEnd w:id="117"/>
      <w:bookmarkStart w:id="118" w:name="_Toc184312100"/>
      <w:bookmarkEnd w:id="118"/>
      <w:bookmarkStart w:id="119" w:name="_Toc184308083"/>
      <w:bookmarkEnd w:id="119"/>
      <w:bookmarkStart w:id="120" w:name="_Toc184308091"/>
      <w:bookmarkEnd w:id="120"/>
      <w:bookmarkStart w:id="121" w:name="_Toc184310314"/>
      <w:bookmarkEnd w:id="121"/>
      <w:bookmarkStart w:id="122" w:name="_Toc184314470"/>
      <w:bookmarkEnd w:id="122"/>
      <w:bookmarkStart w:id="123" w:name="_Toc184313253"/>
      <w:bookmarkEnd w:id="123"/>
      <w:bookmarkStart w:id="124" w:name="_Toc184310272"/>
      <w:bookmarkEnd w:id="124"/>
      <w:bookmarkStart w:id="125" w:name="_Toc184308073"/>
      <w:bookmarkEnd w:id="125"/>
      <w:bookmarkStart w:id="126" w:name="_Toc184313306"/>
      <w:bookmarkEnd w:id="126"/>
      <w:bookmarkStart w:id="127" w:name="_Toc184310298"/>
      <w:bookmarkEnd w:id="127"/>
      <w:bookmarkStart w:id="128" w:name="_Toc184313296"/>
      <w:bookmarkEnd w:id="128"/>
      <w:bookmarkStart w:id="129" w:name="_Toc184313271"/>
      <w:bookmarkEnd w:id="129"/>
      <w:bookmarkStart w:id="130" w:name="_Toc184308107"/>
      <w:bookmarkEnd w:id="130"/>
      <w:bookmarkStart w:id="131" w:name="_Toc184314464"/>
      <w:bookmarkEnd w:id="131"/>
      <w:bookmarkStart w:id="132" w:name="_Toc184314411"/>
      <w:bookmarkEnd w:id="132"/>
      <w:bookmarkStart w:id="133" w:name="_Toc184308077"/>
      <w:bookmarkEnd w:id="133"/>
      <w:bookmarkStart w:id="134" w:name="_Toc184312137"/>
      <w:bookmarkEnd w:id="134"/>
      <w:bookmarkStart w:id="135" w:name="_Toc184314428"/>
      <w:bookmarkEnd w:id="135"/>
      <w:bookmarkStart w:id="136" w:name="_Toc184310290"/>
      <w:bookmarkEnd w:id="136"/>
      <w:bookmarkStart w:id="137" w:name="_Toc184310341"/>
      <w:bookmarkEnd w:id="137"/>
      <w:bookmarkStart w:id="138" w:name="_Toc184312120"/>
      <w:bookmarkEnd w:id="138"/>
      <w:bookmarkStart w:id="139" w:name="_Toc184310303"/>
      <w:bookmarkEnd w:id="139"/>
      <w:bookmarkStart w:id="140" w:name="_Toc184310279"/>
      <w:bookmarkEnd w:id="140"/>
      <w:bookmarkStart w:id="141" w:name="_Toc184312122"/>
      <w:bookmarkEnd w:id="141"/>
      <w:bookmarkStart w:id="142" w:name="_Toc184308103"/>
      <w:bookmarkEnd w:id="142"/>
      <w:bookmarkStart w:id="143" w:name="_Toc184314463"/>
      <w:bookmarkEnd w:id="143"/>
      <w:bookmarkStart w:id="144" w:name="_Toc184314466"/>
      <w:bookmarkEnd w:id="144"/>
      <w:bookmarkStart w:id="145" w:name="_Toc184313261"/>
      <w:bookmarkEnd w:id="145"/>
      <w:bookmarkStart w:id="146" w:name="_Toc184308058"/>
      <w:bookmarkEnd w:id="146"/>
      <w:bookmarkStart w:id="147" w:name="_Toc184308065"/>
      <w:bookmarkEnd w:id="147"/>
      <w:bookmarkStart w:id="148" w:name="_Toc184308057"/>
      <w:bookmarkEnd w:id="148"/>
      <w:bookmarkStart w:id="149" w:name="_Toc184313239"/>
      <w:bookmarkEnd w:id="149"/>
      <w:bookmarkStart w:id="150" w:name="_Toc184310275"/>
      <w:bookmarkEnd w:id="150"/>
      <w:bookmarkStart w:id="151" w:name="_Toc184312082"/>
      <w:bookmarkEnd w:id="151"/>
      <w:bookmarkStart w:id="152" w:name="_Toc184310278"/>
      <w:bookmarkEnd w:id="152"/>
      <w:bookmarkStart w:id="153" w:name="_Toc184314443"/>
      <w:bookmarkEnd w:id="153"/>
      <w:bookmarkStart w:id="154" w:name="_Toc184310339"/>
      <w:bookmarkEnd w:id="154"/>
      <w:bookmarkStart w:id="155" w:name="_Toc184310331"/>
      <w:bookmarkEnd w:id="155"/>
      <w:bookmarkStart w:id="156" w:name="_Toc184312127"/>
      <w:bookmarkEnd w:id="156"/>
      <w:bookmarkStart w:id="157" w:name="_Toc184310291"/>
      <w:bookmarkEnd w:id="157"/>
      <w:bookmarkStart w:id="158" w:name="_Toc184314474"/>
      <w:bookmarkEnd w:id="158"/>
      <w:bookmarkStart w:id="159" w:name="_Toc184308087"/>
      <w:bookmarkEnd w:id="159"/>
      <w:bookmarkStart w:id="160" w:name="_Toc184312114"/>
      <w:bookmarkEnd w:id="160"/>
      <w:bookmarkStart w:id="161" w:name="_Toc184312077"/>
      <w:bookmarkEnd w:id="161"/>
      <w:bookmarkStart w:id="162" w:name="_Toc184314434"/>
      <w:bookmarkEnd w:id="162"/>
      <w:bookmarkStart w:id="163" w:name="_Toc184312089"/>
      <w:bookmarkEnd w:id="163"/>
      <w:bookmarkStart w:id="164" w:name="_Toc184314458"/>
      <w:bookmarkEnd w:id="164"/>
      <w:bookmarkStart w:id="165" w:name="_Toc184314425"/>
      <w:bookmarkEnd w:id="165"/>
      <w:bookmarkStart w:id="166" w:name="_Toc184314419"/>
      <w:bookmarkEnd w:id="166"/>
      <w:bookmarkStart w:id="167" w:name="_Toc184314412"/>
      <w:bookmarkEnd w:id="167"/>
      <w:bookmarkStart w:id="168" w:name="_Toc184313257"/>
      <w:bookmarkEnd w:id="168"/>
      <w:bookmarkStart w:id="169" w:name="_Toc184314461"/>
      <w:bookmarkEnd w:id="169"/>
      <w:bookmarkStart w:id="170" w:name="_Toc184313300"/>
      <w:bookmarkEnd w:id="170"/>
      <w:bookmarkStart w:id="171" w:name="_Toc184314414"/>
      <w:bookmarkEnd w:id="171"/>
      <w:bookmarkStart w:id="172" w:name="_Toc184312121"/>
      <w:bookmarkEnd w:id="172"/>
      <w:bookmarkStart w:id="173" w:name="_Toc184314468"/>
      <w:bookmarkEnd w:id="173"/>
      <w:bookmarkStart w:id="174" w:name="_Toc184314440"/>
      <w:bookmarkEnd w:id="174"/>
      <w:bookmarkStart w:id="175" w:name="_Toc184312095"/>
      <w:bookmarkEnd w:id="175"/>
      <w:bookmarkStart w:id="176" w:name="_Toc184312108"/>
      <w:bookmarkEnd w:id="176"/>
      <w:bookmarkStart w:id="177" w:name="_Toc184308105"/>
      <w:bookmarkEnd w:id="177"/>
      <w:bookmarkStart w:id="178" w:name="_Toc184310276"/>
      <w:bookmarkEnd w:id="178"/>
      <w:bookmarkStart w:id="179" w:name="_Toc184308064"/>
      <w:bookmarkEnd w:id="179"/>
      <w:bookmarkStart w:id="180" w:name="_Toc184312069"/>
      <w:bookmarkEnd w:id="180"/>
      <w:bookmarkStart w:id="181" w:name="_Toc184313299"/>
      <w:bookmarkEnd w:id="181"/>
      <w:bookmarkStart w:id="182" w:name="_Toc184313270"/>
      <w:bookmarkEnd w:id="182"/>
      <w:bookmarkStart w:id="183" w:name="_Toc184308095"/>
      <w:bookmarkEnd w:id="183"/>
      <w:bookmarkStart w:id="184" w:name="_Toc184312119"/>
      <w:bookmarkEnd w:id="184"/>
      <w:bookmarkStart w:id="185" w:name="_Toc184313308"/>
      <w:bookmarkEnd w:id="185"/>
      <w:bookmarkStart w:id="186" w:name="_Toc184310327"/>
      <w:bookmarkEnd w:id="186"/>
      <w:bookmarkStart w:id="187" w:name="_Toc184308040"/>
      <w:bookmarkEnd w:id="187"/>
      <w:bookmarkStart w:id="188" w:name="_Toc184310323"/>
      <w:bookmarkEnd w:id="188"/>
      <w:bookmarkStart w:id="189" w:name="_Toc184308047"/>
      <w:bookmarkEnd w:id="189"/>
      <w:bookmarkStart w:id="190" w:name="_Toc184314460"/>
      <w:bookmarkEnd w:id="190"/>
      <w:bookmarkStart w:id="191" w:name="_Toc184314450"/>
      <w:bookmarkEnd w:id="191"/>
      <w:bookmarkStart w:id="192" w:name="_Toc184314415"/>
      <w:bookmarkEnd w:id="192"/>
      <w:bookmarkStart w:id="193" w:name="_Toc184313292"/>
      <w:bookmarkEnd w:id="193"/>
      <w:bookmarkStart w:id="194" w:name="_Toc184308061"/>
      <w:bookmarkEnd w:id="194"/>
      <w:bookmarkStart w:id="195" w:name="_Toc184312132"/>
      <w:bookmarkEnd w:id="195"/>
      <w:bookmarkStart w:id="196" w:name="_Toc184314441"/>
      <w:bookmarkEnd w:id="196"/>
      <w:bookmarkStart w:id="197" w:name="_Toc184312113"/>
      <w:bookmarkEnd w:id="197"/>
      <w:bookmarkStart w:id="198" w:name="_Toc184308044"/>
      <w:bookmarkEnd w:id="198"/>
      <w:bookmarkStart w:id="199" w:name="_Toc184308053"/>
      <w:bookmarkEnd w:id="199"/>
      <w:bookmarkStart w:id="200" w:name="_Toc184314430"/>
      <w:bookmarkEnd w:id="200"/>
      <w:bookmarkStart w:id="201" w:name="_Toc184308041"/>
      <w:bookmarkEnd w:id="201"/>
      <w:bookmarkStart w:id="202" w:name="_Toc184310334"/>
      <w:bookmarkEnd w:id="202"/>
      <w:bookmarkStart w:id="203" w:name="_Toc184310319"/>
      <w:bookmarkEnd w:id="203"/>
      <w:bookmarkStart w:id="204" w:name="_Toc184310273"/>
      <w:bookmarkEnd w:id="204"/>
      <w:bookmarkStart w:id="205" w:name="_Toc184308059"/>
      <w:bookmarkEnd w:id="205"/>
      <w:bookmarkStart w:id="206" w:name="_Toc184308094"/>
      <w:bookmarkEnd w:id="206"/>
      <w:bookmarkStart w:id="207" w:name="_Toc184313289"/>
      <w:bookmarkEnd w:id="207"/>
      <w:bookmarkStart w:id="208" w:name="_Toc184310305"/>
      <w:bookmarkEnd w:id="208"/>
      <w:bookmarkStart w:id="209" w:name="_Toc184313262"/>
      <w:bookmarkEnd w:id="209"/>
      <w:bookmarkStart w:id="210" w:name="_Toc184313242"/>
      <w:bookmarkEnd w:id="210"/>
      <w:bookmarkStart w:id="211" w:name="_Toc184313268"/>
      <w:bookmarkEnd w:id="211"/>
      <w:bookmarkStart w:id="212" w:name="_Toc184312080"/>
      <w:bookmarkEnd w:id="212"/>
      <w:bookmarkStart w:id="213" w:name="_Toc184312101"/>
      <w:bookmarkEnd w:id="213"/>
      <w:bookmarkStart w:id="214" w:name="_Toc184310304"/>
      <w:bookmarkEnd w:id="214"/>
      <w:bookmarkStart w:id="215" w:name="_Toc184313282"/>
      <w:bookmarkEnd w:id="215"/>
      <w:bookmarkStart w:id="216" w:name="_Toc184308075"/>
      <w:bookmarkEnd w:id="216"/>
      <w:bookmarkStart w:id="217" w:name="_Toc184313291"/>
      <w:bookmarkEnd w:id="217"/>
      <w:bookmarkStart w:id="218" w:name="_Toc184312105"/>
      <w:bookmarkEnd w:id="218"/>
      <w:bookmarkStart w:id="219" w:name="_Toc184308063"/>
      <w:bookmarkEnd w:id="219"/>
      <w:bookmarkStart w:id="220" w:name="_Toc184312104"/>
      <w:bookmarkEnd w:id="220"/>
      <w:bookmarkStart w:id="221" w:name="_Toc184312138"/>
      <w:bookmarkEnd w:id="221"/>
      <w:bookmarkStart w:id="222" w:name="_Toc184310320"/>
      <w:bookmarkEnd w:id="222"/>
      <w:bookmarkStart w:id="223" w:name="_Toc184312134"/>
      <w:bookmarkEnd w:id="223"/>
      <w:bookmarkStart w:id="224" w:name="_Toc184308039"/>
      <w:bookmarkEnd w:id="224"/>
      <w:bookmarkStart w:id="225" w:name="_Toc184314480"/>
      <w:bookmarkEnd w:id="225"/>
      <w:bookmarkStart w:id="226" w:name="_Toc184310289"/>
      <w:bookmarkEnd w:id="226"/>
      <w:bookmarkStart w:id="227" w:name="_Toc184310313"/>
      <w:bookmarkEnd w:id="227"/>
      <w:bookmarkStart w:id="228" w:name="_Toc184313255"/>
      <w:bookmarkEnd w:id="228"/>
      <w:bookmarkStart w:id="229" w:name="_Toc184310340"/>
      <w:bookmarkEnd w:id="229"/>
      <w:bookmarkStart w:id="230" w:name="_Toc184310332"/>
      <w:bookmarkEnd w:id="230"/>
      <w:bookmarkStart w:id="231" w:name="_Toc184313276"/>
      <w:bookmarkEnd w:id="231"/>
      <w:bookmarkStart w:id="232" w:name="_Toc184313252"/>
      <w:bookmarkEnd w:id="232"/>
      <w:bookmarkStart w:id="233" w:name="_Toc184310300"/>
      <w:bookmarkEnd w:id="233"/>
      <w:bookmarkStart w:id="234" w:name="_Toc184313277"/>
      <w:bookmarkEnd w:id="234"/>
      <w:bookmarkStart w:id="235" w:name="_Toc184314437"/>
      <w:bookmarkEnd w:id="235"/>
      <w:bookmarkStart w:id="236" w:name="_Toc184312078"/>
      <w:bookmarkEnd w:id="236"/>
      <w:bookmarkStart w:id="237" w:name="_Toc184313297"/>
      <w:bookmarkEnd w:id="237"/>
      <w:bookmarkStart w:id="238" w:name="_Toc184312097"/>
      <w:bookmarkEnd w:id="238"/>
      <w:bookmarkStart w:id="239" w:name="_Toc184312117"/>
      <w:bookmarkEnd w:id="239"/>
      <w:bookmarkStart w:id="240" w:name="_Toc184314475"/>
      <w:bookmarkEnd w:id="240"/>
      <w:bookmarkStart w:id="241" w:name="_Toc184312079"/>
      <w:bookmarkEnd w:id="241"/>
      <w:bookmarkStart w:id="242" w:name="_Toc184313244"/>
      <w:bookmarkEnd w:id="242"/>
      <w:bookmarkStart w:id="243" w:name="_Toc184312074"/>
      <w:bookmarkEnd w:id="243"/>
      <w:bookmarkStart w:id="244" w:name="_Toc184313307"/>
      <w:bookmarkEnd w:id="244"/>
      <w:bookmarkStart w:id="245" w:name="_Toc184312131"/>
      <w:bookmarkEnd w:id="245"/>
      <w:bookmarkStart w:id="246" w:name="_Toc184310324"/>
      <w:bookmarkEnd w:id="246"/>
      <w:bookmarkStart w:id="247" w:name="_Toc184313283"/>
      <w:bookmarkEnd w:id="247"/>
      <w:bookmarkStart w:id="248" w:name="_Toc184314448"/>
      <w:bookmarkEnd w:id="248"/>
      <w:bookmarkStart w:id="249" w:name="_Toc184308092"/>
      <w:bookmarkEnd w:id="249"/>
      <w:bookmarkStart w:id="250" w:name="_Toc184308067"/>
      <w:bookmarkEnd w:id="250"/>
      <w:bookmarkStart w:id="251" w:name="_Toc184312110"/>
      <w:bookmarkEnd w:id="251"/>
      <w:bookmarkStart w:id="252" w:name="_Toc184310287"/>
      <w:bookmarkEnd w:id="252"/>
      <w:bookmarkStart w:id="253" w:name="_Toc184313273"/>
      <w:bookmarkEnd w:id="253"/>
      <w:bookmarkStart w:id="254" w:name="_Toc184314471"/>
      <w:bookmarkEnd w:id="254"/>
      <w:bookmarkStart w:id="255" w:name="_Toc184308089"/>
      <w:bookmarkEnd w:id="255"/>
      <w:bookmarkStart w:id="256" w:name="_Toc184313304"/>
      <w:bookmarkEnd w:id="256"/>
      <w:bookmarkStart w:id="257" w:name="_Toc184310333"/>
      <w:bookmarkEnd w:id="257"/>
      <w:bookmarkStart w:id="258" w:name="_Toc184312090"/>
      <w:bookmarkEnd w:id="258"/>
      <w:bookmarkStart w:id="259" w:name="_Toc184312087"/>
      <w:bookmarkEnd w:id="259"/>
      <w:bookmarkStart w:id="260" w:name="_Toc184310285"/>
      <w:bookmarkEnd w:id="260"/>
      <w:bookmarkStart w:id="261" w:name="_Toc184314455"/>
      <w:bookmarkEnd w:id="261"/>
      <w:bookmarkStart w:id="262" w:name="_Toc184310309"/>
      <w:bookmarkEnd w:id="262"/>
      <w:bookmarkStart w:id="263" w:name="_Toc184308088"/>
      <w:bookmarkEnd w:id="263"/>
      <w:bookmarkStart w:id="264" w:name="_Toc184313241"/>
      <w:bookmarkEnd w:id="264"/>
      <w:bookmarkStart w:id="265" w:name="_Toc184310326"/>
      <w:bookmarkEnd w:id="265"/>
      <w:bookmarkStart w:id="266" w:name="_Toc184310328"/>
      <w:bookmarkEnd w:id="266"/>
      <w:bookmarkStart w:id="267" w:name="_Toc184308038"/>
      <w:bookmarkEnd w:id="267"/>
      <w:bookmarkStart w:id="268" w:name="_Toc184308049"/>
      <w:bookmarkEnd w:id="268"/>
      <w:bookmarkStart w:id="269" w:name="_Toc184312093"/>
      <w:bookmarkEnd w:id="269"/>
      <w:bookmarkStart w:id="270" w:name="_Toc184314469"/>
      <w:bookmarkEnd w:id="270"/>
      <w:bookmarkStart w:id="271" w:name="_Toc184313310"/>
      <w:bookmarkEnd w:id="271"/>
      <w:bookmarkStart w:id="272" w:name="_Toc184310297"/>
      <w:bookmarkEnd w:id="272"/>
      <w:bookmarkStart w:id="273" w:name="_Toc184308101"/>
      <w:bookmarkEnd w:id="273"/>
      <w:bookmarkStart w:id="274" w:name="_Toc184312091"/>
      <w:bookmarkEnd w:id="274"/>
      <w:bookmarkStart w:id="275" w:name="_Toc184312096"/>
      <w:bookmarkEnd w:id="275"/>
      <w:bookmarkStart w:id="276" w:name="_Toc184314416"/>
      <w:bookmarkEnd w:id="276"/>
      <w:bookmarkStart w:id="277" w:name="_Toc184310296"/>
      <w:bookmarkEnd w:id="277"/>
      <w:bookmarkStart w:id="278" w:name="_Toc184312099"/>
      <w:bookmarkEnd w:id="278"/>
      <w:bookmarkStart w:id="279" w:name="_Toc184308068"/>
      <w:bookmarkEnd w:id="279"/>
      <w:bookmarkStart w:id="280" w:name="_Toc184308042"/>
      <w:bookmarkEnd w:id="280"/>
      <w:bookmarkStart w:id="281" w:name="_Toc184308098"/>
      <w:bookmarkEnd w:id="281"/>
      <w:bookmarkStart w:id="282" w:name="_Toc184312128"/>
      <w:bookmarkEnd w:id="282"/>
      <w:bookmarkStart w:id="283" w:name="_Toc184312071"/>
      <w:bookmarkEnd w:id="283"/>
      <w:bookmarkStart w:id="284" w:name="_Toc184308062"/>
      <w:bookmarkEnd w:id="284"/>
      <w:bookmarkStart w:id="285" w:name="_Toc184312068"/>
      <w:bookmarkEnd w:id="285"/>
      <w:bookmarkStart w:id="286" w:name="_Toc184313264"/>
      <w:bookmarkEnd w:id="286"/>
      <w:bookmarkStart w:id="287" w:name="_Toc184308066"/>
      <w:bookmarkEnd w:id="287"/>
      <w:bookmarkStart w:id="288" w:name="_Toc184308081"/>
      <w:bookmarkEnd w:id="288"/>
      <w:bookmarkStart w:id="289" w:name="_Toc184310335"/>
      <w:bookmarkEnd w:id="289"/>
      <w:bookmarkStart w:id="290" w:name="_Toc184313238"/>
      <w:bookmarkEnd w:id="290"/>
      <w:bookmarkStart w:id="291" w:name="_Toc184310301"/>
      <w:bookmarkEnd w:id="291"/>
      <w:bookmarkStart w:id="292" w:name="_Toc184314477"/>
      <w:bookmarkEnd w:id="292"/>
      <w:bookmarkStart w:id="293" w:name="_Toc184314482"/>
      <w:bookmarkEnd w:id="293"/>
      <w:bookmarkStart w:id="294" w:name="_Toc184308051"/>
      <w:bookmarkEnd w:id="294"/>
      <w:bookmarkStart w:id="295" w:name="_Toc184308080"/>
      <w:bookmarkEnd w:id="295"/>
      <w:bookmarkStart w:id="296" w:name="_Toc184314418"/>
      <w:bookmarkEnd w:id="296"/>
      <w:bookmarkStart w:id="297" w:name="_Toc184313275"/>
      <w:bookmarkEnd w:id="297"/>
      <w:bookmarkStart w:id="298" w:name="_Toc184308082"/>
      <w:bookmarkEnd w:id="298"/>
      <w:bookmarkStart w:id="299" w:name="_Toc184313302"/>
      <w:bookmarkEnd w:id="299"/>
      <w:bookmarkStart w:id="300" w:name="_Toc184314435"/>
      <w:bookmarkEnd w:id="300"/>
      <w:bookmarkStart w:id="301" w:name="_Toc184308036"/>
      <w:bookmarkEnd w:id="301"/>
      <w:bookmarkStart w:id="302" w:name="_Toc184308102"/>
      <w:bookmarkEnd w:id="302"/>
      <w:bookmarkStart w:id="303" w:name="_Toc184310316"/>
      <w:bookmarkEnd w:id="303"/>
      <w:bookmarkStart w:id="304" w:name="_Toc184312086"/>
      <w:bookmarkEnd w:id="304"/>
      <w:bookmarkStart w:id="305" w:name="_Toc184308079"/>
      <w:bookmarkEnd w:id="305"/>
      <w:bookmarkStart w:id="306" w:name="_Toc184314432"/>
      <w:bookmarkEnd w:id="306"/>
      <w:bookmarkStart w:id="307" w:name="_Toc184312083"/>
      <w:bookmarkEnd w:id="307"/>
      <w:bookmarkStart w:id="308" w:name="_Toc184308037"/>
      <w:bookmarkEnd w:id="308"/>
      <w:bookmarkStart w:id="309" w:name="_Toc184308045"/>
      <w:bookmarkEnd w:id="309"/>
      <w:bookmarkStart w:id="310" w:name="_Toc184312088"/>
      <w:bookmarkEnd w:id="310"/>
      <w:bookmarkStart w:id="311" w:name="_Toc184310281"/>
      <w:bookmarkEnd w:id="311"/>
      <w:bookmarkStart w:id="312" w:name="_Toc184313272"/>
      <w:bookmarkEnd w:id="312"/>
      <w:bookmarkStart w:id="313" w:name="_Toc184308085"/>
      <w:bookmarkEnd w:id="313"/>
      <w:bookmarkStart w:id="314" w:name="_Toc184310274"/>
      <w:bookmarkEnd w:id="314"/>
      <w:bookmarkStart w:id="315" w:name="_Toc184313247"/>
      <w:bookmarkEnd w:id="315"/>
      <w:bookmarkStart w:id="316" w:name="_Toc184314451"/>
      <w:bookmarkEnd w:id="316"/>
      <w:bookmarkStart w:id="317" w:name="_Toc184313240"/>
      <w:bookmarkEnd w:id="317"/>
      <w:bookmarkStart w:id="318" w:name="_Toc184312115"/>
      <w:bookmarkEnd w:id="318"/>
      <w:bookmarkStart w:id="319" w:name="_Toc184314422"/>
      <w:bookmarkEnd w:id="319"/>
      <w:bookmarkStart w:id="320" w:name="_Toc184308071"/>
      <w:bookmarkEnd w:id="320"/>
      <w:bookmarkStart w:id="321" w:name="_Toc184313246"/>
      <w:bookmarkEnd w:id="321"/>
      <w:bookmarkStart w:id="322" w:name="_Toc184312076"/>
      <w:bookmarkEnd w:id="322"/>
      <w:bookmarkStart w:id="323" w:name="_Toc184312135"/>
      <w:bookmarkEnd w:id="323"/>
      <w:bookmarkStart w:id="324" w:name="_Toc184313267"/>
      <w:bookmarkEnd w:id="324"/>
      <w:bookmarkStart w:id="325" w:name="_Toc184308096"/>
      <w:bookmarkEnd w:id="325"/>
      <w:bookmarkStart w:id="326" w:name="_Toc184310344"/>
      <w:bookmarkEnd w:id="326"/>
      <w:bookmarkStart w:id="327" w:name="_Toc184310336"/>
      <w:bookmarkEnd w:id="327"/>
      <w:bookmarkStart w:id="328" w:name="_Toc184314465"/>
      <w:bookmarkEnd w:id="328"/>
      <w:bookmarkStart w:id="329" w:name="_Toc184314423"/>
      <w:bookmarkEnd w:id="329"/>
      <w:bookmarkStart w:id="330" w:name="_Toc184313260"/>
      <w:bookmarkEnd w:id="330"/>
      <w:bookmarkStart w:id="331" w:name="_Toc184314457"/>
      <w:bookmarkEnd w:id="331"/>
      <w:bookmarkStart w:id="332" w:name="_Toc184313287"/>
      <w:bookmarkEnd w:id="332"/>
      <w:bookmarkStart w:id="333" w:name="_Toc184310310"/>
      <w:bookmarkEnd w:id="333"/>
      <w:bookmarkStart w:id="334" w:name="_Toc184313250"/>
      <w:bookmarkEnd w:id="334"/>
      <w:bookmarkStart w:id="335" w:name="_Toc184313293"/>
      <w:bookmarkEnd w:id="335"/>
      <w:bookmarkStart w:id="336" w:name="_Toc184312092"/>
      <w:bookmarkEnd w:id="336"/>
      <w:bookmarkStart w:id="337" w:name="_Toc184313309"/>
      <w:bookmarkEnd w:id="337"/>
      <w:bookmarkStart w:id="338" w:name="_Toc184313256"/>
      <w:bookmarkEnd w:id="338"/>
      <w:bookmarkStart w:id="339" w:name="_Toc184310325"/>
      <w:bookmarkEnd w:id="339"/>
      <w:bookmarkStart w:id="340" w:name="_Toc184313269"/>
      <w:bookmarkEnd w:id="340"/>
      <w:bookmarkStart w:id="341" w:name="_Toc184312126"/>
      <w:bookmarkEnd w:id="341"/>
      <w:bookmarkStart w:id="342" w:name="_Toc184312106"/>
      <w:bookmarkEnd w:id="342"/>
      <w:bookmarkStart w:id="343" w:name="_Toc184314421"/>
      <w:bookmarkEnd w:id="343"/>
      <w:bookmarkStart w:id="344" w:name="_Toc184313280"/>
      <w:bookmarkEnd w:id="344"/>
      <w:bookmarkStart w:id="345" w:name="_Toc184310343"/>
      <w:bookmarkEnd w:id="345"/>
      <w:bookmarkStart w:id="346" w:name="_Toc184312084"/>
      <w:bookmarkEnd w:id="346"/>
      <w:bookmarkStart w:id="347" w:name="_Toc184312094"/>
      <w:bookmarkEnd w:id="347"/>
      <w:bookmarkStart w:id="348" w:name="_Toc184308097"/>
      <w:bookmarkEnd w:id="348"/>
      <w:bookmarkStart w:id="349" w:name="_Toc184310282"/>
      <w:bookmarkEnd w:id="349"/>
      <w:bookmarkStart w:id="350" w:name="_Toc184308100"/>
      <w:bookmarkEnd w:id="350"/>
      <w:bookmarkStart w:id="351" w:name="_Toc184310317"/>
      <w:bookmarkEnd w:id="351"/>
      <w:bookmarkStart w:id="352" w:name="_Toc184314424"/>
      <w:bookmarkEnd w:id="352"/>
      <w:bookmarkStart w:id="353" w:name="_Toc184310311"/>
      <w:bookmarkEnd w:id="353"/>
      <w:bookmarkStart w:id="354" w:name="_Toc184313295"/>
      <w:bookmarkEnd w:id="354"/>
      <w:bookmarkStart w:id="355" w:name="_Toc184314445"/>
      <w:bookmarkEnd w:id="355"/>
      <w:bookmarkStart w:id="356" w:name="_Toc184310321"/>
      <w:bookmarkEnd w:id="356"/>
      <w:bookmarkStart w:id="357" w:name="_Toc184312112"/>
      <w:bookmarkEnd w:id="357"/>
      <w:bookmarkStart w:id="358" w:name="_Toc184313281"/>
      <w:bookmarkEnd w:id="358"/>
      <w:bookmarkStart w:id="359" w:name="_Toc184314452"/>
      <w:bookmarkEnd w:id="359"/>
      <w:bookmarkStart w:id="360" w:name="_Toc184310306"/>
      <w:bookmarkEnd w:id="360"/>
      <w:bookmarkStart w:id="361" w:name="_Toc184308050"/>
      <w:bookmarkEnd w:id="361"/>
      <w:bookmarkStart w:id="362" w:name="_Toc184313288"/>
      <w:bookmarkEnd w:id="362"/>
      <w:bookmarkStart w:id="363" w:name="_Toc184314433"/>
      <w:bookmarkEnd w:id="363"/>
      <w:bookmarkStart w:id="364" w:name="_Toc184314410"/>
      <w:bookmarkEnd w:id="364"/>
      <w:bookmarkStart w:id="365" w:name="_Toc184310280"/>
      <w:bookmarkEnd w:id="365"/>
      <w:bookmarkStart w:id="366" w:name="_Toc184313251"/>
      <w:bookmarkEnd w:id="366"/>
      <w:bookmarkStart w:id="367" w:name="_Toc184312124"/>
      <w:bookmarkEnd w:id="367"/>
      <w:bookmarkStart w:id="368" w:name="_Toc184314431"/>
      <w:bookmarkEnd w:id="368"/>
      <w:bookmarkStart w:id="369" w:name="_Toc184308054"/>
      <w:bookmarkEnd w:id="369"/>
      <w:bookmarkStart w:id="370" w:name="_Toc184312070"/>
      <w:bookmarkEnd w:id="370"/>
      <w:bookmarkStart w:id="371" w:name="_Toc184314429"/>
      <w:bookmarkEnd w:id="371"/>
      <w:bookmarkStart w:id="372" w:name="_Toc184314476"/>
      <w:bookmarkEnd w:id="372"/>
      <w:bookmarkStart w:id="373" w:name="_Toc184312102"/>
      <w:bookmarkEnd w:id="373"/>
      <w:bookmarkStart w:id="374" w:name="_Toc184314459"/>
      <w:bookmarkEnd w:id="374"/>
      <w:bookmarkStart w:id="375" w:name="_Toc184310338"/>
      <w:bookmarkEnd w:id="375"/>
      <w:bookmarkStart w:id="376" w:name="_Toc184310293"/>
      <w:bookmarkEnd w:id="376"/>
      <w:bookmarkStart w:id="377" w:name="_Toc184312130"/>
      <w:bookmarkEnd w:id="377"/>
      <w:bookmarkStart w:id="378" w:name="_Toc184312073"/>
      <w:bookmarkEnd w:id="378"/>
      <w:bookmarkStart w:id="379" w:name="_Toc184312136"/>
      <w:bookmarkEnd w:id="379"/>
      <w:bookmarkStart w:id="380" w:name="_Toc184314462"/>
      <w:bookmarkEnd w:id="380"/>
      <w:bookmarkStart w:id="381" w:name="_Toc184312107"/>
      <w:bookmarkEnd w:id="381"/>
      <w:bookmarkStart w:id="382" w:name="_Toc184310283"/>
      <w:bookmarkEnd w:id="382"/>
      <w:bookmarkStart w:id="383" w:name="_Toc184308046"/>
      <w:bookmarkEnd w:id="383"/>
      <w:bookmarkStart w:id="384" w:name="_Toc184313305"/>
      <w:bookmarkEnd w:id="384"/>
      <w:bookmarkStart w:id="385" w:name="_Toc184313243"/>
      <w:bookmarkEnd w:id="385"/>
      <w:bookmarkStart w:id="386" w:name="_Toc184310302"/>
      <w:bookmarkEnd w:id="386"/>
      <w:bookmarkStart w:id="387" w:name="_Toc184308093"/>
      <w:bookmarkEnd w:id="387"/>
      <w:bookmarkStart w:id="388" w:name="_Toc184313258"/>
      <w:bookmarkEnd w:id="388"/>
      <w:bookmarkStart w:id="389" w:name="_Toc184308084"/>
      <w:bookmarkEnd w:id="389"/>
      <w:bookmarkStart w:id="390" w:name="_Toc184313303"/>
      <w:bookmarkEnd w:id="390"/>
      <w:bookmarkStart w:id="391" w:name="_Toc184314479"/>
      <w:bookmarkEnd w:id="391"/>
      <w:bookmarkStart w:id="392" w:name="_Toc184310307"/>
      <w:bookmarkEnd w:id="392"/>
      <w:r>
        <w:rPr>
          <w:rFonts w:hint="eastAsia" w:ascii="宋体" w:hAnsi="宋体" w:cs="宋体"/>
          <w:b/>
          <w:color w:val="auto"/>
          <w:sz w:val="36"/>
          <w:szCs w:val="36"/>
          <w:highlight w:val="none"/>
        </w:rPr>
        <w:t>评标办法</w:t>
      </w:r>
    </w:p>
    <w:p>
      <w:pPr>
        <w:snapToGrid w:val="0"/>
        <w:spacing w:line="360" w:lineRule="auto"/>
        <w:jc w:val="center"/>
        <w:rPr>
          <w:rFonts w:hint="eastAsia"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4"/>
        <w:tblW w:w="9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2"/>
        <w:gridCol w:w="5212"/>
        <w:gridCol w:w="750"/>
        <w:gridCol w:w="1365"/>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序号</w:t>
            </w:r>
          </w:p>
        </w:tc>
        <w:tc>
          <w:tcPr>
            <w:tcW w:w="5212"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评标标准</w:t>
            </w:r>
          </w:p>
        </w:tc>
        <w:tc>
          <w:tcPr>
            <w:tcW w:w="750"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权重</w:t>
            </w:r>
          </w:p>
        </w:tc>
        <w:tc>
          <w:tcPr>
            <w:tcW w:w="1365" w:type="dxa"/>
            <w:vAlign w:val="center"/>
          </w:tcPr>
          <w:p>
            <w:pPr>
              <w:snapToGrid w:val="0"/>
              <w:spacing w:line="360" w:lineRule="auto"/>
              <w:jc w:val="center"/>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主观分/客观分属性</w:t>
            </w:r>
          </w:p>
        </w:tc>
        <w:tc>
          <w:tcPr>
            <w:tcW w:w="2093" w:type="dxa"/>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Cs/>
                <w:color w:val="auto"/>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w:t>
            </w:r>
          </w:p>
        </w:tc>
        <w:tc>
          <w:tcPr>
            <w:tcW w:w="5212" w:type="dxa"/>
            <w:vAlign w:val="center"/>
          </w:tcPr>
          <w:p>
            <w:pPr>
              <w:widowControl/>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sz w:val="24"/>
                <w:szCs w:val="24"/>
                <w:highlight w:val="none"/>
              </w:rPr>
              <w:t>需求理解：整体方案具有合理性、完整性、完善性，对项目需求理解及综合分析程度较好，目标明确，流程清晰合理</w:t>
            </w:r>
            <w:r>
              <w:rPr>
                <w:rFonts w:hint="eastAsia" w:ascii="宋体" w:hAnsi="宋体" w:cs="宋体"/>
                <w:bCs/>
                <w:color w:val="auto"/>
                <w:sz w:val="24"/>
                <w:szCs w:val="24"/>
                <w:highlight w:val="none"/>
                <w:lang w:eastAsia="zh-CN"/>
              </w:rPr>
              <w:t>，</w:t>
            </w:r>
            <w:r>
              <w:rPr>
                <w:rFonts w:hint="eastAsia" w:ascii="宋体" w:hAnsi="宋体" w:eastAsia="宋体" w:cs="宋体"/>
                <w:color w:val="auto"/>
                <w:sz w:val="24"/>
                <w:szCs w:val="24"/>
                <w:highlight w:val="none"/>
              </w:rPr>
              <w:t>最高得</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w:t>
            </w:r>
          </w:p>
        </w:tc>
        <w:tc>
          <w:tcPr>
            <w:tcW w:w="750" w:type="dxa"/>
            <w:vAlign w:val="center"/>
          </w:tcPr>
          <w:p>
            <w:pPr>
              <w:widowControl/>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bCs/>
                <w:color w:val="auto"/>
                <w:sz w:val="24"/>
                <w:szCs w:val="24"/>
                <w:highlight w:val="none"/>
                <w:lang w:val="en-US" w:eastAsia="zh-CN"/>
              </w:rPr>
              <w:t>4</w:t>
            </w:r>
          </w:p>
        </w:tc>
        <w:tc>
          <w:tcPr>
            <w:tcW w:w="1365"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主观分</w:t>
            </w:r>
          </w:p>
        </w:tc>
        <w:tc>
          <w:tcPr>
            <w:tcW w:w="2093"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2</w:t>
            </w:r>
          </w:p>
        </w:tc>
        <w:tc>
          <w:tcPr>
            <w:tcW w:w="5212" w:type="dxa"/>
            <w:vAlign w:val="center"/>
          </w:tcPr>
          <w:p>
            <w:pPr>
              <w:tabs>
                <w:tab w:val="left" w:pos="1080"/>
              </w:tabs>
              <w:jc w:val="left"/>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投标方案对用户方信息化现状的理解程度，需求的吻合程度，要求对用户原有信息化现状的了解提供详细描述</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最高得3分。</w:t>
            </w:r>
          </w:p>
        </w:tc>
        <w:tc>
          <w:tcPr>
            <w:tcW w:w="750" w:type="dxa"/>
            <w:vAlign w:val="center"/>
          </w:tcPr>
          <w:p>
            <w:pPr>
              <w:widowControl/>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bCs/>
                <w:color w:val="auto"/>
                <w:sz w:val="24"/>
                <w:szCs w:val="24"/>
                <w:highlight w:val="none"/>
                <w:lang w:val="en-US" w:eastAsia="zh-CN"/>
              </w:rPr>
              <w:t>3</w:t>
            </w:r>
          </w:p>
        </w:tc>
        <w:tc>
          <w:tcPr>
            <w:tcW w:w="1365"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主观分</w:t>
            </w:r>
          </w:p>
        </w:tc>
        <w:tc>
          <w:tcPr>
            <w:tcW w:w="2093"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3</w:t>
            </w:r>
          </w:p>
        </w:tc>
        <w:tc>
          <w:tcPr>
            <w:tcW w:w="5212" w:type="dxa"/>
            <w:vAlign w:val="center"/>
          </w:tcPr>
          <w:p>
            <w:pPr>
              <w:tabs>
                <w:tab w:val="left" w:pos="1080"/>
              </w:tabs>
              <w:jc w:val="left"/>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详细数据建库方案（0-</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分）：主要包括数据分析收集，数据整理流程和详细的数据整理步骤</w:t>
            </w:r>
            <w:r>
              <w:rPr>
                <w:rFonts w:hint="eastAsia" w:ascii="宋体" w:hAnsi="宋体" w:cs="宋体"/>
                <w:color w:val="auto"/>
                <w:sz w:val="24"/>
                <w:szCs w:val="24"/>
                <w:highlight w:val="none"/>
                <w:lang w:val="en-US" w:eastAsia="zh-CN"/>
              </w:rPr>
              <w:t>，最高得4分。</w:t>
            </w:r>
          </w:p>
        </w:tc>
        <w:tc>
          <w:tcPr>
            <w:tcW w:w="750" w:type="dxa"/>
            <w:vAlign w:val="center"/>
          </w:tcPr>
          <w:p>
            <w:pPr>
              <w:widowControl/>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sz w:val="24"/>
                <w:szCs w:val="24"/>
                <w:highlight w:val="none"/>
              </w:rPr>
              <w:t>4</w:t>
            </w:r>
          </w:p>
        </w:tc>
        <w:tc>
          <w:tcPr>
            <w:tcW w:w="1365"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主观分</w:t>
            </w:r>
          </w:p>
        </w:tc>
        <w:tc>
          <w:tcPr>
            <w:tcW w:w="2093"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4</w:t>
            </w:r>
          </w:p>
        </w:tc>
        <w:tc>
          <w:tcPr>
            <w:tcW w:w="5212" w:type="dxa"/>
            <w:vAlign w:val="center"/>
          </w:tcPr>
          <w:p>
            <w:pPr>
              <w:pStyle w:val="809"/>
              <w:snapToGrid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sz w:val="24"/>
                <w:szCs w:val="24"/>
                <w:highlight w:val="none"/>
              </w:rPr>
              <w:t>工作思路（0-</w:t>
            </w:r>
            <w:r>
              <w:rPr>
                <w:rFonts w:hint="eastAsia" w:ascii="宋体" w:hAnsi="宋体" w:cs="宋体"/>
                <w:bCs/>
                <w:color w:val="auto"/>
                <w:sz w:val="24"/>
                <w:szCs w:val="24"/>
                <w:highlight w:val="none"/>
                <w:lang w:val="en-US" w:eastAsia="zh-CN"/>
              </w:rPr>
              <w:t>4</w:t>
            </w:r>
            <w:r>
              <w:rPr>
                <w:rFonts w:hint="eastAsia" w:ascii="宋体" w:hAnsi="宋体" w:eastAsia="宋体" w:cs="宋体"/>
                <w:bCs/>
                <w:color w:val="auto"/>
                <w:sz w:val="24"/>
                <w:szCs w:val="24"/>
                <w:highlight w:val="none"/>
              </w:rPr>
              <w:t>分）：数据整理需考虑与已有系统之间的衔接及整合思路，特别是在项目实施过程中对已有系统不产生影响</w:t>
            </w:r>
            <w:r>
              <w:rPr>
                <w:rFonts w:hint="eastAsia" w:ascii="宋体" w:hAnsi="宋体" w:cs="宋体"/>
                <w:bCs/>
                <w:color w:val="auto"/>
                <w:sz w:val="24"/>
                <w:szCs w:val="24"/>
                <w:highlight w:val="none"/>
                <w:lang w:eastAsia="zh-CN"/>
              </w:rPr>
              <w:t>，</w:t>
            </w:r>
            <w:r>
              <w:rPr>
                <w:rFonts w:hint="eastAsia" w:ascii="宋体" w:hAnsi="宋体" w:cs="宋体"/>
                <w:color w:val="auto"/>
                <w:sz w:val="24"/>
                <w:szCs w:val="24"/>
                <w:highlight w:val="none"/>
                <w:lang w:val="en-US" w:eastAsia="zh-CN"/>
              </w:rPr>
              <w:t>最高得4分。</w:t>
            </w:r>
          </w:p>
        </w:tc>
        <w:tc>
          <w:tcPr>
            <w:tcW w:w="750" w:type="dxa"/>
            <w:vAlign w:val="center"/>
          </w:tcPr>
          <w:p>
            <w:pPr>
              <w:widowControl/>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bCs/>
                <w:color w:val="auto"/>
                <w:sz w:val="24"/>
                <w:szCs w:val="24"/>
                <w:highlight w:val="none"/>
                <w:lang w:val="en-US" w:eastAsia="zh-CN"/>
              </w:rPr>
              <w:t>4</w:t>
            </w:r>
          </w:p>
        </w:tc>
        <w:tc>
          <w:tcPr>
            <w:tcW w:w="1365"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主观分</w:t>
            </w:r>
          </w:p>
        </w:tc>
        <w:tc>
          <w:tcPr>
            <w:tcW w:w="2093"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5</w:t>
            </w:r>
          </w:p>
        </w:tc>
        <w:tc>
          <w:tcPr>
            <w:tcW w:w="5212" w:type="dxa"/>
            <w:vAlign w:val="center"/>
          </w:tcPr>
          <w:p>
            <w:pPr>
              <w:pStyle w:val="809"/>
              <w:snapToGrid w:val="0"/>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bCs/>
                <w:color w:val="auto"/>
                <w:sz w:val="24"/>
                <w:szCs w:val="24"/>
                <w:highlight w:val="none"/>
              </w:rPr>
              <w:t>图属一致性挂接方案（0-</w:t>
            </w:r>
            <w:r>
              <w:rPr>
                <w:rFonts w:hint="eastAsia" w:ascii="宋体" w:hAnsi="宋体" w:cs="宋体"/>
                <w:bCs/>
                <w:color w:val="auto"/>
                <w:sz w:val="24"/>
                <w:szCs w:val="24"/>
                <w:highlight w:val="none"/>
                <w:lang w:val="en-US" w:eastAsia="zh-CN"/>
              </w:rPr>
              <w:t>4</w:t>
            </w:r>
            <w:r>
              <w:rPr>
                <w:rFonts w:hint="eastAsia" w:ascii="宋体" w:hAnsi="宋体" w:eastAsia="宋体" w:cs="宋体"/>
                <w:bCs/>
                <w:color w:val="auto"/>
                <w:sz w:val="24"/>
                <w:szCs w:val="24"/>
                <w:highlight w:val="none"/>
              </w:rPr>
              <w:t>分）</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lang w:val="en-US" w:eastAsia="zh-CN"/>
              </w:rPr>
              <w:t>根据方案的可行性与采购需求的匹配程度打分，</w:t>
            </w:r>
            <w:r>
              <w:rPr>
                <w:rFonts w:hint="eastAsia" w:ascii="宋体" w:hAnsi="宋体" w:cs="宋体"/>
                <w:color w:val="auto"/>
                <w:sz w:val="24"/>
                <w:szCs w:val="24"/>
                <w:highlight w:val="none"/>
                <w:lang w:val="en-US" w:eastAsia="zh-CN"/>
              </w:rPr>
              <w:t>最高得4分。</w:t>
            </w:r>
          </w:p>
        </w:tc>
        <w:tc>
          <w:tcPr>
            <w:tcW w:w="750" w:type="dxa"/>
            <w:vAlign w:val="center"/>
          </w:tcPr>
          <w:p>
            <w:pPr>
              <w:widowControl/>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bCs/>
                <w:color w:val="auto"/>
                <w:sz w:val="24"/>
                <w:szCs w:val="24"/>
                <w:highlight w:val="none"/>
                <w:lang w:val="en-US" w:eastAsia="zh-CN"/>
              </w:rPr>
              <w:t>4</w:t>
            </w:r>
          </w:p>
        </w:tc>
        <w:tc>
          <w:tcPr>
            <w:tcW w:w="1365"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主观分</w:t>
            </w:r>
          </w:p>
        </w:tc>
        <w:tc>
          <w:tcPr>
            <w:tcW w:w="2093"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6</w:t>
            </w:r>
          </w:p>
        </w:tc>
        <w:tc>
          <w:tcPr>
            <w:tcW w:w="5212" w:type="dxa"/>
            <w:vAlign w:val="center"/>
          </w:tcPr>
          <w:p>
            <w:pPr>
              <w:widowControl/>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sz w:val="24"/>
                <w:szCs w:val="24"/>
                <w:highlight w:val="none"/>
              </w:rPr>
              <w:t>与扫描电子档案影像对接方案（0-</w:t>
            </w:r>
            <w:r>
              <w:rPr>
                <w:rFonts w:hint="eastAsia" w:ascii="宋体" w:hAnsi="宋体" w:cs="宋体"/>
                <w:bCs/>
                <w:color w:val="auto"/>
                <w:sz w:val="24"/>
                <w:szCs w:val="24"/>
                <w:highlight w:val="none"/>
                <w:lang w:val="en-US" w:eastAsia="zh-CN"/>
              </w:rPr>
              <w:t>4</w:t>
            </w:r>
            <w:r>
              <w:rPr>
                <w:rFonts w:hint="eastAsia" w:ascii="宋体" w:hAnsi="宋体" w:eastAsia="宋体" w:cs="宋体"/>
                <w:bCs/>
                <w:color w:val="auto"/>
                <w:sz w:val="24"/>
                <w:szCs w:val="24"/>
                <w:highlight w:val="none"/>
              </w:rPr>
              <w:t>分）</w:t>
            </w:r>
            <w:r>
              <w:rPr>
                <w:rFonts w:hint="eastAsia" w:ascii="宋体" w:hAnsi="宋体" w:cs="宋体"/>
                <w:bCs/>
                <w:color w:val="auto"/>
                <w:sz w:val="24"/>
                <w:szCs w:val="24"/>
                <w:highlight w:val="none"/>
                <w:lang w:eastAsia="zh-CN"/>
              </w:rPr>
              <w:t>：据方案的可行性与采购需求的匹配程度打分，最高得4分</w:t>
            </w:r>
            <w:r>
              <w:rPr>
                <w:rFonts w:hint="eastAsia" w:ascii="宋体" w:hAnsi="宋体" w:eastAsia="宋体" w:cs="宋体"/>
                <w:bCs/>
                <w:color w:val="auto"/>
                <w:sz w:val="24"/>
                <w:szCs w:val="24"/>
                <w:highlight w:val="none"/>
              </w:rPr>
              <w:t>。</w:t>
            </w:r>
          </w:p>
        </w:tc>
        <w:tc>
          <w:tcPr>
            <w:tcW w:w="750" w:type="dxa"/>
            <w:vAlign w:val="center"/>
          </w:tcPr>
          <w:p>
            <w:pPr>
              <w:widowControl/>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bCs/>
                <w:color w:val="auto"/>
                <w:sz w:val="24"/>
                <w:szCs w:val="24"/>
                <w:highlight w:val="none"/>
                <w:lang w:val="en-US" w:eastAsia="zh-CN"/>
              </w:rPr>
              <w:t>4</w:t>
            </w:r>
          </w:p>
        </w:tc>
        <w:tc>
          <w:tcPr>
            <w:tcW w:w="1365"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主观分</w:t>
            </w:r>
          </w:p>
        </w:tc>
        <w:tc>
          <w:tcPr>
            <w:tcW w:w="2093"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7</w:t>
            </w:r>
          </w:p>
        </w:tc>
        <w:tc>
          <w:tcPr>
            <w:tcW w:w="5212" w:type="dxa"/>
            <w:vAlign w:val="center"/>
          </w:tcPr>
          <w:p>
            <w:pPr>
              <w:pStyle w:val="809"/>
              <w:snapToGrid w:val="0"/>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档案数字化加工方案（0-</w:t>
            </w: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分）：具有详细的档案数字化加工方案，主要包括数据分析收集，数据整理流程和详细的数据整理步骤</w:t>
            </w:r>
            <w:r>
              <w:rPr>
                <w:rFonts w:hint="eastAsia" w:ascii="宋体" w:hAnsi="宋体" w:cs="宋体"/>
                <w:color w:val="auto"/>
                <w:kern w:val="2"/>
                <w:sz w:val="24"/>
                <w:szCs w:val="24"/>
                <w:highlight w:val="none"/>
                <w:lang w:val="en-US" w:eastAsia="zh-CN" w:bidi="ar-SA"/>
              </w:rPr>
              <w:t>，最高得4分。</w:t>
            </w:r>
          </w:p>
        </w:tc>
        <w:tc>
          <w:tcPr>
            <w:tcW w:w="750" w:type="dxa"/>
            <w:vAlign w:val="center"/>
          </w:tcPr>
          <w:p>
            <w:pPr>
              <w:widowControl/>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p>
        </w:tc>
        <w:tc>
          <w:tcPr>
            <w:tcW w:w="1365"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主观分</w:t>
            </w:r>
          </w:p>
        </w:tc>
        <w:tc>
          <w:tcPr>
            <w:tcW w:w="2093"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8</w:t>
            </w:r>
          </w:p>
        </w:tc>
        <w:tc>
          <w:tcPr>
            <w:tcW w:w="5212" w:type="dxa"/>
            <w:vAlign w:val="center"/>
          </w:tcPr>
          <w:p>
            <w:pPr>
              <w:pStyle w:val="809"/>
              <w:snapToGrid w:val="0"/>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图像处理方案（0-</w:t>
            </w: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分）：对图像逐页纠偏、去污、去黑边、去除图像杂点、去除图像局部脏点、底纹处理、小角度纠偏、版心调整。确保每幅图像清晰、不失真</w:t>
            </w:r>
            <w:r>
              <w:rPr>
                <w:rFonts w:hint="eastAsia" w:ascii="宋体" w:hAnsi="宋体" w:cs="宋体"/>
                <w:color w:val="auto"/>
                <w:kern w:val="2"/>
                <w:sz w:val="24"/>
                <w:szCs w:val="24"/>
                <w:highlight w:val="none"/>
                <w:lang w:val="en-US" w:eastAsia="zh-CN" w:bidi="ar-SA"/>
              </w:rPr>
              <w:t>，最高得4分。</w:t>
            </w:r>
          </w:p>
        </w:tc>
        <w:tc>
          <w:tcPr>
            <w:tcW w:w="750" w:type="dxa"/>
            <w:vAlign w:val="center"/>
          </w:tcPr>
          <w:p>
            <w:pPr>
              <w:widowControl/>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p>
        </w:tc>
        <w:tc>
          <w:tcPr>
            <w:tcW w:w="1365"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主观分</w:t>
            </w:r>
          </w:p>
        </w:tc>
        <w:tc>
          <w:tcPr>
            <w:tcW w:w="2093"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9</w:t>
            </w:r>
          </w:p>
        </w:tc>
        <w:tc>
          <w:tcPr>
            <w:tcW w:w="5212" w:type="dxa"/>
            <w:vAlign w:val="center"/>
          </w:tcPr>
          <w:p>
            <w:pPr>
              <w:pStyle w:val="809"/>
              <w:snapToGrid w:val="0"/>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图像挂接方案（0-</w:t>
            </w: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分）：具有完整的图像挂接方案，可以实现图像和目录、图像和业务属性数据的自动挂接，并可以监测挂接成果</w:t>
            </w:r>
            <w:r>
              <w:rPr>
                <w:rFonts w:hint="eastAsia" w:ascii="宋体" w:hAnsi="宋体" w:cs="宋体"/>
                <w:color w:val="auto"/>
                <w:kern w:val="2"/>
                <w:sz w:val="24"/>
                <w:szCs w:val="24"/>
                <w:highlight w:val="none"/>
                <w:lang w:val="en-US" w:eastAsia="zh-CN" w:bidi="ar-SA"/>
              </w:rPr>
              <w:t>，最高得4分。</w:t>
            </w:r>
          </w:p>
        </w:tc>
        <w:tc>
          <w:tcPr>
            <w:tcW w:w="750" w:type="dxa"/>
            <w:vAlign w:val="center"/>
          </w:tcPr>
          <w:p>
            <w:pPr>
              <w:widowControl/>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p>
        </w:tc>
        <w:tc>
          <w:tcPr>
            <w:tcW w:w="1365"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主观分</w:t>
            </w:r>
          </w:p>
        </w:tc>
        <w:tc>
          <w:tcPr>
            <w:tcW w:w="2093"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10</w:t>
            </w:r>
          </w:p>
        </w:tc>
        <w:tc>
          <w:tcPr>
            <w:tcW w:w="5212" w:type="dxa"/>
            <w:vAlign w:val="center"/>
          </w:tcPr>
          <w:p>
            <w:pPr>
              <w:pStyle w:val="809"/>
              <w:snapToGrid w:val="0"/>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项目质量保证体系：保障补录和整理数据信息的完整性、准确性和与档案影像挂接的准确率，以及在档案数字化的各个环节都有相应的检测软件对图像数据信息的完整性、准确性和图文挂接的准确率进行自检</w:t>
            </w:r>
            <w:r>
              <w:rPr>
                <w:rFonts w:hint="eastAsia" w:ascii="宋体" w:hAnsi="宋体" w:cs="宋体"/>
                <w:color w:val="auto"/>
                <w:kern w:val="2"/>
                <w:sz w:val="24"/>
                <w:szCs w:val="24"/>
                <w:highlight w:val="none"/>
                <w:lang w:val="en-US" w:eastAsia="zh-CN" w:bidi="ar-SA"/>
              </w:rPr>
              <w:t>，最高得5分。</w:t>
            </w:r>
          </w:p>
        </w:tc>
        <w:tc>
          <w:tcPr>
            <w:tcW w:w="750" w:type="dxa"/>
            <w:vAlign w:val="center"/>
          </w:tcPr>
          <w:p>
            <w:pPr>
              <w:widowControl/>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5</w:t>
            </w:r>
          </w:p>
        </w:tc>
        <w:tc>
          <w:tcPr>
            <w:tcW w:w="1365"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主观分</w:t>
            </w:r>
          </w:p>
        </w:tc>
        <w:tc>
          <w:tcPr>
            <w:tcW w:w="2093"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11</w:t>
            </w:r>
          </w:p>
        </w:tc>
        <w:tc>
          <w:tcPr>
            <w:tcW w:w="5212" w:type="dxa"/>
            <w:vAlign w:val="center"/>
          </w:tcPr>
          <w:p>
            <w:pPr>
              <w:widowControl/>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合理化建议：能针对本项目提出合理的建设建议</w:t>
            </w:r>
            <w:r>
              <w:rPr>
                <w:rFonts w:hint="eastAsia" w:ascii="宋体" w:hAnsi="宋体" w:cs="宋体"/>
                <w:color w:val="auto"/>
                <w:kern w:val="2"/>
                <w:sz w:val="24"/>
                <w:szCs w:val="24"/>
                <w:highlight w:val="none"/>
                <w:lang w:val="en-US" w:eastAsia="zh-CN" w:bidi="ar-SA"/>
              </w:rPr>
              <w:t>，每提供一条得1分，最高得3分。</w:t>
            </w:r>
          </w:p>
        </w:tc>
        <w:tc>
          <w:tcPr>
            <w:tcW w:w="750" w:type="dxa"/>
            <w:vAlign w:val="center"/>
          </w:tcPr>
          <w:p>
            <w:pPr>
              <w:widowControl/>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w:t>
            </w:r>
          </w:p>
        </w:tc>
        <w:tc>
          <w:tcPr>
            <w:tcW w:w="1365"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客</w:t>
            </w:r>
            <w:r>
              <w:rPr>
                <w:rFonts w:hint="eastAsia" w:ascii="宋体" w:hAnsi="宋体" w:eastAsia="宋体" w:cs="宋体"/>
                <w:color w:val="auto"/>
                <w:sz w:val="24"/>
                <w:szCs w:val="24"/>
                <w:highlight w:val="none"/>
                <w:lang w:val="en-US" w:eastAsia="zh-CN"/>
              </w:rPr>
              <w:t>观分</w:t>
            </w:r>
          </w:p>
        </w:tc>
        <w:tc>
          <w:tcPr>
            <w:tcW w:w="2093"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2" w:type="dxa"/>
            <w:vAlign w:val="center"/>
          </w:tcPr>
          <w:p>
            <w:pPr>
              <w:spacing w:line="360" w:lineRule="auto"/>
              <w:jc w:val="center"/>
              <w:outlineLvl w:val="0"/>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12</w:t>
            </w:r>
          </w:p>
        </w:tc>
        <w:tc>
          <w:tcPr>
            <w:tcW w:w="5212" w:type="dxa"/>
            <w:vAlign w:val="center"/>
          </w:tcPr>
          <w:p>
            <w:pPr>
              <w:widowControl/>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组织实施方案</w:t>
            </w:r>
            <w:r>
              <w:rPr>
                <w:rFonts w:hint="eastAsia" w:ascii="宋体" w:hAnsi="宋体" w:cs="宋体"/>
                <w:color w:val="auto"/>
                <w:kern w:val="2"/>
                <w:sz w:val="24"/>
                <w:szCs w:val="24"/>
                <w:highlight w:val="none"/>
                <w:lang w:val="en-US" w:eastAsia="zh-CN" w:bidi="ar-SA"/>
              </w:rPr>
              <w:t>：能有效实现对档案数字化加工、业务数据整理建库过程和小区范围划分的过程进行控制，保证档案原件、档案信息、业务数据和空间数据的安全，是否具备对推进本项目的保密安全措施（包括人员、设备、数据及档案安全管理措施）、计划安排、表单管理情况，最高得5分。</w:t>
            </w:r>
          </w:p>
        </w:tc>
        <w:tc>
          <w:tcPr>
            <w:tcW w:w="750" w:type="dxa"/>
            <w:vAlign w:val="center"/>
          </w:tcPr>
          <w:p>
            <w:pPr>
              <w:widowControl/>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5</w:t>
            </w:r>
          </w:p>
        </w:tc>
        <w:tc>
          <w:tcPr>
            <w:tcW w:w="1365"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主观分</w:t>
            </w:r>
          </w:p>
        </w:tc>
        <w:tc>
          <w:tcPr>
            <w:tcW w:w="2093"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13</w:t>
            </w:r>
          </w:p>
        </w:tc>
        <w:tc>
          <w:tcPr>
            <w:tcW w:w="5212" w:type="dxa"/>
            <w:vAlign w:val="center"/>
          </w:tcPr>
          <w:p>
            <w:pPr>
              <w:widowControl/>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售后服务方案</w:t>
            </w:r>
            <w:r>
              <w:rPr>
                <w:rFonts w:hint="eastAsia" w:ascii="宋体" w:hAnsi="宋体" w:cs="宋体"/>
                <w:color w:val="auto"/>
                <w:kern w:val="2"/>
                <w:sz w:val="24"/>
                <w:szCs w:val="24"/>
                <w:highlight w:val="none"/>
                <w:lang w:val="en-US" w:eastAsia="zh-CN" w:bidi="ar-SA"/>
              </w:rPr>
              <w:t>：服务方案和措施科学有效，与采购人配合能高效落实的承诺，最高得3分。</w:t>
            </w:r>
          </w:p>
        </w:tc>
        <w:tc>
          <w:tcPr>
            <w:tcW w:w="750" w:type="dxa"/>
            <w:vAlign w:val="center"/>
          </w:tcPr>
          <w:p>
            <w:pPr>
              <w:widowControl/>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w:t>
            </w:r>
          </w:p>
        </w:tc>
        <w:tc>
          <w:tcPr>
            <w:tcW w:w="1365"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主观分</w:t>
            </w:r>
          </w:p>
        </w:tc>
        <w:tc>
          <w:tcPr>
            <w:tcW w:w="2093"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14</w:t>
            </w:r>
          </w:p>
        </w:tc>
        <w:tc>
          <w:tcPr>
            <w:tcW w:w="5212" w:type="dxa"/>
            <w:vAlign w:val="center"/>
          </w:tcPr>
          <w:p>
            <w:pPr>
              <w:widowControl/>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培训计划</w:t>
            </w:r>
            <w:r>
              <w:rPr>
                <w:rFonts w:hint="eastAsia" w:ascii="宋体" w:hAnsi="宋体" w:cs="宋体"/>
                <w:color w:val="auto"/>
                <w:kern w:val="2"/>
                <w:sz w:val="24"/>
                <w:szCs w:val="24"/>
                <w:highlight w:val="none"/>
                <w:lang w:val="en-US" w:eastAsia="zh-CN" w:bidi="ar-SA"/>
              </w:rPr>
              <w:t>：是否具有完善的培训计划和培训人员安排，最高得3分。</w:t>
            </w:r>
          </w:p>
        </w:tc>
        <w:tc>
          <w:tcPr>
            <w:tcW w:w="750" w:type="dxa"/>
            <w:vAlign w:val="center"/>
          </w:tcPr>
          <w:p>
            <w:pPr>
              <w:widowControl/>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w:t>
            </w:r>
          </w:p>
        </w:tc>
        <w:tc>
          <w:tcPr>
            <w:tcW w:w="1365"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bCs/>
                <w:color w:val="auto"/>
                <w:sz w:val="24"/>
                <w:szCs w:val="24"/>
                <w:highlight w:val="none"/>
                <w:lang w:val="en-US" w:eastAsia="zh-CN"/>
              </w:rPr>
              <w:t>主观</w:t>
            </w:r>
            <w:r>
              <w:rPr>
                <w:rFonts w:hint="eastAsia" w:ascii="宋体" w:hAnsi="宋体" w:eastAsia="宋体" w:cs="宋体"/>
                <w:bCs/>
                <w:color w:val="auto"/>
                <w:sz w:val="24"/>
                <w:szCs w:val="24"/>
                <w:highlight w:val="none"/>
              </w:rPr>
              <w:t>分</w:t>
            </w:r>
          </w:p>
        </w:tc>
        <w:tc>
          <w:tcPr>
            <w:tcW w:w="2093"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15</w:t>
            </w:r>
          </w:p>
        </w:tc>
        <w:tc>
          <w:tcPr>
            <w:tcW w:w="5212" w:type="dxa"/>
            <w:vAlign w:val="center"/>
          </w:tcPr>
          <w:p>
            <w:pPr>
              <w:widowControl/>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验收方案</w:t>
            </w:r>
            <w:r>
              <w:rPr>
                <w:rFonts w:hint="eastAsia" w:ascii="宋体" w:hAnsi="宋体" w:cs="宋体"/>
                <w:color w:val="auto"/>
                <w:kern w:val="2"/>
                <w:sz w:val="24"/>
                <w:szCs w:val="24"/>
                <w:highlight w:val="none"/>
                <w:lang w:val="en-US" w:eastAsia="zh-CN" w:bidi="ar-SA"/>
              </w:rPr>
              <w:t>：是否具有完善的质检及验收方案，设置专门质检岗位，对各个工序进行质检和统计，验收方案确保数据和图像的准确率，最高得3分。</w:t>
            </w:r>
          </w:p>
        </w:tc>
        <w:tc>
          <w:tcPr>
            <w:tcW w:w="750" w:type="dxa"/>
            <w:vAlign w:val="center"/>
          </w:tcPr>
          <w:p>
            <w:pPr>
              <w:widowControl/>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w:t>
            </w:r>
          </w:p>
        </w:tc>
        <w:tc>
          <w:tcPr>
            <w:tcW w:w="1365"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主观分</w:t>
            </w:r>
          </w:p>
        </w:tc>
        <w:tc>
          <w:tcPr>
            <w:tcW w:w="2093"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pStyle w:val="963"/>
              <w:widowControl w:val="0"/>
              <w:jc w:val="center"/>
              <w:rPr>
                <w:rFonts w:hint="default"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16</w:t>
            </w:r>
          </w:p>
        </w:tc>
        <w:tc>
          <w:tcPr>
            <w:tcW w:w="5212" w:type="dxa"/>
            <w:vAlign w:val="center"/>
          </w:tcPr>
          <w:p>
            <w:pPr>
              <w:widowControl/>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为确保项目成果可应用于实际使用，演示以下功能：</w:t>
            </w:r>
          </w:p>
          <w:p>
            <w:pPr>
              <w:widowControl/>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1.导入测绘数据功能</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可通过丘号、房屋坐落、开发单位、规划许可证等信息，查询对应的测绘楼幢数据，利用功能导入测绘楼幢及房屋数据；</w:t>
            </w:r>
          </w:p>
          <w:p>
            <w:pPr>
              <w:widowControl/>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2.实现数据和档案一一对应关联</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可通过受理编号、业务名称、申请人姓名、申请人身份证、房屋坐落等信息查询到对应的业务数据，打开对应的业务信息，能查查看对应的档案电子影像；</w:t>
            </w:r>
          </w:p>
          <w:p>
            <w:pPr>
              <w:widowControl/>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3.物业资金管理</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可通过小区查询到对应的小区数据，显示该小区对应的坐落、面积、幢数、套数等基础信息，并且需要展示维修金缴交本金、利息、动用利息、可用余额等资金管理数据。</w:t>
            </w:r>
          </w:p>
          <w:p>
            <w:pPr>
              <w:widowControl/>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①每项演示功能内容与采购需求完全匹配、系统操作简洁、流畅的得4分；</w:t>
            </w:r>
          </w:p>
          <w:p>
            <w:pPr>
              <w:widowControl/>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②演示功能内容与采购需求基本匹配、系统操作繁琐</w:t>
            </w:r>
            <w:r>
              <w:rPr>
                <w:rFonts w:hint="eastAsia" w:ascii="宋体" w:hAnsi="宋体" w:cs="宋体"/>
                <w:color w:val="auto"/>
                <w:kern w:val="2"/>
                <w:sz w:val="24"/>
                <w:szCs w:val="24"/>
                <w:highlight w:val="none"/>
                <w:lang w:val="en-US" w:eastAsia="zh-CN" w:bidi="ar-SA"/>
              </w:rPr>
              <w:t>但</w:t>
            </w:r>
            <w:r>
              <w:rPr>
                <w:rFonts w:hint="eastAsia" w:ascii="宋体" w:hAnsi="宋体" w:eastAsia="宋体" w:cs="宋体"/>
                <w:color w:val="auto"/>
                <w:kern w:val="2"/>
                <w:sz w:val="24"/>
                <w:szCs w:val="24"/>
                <w:highlight w:val="none"/>
                <w:lang w:val="en-US" w:eastAsia="zh-CN" w:bidi="ar-SA"/>
              </w:rPr>
              <w:t>流畅的得2分；</w:t>
            </w:r>
          </w:p>
          <w:p>
            <w:pPr>
              <w:widowControl/>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③每项演示功能内容与采购需求无关、系统操作繁琐、卡顿的得0分。</w:t>
            </w:r>
          </w:p>
          <w:p>
            <w:pPr>
              <w:widowControl/>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备注：未提供演示或采用非真实系统或原型演示的不得分。</w:t>
            </w:r>
          </w:p>
        </w:tc>
        <w:tc>
          <w:tcPr>
            <w:tcW w:w="750" w:type="dxa"/>
            <w:vAlign w:val="center"/>
          </w:tcPr>
          <w:p>
            <w:pPr>
              <w:pStyle w:val="7"/>
              <w:spacing w:line="300" w:lineRule="exact"/>
              <w:ind w:firstLine="0" w:firstLineChars="0"/>
              <w:jc w:val="center"/>
              <w:rPr>
                <w:rFonts w:hint="default" w:ascii="宋体" w:hAnsi="宋体" w:eastAsia="宋体" w:cs="宋体"/>
                <w:snapToGrid w:val="0"/>
                <w:color w:val="auto"/>
                <w:kern w:val="28"/>
                <w:sz w:val="24"/>
                <w:szCs w:val="24"/>
                <w:highlight w:val="none"/>
                <w:lang w:val="en-US" w:eastAsia="zh-CN" w:bidi="ar-SA"/>
              </w:rPr>
            </w:pPr>
            <w:r>
              <w:rPr>
                <w:rFonts w:hint="eastAsia" w:hAnsi="宋体" w:cs="宋体"/>
                <w:snapToGrid w:val="0"/>
                <w:color w:val="auto"/>
                <w:kern w:val="28"/>
                <w:sz w:val="24"/>
                <w:szCs w:val="24"/>
                <w:highlight w:val="none"/>
                <w:lang w:val="en-US" w:eastAsia="zh-CN" w:bidi="ar-SA"/>
              </w:rPr>
              <w:t>12</w:t>
            </w:r>
          </w:p>
        </w:tc>
        <w:tc>
          <w:tcPr>
            <w:tcW w:w="1365"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主观分</w:t>
            </w:r>
          </w:p>
        </w:tc>
        <w:tc>
          <w:tcPr>
            <w:tcW w:w="2093"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pStyle w:val="963"/>
              <w:widowControl w:val="0"/>
              <w:jc w:val="center"/>
              <w:rPr>
                <w:rFonts w:hint="default"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17</w:t>
            </w:r>
          </w:p>
        </w:tc>
        <w:tc>
          <w:tcPr>
            <w:tcW w:w="5212" w:type="dxa"/>
            <w:vAlign w:val="center"/>
          </w:tcPr>
          <w:p>
            <w:pPr>
              <w:widowControl/>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拟派本项目负责人</w:t>
            </w:r>
            <w:r>
              <w:rPr>
                <w:rFonts w:hint="eastAsia" w:ascii="宋体" w:hAnsi="宋体" w:cs="宋体"/>
                <w:bCs/>
                <w:color w:val="auto"/>
                <w:kern w:val="0"/>
                <w:sz w:val="24"/>
                <w:szCs w:val="24"/>
                <w:highlight w:val="none"/>
                <w:lang w:eastAsia="zh-CN"/>
              </w:rPr>
              <w:t>（</w:t>
            </w:r>
            <w:r>
              <w:rPr>
                <w:rFonts w:hint="eastAsia" w:ascii="宋体" w:hAnsi="宋体" w:cs="宋体"/>
                <w:bCs/>
                <w:color w:val="auto"/>
                <w:kern w:val="0"/>
                <w:sz w:val="24"/>
                <w:szCs w:val="24"/>
                <w:highlight w:val="none"/>
                <w:lang w:val="en-US" w:eastAsia="zh-CN"/>
              </w:rPr>
              <w:t>项目经理</w:t>
            </w:r>
            <w:r>
              <w:rPr>
                <w:rFonts w:hint="eastAsia" w:ascii="宋体" w:hAnsi="宋体" w:cs="宋体"/>
                <w:bCs/>
                <w:color w:val="auto"/>
                <w:kern w:val="0"/>
                <w:sz w:val="24"/>
                <w:szCs w:val="24"/>
                <w:highlight w:val="none"/>
                <w:lang w:eastAsia="zh-CN"/>
              </w:rPr>
              <w:t>）</w:t>
            </w:r>
            <w:r>
              <w:rPr>
                <w:rFonts w:hint="eastAsia" w:ascii="宋体" w:hAnsi="宋体" w:eastAsia="宋体" w:cs="宋体"/>
                <w:bCs/>
                <w:color w:val="auto"/>
                <w:kern w:val="0"/>
                <w:sz w:val="24"/>
                <w:szCs w:val="24"/>
                <w:highlight w:val="none"/>
              </w:rPr>
              <w:t>同时具备信息系统项目管理师证书和系统集成项目管理工程师证书的得2分，否则不得分。</w:t>
            </w:r>
          </w:p>
          <w:p>
            <w:pPr>
              <w:widowControl/>
              <w:rPr>
                <w:rFonts w:hint="eastAsia" w:ascii="宋体" w:hAnsi="宋体" w:eastAsia="宋体" w:cs="宋体"/>
                <w:color w:val="auto"/>
                <w:kern w:val="2"/>
                <w:sz w:val="24"/>
                <w:szCs w:val="24"/>
                <w:highlight w:val="none"/>
                <w:lang w:val="en-US" w:eastAsia="zh-CN" w:bidi="ar-SA"/>
              </w:rPr>
            </w:pPr>
            <w:r>
              <w:rPr>
                <w:rFonts w:hint="eastAsia" w:ascii="宋体" w:hAnsi="宋体" w:cs="宋体"/>
                <w:bCs/>
                <w:color w:val="auto"/>
                <w:kern w:val="0"/>
                <w:sz w:val="24"/>
                <w:szCs w:val="24"/>
                <w:highlight w:val="none"/>
                <w:lang w:val="en-US" w:eastAsia="zh-CN"/>
              </w:rPr>
              <w:t>有效证明材料：</w:t>
            </w:r>
            <w:r>
              <w:rPr>
                <w:rFonts w:hint="eastAsia" w:ascii="宋体" w:hAnsi="宋体" w:eastAsia="宋体" w:cs="宋体"/>
                <w:bCs/>
                <w:color w:val="auto"/>
                <w:kern w:val="0"/>
                <w:sz w:val="24"/>
                <w:szCs w:val="24"/>
                <w:highlight w:val="none"/>
              </w:rPr>
              <w:t>投标文件中须提供</w:t>
            </w:r>
            <w:r>
              <w:rPr>
                <w:rFonts w:hint="eastAsia" w:ascii="宋体" w:hAnsi="宋体" w:cs="宋体"/>
                <w:bCs/>
                <w:color w:val="auto"/>
                <w:kern w:val="0"/>
                <w:sz w:val="24"/>
                <w:szCs w:val="24"/>
                <w:highlight w:val="none"/>
                <w:lang w:val="en-US" w:eastAsia="zh-CN"/>
              </w:rPr>
              <w:t>相关</w:t>
            </w:r>
            <w:r>
              <w:rPr>
                <w:rFonts w:hint="eastAsia" w:ascii="宋体" w:hAnsi="宋体" w:eastAsia="宋体" w:cs="宋体"/>
                <w:bCs/>
                <w:color w:val="auto"/>
                <w:kern w:val="0"/>
                <w:sz w:val="24"/>
                <w:szCs w:val="24"/>
                <w:highlight w:val="none"/>
              </w:rPr>
              <w:t>证书复印件以及在本单位连续缴纳近三个月的社保证明材料复印件</w:t>
            </w:r>
            <w:r>
              <w:rPr>
                <w:rFonts w:hint="eastAsia" w:ascii="宋体" w:hAnsi="宋体" w:cs="宋体"/>
                <w:color w:val="auto"/>
                <w:kern w:val="2"/>
                <w:sz w:val="24"/>
                <w:szCs w:val="24"/>
                <w:highlight w:val="none"/>
                <w:lang w:val="en-US" w:eastAsia="zh-CN" w:bidi="ar-SA"/>
              </w:rPr>
              <w:t>并加盖公章</w:t>
            </w:r>
            <w:r>
              <w:rPr>
                <w:rFonts w:hint="eastAsia" w:ascii="宋体" w:hAnsi="宋体" w:eastAsia="宋体" w:cs="宋体"/>
                <w:bCs/>
                <w:color w:val="auto"/>
                <w:kern w:val="0"/>
                <w:sz w:val="24"/>
                <w:szCs w:val="24"/>
                <w:highlight w:val="none"/>
              </w:rPr>
              <w:t>。</w:t>
            </w:r>
          </w:p>
        </w:tc>
        <w:tc>
          <w:tcPr>
            <w:tcW w:w="750" w:type="dxa"/>
            <w:vAlign w:val="center"/>
          </w:tcPr>
          <w:p>
            <w:pPr>
              <w:pStyle w:val="7"/>
              <w:ind w:firstLine="0" w:firstLineChars="0"/>
              <w:jc w:val="center"/>
              <w:rPr>
                <w:rFonts w:hint="default" w:ascii="宋体" w:hAnsi="宋体" w:eastAsia="宋体" w:cs="宋体"/>
                <w:snapToGrid w:val="0"/>
                <w:color w:val="auto"/>
                <w:kern w:val="28"/>
                <w:sz w:val="24"/>
                <w:szCs w:val="24"/>
                <w:highlight w:val="none"/>
                <w:lang w:val="en-US" w:eastAsia="zh-CN" w:bidi="ar-SA"/>
              </w:rPr>
            </w:pPr>
            <w:r>
              <w:rPr>
                <w:rFonts w:hint="eastAsia" w:hAnsi="宋体" w:cs="宋体"/>
                <w:snapToGrid w:val="0"/>
                <w:color w:val="auto"/>
                <w:kern w:val="28"/>
                <w:sz w:val="24"/>
                <w:szCs w:val="24"/>
                <w:highlight w:val="none"/>
                <w:lang w:val="en-US" w:eastAsia="zh-CN" w:bidi="ar-SA"/>
              </w:rPr>
              <w:t>2</w:t>
            </w:r>
          </w:p>
        </w:tc>
        <w:tc>
          <w:tcPr>
            <w:tcW w:w="1365"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sz w:val="24"/>
                <w:szCs w:val="24"/>
                <w:highlight w:val="none"/>
              </w:rPr>
              <w:t>客观分</w:t>
            </w:r>
          </w:p>
        </w:tc>
        <w:tc>
          <w:tcPr>
            <w:tcW w:w="2093"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12" w:type="dxa"/>
            <w:vAlign w:val="center"/>
          </w:tcPr>
          <w:p>
            <w:pPr>
              <w:spacing w:line="360" w:lineRule="auto"/>
              <w:jc w:val="center"/>
              <w:outlineLvl w:val="0"/>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18</w:t>
            </w:r>
          </w:p>
        </w:tc>
        <w:tc>
          <w:tcPr>
            <w:tcW w:w="5212" w:type="dxa"/>
            <w:vAlign w:val="center"/>
          </w:tcPr>
          <w:p>
            <w:pPr>
              <w:widowControl/>
              <w:rPr>
                <w:rFonts w:hint="eastAsia" w:ascii="宋体" w:hAnsi="宋体" w:eastAsia="宋体" w:cs="宋体"/>
                <w:bCs/>
                <w:color w:val="auto"/>
                <w:kern w:val="0"/>
                <w:sz w:val="24"/>
                <w:szCs w:val="24"/>
                <w:highlight w:val="none"/>
              </w:rPr>
            </w:pPr>
            <w:r>
              <w:rPr>
                <w:rFonts w:hint="eastAsia" w:ascii="宋体" w:hAnsi="宋体" w:eastAsia="宋体" w:cs="宋体"/>
                <w:bCs/>
                <w:color w:val="auto"/>
                <w:sz w:val="24"/>
                <w:szCs w:val="24"/>
                <w:highlight w:val="none"/>
              </w:rPr>
              <w:t>拟</w:t>
            </w:r>
            <w:r>
              <w:rPr>
                <w:rFonts w:hint="eastAsia" w:ascii="宋体" w:hAnsi="宋体" w:cs="宋体"/>
                <w:bCs/>
                <w:color w:val="auto"/>
                <w:sz w:val="24"/>
                <w:szCs w:val="24"/>
                <w:highlight w:val="none"/>
                <w:lang w:val="en-US" w:eastAsia="zh-CN"/>
              </w:rPr>
              <w:t>派本</w:t>
            </w:r>
            <w:r>
              <w:rPr>
                <w:rFonts w:hint="eastAsia" w:ascii="宋体" w:hAnsi="宋体" w:eastAsia="宋体" w:cs="宋体"/>
                <w:bCs/>
                <w:color w:val="auto"/>
                <w:kern w:val="0"/>
                <w:sz w:val="24"/>
                <w:szCs w:val="24"/>
                <w:highlight w:val="none"/>
              </w:rPr>
              <w:t>项目组成员（项目负责人</w:t>
            </w:r>
            <w:r>
              <w:rPr>
                <w:rFonts w:hint="eastAsia" w:ascii="宋体" w:hAnsi="宋体" w:cs="宋体"/>
                <w:bCs/>
                <w:color w:val="auto"/>
                <w:kern w:val="0"/>
                <w:sz w:val="24"/>
                <w:szCs w:val="24"/>
                <w:highlight w:val="none"/>
                <w:lang w:val="en-US" w:eastAsia="zh-CN"/>
              </w:rPr>
              <w:t>除外</w:t>
            </w:r>
            <w:r>
              <w:rPr>
                <w:rFonts w:hint="eastAsia" w:ascii="宋体" w:hAnsi="宋体" w:eastAsia="宋体" w:cs="宋体"/>
                <w:bCs/>
                <w:color w:val="auto"/>
                <w:kern w:val="0"/>
                <w:sz w:val="24"/>
                <w:szCs w:val="24"/>
                <w:highlight w:val="none"/>
              </w:rPr>
              <w:t>）持有以下证书：信息系统项目管理师，数据库系统工程师、GIS应用技术证书，每人得0.5分，合计5分。</w:t>
            </w:r>
          </w:p>
          <w:p>
            <w:pPr>
              <w:widowControl/>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kern w:val="0"/>
                <w:sz w:val="24"/>
                <w:szCs w:val="24"/>
                <w:highlight w:val="none"/>
              </w:rPr>
              <w:t>有效证明材料：投标文件中须提供相关证书复印件以及在本单位连续缴纳近三个月的社保证明材料复印件</w:t>
            </w:r>
            <w:r>
              <w:rPr>
                <w:rFonts w:hint="eastAsia" w:ascii="宋体" w:hAnsi="宋体" w:cs="宋体"/>
                <w:color w:val="auto"/>
                <w:kern w:val="2"/>
                <w:sz w:val="24"/>
                <w:szCs w:val="24"/>
                <w:highlight w:val="none"/>
                <w:lang w:val="en-US" w:eastAsia="zh-CN" w:bidi="ar-SA"/>
              </w:rPr>
              <w:t>并加盖公章</w:t>
            </w:r>
            <w:r>
              <w:rPr>
                <w:rFonts w:hint="eastAsia" w:ascii="宋体" w:hAnsi="宋体" w:eastAsia="宋体" w:cs="宋体"/>
                <w:bCs/>
                <w:color w:val="auto"/>
                <w:kern w:val="0"/>
                <w:sz w:val="24"/>
                <w:szCs w:val="24"/>
                <w:highlight w:val="none"/>
              </w:rPr>
              <w:t>。</w:t>
            </w:r>
          </w:p>
        </w:tc>
        <w:tc>
          <w:tcPr>
            <w:tcW w:w="750" w:type="dxa"/>
            <w:vAlign w:val="center"/>
          </w:tcPr>
          <w:p>
            <w:pPr>
              <w:pStyle w:val="7"/>
              <w:ind w:firstLine="0" w:firstLineChars="0"/>
              <w:jc w:val="center"/>
              <w:rPr>
                <w:rFonts w:hint="default" w:ascii="宋体" w:hAnsi="宋体" w:eastAsia="宋体" w:cs="宋体"/>
                <w:snapToGrid w:val="0"/>
                <w:color w:val="auto"/>
                <w:kern w:val="28"/>
                <w:sz w:val="24"/>
                <w:szCs w:val="24"/>
                <w:highlight w:val="none"/>
                <w:lang w:val="en-US" w:eastAsia="zh-CN" w:bidi="ar-SA"/>
              </w:rPr>
            </w:pPr>
            <w:r>
              <w:rPr>
                <w:rFonts w:hint="eastAsia" w:hAnsi="宋体" w:cs="宋体"/>
                <w:snapToGrid w:val="0"/>
                <w:color w:val="auto"/>
                <w:kern w:val="28"/>
                <w:sz w:val="24"/>
                <w:szCs w:val="24"/>
                <w:highlight w:val="none"/>
                <w:lang w:val="en-US" w:eastAsia="zh-CN" w:bidi="ar-SA"/>
              </w:rPr>
              <w:t>5</w:t>
            </w:r>
          </w:p>
        </w:tc>
        <w:tc>
          <w:tcPr>
            <w:tcW w:w="1365"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sz w:val="24"/>
                <w:szCs w:val="24"/>
                <w:highlight w:val="none"/>
              </w:rPr>
              <w:t>客观分</w:t>
            </w:r>
          </w:p>
        </w:tc>
        <w:tc>
          <w:tcPr>
            <w:tcW w:w="2093"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19</w:t>
            </w:r>
          </w:p>
        </w:tc>
        <w:tc>
          <w:tcPr>
            <w:tcW w:w="5212" w:type="dxa"/>
            <w:vAlign w:val="center"/>
          </w:tcPr>
          <w:p>
            <w:pPr>
              <w:widowControl/>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拟派本项目组成员（项目负责人除外）：</w:t>
            </w:r>
          </w:p>
          <w:p>
            <w:pPr>
              <w:widowControl/>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持有省级档案信息安全保密培训证书，每人得0.5分，合计2分。</w:t>
            </w:r>
          </w:p>
          <w:p>
            <w:pPr>
              <w:widowControl/>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持有省级档案管理岗位证书，每人得0.5分，合计2分。</w:t>
            </w:r>
          </w:p>
          <w:p>
            <w:pPr>
              <w:widowControl/>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w:t>
            </w:r>
            <w:r>
              <w:rPr>
                <w:rFonts w:hint="eastAsia" w:ascii="宋体" w:hAnsi="宋体" w:eastAsia="宋体" w:cs="宋体"/>
                <w:color w:val="auto"/>
                <w:kern w:val="2"/>
                <w:sz w:val="24"/>
                <w:szCs w:val="24"/>
                <w:highlight w:val="none"/>
                <w:lang w:val="en-US" w:eastAsia="zh-CN" w:bidi="ar-SA"/>
              </w:rPr>
              <w:t>持有省级档案管理业务证书，每人得0.5分，合计1分。</w:t>
            </w:r>
          </w:p>
          <w:p>
            <w:pPr>
              <w:widowControl/>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有效证明材料：投标文件中须提供相关证书复印件以及在本单位连续缴纳近三个月的社保证明材料复印件</w:t>
            </w:r>
            <w:r>
              <w:rPr>
                <w:rFonts w:hint="eastAsia" w:ascii="宋体" w:hAnsi="宋体" w:cs="宋体"/>
                <w:color w:val="auto"/>
                <w:kern w:val="2"/>
                <w:sz w:val="24"/>
                <w:szCs w:val="24"/>
                <w:highlight w:val="none"/>
                <w:lang w:val="en-US" w:eastAsia="zh-CN" w:bidi="ar-SA"/>
              </w:rPr>
              <w:t>并加盖公章</w:t>
            </w:r>
            <w:r>
              <w:rPr>
                <w:rFonts w:hint="eastAsia" w:ascii="宋体" w:hAnsi="宋体" w:eastAsia="宋体" w:cs="宋体"/>
                <w:color w:val="auto"/>
                <w:kern w:val="2"/>
                <w:sz w:val="24"/>
                <w:szCs w:val="24"/>
                <w:highlight w:val="none"/>
                <w:lang w:val="en-US" w:eastAsia="zh-CN" w:bidi="ar-SA"/>
              </w:rPr>
              <w:t>。</w:t>
            </w:r>
          </w:p>
        </w:tc>
        <w:tc>
          <w:tcPr>
            <w:tcW w:w="750" w:type="dxa"/>
            <w:vAlign w:val="center"/>
          </w:tcPr>
          <w:p>
            <w:pPr>
              <w:pStyle w:val="7"/>
              <w:ind w:firstLine="0" w:firstLineChars="0"/>
              <w:jc w:val="center"/>
              <w:rPr>
                <w:rFonts w:hint="default" w:ascii="宋体" w:hAnsi="宋体" w:eastAsia="宋体" w:cs="宋体"/>
                <w:snapToGrid w:val="0"/>
                <w:color w:val="auto"/>
                <w:kern w:val="28"/>
                <w:sz w:val="24"/>
                <w:szCs w:val="24"/>
                <w:highlight w:val="none"/>
                <w:lang w:val="en-US" w:eastAsia="zh-CN" w:bidi="ar-SA"/>
              </w:rPr>
            </w:pPr>
            <w:r>
              <w:rPr>
                <w:rFonts w:hint="eastAsia" w:hAnsi="宋体" w:cs="宋体"/>
                <w:snapToGrid w:val="0"/>
                <w:color w:val="auto"/>
                <w:kern w:val="28"/>
                <w:sz w:val="24"/>
                <w:szCs w:val="24"/>
                <w:highlight w:val="none"/>
                <w:lang w:val="en-US" w:eastAsia="zh-CN" w:bidi="ar-SA"/>
              </w:rPr>
              <w:t>5</w:t>
            </w:r>
          </w:p>
        </w:tc>
        <w:tc>
          <w:tcPr>
            <w:tcW w:w="1365"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sz w:val="24"/>
                <w:szCs w:val="24"/>
                <w:highlight w:val="none"/>
              </w:rPr>
              <w:t>客观分</w:t>
            </w:r>
          </w:p>
        </w:tc>
        <w:tc>
          <w:tcPr>
            <w:tcW w:w="2093"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20</w:t>
            </w:r>
          </w:p>
        </w:tc>
        <w:tc>
          <w:tcPr>
            <w:tcW w:w="5212" w:type="dxa"/>
            <w:vAlign w:val="center"/>
          </w:tcPr>
          <w:p>
            <w:pPr>
              <w:widowControl/>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投标人具有有效的质量管理体系认证证书、信息安全管理体系认证证书、信息技术服务管理体系认证证书、职业健康安全管理体系认证证书，上述证书认证范围均须包含地理信息系统数据工程。每提供一项证书得1分，总计4分，没有得0分。</w:t>
            </w:r>
          </w:p>
          <w:p>
            <w:pPr>
              <w:widowControl/>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有效证明材料：投标文件中须提供相关证书复印件</w:t>
            </w:r>
            <w:r>
              <w:rPr>
                <w:rFonts w:hint="eastAsia" w:ascii="宋体" w:hAnsi="宋体" w:cs="宋体"/>
                <w:color w:val="auto"/>
                <w:kern w:val="2"/>
                <w:sz w:val="24"/>
                <w:szCs w:val="24"/>
                <w:highlight w:val="none"/>
                <w:lang w:val="en-US" w:eastAsia="zh-CN" w:bidi="ar-SA"/>
              </w:rPr>
              <w:t>并加盖公章</w:t>
            </w:r>
            <w:r>
              <w:rPr>
                <w:rFonts w:hint="eastAsia" w:ascii="宋体" w:hAnsi="宋体" w:eastAsia="宋体" w:cs="宋体"/>
                <w:color w:val="auto"/>
                <w:kern w:val="2"/>
                <w:sz w:val="24"/>
                <w:szCs w:val="24"/>
                <w:highlight w:val="none"/>
                <w:lang w:val="en-US" w:eastAsia="zh-CN" w:bidi="ar-SA"/>
              </w:rPr>
              <w:t>。</w:t>
            </w:r>
          </w:p>
        </w:tc>
        <w:tc>
          <w:tcPr>
            <w:tcW w:w="750" w:type="dxa"/>
            <w:vAlign w:val="center"/>
          </w:tcPr>
          <w:p>
            <w:pPr>
              <w:pStyle w:val="7"/>
              <w:ind w:firstLine="0" w:firstLineChars="0"/>
              <w:jc w:val="center"/>
              <w:rPr>
                <w:rFonts w:hint="default" w:ascii="宋体" w:hAnsi="宋体" w:eastAsia="宋体" w:cs="宋体"/>
                <w:snapToGrid w:val="0"/>
                <w:color w:val="auto"/>
                <w:kern w:val="28"/>
                <w:sz w:val="24"/>
                <w:szCs w:val="24"/>
                <w:highlight w:val="none"/>
                <w:lang w:val="en-US" w:eastAsia="zh-CN" w:bidi="ar-SA"/>
              </w:rPr>
            </w:pPr>
            <w:r>
              <w:rPr>
                <w:rFonts w:hint="eastAsia" w:hAnsi="宋体" w:cs="宋体"/>
                <w:snapToGrid w:val="0"/>
                <w:color w:val="auto"/>
                <w:kern w:val="28"/>
                <w:sz w:val="24"/>
                <w:szCs w:val="24"/>
                <w:highlight w:val="none"/>
                <w:lang w:val="en-US" w:eastAsia="zh-CN" w:bidi="ar-SA"/>
              </w:rPr>
              <w:t>4</w:t>
            </w:r>
          </w:p>
        </w:tc>
        <w:tc>
          <w:tcPr>
            <w:tcW w:w="1365"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sz w:val="24"/>
                <w:szCs w:val="24"/>
                <w:highlight w:val="none"/>
              </w:rPr>
              <w:t>客观分</w:t>
            </w:r>
          </w:p>
        </w:tc>
        <w:tc>
          <w:tcPr>
            <w:tcW w:w="2093"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21</w:t>
            </w:r>
          </w:p>
        </w:tc>
        <w:tc>
          <w:tcPr>
            <w:tcW w:w="5212" w:type="dxa"/>
            <w:vAlign w:val="center"/>
          </w:tcPr>
          <w:p>
            <w:pPr>
              <w:widowControl/>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1.投标人拥有物业维修资金管理软件计算机软件著作权登记证书，得1分。</w:t>
            </w:r>
          </w:p>
          <w:p>
            <w:pPr>
              <w:widowControl/>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2.投标人拥有房产信息录入软件计算机软件著作权登记证书的，得1分；</w:t>
            </w:r>
          </w:p>
          <w:p>
            <w:pPr>
              <w:widowControl/>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3.投标人拥有房产档案数字化加工软件计算机软件著作权登记证书的，得1分；</w:t>
            </w:r>
          </w:p>
          <w:p>
            <w:pPr>
              <w:widowControl/>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4.投标人拥有数字物业管理软件计算机软件著作权登记证书，得1分。</w:t>
            </w:r>
          </w:p>
          <w:p>
            <w:pPr>
              <w:widowControl/>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有效证明材料：投标文件中须提供相关证书复印件并加盖公章。</w:t>
            </w:r>
          </w:p>
        </w:tc>
        <w:tc>
          <w:tcPr>
            <w:tcW w:w="750" w:type="dxa"/>
            <w:vAlign w:val="center"/>
          </w:tcPr>
          <w:p>
            <w:pPr>
              <w:snapToGrid w:val="0"/>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p>
        </w:tc>
        <w:tc>
          <w:tcPr>
            <w:tcW w:w="1365"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sz w:val="24"/>
                <w:szCs w:val="24"/>
                <w:highlight w:val="none"/>
              </w:rPr>
              <w:t>客观分</w:t>
            </w:r>
          </w:p>
        </w:tc>
        <w:tc>
          <w:tcPr>
            <w:tcW w:w="2093"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22</w:t>
            </w:r>
          </w:p>
        </w:tc>
        <w:tc>
          <w:tcPr>
            <w:tcW w:w="5212" w:type="dxa"/>
            <w:vAlign w:val="center"/>
          </w:tcPr>
          <w:p>
            <w:pPr>
              <w:widowControl/>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sz w:val="24"/>
                <w:szCs w:val="24"/>
                <w:highlight w:val="none"/>
              </w:rPr>
              <w:t>投标人自2018年1月1日以来具有类似房产数据整理、房产GIS建库类项目的成功案例，每个案例得0.</w:t>
            </w:r>
            <w:r>
              <w:rPr>
                <w:rFonts w:hint="eastAsia" w:ascii="宋体" w:hAnsi="宋体" w:cs="宋体"/>
                <w:bCs/>
                <w:color w:val="auto"/>
                <w:sz w:val="24"/>
                <w:szCs w:val="24"/>
                <w:highlight w:val="none"/>
                <w:lang w:val="en-US" w:eastAsia="zh-CN"/>
              </w:rPr>
              <w:t>2</w:t>
            </w:r>
            <w:r>
              <w:rPr>
                <w:rFonts w:hint="eastAsia" w:ascii="宋体" w:hAnsi="宋体" w:eastAsia="宋体" w:cs="宋体"/>
                <w:bCs/>
                <w:color w:val="auto"/>
                <w:sz w:val="24"/>
                <w:szCs w:val="24"/>
                <w:highlight w:val="none"/>
              </w:rPr>
              <w:t>分，最多得1分</w:t>
            </w:r>
            <w:r>
              <w:rPr>
                <w:rFonts w:hint="eastAsia" w:ascii="宋体" w:hAnsi="宋体" w:cs="宋体"/>
                <w:bCs/>
                <w:color w:val="auto"/>
                <w:sz w:val="24"/>
                <w:szCs w:val="24"/>
                <w:highlight w:val="none"/>
                <w:lang w:eastAsia="zh-CN"/>
              </w:rPr>
              <w:t>。</w:t>
            </w:r>
            <w:r>
              <w:rPr>
                <w:rFonts w:hint="eastAsia" w:ascii="宋体" w:hAnsi="宋体" w:eastAsia="宋体" w:cs="宋体"/>
                <w:bCs/>
                <w:color w:val="auto"/>
                <w:sz w:val="24"/>
                <w:szCs w:val="24"/>
                <w:highlight w:val="none"/>
              </w:rPr>
              <w:br w:type="textWrapping"/>
            </w:r>
            <w:r>
              <w:rPr>
                <w:rFonts w:hint="eastAsia" w:ascii="宋体" w:hAnsi="宋体" w:eastAsia="宋体" w:cs="宋体"/>
                <w:bCs/>
                <w:color w:val="auto"/>
                <w:sz w:val="24"/>
                <w:szCs w:val="24"/>
                <w:highlight w:val="none"/>
                <w:lang w:eastAsia="zh-CN"/>
              </w:rPr>
              <w:t>有效证明材料：</w:t>
            </w:r>
            <w:r>
              <w:rPr>
                <w:rFonts w:hint="eastAsia" w:ascii="宋体" w:hAnsi="宋体" w:eastAsia="宋体" w:cs="宋体"/>
                <w:bCs/>
                <w:color w:val="auto"/>
                <w:sz w:val="24"/>
                <w:szCs w:val="24"/>
                <w:highlight w:val="none"/>
              </w:rPr>
              <w:t>时间以</w:t>
            </w:r>
            <w:r>
              <w:rPr>
                <w:rFonts w:hint="eastAsia" w:ascii="宋体" w:hAnsi="宋体" w:cs="宋体"/>
                <w:bCs/>
                <w:color w:val="auto"/>
                <w:sz w:val="24"/>
                <w:szCs w:val="24"/>
                <w:highlight w:val="none"/>
                <w:lang w:val="en-US" w:eastAsia="zh-CN"/>
              </w:rPr>
              <w:t>合同签订日期</w:t>
            </w:r>
            <w:r>
              <w:rPr>
                <w:rFonts w:hint="eastAsia" w:ascii="宋体" w:hAnsi="宋体" w:eastAsia="宋体" w:cs="宋体"/>
                <w:bCs/>
                <w:color w:val="auto"/>
                <w:sz w:val="24"/>
                <w:szCs w:val="24"/>
                <w:highlight w:val="none"/>
              </w:rPr>
              <w:t>为准</w:t>
            </w:r>
            <w:r>
              <w:rPr>
                <w:rFonts w:hint="eastAsia" w:ascii="宋体" w:hAnsi="宋体" w:cs="宋体"/>
                <w:bCs/>
                <w:color w:val="auto"/>
                <w:sz w:val="24"/>
                <w:szCs w:val="24"/>
                <w:highlight w:val="none"/>
                <w:lang w:eastAsia="zh-CN"/>
              </w:rPr>
              <w:t>，</w:t>
            </w:r>
            <w:r>
              <w:rPr>
                <w:rFonts w:hint="eastAsia" w:ascii="宋体" w:hAnsi="宋体" w:eastAsia="宋体" w:cs="宋体"/>
                <w:bCs/>
                <w:color w:val="auto"/>
                <w:kern w:val="0"/>
                <w:sz w:val="24"/>
                <w:szCs w:val="24"/>
                <w:highlight w:val="none"/>
              </w:rPr>
              <w:t>投标文件中须提供合同复印件</w:t>
            </w:r>
            <w:r>
              <w:rPr>
                <w:rFonts w:hint="eastAsia" w:ascii="宋体" w:hAnsi="宋体" w:eastAsia="宋体" w:cs="宋体"/>
                <w:color w:val="auto"/>
                <w:kern w:val="2"/>
                <w:sz w:val="24"/>
                <w:szCs w:val="24"/>
                <w:highlight w:val="none"/>
                <w:lang w:val="en-US" w:eastAsia="zh-CN" w:bidi="ar-SA"/>
              </w:rPr>
              <w:t>并加盖公章</w:t>
            </w:r>
            <w:r>
              <w:rPr>
                <w:rFonts w:hint="eastAsia" w:ascii="宋体" w:hAnsi="宋体" w:cs="宋体"/>
                <w:bCs/>
                <w:color w:val="auto"/>
                <w:kern w:val="0"/>
                <w:sz w:val="24"/>
                <w:szCs w:val="24"/>
                <w:highlight w:val="none"/>
                <w:lang w:eastAsia="zh-CN"/>
              </w:rPr>
              <w:t>。</w:t>
            </w:r>
          </w:p>
        </w:tc>
        <w:tc>
          <w:tcPr>
            <w:tcW w:w="750" w:type="dxa"/>
            <w:vAlign w:val="center"/>
          </w:tcPr>
          <w:p>
            <w:pPr>
              <w:snapToGrid w:val="0"/>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w:t>
            </w:r>
          </w:p>
        </w:tc>
        <w:tc>
          <w:tcPr>
            <w:tcW w:w="1365"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sz w:val="24"/>
                <w:szCs w:val="24"/>
                <w:highlight w:val="none"/>
              </w:rPr>
              <w:t>客观分</w:t>
            </w:r>
          </w:p>
        </w:tc>
        <w:tc>
          <w:tcPr>
            <w:tcW w:w="2093"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12"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23</w:t>
            </w:r>
          </w:p>
        </w:tc>
        <w:tc>
          <w:tcPr>
            <w:tcW w:w="5212" w:type="dxa"/>
          </w:tcPr>
          <w:p>
            <w:pPr>
              <w:shd w:val="clear"/>
              <w:spacing w:line="240" w:lineRule="auto"/>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有效投标报价的最低价作为评标基准价，其最低报价为满分；按［投标报价得分</w:t>
            </w:r>
            <w:r>
              <w:rPr>
                <w:rFonts w:cs="仿宋_GB2312" w:asciiTheme="minorEastAsia" w:hAnsiTheme="minorEastAsia" w:eastAsiaTheme="minorEastAsia"/>
                <w:color w:val="auto"/>
                <w:sz w:val="24"/>
                <w:highlight w:val="none"/>
              </w:rPr>
              <w:t>=（评标基准价/投标报价）*</w:t>
            </w:r>
            <w:r>
              <w:rPr>
                <w:rFonts w:hint="eastAsia" w:cs="仿宋_GB2312" w:asciiTheme="minorEastAsia" w:hAnsiTheme="minorEastAsia" w:eastAsiaTheme="minorEastAsia"/>
                <w:color w:val="auto"/>
                <w:sz w:val="24"/>
                <w:highlight w:val="none"/>
                <w:lang w:val="en-US" w:eastAsia="zh-CN"/>
              </w:rPr>
              <w:t>10</w:t>
            </w:r>
            <w:r>
              <w:rPr>
                <w:rFonts w:cs="仿宋_GB2312" w:asciiTheme="minorEastAsia" w:hAnsiTheme="minorEastAsia" w:eastAsiaTheme="minorEastAsia"/>
                <w:color w:val="auto"/>
                <w:sz w:val="24"/>
                <w:highlight w:val="none"/>
              </w:rPr>
              <w:t>］的计算公式计算。</w:t>
            </w:r>
          </w:p>
          <w:p>
            <w:pPr>
              <w:widowControl/>
              <w:shd w:val="clear" w:color="auto"/>
              <w:adjustRightInd/>
              <w:spacing w:after="225" w:line="240" w:lineRule="auto"/>
              <w:jc w:val="left"/>
              <w:rPr>
                <w:rFonts w:asciiTheme="minorEastAsia" w:hAnsiTheme="minorEastAsia" w:eastAsiaTheme="minorEastAsia"/>
                <w:color w:val="auto"/>
                <w:sz w:val="24"/>
                <w:highlight w:val="none"/>
              </w:rPr>
            </w:pPr>
            <w:r>
              <w:rPr>
                <w:rFonts w:cs="仿宋_GB2312" w:asciiTheme="minorEastAsia" w:hAnsiTheme="minorEastAsia" w:eastAsiaTheme="minorEastAsia"/>
                <w:color w:val="auto"/>
                <w:sz w:val="24"/>
                <w:highlight w:val="none"/>
              </w:rPr>
              <w:t>评标过程中，不得去掉报价中的最高报价和最低报价。</w:t>
            </w:r>
          </w:p>
        </w:tc>
        <w:tc>
          <w:tcPr>
            <w:tcW w:w="750" w:type="dxa"/>
            <w:vAlign w:val="center"/>
          </w:tcPr>
          <w:p>
            <w:pPr>
              <w:spacing w:line="360" w:lineRule="auto"/>
              <w:jc w:val="center"/>
              <w:outlineLvl w:val="0"/>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10</w:t>
            </w:r>
          </w:p>
        </w:tc>
        <w:tc>
          <w:tcPr>
            <w:tcW w:w="1365" w:type="dxa"/>
            <w:vAlign w:val="center"/>
          </w:tcPr>
          <w:p>
            <w:pPr>
              <w:spacing w:line="360" w:lineRule="auto"/>
              <w:jc w:val="center"/>
              <w:outlineLvl w:val="0"/>
              <w:rPr>
                <w:rFonts w:cs="仿宋_GB2312" w:asciiTheme="minorEastAsia" w:hAnsiTheme="minorEastAsia" w:eastAsiaTheme="minorEastAsia"/>
                <w:color w:val="auto"/>
                <w:sz w:val="24"/>
                <w:highlight w:val="none"/>
              </w:rPr>
            </w:pPr>
            <w:r>
              <w:rPr>
                <w:rFonts w:hint="eastAsia" w:ascii="宋体" w:hAnsi="宋体" w:eastAsia="宋体" w:cs="宋体"/>
                <w:bCs/>
                <w:color w:val="auto"/>
                <w:sz w:val="24"/>
                <w:szCs w:val="24"/>
                <w:highlight w:val="none"/>
              </w:rPr>
              <w:t>客观分</w:t>
            </w:r>
          </w:p>
        </w:tc>
        <w:tc>
          <w:tcPr>
            <w:tcW w:w="2093" w:type="dxa"/>
            <w:vAlign w:val="center"/>
          </w:tcPr>
          <w:p>
            <w:pPr>
              <w:spacing w:line="360" w:lineRule="auto"/>
              <w:jc w:val="center"/>
              <w:outlineLvl w:val="0"/>
              <w:rPr>
                <w:rFonts w:cs="仿宋_GB2312" w:asciiTheme="minorEastAsia" w:hAnsiTheme="minorEastAsia" w:eastAsiaTheme="minorEastAsia"/>
                <w:color w:val="auto"/>
                <w:sz w:val="24"/>
                <w:highlight w:val="none"/>
              </w:rPr>
            </w:pPr>
            <w:r>
              <w:rPr>
                <w:rFonts w:cs="仿宋_GB2312" w:asciiTheme="minorEastAsia" w:hAnsiTheme="minorEastAsia" w:eastAsiaTheme="minorEastAsia"/>
                <w:color w:val="auto"/>
                <w:sz w:val="24"/>
                <w:highlight w:val="none"/>
              </w:rPr>
              <w:t>/</w:t>
            </w:r>
          </w:p>
        </w:tc>
      </w:tr>
    </w:tbl>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29"/>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hd w:val="clea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29"/>
        <w:shd w:val="clear"/>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8"/>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spacing w:line="360" w:lineRule="auto"/>
        <w:ind w:firstLine="480" w:firstLineChars="200"/>
        <w:rPr>
          <w:rFonts w:hint="eastAsia" w:ascii="宋体" w:hAnsi="宋体" w:eastAsia="宋体" w:cs="宋体"/>
          <w:color w:val="auto"/>
          <w:kern w:val="0"/>
          <w:sz w:val="24"/>
          <w:highlight w:val="none"/>
          <w:lang w:val="en-US"/>
        </w:rPr>
      </w:pPr>
      <w:r>
        <w:rPr>
          <w:rFonts w:hint="eastAsia" w:ascii="宋体" w:hAnsi="宋体" w:eastAsia="宋体" w:cs="宋体"/>
          <w:color w:val="auto"/>
          <w:kern w:val="0"/>
          <w:sz w:val="24"/>
          <w:highlight w:val="none"/>
          <w:lang w:val="en-US"/>
        </w:rPr>
        <w:t>4.2.13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8"/>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8"/>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8"/>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8"/>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8"/>
        <w:snapToGrid w:val="0"/>
        <w:spacing w:line="360" w:lineRule="auto"/>
        <w:rPr>
          <w:rFonts w:cs="宋体"/>
          <w:color w:val="auto"/>
          <w:highlight w:val="none"/>
        </w:rPr>
      </w:pPr>
      <w:r>
        <w:rPr>
          <w:rFonts w:hint="eastAsia" w:cs="宋体"/>
          <w:color w:val="auto"/>
          <w:highlight w:val="none"/>
        </w:rPr>
        <w:t>5.4因重大变故，采购任务取消的。</w:t>
      </w:r>
    </w:p>
    <w:p>
      <w:pPr>
        <w:pStyle w:val="8"/>
        <w:snapToGrid w:val="0"/>
        <w:spacing w:line="360" w:lineRule="auto"/>
        <w:rPr>
          <w:rFonts w:cs="宋体"/>
          <w:color w:val="auto"/>
          <w:highlight w:val="none"/>
        </w:rPr>
      </w:pPr>
      <w:r>
        <w:rPr>
          <w:rFonts w:hint="eastAsia" w:cs="宋体"/>
          <w:color w:val="auto"/>
          <w:highlight w:val="none"/>
        </w:rPr>
        <w:t>废标后，采购代理机构应当将废标理由通知所有投标人。</w:t>
      </w:r>
    </w:p>
    <w:p>
      <w:pPr>
        <w:pStyle w:val="8"/>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8"/>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8"/>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8"/>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8"/>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8"/>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8"/>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8"/>
        <w:snapToGrid w:val="0"/>
        <w:spacing w:line="360" w:lineRule="auto"/>
        <w:ind w:firstLine="0" w:firstLineChars="0"/>
        <w:rPr>
          <w:rFonts w:cs="宋体"/>
          <w:color w:val="auto"/>
          <w:highlight w:val="none"/>
        </w:rPr>
      </w:pPr>
    </w:p>
    <w:bookmarkEnd w:id="27"/>
    <w:p>
      <w:pPr>
        <w:spacing w:line="360" w:lineRule="auto"/>
        <w:ind w:left="720" w:leftChars="343" w:firstLine="1084" w:firstLineChars="300"/>
        <w:outlineLvl w:val="0"/>
        <w:rPr>
          <w:rFonts w:ascii="宋体" w:hAnsi="宋体" w:cs="宋体"/>
          <w:b/>
          <w:color w:val="auto"/>
          <w:sz w:val="36"/>
          <w:szCs w:val="36"/>
          <w:highlight w:val="none"/>
        </w:rPr>
      </w:pPr>
      <w:bookmarkStart w:id="393" w:name="第五部分"/>
      <w:bookmarkStart w:id="394" w:name="_Toc86217003"/>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    </w:t>
      </w:r>
    </w:p>
    <w:p>
      <w:pPr>
        <w:spacing w:line="360" w:lineRule="auto"/>
        <w:ind w:left="720" w:leftChars="343" w:firstLine="1084" w:firstLineChars="300"/>
        <w:outlineLvl w:val="0"/>
        <w:rPr>
          <w:rFonts w:ascii="宋体" w:hAnsi="宋体" w:cs="宋体"/>
          <w:b/>
          <w:color w:val="auto"/>
          <w:sz w:val="36"/>
          <w:szCs w:val="36"/>
          <w:highlight w:val="none"/>
        </w:rPr>
      </w:pPr>
    </w:p>
    <w:p>
      <w:pPr>
        <w:widowControl/>
        <w:adjustRightInd/>
        <w:jc w:val="left"/>
        <w:rPr>
          <w:rFonts w:ascii="宋体" w:hAnsi="宋体" w:cs="宋体"/>
          <w:b/>
          <w:color w:val="auto"/>
          <w:sz w:val="36"/>
          <w:szCs w:val="36"/>
          <w:highlight w:val="none"/>
        </w:rPr>
      </w:pPr>
      <w:r>
        <w:rPr>
          <w:rFonts w:ascii="宋体" w:hAnsi="宋体" w:cs="宋体"/>
          <w:b/>
          <w:color w:val="auto"/>
          <w:sz w:val="36"/>
          <w:szCs w:val="36"/>
          <w:highlight w:val="none"/>
        </w:rPr>
        <w:br w:type="page"/>
      </w: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700"/>
        <w:ind w:firstLine="2843" w:firstLineChars="1180"/>
        <w:rPr>
          <w:rFonts w:ascii="宋体" w:hAnsi="宋体" w:cs="宋体"/>
          <w:b/>
          <w:color w:val="auto"/>
          <w:szCs w:val="24"/>
          <w:highlight w:val="none"/>
        </w:rPr>
      </w:pPr>
      <w:r>
        <w:rPr>
          <w:rFonts w:hint="eastAsia" w:ascii="宋体" w:hAnsi="宋体" w:cs="宋体"/>
          <w:b/>
          <w:color w:val="auto"/>
          <w:szCs w:val="24"/>
          <w:highlight w:val="none"/>
        </w:rPr>
        <w:t>第一部分 合同书</w:t>
      </w:r>
    </w:p>
    <w:p>
      <w:pPr>
        <w:spacing w:before="120" w:line="22" w:lineRule="atLeast"/>
        <w:rPr>
          <w:rFonts w:ascii="宋体" w:hAnsi="宋体" w:cs="宋体"/>
          <w:color w:val="auto"/>
          <w:sz w:val="24"/>
          <w:highlight w:val="none"/>
        </w:rPr>
      </w:pPr>
    </w:p>
    <w:p>
      <w:pPr>
        <w:pStyle w:val="4"/>
        <w:rPr>
          <w:color w:val="auto"/>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lang w:eastAsia="zh-CN"/>
        </w:rPr>
        <w:t>建德市物业维修资金数据治理迁移项目</w:t>
      </w:r>
    </w:p>
    <w:p>
      <w:pPr>
        <w:pStyle w:val="597"/>
        <w:spacing w:before="120" w:line="22" w:lineRule="atLeast"/>
        <w:rPr>
          <w:rFonts w:ascii="宋体" w:hAnsi="宋体" w:eastAsia="宋体" w:cs="宋体"/>
          <w:color w:val="auto"/>
          <w:szCs w:val="24"/>
          <w:highlight w:val="none"/>
        </w:rPr>
      </w:pPr>
    </w:p>
    <w:p>
      <w:pPr>
        <w:pStyle w:val="597"/>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建德市房产和住房保障服务中心</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2023</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1474" w:right="1814" w:bottom="1474" w:left="1814" w:header="851" w:footer="851" w:gutter="0"/>
          <w:cols w:space="720" w:num="1"/>
        </w:sectPr>
      </w:pPr>
    </w:p>
    <w:p>
      <w:pPr>
        <w:spacing w:line="560" w:lineRule="exact"/>
        <w:ind w:firstLine="480" w:firstLineChars="20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s="宋体"/>
          <w:color w:val="auto"/>
          <w:sz w:val="24"/>
          <w:highlight w:val="none"/>
          <w:u w:val="single"/>
          <w:lang w:eastAsia="zh-CN"/>
        </w:rPr>
        <w:t>建德市房产和住房保障服务中心</w:t>
      </w:r>
      <w:r>
        <w:rPr>
          <w:rFonts w:ascii="宋体" w:hAnsi="宋体"/>
          <w:color w:val="auto"/>
          <w:sz w:val="24"/>
          <w:highlight w:val="none"/>
          <w:u w:val="single"/>
        </w:rPr>
        <w:t xml:space="preserve">   </w:t>
      </w:r>
      <w:r>
        <w:rPr>
          <w:rFonts w:hint="eastAsia" w:ascii="宋体" w:hAnsi="宋体"/>
          <w:color w:val="auto"/>
          <w:sz w:val="24"/>
          <w:highlight w:val="none"/>
        </w:rPr>
        <w:t>以</w:t>
      </w:r>
      <w:r>
        <w:rPr>
          <w:rFonts w:ascii="宋体" w:hAnsi="宋体"/>
          <w:color w:val="auto"/>
          <w:sz w:val="24"/>
          <w:highlight w:val="none"/>
          <w:u w:val="single"/>
        </w:rPr>
        <w:t xml:space="preserve">   （政府采购方式）  </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s="宋体"/>
          <w:color w:val="auto"/>
          <w:sz w:val="24"/>
          <w:highlight w:val="none"/>
          <w:u w:val="single"/>
          <w:lang w:eastAsia="zh-CN"/>
        </w:rPr>
        <w:t>建德市物业维修资金数据治理迁移项目</w:t>
      </w:r>
      <w:r>
        <w:rPr>
          <w:rFonts w:hint="eastAsia" w:ascii="宋体" w:hAnsi="宋体" w:cs="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ascii="宋体" w:hAnsi="宋体"/>
          <w:color w:val="auto"/>
          <w:sz w:val="24"/>
          <w:highlight w:val="none"/>
          <w:u w:val="single"/>
        </w:rPr>
        <w:t xml:space="preserve">   （相关评定主体名称）   </w:t>
      </w:r>
      <w:r>
        <w:rPr>
          <w:rFonts w:hint="eastAsia" w:ascii="宋体" w:hAnsi="宋体"/>
          <w:color w:val="auto"/>
          <w:sz w:val="24"/>
          <w:highlight w:val="none"/>
        </w:rPr>
        <w:t>评定，</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。现于</w:t>
      </w:r>
      <w:r>
        <w:rPr>
          <w:rFonts w:hint="eastAsia" w:ascii="宋体" w:hAnsi="宋体" w:cs="宋体"/>
          <w:color w:val="auto"/>
          <w:sz w:val="24"/>
          <w:highlight w:val="none"/>
        </w:rPr>
        <w:t>中标或者成交通知书</w:t>
      </w:r>
      <w:r>
        <w:rPr>
          <w:rFonts w:hint="eastAsia" w:ascii="宋体" w:hAnsi="宋体"/>
          <w:color w:val="auto"/>
          <w:sz w:val="24"/>
          <w:highlight w:val="none"/>
        </w:rPr>
        <w:t>发出之日起10个工作日内，按照采购文件确定的事项签订本合同。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w:t>
      </w:r>
      <w:r>
        <w:rPr>
          <w:rFonts w:hint="eastAsia" w:ascii="宋体" w:hAnsi="宋体"/>
          <w:color w:val="auto"/>
          <w:sz w:val="24"/>
          <w:highlight w:val="none"/>
          <w:u w:val="single"/>
          <w:lang w:eastAsia="zh-CN"/>
        </w:rPr>
        <w:t>建德市房产和住房保障服务中心</w:t>
      </w:r>
      <w:r>
        <w:rPr>
          <w:rFonts w:ascii="宋体" w:hAnsi="宋体"/>
          <w:color w:val="auto"/>
          <w:sz w:val="24"/>
          <w:highlight w:val="none"/>
          <w:u w:val="single"/>
        </w:rPr>
        <w:t xml:space="preserve">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rPr>
        <w:t>或者成交</w:t>
      </w:r>
      <w:r>
        <w:rPr>
          <w:rFonts w:ascii="宋体" w:hAnsi="宋体"/>
          <w:color w:val="auto"/>
          <w:sz w:val="24"/>
          <w:highlight w:val="none"/>
          <w:u w:val="single"/>
        </w:rPr>
        <w:t xml:space="preserve">标供应商名称）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560" w:lineRule="exact"/>
        <w:ind w:firstLine="482" w:firstLineChars="200"/>
        <w:outlineLvl w:val="0"/>
        <w:rPr>
          <w:rFonts w:ascii="宋体" w:hAnsi="宋体"/>
          <w:color w:val="auto"/>
          <w:sz w:val="24"/>
          <w:highlight w:val="none"/>
        </w:rPr>
      </w:pPr>
      <w:bookmarkStart w:id="395" w:name="_Toc15367"/>
      <w:bookmarkStart w:id="396" w:name="_Toc28855"/>
      <w:bookmarkStart w:id="397" w:name="_Toc20421"/>
      <w:bookmarkStart w:id="398" w:name="_Toc22967"/>
      <w:bookmarkStart w:id="399" w:name="_Toc19273"/>
      <w:r>
        <w:rPr>
          <w:rFonts w:ascii="宋体" w:hAnsi="宋体"/>
          <w:b/>
          <w:color w:val="auto"/>
          <w:sz w:val="24"/>
          <w:highlight w:val="none"/>
        </w:rPr>
        <w:t xml:space="preserve">1.1 </w:t>
      </w:r>
      <w:r>
        <w:rPr>
          <w:rFonts w:hint="eastAsia" w:ascii="宋体" w:hAnsi="宋体"/>
          <w:b/>
          <w:color w:val="auto"/>
          <w:sz w:val="24"/>
          <w:highlight w:val="none"/>
        </w:rPr>
        <w:t>合同组成部分</w:t>
      </w:r>
      <w:bookmarkEnd w:id="395"/>
      <w:bookmarkEnd w:id="396"/>
      <w:bookmarkEnd w:id="397"/>
      <w:bookmarkEnd w:id="398"/>
      <w:bookmarkEnd w:id="399"/>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本合同及其补充合同、变更协议；</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中标或者成交通知书；</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1.1.3 </w:t>
      </w:r>
      <w:r>
        <w:rPr>
          <w:rFonts w:hint="eastAsia" w:ascii="宋体" w:hAnsi="宋体"/>
          <w:color w:val="auto"/>
          <w:sz w:val="24"/>
          <w:highlight w:val="none"/>
        </w:rPr>
        <w:t>投标或者响应文件（含澄清或者说明文件）；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1.1.4 </w:t>
      </w:r>
      <w:r>
        <w:rPr>
          <w:rFonts w:hint="eastAsia" w:ascii="宋体" w:hAnsi="宋体"/>
          <w:color w:val="auto"/>
          <w:sz w:val="24"/>
          <w:highlight w:val="none"/>
        </w:rPr>
        <w:t>采购文件（含澄清或者修改文件）；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1.1.5 </w:t>
      </w:r>
      <w:r>
        <w:rPr>
          <w:rFonts w:hint="eastAsia" w:ascii="宋体" w:hAnsi="宋体"/>
          <w:color w:val="auto"/>
          <w:sz w:val="24"/>
          <w:highlight w:val="none"/>
        </w:rPr>
        <w:t>其他相关采购文件。</w:t>
      </w:r>
    </w:p>
    <w:p>
      <w:pPr>
        <w:spacing w:line="560" w:lineRule="exact"/>
        <w:ind w:firstLine="482" w:firstLineChars="200"/>
        <w:outlineLvl w:val="0"/>
        <w:rPr>
          <w:rFonts w:ascii="宋体" w:hAnsi="宋体"/>
          <w:b/>
          <w:color w:val="auto"/>
          <w:sz w:val="24"/>
          <w:highlight w:val="none"/>
        </w:rPr>
      </w:pPr>
      <w:bookmarkStart w:id="400" w:name="_Toc2918"/>
      <w:bookmarkStart w:id="401" w:name="_Toc18585"/>
      <w:bookmarkStart w:id="402" w:name="_Toc6311"/>
      <w:bookmarkStart w:id="403" w:name="_Toc22185"/>
      <w:bookmarkStart w:id="404" w:name="_Toc6773"/>
      <w:r>
        <w:rPr>
          <w:rFonts w:ascii="宋体" w:hAnsi="宋体"/>
          <w:b/>
          <w:color w:val="auto"/>
          <w:sz w:val="24"/>
          <w:highlight w:val="none"/>
        </w:rPr>
        <w:t xml:space="preserve">1.2 </w:t>
      </w:r>
      <w:r>
        <w:rPr>
          <w:rFonts w:hint="eastAsia" w:ascii="宋体" w:hAnsi="宋体"/>
          <w:b/>
          <w:color w:val="auto"/>
          <w:sz w:val="24"/>
          <w:highlight w:val="none"/>
        </w:rPr>
        <w:t>标的</w:t>
      </w:r>
      <w:bookmarkEnd w:id="400"/>
      <w:bookmarkEnd w:id="401"/>
      <w:bookmarkEnd w:id="402"/>
      <w:bookmarkEnd w:id="403"/>
      <w:bookmarkEnd w:id="404"/>
    </w:p>
    <w:p>
      <w:pPr>
        <w:spacing w:line="480" w:lineRule="auto"/>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480" w:lineRule="auto"/>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480" w:lineRule="auto"/>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480" w:lineRule="auto"/>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958"/>
        <w:spacing w:before="0" w:beforeAutospacing="0" w:after="0" w:afterAutospacing="0" w:line="480" w:lineRule="auto"/>
        <w:ind w:firstLine="480"/>
        <w:rPr>
          <w:color w:val="auto"/>
          <w:highlight w:val="none"/>
        </w:rPr>
      </w:pPr>
      <w:r>
        <w:rPr>
          <w:rFonts w:hint="eastAsia"/>
          <w:color w:val="auto"/>
          <w:highlight w:val="none"/>
        </w:rPr>
        <w:t>1.2.5合同</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否）涉及货物。若涉及货物的的，则：</w:t>
      </w:r>
    </w:p>
    <w:p>
      <w:pPr>
        <w:spacing w:line="560" w:lineRule="exact"/>
        <w:ind w:firstLine="480" w:firstLineChars="200"/>
        <w:rPr>
          <w:rFonts w:ascii="宋体" w:hAnsi="宋体" w:cs="宋体"/>
          <w:color w:val="auto"/>
          <w:sz w:val="24"/>
          <w:highlight w:val="none"/>
          <w:u w:val="single"/>
        </w:rPr>
      </w:pPr>
      <w:bookmarkStart w:id="405" w:name="_Toc5635"/>
      <w:bookmarkStart w:id="406" w:name="_Toc13918"/>
      <w:bookmarkStart w:id="407" w:name="_Toc1386"/>
      <w:bookmarkStart w:id="408" w:name="_Toc4929"/>
      <w:bookmarkStart w:id="409" w:name="_Toc21124"/>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1.3 价款</w:t>
      </w:r>
      <w:bookmarkEnd w:id="405"/>
      <w:bookmarkEnd w:id="406"/>
      <w:bookmarkEnd w:id="407"/>
      <w:bookmarkEnd w:id="408"/>
      <w:bookmarkEnd w:id="409"/>
    </w:p>
    <w:p>
      <w:pP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jc w:val="center"/>
              <w:rPr>
                <w:rFonts w:hAnsi="宋体"/>
                <w:color w:val="auto"/>
                <w:sz w:val="24"/>
                <w:szCs w:val="24"/>
                <w:highlight w:val="none"/>
              </w:rPr>
            </w:pPr>
            <w:r>
              <w:rPr>
                <w:rFonts w:hAnsi="宋体"/>
                <w:color w:val="auto"/>
                <w:sz w:val="24"/>
                <w:szCs w:val="24"/>
                <w:highlight w:val="none"/>
              </w:rPr>
              <w:t>序号</w:t>
            </w:r>
          </w:p>
        </w:tc>
        <w:tc>
          <w:tcPr>
            <w:tcW w:w="3402" w:type="dxa"/>
            <w:vAlign w:val="center"/>
          </w:tcPr>
          <w:p>
            <w:pPr>
              <w:pStyle w:val="318"/>
              <w:spacing w:line="560" w:lineRule="exact"/>
              <w:ind w:firstLine="200"/>
              <w:jc w:val="center"/>
              <w:rPr>
                <w:rFonts w:hAnsi="宋体"/>
                <w:color w:val="auto"/>
                <w:sz w:val="24"/>
                <w:szCs w:val="24"/>
                <w:highlight w:val="none"/>
              </w:rPr>
            </w:pPr>
            <w:r>
              <w:rPr>
                <w:rFonts w:hint="eastAsia" w:hAnsi="宋体"/>
                <w:color w:val="auto"/>
                <w:sz w:val="24"/>
                <w:szCs w:val="24"/>
                <w:highlight w:val="none"/>
              </w:rPr>
              <w:t>分项名称</w:t>
            </w:r>
          </w:p>
        </w:tc>
        <w:tc>
          <w:tcPr>
            <w:tcW w:w="2552" w:type="dxa"/>
            <w:vAlign w:val="center"/>
          </w:tcPr>
          <w:p>
            <w:pPr>
              <w:pStyle w:val="318"/>
              <w:spacing w:line="560" w:lineRule="exact"/>
              <w:jc w:val="center"/>
              <w:rPr>
                <w:rFonts w:hAnsi="宋体"/>
                <w:color w:val="auto"/>
                <w:sz w:val="24"/>
                <w:szCs w:val="24"/>
                <w:highlight w:val="none"/>
              </w:rPr>
            </w:pPr>
            <w:r>
              <w:rPr>
                <w:rFonts w:hAnsi="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auto"/>
                <w:sz w:val="24"/>
                <w:szCs w:val="24"/>
                <w:highlight w:val="none"/>
              </w:rPr>
            </w:pPr>
          </w:p>
        </w:tc>
        <w:tc>
          <w:tcPr>
            <w:tcW w:w="3402" w:type="dxa"/>
            <w:vAlign w:val="center"/>
          </w:tcPr>
          <w:p>
            <w:pPr>
              <w:pStyle w:val="318"/>
              <w:spacing w:line="560" w:lineRule="exact"/>
              <w:ind w:firstLine="200"/>
              <w:jc w:val="center"/>
              <w:rPr>
                <w:rFonts w:hAnsi="宋体"/>
                <w:color w:val="auto"/>
                <w:sz w:val="24"/>
                <w:szCs w:val="24"/>
                <w:highlight w:val="none"/>
              </w:rPr>
            </w:pPr>
          </w:p>
        </w:tc>
        <w:tc>
          <w:tcPr>
            <w:tcW w:w="2552" w:type="dxa"/>
            <w:vAlign w:val="center"/>
          </w:tcPr>
          <w:p>
            <w:pPr>
              <w:pStyle w:val="318"/>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auto"/>
                <w:sz w:val="24"/>
                <w:szCs w:val="24"/>
                <w:highlight w:val="none"/>
              </w:rPr>
            </w:pPr>
          </w:p>
        </w:tc>
        <w:tc>
          <w:tcPr>
            <w:tcW w:w="3402" w:type="dxa"/>
            <w:vAlign w:val="center"/>
          </w:tcPr>
          <w:p>
            <w:pPr>
              <w:pStyle w:val="318"/>
              <w:spacing w:line="560" w:lineRule="exact"/>
              <w:ind w:firstLine="200"/>
              <w:jc w:val="center"/>
              <w:rPr>
                <w:rFonts w:hAnsi="宋体"/>
                <w:color w:val="auto"/>
                <w:sz w:val="24"/>
                <w:szCs w:val="24"/>
                <w:highlight w:val="none"/>
              </w:rPr>
            </w:pPr>
          </w:p>
        </w:tc>
        <w:tc>
          <w:tcPr>
            <w:tcW w:w="2552" w:type="dxa"/>
            <w:vAlign w:val="center"/>
          </w:tcPr>
          <w:p>
            <w:pPr>
              <w:pStyle w:val="318"/>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auto"/>
                <w:sz w:val="24"/>
                <w:szCs w:val="24"/>
                <w:highlight w:val="none"/>
              </w:rPr>
            </w:pPr>
          </w:p>
        </w:tc>
        <w:tc>
          <w:tcPr>
            <w:tcW w:w="3402" w:type="dxa"/>
            <w:vAlign w:val="center"/>
          </w:tcPr>
          <w:p>
            <w:pPr>
              <w:pStyle w:val="318"/>
              <w:spacing w:line="560" w:lineRule="exact"/>
              <w:ind w:firstLine="200"/>
              <w:jc w:val="center"/>
              <w:rPr>
                <w:rFonts w:hAnsi="宋体"/>
                <w:color w:val="auto"/>
                <w:sz w:val="24"/>
                <w:szCs w:val="24"/>
                <w:highlight w:val="none"/>
              </w:rPr>
            </w:pPr>
          </w:p>
        </w:tc>
        <w:tc>
          <w:tcPr>
            <w:tcW w:w="2552" w:type="dxa"/>
            <w:vAlign w:val="center"/>
          </w:tcPr>
          <w:p>
            <w:pPr>
              <w:pStyle w:val="318"/>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auto"/>
                <w:sz w:val="24"/>
                <w:szCs w:val="24"/>
                <w:highlight w:val="none"/>
              </w:rPr>
            </w:pPr>
          </w:p>
        </w:tc>
        <w:tc>
          <w:tcPr>
            <w:tcW w:w="3402" w:type="dxa"/>
            <w:vAlign w:val="center"/>
          </w:tcPr>
          <w:p>
            <w:pPr>
              <w:pStyle w:val="318"/>
              <w:spacing w:line="560" w:lineRule="exact"/>
              <w:ind w:firstLine="200"/>
              <w:jc w:val="center"/>
              <w:rPr>
                <w:rFonts w:hAnsi="宋体"/>
                <w:color w:val="auto"/>
                <w:sz w:val="24"/>
                <w:szCs w:val="24"/>
                <w:highlight w:val="none"/>
              </w:rPr>
            </w:pPr>
          </w:p>
        </w:tc>
        <w:tc>
          <w:tcPr>
            <w:tcW w:w="2552" w:type="dxa"/>
            <w:vAlign w:val="center"/>
          </w:tcPr>
          <w:p>
            <w:pPr>
              <w:pStyle w:val="318"/>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8"/>
              <w:spacing w:line="560" w:lineRule="exact"/>
              <w:ind w:firstLine="200"/>
              <w:jc w:val="center"/>
              <w:rPr>
                <w:rFonts w:hAnsi="宋体"/>
                <w:color w:val="auto"/>
                <w:sz w:val="24"/>
                <w:szCs w:val="24"/>
                <w:highlight w:val="none"/>
              </w:rPr>
            </w:pPr>
            <w:r>
              <w:rPr>
                <w:rFonts w:hint="eastAsia" w:hAnsi="宋体"/>
                <w:color w:val="auto"/>
                <w:sz w:val="24"/>
                <w:szCs w:val="24"/>
                <w:highlight w:val="none"/>
              </w:rPr>
              <w:t>总价</w:t>
            </w:r>
          </w:p>
        </w:tc>
        <w:tc>
          <w:tcPr>
            <w:tcW w:w="2552" w:type="dxa"/>
            <w:vAlign w:val="center"/>
          </w:tcPr>
          <w:p>
            <w:pPr>
              <w:pStyle w:val="318"/>
              <w:spacing w:line="560" w:lineRule="exact"/>
              <w:ind w:firstLine="200"/>
              <w:jc w:val="center"/>
              <w:rPr>
                <w:rFonts w:hAnsi="宋体"/>
                <w:color w:val="auto"/>
                <w:sz w:val="24"/>
                <w:szCs w:val="24"/>
                <w:highlight w:val="none"/>
              </w:rPr>
            </w:pPr>
          </w:p>
        </w:tc>
      </w:tr>
    </w:tbl>
    <w:p>
      <w:pPr>
        <w:spacing w:line="560" w:lineRule="exact"/>
        <w:ind w:firstLine="480" w:firstLineChars="200"/>
        <w:rPr>
          <w:rFonts w:ascii="宋体" w:hAnsi="宋体"/>
          <w:color w:val="auto"/>
          <w:sz w:val="24"/>
          <w:highlight w:val="none"/>
        </w:rPr>
      </w:pPr>
      <w:bookmarkStart w:id="410" w:name="_Toc14993"/>
      <w:bookmarkStart w:id="411" w:name="_Toc30158"/>
      <w:bookmarkStart w:id="412" w:name="_Toc3654"/>
      <w:bookmarkStart w:id="413" w:name="_Toc26916"/>
      <w:bookmarkStart w:id="414" w:name="_Toc30506"/>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pStyle w:val="4"/>
        <w:rPr>
          <w:color w:val="auto"/>
          <w:highlight w:val="none"/>
          <w:lang w:val="en-US"/>
        </w:rPr>
      </w:pPr>
      <w:r>
        <w:rPr>
          <w:rFonts w:hint="eastAsia" w:ascii="宋体" w:hAnsi="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bookmarkEnd w:id="410"/>
    <w:bookmarkEnd w:id="411"/>
    <w:bookmarkEnd w:id="412"/>
    <w:bookmarkEnd w:id="413"/>
    <w:bookmarkEnd w:id="414"/>
    <w:p>
      <w:pPr>
        <w:pStyle w:val="958"/>
        <w:spacing w:before="0" w:beforeAutospacing="0" w:after="0" w:afterAutospacing="0" w:line="360" w:lineRule="auto"/>
        <w:ind w:firstLine="480"/>
        <w:rPr>
          <w:b/>
          <w:color w:val="auto"/>
          <w:highlight w:val="none"/>
        </w:rPr>
      </w:pPr>
      <w:bookmarkStart w:id="415" w:name="_Toc22618"/>
      <w:bookmarkStart w:id="416" w:name="_Toc1814"/>
      <w:bookmarkStart w:id="417" w:name="_Toc10340"/>
      <w:bookmarkStart w:id="418" w:name="_Toc4760"/>
      <w:bookmarkStart w:id="419" w:name="_Toc31421"/>
      <w:bookmarkStart w:id="420" w:name="_Toc8772"/>
      <w:bookmarkStart w:id="421" w:name="_Toc3625"/>
      <w:bookmarkStart w:id="422" w:name="_Toc11108"/>
      <w:r>
        <w:rPr>
          <w:rFonts w:hint="eastAsia"/>
          <w:b/>
          <w:color w:val="auto"/>
          <w:highlight w:val="none"/>
        </w:rPr>
        <w:t>1.4履约保证金</w:t>
      </w:r>
    </w:p>
    <w:p>
      <w:pPr>
        <w:pStyle w:val="958"/>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否）需要支付履约保证金。若需要支付履约保证金的，则：</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4"/>
        <w:tabs>
          <w:tab w:val="left" w:pos="0"/>
        </w:tabs>
        <w:spacing w:line="560" w:lineRule="exact"/>
        <w:ind w:left="0" w:firstLine="480" w:firstLineChars="200"/>
        <w:rPr>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1.4.4甲方在项目验收结束后及时退还履约保证金。甲方在项目通过验收之日起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0.05（可根据情况修改）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1.5</w:t>
      </w:r>
      <w:bookmarkEnd w:id="415"/>
      <w:bookmarkEnd w:id="416"/>
      <w:bookmarkEnd w:id="417"/>
      <w:r>
        <w:rPr>
          <w:rFonts w:hint="eastAsia" w:ascii="宋体" w:hAnsi="宋体" w:cs="宋体"/>
          <w:b/>
          <w:color w:val="auto"/>
          <w:sz w:val="24"/>
          <w:highlight w:val="none"/>
        </w:rPr>
        <w:t>预付款</w:t>
      </w:r>
    </w:p>
    <w:p>
      <w:pPr>
        <w:pStyle w:val="958"/>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否）需要支付预付款。若需要支付预付款的，则：</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958"/>
        <w:spacing w:before="0" w:beforeAutospacing="0" w:after="0" w:afterAutospacing="0" w:line="360" w:lineRule="auto"/>
        <w:ind w:firstLine="480"/>
        <w:rPr>
          <w:color w:val="auto"/>
          <w:highlight w:val="none"/>
        </w:rPr>
      </w:pPr>
      <w:r>
        <w:rPr>
          <w:rFonts w:hint="eastAsia"/>
          <w:color w:val="auto"/>
          <w:highlight w:val="none"/>
        </w:rPr>
        <w:t>1.5.2预付款的扣回方式详见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58"/>
        <w:spacing w:before="0" w:beforeAutospacing="0" w:after="0" w:afterAutospacing="0" w:line="360" w:lineRule="auto"/>
        <w:ind w:firstLine="480"/>
        <w:rPr>
          <w:color w:val="auto"/>
          <w:highlight w:val="none"/>
          <w:u w:val="single"/>
        </w:rPr>
      </w:pPr>
      <w:r>
        <w:rPr>
          <w:rFonts w:hint="eastAsia"/>
          <w:color w:val="auto"/>
          <w:highlight w:val="none"/>
        </w:rPr>
        <w:t>1.5.3预付款的担保措施详见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58"/>
        <w:spacing w:before="0" w:beforeAutospacing="0" w:after="0" w:afterAutospacing="0" w:line="360" w:lineRule="auto"/>
        <w:ind w:firstLine="480"/>
        <w:rPr>
          <w:b/>
          <w:bCs/>
          <w:color w:val="auto"/>
          <w:highlight w:val="none"/>
        </w:rPr>
      </w:pPr>
      <w:r>
        <w:rPr>
          <w:rFonts w:hint="eastAsia"/>
          <w:b/>
          <w:bCs/>
          <w:color w:val="auto"/>
          <w:highlight w:val="none"/>
        </w:rPr>
        <w:t>1.6资金支付</w:t>
      </w:r>
    </w:p>
    <w:p>
      <w:pPr>
        <w:pStyle w:val="958"/>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7</w:t>
      </w:r>
      <w:r>
        <w:rPr>
          <w:rFonts w:ascii="宋体" w:hAnsi="宋体"/>
          <w:b/>
          <w:color w:val="auto"/>
          <w:sz w:val="24"/>
          <w:highlight w:val="none"/>
        </w:rPr>
        <w:t xml:space="preserve"> 履行期限</w:t>
      </w:r>
      <w:r>
        <w:rPr>
          <w:rFonts w:hint="eastAsia" w:ascii="宋体" w:hAnsi="宋体"/>
          <w:b/>
          <w:color w:val="auto"/>
          <w:sz w:val="24"/>
          <w:highlight w:val="none"/>
        </w:rPr>
        <w:t>、地点和方式</w:t>
      </w:r>
      <w:bookmarkEnd w:id="418"/>
      <w:bookmarkEnd w:id="419"/>
      <w:bookmarkEnd w:id="420"/>
      <w:bookmarkEnd w:id="421"/>
      <w:bookmarkEnd w:id="422"/>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.1 </w:t>
      </w:r>
      <w:r>
        <w:rPr>
          <w:rFonts w:hint="eastAsia" w:ascii="宋体" w:hAnsi="宋体"/>
          <w:color w:val="auto"/>
          <w:sz w:val="24"/>
          <w:highlight w:val="none"/>
        </w:rPr>
        <w:t>服务交付（实施）的时间（期限）</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.2 </w:t>
      </w:r>
      <w:r>
        <w:rPr>
          <w:rFonts w:hint="eastAsia" w:ascii="宋体" w:hAnsi="宋体"/>
          <w:color w:val="auto"/>
          <w:sz w:val="24"/>
          <w:highlight w:val="none"/>
        </w:rPr>
        <w:t>服</w:t>
      </w:r>
      <w:r>
        <w:rPr>
          <w:rFonts w:hint="eastAsia" w:ascii="宋体" w:hAnsi="宋体" w:cs="宋体"/>
          <w:color w:val="auto"/>
          <w:sz w:val="24"/>
          <w:highlight w:val="none"/>
        </w:rPr>
        <w:t>务交付（实施）的地点（地域范围）：</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.3 </w:t>
      </w:r>
      <w:r>
        <w:rPr>
          <w:rFonts w:hint="eastAsia" w:ascii="宋体" w:hAnsi="宋体"/>
          <w:color w:val="auto"/>
          <w:sz w:val="24"/>
          <w:highlight w:val="none"/>
        </w:rPr>
        <w:t>服务交付（实施）的方式：</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outlineLvl w:val="0"/>
        <w:rPr>
          <w:rFonts w:ascii="宋体" w:hAnsi="宋体"/>
          <w:bCs/>
          <w:color w:val="auto"/>
          <w:sz w:val="24"/>
          <w:highlight w:val="none"/>
        </w:rPr>
      </w:pPr>
      <w:bookmarkStart w:id="423" w:name="_Toc8586"/>
      <w:bookmarkStart w:id="424" w:name="_Toc2375"/>
      <w:bookmarkStart w:id="425" w:name="_Toc24662"/>
      <w:bookmarkStart w:id="426" w:name="_Toc3079"/>
      <w:bookmarkStart w:id="427" w:name="_Toc5698"/>
      <w:r>
        <w:rPr>
          <w:rFonts w:hint="eastAsia" w:ascii="宋体" w:hAnsi="宋体"/>
          <w:bCs/>
          <w:color w:val="auto"/>
          <w:sz w:val="24"/>
          <w:highlight w:val="none"/>
        </w:rPr>
        <w:t>1.7.4若服务</w:t>
      </w:r>
      <w:r>
        <w:rPr>
          <w:rFonts w:hint="eastAsia"/>
          <w:bCs/>
          <w:color w:val="auto"/>
          <w:sz w:val="24"/>
          <w:highlight w:val="none"/>
        </w:rPr>
        <w:t>涉及货物的，则货物的：</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1.7.4.1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olor w:val="auto"/>
          <w:sz w:val="24"/>
          <w:highlight w:val="none"/>
          <w:u w:val="single"/>
        </w:rPr>
      </w:pPr>
      <w:r>
        <w:rPr>
          <w:rFonts w:ascii="宋体" w:hAnsi="宋体"/>
          <w:b/>
          <w:color w:val="auto"/>
          <w:sz w:val="24"/>
          <w:highlight w:val="none"/>
        </w:rPr>
        <w:t>1.</w:t>
      </w:r>
      <w:r>
        <w:rPr>
          <w:rFonts w:hint="eastAsia" w:ascii="宋体" w:hAnsi="宋体"/>
          <w:b/>
          <w:color w:val="auto"/>
          <w:sz w:val="24"/>
          <w:highlight w:val="none"/>
        </w:rPr>
        <w:t>8违约责任</w:t>
      </w:r>
      <w:bookmarkEnd w:id="423"/>
      <w:bookmarkEnd w:id="424"/>
      <w:bookmarkEnd w:id="425"/>
      <w:bookmarkEnd w:id="426"/>
      <w:bookmarkEnd w:id="427"/>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.1 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u w:val="single"/>
        </w:rPr>
        <w:t xml:space="preserve">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pStyle w:val="4"/>
        <w:ind w:left="0" w:firstLine="480" w:firstLineChars="2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3</w:t>
      </w:r>
      <w:r>
        <w:rPr>
          <w:rFonts w:hint="eastAsia" w:ascii="宋体" w:hAnsi="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w:t>
      </w:r>
      <w:r>
        <w:rPr>
          <w:rFonts w:hint="eastAsia" w:ascii="宋体" w:hAnsi="宋体" w:cs="宋体"/>
          <w:color w:val="auto"/>
          <w:kern w:val="0"/>
          <w:sz w:val="24"/>
          <w:highlight w:val="none"/>
          <w:u w:val="single"/>
        </w:rPr>
        <w:t>（可根据情况修改）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spacing w:line="560" w:lineRule="exact"/>
        <w:ind w:firstLine="480" w:firstLineChars="200"/>
        <w:rPr>
          <w:rFonts w:ascii="宋体" w:hAnsi="宋体" w:cs="宋体"/>
          <w:color w:val="auto"/>
          <w:sz w:val="24"/>
          <w:highlight w:val="none"/>
        </w:rPr>
      </w:pPr>
      <w:bookmarkStart w:id="428" w:name="_Toc30329"/>
      <w:bookmarkStart w:id="429" w:name="_Toc9497"/>
      <w:bookmarkStart w:id="430" w:name="_Toc26807"/>
      <w:bookmarkStart w:id="431" w:name="_Toc18683"/>
      <w:bookmarkStart w:id="432" w:name="_Toc32454"/>
      <w:r>
        <w:rPr>
          <w:rFonts w:hint="eastAsia" w:ascii="宋体" w:hAnsi="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highlight w:val="none"/>
        </w:rPr>
      </w:pPr>
      <w:r>
        <w:rPr>
          <w:rFonts w:hint="eastAsia" w:ascii="宋体" w:hAnsi="宋体" w:cs="宋体"/>
          <w:color w:val="auto"/>
          <w:sz w:val="24"/>
          <w:highlight w:val="none"/>
        </w:rPr>
        <w:t>1.8.7违约责任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bookmarkEnd w:id="428"/>
    <w:bookmarkEnd w:id="429"/>
    <w:bookmarkEnd w:id="430"/>
    <w:bookmarkEnd w:id="431"/>
    <w:bookmarkEnd w:id="432"/>
    <w:p>
      <w:pPr>
        <w:spacing w:line="560" w:lineRule="exact"/>
        <w:ind w:firstLine="482" w:firstLineChars="200"/>
        <w:outlineLvl w:val="0"/>
        <w:rPr>
          <w:rFonts w:ascii="宋体" w:hAnsi="宋体" w:cs="宋体"/>
          <w:b/>
          <w:color w:val="auto"/>
          <w:sz w:val="24"/>
          <w:highlight w:val="none"/>
        </w:rPr>
      </w:pPr>
      <w:bookmarkStart w:id="433" w:name="_Toc15583"/>
      <w:bookmarkStart w:id="434" w:name="_Toc28375"/>
      <w:bookmarkStart w:id="435" w:name="_Toc16021"/>
      <w:r>
        <w:rPr>
          <w:rFonts w:hint="eastAsia" w:ascii="宋体" w:hAnsi="宋体" w:cs="宋体"/>
          <w:b/>
          <w:color w:val="auto"/>
          <w:sz w:val="24"/>
          <w:highlight w:val="none"/>
        </w:rPr>
        <w:t>1.9合同争议的解决</w:t>
      </w:r>
      <w:bookmarkEnd w:id="433"/>
      <w:bookmarkEnd w:id="434"/>
      <w:bookmarkEnd w:id="435"/>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482" w:firstLineChars="200"/>
        <w:outlineLvl w:val="0"/>
        <w:rPr>
          <w:rFonts w:ascii="宋体" w:hAnsi="宋体" w:cs="宋体"/>
          <w:b/>
          <w:color w:val="auto"/>
          <w:sz w:val="24"/>
          <w:highlight w:val="none"/>
        </w:rPr>
      </w:pPr>
      <w:bookmarkStart w:id="436" w:name="_Toc7245"/>
      <w:bookmarkStart w:id="437" w:name="_Toc11173"/>
      <w:bookmarkStart w:id="438" w:name="_Toc15322"/>
      <w:r>
        <w:rPr>
          <w:rFonts w:hint="eastAsia" w:ascii="宋体" w:hAnsi="宋体" w:cs="宋体"/>
          <w:b/>
          <w:color w:val="auto"/>
          <w:sz w:val="24"/>
          <w:highlight w:val="none"/>
        </w:rPr>
        <w:t>2.0 合同生效</w:t>
      </w:r>
      <w:bookmarkEnd w:id="436"/>
      <w:bookmarkEnd w:id="437"/>
      <w:bookmarkEnd w:id="438"/>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color w:val="auto"/>
          <w:sz w:val="24"/>
          <w:highlight w:val="none"/>
          <w:lang w:val="zh-CN"/>
        </w:rPr>
        <w:t xml:space="preserve">                             </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统一社会信用代码：</w:t>
      </w:r>
      <w:r>
        <w:rPr>
          <w:rFonts w:ascii="宋体" w:hAnsi="宋体"/>
          <w:color w:val="auto"/>
          <w:sz w:val="24"/>
          <w:highlight w:val="none"/>
          <w:lang w:val="zh-CN"/>
        </w:rPr>
        <w:t xml:space="preserve">                        </w:t>
      </w:r>
      <w:r>
        <w:rPr>
          <w:rFonts w:hint="eastAsia" w:ascii="宋体" w:hAnsi="宋体"/>
          <w:color w:val="auto"/>
          <w:sz w:val="24"/>
          <w:highlight w:val="none"/>
          <w:lang w:val="zh-CN"/>
        </w:rPr>
        <w:t>统一社会信用代码或身份证号码：</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住所：</w:t>
      </w:r>
      <w:r>
        <w:rPr>
          <w:rFonts w:ascii="宋体" w:hAnsi="宋体"/>
          <w:color w:val="auto"/>
          <w:sz w:val="24"/>
          <w:highlight w:val="none"/>
          <w:lang w:val="zh-CN"/>
        </w:rPr>
        <w:t xml:space="preserve">                                   </w:t>
      </w:r>
      <w:r>
        <w:rPr>
          <w:rFonts w:hint="eastAsia" w:ascii="宋体" w:hAnsi="宋体"/>
          <w:color w:val="auto"/>
          <w:sz w:val="24"/>
          <w:highlight w:val="none"/>
          <w:lang w:val="zh-CN"/>
        </w:rPr>
        <w:t>住所：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法定代表人或</w:t>
      </w:r>
      <w:r>
        <w:rPr>
          <w:rFonts w:ascii="宋体" w:hAnsi="宋体"/>
          <w:color w:val="auto"/>
          <w:sz w:val="24"/>
          <w:highlight w:val="none"/>
          <w:lang w:val="zh-CN"/>
        </w:rPr>
        <w:t xml:space="preserve">                             </w:t>
      </w:r>
      <w:r>
        <w:rPr>
          <w:rFonts w:hint="eastAsia" w:ascii="宋体" w:hAnsi="宋体"/>
          <w:color w:val="auto"/>
          <w:sz w:val="24"/>
          <w:highlight w:val="none"/>
          <w:lang w:val="zh-CN"/>
        </w:rPr>
        <w:t>法定代表人或</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联系人：</w:t>
      </w:r>
      <w:r>
        <w:rPr>
          <w:rFonts w:ascii="宋体" w:hAnsi="宋体"/>
          <w:color w:val="auto"/>
          <w:sz w:val="24"/>
          <w:highlight w:val="none"/>
          <w:lang w:val="zh-CN"/>
        </w:rPr>
        <w:t xml:space="preserve">                                 </w:t>
      </w:r>
      <w:r>
        <w:rPr>
          <w:rFonts w:hint="eastAsia" w:ascii="宋体" w:hAnsi="宋体"/>
          <w:color w:val="auto"/>
          <w:sz w:val="24"/>
          <w:highlight w:val="none"/>
          <w:lang w:val="zh-CN"/>
        </w:rPr>
        <w:t>联系人：</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约定送达地址：</w:t>
      </w:r>
      <w:r>
        <w:rPr>
          <w:rFonts w:ascii="宋体" w:hAnsi="宋体"/>
          <w:color w:val="auto"/>
          <w:sz w:val="24"/>
          <w:highlight w:val="none"/>
          <w:lang w:val="zh-CN"/>
        </w:rPr>
        <w:t xml:space="preserve">                           </w:t>
      </w:r>
      <w:r>
        <w:rPr>
          <w:rFonts w:hint="eastAsia" w:ascii="宋体" w:hAnsi="宋体"/>
          <w:color w:val="auto"/>
          <w:sz w:val="24"/>
          <w:highlight w:val="none"/>
          <w:lang w:val="zh-CN"/>
        </w:rPr>
        <w:t>约定送达地址：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邮政编码：</w:t>
      </w:r>
      <w:r>
        <w:rPr>
          <w:rFonts w:ascii="宋体" w:hAnsi="宋体"/>
          <w:color w:val="auto"/>
          <w:sz w:val="24"/>
          <w:highlight w:val="none"/>
          <w:lang w:val="zh-CN"/>
        </w:rPr>
        <w:t xml:space="preserve">                               </w:t>
      </w:r>
      <w:r>
        <w:rPr>
          <w:rFonts w:hint="eastAsia" w:ascii="宋体" w:hAnsi="宋体"/>
          <w:color w:val="auto"/>
          <w:sz w:val="24"/>
          <w:highlight w:val="none"/>
          <w:lang w:val="zh-CN"/>
        </w:rPr>
        <w:t>邮政编码：</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lang w:val="zh-CN"/>
        </w:rPr>
        <w:t>电子邮箱：</w:t>
      </w:r>
      <w:r>
        <w:rPr>
          <w:rFonts w:ascii="宋体" w:hAnsi="宋体"/>
          <w:color w:val="auto"/>
          <w:sz w:val="24"/>
          <w:highlight w:val="none"/>
          <w:lang w:val="zh-CN"/>
        </w:rPr>
        <w:t xml:space="preserve">                               </w:t>
      </w:r>
      <w:r>
        <w:rPr>
          <w:rFonts w:hint="eastAsia" w:ascii="宋体" w:hAnsi="宋体"/>
          <w:color w:val="auto"/>
          <w:sz w:val="24"/>
          <w:highlight w:val="none"/>
          <w:lang w:val="zh-CN"/>
        </w:rPr>
        <w:t>电子邮箱：</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开户账号：</w:t>
      </w:r>
      <w:r>
        <w:rPr>
          <w:rFonts w:ascii="宋体" w:hAnsi="宋体"/>
          <w:color w:val="auto"/>
          <w:sz w:val="24"/>
          <w:highlight w:val="none"/>
          <w:lang w:val="zh-CN"/>
        </w:rPr>
        <w:t xml:space="preserve">                               </w:t>
      </w:r>
      <w:r>
        <w:rPr>
          <w:rFonts w:hint="eastAsia" w:ascii="宋体" w:hAnsi="宋体"/>
          <w:color w:val="auto"/>
          <w:sz w:val="24"/>
          <w:highlight w:val="none"/>
        </w:rPr>
        <w:t>开户账号：</w:t>
      </w:r>
    </w:p>
    <w:p>
      <w:pPr>
        <w:widowControl/>
        <w:spacing w:line="560" w:lineRule="exact"/>
        <w:jc w:val="left"/>
        <w:rPr>
          <w:rFonts w:ascii="宋体" w:hAnsi="宋体"/>
          <w:b/>
          <w:color w:val="auto"/>
          <w:sz w:val="24"/>
          <w:highlight w:val="none"/>
        </w:rPr>
      </w:pPr>
    </w:p>
    <w:p>
      <w:pPr>
        <w:widowControl/>
        <w:adjustRightInd/>
        <w:jc w:val="left"/>
        <w:rPr>
          <w:rFonts w:ascii="宋体" w:hAnsi="宋体"/>
          <w:b/>
          <w:color w:val="auto"/>
          <w:sz w:val="24"/>
          <w:highlight w:val="none"/>
        </w:rPr>
      </w:pPr>
      <w:r>
        <w:rPr>
          <w:rFonts w:ascii="宋体" w:hAnsi="宋体"/>
          <w:b/>
          <w:color w:val="auto"/>
          <w:highlight w:val="none"/>
        </w:rPr>
        <w:br w:type="page"/>
      </w:r>
    </w:p>
    <w:p>
      <w:pPr>
        <w:pStyle w:val="700"/>
        <w:spacing w:line="560" w:lineRule="exact"/>
        <w:ind w:firstLine="482"/>
        <w:jc w:val="center"/>
        <w:rPr>
          <w:rFonts w:ascii="宋体" w:hAnsi="宋体"/>
          <w:b/>
          <w:color w:val="auto"/>
          <w:szCs w:val="24"/>
          <w:highlight w:val="none"/>
        </w:rPr>
      </w:pPr>
      <w:r>
        <w:rPr>
          <w:rFonts w:hint="eastAsia" w:ascii="宋体" w:hAnsi="宋体"/>
          <w:b/>
          <w:color w:val="auto"/>
          <w:szCs w:val="24"/>
          <w:highlight w:val="none"/>
        </w:rPr>
        <w:t>第二部分</w:t>
      </w:r>
      <w:r>
        <w:rPr>
          <w:rFonts w:ascii="宋体" w:hAnsi="宋体"/>
          <w:b/>
          <w:color w:val="auto"/>
          <w:szCs w:val="24"/>
          <w:highlight w:val="none"/>
        </w:rPr>
        <w:t xml:space="preserve"> </w:t>
      </w:r>
      <w:r>
        <w:rPr>
          <w:rFonts w:hint="eastAsia" w:ascii="宋体" w:hAnsi="宋体"/>
          <w:b/>
          <w:color w:val="auto"/>
          <w:szCs w:val="24"/>
          <w:highlight w:val="none"/>
        </w:rPr>
        <w:t>合同一般条款</w:t>
      </w:r>
    </w:p>
    <w:p>
      <w:pPr>
        <w:spacing w:line="560" w:lineRule="exact"/>
        <w:ind w:firstLine="482" w:firstLineChars="200"/>
        <w:outlineLvl w:val="0"/>
        <w:rPr>
          <w:rFonts w:ascii="宋体" w:hAnsi="宋体"/>
          <w:b/>
          <w:color w:val="auto"/>
          <w:sz w:val="24"/>
          <w:highlight w:val="none"/>
        </w:rPr>
      </w:pPr>
      <w:bookmarkStart w:id="439" w:name="_Toc31297"/>
      <w:bookmarkStart w:id="440" w:name="_Toc19680"/>
      <w:bookmarkStart w:id="441" w:name="_Toc5228"/>
      <w:bookmarkStart w:id="442" w:name="_Toc25079"/>
      <w:bookmarkStart w:id="443" w:name="_Toc14021"/>
      <w:r>
        <w:rPr>
          <w:rFonts w:ascii="宋体" w:hAnsi="宋体"/>
          <w:b/>
          <w:color w:val="auto"/>
          <w:sz w:val="24"/>
          <w:highlight w:val="none"/>
        </w:rPr>
        <w:t>2.1 定义</w:t>
      </w:r>
      <w:bookmarkEnd w:id="439"/>
      <w:bookmarkEnd w:id="440"/>
      <w:bookmarkEnd w:id="441"/>
      <w:bookmarkEnd w:id="442"/>
      <w:bookmarkEnd w:id="443"/>
    </w:p>
    <w:p>
      <w:pPr>
        <w:spacing w:line="560" w:lineRule="exact"/>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 “合同”系指采购人和</w:t>
      </w:r>
      <w:r>
        <w:rPr>
          <w:rFonts w:hint="eastAsia" w:ascii="宋体" w:hAnsi="宋体" w:cs="宋体"/>
          <w:color w:val="auto"/>
          <w:sz w:val="24"/>
          <w:highlight w:val="none"/>
        </w:rPr>
        <w:t>中标或成交</w:t>
      </w:r>
      <w:r>
        <w:rPr>
          <w:rFonts w:ascii="宋体" w:hAnsi="宋体"/>
          <w:color w:val="auto"/>
          <w:sz w:val="24"/>
          <w:highlight w:val="none"/>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2.1.2 “合同价”系指根据合同约定，</w:t>
      </w:r>
      <w:r>
        <w:rPr>
          <w:rFonts w:hint="eastAsia" w:ascii="宋体" w:hAnsi="宋体" w:cs="宋体"/>
          <w:color w:val="auto"/>
          <w:sz w:val="24"/>
          <w:highlight w:val="none"/>
        </w:rPr>
        <w:t>中标或成交</w:t>
      </w:r>
      <w:r>
        <w:rPr>
          <w:rFonts w:ascii="宋体" w:hAnsi="宋体"/>
          <w:color w:val="auto"/>
          <w:sz w:val="24"/>
          <w:highlight w:val="none"/>
        </w:rPr>
        <w:t>供应商在完全履行合同义务后</w:t>
      </w:r>
      <w:r>
        <w:rPr>
          <w:rFonts w:hint="eastAsia" w:ascii="宋体" w:hAnsi="宋体"/>
          <w:color w:val="auto"/>
          <w:sz w:val="24"/>
          <w:highlight w:val="none"/>
        </w:rPr>
        <w:t>，</w:t>
      </w:r>
      <w:r>
        <w:rPr>
          <w:rFonts w:ascii="宋体" w:hAnsi="宋体"/>
          <w:color w:val="auto"/>
          <w:sz w:val="24"/>
          <w:highlight w:val="none"/>
        </w:rPr>
        <w:t>采购人应支付给</w:t>
      </w:r>
      <w:r>
        <w:rPr>
          <w:rFonts w:hint="eastAsia" w:ascii="宋体" w:hAnsi="宋体" w:cs="宋体"/>
          <w:color w:val="auto"/>
          <w:sz w:val="24"/>
          <w:highlight w:val="none"/>
        </w:rPr>
        <w:t>中标或成交</w:t>
      </w:r>
      <w:r>
        <w:rPr>
          <w:rFonts w:ascii="宋体" w:hAnsi="宋体"/>
          <w:color w:val="auto"/>
          <w:sz w:val="24"/>
          <w:highlight w:val="none"/>
        </w:rPr>
        <w:t>供应商的价格。</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2.1.5 “乙方”系指根据合同约定提供服务的</w:t>
      </w:r>
      <w:r>
        <w:rPr>
          <w:rFonts w:hint="eastAsia" w:ascii="宋体" w:hAnsi="宋体" w:cs="宋体"/>
          <w:color w:val="auto"/>
          <w:sz w:val="24"/>
          <w:highlight w:val="none"/>
        </w:rPr>
        <w:t>中标或成交</w:t>
      </w:r>
      <w:r>
        <w:rPr>
          <w:rFonts w:ascii="宋体" w:hAnsi="宋体"/>
          <w:color w:val="auto"/>
          <w:sz w:val="24"/>
          <w:highlight w:val="none"/>
        </w:rPr>
        <w:t>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2.1.6 “现场”系指合同约定提供服务的地点。</w:t>
      </w:r>
    </w:p>
    <w:p>
      <w:pPr>
        <w:spacing w:line="560" w:lineRule="exact"/>
        <w:ind w:firstLine="482" w:firstLineChars="200"/>
        <w:outlineLvl w:val="0"/>
        <w:rPr>
          <w:rFonts w:ascii="宋体" w:hAnsi="宋体"/>
          <w:b/>
          <w:color w:val="auto"/>
          <w:sz w:val="24"/>
          <w:highlight w:val="none"/>
        </w:rPr>
      </w:pPr>
      <w:bookmarkStart w:id="444" w:name="_Toc19539"/>
      <w:bookmarkStart w:id="445" w:name="_Toc16752"/>
      <w:bookmarkStart w:id="446" w:name="_Toc3769"/>
      <w:bookmarkStart w:id="447" w:name="_Toc23289"/>
      <w:bookmarkStart w:id="448" w:name="_Toc31402"/>
      <w:r>
        <w:rPr>
          <w:rFonts w:ascii="宋体" w:hAnsi="宋体"/>
          <w:b/>
          <w:color w:val="auto"/>
          <w:sz w:val="24"/>
          <w:highlight w:val="none"/>
        </w:rPr>
        <w:t>2.2 技术规范</w:t>
      </w:r>
      <w:bookmarkEnd w:id="444"/>
      <w:bookmarkEnd w:id="445"/>
      <w:bookmarkEnd w:id="446"/>
      <w:bookmarkEnd w:id="447"/>
      <w:bookmarkEnd w:id="448"/>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pacing w:line="560" w:lineRule="exact"/>
        <w:ind w:firstLine="482" w:firstLineChars="200"/>
        <w:outlineLvl w:val="0"/>
        <w:rPr>
          <w:rFonts w:ascii="宋体" w:hAnsi="宋体"/>
          <w:b/>
          <w:color w:val="auto"/>
          <w:sz w:val="24"/>
          <w:highlight w:val="none"/>
        </w:rPr>
      </w:pPr>
      <w:bookmarkStart w:id="449" w:name="_Toc27945"/>
      <w:bookmarkStart w:id="450" w:name="_Toc12412"/>
      <w:bookmarkStart w:id="451" w:name="_Toc13673"/>
      <w:bookmarkStart w:id="452" w:name="_Toc4133"/>
      <w:bookmarkStart w:id="453" w:name="_Toc9161"/>
      <w:r>
        <w:rPr>
          <w:rFonts w:ascii="宋体" w:hAnsi="宋体"/>
          <w:b/>
          <w:color w:val="auto"/>
          <w:sz w:val="24"/>
          <w:highlight w:val="none"/>
        </w:rPr>
        <w:t>2.3 知识产权</w:t>
      </w:r>
      <w:bookmarkEnd w:id="449"/>
      <w:bookmarkEnd w:id="450"/>
      <w:bookmarkEnd w:id="451"/>
      <w:bookmarkEnd w:id="452"/>
      <w:bookmarkEnd w:id="453"/>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2.3.2 </w:t>
      </w:r>
      <w:r>
        <w:rPr>
          <w:rFonts w:hint="eastAsia" w:ascii="宋体" w:hAnsi="宋体"/>
          <w:color w:val="auto"/>
          <w:sz w:val="24"/>
          <w:highlight w:val="none"/>
        </w:rPr>
        <w:t>合同涉及技术成果的归属和收益的分成办法的，</w:t>
      </w: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 xml:space="preserve">2.4 </w:t>
      </w:r>
      <w:r>
        <w:rPr>
          <w:rFonts w:hint="eastAsia" w:ascii="宋体" w:hAnsi="宋体"/>
          <w:b/>
          <w:color w:val="auto"/>
          <w:sz w:val="24"/>
          <w:highlight w:val="none"/>
        </w:rPr>
        <w:t>履约检查和问题反馈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highlight w:val="none"/>
        </w:rPr>
      </w:pPr>
      <w:bookmarkStart w:id="454" w:name="_Toc15447"/>
      <w:bookmarkStart w:id="455" w:name="_Toc31233"/>
      <w:bookmarkStart w:id="456" w:name="_Toc26555"/>
      <w:bookmarkStart w:id="457" w:name="_Toc22011"/>
      <w:bookmarkStart w:id="458" w:name="_Toc32670"/>
      <w:r>
        <w:rPr>
          <w:rFonts w:ascii="宋体" w:hAnsi="宋体"/>
          <w:b/>
          <w:color w:val="auto"/>
          <w:sz w:val="24"/>
          <w:highlight w:val="none"/>
        </w:rPr>
        <w:t>2.5 结算方式和付款条件</w:t>
      </w:r>
      <w:bookmarkEnd w:id="454"/>
      <w:bookmarkEnd w:id="455"/>
      <w:bookmarkEnd w:id="456"/>
      <w:bookmarkEnd w:id="457"/>
      <w:bookmarkEnd w:id="458"/>
    </w:p>
    <w:p>
      <w:pPr>
        <w:spacing w:line="560" w:lineRule="exact"/>
        <w:ind w:firstLine="480" w:firstLineChars="200"/>
        <w:rPr>
          <w:rFonts w:ascii="宋体" w:hAnsi="宋体"/>
          <w:color w:val="auto"/>
          <w:sz w:val="24"/>
          <w:highlight w:val="none"/>
        </w:rPr>
      </w:pP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59" w:name="_Toc18990"/>
      <w:bookmarkStart w:id="460" w:name="_Toc13154"/>
      <w:bookmarkStart w:id="461" w:name="_Toc13467"/>
      <w:bookmarkStart w:id="462" w:name="_Toc16163"/>
      <w:bookmarkStart w:id="463" w:name="_Toc30507"/>
      <w:r>
        <w:rPr>
          <w:rFonts w:ascii="宋体" w:hAnsi="宋体"/>
          <w:b/>
          <w:color w:val="auto"/>
          <w:sz w:val="24"/>
          <w:highlight w:val="none"/>
        </w:rPr>
        <w:t>2.6 技术资料和保密义务</w:t>
      </w:r>
      <w:bookmarkEnd w:id="459"/>
      <w:bookmarkEnd w:id="460"/>
      <w:bookmarkEnd w:id="461"/>
      <w:bookmarkEnd w:id="462"/>
      <w:bookmarkEnd w:id="463"/>
    </w:p>
    <w:p>
      <w:pPr>
        <w:spacing w:line="560" w:lineRule="exact"/>
        <w:ind w:firstLine="480" w:firstLineChars="200"/>
        <w:rPr>
          <w:rFonts w:ascii="宋体" w:hAnsi="宋体"/>
          <w:color w:val="auto"/>
          <w:sz w:val="24"/>
          <w:highlight w:val="none"/>
        </w:rPr>
      </w:pPr>
      <w:r>
        <w:rPr>
          <w:rFonts w:ascii="宋体" w:hAnsi="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2.6.2 </w:t>
      </w:r>
      <w:r>
        <w:rPr>
          <w:rFonts w:hint="eastAsia" w:ascii="宋体" w:hAnsi="宋体"/>
          <w:color w:val="auto"/>
          <w:sz w:val="24"/>
          <w:highlight w:val="none"/>
        </w:rPr>
        <w:t>乙方有义务妥善保管和保护由甲方提供的前款信息和资料等；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highlight w:val="none"/>
        </w:rPr>
      </w:pPr>
      <w:bookmarkStart w:id="464" w:name="_Toc19069"/>
      <w:r>
        <w:rPr>
          <w:rFonts w:ascii="宋体" w:hAnsi="宋体"/>
          <w:b/>
          <w:color w:val="auto"/>
          <w:sz w:val="24"/>
          <w:highlight w:val="none"/>
        </w:rPr>
        <w:t xml:space="preserve">2.7 </w:t>
      </w:r>
      <w:r>
        <w:rPr>
          <w:rFonts w:hint="eastAsia" w:ascii="宋体" w:hAnsi="宋体"/>
          <w:b/>
          <w:color w:val="auto"/>
          <w:sz w:val="24"/>
          <w:highlight w:val="none"/>
        </w:rPr>
        <w:t>质量保证</w:t>
      </w:r>
      <w:bookmarkEnd w:id="464"/>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2.7.1 </w:t>
      </w:r>
      <w:r>
        <w:rPr>
          <w:rFonts w:hint="eastAsia" w:ascii="宋体" w:hAnsi="宋体"/>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highlight w:val="none"/>
        </w:rPr>
      </w:pPr>
      <w:bookmarkStart w:id="465" w:name="_Toc22267"/>
      <w:r>
        <w:rPr>
          <w:rFonts w:ascii="宋体" w:hAnsi="宋体"/>
          <w:b/>
          <w:color w:val="auto"/>
          <w:sz w:val="24"/>
          <w:highlight w:val="none"/>
        </w:rPr>
        <w:t xml:space="preserve">2.8 </w:t>
      </w:r>
      <w:r>
        <w:rPr>
          <w:rFonts w:hint="eastAsia" w:ascii="宋体" w:hAnsi="宋体"/>
          <w:b/>
          <w:color w:val="auto"/>
          <w:sz w:val="24"/>
          <w:highlight w:val="none"/>
        </w:rPr>
        <w:t>延迟履行</w:t>
      </w:r>
      <w:bookmarkEnd w:id="465"/>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甲乙双方签订合同后，乙方应按照合同约定履行合同义务，除不可抗力外，乙方不得延迟履行。</w:t>
      </w:r>
      <w:r>
        <w:rPr>
          <w:rFonts w:ascii="宋体" w:hAnsi="宋体"/>
          <w:color w:val="auto"/>
          <w:sz w:val="24"/>
          <w:highlight w:val="none"/>
        </w:rPr>
        <w:t>在合同履行过程中，如果</w:t>
      </w:r>
      <w:r>
        <w:rPr>
          <w:rFonts w:hint="eastAsia" w:ascii="宋体" w:hAnsi="宋体"/>
          <w:color w:val="auto"/>
          <w:sz w:val="24"/>
          <w:highlight w:val="none"/>
        </w:rPr>
        <w:t>因不可抗力，</w:t>
      </w:r>
      <w:r>
        <w:rPr>
          <w:rFonts w:ascii="宋体" w:hAnsi="宋体"/>
          <w:color w:val="auto"/>
          <w:sz w:val="24"/>
          <w:highlight w:val="none"/>
        </w:rPr>
        <w:t>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pacing w:line="560" w:lineRule="exact"/>
        <w:ind w:firstLine="482" w:firstLineChars="200"/>
        <w:outlineLvl w:val="0"/>
        <w:rPr>
          <w:rFonts w:ascii="宋体" w:hAnsi="宋体"/>
          <w:b/>
          <w:color w:val="auto"/>
          <w:sz w:val="24"/>
          <w:highlight w:val="none"/>
        </w:rPr>
      </w:pPr>
      <w:bookmarkStart w:id="466" w:name="_Toc10611"/>
      <w:r>
        <w:rPr>
          <w:rFonts w:ascii="宋体" w:hAnsi="宋体"/>
          <w:b/>
          <w:color w:val="auto"/>
          <w:sz w:val="24"/>
          <w:highlight w:val="none"/>
        </w:rPr>
        <w:t xml:space="preserve">2.9 </w:t>
      </w:r>
      <w:r>
        <w:rPr>
          <w:rFonts w:hint="eastAsia" w:ascii="宋体" w:hAnsi="宋体"/>
          <w:b/>
          <w:color w:val="auto"/>
          <w:sz w:val="24"/>
          <w:highlight w:val="none"/>
        </w:rPr>
        <w:t>合同变更</w:t>
      </w:r>
      <w:bookmarkEnd w:id="466"/>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67" w:name="_Toc10663"/>
      <w:bookmarkStart w:id="468" w:name="_Toc21830"/>
      <w:bookmarkStart w:id="469" w:name="_Toc26689"/>
      <w:bookmarkStart w:id="470" w:name="_Toc23368"/>
      <w:bookmarkStart w:id="471" w:name="_Toc42"/>
      <w:r>
        <w:rPr>
          <w:rFonts w:ascii="宋体" w:hAnsi="宋体"/>
          <w:b/>
          <w:color w:val="auto"/>
          <w:sz w:val="24"/>
          <w:highlight w:val="none"/>
        </w:rPr>
        <w:t>2.10 合同转让和分包</w:t>
      </w:r>
      <w:bookmarkEnd w:id="467"/>
      <w:bookmarkEnd w:id="468"/>
      <w:bookmarkEnd w:id="469"/>
      <w:bookmarkEnd w:id="470"/>
      <w:bookmarkEnd w:id="471"/>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rPr>
        <w:t>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pacing w:line="560" w:lineRule="exact"/>
        <w:ind w:firstLine="482" w:firstLineChars="200"/>
        <w:outlineLvl w:val="0"/>
        <w:rPr>
          <w:rFonts w:ascii="宋体" w:hAnsi="宋体"/>
          <w:b/>
          <w:color w:val="auto"/>
          <w:sz w:val="24"/>
          <w:highlight w:val="none"/>
        </w:rPr>
      </w:pPr>
      <w:bookmarkStart w:id="472" w:name="_Toc32494"/>
      <w:bookmarkStart w:id="473" w:name="_Toc26633"/>
      <w:bookmarkStart w:id="474" w:name="_Toc4720"/>
      <w:bookmarkStart w:id="475" w:name="_Toc14371"/>
      <w:bookmarkStart w:id="476" w:name="_Toc25571"/>
      <w:r>
        <w:rPr>
          <w:rFonts w:ascii="宋体" w:hAnsi="宋体"/>
          <w:b/>
          <w:color w:val="auto"/>
          <w:sz w:val="24"/>
          <w:highlight w:val="none"/>
        </w:rPr>
        <w:t>2.11 不可抗力</w:t>
      </w:r>
      <w:bookmarkEnd w:id="472"/>
      <w:bookmarkEnd w:id="473"/>
      <w:bookmarkEnd w:id="474"/>
      <w:bookmarkEnd w:id="475"/>
      <w:bookmarkEnd w:id="476"/>
    </w:p>
    <w:p>
      <w:pPr>
        <w:spacing w:line="560" w:lineRule="exact"/>
        <w:ind w:firstLine="480" w:firstLineChars="200"/>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2.11.2 </w:t>
      </w:r>
      <w:r>
        <w:rPr>
          <w:rFonts w:hint="eastAsia" w:ascii="宋体" w:hAnsi="宋体"/>
          <w:color w:val="auto"/>
          <w:sz w:val="24"/>
          <w:highlight w:val="none"/>
        </w:rPr>
        <w:t>因不可抗力致使不能实现合同目的的，当事人可以解除合同；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ascii="宋体" w:hAnsi="宋体"/>
          <w:b/>
          <w:i/>
          <w:color w:val="auto"/>
          <w:sz w:val="24"/>
          <w:highlight w:val="none"/>
          <w:u w:val="single"/>
        </w:rPr>
        <w:t>合同专用条款</w:t>
      </w:r>
      <w:r>
        <w:rPr>
          <w:rFonts w:ascii="宋体" w:hAnsi="宋体"/>
          <w:color w:val="auto"/>
          <w:sz w:val="24"/>
          <w:highlight w:val="none"/>
        </w:rPr>
        <w:t>约定时间内以书面形式变更合同</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ascii="宋体" w:hAnsi="宋体"/>
          <w:b/>
          <w:i/>
          <w:color w:val="auto"/>
          <w:sz w:val="24"/>
          <w:highlight w:val="none"/>
          <w:u w:val="single"/>
        </w:rPr>
        <w:t>合同专用条款</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ascii="宋体" w:hAnsi="宋体"/>
          <w:b/>
          <w:i/>
          <w:color w:val="auto"/>
          <w:sz w:val="24"/>
          <w:highlight w:val="none"/>
          <w:u w:val="single"/>
        </w:rPr>
        <w:t>合同专用条款</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77" w:name="_Toc3638"/>
      <w:bookmarkStart w:id="478" w:name="_Toc25783"/>
      <w:bookmarkStart w:id="479" w:name="_Toc24465"/>
      <w:bookmarkStart w:id="480" w:name="_Toc14115"/>
      <w:bookmarkStart w:id="481" w:name="_Toc23854"/>
      <w:r>
        <w:rPr>
          <w:rFonts w:ascii="宋体" w:hAnsi="宋体"/>
          <w:b/>
          <w:color w:val="auto"/>
          <w:sz w:val="24"/>
          <w:highlight w:val="none"/>
        </w:rPr>
        <w:t>2.12 税费</w:t>
      </w:r>
      <w:bookmarkEnd w:id="477"/>
      <w:bookmarkEnd w:id="478"/>
      <w:bookmarkEnd w:id="479"/>
      <w:bookmarkEnd w:id="480"/>
      <w:bookmarkEnd w:id="481"/>
    </w:p>
    <w:p>
      <w:pPr>
        <w:spacing w:line="560" w:lineRule="exact"/>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pacing w:line="560" w:lineRule="exact"/>
        <w:ind w:firstLine="482" w:firstLineChars="200"/>
        <w:outlineLvl w:val="0"/>
        <w:rPr>
          <w:rFonts w:ascii="宋体" w:hAnsi="宋体"/>
          <w:b/>
          <w:color w:val="auto"/>
          <w:sz w:val="24"/>
          <w:highlight w:val="none"/>
        </w:rPr>
      </w:pPr>
      <w:bookmarkStart w:id="482" w:name="_Toc7315"/>
      <w:bookmarkStart w:id="483" w:name="_Toc14814"/>
      <w:bookmarkStart w:id="484" w:name="_Toc25525"/>
      <w:bookmarkStart w:id="485" w:name="_Toc30105"/>
      <w:bookmarkStart w:id="486" w:name="_Toc26883"/>
      <w:r>
        <w:rPr>
          <w:rFonts w:ascii="宋体" w:hAnsi="宋体"/>
          <w:b/>
          <w:color w:val="auto"/>
          <w:sz w:val="24"/>
          <w:highlight w:val="none"/>
        </w:rPr>
        <w:t>2.13 乙方破产</w:t>
      </w:r>
      <w:bookmarkEnd w:id="482"/>
      <w:bookmarkEnd w:id="483"/>
      <w:bookmarkEnd w:id="484"/>
      <w:bookmarkEnd w:id="485"/>
      <w:bookmarkEnd w:id="486"/>
    </w:p>
    <w:p>
      <w:pPr>
        <w:spacing w:line="560" w:lineRule="exact"/>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87" w:name="_Toc23323"/>
      <w:bookmarkStart w:id="488" w:name="_Toc2016"/>
      <w:bookmarkStart w:id="489" w:name="_Toc1123"/>
      <w:r>
        <w:rPr>
          <w:rFonts w:ascii="宋体" w:hAnsi="宋体"/>
          <w:b/>
          <w:color w:val="auto"/>
          <w:sz w:val="24"/>
          <w:highlight w:val="none"/>
        </w:rPr>
        <w:t>2.14 合同中止、终止</w:t>
      </w:r>
      <w:bookmarkEnd w:id="487"/>
      <w:bookmarkEnd w:id="488"/>
      <w:bookmarkEnd w:id="489"/>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2.14.1 </w:t>
      </w:r>
      <w:r>
        <w:rPr>
          <w:rFonts w:hint="eastAsia" w:ascii="宋体" w:hAnsi="宋体"/>
          <w:color w:val="auto"/>
          <w:sz w:val="24"/>
          <w:highlight w:val="none"/>
        </w:rPr>
        <w:t>双方当事人不得擅自中止或者终止合同；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90" w:name="_Toc1969"/>
      <w:bookmarkStart w:id="491" w:name="_Toc14525"/>
      <w:bookmarkStart w:id="492" w:name="_Toc17363"/>
      <w:r>
        <w:rPr>
          <w:rFonts w:ascii="宋体" w:hAnsi="宋体"/>
          <w:b/>
          <w:color w:val="auto"/>
          <w:sz w:val="24"/>
          <w:highlight w:val="none"/>
        </w:rPr>
        <w:t>2.15 检验和验收</w:t>
      </w:r>
      <w:bookmarkEnd w:id="490"/>
      <w:bookmarkEnd w:id="491"/>
      <w:bookmarkEnd w:id="492"/>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2.15.1 </w:t>
      </w:r>
      <w:r>
        <w:rPr>
          <w:rFonts w:hint="eastAsia" w:ascii="宋体" w:hAnsi="宋体"/>
          <w:color w:val="auto"/>
          <w:sz w:val="24"/>
          <w:highlight w:val="none"/>
        </w:rPr>
        <w:t>乙方按照</w:t>
      </w:r>
      <w:r>
        <w:rPr>
          <w:rFonts w:ascii="宋体" w:hAnsi="宋体"/>
          <w:b/>
          <w:i/>
          <w:color w:val="auto"/>
          <w:sz w:val="24"/>
          <w:highlight w:val="none"/>
          <w:u w:val="single"/>
        </w:rPr>
        <w:t>合同专用条款</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ascii="宋体" w:hAnsi="宋体"/>
          <w:b/>
          <w:i/>
          <w:color w:val="auto"/>
          <w:sz w:val="24"/>
          <w:highlight w:val="none"/>
          <w:u w:val="single"/>
        </w:rPr>
        <w:t>合同专用条款</w:t>
      </w:r>
      <w:r>
        <w:rPr>
          <w:rFonts w:ascii="宋体" w:hAnsi="宋体"/>
          <w:color w:val="auto"/>
          <w:sz w:val="24"/>
          <w:highlight w:val="none"/>
        </w:rPr>
        <w:t>的约定进行定期验收</w:t>
      </w:r>
      <w:r>
        <w:rPr>
          <w:rFonts w:hint="eastAsia" w:ascii="宋体" w:hAnsi="宋体"/>
          <w:color w:val="auto"/>
          <w:sz w:val="24"/>
          <w:highlight w:val="none"/>
        </w:rPr>
        <w:t>；</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2.15.3 </w:t>
      </w:r>
      <w:r>
        <w:rPr>
          <w:rFonts w:hint="eastAsia" w:ascii="宋体" w:hAnsi="宋体"/>
          <w:color w:val="auto"/>
          <w:sz w:val="24"/>
          <w:highlight w:val="none"/>
        </w:rPr>
        <w:t>检验和验收标准、程序等具体内容以及前述验收书的效力详见</w:t>
      </w:r>
      <w:r>
        <w:rPr>
          <w:rFonts w:ascii="宋体" w:hAnsi="宋体"/>
          <w:b/>
          <w:i/>
          <w:color w:val="auto"/>
          <w:sz w:val="24"/>
          <w:highlight w:val="none"/>
          <w:u w:val="single"/>
        </w:rPr>
        <w:t>合同专用条款</w:t>
      </w:r>
      <w:r>
        <w:rPr>
          <w:rFonts w:hint="eastAsia" w:ascii="宋体" w:hAnsi="宋体"/>
          <w:i/>
          <w:color w:val="auto"/>
          <w:sz w:val="24"/>
          <w:highlight w:val="none"/>
        </w:rPr>
        <w:t>。</w:t>
      </w:r>
    </w:p>
    <w:p>
      <w:pPr>
        <w:spacing w:line="560" w:lineRule="exact"/>
        <w:ind w:firstLine="482" w:firstLineChars="200"/>
        <w:outlineLvl w:val="0"/>
        <w:rPr>
          <w:rFonts w:ascii="宋体" w:hAnsi="宋体"/>
          <w:b/>
          <w:color w:val="auto"/>
          <w:sz w:val="24"/>
          <w:highlight w:val="none"/>
        </w:rPr>
      </w:pPr>
      <w:bookmarkStart w:id="493" w:name="_Toc25198"/>
      <w:bookmarkStart w:id="494" w:name="_Toc12666"/>
      <w:bookmarkStart w:id="495" w:name="_Toc31892"/>
      <w:bookmarkStart w:id="496" w:name="_Toc9808"/>
      <w:bookmarkStart w:id="497" w:name="_Toc2308"/>
      <w:r>
        <w:rPr>
          <w:rFonts w:ascii="宋体" w:hAnsi="宋体"/>
          <w:b/>
          <w:color w:val="auto"/>
          <w:sz w:val="24"/>
          <w:highlight w:val="none"/>
        </w:rPr>
        <w:t>2.16 通知和送达</w:t>
      </w:r>
      <w:bookmarkEnd w:id="493"/>
      <w:bookmarkEnd w:id="494"/>
      <w:bookmarkEnd w:id="495"/>
      <w:bookmarkEnd w:id="496"/>
      <w:bookmarkEnd w:id="497"/>
    </w:p>
    <w:p>
      <w:pPr>
        <w:spacing w:line="560" w:lineRule="exact"/>
        <w:ind w:firstLine="480" w:firstLineChars="200"/>
        <w:rPr>
          <w:rFonts w:ascii="宋体" w:hAnsi="宋体"/>
          <w:color w:val="auto"/>
          <w:sz w:val="24"/>
          <w:highlight w:val="none"/>
        </w:rPr>
      </w:pPr>
      <w:bookmarkStart w:id="498" w:name="_Toc18401"/>
      <w:bookmarkStart w:id="499" w:name="_Toc27674"/>
      <w:r>
        <w:rPr>
          <w:rFonts w:ascii="宋体" w:hAnsi="宋体"/>
          <w:color w:val="auto"/>
          <w:sz w:val="24"/>
          <w:highlight w:val="none"/>
        </w:rPr>
        <w:t>2.17.1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bookmarkEnd w:id="498"/>
      <w:bookmarkEnd w:id="499"/>
    </w:p>
    <w:p>
      <w:pPr>
        <w:spacing w:line="560" w:lineRule="exact"/>
        <w:ind w:firstLine="482" w:firstLineChars="200"/>
        <w:outlineLvl w:val="0"/>
        <w:rPr>
          <w:rFonts w:ascii="宋体" w:hAnsi="宋体"/>
          <w:b/>
          <w:color w:val="auto"/>
          <w:sz w:val="24"/>
          <w:highlight w:val="none"/>
        </w:rPr>
      </w:pPr>
      <w:bookmarkStart w:id="500" w:name="_Toc28906"/>
      <w:bookmarkStart w:id="501" w:name="_Toc12254"/>
      <w:bookmarkStart w:id="502" w:name="_Toc27644"/>
      <w:bookmarkStart w:id="503" w:name="_Toc20808"/>
      <w:bookmarkStart w:id="504" w:name="_Toc5063"/>
      <w:r>
        <w:rPr>
          <w:rFonts w:ascii="宋体" w:hAnsi="宋体"/>
          <w:b/>
          <w:color w:val="auto"/>
          <w:sz w:val="24"/>
          <w:highlight w:val="none"/>
        </w:rPr>
        <w:t xml:space="preserve">2.17 </w:t>
      </w:r>
      <w:r>
        <w:rPr>
          <w:rFonts w:hint="eastAsia" w:ascii="宋体" w:hAnsi="宋体"/>
          <w:b/>
          <w:color w:val="auto"/>
          <w:sz w:val="24"/>
          <w:highlight w:val="none"/>
        </w:rPr>
        <w:t>合同使用的文字和</w:t>
      </w:r>
      <w:r>
        <w:rPr>
          <w:rFonts w:ascii="宋体" w:hAnsi="宋体"/>
          <w:b/>
          <w:color w:val="auto"/>
          <w:sz w:val="24"/>
          <w:highlight w:val="none"/>
        </w:rPr>
        <w:t>适用的法律</w:t>
      </w:r>
      <w:bookmarkEnd w:id="500"/>
      <w:bookmarkEnd w:id="501"/>
      <w:bookmarkEnd w:id="502"/>
      <w:bookmarkEnd w:id="503"/>
      <w:bookmarkEnd w:id="504"/>
    </w:p>
    <w:p>
      <w:pPr>
        <w:spacing w:line="560" w:lineRule="exact"/>
        <w:ind w:firstLine="480" w:firstLineChars="200"/>
        <w:rPr>
          <w:rFonts w:ascii="宋体" w:hAnsi="宋体"/>
          <w:color w:val="auto"/>
          <w:sz w:val="24"/>
          <w:highlight w:val="none"/>
        </w:rPr>
      </w:pPr>
      <w:r>
        <w:rPr>
          <w:rFonts w:ascii="宋体" w:hAnsi="宋体"/>
          <w:color w:val="auto"/>
          <w:sz w:val="24"/>
          <w:highlight w:val="none"/>
        </w:rPr>
        <w:t>2.17.1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2.17.2 </w:t>
      </w:r>
      <w:r>
        <w:rPr>
          <w:rFonts w:hint="eastAsia" w:ascii="宋体" w:hAnsi="宋体"/>
          <w:color w:val="auto"/>
          <w:sz w:val="24"/>
          <w:highlight w:val="none"/>
        </w:rPr>
        <w:t>合同适用</w:t>
      </w:r>
      <w:r>
        <w:rPr>
          <w:rFonts w:ascii="宋体" w:hAnsi="宋体"/>
          <w:color w:val="auto"/>
          <w:sz w:val="24"/>
          <w:highlight w:val="none"/>
        </w:rPr>
        <w:t>中华人民共和国法律。</w:t>
      </w:r>
    </w:p>
    <w:p>
      <w:pPr>
        <w:spacing w:line="560" w:lineRule="exact"/>
        <w:ind w:firstLine="482" w:firstLineChars="200"/>
        <w:outlineLvl w:val="0"/>
        <w:rPr>
          <w:rFonts w:ascii="宋体" w:hAnsi="宋体" w:cs="宋体"/>
          <w:b/>
          <w:color w:val="auto"/>
          <w:sz w:val="24"/>
          <w:highlight w:val="none"/>
        </w:rPr>
      </w:pPr>
      <w:bookmarkStart w:id="505" w:name="_Toc18540"/>
      <w:bookmarkStart w:id="506" w:name="_Toc30599"/>
      <w:bookmarkStart w:id="507" w:name="_Toc4355"/>
      <w:r>
        <w:rPr>
          <w:rFonts w:hint="eastAsia" w:ascii="宋体" w:hAnsi="宋体" w:cs="宋体"/>
          <w:b/>
          <w:color w:val="auto"/>
          <w:sz w:val="24"/>
          <w:highlight w:val="none"/>
        </w:rPr>
        <w:t>2.18 计量单位</w:t>
      </w:r>
      <w:bookmarkEnd w:id="505"/>
      <w:bookmarkEnd w:id="506"/>
      <w:bookmarkEnd w:id="507"/>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19</w:t>
      </w:r>
      <w:r>
        <w:rPr>
          <w:rFonts w:ascii="宋体" w:hAnsi="宋体"/>
          <w:b/>
          <w:color w:val="auto"/>
          <w:sz w:val="24"/>
          <w:highlight w:val="none"/>
        </w:rPr>
        <w:t>合同份数</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合同份数按</w:t>
      </w:r>
      <w:r>
        <w:rPr>
          <w:rFonts w:ascii="宋体" w:hAnsi="宋体"/>
          <w:b/>
          <w:i/>
          <w:color w:val="auto"/>
          <w:sz w:val="24"/>
          <w:highlight w:val="none"/>
          <w:u w:val="single"/>
        </w:rPr>
        <w:t>合同专用条款</w:t>
      </w:r>
      <w:r>
        <w:rPr>
          <w:rFonts w:ascii="宋体" w:hAnsi="宋体"/>
          <w:color w:val="auto"/>
          <w:sz w:val="24"/>
          <w:highlight w:val="none"/>
        </w:rPr>
        <w:t>规定</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bookmarkStart w:id="508" w:name="_Toc331685784"/>
      <w:r>
        <w:rPr>
          <w:rFonts w:hint="eastAsia" w:ascii="宋体" w:hAnsi="宋体" w:cs="宋体"/>
          <w:b/>
          <w:color w:val="auto"/>
          <w:sz w:val="24"/>
          <w:highlight w:val="none"/>
        </w:rPr>
        <w:t xml:space="preserve"> </w:t>
      </w:r>
      <w:bookmarkEnd w:id="508"/>
      <w:r>
        <w:rPr>
          <w:rFonts w:hint="eastAsia" w:ascii="宋体" w:hAnsi="宋体" w:cs="宋体"/>
          <w:b/>
          <w:color w:val="auto"/>
          <w:sz w:val="24"/>
          <w:highlight w:val="none"/>
        </w:rPr>
        <w:t>第三部分  合同专用条款</w:t>
      </w:r>
    </w:p>
    <w:p>
      <w:pPr>
        <w:spacing w:line="560" w:lineRule="exact"/>
        <w:ind w:left="-420" w:leftChars="-200" w:right="-420" w:rightChars="-200" w:firstLine="480" w:firstLineChars="200"/>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6"/>
        <w:gridCol w:w="81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76" w:type="dxa"/>
            <w:tcBorders>
              <w:left w:val="single" w:color="auto" w:sz="4" w:space="0"/>
            </w:tcBorders>
            <w:vAlign w:val="center"/>
          </w:tcPr>
          <w:p>
            <w:pPr>
              <w:shd w:val="clear"/>
              <w:spacing w:line="240" w:lineRule="auto"/>
              <w:jc w:val="center"/>
              <w:rPr>
                <w:rFonts w:ascii="宋体" w:hAnsi="宋体" w:cs="宋体"/>
                <w:b/>
                <w:color w:val="auto"/>
                <w:sz w:val="24"/>
                <w:highlight w:val="none"/>
              </w:rPr>
            </w:pPr>
            <w:r>
              <w:rPr>
                <w:rFonts w:hint="eastAsia" w:ascii="宋体" w:hAnsi="宋体" w:eastAsia="宋体" w:cs="宋体"/>
                <w:b/>
                <w:color w:val="auto"/>
                <w:sz w:val="24"/>
                <w:highlight w:val="none"/>
              </w:rPr>
              <w:t>条款号</w:t>
            </w:r>
          </w:p>
        </w:tc>
        <w:tc>
          <w:tcPr>
            <w:tcW w:w="8150" w:type="dxa"/>
            <w:vAlign w:val="center"/>
          </w:tcPr>
          <w:p>
            <w:pPr>
              <w:shd w:val="clear"/>
              <w:spacing w:line="240" w:lineRule="auto"/>
              <w:jc w:val="center"/>
              <w:rPr>
                <w:rFonts w:ascii="宋体" w:hAnsi="宋体" w:cs="宋体"/>
                <w:b/>
                <w:color w:val="auto"/>
                <w:sz w:val="24"/>
                <w:highlight w:val="none"/>
              </w:rPr>
            </w:pPr>
            <w:r>
              <w:rPr>
                <w:rFonts w:hint="eastAsia" w:ascii="宋体" w:hAnsi="宋体" w:eastAsia="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1.3.2</w:t>
            </w:r>
          </w:p>
        </w:tc>
        <w:tc>
          <w:tcPr>
            <w:tcW w:w="8150"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1.4.2</w:t>
            </w:r>
          </w:p>
        </w:tc>
        <w:tc>
          <w:tcPr>
            <w:tcW w:w="8150"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lang w:val="en-US" w:eastAsia="zh-CN"/>
              </w:rPr>
              <w:t>履约保证金：</w:t>
            </w:r>
            <w:r>
              <w:rPr>
                <w:rFonts w:hint="eastAsia" w:ascii="宋体" w:hAnsi="宋体" w:cs="宋体"/>
                <w:color w:val="auto"/>
                <w:sz w:val="24"/>
                <w:highlight w:val="none"/>
                <w:lang w:val="en-US" w:eastAsia="zh-CN"/>
              </w:rPr>
              <w:t>乙方</w:t>
            </w:r>
            <w:r>
              <w:rPr>
                <w:rFonts w:hint="eastAsia" w:ascii="宋体" w:hAnsi="宋体" w:eastAsia="宋体" w:cs="宋体"/>
                <w:color w:val="auto"/>
                <w:sz w:val="24"/>
                <w:highlight w:val="none"/>
                <w:lang w:val="en-US" w:eastAsia="zh-CN"/>
              </w:rPr>
              <w:t>在正式合同签订生效之日起7个工作日内，缴纳中标总金额1%的履约保证金至</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lang w:val="en-US" w:eastAsia="zh-CN"/>
              </w:rPr>
              <w:t>指定账户（可采用银行、保险公司出具保函形式提交）。在验收合格后经回访正常后凭正式收款收据、履约保证金缴款凭证复印件办理结算手续。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1.5.1</w:t>
            </w:r>
          </w:p>
        </w:tc>
        <w:tc>
          <w:tcPr>
            <w:tcW w:w="8150"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lang w:val="en-US" w:eastAsia="zh-CN"/>
              </w:rPr>
              <w:t>合同生效以及具备实施条件后5个工作日内，由</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lang w:val="en-US" w:eastAsia="zh-CN"/>
              </w:rPr>
              <w:t>向</w:t>
            </w:r>
            <w:r>
              <w:rPr>
                <w:rFonts w:hint="eastAsia" w:ascii="宋体" w:hAnsi="宋体" w:cs="宋体"/>
                <w:color w:val="auto"/>
                <w:sz w:val="24"/>
                <w:highlight w:val="none"/>
                <w:lang w:val="en-US" w:eastAsia="zh-CN"/>
              </w:rPr>
              <w:t>乙方</w:t>
            </w:r>
            <w:r>
              <w:rPr>
                <w:rFonts w:hint="eastAsia" w:ascii="宋体" w:hAnsi="宋体" w:eastAsia="宋体" w:cs="宋体"/>
                <w:color w:val="auto"/>
                <w:sz w:val="24"/>
                <w:highlight w:val="none"/>
                <w:lang w:val="en-US" w:eastAsia="zh-CN"/>
              </w:rPr>
              <w:t>支付合同价50%</w:t>
            </w:r>
            <w:r>
              <w:rPr>
                <w:rFonts w:hint="eastAsia" w:ascii="宋体" w:hAnsi="宋体" w:cs="宋体"/>
                <w:color w:val="auto"/>
                <w:sz w:val="24"/>
                <w:highlight w:val="none"/>
                <w:lang w:val="en-US" w:eastAsia="zh-CN"/>
              </w:rPr>
              <w:t>的</w:t>
            </w:r>
            <w:r>
              <w:rPr>
                <w:rFonts w:hint="eastAsia" w:ascii="宋体" w:hAnsi="宋体" w:eastAsia="宋体" w:cs="宋体"/>
                <w:color w:val="auto"/>
                <w:sz w:val="24"/>
                <w:highlight w:val="none"/>
                <w:lang w:val="en-US" w:eastAsia="zh-CN"/>
              </w:rPr>
              <w:t>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1.5.2</w:t>
            </w:r>
          </w:p>
        </w:tc>
        <w:tc>
          <w:tcPr>
            <w:tcW w:w="8150"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1.5.3</w:t>
            </w:r>
          </w:p>
        </w:tc>
        <w:tc>
          <w:tcPr>
            <w:tcW w:w="8150" w:type="dxa"/>
            <w:vAlign w:val="center"/>
          </w:tcPr>
          <w:p>
            <w:pPr>
              <w:shd w:val="clear"/>
              <w:spacing w:line="240" w:lineRule="auto"/>
              <w:rPr>
                <w:rFonts w:ascii="宋体" w:hAnsi="宋体" w:cs="宋体"/>
                <w:color w:val="auto"/>
                <w:sz w:val="24"/>
                <w:highlight w:val="none"/>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1.6.2</w:t>
            </w:r>
          </w:p>
        </w:tc>
        <w:tc>
          <w:tcPr>
            <w:tcW w:w="8150" w:type="dxa"/>
            <w:vAlign w:val="center"/>
          </w:tcPr>
          <w:p>
            <w:pPr>
              <w:shd w:val="clear"/>
              <w:spacing w:line="240" w:lineRule="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资金支付的方式、时间和条件：</w:t>
            </w:r>
          </w:p>
          <w:p>
            <w:pPr>
              <w:shd w:val="clear"/>
              <w:spacing w:line="24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lang w:val="en-US" w:eastAsia="zh-CN"/>
              </w:rPr>
              <w:t>根据合同、招标文件等资料进行验收。</w:t>
            </w:r>
          </w:p>
          <w:p>
            <w:pPr>
              <w:shd w:val="clear"/>
              <w:spacing w:line="24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合同生效以及具备实施条件后5个工作日，项目初验通过后，支付合同总价的40%；最终验收通过后，结清余款。</w:t>
            </w:r>
          </w:p>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lang w:val="en-US" w:eastAsia="zh-CN"/>
              </w:rPr>
              <w:t>结算时</w:t>
            </w:r>
            <w:r>
              <w:rPr>
                <w:rFonts w:hint="eastAsia" w:ascii="宋体" w:hAnsi="宋体" w:cs="宋体"/>
                <w:color w:val="auto"/>
                <w:sz w:val="24"/>
                <w:highlight w:val="none"/>
                <w:lang w:val="en-US" w:eastAsia="zh-CN"/>
              </w:rPr>
              <w:t>乙方</w:t>
            </w:r>
            <w:r>
              <w:rPr>
                <w:rFonts w:hint="eastAsia" w:ascii="宋体" w:hAnsi="宋体" w:eastAsia="宋体" w:cs="宋体"/>
                <w:color w:val="auto"/>
                <w:sz w:val="24"/>
                <w:highlight w:val="none"/>
                <w:lang w:val="en-US" w:eastAsia="zh-CN"/>
              </w:rPr>
              <w:t>将结款申请1份、发票原件（按当期应付金额开具）及复印件1份、合同复印件1份、经</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lang w:val="en-US" w:eastAsia="zh-CN"/>
              </w:rPr>
              <w:t>验收确认的《建德市政府采购验收反馈表》（还需提供验收报告）提交</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lang w:val="en-US" w:eastAsia="zh-CN"/>
              </w:rPr>
              <w:t>，</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lang w:val="en-US" w:eastAsia="zh-CN"/>
              </w:rPr>
              <w:t>自收到发票后5个工作日内支付相应款项。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1.7.1</w:t>
            </w:r>
          </w:p>
        </w:tc>
        <w:tc>
          <w:tcPr>
            <w:tcW w:w="8150"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rPr>
              <w:t>服务交付（实施）的时间（期限）：2024年4月底之前，完成项目所有的工作内容，并编写项目验收文档，组织项目验收。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1.7.2</w:t>
            </w:r>
          </w:p>
        </w:tc>
        <w:tc>
          <w:tcPr>
            <w:tcW w:w="8150"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rPr>
              <w:t>服务交付（实施）的地点（地域范围）：根据甲方实际要求确定。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1.7.3</w:t>
            </w:r>
          </w:p>
        </w:tc>
        <w:tc>
          <w:tcPr>
            <w:tcW w:w="8150"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rPr>
              <w:t>服务交付（实施）的方式</w:t>
            </w:r>
            <w:r>
              <w:rPr>
                <w:rFonts w:hint="eastAsia" w:ascii="宋体" w:hAnsi="宋体" w:eastAsia="宋体" w:cs="宋体"/>
                <w:color w:val="auto"/>
                <w:sz w:val="24"/>
                <w:highlight w:val="none"/>
                <w:lang w:val="en-US" w:eastAsia="zh-CN"/>
              </w:rPr>
              <w:t>:根据甲方实际要求交付。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1.7.4.1</w:t>
            </w:r>
          </w:p>
        </w:tc>
        <w:tc>
          <w:tcPr>
            <w:tcW w:w="8150"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1.7.4.2</w:t>
            </w:r>
          </w:p>
        </w:tc>
        <w:tc>
          <w:tcPr>
            <w:tcW w:w="8150"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1.7.4.3</w:t>
            </w:r>
          </w:p>
        </w:tc>
        <w:tc>
          <w:tcPr>
            <w:tcW w:w="8150"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1.8.7</w:t>
            </w:r>
          </w:p>
        </w:tc>
        <w:tc>
          <w:tcPr>
            <w:tcW w:w="8150"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1.9.1</w:t>
            </w:r>
          </w:p>
        </w:tc>
        <w:tc>
          <w:tcPr>
            <w:tcW w:w="8150"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1.9.2</w:t>
            </w:r>
          </w:p>
        </w:tc>
        <w:tc>
          <w:tcPr>
            <w:tcW w:w="8150"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rPr>
              <w:t>向</w:t>
            </w:r>
            <w:r>
              <w:rPr>
                <w:rFonts w:hint="eastAsia" w:ascii="宋体" w:hAnsi="宋体" w:eastAsia="宋体" w:cs="宋体"/>
                <w:b/>
                <w:bCs/>
                <w:i/>
                <w:iCs/>
                <w:color w:val="auto"/>
                <w:sz w:val="24"/>
                <w:highlight w:val="none"/>
                <w:u w:val="single"/>
              </w:rPr>
              <w:t>建德市人民法院</w:t>
            </w:r>
            <w:r>
              <w:rPr>
                <w:rFonts w:hint="eastAsia" w:ascii="宋体" w:hAnsi="宋体" w:eastAsia="宋体" w:cs="宋体"/>
                <w:color w:val="auto"/>
                <w:sz w:val="24"/>
                <w:highlight w:val="none"/>
              </w:rPr>
              <w:t>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2.3.2</w:t>
            </w:r>
          </w:p>
        </w:tc>
        <w:tc>
          <w:tcPr>
            <w:tcW w:w="8150" w:type="dxa"/>
            <w:vAlign w:val="center"/>
          </w:tcPr>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1.乙方在提供服务过程中获得的一切成果，均归甲方所有，乙方不得侵犯任何甲方的知识产权，否则乙方应承担由此产生的一切责任。</w:t>
            </w:r>
          </w:p>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乙方负有保密义务。本项目资料所有权属甲方所有，各种统计资料、纸质资料及分析数据等项目加工资料在项目结束时都必须完整完全移交，乙方不得下载、留存、持有和使用任何档案信息，更不得提供给任何第三方，每发现一次按合同总价的20%向甲方支付违约金，如给甲方造成损失的应全额赔偿。对甲方其他的商务、财务、技术、服务的信息、用户资料或其他标明保密的文件或信息，乙方亦负保密义务，未经甲方事先书面同意不得向任何第三方披露，否则应承担由此产生的法律责任。乙方应及时与甲方签署《保密协议》。</w:t>
            </w:r>
          </w:p>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rPr>
              <w:t>3.乙方的保密义务长期有效，不因本合同的终止而终止。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2.5</w:t>
            </w:r>
          </w:p>
        </w:tc>
        <w:tc>
          <w:tcPr>
            <w:tcW w:w="8150" w:type="dxa"/>
            <w:vAlign w:val="center"/>
          </w:tcPr>
          <w:p>
            <w:pPr>
              <w:shd w:val="clear"/>
              <w:spacing w:line="240" w:lineRule="auto"/>
              <w:ind w:left="-420" w:leftChars="-200" w:right="-420" w:rightChars="-200" w:firstLine="480" w:firstLineChars="200"/>
              <w:rPr>
                <w:rFonts w:ascii="宋体" w:hAnsi="宋体" w:cs="宋体"/>
                <w:color w:val="auto"/>
                <w:sz w:val="24"/>
                <w:highlight w:val="none"/>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2.11.3</w:t>
            </w:r>
          </w:p>
        </w:tc>
        <w:tc>
          <w:tcPr>
            <w:tcW w:w="8150"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rPr>
              <w:t>因不可抗力致使合同有变更必要的，双方当事人应在</w:t>
            </w:r>
            <w:r>
              <w:rPr>
                <w:rFonts w:hint="eastAsia" w:ascii="宋体" w:hAnsi="宋体" w:eastAsia="宋体" w:cs="宋体"/>
                <w:b/>
                <w:bCs/>
                <w:i/>
                <w:iCs/>
                <w:color w:val="auto"/>
                <w:sz w:val="24"/>
                <w:highlight w:val="none"/>
                <w:u w:val="single"/>
              </w:rPr>
              <w:t>30日</w:t>
            </w:r>
            <w:r>
              <w:rPr>
                <w:rFonts w:hint="eastAsia" w:ascii="宋体" w:hAnsi="宋体" w:eastAsia="宋体" w:cs="宋体"/>
                <w:color w:val="auto"/>
                <w:sz w:val="24"/>
                <w:highlight w:val="none"/>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top"/>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2.11.4</w:t>
            </w:r>
          </w:p>
        </w:tc>
        <w:tc>
          <w:tcPr>
            <w:tcW w:w="8150" w:type="dxa"/>
            <w:vAlign w:val="top"/>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rPr>
              <w:t>受不可抗力影响的一方在不可抗力发生后，应在</w:t>
            </w:r>
            <w:r>
              <w:rPr>
                <w:rFonts w:hint="eastAsia" w:ascii="宋体" w:hAnsi="宋体" w:eastAsia="宋体" w:cs="宋体"/>
                <w:b/>
                <w:bCs/>
                <w:i/>
                <w:iCs/>
                <w:color w:val="auto"/>
                <w:sz w:val="24"/>
                <w:highlight w:val="none"/>
                <w:u w:val="single"/>
              </w:rPr>
              <w:t>7日</w:t>
            </w:r>
            <w:r>
              <w:rPr>
                <w:rFonts w:hint="eastAsia" w:ascii="宋体" w:hAnsi="宋体" w:eastAsia="宋体" w:cs="宋体"/>
                <w:color w:val="auto"/>
                <w:sz w:val="24"/>
                <w:highlight w:val="none"/>
              </w:rPr>
              <w:t>内以书面形式通知对方当事人，并在</w:t>
            </w:r>
            <w:r>
              <w:rPr>
                <w:rFonts w:hint="eastAsia" w:ascii="宋体" w:hAnsi="宋体" w:eastAsia="宋体" w:cs="宋体"/>
                <w:b/>
                <w:bCs/>
                <w:i/>
                <w:iCs/>
                <w:color w:val="auto"/>
                <w:sz w:val="24"/>
                <w:highlight w:val="none"/>
                <w:u w:val="single"/>
              </w:rPr>
              <w:t>14日</w:t>
            </w:r>
            <w:r>
              <w:rPr>
                <w:rFonts w:hint="eastAsia" w:ascii="宋体" w:hAnsi="宋体" w:eastAsia="宋体" w:cs="宋体"/>
                <w:color w:val="auto"/>
                <w:sz w:val="24"/>
                <w:highlight w:val="none"/>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2.15.1</w:t>
            </w:r>
          </w:p>
        </w:tc>
        <w:tc>
          <w:tcPr>
            <w:tcW w:w="8150"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rPr>
              <w:t>乙方按照</w:t>
            </w:r>
            <w:r>
              <w:rPr>
                <w:rFonts w:hint="eastAsia" w:ascii="宋体" w:hAnsi="宋体" w:cs="宋体"/>
                <w:b/>
                <w:bCs/>
                <w:i/>
                <w:iCs/>
                <w:color w:val="auto"/>
                <w:sz w:val="24"/>
                <w:highlight w:val="none"/>
                <w:u w:val="single"/>
                <w:lang w:val="en-US" w:eastAsia="zh-CN"/>
              </w:rPr>
              <w:t>招标</w:t>
            </w:r>
            <w:r>
              <w:rPr>
                <w:rFonts w:hint="eastAsia" w:ascii="宋体" w:hAnsi="宋体" w:eastAsia="宋体" w:cs="宋体"/>
                <w:b/>
                <w:bCs/>
                <w:i/>
                <w:iCs/>
                <w:color w:val="auto"/>
                <w:sz w:val="24"/>
                <w:highlight w:val="none"/>
                <w:u w:val="single"/>
                <w:lang w:val="en-US" w:eastAsia="zh-CN"/>
              </w:rPr>
              <w:t>文件</w:t>
            </w:r>
            <w:r>
              <w:rPr>
                <w:rFonts w:hint="eastAsia" w:ascii="宋体" w:hAnsi="宋体" w:eastAsia="宋体" w:cs="宋体"/>
                <w:color w:val="auto"/>
                <w:sz w:val="24"/>
                <w:highlight w:val="none"/>
              </w:rPr>
              <w:t>的约定，定期提交服务报告，甲方按照</w:t>
            </w:r>
            <w:r>
              <w:rPr>
                <w:rFonts w:hint="eastAsia" w:ascii="宋体" w:hAnsi="宋体" w:eastAsia="宋体" w:cs="宋体"/>
                <w:b/>
                <w:bCs/>
                <w:i/>
                <w:iCs/>
                <w:color w:val="auto"/>
                <w:sz w:val="24"/>
                <w:highlight w:val="none"/>
                <w:u w:val="single"/>
                <w:lang w:eastAsia="zh-CN"/>
              </w:rPr>
              <w:t>符合招标需求、合同方案标准</w:t>
            </w:r>
            <w:r>
              <w:rPr>
                <w:rFonts w:hint="eastAsia" w:ascii="宋体" w:hAnsi="宋体" w:eastAsia="宋体" w:cs="宋体"/>
                <w:color w:val="auto"/>
                <w:sz w:val="24"/>
                <w:highlight w:val="none"/>
              </w:rPr>
              <w:t>的约定进行定期验收；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2.15.3</w:t>
            </w:r>
          </w:p>
        </w:tc>
        <w:tc>
          <w:tcPr>
            <w:tcW w:w="8150" w:type="dxa"/>
            <w:vAlign w:val="center"/>
          </w:tcPr>
          <w:p>
            <w:pPr>
              <w:shd w:val="clear"/>
              <w:spacing w:line="24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验收</w:t>
            </w:r>
            <w:r>
              <w:rPr>
                <w:rFonts w:hint="eastAsia" w:ascii="宋体" w:hAnsi="宋体" w:eastAsia="宋体" w:cs="宋体"/>
                <w:color w:val="auto"/>
                <w:sz w:val="24"/>
                <w:highlight w:val="none"/>
                <w:lang w:eastAsia="zh-CN"/>
              </w:rPr>
              <w:t>：</w:t>
            </w:r>
          </w:p>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rPr>
              <w:t>负责对</w:t>
            </w:r>
            <w:r>
              <w:rPr>
                <w:rFonts w:hint="eastAsia" w:ascii="宋体" w:hAnsi="宋体" w:cs="宋体"/>
                <w:color w:val="auto"/>
                <w:sz w:val="24"/>
                <w:highlight w:val="none"/>
                <w:lang w:val="en-US" w:eastAsia="zh-CN"/>
              </w:rPr>
              <w:t>乙方</w:t>
            </w:r>
            <w:r>
              <w:rPr>
                <w:rFonts w:hint="eastAsia" w:ascii="宋体" w:hAnsi="宋体" w:eastAsia="宋体" w:cs="宋体"/>
                <w:color w:val="auto"/>
                <w:sz w:val="24"/>
                <w:highlight w:val="none"/>
              </w:rPr>
              <w:t>的履约行为进行验收，验收符合相关政策法规和地方标准。</w:t>
            </w:r>
          </w:p>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2）检验和验收标准、程序等具体内容：通过</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rPr>
              <w:t>组织的评审。</w:t>
            </w:r>
          </w:p>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rPr>
              <w:t>3）验收费用由</w:t>
            </w:r>
            <w:r>
              <w:rPr>
                <w:rFonts w:hint="eastAsia" w:ascii="宋体" w:hAnsi="宋体" w:cs="宋体"/>
                <w:color w:val="auto"/>
                <w:sz w:val="24"/>
                <w:highlight w:val="none"/>
                <w:lang w:val="en-US" w:eastAsia="zh-CN"/>
              </w:rPr>
              <w:t>乙方</w:t>
            </w:r>
            <w:r>
              <w:rPr>
                <w:rFonts w:hint="eastAsia" w:ascii="宋体" w:hAnsi="宋体" w:eastAsia="宋体" w:cs="宋体"/>
                <w:color w:val="auto"/>
                <w:sz w:val="24"/>
                <w:highlight w:val="none"/>
              </w:rPr>
              <w:t>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76" w:type="dxa"/>
            <w:tcBorders>
              <w:left w:val="single" w:color="auto" w:sz="4" w:space="0"/>
            </w:tcBorders>
            <w:vAlign w:val="top"/>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2.19</w:t>
            </w:r>
          </w:p>
        </w:tc>
        <w:tc>
          <w:tcPr>
            <w:tcW w:w="8150" w:type="dxa"/>
            <w:vAlign w:val="top"/>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rPr>
              <w:t>合同份数：本合同壹式陆份，甲、乙双方各执贰份，见证单位壹份，监管部门壹份。</w:t>
            </w:r>
          </w:p>
        </w:tc>
      </w:tr>
    </w:tbl>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pStyle w:val="4"/>
        <w:rPr>
          <w:rFonts w:ascii="宋体" w:hAnsi="宋体" w:cs="宋体"/>
          <w:color w:val="auto"/>
          <w:sz w:val="24"/>
          <w:highlight w:val="none"/>
        </w:rPr>
      </w:pPr>
    </w:p>
    <w:p>
      <w:pPr>
        <w:rPr>
          <w:rFonts w:ascii="宋体" w:hAnsi="宋体" w:cs="宋体"/>
          <w:color w:val="auto"/>
          <w:sz w:val="24"/>
          <w:highlight w:val="none"/>
        </w:rPr>
      </w:pPr>
    </w:p>
    <w:p>
      <w:pPr>
        <w:pStyle w:val="4"/>
        <w:rPr>
          <w:rFonts w:ascii="宋体" w:hAnsi="宋体" w:cs="宋体"/>
          <w:color w:val="auto"/>
          <w:sz w:val="24"/>
          <w:highlight w:val="none"/>
        </w:rPr>
      </w:pPr>
    </w:p>
    <w:p>
      <w:pPr>
        <w:rPr>
          <w:rFonts w:ascii="宋体" w:hAnsi="宋体" w:cs="宋体"/>
          <w:color w:val="auto"/>
          <w:sz w:val="24"/>
          <w:highlight w:val="none"/>
        </w:rPr>
      </w:pPr>
    </w:p>
    <w:p>
      <w:pPr>
        <w:pStyle w:val="4"/>
        <w:rPr>
          <w:rFonts w:ascii="宋体" w:hAnsi="宋体" w:cs="宋体"/>
          <w:color w:val="auto"/>
          <w:sz w:val="24"/>
          <w:highlight w:val="none"/>
        </w:rPr>
      </w:pPr>
    </w:p>
    <w:p>
      <w:pPr>
        <w:rPr>
          <w:rFonts w:ascii="宋体" w:hAnsi="宋体" w:cs="宋体"/>
          <w:color w:val="auto"/>
          <w:sz w:val="24"/>
          <w:highlight w:val="none"/>
        </w:rPr>
      </w:pPr>
    </w:p>
    <w:p>
      <w:pPr>
        <w:pStyle w:val="4"/>
        <w:rPr>
          <w:rFonts w:ascii="宋体" w:hAnsi="宋体" w:cs="宋体"/>
          <w:color w:val="auto"/>
          <w:sz w:val="24"/>
          <w:highlight w:val="none"/>
        </w:rPr>
      </w:pPr>
    </w:p>
    <w:p>
      <w:pPr>
        <w:rPr>
          <w:rFonts w:ascii="宋体" w:hAnsi="宋体" w:cs="宋体"/>
          <w:color w:val="auto"/>
          <w:sz w:val="24"/>
          <w:highlight w:val="none"/>
        </w:rPr>
      </w:pPr>
    </w:p>
    <w:p>
      <w:pPr>
        <w:pStyle w:val="4"/>
        <w:rPr>
          <w:rFonts w:ascii="宋体" w:hAnsi="宋体" w:cs="宋体"/>
          <w:color w:val="auto"/>
          <w:sz w:val="24"/>
          <w:highlight w:val="none"/>
        </w:rPr>
      </w:pPr>
    </w:p>
    <w:p>
      <w:pPr>
        <w:rPr>
          <w:rFonts w:ascii="宋体" w:hAnsi="宋体" w:cs="宋体"/>
          <w:color w:val="auto"/>
          <w:sz w:val="24"/>
          <w:highlight w:val="none"/>
        </w:rPr>
      </w:pPr>
    </w:p>
    <w:p>
      <w:pPr>
        <w:pStyle w:val="4"/>
        <w:rPr>
          <w:rFonts w:ascii="宋体" w:hAnsi="宋体" w:cs="宋体"/>
          <w:color w:val="auto"/>
          <w:sz w:val="24"/>
          <w:highlight w:val="none"/>
        </w:rPr>
      </w:pPr>
    </w:p>
    <w:p>
      <w:pPr>
        <w:rPr>
          <w:rFonts w:ascii="宋体" w:hAnsi="宋体" w:cs="宋体"/>
          <w:color w:val="auto"/>
          <w:sz w:val="24"/>
          <w:highlight w:val="none"/>
        </w:rPr>
      </w:pPr>
    </w:p>
    <w:p>
      <w:pPr>
        <w:pStyle w:val="4"/>
        <w:rPr>
          <w:rFonts w:ascii="宋体" w:hAnsi="宋体" w:cs="宋体"/>
          <w:color w:val="auto"/>
          <w:sz w:val="24"/>
          <w:highlight w:val="none"/>
        </w:rPr>
      </w:pPr>
    </w:p>
    <w:p>
      <w:pPr>
        <w:rPr>
          <w:rFonts w:ascii="宋体" w:hAnsi="宋体" w:cs="宋体"/>
          <w:color w:val="auto"/>
          <w:sz w:val="24"/>
          <w:highlight w:val="none"/>
        </w:rPr>
      </w:pPr>
    </w:p>
    <w:p>
      <w:pPr>
        <w:pStyle w:val="4"/>
        <w:rPr>
          <w:rFonts w:ascii="宋体" w:hAnsi="宋体" w:cs="宋体"/>
          <w:color w:val="auto"/>
          <w:sz w:val="24"/>
          <w:highlight w:val="none"/>
        </w:rPr>
      </w:pPr>
    </w:p>
    <w:p>
      <w:pPr>
        <w:rPr>
          <w:rFonts w:ascii="宋体" w:hAnsi="宋体" w:cs="宋体"/>
          <w:color w:val="auto"/>
          <w:sz w:val="24"/>
          <w:highlight w:val="none"/>
        </w:rPr>
      </w:pPr>
    </w:p>
    <w:p>
      <w:pPr>
        <w:pStyle w:val="4"/>
        <w:rPr>
          <w:rFonts w:ascii="宋体" w:hAnsi="宋体" w:cs="宋体"/>
          <w:color w:val="auto"/>
          <w:sz w:val="24"/>
          <w:highlight w:val="none"/>
        </w:rPr>
      </w:pPr>
    </w:p>
    <w:p>
      <w:pPr>
        <w:rPr>
          <w:rFonts w:ascii="宋体" w:hAnsi="宋体" w:cs="宋体"/>
          <w:color w:val="auto"/>
          <w:sz w:val="24"/>
          <w:highlight w:val="none"/>
        </w:rPr>
      </w:pPr>
    </w:p>
    <w:p>
      <w:pPr>
        <w:pStyle w:val="4"/>
        <w:rPr>
          <w:color w:val="auto"/>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3"/>
      <w:r>
        <w:rPr>
          <w:rFonts w:hint="eastAsia" w:ascii="宋体" w:hAnsi="宋体" w:cs="宋体"/>
          <w:b/>
          <w:color w:val="auto"/>
          <w:sz w:val="36"/>
          <w:szCs w:val="20"/>
          <w:highlight w:val="none"/>
        </w:rPr>
        <w:t xml:space="preserve"> </w:t>
      </w:r>
      <w:bookmarkEnd w:id="394"/>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建德市房产和住房保障服务中心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杭州欣兴建设工程招标代理有限公司</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lang w:eastAsia="zh-CN"/>
        </w:rPr>
        <w:t>建德市物业维修资金数据治理迁移项目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JD2023BF-055</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w:t>
      </w:r>
      <w:r>
        <w:rPr>
          <w:rFonts w:hint="eastAsia" w:ascii="宋体" w:hAnsi="宋体" w:cs="宋体"/>
          <w:color w:val="auto"/>
          <w:sz w:val="24"/>
          <w:highlight w:val="none"/>
          <w:lang w:eastAsia="zh-CN"/>
        </w:rPr>
        <w:t>重大税收违法失信主体</w:t>
      </w:r>
      <w:r>
        <w:rPr>
          <w:rFonts w:hint="eastAsia" w:ascii="宋体" w:hAnsi="宋体" w:cs="宋体"/>
          <w:color w:val="auto"/>
          <w:sz w:val="24"/>
          <w:highlight w:val="none"/>
        </w:rPr>
        <w:t>、政府采购严重违法失信行为记录名单。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numPr>
          <w:ilvl w:val="0"/>
          <w:numId w:val="2"/>
        </w:numPr>
        <w:spacing w:line="360" w:lineRule="auto"/>
        <w:ind w:firstLine="643" w:firstLineChars="200"/>
        <w:jc w:val="center"/>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rPr>
        <w:t>联合协议（如果有）</w:t>
      </w:r>
    </w:p>
    <w:p>
      <w:pPr>
        <w:pStyle w:val="4"/>
        <w:numPr>
          <w:ilvl w:val="0"/>
          <w:numId w:val="0"/>
        </w:numPr>
        <w:ind w:leftChars="0"/>
        <w:jc w:val="center"/>
        <w:rPr>
          <w:rFonts w:hint="eastAsia" w:ascii="宋体" w:hAnsi="宋体" w:eastAsia="宋体" w:cs="宋体"/>
          <w:color w:val="auto"/>
          <w:highlight w:val="none"/>
          <w:u w:val="single"/>
          <w:lang w:val="en-US"/>
        </w:rPr>
      </w:pP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pStyle w:val="4"/>
        <w:numPr>
          <w:ilvl w:val="0"/>
          <w:numId w:val="0"/>
        </w:numPr>
        <w:ind w:leftChars="0"/>
        <w:jc w:val="center"/>
        <w:rPr>
          <w:rFonts w:hint="eastAsia" w:ascii="宋体" w:hAnsi="宋体" w:eastAsia="宋体" w:cs="宋体"/>
          <w:color w:val="auto"/>
          <w:highlight w:val="none"/>
          <w:u w:val="single"/>
          <w:lang w:val="en-US"/>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建德市房产和住房保障服务中心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杭州欣兴建设工程招标代理有限公司</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lang w:eastAsia="zh-CN"/>
        </w:rPr>
        <w:t>建德市物业维修资金数据治理迁移项目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JD2023BF-055</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2.1.1符合参加政府采购活动应当具备的一般条件的承诺函；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509" w:name="_Hlk101257010"/>
      <w:r>
        <w:rPr>
          <w:rFonts w:hint="eastAsia" w:ascii="宋体" w:hAnsi="宋体" w:cs="宋体"/>
          <w:color w:val="auto"/>
          <w:sz w:val="24"/>
          <w:highlight w:val="none"/>
        </w:rPr>
        <w:t>（如果有)</w:t>
      </w:r>
      <w:bookmarkEnd w:id="509"/>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4"/>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建德市房产和住房保障服务中心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杭州欣兴建设工程招标代理有限公司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建德市物业维修资金数据治理迁移项目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JD2023BF-055</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建德市房产和住房保障服务中心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杭州欣兴建设工程招标代理有限公司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建德市物业维修资金数据治理迁移项目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JD2023BF-055</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47"/>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47"/>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numPr>
          <w:ilvl w:val="0"/>
          <w:numId w:val="0"/>
        </w:numPr>
        <w:ind w:leftChars="200"/>
        <w:jc w:val="center"/>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四、</w:t>
      </w:r>
      <w:r>
        <w:rPr>
          <w:rFonts w:hint="eastAsia" w:ascii="宋体" w:hAnsi="宋体" w:cs="宋体"/>
          <w:b/>
          <w:color w:val="auto"/>
          <w:kern w:val="0"/>
          <w:sz w:val="32"/>
          <w:szCs w:val="32"/>
          <w:highlight w:val="none"/>
        </w:rPr>
        <w:t>符合性审查资料</w:t>
      </w: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hint="eastAsia"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numPr>
          <w:ilvl w:val="0"/>
          <w:numId w:val="3"/>
        </w:numPr>
        <w:ind w:firstLine="2891" w:firstLineChars="900"/>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rPr>
        <w:t>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numPr>
          <w:ilvl w:val="0"/>
          <w:numId w:val="3"/>
        </w:numPr>
        <w:ind w:left="0" w:leftChars="0" w:firstLine="2891" w:firstLineChars="900"/>
        <w:jc w:val="both"/>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rPr>
        <w:t>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建德市房产和住房保障服务中心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杭州欣兴建设工程招标代理有限公司</w:t>
      </w:r>
      <w:r>
        <w:rPr>
          <w:rFonts w:hint="eastAsia" w:ascii="宋体" w:hAnsi="宋体" w:cs="宋体"/>
          <w:color w:val="auto"/>
          <w:kern w:val="0"/>
          <w:sz w:val="24"/>
          <w:highlight w:val="none"/>
          <w:lang w:val="zh-CN"/>
        </w:rPr>
        <w:t>：</w:t>
      </w:r>
    </w:p>
    <w:p>
      <w:pPr>
        <w:snapToGrid w:val="0"/>
        <w:spacing w:line="360" w:lineRule="auto"/>
        <w:ind w:firstLine="480" w:firstLineChars="200"/>
        <w:jc w:val="both"/>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jc w:val="left"/>
        <w:rPr>
          <w:rFonts w:ascii="宋体" w:hAnsi="宋体" w:cs="宋体"/>
          <w:color w:val="auto"/>
          <w:kern w:val="0"/>
          <w:sz w:val="24"/>
          <w:highlight w:val="none"/>
        </w:rPr>
      </w:pPr>
      <w:r>
        <w:rPr>
          <w:rFonts w:hint="eastAsia" w:ascii="宋体" w:hAnsi="宋体" w:cs="宋体"/>
          <w:color w:val="auto"/>
          <w:sz w:val="24"/>
          <w:highlight w:val="none"/>
          <w:lang w:eastAsia="zh-CN"/>
        </w:rPr>
        <w:t>建德市房产和住房保障服务中心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杭州欣兴建设工程招标代理有限公司</w:t>
      </w:r>
      <w:r>
        <w:rPr>
          <w:rFonts w:hint="eastAsia" w:ascii="宋体" w:hAnsi="宋体" w:cs="宋体"/>
          <w:color w:val="auto"/>
          <w:kern w:val="0"/>
          <w:sz w:val="24"/>
          <w:highlight w:val="none"/>
          <w:lang w:val="zh-CN"/>
        </w:rPr>
        <w:t>：</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lang w:eastAsia="zh-CN"/>
        </w:rPr>
        <w:t>建德市物业维修资金数据治理迁移项目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JD2023BF-055</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3"/>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99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268"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241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26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2126"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2127"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服务人数</w:t>
            </w:r>
          </w:p>
        </w:tc>
        <w:tc>
          <w:tcPr>
            <w:tcW w:w="2126"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8647" w:type="dxa"/>
            <w:gridSpan w:val="4"/>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8647" w:type="dxa"/>
            <w:gridSpan w:val="4"/>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kern w:val="0"/>
          <w:sz w:val="24"/>
          <w:highlight w:val="none"/>
        </w:r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pStyle w:val="691"/>
        <w:keepNext w:val="0"/>
        <w:pageBreakBefore w:val="0"/>
        <w:tabs>
          <w:tab w:val="clear" w:pos="720"/>
        </w:tabs>
        <w:snapToGrid w:val="0"/>
        <w:spacing w:before="120" w:after="120"/>
        <w:ind w:firstLine="643"/>
        <w:outlineLvl w:val="9"/>
        <w:rPr>
          <w:rFonts w:ascii="宋体" w:hAnsi="宋体" w:eastAsia="宋体" w:cs="宋体"/>
          <w:b w:val="0"/>
          <w:color w:val="auto"/>
          <w:sz w:val="32"/>
          <w:szCs w:val="32"/>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5"/>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510" w:name="OLE_LINK13"/>
      <w:bookmarkStart w:id="511" w:name="OLE_LINK14"/>
      <w:r>
        <w:rPr>
          <w:rFonts w:hint="eastAsia" w:ascii="宋体" w:hAnsi="宋体" w:cs="宋体"/>
          <w:b/>
          <w:color w:val="auto"/>
          <w:spacing w:val="6"/>
          <w:sz w:val="32"/>
          <w:szCs w:val="32"/>
          <w:highlight w:val="none"/>
        </w:rPr>
        <w:t>残疾人福利性单位声明函</w:t>
      </w:r>
    </w:p>
    <w:bookmarkEnd w:id="510"/>
    <w:bookmarkEnd w:id="511"/>
    <w:p>
      <w:pPr>
        <w:spacing w:line="360" w:lineRule="auto"/>
        <w:rPr>
          <w:rFonts w:ascii="宋体" w:hAnsi="宋体" w:cs="宋体"/>
          <w:b/>
          <w:color w:val="auto"/>
          <w:spacing w:val="6"/>
          <w:sz w:val="30"/>
          <w:szCs w:val="30"/>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lang w:eastAsia="zh-CN"/>
        </w:rPr>
        <w:t>建德市物业维修资金数据治理迁移项目</w:t>
      </w:r>
      <w:r>
        <w:rPr>
          <w:rFonts w:hint="eastAsia" w:ascii="宋体" w:hAnsi="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lang w:eastAsia="zh-CN"/>
        </w:rPr>
        <w:t>建德市房产和住房保障服务中心</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eastAsia="zh-CN"/>
        </w:rPr>
        <w:t>杭州欣兴建设工程招标代理有限公司</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lang w:eastAsia="zh-CN"/>
        </w:rPr>
        <w:t>建德市物业维修资金数据治理迁移项目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JD2023BF-055</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ed="f" stroked="t" coordsize="21600,21600" o:gfxdata="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xlIY2AAAAAoBAAAPAAAAAAAAAAEAIAAAACIAAABkcnMvZG93bnJldi54bWxQSwECFAAUAAAA&#10;CACHTuJAmj76cu4BAAD6AwAADgAAAAAAAAABACAAAAAnAQAAZHJzL2Uyb0RvYy54bWxQSwUGAAAA&#10;AAYABgBZAQAAhwUAAAAA&#10;">
                <v:fill on="f" focussize="0,0"/>
                <v:stroke color="#000000" joinstyle="miter"/>
                <v:imagedata o:title=""/>
                <o:lock v:ext="edit" aspectratio="f"/>
              </v:rect>
            </w:pict>
          </mc:Fallback>
        </mc:AlternateContent>
      </w:r>
      <w:r>
        <w:rPr>
          <w:rFonts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ed="f" stroked="t" coordsize="21600,21600" o:gfxdata="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PaGoHXAAAACgEAAA8AAAAAAAAAAQAgAAAAIgAAAGRycy9kb3ducmV2LnhtbFBLAQIUABQAAAAI&#10;AIdO4kDuKu+g7gEAAPoDAAAOAAAAAAAAAAEAIAAAACYBAABkcnMvZTJvRG9jLnhtbFBLBQYAAAAA&#10;BgAGAFkBAACGBQAAAAA=&#10;">
                <v:fill on="f" focussize="0,0"/>
                <v:stroke color="#000000"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hint="eastAsia" w:ascii="宋体" w:hAnsi="宋体" w:cs="宋体"/>
          <w:b/>
          <w:color w:val="auto"/>
          <w:spacing w:val="6"/>
          <w:sz w:val="32"/>
          <w:szCs w:val="32"/>
          <w:highlight w:val="none"/>
        </w:rPr>
      </w:pPr>
    </w:p>
    <w:p>
      <w:pPr>
        <w:autoSpaceDE w:val="0"/>
        <w:autoSpaceDN w:val="0"/>
        <w:jc w:val="center"/>
        <w:rPr>
          <w:rFonts w:hint="eastAsia"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lang w:eastAsia="zh-CN"/>
        </w:rPr>
        <w:t>建德市物业维修资金数据治理迁移项目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JD2023BF-055</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512"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512"/>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513" w:name="_Hlk101133598"/>
      <w:r>
        <w:rPr>
          <w:rFonts w:hint="eastAsia" w:ascii="宋体" w:hAnsi="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513"/>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14"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514"/>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r>
        <w:rPr>
          <w:rFonts w:ascii="宋体" w:hAnsi="宋体" w:cs="宋体"/>
          <w:b/>
          <w:color w:val="auto"/>
          <w:spacing w:val="6"/>
          <w:sz w:val="32"/>
          <w:szCs w:val="32"/>
          <w:highlight w:val="none"/>
        </w:rPr>
        <w:br w:type="page"/>
      </w:r>
    </w:p>
    <w:p>
      <w:pPr>
        <w:snapToGrid w:val="0"/>
        <w:spacing w:line="360" w:lineRule="auto"/>
        <w:ind w:firstLine="3666" w:firstLineChars="1100"/>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lang w:eastAsia="zh-CN"/>
        </w:rPr>
        <w:t>建德市物业维修资金数据治理迁移项目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JD2023BF-055</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4"/>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lang w:eastAsia="zh-CN"/>
        </w:rPr>
        <w:t>建德市房产和住房保障服务中心</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建德市物业维修资金数据治理迁移项目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建德市物业维修资金数据治理迁移项目</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软件和信息技术服务业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 xml:space="preserve">（采购文件中明确的所属行业） </w:t>
      </w:r>
      <w:r>
        <w:rPr>
          <w:rFonts w:hint="eastAsia" w:ascii="宋体" w:hAnsi="宋体" w:cs="宋体"/>
          <w:color w:val="auto"/>
          <w:sz w:val="24"/>
          <w:highlight w:val="none"/>
        </w:rPr>
        <w:t xml:space="preserve">；承建（承接）企业为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spacing w:line="360" w:lineRule="auto"/>
        <w:rPr>
          <w:rFonts w:ascii="宋体" w:hAnsi="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Courier New"/>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Courier New"/>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Century"/>
    <w:panose1 w:val="020B0502020202020204"/>
    <w:charset w:val="00"/>
    <w:family w:val="swiss"/>
    <w:pitch w:val="default"/>
    <w:sig w:usb0="00000000" w:usb1="00000000" w:usb2="00000000" w:usb3="00000000" w:csb0="2000009F" w:csb1="DFD70000"/>
  </w:font>
  <w:font w:name="Aldine401 BT">
    <w:altName w:val="Courier New"/>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5" w:name="_Toc131845147"/>
    <w:bookmarkStart w:id="516" w:name="_Toc36110187"/>
    <w:bookmarkStart w:id="517" w:name="_Toc91899912"/>
    <w:bookmarkStart w:id="518" w:name="_Toc164085800"/>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B57A9E"/>
    <w:multiLevelType w:val="singleLevel"/>
    <w:tmpl w:val="1BB57A9E"/>
    <w:lvl w:ilvl="0" w:tentative="0">
      <w:start w:val="11"/>
      <w:numFmt w:val="decimal"/>
      <w:suff w:val="space"/>
      <w:lvlText w:val="%1."/>
      <w:lvlJc w:val="left"/>
    </w:lvl>
  </w:abstractNum>
  <w:abstractNum w:abstractNumId="1">
    <w:nsid w:val="7E3A9EA0"/>
    <w:multiLevelType w:val="singleLevel"/>
    <w:tmpl w:val="7E3A9EA0"/>
    <w:lvl w:ilvl="0" w:tentative="0">
      <w:start w:val="6"/>
      <w:numFmt w:val="chineseCounting"/>
      <w:suff w:val="nothing"/>
      <w:lvlText w:val="%1、"/>
      <w:lvlJc w:val="left"/>
      <w:rPr>
        <w:rFonts w:hint="eastAsia"/>
      </w:rPr>
    </w:lvl>
  </w:abstractNum>
  <w:abstractNum w:abstractNumId="2">
    <w:nsid w:val="7F81B622"/>
    <w:multiLevelType w:val="singleLevel"/>
    <w:tmpl w:val="7F81B622"/>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mNjc4ZGJiNzMyMDMzNzRiMzU1MzYyZmUxMzQ1ZTM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3780A"/>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A5F"/>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5C0"/>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8"/>
    <w:rsid w:val="00905469"/>
    <w:rsid w:val="00906078"/>
    <w:rsid w:val="0090629C"/>
    <w:rsid w:val="00906EA2"/>
    <w:rsid w:val="00907278"/>
    <w:rsid w:val="009076CA"/>
    <w:rsid w:val="00910041"/>
    <w:rsid w:val="00910A84"/>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44E8"/>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093D"/>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E32D09"/>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864D6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4338B"/>
    <w:rsid w:val="0B884417"/>
    <w:rsid w:val="0BF6188C"/>
    <w:rsid w:val="0BF73C91"/>
    <w:rsid w:val="0C170175"/>
    <w:rsid w:val="0C571A41"/>
    <w:rsid w:val="0C5C1171"/>
    <w:rsid w:val="0C5E1CBC"/>
    <w:rsid w:val="0C615B50"/>
    <w:rsid w:val="0C8445DA"/>
    <w:rsid w:val="0C87121B"/>
    <w:rsid w:val="0C8B3692"/>
    <w:rsid w:val="0CA072C0"/>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1EE5A02"/>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293599"/>
    <w:rsid w:val="154A6454"/>
    <w:rsid w:val="15762120"/>
    <w:rsid w:val="15EC4007"/>
    <w:rsid w:val="16296C4B"/>
    <w:rsid w:val="168340B4"/>
    <w:rsid w:val="16A8729C"/>
    <w:rsid w:val="16B33777"/>
    <w:rsid w:val="16BC70A7"/>
    <w:rsid w:val="16C6339E"/>
    <w:rsid w:val="172F2D79"/>
    <w:rsid w:val="17557BEF"/>
    <w:rsid w:val="17D349C1"/>
    <w:rsid w:val="1830729E"/>
    <w:rsid w:val="1870062C"/>
    <w:rsid w:val="18817102"/>
    <w:rsid w:val="18830A15"/>
    <w:rsid w:val="18852B28"/>
    <w:rsid w:val="188B5321"/>
    <w:rsid w:val="19566367"/>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D65CC8"/>
    <w:rsid w:val="1DF51A98"/>
    <w:rsid w:val="1E21302E"/>
    <w:rsid w:val="1E3D060F"/>
    <w:rsid w:val="1E3F7D2E"/>
    <w:rsid w:val="1E4134E4"/>
    <w:rsid w:val="1E5062B3"/>
    <w:rsid w:val="1E523514"/>
    <w:rsid w:val="1E714A66"/>
    <w:rsid w:val="1E802593"/>
    <w:rsid w:val="1E8B6156"/>
    <w:rsid w:val="1EA703CC"/>
    <w:rsid w:val="1EB7330C"/>
    <w:rsid w:val="1F0A0FF3"/>
    <w:rsid w:val="1F5771FF"/>
    <w:rsid w:val="1FD52DD5"/>
    <w:rsid w:val="1FE868A9"/>
    <w:rsid w:val="1FEE5F57"/>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47215A"/>
    <w:rsid w:val="37EE7094"/>
    <w:rsid w:val="38296C89"/>
    <w:rsid w:val="383002EB"/>
    <w:rsid w:val="38586797"/>
    <w:rsid w:val="38BC0149"/>
    <w:rsid w:val="38D87D1C"/>
    <w:rsid w:val="39636459"/>
    <w:rsid w:val="396B7F6C"/>
    <w:rsid w:val="39B417A9"/>
    <w:rsid w:val="39FC5695"/>
    <w:rsid w:val="3A006D8E"/>
    <w:rsid w:val="3A3651E5"/>
    <w:rsid w:val="3A744481"/>
    <w:rsid w:val="3A8378F5"/>
    <w:rsid w:val="3A8C7BEF"/>
    <w:rsid w:val="3A906246"/>
    <w:rsid w:val="3B2349B7"/>
    <w:rsid w:val="3B616CFF"/>
    <w:rsid w:val="3B6259F6"/>
    <w:rsid w:val="3B976654"/>
    <w:rsid w:val="3BC01EFC"/>
    <w:rsid w:val="3BCA786A"/>
    <w:rsid w:val="3BD31E2F"/>
    <w:rsid w:val="3BF15831"/>
    <w:rsid w:val="3C105946"/>
    <w:rsid w:val="3C353B22"/>
    <w:rsid w:val="3C471448"/>
    <w:rsid w:val="3C5F759A"/>
    <w:rsid w:val="3C6C525A"/>
    <w:rsid w:val="3CCE23CB"/>
    <w:rsid w:val="3CD17D17"/>
    <w:rsid w:val="3CE91BC1"/>
    <w:rsid w:val="3D3C7F39"/>
    <w:rsid w:val="3D440F09"/>
    <w:rsid w:val="3D4504A0"/>
    <w:rsid w:val="3D8734BB"/>
    <w:rsid w:val="3D9A11D4"/>
    <w:rsid w:val="3DA16D89"/>
    <w:rsid w:val="3DA364BE"/>
    <w:rsid w:val="3DE041CB"/>
    <w:rsid w:val="3DFC407A"/>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1FD2F74"/>
    <w:rsid w:val="42474939"/>
    <w:rsid w:val="424C3C57"/>
    <w:rsid w:val="42612E33"/>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7B02ACF"/>
    <w:rsid w:val="4809698F"/>
    <w:rsid w:val="4811697D"/>
    <w:rsid w:val="4849383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469DD"/>
    <w:rsid w:val="4CB6685F"/>
    <w:rsid w:val="4CC367FE"/>
    <w:rsid w:val="4CFD651E"/>
    <w:rsid w:val="4D077F3C"/>
    <w:rsid w:val="4D123355"/>
    <w:rsid w:val="4D2A3B31"/>
    <w:rsid w:val="4D312C52"/>
    <w:rsid w:val="4D4C12C5"/>
    <w:rsid w:val="4D905305"/>
    <w:rsid w:val="4D964A72"/>
    <w:rsid w:val="4D9C1254"/>
    <w:rsid w:val="4E793892"/>
    <w:rsid w:val="4E800872"/>
    <w:rsid w:val="4EC569ED"/>
    <w:rsid w:val="4ED50EA1"/>
    <w:rsid w:val="4EEC050C"/>
    <w:rsid w:val="4F104EC3"/>
    <w:rsid w:val="4F47354A"/>
    <w:rsid w:val="4F911C54"/>
    <w:rsid w:val="4FE625E0"/>
    <w:rsid w:val="4FEF527A"/>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E5223F"/>
    <w:rsid w:val="566B6D1E"/>
    <w:rsid w:val="567F61F6"/>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17E35"/>
    <w:rsid w:val="596D5BD4"/>
    <w:rsid w:val="597E3DD8"/>
    <w:rsid w:val="59F80043"/>
    <w:rsid w:val="5A09252F"/>
    <w:rsid w:val="5A0B2778"/>
    <w:rsid w:val="5A2A7C7B"/>
    <w:rsid w:val="5A3E2560"/>
    <w:rsid w:val="5A5D3B6E"/>
    <w:rsid w:val="5A637A76"/>
    <w:rsid w:val="5A6D178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DEA03F9"/>
    <w:rsid w:val="5E006862"/>
    <w:rsid w:val="5E0207B9"/>
    <w:rsid w:val="5E1834A1"/>
    <w:rsid w:val="5E261785"/>
    <w:rsid w:val="5E4A7017"/>
    <w:rsid w:val="5E552BBA"/>
    <w:rsid w:val="5E611C10"/>
    <w:rsid w:val="5E7A0F3F"/>
    <w:rsid w:val="5E87050B"/>
    <w:rsid w:val="5EFC7377"/>
    <w:rsid w:val="5F06174D"/>
    <w:rsid w:val="5F3A3602"/>
    <w:rsid w:val="5F443B39"/>
    <w:rsid w:val="5F45733B"/>
    <w:rsid w:val="5F6277C6"/>
    <w:rsid w:val="5F6D0B1D"/>
    <w:rsid w:val="5F8D0B82"/>
    <w:rsid w:val="5FCC5339"/>
    <w:rsid w:val="5FE34A5B"/>
    <w:rsid w:val="5FFE1E36"/>
    <w:rsid w:val="60232584"/>
    <w:rsid w:val="607330CE"/>
    <w:rsid w:val="60825176"/>
    <w:rsid w:val="609F2AC4"/>
    <w:rsid w:val="60B7783F"/>
    <w:rsid w:val="60CC70AF"/>
    <w:rsid w:val="60FA2EE8"/>
    <w:rsid w:val="61054A27"/>
    <w:rsid w:val="610A52BC"/>
    <w:rsid w:val="611D2366"/>
    <w:rsid w:val="61421856"/>
    <w:rsid w:val="615227C4"/>
    <w:rsid w:val="61654E3F"/>
    <w:rsid w:val="6182292A"/>
    <w:rsid w:val="619F7F92"/>
    <w:rsid w:val="61E34FA3"/>
    <w:rsid w:val="61E733BD"/>
    <w:rsid w:val="61F94C26"/>
    <w:rsid w:val="62000E56"/>
    <w:rsid w:val="624F3E49"/>
    <w:rsid w:val="62632286"/>
    <w:rsid w:val="62885958"/>
    <w:rsid w:val="62F40B65"/>
    <w:rsid w:val="62FC2CFE"/>
    <w:rsid w:val="63024505"/>
    <w:rsid w:val="63391FA2"/>
    <w:rsid w:val="635600A5"/>
    <w:rsid w:val="635B1DB5"/>
    <w:rsid w:val="63711FED"/>
    <w:rsid w:val="63880DDC"/>
    <w:rsid w:val="638D750D"/>
    <w:rsid w:val="63AC6CC0"/>
    <w:rsid w:val="64055776"/>
    <w:rsid w:val="64240056"/>
    <w:rsid w:val="643E143A"/>
    <w:rsid w:val="64491666"/>
    <w:rsid w:val="648B6EEF"/>
    <w:rsid w:val="64C158BF"/>
    <w:rsid w:val="64CE2EAA"/>
    <w:rsid w:val="653C3090"/>
    <w:rsid w:val="65526CEA"/>
    <w:rsid w:val="65854376"/>
    <w:rsid w:val="658767BE"/>
    <w:rsid w:val="65892531"/>
    <w:rsid w:val="66195831"/>
    <w:rsid w:val="662E75B1"/>
    <w:rsid w:val="66342C2E"/>
    <w:rsid w:val="663E784C"/>
    <w:rsid w:val="668B6A45"/>
    <w:rsid w:val="66A97572"/>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8060B5"/>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6A0126"/>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517D6E"/>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1312C2"/>
    <w:rsid w:val="7D491C6C"/>
    <w:rsid w:val="7D5429C0"/>
    <w:rsid w:val="7D6E6D43"/>
    <w:rsid w:val="7DB57A34"/>
    <w:rsid w:val="7DE60973"/>
    <w:rsid w:val="7DEF0916"/>
    <w:rsid w:val="7E1E5218"/>
    <w:rsid w:val="7E956EBF"/>
    <w:rsid w:val="7E9A4E1F"/>
    <w:rsid w:val="7EA7723A"/>
    <w:rsid w:val="7EF56FBB"/>
    <w:rsid w:val="7F0768EB"/>
    <w:rsid w:val="7F143BEC"/>
    <w:rsid w:val="7F715AF2"/>
    <w:rsid w:val="7F886E69"/>
    <w:rsid w:val="7FEE3921"/>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28"/>
    <w:qFormat/>
    <w:uiPriority w:val="0"/>
    <w:pPr>
      <w:autoSpaceDE w:val="0"/>
      <w:autoSpaceDN w:val="0"/>
      <w:spacing w:line="360" w:lineRule="auto"/>
    </w:pPr>
    <w:rPr>
      <w:rFonts w:ascii="宋体" w:hAnsi="Arial" w:cs="Arial"/>
      <w:snapToGrid w:val="0"/>
      <w:sz w:val="24"/>
      <w:szCs w:val="21"/>
      <w:lang w:val="zh-CN"/>
    </w:rPr>
  </w:style>
  <w:style w:type="paragraph" w:customStyle="1" w:styleId="3">
    <w:name w:val="_Style 2"/>
    <w:basedOn w:val="4"/>
    <w:next w:val="1"/>
    <w:qFormat/>
    <w:uiPriority w:val="39"/>
    <w:pPr>
      <w:spacing w:before="0" w:after="0" w:line="240" w:lineRule="auto"/>
      <w:outlineLvl w:val="9"/>
    </w:pPr>
    <w:rPr>
      <w:kern w:val="0"/>
      <w:sz w:val="21"/>
      <w:szCs w:val="28"/>
    </w:rPr>
  </w:style>
  <w:style w:type="paragraph" w:styleId="7">
    <w:name w:val="Normal Indent"/>
    <w:basedOn w:val="1"/>
    <w:next w:val="8"/>
    <w:link w:val="191"/>
    <w:qFormat/>
    <w:uiPriority w:val="0"/>
    <w:pPr>
      <w:widowControl/>
      <w:snapToGrid w:val="0"/>
      <w:spacing w:line="480" w:lineRule="exact"/>
      <w:ind w:firstLine="567"/>
    </w:pPr>
    <w:rPr>
      <w:rFonts w:ascii="宋体"/>
      <w:snapToGrid w:val="0"/>
      <w:color w:val="000000"/>
      <w:kern w:val="28"/>
      <w:sz w:val="28"/>
      <w:szCs w:val="20"/>
    </w:rPr>
  </w:style>
  <w:style w:type="paragraph" w:styleId="8">
    <w:name w:val="Body Text Indent"/>
    <w:basedOn w:val="1"/>
    <w:next w:val="7"/>
    <w:link w:val="263"/>
    <w:qFormat/>
    <w:uiPriority w:val="0"/>
    <w:pPr>
      <w:spacing w:line="480" w:lineRule="exact"/>
      <w:ind w:firstLine="480" w:firstLineChars="200"/>
    </w:pPr>
    <w:rPr>
      <w:rFonts w:ascii="宋体" w:hAnsi="宋体"/>
      <w:sz w:val="24"/>
    </w:rPr>
  </w:style>
  <w:style w:type="paragraph" w:styleId="15">
    <w:name w:val="toc 7"/>
    <w:basedOn w:val="1"/>
    <w:next w:val="1"/>
    <w:qFormat/>
    <w:uiPriority w:val="0"/>
    <w:pPr>
      <w:ind w:left="2520" w:leftChars="1200"/>
    </w:pPr>
  </w:style>
  <w:style w:type="paragraph" w:styleId="16">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9">
    <w:name w:val="caption"/>
    <w:basedOn w:val="1"/>
    <w:next w:val="1"/>
    <w:link w:val="227"/>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200"/>
    <w:qFormat/>
    <w:uiPriority w:val="0"/>
    <w:pPr>
      <w:shd w:val="clear" w:color="auto" w:fill="000080"/>
    </w:pPr>
  </w:style>
  <w:style w:type="paragraph" w:styleId="22">
    <w:name w:val="annotation text"/>
    <w:basedOn w:val="1"/>
    <w:link w:val="342"/>
    <w:qFormat/>
    <w:uiPriority w:val="99"/>
    <w:pPr>
      <w:jc w:val="left"/>
    </w:pPr>
  </w:style>
  <w:style w:type="paragraph" w:styleId="23">
    <w:name w:val="Salutation"/>
    <w:basedOn w:val="1"/>
    <w:next w:val="1"/>
    <w:link w:val="296"/>
    <w:qFormat/>
    <w:uiPriority w:val="0"/>
    <w:rPr>
      <w:rFonts w:ascii="仿宋_GB2312" w:eastAsia="仿宋_GB2312"/>
      <w:sz w:val="28"/>
      <w:szCs w:val="20"/>
    </w:rPr>
  </w:style>
  <w:style w:type="paragraph" w:styleId="24">
    <w:name w:val="Body Text 3"/>
    <w:basedOn w:val="1"/>
    <w:link w:val="328"/>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3"/>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9"/>
    <w:qFormat/>
    <w:uiPriority w:val="0"/>
    <w:pPr>
      <w:ind w:left="100" w:leftChars="2500"/>
    </w:pPr>
    <w:rPr>
      <w:rFonts w:ascii="宋体"/>
      <w:sz w:val="24"/>
      <w:szCs w:val="21"/>
      <w:lang w:val="zh-CN"/>
    </w:rPr>
  </w:style>
  <w:style w:type="paragraph" w:styleId="37">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8">
    <w:name w:val="endnote text"/>
    <w:basedOn w:val="1"/>
    <w:link w:val="930"/>
    <w:qFormat/>
    <w:uiPriority w:val="0"/>
    <w:rPr>
      <w:lang w:val="zh-CN"/>
    </w:rPr>
  </w:style>
  <w:style w:type="paragraph" w:styleId="39">
    <w:name w:val="Balloon Text"/>
    <w:basedOn w:val="1"/>
    <w:link w:val="186"/>
    <w:qFormat/>
    <w:uiPriority w:val="0"/>
    <w:rPr>
      <w:sz w:val="18"/>
      <w:szCs w:val="18"/>
    </w:rPr>
  </w:style>
  <w:style w:type="paragraph" w:styleId="40">
    <w:name w:val="footer"/>
    <w:basedOn w:val="1"/>
    <w:link w:val="381"/>
    <w:qFormat/>
    <w:uiPriority w:val="99"/>
    <w:pPr>
      <w:tabs>
        <w:tab w:val="center" w:pos="4153"/>
        <w:tab w:val="right" w:pos="8306"/>
      </w:tabs>
      <w:snapToGrid w:val="0"/>
      <w:jc w:val="left"/>
    </w:pPr>
    <w:rPr>
      <w:sz w:val="18"/>
      <w:szCs w:val="18"/>
    </w:rPr>
  </w:style>
  <w:style w:type="paragraph" w:styleId="41">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7"/>
    <w:link w:val="308"/>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3"/>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0"/>
    <w:qFormat/>
    <w:uiPriority w:val="0"/>
    <w:pPr>
      <w:spacing w:after="120" w:line="480" w:lineRule="auto"/>
    </w:pPr>
  </w:style>
  <w:style w:type="paragraph" w:styleId="57">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2"/>
    <w:next w:val="22"/>
    <w:link w:val="94"/>
    <w:qFormat/>
    <w:uiPriority w:val="0"/>
    <w:rPr>
      <w:b/>
      <w:bCs/>
    </w:rPr>
  </w:style>
  <w:style w:type="paragraph" w:styleId="61">
    <w:name w:val="Body Text First Indent"/>
    <w:basedOn w:val="2"/>
    <w:link w:val="319"/>
    <w:qFormat/>
    <w:uiPriority w:val="0"/>
    <w:pPr>
      <w:ind w:firstLine="420"/>
    </w:pPr>
    <w:rPr>
      <w:rFonts w:hAnsi="Calibri" w:cs="Times New Roman"/>
      <w:snapToGrid/>
      <w:szCs w:val="20"/>
    </w:rPr>
  </w:style>
  <w:style w:type="paragraph" w:styleId="62">
    <w:name w:val="Body Text First Indent 2"/>
    <w:basedOn w:val="8"/>
    <w:next w:val="1"/>
    <w:link w:val="119"/>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60"/>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62"/>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70"/>
    <w:qFormat/>
    <w:uiPriority w:val="0"/>
    <w:rPr>
      <w:rFonts w:ascii="Arial" w:hAnsi="Arial" w:eastAsia="黑体" w:cs="Arial"/>
      <w:snapToGrid w:val="0"/>
      <w:kern w:val="0"/>
      <w:szCs w:val="21"/>
    </w:rPr>
  </w:style>
  <w:style w:type="character" w:customStyle="1" w:styleId="123">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7"/>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11"/>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4"/>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6"/>
    <w:qFormat/>
    <w:uiPriority w:val="0"/>
    <w:rPr>
      <w:rFonts w:ascii="宋体"/>
      <w:kern w:val="2"/>
      <w:sz w:val="24"/>
      <w:szCs w:val="21"/>
      <w:lang w:val="zh-CN"/>
    </w:rPr>
  </w:style>
  <w:style w:type="character" w:customStyle="1" w:styleId="180">
    <w:name w:val="标题 9 Char"/>
    <w:link w:val="14"/>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39"/>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7"/>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21"/>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70"/>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0"/>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9"/>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9"/>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8"/>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5"/>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59"/>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10"/>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3"/>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7"/>
    <w:qFormat/>
    <w:uiPriority w:val="0"/>
    <w:rPr>
      <w:rFonts w:ascii="黑体" w:hAnsi="Courier New" w:eastAsia="黑体"/>
    </w:rPr>
  </w:style>
  <w:style w:type="character" w:customStyle="1" w:styleId="300">
    <w:name w:val="正文文本 2 Char1"/>
    <w:link w:val="56"/>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9"/>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12"/>
    <w:qFormat/>
    <w:uiPriority w:val="0"/>
    <w:rPr>
      <w:b/>
      <w:bCs/>
      <w:kern w:val="2"/>
      <w:sz w:val="24"/>
      <w:szCs w:val="24"/>
    </w:rPr>
  </w:style>
  <w:style w:type="character" w:customStyle="1" w:styleId="306">
    <w:name w:val="正文文本缩进 2 Char"/>
    <w:link w:val="37"/>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50"/>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61"/>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9"/>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4"/>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22"/>
    <w:qFormat/>
    <w:uiPriority w:val="99"/>
    <w:rPr>
      <w:kern w:val="2"/>
      <w:sz w:val="21"/>
      <w:szCs w:val="24"/>
    </w:rPr>
  </w:style>
  <w:style w:type="character" w:customStyle="1" w:styleId="343">
    <w:name w:val="签名 Char"/>
    <w:link w:val="42"/>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3"/>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3"/>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40"/>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1"/>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70"/>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7"/>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429">
    <w:name w:val="gray6"/>
    <w:basedOn w:val="70"/>
    <w:qFormat/>
    <w:uiPriority w:val="0"/>
    <w:rPr>
      <w:rFonts w:ascii="Arial" w:hAnsi="Arial" w:eastAsia="黑体" w:cs="Arial"/>
      <w:snapToGrid w:val="0"/>
      <w:kern w:val="0"/>
      <w:szCs w:val="21"/>
    </w:rPr>
  </w:style>
  <w:style w:type="character" w:customStyle="1" w:styleId="430">
    <w:name w:val="hui"/>
    <w:basedOn w:val="70"/>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8"/>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9"/>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4"/>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outlineLvl w:val="5"/>
    </w:pPr>
  </w:style>
  <w:style w:type="paragraph" w:customStyle="1" w:styleId="472">
    <w:name w:val="5级标题"/>
    <w:basedOn w:val="473"/>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11"/>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4"/>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6"/>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10"/>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6"/>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9"/>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Lines="50"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8"/>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8"/>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6"/>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4">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5"/>
    <w:qFormat/>
    <w:uiPriority w:val="0"/>
    <w:pPr>
      <w:tabs>
        <w:tab w:val="left" w:pos="840"/>
      </w:tabs>
      <w:adjustRightInd/>
      <w:ind w:left="840" w:hanging="420"/>
    </w:pPr>
  </w:style>
  <w:style w:type="paragraph" w:customStyle="1" w:styleId="624">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9"/>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Lines="0" w:afterLines="0"/>
      <w:ind w:left="1680"/>
      <w:outlineLvl w:val="2"/>
    </w:pPr>
  </w:style>
  <w:style w:type="paragraph" w:customStyle="1" w:styleId="656">
    <w:name w:val="章标题"/>
    <w:next w:val="638"/>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5"/>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5"/>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9"/>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Lines="50"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8"/>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7"/>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6"/>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8"/>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7"/>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6"/>
    <w:next w:val="53"/>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5"/>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9"/>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8"/>
    <w:qFormat/>
    <w:uiPriority w:val="0"/>
    <w:pPr>
      <w:adjustRightInd/>
      <w:spacing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8"/>
    <w:qFormat/>
    <w:uiPriority w:val="2"/>
    <w:pPr>
      <w:tabs>
        <w:tab w:val="clear" w:pos="390"/>
        <w:tab w:val="clear" w:pos="454"/>
      </w:tabs>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21"/>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10"/>
    <w:next w:val="1"/>
    <w:qFormat/>
    <w:uiPriority w:val="0"/>
    <w:pPr>
      <w:tabs>
        <w:tab w:val="left" w:pos="1080"/>
      </w:tabs>
      <w:ind w:left="1080" w:hanging="1080"/>
    </w:pPr>
  </w:style>
  <w:style w:type="paragraph" w:customStyle="1" w:styleId="895">
    <w:name w:val="数字标题1"/>
    <w:basedOn w:val="5"/>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8"/>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3">
    <w:name w:val="Basistekst Batenburg"/>
    <w:basedOn w:val="964"/>
    <w:qFormat/>
    <w:uiPriority w:val="0"/>
  </w:style>
  <w:style w:type="paragraph" w:customStyle="1" w:styleId="964">
    <w:name w:val="Zsysbasis Batenburg"/>
    <w:next w:val="963"/>
    <w:qFormat/>
    <w:uiPriority w:val="0"/>
    <w:pPr>
      <w:spacing w:line="300" w:lineRule="atLeast"/>
    </w:pPr>
    <w:rPr>
      <w:rFonts w:ascii="Times New Roman" w:hAnsi="Times New Roman" w:eastAsia="宋体" w:cs="Times New Roman"/>
      <w:sz w:val="22"/>
      <w:szCs w:val="18"/>
      <w:lang w:val="en-US" w:eastAsia="zh-CN" w:bidi="ar-SA"/>
    </w:rPr>
  </w:style>
  <w:style w:type="paragraph" w:customStyle="1" w:styleId="965">
    <w:name w:val="居中表格内容标题"/>
    <w:basedOn w:val="966"/>
    <w:qFormat/>
    <w:uiPriority w:val="0"/>
    <w:rPr>
      <w:b/>
    </w:rPr>
  </w:style>
  <w:style w:type="paragraph" w:customStyle="1" w:styleId="966">
    <w:name w:val="居中表格内容"/>
    <w:basedOn w:val="1"/>
    <w:next w:val="1"/>
    <w:qFormat/>
    <w:locked/>
    <w:uiPriority w:val="0"/>
    <w:pPr>
      <w:adjustRightInd w:val="0"/>
      <w:snapToGrid w:val="0"/>
      <w:jc w:val="center"/>
    </w:pPr>
    <w:rPr>
      <w:rFonts w:ascii="宋体" w:hAnsi="宋体" w:eastAsia="宋体"/>
      <w:color w:val="000000"/>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0F5C-791E-4169-8EF0-697330BC8A4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82</Pages>
  <Words>40602</Words>
  <Characters>42979</Characters>
  <Lines>281</Lines>
  <Paragraphs>79</Paragraphs>
  <TotalTime>34</TotalTime>
  <ScaleCrop>false</ScaleCrop>
  <LinksUpToDate>false</LinksUpToDate>
  <CharactersWithSpaces>48307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不点</cp:lastModifiedBy>
  <cp:lastPrinted>2021-12-27T03:06:00Z</cp:lastPrinted>
  <dcterms:modified xsi:type="dcterms:W3CDTF">2023-04-28T05:40:37Z</dcterms:modified>
  <dc:title>杭州市市民卡扩大发卡工程</dc:title>
  <cp:revision>308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A66CCF8ABF15456883A7BB51283DBAE9_13</vt:lpwstr>
  </property>
</Properties>
</file>