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p>
    <w:p>
      <w:pPr>
        <w:adjustRightInd/>
        <w:spacing w:line="360" w:lineRule="auto"/>
        <w:jc w:val="both"/>
        <w:rPr>
          <w:rFonts w:ascii="仿宋" w:hAnsi="仿宋" w:eastAsia="仿宋" w:cs="仿宋"/>
          <w:b w:val="0"/>
          <w:bCs/>
          <w:color w:val="auto"/>
          <w:sz w:val="48"/>
          <w:szCs w:val="48"/>
          <w:highlight w:val="none"/>
        </w:rPr>
      </w:pPr>
    </w:p>
    <w:p>
      <w:pPr>
        <w:adjustRightInd/>
        <w:spacing w:line="360" w:lineRule="auto"/>
        <w:jc w:val="center"/>
        <w:rPr>
          <w:rFonts w:hint="eastAsia" w:ascii="仿宋" w:hAnsi="仿宋" w:eastAsia="仿宋" w:cs="仿宋"/>
          <w:b/>
          <w:bCs w:val="0"/>
          <w:color w:val="auto"/>
          <w:sz w:val="48"/>
          <w:szCs w:val="48"/>
          <w:highlight w:val="none"/>
          <w:lang w:eastAsia="zh-CN"/>
        </w:rPr>
      </w:pPr>
      <w:r>
        <w:rPr>
          <w:rFonts w:hint="eastAsia" w:ascii="仿宋" w:hAnsi="仿宋" w:eastAsia="仿宋" w:cs="仿宋"/>
          <w:b/>
          <w:bCs w:val="0"/>
          <w:color w:val="auto"/>
          <w:sz w:val="48"/>
          <w:szCs w:val="48"/>
          <w:highlight w:val="none"/>
          <w:lang w:eastAsia="zh-CN"/>
        </w:rPr>
        <w:t>洋安未来社区创意装饰、导视牌、景观小品制作等采购项目</w:t>
      </w:r>
    </w:p>
    <w:p>
      <w:pPr>
        <w:adjustRightInd/>
        <w:spacing w:line="360" w:lineRule="auto"/>
        <w:jc w:val="center"/>
        <w:rPr>
          <w:rFonts w:hint="eastAsia" w:ascii="仿宋" w:hAnsi="仿宋" w:eastAsia="仿宋" w:cs="仿宋"/>
          <w:b/>
          <w:bCs w:val="0"/>
          <w:color w:val="auto"/>
          <w:sz w:val="48"/>
          <w:szCs w:val="48"/>
          <w:highlight w:val="none"/>
        </w:rPr>
      </w:pPr>
    </w:p>
    <w:p>
      <w:pPr>
        <w:adjustRightInd/>
        <w:spacing w:line="360" w:lineRule="auto"/>
        <w:jc w:val="center"/>
        <w:rPr>
          <w:rFonts w:ascii="仿宋" w:hAnsi="仿宋" w:eastAsia="仿宋" w:cs="仿宋"/>
          <w:b/>
          <w:bCs w:val="0"/>
          <w:color w:val="auto"/>
          <w:sz w:val="48"/>
          <w:szCs w:val="48"/>
          <w:highlight w:val="none"/>
        </w:rPr>
      </w:pPr>
      <w:r>
        <w:rPr>
          <w:rFonts w:hint="eastAsia" w:ascii="仿宋" w:hAnsi="仿宋" w:eastAsia="仿宋" w:cs="仿宋"/>
          <w:b/>
          <w:bCs w:val="0"/>
          <w:color w:val="auto"/>
          <w:sz w:val="48"/>
          <w:szCs w:val="48"/>
          <w:highlight w:val="none"/>
        </w:rPr>
        <w:t>招标文件</w:t>
      </w:r>
    </w:p>
    <w:p>
      <w:pPr>
        <w:adjustRightInd/>
        <w:spacing w:line="360" w:lineRule="auto"/>
        <w:jc w:val="center"/>
        <w:rPr>
          <w:rFonts w:ascii="仿宋" w:hAnsi="仿宋" w:eastAsia="仿宋" w:cs="仿宋"/>
          <w:b/>
          <w:bCs w:val="0"/>
          <w:color w:val="auto"/>
          <w:sz w:val="44"/>
          <w:szCs w:val="44"/>
          <w:highlight w:val="none"/>
        </w:rPr>
      </w:pPr>
      <w:r>
        <w:rPr>
          <w:rFonts w:hint="eastAsia" w:ascii="仿宋" w:hAnsi="仿宋" w:eastAsia="仿宋" w:cs="仿宋"/>
          <w:b/>
          <w:bCs w:val="0"/>
          <w:color w:val="auto"/>
          <w:sz w:val="44"/>
          <w:szCs w:val="44"/>
          <w:highlight w:val="none"/>
        </w:rPr>
        <w:t xml:space="preserve"> （电子招投标）</w:t>
      </w:r>
    </w:p>
    <w:p>
      <w:pPr>
        <w:snapToGrid w:val="0"/>
        <w:spacing w:line="360" w:lineRule="auto"/>
        <w:jc w:val="center"/>
        <w:rPr>
          <w:rFonts w:ascii="仿宋" w:hAnsi="仿宋" w:eastAsia="仿宋" w:cs="仿宋"/>
          <w:b/>
          <w:bCs w:val="0"/>
          <w:color w:val="auto"/>
          <w:sz w:val="30"/>
          <w:szCs w:val="30"/>
          <w:highlight w:val="none"/>
        </w:rPr>
      </w:pPr>
      <w:r>
        <w:rPr>
          <w:rFonts w:hint="eastAsia" w:ascii="仿宋" w:hAnsi="仿宋" w:eastAsia="仿宋" w:cs="仿宋"/>
          <w:b/>
          <w:bCs w:val="0"/>
          <w:color w:val="auto"/>
          <w:sz w:val="30"/>
          <w:szCs w:val="30"/>
          <w:highlight w:val="none"/>
        </w:rPr>
        <w:t>编号:</w:t>
      </w:r>
      <w:r>
        <w:rPr>
          <w:rFonts w:hint="eastAsia" w:ascii="仿宋" w:hAnsi="仿宋" w:eastAsia="仿宋" w:cs="仿宋"/>
          <w:b/>
          <w:bCs w:val="0"/>
          <w:color w:val="auto"/>
          <w:sz w:val="30"/>
          <w:szCs w:val="30"/>
          <w:highlight w:val="none"/>
          <w:lang w:eastAsia="zh-CN"/>
        </w:rPr>
        <w:t>JD2022BF-075</w:t>
      </w:r>
      <w:r>
        <w:rPr>
          <w:rFonts w:hint="eastAsia" w:ascii="仿宋" w:hAnsi="仿宋" w:eastAsia="仿宋" w:cs="仿宋"/>
          <w:b/>
          <w:bCs w:val="0"/>
          <w:color w:val="auto"/>
          <w:sz w:val="30"/>
          <w:szCs w:val="30"/>
          <w:highlight w:val="none"/>
        </w:rPr>
        <w:t xml:space="preserve"> </w:t>
      </w:r>
    </w:p>
    <w:p>
      <w:pPr>
        <w:adjustRightInd/>
        <w:spacing w:line="360" w:lineRule="auto"/>
        <w:rPr>
          <w:rFonts w:ascii="仿宋" w:hAnsi="仿宋" w:eastAsia="仿宋" w:cs="仿宋"/>
          <w:b/>
          <w:bCs w:val="0"/>
          <w:color w:val="auto"/>
          <w:sz w:val="28"/>
          <w:szCs w:val="20"/>
          <w:highlight w:val="none"/>
        </w:rPr>
      </w:pPr>
    </w:p>
    <w:p>
      <w:pPr>
        <w:spacing w:line="360" w:lineRule="auto"/>
        <w:jc w:val="center"/>
        <w:rPr>
          <w:rFonts w:ascii="仿宋" w:hAnsi="仿宋" w:eastAsia="仿宋" w:cs="仿宋"/>
          <w:b/>
          <w:bCs w:val="0"/>
          <w:color w:val="auto"/>
          <w:sz w:val="44"/>
          <w:szCs w:val="44"/>
          <w:highlight w:val="none"/>
        </w:rPr>
      </w:pPr>
      <w:r>
        <w:rPr>
          <w:rFonts w:hint="eastAsia" w:ascii="仿宋" w:hAnsi="仿宋" w:eastAsia="仿宋" w:cs="仿宋"/>
          <w:b/>
          <w:bCs w:val="0"/>
          <w:color w:val="auto"/>
          <w:sz w:val="44"/>
          <w:szCs w:val="44"/>
          <w:highlight w:val="none"/>
        </w:rPr>
        <w:t xml:space="preserve"> </w:t>
      </w:r>
    </w:p>
    <w:p>
      <w:pPr>
        <w:spacing w:line="360" w:lineRule="auto"/>
        <w:jc w:val="center"/>
        <w:rPr>
          <w:rFonts w:ascii="仿宋" w:hAnsi="仿宋" w:eastAsia="仿宋" w:cs="仿宋"/>
          <w:b/>
          <w:bCs w:val="0"/>
          <w:color w:val="auto"/>
          <w:sz w:val="44"/>
          <w:szCs w:val="44"/>
          <w:highlight w:val="none"/>
        </w:rPr>
      </w:pPr>
    </w:p>
    <w:p>
      <w:pPr>
        <w:spacing w:line="360" w:lineRule="auto"/>
        <w:jc w:val="center"/>
        <w:rPr>
          <w:rFonts w:ascii="仿宋" w:hAnsi="仿宋" w:eastAsia="仿宋" w:cs="仿宋"/>
          <w:b/>
          <w:bCs w:val="0"/>
          <w:color w:val="auto"/>
          <w:sz w:val="24"/>
          <w:highlight w:val="none"/>
        </w:rPr>
      </w:pPr>
    </w:p>
    <w:p>
      <w:pPr>
        <w:pStyle w:val="3"/>
        <w:rPr>
          <w:b/>
          <w:bCs w:val="0"/>
          <w:color w:val="auto"/>
          <w:highlight w:val="none"/>
        </w:rPr>
      </w:pPr>
    </w:p>
    <w:p>
      <w:pPr>
        <w:spacing w:line="360" w:lineRule="auto"/>
        <w:jc w:val="center"/>
        <w:rPr>
          <w:rFonts w:ascii="仿宋" w:hAnsi="仿宋" w:eastAsia="仿宋" w:cs="仿宋"/>
          <w:b/>
          <w:bCs w:val="0"/>
          <w:color w:val="auto"/>
          <w:sz w:val="24"/>
          <w:highlight w:val="none"/>
        </w:rPr>
      </w:pPr>
    </w:p>
    <w:p>
      <w:pPr>
        <w:spacing w:line="360" w:lineRule="auto"/>
        <w:rPr>
          <w:rFonts w:ascii="仿宋" w:hAnsi="仿宋" w:eastAsia="仿宋" w:cs="仿宋"/>
          <w:b/>
          <w:bCs w:val="0"/>
          <w:color w:val="auto"/>
          <w:sz w:val="32"/>
          <w:szCs w:val="32"/>
          <w:highlight w:val="none"/>
        </w:rPr>
      </w:pPr>
    </w:p>
    <w:p>
      <w:pPr>
        <w:snapToGrid w:val="0"/>
        <w:spacing w:line="360" w:lineRule="auto"/>
        <w:jc w:val="center"/>
        <w:rPr>
          <w:rFonts w:hint="eastAsia" w:ascii="仿宋" w:hAnsi="仿宋" w:eastAsia="仿宋" w:cs="仿宋"/>
          <w:b/>
          <w:bCs w:val="0"/>
          <w:color w:val="auto"/>
          <w:sz w:val="32"/>
          <w:szCs w:val="32"/>
          <w:highlight w:val="none"/>
          <w:lang w:eastAsia="zh-CN"/>
        </w:rPr>
      </w:pPr>
      <w:r>
        <w:rPr>
          <w:rFonts w:hint="eastAsia" w:ascii="仿宋" w:hAnsi="仿宋" w:eastAsia="仿宋" w:cs="仿宋"/>
          <w:b/>
          <w:bCs w:val="0"/>
          <w:color w:val="auto"/>
          <w:sz w:val="32"/>
          <w:szCs w:val="32"/>
          <w:highlight w:val="none"/>
        </w:rPr>
        <w:t>采购人：</w:t>
      </w:r>
      <w:r>
        <w:rPr>
          <w:rFonts w:hint="eastAsia" w:ascii="仿宋" w:hAnsi="仿宋" w:eastAsia="仿宋" w:cs="仿宋"/>
          <w:b/>
          <w:bCs w:val="0"/>
          <w:color w:val="auto"/>
          <w:sz w:val="32"/>
          <w:szCs w:val="32"/>
          <w:highlight w:val="none"/>
          <w:lang w:eastAsia="zh-CN"/>
        </w:rPr>
        <w:t>建德市人民政府洋溪街道办事处</w:t>
      </w:r>
    </w:p>
    <w:p>
      <w:pPr>
        <w:spacing w:line="360" w:lineRule="auto"/>
        <w:jc w:val="center"/>
        <w:rPr>
          <w:rFonts w:hint="eastAsia" w:ascii="仿宋" w:hAnsi="仿宋" w:eastAsia="仿宋" w:cs="仿宋"/>
          <w:b/>
          <w:bCs w:val="0"/>
          <w:color w:val="auto"/>
          <w:sz w:val="32"/>
          <w:szCs w:val="32"/>
          <w:highlight w:val="none"/>
          <w:lang w:eastAsia="zh-CN"/>
        </w:rPr>
      </w:pPr>
      <w:r>
        <w:rPr>
          <w:rFonts w:hint="eastAsia" w:ascii="仿宋" w:hAnsi="仿宋" w:eastAsia="仿宋" w:cs="仿宋"/>
          <w:b/>
          <w:bCs w:val="0"/>
          <w:color w:val="auto"/>
          <w:sz w:val="32"/>
          <w:szCs w:val="32"/>
          <w:highlight w:val="none"/>
        </w:rPr>
        <w:t>采购代理机构：</w:t>
      </w:r>
      <w:r>
        <w:rPr>
          <w:rFonts w:hint="eastAsia" w:ascii="仿宋" w:hAnsi="仿宋" w:eastAsia="仿宋" w:cs="仿宋"/>
          <w:b/>
          <w:bCs w:val="0"/>
          <w:color w:val="auto"/>
          <w:sz w:val="32"/>
          <w:szCs w:val="32"/>
          <w:highlight w:val="none"/>
          <w:lang w:eastAsia="zh-CN"/>
        </w:rPr>
        <w:t>杭州欣兴建设工程招标代理有限公司</w:t>
      </w:r>
    </w:p>
    <w:p>
      <w:pPr>
        <w:snapToGrid w:val="0"/>
        <w:spacing w:line="360" w:lineRule="auto"/>
        <w:jc w:val="center"/>
        <w:rPr>
          <w:rFonts w:ascii="仿宋" w:hAnsi="仿宋" w:eastAsia="仿宋" w:cs="仿宋"/>
          <w:b/>
          <w:bCs w:val="0"/>
          <w:color w:val="auto"/>
          <w:sz w:val="32"/>
          <w:szCs w:val="32"/>
          <w:highlight w:val="none"/>
        </w:rPr>
      </w:pPr>
      <w:r>
        <w:rPr>
          <w:rFonts w:hint="eastAsia" w:ascii="仿宋" w:hAnsi="仿宋" w:eastAsia="仿宋" w:cs="仿宋"/>
          <w:b/>
          <w:bCs w:val="0"/>
          <w:color w:val="auto"/>
          <w:sz w:val="32"/>
          <w:szCs w:val="32"/>
          <w:highlight w:val="none"/>
        </w:rPr>
        <w:t>二〇二二年</w:t>
      </w:r>
      <w:r>
        <w:rPr>
          <w:rFonts w:hint="eastAsia" w:ascii="仿宋" w:hAnsi="仿宋" w:eastAsia="仿宋" w:cs="仿宋"/>
          <w:b/>
          <w:bCs w:val="0"/>
          <w:color w:val="auto"/>
          <w:sz w:val="32"/>
          <w:szCs w:val="32"/>
          <w:highlight w:val="none"/>
          <w:lang w:val="en-US" w:eastAsia="zh-CN"/>
        </w:rPr>
        <w:t>六</w:t>
      </w:r>
      <w:r>
        <w:rPr>
          <w:rFonts w:hint="eastAsia" w:ascii="仿宋" w:hAnsi="仿宋" w:eastAsia="仿宋" w:cs="仿宋"/>
          <w:b/>
          <w:bCs w:val="0"/>
          <w:color w:val="auto"/>
          <w:sz w:val="32"/>
          <w:szCs w:val="32"/>
          <w:highlight w:val="none"/>
        </w:rPr>
        <w:t>月</w:t>
      </w:r>
      <w:r>
        <w:rPr>
          <w:rFonts w:hint="eastAsia" w:ascii="仿宋" w:hAnsi="仿宋" w:eastAsia="仿宋" w:cs="仿宋"/>
          <w:b/>
          <w:bCs w:val="0"/>
          <w:color w:val="auto"/>
          <w:sz w:val="32"/>
          <w:szCs w:val="32"/>
          <w:highlight w:val="none"/>
          <w:lang w:val="en-US" w:eastAsia="zh-CN"/>
        </w:rPr>
        <w:t>二</w:t>
      </w:r>
      <w:r>
        <w:rPr>
          <w:rFonts w:hint="eastAsia" w:ascii="仿宋" w:hAnsi="仿宋" w:eastAsia="仿宋" w:cs="仿宋"/>
          <w:b/>
          <w:bCs w:val="0"/>
          <w:color w:val="auto"/>
          <w:sz w:val="32"/>
          <w:szCs w:val="32"/>
          <w:highlight w:val="none"/>
        </w:rPr>
        <w:t>日</w:t>
      </w:r>
    </w:p>
    <w:p>
      <w:pPr>
        <w:spacing w:line="360" w:lineRule="auto"/>
        <w:jc w:val="center"/>
        <w:rPr>
          <w:rFonts w:ascii="仿宋" w:hAnsi="仿宋" w:eastAsia="仿宋" w:cs="仿宋"/>
          <w:b/>
          <w:bCs w:val="0"/>
          <w:color w:val="auto"/>
          <w:sz w:val="24"/>
          <w:highlight w:val="none"/>
        </w:rPr>
        <w:sectPr>
          <w:headerReference r:id="rId4" w:type="first"/>
          <w:headerReference r:id="rId3" w:type="default"/>
          <w:footerReference r:id="rId5" w:type="even"/>
          <w:pgSz w:w="11906" w:h="16838"/>
          <w:pgMar w:top="680" w:right="1418" w:bottom="468" w:left="1418" w:header="851" w:footer="992" w:gutter="0"/>
          <w:pgNumType w:fmt="decimal"/>
          <w:cols w:space="720" w:num="1"/>
          <w:titlePg/>
          <w:docGrid w:linePitch="312" w:charSpace="0"/>
        </w:sectPr>
      </w:pPr>
    </w:p>
    <w:p>
      <w:pPr>
        <w:pStyle w:val="3"/>
        <w:rPr>
          <w:color w:val="auto"/>
          <w:highlight w:val="none"/>
        </w:rPr>
      </w:pPr>
    </w:p>
    <w:p>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pPr>
        <w:spacing w:line="360" w:lineRule="auto"/>
        <w:rPr>
          <w:rFonts w:ascii="仿宋" w:hAnsi="仿宋" w:eastAsia="仿宋" w:cs="仿宋"/>
          <w:color w:val="auto"/>
          <w:sz w:val="32"/>
          <w:szCs w:val="32"/>
          <w:highlight w:val="none"/>
        </w:rPr>
      </w:pPr>
    </w:p>
    <w:p>
      <w:pPr>
        <w:spacing w:line="360" w:lineRule="auto"/>
        <w:rPr>
          <w:rFonts w:ascii="仿宋" w:hAnsi="仿宋" w:eastAsia="仿宋" w:cs="仿宋"/>
          <w:color w:val="auto"/>
          <w:sz w:val="32"/>
          <w:szCs w:val="32"/>
          <w:highlight w:val="none"/>
        </w:rPr>
      </w:pPr>
    </w:p>
    <w:p>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pPr>
        <w:spacing w:line="360" w:lineRule="auto"/>
        <w:ind w:firstLine="1280" w:firstLineChars="4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pPr>
        <w:spacing w:line="360" w:lineRule="auto"/>
        <w:ind w:firstLine="549" w:firstLineChars="229"/>
        <w:rPr>
          <w:rFonts w:ascii="仿宋" w:hAnsi="仿宋" w:eastAsia="仿宋" w:cs="仿宋"/>
          <w:color w:val="auto"/>
          <w:sz w:val="24"/>
          <w:highlight w:val="none"/>
        </w:rPr>
      </w:pPr>
      <w:bookmarkStart w:id="0" w:name="_Hlt91233176"/>
      <w:bookmarkEnd w:id="0"/>
      <w:bookmarkStart w:id="1" w:name="_Toc91899869"/>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p>
      <w:pPr>
        <w:adjustRightInd/>
        <w:spacing w:line="360" w:lineRule="auto"/>
        <w:jc w:val="center"/>
        <w:outlineLvl w:val="0"/>
        <w:rPr>
          <w:rFonts w:ascii="仿宋" w:hAnsi="仿宋" w:eastAsia="仿宋" w:cs="仿宋"/>
          <w:b/>
          <w:color w:val="auto"/>
          <w:sz w:val="36"/>
          <w:szCs w:val="20"/>
          <w:highlight w:val="none"/>
        </w:rPr>
      </w:pPr>
      <w:bookmarkStart w:id="2" w:name="第一部分"/>
      <w:r>
        <w:rPr>
          <w:rFonts w:hint="eastAsia" w:ascii="仿宋" w:hAnsi="仿宋" w:eastAsia="仿宋" w:cs="仿宋"/>
          <w:b/>
          <w:color w:val="auto"/>
          <w:sz w:val="36"/>
          <w:szCs w:val="36"/>
          <w:highlight w:val="none"/>
        </w:rPr>
        <w:br w:type="page"/>
      </w:r>
      <w:bookmarkEnd w:id="1"/>
      <w:bookmarkEnd w:id="2"/>
      <w:bookmarkStart w:id="3" w:name="_Hlt74707423"/>
      <w:bookmarkEnd w:id="3"/>
      <w:bookmarkStart w:id="4" w:name="_Hlt74728647"/>
      <w:bookmarkEnd w:id="4"/>
      <w:bookmarkStart w:id="5" w:name="_Hlt74649545"/>
      <w:bookmarkEnd w:id="5"/>
      <w:bookmarkStart w:id="6" w:name="_Hlt74729822"/>
      <w:bookmarkEnd w:id="6"/>
      <w:bookmarkStart w:id="7" w:name="第二部分"/>
      <w:bookmarkStart w:id="8" w:name="_Toc91899870"/>
      <w:bookmarkStart w:id="9" w:name="_Toc91899871"/>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洋安未来社区创意装饰、导视牌、景观小品制作等采购项目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Fonts w:hint="eastAsia" w:ascii="仿宋" w:hAnsi="仿宋" w:eastAsia="仿宋" w:cs="仿宋"/>
          <w:color w:val="auto"/>
          <w:sz w:val="24"/>
          <w:highlight w:val="none"/>
          <w:u w:val="single"/>
        </w:rPr>
        <w:t>2022年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秒</w:t>
      </w:r>
      <w:r>
        <w:rPr>
          <w:rFonts w:hint="eastAsia" w:ascii="仿宋" w:hAnsi="仿宋" w:eastAsia="仿宋" w:cs="仿宋"/>
          <w:bCs/>
          <w:color w:val="auto"/>
          <w:sz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JD2022BF-075</w:t>
      </w: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r>
        <w:rPr>
          <w:rFonts w:hint="eastAsia" w:ascii="仿宋" w:hAnsi="仿宋" w:eastAsia="仿宋" w:cs="仿宋"/>
          <w:color w:val="auto"/>
          <w:sz w:val="24"/>
          <w:highlight w:val="none"/>
          <w:lang w:eastAsia="zh-CN"/>
        </w:rPr>
        <w:t>洋安未来社区创意装饰、导视牌、景观小品制作等采购项目</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b w:val="0"/>
          <w:bCs/>
          <w:color w:val="auto"/>
          <w:sz w:val="24"/>
          <w:highlight w:val="none"/>
          <w:lang w:val="en-US" w:eastAsia="zh-CN"/>
        </w:rPr>
        <w:t>4600</w:t>
      </w:r>
      <w:r>
        <w:rPr>
          <w:rFonts w:hint="eastAsia" w:ascii="仿宋" w:hAnsi="仿宋" w:eastAsia="仿宋" w:cs="仿宋"/>
          <w:b w:val="0"/>
          <w:bCs/>
          <w:color w:val="auto"/>
          <w:sz w:val="24"/>
          <w:highlight w:val="none"/>
        </w:rPr>
        <w:t>000</w:t>
      </w:r>
      <w:r>
        <w:rPr>
          <w:rFonts w:hint="eastAsia" w:ascii="仿宋" w:hAnsi="仿宋" w:eastAsia="仿宋" w:cs="仿宋"/>
          <w:bCs/>
          <w:color w:val="auto"/>
          <w:sz w:val="24"/>
          <w:highlight w:val="none"/>
        </w:rPr>
        <w:t xml:space="preserve">.00 </w:t>
      </w:r>
    </w:p>
    <w:p>
      <w:pPr>
        <w:spacing w:line="360" w:lineRule="auto"/>
        <w:ind w:firstLine="480"/>
        <w:rPr>
          <w:rFonts w:ascii="仿宋" w:hAnsi="仿宋" w:eastAsia="仿宋" w:cs="仿宋"/>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rPr>
        <w:t xml:space="preserve">4532538.52 </w:t>
      </w:r>
      <w:r>
        <w:rPr>
          <w:rFonts w:hint="eastAsia" w:ascii="仿宋" w:hAnsi="仿宋" w:eastAsia="仿宋" w:cs="仿宋"/>
          <w:color w:val="auto"/>
          <w:sz w:val="24"/>
          <w:highlight w:val="none"/>
        </w:rPr>
        <w:t xml:space="preserve"> </w:t>
      </w:r>
    </w:p>
    <w:p>
      <w:pPr>
        <w:pStyle w:val="4"/>
        <w:spacing w:line="360" w:lineRule="auto"/>
        <w:ind w:firstLine="480"/>
        <w:rPr>
          <w:rFonts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bCs/>
          <w:snapToGrid/>
          <w:color w:val="auto"/>
          <w:kern w:val="2"/>
          <w:sz w:val="24"/>
          <w:szCs w:val="24"/>
          <w:highlight w:val="none"/>
          <w:lang w:eastAsia="zh-CN"/>
        </w:rPr>
        <w:t>本项目采购内容主要包括创意装饰、导视牌、景观小品、文化品牌植入、重要节点标志性景观打造等的制作加工、部分箱体的深化设计、包装、运输装卸、安装、验收、保险、税费、资料加工制作、辅助工作及相关文件的提交、产品的维修保养等售后服务内容</w:t>
      </w:r>
      <w:r>
        <w:rPr>
          <w:rFonts w:hint="eastAsia" w:ascii="仿宋" w:hAnsi="仿宋" w:eastAsia="仿宋" w:cs="仿宋"/>
          <w:color w:val="auto"/>
          <w:kern w:val="0"/>
          <w:sz w:val="24"/>
          <w:szCs w:val="24"/>
          <w:highlight w:val="none"/>
          <w:lang w:val="zh-CN"/>
        </w:rPr>
        <w:t>。</w:t>
      </w:r>
      <w:r>
        <w:rPr>
          <w:rFonts w:hint="eastAsia" w:ascii="仿宋" w:hAnsi="仿宋" w:eastAsia="仿宋" w:cs="仿宋"/>
          <w:bCs/>
          <w:snapToGrid/>
          <w:color w:val="auto"/>
          <w:kern w:val="2"/>
          <w:sz w:val="24"/>
          <w:szCs w:val="24"/>
          <w:highlight w:val="none"/>
        </w:rPr>
        <w:t>详见招标文件第三部分采购需求。</w:t>
      </w:r>
    </w:p>
    <w:p>
      <w:pPr>
        <w:pStyle w:val="54"/>
        <w:snapToGrid w:val="0"/>
        <w:spacing w:line="360" w:lineRule="auto"/>
        <w:ind w:firstLine="482" w:firstLineChars="200"/>
        <w:rPr>
          <w:rFonts w:ascii="仿宋" w:hAnsi="仿宋" w:eastAsia="仿宋" w:cs="仿宋"/>
          <w:color w:val="auto"/>
          <w:highlight w:val="none"/>
        </w:rPr>
      </w:pPr>
      <w:r>
        <w:rPr>
          <w:rFonts w:hint="eastAsia" w:ascii="仿宋" w:hAnsi="仿宋" w:eastAsia="仿宋" w:cs="仿宋"/>
          <w:b/>
          <w:color w:val="auto"/>
          <w:highlight w:val="none"/>
        </w:rPr>
        <w:t>合同履约期限：</w:t>
      </w:r>
      <w:r>
        <w:rPr>
          <w:rFonts w:hint="eastAsia" w:ascii="仿宋" w:hAnsi="仿宋" w:eastAsia="仿宋" w:cs="仿宋"/>
          <w:color w:val="auto"/>
          <w:highlight w:val="none"/>
          <w:lang w:eastAsia="zh-CN"/>
        </w:rPr>
        <w:t>合同签订生效后50日历天内完成项目的供货、运输、安装调试并验收通过。</w:t>
      </w:r>
    </w:p>
    <w:p>
      <w:pPr>
        <w:pStyle w:val="4"/>
        <w:spacing w:line="360" w:lineRule="auto"/>
        <w:ind w:firstLine="480"/>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kern w:val="0"/>
            <w:sz w:val="24"/>
            <w:highlight w:val="none"/>
          </w:rPr>
          <w:id w:val="203545383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snapToGrid w:val="0"/>
              <w:color w:val="auto"/>
              <w:kern w:val="0"/>
              <w:sz w:val="24"/>
              <w:szCs w:val="20"/>
              <w:highlight w:val="none"/>
              <w:lang w:val="en-US" w:eastAsia="zh-CN" w:bidi="ar-SA"/>
            </w:rPr>
            <w:t>☐</w:t>
          </w:r>
        </w:sdtContent>
      </w:sdt>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lang w:eastAsia="zh-CN"/>
        </w:rPr>
        <w:t>，</w:t>
      </w:r>
      <w:sdt>
        <w:sdtPr>
          <w:rPr>
            <w:rFonts w:hint="eastAsia" w:ascii="仿宋" w:hAnsi="仿宋" w:eastAsia="仿宋" w:cs="仿宋"/>
            <w:color w:val="auto"/>
            <w:kern w:val="0"/>
            <w:sz w:val="24"/>
            <w:highlight w:val="none"/>
          </w:rPr>
          <w:id w:val="203545383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snapToGrid w:val="0"/>
              <w:color w:val="auto"/>
              <w:kern w:val="0"/>
              <w:sz w:val="24"/>
              <w:szCs w:val="20"/>
              <w:highlight w:val="none"/>
              <w:lang w:val="en-US" w:eastAsia="zh-CN" w:bidi="ar-SA"/>
            </w:rPr>
            <w:t>þ</w:t>
          </w:r>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360" w:lineRule="auto"/>
        <w:ind w:firstLine="48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 xml:space="preserve">    2.落实政府采购政策需满足的资格要求：</w:t>
      </w:r>
      <w:r>
        <w:rPr>
          <w:rFonts w:hint="eastAsia" w:ascii="仿宋" w:hAnsi="仿宋" w:eastAsia="仿宋" w:cs="仿宋"/>
          <w:color w:val="auto"/>
          <w:sz w:val="24"/>
          <w:highlight w:val="none"/>
        </w:rPr>
        <w:t>专门面向中小企业，货物全部由符合政策要求的中小企业制造，提供中小企业声明函；</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3.本项目的特定资格要求：无；</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2022年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2022年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rPr>
        <w:t>（北京时间）</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2022年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详见附件2。</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lang w:eastAsia="zh-CN"/>
        </w:rPr>
        <w:t>建德市人民政府洋溪街道办事处</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址：杭州市建德市建德市</w:t>
      </w:r>
      <w:r>
        <w:rPr>
          <w:rFonts w:hint="eastAsia" w:ascii="仿宋" w:hAnsi="仿宋" w:eastAsia="仿宋" w:cs="仿宋"/>
          <w:color w:val="auto"/>
          <w:sz w:val="24"/>
          <w:highlight w:val="none"/>
          <w:lang w:val="en-US" w:eastAsia="zh-CN"/>
        </w:rPr>
        <w:t>洋溪街道</w:t>
      </w:r>
      <w:r>
        <w:rPr>
          <w:rFonts w:hint="eastAsia" w:ascii="仿宋" w:hAnsi="仿宋" w:eastAsia="仿宋" w:cs="仿宋"/>
          <w:color w:val="auto"/>
          <w:sz w:val="24"/>
          <w:highlight w:val="none"/>
        </w:rPr>
        <w:t xml:space="preserve">新安江路501号       </w:t>
      </w:r>
    </w:p>
    <w:p>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朱凯</w:t>
      </w:r>
      <w:r>
        <w:rPr>
          <w:rFonts w:hint="eastAsia" w:ascii="仿宋" w:hAnsi="仿宋" w:eastAsia="仿宋" w:cs="仿宋"/>
          <w:color w:val="auto"/>
          <w:sz w:val="24"/>
          <w:highlight w:val="none"/>
        </w:rPr>
        <w:t xml:space="preserve">  </w:t>
      </w:r>
    </w:p>
    <w:p>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18058755578</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质疑联系人：刘恒烁 </w:t>
      </w:r>
    </w:p>
    <w:p>
      <w:pPr>
        <w:spacing w:line="360" w:lineRule="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 xml:space="preserve">    质疑联系方式：</w:t>
      </w:r>
      <w:r>
        <w:rPr>
          <w:rFonts w:hint="eastAsia" w:ascii="仿宋" w:hAnsi="仿宋" w:eastAsia="仿宋" w:cs="仿宋"/>
          <w:color w:val="auto"/>
          <w:sz w:val="24"/>
          <w:highlight w:val="none"/>
          <w:lang w:val="en-US" w:eastAsia="zh-CN"/>
        </w:rPr>
        <w:t>15268830613</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杭州欣兴建设工程招标代理有限公司</w:t>
      </w:r>
    </w:p>
    <w:p>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地    址：杭州市建德市新安江街道严州大道水韵天城108幢201室</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娄云</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15168412971</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质疑联系人：洪献娟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质疑联系方式：13858074323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3.同级政府采购监督管理部门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名    称：建德市采购办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址：建德市财政局 </w:t>
      </w:r>
    </w:p>
    <w:p>
      <w:pPr>
        <w:spacing w:line="360"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联系人：邵菁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监督投诉电话：0571-64718168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pStyle w:val="34"/>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highlight w:val="none"/>
        </w:rPr>
        <w:t xml:space="preserve">                              </w:t>
      </w: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r>
        <w:rPr>
          <w:rFonts w:hint="eastAsia" w:ascii="仿宋" w:hAnsi="仿宋" w:eastAsia="仿宋" w:cs="仿宋"/>
          <w:b/>
          <w:color w:val="auto"/>
          <w:sz w:val="36"/>
          <w:szCs w:val="20"/>
          <w:highlight w:val="none"/>
        </w:rPr>
        <w:t>第二部分</w:t>
      </w:r>
      <w:bookmarkEnd w:id="7"/>
      <w:r>
        <w:rPr>
          <w:rFonts w:hint="eastAsia" w:ascii="仿宋" w:hAnsi="仿宋" w:eastAsia="仿宋" w:cs="仿宋"/>
          <w:b/>
          <w:color w:val="auto"/>
          <w:sz w:val="36"/>
          <w:szCs w:val="20"/>
          <w:highlight w:val="none"/>
        </w:rPr>
        <w:t xml:space="preserve"> 投标人须知</w:t>
      </w:r>
      <w:bookmarkEnd w:id="8"/>
    </w:p>
    <w:p>
      <w:pPr>
        <w:snapToGrid w:val="0"/>
        <w:spacing w:line="360" w:lineRule="auto"/>
        <w:jc w:val="center"/>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8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color w:val="auto"/>
                <w:sz w:val="24"/>
                <w:highlight w:val="none"/>
              </w:rPr>
              <w:t>开标一览表（报价表）是报价的唯一载体</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提醒：验收时检测费用由中标人承担，包含在投标总价中。</w:t>
            </w:r>
          </w:p>
          <w:p>
            <w:pPr>
              <w:snapToGrid w:val="0"/>
              <w:spacing w:line="360" w:lineRule="auto"/>
              <w:jc w:val="left"/>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lang w:val="zh-CN"/>
              </w:rPr>
              <w:t>投标报价出现下列情形的，投标无效：</w:t>
            </w:r>
          </w:p>
          <w:p>
            <w:pPr>
              <w:snapToGrid w:val="0"/>
              <w:spacing w:line="360" w:lineRule="auto"/>
              <w:ind w:firstLine="240" w:firstLineChars="100"/>
              <w:jc w:val="left"/>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lang w:val="zh-CN"/>
              </w:rPr>
              <w:t>投标文件出现不是唯一的、有选择性投标报价的；</w:t>
            </w:r>
          </w:p>
          <w:p>
            <w:pPr>
              <w:snapToGrid w:val="0"/>
              <w:spacing w:line="360" w:lineRule="auto"/>
              <w:ind w:firstLine="240" w:firstLineChars="100"/>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lang w:val="zh-CN"/>
              </w:rPr>
              <w:t>投标报价超过招标文件中规定的预算金额或者最高限价的;</w:t>
            </w:r>
          </w:p>
          <w:p>
            <w:pPr>
              <w:spacing w:line="360" w:lineRule="auto"/>
              <w:ind w:firstLine="240" w:firstLineChars="100"/>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pPr>
              <w:spacing w:line="360"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pPr>
              <w:spacing w:line="360" w:lineRule="auto"/>
              <w:rPr>
                <w:rFonts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5" w:hRule="atLeast"/>
          <w:tblHeader/>
        </w:trPr>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5" w:hRule="atLeast"/>
          <w:tblHeader/>
        </w:trPr>
        <w:tc>
          <w:tcPr>
            <w:tcW w:w="629" w:type="dxa"/>
            <w:tcBorders>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843" w:type="dxa"/>
            <w:tcBorders>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7336"/>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sdt>
            <w:sdt>
              <w:sdtPr>
                <w:rPr>
                  <w:rFonts w:hint="eastAsia" w:ascii="仿宋" w:hAnsi="仿宋" w:eastAsia="仿宋" w:cs="仿宋"/>
                  <w:color w:val="auto"/>
                  <w:kern w:val="0"/>
                  <w:sz w:val="24"/>
                  <w:highlight w:val="none"/>
                </w:rPr>
                <w:id w:val="203545383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snapToGrid w:val="0"/>
                    <w:color w:val="auto"/>
                    <w:kern w:val="0"/>
                    <w:sz w:val="24"/>
                    <w:szCs w:val="20"/>
                    <w:highlight w:val="none"/>
                    <w:lang w:val="en-US" w:eastAsia="zh-CN" w:bidi="ar-SA"/>
                  </w:rPr>
                  <w:t>þ</w:t>
                </w:r>
              </w:sdtContent>
            </w:sdt>
            <w:r>
              <w:rPr>
                <w:rFonts w:hint="eastAsia" w:ascii="仿宋" w:hAnsi="仿宋" w:eastAsia="仿宋" w:cs="仿宋"/>
                <w:color w:val="auto"/>
                <w:kern w:val="0"/>
                <w:sz w:val="24"/>
                <w:highlight w:val="none"/>
                <w:lang w:val="en-US" w:eastAsia="zh-CN"/>
              </w:rPr>
              <w:t>B</w:t>
            </w:r>
            <w:r>
              <w:rPr>
                <w:rFonts w:hint="eastAsia" w:ascii="仿宋" w:hAnsi="仿宋" w:eastAsia="仿宋" w:cs="仿宋"/>
                <w:color w:val="auto"/>
                <w:kern w:val="0"/>
                <w:sz w:val="24"/>
                <w:highlight w:val="none"/>
              </w:rPr>
              <w:t>要求提供，</w:t>
            </w:r>
          </w:p>
          <w:p>
            <w:pPr>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lang w:val="en-US" w:eastAsia="zh-CN"/>
              </w:rPr>
              <w:t>样品</w:t>
            </w:r>
            <w:r>
              <w:rPr>
                <w:rFonts w:hint="eastAsia" w:ascii="仿宋" w:hAnsi="仿宋" w:eastAsia="仿宋" w:cs="仿宋"/>
                <w:snapToGrid w:val="0"/>
                <w:color w:val="auto"/>
                <w:kern w:val="28"/>
                <w:sz w:val="24"/>
                <w:highlight w:val="none"/>
              </w:rPr>
              <w:t>：</w:t>
            </w:r>
            <w:r>
              <w:rPr>
                <w:rFonts w:hint="eastAsia" w:ascii="仿宋" w:hAnsi="仿宋" w:eastAsia="仿宋" w:cs="仿宋"/>
                <w:snapToGrid w:val="0"/>
                <w:color w:val="auto"/>
                <w:kern w:val="28"/>
                <w:sz w:val="24"/>
                <w:highlight w:val="none"/>
                <w:u w:val="single"/>
                <w:lang w:val="en-US" w:eastAsia="zh-CN"/>
              </w:rPr>
              <w:t>详见招标文件第三部分采购需求</w:t>
            </w:r>
            <w:r>
              <w:rPr>
                <w:rFonts w:hint="eastAsia" w:ascii="仿宋" w:hAnsi="仿宋" w:eastAsia="仿宋" w:cs="仿宋"/>
                <w:color w:val="auto"/>
                <w:kern w:val="0"/>
                <w:sz w:val="24"/>
                <w:highlight w:val="none"/>
                <w:u w:val="singl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lang w:eastAsia="zh-CN"/>
              </w:rPr>
              <w:t>详见招标文件第三部分采购需求</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467336"/>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303421454"/>
                    <w:showingPlcHdr/>
                  </w:sdtPr>
                  <w:sdtEndPr>
                    <w:rPr>
                      <w:rFonts w:hint="eastAsia" w:ascii="仿宋" w:hAnsi="仿宋" w:eastAsia="仿宋" w:cs="仿宋"/>
                      <w:color w:val="auto"/>
                      <w:kern w:val="0"/>
                      <w:sz w:val="24"/>
                      <w:highlight w:val="none"/>
                    </w:rPr>
                  </w:sdtEndPr>
                  <w:sdtContent/>
                </w:sdt>
              </w:sdtContent>
            </w:sdt>
            <w:r>
              <w:rPr>
                <w:rFonts w:hint="eastAsia" w:ascii="仿宋" w:hAnsi="仿宋" w:eastAsia="仿宋" w:cs="仿宋"/>
                <w:color w:val="auto"/>
                <w:kern w:val="0"/>
                <w:sz w:val="24"/>
                <w:highlight w:val="none"/>
              </w:rPr>
              <w:t>是</w:t>
            </w: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2022年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时</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分前</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杭州市公共资源交易中心建德分中心</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号开标室（建德市洋安社区荷映路113号三楼）</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娄云</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15168412971</w:t>
            </w:r>
            <w:r>
              <w:rPr>
                <w:rFonts w:hint="eastAsia" w:ascii="仿宋" w:hAnsi="仿宋" w:eastAsia="仿宋" w:cs="仿宋"/>
                <w:color w:val="auto"/>
                <w:sz w:val="24"/>
                <w:highlight w:val="none"/>
              </w:rPr>
              <w:t>。请投标人在上述时间内提供样品</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所有样品全部密封在一个包，专家评审前统一拆包</w:t>
            </w:r>
            <w:r>
              <w:rPr>
                <w:rFonts w:hint="eastAsia" w:ascii="仿宋" w:hAnsi="仿宋" w:eastAsia="仿宋" w:cs="仿宋"/>
                <w:color w:val="auto"/>
                <w:sz w:val="24"/>
                <w:highlight w:val="none"/>
                <w:lang w:eastAsia="zh-CN"/>
              </w:rPr>
              <w:t>，所有样品上不得有投标供应商名称等任何标记；</w:t>
            </w:r>
            <w:r>
              <w:rPr>
                <w:rFonts w:hint="eastAsia" w:ascii="仿宋" w:hAnsi="仿宋" w:eastAsia="仿宋" w:cs="仿宋"/>
                <w:color w:val="auto"/>
                <w:sz w:val="24"/>
                <w:highlight w:val="none"/>
              </w:rPr>
              <w:t>（超过截止时间的，采购人或采购代理机构将不予接收，并将清场并封闭样品现场。</w:t>
            </w:r>
            <w:r>
              <w:rPr>
                <w:rFonts w:hint="eastAsia" w:ascii="仿宋" w:hAnsi="仿宋" w:eastAsia="仿宋" w:cs="仿宋"/>
                <w:color w:val="auto"/>
                <w:sz w:val="24"/>
                <w:highlight w:val="none"/>
                <w:lang w:eastAsia="zh-CN"/>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sz w:val="24"/>
                <w:lang w:eastAsia="zh-CN"/>
              </w:rPr>
            </w:pPr>
            <w:sdt>
              <w:sdtPr>
                <w:rPr>
                  <w:rFonts w:hint="eastAsia" w:ascii="仿宋" w:hAnsi="仿宋" w:eastAsia="仿宋" w:cs="仿宋"/>
                  <w:color w:val="auto"/>
                  <w:kern w:val="0"/>
                  <w:sz w:val="24"/>
                  <w:highlight w:val="none"/>
                </w:rPr>
                <w:id w:val="118727868"/>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详见招标文件第三部分采购需求</w:t>
            </w:r>
            <w:r>
              <w:rPr>
                <w:rFonts w:hint="eastAsia" w:ascii="仿宋" w:hAnsi="仿宋" w:eastAsia="仿宋"/>
                <w:sz w:val="24"/>
                <w:lang w:eastAsia="zh-CN"/>
              </w:rPr>
              <w:t>。</w:t>
            </w:r>
          </w:p>
          <w:p>
            <w:pPr>
              <w:spacing w:line="360" w:lineRule="auto"/>
              <w:rPr>
                <w:rFonts w:hint="eastAsia" w:ascii="仿宋" w:hAnsi="仿宋" w:eastAsia="仿宋" w:cs="仿宋"/>
                <w:color w:val="auto"/>
                <w:sz w:val="24"/>
                <w:highlight w:val="none"/>
                <w:lang w:eastAsia="zh-CN"/>
              </w:rPr>
            </w:pPr>
            <w:r>
              <w:rPr>
                <w:rFonts w:hint="eastAsia" w:ascii="仿宋" w:hAnsi="仿宋" w:eastAsia="仿宋"/>
                <w:sz w:val="24"/>
                <w:lang w:eastAsia="zh-CN"/>
              </w:rPr>
              <w:t>☐B服务类。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2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highlight w:val="none"/>
                <w:lang w:eastAsia="zh-CN"/>
              </w:rPr>
            </w:pPr>
            <w:r>
              <w:rPr>
                <w:rFonts w:hint="eastAsia" w:ascii="仿宋" w:hAnsi="仿宋" w:eastAsia="仿宋" w:cs="仿宋"/>
                <w:color w:val="auto"/>
                <w:kern w:val="0"/>
                <w:sz w:val="24"/>
                <w:highlight w:val="none"/>
              </w:rPr>
              <w:t>（1）标的名称</w:t>
            </w:r>
            <w:r>
              <w:rPr>
                <w:rFonts w:hint="eastAsia" w:ascii="仿宋" w:hAnsi="仿宋" w:eastAsia="仿宋" w:cs="仿宋"/>
                <w:color w:val="auto"/>
                <w:kern w:val="0"/>
                <w:sz w:val="24"/>
                <w:highlight w:val="none"/>
                <w:u w:val="none"/>
              </w:rPr>
              <w:t>：</w:t>
            </w:r>
            <w:r>
              <w:rPr>
                <w:rFonts w:hint="eastAsia" w:ascii="仿宋" w:hAnsi="仿宋" w:eastAsia="仿宋" w:cs="仿宋"/>
                <w:color w:val="auto"/>
                <w:kern w:val="0"/>
                <w:sz w:val="24"/>
                <w:highlight w:val="none"/>
                <w:u w:val="single"/>
              </w:rPr>
              <w:t>详见招标文件第三部分采购需求</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采购清单</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rPr>
              <w:t>，</w:t>
            </w:r>
            <w:r>
              <w:rPr>
                <w:rFonts w:hint="eastAsia" w:ascii="仿宋" w:hAnsi="仿宋" w:eastAsia="仿宋"/>
                <w:sz w:val="24"/>
              </w:rPr>
              <w:t>属于</w:t>
            </w:r>
            <w:r>
              <w:rPr>
                <w:rFonts w:hint="eastAsia" w:ascii="仿宋" w:hAnsi="仿宋" w:eastAsia="仿宋"/>
                <w:sz w:val="24"/>
                <w:u w:val="single"/>
                <w:lang w:val="en-US" w:eastAsia="zh-CN"/>
              </w:rPr>
              <w:t xml:space="preserve"> </w:t>
            </w:r>
            <w:r>
              <w:rPr>
                <w:rFonts w:hint="eastAsia" w:ascii="仿宋" w:hAnsi="仿宋" w:eastAsia="仿宋"/>
                <w:sz w:val="24"/>
                <w:u w:val="single"/>
              </w:rPr>
              <w:t>工业</w:t>
            </w:r>
            <w:r>
              <w:rPr>
                <w:rFonts w:hint="eastAsia" w:ascii="仿宋" w:hAnsi="仿宋" w:eastAsia="仿宋"/>
                <w:sz w:val="24"/>
                <w:u w:val="single"/>
                <w:lang w:val="en-US" w:eastAsia="zh-CN"/>
              </w:rPr>
              <w:t xml:space="preserve"> </w:t>
            </w:r>
            <w:r>
              <w:rPr>
                <w:rFonts w:hint="eastAsia" w:ascii="仿宋" w:hAnsi="仿宋" w:eastAsia="仿宋"/>
                <w:sz w:val="24"/>
              </w:rPr>
              <w:t>行业</w:t>
            </w:r>
            <w:r>
              <w:rPr>
                <w:rFonts w:hint="eastAsia" w:ascii="仿宋" w:hAnsi="仿宋" w:eastAsia="仿宋"/>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仿宋"/>
                <w:color w:val="auto"/>
                <w:highlight w:val="none"/>
              </w:rPr>
            </w:pPr>
            <w:r>
              <w:rPr>
                <w:rFonts w:hint="eastAsia" w:ascii="仿宋" w:hAnsi="仿宋" w:eastAsia="仿宋" w:cs="仿宋"/>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w:t>
            </w:r>
          </w:p>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为支持和促进中小企业发展，进一步发挥政府采购政策，建德市财政局、浙江银监局建德监管办事处、建德市人民政府金融工作办公室、市经济和信息化局共同出台了《建德市政府采购支持中小企业信用融资实施细则》，供应商若有融资意向，详见《政府采购支持中小企业信用融资相关事项通知》。具体可咨询建德市财政局采购办，联系电话：64718168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vAlign w:val="center"/>
          </w:tcPr>
          <w:p>
            <w:pPr>
              <w:spacing w:line="360" w:lineRule="auto"/>
              <w:ind w:firstLine="420" w:firstLineChars="200"/>
              <w:jc w:val="center"/>
              <w:rPr>
                <w:rFonts w:ascii="仿宋" w:hAnsi="仿宋" w:eastAsia="仿宋" w:cs="仿宋"/>
                <w:color w:val="auto"/>
                <w:highlight w:val="none"/>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rFonts w:ascii="仿宋" w:hAnsi="仿宋" w:eastAsia="仿宋" w:cs="仿宋"/>
                <w:color w:val="auto"/>
                <w:highlight w:val="none"/>
              </w:rPr>
            </w:pPr>
          </w:p>
        </w:tc>
        <w:tc>
          <w:tcPr>
            <w:tcW w:w="6095" w:type="dxa"/>
            <w:tcBorders>
              <w:top w:val="single" w:color="000000" w:sz="8" w:space="0"/>
              <w:left w:val="single" w:color="000000" w:sz="2" w:space="0"/>
              <w:right w:val="single" w:color="000000" w:sz="8" w:space="0"/>
            </w:tcBorders>
            <w:vAlign w:val="center"/>
          </w:tcPr>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供应商中标后也可在“政采云”平台（登陆https://jinrong.zcygov.cn/?utm=a0017.b1540.ct001.11.3a0260f064fd11eba8f1adac56aaf47c办理业务）申请政采贷：操作路径：登录政采云平台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备份投标文件</w:t>
            </w:r>
          </w:p>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送达地点和</w:t>
            </w:r>
          </w:p>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sz w:val="24"/>
                <w:highlight w:val="none"/>
                <w:u w:val="single"/>
              </w:rPr>
              <w:t>杭州市建德市新安江街道严州大道水韵天城108幢201室</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highlight w:val="none"/>
                <w:u w:val="single"/>
                <w:lang w:val="en-US" w:eastAsia="zh-CN"/>
              </w:rPr>
              <w:t>娄云</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15168412971</w:t>
            </w:r>
            <w:r>
              <w:rPr>
                <w:rFonts w:hint="eastAsia" w:ascii="仿宋" w:hAnsi="仿宋" w:eastAsia="仿宋" w:cs="仿宋"/>
                <w:color w:val="auto"/>
                <w:sz w:val="24"/>
                <w:szCs w:val="24"/>
                <w:highlight w:val="none"/>
              </w:rPr>
              <w:t>。</w:t>
            </w:r>
          </w:p>
          <w:p>
            <w:pPr>
              <w:pStyle w:val="34"/>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注：</w:t>
            </w:r>
          </w:p>
          <w:p>
            <w:pPr>
              <w:pStyle w:val="34"/>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1、备份文件递交截止时间：2022年6月27日09时30分前；</w:t>
            </w:r>
          </w:p>
          <w:p>
            <w:pPr>
              <w:pStyle w:val="34"/>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2、备份文件递交要求：密封递交，注明项目名称、投标供应商名称并加盖供应商公章。</w:t>
            </w:r>
            <w:r>
              <w:rPr>
                <w:rFonts w:hint="eastAsia" w:ascii="仿宋" w:hAnsi="仿宋" w:eastAsia="仿宋" w:cs="仿宋"/>
                <w:b/>
                <w:color w:val="auto"/>
                <w:sz w:val="24"/>
                <w:szCs w:val="24"/>
                <w:highlight w:val="none"/>
              </w:rPr>
              <w:t>采购人、采购机构不强制或变相强制投标人提交备份投标文件。</w:t>
            </w:r>
          </w:p>
          <w:p>
            <w:pPr>
              <w:pStyle w:val="34"/>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仿宋" w:hAnsi="仿宋" w:eastAsia="仿宋" w:cs="仿宋"/>
                <w:color w:val="auto"/>
                <w:kern w:val="28"/>
                <w:sz w:val="24"/>
                <w:highlight w:val="none"/>
                <w:lang w:val="en-US" w:eastAsia="zh-CN"/>
              </w:rPr>
            </w:pPr>
            <w:r>
              <w:rPr>
                <w:rFonts w:hint="eastAsia" w:ascii="仿宋" w:hAnsi="仿宋" w:eastAsia="仿宋" w:cs="仿宋"/>
                <w:b/>
                <w:color w:val="auto"/>
                <w:sz w:val="24"/>
                <w:szCs w:val="24"/>
                <w:highlight w:val="none"/>
                <w:lang w:val="en-US" w:eastAsia="zh-CN"/>
              </w:rPr>
              <w:t>3、备份文件用途：</w:t>
            </w:r>
            <w:r>
              <w:rPr>
                <w:rFonts w:hint="eastAsia" w:ascii="仿宋" w:hAnsi="仿宋" w:eastAsia="仿宋" w:cs="仿宋"/>
                <w:b/>
                <w:color w:val="auto"/>
                <w:sz w:val="24"/>
                <w:szCs w:val="24"/>
                <w:highlight w:val="none"/>
              </w:rPr>
              <w:t>通过“政府采购云平台”上传递交的“电子加密《响应文件》”无法按时解密，供应商递交了备份《响应文件》的，以备份《响应文件》为依据，否则视为《响应文件》撤回。通过“政府采购云平台”上传递交的“电子加密《响应文件》”已按时解密的，“备份《响应文件》”自动失效。供应商仅递交备份《响应文件》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采购代理机构</w:t>
            </w:r>
          </w:p>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napToGrid w:val="0"/>
                <w:color w:val="auto"/>
                <w:kern w:val="28"/>
                <w:sz w:val="24"/>
                <w:highlight w:val="none"/>
              </w:rPr>
            </w:pPr>
            <w:r>
              <w:rPr>
                <w:rFonts w:hint="eastAsia" w:ascii="仿宋" w:hAnsi="仿宋" w:eastAsia="仿宋" w:cs="仿宋"/>
                <w:b/>
                <w:color w:val="auto"/>
                <w:kern w:val="0"/>
                <w:sz w:val="24"/>
                <w:highlight w:val="none"/>
              </w:rPr>
              <w:t>投标总</w:t>
            </w:r>
            <w:r>
              <w:rPr>
                <w:rFonts w:hint="eastAsia" w:ascii="仿宋" w:hAnsi="仿宋" w:eastAsia="仿宋" w:cs="仿宋"/>
                <w:b/>
                <w:bCs/>
                <w:color w:val="auto"/>
                <w:spacing w:val="-2"/>
                <w:sz w:val="24"/>
                <w:highlight w:val="none"/>
              </w:rPr>
              <w:t>报价应含采购服务费，采购服务费按照国家发展计划委员会计价格[2002]1980号文《招标代理服务费管理暂行办法》及发改办价格[2003]857号文的收费标准（货物类）计取，为人民币</w:t>
            </w:r>
            <w:r>
              <w:rPr>
                <w:rFonts w:hint="eastAsia" w:ascii="仿宋" w:hAnsi="仿宋" w:eastAsia="仿宋" w:cs="仿宋"/>
                <w:b/>
                <w:bCs/>
                <w:color w:val="auto"/>
                <w:spacing w:val="-2"/>
                <w:sz w:val="24"/>
                <w:highlight w:val="none"/>
              </w:rPr>
              <w:fldChar w:fldCharType="begin"/>
            </w:r>
            <w:r>
              <w:rPr>
                <w:rFonts w:hint="eastAsia" w:ascii="仿宋" w:hAnsi="仿宋" w:eastAsia="仿宋" w:cs="仿宋"/>
                <w:b/>
                <w:bCs/>
                <w:color w:val="auto"/>
                <w:spacing w:val="-2"/>
                <w:sz w:val="24"/>
                <w:highlight w:val="none"/>
              </w:rPr>
              <w:instrText xml:space="preserve"> = 6900 \* CHINESENUM4 \* MERGEFORMAT </w:instrText>
            </w:r>
            <w:r>
              <w:rPr>
                <w:rFonts w:hint="eastAsia" w:ascii="仿宋" w:hAnsi="仿宋" w:eastAsia="仿宋" w:cs="仿宋"/>
                <w:b/>
                <w:bCs/>
                <w:color w:val="auto"/>
                <w:spacing w:val="-2"/>
                <w:sz w:val="24"/>
                <w:highlight w:val="none"/>
              </w:rPr>
              <w:fldChar w:fldCharType="separate"/>
            </w:r>
            <w:r>
              <w:rPr>
                <w:rFonts w:hint="eastAsia" w:ascii="仿宋" w:hAnsi="仿宋" w:eastAsia="仿宋" w:cs="仿宋"/>
                <w:b/>
                <w:bCs/>
                <w:color w:val="auto"/>
                <w:spacing w:val="-2"/>
                <w:sz w:val="24"/>
                <w:highlight w:val="none"/>
                <w:lang w:val="en-US" w:eastAsia="zh-CN"/>
              </w:rPr>
              <w:t>叁万柒仟陆佰玖拾玖</w:t>
            </w:r>
            <w:r>
              <w:rPr>
                <w:rFonts w:hint="eastAsia" w:ascii="仿宋" w:hAnsi="仿宋" w:eastAsia="仿宋" w:cs="仿宋"/>
                <w:b/>
                <w:bCs/>
                <w:color w:val="auto"/>
                <w:spacing w:val="-2"/>
                <w:sz w:val="24"/>
                <w:highlight w:val="none"/>
              </w:rPr>
              <w:t>元整</w:t>
            </w:r>
            <w:r>
              <w:rPr>
                <w:rFonts w:hint="eastAsia" w:ascii="仿宋" w:hAnsi="仿宋" w:eastAsia="仿宋" w:cs="仿宋"/>
                <w:b/>
                <w:bCs/>
                <w:color w:val="auto"/>
                <w:spacing w:val="-2"/>
                <w:sz w:val="24"/>
                <w:highlight w:val="none"/>
              </w:rPr>
              <w:fldChar w:fldCharType="end"/>
            </w:r>
            <w:r>
              <w:rPr>
                <w:rFonts w:hint="eastAsia" w:ascii="仿宋" w:hAnsi="仿宋" w:eastAsia="仿宋" w:cs="仿宋"/>
                <w:b/>
                <w:bCs/>
                <w:color w:val="auto"/>
                <w:spacing w:val="-2"/>
                <w:sz w:val="24"/>
                <w:highlight w:val="none"/>
              </w:rPr>
              <w:t>（￥</w:t>
            </w:r>
            <w:r>
              <w:rPr>
                <w:rFonts w:hint="eastAsia" w:ascii="仿宋" w:hAnsi="仿宋" w:eastAsia="仿宋" w:cs="仿宋"/>
                <w:b/>
                <w:bCs/>
                <w:color w:val="auto"/>
                <w:spacing w:val="-2"/>
                <w:sz w:val="24"/>
                <w:highlight w:val="none"/>
                <w:lang w:eastAsia="zh-CN"/>
              </w:rPr>
              <w:t>：</w:t>
            </w:r>
            <w:r>
              <w:rPr>
                <w:rFonts w:hint="eastAsia" w:ascii="仿宋" w:hAnsi="仿宋" w:eastAsia="仿宋" w:cs="仿宋"/>
                <w:b/>
                <w:bCs/>
                <w:color w:val="auto"/>
                <w:spacing w:val="-2"/>
                <w:sz w:val="24"/>
                <w:highlight w:val="none"/>
                <w:lang w:val="en-US" w:eastAsia="zh-CN"/>
              </w:rPr>
              <w:t>37699.00</w:t>
            </w:r>
            <w:r>
              <w:rPr>
                <w:rFonts w:hint="eastAsia" w:ascii="仿宋" w:hAnsi="仿宋" w:eastAsia="仿宋" w:cs="仿宋"/>
                <w:b/>
                <w:bCs/>
                <w:color w:val="auto"/>
                <w:spacing w:val="-2"/>
                <w:sz w:val="24"/>
                <w:highlight w:val="none"/>
              </w:rPr>
              <w:t>元）。由中标单位在领取中标通知书时支付给采购代理公司。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无</w:t>
            </w:r>
            <w:r>
              <w:rPr>
                <w:rFonts w:hint="eastAsia" w:ascii="仿宋" w:hAnsi="仿宋" w:eastAsia="仿宋" w:cs="仿宋"/>
                <w:b/>
                <w:color w:val="auto"/>
                <w:kern w:val="0"/>
                <w:sz w:val="24"/>
                <w:highlight w:val="none"/>
              </w:rPr>
              <w:t>。</w:t>
            </w:r>
          </w:p>
        </w:tc>
      </w:tr>
      <w:bookmarkEnd w:id="9"/>
    </w:tbl>
    <w:p>
      <w:pPr>
        <w:adjustRightInd/>
        <w:spacing w:line="360" w:lineRule="auto"/>
        <w:ind w:firstLine="3845" w:firstLineChars="1197"/>
        <w:outlineLvl w:val="0"/>
        <w:rPr>
          <w:rFonts w:ascii="仿宋" w:hAnsi="仿宋" w:eastAsia="仿宋" w:cs="仿宋"/>
          <w:b/>
          <w:color w:val="auto"/>
          <w:sz w:val="32"/>
          <w:szCs w:val="20"/>
          <w:highlight w:val="none"/>
        </w:rPr>
      </w:pPr>
      <w:bookmarkStart w:id="10" w:name="_Toc164416483"/>
      <w:bookmarkStart w:id="11" w:name="第三部分"/>
      <w:r>
        <w:rPr>
          <w:rFonts w:hint="eastAsia" w:ascii="仿宋" w:hAnsi="仿宋" w:eastAsia="仿宋" w:cs="仿宋"/>
          <w:b/>
          <w:color w:val="auto"/>
          <w:sz w:val="32"/>
          <w:szCs w:val="20"/>
          <w:highlight w:val="none"/>
        </w:rPr>
        <w:t>一、总则</w:t>
      </w:r>
    </w:p>
    <w:p>
      <w:pPr>
        <w:snapToGrid w:val="0"/>
        <w:spacing w:line="360" w:lineRule="auto"/>
        <w:ind w:firstLine="361" w:firstLineChars="15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“采购机构”系指招标公告中载明的本项目的采购机构。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 “▲” 系指实质性要求条款，“★”系产品采购项目中单一产品或核心产品，“</w:t>
      </w:r>
      <w:sdt>
        <w:sdtPr>
          <w:rPr>
            <w:rFonts w:hint="eastAsia" w:ascii="仿宋" w:hAnsi="仿宋" w:eastAsia="仿宋" w:cs="仿宋"/>
            <w:color w:val="auto"/>
            <w:kern w:val="0"/>
            <w:sz w:val="24"/>
            <w:highlight w:val="none"/>
          </w:rPr>
          <w:id w:val="404888855"/>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211520192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pPr>
        <w:spacing w:line="360" w:lineRule="auto"/>
        <w:ind w:firstLine="241" w:firstLineChars="100"/>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pPr>
        <w:spacing w:line="360"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3.3.2.2在工程采购项目中，工程由中小企业承建，即工程施工单位为中小企业；</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仿宋" w:hAnsi="仿宋" w:eastAsia="仿宋" w:cs="仿宋"/>
          <w:b/>
          <w:color w:val="auto"/>
          <w:sz w:val="24"/>
          <w:highlight w:val="none"/>
        </w:rPr>
      </w:pPr>
      <w:r>
        <w:rPr>
          <w:rFonts w:hint="eastAsia" w:ascii="仿宋" w:hAnsi="仿宋" w:eastAsia="仿宋" w:cs="仿宋"/>
          <w:color w:val="auto"/>
          <w:sz w:val="24"/>
          <w:highlight w:val="none"/>
        </w:rPr>
        <w:t>3.5中小企业信用融资：</w:t>
      </w:r>
      <w:r>
        <w:rPr>
          <w:rFonts w:hint="eastAsia" w:ascii="仿宋" w:hAnsi="仿宋" w:eastAsia="仿宋" w:cs="仿宋"/>
          <w:color w:val="auto"/>
          <w:kern w:val="0"/>
          <w:sz w:val="24"/>
          <w:highlight w:val="none"/>
        </w:rPr>
        <w:t>为支持和促进中小企业发展，进一步发挥政府采购政策，建德市财政局、浙江银监局建德监管办事处、建德市人民政府金融工作办公室、市经济和信息化局共同出台了《建德市政府采购支持中小企业信用融资实施细则》，供应商若有融资意向，详见《政府采购支持中小企业信用融资相关事项通知》。具体可咨询建德市财政局采购办，联系电话：64718168；</w:t>
      </w:r>
      <w:r>
        <w:rPr>
          <w:rFonts w:hint="eastAsia" w:ascii="仿宋" w:hAnsi="仿宋" w:eastAsia="仿宋" w:cs="仿宋"/>
          <w:snapToGrid w:val="0"/>
          <w:color w:val="auto"/>
          <w:kern w:val="28"/>
          <w:sz w:val="24"/>
          <w:highlight w:val="none"/>
        </w:rPr>
        <w:t>供</w:t>
      </w:r>
      <w:r>
        <w:rPr>
          <w:rFonts w:hint="eastAsia" w:ascii="仿宋" w:hAnsi="仿宋" w:eastAsia="仿宋" w:cs="仿宋"/>
          <w:color w:val="auto"/>
          <w:kern w:val="0"/>
          <w:sz w:val="24"/>
          <w:highlight w:val="none"/>
        </w:rPr>
        <w:t>应商中标后也可在“政采云”平台（登陆https://jinrong.zcygov.cn/?utm=a0017.b1540.ct001.11.3a0260f064fd11eba8f1adac56aaf47c办理业务）申请政采贷：操作路径：登录政采云平台 - 金融服务中心 -【融资服务】，可在热门申请中选择产品直接申请，也可点击云智贷匹配适合产品进行申请，或者在可申请项目中根据该项目进行申请。</w:t>
      </w:r>
      <w:r>
        <w:rPr>
          <w:rFonts w:hint="eastAsia" w:ascii="仿宋" w:hAnsi="仿宋" w:eastAsia="仿宋" w:cs="仿宋"/>
          <w:color w:val="auto"/>
          <w:sz w:val="24"/>
          <w:highlight w:val="none"/>
        </w:rPr>
        <w:cr/>
      </w:r>
      <w:r>
        <w:rPr>
          <w:rFonts w:hint="eastAsia" w:ascii="仿宋" w:hAnsi="仿宋" w:eastAsia="仿宋" w:cs="仿宋"/>
          <w:color w:val="auto"/>
          <w:sz w:val="24"/>
          <w:highlight w:val="none"/>
          <w:lang w:val="en-US" w:eastAsia="zh-CN"/>
        </w:rPr>
        <w:t xml:space="preserve"> </w:t>
      </w:r>
      <w:r>
        <w:rPr>
          <w:rFonts w:hint="eastAsia" w:ascii="仿宋" w:hAnsi="仿宋" w:eastAsia="仿宋" w:cs="仿宋"/>
          <w:b/>
          <w:color w:val="auto"/>
          <w:sz w:val="24"/>
          <w:highlight w:val="none"/>
        </w:rPr>
        <w:t>4.询问、质疑、投诉</w:t>
      </w:r>
    </w:p>
    <w:p>
      <w:pPr>
        <w:autoSpaceDE w:val="0"/>
        <w:autoSpaceDN w:val="0"/>
        <w:spacing w:line="360" w:lineRule="auto"/>
        <w:ind w:firstLine="240" w:firstLineChars="1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4.1供应商询问</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4.2供应商质疑</w:t>
      </w:r>
    </w:p>
    <w:p>
      <w:pPr>
        <w:pStyle w:val="3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4.2</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4.2</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4"/>
        <w:spacing w:line="360" w:lineRule="auto"/>
        <w:ind w:firstLine="480" w:firstLineChars="200"/>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4.2.2.1对招标文件提出质疑的，质疑期限为供应商获得招标文件之日或者招标文件公告期限届满之日起计算。</w:t>
      </w:r>
    </w:p>
    <w:p>
      <w:pPr>
        <w:pStyle w:val="3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4.2.2.2对采购过程提出质疑的，质疑期限为各采购程序环节结束之日起计算。对同一采购程序环节的质疑，供应商须一次性提出。</w:t>
      </w:r>
    </w:p>
    <w:p>
      <w:pPr>
        <w:pStyle w:val="3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4.2.2.3对采购结果提出质疑的，质疑期限自采购结果公告期限届满之日起计算。</w:t>
      </w:r>
    </w:p>
    <w:p>
      <w:pPr>
        <w:pStyle w:val="34"/>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4.2.3</w:t>
      </w:r>
      <w:r>
        <w:rPr>
          <w:rFonts w:hint="eastAsia" w:ascii="仿宋" w:hAnsi="仿宋" w:eastAsia="仿宋" w:cs="仿宋"/>
          <w:color w:val="auto"/>
          <w:sz w:val="24"/>
          <w:highlight w:val="none"/>
        </w:rPr>
        <w:t>供应商提出质疑应当提交质疑函和必要的证明材料。质疑函应当包括下列内容：</w:t>
      </w:r>
    </w:p>
    <w:p>
      <w:pPr>
        <w:pStyle w:val="34"/>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4.2.3.1供应商的姓名或者名称、地址、邮编、联系人及联系电话；</w:t>
      </w:r>
    </w:p>
    <w:p>
      <w:pPr>
        <w:pStyle w:val="34"/>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4.2.3.2质疑项目的名称、编号；</w:t>
      </w:r>
    </w:p>
    <w:p>
      <w:pPr>
        <w:pStyle w:val="34"/>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4.2.3.3具体、明确的质疑事项和与质疑事项相关的请求；</w:t>
      </w:r>
    </w:p>
    <w:p>
      <w:pPr>
        <w:pStyle w:val="34"/>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4.2.3.4事实依据；</w:t>
      </w:r>
    </w:p>
    <w:p>
      <w:pPr>
        <w:pStyle w:val="34"/>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4.2.3.5必要的法律依据；</w:t>
      </w:r>
    </w:p>
    <w:p>
      <w:pPr>
        <w:pStyle w:val="34"/>
        <w:spacing w:line="360" w:lineRule="auto"/>
        <w:ind w:firstLine="960" w:firstLineChars="4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4.2.3.6提出质疑的日期。</w:t>
      </w:r>
    </w:p>
    <w:p>
      <w:pPr>
        <w:pStyle w:val="886"/>
        <w:shd w:val="clear" w:color="auto" w:fill="FFFFFF"/>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pPr>
        <w:pStyle w:val="886"/>
        <w:shd w:val="clear" w:color="auto" w:fill="FFFFFF"/>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lang w:val="zh-CN"/>
        </w:rPr>
        <w:t>4.2</w:t>
      </w:r>
      <w:r>
        <w:rPr>
          <w:rFonts w:hint="eastAsia" w:ascii="仿宋" w:hAnsi="仿宋" w:eastAsia="仿宋" w:cs="仿宋"/>
          <w:color w:val="auto"/>
          <w:highlight w:val="none"/>
        </w:rPr>
        <w:t>.4采购人或者采购机构应当在收到供应商的书面质疑后七个工作日内作出答复，并以书面形式通知质疑供应商和其他与质疑处理结果有利害关系的政府采购当事人，但答复的内容不得涉及商业秘密。根据建德市财政局关于转发“《杭州市财政局关于进一步加强政府采购信息公开优化营商环境的通知》（杭财采监〔2021〕17号）”的通知（</w:t>
      </w:r>
      <w:r>
        <w:rPr>
          <w:rFonts w:hint="eastAsia" w:ascii="仿宋" w:hAnsi="仿宋" w:eastAsia="仿宋" w:cs="仿宋"/>
          <w:color w:val="auto"/>
          <w:szCs w:val="30"/>
          <w:highlight w:val="none"/>
        </w:rPr>
        <w:t>建财采监〔2021〕68号</w:t>
      </w:r>
      <w:r>
        <w:rPr>
          <w:rFonts w:hint="eastAsia" w:ascii="仿宋" w:hAnsi="仿宋" w:eastAsia="仿宋" w:cs="仿宋"/>
          <w:color w:val="auto"/>
          <w:highlight w:val="none"/>
        </w:rPr>
        <w:t>）,采购人或者采购机构在质疑回复后5个工作日内，在浙江政府采购网的“其他公告”栏目公开质疑答复，答复内容应当完整。质疑函作为附件上传。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lang w:val="zh-CN"/>
        </w:rPr>
        <w:t>4.2</w:t>
      </w:r>
      <w:r>
        <w:rPr>
          <w:rFonts w:hint="eastAsia" w:ascii="仿宋" w:hAnsi="仿宋" w:eastAsia="仿宋" w:cs="仿宋"/>
          <w:color w:val="auto"/>
          <w:highlight w:val="none"/>
        </w:rPr>
        <w:t>.5询问或者质疑事项可能影响采购结果的，采购人应当暂停签订合同，已经签订合同的，应当中止履行合同。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rFonts w:ascii="仿宋" w:hAnsi="仿宋" w:eastAsia="仿宋" w:cs="仿宋"/>
          <w:color w:val="auto"/>
          <w:highlight w:val="none"/>
          <w:lang w:val="zh-CN"/>
        </w:rPr>
      </w:pPr>
      <w:r>
        <w:rPr>
          <w:rFonts w:hint="eastAsia" w:ascii="仿宋" w:hAnsi="仿宋" w:eastAsia="仿宋" w:cs="仿宋"/>
          <w:color w:val="auto"/>
          <w:highlight w:val="none"/>
          <w:lang w:val="zh-CN"/>
        </w:rPr>
        <w:t>4.3供应商投诉</w:t>
      </w:r>
    </w:p>
    <w:p>
      <w:pPr>
        <w:pStyle w:val="886"/>
        <w:shd w:val="clear" w:color="auto" w:fill="FFFFFF"/>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4.3.1质疑供应商对采购人、采购机构的答复不满意或者采购人、采购机构未在规定的时间内作出答复的，可以在答复期满后十五个工作日内向同级政府采购监督管理部门提出投诉。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4.3.</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4.3.3供应商投诉应当有明确的请求和必要的证明材料。</w:t>
      </w:r>
    </w:p>
    <w:p>
      <w:pPr>
        <w:pStyle w:val="886"/>
        <w:shd w:val="clear" w:color="auto" w:fill="FFFFFF"/>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4.3.5 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rFonts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pPr>
        <w:pStyle w:val="128"/>
        <w:snapToGrid w:val="0"/>
        <w:spacing w:before="0"/>
        <w:ind w:firstLine="360"/>
        <w:rPr>
          <w:rFonts w:ascii="仿宋" w:hAnsi="仿宋" w:eastAsia="仿宋" w:cs="仿宋"/>
          <w:color w:val="auto"/>
          <w:sz w:val="18"/>
          <w:szCs w:val="18"/>
          <w:highlight w:val="none"/>
        </w:rPr>
      </w:pPr>
    </w:p>
    <w:p>
      <w:pPr>
        <w:adjustRightInd/>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pPr>
        <w:pStyle w:val="34"/>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pPr>
        <w:pStyle w:val="34"/>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pPr>
        <w:pStyle w:val="34"/>
        <w:tabs>
          <w:tab w:val="left" w:pos="840"/>
        </w:tabs>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pPr>
        <w:pStyle w:val="34"/>
        <w:tabs>
          <w:tab w:val="left" w:pos="840"/>
        </w:tabs>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pPr>
        <w:pStyle w:val="34"/>
        <w:tabs>
          <w:tab w:val="left" w:pos="840"/>
        </w:tabs>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pPr>
        <w:pStyle w:val="34"/>
        <w:tabs>
          <w:tab w:val="left" w:pos="840"/>
        </w:tabs>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pPr>
        <w:pStyle w:val="34"/>
        <w:tabs>
          <w:tab w:val="left" w:pos="840"/>
        </w:tabs>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pPr>
        <w:pStyle w:val="34"/>
        <w:tabs>
          <w:tab w:val="left" w:pos="840"/>
        </w:tabs>
        <w:spacing w:line="360" w:lineRule="auto"/>
        <w:ind w:firstLine="960" w:firstLineChars="400"/>
        <w:rPr>
          <w:rFonts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pPr>
        <w:pStyle w:val="34"/>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pPr>
        <w:pStyle w:val="128"/>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6.1已获取招标文件的潜在投标人，若有问题需要澄清，应于投标截止时间前，以书面形式向采购机构提出。</w:t>
      </w:r>
    </w:p>
    <w:p>
      <w:pPr>
        <w:pStyle w:val="128"/>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adjustRightInd/>
        <w:spacing w:line="360" w:lineRule="auto"/>
        <w:jc w:val="center"/>
        <w:outlineLvl w:val="0"/>
        <w:rPr>
          <w:rFonts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pPr>
        <w:pStyle w:val="34"/>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pPr>
        <w:spacing w:line="360" w:lineRule="auto"/>
        <w:ind w:firstLine="480" w:firstLineChars="200"/>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pPr>
        <w:pStyle w:val="34"/>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pPr>
        <w:pStyle w:val="34"/>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pPr>
        <w:pStyle w:val="4"/>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pPr>
        <w:pStyle w:val="34"/>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pPr>
        <w:autoSpaceDE w:val="0"/>
        <w:autoSpaceDN w:val="0"/>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pPr>
        <w:pStyle w:val="34"/>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11.1.1符合参加政府采购活动应当具备的一般条件的承诺函；</w:t>
      </w:r>
    </w:p>
    <w:p>
      <w:pPr>
        <w:snapToGrid w:val="0"/>
        <w:spacing w:line="360" w:lineRule="auto"/>
        <w:ind w:firstLine="960" w:firstLineChars="400"/>
        <w:rPr>
          <w:rFonts w:hint="eastAsia" w:ascii="仿宋" w:hAnsi="仿宋" w:eastAsia="仿宋" w:cs="仿宋_GB2312"/>
          <w:sz w:val="24"/>
          <w:lang w:eastAsia="zh-CN"/>
        </w:rPr>
      </w:pPr>
      <w:r>
        <w:rPr>
          <w:rFonts w:ascii="仿宋" w:hAnsi="仿宋" w:eastAsia="仿宋" w:cs="仿宋_GB2312"/>
          <w:sz w:val="24"/>
        </w:rPr>
        <w:t>11.1.2</w:t>
      </w:r>
      <w:r>
        <w:rPr>
          <w:rFonts w:hint="eastAsia" w:ascii="仿宋" w:hAnsi="仿宋" w:eastAsia="仿宋" w:cs="仿宋_GB2312"/>
          <w:sz w:val="24"/>
        </w:rPr>
        <w:t>落实政府采购政策需满足的资格要求：提供《中小企业声明函》或残疾人福利性单位声明函或监狱企业证明文件</w:t>
      </w:r>
      <w:r>
        <w:rPr>
          <w:rFonts w:hint="eastAsia" w:ascii="仿宋" w:hAnsi="仿宋" w:eastAsia="仿宋" w:cs="仿宋_GB2312"/>
          <w:sz w:val="24"/>
          <w:lang w:eastAsia="zh-CN"/>
        </w:rPr>
        <w:t>；</w:t>
      </w:r>
    </w:p>
    <w:p>
      <w:pPr>
        <w:snapToGrid w:val="0"/>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b/>
          <w:bCs/>
          <w:color w:val="auto"/>
          <w:sz w:val="24"/>
          <w:highlight w:val="none"/>
        </w:rPr>
        <w:t>商务技术</w:t>
      </w:r>
      <w:r>
        <w:rPr>
          <w:rFonts w:hint="eastAsia" w:ascii="仿宋" w:hAnsi="仿宋" w:eastAsia="仿宋" w:cs="仿宋"/>
          <w:b/>
          <w:bCs/>
          <w:color w:val="auto"/>
          <w:sz w:val="24"/>
          <w:highlight w:val="none"/>
          <w:lang w:val="zh-CN"/>
        </w:rPr>
        <w:t>文件：</w:t>
      </w:r>
    </w:p>
    <w:p>
      <w:pPr>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pPr>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pPr>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11.2.3符合性审查资料；</w:t>
      </w:r>
    </w:p>
    <w:p>
      <w:pPr>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11.2.4评标标准相应的商务技术资料；</w:t>
      </w:r>
    </w:p>
    <w:p>
      <w:pPr>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11.2.5商务技术偏离表；</w:t>
      </w:r>
    </w:p>
    <w:p>
      <w:pPr>
        <w:snapToGrid w:val="0"/>
        <w:spacing w:line="360" w:lineRule="auto"/>
        <w:ind w:firstLine="960" w:firstLineChars="4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zh-CN"/>
        </w:rPr>
        <w:t>政府采购供应商廉洁自律承诺书；</w:t>
      </w:r>
    </w:p>
    <w:p>
      <w:pPr>
        <w:snapToGrid w:val="0"/>
        <w:spacing w:line="360" w:lineRule="auto"/>
        <w:ind w:firstLine="480" w:firstLineChars="200"/>
        <w:rPr>
          <w:rFonts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pPr>
        <w:snapToGrid w:val="0"/>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pPr>
        <w:spacing w:line="360" w:lineRule="auto"/>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pPr>
        <w:spacing w:line="360" w:lineRule="auto"/>
        <w:ind w:firstLine="723" w:firstLineChars="300"/>
        <w:rPr>
          <w:rFonts w:ascii="仿宋" w:hAnsi="仿宋" w:eastAsia="仿宋" w:cs="仿宋"/>
          <w:b/>
          <w:color w:val="auto"/>
          <w:sz w:val="24"/>
          <w:szCs w:val="21"/>
          <w:highlight w:val="none"/>
        </w:rPr>
      </w:pPr>
      <w:r>
        <w:rPr>
          <w:rFonts w:hint="eastAsia" w:ascii="仿宋" w:hAnsi="仿宋" w:eastAsia="仿宋" w:cs="仿宋"/>
          <w:b/>
          <w:color w:val="auto"/>
          <w:sz w:val="24"/>
          <w:highlight w:val="none"/>
        </w:rPr>
        <w:t>投标人提供虚假材料投标的，投标无效。</w:t>
      </w:r>
    </w:p>
    <w:p>
      <w:pPr>
        <w:pStyle w:val="128"/>
        <w:snapToGrid w:val="0"/>
        <w:spacing w:before="0"/>
        <w:ind w:firstLine="0" w:firstLineChars="0"/>
        <w:outlineLvl w:val="0"/>
        <w:rPr>
          <w:rFonts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pPr>
        <w:pStyle w:val="128"/>
        <w:snapToGrid w:val="0"/>
        <w:spacing w:before="0"/>
        <w:ind w:firstLine="480"/>
        <w:rPr>
          <w:rFonts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pPr>
        <w:pStyle w:val="128"/>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pPr>
        <w:pStyle w:val="128"/>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pPr>
        <w:pStyle w:val="128"/>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4"/>
        <w:spacing w:line="360"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pPr>
        <w:pStyle w:val="34"/>
        <w:spacing w:line="360" w:lineRule="auto"/>
        <w:ind w:firstLine="360" w:firstLineChars="150"/>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但采购人、采购机构不强制或变相强制投标人提交备份投标文件。</w:t>
      </w:r>
    </w:p>
    <w:p>
      <w:pPr>
        <w:pStyle w:val="34"/>
        <w:spacing w:line="360" w:lineRule="auto"/>
        <w:ind w:firstLine="480" w:firstLineChars="200"/>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rPr>
        <w:t>DVD光盘</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pPr>
        <w:pStyle w:val="34"/>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4"/>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4"/>
        <w:spacing w:line="360" w:lineRule="auto"/>
        <w:ind w:firstLine="477" w:firstLineChars="199"/>
        <w:rPr>
          <w:rFonts w:ascii="仿宋" w:hAnsi="仿宋" w:eastAsia="仿宋" w:cs="仿宋"/>
          <w:b/>
          <w:color w:val="auto"/>
          <w:sz w:val="24"/>
          <w:szCs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15.5投标人仅提交备份投标文件，没有在电子交易平台传输递交投标文件的，投标无效。</w:t>
      </w:r>
    </w:p>
    <w:p>
      <w:pPr>
        <w:pStyle w:val="128"/>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pPr>
        <w:pStyle w:val="3"/>
        <w:spacing w:line="360" w:lineRule="auto"/>
        <w:ind w:firstLine="360" w:firstLineChars="150"/>
        <w:rPr>
          <w:rFonts w:ascii="仿宋" w:hAnsi="仿宋" w:eastAsia="仿宋" w:cs="仿宋"/>
          <w:color w:val="auto"/>
          <w:szCs w:val="21"/>
          <w:highlight w:val="none"/>
        </w:rPr>
      </w:pPr>
      <w:r>
        <w:rPr>
          <w:rFonts w:hint="eastAsia" w:ascii="仿宋" w:hAnsi="仿宋" w:eastAsia="仿宋" w:cs="仿宋"/>
          <w:color w:val="auto"/>
          <w:szCs w:val="21"/>
          <w:highlight w:val="none"/>
        </w:rPr>
        <w:t>有招标文件第四部分</w:t>
      </w:r>
      <w:r>
        <w:rPr>
          <w:rFonts w:hint="eastAsia" w:ascii="仿宋" w:hAnsi="仿宋" w:eastAsia="仿宋" w:cs="仿宋"/>
          <w:color w:val="auto"/>
          <w:highlight w:val="none"/>
        </w:rPr>
        <w:t>第13项规定</w:t>
      </w:r>
      <w:r>
        <w:rPr>
          <w:rFonts w:hint="eastAsia" w:ascii="仿宋" w:hAnsi="仿宋" w:eastAsia="仿宋" w:cs="仿宋"/>
          <w:color w:val="auto"/>
          <w:szCs w:val="21"/>
          <w:highlight w:val="none"/>
        </w:rPr>
        <w:t>的情形之一的，投标无效：</w:t>
      </w:r>
    </w:p>
    <w:p>
      <w:pPr>
        <w:pStyle w:val="128"/>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pPr>
        <w:spacing w:line="360" w:lineRule="auto"/>
        <w:ind w:firstLine="480" w:firstLineChars="200"/>
        <w:rPr>
          <w:rFonts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pPr>
        <w:pStyle w:val="128"/>
        <w:spacing w:before="0"/>
        <w:ind w:firstLine="480"/>
        <w:rPr>
          <w:rFonts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pPr>
        <w:pStyle w:val="128"/>
        <w:spacing w:before="0"/>
        <w:ind w:firstLine="480"/>
        <w:rPr>
          <w:rFonts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28"/>
        <w:spacing w:before="0"/>
        <w:ind w:firstLine="643"/>
        <w:rPr>
          <w:rFonts w:ascii="仿宋" w:hAnsi="仿宋" w:eastAsia="仿宋" w:cs="仿宋"/>
          <w:b/>
          <w:color w:val="auto"/>
          <w:sz w:val="32"/>
          <w:highlight w:val="none"/>
        </w:rPr>
      </w:pPr>
    </w:p>
    <w:p>
      <w:pPr>
        <w:pStyle w:val="128"/>
        <w:spacing w:before="0"/>
        <w:ind w:firstLine="1928" w:firstLineChars="600"/>
        <w:rPr>
          <w:rFonts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pPr>
        <w:pStyle w:val="554"/>
        <w:spacing w:before="0" w:line="360" w:lineRule="auto"/>
        <w:ind w:left="0" w:firstLine="241" w:firstLineChars="100"/>
        <w:contextualSpacing/>
        <w:rPr>
          <w:rFonts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pPr>
        <w:pStyle w:val="554"/>
        <w:spacing w:before="0" w:line="360" w:lineRule="auto"/>
        <w:ind w:left="0" w:firstLine="480" w:firstLineChars="200"/>
        <w:contextualSpacing/>
        <w:rPr>
          <w:rFonts w:ascii="仿宋" w:hAnsi="仿宋" w:eastAsia="仿宋" w:cs="仿宋"/>
          <w:color w:val="auto"/>
          <w:sz w:val="24"/>
          <w:highlight w:val="none"/>
        </w:rPr>
      </w:pPr>
      <w:r>
        <w:rPr>
          <w:rFonts w:hint="eastAsia" w:ascii="仿宋" w:hAnsi="仿宋" w:eastAsia="仿宋" w:cs="仿宋"/>
          <w:color w:val="auto"/>
          <w:sz w:val="24"/>
          <w:highlight w:val="none"/>
        </w:rPr>
        <w:t>18.1采购机构按照招标文件规定的时间通过电子交易平台组织开标，所有投标人均应当准时在线参加。投标人不足3家的，不得开标。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pPr>
        <w:pStyle w:val="128"/>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19.1开标后，采购人或采购机构将依法对投标人的资格进行审查。</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19.2</w:t>
      </w:r>
      <w:r>
        <w:rPr>
          <w:rFonts w:hint="eastAsia" w:ascii="仿宋" w:hAnsi="仿宋" w:eastAsia="仿宋" w:cs="仿宋"/>
          <w:color w:val="auto"/>
          <w:sz w:val="24"/>
          <w:highlight w:val="none"/>
        </w:rPr>
        <w:t>采购人或采购机构依据法律法规和招标文件的规定，对投标人的基本资格条件、特定资格条件进行审查。</w:t>
      </w:r>
    </w:p>
    <w:p>
      <w:pPr>
        <w:pStyle w:val="128"/>
        <w:spacing w:before="0"/>
        <w:ind w:firstLine="480"/>
        <w:rPr>
          <w:rFonts w:ascii="仿宋" w:hAnsi="仿宋" w:eastAsia="仿宋" w:cs="仿宋"/>
          <w:color w:val="auto"/>
          <w:highlight w:val="none"/>
        </w:rPr>
      </w:pPr>
      <w:r>
        <w:rPr>
          <w:rFonts w:hint="eastAsia" w:ascii="仿宋" w:hAnsi="仿宋" w:eastAsia="仿宋" w:cs="仿宋"/>
          <w:color w:val="auto"/>
          <w:kern w:val="0"/>
          <w:szCs w:val="24"/>
          <w:highlight w:val="none"/>
        </w:rPr>
        <w:t>19.3投标人未按照招标文件要求提供与</w:t>
      </w:r>
      <w:r>
        <w:rPr>
          <w:rFonts w:hint="eastAsia" w:ascii="仿宋" w:hAnsi="仿宋" w:eastAsia="仿宋" w:cs="仿宋"/>
          <w:color w:val="auto"/>
          <w:highlight w:val="none"/>
        </w:rPr>
        <w:t>基本资格条件、特定资格条件相应的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pPr>
        <w:pStyle w:val="128"/>
        <w:spacing w:before="0"/>
        <w:ind w:firstLine="480"/>
        <w:rPr>
          <w:rFonts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4对未通过资格审查的投标人，采购人或采购机构告知其未通过的原因。</w:t>
      </w:r>
    </w:p>
    <w:p>
      <w:pPr>
        <w:pStyle w:val="128"/>
        <w:spacing w:before="0"/>
        <w:ind w:firstLine="480"/>
        <w:rPr>
          <w:rFonts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5合格投标人不足3家的，不再评标。</w:t>
      </w:r>
    </w:p>
    <w:p>
      <w:pPr>
        <w:pStyle w:val="128"/>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pPr>
        <w:pStyle w:val="128"/>
        <w:spacing w:before="0"/>
        <w:ind w:firstLine="495" w:firstLineChars="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20.1信用信息查询渠道及截止时间：采购机构将通过“信用中国”网站(www.creditchina.gov.cn)、中国政府采购网(www.ccgp.gov.cn)渠道查询投标人投标截止时间当天的信用记录。</w:t>
      </w:r>
    </w:p>
    <w:p>
      <w:pPr>
        <w:pStyle w:val="128"/>
        <w:spacing w:before="0"/>
        <w:ind w:firstLine="495" w:firstLineChars="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pPr>
        <w:pStyle w:val="128"/>
        <w:spacing w:before="0"/>
        <w:ind w:firstLine="495" w:firstLineChars="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pPr>
        <w:pStyle w:val="128"/>
        <w:spacing w:before="0"/>
        <w:ind w:firstLine="0" w:firstLineChars="0"/>
        <w:rPr>
          <w:rFonts w:ascii="仿宋" w:hAnsi="仿宋" w:eastAsia="仿宋" w:cs="仿宋"/>
          <w:color w:val="auto"/>
          <w:kern w:val="0"/>
          <w:szCs w:val="24"/>
          <w:highlight w:val="none"/>
        </w:rPr>
      </w:pPr>
    </w:p>
    <w:p>
      <w:pPr>
        <w:snapToGrid w:val="0"/>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pPr>
        <w:spacing w:line="360" w:lineRule="auto"/>
        <w:rPr>
          <w:rFonts w:ascii="仿宋" w:hAnsi="仿宋" w:eastAsia="仿宋" w:cs="仿宋"/>
          <w:color w:val="auto"/>
          <w:sz w:val="24"/>
          <w:highlight w:val="none"/>
        </w:rPr>
      </w:pPr>
      <w:bookmarkStart w:id="12"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得分高低推荐中标单位。</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详见招标文件第四部分评标办法。</w:t>
      </w:r>
    </w:p>
    <w:p>
      <w:pPr>
        <w:spacing w:line="360" w:lineRule="auto"/>
        <w:rPr>
          <w:rFonts w:ascii="仿宋" w:hAnsi="仿宋" w:eastAsia="仿宋" w:cs="仿宋"/>
          <w:b/>
          <w:color w:val="auto"/>
          <w:sz w:val="24"/>
          <w:highlight w:val="none"/>
        </w:rPr>
      </w:pPr>
    </w:p>
    <w:p>
      <w:pPr>
        <w:snapToGrid w:val="0"/>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pPr>
        <w:pStyle w:val="3"/>
        <w:spacing w:line="360" w:lineRule="auto"/>
        <w:ind w:left="479" w:hanging="479" w:hangingChars="199"/>
        <w:rPr>
          <w:rFonts w:ascii="仿宋" w:hAnsi="仿宋" w:eastAsia="仿宋" w:cs="仿宋"/>
          <w:b/>
          <w:color w:val="auto"/>
          <w:highlight w:val="none"/>
        </w:rPr>
      </w:pPr>
      <w:r>
        <w:rPr>
          <w:rFonts w:hint="eastAsia" w:ascii="仿宋" w:hAnsi="仿宋" w:eastAsia="仿宋" w:cs="仿宋"/>
          <w:b/>
          <w:color w:val="auto"/>
          <w:highlight w:val="none"/>
        </w:rPr>
        <w:t>22. 确定中标供应商</w:t>
      </w:r>
    </w:p>
    <w:p>
      <w:pPr>
        <w:pStyle w:val="128"/>
        <w:snapToGrid w:val="0"/>
        <w:spacing w:before="0"/>
        <w:ind w:firstLine="480"/>
        <w:rPr>
          <w:rFonts w:ascii="仿宋" w:hAnsi="仿宋" w:eastAsia="仿宋" w:cs="仿宋"/>
          <w:b/>
          <w:color w:val="auto"/>
          <w:szCs w:val="24"/>
          <w:highlight w:val="none"/>
        </w:rPr>
      </w:pPr>
      <w:r>
        <w:rPr>
          <w:rFonts w:hint="eastAsia" w:ascii="仿宋" w:hAnsi="仿宋" w:eastAsia="仿宋" w:cs="仿宋"/>
          <w:color w:val="auto"/>
          <w:szCs w:val="24"/>
          <w:highlight w:val="none"/>
        </w:rPr>
        <w:t>本项目由采购人事先授权评标委员会确定预中标人。</w:t>
      </w:r>
    </w:p>
    <w:p>
      <w:pPr>
        <w:pStyle w:val="128"/>
        <w:snapToGrid w:val="0"/>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pPr>
        <w:widowControl/>
        <w:shd w:val="clear" w:color="auto" w:fill="FFFFFF"/>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pPr>
        <w:snapToGrid w:val="0"/>
        <w:spacing w:line="360" w:lineRule="auto"/>
        <w:ind w:left="120" w:leftChars="57" w:firstLine="482" w:firstLineChars="150"/>
        <w:jc w:val="center"/>
        <w:rPr>
          <w:rFonts w:ascii="仿宋" w:hAnsi="仿宋" w:eastAsia="仿宋" w:cs="仿宋"/>
          <w:b/>
          <w:color w:val="auto"/>
          <w:sz w:val="32"/>
          <w:highlight w:val="none"/>
        </w:rPr>
      </w:pPr>
    </w:p>
    <w:p>
      <w:pPr>
        <w:snapToGrid w:val="0"/>
        <w:spacing w:line="360" w:lineRule="auto"/>
        <w:ind w:left="120" w:leftChars="57" w:firstLine="482" w:firstLineChars="150"/>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pPr>
        <w:pStyle w:val="3"/>
        <w:spacing w:line="360" w:lineRule="auto"/>
        <w:ind w:left="479" w:hanging="479" w:hangingChars="199"/>
        <w:rPr>
          <w:rFonts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pPr>
        <w:pStyle w:val="3"/>
        <w:spacing w:line="360" w:lineRule="auto"/>
        <w:ind w:left="479" w:hanging="479" w:hangingChars="199"/>
        <w:rPr>
          <w:rFonts w:ascii="仿宋" w:hAnsi="仿宋" w:eastAsia="仿宋" w:cs="仿宋"/>
          <w:b/>
          <w:color w:val="auto"/>
          <w:highlight w:val="none"/>
        </w:rPr>
      </w:pPr>
      <w:r>
        <w:rPr>
          <w:rFonts w:hint="eastAsia" w:ascii="仿宋" w:hAnsi="仿宋" w:eastAsia="仿宋" w:cs="仿宋"/>
          <w:b/>
          <w:color w:val="auto"/>
          <w:highlight w:val="none"/>
        </w:rPr>
        <w:t>25. 合同的签订</w:t>
      </w:r>
    </w:p>
    <w:p>
      <w:pPr>
        <w:widowControl/>
        <w:shd w:val="clear" w:color="auto" w:fill="FFFFFF"/>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采购人与中标人应当通过电子交易平台在中标通知书发出之日起三十日内，按照招标文件确定的事项签订政府采购合同，并在合同签订之日起2个工作日内依法发布合同公告。</w:t>
      </w:r>
    </w:p>
    <w:p>
      <w:pPr>
        <w:pStyle w:val="128"/>
        <w:snapToGrid w:val="0"/>
        <w:spacing w:before="0"/>
        <w:ind w:firstLine="480"/>
        <w:rPr>
          <w:rFonts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pPr>
        <w:pStyle w:val="128"/>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pPr>
        <w:pStyle w:val="3"/>
        <w:spacing w:line="360" w:lineRule="auto"/>
        <w:ind w:left="479" w:hanging="479" w:hangingChars="199"/>
        <w:rPr>
          <w:rFonts w:ascii="仿宋" w:hAnsi="仿宋" w:eastAsia="仿宋" w:cs="仿宋"/>
          <w:b/>
          <w:color w:val="auto"/>
          <w:highlight w:val="none"/>
        </w:rPr>
      </w:pPr>
      <w:r>
        <w:rPr>
          <w:rFonts w:hint="eastAsia" w:ascii="仿宋" w:hAnsi="仿宋" w:eastAsia="仿宋" w:cs="仿宋"/>
          <w:b/>
          <w:color w:val="auto"/>
          <w:highlight w:val="none"/>
        </w:rPr>
        <w:t>26. 履约保证金</w:t>
      </w:r>
    </w:p>
    <w:p>
      <w:pPr>
        <w:tabs>
          <w:tab w:val="left" w:pos="0"/>
        </w:tabs>
        <w:spacing w:line="360" w:lineRule="auto"/>
        <w:ind w:firstLine="482"/>
        <w:rPr>
          <w:rFonts w:ascii="仿宋" w:hAnsi="仿宋" w:eastAsia="仿宋" w:cs="仿宋"/>
          <w:b/>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。履约保证金的数额不得超过政府采购合同金额的2.5%。鼓励和支持供应商以银行、保险公司出具的保函形式提供履约保证金。</w:t>
      </w:r>
      <w:r>
        <w:rPr>
          <w:rFonts w:hint="eastAsia" w:ascii="仿宋" w:hAnsi="仿宋" w:eastAsia="仿宋" w:cs="仿宋"/>
          <w:b/>
          <w:color w:val="auto"/>
          <w:sz w:val="24"/>
          <w:highlight w:val="none"/>
        </w:rPr>
        <w:t>采购人不得拒收履约保函。</w:t>
      </w:r>
    </w:p>
    <w:p>
      <w:pPr>
        <w:tabs>
          <w:tab w:val="left" w:pos="0"/>
        </w:tabs>
        <w:spacing w:line="360" w:lineRule="auto"/>
        <w:ind w:firstLine="482"/>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2%；评价总分在90分以下或者暂无评分的，收取履约保证金不得高于合同金额2.5%。</w:t>
      </w:r>
    </w:p>
    <w:p>
      <w:pPr>
        <w:pStyle w:val="6"/>
        <w:ind w:left="0" w:firstLine="480" w:firstLineChars="200"/>
        <w:rPr>
          <w:rFonts w:ascii="仿宋" w:eastAsia="仿宋" w:cs="仿宋"/>
          <w:color w:val="auto"/>
          <w:highlight w:val="none"/>
          <w:lang w:val="en-US"/>
        </w:rPr>
      </w:pPr>
      <w:r>
        <w:rPr>
          <w:rFonts w:hint="eastAsia" w:ascii="仿宋" w:eastAsia="仿宋" w:cs="仿宋"/>
          <w:b w:val="0"/>
          <w:bCs w:val="0"/>
          <w:snapToGrid w:val="0"/>
          <w:color w:val="auto"/>
          <w:kern w:val="28"/>
          <w:sz w:val="24"/>
          <w:highlight w:val="none"/>
        </w:rPr>
        <w:t>供应商</w:t>
      </w:r>
      <w:r>
        <w:rPr>
          <w:rFonts w:hint="eastAsia" w:ascii="仿宋" w:eastAsia="仿宋" w:cs="仿宋"/>
          <w:b w:val="0"/>
          <w:bCs w:val="0"/>
          <w:snapToGrid w:val="0"/>
          <w:color w:val="auto"/>
          <w:kern w:val="28"/>
          <w:sz w:val="24"/>
          <w:highlight w:val="none"/>
          <w:lang w:val="en-US"/>
        </w:rPr>
        <w:t>可</w:t>
      </w:r>
      <w:r>
        <w:rPr>
          <w:rFonts w:hint="eastAsia" w:asci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仿宋" w:hAnsi="仿宋" w:eastAsia="仿宋" w:cs="仿宋"/>
          <w:b/>
          <w:color w:val="auto"/>
          <w:sz w:val="32"/>
          <w:highlight w:val="none"/>
        </w:rPr>
      </w:pPr>
    </w:p>
    <w:p>
      <w:pPr>
        <w:snapToGrid w:val="0"/>
        <w:spacing w:line="360" w:lineRule="auto"/>
        <w:ind w:firstLine="3357" w:firstLineChars="1045"/>
        <w:rPr>
          <w:rFonts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pPr>
        <w:pStyle w:val="128"/>
        <w:snapToGrid w:val="0"/>
        <w:spacing w:before="0"/>
        <w:ind w:firstLine="0" w:firstLineChars="0"/>
        <w:rPr>
          <w:rFonts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b/>
          <w:color w:val="auto"/>
          <w:szCs w:val="24"/>
          <w:highlight w:val="none"/>
        </w:rPr>
        <w:t>7. 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采购过程中出现以下情形，导致电子交易平台无法正常运行，或者无法保证电子交易的公平、公正和安全时，采购机构可中止电子交易活动：</w:t>
      </w:r>
    </w:p>
    <w:p>
      <w:pPr>
        <w:pStyle w:val="128"/>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 xml:space="preserve">27.1电子交易平台发生故障而无法登录访问的； </w:t>
      </w:r>
    </w:p>
    <w:p>
      <w:pPr>
        <w:pStyle w:val="128"/>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27.2电子交易平台应用或数据库出现错误，不能进行正常操作的；</w:t>
      </w:r>
    </w:p>
    <w:p>
      <w:pPr>
        <w:pStyle w:val="128"/>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27.3电子交易平台发现严重安全漏洞，有潜在泄密危险的；</w:t>
      </w:r>
    </w:p>
    <w:p>
      <w:pPr>
        <w:pStyle w:val="128"/>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 xml:space="preserve">27.4病毒发作导致不能进行正常操作的； </w:t>
      </w:r>
    </w:p>
    <w:p>
      <w:pPr>
        <w:pStyle w:val="128"/>
        <w:snapToGrid w:val="0"/>
        <w:spacing w:before="0"/>
        <w:ind w:firstLine="480"/>
        <w:rPr>
          <w:rFonts w:ascii="仿宋" w:hAnsi="仿宋" w:eastAsia="仿宋" w:cs="仿宋"/>
          <w:color w:val="auto"/>
          <w:highlight w:val="none"/>
        </w:rPr>
      </w:pPr>
      <w:r>
        <w:rPr>
          <w:rFonts w:hint="eastAsia" w:ascii="仿宋" w:hAnsi="仿宋" w:eastAsia="仿宋" w:cs="仿宋"/>
          <w:color w:val="auto"/>
          <w:highlight w:val="none"/>
        </w:rPr>
        <w:t>27.5其他无法保证电子交易的公平、公正和安全的情况。</w:t>
      </w:r>
    </w:p>
    <w:p>
      <w:pPr>
        <w:pStyle w:val="128"/>
        <w:snapToGrid w:val="0"/>
        <w:spacing w:before="0"/>
        <w:ind w:firstLine="0" w:firstLineChars="0"/>
        <w:rPr>
          <w:rFonts w:ascii="仿宋" w:hAnsi="仿宋" w:eastAsia="仿宋" w:cs="仿宋"/>
          <w:color w:val="auto"/>
          <w:highlight w:val="none"/>
        </w:rPr>
      </w:pPr>
      <w:r>
        <w:rPr>
          <w:rFonts w:hint="eastAsia" w:ascii="仿宋" w:hAnsi="仿宋" w:eastAsia="仿宋" w:cs="仿宋"/>
          <w:color w:val="auto"/>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auto"/>
        <w:ind w:left="120" w:leftChars="57" w:firstLine="482" w:firstLineChars="150"/>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九、验收</w:t>
      </w:r>
    </w:p>
    <w:p>
      <w:pPr>
        <w:pStyle w:val="3"/>
        <w:spacing w:line="360" w:lineRule="auto"/>
        <w:ind w:firstLine="0" w:firstLineChars="0"/>
        <w:rPr>
          <w:rFonts w:ascii="仿宋" w:hAnsi="仿宋" w:eastAsia="仿宋" w:cs="仿宋"/>
          <w:b/>
          <w:color w:val="auto"/>
          <w:highlight w:val="none"/>
        </w:rPr>
      </w:pPr>
      <w:r>
        <w:rPr>
          <w:rFonts w:hint="eastAsia" w:ascii="仿宋" w:hAnsi="仿宋" w:eastAsia="仿宋" w:cs="仿宋"/>
          <w:b/>
          <w:color w:val="auto"/>
          <w:highlight w:val="none"/>
        </w:rPr>
        <w:t>29.验收</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仿宋"/>
          <w:color w:val="auto"/>
          <w:sz w:val="18"/>
          <w:szCs w:val="18"/>
          <w:highlight w:val="none"/>
        </w:rPr>
      </w:pPr>
      <w:r>
        <w:rPr>
          <w:rFonts w:hint="eastAsia" w:ascii="仿宋" w:hAnsi="仿宋" w:eastAsia="仿宋" w:cs="仿宋"/>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360" w:lineRule="auto"/>
        <w:ind w:firstLine="480"/>
        <w:rPr>
          <w:rFonts w:ascii="仿宋" w:hAnsi="仿宋" w:eastAsia="仿宋" w:cs="仿宋"/>
          <w:color w:val="auto"/>
          <w:kern w:val="0"/>
          <w:sz w:val="24"/>
          <w:highlight w:val="none"/>
        </w:rPr>
        <w:sectPr>
          <w:footerReference r:id="rId7" w:type="first"/>
          <w:footerReference r:id="rId6" w:type="default"/>
          <w:pgSz w:w="11906" w:h="16838"/>
          <w:pgMar w:top="680" w:right="1418" w:bottom="468" w:left="1418" w:header="851" w:footer="992" w:gutter="0"/>
          <w:pgNumType w:fmt="decimal" w:start="1"/>
          <w:cols w:space="720" w:num="1"/>
          <w:titlePg/>
          <w:docGrid w:linePitch="312" w:charSpace="0"/>
        </w:sectPr>
      </w:pPr>
      <w:bookmarkStart w:id="13" w:name="_Hlt68403820"/>
      <w:bookmarkEnd w:id="13"/>
      <w:bookmarkStart w:id="14" w:name="_Hlt68057669"/>
      <w:bookmarkEnd w:id="14"/>
      <w:bookmarkStart w:id="15" w:name="_Hlt68072998"/>
      <w:bookmarkEnd w:id="15"/>
      <w:bookmarkStart w:id="16" w:name="_Hlt75236290"/>
      <w:bookmarkEnd w:id="16"/>
      <w:bookmarkStart w:id="17" w:name="_Hlt68073093"/>
      <w:bookmarkEnd w:id="17"/>
      <w:bookmarkStart w:id="18" w:name="_Hlt74707468"/>
      <w:bookmarkEnd w:id="18"/>
      <w:bookmarkStart w:id="19" w:name="_Hlt74730295"/>
      <w:bookmarkEnd w:id="19"/>
      <w:bookmarkStart w:id="20" w:name="_Hlt68072990"/>
      <w:bookmarkEnd w:id="20"/>
      <w:bookmarkStart w:id="21" w:name="_Hlt75236101"/>
      <w:bookmarkEnd w:id="21"/>
      <w:bookmarkStart w:id="22" w:name="_Hlt75236011"/>
      <w:bookmarkEnd w:id="22"/>
      <w:bookmarkStart w:id="23" w:name="_Hlt74714665"/>
      <w:bookmarkEnd w:id="23"/>
      <w:bookmarkStart w:id="24" w:name="_Hlt74729768"/>
      <w:bookmarkEnd w:id="24"/>
    </w:p>
    <w:bookmarkEnd w:id="10"/>
    <w:bookmarkEnd w:id="11"/>
    <w:p>
      <w:pPr>
        <w:spacing w:line="360" w:lineRule="auto"/>
        <w:jc w:val="center"/>
        <w:outlineLvl w:val="0"/>
        <w:rPr>
          <w:rFonts w:ascii="仿宋" w:hAnsi="仿宋" w:eastAsia="仿宋" w:cs="仿宋"/>
          <w:b/>
          <w:color w:val="auto"/>
          <w:sz w:val="36"/>
          <w:szCs w:val="36"/>
          <w:highlight w:val="none"/>
        </w:rPr>
      </w:pPr>
      <w:bookmarkStart w:id="25" w:name="第四部分"/>
      <w:r>
        <w:rPr>
          <w:rFonts w:hint="eastAsia" w:ascii="仿宋" w:hAnsi="仿宋" w:eastAsia="仿宋" w:cs="仿宋"/>
          <w:b/>
          <w:color w:val="auto"/>
          <w:sz w:val="36"/>
          <w:szCs w:val="36"/>
          <w:highlight w:val="none"/>
        </w:rPr>
        <w:t>第三部分   采购需求</w:t>
      </w:r>
    </w:p>
    <w:p>
      <w:pPr>
        <w:spacing w:line="360" w:lineRule="auto"/>
        <w:ind w:firstLine="241" w:firstLineChars="100"/>
        <w:jc w:val="left"/>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一</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采购预算</w:t>
      </w:r>
    </w:p>
    <w:tbl>
      <w:tblPr>
        <w:tblStyle w:val="62"/>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2358"/>
        <w:gridCol w:w="1260"/>
        <w:gridCol w:w="1153"/>
        <w:gridCol w:w="1952"/>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145" w:type="dxa"/>
            <w:vAlign w:val="center"/>
          </w:tcPr>
          <w:p>
            <w:pPr>
              <w:widowControl/>
              <w:tabs>
                <w:tab w:val="left" w:pos="360"/>
              </w:tabs>
              <w:jc w:val="center"/>
              <w:rPr>
                <w:rFonts w:hint="eastAsia" w:ascii="仿宋" w:hAnsi="仿宋" w:eastAsia="仿宋" w:cs="仿宋"/>
                <w:b/>
                <w:bCs/>
                <w:color w:val="auto"/>
                <w:sz w:val="24"/>
                <w:szCs w:val="15"/>
                <w:highlight w:val="none"/>
              </w:rPr>
            </w:pPr>
            <w:r>
              <w:rPr>
                <w:rFonts w:hint="eastAsia" w:ascii="仿宋" w:hAnsi="仿宋" w:eastAsia="仿宋" w:cs="仿宋"/>
                <w:b/>
                <w:bCs/>
                <w:color w:val="auto"/>
                <w:sz w:val="24"/>
                <w:szCs w:val="15"/>
                <w:highlight w:val="none"/>
              </w:rPr>
              <w:t>项目名称</w:t>
            </w:r>
          </w:p>
        </w:tc>
        <w:tc>
          <w:tcPr>
            <w:tcW w:w="2358" w:type="dxa"/>
            <w:vAlign w:val="center"/>
          </w:tcPr>
          <w:p>
            <w:pPr>
              <w:widowControl/>
              <w:tabs>
                <w:tab w:val="left" w:pos="360"/>
              </w:tabs>
              <w:jc w:val="center"/>
              <w:rPr>
                <w:rFonts w:hint="eastAsia" w:ascii="仿宋" w:hAnsi="仿宋" w:eastAsia="仿宋" w:cs="仿宋"/>
                <w:b/>
                <w:bCs/>
                <w:color w:val="auto"/>
                <w:sz w:val="24"/>
                <w:szCs w:val="15"/>
                <w:highlight w:val="none"/>
              </w:rPr>
            </w:pPr>
            <w:r>
              <w:rPr>
                <w:rFonts w:hint="eastAsia" w:ascii="仿宋" w:hAnsi="仿宋" w:eastAsia="仿宋" w:cs="仿宋"/>
                <w:b/>
                <w:bCs/>
                <w:color w:val="auto"/>
                <w:sz w:val="24"/>
                <w:szCs w:val="15"/>
                <w:highlight w:val="none"/>
              </w:rPr>
              <w:t>主要服务技术要求</w:t>
            </w:r>
          </w:p>
        </w:tc>
        <w:tc>
          <w:tcPr>
            <w:tcW w:w="1260" w:type="dxa"/>
            <w:vAlign w:val="center"/>
          </w:tcPr>
          <w:p>
            <w:pPr>
              <w:widowControl/>
              <w:tabs>
                <w:tab w:val="left" w:pos="360"/>
              </w:tabs>
              <w:jc w:val="center"/>
              <w:rPr>
                <w:rFonts w:hint="eastAsia" w:ascii="仿宋" w:hAnsi="仿宋" w:eastAsia="仿宋" w:cs="仿宋"/>
                <w:b/>
                <w:bCs/>
                <w:color w:val="auto"/>
                <w:sz w:val="24"/>
                <w:szCs w:val="15"/>
                <w:highlight w:val="none"/>
              </w:rPr>
            </w:pPr>
            <w:r>
              <w:rPr>
                <w:rFonts w:hint="eastAsia" w:ascii="仿宋" w:hAnsi="仿宋" w:eastAsia="仿宋" w:cs="仿宋"/>
                <w:b/>
                <w:bCs/>
                <w:color w:val="auto"/>
                <w:sz w:val="24"/>
                <w:szCs w:val="15"/>
                <w:highlight w:val="none"/>
              </w:rPr>
              <w:t>单位</w:t>
            </w:r>
          </w:p>
        </w:tc>
        <w:tc>
          <w:tcPr>
            <w:tcW w:w="1153" w:type="dxa"/>
            <w:vAlign w:val="center"/>
          </w:tcPr>
          <w:p>
            <w:pPr>
              <w:widowControl/>
              <w:tabs>
                <w:tab w:val="left" w:pos="360"/>
              </w:tabs>
              <w:jc w:val="center"/>
              <w:rPr>
                <w:rFonts w:hint="eastAsia" w:ascii="仿宋" w:hAnsi="仿宋" w:eastAsia="仿宋" w:cs="仿宋"/>
                <w:b/>
                <w:bCs/>
                <w:color w:val="auto"/>
                <w:sz w:val="24"/>
                <w:szCs w:val="15"/>
                <w:highlight w:val="none"/>
                <w:lang w:eastAsia="zh-CN"/>
              </w:rPr>
            </w:pPr>
            <w:r>
              <w:rPr>
                <w:rFonts w:hint="eastAsia" w:ascii="仿宋" w:hAnsi="仿宋" w:eastAsia="仿宋" w:cs="仿宋"/>
                <w:b/>
                <w:bCs/>
                <w:color w:val="auto"/>
                <w:sz w:val="24"/>
                <w:szCs w:val="15"/>
                <w:highlight w:val="none"/>
              </w:rPr>
              <w:t>数量</w:t>
            </w:r>
          </w:p>
        </w:tc>
        <w:tc>
          <w:tcPr>
            <w:tcW w:w="1952" w:type="dxa"/>
            <w:vAlign w:val="center"/>
          </w:tcPr>
          <w:p>
            <w:pPr>
              <w:spacing w:line="280" w:lineRule="exact"/>
              <w:jc w:val="center"/>
              <w:rPr>
                <w:rFonts w:hint="default" w:ascii="仿宋" w:hAnsi="仿宋" w:eastAsia="仿宋" w:cs="仿宋"/>
                <w:b/>
                <w:bCs/>
                <w:color w:val="auto"/>
                <w:sz w:val="24"/>
                <w:szCs w:val="15"/>
                <w:highlight w:val="none"/>
                <w:lang w:val="en-US" w:eastAsia="zh-CN"/>
              </w:rPr>
            </w:pPr>
            <w:r>
              <w:rPr>
                <w:rFonts w:hint="eastAsia" w:ascii="仿宋" w:hAnsi="仿宋" w:eastAsia="仿宋" w:cs="仿宋"/>
                <w:b/>
                <w:bCs/>
                <w:color w:val="auto"/>
                <w:sz w:val="24"/>
                <w:szCs w:val="15"/>
                <w:highlight w:val="none"/>
                <w:lang w:val="en-US" w:eastAsia="zh-CN"/>
              </w:rPr>
              <w:t>预算总价（元）</w:t>
            </w:r>
          </w:p>
        </w:tc>
        <w:tc>
          <w:tcPr>
            <w:tcW w:w="985" w:type="dxa"/>
            <w:vAlign w:val="center"/>
          </w:tcPr>
          <w:p>
            <w:pPr>
              <w:spacing w:line="280" w:lineRule="exact"/>
              <w:jc w:val="center"/>
              <w:rPr>
                <w:rFonts w:hint="eastAsia" w:ascii="仿宋" w:hAnsi="仿宋" w:eastAsia="仿宋" w:cs="仿宋"/>
                <w:b/>
                <w:bCs/>
                <w:color w:val="auto"/>
                <w:sz w:val="24"/>
                <w:szCs w:val="15"/>
                <w:highlight w:val="none"/>
                <w:lang w:val="en-US" w:eastAsia="zh-CN"/>
              </w:rPr>
            </w:pPr>
            <w:r>
              <w:rPr>
                <w:rFonts w:hint="eastAsia" w:ascii="仿宋" w:hAnsi="仿宋" w:eastAsia="仿宋" w:cs="仿宋"/>
                <w:b/>
                <w:bCs/>
                <w:color w:val="auto"/>
                <w:sz w:val="24"/>
                <w:szCs w:val="15"/>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45" w:type="dxa"/>
            <w:vAlign w:val="center"/>
          </w:tcPr>
          <w:p>
            <w:pPr>
              <w:widowControl/>
              <w:tabs>
                <w:tab w:val="left" w:pos="360"/>
              </w:tabs>
              <w:jc w:val="center"/>
              <w:rPr>
                <w:rFonts w:hint="eastAsia" w:ascii="仿宋" w:hAnsi="仿宋" w:eastAsia="仿宋" w:cs="仿宋"/>
                <w:color w:val="auto"/>
                <w:sz w:val="24"/>
                <w:szCs w:val="15"/>
                <w:highlight w:val="none"/>
                <w:lang w:val="en-US" w:eastAsia="zh-CN"/>
              </w:rPr>
            </w:pPr>
            <w:r>
              <w:rPr>
                <w:rFonts w:hint="eastAsia" w:ascii="仿宋" w:hAnsi="仿宋" w:eastAsia="仿宋" w:cs="仿宋"/>
                <w:color w:val="auto"/>
                <w:sz w:val="24"/>
                <w:szCs w:val="15"/>
                <w:highlight w:val="none"/>
                <w:lang w:eastAsia="zh-CN"/>
              </w:rPr>
              <w:t>洋安未来社区创意装饰、导视牌、景观小品制作等采购项目</w:t>
            </w:r>
          </w:p>
        </w:tc>
        <w:tc>
          <w:tcPr>
            <w:tcW w:w="2358" w:type="dxa"/>
            <w:vAlign w:val="center"/>
          </w:tcPr>
          <w:p>
            <w:pPr>
              <w:widowControl/>
              <w:tabs>
                <w:tab w:val="left" w:pos="360"/>
              </w:tabs>
              <w:jc w:val="center"/>
              <w:rPr>
                <w:rFonts w:hint="eastAsia" w:ascii="仿宋" w:hAnsi="仿宋" w:eastAsia="仿宋" w:cs="仿宋"/>
                <w:color w:val="auto"/>
                <w:sz w:val="24"/>
                <w:szCs w:val="15"/>
                <w:highlight w:val="none"/>
                <w:lang w:val="en-US" w:eastAsia="zh-CN"/>
              </w:rPr>
            </w:pPr>
            <w:r>
              <w:rPr>
                <w:rFonts w:hint="eastAsia" w:ascii="仿宋" w:hAnsi="仿宋" w:eastAsia="仿宋" w:cs="仿宋"/>
                <w:color w:val="auto"/>
                <w:sz w:val="24"/>
                <w:szCs w:val="15"/>
                <w:highlight w:val="none"/>
                <w:lang w:val="en-US" w:eastAsia="zh-CN"/>
              </w:rPr>
              <w:t>详见“二、采购需求”</w:t>
            </w:r>
          </w:p>
        </w:tc>
        <w:tc>
          <w:tcPr>
            <w:tcW w:w="1260" w:type="dxa"/>
            <w:vAlign w:val="center"/>
          </w:tcPr>
          <w:p>
            <w:pPr>
              <w:widowControl/>
              <w:tabs>
                <w:tab w:val="left" w:pos="360"/>
              </w:tabs>
              <w:jc w:val="center"/>
              <w:rPr>
                <w:rFonts w:hint="eastAsia" w:ascii="仿宋" w:hAnsi="仿宋" w:eastAsia="仿宋" w:cs="仿宋"/>
                <w:color w:val="auto"/>
                <w:sz w:val="24"/>
                <w:szCs w:val="15"/>
                <w:highlight w:val="none"/>
                <w:lang w:val="en-US" w:eastAsia="zh-CN"/>
              </w:rPr>
            </w:pPr>
            <w:r>
              <w:rPr>
                <w:rFonts w:hint="eastAsia" w:ascii="仿宋" w:hAnsi="仿宋" w:eastAsia="仿宋" w:cs="仿宋"/>
                <w:color w:val="auto"/>
                <w:sz w:val="24"/>
                <w:szCs w:val="15"/>
                <w:highlight w:val="none"/>
                <w:lang w:val="en-US" w:eastAsia="zh-CN"/>
              </w:rPr>
              <w:t>项</w:t>
            </w:r>
          </w:p>
        </w:tc>
        <w:tc>
          <w:tcPr>
            <w:tcW w:w="1153" w:type="dxa"/>
            <w:vAlign w:val="center"/>
          </w:tcPr>
          <w:p>
            <w:pPr>
              <w:widowControl/>
              <w:tabs>
                <w:tab w:val="left" w:pos="360"/>
              </w:tabs>
              <w:jc w:val="center"/>
              <w:rPr>
                <w:rFonts w:hint="eastAsia" w:ascii="仿宋" w:hAnsi="仿宋" w:eastAsia="仿宋" w:cs="仿宋"/>
                <w:color w:val="auto"/>
                <w:sz w:val="24"/>
                <w:szCs w:val="15"/>
                <w:highlight w:val="none"/>
                <w:lang w:val="en-US" w:eastAsia="zh-CN"/>
              </w:rPr>
            </w:pPr>
            <w:r>
              <w:rPr>
                <w:rFonts w:hint="eastAsia" w:ascii="仿宋" w:hAnsi="仿宋" w:eastAsia="仿宋" w:cs="仿宋"/>
                <w:color w:val="auto"/>
                <w:sz w:val="24"/>
                <w:szCs w:val="15"/>
                <w:highlight w:val="none"/>
                <w:lang w:val="en-US" w:eastAsia="zh-CN"/>
              </w:rPr>
              <w:t>1</w:t>
            </w:r>
          </w:p>
        </w:tc>
        <w:tc>
          <w:tcPr>
            <w:tcW w:w="1952" w:type="dxa"/>
            <w:vAlign w:val="center"/>
          </w:tcPr>
          <w:p>
            <w:pPr>
              <w:spacing w:line="320" w:lineRule="exact"/>
              <w:jc w:val="center"/>
              <w:rPr>
                <w:rFonts w:hint="default" w:ascii="仿宋" w:hAnsi="仿宋" w:eastAsia="仿宋" w:cs="仿宋"/>
                <w:color w:val="auto"/>
                <w:sz w:val="24"/>
                <w:szCs w:val="15"/>
                <w:highlight w:val="none"/>
                <w:lang w:val="en-US" w:eastAsia="zh-CN"/>
              </w:rPr>
            </w:pPr>
            <w:r>
              <w:rPr>
                <w:rFonts w:hint="eastAsia" w:ascii="仿宋" w:hAnsi="仿宋" w:eastAsia="仿宋" w:cs="仿宋"/>
                <w:color w:val="auto"/>
                <w:sz w:val="24"/>
                <w:szCs w:val="15"/>
                <w:highlight w:val="none"/>
                <w:lang w:val="en-US" w:eastAsia="zh-CN"/>
              </w:rPr>
              <w:t>4532538.52</w:t>
            </w:r>
          </w:p>
        </w:tc>
        <w:tc>
          <w:tcPr>
            <w:tcW w:w="985" w:type="dxa"/>
            <w:vAlign w:val="center"/>
          </w:tcPr>
          <w:p>
            <w:pPr>
              <w:spacing w:line="320" w:lineRule="exact"/>
              <w:jc w:val="center"/>
              <w:rPr>
                <w:rFonts w:hint="default" w:ascii="仿宋" w:hAnsi="仿宋" w:eastAsia="仿宋" w:cs="仿宋"/>
                <w:color w:val="auto"/>
                <w:sz w:val="24"/>
                <w:szCs w:val="15"/>
                <w:highlight w:val="none"/>
                <w:lang w:val="en-US" w:eastAsia="zh-CN"/>
              </w:rPr>
            </w:pPr>
          </w:p>
        </w:tc>
      </w:tr>
    </w:tbl>
    <w:p>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注：以上金额包括</w:t>
      </w:r>
      <w:r>
        <w:rPr>
          <w:rFonts w:hint="eastAsia" w:ascii="仿宋" w:hAnsi="仿宋" w:eastAsia="仿宋" w:cs="仿宋"/>
          <w:b/>
          <w:bCs/>
          <w:color w:val="auto"/>
          <w:sz w:val="24"/>
          <w:highlight w:val="none"/>
          <w:lang w:val="en-US" w:eastAsia="zh-CN"/>
        </w:rPr>
        <w:t>设备</w:t>
      </w:r>
      <w:r>
        <w:rPr>
          <w:rFonts w:hint="eastAsia" w:ascii="仿宋" w:hAnsi="仿宋" w:eastAsia="仿宋" w:cs="仿宋"/>
          <w:b/>
          <w:bCs/>
          <w:color w:val="auto"/>
          <w:sz w:val="24"/>
          <w:highlight w:val="none"/>
        </w:rPr>
        <w:t>的</w:t>
      </w:r>
      <w:r>
        <w:rPr>
          <w:rFonts w:hint="eastAsia" w:ascii="仿宋" w:hAnsi="仿宋" w:eastAsia="仿宋" w:cs="仿宋"/>
          <w:b/>
          <w:bCs/>
          <w:color w:val="auto"/>
          <w:sz w:val="24"/>
          <w:highlight w:val="none"/>
          <w:lang w:val="en-US" w:eastAsia="zh-CN"/>
        </w:rPr>
        <w:t>供货</w:t>
      </w:r>
      <w:r>
        <w:rPr>
          <w:rFonts w:hint="eastAsia" w:ascii="仿宋" w:hAnsi="仿宋" w:eastAsia="仿宋" w:cs="仿宋"/>
          <w:b/>
          <w:bCs/>
          <w:color w:val="auto"/>
          <w:sz w:val="24"/>
          <w:highlight w:val="none"/>
        </w:rPr>
        <w:t>、包装、运输装卸、安装调试、维护、备品备件、培训、税金、验收、辅助工作及售后服务等完成该项目的所有费用。</w:t>
      </w:r>
    </w:p>
    <w:p>
      <w:pPr>
        <w:spacing w:line="360" w:lineRule="auto"/>
        <w:ind w:firstLine="241" w:firstLineChars="100"/>
        <w:jc w:val="left"/>
        <w:rPr>
          <w:rFonts w:hint="eastAsia" w:ascii="仿宋" w:hAnsi="仿宋" w:eastAsia="仿宋" w:cs="仿宋"/>
          <w:b/>
          <w:bCs/>
          <w:color w:val="auto"/>
          <w:sz w:val="24"/>
          <w:highlight w:val="none"/>
        </w:rPr>
      </w:pPr>
    </w:p>
    <w:p>
      <w:pPr>
        <w:tabs>
          <w:tab w:val="center" w:pos="4422"/>
        </w:tabs>
        <w:spacing w:line="360" w:lineRule="auto"/>
        <w:ind w:firstLine="241" w:firstLineChars="100"/>
        <w:jc w:val="left"/>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二</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采购需求</w:t>
      </w:r>
      <w:r>
        <w:rPr>
          <w:rFonts w:hint="eastAsia" w:ascii="仿宋" w:hAnsi="仿宋" w:eastAsia="仿宋" w:cs="仿宋"/>
          <w:b/>
          <w:bCs/>
          <w:color w:val="auto"/>
          <w:sz w:val="24"/>
          <w:highlight w:val="none"/>
          <w:lang w:val="en-US" w:eastAsia="zh-CN"/>
        </w:rPr>
        <w:tab/>
      </w:r>
    </w:p>
    <w:p>
      <w:pPr>
        <w:spacing w:line="360" w:lineRule="auto"/>
        <w:ind w:firstLine="48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rPr>
        <w:t>&lt;</w:t>
      </w:r>
      <w:r>
        <w:rPr>
          <w:rFonts w:hint="eastAsia" w:ascii="仿宋" w:hAnsi="仿宋" w:eastAsia="仿宋" w:cs="仿宋"/>
          <w:b/>
          <w:bCs/>
          <w:color w:val="auto"/>
          <w:sz w:val="24"/>
          <w:highlight w:val="none"/>
          <w:lang w:val="en-US" w:eastAsia="zh-CN"/>
        </w:rPr>
        <w:t>一</w:t>
      </w:r>
      <w:r>
        <w:rPr>
          <w:rFonts w:hint="eastAsia" w:ascii="仿宋" w:hAnsi="仿宋" w:eastAsia="仿宋" w:cs="仿宋"/>
          <w:b/>
          <w:bCs/>
          <w:color w:val="auto"/>
          <w:sz w:val="24"/>
          <w:highlight w:val="none"/>
        </w:rPr>
        <w:t>&gt;</w:t>
      </w:r>
      <w:r>
        <w:rPr>
          <w:rFonts w:hint="eastAsia" w:ascii="仿宋" w:hAnsi="仿宋" w:eastAsia="仿宋" w:cs="仿宋"/>
          <w:b/>
          <w:bCs/>
          <w:color w:val="auto"/>
          <w:sz w:val="24"/>
          <w:highlight w:val="none"/>
          <w:lang w:val="en-US" w:eastAsia="zh-CN"/>
        </w:rPr>
        <w:t>项目概况</w:t>
      </w:r>
    </w:p>
    <w:p>
      <w:pPr>
        <w:spacing w:line="360" w:lineRule="auto"/>
        <w:ind w:firstLine="48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bCs/>
          <w:color w:val="auto"/>
          <w:sz w:val="24"/>
          <w:highlight w:val="none"/>
          <w:lang w:val="en-US" w:eastAsia="zh-CN"/>
        </w:rPr>
        <w:t>1、项目名称：</w:t>
      </w:r>
      <w:r>
        <w:rPr>
          <w:rFonts w:hint="eastAsia" w:ascii="仿宋" w:hAnsi="仿宋" w:eastAsia="仿宋" w:cs="仿宋"/>
          <w:b w:val="0"/>
          <w:bCs w:val="0"/>
          <w:color w:val="auto"/>
          <w:sz w:val="24"/>
          <w:highlight w:val="none"/>
          <w:lang w:val="en-US" w:eastAsia="zh-CN"/>
        </w:rPr>
        <w:t>洋安未来社区创意装饰、导视牌、景观小品制作采购项目。</w:t>
      </w:r>
    </w:p>
    <w:p>
      <w:pPr>
        <w:spacing w:line="360" w:lineRule="auto"/>
        <w:ind w:firstLine="480"/>
        <w:jc w:val="left"/>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2、项目背景：</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tl w:val="0"/>
          <w:lang w:val="en-US" w:eastAsia="zh-CN"/>
        </w:rPr>
        <w:t>未来社区是“让老百姓幸福”的新平台，是“让城市生活更美好”的最基本单元，更重要的是，未来社区是作为共同富裕现代化的基本单元。</w:t>
      </w:r>
      <w:r>
        <w:rPr>
          <w:rFonts w:hint="default" w:ascii="仿宋" w:hAnsi="仿宋" w:eastAsia="仿宋" w:cs="仿宋"/>
          <w:b w:val="0"/>
          <w:bCs w:val="0"/>
          <w:color w:val="auto"/>
          <w:sz w:val="24"/>
          <w:highlight w:val="none"/>
          <w:lang w:val="en-US" w:eastAsia="zh-CN"/>
        </w:rPr>
        <w:t>根据《关于印发浙江省未来社区建设试点工作方案的通知》(浙政发[2019]8号)、《浙江省人民政府办公厅关于高质量加快推进未来社区试点建设工作的意见》(浙政办发[2019]60号)《浙江省未来社区试点建设管理办法(试行)》文件精神，打造有归属感、舒适感和未来感的新型城市功能单元。</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洋安</w:t>
      </w:r>
      <w:r>
        <w:rPr>
          <w:rFonts w:hint="eastAsia" w:ascii="仿宋" w:hAnsi="仿宋" w:eastAsia="仿宋" w:cs="仿宋"/>
          <w:b w:val="0"/>
          <w:bCs w:val="0"/>
          <w:color w:val="auto"/>
          <w:sz w:val="24"/>
          <w:highlight w:val="none"/>
          <w:lang w:val="en-US" w:eastAsia="zh-CN"/>
        </w:rPr>
        <w:t>新城</w:t>
      </w:r>
      <w:r>
        <w:rPr>
          <w:rFonts w:hint="default" w:ascii="仿宋" w:hAnsi="仿宋" w:eastAsia="仿宋" w:cs="仿宋"/>
          <w:b w:val="0"/>
          <w:bCs w:val="0"/>
          <w:color w:val="auto"/>
          <w:sz w:val="24"/>
          <w:highlight w:val="none"/>
          <w:lang w:val="en-US" w:eastAsia="zh-CN"/>
        </w:rPr>
        <w:t>位于建德老城区东北方，是建德连接杭州的重要门户，毗邻杭新景高速，也是连接杭州与淳安千岛湖风景区的重要节点，地理位置优越，拥有得天独厚的山体景观资源。</w:t>
      </w:r>
      <w:r>
        <w:rPr>
          <w:rFonts w:hint="eastAsia" w:ascii="仿宋" w:hAnsi="仿宋" w:eastAsia="仿宋" w:cs="仿宋"/>
          <w:b w:val="0"/>
          <w:bCs w:val="0"/>
          <w:color w:val="auto"/>
          <w:sz w:val="24"/>
          <w:highlight w:val="none"/>
          <w:rtl w:val="0"/>
          <w:lang w:val="en-US" w:eastAsia="zh-CN"/>
        </w:rPr>
        <w:t>洋安社区在2021年5月被列入全省第三批未来社区创建名单，是我市首个列入未来社区创建的项目。规划单元总用地面积约100公顷，其中实施单元总用地面积约为27.7公顷，</w:t>
      </w:r>
      <w:r>
        <w:rPr>
          <w:rFonts w:hint="eastAsia" w:ascii="仿宋" w:hAnsi="仿宋" w:eastAsia="仿宋" w:cs="仿宋"/>
          <w:b w:val="0"/>
          <w:bCs w:val="0"/>
          <w:color w:val="auto"/>
          <w:sz w:val="24"/>
          <w:highlight w:val="none"/>
          <w:lang w:val="en-US" w:eastAsia="zh-CN"/>
        </w:rPr>
        <w:t>覆盖洋安家园、和风苑、和雅苑、江景府4个小区和八佰伴商业综合体。以党建为统领，</w:t>
      </w:r>
      <w:r>
        <w:rPr>
          <w:rFonts w:hint="eastAsia" w:ascii="仿宋" w:hAnsi="仿宋" w:eastAsia="仿宋" w:cs="仿宋"/>
          <w:b w:val="0"/>
          <w:bCs w:val="0"/>
          <w:color w:val="auto"/>
          <w:sz w:val="24"/>
          <w:highlight w:val="none"/>
          <w:rtl w:val="0"/>
          <w:lang w:val="en-US" w:eastAsia="zh-CN"/>
        </w:rPr>
        <w:t>围绕社区全生活链服务需求，聚焦“一老一小”，着力构建共识、共治、共享、共乐、共建、共创、共富7大社区新形态。</w:t>
      </w:r>
    </w:p>
    <w:p>
      <w:pPr>
        <w:spacing w:line="360" w:lineRule="auto"/>
        <w:ind w:firstLine="48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bCs/>
          <w:color w:val="auto"/>
          <w:sz w:val="24"/>
          <w:highlight w:val="none"/>
          <w:lang w:val="en-US" w:eastAsia="zh-CN"/>
        </w:rPr>
        <w:t>3、建设目标:</w:t>
      </w:r>
    </w:p>
    <w:p>
      <w:pPr>
        <w:spacing w:line="360" w:lineRule="auto"/>
        <w:ind w:firstLine="48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深挖洋安历史文化底蕴， 打造洋安未来社区专属“和”文化品牌，塑造形象 IP。同时结合党建引领，将品牌、标语、形象IP等融入社区党群驿站、九大场景落地等项目，营造未来社区创建浓厚氛围，打造洋安未来社区品牌。</w:t>
      </w:r>
    </w:p>
    <w:p>
      <w:pPr>
        <w:spacing w:line="360" w:lineRule="auto"/>
        <w:ind w:firstLine="48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bCs/>
          <w:color w:val="auto"/>
          <w:sz w:val="24"/>
          <w:highlight w:val="none"/>
          <w:lang w:val="en-US" w:eastAsia="zh-CN"/>
        </w:rPr>
        <w:t>4、建设内容:</w:t>
      </w:r>
    </w:p>
    <w:p>
      <w:pPr>
        <w:spacing w:line="360" w:lineRule="auto"/>
        <w:ind w:firstLine="48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本项目采购内容主要包括创意装饰、导视牌、景观小品、文化品牌植入、重要节点标志性景观打造等的制作加工、部分箱体的深化设计、包装、运输装卸、安装、验收、保险、税费、资料加工制作、辅助工作及相关文件的提交、产品的维修保养等售后服务内容。</w:t>
      </w:r>
    </w:p>
    <w:p>
      <w:pPr>
        <w:spacing w:line="360" w:lineRule="auto"/>
        <w:ind w:firstLine="48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rPr>
        <w:t>&lt;</w:t>
      </w:r>
      <w:r>
        <w:rPr>
          <w:rFonts w:hint="eastAsia" w:ascii="仿宋" w:hAnsi="仿宋" w:eastAsia="仿宋" w:cs="仿宋"/>
          <w:b/>
          <w:bCs/>
          <w:color w:val="auto"/>
          <w:sz w:val="24"/>
          <w:highlight w:val="none"/>
          <w:lang w:val="en-US" w:eastAsia="zh-CN"/>
        </w:rPr>
        <w:t>二</w:t>
      </w:r>
      <w:r>
        <w:rPr>
          <w:rFonts w:hint="eastAsia" w:ascii="仿宋" w:hAnsi="仿宋" w:eastAsia="仿宋" w:cs="仿宋"/>
          <w:b/>
          <w:bCs/>
          <w:color w:val="auto"/>
          <w:sz w:val="24"/>
          <w:highlight w:val="none"/>
        </w:rPr>
        <w:t>&gt;</w:t>
      </w:r>
      <w:r>
        <w:rPr>
          <w:rFonts w:hint="eastAsia" w:ascii="仿宋" w:hAnsi="仿宋" w:eastAsia="仿宋" w:cs="仿宋"/>
          <w:b/>
          <w:bCs/>
          <w:color w:val="auto"/>
          <w:sz w:val="24"/>
          <w:highlight w:val="none"/>
          <w:lang w:val="en-US" w:eastAsia="zh-CN"/>
        </w:rPr>
        <w:t>采购清单</w:t>
      </w:r>
    </w:p>
    <w:p>
      <w:pPr>
        <w:spacing w:line="360" w:lineRule="auto"/>
        <w:ind w:firstLine="480"/>
        <w:jc w:val="left"/>
        <w:rPr>
          <w:rFonts w:hint="eastAsia"/>
          <w:color w:val="auto"/>
          <w:highlight w:val="none"/>
          <w:lang w:val="en-US" w:eastAsia="zh-CN"/>
        </w:rPr>
        <w:sectPr>
          <w:footerReference r:id="rId8" w:type="default"/>
          <w:footerReference r:id="rId9" w:type="even"/>
          <w:pgSz w:w="11906" w:h="16838"/>
          <w:pgMar w:top="2098" w:right="1474" w:bottom="1985" w:left="1588" w:header="851" w:footer="1588" w:gutter="0"/>
          <w:cols w:space="720" w:num="1"/>
          <w:docGrid w:type="lines" w:linePitch="312" w:charSpace="0"/>
        </w:sectPr>
      </w:pPr>
      <w:r>
        <w:rPr>
          <w:rFonts w:hint="eastAsia" w:ascii="仿宋" w:hAnsi="仿宋" w:eastAsia="仿宋" w:cs="仿宋"/>
          <w:b/>
          <w:bCs/>
          <w:color w:val="auto"/>
          <w:sz w:val="24"/>
          <w:highlight w:val="none"/>
          <w:lang w:val="en-US" w:eastAsia="zh-CN"/>
        </w:rPr>
        <w:t>1、采购清单（附后）</w:t>
      </w:r>
    </w:p>
    <w:tbl>
      <w:tblPr>
        <w:tblStyle w:val="62"/>
        <w:tblW w:w="151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0"/>
        <w:gridCol w:w="720"/>
        <w:gridCol w:w="915"/>
        <w:gridCol w:w="3105"/>
        <w:gridCol w:w="4965"/>
        <w:gridCol w:w="840"/>
        <w:gridCol w:w="510"/>
        <w:gridCol w:w="510"/>
        <w:gridCol w:w="1100"/>
        <w:gridCol w:w="1050"/>
        <w:gridCol w:w="954"/>
        <w:gridCol w:w="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720" w:type="dxa"/>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区域</w:t>
            </w:r>
          </w:p>
        </w:tc>
        <w:tc>
          <w:tcPr>
            <w:tcW w:w="915" w:type="dxa"/>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名称</w:t>
            </w:r>
          </w:p>
        </w:tc>
        <w:tc>
          <w:tcPr>
            <w:tcW w:w="3105" w:type="dxa"/>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参考图片</w:t>
            </w:r>
          </w:p>
        </w:tc>
        <w:tc>
          <w:tcPr>
            <w:tcW w:w="4965" w:type="dxa"/>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工艺</w:t>
            </w:r>
          </w:p>
        </w:tc>
        <w:tc>
          <w:tcPr>
            <w:tcW w:w="840" w:type="dxa"/>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尺寸</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（cm）</w:t>
            </w:r>
          </w:p>
        </w:tc>
        <w:tc>
          <w:tcPr>
            <w:tcW w:w="510" w:type="dxa"/>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510" w:type="dxa"/>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1100" w:type="dxa"/>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预算</w:t>
            </w:r>
          </w:p>
          <w:p>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单价（元）</w:t>
            </w:r>
          </w:p>
        </w:tc>
        <w:tc>
          <w:tcPr>
            <w:tcW w:w="1050" w:type="dxa"/>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预算</w:t>
            </w:r>
          </w:p>
          <w:p>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总价（元）</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AEAAAA"/>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氛围小品</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路口形象</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43815</wp:posOffset>
                  </wp:positionH>
                  <wp:positionV relativeFrom="paragraph">
                    <wp:posOffset>92075</wp:posOffset>
                  </wp:positionV>
                  <wp:extent cx="1823720" cy="1093470"/>
                  <wp:effectExtent l="0" t="0" r="5080" b="11430"/>
                  <wp:wrapNone/>
                  <wp:docPr id="1" name="图片_1"/>
                  <wp:cNvGraphicFramePr/>
                  <a:graphic xmlns:a="http://schemas.openxmlformats.org/drawingml/2006/main">
                    <a:graphicData uri="http://schemas.openxmlformats.org/drawingml/2006/picture">
                      <pic:pic xmlns:pic="http://schemas.openxmlformats.org/drawingml/2006/picture">
                        <pic:nvPicPr>
                          <pic:cNvPr id="1" name="图片_1"/>
                          <pic:cNvPicPr/>
                        </pic:nvPicPr>
                        <pic:blipFill>
                          <a:blip r:embed="rId24"/>
                          <a:stretch>
                            <a:fillRect/>
                          </a:stretch>
                        </pic:blipFill>
                        <pic:spPr>
                          <a:xfrm>
                            <a:off x="0" y="0"/>
                            <a:ext cx="1823720" cy="109347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总尺寸300*845cm, </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左侧YANGAN230*180cm，外框厚12cm,用2mm不锈钢，字厚5公分，正面采用1.5mm不锈钢板，围边1.2不锈钢，内部钢架支撑，预埋脚为热镀锌管，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大字A300*322cm,ND160*103cm,u235*152cm，字厚30cm,正面2.0mm不锈钢，侧面围边1.2不锈钢，背面1.2不锈钢，内部钢架支撑，预埋脚是热镀锌管，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小字洋安ANDU未来社区，字高70cm,厚度10cm,正面发光字，正面1.2不锈钢，围边1.0不锈钢，发光面3mm伸春亚克力，背板10mm高密度PVC，内置户外高亮蓝景防水LED，配户外防水明纬电源，钢架支撑，底部预埋安装，</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文字造型墙：260*438cm，字厚5cm,正面1.2不锈钢，围边1.0， 墙厚12cm，2mm不锈钢，内撑钢架，预埋脚是热镀锌管。</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采用高精等离子切割，高级技工精心焊接，精工打磨，原子灰，迈奇卡特金属专用汽车底漆两次+面漆两次，高级技工专业调色，喷漆烤漆，色面光亮平滑。）</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845*300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仿宋" w:hAnsi="仿宋" w:eastAsia="仿宋" w:cs="仿宋"/>
                <w:i w:val="0"/>
                <w:iCs w:val="0"/>
                <w:color w:val="auto"/>
                <w:sz w:val="24"/>
                <w:szCs w:val="24"/>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72381.82</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72381.82</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氛围小品</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墙绘</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38100</wp:posOffset>
                  </wp:positionH>
                  <wp:positionV relativeFrom="paragraph">
                    <wp:posOffset>38735</wp:posOffset>
                  </wp:positionV>
                  <wp:extent cx="1208405" cy="679450"/>
                  <wp:effectExtent l="0" t="0" r="10795" b="6350"/>
                  <wp:wrapNone/>
                  <wp:docPr id="2" name="图片_1_SpCnt_1"/>
                  <wp:cNvGraphicFramePr/>
                  <a:graphic xmlns:a="http://schemas.openxmlformats.org/drawingml/2006/main">
                    <a:graphicData uri="http://schemas.openxmlformats.org/drawingml/2006/picture">
                      <pic:pic xmlns:pic="http://schemas.openxmlformats.org/drawingml/2006/picture">
                        <pic:nvPicPr>
                          <pic:cNvPr id="2" name="图片_1_SpCnt_1"/>
                          <pic:cNvPicPr/>
                        </pic:nvPicPr>
                        <pic:blipFill>
                          <a:blip r:embed="rId25"/>
                          <a:stretch>
                            <a:fillRect/>
                          </a:stretch>
                        </pic:blipFill>
                        <pic:spPr>
                          <a:xfrm>
                            <a:off x="0" y="0"/>
                            <a:ext cx="1208405" cy="67945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608965</wp:posOffset>
                  </wp:positionH>
                  <wp:positionV relativeFrom="paragraph">
                    <wp:posOffset>380365</wp:posOffset>
                  </wp:positionV>
                  <wp:extent cx="1284605" cy="679450"/>
                  <wp:effectExtent l="0" t="0" r="10795" b="6350"/>
                  <wp:wrapNone/>
                  <wp:docPr id="5" name="图片_1_SpCnt_2"/>
                  <wp:cNvGraphicFramePr/>
                  <a:graphic xmlns:a="http://schemas.openxmlformats.org/drawingml/2006/main">
                    <a:graphicData uri="http://schemas.openxmlformats.org/drawingml/2006/picture">
                      <pic:pic xmlns:pic="http://schemas.openxmlformats.org/drawingml/2006/picture">
                        <pic:nvPicPr>
                          <pic:cNvPr id="5" name="图片_1_SpCnt_2"/>
                          <pic:cNvPicPr/>
                        </pic:nvPicPr>
                        <pic:blipFill>
                          <a:blip r:embed="rId26"/>
                          <a:stretch>
                            <a:fillRect/>
                          </a:stretch>
                        </pic:blipFill>
                        <pic:spPr>
                          <a:xfrm>
                            <a:off x="0" y="0"/>
                            <a:ext cx="1284605" cy="67945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专业防水防晒丙烯酸酯颜料，精工墙绘。表面上罩面漆</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20410*220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115591.22</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115591.22</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氛围小品</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雕塑</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drawing>
                <wp:inline distT="0" distB="0" distL="0" distR="0">
                  <wp:extent cx="1834515" cy="944245"/>
                  <wp:effectExtent l="0" t="0" r="13335" b="825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7"/>
                          <a:stretch>
                            <a:fillRect/>
                          </a:stretch>
                        </pic:blipFill>
                        <pic:spPr>
                          <a:xfrm>
                            <a:off x="0" y="0"/>
                            <a:ext cx="1834515" cy="944245"/>
                          </a:xfrm>
                          <a:prstGeom prst="rect">
                            <a:avLst/>
                          </a:prstGeom>
                        </pic:spPr>
                      </pic:pic>
                    </a:graphicData>
                  </a:graphic>
                </wp:inline>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玻璃钢雕塑,蓝色卡通尺寸95*86cm黄色卡通80*74cm，最厚处64cm开模制作。</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95*86</w:t>
            </w:r>
          </w:p>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80*74</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34716.50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34716.50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需制作小样（具体要求详见样品清单）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门头</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ascii="仿宋" w:hAnsi="仿宋" w:eastAsia="仿宋" w:cs="仿宋"/>
                <w:color w:val="auto"/>
                <w:sz w:val="24"/>
                <w:highlight w:val="none"/>
              </w:rPr>
              <w:drawing>
                <wp:inline distT="0" distB="0" distL="0" distR="0">
                  <wp:extent cx="1834515" cy="1115060"/>
                  <wp:effectExtent l="0" t="0" r="13335" b="889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28"/>
                          <a:stretch>
                            <a:fillRect/>
                          </a:stretch>
                        </pic:blipFill>
                        <pic:spPr>
                          <a:xfrm>
                            <a:off x="0" y="0"/>
                            <a:ext cx="1834515" cy="1115060"/>
                          </a:xfrm>
                          <a:prstGeom prst="rect">
                            <a:avLst/>
                          </a:prstGeom>
                        </pic:spPr>
                      </pic:pic>
                    </a:graphicData>
                  </a:graphic>
                </wp:inline>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中间立牌尺寸943cm*(295+295CM），用1.2不锈钢。上方943*295cm是激光切割字和孔。下方文字和LOGO是不锈钢背打光，背后钢架支撑。</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两侧立柱正面915*100cm，侧面915*100cm，采用1.2mm不锈钢板，文字图案丝印。内部钢架支撑。</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以上不锈钢板采用数控高精度等离子切割冲孔，数控开槽折弯，焊接，精工打磨，原子灰，迈奇卡特金属专用汽车底漆两次+面漆两次，高级技工专业调色，喷漆烤漆，色面光亮平滑。）图案采用烤漆及丝印工艺，色牢度高，不易脱色。</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915*943</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143020.79</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143020.79</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入口门闸</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22860</wp:posOffset>
                  </wp:positionH>
                  <wp:positionV relativeFrom="paragraph">
                    <wp:posOffset>170815</wp:posOffset>
                  </wp:positionV>
                  <wp:extent cx="1870710" cy="737870"/>
                  <wp:effectExtent l="0" t="0" r="15240" b="5080"/>
                  <wp:wrapNone/>
                  <wp:docPr id="6" name="图片_106"/>
                  <wp:cNvGraphicFramePr/>
                  <a:graphic xmlns:a="http://schemas.openxmlformats.org/drawingml/2006/main">
                    <a:graphicData uri="http://schemas.openxmlformats.org/drawingml/2006/picture">
                      <pic:pic xmlns:pic="http://schemas.openxmlformats.org/drawingml/2006/picture">
                        <pic:nvPicPr>
                          <pic:cNvPr id="6" name="图片_106"/>
                          <pic:cNvPicPr/>
                        </pic:nvPicPr>
                        <pic:blipFill>
                          <a:blip r:embed="rId29"/>
                          <a:stretch>
                            <a:fillRect/>
                          </a:stretch>
                        </pic:blipFill>
                        <pic:spPr>
                          <a:xfrm>
                            <a:off x="0" y="0"/>
                            <a:ext cx="1870710" cy="73787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展开尺寸390*505cm*2个，成品宽390cm，正反面高200cm，顶部105cm，侧边厚度2cm，材料用1.5mm不锈钢，数控高精度等离子切割冲孔，高精电脑数控开槽折弯，高级技工精心焊接，精工打磨，原子灰，迈奇卡特金属专用汽车底漆2次+面漆2次，高级技工专业调色，喷漆烤漆，色面光亮平滑。）图案采用烤漆及丝印工艺，色牢度高，不易脱色。</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内部钢架支撑，底部热镀锌管预埋。确保美观，安全，稳固。</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电动伸缩门（长度1100cm、不锈钢材质），高度不低于1600cm，宽度不低于660cm。</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390*200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48204.38</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48204.38</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尺寸为单个闸箱，总共有2个。</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还有1个电动伸缩门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入口埋地字</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53340</wp:posOffset>
                  </wp:positionV>
                  <wp:extent cx="1789430" cy="947420"/>
                  <wp:effectExtent l="0" t="0" r="1270" b="5080"/>
                  <wp:wrapNone/>
                  <wp:docPr id="7" name="图片_107"/>
                  <wp:cNvGraphicFramePr/>
                  <a:graphic xmlns:a="http://schemas.openxmlformats.org/drawingml/2006/main">
                    <a:graphicData uri="http://schemas.openxmlformats.org/drawingml/2006/picture">
                      <pic:pic xmlns:pic="http://schemas.openxmlformats.org/drawingml/2006/picture">
                        <pic:nvPicPr>
                          <pic:cNvPr id="7" name="图片_107"/>
                          <pic:cNvPicPr/>
                        </pic:nvPicPr>
                        <pic:blipFill>
                          <a:blip r:embed="rId30"/>
                          <a:stretch>
                            <a:fillRect/>
                          </a:stretch>
                        </pic:blipFill>
                        <pic:spPr>
                          <a:xfrm>
                            <a:off x="0" y="0"/>
                            <a:ext cx="1789430" cy="94742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高边斜坡字，总长665cm，大字面高65cm，小字面高50cm,1.2mm不锈钢板，数控高精度等离子切割冲孔，高精电脑数控开槽折弯，高级技工精心焊接，精工打磨，原子灰，迈奇卡特金属专用汽车底漆+面漆，高级技工专业调色，喷漆烤漆，色面光亮平滑。）色牢固高，不易脱色。</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内部钢架支撑，预埋脚是热镀锌，确保美观，安全，稳固。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665*112</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27250.00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27250.00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广场中心小品</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48895</wp:posOffset>
                  </wp:positionH>
                  <wp:positionV relativeFrom="paragraph">
                    <wp:posOffset>144145</wp:posOffset>
                  </wp:positionV>
                  <wp:extent cx="1850390" cy="1001395"/>
                  <wp:effectExtent l="0" t="0" r="16510" b="8255"/>
                  <wp:wrapNone/>
                  <wp:docPr id="8" name="图片_11"/>
                  <wp:cNvGraphicFramePr/>
                  <a:graphic xmlns:a="http://schemas.openxmlformats.org/drawingml/2006/main">
                    <a:graphicData uri="http://schemas.openxmlformats.org/drawingml/2006/picture">
                      <pic:pic xmlns:pic="http://schemas.openxmlformats.org/drawingml/2006/picture">
                        <pic:nvPicPr>
                          <pic:cNvPr id="8" name="图片_11"/>
                          <pic:cNvPicPr/>
                        </pic:nvPicPr>
                        <pic:blipFill>
                          <a:blip r:embed="rId31"/>
                          <a:stretch>
                            <a:fillRect/>
                          </a:stretch>
                        </pic:blipFill>
                        <pic:spPr>
                          <a:xfrm>
                            <a:off x="0" y="0"/>
                            <a:ext cx="1850390" cy="100139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总尺寸250*285cm，n195*112cm,厚12cm，2mm不锈钢，N250*145cm，n245*120cm，厚12cm，2mm不锈钢板，正面切割灯槽，安装户外防水蓝景LED发光灯带，内部钢架支撑，预埋脚热镀锌管。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1.2mm不锈钢冲孔板，上下30*30cm不锈钢管焊接，弯圆，</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洋安ANDU未来社区立体发光字，总高70cm,厚度50cm,正面发光字，正面1.2不锈钢，围边1.0不锈钢，发光面是进口亚克力，背板10mm高密度PVC，内置户外高亮防水LED，配户明纬外防水电源安装在冲孔板上，</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波浪线条造型总长285cm，方形3*3CM采用2mm不锈钢切割焊接</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以上所有采用数控高精度等离子激光切割冲孔，高精电脑数控开槽折弯，高级技工精心焊接，精工打磨，原子灰，迈奇卡特金属专用汽车底漆+面漆，高级技工专业调色，喷漆烤漆，色面光亮平滑。）图案采用烤漆及丝印工艺，色牢度高，不易脱色。</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内部钢架支撑，确保美观，安全，稳固。</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地面圆形灯带（铝型框架、钢化玻璃、防雨防水LED灯源24v） </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圆球灯（pe材质、不锈钢灯管、LED灯源）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285*250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57081.44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57081.44</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广场地面图案</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156845</wp:posOffset>
                  </wp:positionH>
                  <wp:positionV relativeFrom="paragraph">
                    <wp:posOffset>66675</wp:posOffset>
                  </wp:positionV>
                  <wp:extent cx="1714500" cy="929005"/>
                  <wp:effectExtent l="0" t="0" r="0" b="4445"/>
                  <wp:wrapNone/>
                  <wp:docPr id="9" name="图片_7"/>
                  <wp:cNvGraphicFramePr/>
                  <a:graphic xmlns:a="http://schemas.openxmlformats.org/drawingml/2006/main">
                    <a:graphicData uri="http://schemas.openxmlformats.org/drawingml/2006/picture">
                      <pic:pic xmlns:pic="http://schemas.openxmlformats.org/drawingml/2006/picture">
                        <pic:nvPicPr>
                          <pic:cNvPr id="9" name="图片_7"/>
                          <pic:cNvPicPr/>
                        </pic:nvPicPr>
                        <pic:blipFill>
                          <a:blip r:embed="rId32"/>
                          <a:stretch>
                            <a:fillRect/>
                          </a:stretch>
                        </pic:blipFill>
                        <pic:spPr>
                          <a:xfrm>
                            <a:off x="0" y="0"/>
                            <a:ext cx="1714500" cy="92900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地面彩绘漆（环氧树脂 丙烯酸酯水及助剂）</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15300*120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m2</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183.60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151.89</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27887.00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小广场广告+雨棚</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86995</wp:posOffset>
                  </wp:positionH>
                  <wp:positionV relativeFrom="paragraph">
                    <wp:posOffset>77470</wp:posOffset>
                  </wp:positionV>
                  <wp:extent cx="1790065" cy="925830"/>
                  <wp:effectExtent l="0" t="0" r="635" b="7620"/>
                  <wp:wrapNone/>
                  <wp:docPr id="10" name="图片_1_SpCnt_3"/>
                  <wp:cNvGraphicFramePr/>
                  <a:graphic xmlns:a="http://schemas.openxmlformats.org/drawingml/2006/main">
                    <a:graphicData uri="http://schemas.openxmlformats.org/drawingml/2006/picture">
                      <pic:pic xmlns:pic="http://schemas.openxmlformats.org/drawingml/2006/picture">
                        <pic:nvPicPr>
                          <pic:cNvPr id="10" name="图片_1_SpCnt_3"/>
                          <pic:cNvPicPr/>
                        </pic:nvPicPr>
                        <pic:blipFill>
                          <a:blip r:embed="rId33"/>
                          <a:stretch>
                            <a:fillRect/>
                          </a:stretch>
                        </pic:blipFill>
                        <pic:spPr>
                          <a:xfrm>
                            <a:off x="0" y="0"/>
                            <a:ext cx="1790065" cy="92583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雨棚总尺寸150*1955cm，采用厚1.2mm40*40mm镀锌方管，12mm钢化玻璃，中间立柱用厚1.2mm宽120mm高200mm三角斜撑不锈钢木纹漆，</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4幅画面统一高度343cm，长度分别为240，468，327，330cm，外框用1.2mm不锈钢制作，厚度5cm，画面用户外车贴高精UV喷印，贴在背板上。</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游戏小品在343*330cm画面上，外框用1.2mm不锈钢制作，厚度10cm，画面用户外车贴高精UV喷印，贴在背板上。画面上加装2个迷宫游戏小品，握把尺寸40*40cm*2个，橡胶包裹，LOGO丝印，迷宫75cm*75cm*1个，100*100cm*1个，用1.2mm不锈钢制作，整体厚度含背板4cm，凹槽高3.5cm，面板用伸春5mm亚克力。握把与迷宫用轴与链条传动装置。</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采用数控高精度等离子切割，高精电脑数控开槽折弯，高级技工精心焊接，精工打磨，原子灰，迈奇卡特金属专用汽车底漆2次+面漆2次，高级技工专业调色，喷漆烤漆，色面光亮平滑。）图案采用烤漆及丝印工艺，色牢度高，不易脱色。</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1365*340</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1815*180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36355.10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36355.10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2"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小广场广告2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75565</wp:posOffset>
                  </wp:positionV>
                  <wp:extent cx="1789430" cy="924560"/>
                  <wp:effectExtent l="0" t="0" r="1270" b="8890"/>
                  <wp:wrapNone/>
                  <wp:docPr id="19" name="图片_1_SpCnt_4"/>
                  <wp:cNvGraphicFramePr/>
                  <a:graphic xmlns:a="http://schemas.openxmlformats.org/drawingml/2006/main">
                    <a:graphicData uri="http://schemas.openxmlformats.org/drawingml/2006/picture">
                      <pic:pic xmlns:pic="http://schemas.openxmlformats.org/drawingml/2006/picture">
                        <pic:nvPicPr>
                          <pic:cNvPr id="19" name="图片_1_SpCnt_4"/>
                          <pic:cNvPicPr/>
                        </pic:nvPicPr>
                        <pic:blipFill>
                          <a:blip r:embed="rId34"/>
                          <a:stretch>
                            <a:fillRect/>
                          </a:stretch>
                        </pic:blipFill>
                        <pic:spPr>
                          <a:xfrm>
                            <a:off x="0" y="0"/>
                            <a:ext cx="1789430" cy="92456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画面展示牌4个，尺寸346*310cm,343*310cm,343*346，343*332cm, 外框用1.2mm不锈钢制作，厚度5cm，画面用户外车贴高精UV喷印，贴在背板上。采用数控高精度等离子切割，高精电脑数控开槽折弯，高级技工精心焊接，精工打磨，原子灰，迈奇卡特金属专用汽车底漆2遍+面漆2遍，高级技工专业调色，喷漆烤漆，色面光亮平滑。）</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1274*346</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5285.87</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5285.87</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小广场花坛</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102235</wp:posOffset>
                  </wp:positionH>
                  <wp:positionV relativeFrom="paragraph">
                    <wp:posOffset>88265</wp:posOffset>
                  </wp:positionV>
                  <wp:extent cx="1774825" cy="974090"/>
                  <wp:effectExtent l="0" t="0" r="15875" b="16510"/>
                  <wp:wrapNone/>
                  <wp:docPr id="20" name="图片_14"/>
                  <wp:cNvGraphicFramePr/>
                  <a:graphic xmlns:a="http://schemas.openxmlformats.org/drawingml/2006/main">
                    <a:graphicData uri="http://schemas.openxmlformats.org/drawingml/2006/picture">
                      <pic:pic xmlns:pic="http://schemas.openxmlformats.org/drawingml/2006/picture">
                        <pic:nvPicPr>
                          <pic:cNvPr id="20" name="图片_14"/>
                          <pic:cNvPicPr/>
                        </pic:nvPicPr>
                        <pic:blipFill>
                          <a:blip r:embed="rId35"/>
                          <a:stretch>
                            <a:fillRect/>
                          </a:stretch>
                        </pic:blipFill>
                        <pic:spPr>
                          <a:xfrm>
                            <a:off x="0" y="0"/>
                            <a:ext cx="1774825" cy="97409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花坛直径1053cm，櫈面用5公分防腐木精选天然实木，抗高温防虫防蛀，防水防潮，经久耐用；</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护栏高50cm，护栏和文字造型用1.2mm不锈钢，厚度2cm，文字造型背后用1.2不锈钢冲孔板45*315cm*2块，45*320cm*2块，激光切割，折弯，拉弧，焊接，采用数控高精度等离子切割，高精电脑数控弯弧，高级技工精心焊接，精工打磨，原子灰，迈奇卡特金属专用木纹底漆2次+面漆2次，高级技工专业调色，喷漆烤漆，色面光亮平滑。）图案采用烤漆及丝印工艺，色牢度高，不易脱色。</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884*884</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31219.01</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31219.01</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公厕门头</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116840</wp:posOffset>
                  </wp:positionV>
                  <wp:extent cx="1746250" cy="988060"/>
                  <wp:effectExtent l="0" t="0" r="6350" b="2540"/>
                  <wp:wrapNone/>
                  <wp:docPr id="21" name="图片_8"/>
                  <wp:cNvGraphicFramePr/>
                  <a:graphic xmlns:a="http://schemas.openxmlformats.org/drawingml/2006/main">
                    <a:graphicData uri="http://schemas.openxmlformats.org/drawingml/2006/picture">
                      <pic:pic xmlns:pic="http://schemas.openxmlformats.org/drawingml/2006/picture">
                        <pic:nvPicPr>
                          <pic:cNvPr id="21" name="图片_8"/>
                          <pic:cNvPicPr/>
                        </pic:nvPicPr>
                        <pic:blipFill>
                          <a:blip r:embed="rId36"/>
                          <a:stretch>
                            <a:fillRect/>
                          </a:stretch>
                        </pic:blipFill>
                        <pic:spPr>
                          <a:xfrm>
                            <a:off x="0" y="0"/>
                            <a:ext cx="1746250" cy="98806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尺寸：212*306cm*厚(上70cm，下46cm）正面厚6cm，用1.2mm不锈钢板，数控高精度等离子切割冲孔，各孔间距2cm，孔发光，配户外防水蓝景高亮LED光源，内部钢架支撑。</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公共厕所，不锈钢立体发光字，高30cm，厚5cm，正面1.2不锈钢，围边1.0不锈钢，3mm伸春亚克力发光面板，内置蓝景户外高亮防水LED光源，户外明纬防水电源，10高密度PVC底板，钢架支撑固定。</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采用高精电脑数控开槽折弯，高级技工精心焊接，精工打磨，原子灰，迈奇卡特金属专用汽车2次+面漆2次，高级技工专业调色，喷漆烤漆，色面光亮平滑。</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306*212</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5430.27</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5430.27</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侧通道公告栏1</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43815</wp:posOffset>
                  </wp:positionH>
                  <wp:positionV relativeFrom="paragraph">
                    <wp:posOffset>113030</wp:posOffset>
                  </wp:positionV>
                  <wp:extent cx="1838960" cy="1003935"/>
                  <wp:effectExtent l="0" t="0" r="8890" b="5715"/>
                  <wp:wrapNone/>
                  <wp:docPr id="22" name="图片_14_SpCnt_1"/>
                  <wp:cNvGraphicFramePr/>
                  <a:graphic xmlns:a="http://schemas.openxmlformats.org/drawingml/2006/main">
                    <a:graphicData uri="http://schemas.openxmlformats.org/drawingml/2006/picture">
                      <pic:pic xmlns:pic="http://schemas.openxmlformats.org/drawingml/2006/picture">
                        <pic:nvPicPr>
                          <pic:cNvPr id="22" name="图片_14_SpCnt_1"/>
                          <pic:cNvPicPr/>
                        </pic:nvPicPr>
                        <pic:blipFill>
                          <a:blip r:embed="rId37"/>
                          <a:stretch>
                            <a:fillRect/>
                          </a:stretch>
                        </pic:blipFill>
                        <pic:spPr>
                          <a:xfrm>
                            <a:off x="0" y="0"/>
                            <a:ext cx="1838960" cy="100393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立牌，液压顶杆开盖，总尺寸175*545cm，开盖箱体分3块,统一高度105cm，宽分别是125cm，235.5cm，125cm。边框用1.2mm的5cm*3cm不锈钢管，底板用1.2mm不锈钢，画面户外车贴高精UV，液压顶杆开盖门，边框用1.2mm不锈钢，厚3cm,中间用5mm耐力板力。</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文字（光荣榜，洋安社区居民公约，曝光台）字高13cm,厚1cm,1.2MM不锈钢立体烤漆字，</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下方山桥树造型用1.2mm不锈钢激光切割焊接，</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公告栏3个字10mm用伸春亚克力烤漆字，上方LOGO丝印，下方LOGO是1.2不锈钢，兰色部分是1.2不锈钢冲孔板激光切割。</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采用数控高精度等离子切割，高精电脑数控开槽折弯，高级技工精心焊接，精工打磨，原子灰，迈奇卡特金属专用汽车2次+面漆2次，高级技工专业调色，喷漆烤漆，色面光亮平滑。）图案采用烤漆及丝印工艺，色牢度高，不易脱色。画面采用户外车贴高精UV喷印。</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175*545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31895.19</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31895.19</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侧通道公告栏2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66040</wp:posOffset>
                  </wp:positionH>
                  <wp:positionV relativeFrom="paragraph">
                    <wp:posOffset>78740</wp:posOffset>
                  </wp:positionV>
                  <wp:extent cx="1850390" cy="1050925"/>
                  <wp:effectExtent l="0" t="0" r="16510" b="15875"/>
                  <wp:wrapNone/>
                  <wp:docPr id="23" name="图片_13"/>
                  <wp:cNvGraphicFramePr/>
                  <a:graphic xmlns:a="http://schemas.openxmlformats.org/drawingml/2006/main">
                    <a:graphicData uri="http://schemas.openxmlformats.org/drawingml/2006/picture">
                      <pic:pic xmlns:pic="http://schemas.openxmlformats.org/drawingml/2006/picture">
                        <pic:nvPicPr>
                          <pic:cNvPr id="23" name="图片_13"/>
                          <pic:cNvPicPr/>
                        </pic:nvPicPr>
                        <pic:blipFill>
                          <a:blip r:embed="rId38"/>
                          <a:stretch>
                            <a:fillRect/>
                          </a:stretch>
                        </pic:blipFill>
                        <pic:spPr>
                          <a:xfrm>
                            <a:off x="0" y="0"/>
                            <a:ext cx="1850390" cy="105092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立牌，液压顶杆开盖，总尺寸175*400cm，开盖箱体尺寸115*350cm。边框用1.2mm的5cm*3cm不锈钢管，底板用1.2mm不锈钢，画面户外车贴高精UV，液压顶杆开盖门，边框用1.2mm不锈钢，厚3cm,中间用5mm伸春亚克力。画面采用户外车贴高精UV喷印。</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左侧广告牌175*35cm，综治宣传栏5个字用10mm伸春亚克力烤漆字，8个小字5mm亚克力烤漆字，上方LOGO丝印，下方LOGO是1.2不锈钢，兰色部分是不锈钢冲孔板。</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采用数控高精度等离子切割，高精电脑数控开槽折弯，高级技工精心焊接，精工打磨，原子灰，迈奇卡特金属专用汽车2次+面漆2次，高级技工专业调色，喷漆烤漆，色面光亮平滑。）图案采用烤漆及丝印工艺，色牢度高，不易脱色。</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175*400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24817.93</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24817.93</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侧通道公告栏3</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69850</wp:posOffset>
                  </wp:positionH>
                  <wp:positionV relativeFrom="paragraph">
                    <wp:posOffset>52070</wp:posOffset>
                  </wp:positionV>
                  <wp:extent cx="1833245" cy="1021080"/>
                  <wp:effectExtent l="0" t="0" r="14605" b="7620"/>
                  <wp:wrapNone/>
                  <wp:docPr id="24" name="图片_11_SpCnt_1"/>
                  <wp:cNvGraphicFramePr/>
                  <a:graphic xmlns:a="http://schemas.openxmlformats.org/drawingml/2006/main">
                    <a:graphicData uri="http://schemas.openxmlformats.org/drawingml/2006/picture">
                      <pic:pic xmlns:pic="http://schemas.openxmlformats.org/drawingml/2006/picture">
                        <pic:nvPicPr>
                          <pic:cNvPr id="24" name="图片_11_SpCnt_1"/>
                          <pic:cNvPicPr/>
                        </pic:nvPicPr>
                        <pic:blipFill>
                          <a:blip r:embed="rId39"/>
                          <a:stretch>
                            <a:fillRect/>
                          </a:stretch>
                        </pic:blipFill>
                        <pic:spPr>
                          <a:xfrm>
                            <a:off x="0" y="0"/>
                            <a:ext cx="1833245" cy="102108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立牌，液压顶杆开盖，总尺寸175*400cm，开盖箱体尺寸115*350cm。边框用1.2mm的5cm*3cm不锈钢管，底板用1.2mm不锈钢，画面户外车贴高精UV，液压顶杆开盖门，边框用1.2mm不锈钢，厚3cm,中间用5mm耐力板。画面采用户外车贴高精UV喷印。</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左侧广告牌175*35cm，洋安社区4个字用10mm伸春亚克力烤漆字，7个小字5mm亚克力烤漆字，上方LOGO丝印，下方LOGO是1.2不锈钢，兰色部分是1.2不锈钢冲孔板激光切割。</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采用数控高精度等离子切割，高精电脑数控开槽折弯，高级技工精心焊接，精工打磨，原子灰，迈奇卡特金属专用汽车汽车2次+面漆2次，高级技工专业调色，喷漆烤漆，色面光亮平滑。）图案采用烤漆及丝印工艺，色牢度高，不易脱色。</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175*400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24706.05</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24706.05</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2"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主通道公告栏1</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66675</wp:posOffset>
                  </wp:positionV>
                  <wp:extent cx="1780540" cy="1054100"/>
                  <wp:effectExtent l="0" t="0" r="10160" b="12700"/>
                  <wp:wrapNone/>
                  <wp:docPr id="25" name="图片_12"/>
                  <wp:cNvGraphicFramePr/>
                  <a:graphic xmlns:a="http://schemas.openxmlformats.org/drawingml/2006/main">
                    <a:graphicData uri="http://schemas.openxmlformats.org/drawingml/2006/picture">
                      <pic:pic xmlns:pic="http://schemas.openxmlformats.org/drawingml/2006/picture">
                        <pic:nvPicPr>
                          <pic:cNvPr id="25" name="图片_12"/>
                          <pic:cNvPicPr/>
                        </pic:nvPicPr>
                        <pic:blipFill>
                          <a:blip r:embed="rId40"/>
                          <a:stretch>
                            <a:fillRect/>
                          </a:stretch>
                        </pic:blipFill>
                        <pic:spPr>
                          <a:xfrm>
                            <a:off x="0" y="0"/>
                            <a:ext cx="1780540" cy="105410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立牌，液压顶杆开盖，总尺寸175*310cm，开盖箱体尺寸115*260cm。边框用1.2mm的5cm*3cm不锈钢管，底板用1.2mm不锈钢，画面户外车贴高精UV，液压顶杆开盖门，边框用1.2mm不锈钢，厚3cm,中间用5mm耐力板。画面采用户外车贴高精UV喷印。</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左侧广告牌175*35cm，志愿活动发布6个字用10mm伸春亚克力烤漆字，7个小字5mm亚克力烤漆字，上方LOGO丝印，下方LOGO是1.2不锈钢，兰色部分是1.2不锈钢冲孔板激光切割。</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采用数控高精度等离子切割，高精电脑数控开槽折弯，高级技工精心焊接，精工打磨，原子灰，迈奇卡特金属专用汽车底漆+面漆，高级技工专业调色，喷漆烤漆，色面光亮平滑。）图案采用烤漆及丝印工艺，色牢度高，不易脱色。</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175*310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11137.84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11137.84</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主通道公告栏2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69850</wp:posOffset>
                  </wp:positionH>
                  <wp:positionV relativeFrom="paragraph">
                    <wp:posOffset>17145</wp:posOffset>
                  </wp:positionV>
                  <wp:extent cx="1818640" cy="989330"/>
                  <wp:effectExtent l="0" t="0" r="10160" b="1270"/>
                  <wp:wrapNone/>
                  <wp:docPr id="26" name="图片_2"/>
                  <wp:cNvGraphicFramePr/>
                  <a:graphic xmlns:a="http://schemas.openxmlformats.org/drawingml/2006/main">
                    <a:graphicData uri="http://schemas.openxmlformats.org/drawingml/2006/picture">
                      <pic:pic xmlns:pic="http://schemas.openxmlformats.org/drawingml/2006/picture">
                        <pic:nvPicPr>
                          <pic:cNvPr id="26" name="图片_2"/>
                          <pic:cNvPicPr/>
                        </pic:nvPicPr>
                        <pic:blipFill>
                          <a:blip r:embed="rId41"/>
                          <a:stretch>
                            <a:fillRect/>
                          </a:stretch>
                        </pic:blipFill>
                        <pic:spPr>
                          <a:xfrm>
                            <a:off x="0" y="0"/>
                            <a:ext cx="1818640" cy="98933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立牌，液压顶杆开盖，总尺寸175*375cm，开盖箱体尺寸115*325cm。边框用1.2mm的5cm*3cm不锈钢管，底板用1.2mm不锈钢，画面户外车贴高精UV，液压顶杆开盖门，边框用1.2mm不锈钢，厚3cm,中间用5mm伸春亚克力。画面采用户外车贴高精UV喷印。</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左侧广告牌175*35cm，志愿活动发布6个字用10mm伸春亚克力烤漆字，7个小字5mm亚克力烤漆字，上方LOGO丝印，下方LOGO是1.2不锈钢，兰色部分是1.2不锈钢冲孔板激光切割。</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采用数控高精度等离子切割，高精电脑数控开槽折弯，高级技工精心焊接，精工打磨，原子灰，迈奇卡特金属专用汽车底漆2次+面漆2次，高级技工专业调色，喷漆烤漆，色面光亮平滑。）图案采用烤漆及丝印工艺，色牢度高，不易脱色。</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175*375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13298.76</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13298.76</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9"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户外公告栏延展1</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81280</wp:posOffset>
                  </wp:positionH>
                  <wp:positionV relativeFrom="paragraph">
                    <wp:posOffset>129540</wp:posOffset>
                  </wp:positionV>
                  <wp:extent cx="1827530" cy="891540"/>
                  <wp:effectExtent l="0" t="0" r="1270" b="3810"/>
                  <wp:wrapNone/>
                  <wp:docPr id="27" name="图片_3"/>
                  <wp:cNvGraphicFramePr/>
                  <a:graphic xmlns:a="http://schemas.openxmlformats.org/drawingml/2006/main">
                    <a:graphicData uri="http://schemas.openxmlformats.org/drawingml/2006/picture">
                      <pic:pic xmlns:pic="http://schemas.openxmlformats.org/drawingml/2006/picture">
                        <pic:nvPicPr>
                          <pic:cNvPr id="27" name="图片_3"/>
                          <pic:cNvPicPr/>
                        </pic:nvPicPr>
                        <pic:blipFill>
                          <a:blip r:embed="rId42"/>
                          <a:stretch>
                            <a:fillRect/>
                          </a:stretch>
                        </pic:blipFill>
                        <pic:spPr>
                          <a:xfrm>
                            <a:off x="0" y="0"/>
                            <a:ext cx="1827530" cy="89154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245*1007cm，左侧公告栏立牌245*67cm，边框6*6cm，上左右3面为外斜面，下方内斜面。内部用1.2mm不锈钢，厚2cm，下方兰色区域45*58cm是不锈钢激光切割冲孔，LOGO厚2cm，用1.2mm不锈钢切割焊接打麿，公告栏是黑色烤漆立体字宽20cm,厚2cm，上方LOGO丝印。下方脚高10cm*厚3cm*67cm宽</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立柱（5根，高232cm）及外框架，用1.2不锈钢管厚10cm*正面6cm,上左右3面为外斜面，下方内斜面。1.2不锈钢板，箱体4块，高120cm229CM*2cm厚，用1.2mm不锈钢，正面用伸春5mm耐力板。预埋件是热镀锌管。</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不锈钢管数控高精度等离子切割，高精电脑数控开槽折弯，高级技工精心焊接，精工打磨，原子灰，迈奇卡特金属专用汽车底漆+面漆，高级技工专业调色，喷漆烤漆，色面光亮平滑。）图案采用烤漆及丝印工艺，色牢度高，不易脱色。画面采用户外车贴高精UV喷印。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245*1007</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25807.36</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25807.36</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户外公告栏延展2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125095</wp:posOffset>
                  </wp:positionH>
                  <wp:positionV relativeFrom="paragraph">
                    <wp:posOffset>23495</wp:posOffset>
                  </wp:positionV>
                  <wp:extent cx="1649730" cy="941705"/>
                  <wp:effectExtent l="0" t="0" r="7620" b="10795"/>
                  <wp:wrapNone/>
                  <wp:docPr id="28" name="图片_4"/>
                  <wp:cNvGraphicFramePr/>
                  <a:graphic xmlns:a="http://schemas.openxmlformats.org/drawingml/2006/main">
                    <a:graphicData uri="http://schemas.openxmlformats.org/drawingml/2006/picture">
                      <pic:pic xmlns:pic="http://schemas.openxmlformats.org/drawingml/2006/picture">
                        <pic:nvPicPr>
                          <pic:cNvPr id="28" name="图片_4"/>
                          <pic:cNvPicPr/>
                        </pic:nvPicPr>
                        <pic:blipFill>
                          <a:blip r:embed="rId43"/>
                          <a:stretch>
                            <a:fillRect/>
                          </a:stretch>
                        </pic:blipFill>
                        <pic:spPr>
                          <a:xfrm>
                            <a:off x="0" y="0"/>
                            <a:ext cx="1649730" cy="94170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245*500cm，左侧公告栏立牌245*67cm，边框6*6cm，上左右3面为外斜面，下方内斜面。内部用1.2mm不锈钢，厚2cm，下方兰色区域45*58cm是不锈钢激光切割冲孔，LOGO厚2cm，用1.2mm不锈钢切割焊接打麿，公告栏是黑色烤漆立体字宽20cm,厚2cm，上方LOGO丝印。</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立柱（5根，高232cm）及外框架，用1.2不锈钢管厚10cm*正面6cm,上左右3面为外斜面，下方内斜面。1.2不锈钢板，箱体2块，高120cm209CM*2cm厚，用1.2mm不锈钢，正面用5mm耐力板。预埋件是热镀锌管。</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不锈钢管数控高精度等离子切割，高精电脑数控开槽折弯，高级技工精心焊接，精工打磨，原子灰，迈奇卡特金属专用汽车底漆+面漆，高级技工专业调色，喷漆烤漆，色面光亮平滑。）图案采用烤漆及丝印工艺，色牢度高，不易脱色。画面采用户外车贴高精UV喷印。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245*500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16175.24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16175.24</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社会主义核心价值观墙面</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75565</wp:posOffset>
                  </wp:positionH>
                  <wp:positionV relativeFrom="paragraph">
                    <wp:posOffset>115570</wp:posOffset>
                  </wp:positionV>
                  <wp:extent cx="1807210" cy="1026795"/>
                  <wp:effectExtent l="0" t="0" r="2540" b="1905"/>
                  <wp:wrapNone/>
                  <wp:docPr id="29" name="图片_5"/>
                  <wp:cNvGraphicFramePr/>
                  <a:graphic xmlns:a="http://schemas.openxmlformats.org/drawingml/2006/main">
                    <a:graphicData uri="http://schemas.openxmlformats.org/drawingml/2006/picture">
                      <pic:pic xmlns:pic="http://schemas.openxmlformats.org/drawingml/2006/picture">
                        <pic:nvPicPr>
                          <pic:cNvPr id="29" name="图片_5"/>
                          <pic:cNvPicPr/>
                        </pic:nvPicPr>
                        <pic:blipFill>
                          <a:blip r:embed="rId44"/>
                          <a:stretch>
                            <a:fillRect/>
                          </a:stretch>
                        </pic:blipFill>
                        <pic:spPr>
                          <a:xfrm>
                            <a:off x="0" y="0"/>
                            <a:ext cx="1807210" cy="102679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卡通人物195*282cm，厚2cm，1.2不锈钢烤漆。</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中文字为立体字，总高170cm，用2cm伸春亚克力雕刻烤漆，</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红五星450*436cm，用1.5mm不锈钢制作，正面压边宽4cm，围边厚度10cm，底板厚2cm，用2.0不锈钢。党微宽192cm，厚8cm，2mm不锈钢烤漆。</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以上用数控高精度等离子切割，高精电脑数控开槽折弯，高级技工精心焊接，精工打磨，原子灰，迈奇卡特金属专用汽车底漆+面漆，高级技工专业调色，喷漆烤漆，色面光亮平滑。）图案采用烤漆及丝印工艺，色牢度高，不易脱色。画面采用户外车贴高精UV喷印。</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液压顶杆开盖方式，方便实用，进口展宇亚克力面盖。</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475*770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69884.99</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69884.99</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石墩彩绘</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92710</wp:posOffset>
                  </wp:positionH>
                  <wp:positionV relativeFrom="paragraph">
                    <wp:posOffset>58420</wp:posOffset>
                  </wp:positionV>
                  <wp:extent cx="1769110" cy="929005"/>
                  <wp:effectExtent l="0" t="0" r="2540" b="4445"/>
                  <wp:wrapNone/>
                  <wp:docPr id="30" name="图片_87"/>
                  <wp:cNvGraphicFramePr/>
                  <a:graphic xmlns:a="http://schemas.openxmlformats.org/drawingml/2006/main">
                    <a:graphicData uri="http://schemas.openxmlformats.org/drawingml/2006/picture">
                      <pic:pic xmlns:pic="http://schemas.openxmlformats.org/drawingml/2006/picture">
                        <pic:nvPicPr>
                          <pic:cNvPr id="30" name="图片_87"/>
                          <pic:cNvPicPr/>
                        </pic:nvPicPr>
                        <pic:blipFill>
                          <a:blip r:embed="rId45"/>
                          <a:stretch>
                            <a:fillRect/>
                          </a:stretch>
                        </pic:blipFill>
                        <pic:spPr>
                          <a:xfrm>
                            <a:off x="0" y="0"/>
                            <a:ext cx="1769110" cy="92900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直径40cm 球形石墩路障，彩色涂鸦绘制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直径40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357.08</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3570.80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标准长凳</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141605</wp:posOffset>
                  </wp:positionH>
                  <wp:positionV relativeFrom="paragraph">
                    <wp:posOffset>108585</wp:posOffset>
                  </wp:positionV>
                  <wp:extent cx="1670685" cy="800100"/>
                  <wp:effectExtent l="0" t="0" r="5715" b="0"/>
                  <wp:wrapNone/>
                  <wp:docPr id="31" name="图片_6"/>
                  <wp:cNvGraphicFramePr/>
                  <a:graphic xmlns:a="http://schemas.openxmlformats.org/drawingml/2006/main">
                    <a:graphicData uri="http://schemas.openxmlformats.org/drawingml/2006/picture">
                      <pic:pic xmlns:pic="http://schemas.openxmlformats.org/drawingml/2006/picture">
                        <pic:nvPicPr>
                          <pic:cNvPr id="31" name="图片_6"/>
                          <pic:cNvPicPr/>
                        </pic:nvPicPr>
                        <pic:blipFill>
                          <a:blip r:embed="rId46"/>
                          <a:stretch>
                            <a:fillRect/>
                          </a:stretch>
                        </pic:blipFill>
                        <pic:spPr>
                          <a:xfrm>
                            <a:off x="0" y="0"/>
                            <a:ext cx="1670685" cy="80010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尺寸44*200cm，用2mm不锈钢，厚40cm，正面5cm,中间一根竖档支撑，内部钢架支撑。櫈面上方用5*2cm防腐木,29根。</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以上不锈钢管数控高精度等离子切割，高精电脑数控开槽折弯，高级技工精心焊接，精工打磨，原子灰，迈奇卡特金属专用汽车底漆+面漆，高级技工专业调色，喷漆烤漆，色面光亮平滑。</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44*200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座</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2729.36</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27293.60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9"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我和你未来之路</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43815</wp:posOffset>
                  </wp:positionH>
                  <wp:positionV relativeFrom="paragraph">
                    <wp:posOffset>29210</wp:posOffset>
                  </wp:positionV>
                  <wp:extent cx="1833245" cy="951230"/>
                  <wp:effectExtent l="0" t="0" r="14605" b="1270"/>
                  <wp:wrapNone/>
                  <wp:docPr id="32" name="图片_2_SpCnt_1"/>
                  <wp:cNvGraphicFramePr/>
                  <a:graphic xmlns:a="http://schemas.openxmlformats.org/drawingml/2006/main">
                    <a:graphicData uri="http://schemas.openxmlformats.org/drawingml/2006/picture">
                      <pic:pic xmlns:pic="http://schemas.openxmlformats.org/drawingml/2006/picture">
                        <pic:nvPicPr>
                          <pic:cNvPr id="32" name="图片_2_SpCnt_1"/>
                          <pic:cNvPicPr/>
                        </pic:nvPicPr>
                        <pic:blipFill>
                          <a:blip r:embed="rId47"/>
                          <a:stretch>
                            <a:fillRect/>
                          </a:stretch>
                        </pic:blipFill>
                        <pic:spPr>
                          <a:xfrm>
                            <a:off x="0" y="0"/>
                            <a:ext cx="1833245" cy="95123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770*170cm，我和你未来之路高130cm,两套，厚15cm，正面用1.5mm不锈钢板，围边1.0不锈钢板，洋安LOGO60*280cm，厚5cm，不用1.2不锈钢，中间穿管连接。U147*117cm,&amp;147*138cm,M147*140cm，厚35cm，内凹5cm。用1.5mm不锈钢，内部钢架支撑。预埋脚热镀锌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彩带，用2mm不锈钢，3*15cm,兰黄各1条。</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数控高精度等离子切割，高精电脑数控开槽折弯，高级技工精心焊接，精工打磨，原子灰，迈奇卡特金属专用汽车底漆+面漆，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770*170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18951.18</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18951.18</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我和你未来之路小品（2）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22860</wp:posOffset>
                  </wp:positionH>
                  <wp:positionV relativeFrom="paragraph">
                    <wp:posOffset>24130</wp:posOffset>
                  </wp:positionV>
                  <wp:extent cx="1844675" cy="1009650"/>
                  <wp:effectExtent l="0" t="0" r="3175" b="0"/>
                  <wp:wrapNone/>
                  <wp:docPr id="33" name="图片_5_SpCnt_1"/>
                  <wp:cNvGraphicFramePr/>
                  <a:graphic xmlns:a="http://schemas.openxmlformats.org/drawingml/2006/main">
                    <a:graphicData uri="http://schemas.openxmlformats.org/drawingml/2006/picture">
                      <pic:pic xmlns:pic="http://schemas.openxmlformats.org/drawingml/2006/picture">
                        <pic:nvPicPr>
                          <pic:cNvPr id="33" name="图片_5_SpCnt_1"/>
                          <pic:cNvPicPr/>
                        </pic:nvPicPr>
                        <pic:blipFill>
                          <a:blip r:embed="rId48"/>
                          <a:stretch>
                            <a:fillRect/>
                          </a:stretch>
                        </pic:blipFill>
                        <pic:spPr>
                          <a:xfrm>
                            <a:off x="0" y="0"/>
                            <a:ext cx="1844675" cy="100965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总尺寸260*375cm。带字立柱3根，230cm，260cm，245cm，立柱3*15cm不锈钢2mm用2mm不锈钢，字正面用1.2不锈钢，围边用1.0不锈钢。焊在杆子上。预埋脚热镀锌管。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人物造型2个，黄色150*160cm，兰色用160*117cm，用2mm不锈钢制作。预埋脚热镀钭管。</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采用数控高精度等离子切割，高精电脑数控开槽折弯，高级技工精心焊接，精工打磨，原子灰，迈奇卡特金属专用汽车底漆+面漆，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375*260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12517.56</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12517.56</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我和你未来之路小品（3）</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92710</wp:posOffset>
                  </wp:positionH>
                  <wp:positionV relativeFrom="paragraph">
                    <wp:posOffset>30480</wp:posOffset>
                  </wp:positionV>
                  <wp:extent cx="1736725" cy="1019810"/>
                  <wp:effectExtent l="0" t="0" r="15875" b="8890"/>
                  <wp:wrapNone/>
                  <wp:docPr id="34" name="图片_8_SpCnt_1"/>
                  <wp:cNvGraphicFramePr/>
                  <a:graphic xmlns:a="http://schemas.openxmlformats.org/drawingml/2006/main">
                    <a:graphicData uri="http://schemas.openxmlformats.org/drawingml/2006/picture">
                      <pic:pic xmlns:pic="http://schemas.openxmlformats.org/drawingml/2006/picture">
                        <pic:nvPicPr>
                          <pic:cNvPr id="34" name="图片_8_SpCnt_1"/>
                          <pic:cNvPicPr/>
                        </pic:nvPicPr>
                        <pic:blipFill>
                          <a:blip r:embed="rId49"/>
                          <a:stretch>
                            <a:fillRect/>
                          </a:stretch>
                        </pic:blipFill>
                        <pic:spPr>
                          <a:xfrm>
                            <a:off x="0" y="0"/>
                            <a:ext cx="1736725" cy="101981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总尺寸260*460cm。带字立柱3根，230cm，260cm，245cm，立柱3*15cm不锈钢2mm用2mm不锈钢，字正面用1.2不锈钢，围边用1.0不锈钢。焊在杆子上。预埋脚热镀锌管。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时钟造型230*460cm，外框正面12cm，厚15cm，用2mm不锈钢，内部钢架支撑；时针分针40*40mm不锈钢管，秒针20*20不锈钢管，文字1.2不锈钢，厚3cm，用2mm不锈钢制作。预埋脚热镀锌管。</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彩带，3*15cm，用2mm不锈钢。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以上采用数控高精度等离子切割，高精电脑数控开槽折弯，高级技工精心焊接，精工打磨，原子灰，迈奇卡特金属专用汽车底漆+面漆，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460*260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29929.22</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29929.22</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2"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我和你未来之路小品（4）</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43815</wp:posOffset>
                  </wp:positionH>
                  <wp:positionV relativeFrom="paragraph">
                    <wp:posOffset>40005</wp:posOffset>
                  </wp:positionV>
                  <wp:extent cx="1806575" cy="1001395"/>
                  <wp:effectExtent l="0" t="0" r="3175" b="8255"/>
                  <wp:wrapNone/>
                  <wp:docPr id="35" name="图片_9"/>
                  <wp:cNvGraphicFramePr/>
                  <a:graphic xmlns:a="http://schemas.openxmlformats.org/drawingml/2006/main">
                    <a:graphicData uri="http://schemas.openxmlformats.org/drawingml/2006/picture">
                      <pic:pic xmlns:pic="http://schemas.openxmlformats.org/drawingml/2006/picture">
                        <pic:nvPicPr>
                          <pic:cNvPr id="35" name="图片_9"/>
                          <pic:cNvPicPr/>
                        </pic:nvPicPr>
                        <pic:blipFill>
                          <a:blip r:embed="rId50"/>
                          <a:stretch>
                            <a:fillRect/>
                          </a:stretch>
                        </pic:blipFill>
                        <pic:spPr>
                          <a:xfrm>
                            <a:off x="0" y="0"/>
                            <a:ext cx="1806575" cy="100139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总尺寸330*820cm，</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带字立柱3根，230cm，260cm，245cm，立柱3*15cm不锈钢2mm用2mm不锈钢，字正面用1.2不锈钢，围边用1.0不锈钢。焊在杆子上。预埋脚热镀锌管。人物2组，一组210*200cm，一组210*233cm，黄色棱形框一个482*330cm，用2mm不锈钢，正面3cm厚度15cm，</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用不锈钢数控高精度等离子切割，高精电脑数控开槽折弯，高级技工精心焊接，精工打磨，原子灰，迈奇卡特金属专用汽车底漆+面漆，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820*330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23027.34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23027.34</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我和你未来之路小品（5）</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125095</wp:posOffset>
                  </wp:positionH>
                  <wp:positionV relativeFrom="paragraph">
                    <wp:posOffset>86995</wp:posOffset>
                  </wp:positionV>
                  <wp:extent cx="1746250" cy="1087120"/>
                  <wp:effectExtent l="0" t="0" r="6350" b="17780"/>
                  <wp:wrapNone/>
                  <wp:docPr id="36" name="图片_1_SpCnt_6"/>
                  <wp:cNvGraphicFramePr/>
                  <a:graphic xmlns:a="http://schemas.openxmlformats.org/drawingml/2006/main">
                    <a:graphicData uri="http://schemas.openxmlformats.org/drawingml/2006/picture">
                      <pic:pic xmlns:pic="http://schemas.openxmlformats.org/drawingml/2006/picture">
                        <pic:nvPicPr>
                          <pic:cNvPr id="36" name="图片_1_SpCnt_6"/>
                          <pic:cNvPicPr/>
                        </pic:nvPicPr>
                        <pic:blipFill>
                          <a:blip r:embed="rId51"/>
                          <a:stretch>
                            <a:fillRect/>
                          </a:stretch>
                        </pic:blipFill>
                        <pic:spPr>
                          <a:xfrm>
                            <a:off x="0" y="0"/>
                            <a:ext cx="1746250" cy="108712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总尺寸730*260cm，带字立柱3根，230cm，260cm，245cm，立柱3*15cm不锈钢2mm用2mm不锈钢，字正面用1.2不锈钢，围边用1.0不锈钢。焊在杆子上。预埋脚热镀锌管。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彩带造型，用2mm不锈钢，5*15cm,兰黄各1条。</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用不锈钢数控高精度等离子切割，高精电脑数控开槽折弯，高级技工精心焊接，精工打磨，原子灰，迈奇卡特金属专用汽车底漆+面漆，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730*260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22133.54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22133.54</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我和你未来之路小品（6）</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84455</wp:posOffset>
                  </wp:positionH>
                  <wp:positionV relativeFrom="paragraph">
                    <wp:posOffset>68580</wp:posOffset>
                  </wp:positionV>
                  <wp:extent cx="1780540" cy="986155"/>
                  <wp:effectExtent l="0" t="0" r="10160" b="4445"/>
                  <wp:wrapNone/>
                  <wp:docPr id="37" name="图片_1_SpCnt_7"/>
                  <wp:cNvGraphicFramePr/>
                  <a:graphic xmlns:a="http://schemas.openxmlformats.org/drawingml/2006/main">
                    <a:graphicData uri="http://schemas.openxmlformats.org/drawingml/2006/picture">
                      <pic:pic xmlns:pic="http://schemas.openxmlformats.org/drawingml/2006/picture">
                        <pic:nvPicPr>
                          <pic:cNvPr id="37" name="图片_1_SpCnt_7"/>
                          <pic:cNvPicPr/>
                        </pic:nvPicPr>
                        <pic:blipFill>
                          <a:blip r:embed="rId52"/>
                          <a:stretch>
                            <a:fillRect/>
                          </a:stretch>
                        </pic:blipFill>
                        <pic:spPr>
                          <a:xfrm>
                            <a:off x="0" y="0"/>
                            <a:ext cx="1780540" cy="98615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总尺寸730*260cm，带字立柱3根，230cm，260cm，245cm，立柱5*15cm不锈钢2mm用2mm不锈钢，字正面用1.2不锈钢，围边用1.0不锈钢。焊在杆子上。预埋脚热镀锌管。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圆柱旋转，用2.0mm不锈钢，外框245*145cm，彩带3cm*15cm，旋转灯箱外径90cm，内径85cm,上下盖板用1.5不锈钢，圆柱用耐力板弯圆，8mm高密PVC底板。内置户外防水高亮蓝景LED光源，户外防水明纬电源。中间圆柱直径6cm。滚轴旋转装置。热镀锌预埋脚。</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彩带造型，用2mm不锈钢，3*15cm,兰黄各1条。</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用不锈钢数控高精度等离子切割，高精电脑数控开槽折弯，高级技工精心焊接，精工打磨，原子灰，迈奇卡特金属专用汽车底漆+面漆，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730*260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16399.05</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16399.05</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我和你未来之路小品（7）</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81280</wp:posOffset>
                  </wp:positionH>
                  <wp:positionV relativeFrom="paragraph">
                    <wp:posOffset>154940</wp:posOffset>
                  </wp:positionV>
                  <wp:extent cx="1823720" cy="1006475"/>
                  <wp:effectExtent l="0" t="0" r="5080" b="3175"/>
                  <wp:wrapNone/>
                  <wp:docPr id="38" name="图片_1_SpCnt_8"/>
                  <wp:cNvGraphicFramePr/>
                  <a:graphic xmlns:a="http://schemas.openxmlformats.org/drawingml/2006/main">
                    <a:graphicData uri="http://schemas.openxmlformats.org/drawingml/2006/picture">
                      <pic:pic xmlns:pic="http://schemas.openxmlformats.org/drawingml/2006/picture">
                        <pic:nvPicPr>
                          <pic:cNvPr id="38" name="图片_1_SpCnt_8"/>
                          <pic:cNvPicPr/>
                        </pic:nvPicPr>
                        <pic:blipFill>
                          <a:blip r:embed="rId53"/>
                          <a:stretch>
                            <a:fillRect/>
                          </a:stretch>
                        </pic:blipFill>
                        <pic:spPr>
                          <a:xfrm>
                            <a:off x="0" y="0"/>
                            <a:ext cx="1823720" cy="100647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总尺寸：250*550，黄色框一个250*395cm，2mm不锈钢，正面3cm，厚15cm.</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书本19个，2mm不锈钢板；笔135*95cm，8cm不锈钢圆管，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卡通75*112cm，厚5cm，正面用1.2不锈钢，侧面用1.0不锈钢，10mm高密度PVC底板，画面UV印。</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中文字，总高175cm，正面用1.2不锈钢，围边1.0不锈钢，20cm8个，39cm15个，厚6cm，10mmj高密度PVC烤漆底板，背后用2mm厚，2cm不锈钢管支撑。</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以上用不锈钢管数控高精度等离子切割，高精电脑数控开槽折弯，高级技工精心焊接，精工打磨，原子灰，迈奇卡特金属专用汽车底漆+面漆，高级技工专业调色，喷漆烤漆，色面光亮平滑。色牢度高。</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550*250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23162.50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23162.50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我和你未来之路小品（8）</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60325</wp:posOffset>
                  </wp:positionH>
                  <wp:positionV relativeFrom="paragraph">
                    <wp:posOffset>111125</wp:posOffset>
                  </wp:positionV>
                  <wp:extent cx="1824355" cy="1161415"/>
                  <wp:effectExtent l="0" t="0" r="4445" b="635"/>
                  <wp:wrapNone/>
                  <wp:docPr id="39" name="图片_6_SpCnt_1"/>
                  <wp:cNvGraphicFramePr/>
                  <a:graphic xmlns:a="http://schemas.openxmlformats.org/drawingml/2006/main">
                    <a:graphicData uri="http://schemas.openxmlformats.org/drawingml/2006/picture">
                      <pic:pic xmlns:pic="http://schemas.openxmlformats.org/drawingml/2006/picture">
                        <pic:nvPicPr>
                          <pic:cNvPr id="39" name="图片_6_SpCnt_1"/>
                          <pic:cNvPicPr/>
                        </pic:nvPicPr>
                        <pic:blipFill>
                          <a:blip r:embed="rId54"/>
                          <a:stretch>
                            <a:fillRect/>
                          </a:stretch>
                        </pic:blipFill>
                        <pic:spPr>
                          <a:xfrm>
                            <a:off x="0" y="0"/>
                            <a:ext cx="1824355" cy="116141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总尺寸：760*280cm，框2个365*280cm，2mm不锈钢，正面15cm，厚15cm.</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方形砖块造型5个，2mm不锈钢板，正面3*厚15mm，</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卡通160*285cm，厚5cm，正面用1.2不锈钢，侧面用1.0不锈钢，1.2不锈钢背板，画面UV印。</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中文字，正面用1.2不锈钢，围边1.0不锈钢，厚2cm，背板10mm高密度PVC，焊在2*5cm不锈钢方管上，方管焊在兰色框中间。</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锯造型90*172cm,,用2mm不锈钢，厚15cm,立于黄框下方</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以上用不锈钢管数控高精度等离子切割，高精电脑数控开槽折弯，高级技工精心焊接，精工打磨，原子灰，迈奇卡特金属专用汽车底漆+面漆，高级技工专业调色，喷漆烤漆，色面光亮平滑。色牢度高。</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760*280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28287.68</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28287.68</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6"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未来之路-长凳</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119380</wp:posOffset>
                  </wp:positionH>
                  <wp:positionV relativeFrom="paragraph">
                    <wp:posOffset>124460</wp:posOffset>
                  </wp:positionV>
                  <wp:extent cx="1769110" cy="984885"/>
                  <wp:effectExtent l="0" t="0" r="2540" b="5715"/>
                  <wp:wrapNone/>
                  <wp:docPr id="40" name="图片_7_SpCnt_1"/>
                  <wp:cNvGraphicFramePr/>
                  <a:graphic xmlns:a="http://schemas.openxmlformats.org/drawingml/2006/main">
                    <a:graphicData uri="http://schemas.openxmlformats.org/drawingml/2006/picture">
                      <pic:pic xmlns:pic="http://schemas.openxmlformats.org/drawingml/2006/picture">
                        <pic:nvPicPr>
                          <pic:cNvPr id="40" name="图片_7_SpCnt_1"/>
                          <pic:cNvPicPr/>
                        </pic:nvPicPr>
                        <pic:blipFill>
                          <a:blip r:embed="rId55"/>
                          <a:stretch>
                            <a:fillRect/>
                          </a:stretch>
                        </pic:blipFill>
                        <pic:spPr>
                          <a:xfrm>
                            <a:off x="0" y="0"/>
                            <a:ext cx="1769110" cy="98488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弧形彩带长凳尺寸210*45cm，用2mm不锈钢板，正面3cm*宽15cm数控高精度等离子切割，折弯，拉弧，高级技工精心焊接，精工打磨，原子灰，迈奇卡特金属专用汽车底漆2次+面漆2次，高级技工专业调色，喷漆烤漆，色面光亮平滑。色牢度高。</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210*45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1308.00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13080.00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未来之路-普通路段</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81280</wp:posOffset>
                  </wp:positionH>
                  <wp:positionV relativeFrom="paragraph">
                    <wp:posOffset>126365</wp:posOffset>
                  </wp:positionV>
                  <wp:extent cx="1790065" cy="1033780"/>
                  <wp:effectExtent l="0" t="0" r="635" b="13970"/>
                  <wp:wrapNone/>
                  <wp:docPr id="41" name="图片_8_SpCnt_2"/>
                  <wp:cNvGraphicFramePr/>
                  <a:graphic xmlns:a="http://schemas.openxmlformats.org/drawingml/2006/main">
                    <a:graphicData uri="http://schemas.openxmlformats.org/drawingml/2006/picture">
                      <pic:pic xmlns:pic="http://schemas.openxmlformats.org/drawingml/2006/picture">
                        <pic:nvPicPr>
                          <pic:cNvPr id="41" name="图片_8_SpCnt_2"/>
                          <pic:cNvPicPr/>
                        </pic:nvPicPr>
                        <pic:blipFill>
                          <a:blip r:embed="rId56"/>
                          <a:stretch>
                            <a:fillRect/>
                          </a:stretch>
                        </pic:blipFill>
                        <pic:spPr>
                          <a:xfrm>
                            <a:off x="0" y="0"/>
                            <a:ext cx="1790065" cy="103378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带高3cm,宽15cm，黄色蓝色长各22000cm，用2mm不锈钢板，高精度等离子切割，折弯，高级技工精心焊接，精工打磨，原子灰，迈奇卡特金属专用汽车底漆2次+面漆2次，高级技工专业调色，喷漆烤漆，色面光亮平滑。色牢度高。</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35*22000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83930.00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83930.00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9"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123广场</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123广场入口</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81280</wp:posOffset>
                  </wp:positionH>
                  <wp:positionV relativeFrom="paragraph">
                    <wp:posOffset>106680</wp:posOffset>
                  </wp:positionV>
                  <wp:extent cx="1833245" cy="1160780"/>
                  <wp:effectExtent l="0" t="0" r="14605" b="1270"/>
                  <wp:wrapNone/>
                  <wp:docPr id="42" name="图片_16"/>
                  <wp:cNvGraphicFramePr/>
                  <a:graphic xmlns:a="http://schemas.openxmlformats.org/drawingml/2006/main">
                    <a:graphicData uri="http://schemas.openxmlformats.org/drawingml/2006/picture">
                      <pic:pic xmlns:pic="http://schemas.openxmlformats.org/drawingml/2006/picture">
                        <pic:nvPicPr>
                          <pic:cNvPr id="42" name="图片_16"/>
                          <pic:cNvPicPr/>
                        </pic:nvPicPr>
                        <pic:blipFill>
                          <a:blip r:embed="rId57"/>
                          <a:stretch>
                            <a:fillRect/>
                          </a:stretch>
                        </pic:blipFill>
                        <pic:spPr>
                          <a:xfrm>
                            <a:off x="0" y="0"/>
                            <a:ext cx="1833245" cy="116078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1800*230cm，2组，黄色不发光，用2mm不锈钢板，厚15cm，兰色组发光，正面用1.2mm不锈钢，正面压边2cm，字厚13cm，内置户外防水高亮蓝景LED，明纬户外防水电源，发光面5mm伸春亚克力。10mm高密PVC封底。背后钢架连接。</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鼐采用数控高精度等离子切割，高精电脑数控开槽折弯，高级技工精心焊接，精工打磨，原子灰，迈奇卡特金属专用汽车底漆2次+面漆2次，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1800*230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56505.60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56505.60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6"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123广场</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123动起来</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54610</wp:posOffset>
                  </wp:positionH>
                  <wp:positionV relativeFrom="paragraph">
                    <wp:posOffset>57150</wp:posOffset>
                  </wp:positionV>
                  <wp:extent cx="1769110" cy="1029335"/>
                  <wp:effectExtent l="0" t="0" r="2540" b="18415"/>
                  <wp:wrapNone/>
                  <wp:docPr id="43" name="图片_17"/>
                  <wp:cNvGraphicFramePr/>
                  <a:graphic xmlns:a="http://schemas.openxmlformats.org/drawingml/2006/main">
                    <a:graphicData uri="http://schemas.openxmlformats.org/drawingml/2006/picture">
                      <pic:pic xmlns:pic="http://schemas.openxmlformats.org/drawingml/2006/picture">
                        <pic:nvPicPr>
                          <pic:cNvPr id="43" name="图片_17"/>
                          <pic:cNvPicPr/>
                        </pic:nvPicPr>
                        <pic:blipFill>
                          <a:blip r:embed="rId58"/>
                          <a:stretch>
                            <a:fillRect/>
                          </a:stretch>
                        </pic:blipFill>
                        <pic:spPr>
                          <a:xfrm>
                            <a:off x="0" y="0"/>
                            <a:ext cx="1769110" cy="102933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200*925cm，兰色人物185*862cm，黄色人物分2个，180*380cm,177*513cm，用2mm不锈钢，侧面1.2不锈钢板，厚15cm。</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123动起来，200*133cm，框厚6cm，用1.5不锈钢，字3cm，用1.2不锈钢。</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采用数控高精度等离子切割，高精电脑数控开槽折弯，高级技工精心焊接，精工打磨，原子灰，迈奇卡特金属专用汽车底漆2次+面漆2次，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925*200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22666.52</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22666.52</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123广场</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123驶向未来</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109855</wp:posOffset>
                  </wp:positionH>
                  <wp:positionV relativeFrom="paragraph">
                    <wp:posOffset>68580</wp:posOffset>
                  </wp:positionV>
                  <wp:extent cx="1769110" cy="925830"/>
                  <wp:effectExtent l="0" t="0" r="2540" b="7620"/>
                  <wp:wrapNone/>
                  <wp:docPr id="44" name="图片_18"/>
                  <wp:cNvGraphicFramePr/>
                  <a:graphic xmlns:a="http://schemas.openxmlformats.org/drawingml/2006/main">
                    <a:graphicData uri="http://schemas.openxmlformats.org/drawingml/2006/picture">
                      <pic:pic xmlns:pic="http://schemas.openxmlformats.org/drawingml/2006/picture">
                        <pic:nvPicPr>
                          <pic:cNvPr id="44" name="图片_18"/>
                          <pic:cNvPicPr/>
                        </pic:nvPicPr>
                        <pic:blipFill>
                          <a:blip r:embed="rId59"/>
                          <a:stretch>
                            <a:fillRect/>
                          </a:stretch>
                        </pic:blipFill>
                        <pic:spPr>
                          <a:xfrm>
                            <a:off x="0" y="0"/>
                            <a:ext cx="1769110" cy="92583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1350*195cm，2套。框2mm不锈钢，厚15cm，123驶向未来，厚15cm，内凹2cm,及1.2mm不锈钢板，内凹边框。英文高52cm，厚15cm，用1.5不锈钢。</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用高精度等离子切割，高精电脑数控开槽折弯，高级技工精心焊接，精工打磨，原子灰，迈奇卡特金属专用汽车底漆2次+面漆2次，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1350*195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39534.17</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39534.17</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6"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123广场</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YANG AN AND U小品</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92710</wp:posOffset>
                  </wp:positionH>
                  <wp:positionV relativeFrom="paragraph">
                    <wp:posOffset>36195</wp:posOffset>
                  </wp:positionV>
                  <wp:extent cx="1795780" cy="1004570"/>
                  <wp:effectExtent l="0" t="0" r="13970" b="5080"/>
                  <wp:wrapNone/>
                  <wp:docPr id="45" name="图片_19"/>
                  <wp:cNvGraphicFramePr/>
                  <a:graphic xmlns:a="http://schemas.openxmlformats.org/drawingml/2006/main">
                    <a:graphicData uri="http://schemas.openxmlformats.org/drawingml/2006/picture">
                      <pic:pic xmlns:pic="http://schemas.openxmlformats.org/drawingml/2006/picture">
                        <pic:nvPicPr>
                          <pic:cNvPr id="45" name="图片_19"/>
                          <pic:cNvPicPr/>
                        </pic:nvPicPr>
                        <pic:blipFill>
                          <a:blip r:embed="rId60"/>
                          <a:stretch>
                            <a:fillRect/>
                          </a:stretch>
                        </pic:blipFill>
                        <pic:spPr>
                          <a:xfrm>
                            <a:off x="0" y="0"/>
                            <a:ext cx="1795780" cy="100457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1100*200cm，用2mm不锈钢，厚15cm。</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控高精度等离子切割，高精电脑数控开槽折弯，高级技工精心焊接，精工打磨，原子灰，迈奇卡特金属专用汽车底漆2次+面漆2次，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1100*200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19184.00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19184.00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123广场</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123说件事</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92710</wp:posOffset>
                  </wp:positionH>
                  <wp:positionV relativeFrom="paragraph">
                    <wp:posOffset>79375</wp:posOffset>
                  </wp:positionV>
                  <wp:extent cx="1806575" cy="977900"/>
                  <wp:effectExtent l="0" t="0" r="3175" b="12700"/>
                  <wp:wrapNone/>
                  <wp:docPr id="46" name="图片_20"/>
                  <wp:cNvGraphicFramePr/>
                  <a:graphic xmlns:a="http://schemas.openxmlformats.org/drawingml/2006/main">
                    <a:graphicData uri="http://schemas.openxmlformats.org/drawingml/2006/picture">
                      <pic:pic xmlns:pic="http://schemas.openxmlformats.org/drawingml/2006/picture">
                        <pic:nvPicPr>
                          <pic:cNvPr id="46" name="图片_20"/>
                          <pic:cNvPicPr/>
                        </pic:nvPicPr>
                        <pic:blipFill>
                          <a:blip r:embed="rId61"/>
                          <a:stretch>
                            <a:fillRect/>
                          </a:stretch>
                        </pic:blipFill>
                        <pic:spPr>
                          <a:xfrm>
                            <a:off x="0" y="0"/>
                            <a:ext cx="1806575" cy="97790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尺寸430*225cm，说个123件事立牌，67*180cm，用直径6cm不锈钢圆管切割弯圆，预埋脚热镀锌管。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小框95*170cm，用2mm不锈钢板，四角弧，正面4cm，厚20cm，</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休息亭210*340cm，正面10cm有弧，厚80cm,四角弧，坐櫈45*200cm，正面4cm，厚度40cm，用2mm不锈钢，内部钢架支撑。预埋脚热镀锌管。</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采用数控高精度等离子切割，高精电脑数控开槽，折弯，滚圆，高级技工精心焊接，精工打磨，原子灰，迈奇卡特金属专用汽车底漆+面漆，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430*225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33856.42</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33856.42</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2"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123广场</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广场凳子</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48895</wp:posOffset>
                  </wp:positionH>
                  <wp:positionV relativeFrom="paragraph">
                    <wp:posOffset>71120</wp:posOffset>
                  </wp:positionV>
                  <wp:extent cx="1795780" cy="1031875"/>
                  <wp:effectExtent l="0" t="0" r="13970" b="15875"/>
                  <wp:wrapNone/>
                  <wp:docPr id="47" name="图片_21"/>
                  <wp:cNvGraphicFramePr/>
                  <a:graphic xmlns:a="http://schemas.openxmlformats.org/drawingml/2006/main">
                    <a:graphicData uri="http://schemas.openxmlformats.org/drawingml/2006/picture">
                      <pic:pic xmlns:pic="http://schemas.openxmlformats.org/drawingml/2006/picture">
                        <pic:nvPicPr>
                          <pic:cNvPr id="47" name="图片_21"/>
                          <pic:cNvPicPr/>
                        </pic:nvPicPr>
                        <pic:blipFill>
                          <a:blip r:embed="rId62"/>
                          <a:stretch>
                            <a:fillRect/>
                          </a:stretch>
                        </pic:blipFill>
                        <pic:spPr>
                          <a:xfrm>
                            <a:off x="0" y="0"/>
                            <a:ext cx="1795780" cy="103187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350*110cm，展开尺寸350*200cm，用2.5mm不锈钢数控高精度等离子切割，高精电脑数控开槽，折弯，滚圆，高级技工精心焊接，精工打磨，原子灰，迈奇卡特金属专用汽车底漆+面漆，高级技工专业调色，喷漆烤漆，色面光亮平滑。色牢度高。</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350*110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15260.00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152600.00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123广场</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电瓶车充电站</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48895</wp:posOffset>
                  </wp:positionH>
                  <wp:positionV relativeFrom="paragraph">
                    <wp:posOffset>100965</wp:posOffset>
                  </wp:positionV>
                  <wp:extent cx="1839595" cy="883285"/>
                  <wp:effectExtent l="0" t="0" r="8255" b="12065"/>
                  <wp:wrapNone/>
                  <wp:docPr id="48" name="图片_24"/>
                  <wp:cNvGraphicFramePr/>
                  <a:graphic xmlns:a="http://schemas.openxmlformats.org/drawingml/2006/main">
                    <a:graphicData uri="http://schemas.openxmlformats.org/drawingml/2006/picture">
                      <pic:pic xmlns:pic="http://schemas.openxmlformats.org/drawingml/2006/picture">
                        <pic:nvPicPr>
                          <pic:cNvPr id="48" name="图片_24"/>
                          <pic:cNvPicPr/>
                        </pic:nvPicPr>
                        <pic:blipFill>
                          <a:blip r:embed="rId63"/>
                          <a:stretch>
                            <a:fillRect/>
                          </a:stretch>
                        </pic:blipFill>
                        <pic:spPr>
                          <a:xfrm>
                            <a:off x="0" y="0"/>
                            <a:ext cx="1839595" cy="88328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450*280cm，立柱外框用12*12cm不锈钢钢管，两侧内部用不锈钢冲孔板，两侧文字厚2cm高密度PVC立体烤漆字，共4套字，两侧冲孔板前后各装一套。背板用5mm耐力板。上方文字是不锈钢立体字，LOGO厚3公分，电动车停车点厚5cm，8mm高密度PVC封底。插座8个，充电计费器一只。</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以上采用数控高精度等离子切割，高级技工高技术围边，高级技工精心焊接，精工打磨，原子灰，迈奇卡特金属专用汽车底漆+面漆，高级技工专业调色，喷漆烤漆，色面光亮平滑。）</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冲孔板（20mm孔径，2mm不锈钢板）</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充电器（第三方采购扫码充电器）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450*280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52233.71</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104467.42</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9"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123广场</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123驶向未来地绘内容</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113665</wp:posOffset>
                  </wp:positionH>
                  <wp:positionV relativeFrom="paragraph">
                    <wp:posOffset>90805</wp:posOffset>
                  </wp:positionV>
                  <wp:extent cx="1696720" cy="1014730"/>
                  <wp:effectExtent l="0" t="0" r="17780" b="13970"/>
                  <wp:wrapNone/>
                  <wp:docPr id="49" name="图片_74"/>
                  <wp:cNvGraphicFramePr/>
                  <a:graphic xmlns:a="http://schemas.openxmlformats.org/drawingml/2006/main">
                    <a:graphicData uri="http://schemas.openxmlformats.org/drawingml/2006/picture">
                      <pic:pic xmlns:pic="http://schemas.openxmlformats.org/drawingml/2006/picture">
                        <pic:nvPicPr>
                          <pic:cNvPr id="49" name="图片_74"/>
                          <pic:cNvPicPr/>
                        </pic:nvPicPr>
                        <pic:blipFill>
                          <a:blip r:embed="rId64"/>
                          <a:stretch>
                            <a:fillRect/>
                          </a:stretch>
                        </pic:blipFill>
                        <pic:spPr>
                          <a:xfrm>
                            <a:off x="0" y="0"/>
                            <a:ext cx="1696720" cy="101473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地面彩绘漆（环氧树脂 丙烯酸酯 水及助剂）</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15*11340*2</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双条</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m2</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34.02</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1241.89</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42249.10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桥下墙面1</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81280</wp:posOffset>
                  </wp:positionH>
                  <wp:positionV relativeFrom="paragraph">
                    <wp:posOffset>38100</wp:posOffset>
                  </wp:positionV>
                  <wp:extent cx="1746250" cy="997585"/>
                  <wp:effectExtent l="0" t="0" r="6350" b="12065"/>
                  <wp:wrapNone/>
                  <wp:docPr id="50" name="图片_2"/>
                  <wp:cNvGraphicFramePr/>
                  <a:graphic xmlns:a="http://schemas.openxmlformats.org/drawingml/2006/main">
                    <a:graphicData uri="http://schemas.openxmlformats.org/drawingml/2006/picture">
                      <pic:pic xmlns:pic="http://schemas.openxmlformats.org/drawingml/2006/picture">
                        <pic:nvPicPr>
                          <pic:cNvPr id="50" name="图片_2"/>
                          <pic:cNvPicPr/>
                        </pic:nvPicPr>
                        <pic:blipFill>
                          <a:blip r:embed="rId65"/>
                          <a:stretch>
                            <a:fillRect/>
                          </a:stretch>
                        </pic:blipFill>
                        <pic:spPr>
                          <a:xfrm>
                            <a:off x="0" y="0"/>
                            <a:ext cx="1746250" cy="99758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墙绘尺寸2470cm*360cm，2477cm*270cm（2层腻子粉打底打磨，面漆，画面丙烯颜料）</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像素转球（长1255*宽340*宽10*厚20cm不锈钢箱体，铝塑板面板，直径18cmABS球体651个）1.5mm不锈钢板，数控高精度等离子切割，高级技工高技术围边，高级技工精心焊接，精工打磨，原子灰，迈奇卡特金属专用汽车底漆+面漆，高级技工专业调色，喷漆烤漆，色面光亮平滑。）</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2470*360</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2477*270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110697.72</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110697.72</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桥下墙面2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130810</wp:posOffset>
                  </wp:positionH>
                  <wp:positionV relativeFrom="paragraph">
                    <wp:posOffset>137795</wp:posOffset>
                  </wp:positionV>
                  <wp:extent cx="1659255" cy="803910"/>
                  <wp:effectExtent l="0" t="0" r="17145" b="15240"/>
                  <wp:wrapNone/>
                  <wp:docPr id="51" name="图片_81"/>
                  <wp:cNvGraphicFramePr/>
                  <a:graphic xmlns:a="http://schemas.openxmlformats.org/drawingml/2006/main">
                    <a:graphicData uri="http://schemas.openxmlformats.org/drawingml/2006/picture">
                      <pic:pic xmlns:pic="http://schemas.openxmlformats.org/drawingml/2006/picture">
                        <pic:nvPicPr>
                          <pic:cNvPr id="51" name="图片_81"/>
                          <pic:cNvPicPr/>
                        </pic:nvPicPr>
                        <pic:blipFill>
                          <a:blip r:embed="rId66"/>
                          <a:stretch>
                            <a:fillRect/>
                          </a:stretch>
                        </pic:blipFill>
                        <pic:spPr>
                          <a:xfrm>
                            <a:off x="0" y="0"/>
                            <a:ext cx="1659255" cy="80391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墙绘尺寸3000cm*360cm*2个（2层腻子粉打底打磨，面漆，画面丙烯颜料）</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3000*360</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3000*360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58751.70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58751.70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桥下墙面3</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60325</wp:posOffset>
                  </wp:positionH>
                  <wp:positionV relativeFrom="paragraph">
                    <wp:posOffset>115570</wp:posOffset>
                  </wp:positionV>
                  <wp:extent cx="1790065" cy="885825"/>
                  <wp:effectExtent l="0" t="0" r="635" b="9525"/>
                  <wp:wrapNone/>
                  <wp:docPr id="52" name="图片_82"/>
                  <wp:cNvGraphicFramePr/>
                  <a:graphic xmlns:a="http://schemas.openxmlformats.org/drawingml/2006/main">
                    <a:graphicData uri="http://schemas.openxmlformats.org/drawingml/2006/picture">
                      <pic:pic xmlns:pic="http://schemas.openxmlformats.org/drawingml/2006/picture">
                        <pic:nvPicPr>
                          <pic:cNvPr id="52" name="图片_82"/>
                          <pic:cNvPicPr/>
                        </pic:nvPicPr>
                        <pic:blipFill>
                          <a:blip r:embed="rId67"/>
                          <a:stretch>
                            <a:fillRect/>
                          </a:stretch>
                        </pic:blipFill>
                        <pic:spPr>
                          <a:xfrm>
                            <a:off x="0" y="0"/>
                            <a:ext cx="1790065" cy="88582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墙绘尺寸2800cm*270cm*2个（2层腻子粉打底打磨，面漆，画面丙烯颜料）</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2800*270</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2800*270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42778.92</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42778.92</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我们的秘密基地1</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69850</wp:posOffset>
                  </wp:positionV>
                  <wp:extent cx="1719580" cy="997585"/>
                  <wp:effectExtent l="0" t="0" r="13970" b="12065"/>
                  <wp:wrapNone/>
                  <wp:docPr id="53" name="图片_83"/>
                  <wp:cNvGraphicFramePr/>
                  <a:graphic xmlns:a="http://schemas.openxmlformats.org/drawingml/2006/main">
                    <a:graphicData uri="http://schemas.openxmlformats.org/drawingml/2006/picture">
                      <pic:pic xmlns:pic="http://schemas.openxmlformats.org/drawingml/2006/picture">
                        <pic:nvPicPr>
                          <pic:cNvPr id="53" name="图片_83"/>
                          <pic:cNvPicPr/>
                        </pic:nvPicPr>
                        <pic:blipFill>
                          <a:blip r:embed="rId68"/>
                          <a:stretch>
                            <a:fillRect/>
                          </a:stretch>
                        </pic:blipFill>
                        <pic:spPr>
                          <a:xfrm>
                            <a:off x="0" y="0"/>
                            <a:ext cx="1719580" cy="99758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水泥塑性、表面塑胶、不锈钢管烤漆、麻绳若干、小号攀岩石</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直径460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19894.38</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19894.38</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我们的秘密基地2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98425</wp:posOffset>
                  </wp:positionH>
                  <wp:positionV relativeFrom="paragraph">
                    <wp:posOffset>38735</wp:posOffset>
                  </wp:positionV>
                  <wp:extent cx="1697355" cy="1001395"/>
                  <wp:effectExtent l="0" t="0" r="17145" b="8255"/>
                  <wp:wrapNone/>
                  <wp:docPr id="54" name="图片_84"/>
                  <wp:cNvGraphicFramePr/>
                  <a:graphic xmlns:a="http://schemas.openxmlformats.org/drawingml/2006/main">
                    <a:graphicData uri="http://schemas.openxmlformats.org/drawingml/2006/picture">
                      <pic:pic xmlns:pic="http://schemas.openxmlformats.org/drawingml/2006/picture">
                        <pic:nvPicPr>
                          <pic:cNvPr id="54" name="图片_84"/>
                          <pic:cNvPicPr/>
                        </pic:nvPicPr>
                        <pic:blipFill>
                          <a:blip r:embed="rId69"/>
                          <a:stretch>
                            <a:fillRect/>
                          </a:stretch>
                        </pic:blipFill>
                        <pic:spPr>
                          <a:xfrm>
                            <a:off x="0" y="0"/>
                            <a:ext cx="1697355" cy="100139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尺寸直径300成品定制，中间立柱直径5cm不锈钢圆管，6根长直径3cm不锈钢管，配6个单轮车。</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直径300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4360.00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4360.00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我们的秘密基地3</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92710</wp:posOffset>
                  </wp:positionH>
                  <wp:positionV relativeFrom="paragraph">
                    <wp:posOffset>58420</wp:posOffset>
                  </wp:positionV>
                  <wp:extent cx="1697355" cy="929005"/>
                  <wp:effectExtent l="0" t="0" r="17145" b="4445"/>
                  <wp:wrapNone/>
                  <wp:docPr id="55" name="图片_85"/>
                  <wp:cNvGraphicFramePr/>
                  <a:graphic xmlns:a="http://schemas.openxmlformats.org/drawingml/2006/main">
                    <a:graphicData uri="http://schemas.openxmlformats.org/drawingml/2006/picture">
                      <pic:pic xmlns:pic="http://schemas.openxmlformats.org/drawingml/2006/picture">
                        <pic:nvPicPr>
                          <pic:cNvPr id="55" name="图片_85"/>
                          <pic:cNvPicPr/>
                        </pic:nvPicPr>
                        <pic:blipFill>
                          <a:blip r:embed="rId70"/>
                          <a:stretch>
                            <a:fillRect/>
                          </a:stretch>
                        </pic:blipFill>
                        <pic:spPr>
                          <a:xfrm>
                            <a:off x="0" y="0"/>
                            <a:ext cx="1697355" cy="92900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尺寸90cm*15cm* 11根圆柱按压灯（柱体1.2mm不锈钢烤漆11根、上按压灯定制11个）</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介绍牌（不锈钢烤漆）3mm304不锈钢板，数控高精度等离子切割，高级技工高技术围边，高级技工精心焊接，精工打磨，原子灰，迈奇卡特金属专用汽车底漆+面漆，高级技工专业调色，喷漆烤漆，色面光亮平滑。）</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90*15 11根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8096.25</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8096.25</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我们的秘密基地4</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163195</wp:posOffset>
                  </wp:positionV>
                  <wp:extent cx="1708150" cy="732790"/>
                  <wp:effectExtent l="0" t="0" r="6350" b="10160"/>
                  <wp:wrapNone/>
                  <wp:docPr id="56" name="图片_86"/>
                  <wp:cNvGraphicFramePr/>
                  <a:graphic xmlns:a="http://schemas.openxmlformats.org/drawingml/2006/main">
                    <a:graphicData uri="http://schemas.openxmlformats.org/drawingml/2006/picture">
                      <pic:pic xmlns:pic="http://schemas.openxmlformats.org/drawingml/2006/picture">
                        <pic:nvPicPr>
                          <pic:cNvPr id="56" name="图片_86"/>
                          <pic:cNvPicPr/>
                        </pic:nvPicPr>
                        <pic:blipFill>
                          <a:blip r:embed="rId71"/>
                          <a:stretch>
                            <a:fillRect/>
                          </a:stretch>
                        </pic:blipFill>
                        <pic:spPr>
                          <a:xfrm>
                            <a:off x="0" y="0"/>
                            <a:ext cx="1708150" cy="73279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尺寸直径180cm*2个 直径165cm 水泥塑性、表面塑胶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直径180</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直径180</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直径165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5283.97</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5283.97</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桥下游乐设施</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81280</wp:posOffset>
                  </wp:positionH>
                  <wp:positionV relativeFrom="paragraph">
                    <wp:posOffset>58420</wp:posOffset>
                  </wp:positionV>
                  <wp:extent cx="1740535" cy="920750"/>
                  <wp:effectExtent l="0" t="0" r="12065" b="12700"/>
                  <wp:wrapNone/>
                  <wp:docPr id="57" name="图片_87"/>
                  <wp:cNvGraphicFramePr/>
                  <a:graphic xmlns:a="http://schemas.openxmlformats.org/drawingml/2006/main">
                    <a:graphicData uri="http://schemas.openxmlformats.org/drawingml/2006/picture">
                      <pic:pic xmlns:pic="http://schemas.openxmlformats.org/drawingml/2006/picture">
                        <pic:nvPicPr>
                          <pic:cNvPr id="57" name="图片_87"/>
                          <pic:cNvPicPr/>
                        </pic:nvPicPr>
                        <pic:blipFill>
                          <a:blip r:embed="rId72"/>
                          <a:stretch>
                            <a:fillRect/>
                          </a:stretch>
                        </pic:blipFill>
                        <pic:spPr>
                          <a:xfrm>
                            <a:off x="0" y="0"/>
                            <a:ext cx="1740535" cy="92075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整体尺寸1160*270，立柱骨架采用10*10cm，8*8cm不锈钢管，高强度尼龙绳护网，配件麻绳，圆木，海洋球。顶棚采用刀刮布，墙体材质2cm环保高密欧松烤漆板，yangan1.2不锈钢字，字厚2cm。不锈钢管是数控高精度等离子切割，高级技工精心焊接，精工打磨，迈奇卡特金属专用汽车底漆2次+面漆2次，高级技工专业调色，喷漆烤漆，色面光亮平滑。</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1160*270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77648.88</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77648.88</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桥下椅面</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75565</wp:posOffset>
                  </wp:positionH>
                  <wp:positionV relativeFrom="paragraph">
                    <wp:posOffset>115570</wp:posOffset>
                  </wp:positionV>
                  <wp:extent cx="1763395" cy="767080"/>
                  <wp:effectExtent l="0" t="0" r="8255" b="13970"/>
                  <wp:wrapNone/>
                  <wp:docPr id="58" name="图片_88"/>
                  <wp:cNvGraphicFramePr/>
                  <a:graphic xmlns:a="http://schemas.openxmlformats.org/drawingml/2006/main">
                    <a:graphicData uri="http://schemas.openxmlformats.org/drawingml/2006/picture">
                      <pic:pic xmlns:pic="http://schemas.openxmlformats.org/drawingml/2006/picture">
                        <pic:nvPicPr>
                          <pic:cNvPr id="58" name="图片_88"/>
                          <pic:cNvPicPr/>
                        </pic:nvPicPr>
                        <pic:blipFill>
                          <a:blip r:embed="rId73"/>
                          <a:stretch>
                            <a:fillRect/>
                          </a:stretch>
                        </pic:blipFill>
                        <pic:spPr>
                          <a:xfrm>
                            <a:off x="0" y="0"/>
                            <a:ext cx="1763395" cy="76708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160cm*1030cm，3mm304不锈钢板，数控高精度等离子切割，高级技工高技术围边，电脑精控折弯拉弧，高级技工精心焊接，精工打磨，原子灰，迈奇卡特金属专用汽车底漆+面漆，高级技工专业调色，喷漆烤漆，色面光亮平滑。</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160*1030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25113.60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50227.20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乒乓球桌</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173990</wp:posOffset>
                  </wp:positionH>
                  <wp:positionV relativeFrom="paragraph">
                    <wp:posOffset>74295</wp:posOffset>
                  </wp:positionV>
                  <wp:extent cx="1725295" cy="890905"/>
                  <wp:effectExtent l="0" t="0" r="8255" b="4445"/>
                  <wp:wrapNone/>
                  <wp:docPr id="59" name="图片_89"/>
                  <wp:cNvGraphicFramePr/>
                  <a:graphic xmlns:a="http://schemas.openxmlformats.org/drawingml/2006/main">
                    <a:graphicData uri="http://schemas.openxmlformats.org/drawingml/2006/picture">
                      <pic:pic xmlns:pic="http://schemas.openxmlformats.org/drawingml/2006/picture">
                        <pic:nvPicPr>
                          <pic:cNvPr id="59" name="图片_89"/>
                          <pic:cNvPicPr/>
                        </pic:nvPicPr>
                        <pic:blipFill>
                          <a:blip r:embed="rId74"/>
                          <a:stretch>
                            <a:fillRect/>
                          </a:stretch>
                        </pic:blipFill>
                        <pic:spPr>
                          <a:xfrm>
                            <a:off x="0" y="0"/>
                            <a:ext cx="1725295" cy="89090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乒乓球台尺寸274cm*91cm*152.5cm（内置钢架、3mm304镀锌板烤漆、厚20mm纤维板台面）不锈钢管数控高精度等离子切割，高精电脑数控开槽折弯，高级技工精心焊接，精工打磨，原子灰，迈奇卡特金属专用汽车底漆2次+面漆2次，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274*91</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4707.81</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18831.24</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桥下休息亭</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173990</wp:posOffset>
                  </wp:positionH>
                  <wp:positionV relativeFrom="paragraph">
                    <wp:posOffset>86360</wp:posOffset>
                  </wp:positionV>
                  <wp:extent cx="1659255" cy="941070"/>
                  <wp:effectExtent l="0" t="0" r="17145" b="11430"/>
                  <wp:wrapNone/>
                  <wp:docPr id="60" name="图片_90"/>
                  <wp:cNvGraphicFramePr/>
                  <a:graphic xmlns:a="http://schemas.openxmlformats.org/drawingml/2006/main">
                    <a:graphicData uri="http://schemas.openxmlformats.org/drawingml/2006/picture">
                      <pic:pic xmlns:pic="http://schemas.openxmlformats.org/drawingml/2006/picture">
                        <pic:nvPicPr>
                          <pic:cNvPr id="60" name="图片_90"/>
                          <pic:cNvPicPr/>
                        </pic:nvPicPr>
                        <pic:blipFill>
                          <a:blip r:embed="rId75"/>
                          <a:stretch>
                            <a:fillRect/>
                          </a:stretch>
                        </pic:blipFill>
                        <pic:spPr>
                          <a:xfrm>
                            <a:off x="0" y="0"/>
                            <a:ext cx="1659255" cy="94107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315cm*230cm*140cm，3mm304不锈钢板，厚度6cm，数控高精度等离子切割，高精电脑数控开槽折弯，高级技工精心焊接，精工打磨，原子灰，迈奇卡特金属专用汽车底漆+面漆，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315*230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31195.80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31195.80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健身器材1</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75565</wp:posOffset>
                  </wp:positionH>
                  <wp:positionV relativeFrom="paragraph">
                    <wp:posOffset>61595</wp:posOffset>
                  </wp:positionV>
                  <wp:extent cx="1751965" cy="932815"/>
                  <wp:effectExtent l="0" t="0" r="635" b="635"/>
                  <wp:wrapNone/>
                  <wp:docPr id="61" name="图片_91"/>
                  <wp:cNvGraphicFramePr/>
                  <a:graphic xmlns:a="http://schemas.openxmlformats.org/drawingml/2006/main">
                    <a:graphicData uri="http://schemas.openxmlformats.org/drawingml/2006/picture">
                      <pic:pic xmlns:pic="http://schemas.openxmlformats.org/drawingml/2006/picture">
                        <pic:nvPicPr>
                          <pic:cNvPr id="61" name="图片_91"/>
                          <pic:cNvPicPr/>
                        </pic:nvPicPr>
                        <pic:blipFill>
                          <a:blip r:embed="rId76"/>
                          <a:stretch>
                            <a:fillRect/>
                          </a:stretch>
                        </pic:blipFill>
                        <pic:spPr>
                          <a:xfrm>
                            <a:off x="0" y="0"/>
                            <a:ext cx="1751965" cy="93281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直径8*直径20，不锈钢管数控高精度等离子切割，高精电脑数控开槽折弯，高级技工精心焊接，精工打磨，原子灰，迈奇卡特金属专用汽车底漆+面漆，高级技工专业调色，喷漆烤漆，色面光亮平滑。色牢度高。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直径8*直径20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915.60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915.60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健身器材2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179705</wp:posOffset>
                  </wp:positionH>
                  <wp:positionV relativeFrom="paragraph">
                    <wp:posOffset>107315</wp:posOffset>
                  </wp:positionV>
                  <wp:extent cx="1610360" cy="887095"/>
                  <wp:effectExtent l="0" t="0" r="8890" b="8255"/>
                  <wp:wrapNone/>
                  <wp:docPr id="62" name="图片_92"/>
                  <wp:cNvGraphicFramePr/>
                  <a:graphic xmlns:a="http://schemas.openxmlformats.org/drawingml/2006/main">
                    <a:graphicData uri="http://schemas.openxmlformats.org/drawingml/2006/picture">
                      <pic:pic xmlns:pic="http://schemas.openxmlformats.org/drawingml/2006/picture">
                        <pic:nvPicPr>
                          <pic:cNvPr id="62" name="图片_92"/>
                          <pic:cNvPicPr/>
                        </pic:nvPicPr>
                        <pic:blipFill>
                          <a:blip r:embed="rId77"/>
                          <a:stretch>
                            <a:fillRect/>
                          </a:stretch>
                        </pic:blipFill>
                        <pic:spPr>
                          <a:xfrm>
                            <a:off x="0" y="0"/>
                            <a:ext cx="1610360" cy="88709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90cm*130cm，镀锌管（25mm镀锌管烤漆，烤漆）数控高精度等离子切割，高精电脑数控接拉弧，高级技工精心焊接，精工打磨，原子灰，迈奇卡特金属专用汽车底漆+面漆，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90*130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3924.00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3924.00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健身器材3</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440690</wp:posOffset>
                  </wp:positionH>
                  <wp:positionV relativeFrom="paragraph">
                    <wp:posOffset>135890</wp:posOffset>
                  </wp:positionV>
                  <wp:extent cx="951865" cy="829310"/>
                  <wp:effectExtent l="0" t="0" r="635" b="8890"/>
                  <wp:wrapNone/>
                  <wp:docPr id="63" name="图片_93"/>
                  <wp:cNvGraphicFramePr/>
                  <a:graphic xmlns:a="http://schemas.openxmlformats.org/drawingml/2006/main">
                    <a:graphicData uri="http://schemas.openxmlformats.org/drawingml/2006/picture">
                      <pic:pic xmlns:pic="http://schemas.openxmlformats.org/drawingml/2006/picture">
                        <pic:nvPicPr>
                          <pic:cNvPr id="63" name="图片_93"/>
                          <pic:cNvPicPr/>
                        </pic:nvPicPr>
                        <pic:blipFill>
                          <a:blip r:embed="rId78"/>
                          <a:stretch>
                            <a:fillRect/>
                          </a:stretch>
                        </pic:blipFill>
                        <pic:spPr>
                          <a:xfrm>
                            <a:off x="0" y="0"/>
                            <a:ext cx="951865" cy="82931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415cm*230cm，镀锌管（25mm镀锌管烤漆，烤漆）数控高精度等离子切割，高精电脑数控接拉弧，高级技工精心焊接，精工打磨，原子灰，迈奇卡特金属专用汽车底漆+面漆，高级技工专业调色，喷漆烤漆，色面光亮平滑。色牢度高。内部钢架支撑，确保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415*230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2180.00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2180.00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凳子</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113665</wp:posOffset>
                  </wp:positionH>
                  <wp:positionV relativeFrom="paragraph">
                    <wp:posOffset>49530</wp:posOffset>
                  </wp:positionV>
                  <wp:extent cx="1746250" cy="920115"/>
                  <wp:effectExtent l="0" t="0" r="6350" b="13335"/>
                  <wp:wrapNone/>
                  <wp:docPr id="64" name="图片_94"/>
                  <wp:cNvGraphicFramePr/>
                  <a:graphic xmlns:a="http://schemas.openxmlformats.org/drawingml/2006/main">
                    <a:graphicData uri="http://schemas.openxmlformats.org/drawingml/2006/picture">
                      <pic:pic xmlns:pic="http://schemas.openxmlformats.org/drawingml/2006/picture">
                        <pic:nvPicPr>
                          <pic:cNvPr id="64" name="图片_94"/>
                          <pic:cNvPicPr/>
                        </pic:nvPicPr>
                        <pic:blipFill>
                          <a:blip r:embed="rId79"/>
                          <a:stretch>
                            <a:fillRect/>
                          </a:stretch>
                        </pic:blipFill>
                        <pic:spPr>
                          <a:xfrm>
                            <a:off x="0" y="0"/>
                            <a:ext cx="1746250" cy="92011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尺寸640cm*75cm，直径5cm不锈钢管底座烤漆，3mm304不锈钢板，英文立体字YANG  AN厚度50cm，数控高精度等离子切割，高精电脑数控开槽折弯，高级技工精心焊接，精工打磨，原子灰，迈奇卡特金属专用汽车底漆+面漆，高级技工专业调色，喷漆烤漆，色面光亮平滑。色牢度高。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640*75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13592.30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13592.30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九宫格游戏</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113665</wp:posOffset>
                  </wp:positionH>
                  <wp:positionV relativeFrom="paragraph">
                    <wp:posOffset>36830</wp:posOffset>
                  </wp:positionV>
                  <wp:extent cx="1725295" cy="953135"/>
                  <wp:effectExtent l="0" t="0" r="8255" b="18415"/>
                  <wp:wrapNone/>
                  <wp:docPr id="65" name="图片_95"/>
                  <wp:cNvGraphicFramePr/>
                  <a:graphic xmlns:a="http://schemas.openxmlformats.org/drawingml/2006/main">
                    <a:graphicData uri="http://schemas.openxmlformats.org/drawingml/2006/picture">
                      <pic:pic xmlns:pic="http://schemas.openxmlformats.org/drawingml/2006/picture">
                        <pic:nvPicPr>
                          <pic:cNvPr id="65" name="图片_95"/>
                          <pic:cNvPicPr/>
                        </pic:nvPicPr>
                        <pic:blipFill>
                          <a:blip r:embed="rId80"/>
                          <a:stretch>
                            <a:fillRect/>
                          </a:stretch>
                        </pic:blipFill>
                        <pic:spPr>
                          <a:xfrm>
                            <a:off x="0" y="0"/>
                            <a:ext cx="1725295" cy="95313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尺寸88cm*70cm*90cm，70cm*45cm*2个。</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mm304不锈钢板，不锈钢管数控高精度等离子切割，高精电脑数控开槽折弯，高级技工精心焊接，精工打磨，原子灰，迈奇卡特金属专用汽车底漆+面漆，高级技工专业调色，喷漆烤漆，色面光亮平滑。图案高精UV，色牢度高。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88*70*90</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70*45 2个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10786.64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10786.64</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象棋</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240030</wp:posOffset>
                  </wp:positionH>
                  <wp:positionV relativeFrom="paragraph">
                    <wp:posOffset>49530</wp:posOffset>
                  </wp:positionV>
                  <wp:extent cx="1583690" cy="920115"/>
                  <wp:effectExtent l="0" t="0" r="16510" b="13335"/>
                  <wp:wrapNone/>
                  <wp:docPr id="66" name="图片_96"/>
                  <wp:cNvGraphicFramePr/>
                  <a:graphic xmlns:a="http://schemas.openxmlformats.org/drawingml/2006/main">
                    <a:graphicData uri="http://schemas.openxmlformats.org/drawingml/2006/picture">
                      <pic:pic xmlns:pic="http://schemas.openxmlformats.org/drawingml/2006/picture">
                        <pic:nvPicPr>
                          <pic:cNvPr id="66" name="图片_96"/>
                          <pic:cNvPicPr/>
                        </pic:nvPicPr>
                        <pic:blipFill>
                          <a:blip r:embed="rId81"/>
                          <a:stretch>
                            <a:fillRect/>
                          </a:stretch>
                        </pic:blipFill>
                        <pic:spPr>
                          <a:xfrm>
                            <a:off x="0" y="0"/>
                            <a:ext cx="1583690" cy="92011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92cm*75cm，3mm304不锈钢板，直径10cm不锈钢，桌面棋盘丝印，尺寸200cm*90cm不锈钢，3mm304不锈钢板，尼龙绳网，数控高精度等离子切割，高精电脑数控开槽折弯，高级技工精心焊接，精工打磨，原子灰，迈奇卡特金属专用汽车底漆+面漆，高级技工专业调色，喷漆烤漆，色面光亮平滑。图案高精UV，色牢度高。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92*75 3个</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200*90 2个</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70*45 2个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13343.67</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13343.67</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桥下空间入口</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130810</wp:posOffset>
                  </wp:positionH>
                  <wp:positionV relativeFrom="paragraph">
                    <wp:posOffset>49530</wp:posOffset>
                  </wp:positionV>
                  <wp:extent cx="1708150" cy="940435"/>
                  <wp:effectExtent l="0" t="0" r="6350" b="12065"/>
                  <wp:wrapNone/>
                  <wp:docPr id="67" name="图片_97"/>
                  <wp:cNvGraphicFramePr/>
                  <a:graphic xmlns:a="http://schemas.openxmlformats.org/drawingml/2006/main">
                    <a:graphicData uri="http://schemas.openxmlformats.org/drawingml/2006/picture">
                      <pic:pic xmlns:pic="http://schemas.openxmlformats.org/drawingml/2006/picture">
                        <pic:nvPicPr>
                          <pic:cNvPr id="67" name="图片_97"/>
                          <pic:cNvPicPr/>
                        </pic:nvPicPr>
                        <pic:blipFill>
                          <a:blip r:embed="rId82"/>
                          <a:stretch>
                            <a:fillRect/>
                          </a:stretch>
                        </pic:blipFill>
                        <pic:spPr>
                          <a:xfrm>
                            <a:off x="0" y="0"/>
                            <a:ext cx="1708150" cy="94043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墙绘480*65 （画面丙烯颜料）</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通尺寸280cm*200cm*8cm，2mm304不锈钢板，图案高精UV，高精度等离子切割，高级技工精心焊接，精工打磨，原子灰，迈奇卡特金属专用汽车底漆+面漆，高级技工专业调色，喷漆烤漆，色面光亮平滑。图案丝印，色牢度高。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480*65 墙绘</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280*200 小品</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6907.18</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6907.18</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攀爬设备1</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125095</wp:posOffset>
                  </wp:positionH>
                  <wp:positionV relativeFrom="paragraph">
                    <wp:posOffset>53340</wp:posOffset>
                  </wp:positionV>
                  <wp:extent cx="1740535" cy="953135"/>
                  <wp:effectExtent l="0" t="0" r="12065" b="18415"/>
                  <wp:wrapNone/>
                  <wp:docPr id="68" name="图片_98"/>
                  <wp:cNvGraphicFramePr/>
                  <a:graphic xmlns:a="http://schemas.openxmlformats.org/drawingml/2006/main">
                    <a:graphicData uri="http://schemas.openxmlformats.org/drawingml/2006/picture">
                      <pic:pic xmlns:pic="http://schemas.openxmlformats.org/drawingml/2006/picture">
                        <pic:nvPicPr>
                          <pic:cNvPr id="68" name="图片_98"/>
                          <pic:cNvPicPr/>
                        </pic:nvPicPr>
                        <pic:blipFill>
                          <a:blip r:embed="rId83"/>
                          <a:stretch>
                            <a:fillRect/>
                          </a:stretch>
                        </pic:blipFill>
                        <pic:spPr>
                          <a:xfrm>
                            <a:off x="0" y="0"/>
                            <a:ext cx="1740535" cy="95313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535cm*340cm*230cm。整体12cm不锈钢烤漆，直径30*25不锈钢管数控高精度等离子切割，高精电脑数控拉弯，高级技工精心焊接，精工打磨，原子灰，迈奇卡特金属专用汽车底漆+面漆，高级技工专业调色，喷漆烤漆，色面光亮平滑。图案丝印，色牢度高。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535*340*230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28437.63</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28437.63</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攀爬设备2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36830</wp:posOffset>
                  </wp:positionV>
                  <wp:extent cx="1719580" cy="936625"/>
                  <wp:effectExtent l="0" t="0" r="13970" b="15875"/>
                  <wp:wrapNone/>
                  <wp:docPr id="69" name="图片_99"/>
                  <wp:cNvGraphicFramePr/>
                  <a:graphic xmlns:a="http://schemas.openxmlformats.org/drawingml/2006/main">
                    <a:graphicData uri="http://schemas.openxmlformats.org/drawingml/2006/picture">
                      <pic:pic xmlns:pic="http://schemas.openxmlformats.org/drawingml/2006/picture">
                        <pic:nvPicPr>
                          <pic:cNvPr id="69" name="图片_99"/>
                          <pic:cNvPicPr/>
                        </pic:nvPicPr>
                        <pic:blipFill>
                          <a:blip r:embed="rId84"/>
                          <a:stretch>
                            <a:fillRect/>
                          </a:stretch>
                        </pic:blipFill>
                        <pic:spPr>
                          <a:xfrm>
                            <a:off x="0" y="0"/>
                            <a:ext cx="1719580" cy="93662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428cm*230cm*6cm,，3mm304不锈钢板，数控高精度等离子切割，高精电脑数控拉弯，高级技工精心焊接，精工打磨，原子灰，迈奇卡特金属专用汽车底漆+面漆，高级技工专业调色，喷漆烤漆，色面光亮平滑。图案丝印，色牢度高。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428*230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22323.20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22323.20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墙面空间喇叭</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113665</wp:posOffset>
                  </wp:positionH>
                  <wp:positionV relativeFrom="paragraph">
                    <wp:posOffset>36830</wp:posOffset>
                  </wp:positionV>
                  <wp:extent cx="1746250" cy="953135"/>
                  <wp:effectExtent l="0" t="0" r="6350" b="18415"/>
                  <wp:wrapNone/>
                  <wp:docPr id="70" name="图片_100"/>
                  <wp:cNvGraphicFramePr/>
                  <a:graphic xmlns:a="http://schemas.openxmlformats.org/drawingml/2006/main">
                    <a:graphicData uri="http://schemas.openxmlformats.org/drawingml/2006/picture">
                      <pic:pic xmlns:pic="http://schemas.openxmlformats.org/drawingml/2006/picture">
                        <pic:nvPicPr>
                          <pic:cNvPr id="70" name="图片_100"/>
                          <pic:cNvPicPr/>
                        </pic:nvPicPr>
                        <pic:blipFill>
                          <a:blip r:embed="rId85"/>
                          <a:stretch>
                            <a:fillRect/>
                          </a:stretch>
                        </pic:blipFill>
                        <pic:spPr>
                          <a:xfrm>
                            <a:off x="0" y="0"/>
                            <a:ext cx="1746250" cy="95313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墙绘1100*270（2层腻子粉打底打磨，喷面漆，画面丙烯颜料）</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3mm304不锈钢烤漆400*113 ，415*132 （直径6cm不锈钢圆管成型，汽车烤漆丝印文字）YANG  AN3mm304不锈钢烤漆,厚度2cm</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1100*270 墙绘</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400*113 小品</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415*132 小品</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11010.09</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11010.09</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桥下集成游乐设施</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66040</wp:posOffset>
                  </wp:positionH>
                  <wp:positionV relativeFrom="paragraph">
                    <wp:posOffset>36830</wp:posOffset>
                  </wp:positionV>
                  <wp:extent cx="1763395" cy="953135"/>
                  <wp:effectExtent l="0" t="0" r="8255" b="18415"/>
                  <wp:wrapNone/>
                  <wp:docPr id="71" name="图片_1"/>
                  <wp:cNvGraphicFramePr/>
                  <a:graphic xmlns:a="http://schemas.openxmlformats.org/drawingml/2006/main">
                    <a:graphicData uri="http://schemas.openxmlformats.org/drawingml/2006/picture">
                      <pic:pic xmlns:pic="http://schemas.openxmlformats.org/drawingml/2006/picture">
                        <pic:nvPicPr>
                          <pic:cNvPr id="71" name="图片_1"/>
                          <pic:cNvPicPr/>
                        </pic:nvPicPr>
                        <pic:blipFill>
                          <a:blip r:embed="rId86"/>
                          <a:stretch>
                            <a:fillRect/>
                          </a:stretch>
                        </pic:blipFill>
                        <pic:spPr>
                          <a:xfrm>
                            <a:off x="0" y="0"/>
                            <a:ext cx="1763395" cy="95313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骨架钢圆管主要采用厚2mm，直径5cm，10cm不锈钢弯圆烤漆，阶梯和大面积平面是2mm厚不锈钢，及不锈钢花纹板，高强度尼龙网绳，80*120cm通道海绵填充，外包皮革。7米加强微型滑索设备一套。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979*800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148785.00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148785.00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洋安家园入口1</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66040</wp:posOffset>
                  </wp:positionH>
                  <wp:positionV relativeFrom="paragraph">
                    <wp:posOffset>99060</wp:posOffset>
                  </wp:positionV>
                  <wp:extent cx="1784350" cy="1024255"/>
                  <wp:effectExtent l="0" t="0" r="6350" b="4445"/>
                  <wp:wrapNone/>
                  <wp:docPr id="72" name="图片_102"/>
                  <wp:cNvGraphicFramePr/>
                  <a:graphic xmlns:a="http://schemas.openxmlformats.org/drawingml/2006/main">
                    <a:graphicData uri="http://schemas.openxmlformats.org/drawingml/2006/picture">
                      <pic:pic xmlns:pic="http://schemas.openxmlformats.org/drawingml/2006/picture">
                        <pic:nvPicPr>
                          <pic:cNvPr id="72" name="图片_102"/>
                          <pic:cNvPicPr/>
                        </pic:nvPicPr>
                        <pic:blipFill>
                          <a:blip r:embed="rId87"/>
                          <a:stretch>
                            <a:fillRect/>
                          </a:stretch>
                        </pic:blipFill>
                        <pic:spPr>
                          <a:xfrm>
                            <a:off x="0" y="0"/>
                            <a:ext cx="1784350" cy="102425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600*270，3*5不锈钢管烤漆,400cm*180cm，235cm*110cm，220cm*305cm厚度7cm。LOGO1CM白色PVC图文丝印。3mm304不锈钢板，正面立体发光字“洋安ANDU”字高65cm，厚度5cm高亮户外防水蓝景LED模组，明伟电源、5mm伸春亚克力，小发光字“中华和文化，洋安和邻里”字高30cm，厚度3cm高亮户外防水蓝景LED模组，明伟电源、5mm伸春亚克力，数控高精度等离子切割，高级技工高技术围边，高级技工精心焊接，精工打磨，原子灰，迈奇卡特金属专用汽车底漆2次+面漆，高级技工专业调色，喷漆烤漆，色面光亮平滑。色牢度高。美观，安全，稳固。水泥底座50cm*600cm*40cm混凝土砌砖，刷白漆</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600*270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42862.33</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42862.33</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洋安家园入口2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125095</wp:posOffset>
                  </wp:positionH>
                  <wp:positionV relativeFrom="paragraph">
                    <wp:posOffset>67310</wp:posOffset>
                  </wp:positionV>
                  <wp:extent cx="1713865" cy="950595"/>
                  <wp:effectExtent l="0" t="0" r="635" b="1905"/>
                  <wp:wrapNone/>
                  <wp:docPr id="73" name="图片_103"/>
                  <wp:cNvGraphicFramePr/>
                  <a:graphic xmlns:a="http://schemas.openxmlformats.org/drawingml/2006/main">
                    <a:graphicData uri="http://schemas.openxmlformats.org/drawingml/2006/picture">
                      <pic:pic xmlns:pic="http://schemas.openxmlformats.org/drawingml/2006/picture">
                        <pic:nvPicPr>
                          <pic:cNvPr id="73" name="图片_103"/>
                          <pic:cNvPicPr/>
                        </pic:nvPicPr>
                        <pic:blipFill>
                          <a:blip r:embed="rId88"/>
                          <a:stretch>
                            <a:fillRect/>
                          </a:stretch>
                        </pic:blipFill>
                        <pic:spPr>
                          <a:xfrm>
                            <a:off x="0" y="0"/>
                            <a:ext cx="1713865" cy="95059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600*260，1.2mm不锈钢冲孔板120cm*200cm*10cm，140cm*110cm*10cm内置蓝景LED灯带，,2mm304不锈钢板，正面立体发光字“洋安ANDU”字高65cm，厚度5cm高亮户外防水蓝景LED模组，明伟电源、5mm伸春亚克力，小发光字“中华和文化，洋安和邻里”字高23cm，厚度3cm高亮户外防水蓝景LED模组，明伟电源、5mm伸春亚克力，立牌80cm*260cm*10cm数控高精度等离子切割，高级技工高技术围边，高级技工精心焊接，精工打磨，原子灰，迈奇卡特金属专用汽车底漆+面漆，高级技工专业调色，喷漆烤漆，色面光亮平滑。色牢度高。美观，安全，稳固。水泥底座50cm*460cm*30cm混凝土砌砖，刷白漆</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600*260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28430.02</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28430.02</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邮箱（改造）</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147320</wp:posOffset>
                  </wp:positionH>
                  <wp:positionV relativeFrom="paragraph">
                    <wp:posOffset>81280</wp:posOffset>
                  </wp:positionV>
                  <wp:extent cx="1670685" cy="957580"/>
                  <wp:effectExtent l="0" t="0" r="5715" b="13970"/>
                  <wp:wrapNone/>
                  <wp:docPr id="74" name="图片_88"/>
                  <wp:cNvGraphicFramePr/>
                  <a:graphic xmlns:a="http://schemas.openxmlformats.org/drawingml/2006/main">
                    <a:graphicData uri="http://schemas.openxmlformats.org/drawingml/2006/picture">
                      <pic:pic xmlns:pic="http://schemas.openxmlformats.org/drawingml/2006/picture">
                        <pic:nvPicPr>
                          <pic:cNvPr id="74" name="图片_88"/>
                          <pic:cNvPicPr/>
                        </pic:nvPicPr>
                        <pic:blipFill>
                          <a:blip r:embed="rId89"/>
                          <a:stretch>
                            <a:fillRect/>
                          </a:stretch>
                        </pic:blipFill>
                        <pic:spPr>
                          <a:xfrm>
                            <a:off x="0" y="0"/>
                            <a:ext cx="1670685" cy="95758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100cm*30cm，3mm304不锈钢板，卡通造型142cm*125cm图文UV印，数控高精度等离子切割，高精电脑数控拉弯，高级技工精心焊接，精工打磨，原子灰，迈奇卡特金属专用汽车底漆+面漆，高级技工专业调色，喷漆烤漆，色面光亮平滑。图案丝印，色牢度高。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100*30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1466.05</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43981.50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9"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电瓶车-充电站</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113665</wp:posOffset>
                  </wp:positionH>
                  <wp:positionV relativeFrom="paragraph">
                    <wp:posOffset>64135</wp:posOffset>
                  </wp:positionV>
                  <wp:extent cx="1783715" cy="986790"/>
                  <wp:effectExtent l="0" t="0" r="6985" b="3810"/>
                  <wp:wrapNone/>
                  <wp:docPr id="75" name="图片_89"/>
                  <wp:cNvGraphicFramePr/>
                  <a:graphic xmlns:a="http://schemas.openxmlformats.org/drawingml/2006/main">
                    <a:graphicData uri="http://schemas.openxmlformats.org/drawingml/2006/picture">
                      <pic:pic xmlns:pic="http://schemas.openxmlformats.org/drawingml/2006/picture">
                        <pic:nvPicPr>
                          <pic:cNvPr id="75" name="图片_89"/>
                          <pic:cNvPicPr/>
                        </pic:nvPicPr>
                        <pic:blipFill>
                          <a:blip r:embed="rId90"/>
                          <a:stretch>
                            <a:fillRect/>
                          </a:stretch>
                        </pic:blipFill>
                        <pic:spPr>
                          <a:xfrm>
                            <a:off x="0" y="0"/>
                            <a:ext cx="1783715" cy="98679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469cm*110cm，620cm*110cm，609cm*110cm，1.5mm不锈钢冲孔板3*3不锈钢烤漆。文字丝印，LOGO白色亚克力文字UV印。不锈钢管数控高精度等离子切割，高精电脑数控拉弯，高级技工精心焊接，精工打磨，原子灰，迈奇卡特金属专用汽车底漆+面漆2次，高级技工专业调色，喷漆烤漆，色面光亮平滑。图案丝印，色牢度高。美观，安全，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469*110  1个</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609*110  2个</w:t>
            </w:r>
            <w:r>
              <w:rPr>
                <w:rFonts w:hint="eastAsia" w:ascii="仿宋" w:hAnsi="仿宋" w:eastAsia="仿宋" w:cs="仿宋"/>
                <w:i w:val="0"/>
                <w:iCs w:val="0"/>
                <w:color w:val="auto"/>
                <w:kern w:val="0"/>
                <w:sz w:val="18"/>
                <w:szCs w:val="18"/>
                <w:highlight w:val="none"/>
                <w:u w:val="none"/>
                <w:lang w:val="en-US" w:eastAsia="zh-CN" w:bidi="ar"/>
              </w:rPr>
              <w:br w:type="textWrapping"/>
            </w:r>
            <w:r>
              <w:rPr>
                <w:rFonts w:hint="eastAsia" w:ascii="仿宋" w:hAnsi="仿宋" w:eastAsia="仿宋" w:cs="仿宋"/>
                <w:i w:val="0"/>
                <w:iCs w:val="0"/>
                <w:color w:val="auto"/>
                <w:kern w:val="0"/>
                <w:sz w:val="18"/>
                <w:szCs w:val="18"/>
                <w:highlight w:val="none"/>
                <w:u w:val="none"/>
                <w:lang w:val="en-US" w:eastAsia="zh-CN" w:bidi="ar"/>
              </w:rPr>
              <w:t>620*110  1个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15038.34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15038.34</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人大之和</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75565</wp:posOffset>
                  </wp:positionH>
                  <wp:positionV relativeFrom="paragraph">
                    <wp:posOffset>65405</wp:posOffset>
                  </wp:positionV>
                  <wp:extent cx="1708785" cy="997585"/>
                  <wp:effectExtent l="0" t="0" r="5715" b="12065"/>
                  <wp:wrapNone/>
                  <wp:docPr id="76" name="图片_86"/>
                  <wp:cNvGraphicFramePr/>
                  <a:graphic xmlns:a="http://schemas.openxmlformats.org/drawingml/2006/main">
                    <a:graphicData uri="http://schemas.openxmlformats.org/drawingml/2006/picture">
                      <pic:pic xmlns:pic="http://schemas.openxmlformats.org/drawingml/2006/picture">
                        <pic:nvPicPr>
                          <pic:cNvPr id="76" name="图片_86"/>
                          <pic:cNvPicPr/>
                        </pic:nvPicPr>
                        <pic:blipFill>
                          <a:blip r:embed="rId91"/>
                          <a:stretch>
                            <a:fillRect/>
                          </a:stretch>
                        </pic:blipFill>
                        <pic:spPr>
                          <a:xfrm>
                            <a:off x="0" y="0"/>
                            <a:ext cx="1708785" cy="99758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465cm*220cm，3mm304不锈钢板烤漆。框架厚度10cm，背板不锈钢立体字文字厚度2cm。钢架不锈钢立体字厚度2cm。数控高精度等离子切割，精工焊接成型，高精电脑数控开槽折弯，拉弯，迈奇卡特金属专用汽车两遍底漆+两遍面漆，高级技工专业调色，喷漆烤漆，色面光亮平滑，美观 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220*465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24024.69</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24024.69</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党建之和</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drawing>
                <wp:inline distT="0" distB="0" distL="114300" distR="114300">
                  <wp:extent cx="1833245" cy="1019175"/>
                  <wp:effectExtent l="0" t="0" r="14605" b="9525"/>
                  <wp:docPr id="77" name="图片 77" descr="2248df5d7d174ca451137c2f43e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248df5d7d174ca451137c2f43e5036"/>
                          <pic:cNvPicPr>
                            <a:picLocks noChangeAspect="1"/>
                          </pic:cNvPicPr>
                        </pic:nvPicPr>
                        <pic:blipFill>
                          <a:blip r:embed="rId92"/>
                          <a:stretch>
                            <a:fillRect/>
                          </a:stretch>
                        </pic:blipFill>
                        <pic:spPr>
                          <a:xfrm>
                            <a:off x="0" y="0"/>
                            <a:ext cx="1833245" cy="1019175"/>
                          </a:xfrm>
                          <a:prstGeom prst="rect">
                            <a:avLst/>
                          </a:prstGeom>
                        </pic:spPr>
                      </pic:pic>
                    </a:graphicData>
                  </a:graphic>
                </wp:inline>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875cm*240cm，3mm*304不锈钢板烤漆。字母立体造型尺寸780cm*240cm镂空部分数控高精度等离子切割，前后不锈钢板错开距离30cm上方连接。黄色不锈钢立体字“党建之和”高度70cm和ANDU英文65cm，高度5CM，卡通造型150cm*240cm*8cm，图案丝印，激光切割，精工焊接成型，高精电脑数控开槽折弯，拉弯，迈奇卡特金属专用汽车两遍底漆+两遍面漆，高级技工专业调色，喷漆烤漆，色面光亮平滑，美观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240*875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33101.59</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33101.59</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标准座椅</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136525</wp:posOffset>
                  </wp:positionH>
                  <wp:positionV relativeFrom="paragraph">
                    <wp:posOffset>134620</wp:posOffset>
                  </wp:positionV>
                  <wp:extent cx="1169035" cy="889000"/>
                  <wp:effectExtent l="0" t="0" r="12065" b="6350"/>
                  <wp:wrapNone/>
                  <wp:docPr id="78" name="图片_99"/>
                  <wp:cNvGraphicFramePr/>
                  <a:graphic xmlns:a="http://schemas.openxmlformats.org/drawingml/2006/main">
                    <a:graphicData uri="http://schemas.openxmlformats.org/drawingml/2006/picture">
                      <pic:pic xmlns:pic="http://schemas.openxmlformats.org/drawingml/2006/picture">
                        <pic:nvPicPr>
                          <pic:cNvPr id="78" name="图片_99"/>
                          <pic:cNvPicPr/>
                        </pic:nvPicPr>
                        <pic:blipFill>
                          <a:blip r:embed="rId93"/>
                          <a:stretch>
                            <a:fillRect/>
                          </a:stretch>
                        </pic:blipFill>
                        <pic:spPr>
                          <a:xfrm>
                            <a:off x="0" y="0"/>
                            <a:ext cx="1169035" cy="88900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尺寸150cm*75cm，50*50mm不锈钢烤漆座椅、防腐木50*20</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150*75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2466.13</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73983.90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标准晾衣架</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38100</wp:posOffset>
                  </wp:positionH>
                  <wp:positionV relativeFrom="paragraph">
                    <wp:posOffset>80010</wp:posOffset>
                  </wp:positionV>
                  <wp:extent cx="1365885" cy="925830"/>
                  <wp:effectExtent l="0" t="0" r="5715" b="7620"/>
                  <wp:wrapNone/>
                  <wp:docPr id="79" name="图片_100"/>
                  <wp:cNvGraphicFramePr/>
                  <a:graphic xmlns:a="http://schemas.openxmlformats.org/drawingml/2006/main">
                    <a:graphicData uri="http://schemas.openxmlformats.org/drawingml/2006/picture">
                      <pic:pic xmlns:pic="http://schemas.openxmlformats.org/drawingml/2006/picture">
                        <pic:nvPicPr>
                          <pic:cNvPr id="79" name="图片_100"/>
                          <pic:cNvPicPr/>
                        </pic:nvPicPr>
                        <pic:blipFill>
                          <a:blip r:embed="rId94"/>
                          <a:stretch>
                            <a:fillRect/>
                          </a:stretch>
                        </pic:blipFill>
                        <pic:spPr>
                          <a:xfrm>
                            <a:off x="0" y="0"/>
                            <a:ext cx="1365885" cy="92583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尺寸200cm*23cm，不锈钢管折弯，拉弧，迈奇卡特金属专用汽车两遍底漆+两遍面漆</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200*23</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58</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577.70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33506.60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在原晾衣架上改造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和睦里休息区</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136525</wp:posOffset>
                  </wp:positionH>
                  <wp:positionV relativeFrom="paragraph">
                    <wp:posOffset>118110</wp:posOffset>
                  </wp:positionV>
                  <wp:extent cx="1339215" cy="854075"/>
                  <wp:effectExtent l="0" t="0" r="13335" b="3175"/>
                  <wp:wrapNone/>
                  <wp:docPr id="80" name="图片_101"/>
                  <wp:cNvGraphicFramePr/>
                  <a:graphic xmlns:a="http://schemas.openxmlformats.org/drawingml/2006/main">
                    <a:graphicData uri="http://schemas.openxmlformats.org/drawingml/2006/picture">
                      <pic:pic xmlns:pic="http://schemas.openxmlformats.org/drawingml/2006/picture">
                        <pic:nvPicPr>
                          <pic:cNvPr id="80" name="图片_101"/>
                          <pic:cNvPicPr/>
                        </pic:nvPicPr>
                        <pic:blipFill>
                          <a:blip r:embed="rId95"/>
                          <a:stretch>
                            <a:fillRect/>
                          </a:stretch>
                        </pic:blipFill>
                        <pic:spPr>
                          <a:xfrm>
                            <a:off x="0" y="0"/>
                            <a:ext cx="1339215" cy="85407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尺寸930cm*315cm*300cm，304不锈钢板烤漆，主钢架结构10*10不锈钢方管，5*5不锈钢方管，1cm钢化玻璃成型，2mmpvc雕刻字、防腐木50*20，桌子5*110*110f防腐木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sz w:val="18"/>
                <w:szCs w:val="18"/>
                <w:highlight w:val="none"/>
                <w:u w:val="none"/>
                <w:lang w:val="en-US" w:eastAsia="zh-CN"/>
              </w:rPr>
              <w:t>930*315*300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99034.78</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99034.78</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和睦里休息座椅1</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156845</wp:posOffset>
                  </wp:positionH>
                  <wp:positionV relativeFrom="paragraph">
                    <wp:posOffset>130810</wp:posOffset>
                  </wp:positionV>
                  <wp:extent cx="1365885" cy="904875"/>
                  <wp:effectExtent l="0" t="0" r="5715" b="9525"/>
                  <wp:wrapNone/>
                  <wp:docPr id="81" name="图片_102_SpCnt_1"/>
                  <wp:cNvGraphicFramePr/>
                  <a:graphic xmlns:a="http://schemas.openxmlformats.org/drawingml/2006/main">
                    <a:graphicData uri="http://schemas.openxmlformats.org/drawingml/2006/picture">
                      <pic:pic xmlns:pic="http://schemas.openxmlformats.org/drawingml/2006/picture">
                        <pic:nvPicPr>
                          <pic:cNvPr id="81" name="图片_102_SpCnt_1"/>
                          <pic:cNvPicPr/>
                        </pic:nvPicPr>
                        <pic:blipFill>
                          <a:blip r:embed="rId96"/>
                          <a:stretch>
                            <a:fillRect/>
                          </a:stretch>
                        </pic:blipFill>
                        <pic:spPr>
                          <a:xfrm>
                            <a:off x="0" y="0"/>
                            <a:ext cx="1365885" cy="90487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尺寸258cm*410cm，50*50mm不锈钢烤漆座椅、防腐木50*20</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258*410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4682.91</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4682.91</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和睦里休息座椅2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60325</wp:posOffset>
                  </wp:positionH>
                  <wp:positionV relativeFrom="paragraph">
                    <wp:posOffset>152400</wp:posOffset>
                  </wp:positionV>
                  <wp:extent cx="1377315" cy="798830"/>
                  <wp:effectExtent l="0" t="0" r="13335" b="1270"/>
                  <wp:wrapNone/>
                  <wp:docPr id="82" name="图片_103_SpCnt_1"/>
                  <wp:cNvGraphicFramePr/>
                  <a:graphic xmlns:a="http://schemas.openxmlformats.org/drawingml/2006/main">
                    <a:graphicData uri="http://schemas.openxmlformats.org/drawingml/2006/picture">
                      <pic:pic xmlns:pic="http://schemas.openxmlformats.org/drawingml/2006/picture">
                        <pic:nvPicPr>
                          <pic:cNvPr id="82" name="图片_103_SpCnt_1"/>
                          <pic:cNvPicPr/>
                        </pic:nvPicPr>
                        <pic:blipFill>
                          <a:blip r:embed="rId97"/>
                          <a:stretch>
                            <a:fillRect/>
                          </a:stretch>
                        </pic:blipFill>
                        <pic:spPr>
                          <a:xfrm>
                            <a:off x="0" y="0"/>
                            <a:ext cx="1377315" cy="79883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尺寸982cm*313cm，50*50mm不锈钢烤漆座椅、防腐木50*20、立体字3mm304不锈钢烤漆，高35cm，厚20cm</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18"/>
                <w:szCs w:val="18"/>
                <w:highlight w:val="none"/>
                <w:u w:val="none"/>
                <w:lang w:val="en-US"/>
              </w:rPr>
            </w:pPr>
            <w:r>
              <w:rPr>
                <w:rFonts w:hint="eastAsia" w:ascii="仿宋" w:hAnsi="仿宋" w:eastAsia="仿宋" w:cs="仿宋"/>
                <w:i w:val="0"/>
                <w:iCs w:val="0"/>
                <w:color w:val="auto"/>
                <w:kern w:val="0"/>
                <w:sz w:val="18"/>
                <w:szCs w:val="18"/>
                <w:highlight w:val="none"/>
                <w:u w:val="none"/>
                <w:lang w:val="en-US" w:eastAsia="zh-CN" w:bidi="ar"/>
              </w:rPr>
              <w:t>982*313</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32015.30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32015.30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和睦里花坛</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98425</wp:posOffset>
                  </wp:positionH>
                  <wp:positionV relativeFrom="paragraph">
                    <wp:posOffset>130810</wp:posOffset>
                  </wp:positionV>
                  <wp:extent cx="1670685" cy="815975"/>
                  <wp:effectExtent l="0" t="0" r="5715" b="3175"/>
                  <wp:wrapNone/>
                  <wp:docPr id="83" name="图片_104"/>
                  <wp:cNvGraphicFramePr/>
                  <a:graphic xmlns:a="http://schemas.openxmlformats.org/drawingml/2006/main">
                    <a:graphicData uri="http://schemas.openxmlformats.org/drawingml/2006/picture">
                      <pic:pic xmlns:pic="http://schemas.openxmlformats.org/drawingml/2006/picture">
                        <pic:nvPicPr>
                          <pic:cNvPr id="83" name="图片_104"/>
                          <pic:cNvPicPr/>
                        </pic:nvPicPr>
                        <pic:blipFill>
                          <a:blip r:embed="rId98"/>
                          <a:stretch>
                            <a:fillRect/>
                          </a:stretch>
                        </pic:blipFill>
                        <pic:spPr>
                          <a:xfrm>
                            <a:off x="0" y="0"/>
                            <a:ext cx="1670685" cy="81597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310cm*310cm，坐凳310*30cm*4条，2mm不锈钢制作烤漆、上铺50*20防腐木，上方靠背部分30*250cm，厚3cm,4条，2mm不锈钢激光切割，精工焊接成型，高精电脑数控开槽折弯，拉弯，迈奇卡特金属专用汽车两遍底漆+两遍面漆，高级技工专业调色，喷漆烤漆，色面光亮平滑，美观 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310*310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22628.40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22628.40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团结里1</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66040</wp:posOffset>
                  </wp:positionH>
                  <wp:positionV relativeFrom="paragraph">
                    <wp:posOffset>59055</wp:posOffset>
                  </wp:positionV>
                  <wp:extent cx="1740535" cy="900430"/>
                  <wp:effectExtent l="0" t="0" r="12065" b="13970"/>
                  <wp:wrapNone/>
                  <wp:docPr id="84" name="图片_118"/>
                  <wp:cNvGraphicFramePr/>
                  <a:graphic xmlns:a="http://schemas.openxmlformats.org/drawingml/2006/main">
                    <a:graphicData uri="http://schemas.openxmlformats.org/drawingml/2006/picture">
                      <pic:pic xmlns:pic="http://schemas.openxmlformats.org/drawingml/2006/picture">
                        <pic:nvPicPr>
                          <pic:cNvPr id="84" name="图片_118"/>
                          <pic:cNvPicPr/>
                        </pic:nvPicPr>
                        <pic:blipFill>
                          <a:blip r:embed="rId99"/>
                          <a:stretch>
                            <a:fillRect/>
                          </a:stretch>
                        </pic:blipFill>
                        <pic:spPr>
                          <a:xfrm>
                            <a:off x="0" y="0"/>
                            <a:ext cx="1740535" cy="90043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尺寸1585cm*580cm*250cm，304不锈钢板烤漆，1cm钢化玻璃成型，防腐木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18"/>
                <w:szCs w:val="18"/>
                <w:highlight w:val="none"/>
                <w:u w:val="none"/>
                <w:lang w:val="en-US"/>
              </w:rPr>
            </w:pPr>
            <w:r>
              <w:rPr>
                <w:rFonts w:hint="eastAsia" w:ascii="仿宋" w:hAnsi="仿宋" w:eastAsia="仿宋" w:cs="仿宋"/>
                <w:i w:val="0"/>
                <w:iCs w:val="0"/>
                <w:color w:val="auto"/>
                <w:kern w:val="0"/>
                <w:sz w:val="18"/>
                <w:szCs w:val="18"/>
                <w:highlight w:val="none"/>
                <w:u w:val="none"/>
                <w:lang w:val="en-US" w:eastAsia="zh-CN" w:bidi="ar"/>
              </w:rPr>
              <w:t>1585*580*250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126244.94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126244.94</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团结里2</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156845</wp:posOffset>
                  </wp:positionH>
                  <wp:positionV relativeFrom="paragraph">
                    <wp:posOffset>120650</wp:posOffset>
                  </wp:positionV>
                  <wp:extent cx="1169670" cy="875030"/>
                  <wp:effectExtent l="0" t="0" r="11430" b="1270"/>
                  <wp:wrapNone/>
                  <wp:docPr id="85" name="图片_112"/>
                  <wp:cNvGraphicFramePr/>
                  <a:graphic xmlns:a="http://schemas.openxmlformats.org/drawingml/2006/main">
                    <a:graphicData uri="http://schemas.openxmlformats.org/drawingml/2006/picture">
                      <pic:pic xmlns:pic="http://schemas.openxmlformats.org/drawingml/2006/picture">
                        <pic:nvPicPr>
                          <pic:cNvPr id="85" name="图片_112"/>
                          <pic:cNvPicPr/>
                        </pic:nvPicPr>
                        <pic:blipFill>
                          <a:blip r:embed="rId100"/>
                          <a:stretch>
                            <a:fillRect/>
                          </a:stretch>
                        </pic:blipFill>
                        <pic:spPr>
                          <a:xfrm>
                            <a:off x="0" y="0"/>
                            <a:ext cx="1169670" cy="87503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尺寸210cm*495cm，50*50mm不锈钢烤漆座椅、上方铺设50*20mm防腐木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210*495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11200.16</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11200.16</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团结里花坛</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43815</wp:posOffset>
                  </wp:positionH>
                  <wp:positionV relativeFrom="paragraph">
                    <wp:posOffset>125095</wp:posOffset>
                  </wp:positionV>
                  <wp:extent cx="1838960" cy="899795"/>
                  <wp:effectExtent l="0" t="0" r="8890" b="14605"/>
                  <wp:wrapNone/>
                  <wp:docPr id="86" name="图片_113"/>
                  <wp:cNvGraphicFramePr/>
                  <a:graphic xmlns:a="http://schemas.openxmlformats.org/drawingml/2006/main">
                    <a:graphicData uri="http://schemas.openxmlformats.org/drawingml/2006/picture">
                      <pic:pic xmlns:pic="http://schemas.openxmlformats.org/drawingml/2006/picture">
                        <pic:nvPicPr>
                          <pic:cNvPr id="86" name="图片_113"/>
                          <pic:cNvPicPr/>
                        </pic:nvPicPr>
                        <pic:blipFill>
                          <a:blip r:embed="rId101"/>
                          <a:stretch>
                            <a:fillRect/>
                          </a:stretch>
                        </pic:blipFill>
                        <pic:spPr>
                          <a:xfrm>
                            <a:off x="0" y="0"/>
                            <a:ext cx="1838960" cy="89979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310cm*310cm，坐凳310*30cm*4条，2mm不锈钢制作烤漆、上铺50*20防腐木，上方靠背部分30*250cm，厚3cm,4条，2mm不锈钢激光切割，精工焊接成型，高精电脑数控开槽折弯，拉弯，迈奇卡特金属专用汽车两遍底漆+两遍面漆，高级技工专业调色，喷漆烤漆，色面光亮平滑，美观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310*310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22628.40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22628.40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幸福里</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75565</wp:posOffset>
                  </wp:positionH>
                  <wp:positionV relativeFrom="paragraph">
                    <wp:posOffset>104140</wp:posOffset>
                  </wp:positionV>
                  <wp:extent cx="1682115" cy="912495"/>
                  <wp:effectExtent l="0" t="0" r="13335" b="1905"/>
                  <wp:wrapNone/>
                  <wp:docPr id="87" name="图片_114"/>
                  <wp:cNvGraphicFramePr/>
                  <a:graphic xmlns:a="http://schemas.openxmlformats.org/drawingml/2006/main">
                    <a:graphicData uri="http://schemas.openxmlformats.org/drawingml/2006/picture">
                      <pic:pic xmlns:pic="http://schemas.openxmlformats.org/drawingml/2006/picture">
                        <pic:nvPicPr>
                          <pic:cNvPr id="87" name="图片_114"/>
                          <pic:cNvPicPr/>
                        </pic:nvPicPr>
                        <pic:blipFill>
                          <a:blip r:embed="rId102"/>
                          <a:stretch>
                            <a:fillRect/>
                          </a:stretch>
                        </pic:blipFill>
                        <pic:spPr>
                          <a:xfrm>
                            <a:off x="0" y="0"/>
                            <a:ext cx="1682115" cy="91249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尺寸480cm*1500cm，10cm， 30cm,不锈钢管弯弧烤漆、立柱10*20，钢化玻璃厂家定制，不锈钢用激光切割，精工焊接成型，高精电脑数控开槽折弯，拉弯，迈奇卡特金属专用汽车两遍底漆+两遍面漆，高级技工专业调色，喷漆烤漆，色面光亮平滑，美观 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480*1500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178542.00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178542.00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幸福里花坛</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86995</wp:posOffset>
                  </wp:positionH>
                  <wp:positionV relativeFrom="paragraph">
                    <wp:posOffset>237490</wp:posOffset>
                  </wp:positionV>
                  <wp:extent cx="1812290" cy="641985"/>
                  <wp:effectExtent l="0" t="0" r="16510" b="5715"/>
                  <wp:wrapNone/>
                  <wp:docPr id="88" name="图片_115"/>
                  <wp:cNvGraphicFramePr/>
                  <a:graphic xmlns:a="http://schemas.openxmlformats.org/drawingml/2006/main">
                    <a:graphicData uri="http://schemas.openxmlformats.org/drawingml/2006/picture">
                      <pic:pic xmlns:pic="http://schemas.openxmlformats.org/drawingml/2006/picture">
                        <pic:nvPicPr>
                          <pic:cNvPr id="88" name="图片_115"/>
                          <pic:cNvPicPr/>
                        </pic:nvPicPr>
                        <pic:blipFill>
                          <a:blip r:embed="rId103"/>
                          <a:stretch>
                            <a:fillRect/>
                          </a:stretch>
                        </pic:blipFill>
                        <pic:spPr>
                          <a:xfrm>
                            <a:off x="0" y="0"/>
                            <a:ext cx="1812290" cy="64198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尺寸直径525cm，3mm304不锈钢烤木纹漆、不锈钢厚度5cm，上方铺防腐木50*30</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直径525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23026.25</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23026.25</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锻炼导视牌</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539115</wp:posOffset>
                  </wp:positionH>
                  <wp:positionV relativeFrom="paragraph">
                    <wp:posOffset>125095</wp:posOffset>
                  </wp:positionV>
                  <wp:extent cx="507365" cy="816610"/>
                  <wp:effectExtent l="0" t="0" r="6985" b="2540"/>
                  <wp:wrapNone/>
                  <wp:docPr id="89" name="图片_116"/>
                  <wp:cNvGraphicFramePr/>
                  <a:graphic xmlns:a="http://schemas.openxmlformats.org/drawingml/2006/main">
                    <a:graphicData uri="http://schemas.openxmlformats.org/drawingml/2006/picture">
                      <pic:pic xmlns:pic="http://schemas.openxmlformats.org/drawingml/2006/picture">
                        <pic:nvPicPr>
                          <pic:cNvPr id="89" name="图片_116"/>
                          <pic:cNvPicPr/>
                        </pic:nvPicPr>
                        <pic:blipFill>
                          <a:blip r:embed="rId104"/>
                          <a:stretch>
                            <a:fillRect/>
                          </a:stretch>
                        </pic:blipFill>
                        <pic:spPr>
                          <a:xfrm>
                            <a:off x="0" y="0"/>
                            <a:ext cx="507365" cy="81661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200cm*60cm，厚度10cm*6cm,3mm304不锈钢板烤漆，凹造型，宽2cm不锈钢包边烤漆，图文丝印。激光切割，精工焊接成型，高精电脑数控开槽折弯，拉弯，迈奇卡特金属专用汽车两遍底漆+两遍面漆，高级技工专业调色，喷漆烤漆，色面光亮平滑，美观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200*60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1308.00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3924.00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六合走廊</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集中便民晾衣点</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408940</wp:posOffset>
                  </wp:positionH>
                  <wp:positionV relativeFrom="paragraph">
                    <wp:posOffset>108585</wp:posOffset>
                  </wp:positionV>
                  <wp:extent cx="756285" cy="841375"/>
                  <wp:effectExtent l="0" t="0" r="5715" b="15875"/>
                  <wp:wrapNone/>
                  <wp:docPr id="90" name="图片_117"/>
                  <wp:cNvGraphicFramePr/>
                  <a:graphic xmlns:a="http://schemas.openxmlformats.org/drawingml/2006/main">
                    <a:graphicData uri="http://schemas.openxmlformats.org/drawingml/2006/picture">
                      <pic:pic xmlns:pic="http://schemas.openxmlformats.org/drawingml/2006/picture">
                        <pic:nvPicPr>
                          <pic:cNvPr id="90" name="图片_117"/>
                          <pic:cNvPicPr/>
                        </pic:nvPicPr>
                        <pic:blipFill>
                          <a:blip r:embed="rId105"/>
                          <a:stretch>
                            <a:fillRect/>
                          </a:stretch>
                        </pic:blipFill>
                        <pic:spPr>
                          <a:xfrm>
                            <a:off x="0" y="0"/>
                            <a:ext cx="756285" cy="84137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200cm*140cm，厚度10cm*6cm,3mm304不锈钢板烤漆，凹造型，宽2cm不锈钢包边烤漆，图文丝印。激光切割，精工焊接成型，高精电脑数控开槽折弯，拉弯，迈奇卡特金属专用汽车两遍底漆+两遍面漆，高级技工专业调色，喷漆烤漆，色面光亮平滑，美观 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200*140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3052.00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12208.00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2"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其他设施</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垃圾收集点</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13335</wp:posOffset>
                  </wp:positionH>
                  <wp:positionV relativeFrom="paragraph">
                    <wp:posOffset>1047750</wp:posOffset>
                  </wp:positionV>
                  <wp:extent cx="1894205" cy="939165"/>
                  <wp:effectExtent l="0" t="0" r="10795" b="13335"/>
                  <wp:wrapNone/>
                  <wp:docPr id="101" name="图片_13_SpCnt_1"/>
                  <wp:cNvGraphicFramePr/>
                  <a:graphic xmlns:a="http://schemas.openxmlformats.org/drawingml/2006/main">
                    <a:graphicData uri="http://schemas.openxmlformats.org/drawingml/2006/picture">
                      <pic:pic xmlns:pic="http://schemas.openxmlformats.org/drawingml/2006/picture">
                        <pic:nvPicPr>
                          <pic:cNvPr id="101" name="图片_13_SpCnt_1"/>
                          <pic:cNvPicPr/>
                        </pic:nvPicPr>
                        <pic:blipFill>
                          <a:blip r:embed="rId106"/>
                          <a:stretch>
                            <a:fillRect/>
                          </a:stretch>
                        </pic:blipFill>
                        <pic:spPr>
                          <a:xfrm>
                            <a:off x="0" y="0"/>
                            <a:ext cx="1894205" cy="93916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垃圾收集点提升：需结合现场实际情况提供后续安装及制作深化方案。</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其他参数具体要求如下：</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尺寸：</w:t>
            </w:r>
            <w:r>
              <w:rPr>
                <w:rFonts w:hint="eastAsia" w:ascii="仿宋" w:hAnsi="仿宋" w:eastAsia="仿宋" w:cs="仿宋"/>
                <w:i w:val="0"/>
                <w:iCs w:val="0"/>
                <w:color w:val="auto"/>
                <w:kern w:val="0"/>
                <w:sz w:val="24"/>
                <w:szCs w:val="24"/>
                <w:highlight w:val="none"/>
                <w:u w:val="none"/>
                <w:lang w:val="en-US" w:eastAsia="zh-CN" w:bidi="ar"/>
              </w:rPr>
              <w:t>1200*300*480cm，（顶部为太阳能电池板）。外部大顶用彩钢板。</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功能需求：</w:t>
            </w:r>
            <w:r>
              <w:rPr>
                <w:rFonts w:hint="default" w:ascii="仿宋" w:hAnsi="仿宋" w:eastAsia="仿宋" w:cs="仿宋"/>
                <w:i w:val="0"/>
                <w:iCs w:val="0"/>
                <w:color w:val="auto"/>
                <w:kern w:val="0"/>
                <w:sz w:val="24"/>
                <w:szCs w:val="24"/>
                <w:highlight w:val="none"/>
                <w:u w:val="none"/>
                <w:lang w:val="en-US" w:eastAsia="zh-CN" w:bidi="ar"/>
              </w:rPr>
              <w:t>①</w:t>
            </w:r>
            <w:r>
              <w:rPr>
                <w:rFonts w:hint="eastAsia" w:ascii="仿宋" w:hAnsi="仿宋" w:eastAsia="仿宋" w:cs="仿宋"/>
                <w:i w:val="0"/>
                <w:iCs w:val="0"/>
                <w:color w:val="auto"/>
                <w:kern w:val="0"/>
                <w:sz w:val="24"/>
                <w:szCs w:val="24"/>
                <w:highlight w:val="none"/>
                <w:u w:val="none"/>
                <w:lang w:val="en-US" w:eastAsia="zh-CN" w:bidi="ar"/>
              </w:rPr>
              <w:t>需有储物间125*170cm，中空结构，内置1P空调。</w:t>
            </w:r>
            <w:r>
              <w:rPr>
                <w:rFonts w:hint="default" w:ascii="仿宋" w:hAnsi="仿宋" w:eastAsia="仿宋" w:cs="仿宋"/>
                <w:i w:val="0"/>
                <w:iCs w:val="0"/>
                <w:color w:val="auto"/>
                <w:kern w:val="0"/>
                <w:sz w:val="24"/>
                <w:szCs w:val="24"/>
                <w:highlight w:val="none"/>
                <w:u w:val="none"/>
                <w:lang w:val="en-US" w:eastAsia="zh-CN" w:bidi="ar"/>
              </w:rPr>
              <w:t>②</w:t>
            </w:r>
            <w:r>
              <w:rPr>
                <w:rFonts w:hint="eastAsia" w:ascii="仿宋" w:hAnsi="仿宋" w:eastAsia="仿宋" w:cs="仿宋"/>
                <w:i w:val="0"/>
                <w:iCs w:val="0"/>
                <w:color w:val="auto"/>
                <w:kern w:val="0"/>
                <w:sz w:val="24"/>
                <w:szCs w:val="24"/>
                <w:highlight w:val="none"/>
                <w:u w:val="none"/>
                <w:lang w:val="en-US" w:eastAsia="zh-CN" w:bidi="ar"/>
              </w:rPr>
              <w:t>玻璃门：2扇，厚4cm白色铝合金玻璃门，外框尺寸215*120cm，215*90cm（此门上方玻璃窗可打开），每个门上下两块8mm钢化玻璃。</w:t>
            </w:r>
            <w:r>
              <w:rPr>
                <w:rFonts w:hint="default" w:ascii="仿宋" w:hAnsi="仿宋" w:eastAsia="仿宋" w:cs="仿宋"/>
                <w:i w:val="0"/>
                <w:iCs w:val="0"/>
                <w:color w:val="auto"/>
                <w:kern w:val="0"/>
                <w:sz w:val="24"/>
                <w:szCs w:val="24"/>
                <w:highlight w:val="none"/>
                <w:u w:val="none"/>
                <w:lang w:val="en-US" w:eastAsia="zh-CN" w:bidi="ar"/>
              </w:rPr>
              <w:t>③</w:t>
            </w:r>
            <w:r>
              <w:rPr>
                <w:rFonts w:hint="eastAsia" w:ascii="仿宋" w:hAnsi="仿宋" w:eastAsia="仿宋" w:cs="仿宋"/>
                <w:i w:val="0"/>
                <w:iCs w:val="0"/>
                <w:color w:val="auto"/>
                <w:kern w:val="0"/>
                <w:sz w:val="24"/>
                <w:szCs w:val="24"/>
                <w:highlight w:val="none"/>
                <w:u w:val="none"/>
                <w:lang w:val="en-US" w:eastAsia="zh-CN" w:bidi="ar"/>
              </w:rPr>
              <w:t>垃圾箱尺寸80*174cm,数量10个，上方38*61cm，安装定时锁。每个垃圾箱门可单独打开，安装门把手和锁，可从前面打开门，取出垃圾桶。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fldChar w:fldCharType="begin"/>
            </w:r>
            <w:r>
              <w:rPr>
                <w:rFonts w:hint="eastAsia" w:ascii="仿宋" w:hAnsi="仿宋" w:eastAsia="仿宋" w:cs="仿宋"/>
                <w:i w:val="0"/>
                <w:iCs w:val="0"/>
                <w:color w:val="auto"/>
                <w:kern w:val="0"/>
                <w:sz w:val="24"/>
                <w:szCs w:val="24"/>
                <w:highlight w:val="none"/>
                <w:u w:val="none"/>
                <w:lang w:val="en-US" w:eastAsia="zh-CN" w:bidi="ar"/>
              </w:rPr>
              <w:instrText xml:space="preserve"> = 4 \* GB3 \* MERGEFORMAT </w:instrText>
            </w:r>
            <w:r>
              <w:rPr>
                <w:rFonts w:hint="eastAsia" w:ascii="仿宋" w:hAnsi="仿宋" w:eastAsia="仿宋" w:cs="仿宋"/>
                <w:i w:val="0"/>
                <w:iCs w:val="0"/>
                <w:color w:val="auto"/>
                <w:kern w:val="0"/>
                <w:sz w:val="24"/>
                <w:szCs w:val="24"/>
                <w:highlight w:val="none"/>
                <w:u w:val="none"/>
                <w:lang w:val="en-US" w:eastAsia="zh-CN" w:bidi="ar"/>
              </w:rPr>
              <w:fldChar w:fldCharType="separate"/>
            </w:r>
            <w:r>
              <w:rPr>
                <w:rFonts w:hint="eastAsia" w:ascii="仿宋" w:hAnsi="仿宋" w:eastAsia="仿宋" w:cs="仿宋"/>
                <w:i w:val="0"/>
                <w:iCs w:val="0"/>
                <w:color w:val="auto"/>
                <w:kern w:val="0"/>
                <w:sz w:val="24"/>
                <w:szCs w:val="24"/>
                <w:highlight w:val="none"/>
                <w:u w:val="none"/>
                <w:lang w:val="en-US" w:eastAsia="zh-CN" w:bidi="ar"/>
              </w:rPr>
              <w:t>④</w:t>
            </w:r>
            <w:r>
              <w:rPr>
                <w:rFonts w:hint="eastAsia" w:ascii="仿宋" w:hAnsi="仿宋" w:eastAsia="仿宋" w:cs="仿宋"/>
                <w:i w:val="0"/>
                <w:iCs w:val="0"/>
                <w:color w:val="auto"/>
                <w:kern w:val="0"/>
                <w:sz w:val="24"/>
                <w:szCs w:val="24"/>
                <w:highlight w:val="none"/>
                <w:u w:val="none"/>
                <w:lang w:val="en-US" w:eastAsia="zh-CN" w:bidi="ar"/>
              </w:rPr>
              <w:fldChar w:fldCharType="end"/>
            </w:r>
            <w:r>
              <w:rPr>
                <w:rFonts w:hint="eastAsia" w:ascii="仿宋" w:hAnsi="仿宋" w:eastAsia="仿宋" w:cs="仿宋"/>
                <w:i w:val="0"/>
                <w:iCs w:val="0"/>
                <w:color w:val="auto"/>
                <w:kern w:val="0"/>
                <w:sz w:val="24"/>
                <w:szCs w:val="24"/>
                <w:highlight w:val="none"/>
                <w:u w:val="none"/>
                <w:lang w:val="en-US" w:eastAsia="zh-CN" w:bidi="ar"/>
              </w:rPr>
              <w:t>预留水池区域空间，地面位置宽80cm*高215cm，位于垃圾房右侧，成品水池，水龙头，排水管，地下安装地漏。水池上方安装宽50*高60cm镜子一面。</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1200*300*480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182827.01</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365654.02</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现场的树木需予以保留，投标供应商需结合现场状况做好相关踏勘工作，并提供安装及制作深化方案。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2"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83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邻里中心</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岗亭</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kern w:val="0"/>
                <w:szCs w:val="21"/>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96520</wp:posOffset>
                  </wp:positionH>
                  <wp:positionV relativeFrom="paragraph">
                    <wp:posOffset>713105</wp:posOffset>
                  </wp:positionV>
                  <wp:extent cx="1721485" cy="1294130"/>
                  <wp:effectExtent l="0" t="0" r="12065" b="1270"/>
                  <wp:wrapNone/>
                  <wp:docPr id="100" name="图片_83"/>
                  <wp:cNvGraphicFramePr/>
                  <a:graphic xmlns:a="http://schemas.openxmlformats.org/drawingml/2006/main">
                    <a:graphicData uri="http://schemas.openxmlformats.org/drawingml/2006/picture">
                      <pic:pic xmlns:pic="http://schemas.openxmlformats.org/drawingml/2006/picture">
                        <pic:nvPicPr>
                          <pic:cNvPr id="100" name="图片_83"/>
                          <pic:cNvPicPr/>
                        </pic:nvPicPr>
                        <pic:blipFill>
                          <a:blip r:embed="rId107"/>
                          <a:stretch>
                            <a:fillRect/>
                          </a:stretch>
                        </pic:blipFill>
                        <pic:spPr>
                          <a:xfrm>
                            <a:off x="0" y="0"/>
                            <a:ext cx="1721485" cy="1294130"/>
                          </a:xfrm>
                          <a:prstGeom prst="rect">
                            <a:avLst/>
                          </a:prstGeom>
                          <a:noFill/>
                          <a:ln>
                            <a:noFill/>
                          </a:ln>
                        </pic:spPr>
                      </pic:pic>
                    </a:graphicData>
                  </a:graphic>
                </wp:anchor>
              </w:drawing>
            </w:r>
            <w:r>
              <w:rPr>
                <w:rFonts w:hint="eastAsia" w:ascii="仿宋" w:hAnsi="仿宋" w:eastAsia="仿宋" w:cs="仿宋"/>
                <w:i w:val="0"/>
                <w:iCs w:val="0"/>
                <w:color w:val="auto"/>
                <w:kern w:val="2"/>
                <w:sz w:val="24"/>
                <w:szCs w:val="24"/>
                <w:highlight w:val="none"/>
                <w:u w:val="none"/>
                <w:lang w:val="en-US" w:eastAsia="zh-CN" w:bidi="ar-SA"/>
              </w:rPr>
              <w:t>原有位置图片：</w:t>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洋安家园岗亭，需箱体定制制作。需求如下：</w:t>
            </w:r>
          </w:p>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1.尺寸规格：需结合现状岗亭尺寸进行设计；</w:t>
            </w:r>
          </w:p>
          <w:p>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2.外形需求：需结合未来社区整体设计及色系进行设计。</w:t>
            </w:r>
          </w:p>
          <w:p>
            <w:pPr>
              <w:keepNext w:val="0"/>
              <w:keepLines w:val="0"/>
              <w:widowControl/>
              <w:suppressLineNumbers w:val="0"/>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bidi="ar"/>
              </w:rPr>
              <w:t>功能需求：满足保安值班、值守等功能。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18"/>
                <w:szCs w:val="18"/>
                <w:highlight w:val="none"/>
                <w:u w:val="none"/>
                <w:lang w:val="en-US" w:eastAsia="zh-CN" w:bidi="ar-SA"/>
              </w:rPr>
            </w:pPr>
            <w:r>
              <w:rPr>
                <w:rFonts w:hint="eastAsia" w:ascii="仿宋" w:hAnsi="仿宋" w:eastAsia="仿宋" w:cs="仿宋"/>
                <w:i w:val="0"/>
                <w:iCs w:val="0"/>
                <w:color w:val="auto"/>
                <w:kern w:val="2"/>
                <w:sz w:val="18"/>
                <w:szCs w:val="18"/>
                <w:highlight w:val="none"/>
                <w:u w:val="none"/>
                <w:lang w:val="en-US" w:eastAsia="zh-CN" w:bidi="ar-SA"/>
              </w:rPr>
              <w:t>/</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2</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90262.90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180525.80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投标供应商需按照需求及现场实地状况进行深化设计，提供相关设计方案。（预算价格不含室内软装及设备。</w:t>
            </w:r>
            <w:r>
              <w:rPr>
                <w:rFonts w:hint="eastAsia" w:ascii="仿宋" w:hAnsi="仿宋" w:eastAsia="仿宋" w:cs="仿宋"/>
                <w:i w:val="0"/>
                <w:iCs w:val="0"/>
                <w:color w:val="auto"/>
                <w:kern w:val="0"/>
                <w:sz w:val="24"/>
                <w:szCs w:val="24"/>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其他设施</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123广场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党群暖心驿站</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141605</wp:posOffset>
                  </wp:positionH>
                  <wp:positionV relativeFrom="paragraph">
                    <wp:posOffset>64135</wp:posOffset>
                  </wp:positionV>
                  <wp:extent cx="1741170" cy="979805"/>
                  <wp:effectExtent l="0" t="0" r="11430" b="10795"/>
                  <wp:wrapNone/>
                  <wp:docPr id="91" name="图片_22"/>
                  <wp:cNvGraphicFramePr/>
                  <a:graphic xmlns:a="http://schemas.openxmlformats.org/drawingml/2006/main">
                    <a:graphicData uri="http://schemas.openxmlformats.org/drawingml/2006/picture">
                      <pic:pic xmlns:pic="http://schemas.openxmlformats.org/drawingml/2006/picture">
                        <pic:nvPicPr>
                          <pic:cNvPr id="91" name="图片_22"/>
                          <pic:cNvPicPr/>
                        </pic:nvPicPr>
                        <pic:blipFill>
                          <a:blip r:embed="rId108"/>
                          <a:stretch>
                            <a:fillRect/>
                          </a:stretch>
                        </pic:blipFill>
                        <pic:spPr>
                          <a:xfrm>
                            <a:off x="0" y="0"/>
                            <a:ext cx="1741170" cy="97980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箱体制作12300mm*4550mm*3000mm，广告工程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1、框架：角件，178*162*118 海运国标4个，顶梁方管，60*120*3.756支顶板，1.2厚集装箱顶板13张，侧板，1.2厚集装箱侧板25张，立柱，150*150*3.75 黑方管4支，底梁，16#槽钢6支，底次梁，50*100*1.6镀锌方管16支，底板，18mm水泥压力板36.9m²，防水箱体防水处理，挡水条接缝防水等，44.7m²，门窗框，100*50*1.6镀锌矩形管12支。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外立面：油漆，原始层打磨/环氧富锌防锈底漆/丙烯酸面漆，96.8m²，门，铝合金12mm钢化玻璃双开推拉门1樘，窗，铝合金中空钢化玻璃推拉折叠上悬窗1套，窗台，1.2镀锌板+1.2瓦楞板+折边加工费1项，玻璃，定制造型中空钢化固定玻璃1项，外立面广告定制不锈钢烤漆字母+定制不锈钢烤漆文化墙+pvc立体雕刻+亚克力UV印刷+放光字体+喷，1套。</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室内基础硬装：保温层，50mm岩棉保温隔热87.6m²，弧形墙板，2.0镀锌板+折边加工费12.8m²，墙板，8mm竹木纤维板53.7m²，顶板，8mm竹木纤维板32.9，m²，地面，pvc地板+辅材36.9，m²，电，配电箱/空开/漏电保护/线管/电缆/开关面板，36.9m²，灯具，暗装射灯/吊灯/氛围灯，1，项，户外防水发光灯带，1项。</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4、内部功能需求：需结合党群驿站要求，进行内部布局设计、内部墙体氛围设计等。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1230*455*300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133906.50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133906.50</w:t>
            </w:r>
          </w:p>
        </w:tc>
        <w:tc>
          <w:tcPr>
            <w:tcW w:w="9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投标供应商需进行内部布局深化设计。（预算价格不含室内软装及设备）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1466"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其他设施</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党群暖心驿站</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125095</wp:posOffset>
                  </wp:positionH>
                  <wp:positionV relativeFrom="paragraph">
                    <wp:posOffset>49530</wp:posOffset>
                  </wp:positionV>
                  <wp:extent cx="1492885" cy="859155"/>
                  <wp:effectExtent l="0" t="0" r="12065" b="17145"/>
                  <wp:wrapNone/>
                  <wp:docPr id="92" name="图片_33"/>
                  <wp:cNvGraphicFramePr/>
                  <a:graphic xmlns:a="http://schemas.openxmlformats.org/drawingml/2006/main">
                    <a:graphicData uri="http://schemas.openxmlformats.org/drawingml/2006/picture">
                      <pic:pic xmlns:pic="http://schemas.openxmlformats.org/drawingml/2006/picture">
                        <pic:nvPicPr>
                          <pic:cNvPr id="92" name="图片_33"/>
                          <pic:cNvPicPr/>
                        </pic:nvPicPr>
                        <pic:blipFill>
                          <a:blip r:embed="rId109"/>
                          <a:stretch>
                            <a:fillRect/>
                          </a:stretch>
                        </pic:blipFill>
                        <pic:spPr>
                          <a:xfrm>
                            <a:off x="0" y="0"/>
                            <a:ext cx="1492885" cy="85915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箱体制作4650mm*2450mm*2700mm，门头造型+广告工程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1、框架：顶梁，方管60*120*2.756支顶板，1.2厚集装箱顶板5张，侧板1.2厚集装箱侧板14张，立柱，150*150*2.75 黑方管4支，底梁，10#槽6支，底次梁，50*100*1.6镀锌方管8支，底板，18mm水泥压力板11.4m²，防水，箱体防水处理，挡水条、接缝防水等，11.4m²，门窗框，100*50*1.6镀锌矩形管8支。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外立面：油漆，原始层打磨/环氧富锌防锈底漆/丙烯酸面漆52.6m²，门，铝合金12mm钢化玻璃双开推拉门1樘，玻璃，定制造型中空钢化固定玻璃1项，广告，定制墙绘+pvc立体雕刻/定制不锈钢烤漆+写真布印刷+亚克力面板1套，门头造型，1.2镀锌板，弯弧加工费+折边加工费1项。3、室内基础硬装：保温层，50mm岩棉保温隔热46.7m²，弧形墙板，2.0镀锌板+折边加工费12.8m²，墙板，8mm竹木纤维板35.3m²，顶板，8mm竹木纤维板11.4m²，地面，pvc地板+辅材11.4m²，电，配电箱/空开/漏电保护/线管/电缆/开关面板11.4m²，灯具，暗装射灯/吊灯/氛围灯1项。</w:t>
            </w:r>
            <w:r>
              <w:rPr>
                <w:rFonts w:hint="eastAsia" w:ascii="仿宋" w:hAnsi="仿宋" w:eastAsia="仿宋" w:cs="仿宋"/>
                <w:b/>
                <w:bCs/>
                <w:i w:val="0"/>
                <w:iCs w:val="0"/>
                <w:color w:val="000000"/>
                <w:kern w:val="0"/>
                <w:sz w:val="24"/>
                <w:szCs w:val="24"/>
                <w:highlight w:val="none"/>
                <w:u w:val="none"/>
                <w:lang w:val="en-US" w:eastAsia="zh-CN" w:bidi="ar"/>
              </w:rPr>
              <w:t>4、内部功能需求：需结合党群驿站要求，进行内部布局设计、内部墙体氛围设计等。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465*270*245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79352.00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79352.00</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投标供应商需进行内部布局深化设计。（预算价格不含室内软装及设备）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353"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其他设施</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桥下空间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未来小店</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153035</wp:posOffset>
                  </wp:positionH>
                  <wp:positionV relativeFrom="paragraph">
                    <wp:posOffset>60325</wp:posOffset>
                  </wp:positionV>
                  <wp:extent cx="1687830" cy="895350"/>
                  <wp:effectExtent l="0" t="0" r="7620" b="0"/>
                  <wp:wrapNone/>
                  <wp:docPr id="93" name="图片_32"/>
                  <wp:cNvGraphicFramePr/>
                  <a:graphic xmlns:a="http://schemas.openxmlformats.org/drawingml/2006/main">
                    <a:graphicData uri="http://schemas.openxmlformats.org/drawingml/2006/picture">
                      <pic:pic xmlns:pic="http://schemas.openxmlformats.org/drawingml/2006/picture">
                        <pic:nvPicPr>
                          <pic:cNvPr id="93" name="图片_32"/>
                          <pic:cNvPicPr/>
                        </pic:nvPicPr>
                        <pic:blipFill>
                          <a:blip r:embed="rId110"/>
                          <a:stretch>
                            <a:fillRect/>
                          </a:stretch>
                        </pic:blipFill>
                        <pic:spPr>
                          <a:xfrm>
                            <a:off x="0" y="0"/>
                            <a:ext cx="1687830" cy="89535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投标供应商需进行内部布局设计、内部墙体氛围设计。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其他要求如下：</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箱体制作7250mm*2700mm*2450mm，广告工程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框架：顶/底梁，160*80*3.75矩形管+弯弧加工费8支，底次梁加固，120*60*2.75镀锌矩形管3支，底次梁，50*100*1.2镀锌矩形管8支，立柱，立柱100*100*2.75管4支，墙/顶板，2.0镀锌板+折边加工费71.3m²，顶次梁加固，120*60*2.75镀锌矩形管3支，弯弧，龙骨弯弧加工费52支，门窗框，100*50*1.6镀锌矩形管8支，底板，18mm水泥压力板19.5m²，防水，箱体防水处理，挡水条、接缝防水等19.5m²，龙骨，顶面80*40*2.0镀锌矩形管竖向龙骨71.3，m²。</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外立面：油漆，原始层打磨/环氧富锌防锈底漆/丙烯酸面漆112.6m²，门，铝合金钢化玻璃自动感应门2樘，窗，铝合金中空钢化玻璃推拉上悬窗1套，玻璃，中空钢化固定玻璃2.2m²，广告，定制墙绘+pvc立体雕刻1套。</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室内基础硬装：保温层，50mm岩棉保温隔热71.3m²，弧形墙板，2.0镀锌板+折边加工费12.8m²，墙板，8mm竹木纤维板39m²，顶板，9mmOSB板+铝方通格栅19.5m²，地面，pvc地板+辅材19.5m²，电，配电箱/空开/漏电保护/线管/电缆/开关面板19.5m²，灯具，长条吸顶灯/吊灯1项，户外防水发光灯带1项。</w:t>
            </w:r>
            <w:r>
              <w:rPr>
                <w:rFonts w:hint="eastAsia" w:ascii="仿宋" w:hAnsi="仿宋" w:eastAsia="仿宋" w:cs="仿宋"/>
                <w:b/>
                <w:bCs/>
                <w:i w:val="0"/>
                <w:iCs w:val="0"/>
                <w:color w:val="000000"/>
                <w:kern w:val="0"/>
                <w:sz w:val="24"/>
                <w:szCs w:val="24"/>
                <w:highlight w:val="none"/>
                <w:u w:val="none"/>
                <w:lang w:val="en-US" w:eastAsia="zh-CN" w:bidi="ar"/>
              </w:rPr>
              <w:t>4、内部功能需求：需结合未来小店使用需求，进行内部布局设计、内部墙体氛围设计等。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725*270*245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119028.00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119028.00</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投标供应商需进行内部布局深化设计。（预算价格不含室内软装及设备）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306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87</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其他设施</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123广场**室</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color w:val="auto"/>
                <w:highlight w:val="none"/>
                <w:lang w:val="en-US" w:eastAsia="zh-CN"/>
              </w:rPr>
            </w:pPr>
            <w:r>
              <w:rPr>
                <w:rFonts w:hint="eastAsia"/>
                <w:color w:val="auto"/>
                <w:highlight w:val="none"/>
                <w:lang w:val="en-US" w:eastAsia="zh-CN"/>
              </w:rPr>
              <w:t>原有位置图片：</w:t>
            </w:r>
          </w:p>
          <w:p>
            <w:pPr>
              <w:keepNext w:val="0"/>
              <w:keepLines w:val="0"/>
              <w:widowControl/>
              <w:suppressLineNumbers w:val="0"/>
              <w:jc w:val="both"/>
              <w:textAlignment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1828800" cy="1028700"/>
                  <wp:effectExtent l="0" t="0" r="0" b="0"/>
                  <wp:docPr id="94" name="图片 94" descr="微信图片_2022052507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微信图片_20220525071914"/>
                          <pic:cNvPicPr>
                            <a:picLocks noChangeAspect="1"/>
                          </pic:cNvPicPr>
                        </pic:nvPicPr>
                        <pic:blipFill>
                          <a:blip r:embed="rId111"/>
                          <a:stretch>
                            <a:fillRect/>
                          </a:stretch>
                        </pic:blipFill>
                        <pic:spPr>
                          <a:xfrm>
                            <a:off x="0" y="0"/>
                            <a:ext cx="1828800" cy="1028700"/>
                          </a:xfrm>
                          <a:prstGeom prst="rect">
                            <a:avLst/>
                          </a:prstGeom>
                        </pic:spPr>
                      </pic:pic>
                    </a:graphicData>
                  </a:graphic>
                </wp:inline>
              </w:drawing>
            </w:r>
          </w:p>
          <w:p>
            <w:pPr>
              <w:pStyle w:val="2"/>
              <w:rPr>
                <w:rFonts w:hint="eastAsia"/>
                <w:color w:val="auto"/>
                <w:highlight w:val="none"/>
                <w:lang w:val="en-US" w:eastAsia="zh-CN"/>
              </w:rPr>
            </w:pPr>
          </w:p>
          <w:p>
            <w:pPr>
              <w:pStyle w:val="25"/>
              <w:rPr>
                <w:rFonts w:hint="eastAsia"/>
                <w:color w:val="auto"/>
                <w:highlight w:val="none"/>
                <w:lang w:val="en-US" w:eastAsia="zh-CN"/>
              </w:rPr>
            </w:pPr>
            <w:r>
              <w:rPr>
                <w:rFonts w:hint="eastAsia"/>
                <w:color w:val="auto"/>
                <w:highlight w:val="none"/>
                <w:lang w:val="en-US" w:eastAsia="zh-CN"/>
              </w:rPr>
              <w:drawing>
                <wp:inline distT="0" distB="0" distL="114300" distR="114300">
                  <wp:extent cx="1799590" cy="1349375"/>
                  <wp:effectExtent l="0" t="0" r="10160" b="3175"/>
                  <wp:docPr id="95" name="图片 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
                          <pic:cNvPicPr>
                            <a:picLocks noChangeAspect="1"/>
                          </pic:cNvPicPr>
                        </pic:nvPicPr>
                        <pic:blipFill>
                          <a:blip r:embed="rId112"/>
                          <a:stretch>
                            <a:fillRect/>
                          </a:stretch>
                        </pic:blipFill>
                        <pic:spPr>
                          <a:xfrm>
                            <a:off x="0" y="0"/>
                            <a:ext cx="1799590" cy="1349375"/>
                          </a:xfrm>
                          <a:prstGeom prst="rect">
                            <a:avLst/>
                          </a:prstGeom>
                        </pic:spPr>
                      </pic:pic>
                    </a:graphicData>
                  </a:graphic>
                </wp:inline>
              </w:drawing>
            </w:r>
          </w:p>
          <w:p>
            <w:pPr>
              <w:pStyle w:val="26"/>
              <w:rPr>
                <w:rFonts w:hint="eastAsia"/>
                <w:color w:val="auto"/>
                <w:highlight w:val="none"/>
                <w:lang w:val="en-US" w:eastAsia="zh-CN"/>
              </w:rPr>
            </w:pP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需按照现状及相关尺寸需求做好深化设计。具体要求如下：</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功能需求：</w:t>
            </w:r>
            <w:r>
              <w:rPr>
                <w:rFonts w:hint="eastAsia" w:ascii="仿宋" w:hAnsi="仿宋" w:eastAsia="仿宋" w:cs="仿宋"/>
                <w:i w:val="0"/>
                <w:iCs w:val="0"/>
                <w:color w:val="auto"/>
                <w:kern w:val="0"/>
                <w:sz w:val="24"/>
                <w:szCs w:val="24"/>
                <w:highlight w:val="none"/>
                <w:u w:val="none"/>
                <w:lang w:val="en-US" w:eastAsia="zh-CN" w:bidi="ar"/>
              </w:rPr>
              <w:t>未来**联勤室，需要有两层。具有接访、会议、监控、办公等功能。</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规格要求：</w:t>
            </w:r>
            <w:r>
              <w:rPr>
                <w:rFonts w:hint="eastAsia" w:ascii="仿宋" w:hAnsi="仿宋" w:eastAsia="仿宋" w:cs="仿宋"/>
                <w:i w:val="0"/>
                <w:iCs w:val="0"/>
                <w:color w:val="auto"/>
                <w:kern w:val="0"/>
                <w:sz w:val="24"/>
                <w:szCs w:val="24"/>
                <w:highlight w:val="none"/>
                <w:u w:val="none"/>
                <w:lang w:val="en-US" w:eastAsia="zh-CN" w:bidi="ar"/>
              </w:rPr>
              <w:t>按照现场实际尺寸进行设计。</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主要材质要求：</w:t>
            </w:r>
            <w:r>
              <w:rPr>
                <w:rFonts w:hint="eastAsia" w:ascii="仿宋" w:hAnsi="仿宋" w:eastAsia="仿宋" w:cs="仿宋"/>
                <w:i w:val="0"/>
                <w:iCs w:val="0"/>
                <w:color w:val="auto"/>
                <w:kern w:val="0"/>
                <w:sz w:val="24"/>
                <w:szCs w:val="24"/>
                <w:highlight w:val="none"/>
                <w:u w:val="none"/>
                <w:lang w:val="en-US" w:eastAsia="zh-CN" w:bidi="ar"/>
              </w:rPr>
              <w:t>1.外立面：油漆，原始层打磨/环氧富锌防锈底漆/丙烯酸面漆，造型框架，2.0镀锌板，门铝合金中空钢化玻璃，窗铝合金中空钢化玻璃，玻璃中空钢化固定玻璃。</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室内基础硬装：保温层，50mm岩棉保温隔热，弧形墙板，2.0镀锌板，墙/顶板8mm竹木纤维板，楼梯室内旋转楼梯3.0花纹钢板/14#槽钢/30*30方管1套，地面pvc地板+辅材，电配电箱/空开/漏电保护/线管/电缆/开关面板，灯具等内容。</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793*570*821</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297570.00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297570.00</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投标供应商需按照需求及现场实地状况进行深化设计，提供相关设计方案。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189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88</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导视系统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公告栏</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153035</wp:posOffset>
                  </wp:positionH>
                  <wp:positionV relativeFrom="paragraph">
                    <wp:posOffset>66040</wp:posOffset>
                  </wp:positionV>
                  <wp:extent cx="1676400" cy="1024255"/>
                  <wp:effectExtent l="0" t="0" r="0" b="4445"/>
                  <wp:wrapNone/>
                  <wp:docPr id="96" name="图片_3"/>
                  <wp:cNvGraphicFramePr/>
                  <a:graphic xmlns:a="http://schemas.openxmlformats.org/drawingml/2006/main">
                    <a:graphicData uri="http://schemas.openxmlformats.org/drawingml/2006/picture">
                      <pic:pic xmlns:pic="http://schemas.openxmlformats.org/drawingml/2006/picture">
                        <pic:nvPicPr>
                          <pic:cNvPr id="96" name="图片_3"/>
                          <pic:cNvPicPr/>
                        </pic:nvPicPr>
                        <pic:blipFill>
                          <a:blip r:embed="rId113"/>
                          <a:stretch>
                            <a:fillRect/>
                          </a:stretch>
                        </pic:blipFill>
                        <pic:spPr>
                          <a:xfrm>
                            <a:off x="0" y="0"/>
                            <a:ext cx="1676400" cy="102425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245cm*313cm，厚度10cm*6cm,3mm304不锈钢板激光切割，凹造型，宽2cm不锈钢包边烤漆，图文丝印。下面黑色部分镂空，厚度2cm，内装蓝景LED发光灯带，公告栏20cm立体字厚度3cm。激光切割，精工焊接成型，内部钢架支撑，高精电脑数控开槽折弯，拉弯，迈奇卡特金属专用汽车两遍底漆+两遍面漆，高级技工专业调色，喷漆烤漆，色面光亮平滑，美观 稳固。</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液压顶杆开盖方式，5mm亚克力面盖</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313*245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8357.14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33428.56</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导视系统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停车场</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446405</wp:posOffset>
                  </wp:positionH>
                  <wp:positionV relativeFrom="paragraph">
                    <wp:posOffset>58420</wp:posOffset>
                  </wp:positionV>
                  <wp:extent cx="942340" cy="850265"/>
                  <wp:effectExtent l="0" t="0" r="10160" b="6985"/>
                  <wp:wrapNone/>
                  <wp:docPr id="97" name="图片_2"/>
                  <wp:cNvGraphicFramePr/>
                  <a:graphic xmlns:a="http://schemas.openxmlformats.org/drawingml/2006/main">
                    <a:graphicData uri="http://schemas.openxmlformats.org/drawingml/2006/picture">
                      <pic:pic xmlns:pic="http://schemas.openxmlformats.org/drawingml/2006/picture">
                        <pic:nvPicPr>
                          <pic:cNvPr id="97" name="图片_2"/>
                          <pic:cNvPicPr/>
                        </pic:nvPicPr>
                        <pic:blipFill>
                          <a:blip r:embed="rId114"/>
                          <a:stretch>
                            <a:fillRect/>
                          </a:stretch>
                        </pic:blipFill>
                        <pic:spPr>
                          <a:xfrm>
                            <a:off x="0" y="0"/>
                            <a:ext cx="942340" cy="85026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60cm*295cm*10cm，3mm304不锈钢板激光切割，凹造型，宽2cm不锈钢包边烤漆，图文丝印。下面黑色部分镂空，厚度1cm，P字38cm厚度3cm厚立体字，停车场1cm立体字。精工焊接成型，高精电脑数控开槽折弯，拉弯，迈奇卡特金属专用汽车两遍底漆+两遍面漆，高级技工专业调色，喷漆烤漆，色面光亮平滑，美观 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295*60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5264.66</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26323.30</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7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导视系统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导视牌</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380365</wp:posOffset>
                  </wp:positionH>
                  <wp:positionV relativeFrom="paragraph">
                    <wp:posOffset>47625</wp:posOffset>
                  </wp:positionV>
                  <wp:extent cx="1038860" cy="953770"/>
                  <wp:effectExtent l="0" t="0" r="8890" b="17780"/>
                  <wp:wrapNone/>
                  <wp:docPr id="102" name="图片_1"/>
                  <wp:cNvGraphicFramePr/>
                  <a:graphic xmlns:a="http://schemas.openxmlformats.org/drawingml/2006/main">
                    <a:graphicData uri="http://schemas.openxmlformats.org/drawingml/2006/picture">
                      <pic:pic xmlns:pic="http://schemas.openxmlformats.org/drawingml/2006/picture">
                        <pic:nvPicPr>
                          <pic:cNvPr id="102" name="图片_1"/>
                          <pic:cNvPicPr/>
                        </pic:nvPicPr>
                        <pic:blipFill>
                          <a:blip r:embed="rId115"/>
                          <a:stretch>
                            <a:fillRect/>
                          </a:stretch>
                        </pic:blipFill>
                        <pic:spPr>
                          <a:xfrm>
                            <a:off x="0" y="0"/>
                            <a:ext cx="1038860" cy="95377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60cm*250cm*8cm，3mm304不锈钢板激光切割，凹造型，宽2cm不锈钢包边烤漆，图文丝印。下面黑色部分镂空，厚度1cm，精工焊接成型，高精电脑数控开槽折弯，拉弯，迈奇卡特金属专用汽车两遍底漆+两遍面漆，高级技工专业调色，喷漆烤漆，色面光亮平滑，美观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250*60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1635.00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24525.00</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170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导视系统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提示牌</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136525</wp:posOffset>
                  </wp:positionH>
                  <wp:positionV relativeFrom="paragraph">
                    <wp:posOffset>25400</wp:posOffset>
                  </wp:positionV>
                  <wp:extent cx="1664335" cy="959485"/>
                  <wp:effectExtent l="0" t="0" r="12065" b="12065"/>
                  <wp:wrapNone/>
                  <wp:docPr id="103" name="图片_4"/>
                  <wp:cNvGraphicFramePr/>
                  <a:graphic xmlns:a="http://schemas.openxmlformats.org/drawingml/2006/main">
                    <a:graphicData uri="http://schemas.openxmlformats.org/drawingml/2006/picture">
                      <pic:pic xmlns:pic="http://schemas.openxmlformats.org/drawingml/2006/picture">
                        <pic:nvPicPr>
                          <pic:cNvPr id="103" name="图片_4"/>
                          <pic:cNvPicPr/>
                        </pic:nvPicPr>
                        <pic:blipFill>
                          <a:blip r:embed="rId116"/>
                          <a:stretch>
                            <a:fillRect/>
                          </a:stretch>
                        </pic:blipFill>
                        <pic:spPr>
                          <a:xfrm>
                            <a:off x="0" y="0"/>
                            <a:ext cx="1664335" cy="95948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尺寸60cm*53cm，30*30不锈钢方管，厚度2cm，3mm304不锈钢板烤漆，画面高精UV。3mm304不锈钢板激光切割，精工焊接成型，内部钢架支撑，高精电脑数控开槽折弯，拉弯，迈奇卡特金属专用汽车两遍底漆+两遍面漆，高级技工专业调色，喷漆烤漆，色面光亮平滑，美观 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仿宋" w:hAnsi="仿宋" w:eastAsia="仿宋" w:cs="仿宋"/>
                <w:i w:val="0"/>
                <w:iCs w:val="0"/>
                <w:color w:val="auto"/>
                <w:sz w:val="18"/>
                <w:szCs w:val="18"/>
                <w:highlight w:val="none"/>
                <w:u w:val="none"/>
                <w:lang w:val="en-US" w:eastAsia="zh-CN"/>
              </w:rPr>
            </w:pPr>
            <w:r>
              <w:rPr>
                <w:rFonts w:hint="eastAsia" w:ascii="仿宋" w:hAnsi="仿宋" w:eastAsia="仿宋" w:cs="仿宋"/>
                <w:i w:val="0"/>
                <w:iCs w:val="0"/>
                <w:color w:val="auto"/>
                <w:sz w:val="18"/>
                <w:szCs w:val="18"/>
                <w:highlight w:val="none"/>
                <w:u w:val="none"/>
              </w:rPr>
              <w:t>60*</w:t>
            </w:r>
            <w:r>
              <w:rPr>
                <w:rFonts w:hint="eastAsia" w:ascii="仿宋" w:hAnsi="仿宋" w:eastAsia="仿宋" w:cs="仿宋"/>
                <w:i w:val="0"/>
                <w:iCs w:val="0"/>
                <w:color w:val="auto"/>
                <w:sz w:val="18"/>
                <w:szCs w:val="18"/>
                <w:highlight w:val="none"/>
                <w:u w:val="none"/>
                <w:lang w:val="en-US" w:eastAsia="zh-CN"/>
              </w:rPr>
              <w:t>53</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314.01</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6280.20</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1个牌子为1个，总共20个。需制作样品1个。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168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导视系统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风向标</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162560</wp:posOffset>
                  </wp:positionH>
                  <wp:positionV relativeFrom="paragraph">
                    <wp:posOffset>108585</wp:posOffset>
                  </wp:positionV>
                  <wp:extent cx="1714500" cy="920750"/>
                  <wp:effectExtent l="0" t="0" r="0" b="12700"/>
                  <wp:wrapNone/>
                  <wp:docPr id="104" name="图片_1"/>
                  <wp:cNvGraphicFramePr/>
                  <a:graphic xmlns:a="http://schemas.openxmlformats.org/drawingml/2006/main">
                    <a:graphicData uri="http://schemas.openxmlformats.org/drawingml/2006/picture">
                      <pic:pic xmlns:pic="http://schemas.openxmlformats.org/drawingml/2006/picture">
                        <pic:nvPicPr>
                          <pic:cNvPr id="104" name="图片_1"/>
                          <pic:cNvPicPr/>
                        </pic:nvPicPr>
                        <pic:blipFill>
                          <a:blip r:embed="rId117"/>
                          <a:stretch>
                            <a:fillRect/>
                          </a:stretch>
                        </pic:blipFill>
                        <pic:spPr>
                          <a:xfrm>
                            <a:off x="0" y="0"/>
                            <a:ext cx="1714500" cy="92075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240cm，立柱用12*12cm不锈钢，指示牌3个，尺寸20*60cm，上下框3*3cm牌子厚1.5cm，上贴5mm立体字。激光切割，精工焊接成型，高精电脑数控开槽折弯，拉弯，迈奇卡特金属专用汽车两遍底漆+两遍面漆，高级技工专业调色，喷漆烤漆，色面光亮平滑，美观 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108*240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1962.00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39240.00</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170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导视系统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导视标牌</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109855</wp:posOffset>
                  </wp:positionH>
                  <wp:positionV relativeFrom="paragraph">
                    <wp:posOffset>59055</wp:posOffset>
                  </wp:positionV>
                  <wp:extent cx="1731010" cy="921385"/>
                  <wp:effectExtent l="0" t="0" r="2540" b="12065"/>
                  <wp:wrapNone/>
                  <wp:docPr id="105" name="图片_1_SpCnt_1"/>
                  <wp:cNvGraphicFramePr/>
                  <a:graphic xmlns:a="http://schemas.openxmlformats.org/drawingml/2006/main">
                    <a:graphicData uri="http://schemas.openxmlformats.org/drawingml/2006/picture">
                      <pic:pic xmlns:pic="http://schemas.openxmlformats.org/drawingml/2006/picture">
                        <pic:nvPicPr>
                          <pic:cNvPr id="105" name="图片_1_SpCnt_1"/>
                          <pic:cNvPicPr/>
                        </pic:nvPicPr>
                        <pic:blipFill>
                          <a:blip r:embed="rId118"/>
                          <a:stretch>
                            <a:fillRect/>
                          </a:stretch>
                        </pic:blipFill>
                        <pic:spPr>
                          <a:xfrm>
                            <a:off x="0" y="0"/>
                            <a:ext cx="1731010" cy="921385"/>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20cm*45cm，2个为1对。3mm304不锈钢板内凹造型，厚度2cm，内凹造型，厚度1.5cm。3mm304不锈钢板，文字丝印，3mm304不锈钢板激光切割，精工焊接成型，高精电脑数控开槽折弯，拉弯，迈奇卡特金属专用汽车两遍底漆+两遍面漆，高级技工专业调色，喷漆烤漆，色面光亮平滑，美观 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20*45</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对</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235.44</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1177.20</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2个为1对，总共5对。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164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导视系统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果皮箱</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156845</wp:posOffset>
                  </wp:positionH>
                  <wp:positionV relativeFrom="paragraph">
                    <wp:posOffset>77470</wp:posOffset>
                  </wp:positionV>
                  <wp:extent cx="1708785" cy="905510"/>
                  <wp:effectExtent l="0" t="0" r="5715" b="8890"/>
                  <wp:wrapNone/>
                  <wp:docPr id="106" name="图片_1_SpCnt_2"/>
                  <wp:cNvGraphicFramePr/>
                  <a:graphic xmlns:a="http://schemas.openxmlformats.org/drawingml/2006/main">
                    <a:graphicData uri="http://schemas.openxmlformats.org/drawingml/2006/picture">
                      <pic:pic xmlns:pic="http://schemas.openxmlformats.org/drawingml/2006/picture">
                        <pic:nvPicPr>
                          <pic:cNvPr id="106" name="图片_1_SpCnt_2"/>
                          <pic:cNvPicPr/>
                        </pic:nvPicPr>
                        <pic:blipFill>
                          <a:blip r:embed="rId119"/>
                          <a:stretch>
                            <a:fillRect/>
                          </a:stretch>
                        </pic:blipFill>
                        <pic:spPr>
                          <a:xfrm>
                            <a:off x="0" y="0"/>
                            <a:ext cx="1708785" cy="90551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95*100cm，厚度40cm，外框用4*4cm不锈钢方管，正面2mm不锈钢烤漆贴片，侧面与方管内侧齐平。配35*30*65cm内桶。</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以上用不锈激光切割，精工焊接成型，高精电脑数控开槽折弯，拉弯，迈奇卡特金属专用汽车两遍底漆+两遍面漆，高级技工专业调色，喷漆烤漆，色面光亮平滑，美观 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100*95*40</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2180.00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87200.00</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1644"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95</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导视系统</w:t>
            </w:r>
          </w:p>
        </w:tc>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宠物拾便箱</w:t>
            </w:r>
          </w:p>
        </w:tc>
        <w:tc>
          <w:tcPr>
            <w:tcW w:w="31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647065</wp:posOffset>
                  </wp:positionH>
                  <wp:positionV relativeFrom="paragraph">
                    <wp:posOffset>52705</wp:posOffset>
                  </wp:positionV>
                  <wp:extent cx="527685" cy="905510"/>
                  <wp:effectExtent l="0" t="0" r="5715" b="8890"/>
                  <wp:wrapNone/>
                  <wp:docPr id="107" name="图片_102"/>
                  <wp:cNvGraphicFramePr/>
                  <a:graphic xmlns:a="http://schemas.openxmlformats.org/drawingml/2006/main">
                    <a:graphicData uri="http://schemas.openxmlformats.org/drawingml/2006/picture">
                      <pic:pic xmlns:pic="http://schemas.openxmlformats.org/drawingml/2006/picture">
                        <pic:nvPicPr>
                          <pic:cNvPr id="107" name="图片_102"/>
                          <pic:cNvPicPr/>
                        </pic:nvPicPr>
                        <pic:blipFill>
                          <a:blip r:embed="rId120"/>
                          <a:stretch>
                            <a:fillRect/>
                          </a:stretch>
                        </pic:blipFill>
                        <pic:spPr>
                          <a:xfrm>
                            <a:off x="0" y="0"/>
                            <a:ext cx="527685" cy="905510"/>
                          </a:xfrm>
                          <a:prstGeom prst="rect">
                            <a:avLst/>
                          </a:prstGeom>
                          <a:noFill/>
                          <a:ln>
                            <a:noFill/>
                          </a:ln>
                        </pic:spPr>
                      </pic:pic>
                    </a:graphicData>
                  </a:graphic>
                </wp:anchor>
              </w:drawing>
            </w:r>
          </w:p>
        </w:tc>
        <w:tc>
          <w:tcPr>
            <w:tcW w:w="4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尺寸35cm*160cm，厚度20cm，20*20mm不锈钢管。下面箱体66cm*32cm,3mm304不锈钢板烤漆，LOGO白色烤漆，脚爪白色浮雕图标，字3mm不锈钢烤漆贴面，上面箱体33cm*43cm镂空开口，3mm304不锈钢板烤漆沉浸0.5mm造型，文字丝印。3mm304不锈激光切割，精工焊接成型，高精电脑数控开槽折弯，拉弯，迈奇卡特金属专用汽车两遍底漆+两遍面漆，高级技工专业调色，喷漆烤漆，色面光亮平滑，美观稳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160*33</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20</w:t>
            </w:r>
          </w:p>
        </w:tc>
        <w:tc>
          <w:tcPr>
            <w:tcW w:w="1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18"/>
                <w:szCs w:val="18"/>
                <w:highlight w:val="none"/>
                <w:u w:val="none"/>
                <w:lang w:val="en-US" w:eastAsia="zh-CN" w:bidi="ar"/>
              </w:rPr>
              <w:t>1090.00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21800.00</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dxa"/>
          <w:trHeight w:val="729" w:hRule="atLeast"/>
          <w:jc w:val="center"/>
        </w:trPr>
        <w:tc>
          <w:tcPr>
            <w:tcW w:w="15149"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总计：人民币（大写）：肆佰伍拾叁万贰仟伍佰叁拾捌元伍角贰分元（￥：4532538.52）</w:t>
            </w:r>
          </w:p>
        </w:tc>
      </w:tr>
    </w:tbl>
    <w:p>
      <w:pPr>
        <w:keepNext w:val="0"/>
        <w:keepLines w:val="0"/>
        <w:pageBreakBefore w:val="0"/>
        <w:widowControl w:val="0"/>
        <w:kinsoku/>
        <w:wordWrap/>
        <w:overflowPunct/>
        <w:topLinePunct w:val="0"/>
        <w:bidi w:val="0"/>
        <w:adjustRightInd/>
        <w:snapToGrid/>
        <w:spacing w:line="360" w:lineRule="auto"/>
        <w:ind w:firstLine="482" w:firstLineChars="200"/>
        <w:jc w:val="left"/>
        <w:textAlignment w:val="auto"/>
        <w:rPr>
          <w:rFonts w:hint="eastAsia" w:ascii="仿宋" w:hAnsi="仿宋" w:eastAsia="仿宋" w:cs="仿宋"/>
          <w:b/>
          <w:bCs/>
          <w:color w:val="auto"/>
          <w:sz w:val="22"/>
          <w:szCs w:val="22"/>
          <w:highlight w:val="none"/>
          <w:lang w:eastAsia="zh-CN"/>
        </w:rPr>
      </w:pPr>
      <w:r>
        <w:rPr>
          <w:rFonts w:hint="eastAsia" w:ascii="仿宋" w:hAnsi="仿宋" w:eastAsia="仿宋" w:cs="仿宋"/>
          <w:b/>
          <w:bCs/>
          <w:color w:val="auto"/>
          <w:sz w:val="24"/>
          <w:highlight w:val="none"/>
          <w:lang w:eastAsia="zh-CN"/>
        </w:rPr>
        <w:t>注：</w:t>
      </w:r>
      <w:r>
        <w:rPr>
          <w:rFonts w:hint="eastAsia" w:ascii="仿宋" w:hAnsi="仿宋" w:eastAsia="仿宋" w:cs="仿宋"/>
          <w:b/>
          <w:bCs/>
          <w:color w:val="auto"/>
          <w:sz w:val="22"/>
          <w:szCs w:val="22"/>
          <w:highlight w:val="none"/>
          <w:lang w:val="en-US" w:eastAsia="zh-CN"/>
        </w:rPr>
        <w:t>1.</w:t>
      </w:r>
      <w:r>
        <w:rPr>
          <w:rFonts w:hint="eastAsia" w:ascii="仿宋" w:hAnsi="仿宋" w:eastAsia="仿宋" w:cs="仿宋"/>
          <w:b/>
          <w:bCs/>
          <w:snapToGrid/>
          <w:color w:val="auto"/>
          <w:kern w:val="2"/>
          <w:sz w:val="22"/>
          <w:szCs w:val="22"/>
          <w:highlight w:val="none"/>
          <w:lang w:val="en-US" w:eastAsia="zh-CN" w:bidi="ar-SA"/>
        </w:rPr>
        <w:t>部分项目要求供应商进行深化设计，供应商应结合现场踏勘情况及相关功能需求进行深化设计，并提供相应设计方案。</w:t>
      </w:r>
    </w:p>
    <w:p>
      <w:pPr>
        <w:pStyle w:val="25"/>
        <w:keepNext w:val="0"/>
        <w:keepLines w:val="0"/>
        <w:pageBreakBefore w:val="0"/>
        <w:widowControl w:val="0"/>
        <w:kinsoku/>
        <w:wordWrap/>
        <w:overflowPunct/>
        <w:topLinePunct w:val="0"/>
        <w:bidi w:val="0"/>
        <w:adjustRightInd/>
        <w:snapToGrid/>
        <w:ind w:firstLine="442" w:firstLineChars="200"/>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snapToGrid/>
          <w:color w:val="auto"/>
          <w:kern w:val="2"/>
          <w:sz w:val="22"/>
          <w:szCs w:val="22"/>
          <w:highlight w:val="none"/>
          <w:lang w:val="en-US" w:eastAsia="zh-CN" w:bidi="ar-SA"/>
        </w:rPr>
        <w:t>2.</w:t>
      </w:r>
      <w:r>
        <w:rPr>
          <w:rFonts w:hint="eastAsia" w:ascii="仿宋" w:hAnsi="仿宋" w:eastAsia="仿宋" w:cs="仿宋"/>
          <w:b/>
          <w:bCs/>
          <w:color w:val="auto"/>
          <w:sz w:val="22"/>
          <w:szCs w:val="20"/>
          <w:highlight w:val="none"/>
          <w:lang w:eastAsia="zh-CN"/>
        </w:rPr>
        <w:t>因文本展现能力有限，具体设计图作为附件上传，是本采购需求的组成部分。若上述采购清单或上传的设计图要求与正式图纸不一致的，以</w:t>
      </w:r>
      <w:r>
        <w:rPr>
          <w:rFonts w:hint="eastAsia" w:ascii="仿宋" w:hAnsi="仿宋" w:eastAsia="仿宋" w:cs="仿宋"/>
          <w:b/>
          <w:bCs/>
          <w:color w:val="auto"/>
          <w:sz w:val="22"/>
          <w:szCs w:val="20"/>
          <w:highlight w:val="none"/>
          <w:lang w:val="en-US" w:eastAsia="zh-CN"/>
        </w:rPr>
        <w:t>采购人确定的</w:t>
      </w:r>
      <w:r>
        <w:rPr>
          <w:rFonts w:hint="eastAsia" w:ascii="仿宋" w:hAnsi="仿宋" w:eastAsia="仿宋" w:cs="仿宋"/>
          <w:b/>
          <w:bCs/>
          <w:color w:val="auto"/>
          <w:sz w:val="22"/>
          <w:szCs w:val="20"/>
          <w:highlight w:val="none"/>
          <w:lang w:eastAsia="zh-CN"/>
        </w:rPr>
        <w:t>正式图纸为准。</w:t>
      </w:r>
    </w:p>
    <w:p>
      <w:pPr>
        <w:pStyle w:val="26"/>
        <w:ind w:left="0" w:leftChars="0" w:firstLine="0" w:firstLineChars="0"/>
        <w:rPr>
          <w:rFonts w:hint="default"/>
          <w:color w:val="auto"/>
          <w:highlight w:val="none"/>
          <w:lang w:val="en-US" w:eastAsia="zh-CN"/>
        </w:rPr>
        <w:sectPr>
          <w:pgSz w:w="16838" w:h="11906" w:orient="landscape"/>
          <w:pgMar w:top="1588" w:right="2098" w:bottom="1474" w:left="1985" w:header="851" w:footer="1588" w:gutter="0"/>
          <w:cols w:space="720" w:num="1"/>
          <w:docGrid w:type="lines" w:linePitch="312" w:charSpace="0"/>
        </w:sectPr>
      </w:pPr>
    </w:p>
    <w:p>
      <w:pPr>
        <w:spacing w:line="360" w:lineRule="auto"/>
        <w:ind w:firstLine="48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2、小样清单</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735"/>
        <w:gridCol w:w="3036"/>
        <w:gridCol w:w="2356"/>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Align w:val="center"/>
          </w:tcPr>
          <w:p>
            <w:pPr>
              <w:spacing w:line="360" w:lineRule="auto"/>
              <w:jc w:val="center"/>
              <w:rPr>
                <w:rFonts w:hint="eastAsia" w:ascii="仿宋" w:hAnsi="仿宋" w:eastAsia="仿宋" w:cs="仿宋"/>
                <w:b/>
                <w:bCs/>
                <w:color w:val="auto"/>
                <w:sz w:val="24"/>
                <w:highlight w:val="none"/>
                <w:vertAlign w:val="baseline"/>
                <w:lang w:eastAsia="zh-CN"/>
              </w:rPr>
            </w:pPr>
            <w:r>
              <w:rPr>
                <w:rFonts w:hint="eastAsia" w:ascii="仿宋" w:hAnsi="仿宋" w:eastAsia="仿宋" w:cs="仿宋"/>
                <w:b/>
                <w:bCs/>
                <w:color w:val="auto"/>
                <w:sz w:val="24"/>
                <w:highlight w:val="none"/>
                <w:vertAlign w:val="baseline"/>
                <w:lang w:eastAsia="zh-CN"/>
              </w:rPr>
              <w:t>序号</w:t>
            </w:r>
          </w:p>
        </w:tc>
        <w:tc>
          <w:tcPr>
            <w:tcW w:w="1735" w:type="dxa"/>
            <w:vAlign w:val="center"/>
          </w:tcPr>
          <w:p>
            <w:pPr>
              <w:spacing w:line="360" w:lineRule="auto"/>
              <w:jc w:val="center"/>
              <w:rPr>
                <w:rFonts w:hint="eastAsia" w:ascii="仿宋" w:hAnsi="仿宋" w:eastAsia="仿宋" w:cs="仿宋"/>
                <w:b/>
                <w:bCs/>
                <w:color w:val="auto"/>
                <w:sz w:val="24"/>
                <w:highlight w:val="none"/>
                <w:vertAlign w:val="baseline"/>
                <w:lang w:eastAsia="zh-CN"/>
              </w:rPr>
            </w:pPr>
            <w:r>
              <w:rPr>
                <w:rFonts w:hint="eastAsia" w:ascii="仿宋" w:hAnsi="仿宋" w:eastAsia="仿宋" w:cs="仿宋"/>
                <w:b/>
                <w:bCs/>
                <w:color w:val="auto"/>
                <w:sz w:val="24"/>
                <w:highlight w:val="none"/>
                <w:vertAlign w:val="baseline"/>
                <w:lang w:eastAsia="zh-CN"/>
              </w:rPr>
              <w:t>名称</w:t>
            </w:r>
          </w:p>
        </w:tc>
        <w:tc>
          <w:tcPr>
            <w:tcW w:w="3036" w:type="dxa"/>
            <w:vAlign w:val="center"/>
          </w:tcPr>
          <w:p>
            <w:pPr>
              <w:spacing w:line="360" w:lineRule="auto"/>
              <w:jc w:val="center"/>
              <w:rPr>
                <w:rFonts w:hint="eastAsia" w:ascii="仿宋" w:hAnsi="仿宋" w:eastAsia="仿宋" w:cs="仿宋"/>
                <w:b/>
                <w:bCs/>
                <w:color w:val="auto"/>
                <w:sz w:val="24"/>
                <w:highlight w:val="none"/>
                <w:vertAlign w:val="baseline"/>
                <w:lang w:eastAsia="zh-CN"/>
              </w:rPr>
            </w:pPr>
            <w:r>
              <w:rPr>
                <w:rFonts w:hint="eastAsia" w:ascii="仿宋" w:hAnsi="仿宋" w:eastAsia="仿宋" w:cs="仿宋"/>
                <w:b/>
                <w:bCs/>
                <w:color w:val="auto"/>
                <w:sz w:val="24"/>
                <w:highlight w:val="none"/>
                <w:vertAlign w:val="baseline"/>
                <w:lang w:eastAsia="zh-CN"/>
              </w:rPr>
              <w:t>参考图片</w:t>
            </w:r>
          </w:p>
        </w:tc>
        <w:tc>
          <w:tcPr>
            <w:tcW w:w="2356" w:type="dxa"/>
            <w:vAlign w:val="center"/>
          </w:tcPr>
          <w:p>
            <w:pPr>
              <w:spacing w:line="360" w:lineRule="auto"/>
              <w:jc w:val="center"/>
              <w:rPr>
                <w:rFonts w:hint="eastAsia" w:ascii="仿宋" w:hAnsi="仿宋" w:eastAsia="仿宋" w:cs="仿宋"/>
                <w:b/>
                <w:bCs/>
                <w:color w:val="auto"/>
                <w:sz w:val="24"/>
                <w:highlight w:val="none"/>
                <w:vertAlign w:val="baseline"/>
                <w:lang w:eastAsia="zh-CN"/>
              </w:rPr>
            </w:pPr>
            <w:r>
              <w:rPr>
                <w:rFonts w:hint="eastAsia" w:ascii="仿宋" w:hAnsi="仿宋" w:eastAsia="仿宋" w:cs="仿宋"/>
                <w:b/>
                <w:bCs/>
                <w:color w:val="auto"/>
                <w:sz w:val="24"/>
                <w:highlight w:val="none"/>
                <w:vertAlign w:val="baseline"/>
                <w:lang w:eastAsia="zh-CN"/>
              </w:rPr>
              <w:t>工艺尺寸</w:t>
            </w:r>
          </w:p>
        </w:tc>
        <w:tc>
          <w:tcPr>
            <w:tcW w:w="791" w:type="dxa"/>
            <w:vAlign w:val="center"/>
          </w:tcPr>
          <w:p>
            <w:pPr>
              <w:spacing w:line="360" w:lineRule="auto"/>
              <w:jc w:val="center"/>
              <w:rPr>
                <w:rFonts w:hint="eastAsia" w:ascii="仿宋" w:hAnsi="仿宋" w:eastAsia="仿宋" w:cs="仿宋"/>
                <w:b/>
                <w:bCs/>
                <w:color w:val="auto"/>
                <w:sz w:val="24"/>
                <w:highlight w:val="none"/>
                <w:vertAlign w:val="baseline"/>
                <w:lang w:eastAsia="zh-CN"/>
              </w:rPr>
            </w:pPr>
            <w:r>
              <w:rPr>
                <w:rFonts w:hint="eastAsia" w:ascii="仿宋" w:hAnsi="仿宋" w:eastAsia="仿宋" w:cs="仿宋"/>
                <w:b/>
                <w:bCs/>
                <w:color w:val="auto"/>
                <w:sz w:val="24"/>
                <w:highlight w:val="none"/>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Align w:val="center"/>
          </w:tcPr>
          <w:p>
            <w:pPr>
              <w:spacing w:line="360" w:lineRule="auto"/>
              <w:jc w:val="center"/>
              <w:rPr>
                <w:rFonts w:hint="eastAsia" w:ascii="仿宋" w:hAnsi="仿宋" w:eastAsia="仿宋" w:cs="仿宋"/>
                <w:b w:val="0"/>
                <w:bCs w:val="0"/>
                <w:color w:val="auto"/>
                <w:sz w:val="24"/>
                <w:highlight w:val="none"/>
                <w:vertAlign w:val="baseline"/>
                <w:lang w:val="en-US" w:eastAsia="zh-CN"/>
              </w:rPr>
            </w:pPr>
            <w:r>
              <w:rPr>
                <w:rFonts w:hint="eastAsia" w:ascii="仿宋" w:hAnsi="仿宋" w:eastAsia="仿宋" w:cs="仿宋"/>
                <w:b w:val="0"/>
                <w:bCs w:val="0"/>
                <w:color w:val="auto"/>
                <w:sz w:val="24"/>
                <w:highlight w:val="none"/>
                <w:vertAlign w:val="baseline"/>
                <w:lang w:val="en-US" w:eastAsia="zh-CN"/>
              </w:rPr>
              <w:t>1</w:t>
            </w:r>
          </w:p>
        </w:tc>
        <w:tc>
          <w:tcPr>
            <w:tcW w:w="1735" w:type="dxa"/>
            <w:vAlign w:val="center"/>
          </w:tcPr>
          <w:p>
            <w:pPr>
              <w:spacing w:line="360" w:lineRule="auto"/>
              <w:jc w:val="left"/>
              <w:rPr>
                <w:rFonts w:hint="eastAsia" w:ascii="仿宋" w:hAnsi="仿宋" w:eastAsia="仿宋" w:cs="仿宋"/>
                <w:b w:val="0"/>
                <w:bCs w:val="0"/>
                <w:color w:val="auto"/>
                <w:sz w:val="24"/>
                <w:highlight w:val="none"/>
                <w:vertAlign w:val="baseline"/>
              </w:rPr>
            </w:pPr>
            <w:r>
              <w:rPr>
                <w:rFonts w:hint="eastAsia" w:ascii="仿宋" w:hAnsi="仿宋" w:eastAsia="仿宋" w:cs="仿宋"/>
                <w:b w:val="0"/>
                <w:bCs w:val="0"/>
                <w:color w:val="auto"/>
                <w:sz w:val="24"/>
                <w:highlight w:val="none"/>
                <w:vertAlign w:val="baseline"/>
              </w:rPr>
              <w:t>IP形象雕塑</w:t>
            </w:r>
            <w:r>
              <w:rPr>
                <w:rFonts w:hint="eastAsia" w:ascii="仿宋" w:hAnsi="仿宋" w:eastAsia="仿宋" w:cs="仿宋"/>
                <w:b w:val="0"/>
                <w:bCs w:val="0"/>
                <w:color w:val="auto"/>
                <w:sz w:val="24"/>
                <w:highlight w:val="none"/>
                <w:vertAlign w:val="baseline"/>
                <w:lang w:val="en-US" w:eastAsia="zh-CN"/>
              </w:rPr>
              <w:t>-</w:t>
            </w:r>
            <w:r>
              <w:rPr>
                <w:rFonts w:hint="eastAsia" w:ascii="仿宋" w:hAnsi="仿宋" w:eastAsia="仿宋" w:cs="仿宋"/>
                <w:b w:val="0"/>
                <w:bCs w:val="0"/>
                <w:color w:val="auto"/>
                <w:sz w:val="24"/>
                <w:highlight w:val="none"/>
                <w:vertAlign w:val="baseline"/>
              </w:rPr>
              <w:t>黄色卡通人物</w:t>
            </w:r>
          </w:p>
        </w:tc>
        <w:tc>
          <w:tcPr>
            <w:tcW w:w="3036" w:type="dxa"/>
            <w:vAlign w:val="center"/>
          </w:tcPr>
          <w:p>
            <w:pPr>
              <w:spacing w:line="360" w:lineRule="auto"/>
              <w:jc w:val="center"/>
              <w:rPr>
                <w:rFonts w:hint="eastAsia" w:ascii="仿宋" w:hAnsi="仿宋" w:eastAsia="仿宋" w:cs="仿宋"/>
                <w:b w:val="0"/>
                <w:bCs w:val="0"/>
                <w:color w:val="auto"/>
                <w:sz w:val="24"/>
                <w:highlight w:val="none"/>
                <w:vertAlign w:val="baseline"/>
                <w:lang w:eastAsia="zh-CN"/>
              </w:rPr>
            </w:pPr>
            <w:r>
              <w:rPr>
                <w:rFonts w:hint="eastAsia" w:ascii="仿宋" w:hAnsi="仿宋" w:eastAsia="仿宋" w:cs="仿宋"/>
                <w:b w:val="0"/>
                <w:bCs w:val="0"/>
                <w:color w:val="auto"/>
                <w:sz w:val="24"/>
                <w:highlight w:val="none"/>
                <w:vertAlign w:val="baseline"/>
                <w:lang w:eastAsia="zh-CN"/>
              </w:rPr>
              <w:drawing>
                <wp:inline distT="0" distB="0" distL="114300" distR="114300">
                  <wp:extent cx="1786255" cy="1494155"/>
                  <wp:effectExtent l="0" t="0" r="4445" b="10795"/>
                  <wp:docPr id="108" name="图片 108" descr="600845ba66c38546018513acdaaf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600845ba66c38546018513acdaafefb"/>
                          <pic:cNvPicPr>
                            <a:picLocks noChangeAspect="1"/>
                          </pic:cNvPicPr>
                        </pic:nvPicPr>
                        <pic:blipFill>
                          <a:blip r:embed="rId121"/>
                          <a:stretch>
                            <a:fillRect/>
                          </a:stretch>
                        </pic:blipFill>
                        <pic:spPr>
                          <a:xfrm>
                            <a:off x="0" y="0"/>
                            <a:ext cx="1786255" cy="1494155"/>
                          </a:xfrm>
                          <a:prstGeom prst="rect">
                            <a:avLst/>
                          </a:prstGeom>
                        </pic:spPr>
                      </pic:pic>
                    </a:graphicData>
                  </a:graphic>
                </wp:inline>
              </w:drawing>
            </w:r>
          </w:p>
        </w:tc>
        <w:tc>
          <w:tcPr>
            <w:tcW w:w="2356" w:type="dxa"/>
            <w:vAlign w:val="center"/>
          </w:tcPr>
          <w:p>
            <w:pPr>
              <w:spacing w:line="360" w:lineRule="auto"/>
              <w:jc w:val="left"/>
              <w:rPr>
                <w:rFonts w:hint="eastAsia" w:ascii="仿宋" w:hAnsi="仿宋" w:eastAsia="仿宋" w:cs="仿宋"/>
                <w:b w:val="0"/>
                <w:bCs w:val="0"/>
                <w:color w:val="auto"/>
                <w:sz w:val="24"/>
                <w:highlight w:val="none"/>
                <w:vertAlign w:val="baseline"/>
                <w:lang w:eastAsia="zh-CN"/>
              </w:rPr>
            </w:pPr>
            <w:r>
              <w:rPr>
                <w:rFonts w:hint="eastAsia" w:ascii="仿宋" w:hAnsi="仿宋" w:eastAsia="仿宋" w:cs="仿宋"/>
                <w:b w:val="0"/>
                <w:bCs w:val="0"/>
                <w:color w:val="auto"/>
                <w:sz w:val="24"/>
                <w:highlight w:val="none"/>
                <w:vertAlign w:val="baseline"/>
              </w:rPr>
              <w:t>玻璃钢雕塑,黄色卡通25*23cm，</w:t>
            </w:r>
            <w:r>
              <w:rPr>
                <w:rFonts w:hint="eastAsia" w:ascii="仿宋" w:hAnsi="仿宋" w:eastAsia="仿宋" w:cs="仿宋"/>
                <w:i w:val="0"/>
                <w:iCs w:val="0"/>
                <w:color w:val="auto"/>
                <w:kern w:val="0"/>
                <w:sz w:val="24"/>
                <w:szCs w:val="24"/>
                <w:highlight w:val="none"/>
                <w:u w:val="none"/>
                <w:lang w:val="en-US" w:eastAsia="zh-CN" w:bidi="ar"/>
              </w:rPr>
              <w:t>最厚处厚度19cm</w:t>
            </w:r>
            <w:r>
              <w:rPr>
                <w:rFonts w:hint="eastAsia" w:ascii="仿宋" w:hAnsi="仿宋" w:eastAsia="仿宋" w:cs="仿宋"/>
                <w:b w:val="0"/>
                <w:bCs w:val="0"/>
                <w:color w:val="auto"/>
                <w:sz w:val="24"/>
                <w:highlight w:val="none"/>
                <w:vertAlign w:val="baseline"/>
              </w:rPr>
              <w:t>开模制作</w:t>
            </w:r>
            <w:r>
              <w:rPr>
                <w:rFonts w:hint="eastAsia" w:ascii="仿宋" w:hAnsi="仿宋" w:eastAsia="仿宋" w:cs="仿宋"/>
                <w:b w:val="0"/>
                <w:bCs w:val="0"/>
                <w:color w:val="auto"/>
                <w:sz w:val="24"/>
                <w:highlight w:val="none"/>
                <w:vertAlign w:val="baseline"/>
                <w:lang w:eastAsia="zh-CN"/>
              </w:rPr>
              <w:t>。（详细图纸见附件）</w:t>
            </w:r>
          </w:p>
        </w:tc>
        <w:tc>
          <w:tcPr>
            <w:tcW w:w="791" w:type="dxa"/>
            <w:vAlign w:val="center"/>
          </w:tcPr>
          <w:p>
            <w:pPr>
              <w:spacing w:line="360" w:lineRule="auto"/>
              <w:jc w:val="center"/>
              <w:rPr>
                <w:rFonts w:hint="eastAsia" w:ascii="仿宋" w:hAnsi="仿宋" w:eastAsia="仿宋" w:cs="仿宋"/>
                <w:b w:val="0"/>
                <w:bCs w:val="0"/>
                <w:color w:val="auto"/>
                <w:sz w:val="24"/>
                <w:highlight w:val="none"/>
                <w:vertAlign w:val="baseline"/>
                <w:lang w:val="en-US" w:eastAsia="zh-CN"/>
              </w:rPr>
            </w:pPr>
            <w:r>
              <w:rPr>
                <w:rFonts w:hint="eastAsia" w:ascii="仿宋" w:hAnsi="仿宋" w:eastAsia="仿宋" w:cs="仿宋"/>
                <w:b w:val="0"/>
                <w:bCs w:val="0"/>
                <w:color w:val="auto"/>
                <w:sz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Align w:val="center"/>
          </w:tcPr>
          <w:p>
            <w:pPr>
              <w:spacing w:line="360" w:lineRule="auto"/>
              <w:jc w:val="center"/>
              <w:rPr>
                <w:rFonts w:hint="default" w:ascii="仿宋" w:hAnsi="仿宋" w:eastAsia="仿宋" w:cs="仿宋"/>
                <w:b w:val="0"/>
                <w:bCs w:val="0"/>
                <w:color w:val="auto"/>
                <w:sz w:val="24"/>
                <w:highlight w:val="none"/>
                <w:vertAlign w:val="baseline"/>
                <w:lang w:val="en-US" w:eastAsia="zh-CN"/>
              </w:rPr>
            </w:pPr>
            <w:r>
              <w:rPr>
                <w:rFonts w:hint="eastAsia" w:ascii="仿宋" w:hAnsi="仿宋" w:eastAsia="仿宋" w:cs="仿宋"/>
                <w:b w:val="0"/>
                <w:bCs w:val="0"/>
                <w:color w:val="auto"/>
                <w:sz w:val="24"/>
                <w:highlight w:val="none"/>
                <w:vertAlign w:val="baseline"/>
                <w:lang w:val="en-US" w:eastAsia="zh-CN"/>
              </w:rPr>
              <w:t>2</w:t>
            </w:r>
          </w:p>
        </w:tc>
        <w:tc>
          <w:tcPr>
            <w:tcW w:w="1735" w:type="dxa"/>
            <w:vAlign w:val="center"/>
          </w:tcPr>
          <w:p>
            <w:pPr>
              <w:spacing w:line="360" w:lineRule="auto"/>
              <w:jc w:val="center"/>
              <w:rPr>
                <w:rFonts w:hint="eastAsia" w:ascii="仿宋" w:hAnsi="仿宋" w:eastAsia="仿宋" w:cs="仿宋"/>
                <w:b w:val="0"/>
                <w:bCs w:val="0"/>
                <w:color w:val="auto"/>
                <w:sz w:val="24"/>
                <w:highlight w:val="none"/>
                <w:vertAlign w:val="baseline"/>
                <w:lang w:val="en-US" w:eastAsia="zh-CN"/>
              </w:rPr>
            </w:pPr>
            <w:r>
              <w:rPr>
                <w:rFonts w:hint="eastAsia" w:ascii="仿宋" w:hAnsi="仿宋" w:eastAsia="仿宋" w:cs="仿宋"/>
                <w:b w:val="0"/>
                <w:bCs w:val="0"/>
                <w:color w:val="auto"/>
                <w:sz w:val="24"/>
                <w:highlight w:val="none"/>
                <w:vertAlign w:val="baseline"/>
                <w:lang w:val="en-US" w:eastAsia="zh-CN"/>
              </w:rPr>
              <w:t>警示牌</w:t>
            </w:r>
          </w:p>
        </w:tc>
        <w:tc>
          <w:tcPr>
            <w:tcW w:w="3036" w:type="dxa"/>
            <w:vAlign w:val="center"/>
          </w:tcPr>
          <w:p>
            <w:pPr>
              <w:spacing w:line="360" w:lineRule="auto"/>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1786255" cy="1518285"/>
                  <wp:effectExtent l="0" t="0" r="4445" b="5715"/>
                  <wp:docPr id="109" name="图片 109" descr="f247ac0d83735d716eadf549895b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f247ac0d83735d716eadf549895bfbf"/>
                          <pic:cNvPicPr>
                            <a:picLocks noChangeAspect="1"/>
                          </pic:cNvPicPr>
                        </pic:nvPicPr>
                        <pic:blipFill>
                          <a:blip r:embed="rId122"/>
                          <a:stretch>
                            <a:fillRect/>
                          </a:stretch>
                        </pic:blipFill>
                        <pic:spPr>
                          <a:xfrm>
                            <a:off x="0" y="0"/>
                            <a:ext cx="1786255" cy="1518285"/>
                          </a:xfrm>
                          <a:prstGeom prst="rect">
                            <a:avLst/>
                          </a:prstGeom>
                        </pic:spPr>
                      </pic:pic>
                    </a:graphicData>
                  </a:graphic>
                </wp:inline>
              </w:drawing>
            </w:r>
          </w:p>
        </w:tc>
        <w:tc>
          <w:tcPr>
            <w:tcW w:w="2356" w:type="dxa"/>
            <w:vAlign w:val="center"/>
          </w:tcPr>
          <w:p>
            <w:pPr>
              <w:spacing w:line="360" w:lineRule="auto"/>
              <w:jc w:val="left"/>
              <w:rPr>
                <w:rFonts w:hint="eastAsia" w:ascii="仿宋" w:hAnsi="仿宋" w:eastAsia="仿宋" w:cs="仿宋"/>
                <w:b w:val="0"/>
                <w:bCs w:val="0"/>
                <w:color w:val="auto"/>
                <w:sz w:val="24"/>
                <w:highlight w:val="none"/>
                <w:vertAlign w:val="baseline"/>
              </w:rPr>
            </w:pPr>
            <w:r>
              <w:rPr>
                <w:rFonts w:hint="eastAsia" w:ascii="仿宋" w:hAnsi="仿宋" w:eastAsia="仿宋" w:cs="仿宋"/>
                <w:b w:val="0"/>
                <w:bCs w:val="0"/>
                <w:color w:val="auto"/>
                <w:sz w:val="24"/>
                <w:highlight w:val="none"/>
                <w:vertAlign w:val="baseline"/>
              </w:rPr>
              <w:t>总尺寸60cm*53cm，30*30不锈钢方管，厚度2cm，3mm304不锈钢板烤漆，画面高精UV。3mm304不锈钢板激光切割，精工焊接成型，内部钢架支撑，高精电脑数控开槽折弯，拉弯，迈奇卡特金属专用汽车两遍底漆+两遍面漆，高级技工专业调色，喷漆烤漆，色面光亮平滑，美观稳固。（详细图纸见附件）</w:t>
            </w:r>
          </w:p>
        </w:tc>
        <w:tc>
          <w:tcPr>
            <w:tcW w:w="791" w:type="dxa"/>
            <w:vAlign w:val="center"/>
          </w:tcPr>
          <w:p>
            <w:pPr>
              <w:spacing w:line="360" w:lineRule="auto"/>
              <w:jc w:val="center"/>
              <w:rPr>
                <w:rFonts w:hint="default" w:ascii="仿宋" w:hAnsi="仿宋" w:eastAsia="仿宋" w:cs="仿宋"/>
                <w:b w:val="0"/>
                <w:bCs w:val="0"/>
                <w:color w:val="auto"/>
                <w:sz w:val="24"/>
                <w:highlight w:val="none"/>
                <w:vertAlign w:val="baseline"/>
                <w:lang w:val="en-US" w:eastAsia="zh-CN"/>
              </w:rPr>
            </w:pPr>
            <w:r>
              <w:rPr>
                <w:rFonts w:hint="eastAsia" w:ascii="仿宋" w:hAnsi="仿宋" w:eastAsia="仿宋" w:cs="仿宋"/>
                <w:b w:val="0"/>
                <w:bCs w:val="0"/>
                <w:color w:val="auto"/>
                <w:sz w:val="24"/>
                <w:highlight w:val="none"/>
                <w:vertAlign w:val="baseline"/>
                <w:lang w:val="en-US" w:eastAsia="zh-CN"/>
              </w:rPr>
              <w:t>1</w:t>
            </w:r>
          </w:p>
        </w:tc>
      </w:tr>
    </w:tbl>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注：1、中标供应商的样品将由采购人封存，未中标的样品在采购活动结束后三个工作日内自行撤回，逾期将作废弃处理。</w:t>
      </w:r>
    </w:p>
    <w:p>
      <w:pPr>
        <w:spacing w:line="360" w:lineRule="auto"/>
        <w:ind w:firstLine="48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2、未提供样品的，评审样品分为零分。</w:t>
      </w:r>
    </w:p>
    <w:p>
      <w:pPr>
        <w:spacing w:line="360" w:lineRule="auto"/>
        <w:ind w:firstLine="48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rPr>
        <w:t>&lt;</w:t>
      </w:r>
      <w:r>
        <w:rPr>
          <w:rFonts w:hint="eastAsia" w:ascii="仿宋" w:hAnsi="仿宋" w:eastAsia="仿宋" w:cs="仿宋"/>
          <w:b/>
          <w:bCs/>
          <w:color w:val="auto"/>
          <w:sz w:val="24"/>
          <w:highlight w:val="none"/>
          <w:lang w:val="en-US" w:eastAsia="zh-CN"/>
        </w:rPr>
        <w:t>二</w:t>
      </w:r>
      <w:r>
        <w:rPr>
          <w:rFonts w:hint="eastAsia" w:ascii="仿宋" w:hAnsi="仿宋" w:eastAsia="仿宋" w:cs="仿宋"/>
          <w:b/>
          <w:bCs/>
          <w:color w:val="auto"/>
          <w:sz w:val="24"/>
          <w:highlight w:val="none"/>
        </w:rPr>
        <w:t>&gt;</w:t>
      </w:r>
      <w:r>
        <w:rPr>
          <w:rFonts w:hint="eastAsia" w:ascii="仿宋" w:hAnsi="仿宋" w:eastAsia="仿宋" w:cs="仿宋"/>
          <w:b/>
          <w:bCs/>
          <w:color w:val="auto"/>
          <w:sz w:val="24"/>
          <w:highlight w:val="none"/>
          <w:lang w:val="en-US" w:eastAsia="zh-CN"/>
        </w:rPr>
        <w:t>技术服务要求</w:t>
      </w:r>
    </w:p>
    <w:p>
      <w:pPr>
        <w:spacing w:line="360" w:lineRule="auto"/>
        <w:ind w:firstLine="48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bCs/>
          <w:color w:val="auto"/>
          <w:sz w:val="24"/>
          <w:highlight w:val="none"/>
          <w:lang w:val="en-US" w:eastAsia="zh-CN"/>
        </w:rPr>
        <w:t>1、供货要求：</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(1)设备的包装必须是制造商原厂包装，其包装均应有良好的防湿、防锈、防潮、防雨、防腐及防碰撞的措施。凡由于包装不良造成的损失和由此产生的费用均由中标人承担。</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(2)中标供应商负责将货物送到现场过程中的全部运输，包括装车卸车、货物现场的搬运。</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(3)设备至采购人指定使用现场的包装、保险及发运等费用均由中标供应商负责。</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(4)设备必须提供装箱清单，按装箱清单验收货物，并出具出厂合格证。</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(5)中标供应商应将关键设备的用户手册、保修手册、有关单证资料及配备件、随机工具等交付给采购人，使用操作及安全须知等重要资料应附有中文说明。</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(6)设备的拆箱、安装、通电、调试等工作由中标供应商负责，必须先经采购人同意方可进行。</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(7)安装所需工具设施物料由中标供应商自备、自费运到现场，完工后自费搬走。</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(8)中标供应商应能够在合同签订生效之日起50日历天内送达、安装调试完成并通过验收。</w:t>
      </w:r>
    </w:p>
    <w:p>
      <w:pPr>
        <w:spacing w:line="360" w:lineRule="auto"/>
        <w:ind w:firstLine="48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bCs/>
          <w:color w:val="auto"/>
          <w:sz w:val="24"/>
          <w:highlight w:val="none"/>
          <w:lang w:val="en-US" w:eastAsia="zh-CN"/>
        </w:rPr>
        <w:t>2、深化设计要求：</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涉及到部分需厂家深化、特殊设计安装的节点景观小品设施，需中标供应商在现有需求基础上做好深化，并定制安装到位。（供应商需进行现场踏勘）</w:t>
      </w:r>
    </w:p>
    <w:p>
      <w:pPr>
        <w:spacing w:line="360" w:lineRule="auto"/>
        <w:ind w:firstLine="48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bCs/>
          <w:color w:val="auto"/>
          <w:sz w:val="24"/>
          <w:highlight w:val="none"/>
          <w:lang w:val="en-US" w:eastAsia="zh-CN"/>
        </w:rPr>
        <w:t>3、安装施工要求：</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中标供应商应根据项目要求，提出项目建设的实施方案，报采购人确认后方可实施。施工组织设计编制具体要求是：编制时应采用文字并结合图表阐述说明各分部分项工程的施工方法；施工机械设备、劳动力、计划安排；结合项目特点提出切实可行的工程质量、安全生产、文明施工、工程进度技术组织措施，同时应对关键工序、复杂环节重点提出相应技术措施，如冬、雨季施工技术措施、减少扰民噪音、降低环境污染技术措施、地下管线及其它地上地下设施的保护加固措施等。</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4、售后服务要求：</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(1)本项目所有设备的原厂质量保修期≥1年。质保期内因不能排除的故障而影响工作的情况每发生一次，其质保期相应延长60天，质保期内因货物本身缺陷造成各种故障应由中标供应商免费技术服务和维修。</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在设备整个使用期内，中标供应商应确保正常使用，在接到用户维修要求后在1小时内响应并提出解决方案，24小时内对故障进行定位处理，维修过程中所需材料中标供应商在接到通知后应及时提供，最长不超过48小时必须送达。若48小时内无法修复的，应72小时内提供相应备用设备并负责安装调试。</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(3)在质保期内，中标供应商应负责对其提供的设备进行现场维修、损坏件更换，不收取额外费用，响应时间必须满足采购人工作正常运行的要求。</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(4)投标供应商在投标文件中须说明质保期内提供的服务计划。</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5、培训要求：</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投标供应商应提供相应的培训计划，详细说明培训的方式、地点、人数、时间等实质性内容。</w:t>
      </w:r>
    </w:p>
    <w:p>
      <w:pPr>
        <w:spacing w:line="360" w:lineRule="auto"/>
        <w:ind w:firstLine="48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6、验收</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中标供应商应提供系统设备的有效检验材料，经采购人认可后，与合同的技术指标一起作为验收标准。采购人对系统设备验收合格后，出具验收报告并在《建德市政府采购物品验收反馈表》上签署意见并加盖单位公章。验收中发现系统设备达不到验收标准或合同规定的技术指标，中标人必须更换，并负担由此给采购人造成的损失，直到验收合格为止。</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投标供应商应于投标文件中提供系统设备的验收标准和检测办法，并在验收中提供采购人认可的相应检测手段，验收标准应符合中国有关的国家、地方、行业的标准，如若中标，经采购人确认后作为验收的依据。</w:t>
      </w:r>
    </w:p>
    <w:p>
      <w:pPr>
        <w:spacing w:line="360" w:lineRule="auto"/>
        <w:ind w:firstLine="480"/>
        <w:jc w:val="left"/>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lang w:val="en-US" w:eastAsia="zh-CN"/>
        </w:rPr>
        <w:t>(3)验收费用由中标供应商承担</w:t>
      </w:r>
      <w:r>
        <w:rPr>
          <w:rFonts w:hint="eastAsia" w:ascii="仿宋" w:hAnsi="仿宋" w:eastAsia="仿宋" w:cs="仿宋"/>
          <w:color w:val="auto"/>
          <w:sz w:val="24"/>
          <w:highlight w:val="none"/>
          <w:lang w:eastAsia="zh-CN"/>
        </w:rPr>
        <w:t>。</w:t>
      </w:r>
    </w:p>
    <w:p>
      <w:pPr>
        <w:spacing w:line="360" w:lineRule="auto"/>
        <w:ind w:firstLine="48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7、其他要求</w:t>
      </w:r>
    </w:p>
    <w:p>
      <w:pPr>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(1)供应商须为本项目配备足量的人员（应指定项目负责人一人）、设备，确保按期完成</w:t>
      </w:r>
      <w:r>
        <w:rPr>
          <w:rFonts w:hint="eastAsia" w:ascii="仿宋" w:hAnsi="仿宋" w:eastAsia="仿宋" w:cs="仿宋"/>
          <w:color w:val="auto"/>
          <w:sz w:val="24"/>
          <w:highlight w:val="none"/>
        </w:rPr>
        <w:t>。</w:t>
      </w:r>
    </w:p>
    <w:p>
      <w:pPr>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供应商应向本项目提供完整的记录和相关资料。</w:t>
      </w:r>
    </w:p>
    <w:p>
      <w:pPr>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供应商在履行合同义务期间，应遵守国家有关法律、法规、维护采购单位的合法权益。</w:t>
      </w:r>
    </w:p>
    <w:p>
      <w:pPr>
        <w:spacing w:line="360" w:lineRule="auto"/>
        <w:ind w:firstLine="48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(4)供应商应自行承担项目实施过程中的安全责任，采购单位在任何情况下不承担任何责任</w:t>
      </w:r>
      <w:r>
        <w:rPr>
          <w:rFonts w:hint="eastAsia" w:ascii="仿宋" w:hAnsi="仿宋" w:eastAsia="仿宋" w:cs="仿宋"/>
          <w:color w:val="auto"/>
          <w:sz w:val="24"/>
          <w:highlight w:val="none"/>
          <w:lang w:eastAsia="zh-CN"/>
        </w:rPr>
        <w:t>。</w:t>
      </w:r>
    </w:p>
    <w:p>
      <w:pPr>
        <w:spacing w:line="360" w:lineRule="auto"/>
        <w:ind w:firstLine="480"/>
        <w:jc w:val="left"/>
        <w:rPr>
          <w:rFonts w:hint="eastAsia" w:ascii="仿宋" w:hAnsi="仿宋" w:eastAsia="仿宋" w:cs="仿宋"/>
          <w:color w:val="auto"/>
          <w:sz w:val="24"/>
          <w:highlight w:val="yellow"/>
          <w:lang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因文本展现能力有限，具体设计图作为附件上传，是本采购需求的组成部分。若采购清单</w:t>
      </w:r>
      <w:r>
        <w:rPr>
          <w:rFonts w:hint="eastAsia" w:ascii="仿宋" w:hAnsi="仿宋" w:eastAsia="仿宋" w:cs="仿宋"/>
          <w:color w:val="auto"/>
          <w:sz w:val="24"/>
          <w:highlight w:val="none"/>
          <w:lang w:val="en-US" w:eastAsia="zh-CN"/>
        </w:rPr>
        <w:t>或上传的设计图</w:t>
      </w:r>
      <w:r>
        <w:rPr>
          <w:rFonts w:hint="eastAsia" w:ascii="仿宋" w:hAnsi="仿宋" w:eastAsia="仿宋" w:cs="仿宋"/>
          <w:color w:val="auto"/>
          <w:sz w:val="24"/>
          <w:highlight w:val="none"/>
          <w:lang w:eastAsia="zh-CN"/>
        </w:rPr>
        <w:t>中要求与正式图纸不一致的，以采购人确定的正式图纸为准，中标供应商应无条件接受，并于投标文件中提供相应承诺。</w:t>
      </w:r>
    </w:p>
    <w:p>
      <w:pPr>
        <w:spacing w:line="360" w:lineRule="auto"/>
        <w:ind w:firstLine="48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&lt;</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&gt;</w:t>
      </w:r>
      <w:r>
        <w:rPr>
          <w:rFonts w:hint="eastAsia" w:ascii="仿宋" w:hAnsi="仿宋" w:eastAsia="仿宋" w:cs="仿宋"/>
          <w:b/>
          <w:bCs/>
          <w:color w:val="auto"/>
          <w:sz w:val="24"/>
          <w:highlight w:val="none"/>
          <w:lang w:val="en-US" w:eastAsia="zh-CN"/>
        </w:rPr>
        <w:t>商务</w:t>
      </w:r>
      <w:r>
        <w:rPr>
          <w:rFonts w:hint="eastAsia" w:ascii="仿宋" w:hAnsi="仿宋" w:eastAsia="仿宋" w:cs="仿宋"/>
          <w:b/>
          <w:bCs/>
          <w:color w:val="auto"/>
          <w:sz w:val="24"/>
          <w:highlight w:val="none"/>
        </w:rPr>
        <w:t>要求</w:t>
      </w:r>
    </w:p>
    <w:p>
      <w:pPr>
        <w:spacing w:line="360" w:lineRule="auto"/>
        <w:ind w:firstLine="48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1、采购的总体要求：</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1）必须符合招标文件(包括补充更正，如有)的技术要求和配置；必须是国内相应制造厂商生产并提供的原装合格产品；必须是2021年1月1日以后生产的、符合国家质量技术标准的设备。</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2）售后服务按国家市场监督管理总局和国家其他有关规定执行，国家没有规定的按厂商规定执行。国家规定标准低于厂商标准的按厂商标准执行，但最低免费原厂质保服务期不得少于1年。</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2、付款方式：</w:t>
      </w:r>
      <w:r>
        <w:rPr>
          <w:rFonts w:hint="eastAsia" w:ascii="仿宋" w:hAnsi="仿宋" w:eastAsia="仿宋" w:cs="仿宋"/>
          <w:color w:val="auto"/>
          <w:sz w:val="24"/>
          <w:highlight w:val="none"/>
          <w:lang w:val="en-US" w:eastAsia="zh-CN"/>
        </w:rPr>
        <w:t>按财务结算要求，通过银行划帐方式结算。</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3、售后服务：</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1）本项目所有设备的原厂质量保修期≥1年。质保期内因不能排除的故障而影响工作的情况每发生一次，其质保期相应延长60天，质保期内因货物本身缺陷造成各种故障应由中标供应商免费技术服务和维修。</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在设备整个使用期内，中标供应商应确保正常使用，在接到用户维修要求后在1小时内响应并提出解决方案，24小时内对故障进行定位处理，维修过程中所需材料中标供应商在接到通知后应及时提供，最长不超过48小时必须送达。若48小时内无法修复的，应72小时内提供相应备用设备并负责安装调试。</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3）在质保期内，中标供应商应负责对其提供的设备进行现场维修、损坏件更换，不收取额外费用，响应时间必须满足采购人工作正常运行的要求。</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4）投标供应商在投标文件中须说明质保期内提供的服务计划。</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4、培训：</w:t>
      </w:r>
      <w:r>
        <w:rPr>
          <w:rFonts w:hint="eastAsia" w:ascii="仿宋" w:hAnsi="仿宋" w:eastAsia="仿宋" w:cs="仿宋"/>
          <w:color w:val="auto"/>
          <w:sz w:val="24"/>
          <w:highlight w:val="none"/>
          <w:lang w:val="en-US" w:eastAsia="zh-CN"/>
        </w:rPr>
        <w:t>投标供应商应提供相应的培训计划，详细说明培训的方式、地点、人数、时间等实质性内容。</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5、完成时间及安装调试：</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1）完成时间：合同签订生效之日起50日历天内送达、安装调试完成并通过验收。若供应商未能在约定的期限内完工并验收通过的，每逾期1天扣除履约保证金5000元，履约保证金不足的，以合同货款抵扣。</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2）安装地点：由采购单位指定。</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3）安装标准：符合国家有关技术规范要求和技术标准。</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4）中标方免费提供中标设备的安装、培训和技术指导。</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5）投标方应在投标文件中应提供安装计划、对安装场地和环境的要求。</w:t>
      </w:r>
    </w:p>
    <w:p>
      <w:pPr>
        <w:spacing w:line="360" w:lineRule="auto"/>
        <w:ind w:firstLine="480"/>
        <w:jc w:val="left"/>
        <w:rPr>
          <w:rFonts w:hint="default"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6、项目款的结算</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采购人根据合同、投标文件等资料进行验收。</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后7个工作日内支付合同价的40%预付款（中标供应商需提供相应金额的预付款保函至采购单位）；在规定时间内完成项目的供货、运输、安装调试并验收通过后，由采购人根据结算审核价向中标人结算剩余项目款。（本项目根据实际完成工程量结算项目款）；</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结算时中标人将结款申请1份、发票原件及复印件1份、合同复印件1份和经采购人验收确认的《建德市政府采购验收反馈表》（还需提供验收报告）提交采购人，采购人应自收到发票后5个工作日内支付相应款项。</w:t>
      </w:r>
    </w:p>
    <w:p>
      <w:pPr>
        <w:spacing w:line="3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7、履约保证金：</w:t>
      </w:r>
      <w:r>
        <w:rPr>
          <w:rFonts w:hint="eastAsia" w:ascii="仿宋" w:hAnsi="仿宋" w:eastAsia="仿宋" w:cs="仿宋"/>
          <w:color w:val="auto"/>
          <w:sz w:val="24"/>
          <w:highlight w:val="none"/>
          <w:lang w:val="en-US" w:eastAsia="zh-CN"/>
        </w:rPr>
        <w:t>本项目将根据杭州市政府采购网公布的供应商履约评价情况收取履约保证金。供应商履约验收评价总分为100分的，本项目免收履约保证金；评价总分在90分以上的，本项目收取履约保证金为合同金额2%；评价总分在不满90分或者暂无评分的，本项目收取履约保证金为合同金额2.5%。需要收取保证金的供应商在正式合同签订生效之日起7个工作日内，缴纳保证金至采购人指定账户（可采用银行、保险公司出具保函形式提交）。在验收合格后经回访正常后凭正式收款收据、履约保证金缴款凭证复印件、《建德市政府采购回访意见单》办理结算手续。</w:t>
      </w:r>
    </w:p>
    <w:p>
      <w:pPr>
        <w:pStyle w:val="4"/>
        <w:rPr>
          <w:rFonts w:ascii="仿宋" w:hAnsi="仿宋" w:eastAsia="仿宋" w:cs="仿宋"/>
          <w:b/>
          <w:color w:val="auto"/>
          <w:sz w:val="36"/>
          <w:szCs w:val="36"/>
          <w:highlight w:val="none"/>
        </w:rPr>
      </w:pPr>
    </w:p>
    <w:p>
      <w:pPr>
        <w:pStyle w:val="3"/>
        <w:rPr>
          <w:rFonts w:ascii="仿宋" w:hAnsi="仿宋" w:eastAsia="仿宋" w:cs="仿宋"/>
          <w:b/>
          <w:color w:val="auto"/>
          <w:sz w:val="36"/>
          <w:szCs w:val="36"/>
          <w:highlight w:val="none"/>
        </w:rPr>
      </w:pPr>
    </w:p>
    <w:p>
      <w:pPr>
        <w:pStyle w:val="4"/>
        <w:rPr>
          <w:rFonts w:ascii="仿宋" w:hAnsi="仿宋" w:eastAsia="仿宋" w:cs="仿宋"/>
          <w:b/>
          <w:color w:val="auto"/>
          <w:sz w:val="36"/>
          <w:szCs w:val="36"/>
          <w:highlight w:val="none"/>
        </w:rPr>
      </w:pPr>
    </w:p>
    <w:p>
      <w:pPr>
        <w:pStyle w:val="3"/>
        <w:rPr>
          <w:color w:val="auto"/>
          <w:highlight w:val="none"/>
        </w:rPr>
      </w:pPr>
    </w:p>
    <w:p>
      <w:pPr>
        <w:snapToGrid w:val="0"/>
        <w:spacing w:line="360" w:lineRule="auto"/>
        <w:jc w:val="center"/>
        <w:rPr>
          <w:rFonts w:hint="eastAsia" w:ascii="仿宋" w:hAnsi="仿宋" w:eastAsia="仿宋" w:cs="仿宋"/>
          <w:b/>
          <w:color w:val="auto"/>
          <w:sz w:val="36"/>
          <w:szCs w:val="36"/>
          <w:highlight w:val="none"/>
        </w:rPr>
      </w:pPr>
    </w:p>
    <w:p>
      <w:pPr>
        <w:snapToGrid w:val="0"/>
        <w:spacing w:line="360" w:lineRule="auto"/>
        <w:jc w:val="center"/>
        <w:rPr>
          <w:rFonts w:hint="eastAsia" w:ascii="仿宋" w:hAnsi="仿宋" w:eastAsia="仿宋" w:cs="仿宋"/>
          <w:b/>
          <w:color w:val="auto"/>
          <w:sz w:val="36"/>
          <w:szCs w:val="36"/>
          <w:highlight w:val="none"/>
        </w:rPr>
      </w:pPr>
    </w:p>
    <w:p>
      <w:pPr>
        <w:snapToGrid w:val="0"/>
        <w:spacing w:line="360" w:lineRule="auto"/>
        <w:jc w:val="center"/>
        <w:rPr>
          <w:rFonts w:hint="eastAsia" w:ascii="仿宋" w:hAnsi="仿宋" w:eastAsia="仿宋" w:cs="仿宋"/>
          <w:b/>
          <w:color w:val="auto"/>
          <w:sz w:val="36"/>
          <w:szCs w:val="36"/>
          <w:highlight w:val="none"/>
        </w:rPr>
      </w:pPr>
    </w:p>
    <w:p>
      <w:pPr>
        <w:snapToGrid w:val="0"/>
        <w:spacing w:line="360" w:lineRule="auto"/>
        <w:jc w:val="center"/>
        <w:rPr>
          <w:rFonts w:hint="eastAsia" w:ascii="仿宋" w:hAnsi="仿宋" w:eastAsia="仿宋" w:cs="仿宋"/>
          <w:b/>
          <w:color w:val="auto"/>
          <w:sz w:val="36"/>
          <w:szCs w:val="36"/>
          <w:highlight w:val="none"/>
        </w:rPr>
      </w:pPr>
    </w:p>
    <w:p>
      <w:pPr>
        <w:snapToGrid w:val="0"/>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26" w:name="_Toc184313288"/>
      <w:bookmarkEnd w:id="26"/>
      <w:bookmarkStart w:id="27" w:name="_Toc184314471"/>
      <w:bookmarkEnd w:id="27"/>
      <w:bookmarkStart w:id="28" w:name="_Toc184313297"/>
      <w:bookmarkEnd w:id="28"/>
      <w:bookmarkStart w:id="29" w:name="_Toc184314412"/>
      <w:bookmarkEnd w:id="29"/>
      <w:bookmarkStart w:id="30" w:name="_Toc184314455"/>
      <w:bookmarkEnd w:id="30"/>
      <w:bookmarkStart w:id="31" w:name="_Toc184308052"/>
      <w:bookmarkEnd w:id="31"/>
      <w:bookmarkStart w:id="32" w:name="_Toc184310304"/>
      <w:bookmarkEnd w:id="32"/>
      <w:bookmarkStart w:id="33" w:name="_Toc184310276"/>
      <w:bookmarkEnd w:id="33"/>
      <w:bookmarkStart w:id="34" w:name="_Toc184310326"/>
      <w:bookmarkEnd w:id="34"/>
      <w:bookmarkStart w:id="35" w:name="_Toc184312089"/>
      <w:bookmarkEnd w:id="35"/>
      <w:bookmarkStart w:id="36" w:name="_Toc184310311"/>
      <w:bookmarkEnd w:id="36"/>
      <w:bookmarkStart w:id="37" w:name="_Toc184313279"/>
      <w:bookmarkEnd w:id="37"/>
      <w:bookmarkStart w:id="38" w:name="_Toc184308047"/>
      <w:bookmarkEnd w:id="38"/>
      <w:bookmarkStart w:id="39" w:name="_Toc184308058"/>
      <w:bookmarkEnd w:id="39"/>
      <w:bookmarkStart w:id="40" w:name="_Toc184310305"/>
      <w:bookmarkEnd w:id="40"/>
      <w:bookmarkStart w:id="41" w:name="_Toc184314417"/>
      <w:bookmarkEnd w:id="41"/>
      <w:bookmarkStart w:id="42" w:name="_Toc184310306"/>
      <w:bookmarkEnd w:id="42"/>
      <w:bookmarkStart w:id="43" w:name="_Toc184308043"/>
      <w:bookmarkEnd w:id="43"/>
      <w:bookmarkStart w:id="44" w:name="_Toc184308108"/>
      <w:bookmarkEnd w:id="44"/>
      <w:bookmarkStart w:id="45" w:name="_Toc184308070"/>
      <w:bookmarkEnd w:id="45"/>
      <w:bookmarkStart w:id="46" w:name="_Toc184310323"/>
      <w:bookmarkEnd w:id="46"/>
      <w:bookmarkStart w:id="47" w:name="_Toc184308092"/>
      <w:bookmarkEnd w:id="47"/>
      <w:bookmarkStart w:id="48" w:name="_Toc184312069"/>
      <w:bookmarkEnd w:id="48"/>
      <w:bookmarkStart w:id="49" w:name="_Toc184313289"/>
      <w:bookmarkEnd w:id="49"/>
      <w:bookmarkStart w:id="50" w:name="_Toc184308049"/>
      <w:bookmarkEnd w:id="50"/>
      <w:bookmarkStart w:id="51" w:name="_Toc184308102"/>
      <w:bookmarkEnd w:id="51"/>
      <w:bookmarkStart w:id="52" w:name="_Toc184313291"/>
      <w:bookmarkEnd w:id="52"/>
      <w:bookmarkStart w:id="53" w:name="_Toc184308084"/>
      <w:bookmarkEnd w:id="53"/>
      <w:bookmarkStart w:id="54" w:name="_Toc184314439"/>
      <w:bookmarkEnd w:id="54"/>
      <w:bookmarkStart w:id="55" w:name="_Toc184314418"/>
      <w:bookmarkEnd w:id="55"/>
      <w:bookmarkStart w:id="56" w:name="_Toc184313296"/>
      <w:bookmarkEnd w:id="56"/>
      <w:bookmarkStart w:id="57" w:name="_Toc184312067"/>
      <w:bookmarkEnd w:id="57"/>
      <w:bookmarkStart w:id="58" w:name="_Toc184308094"/>
      <w:bookmarkEnd w:id="58"/>
      <w:bookmarkStart w:id="59" w:name="_Toc184312090"/>
      <w:bookmarkEnd w:id="59"/>
      <w:bookmarkStart w:id="60" w:name="_Toc184313274"/>
      <w:bookmarkEnd w:id="60"/>
      <w:bookmarkStart w:id="61" w:name="_Toc184310337"/>
      <w:bookmarkEnd w:id="61"/>
      <w:bookmarkStart w:id="62" w:name="_Toc184313300"/>
      <w:bookmarkEnd w:id="62"/>
      <w:bookmarkStart w:id="63" w:name="_Toc184312072"/>
      <w:bookmarkEnd w:id="63"/>
      <w:bookmarkStart w:id="64" w:name="_Toc184313273"/>
      <w:bookmarkEnd w:id="64"/>
      <w:bookmarkStart w:id="65" w:name="_Toc184314474"/>
      <w:bookmarkEnd w:id="65"/>
      <w:bookmarkStart w:id="66" w:name="_Toc184308059"/>
      <w:bookmarkEnd w:id="66"/>
      <w:bookmarkStart w:id="67" w:name="_Toc184314436"/>
      <w:bookmarkEnd w:id="67"/>
      <w:bookmarkStart w:id="68" w:name="_Toc184312084"/>
      <w:bookmarkEnd w:id="68"/>
      <w:bookmarkStart w:id="69" w:name="_Toc184310319"/>
      <w:bookmarkEnd w:id="69"/>
      <w:bookmarkStart w:id="70" w:name="_Toc184314433"/>
      <w:bookmarkEnd w:id="70"/>
      <w:bookmarkStart w:id="71" w:name="_Toc184308077"/>
      <w:bookmarkEnd w:id="71"/>
      <w:bookmarkStart w:id="72" w:name="_Toc184310320"/>
      <w:bookmarkEnd w:id="72"/>
      <w:bookmarkStart w:id="73" w:name="_Toc184312114"/>
      <w:bookmarkEnd w:id="73"/>
      <w:bookmarkStart w:id="74" w:name="_Toc184314469"/>
      <w:bookmarkEnd w:id="74"/>
      <w:bookmarkStart w:id="75" w:name="_Toc184314446"/>
      <w:bookmarkEnd w:id="75"/>
      <w:bookmarkStart w:id="76" w:name="_Toc184312111"/>
      <w:bookmarkEnd w:id="76"/>
      <w:bookmarkStart w:id="77" w:name="_Toc184310335"/>
      <w:bookmarkEnd w:id="77"/>
      <w:bookmarkStart w:id="78" w:name="_Toc184313303"/>
      <w:bookmarkEnd w:id="78"/>
      <w:bookmarkStart w:id="79" w:name="_Toc184312099"/>
      <w:bookmarkEnd w:id="79"/>
      <w:bookmarkStart w:id="80" w:name="_Toc184308099"/>
      <w:bookmarkEnd w:id="80"/>
      <w:bookmarkStart w:id="81" w:name="_Toc184313290"/>
      <w:bookmarkEnd w:id="81"/>
      <w:bookmarkStart w:id="82" w:name="_Toc184308038"/>
      <w:bookmarkEnd w:id="82"/>
      <w:bookmarkStart w:id="83" w:name="_Toc184310279"/>
      <w:bookmarkEnd w:id="83"/>
      <w:bookmarkStart w:id="84" w:name="_Toc184310344"/>
      <w:bookmarkEnd w:id="84"/>
      <w:bookmarkStart w:id="85" w:name="_Toc184312080"/>
      <w:bookmarkEnd w:id="85"/>
      <w:bookmarkStart w:id="86" w:name="_Toc184313265"/>
      <w:bookmarkEnd w:id="86"/>
      <w:bookmarkStart w:id="87" w:name="_Toc184312098"/>
      <w:bookmarkEnd w:id="87"/>
      <w:bookmarkStart w:id="88" w:name="_Toc184310288"/>
      <w:bookmarkEnd w:id="88"/>
      <w:bookmarkStart w:id="89" w:name="_Toc184310316"/>
      <w:bookmarkEnd w:id="89"/>
      <w:bookmarkStart w:id="90" w:name="_Toc184308073"/>
      <w:bookmarkEnd w:id="90"/>
      <w:bookmarkStart w:id="91" w:name="_Toc184313266"/>
      <w:bookmarkEnd w:id="91"/>
      <w:bookmarkStart w:id="92" w:name="_Toc184310299"/>
      <w:bookmarkEnd w:id="92"/>
      <w:bookmarkStart w:id="93" w:name="_Toc184314414"/>
      <w:bookmarkEnd w:id="93"/>
      <w:bookmarkStart w:id="94" w:name="_Toc184312083"/>
      <w:bookmarkEnd w:id="94"/>
      <w:bookmarkStart w:id="95" w:name="_Toc184310338"/>
      <w:bookmarkEnd w:id="95"/>
      <w:bookmarkStart w:id="96" w:name="_Toc184314475"/>
      <w:bookmarkEnd w:id="96"/>
      <w:bookmarkStart w:id="97" w:name="_Toc184313250"/>
      <w:bookmarkEnd w:id="97"/>
      <w:bookmarkStart w:id="98" w:name="_Toc184310274"/>
      <w:bookmarkEnd w:id="98"/>
      <w:bookmarkStart w:id="99" w:name="_Toc184308061"/>
      <w:bookmarkEnd w:id="99"/>
      <w:bookmarkStart w:id="100" w:name="_Toc184310292"/>
      <w:bookmarkEnd w:id="100"/>
      <w:bookmarkStart w:id="101" w:name="_Toc184314451"/>
      <w:bookmarkEnd w:id="101"/>
      <w:bookmarkStart w:id="102" w:name="_Toc184310329"/>
      <w:bookmarkEnd w:id="102"/>
      <w:bookmarkStart w:id="103" w:name="_Toc184312132"/>
      <w:bookmarkEnd w:id="103"/>
      <w:bookmarkStart w:id="104" w:name="_Toc184308037"/>
      <w:bookmarkEnd w:id="104"/>
      <w:bookmarkStart w:id="105" w:name="_Toc184314438"/>
      <w:bookmarkEnd w:id="105"/>
      <w:bookmarkStart w:id="106" w:name="_Toc184314428"/>
      <w:bookmarkEnd w:id="106"/>
      <w:bookmarkStart w:id="107" w:name="_Toc184314442"/>
      <w:bookmarkEnd w:id="107"/>
      <w:bookmarkStart w:id="108" w:name="_Toc184308039"/>
      <w:bookmarkEnd w:id="108"/>
      <w:bookmarkStart w:id="109" w:name="_Toc184308060"/>
      <w:bookmarkEnd w:id="109"/>
      <w:bookmarkStart w:id="110" w:name="_Toc184313244"/>
      <w:bookmarkEnd w:id="110"/>
      <w:bookmarkStart w:id="111" w:name="_Toc184312095"/>
      <w:bookmarkEnd w:id="111"/>
      <w:bookmarkStart w:id="112" w:name="_Toc184312121"/>
      <w:bookmarkEnd w:id="112"/>
      <w:bookmarkStart w:id="113" w:name="_Toc184310282"/>
      <w:bookmarkEnd w:id="113"/>
      <w:bookmarkStart w:id="114" w:name="_Toc184312071"/>
      <w:bookmarkEnd w:id="114"/>
      <w:bookmarkStart w:id="115" w:name="_Toc184312109"/>
      <w:bookmarkEnd w:id="115"/>
      <w:bookmarkStart w:id="116" w:name="_Toc184312125"/>
      <w:bookmarkEnd w:id="116"/>
      <w:bookmarkStart w:id="117" w:name="_Toc184312088"/>
      <w:bookmarkEnd w:id="117"/>
      <w:bookmarkStart w:id="118" w:name="_Toc184313261"/>
      <w:bookmarkEnd w:id="118"/>
      <w:bookmarkStart w:id="119" w:name="_Toc184308106"/>
      <w:bookmarkEnd w:id="119"/>
      <w:bookmarkStart w:id="120" w:name="_Toc184313246"/>
      <w:bookmarkEnd w:id="120"/>
      <w:bookmarkStart w:id="121" w:name="_Toc184313310"/>
      <w:bookmarkEnd w:id="121"/>
      <w:bookmarkStart w:id="122" w:name="_Toc184308050"/>
      <w:bookmarkEnd w:id="122"/>
      <w:bookmarkStart w:id="123" w:name="_Toc184314440"/>
      <w:bookmarkEnd w:id="123"/>
      <w:bookmarkStart w:id="124" w:name="_Toc184314411"/>
      <w:bookmarkEnd w:id="124"/>
      <w:bookmarkStart w:id="125" w:name="_Toc184308051"/>
      <w:bookmarkEnd w:id="125"/>
      <w:bookmarkStart w:id="126" w:name="_Toc184308040"/>
      <w:bookmarkEnd w:id="126"/>
      <w:bookmarkStart w:id="127" w:name="_Toc184314472"/>
      <w:bookmarkEnd w:id="127"/>
      <w:bookmarkStart w:id="128" w:name="_Toc184308088"/>
      <w:bookmarkEnd w:id="128"/>
      <w:bookmarkStart w:id="129" w:name="_Toc184310324"/>
      <w:bookmarkEnd w:id="129"/>
      <w:bookmarkStart w:id="130" w:name="_Toc184313268"/>
      <w:bookmarkEnd w:id="130"/>
      <w:bookmarkStart w:id="131" w:name="_Toc184310303"/>
      <w:bookmarkEnd w:id="131"/>
      <w:bookmarkStart w:id="132" w:name="_Toc184312086"/>
      <w:bookmarkEnd w:id="132"/>
      <w:bookmarkStart w:id="133" w:name="_Toc184310328"/>
      <w:bookmarkEnd w:id="133"/>
      <w:bookmarkStart w:id="134" w:name="_Toc184312119"/>
      <w:bookmarkEnd w:id="134"/>
      <w:bookmarkStart w:id="135" w:name="_Toc184314441"/>
      <w:bookmarkEnd w:id="135"/>
      <w:bookmarkStart w:id="136" w:name="_Toc184308083"/>
      <w:bookmarkEnd w:id="136"/>
      <w:bookmarkStart w:id="137" w:name="_Toc184310312"/>
      <w:bookmarkEnd w:id="137"/>
      <w:bookmarkStart w:id="138" w:name="_Toc184310307"/>
      <w:bookmarkEnd w:id="138"/>
      <w:bookmarkStart w:id="139" w:name="_Toc184313242"/>
      <w:bookmarkEnd w:id="139"/>
      <w:bookmarkStart w:id="140" w:name="_Toc184312078"/>
      <w:bookmarkEnd w:id="140"/>
      <w:bookmarkStart w:id="141" w:name="_Toc184314448"/>
      <w:bookmarkEnd w:id="141"/>
      <w:bookmarkStart w:id="142" w:name="_Toc184308056"/>
      <w:bookmarkEnd w:id="142"/>
      <w:bookmarkStart w:id="143" w:name="_Toc184308071"/>
      <w:bookmarkEnd w:id="143"/>
      <w:bookmarkStart w:id="144" w:name="_Toc184310294"/>
      <w:bookmarkEnd w:id="144"/>
      <w:bookmarkStart w:id="145" w:name="_Toc184308065"/>
      <w:bookmarkEnd w:id="145"/>
      <w:bookmarkStart w:id="146" w:name="_Toc184308076"/>
      <w:bookmarkEnd w:id="146"/>
      <w:bookmarkStart w:id="147" w:name="_Toc184312092"/>
      <w:bookmarkEnd w:id="147"/>
      <w:bookmarkStart w:id="148" w:name="_Toc184312074"/>
      <w:bookmarkEnd w:id="148"/>
      <w:bookmarkStart w:id="149" w:name="_Toc184313302"/>
      <w:bookmarkEnd w:id="149"/>
      <w:bookmarkStart w:id="150" w:name="_Toc184314459"/>
      <w:bookmarkEnd w:id="150"/>
      <w:bookmarkStart w:id="151" w:name="_Toc184313259"/>
      <w:bookmarkEnd w:id="151"/>
      <w:bookmarkStart w:id="152" w:name="_Toc184313283"/>
      <w:bookmarkEnd w:id="152"/>
      <w:bookmarkStart w:id="153" w:name="_Toc184308048"/>
      <w:bookmarkEnd w:id="153"/>
      <w:bookmarkStart w:id="154" w:name="_Toc184314435"/>
      <w:bookmarkEnd w:id="154"/>
      <w:bookmarkStart w:id="155" w:name="_Toc184312070"/>
      <w:bookmarkEnd w:id="155"/>
      <w:bookmarkStart w:id="156" w:name="_Toc184308089"/>
      <w:bookmarkEnd w:id="156"/>
      <w:bookmarkStart w:id="157" w:name="_Toc184314432"/>
      <w:bookmarkEnd w:id="157"/>
      <w:bookmarkStart w:id="158" w:name="_Toc184313267"/>
      <w:bookmarkEnd w:id="158"/>
      <w:bookmarkStart w:id="159" w:name="_Toc184310342"/>
      <w:bookmarkEnd w:id="159"/>
      <w:bookmarkStart w:id="160" w:name="_Toc184308062"/>
      <w:bookmarkEnd w:id="160"/>
      <w:bookmarkStart w:id="161" w:name="_Toc184312124"/>
      <w:bookmarkEnd w:id="161"/>
      <w:bookmarkStart w:id="162" w:name="_Toc184310285"/>
      <w:bookmarkEnd w:id="162"/>
      <w:bookmarkStart w:id="163" w:name="_Toc184314410"/>
      <w:bookmarkEnd w:id="163"/>
      <w:bookmarkStart w:id="164" w:name="_Toc184308041"/>
      <w:bookmarkEnd w:id="164"/>
      <w:bookmarkStart w:id="165" w:name="_Toc184312139"/>
      <w:bookmarkEnd w:id="165"/>
      <w:bookmarkStart w:id="166" w:name="_Toc184313249"/>
      <w:bookmarkEnd w:id="166"/>
      <w:bookmarkStart w:id="167" w:name="_Toc184308105"/>
      <w:bookmarkEnd w:id="167"/>
      <w:bookmarkStart w:id="168" w:name="_Toc184313255"/>
      <w:bookmarkEnd w:id="168"/>
      <w:bookmarkStart w:id="169" w:name="_Toc184314468"/>
      <w:bookmarkEnd w:id="169"/>
      <w:bookmarkStart w:id="170" w:name="_Toc184312110"/>
      <w:bookmarkEnd w:id="170"/>
      <w:bookmarkStart w:id="171" w:name="_Toc184313245"/>
      <w:bookmarkEnd w:id="171"/>
      <w:bookmarkStart w:id="172" w:name="_Toc184308097"/>
      <w:bookmarkEnd w:id="172"/>
      <w:bookmarkStart w:id="173" w:name="_Toc184308100"/>
      <w:bookmarkEnd w:id="173"/>
      <w:bookmarkStart w:id="174" w:name="_Toc184310290"/>
      <w:bookmarkEnd w:id="174"/>
      <w:bookmarkStart w:id="175" w:name="_Toc184313309"/>
      <w:bookmarkEnd w:id="175"/>
      <w:bookmarkStart w:id="176" w:name="_Toc184312073"/>
      <w:bookmarkEnd w:id="176"/>
      <w:bookmarkStart w:id="177" w:name="_Toc184310291"/>
      <w:bookmarkEnd w:id="177"/>
      <w:bookmarkStart w:id="178" w:name="_Toc184312093"/>
      <w:bookmarkEnd w:id="178"/>
      <w:bookmarkStart w:id="179" w:name="_Toc184310277"/>
      <w:bookmarkEnd w:id="179"/>
      <w:bookmarkStart w:id="180" w:name="_Toc184313282"/>
      <w:bookmarkEnd w:id="180"/>
      <w:bookmarkStart w:id="181" w:name="_Toc184313262"/>
      <w:bookmarkEnd w:id="181"/>
      <w:bookmarkStart w:id="182" w:name="_Toc184314478"/>
      <w:bookmarkEnd w:id="182"/>
      <w:bookmarkStart w:id="183" w:name="_Toc184310310"/>
      <w:bookmarkEnd w:id="183"/>
      <w:bookmarkStart w:id="184" w:name="_Toc184310272"/>
      <w:bookmarkEnd w:id="184"/>
      <w:bookmarkStart w:id="185" w:name="_Toc184313263"/>
      <w:bookmarkEnd w:id="185"/>
      <w:bookmarkStart w:id="186" w:name="_Toc184308066"/>
      <w:bookmarkEnd w:id="186"/>
      <w:bookmarkStart w:id="187" w:name="_Toc184312097"/>
      <w:bookmarkEnd w:id="187"/>
      <w:bookmarkStart w:id="188" w:name="_Toc184313276"/>
      <w:bookmarkEnd w:id="188"/>
      <w:bookmarkStart w:id="189" w:name="_Toc184314425"/>
      <w:bookmarkEnd w:id="189"/>
      <w:bookmarkStart w:id="190" w:name="_Toc184313287"/>
      <w:bookmarkEnd w:id="190"/>
      <w:bookmarkStart w:id="191" w:name="_Toc184308082"/>
      <w:bookmarkEnd w:id="191"/>
      <w:bookmarkStart w:id="192" w:name="_Toc184308095"/>
      <w:bookmarkEnd w:id="192"/>
      <w:bookmarkStart w:id="193" w:name="_Toc184314444"/>
      <w:bookmarkEnd w:id="193"/>
      <w:bookmarkStart w:id="194" w:name="_Toc184312077"/>
      <w:bookmarkEnd w:id="194"/>
      <w:bookmarkStart w:id="195" w:name="_Toc184313269"/>
      <w:bookmarkEnd w:id="195"/>
      <w:bookmarkStart w:id="196" w:name="_Toc184308069"/>
      <w:bookmarkEnd w:id="196"/>
      <w:bookmarkStart w:id="197" w:name="_Toc184310283"/>
      <w:bookmarkEnd w:id="197"/>
      <w:bookmarkStart w:id="198" w:name="_Toc184312082"/>
      <w:bookmarkEnd w:id="198"/>
      <w:bookmarkStart w:id="199" w:name="_Toc184310318"/>
      <w:bookmarkEnd w:id="199"/>
      <w:bookmarkStart w:id="200" w:name="_Toc184312101"/>
      <w:bookmarkEnd w:id="200"/>
      <w:bookmarkStart w:id="201" w:name="_Toc184314437"/>
      <w:bookmarkEnd w:id="201"/>
      <w:bookmarkStart w:id="202" w:name="_Toc184314473"/>
      <w:bookmarkEnd w:id="202"/>
      <w:bookmarkStart w:id="203" w:name="_Toc184308057"/>
      <w:bookmarkEnd w:id="203"/>
      <w:bookmarkStart w:id="204" w:name="_Toc184312096"/>
      <w:bookmarkEnd w:id="204"/>
      <w:bookmarkStart w:id="205" w:name="_Toc184314453"/>
      <w:bookmarkEnd w:id="205"/>
      <w:bookmarkStart w:id="206" w:name="_Toc184312103"/>
      <w:bookmarkEnd w:id="206"/>
      <w:bookmarkStart w:id="207" w:name="_Toc184310314"/>
      <w:bookmarkEnd w:id="207"/>
      <w:bookmarkStart w:id="208" w:name="_Toc184314416"/>
      <w:bookmarkEnd w:id="208"/>
      <w:bookmarkStart w:id="209" w:name="_Toc184308074"/>
      <w:bookmarkEnd w:id="209"/>
      <w:bookmarkStart w:id="210" w:name="_Toc184308104"/>
      <w:bookmarkEnd w:id="210"/>
      <w:bookmarkStart w:id="211" w:name="_Toc184310289"/>
      <w:bookmarkEnd w:id="211"/>
      <w:bookmarkStart w:id="212" w:name="_Toc184313248"/>
      <w:bookmarkEnd w:id="212"/>
      <w:bookmarkStart w:id="213" w:name="_Toc184308078"/>
      <w:bookmarkEnd w:id="213"/>
      <w:bookmarkStart w:id="214" w:name="_Toc184308103"/>
      <w:bookmarkEnd w:id="214"/>
      <w:bookmarkStart w:id="215" w:name="_Toc184310341"/>
      <w:bookmarkEnd w:id="215"/>
      <w:bookmarkStart w:id="216" w:name="_Toc184310339"/>
      <w:bookmarkEnd w:id="216"/>
      <w:bookmarkStart w:id="217" w:name="_Toc184310327"/>
      <w:bookmarkEnd w:id="217"/>
      <w:bookmarkStart w:id="218" w:name="_Toc184313258"/>
      <w:bookmarkEnd w:id="218"/>
      <w:bookmarkStart w:id="219" w:name="_Toc184308064"/>
      <w:bookmarkEnd w:id="219"/>
      <w:bookmarkStart w:id="220" w:name="_Toc184310273"/>
      <w:bookmarkEnd w:id="220"/>
      <w:bookmarkStart w:id="221" w:name="_Toc184313252"/>
      <w:bookmarkEnd w:id="221"/>
      <w:bookmarkStart w:id="222" w:name="_Toc184308054"/>
      <w:bookmarkEnd w:id="222"/>
      <w:bookmarkStart w:id="223" w:name="_Toc184312127"/>
      <w:bookmarkEnd w:id="223"/>
      <w:bookmarkStart w:id="224" w:name="_Toc184308046"/>
      <w:bookmarkEnd w:id="224"/>
      <w:bookmarkStart w:id="225" w:name="_Toc184313243"/>
      <w:bookmarkEnd w:id="225"/>
      <w:bookmarkStart w:id="226" w:name="_Toc184313260"/>
      <w:bookmarkEnd w:id="226"/>
      <w:bookmarkStart w:id="227" w:name="_Toc184310297"/>
      <w:bookmarkEnd w:id="227"/>
      <w:bookmarkStart w:id="228" w:name="_Toc184308080"/>
      <w:bookmarkEnd w:id="228"/>
      <w:bookmarkStart w:id="229" w:name="_Toc184312075"/>
      <w:bookmarkEnd w:id="229"/>
      <w:bookmarkStart w:id="230" w:name="_Toc184310302"/>
      <w:bookmarkEnd w:id="230"/>
      <w:bookmarkStart w:id="231" w:name="_Toc184314413"/>
      <w:bookmarkEnd w:id="231"/>
      <w:bookmarkStart w:id="232" w:name="_Toc184314477"/>
      <w:bookmarkEnd w:id="232"/>
      <w:bookmarkStart w:id="233" w:name="_Toc184314458"/>
      <w:bookmarkEnd w:id="233"/>
      <w:bookmarkStart w:id="234" w:name="_Toc184310317"/>
      <w:bookmarkEnd w:id="234"/>
      <w:bookmarkStart w:id="235" w:name="_Toc184313247"/>
      <w:bookmarkEnd w:id="235"/>
      <w:bookmarkStart w:id="236" w:name="_Toc184310332"/>
      <w:bookmarkEnd w:id="236"/>
      <w:bookmarkStart w:id="237" w:name="_Toc184308068"/>
      <w:bookmarkEnd w:id="237"/>
      <w:bookmarkStart w:id="238" w:name="_Toc184312079"/>
      <w:bookmarkEnd w:id="238"/>
      <w:bookmarkStart w:id="239" w:name="_Toc184314423"/>
      <w:bookmarkEnd w:id="239"/>
      <w:bookmarkStart w:id="240" w:name="_Toc184313275"/>
      <w:bookmarkEnd w:id="240"/>
      <w:bookmarkStart w:id="241" w:name="_Toc184308087"/>
      <w:bookmarkEnd w:id="241"/>
      <w:bookmarkStart w:id="242" w:name="_Toc184312126"/>
      <w:bookmarkEnd w:id="242"/>
      <w:bookmarkStart w:id="243" w:name="_Toc184310308"/>
      <w:bookmarkEnd w:id="243"/>
      <w:bookmarkStart w:id="244" w:name="_Toc184308091"/>
      <w:bookmarkEnd w:id="244"/>
      <w:bookmarkStart w:id="245" w:name="_Toc184314457"/>
      <w:bookmarkEnd w:id="245"/>
      <w:bookmarkStart w:id="246" w:name="_Toc184310275"/>
      <w:bookmarkEnd w:id="246"/>
      <w:bookmarkStart w:id="247" w:name="_Toc184310286"/>
      <w:bookmarkEnd w:id="247"/>
      <w:bookmarkStart w:id="248" w:name="_Toc184310280"/>
      <w:bookmarkEnd w:id="248"/>
      <w:bookmarkStart w:id="249" w:name="_Toc184310298"/>
      <w:bookmarkEnd w:id="249"/>
      <w:bookmarkStart w:id="250" w:name="_Toc184312115"/>
      <w:bookmarkEnd w:id="250"/>
      <w:bookmarkStart w:id="251" w:name="_Toc184310296"/>
      <w:bookmarkEnd w:id="251"/>
      <w:bookmarkStart w:id="252" w:name="_Toc184313254"/>
      <w:bookmarkEnd w:id="252"/>
      <w:bookmarkStart w:id="253" w:name="_Toc184312116"/>
      <w:bookmarkEnd w:id="253"/>
      <w:bookmarkStart w:id="254" w:name="_Toc184314479"/>
      <w:bookmarkEnd w:id="254"/>
      <w:bookmarkStart w:id="255" w:name="_Toc184313301"/>
      <w:bookmarkEnd w:id="255"/>
      <w:bookmarkStart w:id="256" w:name="_Toc184308042"/>
      <w:bookmarkEnd w:id="256"/>
      <w:bookmarkStart w:id="257" w:name="_Toc184312107"/>
      <w:bookmarkEnd w:id="257"/>
      <w:bookmarkStart w:id="258" w:name="_Toc184312105"/>
      <w:bookmarkEnd w:id="258"/>
      <w:bookmarkStart w:id="259" w:name="_Toc184314466"/>
      <w:bookmarkEnd w:id="259"/>
      <w:bookmarkStart w:id="260" w:name="_Toc184312094"/>
      <w:bookmarkEnd w:id="260"/>
      <w:bookmarkStart w:id="261" w:name="_Toc184314445"/>
      <w:bookmarkEnd w:id="261"/>
      <w:bookmarkStart w:id="262" w:name="_Toc184310287"/>
      <w:bookmarkEnd w:id="262"/>
      <w:bookmarkStart w:id="263" w:name="_Toc184313294"/>
      <w:bookmarkEnd w:id="263"/>
      <w:bookmarkStart w:id="264" w:name="_Toc184313281"/>
      <w:bookmarkEnd w:id="264"/>
      <w:bookmarkStart w:id="265" w:name="_Toc184313271"/>
      <w:bookmarkEnd w:id="265"/>
      <w:bookmarkStart w:id="266" w:name="_Toc184314463"/>
      <w:bookmarkEnd w:id="266"/>
      <w:bookmarkStart w:id="267" w:name="_Toc184313293"/>
      <w:bookmarkEnd w:id="267"/>
      <w:bookmarkStart w:id="268" w:name="_Toc184314476"/>
      <w:bookmarkEnd w:id="268"/>
      <w:bookmarkStart w:id="269" w:name="_Toc184312136"/>
      <w:bookmarkEnd w:id="269"/>
      <w:bookmarkStart w:id="270" w:name="_Toc184312068"/>
      <w:bookmarkEnd w:id="270"/>
      <w:bookmarkStart w:id="271" w:name="_Toc184310336"/>
      <w:bookmarkEnd w:id="271"/>
      <w:bookmarkStart w:id="272" w:name="_Toc184308101"/>
      <w:bookmarkEnd w:id="272"/>
      <w:bookmarkStart w:id="273" w:name="_Toc184314430"/>
      <w:bookmarkEnd w:id="273"/>
      <w:bookmarkStart w:id="274" w:name="_Toc184312128"/>
      <w:bookmarkEnd w:id="274"/>
      <w:bookmarkStart w:id="275" w:name="_Toc184314480"/>
      <w:bookmarkEnd w:id="275"/>
      <w:bookmarkStart w:id="276" w:name="_Toc184313256"/>
      <w:bookmarkEnd w:id="276"/>
      <w:bookmarkStart w:id="277" w:name="_Toc184308075"/>
      <w:bookmarkEnd w:id="277"/>
      <w:bookmarkStart w:id="278" w:name="_Toc184314449"/>
      <w:bookmarkEnd w:id="278"/>
      <w:bookmarkStart w:id="279" w:name="_Toc184308063"/>
      <w:bookmarkEnd w:id="279"/>
      <w:bookmarkStart w:id="280" w:name="_Toc184310330"/>
      <w:bookmarkEnd w:id="280"/>
      <w:bookmarkStart w:id="281" w:name="_Toc184312087"/>
      <w:bookmarkEnd w:id="281"/>
      <w:bookmarkStart w:id="282" w:name="_Toc184312131"/>
      <w:bookmarkEnd w:id="282"/>
      <w:bookmarkStart w:id="283" w:name="_Toc184314460"/>
      <w:bookmarkEnd w:id="283"/>
      <w:bookmarkStart w:id="284" w:name="_Toc184312104"/>
      <w:bookmarkEnd w:id="284"/>
      <w:bookmarkStart w:id="285" w:name="_Toc184310313"/>
      <w:bookmarkEnd w:id="285"/>
      <w:bookmarkStart w:id="286" w:name="_Toc184313278"/>
      <w:bookmarkEnd w:id="286"/>
      <w:bookmarkStart w:id="287" w:name="_Toc184308090"/>
      <w:bookmarkEnd w:id="287"/>
      <w:bookmarkStart w:id="288" w:name="_Toc184313277"/>
      <w:bookmarkEnd w:id="288"/>
      <w:bookmarkStart w:id="289" w:name="_Toc184312085"/>
      <w:bookmarkEnd w:id="289"/>
      <w:bookmarkStart w:id="290" w:name="_Toc184308098"/>
      <w:bookmarkEnd w:id="290"/>
      <w:bookmarkStart w:id="291" w:name="_Toc184313308"/>
      <w:bookmarkEnd w:id="291"/>
      <w:bookmarkStart w:id="292" w:name="_Toc184312138"/>
      <w:bookmarkEnd w:id="292"/>
      <w:bookmarkStart w:id="293" w:name="_Toc184310301"/>
      <w:bookmarkEnd w:id="293"/>
      <w:bookmarkStart w:id="294" w:name="_Toc184310321"/>
      <w:bookmarkEnd w:id="294"/>
      <w:bookmarkStart w:id="295" w:name="_Toc184312135"/>
      <w:bookmarkEnd w:id="295"/>
      <w:bookmarkStart w:id="296" w:name="_Toc184308107"/>
      <w:bookmarkEnd w:id="296"/>
      <w:bookmarkStart w:id="297" w:name="_Toc184310343"/>
      <w:bookmarkEnd w:id="297"/>
      <w:bookmarkStart w:id="298" w:name="_Toc184314424"/>
      <w:bookmarkEnd w:id="298"/>
      <w:bookmarkStart w:id="299" w:name="_Toc184310300"/>
      <w:bookmarkEnd w:id="299"/>
      <w:bookmarkStart w:id="300" w:name="_Toc184308085"/>
      <w:bookmarkEnd w:id="300"/>
      <w:bookmarkStart w:id="301" w:name="_Toc184312113"/>
      <w:bookmarkEnd w:id="301"/>
      <w:bookmarkStart w:id="302" w:name="_Toc184314462"/>
      <w:bookmarkEnd w:id="302"/>
      <w:bookmarkStart w:id="303" w:name="_Toc184312117"/>
      <w:bookmarkEnd w:id="303"/>
      <w:bookmarkStart w:id="304" w:name="_Toc184310334"/>
      <w:bookmarkEnd w:id="304"/>
      <w:bookmarkStart w:id="305" w:name="_Toc184314422"/>
      <w:bookmarkEnd w:id="305"/>
      <w:bookmarkStart w:id="306" w:name="_Toc184313304"/>
      <w:bookmarkEnd w:id="306"/>
      <w:bookmarkStart w:id="307" w:name="_Toc184308053"/>
      <w:bookmarkEnd w:id="307"/>
      <w:bookmarkStart w:id="308" w:name="_Toc184314470"/>
      <w:bookmarkEnd w:id="308"/>
      <w:bookmarkStart w:id="309" w:name="_Toc184314452"/>
      <w:bookmarkEnd w:id="309"/>
      <w:bookmarkStart w:id="310" w:name="_Toc184313251"/>
      <w:bookmarkEnd w:id="310"/>
      <w:bookmarkStart w:id="311" w:name="_Toc184312133"/>
      <w:bookmarkEnd w:id="311"/>
      <w:bookmarkStart w:id="312" w:name="_Toc184313270"/>
      <w:bookmarkEnd w:id="312"/>
      <w:bookmarkStart w:id="313" w:name="_Toc184314454"/>
      <w:bookmarkEnd w:id="313"/>
      <w:bookmarkStart w:id="314" w:name="_Toc184314447"/>
      <w:bookmarkEnd w:id="314"/>
      <w:bookmarkStart w:id="315" w:name="_Toc184312129"/>
      <w:bookmarkEnd w:id="315"/>
      <w:bookmarkStart w:id="316" w:name="_Toc184313286"/>
      <w:bookmarkEnd w:id="316"/>
      <w:bookmarkStart w:id="317" w:name="_Toc184310293"/>
      <w:bookmarkEnd w:id="317"/>
      <w:bookmarkStart w:id="318" w:name="_Toc184312120"/>
      <w:bookmarkEnd w:id="318"/>
      <w:bookmarkStart w:id="319" w:name="_Toc184312076"/>
      <w:bookmarkEnd w:id="319"/>
      <w:bookmarkStart w:id="320" w:name="_Toc184313238"/>
      <w:bookmarkEnd w:id="320"/>
      <w:bookmarkStart w:id="321" w:name="_Toc184312112"/>
      <w:bookmarkEnd w:id="321"/>
      <w:bookmarkStart w:id="322" w:name="_Toc184308045"/>
      <w:bookmarkEnd w:id="322"/>
      <w:bookmarkStart w:id="323" w:name="_Toc184312137"/>
      <w:bookmarkEnd w:id="323"/>
      <w:bookmarkStart w:id="324" w:name="_Toc184310284"/>
      <w:bookmarkEnd w:id="324"/>
      <w:bookmarkStart w:id="325" w:name="_Toc184308079"/>
      <w:bookmarkEnd w:id="325"/>
      <w:bookmarkStart w:id="326" w:name="_Toc184313295"/>
      <w:bookmarkEnd w:id="326"/>
      <w:bookmarkStart w:id="327" w:name="_Toc184314482"/>
      <w:bookmarkEnd w:id="327"/>
      <w:bookmarkStart w:id="328" w:name="_Toc184313257"/>
      <w:bookmarkEnd w:id="328"/>
      <w:bookmarkStart w:id="329" w:name="_Toc184313272"/>
      <w:bookmarkEnd w:id="329"/>
      <w:bookmarkStart w:id="330" w:name="_Toc184312118"/>
      <w:bookmarkEnd w:id="330"/>
      <w:bookmarkStart w:id="331" w:name="_Toc184312108"/>
      <w:bookmarkEnd w:id="331"/>
      <w:bookmarkStart w:id="332" w:name="_Toc184308067"/>
      <w:bookmarkEnd w:id="332"/>
      <w:bookmarkStart w:id="333" w:name="_Toc184313280"/>
      <w:bookmarkEnd w:id="333"/>
      <w:bookmarkStart w:id="334" w:name="_Toc184313307"/>
      <w:bookmarkEnd w:id="334"/>
      <w:bookmarkStart w:id="335" w:name="_Toc184313239"/>
      <w:bookmarkEnd w:id="335"/>
      <w:bookmarkStart w:id="336" w:name="_Toc184314420"/>
      <w:bookmarkEnd w:id="336"/>
      <w:bookmarkStart w:id="337" w:name="_Toc184308086"/>
      <w:bookmarkEnd w:id="337"/>
      <w:bookmarkStart w:id="338" w:name="_Toc184314421"/>
      <w:bookmarkEnd w:id="338"/>
      <w:bookmarkStart w:id="339" w:name="_Toc184314443"/>
      <w:bookmarkEnd w:id="339"/>
      <w:bookmarkStart w:id="340" w:name="_Toc184314431"/>
      <w:bookmarkEnd w:id="340"/>
      <w:bookmarkStart w:id="341" w:name="_Toc184314427"/>
      <w:bookmarkEnd w:id="341"/>
      <w:bookmarkStart w:id="342" w:name="_Toc184310340"/>
      <w:bookmarkEnd w:id="342"/>
      <w:bookmarkStart w:id="343" w:name="_Toc184310315"/>
      <w:bookmarkEnd w:id="343"/>
      <w:bookmarkStart w:id="344" w:name="_Toc184310295"/>
      <w:bookmarkEnd w:id="344"/>
      <w:bookmarkStart w:id="345" w:name="_Toc184312100"/>
      <w:bookmarkEnd w:id="345"/>
      <w:bookmarkStart w:id="346" w:name="_Toc184310322"/>
      <w:bookmarkEnd w:id="346"/>
      <w:bookmarkStart w:id="347" w:name="_Toc184308044"/>
      <w:bookmarkEnd w:id="347"/>
      <w:bookmarkStart w:id="348" w:name="_Toc184308081"/>
      <w:bookmarkEnd w:id="348"/>
      <w:bookmarkStart w:id="349" w:name="_Toc184313264"/>
      <w:bookmarkEnd w:id="349"/>
      <w:bookmarkStart w:id="350" w:name="_Toc184312106"/>
      <w:bookmarkEnd w:id="350"/>
      <w:bookmarkStart w:id="351" w:name="_Toc184313285"/>
      <w:bookmarkEnd w:id="351"/>
      <w:bookmarkStart w:id="352" w:name="_Toc184314426"/>
      <w:bookmarkEnd w:id="352"/>
      <w:bookmarkStart w:id="353" w:name="_Toc184313284"/>
      <w:bookmarkEnd w:id="353"/>
      <w:bookmarkStart w:id="354" w:name="_Toc184314481"/>
      <w:bookmarkEnd w:id="354"/>
      <w:bookmarkStart w:id="355" w:name="_Toc184312123"/>
      <w:bookmarkEnd w:id="355"/>
      <w:bookmarkStart w:id="356" w:name="_Toc184312102"/>
      <w:bookmarkEnd w:id="356"/>
      <w:bookmarkStart w:id="357" w:name="_Toc184313292"/>
      <w:bookmarkEnd w:id="357"/>
      <w:bookmarkStart w:id="358" w:name="_Toc184312134"/>
      <w:bookmarkEnd w:id="358"/>
      <w:bookmarkStart w:id="359" w:name="_Toc184313241"/>
      <w:bookmarkEnd w:id="359"/>
      <w:bookmarkStart w:id="360" w:name="_Toc184308072"/>
      <w:bookmarkEnd w:id="360"/>
      <w:bookmarkStart w:id="361" w:name="_Toc184314415"/>
      <w:bookmarkEnd w:id="361"/>
      <w:bookmarkStart w:id="362" w:name="_Toc184312091"/>
      <w:bookmarkEnd w:id="362"/>
      <w:bookmarkStart w:id="363" w:name="_Toc184313306"/>
      <w:bookmarkEnd w:id="363"/>
      <w:bookmarkStart w:id="364" w:name="_Toc184308096"/>
      <w:bookmarkEnd w:id="364"/>
      <w:bookmarkStart w:id="365" w:name="_Toc184310278"/>
      <w:bookmarkEnd w:id="365"/>
      <w:bookmarkStart w:id="366" w:name="_Toc184314464"/>
      <w:bookmarkEnd w:id="366"/>
      <w:bookmarkStart w:id="367" w:name="_Toc184314419"/>
      <w:bookmarkEnd w:id="367"/>
      <w:bookmarkStart w:id="368" w:name="_Toc184312081"/>
      <w:bookmarkEnd w:id="368"/>
      <w:bookmarkStart w:id="369" w:name="_Toc184310331"/>
      <w:bookmarkEnd w:id="369"/>
      <w:bookmarkStart w:id="370" w:name="_Toc184312122"/>
      <w:bookmarkEnd w:id="370"/>
      <w:bookmarkStart w:id="371" w:name="_Toc184313305"/>
      <w:bookmarkEnd w:id="371"/>
      <w:bookmarkStart w:id="372" w:name="_Toc184314467"/>
      <w:bookmarkEnd w:id="372"/>
      <w:bookmarkStart w:id="373" w:name="_Toc184308055"/>
      <w:bookmarkEnd w:id="373"/>
      <w:bookmarkStart w:id="374" w:name="_Toc184314465"/>
      <w:bookmarkEnd w:id="374"/>
      <w:bookmarkStart w:id="375" w:name="_Toc184313298"/>
      <w:bookmarkEnd w:id="375"/>
      <w:bookmarkStart w:id="376" w:name="_Toc184314450"/>
      <w:bookmarkEnd w:id="376"/>
      <w:bookmarkStart w:id="377" w:name="_Toc184308093"/>
      <w:bookmarkEnd w:id="377"/>
      <w:bookmarkStart w:id="378" w:name="_Toc184314456"/>
      <w:bookmarkEnd w:id="378"/>
      <w:bookmarkStart w:id="379" w:name="_Toc184310281"/>
      <w:bookmarkEnd w:id="379"/>
      <w:bookmarkStart w:id="380" w:name="_Toc184310325"/>
      <w:bookmarkEnd w:id="380"/>
      <w:bookmarkStart w:id="381" w:name="_Toc184308036"/>
      <w:bookmarkEnd w:id="381"/>
      <w:bookmarkStart w:id="382" w:name="_Toc184314461"/>
      <w:bookmarkEnd w:id="382"/>
      <w:bookmarkStart w:id="383" w:name="_Toc184313253"/>
      <w:bookmarkEnd w:id="383"/>
      <w:bookmarkStart w:id="384" w:name="_Toc184310309"/>
      <w:bookmarkEnd w:id="384"/>
      <w:bookmarkStart w:id="385" w:name="_Toc184314434"/>
      <w:bookmarkEnd w:id="385"/>
      <w:bookmarkStart w:id="386" w:name="_Toc184313299"/>
      <w:bookmarkEnd w:id="386"/>
      <w:bookmarkStart w:id="387" w:name="_Toc184314429"/>
      <w:bookmarkEnd w:id="387"/>
      <w:bookmarkStart w:id="388" w:name="_Toc184310333"/>
      <w:bookmarkEnd w:id="388"/>
      <w:bookmarkStart w:id="389" w:name="_Toc184312130"/>
      <w:bookmarkEnd w:id="389"/>
      <w:bookmarkStart w:id="390" w:name="_Toc184313240"/>
      <w:bookmarkEnd w:id="390"/>
      <w:r>
        <w:rPr>
          <w:rFonts w:hint="eastAsia" w:ascii="仿宋" w:hAnsi="仿宋" w:eastAsia="仿宋" w:cs="仿宋"/>
          <w:b/>
          <w:color w:val="auto"/>
          <w:sz w:val="36"/>
          <w:szCs w:val="36"/>
          <w:highlight w:val="none"/>
        </w:rPr>
        <w:t>评标办法</w:t>
      </w:r>
    </w:p>
    <w:p>
      <w:pPr>
        <w:snapToGrid w:val="0"/>
        <w:spacing w:line="360" w:lineRule="auto"/>
        <w:jc w:val="center"/>
        <w:rPr>
          <w:rFonts w:ascii="仿宋" w:hAnsi="仿宋" w:eastAsia="仿宋" w:cs="仿宋"/>
          <w:color w:val="auto"/>
          <w:sz w:val="20"/>
          <w:szCs w:val="20"/>
          <w:highlight w:val="none"/>
          <w:shd w:val="clear" w:color="auto" w:fill="FFFFFF"/>
        </w:rPr>
      </w:pPr>
      <w:r>
        <w:rPr>
          <w:rFonts w:hint="eastAsia" w:ascii="仿宋" w:hAnsi="仿宋" w:eastAsia="仿宋" w:cs="仿宋"/>
          <w:b/>
          <w:color w:val="auto"/>
          <w:sz w:val="32"/>
          <w:szCs w:val="20"/>
          <w:highlight w:val="none"/>
        </w:rPr>
        <w:t>评标办法前附表</w:t>
      </w:r>
    </w:p>
    <w:tbl>
      <w:tblPr>
        <w:tblStyle w:val="62"/>
        <w:tblpPr w:leftFromText="180" w:rightFromText="180" w:vertAnchor="text" w:horzAnchor="page" w:tblpXSpec="center" w:tblpY="126"/>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5974"/>
        <w:gridCol w:w="822"/>
        <w:gridCol w:w="2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33" w:type="dxa"/>
            <w:noWrap w:val="0"/>
            <w:vAlign w:val="center"/>
          </w:tcPr>
          <w:p>
            <w:pPr>
              <w:jc w:val="center"/>
              <w:outlineLvl w:val="0"/>
              <w:rPr>
                <w:rFonts w:ascii="仿宋" w:hAnsi="仿宋" w:eastAsia="仿宋" w:cs="仿宋"/>
                <w:sz w:val="24"/>
              </w:rPr>
            </w:pPr>
            <w:r>
              <w:rPr>
                <w:rFonts w:hint="eastAsia" w:ascii="仿宋" w:hAnsi="仿宋" w:eastAsia="仿宋" w:cs="仿宋"/>
                <w:sz w:val="24"/>
              </w:rPr>
              <w:t>序号</w:t>
            </w:r>
          </w:p>
        </w:tc>
        <w:tc>
          <w:tcPr>
            <w:tcW w:w="5974" w:type="dxa"/>
            <w:noWrap w:val="0"/>
            <w:vAlign w:val="center"/>
          </w:tcPr>
          <w:p>
            <w:pPr>
              <w:jc w:val="center"/>
              <w:outlineLvl w:val="0"/>
              <w:rPr>
                <w:rFonts w:ascii="仿宋" w:hAnsi="仿宋" w:eastAsia="仿宋" w:cs="仿宋"/>
                <w:sz w:val="24"/>
              </w:rPr>
            </w:pPr>
            <w:r>
              <w:rPr>
                <w:rFonts w:hint="eastAsia" w:ascii="仿宋" w:hAnsi="仿宋" w:eastAsia="仿宋" w:cs="仿宋"/>
                <w:sz w:val="24"/>
              </w:rPr>
              <w:t>评标标准</w:t>
            </w:r>
          </w:p>
        </w:tc>
        <w:tc>
          <w:tcPr>
            <w:tcW w:w="822" w:type="dxa"/>
            <w:noWrap w:val="0"/>
            <w:vAlign w:val="center"/>
          </w:tcPr>
          <w:p>
            <w:pPr>
              <w:jc w:val="center"/>
              <w:outlineLvl w:val="0"/>
              <w:rPr>
                <w:rFonts w:ascii="仿宋" w:hAnsi="仿宋" w:eastAsia="仿宋" w:cs="仿宋"/>
                <w:sz w:val="24"/>
              </w:rPr>
            </w:pPr>
            <w:r>
              <w:rPr>
                <w:rFonts w:hint="eastAsia" w:ascii="仿宋" w:hAnsi="仿宋" w:eastAsia="仿宋" w:cs="仿宋"/>
                <w:sz w:val="24"/>
              </w:rPr>
              <w:t>权重</w:t>
            </w:r>
          </w:p>
        </w:tc>
        <w:tc>
          <w:tcPr>
            <w:tcW w:w="2210" w:type="dxa"/>
            <w:noWrap w:val="0"/>
            <w:vAlign w:val="center"/>
          </w:tcPr>
          <w:p>
            <w:pPr>
              <w:jc w:val="center"/>
              <w:outlineLvl w:val="0"/>
              <w:rPr>
                <w:rFonts w:ascii="仿宋" w:hAnsi="仿宋" w:eastAsia="仿宋" w:cs="仿宋"/>
                <w:sz w:val="24"/>
              </w:rPr>
            </w:pPr>
            <w:r>
              <w:rPr>
                <w:rFonts w:hint="eastAsia" w:ascii="仿宋" w:hAnsi="仿宋" w:eastAsia="仿宋" w:cs="仿宋"/>
                <w:sz w:val="24"/>
              </w:rPr>
              <w:t>投标文件中评标标准相应的商务技术资料目录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633" w:type="dxa"/>
            <w:noWrap w:val="0"/>
            <w:vAlign w:val="center"/>
          </w:tcPr>
          <w:p>
            <w:pPr>
              <w:jc w:val="center"/>
              <w:outlineLvl w:val="0"/>
              <w:rPr>
                <w:rFonts w:ascii="仿宋" w:hAnsi="仿宋" w:eastAsia="仿宋" w:cs="仿宋"/>
                <w:sz w:val="24"/>
                <w:highlight w:val="none"/>
              </w:rPr>
            </w:pPr>
            <w:r>
              <w:rPr>
                <w:rFonts w:hint="eastAsia" w:ascii="仿宋" w:hAnsi="仿宋" w:eastAsia="仿宋" w:cs="仿宋"/>
                <w:sz w:val="24"/>
                <w:highlight w:val="none"/>
              </w:rPr>
              <w:t>1</w:t>
            </w:r>
          </w:p>
        </w:tc>
        <w:tc>
          <w:tcPr>
            <w:tcW w:w="5974" w:type="dxa"/>
            <w:noWrap w:val="0"/>
            <w:vAlign w:val="center"/>
          </w:tcPr>
          <w:p>
            <w:pPr>
              <w:widowControl/>
              <w:textAlignment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结合采购需求背景及目标，投标供应商展开分析。根据对项目分析是否到位，任务理解是否准确，对未来社区建设理解是否深入，问题或矛盾是否有独到的见解进行打分，最高得4分。</w:t>
            </w:r>
          </w:p>
        </w:tc>
        <w:tc>
          <w:tcPr>
            <w:tcW w:w="822" w:type="dxa"/>
            <w:noWrap w:val="0"/>
            <w:vAlign w:val="center"/>
          </w:tcPr>
          <w:p>
            <w:pPr>
              <w:jc w:val="center"/>
              <w:outlineLvl w:val="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3" w:type="dxa"/>
            <w:noWrap w:val="0"/>
            <w:vAlign w:val="center"/>
          </w:tcPr>
          <w:p>
            <w:pPr>
              <w:jc w:val="center"/>
              <w:outlineLvl w:val="0"/>
              <w:rPr>
                <w:rFonts w:ascii="仿宋" w:hAnsi="仿宋" w:eastAsia="仿宋" w:cs="仿宋"/>
                <w:sz w:val="24"/>
                <w:highlight w:val="none"/>
              </w:rPr>
            </w:pPr>
            <w:r>
              <w:rPr>
                <w:rFonts w:hint="eastAsia" w:ascii="仿宋" w:hAnsi="仿宋" w:eastAsia="仿宋" w:cs="仿宋"/>
                <w:sz w:val="24"/>
                <w:highlight w:val="none"/>
              </w:rPr>
              <w:t>2</w:t>
            </w:r>
          </w:p>
        </w:tc>
        <w:tc>
          <w:tcPr>
            <w:tcW w:w="5974" w:type="dxa"/>
            <w:noWrap w:val="0"/>
            <w:vAlign w:val="center"/>
          </w:tcPr>
          <w:p>
            <w:pPr>
              <w:pStyle w:val="3"/>
              <w:spacing w:line="240" w:lineRule="auto"/>
              <w:ind w:firstLine="0" w:firstLineChars="0"/>
              <w:rPr>
                <w:rFonts w:ascii="仿宋" w:hAnsi="仿宋" w:eastAsia="仿宋" w:cs="仿宋"/>
                <w:highlight w:val="none"/>
              </w:rPr>
            </w:pPr>
            <w:r>
              <w:rPr>
                <w:rFonts w:hint="eastAsia" w:ascii="仿宋" w:hAnsi="仿宋" w:eastAsia="仿宋" w:cs="仿宋"/>
                <w:highlight w:val="none"/>
              </w:rPr>
              <w:t>符合明确指标参数得</w:t>
            </w:r>
            <w:r>
              <w:rPr>
                <w:rFonts w:hint="eastAsia" w:ascii="仿宋" w:hAnsi="仿宋" w:eastAsia="仿宋" w:cs="仿宋"/>
                <w:highlight w:val="none"/>
                <w:lang w:val="en-US" w:eastAsia="zh-CN"/>
              </w:rPr>
              <w:t>9</w:t>
            </w:r>
            <w:r>
              <w:rPr>
                <w:rFonts w:hint="eastAsia" w:ascii="仿宋" w:hAnsi="仿宋" w:eastAsia="仿宋" w:cs="仿宋"/>
                <w:highlight w:val="none"/>
              </w:rPr>
              <w:t>分；对非关键技术参数负偏离或缺漏项的每项扣1分，对非关键功能负偏离或缺漏项的每项扣1分，扣完为止。</w:t>
            </w:r>
          </w:p>
        </w:tc>
        <w:tc>
          <w:tcPr>
            <w:tcW w:w="822" w:type="dxa"/>
            <w:noWrap w:val="0"/>
            <w:vAlign w:val="center"/>
          </w:tcPr>
          <w:p>
            <w:pPr>
              <w:jc w:val="center"/>
              <w:outlineLvl w:val="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9</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33" w:type="dxa"/>
            <w:noWrap w:val="0"/>
            <w:vAlign w:val="center"/>
          </w:tcPr>
          <w:p>
            <w:pPr>
              <w:jc w:val="center"/>
              <w:outlineLvl w:val="0"/>
              <w:rPr>
                <w:rFonts w:ascii="仿宋" w:hAnsi="仿宋" w:eastAsia="仿宋" w:cs="仿宋"/>
                <w:sz w:val="24"/>
                <w:highlight w:val="none"/>
              </w:rPr>
            </w:pPr>
            <w:r>
              <w:rPr>
                <w:rFonts w:hint="eastAsia" w:ascii="仿宋" w:hAnsi="仿宋" w:eastAsia="仿宋" w:cs="仿宋"/>
                <w:sz w:val="24"/>
                <w:highlight w:val="none"/>
              </w:rPr>
              <w:t>3</w:t>
            </w:r>
          </w:p>
        </w:tc>
        <w:tc>
          <w:tcPr>
            <w:tcW w:w="5974" w:type="dxa"/>
            <w:noWrap w:val="0"/>
            <w:vAlign w:val="center"/>
          </w:tcPr>
          <w:p>
            <w:pPr>
              <w:snapToGrid w:val="0"/>
              <w:jc w:val="left"/>
              <w:rPr>
                <w:rFonts w:ascii="仿宋" w:hAnsi="仿宋" w:eastAsia="仿宋" w:cs="仿宋"/>
                <w:sz w:val="24"/>
                <w:highlight w:val="none"/>
              </w:rPr>
            </w:pPr>
            <w:r>
              <w:rPr>
                <w:rFonts w:hint="eastAsia" w:ascii="仿宋" w:hAnsi="仿宋" w:eastAsia="仿宋" w:cs="仿宋"/>
                <w:sz w:val="24"/>
                <w:highlight w:val="none"/>
              </w:rPr>
              <w:t>根据投标单位是否踏勘现场情况，投标文件中提供采购单位踏勘确认书（格式详见附件）扫描件或复印件的得2分。</w:t>
            </w:r>
          </w:p>
        </w:tc>
        <w:tc>
          <w:tcPr>
            <w:tcW w:w="822" w:type="dxa"/>
            <w:noWrap w:val="0"/>
            <w:vAlign w:val="center"/>
          </w:tcPr>
          <w:p>
            <w:pPr>
              <w:jc w:val="center"/>
              <w:outlineLvl w:val="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33" w:type="dxa"/>
            <w:noWrap w:val="0"/>
            <w:vAlign w:val="center"/>
          </w:tcPr>
          <w:p>
            <w:pPr>
              <w:jc w:val="center"/>
              <w:outlineLvl w:val="0"/>
              <w:rPr>
                <w:rFonts w:ascii="仿宋" w:hAnsi="仿宋" w:eastAsia="仿宋" w:cs="仿宋"/>
                <w:sz w:val="24"/>
                <w:highlight w:val="none"/>
              </w:rPr>
            </w:pPr>
            <w:r>
              <w:rPr>
                <w:rFonts w:hint="eastAsia" w:ascii="仿宋" w:hAnsi="仿宋" w:eastAsia="仿宋" w:cs="仿宋"/>
                <w:sz w:val="24"/>
                <w:highlight w:val="none"/>
              </w:rPr>
              <w:t>4</w:t>
            </w:r>
          </w:p>
        </w:tc>
        <w:tc>
          <w:tcPr>
            <w:tcW w:w="5974" w:type="dxa"/>
            <w:noWrap w:val="0"/>
            <w:vAlign w:val="center"/>
          </w:tcPr>
          <w:p>
            <w:pPr>
              <w:jc w:val="left"/>
              <w:outlineLvl w:val="0"/>
              <w:rPr>
                <w:rFonts w:ascii="仿宋" w:hAnsi="仿宋" w:eastAsia="仿宋" w:cs="仿宋"/>
                <w:sz w:val="24"/>
                <w:highlight w:val="none"/>
              </w:rPr>
            </w:pPr>
            <w:r>
              <w:rPr>
                <w:rFonts w:hint="eastAsia" w:ascii="仿宋" w:hAnsi="仿宋" w:eastAsia="仿宋" w:cs="仿宋"/>
                <w:sz w:val="24"/>
                <w:szCs w:val="24"/>
                <w:highlight w:val="none"/>
              </w:rPr>
              <w:t>根据现场实际情况提供安装及建设思路，对踏勘的真实性、完整性及建设思路阐述的详细程度、清晰程度进行评分，最高得4分。</w:t>
            </w:r>
          </w:p>
        </w:tc>
        <w:tc>
          <w:tcPr>
            <w:tcW w:w="822" w:type="dxa"/>
            <w:noWrap w:val="0"/>
            <w:vAlign w:val="center"/>
          </w:tcPr>
          <w:p>
            <w:pPr>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33" w:type="dxa"/>
            <w:noWrap w:val="0"/>
            <w:vAlign w:val="center"/>
          </w:tcPr>
          <w:p>
            <w:pPr>
              <w:jc w:val="center"/>
              <w:outlineLvl w:val="0"/>
              <w:rPr>
                <w:rFonts w:ascii="仿宋" w:hAnsi="仿宋" w:eastAsia="仿宋" w:cs="仿宋"/>
                <w:sz w:val="24"/>
                <w:highlight w:val="none"/>
              </w:rPr>
            </w:pPr>
            <w:r>
              <w:rPr>
                <w:rFonts w:hint="eastAsia" w:ascii="仿宋" w:hAnsi="仿宋" w:eastAsia="仿宋" w:cs="仿宋"/>
                <w:sz w:val="24"/>
                <w:highlight w:val="none"/>
              </w:rPr>
              <w:t>5</w:t>
            </w:r>
          </w:p>
        </w:tc>
        <w:tc>
          <w:tcPr>
            <w:tcW w:w="5974" w:type="dxa"/>
            <w:noWrap w:val="0"/>
            <w:vAlign w:val="center"/>
          </w:tcPr>
          <w:p>
            <w:pPr>
              <w:pStyle w:val="963"/>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深化设计方案（岗亭、123广场**室，采购清单中序号83、87）：需结合未来社区主题、功能需求、现场实际进行方案设计（包含室内布局等方案）。根据设计风格、造型是否符合未来社区建设特点、服务功能的特点进行打分，最高得4分。</w:t>
            </w:r>
          </w:p>
        </w:tc>
        <w:tc>
          <w:tcPr>
            <w:tcW w:w="822" w:type="dxa"/>
            <w:noWrap w:val="0"/>
            <w:vAlign w:val="center"/>
          </w:tcPr>
          <w:p>
            <w:pPr>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33" w:type="dxa"/>
            <w:noWrap w:val="0"/>
            <w:vAlign w:val="center"/>
          </w:tcPr>
          <w:p>
            <w:pPr>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5974" w:type="dxa"/>
            <w:noWrap w:val="0"/>
            <w:vAlign w:val="center"/>
          </w:tcPr>
          <w:p>
            <w:pPr>
              <w:pStyle w:val="963"/>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内部深化设计（123广场党群暖心驿站、桥下空间暖心驿站、桥下空间未来小店，采购清单中序号84、85、86）：根据使用需求及未来社区理念进行内部布局、内部装饰及效果等进行细化设计。根据方案的内部设计布局是否合理、方案是否完全满足项目需要、内部设计效果图否体现未来社区建设特色等情况进行打分，最高得4分。</w:t>
            </w:r>
          </w:p>
        </w:tc>
        <w:tc>
          <w:tcPr>
            <w:tcW w:w="822" w:type="dxa"/>
            <w:noWrap w:val="0"/>
            <w:vAlign w:val="center"/>
          </w:tcPr>
          <w:p>
            <w:pPr>
              <w:jc w:val="center"/>
              <w:outlineLvl w:val="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33" w:type="dxa"/>
            <w:noWrap w:val="0"/>
            <w:vAlign w:val="center"/>
          </w:tcPr>
          <w:p>
            <w:pPr>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5974" w:type="dxa"/>
            <w:noWrap w:val="0"/>
            <w:vAlign w:val="center"/>
          </w:tcPr>
          <w:p>
            <w:pPr>
              <w:pStyle w:val="963"/>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内部深化设计（垃圾收集点，采购清单中序号82）：结合现场场地特征，提供内部布局、后续安装及制作深化方案。根据方案的内部设计布局是否合理、后续安装及制作深化方案是否有利于实施、是否有助于减少对所处环境景观的破坏等情况进行打分，最高得2分。</w:t>
            </w:r>
          </w:p>
        </w:tc>
        <w:tc>
          <w:tcPr>
            <w:tcW w:w="822" w:type="dxa"/>
            <w:noWrap w:val="0"/>
            <w:vAlign w:val="center"/>
          </w:tcPr>
          <w:p>
            <w:pPr>
              <w:jc w:val="center"/>
              <w:outlineLvl w:val="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3" w:type="dxa"/>
            <w:noWrap w:val="0"/>
            <w:vAlign w:val="center"/>
          </w:tcPr>
          <w:p>
            <w:pPr>
              <w:jc w:val="center"/>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8</w:t>
            </w:r>
          </w:p>
        </w:tc>
        <w:tc>
          <w:tcPr>
            <w:tcW w:w="5974" w:type="dxa"/>
            <w:noWrap w:val="0"/>
            <w:vAlign w:val="center"/>
          </w:tcPr>
          <w:p>
            <w:pPr>
              <w:pStyle w:val="963"/>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供</w:t>
            </w:r>
            <w:r>
              <w:rPr>
                <w:rFonts w:hint="eastAsia" w:ascii="仿宋" w:hAnsi="仿宋" w:eastAsia="仿宋" w:cs="仿宋"/>
                <w:sz w:val="24"/>
                <w:szCs w:val="24"/>
                <w:highlight w:val="none"/>
              </w:rPr>
              <w:t>应商需要提供项目实施规划方案，①提出合理的项目整体实施方案（</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分），②能按照项目分解节点（1分），③并可跟踪实施（1分）。</w:t>
            </w:r>
          </w:p>
          <w:p>
            <w:pPr>
              <w:pStyle w:val="963"/>
              <w:rPr>
                <w:rFonts w:ascii="仿宋" w:hAnsi="仿宋" w:eastAsia="仿宋" w:cs="仿宋"/>
                <w:sz w:val="24"/>
                <w:szCs w:val="24"/>
                <w:highlight w:val="none"/>
              </w:rPr>
            </w:pPr>
            <w:r>
              <w:rPr>
                <w:rFonts w:hint="eastAsia" w:ascii="仿宋" w:hAnsi="仿宋" w:eastAsia="仿宋" w:cs="仿宋"/>
                <w:sz w:val="24"/>
                <w:szCs w:val="24"/>
                <w:highlight w:val="none"/>
              </w:rPr>
              <w:t>根据供应商提供的方案能否满足采购需求</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是否合理可行</w:t>
            </w:r>
            <w:r>
              <w:rPr>
                <w:rFonts w:hint="eastAsia" w:ascii="仿宋" w:hAnsi="仿宋" w:eastAsia="仿宋" w:cs="仿宋"/>
                <w:sz w:val="24"/>
                <w:szCs w:val="24"/>
                <w:highlight w:val="none"/>
              </w:rPr>
              <w:t>评分，最高得3分。</w:t>
            </w:r>
          </w:p>
        </w:tc>
        <w:tc>
          <w:tcPr>
            <w:tcW w:w="822" w:type="dxa"/>
            <w:noWrap w:val="0"/>
            <w:vAlign w:val="center"/>
          </w:tcPr>
          <w:p>
            <w:pPr>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633" w:type="dxa"/>
            <w:noWrap w:val="0"/>
            <w:vAlign w:val="center"/>
          </w:tcPr>
          <w:p>
            <w:pPr>
              <w:jc w:val="center"/>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9</w:t>
            </w:r>
          </w:p>
        </w:tc>
        <w:tc>
          <w:tcPr>
            <w:tcW w:w="5974" w:type="dxa"/>
            <w:noWrap w:val="0"/>
            <w:vAlign w:val="center"/>
          </w:tcPr>
          <w:p>
            <w:pPr>
              <w:rPr>
                <w:rFonts w:hint="eastAsia" w:ascii="仿宋" w:hAnsi="仿宋" w:eastAsia="仿宋" w:cs="仿宋"/>
                <w:sz w:val="24"/>
                <w:highlight w:val="none"/>
              </w:rPr>
            </w:pPr>
            <w:r>
              <w:rPr>
                <w:rFonts w:hint="eastAsia" w:ascii="仿宋" w:hAnsi="仿宋" w:eastAsia="仿宋" w:cs="仿宋"/>
                <w:sz w:val="24"/>
                <w:highlight w:val="none"/>
              </w:rPr>
              <w:t>供应商需要提供供货方案，①具有保障供货产品可追溯（</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分）、②可及时按需分批交货的保障措施（</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分），③确保在规定的时间内有计划的完成项目需求产品的生产、供货（</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w:t>
            </w:r>
          </w:p>
          <w:p>
            <w:pPr>
              <w:rPr>
                <w:rFonts w:ascii="仿宋" w:hAnsi="仿宋" w:eastAsia="仿宋" w:cs="仿宋"/>
                <w:sz w:val="24"/>
                <w:highlight w:val="none"/>
              </w:rPr>
            </w:pPr>
            <w:r>
              <w:rPr>
                <w:rFonts w:hint="eastAsia" w:ascii="仿宋" w:hAnsi="仿宋" w:eastAsia="仿宋" w:cs="仿宋"/>
                <w:sz w:val="24"/>
                <w:highlight w:val="none"/>
              </w:rPr>
              <w:t>根据供应商提供的方案能否满足采购需求、是否合理可行评分，最高得</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tc>
        <w:tc>
          <w:tcPr>
            <w:tcW w:w="822" w:type="dxa"/>
            <w:noWrap w:val="0"/>
            <w:vAlign w:val="center"/>
          </w:tcPr>
          <w:p>
            <w:pPr>
              <w:jc w:val="both"/>
              <w:outlineLvl w:val="0"/>
              <w:rPr>
                <w:rFonts w:ascii="仿宋" w:hAnsi="仿宋" w:eastAsia="仿宋" w:cs="仿宋"/>
                <w:sz w:val="24"/>
                <w:highlight w:val="none"/>
              </w:rPr>
            </w:pPr>
          </w:p>
          <w:p>
            <w:pPr>
              <w:jc w:val="center"/>
              <w:outlineLvl w:val="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33" w:type="dxa"/>
            <w:noWrap w:val="0"/>
            <w:vAlign w:val="center"/>
          </w:tcPr>
          <w:p>
            <w:pPr>
              <w:jc w:val="center"/>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10</w:t>
            </w:r>
          </w:p>
        </w:tc>
        <w:tc>
          <w:tcPr>
            <w:tcW w:w="5974" w:type="dxa"/>
            <w:noWrap w:val="0"/>
            <w:vAlign w:val="center"/>
          </w:tcPr>
          <w:p>
            <w:pPr>
              <w:snapToGrid w:val="0"/>
              <w:jc w:val="left"/>
              <w:textAlignment w:val="baseline"/>
              <w:rPr>
                <w:rFonts w:hint="eastAsia" w:ascii="仿宋" w:hAnsi="仿宋" w:eastAsia="仿宋" w:cs="仿宋"/>
                <w:sz w:val="24"/>
                <w:highlight w:val="none"/>
                <w:lang w:eastAsia="zh-CN"/>
              </w:rPr>
            </w:pPr>
            <w:r>
              <w:rPr>
                <w:rFonts w:hint="eastAsia" w:ascii="仿宋" w:hAnsi="仿宋" w:eastAsia="仿宋" w:cs="仿宋"/>
                <w:sz w:val="24"/>
                <w:highlight w:val="none"/>
              </w:rPr>
              <w:t>供应商需要制定品控管理方案，①对产品品质有管理管控过程（</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分），②交货前，需对交货前产品进行安检以满足本项目的安全要求，提供可靠可信的用于本项目产品交货前安检方案（2分）</w:t>
            </w:r>
            <w:r>
              <w:rPr>
                <w:rFonts w:hint="eastAsia" w:ascii="仿宋" w:hAnsi="仿宋" w:eastAsia="仿宋" w:cs="仿宋"/>
                <w:sz w:val="24"/>
                <w:highlight w:val="none"/>
                <w:lang w:eastAsia="zh-CN"/>
              </w:rPr>
              <w:t>。</w:t>
            </w:r>
          </w:p>
          <w:p>
            <w:pPr>
              <w:snapToGrid w:val="0"/>
              <w:jc w:val="left"/>
              <w:textAlignment w:val="baseline"/>
              <w:rPr>
                <w:rFonts w:ascii="仿宋" w:hAnsi="仿宋" w:eastAsia="仿宋" w:cs="仿宋"/>
                <w:sz w:val="24"/>
                <w:highlight w:val="none"/>
              </w:rPr>
            </w:pPr>
            <w:r>
              <w:rPr>
                <w:rFonts w:hint="eastAsia" w:ascii="仿宋" w:hAnsi="仿宋" w:eastAsia="仿宋" w:cs="仿宋"/>
                <w:sz w:val="24"/>
                <w:highlight w:val="none"/>
              </w:rPr>
              <w:t>根据供应商提供的方案能否满足采购需求、是否合理可行评分，最高得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w:t>
            </w:r>
          </w:p>
        </w:tc>
        <w:tc>
          <w:tcPr>
            <w:tcW w:w="822" w:type="dxa"/>
            <w:noWrap w:val="0"/>
            <w:vAlign w:val="center"/>
          </w:tcPr>
          <w:p>
            <w:pPr>
              <w:jc w:val="center"/>
              <w:outlineLvl w:val="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33" w:type="dxa"/>
            <w:noWrap w:val="0"/>
            <w:vAlign w:val="center"/>
          </w:tcPr>
          <w:p>
            <w:pPr>
              <w:jc w:val="center"/>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11</w:t>
            </w:r>
          </w:p>
        </w:tc>
        <w:tc>
          <w:tcPr>
            <w:tcW w:w="5974" w:type="dxa"/>
            <w:noWrap w:val="0"/>
            <w:vAlign w:val="center"/>
          </w:tcPr>
          <w:p>
            <w:pPr>
              <w:snapToGrid w:val="0"/>
              <w:textAlignment w:val="baseline"/>
              <w:rPr>
                <w:rFonts w:hint="eastAsia" w:ascii="仿宋" w:hAnsi="仿宋" w:eastAsia="仿宋" w:cs="仿宋"/>
                <w:sz w:val="24"/>
                <w:highlight w:val="none"/>
              </w:rPr>
            </w:pPr>
            <w:r>
              <w:rPr>
                <w:rFonts w:hint="eastAsia" w:ascii="仿宋" w:hAnsi="仿宋" w:eastAsia="仿宋" w:cs="仿宋"/>
                <w:sz w:val="24"/>
                <w:highlight w:val="none"/>
              </w:rPr>
              <w:t>安装服务实施方案，①根据货物交付时间节点，落实送货安装时间和人员安排（2分），②确保按期交付使用。（</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p>
            <w:pPr>
              <w:snapToGrid w:val="0"/>
              <w:textAlignment w:val="baseline"/>
              <w:rPr>
                <w:rFonts w:ascii="仿宋" w:hAnsi="仿宋" w:eastAsia="仿宋" w:cs="仿宋"/>
                <w:sz w:val="24"/>
                <w:highlight w:val="none"/>
              </w:rPr>
            </w:pPr>
            <w:r>
              <w:rPr>
                <w:rFonts w:hint="eastAsia" w:ascii="仿宋" w:hAnsi="仿宋" w:eastAsia="仿宋" w:cs="仿宋"/>
                <w:sz w:val="24"/>
                <w:highlight w:val="none"/>
              </w:rPr>
              <w:t>根据供应商提供的方案能否满足采购需求、是否合理可行评分，最高得</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分。</w:t>
            </w:r>
          </w:p>
        </w:tc>
        <w:tc>
          <w:tcPr>
            <w:tcW w:w="822" w:type="dxa"/>
            <w:noWrap w:val="0"/>
            <w:vAlign w:val="center"/>
          </w:tcPr>
          <w:p>
            <w:pPr>
              <w:jc w:val="center"/>
              <w:outlineLvl w:val="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3" w:type="dxa"/>
            <w:noWrap w:val="0"/>
            <w:vAlign w:val="center"/>
          </w:tcPr>
          <w:p>
            <w:pPr>
              <w:jc w:val="center"/>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12</w:t>
            </w:r>
          </w:p>
        </w:tc>
        <w:tc>
          <w:tcPr>
            <w:tcW w:w="5974" w:type="dxa"/>
            <w:noWrap w:val="0"/>
            <w:vAlign w:val="center"/>
          </w:tcPr>
          <w:p>
            <w:pPr>
              <w:rPr>
                <w:rFonts w:hint="eastAsia" w:ascii="仿宋" w:hAnsi="仿宋" w:eastAsia="仿宋" w:cs="仿宋"/>
                <w:sz w:val="24"/>
                <w:highlight w:val="none"/>
              </w:rPr>
            </w:pPr>
            <w:r>
              <w:rPr>
                <w:rFonts w:hint="eastAsia" w:ascii="仿宋" w:hAnsi="仿宋" w:eastAsia="仿宋" w:cs="仿宋"/>
                <w:sz w:val="24"/>
                <w:highlight w:val="none"/>
                <w:lang w:val="en-US" w:eastAsia="zh-CN"/>
              </w:rPr>
              <w:t>售后服务方案：</w:t>
            </w:r>
            <w:r>
              <w:rPr>
                <w:rFonts w:hint="eastAsia" w:ascii="仿宋" w:hAnsi="仿宋" w:eastAsia="仿宋" w:cs="仿宋"/>
                <w:sz w:val="24"/>
                <w:highlight w:val="none"/>
              </w:rPr>
              <w:t>详细完整的“三包”措施及售后服务措施和方案，包括服务措施、产品质量保证、回访等。</w:t>
            </w:r>
          </w:p>
          <w:p>
            <w:pPr>
              <w:rPr>
                <w:rFonts w:ascii="仿宋" w:hAnsi="仿宋" w:eastAsia="仿宋" w:cs="仿宋"/>
                <w:sz w:val="24"/>
                <w:highlight w:val="none"/>
              </w:rPr>
            </w:pPr>
            <w:r>
              <w:rPr>
                <w:rFonts w:hint="eastAsia" w:ascii="仿宋" w:hAnsi="仿宋" w:eastAsia="仿宋" w:cs="仿宋"/>
                <w:sz w:val="24"/>
                <w:highlight w:val="none"/>
              </w:rPr>
              <w:t>根据供应商提供的方案能否满足采购需求、是否合理可行评分，最高得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w:t>
            </w:r>
          </w:p>
        </w:tc>
        <w:tc>
          <w:tcPr>
            <w:tcW w:w="822" w:type="dxa"/>
            <w:noWrap w:val="0"/>
            <w:vAlign w:val="center"/>
          </w:tcPr>
          <w:p>
            <w:pPr>
              <w:jc w:val="center"/>
              <w:outlineLvl w:val="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3" w:type="dxa"/>
            <w:noWrap w:val="0"/>
            <w:vAlign w:val="center"/>
          </w:tcPr>
          <w:p>
            <w:pPr>
              <w:jc w:val="center"/>
              <w:outlineLvl w:val="0"/>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13</w:t>
            </w:r>
          </w:p>
        </w:tc>
        <w:tc>
          <w:tcPr>
            <w:tcW w:w="5974" w:type="dxa"/>
            <w:noWrap w:val="0"/>
            <w:vAlign w:val="center"/>
          </w:tcPr>
          <w:p>
            <w:pPr>
              <w:rPr>
                <w:rFonts w:hint="eastAsia" w:ascii="仿宋" w:hAnsi="仿宋" w:eastAsia="仿宋" w:cs="仿宋"/>
                <w:sz w:val="24"/>
                <w:highlight w:val="none"/>
              </w:rPr>
            </w:pPr>
            <w:r>
              <w:rPr>
                <w:rFonts w:hint="eastAsia" w:ascii="仿宋" w:hAnsi="仿宋" w:eastAsia="仿宋" w:cs="仿宋"/>
                <w:sz w:val="24"/>
                <w:highlight w:val="none"/>
              </w:rPr>
              <w:t>供应商应提供①备品备件准备及保障方案（1分），②具有高效及时的措施手段（1分），③满足采购人临时的维修、更换、补货需求（1分）。</w:t>
            </w:r>
          </w:p>
          <w:p>
            <w:pPr>
              <w:rPr>
                <w:rFonts w:hint="eastAsia" w:ascii="仿宋" w:hAnsi="仿宋" w:eastAsia="仿宋" w:cs="仿宋"/>
                <w:sz w:val="24"/>
                <w:highlight w:val="none"/>
              </w:rPr>
            </w:pPr>
            <w:r>
              <w:rPr>
                <w:rFonts w:hint="eastAsia" w:ascii="仿宋" w:hAnsi="仿宋" w:eastAsia="仿宋" w:cs="仿宋"/>
                <w:sz w:val="24"/>
                <w:highlight w:val="none"/>
              </w:rPr>
              <w:t>根据供应商提供的方案能否满足采购需求、是否合理可行评分，最高得3分。</w:t>
            </w:r>
          </w:p>
        </w:tc>
        <w:tc>
          <w:tcPr>
            <w:tcW w:w="822" w:type="dxa"/>
            <w:noWrap w:val="0"/>
            <w:vAlign w:val="center"/>
          </w:tcPr>
          <w:p>
            <w:pPr>
              <w:jc w:val="center"/>
              <w:outlineLvl w:val="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33" w:type="dxa"/>
            <w:noWrap w:val="0"/>
            <w:vAlign w:val="center"/>
          </w:tcPr>
          <w:p>
            <w:pPr>
              <w:jc w:val="center"/>
              <w:outlineLvl w:val="0"/>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14</w:t>
            </w:r>
          </w:p>
        </w:tc>
        <w:tc>
          <w:tcPr>
            <w:tcW w:w="5974" w:type="dxa"/>
            <w:noWrap w:val="0"/>
            <w:vAlign w:val="center"/>
          </w:tcPr>
          <w:p>
            <w:pP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根据投标供应商项目安装施工技术力量（含人员及机械器具）及售后服务团队配置是否合理、专业技术能力是否充足打分，最高得4分。</w:t>
            </w:r>
          </w:p>
          <w:p>
            <w:pP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有效证明材料：提供人员在本单位近三月社保证明材料及相应职称学历证明，设备购置或租赁合同，不提供不得分。</w:t>
            </w:r>
            <w:bookmarkStart w:id="553" w:name="_GoBack"/>
            <w:bookmarkEnd w:id="553"/>
          </w:p>
        </w:tc>
        <w:tc>
          <w:tcPr>
            <w:tcW w:w="822" w:type="dxa"/>
            <w:noWrap w:val="0"/>
            <w:vAlign w:val="center"/>
          </w:tcPr>
          <w:p>
            <w:pPr>
              <w:jc w:val="center"/>
              <w:outlineLvl w:val="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3" w:hRule="atLeast"/>
          <w:jc w:val="center"/>
        </w:trPr>
        <w:tc>
          <w:tcPr>
            <w:tcW w:w="633" w:type="dxa"/>
            <w:noWrap w:val="0"/>
            <w:vAlign w:val="center"/>
          </w:tcPr>
          <w:p>
            <w:pPr>
              <w:jc w:val="center"/>
              <w:outlineLvl w:val="0"/>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15</w:t>
            </w:r>
          </w:p>
        </w:tc>
        <w:tc>
          <w:tcPr>
            <w:tcW w:w="5974" w:type="dxa"/>
            <w:noWrap w:val="0"/>
            <w:vAlign w:val="center"/>
          </w:tcPr>
          <w:p>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sz w:val="24"/>
                <w:highlight w:val="none"/>
              </w:rPr>
            </w:pPr>
            <w:r>
              <w:rPr>
                <w:rFonts w:hint="eastAsia" w:ascii="仿宋" w:hAnsi="仿宋" w:eastAsia="仿宋" w:cs="仿宋"/>
                <w:sz w:val="24"/>
                <w:highlight w:val="none"/>
              </w:rPr>
              <w:t>评审样品：见采购文件第三部分采购需求中的样品清单。</w:t>
            </w:r>
          </w:p>
          <w:p>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sz w:val="24"/>
                <w:highlight w:val="none"/>
              </w:rPr>
            </w:pPr>
            <w:r>
              <w:rPr>
                <w:rFonts w:hint="eastAsia" w:ascii="仿宋" w:hAnsi="仿宋" w:eastAsia="仿宋" w:cs="仿宋"/>
                <w:sz w:val="24"/>
                <w:highlight w:val="none"/>
              </w:rPr>
              <w:t>样品1（IP形象雕塑）（总分6分）：</w:t>
            </w:r>
          </w:p>
          <w:p>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sz w:val="24"/>
                <w:highlight w:val="none"/>
              </w:rPr>
            </w:pPr>
            <w:r>
              <w:rPr>
                <w:rFonts w:hint="eastAsia" w:ascii="仿宋" w:hAnsi="仿宋" w:eastAsia="仿宋" w:cs="仿宋"/>
                <w:sz w:val="24"/>
                <w:highlight w:val="none"/>
              </w:rPr>
              <w:t>（1）样品质量评价：</w:t>
            </w:r>
          </w:p>
          <w:p>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①样品整体表面不容许有划痕、磕碰（1分）；</w:t>
            </w:r>
          </w:p>
          <w:p>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②样品造型还原度（2分）。</w:t>
            </w:r>
          </w:p>
          <w:p>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sz w:val="24"/>
                <w:highlight w:val="none"/>
              </w:rPr>
            </w:pPr>
            <w:r>
              <w:rPr>
                <w:rFonts w:hint="eastAsia" w:ascii="仿宋" w:hAnsi="仿宋" w:eastAsia="仿宋" w:cs="仿宋"/>
                <w:sz w:val="24"/>
                <w:highlight w:val="none"/>
              </w:rPr>
              <w:t>（2）样品所用材质：</w:t>
            </w:r>
          </w:p>
          <w:p>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①材质符合采购需求要求，无变形、无异味（1分）；</w:t>
            </w:r>
          </w:p>
          <w:p>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sz w:val="24"/>
                <w:highlight w:val="none"/>
              </w:rPr>
            </w:pPr>
            <w:r>
              <w:rPr>
                <w:rFonts w:hint="eastAsia" w:ascii="仿宋" w:hAnsi="仿宋" w:eastAsia="仿宋" w:cs="仿宋"/>
                <w:sz w:val="24"/>
                <w:highlight w:val="none"/>
              </w:rPr>
              <w:t>（3）样品外观制作：</w:t>
            </w:r>
          </w:p>
          <w:p>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①表面平整，无色差；表面效果及着色的处理，色泽接近程度，外观的整体效果等（2分）。</w:t>
            </w:r>
          </w:p>
          <w:p>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sz w:val="24"/>
                <w:highlight w:val="none"/>
              </w:rPr>
            </w:pPr>
            <w:r>
              <w:rPr>
                <w:rFonts w:hint="eastAsia" w:ascii="仿宋" w:hAnsi="仿宋" w:eastAsia="仿宋" w:cs="仿宋"/>
                <w:sz w:val="24"/>
                <w:highlight w:val="none"/>
              </w:rPr>
              <w:t>样品2（警示牌）（总分3分）：</w:t>
            </w:r>
          </w:p>
          <w:p>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①样品整体表面不容许有划痕、磕碰，不得有缺件（1分）;</w:t>
            </w:r>
          </w:p>
          <w:p>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②材质符合采购需求要求，无异味，无裂缝或锈迹，无凹凸疙瘩，表面平整,无色差（1分）；</w:t>
            </w:r>
          </w:p>
          <w:p>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③整体造型效果、表面效果及着色的处理，色泽接近程度（1分）</w:t>
            </w:r>
            <w:r>
              <w:rPr>
                <w:rFonts w:hint="eastAsia" w:ascii="仿宋" w:hAnsi="仿宋" w:eastAsia="仿宋" w:cs="仿宋"/>
                <w:sz w:val="24"/>
                <w:highlight w:val="none"/>
                <w:lang w:eastAsia="zh-CN"/>
              </w:rPr>
              <w:t>。</w:t>
            </w:r>
          </w:p>
        </w:tc>
        <w:tc>
          <w:tcPr>
            <w:tcW w:w="822" w:type="dxa"/>
            <w:noWrap w:val="0"/>
            <w:vAlign w:val="center"/>
          </w:tcPr>
          <w:p>
            <w:pPr>
              <w:jc w:val="center"/>
              <w:outlineLvl w:val="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9</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33" w:type="dxa"/>
            <w:noWrap w:val="0"/>
            <w:vAlign w:val="center"/>
          </w:tcPr>
          <w:p>
            <w:pPr>
              <w:jc w:val="center"/>
              <w:outlineLvl w:val="0"/>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16</w:t>
            </w:r>
          </w:p>
        </w:tc>
        <w:tc>
          <w:tcPr>
            <w:tcW w:w="5974" w:type="dxa"/>
            <w:noWrap w:val="0"/>
            <w:vAlign w:val="center"/>
          </w:tcPr>
          <w:p>
            <w:pPr>
              <w:rPr>
                <w:rFonts w:hint="eastAsia" w:ascii="仿宋" w:hAnsi="仿宋" w:eastAsia="仿宋" w:cs="仿宋"/>
                <w:color w:val="FF0000"/>
                <w:sz w:val="24"/>
                <w:highlight w:val="none"/>
              </w:rPr>
            </w:pPr>
            <w:r>
              <w:rPr>
                <w:rFonts w:hint="eastAsia" w:ascii="仿宋" w:hAnsi="仿宋" w:eastAsia="仿宋" w:cs="仿宋"/>
                <w:color w:val="auto"/>
                <w:sz w:val="24"/>
                <w:highlight w:val="none"/>
                <w:shd w:val="clear" w:color="auto" w:fill="auto"/>
              </w:rPr>
              <w:t>根据投标供应商政府采购信誉度、</w:t>
            </w:r>
            <w:r>
              <w:rPr>
                <w:rFonts w:hint="eastAsia" w:ascii="仿宋" w:hAnsi="仿宋" w:eastAsia="仿宋" w:cs="仿宋"/>
                <w:color w:val="auto"/>
                <w:sz w:val="24"/>
                <w:highlight w:val="none"/>
                <w:shd w:val="clear" w:color="auto" w:fill="auto"/>
                <w:lang w:val="en-US" w:eastAsia="zh-CN"/>
              </w:rPr>
              <w:t>履约能力</w:t>
            </w:r>
            <w:r>
              <w:rPr>
                <w:rFonts w:hint="eastAsia" w:ascii="仿宋" w:hAnsi="仿宋" w:eastAsia="仿宋" w:cs="仿宋"/>
                <w:color w:val="auto"/>
                <w:sz w:val="24"/>
                <w:highlight w:val="none"/>
                <w:shd w:val="clear" w:color="auto" w:fill="auto"/>
              </w:rPr>
              <w:t>等情况进行打分，最高得</w:t>
            </w:r>
            <w:r>
              <w:rPr>
                <w:rFonts w:hint="eastAsia" w:ascii="仿宋" w:hAnsi="仿宋" w:eastAsia="仿宋" w:cs="仿宋"/>
                <w:color w:val="auto"/>
                <w:sz w:val="24"/>
                <w:highlight w:val="none"/>
                <w:shd w:val="clear" w:color="auto" w:fill="auto"/>
                <w:lang w:val="en-US" w:eastAsia="zh-CN"/>
              </w:rPr>
              <w:t>2</w:t>
            </w:r>
            <w:r>
              <w:rPr>
                <w:rFonts w:hint="eastAsia" w:ascii="仿宋" w:hAnsi="仿宋" w:eastAsia="仿宋" w:cs="仿宋"/>
                <w:color w:val="auto"/>
                <w:sz w:val="24"/>
                <w:highlight w:val="none"/>
                <w:shd w:val="clear" w:color="auto" w:fill="auto"/>
              </w:rPr>
              <w:t>分。</w:t>
            </w:r>
          </w:p>
        </w:tc>
        <w:tc>
          <w:tcPr>
            <w:tcW w:w="822" w:type="dxa"/>
            <w:noWrap w:val="0"/>
            <w:vAlign w:val="center"/>
          </w:tcPr>
          <w:p>
            <w:pPr>
              <w:jc w:val="center"/>
              <w:outlineLvl w:val="0"/>
              <w:rPr>
                <w:rFonts w:hint="default" w:ascii="仿宋" w:hAnsi="仿宋" w:eastAsia="仿宋" w:cs="仿宋"/>
                <w:color w:val="FF0000"/>
                <w:sz w:val="24"/>
                <w:highlight w:val="none"/>
                <w:lang w:val="en-US" w:eastAsia="zh-CN"/>
              </w:rPr>
            </w:pPr>
            <w:r>
              <w:rPr>
                <w:rFonts w:hint="eastAsia" w:ascii="仿宋" w:hAnsi="仿宋" w:eastAsia="仿宋" w:cs="仿宋"/>
                <w:color w:val="auto"/>
                <w:sz w:val="24"/>
                <w:highlight w:val="none"/>
                <w:lang w:val="en-US" w:eastAsia="zh-CN"/>
              </w:rPr>
              <w:t>2</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33" w:type="dxa"/>
            <w:noWrap w:val="0"/>
            <w:vAlign w:val="center"/>
          </w:tcPr>
          <w:p>
            <w:pPr>
              <w:jc w:val="center"/>
              <w:outlineLvl w:val="0"/>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17</w:t>
            </w:r>
          </w:p>
        </w:tc>
        <w:tc>
          <w:tcPr>
            <w:tcW w:w="5974" w:type="dxa"/>
            <w:noWrap w:val="0"/>
            <w:vAlign w:val="center"/>
          </w:tcPr>
          <w:p>
            <w:pPr>
              <w:rPr>
                <w:rFonts w:hint="eastAsia" w:ascii="仿宋" w:hAnsi="仿宋" w:eastAsia="仿宋" w:cs="仿宋"/>
                <w:sz w:val="24"/>
                <w:highlight w:val="none"/>
              </w:rPr>
            </w:pPr>
            <w:r>
              <w:rPr>
                <w:rFonts w:hint="eastAsia" w:ascii="仿宋" w:hAnsi="仿宋" w:eastAsia="仿宋" w:cs="仿宋"/>
                <w:sz w:val="24"/>
                <w:highlight w:val="none"/>
              </w:rPr>
              <w:t>质保期在满足招标文件要求的基础上每延长</w:t>
            </w:r>
            <w:r>
              <w:rPr>
                <w:rFonts w:hint="eastAsia" w:ascii="仿宋" w:hAnsi="仿宋" w:eastAsia="仿宋" w:cs="仿宋"/>
                <w:sz w:val="24"/>
                <w:highlight w:val="none"/>
                <w:lang w:eastAsia="zh-CN"/>
              </w:rPr>
              <w:t>半</w:t>
            </w:r>
            <w:r>
              <w:rPr>
                <w:rFonts w:hint="eastAsia" w:ascii="仿宋" w:hAnsi="仿宋" w:eastAsia="仿宋" w:cs="仿宋"/>
                <w:sz w:val="24"/>
                <w:highlight w:val="none"/>
              </w:rPr>
              <w:t>年得1分，最高得2分，延长时间不足</w:t>
            </w:r>
            <w:r>
              <w:rPr>
                <w:rFonts w:hint="eastAsia" w:ascii="仿宋" w:hAnsi="仿宋" w:eastAsia="仿宋" w:cs="仿宋"/>
                <w:sz w:val="24"/>
                <w:highlight w:val="none"/>
                <w:lang w:eastAsia="zh-CN"/>
              </w:rPr>
              <w:t>半</w:t>
            </w:r>
            <w:r>
              <w:rPr>
                <w:rFonts w:hint="eastAsia" w:ascii="仿宋" w:hAnsi="仿宋" w:eastAsia="仿宋" w:cs="仿宋"/>
                <w:sz w:val="24"/>
                <w:highlight w:val="none"/>
              </w:rPr>
              <w:t>年的不计入得分。有效证明材料：提供质保期承诺，不提供不得分。</w:t>
            </w:r>
          </w:p>
        </w:tc>
        <w:tc>
          <w:tcPr>
            <w:tcW w:w="822" w:type="dxa"/>
            <w:noWrap w:val="0"/>
            <w:vAlign w:val="center"/>
          </w:tcPr>
          <w:p>
            <w:pPr>
              <w:jc w:val="center"/>
              <w:outlineLvl w:val="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33" w:type="dxa"/>
            <w:noWrap w:val="0"/>
            <w:vAlign w:val="center"/>
          </w:tcPr>
          <w:p>
            <w:pPr>
              <w:jc w:val="center"/>
              <w:outlineLvl w:val="0"/>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5974" w:type="dxa"/>
            <w:noWrap w:val="0"/>
            <w:vAlign w:val="center"/>
          </w:tcPr>
          <w:p>
            <w:pPr>
              <w:rPr>
                <w:rFonts w:hint="eastAsia" w:ascii="仿宋" w:hAnsi="仿宋" w:eastAsia="仿宋" w:cs="仿宋"/>
                <w:sz w:val="24"/>
                <w:highlight w:val="none"/>
              </w:rPr>
            </w:pPr>
            <w:r>
              <w:rPr>
                <w:rFonts w:hint="eastAsia" w:ascii="仿宋" w:hAnsi="仿宋" w:eastAsia="仿宋" w:cs="仿宋"/>
                <w:sz w:val="24"/>
                <w:highlight w:val="none"/>
              </w:rPr>
              <w:t>201</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年1月1日</w:t>
            </w:r>
            <w:r>
              <w:rPr>
                <w:rFonts w:hint="eastAsia" w:ascii="仿宋" w:hAnsi="仿宋" w:eastAsia="仿宋" w:cs="仿宋"/>
                <w:sz w:val="24"/>
                <w:highlight w:val="none"/>
                <w:lang w:val="en-US" w:eastAsia="zh-CN"/>
              </w:rPr>
              <w:t>至今</w:t>
            </w:r>
            <w:r>
              <w:rPr>
                <w:rFonts w:hint="eastAsia" w:ascii="仿宋" w:hAnsi="仿宋" w:eastAsia="仿宋" w:cs="仿宋"/>
                <w:sz w:val="24"/>
                <w:highlight w:val="none"/>
              </w:rPr>
              <w:t>（以合同签订日期为准），投标人具有同类项目业绩的（同类项目指小品、雕塑或广告牌</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标识标牌</w:t>
            </w:r>
            <w:r>
              <w:rPr>
                <w:rFonts w:hint="eastAsia" w:ascii="仿宋" w:hAnsi="仿宋" w:eastAsia="仿宋" w:cs="仿宋"/>
                <w:sz w:val="24"/>
                <w:highlight w:val="none"/>
              </w:rPr>
              <w:t>制作安装，墙面、地面艺术改造，公园杂件如休息座椅、健身器材、游乐设施采购</w:t>
            </w:r>
            <w:r>
              <w:rPr>
                <w:rFonts w:hint="eastAsia" w:ascii="仿宋" w:hAnsi="仿宋" w:eastAsia="仿宋" w:cs="仿宋"/>
                <w:sz w:val="24"/>
                <w:highlight w:val="none"/>
                <w:lang w:val="en-US" w:eastAsia="zh-CN"/>
              </w:rPr>
              <w:t>等</w:t>
            </w:r>
            <w:r>
              <w:rPr>
                <w:rFonts w:hint="eastAsia" w:ascii="仿宋" w:hAnsi="仿宋" w:eastAsia="仿宋" w:cs="仿宋"/>
                <w:sz w:val="24"/>
                <w:highlight w:val="none"/>
              </w:rPr>
              <w:t>），每个得</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分，最高得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分。有效证明材料：合同复制件，不提供不得分。</w:t>
            </w:r>
          </w:p>
        </w:tc>
        <w:tc>
          <w:tcPr>
            <w:tcW w:w="822" w:type="dxa"/>
            <w:noWrap w:val="0"/>
            <w:vAlign w:val="center"/>
          </w:tcPr>
          <w:p>
            <w:pPr>
              <w:jc w:val="center"/>
              <w:outlineLvl w:val="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2210" w:type="dxa"/>
            <w:noWrap w:val="0"/>
            <w:vAlign w:val="center"/>
          </w:tcPr>
          <w:p>
            <w:pPr>
              <w:jc w:val="center"/>
              <w:outlineLvl w:val="0"/>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33" w:type="dxa"/>
            <w:noWrap w:val="0"/>
            <w:vAlign w:val="center"/>
          </w:tcPr>
          <w:p>
            <w:pPr>
              <w:jc w:val="center"/>
              <w:outlineLvl w:val="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5974" w:type="dxa"/>
            <w:noWrap w:val="0"/>
            <w:vAlign w:val="center"/>
          </w:tcPr>
          <w:p>
            <w:pPr>
              <w:jc w:val="left"/>
              <w:outlineLvl w:val="0"/>
              <w:rPr>
                <w:rFonts w:ascii="仿宋" w:hAnsi="仿宋" w:eastAsia="仿宋" w:cs="仿宋"/>
                <w:sz w:val="24"/>
                <w:highlight w:val="none"/>
              </w:rPr>
            </w:pPr>
            <w:r>
              <w:rPr>
                <w:rFonts w:hint="eastAsia" w:ascii="仿宋" w:hAnsi="仿宋" w:eastAsia="仿宋" w:cs="仿宋"/>
                <w:sz w:val="24"/>
                <w:highlight w:val="none"/>
              </w:rPr>
              <w:t>有效投标报价的最低价作为评标基准价，其最低报价为满分；按［投标报价得分=（评标基准价/投标报价）*30］的计算公式计算。</w:t>
            </w:r>
          </w:p>
          <w:p>
            <w:pPr>
              <w:jc w:val="left"/>
              <w:outlineLvl w:val="0"/>
              <w:rPr>
                <w:rFonts w:ascii="仿宋" w:hAnsi="仿宋" w:eastAsia="仿宋" w:cs="仿宋"/>
                <w:sz w:val="24"/>
                <w:highlight w:val="none"/>
              </w:rPr>
            </w:pPr>
            <w:r>
              <w:rPr>
                <w:rFonts w:hint="eastAsia" w:ascii="仿宋" w:hAnsi="仿宋" w:eastAsia="仿宋" w:cs="仿宋"/>
                <w:sz w:val="24"/>
                <w:highlight w:val="none"/>
              </w:rPr>
              <w:t>评标过程中，不得去掉报价中的最高报价和最低报价。因落实政府采购政策需要进行价格调整的，以调整后的价格计算评标基准价和投标报价。</w:t>
            </w:r>
          </w:p>
        </w:tc>
        <w:tc>
          <w:tcPr>
            <w:tcW w:w="822" w:type="dxa"/>
            <w:noWrap w:val="0"/>
            <w:vAlign w:val="center"/>
          </w:tcPr>
          <w:p>
            <w:pPr>
              <w:jc w:val="center"/>
              <w:outlineLvl w:val="0"/>
              <w:rPr>
                <w:rFonts w:ascii="仿宋" w:hAnsi="仿宋" w:eastAsia="仿宋" w:cs="仿宋"/>
                <w:sz w:val="24"/>
                <w:highlight w:val="none"/>
              </w:rPr>
            </w:pPr>
            <w:r>
              <w:rPr>
                <w:rFonts w:hint="eastAsia" w:ascii="仿宋" w:hAnsi="仿宋" w:eastAsia="仿宋" w:cs="仿宋"/>
                <w:sz w:val="24"/>
                <w:highlight w:val="none"/>
              </w:rPr>
              <w:t>30</w:t>
            </w:r>
          </w:p>
        </w:tc>
        <w:tc>
          <w:tcPr>
            <w:tcW w:w="2210" w:type="dxa"/>
            <w:noWrap w:val="0"/>
            <w:vAlign w:val="center"/>
          </w:tcPr>
          <w:p>
            <w:pPr>
              <w:jc w:val="center"/>
              <w:outlineLvl w:val="0"/>
              <w:rPr>
                <w:rFonts w:ascii="仿宋" w:hAnsi="仿宋" w:eastAsia="仿宋" w:cs="仿宋"/>
                <w:sz w:val="24"/>
                <w:highlight w:val="none"/>
              </w:rPr>
            </w:pPr>
          </w:p>
        </w:tc>
      </w:tr>
    </w:tbl>
    <w:p>
      <w:pPr>
        <w:snapToGrid w:val="0"/>
        <w:spacing w:line="360" w:lineRule="auto"/>
        <w:rPr>
          <w:rFonts w:ascii="仿宋" w:hAnsi="仿宋" w:eastAsia="仿宋" w:cs="仿宋"/>
          <w:color w:val="auto"/>
          <w:sz w:val="20"/>
          <w:szCs w:val="20"/>
          <w:highlight w:val="none"/>
          <w:shd w:val="clear" w:color="auto" w:fill="FFFFFF"/>
        </w:rPr>
      </w:pPr>
    </w:p>
    <w:p>
      <w:pPr>
        <w:snapToGrid w:val="0"/>
        <w:spacing w:line="360" w:lineRule="auto"/>
        <w:rPr>
          <w:rFonts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napToGrid w:val="0"/>
        <w:spacing w:line="360" w:lineRule="auto"/>
        <w:rPr>
          <w:rFonts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pPr>
        <w:adjustRightInd/>
        <w:spacing w:line="360" w:lineRule="auto"/>
        <w:ind w:firstLine="472" w:firstLineChars="196"/>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pPr>
        <w:spacing w:line="360" w:lineRule="auto"/>
        <w:ind w:firstLine="472" w:firstLineChars="196"/>
        <w:rPr>
          <w:rFonts w:ascii="仿宋" w:hAnsi="仿宋" w:eastAsia="仿宋" w:cs="仿宋"/>
          <w:b/>
          <w:color w:val="auto"/>
          <w:sz w:val="24"/>
          <w:highlight w:val="none"/>
        </w:rPr>
      </w:pPr>
      <w:r>
        <w:rPr>
          <w:rFonts w:hint="eastAsia" w:ascii="仿宋" w:hAnsi="仿宋" w:eastAsia="仿宋" w:cs="仿宋"/>
          <w:b/>
          <w:color w:val="auto"/>
          <w:sz w:val="24"/>
          <w:highlight w:val="none"/>
        </w:rPr>
        <w:t>2.评标标准：</w:t>
      </w:r>
      <w:r>
        <w:rPr>
          <w:rFonts w:hint="eastAsia" w:ascii="仿宋" w:hAnsi="仿宋" w:eastAsia="仿宋" w:cs="仿宋"/>
          <w:color w:val="auto"/>
          <w:kern w:val="0"/>
          <w:sz w:val="24"/>
          <w:highlight w:val="none"/>
        </w:rPr>
        <w:t>见评标办法前附表。</w:t>
      </w:r>
    </w:p>
    <w:p>
      <w:pPr>
        <w:spacing w:line="360" w:lineRule="auto"/>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pPr>
        <w:spacing w:line="360" w:lineRule="auto"/>
        <w:ind w:firstLine="472" w:firstLineChars="196"/>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pPr>
        <w:pStyle w:val="128"/>
        <w:spacing w:before="0"/>
        <w:ind w:firstLine="508" w:firstLineChars="212"/>
        <w:rPr>
          <w:rFonts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pPr>
        <w:pStyle w:val="128"/>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pPr>
        <w:pStyle w:val="128"/>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pPr>
        <w:pStyle w:val="128"/>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pPr>
        <w:pStyle w:val="128"/>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pPr>
        <w:pStyle w:val="128"/>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pPr>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pPr>
        <w:pStyle w:val="128"/>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pPr>
        <w:pStyle w:val="128"/>
        <w:spacing w:before="0"/>
        <w:ind w:firstLine="472" w:firstLineChars="196"/>
        <w:rPr>
          <w:rFonts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3"/>
        <w:spacing w:line="360" w:lineRule="auto"/>
        <w:ind w:left="954" w:leftChars="226" w:hanging="479" w:firstLineChars="0"/>
        <w:rPr>
          <w:rFonts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有下列情况之一的，投标无效：</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pPr>
        <w:spacing w:line="360" w:lineRule="auto"/>
        <w:ind w:firstLine="240" w:firstLineChars="1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4.2.12投标人仅提交备份投标文件，没有在电子交易平台传输递交投标文件的，投标无效；</w:t>
      </w:r>
    </w:p>
    <w:p>
      <w:pPr>
        <w:spacing w:line="360" w:lineRule="auto"/>
        <w:ind w:firstLine="480" w:firstLineChars="200"/>
        <w:rPr>
          <w:rFonts w:hint="eastAsia" w:ascii="仿宋" w:hAnsi="仿宋" w:eastAsia="仿宋" w:cs="仿宋"/>
          <w:color w:val="auto"/>
          <w:kern w:val="0"/>
          <w:sz w:val="24"/>
          <w:highlight w:val="none"/>
          <w:lang w:val="en-US"/>
        </w:rPr>
      </w:pPr>
      <w:r>
        <w:rPr>
          <w:rFonts w:hint="eastAsia" w:ascii="仿宋" w:hAnsi="仿宋" w:eastAsia="仿宋" w:cs="仿宋"/>
          <w:color w:val="auto"/>
          <w:kern w:val="0"/>
          <w:sz w:val="24"/>
          <w:highlight w:val="none"/>
          <w:lang w:val="en-US"/>
        </w:rPr>
        <w:t>4.2.13 投标文件不满足招标文件的其它实质性要求的；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pPr>
        <w:pStyle w:val="3"/>
        <w:snapToGrid w:val="0"/>
        <w:spacing w:line="360" w:lineRule="auto"/>
        <w:ind w:firstLine="472" w:firstLineChars="196"/>
        <w:rPr>
          <w:rFonts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pPr>
        <w:pStyle w:val="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pPr>
        <w:pStyle w:val="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pPr>
        <w:pStyle w:val="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pPr>
        <w:pStyle w:val="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5.4因重大变故，采购任务取消的。</w:t>
      </w:r>
    </w:p>
    <w:p>
      <w:pPr>
        <w:pStyle w:val="3"/>
        <w:snapToGrid w:val="0"/>
        <w:spacing w:line="360" w:lineRule="auto"/>
        <w:rPr>
          <w:rFonts w:ascii="仿宋" w:hAnsi="仿宋" w:eastAsia="仿宋" w:cs="仿宋"/>
          <w:color w:val="auto"/>
          <w:highlight w:val="none"/>
        </w:rPr>
      </w:pPr>
      <w:r>
        <w:rPr>
          <w:rFonts w:hint="eastAsia" w:ascii="仿宋" w:hAnsi="仿宋" w:eastAsia="仿宋" w:cs="仿宋"/>
          <w:color w:val="auto"/>
          <w:highlight w:val="none"/>
        </w:rPr>
        <w:t>废标后，采购机构应当将废标理由通知所有投标人。</w:t>
      </w:r>
    </w:p>
    <w:p>
      <w:pPr>
        <w:pStyle w:val="3"/>
        <w:snapToGrid w:val="0"/>
        <w:spacing w:line="360" w:lineRule="auto"/>
        <w:rPr>
          <w:rFonts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3"/>
        <w:snapToGrid w:val="0"/>
        <w:spacing w:line="360" w:lineRule="auto"/>
        <w:rPr>
          <w:rFonts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有政府采购法第七十一条、第七十二条规定的违法行为之一，影响或者可能影响中标、成交结果的，依照下列规定处理：</w:t>
      </w:r>
    </w:p>
    <w:p>
      <w:pPr>
        <w:pStyle w:val="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7.1未确定中标或者中标人的，终止本次政府采购活动，重新开展政府采购活动。</w:t>
      </w:r>
    </w:p>
    <w:p>
      <w:pPr>
        <w:pStyle w:val="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7.3政府采购合同已签订但尚未履行的，撤销合同，从合格的中标或者成交候选人中另行确定中标或者中标人；没有合格的中标或者成交候选人的，重新开展政府采购活动。</w:t>
      </w:r>
    </w:p>
    <w:p>
      <w:pPr>
        <w:pStyle w:val="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pPr>
        <w:pStyle w:val="3"/>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7.5政府采购当事人有其他违反政府采购法或者政府采购法实施条例等法律法规规定的行为，经改正后仍然影响或者可能影响中标、成交结果或者依法被认定为中标、成交无效的，依照7.1-7.4规定处理。</w:t>
      </w:r>
    </w:p>
    <w:p>
      <w:pPr>
        <w:pStyle w:val="3"/>
        <w:snapToGrid w:val="0"/>
        <w:spacing w:line="360" w:lineRule="auto"/>
        <w:ind w:firstLine="0" w:firstLineChars="0"/>
        <w:rPr>
          <w:rFonts w:ascii="仿宋" w:hAnsi="仿宋" w:eastAsia="仿宋" w:cs="仿宋"/>
          <w:color w:val="auto"/>
          <w:highlight w:val="none"/>
        </w:rPr>
      </w:pPr>
    </w:p>
    <w:bookmarkEnd w:id="25"/>
    <w:p>
      <w:pPr>
        <w:spacing w:line="360" w:lineRule="auto"/>
        <w:ind w:left="720" w:leftChars="343" w:firstLine="1084" w:firstLineChars="300"/>
        <w:outlineLvl w:val="0"/>
        <w:rPr>
          <w:rFonts w:ascii="仿宋" w:hAnsi="仿宋" w:eastAsia="仿宋" w:cs="仿宋"/>
          <w:b/>
          <w:color w:val="auto"/>
          <w:sz w:val="36"/>
          <w:szCs w:val="36"/>
          <w:highlight w:val="none"/>
        </w:rPr>
      </w:pPr>
      <w:bookmarkStart w:id="391" w:name="第五部分"/>
      <w:bookmarkStart w:id="392" w:name="_Toc86217003"/>
    </w:p>
    <w:p>
      <w:pPr>
        <w:spacing w:line="360" w:lineRule="auto"/>
        <w:ind w:left="720" w:leftChars="343" w:firstLine="1084" w:firstLineChars="300"/>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p>
    <w:p>
      <w:pPr>
        <w:spacing w:line="360" w:lineRule="auto"/>
        <w:ind w:left="720" w:leftChars="343" w:firstLine="1084" w:firstLineChars="300"/>
        <w:outlineLvl w:val="0"/>
        <w:rPr>
          <w:rFonts w:ascii="仿宋" w:hAnsi="仿宋" w:eastAsia="仿宋" w:cs="仿宋"/>
          <w:b/>
          <w:color w:val="auto"/>
          <w:sz w:val="36"/>
          <w:szCs w:val="36"/>
          <w:highlight w:val="none"/>
        </w:rPr>
      </w:pPr>
    </w:p>
    <w:p>
      <w:pPr>
        <w:pStyle w:val="3"/>
        <w:rPr>
          <w:color w:val="auto"/>
          <w:highlight w:val="none"/>
        </w:rPr>
      </w:pPr>
    </w:p>
    <w:p>
      <w:pPr>
        <w:pStyle w:val="4"/>
        <w:rPr>
          <w:color w:val="auto"/>
          <w:highlight w:val="none"/>
        </w:rPr>
      </w:pPr>
    </w:p>
    <w:p>
      <w:pPr>
        <w:pStyle w:val="3"/>
        <w:rPr>
          <w:color w:val="auto"/>
          <w:highlight w:val="none"/>
        </w:rPr>
      </w:pPr>
    </w:p>
    <w:p>
      <w:pPr>
        <w:pStyle w:val="4"/>
        <w:rPr>
          <w:color w:val="auto"/>
          <w:highlight w:val="none"/>
        </w:rPr>
      </w:pPr>
    </w:p>
    <w:p>
      <w:pPr>
        <w:pStyle w:val="3"/>
        <w:rPr>
          <w:color w:val="auto"/>
          <w:highlight w:val="none"/>
        </w:rPr>
      </w:pPr>
    </w:p>
    <w:p>
      <w:pPr>
        <w:pStyle w:val="4"/>
        <w:rPr>
          <w:color w:val="auto"/>
          <w:highlight w:val="none"/>
        </w:rPr>
      </w:pPr>
    </w:p>
    <w:p>
      <w:pPr>
        <w:pStyle w:val="3"/>
        <w:rPr>
          <w:color w:val="auto"/>
          <w:highlight w:val="none"/>
        </w:rPr>
      </w:pPr>
    </w:p>
    <w:p>
      <w:pPr>
        <w:pStyle w:val="4"/>
        <w:rPr>
          <w:color w:val="auto"/>
          <w:highlight w:val="none"/>
        </w:rPr>
      </w:pPr>
    </w:p>
    <w:p>
      <w:pPr>
        <w:pStyle w:val="3"/>
        <w:rPr>
          <w:color w:val="auto"/>
          <w:highlight w:val="none"/>
        </w:rPr>
      </w:pPr>
    </w:p>
    <w:p>
      <w:pPr>
        <w:pStyle w:val="4"/>
        <w:rPr>
          <w:color w:val="auto"/>
          <w:highlight w:val="none"/>
        </w:rPr>
      </w:pPr>
    </w:p>
    <w:p>
      <w:pPr>
        <w:rPr>
          <w:rFonts w:ascii="仿宋" w:hAnsi="仿宋" w:eastAsia="仿宋" w:cs="仿宋"/>
          <w:color w:val="auto"/>
          <w:highlight w:val="none"/>
        </w:rPr>
      </w:pPr>
    </w:p>
    <w:p>
      <w:pPr>
        <w:spacing w:line="360" w:lineRule="auto"/>
        <w:ind w:left="720" w:leftChars="343" w:firstLine="1084" w:firstLineChars="300"/>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both"/>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699"/>
        <w:ind w:left="0" w:leftChars="0" w:firstLine="0" w:firstLineChars="0"/>
        <w:rPr>
          <w:rFonts w:ascii="仿宋" w:hAnsi="仿宋" w:eastAsia="仿宋" w:cs="仿宋"/>
          <w:color w:val="auto"/>
          <w:szCs w:val="24"/>
          <w:highlight w:val="none"/>
        </w:rPr>
      </w:pPr>
    </w:p>
    <w:p>
      <w:pPr>
        <w:pStyle w:val="699"/>
        <w:jc w:val="center"/>
        <w:rPr>
          <w:rFonts w:ascii="仿宋" w:hAnsi="仿宋" w:eastAsia="仿宋" w:cs="仿宋"/>
          <w:color w:val="auto"/>
          <w:szCs w:val="24"/>
          <w:highlight w:val="none"/>
        </w:rPr>
      </w:pPr>
    </w:p>
    <w:p>
      <w:pPr>
        <w:pStyle w:val="699"/>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699"/>
        <w:rPr>
          <w:rFonts w:ascii="仿宋" w:hAnsi="仿宋" w:eastAsia="仿宋" w:cs="仿宋"/>
          <w:color w:val="auto"/>
          <w:szCs w:val="24"/>
          <w:highlight w:val="none"/>
        </w:rPr>
      </w:pPr>
    </w:p>
    <w:p>
      <w:pPr>
        <w:pStyle w:val="699"/>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lang w:eastAsia="zh-CN"/>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lang w:eastAsia="zh-CN"/>
        </w:rPr>
        <w:t>洋安未来社区创意装饰、导视牌、景观小品制作等</w:t>
      </w:r>
    </w:p>
    <w:p>
      <w:pPr>
        <w:spacing w:before="120" w:line="22" w:lineRule="atLeast"/>
        <w:ind w:firstLine="2160" w:firstLineChars="900"/>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采购项目</w:t>
      </w:r>
    </w:p>
    <w:p>
      <w:pPr>
        <w:pStyle w:val="596"/>
        <w:spacing w:before="120" w:line="22" w:lineRule="atLeast"/>
        <w:rPr>
          <w:rFonts w:ascii="仿宋" w:hAnsi="仿宋" w:eastAsia="仿宋" w:cs="仿宋"/>
          <w:color w:val="auto"/>
          <w:szCs w:val="24"/>
          <w:highlight w:val="none"/>
        </w:rPr>
      </w:pPr>
    </w:p>
    <w:p>
      <w:pPr>
        <w:pStyle w:val="596"/>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建德市人民政府洋溪街道办事处</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2022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rPr>
        <w:t>2022</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建德市人民政府洋溪街道办事处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公开招标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建德市人民政府洋溪街道办事处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color w:val="auto"/>
          <w:sz w:val="24"/>
          <w:highlight w:val="none"/>
        </w:rPr>
      </w:pPr>
      <w:bookmarkStart w:id="393" w:name="_Toc24059"/>
      <w:bookmarkStart w:id="394" w:name="_Toc3029"/>
      <w:bookmarkStart w:id="395" w:name="_Toc2232"/>
      <w:r>
        <w:rPr>
          <w:rFonts w:hint="eastAsia" w:ascii="仿宋" w:hAnsi="仿宋" w:eastAsia="仿宋" w:cs="仿宋"/>
          <w:b/>
          <w:color w:val="auto"/>
          <w:sz w:val="24"/>
          <w:highlight w:val="none"/>
        </w:rPr>
        <w:t>1.1 合同组成部分</w:t>
      </w:r>
      <w:bookmarkEnd w:id="393"/>
      <w:bookmarkEnd w:id="394"/>
      <w:bookmarkEnd w:id="39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ascii="仿宋" w:hAnsi="仿宋" w:eastAsia="仿宋" w:cs="仿宋"/>
          <w:b/>
          <w:color w:val="auto"/>
          <w:sz w:val="24"/>
          <w:highlight w:val="none"/>
        </w:rPr>
      </w:pPr>
      <w:bookmarkStart w:id="396" w:name="_Toc24300"/>
      <w:bookmarkStart w:id="397" w:name="_Toc27126"/>
      <w:bookmarkStart w:id="398" w:name="_Toc21295"/>
      <w:r>
        <w:rPr>
          <w:rFonts w:hint="eastAsia" w:ascii="仿宋" w:hAnsi="仿宋" w:eastAsia="仿宋" w:cs="仿宋"/>
          <w:b/>
          <w:color w:val="auto"/>
          <w:sz w:val="24"/>
          <w:highlight w:val="none"/>
        </w:rPr>
        <w:t>1.2 货物</w:t>
      </w:r>
      <w:bookmarkEnd w:id="396"/>
      <w:bookmarkEnd w:id="397"/>
      <w:bookmarkEnd w:id="398"/>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399" w:name="_Toc21631"/>
      <w:bookmarkStart w:id="400" w:name="_Toc23292"/>
      <w:bookmarkStart w:id="401" w:name="_Toc21551"/>
      <w:r>
        <w:rPr>
          <w:rFonts w:hint="eastAsia" w:ascii="仿宋" w:hAnsi="仿宋" w:eastAsia="仿宋" w:cs="仿宋"/>
          <w:b/>
          <w:color w:val="auto"/>
          <w:sz w:val="24"/>
          <w:highlight w:val="none"/>
        </w:rPr>
        <w:t>1.3 价款</w:t>
      </w:r>
      <w:bookmarkEnd w:id="399"/>
      <w:bookmarkEnd w:id="400"/>
      <w:bookmarkEnd w:id="40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分项价格：</w:t>
      </w:r>
    </w:p>
    <w:p>
      <w:pPr>
        <w:pStyle w:val="3"/>
        <w:rPr>
          <w:color w:val="auto"/>
          <w:highlight w:val="none"/>
        </w:rPr>
      </w:pP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240" w:lineRule="auto"/>
              <w:ind w:firstLine="200"/>
              <w:jc w:val="center"/>
              <w:rPr>
                <w:rFonts w:ascii="仿宋" w:hAnsi="仿宋" w:eastAsia="仿宋" w:cs="仿宋"/>
                <w:color w:val="auto"/>
                <w:sz w:val="24"/>
                <w:szCs w:val="24"/>
                <w:highlight w:val="none"/>
              </w:rPr>
            </w:pPr>
          </w:p>
        </w:tc>
      </w:tr>
    </w:tbl>
    <w:p>
      <w:pPr>
        <w:spacing w:line="560" w:lineRule="exact"/>
        <w:ind w:firstLine="482" w:firstLineChars="200"/>
        <w:outlineLvl w:val="0"/>
        <w:rPr>
          <w:rFonts w:ascii="仿宋" w:hAnsi="仿宋" w:eastAsia="仿宋" w:cs="仿宋"/>
          <w:b/>
          <w:color w:val="auto"/>
          <w:sz w:val="24"/>
          <w:highlight w:val="none"/>
        </w:rPr>
      </w:pPr>
      <w:bookmarkStart w:id="402" w:name="_Toc1814"/>
      <w:bookmarkStart w:id="403" w:name="_Toc10340"/>
      <w:bookmarkStart w:id="404" w:name="_Toc22618"/>
      <w:r>
        <w:rPr>
          <w:rFonts w:hint="eastAsia" w:ascii="仿宋" w:hAnsi="仿宋" w:eastAsia="仿宋" w:cs="仿宋"/>
          <w:b/>
          <w:color w:val="auto"/>
          <w:sz w:val="24"/>
          <w:highlight w:val="none"/>
        </w:rPr>
        <w:t>1.4 付款</w:t>
      </w:r>
      <w:bookmarkEnd w:id="402"/>
      <w:bookmarkEnd w:id="403"/>
      <w:bookmarkEnd w:id="404"/>
      <w:r>
        <w:rPr>
          <w:rFonts w:hint="eastAsia" w:ascii="仿宋" w:hAnsi="仿宋" w:eastAsia="仿宋" w:cs="仿宋"/>
          <w:b/>
          <w:color w:val="auto"/>
          <w:sz w:val="24"/>
          <w:highlight w:val="none"/>
        </w:rPr>
        <w:t>方式、时间和条件</w:t>
      </w:r>
    </w:p>
    <w:p>
      <w:pPr>
        <w:pStyle w:val="957"/>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甲方在政府采购合同中约定预付款，预付款比例为合同金额的40％；项目分年安排预算的，每年预付款比例为项目年度计划支付资金额的40％。采购项目实施以人工投入为主的，可适当降低预付款比例，但不低于20%。甲方可以根据项目特点、乙方信用等实际情况提高预付款比例，最高预付比例可以达到70%。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405" w:name="_Toc32071"/>
      <w:bookmarkStart w:id="406" w:name="_Toc2846"/>
      <w:bookmarkStart w:id="407" w:name="_Toc19304"/>
      <w:r>
        <w:rPr>
          <w:rFonts w:hint="eastAsia" w:ascii="仿宋" w:hAnsi="仿宋" w:eastAsia="仿宋" w:cs="仿宋"/>
          <w:b/>
          <w:color w:val="auto"/>
          <w:sz w:val="24"/>
          <w:highlight w:val="none"/>
        </w:rPr>
        <w:t>1.5 货物交付期限、地点和方式</w:t>
      </w:r>
      <w:bookmarkEnd w:id="405"/>
      <w:bookmarkEnd w:id="406"/>
      <w:bookmarkEnd w:id="407"/>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408" w:name="_Toc27250"/>
      <w:bookmarkStart w:id="409" w:name="_Toc21423"/>
      <w:bookmarkStart w:id="410" w:name="_Toc19554"/>
      <w:r>
        <w:rPr>
          <w:rFonts w:hint="eastAsia" w:ascii="仿宋" w:hAnsi="仿宋" w:eastAsia="仿宋" w:cs="仿宋"/>
          <w:b/>
          <w:color w:val="auto"/>
          <w:sz w:val="24"/>
          <w:highlight w:val="none"/>
        </w:rPr>
        <w:t>1.6 违约责任</w:t>
      </w:r>
      <w:bookmarkEnd w:id="408"/>
      <w:bookmarkEnd w:id="409"/>
      <w:bookmarkEnd w:id="41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ascii="仿宋" w:hAnsi="仿宋" w:eastAsia="仿宋" w:cs="仿宋"/>
          <w:b/>
          <w:color w:val="auto"/>
          <w:sz w:val="24"/>
          <w:highlight w:val="none"/>
        </w:rPr>
      </w:pPr>
      <w:bookmarkStart w:id="411" w:name="_Toc28375"/>
      <w:bookmarkStart w:id="412" w:name="_Toc16021"/>
      <w:bookmarkStart w:id="413" w:name="_Toc15583"/>
      <w:r>
        <w:rPr>
          <w:rFonts w:hint="eastAsia" w:ascii="仿宋" w:hAnsi="仿宋" w:eastAsia="仿宋" w:cs="仿宋"/>
          <w:b/>
          <w:color w:val="auto"/>
          <w:sz w:val="24"/>
          <w:highlight w:val="none"/>
        </w:rPr>
        <w:t>1.7 合同争议的解决</w:t>
      </w:r>
      <w:bookmarkEnd w:id="411"/>
      <w:bookmarkEnd w:id="412"/>
      <w:bookmarkEnd w:id="413"/>
    </w:p>
    <w:p>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ascii="仿宋" w:hAnsi="仿宋" w:eastAsia="仿宋" w:cs="仿宋"/>
          <w:b/>
          <w:color w:val="auto"/>
          <w:sz w:val="24"/>
          <w:highlight w:val="none"/>
        </w:rPr>
      </w:pPr>
      <w:bookmarkStart w:id="414" w:name="_Toc7245"/>
      <w:bookmarkStart w:id="415" w:name="_Toc11173"/>
      <w:bookmarkStart w:id="416" w:name="_Toc15322"/>
      <w:r>
        <w:rPr>
          <w:rFonts w:hint="eastAsia" w:ascii="仿宋" w:hAnsi="仿宋" w:eastAsia="仿宋" w:cs="仿宋"/>
          <w:b/>
          <w:color w:val="auto"/>
          <w:sz w:val="24"/>
          <w:highlight w:val="none"/>
        </w:rPr>
        <w:t>1.8 合同生效</w:t>
      </w:r>
      <w:bookmarkEnd w:id="414"/>
      <w:bookmarkEnd w:id="415"/>
      <w:bookmarkEnd w:id="416"/>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699"/>
        <w:spacing w:line="560" w:lineRule="exact"/>
        <w:ind w:firstLine="482"/>
        <w:jc w:val="center"/>
        <w:rPr>
          <w:rFonts w:ascii="仿宋" w:hAnsi="仿宋" w:eastAsia="仿宋" w:cs="仿宋"/>
          <w:b/>
          <w:color w:val="auto"/>
          <w:szCs w:val="24"/>
          <w:highlight w:val="none"/>
        </w:rPr>
      </w:pPr>
      <w:bookmarkStart w:id="417" w:name="_Toc331685783"/>
      <w:r>
        <w:rPr>
          <w:rFonts w:hint="eastAsia" w:ascii="仿宋" w:hAnsi="仿宋" w:eastAsia="仿宋" w:cs="仿宋"/>
          <w:b/>
          <w:color w:val="auto"/>
          <w:szCs w:val="24"/>
          <w:highlight w:val="none"/>
        </w:rPr>
        <w:t>第二部分 合同一般条款</w:t>
      </w:r>
      <w:bookmarkEnd w:id="417"/>
    </w:p>
    <w:p>
      <w:pPr>
        <w:spacing w:line="560" w:lineRule="exact"/>
        <w:ind w:firstLine="482" w:firstLineChars="200"/>
        <w:outlineLvl w:val="0"/>
        <w:rPr>
          <w:rFonts w:ascii="仿宋" w:hAnsi="仿宋" w:eastAsia="仿宋" w:cs="仿宋"/>
          <w:b/>
          <w:color w:val="auto"/>
          <w:sz w:val="24"/>
          <w:highlight w:val="none"/>
        </w:rPr>
      </w:pPr>
      <w:bookmarkStart w:id="418" w:name="_Ref467379101"/>
      <w:bookmarkStart w:id="419" w:name="_Toc16917"/>
      <w:bookmarkStart w:id="420" w:name="_Toc28763"/>
      <w:bookmarkStart w:id="421" w:name="_Ref467378499"/>
      <w:bookmarkStart w:id="422" w:name="_Ref467379225"/>
      <w:bookmarkStart w:id="423" w:name="_Toc19614"/>
      <w:bookmarkStart w:id="424" w:name="_Toc487900349"/>
      <w:bookmarkStart w:id="425" w:name="_Ref467378463"/>
      <w:bookmarkStart w:id="426" w:name="_Ref467379109"/>
      <w:bookmarkStart w:id="427" w:name="_Ref467379094"/>
      <w:bookmarkStart w:id="428" w:name="_Ref467379195"/>
      <w:bookmarkStart w:id="429" w:name="_Ref467378404"/>
      <w:bookmarkStart w:id="430" w:name="_Toc259093669"/>
      <w:bookmarkStart w:id="431" w:name="_Ref467379214"/>
      <w:bookmarkStart w:id="432" w:name="_Ref467379205"/>
      <w:bookmarkStart w:id="433" w:name="_Toc279701240"/>
      <w:r>
        <w:rPr>
          <w:rFonts w:hint="eastAsia" w:ascii="仿宋" w:hAnsi="仿宋" w:eastAsia="仿宋" w:cs="仿宋"/>
          <w:b/>
          <w:color w:val="auto"/>
          <w:sz w:val="24"/>
          <w:highlight w:val="none"/>
        </w:rPr>
        <w:t>2.1 定义</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highlight w:val="none"/>
        </w:rPr>
      </w:pPr>
      <w:bookmarkStart w:id="434" w:name="_Ref467378840"/>
      <w:r>
        <w:rPr>
          <w:rFonts w:hint="eastAsia" w:ascii="仿宋" w:hAnsi="仿宋" w:eastAsia="仿宋" w:cs="仿宋"/>
          <w:color w:val="auto"/>
          <w:sz w:val="24"/>
          <w:highlight w:val="none"/>
        </w:rPr>
        <w:t>2.1.4 “甲方”系指与中标供应商签署合同的采购人</w:t>
      </w:r>
      <w:bookmarkEnd w:id="434"/>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bookmarkStart w:id="435" w:name="_Ref467379400"/>
      <w:r>
        <w:rPr>
          <w:rFonts w:hint="eastAsia" w:ascii="仿宋" w:hAnsi="仿宋" w:eastAsia="仿宋" w:cs="仿宋"/>
          <w:color w:val="auto"/>
          <w:sz w:val="24"/>
          <w:highlight w:val="none"/>
        </w:rPr>
        <w:t>2.1.5 “乙方”系指根据合同约定交付货物的中标供应商</w:t>
      </w:r>
      <w:bookmarkEnd w:id="43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bookmarkStart w:id="436" w:name="_Ref467379436"/>
      <w:r>
        <w:rPr>
          <w:rFonts w:hint="eastAsia" w:ascii="仿宋" w:hAnsi="仿宋" w:eastAsia="仿宋" w:cs="仿宋"/>
          <w:color w:val="auto"/>
          <w:sz w:val="24"/>
          <w:highlight w:val="none"/>
        </w:rPr>
        <w:t>2.1.6 “现场”系指合同约定货物将要运至或者安装的地点。</w:t>
      </w:r>
      <w:bookmarkEnd w:id="436"/>
    </w:p>
    <w:p>
      <w:pPr>
        <w:spacing w:line="560" w:lineRule="exact"/>
        <w:ind w:firstLine="482" w:firstLineChars="200"/>
        <w:outlineLvl w:val="0"/>
        <w:rPr>
          <w:rFonts w:ascii="仿宋" w:hAnsi="仿宋" w:eastAsia="仿宋" w:cs="仿宋"/>
          <w:b/>
          <w:color w:val="auto"/>
          <w:sz w:val="24"/>
          <w:highlight w:val="none"/>
        </w:rPr>
      </w:pPr>
      <w:bookmarkStart w:id="437" w:name="_Toc27635"/>
      <w:bookmarkStart w:id="438" w:name="_Toc32504"/>
      <w:bookmarkStart w:id="439" w:name="_Toc13336"/>
      <w:bookmarkStart w:id="440" w:name="_Toc259093670"/>
      <w:bookmarkStart w:id="441" w:name="_Toc487900350"/>
      <w:bookmarkStart w:id="442" w:name="_Toc279701241"/>
      <w:r>
        <w:rPr>
          <w:rFonts w:hint="eastAsia" w:ascii="仿宋" w:hAnsi="仿宋" w:eastAsia="仿宋" w:cs="仿宋"/>
          <w:b/>
          <w:color w:val="auto"/>
          <w:sz w:val="24"/>
          <w:highlight w:val="none"/>
        </w:rPr>
        <w:t>2.2 技术规范</w:t>
      </w:r>
      <w:bookmarkEnd w:id="437"/>
      <w:bookmarkEnd w:id="438"/>
      <w:bookmarkEnd w:id="439"/>
      <w:bookmarkEnd w:id="440"/>
      <w:bookmarkEnd w:id="441"/>
      <w:bookmarkEnd w:id="44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443" w:name="_Toc259093671"/>
      <w:bookmarkStart w:id="444" w:name="_Toc487900351"/>
      <w:bookmarkStart w:id="445" w:name="_Toc279701242"/>
      <w:bookmarkStart w:id="446" w:name="_Toc27853"/>
      <w:bookmarkStart w:id="447" w:name="_Toc31634"/>
      <w:bookmarkStart w:id="448" w:name="_Toc9829"/>
      <w:r>
        <w:rPr>
          <w:rFonts w:hint="eastAsia" w:ascii="仿宋" w:hAnsi="仿宋" w:eastAsia="仿宋" w:cs="仿宋"/>
          <w:b/>
          <w:color w:val="auto"/>
          <w:sz w:val="24"/>
          <w:highlight w:val="none"/>
        </w:rPr>
        <w:t>2.3 知识产权</w:t>
      </w:r>
      <w:bookmarkEnd w:id="443"/>
      <w:bookmarkEnd w:id="444"/>
      <w:bookmarkEnd w:id="445"/>
      <w:bookmarkEnd w:id="446"/>
      <w:bookmarkEnd w:id="447"/>
      <w:bookmarkEnd w:id="44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449" w:name="_Toc4194"/>
      <w:bookmarkStart w:id="450" w:name="_Toc11932"/>
      <w:bookmarkStart w:id="451" w:name="_Toc29149"/>
      <w:r>
        <w:rPr>
          <w:rFonts w:hint="eastAsia" w:ascii="仿宋" w:hAnsi="仿宋" w:eastAsia="仿宋" w:cs="仿宋"/>
          <w:b/>
          <w:color w:val="auto"/>
          <w:sz w:val="24"/>
          <w:highlight w:val="none"/>
        </w:rPr>
        <w:t>2.4 包装和装运</w:t>
      </w:r>
      <w:bookmarkEnd w:id="449"/>
      <w:bookmarkEnd w:id="450"/>
      <w:bookmarkEnd w:id="45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452" w:name="_Ref467379527"/>
      <w:bookmarkStart w:id="453" w:name="_Ref467378541"/>
      <w:bookmarkStart w:id="454" w:name="_Ref467379536"/>
      <w:bookmarkStart w:id="455" w:name="_Toc259093674"/>
      <w:bookmarkStart w:id="456" w:name="_Toc487900354"/>
      <w:bookmarkStart w:id="457" w:name="_Ref467378591"/>
      <w:bookmarkStart w:id="458" w:name="_Toc279701245"/>
      <w:bookmarkStart w:id="459" w:name="_Ref467379542"/>
      <w:bookmarkStart w:id="460" w:name="_Toc19074"/>
      <w:bookmarkStart w:id="461" w:name="_Toc30272"/>
      <w:bookmarkStart w:id="462" w:name="_Toc26182"/>
      <w:r>
        <w:rPr>
          <w:rFonts w:hint="eastAsia" w:ascii="仿宋" w:hAnsi="仿宋" w:eastAsia="仿宋" w:cs="仿宋"/>
          <w:b/>
          <w:color w:val="auto"/>
          <w:sz w:val="24"/>
          <w:highlight w:val="none"/>
        </w:rPr>
        <w:t>2.</w:t>
      </w:r>
      <w:bookmarkEnd w:id="452"/>
      <w:bookmarkEnd w:id="453"/>
      <w:bookmarkEnd w:id="454"/>
      <w:bookmarkEnd w:id="455"/>
      <w:bookmarkEnd w:id="456"/>
      <w:bookmarkEnd w:id="457"/>
      <w:bookmarkEnd w:id="458"/>
      <w:bookmarkEnd w:id="459"/>
      <w:r>
        <w:rPr>
          <w:rFonts w:hint="eastAsia" w:ascii="仿宋" w:hAnsi="仿宋" w:eastAsia="仿宋" w:cs="仿宋"/>
          <w:b/>
          <w:color w:val="auto"/>
          <w:sz w:val="24"/>
          <w:highlight w:val="none"/>
        </w:rPr>
        <w:t>5 履约检查和问题反馈</w:t>
      </w:r>
      <w:bookmarkEnd w:id="460"/>
      <w:bookmarkEnd w:id="461"/>
      <w:bookmarkEnd w:id="462"/>
    </w:p>
    <w:p>
      <w:pPr>
        <w:spacing w:line="560" w:lineRule="exact"/>
        <w:ind w:firstLine="480" w:firstLineChars="200"/>
        <w:rPr>
          <w:rFonts w:ascii="仿宋" w:hAnsi="仿宋" w:eastAsia="仿宋" w:cs="仿宋"/>
          <w:color w:val="auto"/>
          <w:sz w:val="24"/>
          <w:highlight w:val="none"/>
        </w:rPr>
      </w:pPr>
      <w:bookmarkStart w:id="463" w:name="_Ref467379657"/>
      <w:r>
        <w:rPr>
          <w:rFonts w:hint="eastAsia" w:ascii="仿宋" w:hAnsi="仿宋" w:eastAsia="仿宋" w:cs="仿宋"/>
          <w:color w:val="auto"/>
          <w:sz w:val="24"/>
          <w:highlight w:val="none"/>
        </w:rPr>
        <w:t>2.5.1</w:t>
      </w:r>
      <w:bookmarkEnd w:id="463"/>
      <w:bookmarkStart w:id="464" w:name="_Toc186431854"/>
      <w:bookmarkStart w:id="465" w:name="_Toc279701247"/>
      <w:bookmarkStart w:id="466" w:name="_Toc487900357"/>
      <w:bookmarkStart w:id="467" w:name="_Toc259093676"/>
      <w:bookmarkStart w:id="468" w:name="_Ref467379793"/>
      <w:bookmarkStart w:id="469"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464"/>
      <w:bookmarkStart w:id="470" w:name="_Toc186431855"/>
      <w:r>
        <w:rPr>
          <w:rFonts w:hint="eastAsia" w:ascii="仿宋" w:hAnsi="仿宋" w:eastAsia="仿宋" w:cs="仿宋"/>
          <w:color w:val="auto"/>
          <w:sz w:val="24"/>
          <w:highlight w:val="none"/>
        </w:rPr>
        <w:t>。</w:t>
      </w:r>
    </w:p>
    <w:bookmarkEnd w:id="465"/>
    <w:bookmarkEnd w:id="466"/>
    <w:bookmarkEnd w:id="467"/>
    <w:bookmarkEnd w:id="468"/>
    <w:bookmarkEnd w:id="469"/>
    <w:bookmarkEnd w:id="470"/>
    <w:p>
      <w:pPr>
        <w:spacing w:line="560" w:lineRule="exact"/>
        <w:ind w:firstLine="482" w:firstLineChars="200"/>
        <w:outlineLvl w:val="0"/>
        <w:rPr>
          <w:rFonts w:ascii="仿宋" w:hAnsi="仿宋" w:eastAsia="仿宋" w:cs="仿宋"/>
          <w:b/>
          <w:color w:val="auto"/>
          <w:sz w:val="24"/>
          <w:highlight w:val="none"/>
        </w:rPr>
      </w:pPr>
      <w:bookmarkStart w:id="471" w:name="_Toc279701248"/>
      <w:bookmarkStart w:id="472" w:name="_Ref467379852"/>
      <w:bookmarkStart w:id="473" w:name="_Toc487900358"/>
      <w:bookmarkStart w:id="474" w:name="_Ref467379863"/>
      <w:bookmarkStart w:id="475" w:name="_Toc259093677"/>
      <w:bookmarkStart w:id="476" w:name="_Ref467379923"/>
      <w:bookmarkStart w:id="477" w:name="_Toc3225"/>
      <w:bookmarkStart w:id="478" w:name="_Toc774"/>
      <w:bookmarkStart w:id="479" w:name="_Toc16110"/>
      <w:r>
        <w:rPr>
          <w:rFonts w:hint="eastAsia" w:ascii="仿宋" w:hAnsi="仿宋" w:eastAsia="仿宋" w:cs="仿宋"/>
          <w:b/>
          <w:color w:val="auto"/>
          <w:sz w:val="24"/>
          <w:highlight w:val="none"/>
        </w:rPr>
        <w:t>2.6 技术资料</w:t>
      </w:r>
      <w:bookmarkEnd w:id="471"/>
      <w:bookmarkEnd w:id="472"/>
      <w:bookmarkEnd w:id="473"/>
      <w:bookmarkEnd w:id="474"/>
      <w:bookmarkEnd w:id="475"/>
      <w:bookmarkEnd w:id="476"/>
      <w:r>
        <w:rPr>
          <w:rFonts w:hint="eastAsia" w:ascii="仿宋" w:hAnsi="仿宋" w:eastAsia="仿宋" w:cs="仿宋"/>
          <w:b/>
          <w:color w:val="auto"/>
          <w:sz w:val="24"/>
          <w:highlight w:val="none"/>
        </w:rPr>
        <w:t>和保密义务</w:t>
      </w:r>
      <w:bookmarkEnd w:id="477"/>
      <w:bookmarkEnd w:id="478"/>
      <w:bookmarkEnd w:id="47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480" w:name="_Toc7860"/>
      <w:r>
        <w:rPr>
          <w:rFonts w:hint="eastAsia" w:ascii="仿宋" w:hAnsi="仿宋" w:eastAsia="仿宋" w:cs="仿宋"/>
          <w:b/>
          <w:color w:val="auto"/>
          <w:sz w:val="24"/>
          <w:highlight w:val="none"/>
        </w:rPr>
        <w:t>2.7 质量保证</w:t>
      </w:r>
      <w:bookmarkEnd w:id="48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481" w:name="_Toc17244"/>
      <w:bookmarkStart w:id="482" w:name="_Toc279701252"/>
      <w:bookmarkStart w:id="483" w:name="_Toc259093681"/>
      <w:bookmarkStart w:id="484" w:name="_Toc487900362"/>
      <w:r>
        <w:rPr>
          <w:rFonts w:hint="eastAsia" w:ascii="仿宋" w:hAnsi="仿宋" w:eastAsia="仿宋" w:cs="仿宋"/>
          <w:b/>
          <w:color w:val="auto"/>
          <w:sz w:val="24"/>
          <w:highlight w:val="none"/>
        </w:rPr>
        <w:t>2.8 货物的风险负担</w:t>
      </w:r>
      <w:bookmarkEnd w:id="481"/>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485" w:name="_Toc14055"/>
      <w:r>
        <w:rPr>
          <w:rFonts w:hint="eastAsia" w:ascii="仿宋" w:hAnsi="仿宋" w:eastAsia="仿宋" w:cs="仿宋"/>
          <w:b/>
          <w:color w:val="auto"/>
          <w:sz w:val="24"/>
          <w:highlight w:val="none"/>
        </w:rPr>
        <w:t>2.9 延迟交货</w:t>
      </w:r>
      <w:bookmarkEnd w:id="482"/>
      <w:bookmarkEnd w:id="483"/>
      <w:bookmarkEnd w:id="484"/>
      <w:bookmarkEnd w:id="48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highlight w:val="none"/>
        </w:rPr>
      </w:pPr>
      <w:bookmarkStart w:id="486" w:name="_Toc7502"/>
      <w:bookmarkStart w:id="487" w:name="_Toc279701254"/>
      <w:bookmarkStart w:id="488" w:name="_Toc487900364"/>
      <w:bookmarkStart w:id="489" w:name="_Toc259093683"/>
      <w:bookmarkStart w:id="490" w:name="_Ref467378121"/>
      <w:r>
        <w:rPr>
          <w:rFonts w:hint="eastAsia" w:ascii="仿宋" w:hAnsi="仿宋" w:eastAsia="仿宋" w:cs="仿宋"/>
          <w:b/>
          <w:color w:val="auto"/>
          <w:sz w:val="24"/>
          <w:highlight w:val="none"/>
        </w:rPr>
        <w:t>2.10 合同变更</w:t>
      </w:r>
      <w:bookmarkEnd w:id="48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1" w:name="_Toc259093688"/>
      <w:bookmarkStart w:id="492" w:name="_Toc279701259"/>
      <w:bookmarkStart w:id="493" w:name="_Toc487900369"/>
    </w:p>
    <w:p>
      <w:pPr>
        <w:spacing w:line="560" w:lineRule="exact"/>
        <w:ind w:firstLine="482" w:firstLineChars="200"/>
        <w:outlineLvl w:val="0"/>
        <w:rPr>
          <w:rFonts w:ascii="仿宋" w:hAnsi="仿宋" w:eastAsia="仿宋" w:cs="仿宋"/>
          <w:b/>
          <w:color w:val="auto"/>
          <w:sz w:val="24"/>
          <w:highlight w:val="none"/>
        </w:rPr>
      </w:pPr>
      <w:bookmarkStart w:id="494" w:name="_Toc15237"/>
      <w:bookmarkStart w:id="495" w:name="_Toc10366"/>
      <w:bookmarkStart w:id="496" w:name="_Toc22955"/>
      <w:r>
        <w:rPr>
          <w:rFonts w:hint="eastAsia" w:ascii="仿宋" w:hAnsi="仿宋" w:eastAsia="仿宋" w:cs="仿宋"/>
          <w:b/>
          <w:color w:val="auto"/>
          <w:sz w:val="24"/>
          <w:highlight w:val="none"/>
        </w:rPr>
        <w:t>2.11 合同转让</w:t>
      </w:r>
      <w:bookmarkEnd w:id="491"/>
      <w:bookmarkEnd w:id="492"/>
      <w:bookmarkEnd w:id="493"/>
      <w:r>
        <w:rPr>
          <w:rFonts w:hint="eastAsia" w:ascii="仿宋" w:hAnsi="仿宋" w:eastAsia="仿宋" w:cs="仿宋"/>
          <w:b/>
          <w:color w:val="auto"/>
          <w:sz w:val="24"/>
          <w:highlight w:val="none"/>
        </w:rPr>
        <w:t>和分包</w:t>
      </w:r>
      <w:bookmarkEnd w:id="494"/>
      <w:bookmarkEnd w:id="495"/>
      <w:bookmarkEnd w:id="49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highlight w:val="none"/>
        </w:rPr>
      </w:pPr>
      <w:bookmarkStart w:id="497" w:name="_Toc16508"/>
      <w:bookmarkStart w:id="498" w:name="_Toc13566"/>
      <w:bookmarkStart w:id="499" w:name="_Toc14066"/>
      <w:r>
        <w:rPr>
          <w:rFonts w:hint="eastAsia" w:ascii="仿宋" w:hAnsi="仿宋" w:eastAsia="仿宋" w:cs="仿宋"/>
          <w:b/>
          <w:color w:val="auto"/>
          <w:sz w:val="24"/>
          <w:highlight w:val="none"/>
        </w:rPr>
        <w:t>2.12 不可抗力</w:t>
      </w:r>
      <w:bookmarkEnd w:id="497"/>
      <w:bookmarkEnd w:id="498"/>
      <w:bookmarkEnd w:id="49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500" w:name="_Toc689"/>
      <w:bookmarkStart w:id="501" w:name="_Toc259093684"/>
      <w:bookmarkStart w:id="502" w:name="_Toc30676"/>
      <w:bookmarkStart w:id="503" w:name="_Toc6969"/>
      <w:bookmarkStart w:id="504" w:name="_Toc279701255"/>
      <w:bookmarkStart w:id="505" w:name="_Toc487900365"/>
      <w:r>
        <w:rPr>
          <w:rFonts w:hint="eastAsia" w:ascii="仿宋" w:hAnsi="仿宋" w:eastAsia="仿宋" w:cs="仿宋"/>
          <w:b/>
          <w:color w:val="auto"/>
          <w:sz w:val="24"/>
          <w:highlight w:val="none"/>
        </w:rPr>
        <w:t>2.13 税费</w:t>
      </w:r>
      <w:bookmarkEnd w:id="500"/>
      <w:bookmarkEnd w:id="501"/>
      <w:bookmarkEnd w:id="502"/>
      <w:bookmarkEnd w:id="503"/>
      <w:bookmarkEnd w:id="504"/>
      <w:bookmarkEnd w:id="50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highlight w:val="none"/>
        </w:rPr>
      </w:pPr>
      <w:bookmarkStart w:id="506" w:name="_Toc487900368"/>
      <w:bookmarkStart w:id="507" w:name="_Toc8298"/>
      <w:bookmarkStart w:id="508" w:name="_Toc16959"/>
      <w:bookmarkStart w:id="509" w:name="_Toc7102"/>
      <w:bookmarkStart w:id="510" w:name="_Toc279701258"/>
      <w:bookmarkStart w:id="511" w:name="_Toc259093687"/>
      <w:r>
        <w:rPr>
          <w:rFonts w:hint="eastAsia" w:ascii="仿宋" w:hAnsi="仿宋" w:eastAsia="仿宋" w:cs="仿宋"/>
          <w:b/>
          <w:color w:val="auto"/>
          <w:sz w:val="24"/>
          <w:highlight w:val="none"/>
        </w:rPr>
        <w:t>2.14乙方破产</w:t>
      </w:r>
      <w:bookmarkEnd w:id="506"/>
      <w:bookmarkEnd w:id="507"/>
      <w:bookmarkEnd w:id="508"/>
      <w:bookmarkEnd w:id="509"/>
      <w:bookmarkEnd w:id="510"/>
      <w:bookmarkEnd w:id="51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512" w:name="_Toc29333"/>
      <w:bookmarkStart w:id="513" w:name="_Toc6134"/>
      <w:bookmarkStart w:id="514" w:name="_Toc15387"/>
      <w:r>
        <w:rPr>
          <w:rFonts w:hint="eastAsia" w:ascii="仿宋" w:hAnsi="仿宋" w:eastAsia="仿宋" w:cs="仿宋"/>
          <w:b/>
          <w:color w:val="auto"/>
          <w:sz w:val="24"/>
          <w:highlight w:val="none"/>
        </w:rPr>
        <w:t>2.15 合同中止、终止</w:t>
      </w:r>
      <w:bookmarkEnd w:id="512"/>
      <w:bookmarkEnd w:id="513"/>
      <w:bookmarkEnd w:id="51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515" w:name="_Toc1125"/>
      <w:bookmarkStart w:id="516" w:name="_Toc14563"/>
      <w:bookmarkStart w:id="517" w:name="_Toc6596"/>
      <w:r>
        <w:rPr>
          <w:rFonts w:hint="eastAsia" w:ascii="仿宋" w:hAnsi="仿宋" w:eastAsia="仿宋" w:cs="仿宋"/>
          <w:b/>
          <w:color w:val="auto"/>
          <w:sz w:val="24"/>
          <w:highlight w:val="none"/>
        </w:rPr>
        <w:t>2.16检验和验收</w:t>
      </w:r>
      <w:bookmarkEnd w:id="515"/>
      <w:bookmarkEnd w:id="516"/>
      <w:bookmarkEnd w:id="517"/>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487"/>
    <w:bookmarkEnd w:id="488"/>
    <w:bookmarkEnd w:id="489"/>
    <w:bookmarkEnd w:id="490"/>
    <w:p>
      <w:pPr>
        <w:spacing w:line="560" w:lineRule="exact"/>
        <w:ind w:firstLine="482" w:firstLineChars="200"/>
        <w:outlineLvl w:val="0"/>
        <w:rPr>
          <w:rFonts w:ascii="仿宋" w:hAnsi="仿宋" w:eastAsia="仿宋" w:cs="仿宋"/>
          <w:b/>
          <w:color w:val="auto"/>
          <w:sz w:val="24"/>
          <w:highlight w:val="none"/>
        </w:rPr>
      </w:pPr>
      <w:bookmarkStart w:id="518" w:name="_Toc259093690"/>
      <w:bookmarkStart w:id="519" w:name="_Toc279701261"/>
      <w:bookmarkStart w:id="520" w:name="_Toc487900371"/>
      <w:bookmarkStart w:id="521" w:name="_Toc25182"/>
      <w:bookmarkStart w:id="522" w:name="_Toc11284"/>
      <w:bookmarkStart w:id="523" w:name="_Toc19604"/>
      <w:r>
        <w:rPr>
          <w:rFonts w:hint="eastAsia" w:ascii="仿宋" w:hAnsi="仿宋" w:eastAsia="仿宋" w:cs="仿宋"/>
          <w:b/>
          <w:color w:val="auto"/>
          <w:sz w:val="24"/>
          <w:highlight w:val="none"/>
        </w:rPr>
        <w:t>2.17 通知</w:t>
      </w:r>
      <w:bookmarkEnd w:id="518"/>
      <w:bookmarkEnd w:id="519"/>
      <w:bookmarkEnd w:id="520"/>
      <w:r>
        <w:rPr>
          <w:rFonts w:hint="eastAsia" w:ascii="仿宋" w:hAnsi="仿宋" w:eastAsia="仿宋" w:cs="仿宋"/>
          <w:b/>
          <w:color w:val="auto"/>
          <w:sz w:val="24"/>
          <w:highlight w:val="none"/>
        </w:rPr>
        <w:t>和送达</w:t>
      </w:r>
      <w:bookmarkEnd w:id="521"/>
      <w:bookmarkEnd w:id="522"/>
      <w:bookmarkEnd w:id="523"/>
    </w:p>
    <w:p>
      <w:pPr>
        <w:spacing w:line="560" w:lineRule="exact"/>
        <w:ind w:firstLine="480" w:firstLineChars="200"/>
        <w:rPr>
          <w:rFonts w:ascii="仿宋" w:hAnsi="仿宋" w:eastAsia="仿宋" w:cs="仿宋"/>
          <w:color w:val="auto"/>
          <w:sz w:val="24"/>
          <w:highlight w:val="none"/>
        </w:rPr>
      </w:pPr>
      <w:bookmarkStart w:id="524" w:name="_Toc6698"/>
      <w:bookmarkStart w:id="525" w:name="_Toc3135"/>
      <w:bookmarkStart w:id="526" w:name="_Toc487900372"/>
      <w:bookmarkStart w:id="527" w:name="_Toc279701262"/>
      <w:bookmarkStart w:id="528"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524"/>
      <w:bookmarkEnd w:id="525"/>
    </w:p>
    <w:p>
      <w:pPr>
        <w:spacing w:line="560" w:lineRule="exact"/>
        <w:ind w:firstLine="480" w:firstLineChars="200"/>
        <w:rPr>
          <w:rFonts w:ascii="仿宋" w:hAnsi="仿宋" w:eastAsia="仿宋" w:cs="仿宋"/>
          <w:color w:val="auto"/>
          <w:sz w:val="24"/>
          <w:highlight w:val="none"/>
        </w:rPr>
      </w:pPr>
      <w:bookmarkStart w:id="529" w:name="_Toc23294"/>
      <w:bookmarkStart w:id="53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29"/>
      <w:bookmarkEnd w:id="530"/>
    </w:p>
    <w:p>
      <w:pPr>
        <w:spacing w:line="560" w:lineRule="exact"/>
        <w:ind w:firstLine="482" w:firstLineChars="200"/>
        <w:outlineLvl w:val="0"/>
        <w:rPr>
          <w:rFonts w:ascii="仿宋" w:hAnsi="仿宋" w:eastAsia="仿宋" w:cs="仿宋"/>
          <w:b/>
          <w:color w:val="auto"/>
          <w:sz w:val="24"/>
          <w:highlight w:val="none"/>
        </w:rPr>
      </w:pPr>
      <w:bookmarkStart w:id="531" w:name="_Toc4355"/>
      <w:bookmarkStart w:id="532" w:name="_Toc18540"/>
      <w:bookmarkStart w:id="533" w:name="_Toc30599"/>
      <w:r>
        <w:rPr>
          <w:rFonts w:hint="eastAsia" w:ascii="仿宋" w:hAnsi="仿宋" w:eastAsia="仿宋" w:cs="仿宋"/>
          <w:b/>
          <w:color w:val="auto"/>
          <w:sz w:val="24"/>
          <w:highlight w:val="none"/>
        </w:rPr>
        <w:t>2.18 计量单位</w:t>
      </w:r>
      <w:bookmarkEnd w:id="526"/>
      <w:bookmarkEnd w:id="527"/>
      <w:bookmarkEnd w:id="528"/>
      <w:bookmarkEnd w:id="531"/>
      <w:bookmarkEnd w:id="532"/>
      <w:bookmarkEnd w:id="53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534" w:name="_Toc18567"/>
      <w:bookmarkStart w:id="535" w:name="_Toc279701263"/>
      <w:bookmarkStart w:id="536" w:name="_Toc10330"/>
      <w:bookmarkStart w:id="537" w:name="_Toc12773"/>
      <w:bookmarkStart w:id="538" w:name="_Toc487900373"/>
      <w:bookmarkStart w:id="539" w:name="_Toc259093692"/>
      <w:r>
        <w:rPr>
          <w:rFonts w:hint="eastAsia" w:ascii="仿宋" w:hAnsi="仿宋" w:eastAsia="仿宋" w:cs="仿宋"/>
          <w:b/>
          <w:color w:val="auto"/>
          <w:sz w:val="24"/>
          <w:highlight w:val="none"/>
        </w:rPr>
        <w:t>2.19 合同使用的文字和适用的法律</w:t>
      </w:r>
      <w:bookmarkEnd w:id="534"/>
      <w:bookmarkEnd w:id="535"/>
      <w:bookmarkEnd w:id="536"/>
      <w:bookmarkEnd w:id="537"/>
      <w:bookmarkEnd w:id="538"/>
      <w:bookmarkEnd w:id="53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540" w:name="_Toc3148"/>
      <w:bookmarkStart w:id="541" w:name="_Toc279701264"/>
      <w:bookmarkStart w:id="542" w:name="_Toc259093693"/>
      <w:bookmarkStart w:id="543" w:name="_Toc12004"/>
      <w:bookmarkStart w:id="544" w:name="_Toc16673"/>
      <w:bookmarkStart w:id="545" w:name="_Toc487900374"/>
      <w:r>
        <w:rPr>
          <w:rFonts w:hint="eastAsia" w:ascii="仿宋" w:hAnsi="仿宋" w:eastAsia="仿宋" w:cs="仿宋"/>
          <w:b/>
          <w:color w:val="auto"/>
          <w:sz w:val="24"/>
          <w:highlight w:val="none"/>
        </w:rPr>
        <w:t>2.20 履约保证金</w:t>
      </w:r>
      <w:bookmarkEnd w:id="540"/>
      <w:bookmarkEnd w:id="541"/>
      <w:bookmarkEnd w:id="542"/>
      <w:bookmarkEnd w:id="543"/>
      <w:bookmarkEnd w:id="544"/>
    </w:p>
    <w:p>
      <w:pPr>
        <w:pStyle w:val="957"/>
        <w:spacing w:before="0" w:beforeAutospacing="0" w:after="0" w:afterAutospacing="0" w:line="360" w:lineRule="auto"/>
        <w:ind w:firstLine="420"/>
        <w:rPr>
          <w:rFonts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约定的方式，以支票、汇票、本票或者金融机构、担保机构出具的保函等非现金形式，提交不超过合同金额2.5%的履约保证金；鼓励和支持乙方以银行、保险公司出具的保函形式提供履约保证。</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 xml:space="preserve">%；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2.20.4 甲方根据杭州市政府采购网公布的供应商履约评价情况减免履约保证金。乙方履约验收评价总分为100分的，甲方免收履约保证金；评价总分在90分以上的，收取履约保证金为合同金额2%；评价总分在不满90分或者暂无评分的，收取履约保证金为合同金额2.5%。</w:t>
      </w:r>
    </w:p>
    <w:p>
      <w:pPr>
        <w:spacing w:line="56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2.20.5甲方在乙方履行完合同约定义务事项后及时退还，延迟退还的，应当按照合同约定和法律规定承担相应的赔偿责任。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545"/>
    <w:p>
      <w:pPr>
        <w:spacing w:line="560" w:lineRule="exact"/>
        <w:ind w:firstLine="482" w:firstLineChars="200"/>
        <w:outlineLvl w:val="0"/>
        <w:rPr>
          <w:rFonts w:ascii="仿宋" w:hAnsi="仿宋" w:eastAsia="仿宋" w:cs="仿宋"/>
          <w:b/>
          <w:color w:val="auto"/>
          <w:sz w:val="24"/>
          <w:highlight w:val="none"/>
        </w:rPr>
      </w:pPr>
      <w:bookmarkStart w:id="546" w:name="_Toc14001"/>
      <w:bookmarkStart w:id="547" w:name="_Toc6885"/>
      <w:bookmarkStart w:id="548" w:name="_Toc19890"/>
      <w:r>
        <w:rPr>
          <w:rFonts w:hint="eastAsia" w:ascii="仿宋" w:hAnsi="仿宋" w:eastAsia="仿宋" w:cs="仿宋"/>
          <w:b/>
          <w:color w:val="auto"/>
          <w:sz w:val="24"/>
          <w:highlight w:val="none"/>
        </w:rPr>
        <w:t>2.22合同份数</w:t>
      </w:r>
      <w:bookmarkEnd w:id="546"/>
      <w:bookmarkEnd w:id="547"/>
      <w:bookmarkEnd w:id="54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pStyle w:val="699"/>
        <w:spacing w:line="560" w:lineRule="exact"/>
        <w:jc w:val="center"/>
        <w:rPr>
          <w:rFonts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549" w:name="_Toc331685784"/>
      <w:r>
        <w:rPr>
          <w:rFonts w:hint="eastAsia" w:ascii="仿宋" w:hAnsi="仿宋" w:eastAsia="仿宋" w:cs="仿宋"/>
          <w:b/>
          <w:color w:val="auto"/>
          <w:szCs w:val="24"/>
          <w:highlight w:val="none"/>
        </w:rPr>
        <w:t xml:space="preserve"> </w:t>
      </w:r>
      <w:bookmarkEnd w:id="549"/>
      <w:r>
        <w:rPr>
          <w:rFonts w:hint="eastAsia" w:ascii="仿宋" w:hAnsi="仿宋" w:eastAsia="仿宋" w:cs="仿宋"/>
          <w:b/>
          <w:color w:val="auto"/>
          <w:szCs w:val="24"/>
          <w:highlight w:val="none"/>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5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4"/>
        <w:gridCol w:w="83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3" w:hRule="atLeast"/>
        </w:trPr>
        <w:tc>
          <w:tcPr>
            <w:tcW w:w="854" w:type="dxa"/>
            <w:tcBorders>
              <w:left w:val="single" w:color="auto" w:sz="4" w:space="0"/>
            </w:tcBorders>
            <w:vAlign w:val="center"/>
          </w:tcPr>
          <w:p>
            <w:pPr>
              <w:spacing w:line="240" w:lineRule="auto"/>
              <w:jc w:val="both"/>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305"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63"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305" w:type="dxa"/>
            <w:vAlign w:val="center"/>
          </w:tcPr>
          <w:p>
            <w:pPr>
              <w:spacing w:line="240" w:lineRule="auto"/>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资金支付的方式、时间和条件：</w:t>
            </w:r>
          </w:p>
          <w:p>
            <w:pPr>
              <w:keepNext w:val="0"/>
              <w:keepLines w:val="0"/>
              <w:pageBreakBefore w:val="0"/>
              <w:widowControl w:val="0"/>
              <w:kinsoku/>
              <w:wordWrap/>
              <w:overflowPunct/>
              <w:topLinePunct w:val="0"/>
              <w:autoSpaceDE/>
              <w:autoSpaceDN/>
              <w:bidi w:val="0"/>
              <w:adjustRightInd w:val="0"/>
              <w:snapToGrid/>
              <w:spacing w:line="240" w:lineRule="auto"/>
              <w:ind w:firstLine="480" w:firstLineChars="200"/>
              <w:jc w:val="both"/>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根据合同、投标文件等资料进行验收。</w:t>
            </w:r>
          </w:p>
          <w:p>
            <w:pPr>
              <w:keepNext w:val="0"/>
              <w:keepLines w:val="0"/>
              <w:pageBreakBefore w:val="0"/>
              <w:widowControl w:val="0"/>
              <w:kinsoku/>
              <w:wordWrap/>
              <w:overflowPunct/>
              <w:topLinePunct w:val="0"/>
              <w:autoSpaceDE/>
              <w:autoSpaceDN/>
              <w:bidi w:val="0"/>
              <w:adjustRightInd w:val="0"/>
              <w:snapToGrid/>
              <w:spacing w:line="240" w:lineRule="auto"/>
              <w:ind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合同签订后支付合同价的40%预付款（</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需提供相应金额的预付款保函至</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）；在规定时间内完成项目的供货、运输、安装调试并验收通过后，由</w:t>
            </w:r>
            <w:r>
              <w:rPr>
                <w:rFonts w:hint="eastAsia" w:ascii="仿宋" w:hAnsi="仿宋" w:eastAsia="仿宋" w:cs="仿宋"/>
                <w:color w:val="auto"/>
                <w:sz w:val="24"/>
                <w:highlight w:val="none"/>
                <w:lang w:val="en-US" w:eastAsia="zh-CN"/>
              </w:rPr>
              <w:t>甲方根据结算审核价</w:t>
            </w:r>
            <w:r>
              <w:rPr>
                <w:rFonts w:hint="eastAsia" w:ascii="仿宋" w:hAnsi="仿宋" w:eastAsia="仿宋" w:cs="仿宋"/>
                <w:color w:val="auto"/>
                <w:sz w:val="24"/>
                <w:highlight w:val="none"/>
              </w:rPr>
              <w:t>向</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支付剩余项目款。（本项目根据实际完成工程量结算项目款）</w:t>
            </w:r>
          </w:p>
          <w:p>
            <w:pPr>
              <w:keepNext w:val="0"/>
              <w:keepLines w:val="0"/>
              <w:pageBreakBefore w:val="0"/>
              <w:widowControl w:val="0"/>
              <w:kinsoku/>
              <w:wordWrap/>
              <w:overflowPunct/>
              <w:topLinePunct w:val="0"/>
              <w:autoSpaceDE/>
              <w:autoSpaceDN/>
              <w:bidi w:val="0"/>
              <w:adjustRightInd w:val="0"/>
              <w:snapToGrid/>
              <w:spacing w:line="240" w:lineRule="auto"/>
              <w:ind w:firstLine="480" w:firstLineChars="200"/>
              <w:jc w:val="both"/>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结算时</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将结款申请1份、发票原件及复印件1份、合同复印件1份和经</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验收确认的《建德市政府采购验收反馈表》（还需提供验收报告）提交</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应自收到发票后5个工作日内支付相应款项。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88"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305" w:type="dxa"/>
            <w:vAlign w:val="center"/>
          </w:tcPr>
          <w:p>
            <w:pPr>
              <w:widowControl/>
              <w:autoSpaceDE w:val="0"/>
              <w:autoSpaceDN w:val="0"/>
              <w:spacing w:line="240" w:lineRule="auto"/>
              <w:jc w:val="both"/>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交付期限：签订合同后</w:t>
            </w:r>
            <w:r>
              <w:rPr>
                <w:rFonts w:hint="eastAsia" w:ascii="仿宋" w:hAnsi="仿宋" w:eastAsia="仿宋" w:cs="仿宋"/>
                <w:b/>
                <w:bCs/>
                <w:color w:val="auto"/>
                <w:sz w:val="24"/>
                <w:highlight w:val="none"/>
                <w:u w:val="single"/>
                <w:lang w:val="en-US" w:eastAsia="zh-CN"/>
              </w:rPr>
              <w:t xml:space="preserve">   </w:t>
            </w:r>
            <w:r>
              <w:rPr>
                <w:rFonts w:hint="eastAsia" w:ascii="仿宋" w:hAnsi="仿宋" w:eastAsia="仿宋" w:cs="仿宋"/>
                <w:b/>
                <w:bCs/>
                <w:color w:val="auto"/>
                <w:sz w:val="24"/>
                <w:highlight w:val="none"/>
                <w:u w:val="single"/>
              </w:rPr>
              <w:t>日历天</w:t>
            </w:r>
            <w:r>
              <w:rPr>
                <w:rFonts w:hint="eastAsia" w:ascii="仿宋" w:hAnsi="仿宋" w:eastAsia="仿宋" w:cs="仿宋"/>
                <w:color w:val="auto"/>
                <w:sz w:val="24"/>
                <w:highlight w:val="none"/>
              </w:rPr>
              <w:t>内送达并安装调试完成</w:t>
            </w:r>
            <w:r>
              <w:rPr>
                <w:rFonts w:hint="eastAsia" w:ascii="仿宋" w:hAnsi="仿宋" w:eastAsia="仿宋" w:cs="仿宋"/>
                <w:color w:val="auto"/>
                <w:sz w:val="24"/>
                <w:highlight w:val="none"/>
                <w:lang w:val="en-US" w:eastAsia="zh-CN"/>
              </w:rPr>
              <w:t>并</w:t>
            </w:r>
            <w:r>
              <w:rPr>
                <w:rFonts w:hint="eastAsia" w:ascii="仿宋" w:hAnsi="仿宋" w:eastAsia="仿宋" w:cs="仿宋"/>
                <w:color w:val="auto"/>
                <w:sz w:val="24"/>
                <w:highlight w:val="none"/>
              </w:rPr>
              <w:t>通过验收，若</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未能在约定的期限内完工并验收通过的，每逾期1天扣除履约保证金5000元，履约保证金不足的，以合同货款抵扣。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交付地点：</w:t>
            </w:r>
            <w:r>
              <w:rPr>
                <w:rFonts w:hint="eastAsia" w:ascii="仿宋" w:hAnsi="仿宋" w:eastAsia="仿宋" w:cs="仿宋"/>
                <w:color w:val="auto"/>
                <w:sz w:val="24"/>
                <w:highlight w:val="none"/>
                <w:lang w:eastAsia="zh-CN"/>
              </w:rPr>
              <w:t>建德市人民政府洋溪街道办事处</w:t>
            </w:r>
            <w:r>
              <w:rPr>
                <w:rFonts w:hint="eastAsia" w:ascii="仿宋" w:hAnsi="仿宋" w:eastAsia="仿宋" w:cs="仿宋"/>
                <w:color w:val="auto"/>
                <w:sz w:val="24"/>
                <w:highlight w:val="none"/>
              </w:rPr>
              <w:t>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交付方式：</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提供中标货物的安装、培训和技术指导。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13"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305" w:type="dxa"/>
            <w:vAlign w:val="center"/>
          </w:tcPr>
          <w:p>
            <w:pPr>
              <w:widowControl/>
              <w:autoSpaceDE w:val="0"/>
              <w:autoSpaceDN w:val="0"/>
              <w:spacing w:line="240" w:lineRule="auto"/>
              <w:jc w:val="both"/>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违约责任：由于乙方原因(除不可抗力外)不能按期交付合同标的，对超出交付期的每一天，乙方应按</w:t>
            </w:r>
            <w:r>
              <w:rPr>
                <w:rFonts w:hint="eastAsia" w:ascii="仿宋" w:hAnsi="仿宋" w:eastAsia="仿宋" w:cs="仿宋"/>
                <w:color w:val="auto"/>
                <w:sz w:val="24"/>
                <w:highlight w:val="none"/>
                <w:lang w:val="en-US" w:eastAsia="zh-CN"/>
              </w:rPr>
              <w:t>人民币5000元</w:t>
            </w:r>
            <w:r>
              <w:rPr>
                <w:rFonts w:hint="eastAsia" w:ascii="仿宋" w:hAnsi="仿宋" w:eastAsia="仿宋" w:cs="仿宋"/>
                <w:color w:val="auto"/>
                <w:sz w:val="24"/>
                <w:highlight w:val="none"/>
              </w:rPr>
              <w:t>承担违约金，在合同货款支付时一次性扣除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优先扣除履约保证金</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。若超出交付期十天(含十天)以上的，甲方有权终止合同，履约保证金不予退还。</w:t>
            </w:r>
          </w:p>
          <w:p>
            <w:pPr>
              <w:widowControl/>
              <w:autoSpaceDE w:val="0"/>
              <w:autoSpaceDN w:val="0"/>
              <w:spacing w:line="240" w:lineRule="auto"/>
              <w:jc w:val="both"/>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乙方按合同要求将货物送达甲方后，经验收合格后，甲方超出付款期支付货款的，每逾一天，甲方应向乙方支付合同货物金额的千分之三的滞纳金。如遇特殊情况甲方要求推迟供货或验收的，必须事先征得乙方的同意，否则应承担由此给乙方造成的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88"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1.7.2  </w:t>
            </w:r>
            <w:r>
              <w:rPr>
                <w:rFonts w:hint="eastAsia" w:ascii="仿宋" w:hAnsi="仿宋" w:eastAsia="仿宋" w:cs="仿宋"/>
                <w:color w:val="auto"/>
                <w:sz w:val="24"/>
                <w:highlight w:val="none"/>
              </w:rPr>
              <w:t>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向</w:t>
            </w:r>
            <w:r>
              <w:rPr>
                <w:rFonts w:hint="eastAsia" w:ascii="仿宋" w:hAnsi="仿宋" w:eastAsia="仿宋" w:cs="仿宋"/>
                <w:b/>
                <w:i/>
                <w:color w:val="auto"/>
                <w:sz w:val="24"/>
                <w:highlight w:val="none"/>
                <w:u w:val="single"/>
              </w:rPr>
              <w:t>建德市人民法院</w:t>
            </w:r>
            <w:r>
              <w:rPr>
                <w:rFonts w:hint="eastAsia" w:ascii="仿宋" w:hAnsi="仿宋" w:eastAsia="仿宋" w:cs="仿宋"/>
                <w:color w:val="auto"/>
                <w:sz w:val="24"/>
                <w:highlight w:val="none"/>
              </w:rPr>
              <w:t>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305" w:type="dxa"/>
            <w:vAlign w:val="center"/>
          </w:tcPr>
          <w:p>
            <w:pPr>
              <w:spacing w:line="240" w:lineRule="auto"/>
              <w:ind w:left="-420" w:leftChars="-200" w:right="-420" w:rightChars="-200" w:firstLine="480" w:firstLineChars="200"/>
              <w:jc w:val="both"/>
              <w:rPr>
                <w:rFonts w:ascii="仿宋" w:hAnsi="仿宋" w:eastAsia="仿宋" w:cs="仿宋"/>
                <w:color w:val="auto"/>
                <w:sz w:val="24"/>
                <w:highlight w:val="none"/>
              </w:rPr>
            </w:pPr>
            <w:r>
              <w:rPr>
                <w:rFonts w:hint="eastAsia" w:ascii="仿宋" w:hAnsi="仿宋" w:eastAsia="仿宋" w:cs="仿宋"/>
                <w:color w:val="auto"/>
                <w:sz w:val="24"/>
                <w:highlight w:val="none"/>
              </w:rPr>
              <w:t>具有知识产权的计算机软件等货物的知识产权归属：</w:t>
            </w:r>
            <w:r>
              <w:rPr>
                <w:rFonts w:hint="eastAsia" w:ascii="仿宋" w:hAnsi="仿宋" w:eastAsia="仿宋" w:cs="仿宋"/>
                <w:b/>
                <w:bCs/>
                <w:color w:val="auto"/>
                <w:sz w:val="24"/>
                <w:highlight w:val="none"/>
              </w:rPr>
              <w:t>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305" w:type="dxa"/>
            <w:vAlign w:val="center"/>
          </w:tcPr>
          <w:p>
            <w:pPr>
              <w:spacing w:line="240" w:lineRule="auto"/>
              <w:ind w:left="-420" w:leftChars="-200" w:right="-420" w:rightChars="-200" w:firstLine="480" w:firstLineChars="200"/>
              <w:jc w:val="both"/>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装运货物的要求和通知：</w:t>
            </w:r>
            <w:r>
              <w:rPr>
                <w:rFonts w:hint="eastAsia" w:ascii="仿宋" w:hAnsi="仿宋" w:eastAsia="仿宋" w:cs="仿宋"/>
                <w:b/>
                <w:bCs/>
                <w:color w:val="auto"/>
                <w:sz w:val="24"/>
                <w:highlight w:val="none"/>
              </w:rPr>
              <w:t>按乙方投标方案中进度要求。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4"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w:t>
            </w:r>
            <w:r>
              <w:rPr>
                <w:rFonts w:hint="eastAsia" w:ascii="仿宋" w:hAnsi="仿宋" w:eastAsia="仿宋" w:cs="仿宋"/>
                <w:b/>
                <w:bCs/>
                <w:color w:val="auto"/>
                <w:sz w:val="24"/>
                <w:highlight w:val="none"/>
                <w:u w:val="single"/>
                <w:lang w:val="en-US" w:eastAsia="zh-CN"/>
              </w:rPr>
              <w:t>全部由</w:t>
            </w:r>
            <w:r>
              <w:rPr>
                <w:rFonts w:hint="eastAsia" w:ascii="仿宋" w:hAnsi="仿宋" w:eastAsia="仿宋" w:cs="仿宋"/>
                <w:b/>
                <w:bCs/>
                <w:color w:val="auto"/>
                <w:sz w:val="24"/>
                <w:highlight w:val="none"/>
                <w:u w:val="single"/>
              </w:rPr>
              <w:t>乙方自行负责。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4"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因不可抗力致使合同有变更必要的，双方当事人应在</w:t>
            </w:r>
            <w:r>
              <w:rPr>
                <w:rFonts w:hint="eastAsia" w:ascii="仿宋" w:hAnsi="仿宋" w:eastAsia="仿宋" w:cs="仿宋"/>
                <w:b/>
                <w:i/>
                <w:color w:val="auto"/>
                <w:sz w:val="24"/>
                <w:highlight w:val="none"/>
                <w:u w:val="single"/>
              </w:rPr>
              <w:t>30日</w:t>
            </w:r>
            <w:r>
              <w:rPr>
                <w:rFonts w:hint="eastAsia" w:ascii="仿宋" w:hAnsi="仿宋" w:eastAsia="仿宋" w:cs="仿宋"/>
                <w:color w:val="auto"/>
                <w:sz w:val="24"/>
                <w:highlight w:val="none"/>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4"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w:t>
            </w:r>
            <w:r>
              <w:rPr>
                <w:rFonts w:hint="eastAsia" w:ascii="仿宋" w:hAnsi="仿宋" w:eastAsia="仿宋" w:cs="仿宋"/>
                <w:b/>
                <w:i/>
                <w:color w:val="auto"/>
                <w:sz w:val="24"/>
                <w:highlight w:val="none"/>
                <w:u w:val="single"/>
              </w:rPr>
              <w:t>7日</w:t>
            </w:r>
            <w:r>
              <w:rPr>
                <w:rFonts w:hint="eastAsia" w:ascii="仿宋" w:hAnsi="仿宋" w:eastAsia="仿宋" w:cs="仿宋"/>
                <w:color w:val="auto"/>
                <w:sz w:val="24"/>
                <w:highlight w:val="none"/>
              </w:rPr>
              <w:t>内以书面形式通知对方当事人，并在</w:t>
            </w:r>
            <w:r>
              <w:rPr>
                <w:rFonts w:hint="eastAsia" w:ascii="仿宋" w:hAnsi="仿宋" w:eastAsia="仿宋" w:cs="仿宋"/>
                <w:b/>
                <w:i/>
                <w:color w:val="auto"/>
                <w:sz w:val="24"/>
                <w:highlight w:val="none"/>
                <w:u w:val="single"/>
              </w:rPr>
              <w:t>14日</w:t>
            </w:r>
            <w:r>
              <w:rPr>
                <w:rFonts w:hint="eastAsia" w:ascii="仿宋" w:hAnsi="仿宋" w:eastAsia="仿宋" w:cs="仿宋"/>
                <w:color w:val="auto"/>
                <w:sz w:val="24"/>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4"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货物交付前，乙方应对货物的质量、数量等方面进行详细、全面的检验，并向甲方出具证明货物符合合同约定的文件；货物交付时，乙方在</w:t>
            </w:r>
            <w:r>
              <w:rPr>
                <w:rFonts w:hint="eastAsia" w:ascii="仿宋" w:hAnsi="仿宋" w:eastAsia="仿宋" w:cs="仿宋"/>
                <w:b/>
                <w:bCs/>
                <w:color w:val="auto"/>
                <w:sz w:val="24"/>
                <w:highlight w:val="none"/>
                <w:u w:val="single"/>
              </w:rPr>
              <w:t>货物安装调试完成</w:t>
            </w:r>
            <w:r>
              <w:rPr>
                <w:rFonts w:hint="eastAsia" w:ascii="仿宋" w:hAnsi="仿宋" w:eastAsia="仿宋" w:cs="仿宋"/>
                <w:b/>
                <w:bCs/>
                <w:color w:val="auto"/>
                <w:sz w:val="24"/>
                <w:highlight w:val="none"/>
                <w:u w:val="single"/>
                <w:lang w:val="en-US" w:eastAsia="zh-CN"/>
              </w:rPr>
              <w:t>后7</w:t>
            </w:r>
            <w:r>
              <w:rPr>
                <w:rFonts w:hint="eastAsia" w:ascii="仿宋" w:hAnsi="仿宋" w:eastAsia="仿宋" w:cs="仿宋"/>
                <w:b/>
                <w:bCs/>
                <w:color w:val="auto"/>
                <w:sz w:val="24"/>
                <w:highlight w:val="none"/>
                <w:u w:val="single"/>
              </w:rPr>
              <w:t>日内</w:t>
            </w:r>
            <w:r>
              <w:rPr>
                <w:rFonts w:hint="eastAsia" w:ascii="仿宋" w:hAnsi="仿宋" w:eastAsia="仿宋" w:cs="仿宋"/>
                <w:color w:val="auto"/>
                <w:sz w:val="24"/>
                <w:highlight w:val="none"/>
              </w:rPr>
              <w:t>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13"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检验和验收标准、程序等具体内容：1、乙方应提供系统设备的有效检验材料，经采购人认可后，与合同的技术指标一起作为验收标准。甲方对系统设备验收合格后，出具验收报告并在《建德市政府采购物品验收反馈表》上签署意见并加盖单位公章。验收中发现系统设备达不到验收标准或合同规定的技术指标，乙方必须更换，并负担由此给甲方造成的损失，直到验收合格为止。</w:t>
            </w:r>
          </w:p>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2、乙方应于投标书中提供系统设备的验收标准和检测办法，并在验收中提供甲方认可的相应检测手段，验收标准应符合中国有关的国家、地方、行业的标准，如若中标，经甲方确认后作为验收的依据。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13"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305" w:type="dxa"/>
            <w:vAlign w:val="center"/>
          </w:tcPr>
          <w:p>
            <w:pPr>
              <w:spacing w:line="240" w:lineRule="auto"/>
              <w:jc w:val="both"/>
              <w:rPr>
                <w:rFonts w:ascii="仿宋" w:hAnsi="仿宋" w:eastAsia="仿宋" w:cs="仿宋"/>
                <w:color w:val="auto"/>
                <w:sz w:val="24"/>
                <w:highlight w:val="none"/>
              </w:rPr>
            </w:pPr>
            <w:r>
              <w:rPr>
                <w:rStyle w:val="352"/>
                <w:rFonts w:hint="default" w:ascii="仿宋" w:hAnsi="仿宋" w:eastAsia="仿宋" w:cs="仿宋"/>
                <w:b w:val="0"/>
                <w:color w:val="auto"/>
                <w:highlight w:val="none"/>
              </w:rPr>
              <w:t>履约保证金：本项目将</w:t>
            </w:r>
            <w:r>
              <w:rPr>
                <w:rFonts w:hint="eastAsia" w:ascii="仿宋" w:hAnsi="仿宋" w:eastAsia="仿宋" w:cs="仿宋"/>
                <w:color w:val="auto"/>
                <w:sz w:val="24"/>
                <w:highlight w:val="none"/>
              </w:rPr>
              <w:t>根据杭州市政府采购网公布的供应商履约评价情况收取履约保证金。乙方履约验收评价总分为100分的，本项目免收履约保证金；评价总分在90分以上的，本项目收取履约保证金为合同金额2%；评价总分在不满90分或者暂无评分的，本项目收取履约保证金为合同金额2.5%。需要收取保证金的供应商</w:t>
            </w:r>
            <w:r>
              <w:rPr>
                <w:rStyle w:val="352"/>
                <w:rFonts w:hint="default" w:ascii="仿宋" w:hAnsi="仿宋" w:eastAsia="仿宋" w:cs="仿宋"/>
                <w:b w:val="0"/>
                <w:color w:val="auto"/>
                <w:highlight w:val="none"/>
              </w:rPr>
              <w:t>在正式合同签订生效之日起7个工作日内，</w:t>
            </w:r>
            <w:r>
              <w:rPr>
                <w:rFonts w:hint="eastAsia" w:ascii="仿宋" w:hAnsi="仿宋" w:eastAsia="仿宋" w:cs="仿宋"/>
                <w:color w:val="auto"/>
                <w:sz w:val="24"/>
                <w:highlight w:val="none"/>
              </w:rPr>
              <w:t>缴纳</w:t>
            </w:r>
            <w:r>
              <w:rPr>
                <w:rStyle w:val="352"/>
                <w:rFonts w:hint="default" w:ascii="仿宋" w:hAnsi="仿宋" w:eastAsia="仿宋" w:cs="仿宋"/>
                <w:b w:val="0"/>
                <w:color w:val="auto"/>
                <w:highlight w:val="none"/>
              </w:rPr>
              <w:t>保证金至甲方指定账户（可采用银行、保险公司出具保函形式提交）。在验收合格后经回访正常后凭正式收款收据、履约保证金缴款凭证复印件、《建德市政府采购回访意见单》办理结算手续。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9" w:hRule="atLeast"/>
        </w:trPr>
        <w:tc>
          <w:tcPr>
            <w:tcW w:w="854" w:type="dxa"/>
            <w:tcBorders>
              <w:left w:val="single" w:color="auto" w:sz="4" w:space="0"/>
            </w:tcBorders>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履约保证金在</w:t>
            </w:r>
            <w:r>
              <w:rPr>
                <w:rFonts w:hint="eastAsia" w:ascii="仿宋" w:hAnsi="仿宋" w:eastAsia="仿宋" w:cs="仿宋"/>
                <w:i/>
                <w:iCs/>
                <w:color w:val="auto"/>
                <w:sz w:val="24"/>
                <w:highlight w:val="none"/>
                <w:u w:val="single"/>
                <w:lang w:val="en-US" w:eastAsia="zh-CN"/>
              </w:rPr>
              <w:t xml:space="preserve"> </w:t>
            </w:r>
            <w:r>
              <w:rPr>
                <w:rFonts w:hint="eastAsia" w:ascii="仿宋" w:hAnsi="仿宋" w:eastAsia="仿宋" w:cs="仿宋"/>
                <w:b/>
                <w:bCs/>
                <w:color w:val="auto"/>
                <w:sz w:val="24"/>
                <w:highlight w:val="none"/>
                <w:u w:val="single"/>
                <w:lang w:val="en-US" w:eastAsia="zh-CN"/>
              </w:rPr>
              <w:t>50</w:t>
            </w:r>
            <w:r>
              <w:rPr>
                <w:rFonts w:hint="eastAsia" w:ascii="仿宋" w:hAnsi="仿宋" w:eastAsia="仿宋" w:cs="仿宋"/>
                <w:b/>
                <w:bCs/>
                <w:color w:val="auto"/>
                <w:sz w:val="24"/>
                <w:highlight w:val="none"/>
                <w:u w:val="single"/>
              </w:rPr>
              <w:t>日历天</w:t>
            </w:r>
            <w:r>
              <w:rPr>
                <w:rFonts w:hint="eastAsia" w:ascii="仿宋" w:hAnsi="仿宋" w:eastAsia="仿宋" w:cs="仿宋"/>
                <w:b/>
                <w:bCs/>
                <w:color w:val="auto"/>
                <w:sz w:val="24"/>
                <w:highlight w:val="none"/>
                <w:u w:val="single"/>
                <w:lang w:val="en-US" w:eastAsia="zh-CN"/>
              </w:rPr>
              <w:t xml:space="preserve"> </w:t>
            </w:r>
            <w:r>
              <w:rPr>
                <w:rFonts w:hint="eastAsia" w:ascii="仿宋" w:hAnsi="仿宋" w:eastAsia="仿宋" w:cs="仿宋"/>
                <w:color w:val="auto"/>
                <w:sz w:val="24"/>
                <w:highlight w:val="none"/>
              </w:rPr>
              <w:t>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rPr>
              <w:t>100%</w:t>
            </w:r>
            <w:r>
              <w:rPr>
                <w:rFonts w:hint="eastAsia" w:ascii="仿宋" w:hAnsi="仿宋" w:eastAsia="仿宋" w:cs="仿宋"/>
                <w:color w:val="auto"/>
                <w:sz w:val="24"/>
                <w:highlight w:val="none"/>
              </w:rPr>
              <w:t>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854" w:type="dxa"/>
            <w:tcBorders>
              <w:left w:val="single" w:color="auto" w:sz="4" w:space="0"/>
            </w:tcBorders>
            <w:vAlign w:val="center"/>
          </w:tcPr>
          <w:p>
            <w:pPr>
              <w:spacing w:line="240" w:lineRule="auto"/>
              <w:ind w:left="-420" w:leftChars="-200" w:right="-420" w:rightChars="-200" w:firstLine="480" w:firstLineChars="200"/>
              <w:jc w:val="both"/>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2.22 </w:t>
            </w:r>
          </w:p>
        </w:tc>
        <w:tc>
          <w:tcPr>
            <w:tcW w:w="8305" w:type="dxa"/>
            <w:vAlign w:val="center"/>
          </w:tcPr>
          <w:p>
            <w:pPr>
              <w:spacing w:line="24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合同份数：</w:t>
            </w:r>
            <w:r>
              <w:rPr>
                <w:rFonts w:hint="eastAsia" w:ascii="仿宋" w:hAnsi="仿宋" w:eastAsia="仿宋" w:cs="仿宋"/>
                <w:color w:val="auto"/>
                <w:kern w:val="0"/>
                <w:sz w:val="24"/>
                <w:highlight w:val="none"/>
              </w:rPr>
              <w:t>本合同壹式陆份，甲、乙双方各执贰份，见证单位壹份，监管部门壹份。</w:t>
            </w:r>
          </w:p>
        </w:tc>
      </w:tr>
    </w:tbl>
    <w:p>
      <w:pPr>
        <w:spacing w:line="360" w:lineRule="auto"/>
        <w:ind w:left="-420" w:leftChars="-200" w:right="-420" w:rightChars="-200" w:firstLine="480" w:firstLineChars="200"/>
        <w:rPr>
          <w:rFonts w:ascii="仿宋" w:hAnsi="仿宋" w:eastAsia="仿宋" w:cs="仿宋"/>
          <w:color w:val="auto"/>
          <w:sz w:val="24"/>
          <w:highlight w:val="none"/>
        </w:rPr>
      </w:pPr>
    </w:p>
    <w:p>
      <w:pPr>
        <w:spacing w:line="360" w:lineRule="auto"/>
        <w:ind w:left="-420" w:leftChars="-200" w:right="-420" w:rightChars="-200"/>
        <w:rPr>
          <w:rFonts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1"/>
      <w:r>
        <w:rPr>
          <w:rFonts w:hint="eastAsia" w:ascii="仿宋" w:hAnsi="仿宋" w:eastAsia="仿宋" w:cs="仿宋"/>
          <w:b/>
          <w:color w:val="auto"/>
          <w:sz w:val="36"/>
          <w:szCs w:val="20"/>
          <w:highlight w:val="none"/>
        </w:rPr>
        <w:t xml:space="preserve"> </w:t>
      </w:r>
      <w:bookmarkEnd w:id="392"/>
      <w:r>
        <w:rPr>
          <w:rFonts w:hint="eastAsia" w:ascii="仿宋" w:hAnsi="仿宋" w:eastAsia="仿宋" w:cs="仿宋"/>
          <w:b/>
          <w:color w:val="auto"/>
          <w:sz w:val="36"/>
          <w:szCs w:val="20"/>
          <w:highlight w:val="none"/>
        </w:rPr>
        <w:t>应提交的有关格式范例</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）落实政府采购政策需满足的资格要求………………………………（页码）</w:t>
      </w:r>
    </w:p>
    <w:p>
      <w:pPr>
        <w:snapToGrid w:val="0"/>
        <w:spacing w:line="360" w:lineRule="auto"/>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建德市人民政府洋溪街道办事处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杭州欣兴建设工程招标代理有限公司</w:t>
      </w:r>
      <w:r>
        <w:rPr>
          <w:rFonts w:hint="eastAsia" w:ascii="仿宋" w:hAnsi="仿宋" w:eastAsia="仿宋" w:cs="仿宋"/>
          <w:color w:val="auto"/>
          <w:sz w:val="24"/>
          <w:highlight w:val="none"/>
        </w:rPr>
        <w:t>：</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洋安未来社区创意装饰、导视牌、景观小品制作等采购项目</w:t>
      </w:r>
      <w:r>
        <w:rPr>
          <w:rFonts w:hint="eastAsia" w:ascii="仿宋" w:hAnsi="仿宋" w:eastAsia="仿宋" w:cs="仿宋"/>
          <w:color w:val="auto"/>
          <w:sz w:val="24"/>
          <w:highlight w:val="none"/>
        </w:rPr>
        <w:t>【招标编号：JD2022BF- 】政府采购活动，郑重承诺：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二</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line="360" w:lineRule="auto"/>
        <w:ind w:right="480"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专门面向中小企业，货物全部由符合政策要求的中小企业制造，提供中小企业声明函（附件5）。</w:t>
      </w:r>
    </w:p>
    <w:p>
      <w:pPr>
        <w:snapToGrid w:val="0"/>
        <w:spacing w:line="360" w:lineRule="auto"/>
        <w:ind w:right="480"/>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pacing w:line="360" w:lineRule="auto"/>
        <w:ind w:right="420"/>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60" w:lineRule="auto"/>
        <w:jc w:val="center"/>
        <w:outlineLvl w:val="0"/>
        <w:rPr>
          <w:rFonts w:ascii="仿宋" w:hAnsi="仿宋" w:eastAsia="仿宋" w:cs="仿宋"/>
          <w:b/>
          <w:color w:val="auto"/>
          <w:kern w:val="0"/>
          <w:sz w:val="24"/>
          <w:highlight w:val="none"/>
        </w:rPr>
      </w:pPr>
    </w:p>
    <w:p>
      <w:pPr>
        <w:spacing w:line="360"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pPr>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（3）符合性审查资料</w:t>
      </w:r>
      <w:r>
        <w:rPr>
          <w:rFonts w:hint="eastAsia" w:ascii="仿宋" w:hAnsi="仿宋" w:eastAsia="仿宋" w:cs="仿宋"/>
          <w:color w:val="auto"/>
          <w:highlight w:val="none"/>
        </w:rPr>
        <w:t>………………………………………………………………………（页码）</w:t>
      </w:r>
    </w:p>
    <w:p>
      <w:pPr>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rPr>
        <w:t>（4）评标标准相应的商务技术资料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p>
    <w:p>
      <w:pPr>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rPr>
        <w:t>（5）商务技术偏离表</w:t>
      </w:r>
      <w:r>
        <w:rPr>
          <w:rFonts w:hint="eastAsia" w:ascii="仿宋" w:hAnsi="仿宋" w:eastAsia="仿宋" w:cs="仿宋"/>
          <w:color w:val="auto"/>
          <w:highlight w:val="none"/>
        </w:rPr>
        <w:t>………………………………………………………………………（页码）</w:t>
      </w:r>
    </w:p>
    <w:p>
      <w:pPr>
        <w:snapToGrid w:val="0"/>
        <w:spacing w:line="360" w:lineRule="auto"/>
        <w:ind w:left="479" w:leftChars="228"/>
        <w:rPr>
          <w:rFonts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pStyle w:val="3"/>
        <w:rPr>
          <w:color w:val="auto"/>
          <w:highlight w:val="none"/>
        </w:rPr>
      </w:pPr>
    </w:p>
    <w:p>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建德市人民政府洋溪街道办事处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杭州欣兴建设工程招标代理有限公司</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lang w:eastAsia="zh-CN"/>
        </w:rPr>
        <w:t>洋安未来社区创意装饰、导视牌、景观小品制作等采购项目</w:t>
      </w:r>
      <w:r>
        <w:rPr>
          <w:rFonts w:hint="eastAsia" w:ascii="仿宋" w:hAnsi="仿宋" w:eastAsia="仿宋" w:cs="仿宋"/>
          <w:color w:val="auto"/>
          <w:sz w:val="24"/>
          <w:highlight w:val="none"/>
        </w:rPr>
        <w:t>【招标编号：JD2022BF- 】招标的有关活动，并对此项目进行投标。为此：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2.1资格文件：</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2.1.1承诺函；</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2.1.2落实政府采购政策需满足的资格要求（如果有）；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2.1.3本项目的特定资格要求（如果有）。</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2.2.3联合协议（如果有）；</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2.2.4分包意向协议（如果有）；</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2.2.5符合性审查资料；</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2.2.6评标标准相应的商务技术资料；</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pacing w:line="420" w:lineRule="exact"/>
        <w:ind w:left="0" w:leftChars="0" w:firstLine="4560" w:firstLineChars="19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keepNext w:val="0"/>
        <w:keepLines w:val="0"/>
        <w:pageBreakBefore w:val="0"/>
        <w:widowControl w:val="0"/>
        <w:kinsoku/>
        <w:wordWrap/>
        <w:overflowPunct/>
        <w:topLinePunct w:val="0"/>
        <w:autoSpaceDE/>
        <w:autoSpaceDN/>
        <w:bidi w:val="0"/>
        <w:adjustRightInd w:val="0"/>
        <w:spacing w:line="420" w:lineRule="exact"/>
        <w:ind w:left="0" w:leftChars="0"/>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pPr>
        <w:snapToGrid w:val="0"/>
        <w:spacing w:line="360" w:lineRule="auto"/>
        <w:ind w:left="420" w:leftChars="200" w:firstLine="4200" w:firstLineChars="1750"/>
        <w:rPr>
          <w:rFonts w:ascii="仿宋" w:hAnsi="仿宋" w:eastAsia="仿宋" w:cs="仿宋"/>
          <w:color w:val="auto"/>
          <w:kern w:val="0"/>
          <w:sz w:val="24"/>
          <w:highlight w:val="none"/>
          <w:u w:val="single"/>
          <w:lang w:val="zh-CN"/>
        </w:rPr>
      </w:pPr>
    </w:p>
    <w:p>
      <w:pPr>
        <w:jc w:val="center"/>
        <w:rPr>
          <w:rFonts w:ascii="仿宋" w:hAnsi="仿宋" w:eastAsia="仿宋" w:cs="仿宋"/>
          <w:b/>
          <w:color w:val="auto"/>
          <w:kern w:val="0"/>
          <w:sz w:val="32"/>
          <w:szCs w:val="32"/>
          <w:highlight w:val="none"/>
          <w:lang w:val="zh-CN"/>
        </w:rPr>
      </w:pPr>
    </w:p>
    <w:p>
      <w:pPr>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2872" w:firstLineChars="894"/>
        <w:rPr>
          <w:rFonts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建德市人民政府洋溪街道办事处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杭州欣兴建设工程招标代理有限公司</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洋安未来社区创意装饰、导视牌、景观小品制作等采购项目</w:t>
      </w:r>
      <w:r>
        <w:rPr>
          <w:rFonts w:hint="eastAsia" w:ascii="仿宋" w:hAnsi="仿宋" w:eastAsia="仿宋" w:cs="仿宋"/>
          <w:color w:val="auto"/>
          <w:sz w:val="24"/>
          <w:highlight w:val="none"/>
        </w:rPr>
        <w:t>【招标编号：JD2022BF- 】</w:t>
      </w:r>
      <w:r>
        <w:rPr>
          <w:rFonts w:hint="eastAsia" w:ascii="仿宋" w:hAnsi="仿宋" w:eastAsia="仿宋" w:cs="仿宋"/>
          <w:color w:val="auto"/>
          <w:kern w:val="0"/>
          <w:sz w:val="24"/>
          <w:highlight w:val="none"/>
          <w:lang w:val="zh-CN"/>
        </w:rPr>
        <w:t>政府采购投标的一切事项，其法律后果由我方承担。</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p>
    <w:p>
      <w:pPr>
        <w:pStyle w:val="26"/>
        <w:rPr>
          <w:rFonts w:ascii="仿宋" w:hAnsi="仿宋" w:eastAsia="仿宋" w:cs="仿宋"/>
          <w:b/>
          <w:color w:val="auto"/>
          <w:kern w:val="0"/>
          <w:sz w:val="32"/>
          <w:szCs w:val="32"/>
          <w:highlight w:val="none"/>
        </w:rPr>
      </w:pPr>
    </w:p>
    <w:p>
      <w:pPr>
        <w:pStyle w:val="52"/>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26"/>
        <w:rPr>
          <w:rFonts w:ascii="仿宋" w:hAnsi="仿宋" w:eastAsia="仿宋" w:cs="仿宋"/>
          <w:b/>
          <w:color w:val="auto"/>
          <w:kern w:val="0"/>
          <w:sz w:val="32"/>
          <w:szCs w:val="32"/>
          <w:highlight w:val="none"/>
        </w:rPr>
      </w:pPr>
    </w:p>
    <w:p>
      <w:pPr>
        <w:pStyle w:val="52"/>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26"/>
        <w:rPr>
          <w:rFonts w:ascii="仿宋" w:hAnsi="仿宋" w:eastAsia="仿宋" w:cs="仿宋"/>
          <w:b/>
          <w:color w:val="auto"/>
          <w:kern w:val="0"/>
          <w:sz w:val="32"/>
          <w:szCs w:val="32"/>
          <w:highlight w:val="none"/>
        </w:rPr>
      </w:pPr>
    </w:p>
    <w:p>
      <w:pPr>
        <w:pStyle w:val="52"/>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26"/>
        <w:rPr>
          <w:rFonts w:ascii="仿宋" w:hAnsi="仿宋" w:eastAsia="仿宋" w:cs="仿宋"/>
          <w:b/>
          <w:color w:val="auto"/>
          <w:kern w:val="0"/>
          <w:sz w:val="32"/>
          <w:szCs w:val="32"/>
          <w:highlight w:val="none"/>
        </w:rPr>
      </w:pPr>
    </w:p>
    <w:p>
      <w:pPr>
        <w:pStyle w:val="26"/>
        <w:rPr>
          <w:rFonts w:ascii="仿宋" w:hAnsi="仿宋" w:eastAsia="仿宋" w:cs="仿宋"/>
          <w:color w:val="auto"/>
          <w:highlight w:val="none"/>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pPr>
        <w:pStyle w:val="146"/>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146"/>
              <w:adjustRightInd w:val="0"/>
              <w:spacing w:line="360" w:lineRule="auto"/>
              <w:rPr>
                <w:rFonts w:ascii="仿宋" w:hAnsi="仿宋" w:eastAsia="仿宋" w:cs="仿宋"/>
                <w:bCs/>
                <w:color w:val="auto"/>
                <w:sz w:val="24"/>
                <w:highlight w:val="none"/>
              </w:rPr>
            </w:pPr>
          </w:p>
        </w:tc>
      </w:tr>
    </w:tbl>
    <w:p>
      <w:pPr>
        <w:snapToGrid w:val="0"/>
        <w:spacing w:line="360" w:lineRule="auto"/>
        <w:ind w:firstLine="576"/>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ind w:firstLine="576"/>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三、符合性审查资料</w:t>
      </w:r>
    </w:p>
    <w:p>
      <w:pPr>
        <w:jc w:val="center"/>
        <w:rPr>
          <w:rFonts w:ascii="仿宋" w:hAnsi="仿宋" w:eastAsia="仿宋" w:cs="仿宋"/>
          <w:b/>
          <w:color w:val="auto"/>
          <w:kern w:val="0"/>
          <w:sz w:val="32"/>
          <w:szCs w:val="32"/>
          <w:highlight w:val="none"/>
        </w:rPr>
      </w:pPr>
    </w:p>
    <w:tbl>
      <w:tblPr>
        <w:tblStyle w:val="62"/>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4548"/>
        <w:gridCol w:w="2688"/>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550" w:type="dxa"/>
            <w:vAlign w:val="center"/>
          </w:tcPr>
          <w:p>
            <w:pPr>
              <w:snapToGrid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548" w:type="dxa"/>
            <w:vAlign w:val="center"/>
          </w:tcPr>
          <w:p>
            <w:pPr>
              <w:snapToGrid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688" w:type="dxa"/>
            <w:vAlign w:val="center"/>
          </w:tcPr>
          <w:p>
            <w:pPr>
              <w:snapToGrid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820" w:type="dxa"/>
            <w:vAlign w:val="center"/>
          </w:tcPr>
          <w:p>
            <w:pPr>
              <w:snapToGrid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pPr>
              <w:snapToGrid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5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54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68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82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见投标文件</w:t>
            </w:r>
          </w:p>
          <w:p>
            <w:pPr>
              <w:jc w:val="center"/>
              <w:rPr>
                <w:rFonts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5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454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268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节能产品认证证书（本项目拟采购的产品不属于政府强制采购的节能产品品目清单范围的，无需提供）</w:t>
            </w:r>
          </w:p>
        </w:tc>
        <w:tc>
          <w:tcPr>
            <w:tcW w:w="182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见投标文件</w:t>
            </w:r>
          </w:p>
          <w:p>
            <w:pPr>
              <w:pStyle w:val="6"/>
              <w:spacing w:line="240" w:lineRule="auto"/>
              <w:jc w:val="center"/>
              <w:rPr>
                <w:rFonts w:ascii="仿宋" w:eastAsia="仿宋" w:cs="仿宋"/>
                <w:color w:val="auto"/>
                <w:highlight w:val="none"/>
                <w:lang w:val="en-US"/>
              </w:rPr>
            </w:pPr>
            <w:r>
              <w:rPr>
                <w:rFonts w:hint="eastAsia" w:ascii="仿宋" w:eastAsia="仿宋" w:cs="仿宋"/>
                <w:b w:val="0"/>
                <w:bCs w:val="0"/>
                <w:color w:val="auto"/>
                <w:sz w:val="24"/>
                <w:szCs w:val="24"/>
                <w:highlight w:val="none"/>
                <w:lang w:val="en-US"/>
              </w:rPr>
              <w:t>第</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5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454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68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82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见投标文件</w:t>
            </w:r>
          </w:p>
          <w:p>
            <w:pPr>
              <w:jc w:val="center"/>
              <w:rPr>
                <w:rFonts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5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454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68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 系指实质性要求条款，招标文件无其它实质性要求的，无需提供）</w:t>
            </w:r>
          </w:p>
        </w:tc>
        <w:tc>
          <w:tcPr>
            <w:tcW w:w="182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见投标文件</w:t>
            </w:r>
          </w:p>
          <w:p>
            <w:pPr>
              <w:jc w:val="center"/>
              <w:rPr>
                <w:rFonts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ascii="仿宋" w:hAnsi="仿宋" w:eastAsia="仿宋" w:cs="仿宋"/>
          <w:color w:val="auto"/>
          <w:highlight w:val="none"/>
        </w:rPr>
      </w:pPr>
      <w:r>
        <w:rPr>
          <w:rFonts w:hint="eastAsia" w:ascii="仿宋" w:hAnsi="仿宋" w:eastAsia="仿宋" w:cs="仿宋"/>
          <w:b/>
          <w:color w:val="auto"/>
          <w:kern w:val="0"/>
          <w:sz w:val="32"/>
          <w:szCs w:val="32"/>
          <w:highlight w:val="none"/>
        </w:rPr>
        <w:t>四、评标标准相应的商务技术资料</w:t>
      </w:r>
    </w:p>
    <w:p>
      <w:pPr>
        <w:snapToGrid w:val="0"/>
        <w:spacing w:line="36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pStyle w:val="3"/>
        <w:rPr>
          <w:color w:val="auto"/>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ind w:firstLine="2891" w:firstLineChars="900"/>
        <w:rPr>
          <w:rFonts w:ascii="仿宋" w:hAnsi="仿宋" w:eastAsia="仿宋" w:cs="仿宋"/>
          <w:b/>
          <w:bCs/>
          <w:color w:val="auto"/>
          <w:sz w:val="32"/>
          <w:szCs w:val="32"/>
          <w:highlight w:val="none"/>
        </w:rPr>
      </w:pPr>
    </w:p>
    <w:p>
      <w:pPr>
        <w:ind w:firstLine="2891" w:firstLineChars="900"/>
        <w:rPr>
          <w:rFonts w:ascii="仿宋" w:hAnsi="仿宋" w:eastAsia="仿宋" w:cs="仿宋"/>
          <w:b/>
          <w:bCs/>
          <w:color w:val="auto"/>
          <w:sz w:val="32"/>
          <w:szCs w:val="32"/>
          <w:highlight w:val="none"/>
        </w:rPr>
      </w:pPr>
    </w:p>
    <w:p>
      <w:pPr>
        <w:ind w:firstLine="2891" w:firstLineChars="900"/>
        <w:rPr>
          <w:rFonts w:ascii="仿宋" w:hAnsi="仿宋" w:eastAsia="仿宋" w:cs="仿宋"/>
          <w:b/>
          <w:bCs/>
          <w:color w:val="auto"/>
          <w:sz w:val="32"/>
          <w:szCs w:val="32"/>
          <w:highlight w:val="none"/>
        </w:rPr>
      </w:pPr>
    </w:p>
    <w:p>
      <w:pPr>
        <w:ind w:firstLine="2891" w:firstLineChars="900"/>
        <w:rPr>
          <w:rFonts w:ascii="仿宋" w:hAnsi="仿宋" w:eastAsia="仿宋" w:cs="仿宋"/>
          <w:b/>
          <w:bCs/>
          <w:color w:val="auto"/>
          <w:sz w:val="32"/>
          <w:szCs w:val="32"/>
          <w:highlight w:val="none"/>
        </w:rPr>
      </w:pPr>
    </w:p>
    <w:p>
      <w:pPr>
        <w:ind w:firstLine="2891" w:firstLineChars="900"/>
        <w:rPr>
          <w:rFonts w:ascii="仿宋" w:hAnsi="仿宋" w:eastAsia="仿宋" w:cs="仿宋"/>
          <w:b/>
          <w:bCs/>
          <w:color w:val="auto"/>
          <w:sz w:val="32"/>
          <w:szCs w:val="32"/>
          <w:highlight w:val="none"/>
        </w:rPr>
      </w:pPr>
    </w:p>
    <w:p>
      <w:pPr>
        <w:ind w:firstLine="2891" w:firstLineChars="900"/>
        <w:rPr>
          <w:rFonts w:ascii="仿宋" w:hAnsi="仿宋" w:eastAsia="仿宋" w:cs="仿宋"/>
          <w:b/>
          <w:bCs/>
          <w:color w:val="auto"/>
          <w:sz w:val="32"/>
          <w:szCs w:val="32"/>
          <w:highlight w:val="none"/>
        </w:rPr>
      </w:pPr>
    </w:p>
    <w:p>
      <w:pPr>
        <w:ind w:firstLine="2891" w:firstLineChars="900"/>
        <w:rPr>
          <w:rFonts w:ascii="仿宋" w:hAnsi="仿宋" w:eastAsia="仿宋" w:cs="仿宋"/>
          <w:b/>
          <w:color w:val="auto"/>
          <w:kern w:val="0"/>
          <w:sz w:val="32"/>
          <w:szCs w:val="32"/>
          <w:highlight w:val="none"/>
        </w:rPr>
      </w:pPr>
    </w:p>
    <w:p>
      <w:pPr>
        <w:ind w:firstLine="2891" w:firstLineChars="900"/>
        <w:rPr>
          <w:rFonts w:ascii="仿宋" w:hAnsi="仿宋" w:eastAsia="仿宋" w:cs="仿宋"/>
          <w:b/>
          <w:color w:val="auto"/>
          <w:kern w:val="0"/>
          <w:sz w:val="32"/>
          <w:szCs w:val="32"/>
          <w:highlight w:val="none"/>
        </w:rPr>
      </w:pPr>
    </w:p>
    <w:p>
      <w:pPr>
        <w:ind w:firstLine="2891" w:firstLineChars="900"/>
        <w:rPr>
          <w:rFonts w:ascii="仿宋" w:hAnsi="仿宋" w:eastAsia="仿宋" w:cs="仿宋"/>
          <w:b/>
          <w:color w:val="auto"/>
          <w:kern w:val="0"/>
          <w:sz w:val="32"/>
          <w:szCs w:val="32"/>
          <w:highlight w:val="none"/>
        </w:rPr>
      </w:pPr>
    </w:p>
    <w:p>
      <w:pPr>
        <w:ind w:firstLine="2891" w:firstLineChars="900"/>
        <w:rPr>
          <w:rFonts w:ascii="仿宋" w:hAnsi="仿宋" w:eastAsia="仿宋" w:cs="仿宋"/>
          <w:b/>
          <w:color w:val="auto"/>
          <w:kern w:val="0"/>
          <w:sz w:val="32"/>
          <w:szCs w:val="32"/>
          <w:highlight w:val="none"/>
        </w:rPr>
      </w:pPr>
    </w:p>
    <w:p>
      <w:pPr>
        <w:ind w:firstLine="2891" w:firstLineChars="900"/>
        <w:rPr>
          <w:rFonts w:ascii="仿宋" w:hAnsi="仿宋" w:eastAsia="仿宋" w:cs="仿宋"/>
          <w:b/>
          <w:color w:val="auto"/>
          <w:kern w:val="0"/>
          <w:sz w:val="32"/>
          <w:szCs w:val="32"/>
          <w:highlight w:val="none"/>
        </w:rPr>
      </w:pPr>
    </w:p>
    <w:p>
      <w:pPr>
        <w:ind w:firstLine="2891" w:firstLineChars="900"/>
        <w:rPr>
          <w:rFonts w:ascii="仿宋" w:hAnsi="仿宋" w:eastAsia="仿宋" w:cs="仿宋"/>
          <w:b/>
          <w:color w:val="auto"/>
          <w:kern w:val="0"/>
          <w:sz w:val="32"/>
          <w:szCs w:val="32"/>
          <w:highlight w:val="none"/>
        </w:rPr>
      </w:pPr>
    </w:p>
    <w:p>
      <w:pPr>
        <w:ind w:firstLine="2891" w:firstLineChars="900"/>
        <w:rPr>
          <w:rFonts w:ascii="仿宋" w:hAnsi="仿宋" w:eastAsia="仿宋" w:cs="仿宋"/>
          <w:b/>
          <w:color w:val="auto"/>
          <w:kern w:val="0"/>
          <w:sz w:val="32"/>
          <w:szCs w:val="32"/>
          <w:highlight w:val="none"/>
        </w:rPr>
      </w:pPr>
    </w:p>
    <w:p>
      <w:pPr>
        <w:pStyle w:val="3"/>
        <w:rPr>
          <w:color w:val="auto"/>
          <w:highlight w:val="none"/>
        </w:rPr>
      </w:pPr>
    </w:p>
    <w:p>
      <w:pPr>
        <w:ind w:firstLine="2891" w:firstLineChars="900"/>
        <w:rPr>
          <w:rFonts w:ascii="仿宋" w:hAnsi="仿宋" w:eastAsia="仿宋" w:cs="仿宋"/>
          <w:b/>
          <w:color w:val="auto"/>
          <w:kern w:val="0"/>
          <w:sz w:val="32"/>
          <w:szCs w:val="32"/>
          <w:highlight w:val="none"/>
        </w:rPr>
      </w:pPr>
    </w:p>
    <w:p>
      <w:pPr>
        <w:ind w:firstLine="1911" w:firstLineChars="595"/>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建德市人民政府洋溪街道办事处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杭州欣兴建设工程招标代理有限公司</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bCs/>
          <w:color w:val="auto"/>
          <w:sz w:val="24"/>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pStyle w:val="690"/>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建德市人民政府洋溪街道办事处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杭州欣兴建设工程招标代理有限公司</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洋安未来社区创意装饰、导视牌、景观小品制作等采购项目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JD2022BF- 】的实施</w:t>
      </w: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18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64"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187"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规格型号（或具体服务）</w:t>
            </w:r>
          </w:p>
        </w:tc>
        <w:tc>
          <w:tcPr>
            <w:tcW w:w="993"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总价</w:t>
            </w:r>
          </w:p>
        </w:tc>
        <w:tc>
          <w:tcPr>
            <w:tcW w:w="3119"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64"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187" w:type="dxa"/>
            <w:vAlign w:val="center"/>
          </w:tcPr>
          <w:p>
            <w:pPr>
              <w:snapToGrid w:val="0"/>
              <w:spacing w:line="240" w:lineRule="auto"/>
              <w:jc w:val="center"/>
              <w:rPr>
                <w:rFonts w:ascii="仿宋" w:hAnsi="仿宋" w:eastAsia="仿宋" w:cs="仿宋"/>
                <w:color w:val="auto"/>
                <w:sz w:val="24"/>
                <w:highlight w:val="none"/>
              </w:rPr>
            </w:pPr>
          </w:p>
        </w:tc>
        <w:tc>
          <w:tcPr>
            <w:tcW w:w="1843" w:type="dxa"/>
            <w:vAlign w:val="center"/>
          </w:tcPr>
          <w:p>
            <w:pPr>
              <w:snapToGrid w:val="0"/>
              <w:spacing w:line="240" w:lineRule="auto"/>
              <w:jc w:val="center"/>
              <w:rPr>
                <w:rFonts w:ascii="仿宋" w:hAnsi="仿宋" w:eastAsia="仿宋" w:cs="仿宋"/>
                <w:color w:val="auto"/>
                <w:sz w:val="24"/>
                <w:highlight w:val="none"/>
              </w:rPr>
            </w:pPr>
          </w:p>
        </w:tc>
        <w:tc>
          <w:tcPr>
            <w:tcW w:w="3118" w:type="dxa"/>
            <w:vAlign w:val="center"/>
          </w:tcPr>
          <w:p>
            <w:pPr>
              <w:snapToGrid w:val="0"/>
              <w:spacing w:line="240" w:lineRule="auto"/>
              <w:jc w:val="center"/>
              <w:rPr>
                <w:rFonts w:ascii="仿宋" w:hAnsi="仿宋" w:eastAsia="仿宋" w:cs="仿宋"/>
                <w:color w:val="auto"/>
                <w:sz w:val="24"/>
                <w:highlight w:val="none"/>
              </w:rPr>
            </w:pPr>
          </w:p>
        </w:tc>
        <w:tc>
          <w:tcPr>
            <w:tcW w:w="993" w:type="dxa"/>
            <w:vAlign w:val="center"/>
          </w:tcPr>
          <w:p>
            <w:pPr>
              <w:snapToGrid w:val="0"/>
              <w:spacing w:line="240" w:lineRule="auto"/>
              <w:jc w:val="center"/>
              <w:rPr>
                <w:rFonts w:ascii="仿宋" w:hAnsi="仿宋" w:eastAsia="仿宋" w:cs="仿宋"/>
                <w:color w:val="auto"/>
                <w:sz w:val="24"/>
                <w:highlight w:val="none"/>
              </w:rPr>
            </w:pPr>
          </w:p>
        </w:tc>
        <w:tc>
          <w:tcPr>
            <w:tcW w:w="1559" w:type="dxa"/>
            <w:vAlign w:val="center"/>
          </w:tcPr>
          <w:p>
            <w:pPr>
              <w:spacing w:line="240" w:lineRule="auto"/>
              <w:jc w:val="center"/>
              <w:rPr>
                <w:rFonts w:ascii="仿宋" w:hAnsi="仿宋" w:eastAsia="仿宋" w:cs="仿宋"/>
                <w:color w:val="auto"/>
                <w:sz w:val="24"/>
                <w:highlight w:val="none"/>
              </w:rPr>
            </w:pPr>
          </w:p>
        </w:tc>
        <w:tc>
          <w:tcPr>
            <w:tcW w:w="1984" w:type="dxa"/>
            <w:vAlign w:val="center"/>
          </w:tcPr>
          <w:p>
            <w:pPr>
              <w:spacing w:line="240" w:lineRule="auto"/>
              <w:jc w:val="center"/>
              <w:rPr>
                <w:rFonts w:ascii="仿宋" w:hAnsi="仿宋" w:eastAsia="仿宋" w:cs="仿宋"/>
                <w:color w:val="auto"/>
                <w:sz w:val="24"/>
                <w:highlight w:val="none"/>
              </w:rPr>
            </w:pPr>
          </w:p>
        </w:tc>
        <w:tc>
          <w:tcPr>
            <w:tcW w:w="3119" w:type="dxa"/>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4"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187" w:type="dxa"/>
            <w:vAlign w:val="center"/>
          </w:tcPr>
          <w:p>
            <w:pPr>
              <w:snapToGrid w:val="0"/>
              <w:spacing w:line="240" w:lineRule="auto"/>
              <w:jc w:val="center"/>
              <w:rPr>
                <w:rFonts w:ascii="仿宋" w:hAnsi="仿宋" w:eastAsia="仿宋" w:cs="仿宋"/>
                <w:color w:val="auto"/>
                <w:sz w:val="24"/>
                <w:highlight w:val="none"/>
              </w:rPr>
            </w:pPr>
          </w:p>
        </w:tc>
        <w:tc>
          <w:tcPr>
            <w:tcW w:w="1843" w:type="dxa"/>
            <w:vAlign w:val="center"/>
          </w:tcPr>
          <w:p>
            <w:pPr>
              <w:snapToGrid w:val="0"/>
              <w:spacing w:line="240" w:lineRule="auto"/>
              <w:jc w:val="center"/>
              <w:rPr>
                <w:rFonts w:ascii="仿宋" w:hAnsi="仿宋" w:eastAsia="仿宋" w:cs="仿宋"/>
                <w:color w:val="auto"/>
                <w:sz w:val="24"/>
                <w:highlight w:val="none"/>
              </w:rPr>
            </w:pPr>
          </w:p>
        </w:tc>
        <w:tc>
          <w:tcPr>
            <w:tcW w:w="3118" w:type="dxa"/>
            <w:vAlign w:val="center"/>
          </w:tcPr>
          <w:p>
            <w:pPr>
              <w:snapToGrid w:val="0"/>
              <w:spacing w:line="240" w:lineRule="auto"/>
              <w:jc w:val="center"/>
              <w:rPr>
                <w:rFonts w:ascii="仿宋" w:hAnsi="仿宋" w:eastAsia="仿宋" w:cs="仿宋"/>
                <w:color w:val="auto"/>
                <w:sz w:val="24"/>
                <w:highlight w:val="none"/>
              </w:rPr>
            </w:pPr>
          </w:p>
        </w:tc>
        <w:tc>
          <w:tcPr>
            <w:tcW w:w="993" w:type="dxa"/>
            <w:vAlign w:val="center"/>
          </w:tcPr>
          <w:p>
            <w:pPr>
              <w:snapToGrid w:val="0"/>
              <w:spacing w:line="240" w:lineRule="auto"/>
              <w:jc w:val="center"/>
              <w:rPr>
                <w:rFonts w:ascii="仿宋" w:hAnsi="仿宋" w:eastAsia="仿宋" w:cs="仿宋"/>
                <w:color w:val="auto"/>
                <w:sz w:val="24"/>
                <w:highlight w:val="none"/>
              </w:rPr>
            </w:pPr>
          </w:p>
        </w:tc>
        <w:tc>
          <w:tcPr>
            <w:tcW w:w="1559" w:type="dxa"/>
            <w:vAlign w:val="center"/>
          </w:tcPr>
          <w:p>
            <w:pPr>
              <w:spacing w:line="240" w:lineRule="auto"/>
              <w:jc w:val="center"/>
              <w:rPr>
                <w:rFonts w:ascii="仿宋" w:hAnsi="仿宋" w:eastAsia="仿宋" w:cs="仿宋"/>
                <w:color w:val="auto"/>
                <w:sz w:val="24"/>
                <w:highlight w:val="none"/>
              </w:rPr>
            </w:pPr>
          </w:p>
        </w:tc>
        <w:tc>
          <w:tcPr>
            <w:tcW w:w="1984" w:type="dxa"/>
            <w:vAlign w:val="center"/>
          </w:tcPr>
          <w:p>
            <w:pPr>
              <w:spacing w:line="240" w:lineRule="auto"/>
              <w:jc w:val="center"/>
              <w:rPr>
                <w:rFonts w:ascii="仿宋" w:hAnsi="仿宋" w:eastAsia="仿宋" w:cs="仿宋"/>
                <w:color w:val="auto"/>
                <w:sz w:val="24"/>
                <w:highlight w:val="none"/>
              </w:rPr>
            </w:pPr>
          </w:p>
        </w:tc>
        <w:tc>
          <w:tcPr>
            <w:tcW w:w="3119" w:type="dxa"/>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4"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187" w:type="dxa"/>
            <w:vAlign w:val="center"/>
          </w:tcPr>
          <w:p>
            <w:pPr>
              <w:snapToGrid w:val="0"/>
              <w:spacing w:line="240" w:lineRule="auto"/>
              <w:jc w:val="center"/>
              <w:rPr>
                <w:rFonts w:ascii="仿宋" w:hAnsi="仿宋" w:eastAsia="仿宋" w:cs="仿宋"/>
                <w:color w:val="auto"/>
                <w:sz w:val="24"/>
                <w:highlight w:val="none"/>
              </w:rPr>
            </w:pPr>
          </w:p>
        </w:tc>
        <w:tc>
          <w:tcPr>
            <w:tcW w:w="1843" w:type="dxa"/>
            <w:vAlign w:val="center"/>
          </w:tcPr>
          <w:p>
            <w:pPr>
              <w:snapToGrid w:val="0"/>
              <w:spacing w:line="240" w:lineRule="auto"/>
              <w:jc w:val="center"/>
              <w:rPr>
                <w:rFonts w:ascii="仿宋" w:hAnsi="仿宋" w:eastAsia="仿宋" w:cs="仿宋"/>
                <w:color w:val="auto"/>
                <w:sz w:val="24"/>
                <w:highlight w:val="none"/>
              </w:rPr>
            </w:pPr>
          </w:p>
        </w:tc>
        <w:tc>
          <w:tcPr>
            <w:tcW w:w="3118" w:type="dxa"/>
            <w:vAlign w:val="center"/>
          </w:tcPr>
          <w:p>
            <w:pPr>
              <w:snapToGrid w:val="0"/>
              <w:spacing w:line="240" w:lineRule="auto"/>
              <w:jc w:val="center"/>
              <w:rPr>
                <w:rFonts w:ascii="仿宋" w:hAnsi="仿宋" w:eastAsia="仿宋" w:cs="仿宋"/>
                <w:color w:val="auto"/>
                <w:sz w:val="24"/>
                <w:highlight w:val="none"/>
              </w:rPr>
            </w:pPr>
          </w:p>
        </w:tc>
        <w:tc>
          <w:tcPr>
            <w:tcW w:w="993" w:type="dxa"/>
            <w:vAlign w:val="center"/>
          </w:tcPr>
          <w:p>
            <w:pPr>
              <w:snapToGrid w:val="0"/>
              <w:spacing w:line="240" w:lineRule="auto"/>
              <w:jc w:val="center"/>
              <w:rPr>
                <w:rFonts w:ascii="仿宋" w:hAnsi="仿宋" w:eastAsia="仿宋" w:cs="仿宋"/>
                <w:color w:val="auto"/>
                <w:sz w:val="24"/>
                <w:highlight w:val="none"/>
              </w:rPr>
            </w:pPr>
          </w:p>
        </w:tc>
        <w:tc>
          <w:tcPr>
            <w:tcW w:w="1559" w:type="dxa"/>
            <w:vAlign w:val="center"/>
          </w:tcPr>
          <w:p>
            <w:pPr>
              <w:spacing w:line="240" w:lineRule="auto"/>
              <w:jc w:val="center"/>
              <w:rPr>
                <w:rFonts w:ascii="仿宋" w:hAnsi="仿宋" w:eastAsia="仿宋" w:cs="仿宋"/>
                <w:color w:val="auto"/>
                <w:sz w:val="24"/>
                <w:highlight w:val="none"/>
              </w:rPr>
            </w:pPr>
          </w:p>
        </w:tc>
        <w:tc>
          <w:tcPr>
            <w:tcW w:w="1984" w:type="dxa"/>
            <w:vAlign w:val="center"/>
          </w:tcPr>
          <w:p>
            <w:pPr>
              <w:spacing w:line="240" w:lineRule="auto"/>
              <w:jc w:val="center"/>
              <w:rPr>
                <w:rFonts w:ascii="仿宋" w:hAnsi="仿宋" w:eastAsia="仿宋" w:cs="仿宋"/>
                <w:color w:val="auto"/>
                <w:sz w:val="24"/>
                <w:highlight w:val="none"/>
              </w:rPr>
            </w:pPr>
          </w:p>
        </w:tc>
        <w:tc>
          <w:tcPr>
            <w:tcW w:w="3119" w:type="dxa"/>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4" w:type="dxa"/>
            <w:vAlign w:val="center"/>
          </w:tcPr>
          <w:p>
            <w:pPr>
              <w:spacing w:line="240" w:lineRule="auto"/>
              <w:jc w:val="center"/>
              <w:rPr>
                <w:rFonts w:ascii="仿宋" w:hAnsi="仿宋" w:eastAsia="仿宋" w:cs="仿宋"/>
                <w:color w:val="auto"/>
                <w:sz w:val="24"/>
                <w:highlight w:val="none"/>
              </w:rPr>
            </w:pPr>
          </w:p>
        </w:tc>
        <w:tc>
          <w:tcPr>
            <w:tcW w:w="1187" w:type="dxa"/>
            <w:vAlign w:val="center"/>
          </w:tcPr>
          <w:p>
            <w:pPr>
              <w:snapToGrid w:val="0"/>
              <w:spacing w:line="240" w:lineRule="auto"/>
              <w:jc w:val="center"/>
              <w:rPr>
                <w:rFonts w:ascii="仿宋" w:hAnsi="仿宋" w:eastAsia="仿宋" w:cs="仿宋"/>
                <w:color w:val="auto"/>
                <w:sz w:val="24"/>
                <w:highlight w:val="none"/>
              </w:rPr>
            </w:pPr>
          </w:p>
        </w:tc>
        <w:tc>
          <w:tcPr>
            <w:tcW w:w="1843" w:type="dxa"/>
            <w:vAlign w:val="center"/>
          </w:tcPr>
          <w:p>
            <w:pPr>
              <w:snapToGrid w:val="0"/>
              <w:spacing w:line="240" w:lineRule="auto"/>
              <w:jc w:val="center"/>
              <w:rPr>
                <w:rFonts w:ascii="仿宋" w:hAnsi="仿宋" w:eastAsia="仿宋" w:cs="仿宋"/>
                <w:color w:val="auto"/>
                <w:sz w:val="24"/>
                <w:highlight w:val="none"/>
              </w:rPr>
            </w:pPr>
          </w:p>
        </w:tc>
        <w:tc>
          <w:tcPr>
            <w:tcW w:w="3118" w:type="dxa"/>
            <w:vAlign w:val="center"/>
          </w:tcPr>
          <w:p>
            <w:pPr>
              <w:snapToGrid w:val="0"/>
              <w:spacing w:line="240" w:lineRule="auto"/>
              <w:jc w:val="center"/>
              <w:rPr>
                <w:rFonts w:ascii="仿宋" w:hAnsi="仿宋" w:eastAsia="仿宋" w:cs="仿宋"/>
                <w:color w:val="auto"/>
                <w:sz w:val="24"/>
                <w:highlight w:val="none"/>
              </w:rPr>
            </w:pPr>
          </w:p>
        </w:tc>
        <w:tc>
          <w:tcPr>
            <w:tcW w:w="993" w:type="dxa"/>
            <w:vAlign w:val="center"/>
          </w:tcPr>
          <w:p>
            <w:pPr>
              <w:snapToGrid w:val="0"/>
              <w:spacing w:line="240" w:lineRule="auto"/>
              <w:jc w:val="center"/>
              <w:rPr>
                <w:rFonts w:ascii="仿宋" w:hAnsi="仿宋" w:eastAsia="仿宋" w:cs="仿宋"/>
                <w:color w:val="auto"/>
                <w:sz w:val="24"/>
                <w:highlight w:val="none"/>
              </w:rPr>
            </w:pPr>
          </w:p>
        </w:tc>
        <w:tc>
          <w:tcPr>
            <w:tcW w:w="1559" w:type="dxa"/>
            <w:vAlign w:val="center"/>
          </w:tcPr>
          <w:p>
            <w:pPr>
              <w:spacing w:line="240" w:lineRule="auto"/>
              <w:jc w:val="center"/>
              <w:rPr>
                <w:rFonts w:ascii="仿宋" w:hAnsi="仿宋" w:eastAsia="仿宋" w:cs="仿宋"/>
                <w:color w:val="auto"/>
                <w:sz w:val="24"/>
                <w:highlight w:val="none"/>
              </w:rPr>
            </w:pPr>
          </w:p>
        </w:tc>
        <w:tc>
          <w:tcPr>
            <w:tcW w:w="1984" w:type="dxa"/>
            <w:vAlign w:val="center"/>
          </w:tcPr>
          <w:p>
            <w:pPr>
              <w:spacing w:line="240" w:lineRule="auto"/>
              <w:jc w:val="center"/>
              <w:rPr>
                <w:rFonts w:ascii="仿宋" w:hAnsi="仿宋" w:eastAsia="仿宋" w:cs="仿宋"/>
                <w:color w:val="auto"/>
                <w:sz w:val="24"/>
                <w:highlight w:val="none"/>
              </w:rPr>
            </w:pPr>
          </w:p>
        </w:tc>
        <w:tc>
          <w:tcPr>
            <w:tcW w:w="3119" w:type="dxa"/>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4" w:type="dxa"/>
            <w:vAlign w:val="center"/>
          </w:tcPr>
          <w:p>
            <w:pPr>
              <w:spacing w:line="240" w:lineRule="auto"/>
              <w:jc w:val="center"/>
              <w:rPr>
                <w:rFonts w:ascii="仿宋" w:hAnsi="仿宋" w:eastAsia="仿宋" w:cs="仿宋"/>
                <w:color w:val="auto"/>
                <w:sz w:val="24"/>
                <w:highlight w:val="none"/>
              </w:rPr>
            </w:pPr>
          </w:p>
        </w:tc>
        <w:tc>
          <w:tcPr>
            <w:tcW w:w="1187" w:type="dxa"/>
            <w:vAlign w:val="center"/>
          </w:tcPr>
          <w:p>
            <w:pPr>
              <w:snapToGrid w:val="0"/>
              <w:spacing w:line="240" w:lineRule="auto"/>
              <w:jc w:val="center"/>
              <w:rPr>
                <w:rFonts w:ascii="仿宋" w:hAnsi="仿宋" w:eastAsia="仿宋" w:cs="仿宋"/>
                <w:color w:val="auto"/>
                <w:sz w:val="24"/>
                <w:highlight w:val="none"/>
              </w:rPr>
            </w:pPr>
          </w:p>
        </w:tc>
        <w:tc>
          <w:tcPr>
            <w:tcW w:w="1843" w:type="dxa"/>
            <w:vAlign w:val="center"/>
          </w:tcPr>
          <w:p>
            <w:pPr>
              <w:snapToGrid w:val="0"/>
              <w:spacing w:line="240" w:lineRule="auto"/>
              <w:jc w:val="center"/>
              <w:rPr>
                <w:rFonts w:ascii="仿宋" w:hAnsi="仿宋" w:eastAsia="仿宋" w:cs="仿宋"/>
                <w:color w:val="auto"/>
                <w:sz w:val="24"/>
                <w:highlight w:val="none"/>
              </w:rPr>
            </w:pPr>
          </w:p>
        </w:tc>
        <w:tc>
          <w:tcPr>
            <w:tcW w:w="3118" w:type="dxa"/>
            <w:vAlign w:val="center"/>
          </w:tcPr>
          <w:p>
            <w:pPr>
              <w:snapToGrid w:val="0"/>
              <w:spacing w:line="240" w:lineRule="auto"/>
              <w:jc w:val="center"/>
              <w:rPr>
                <w:rFonts w:ascii="仿宋" w:hAnsi="仿宋" w:eastAsia="仿宋" w:cs="仿宋"/>
                <w:color w:val="auto"/>
                <w:sz w:val="24"/>
                <w:highlight w:val="none"/>
              </w:rPr>
            </w:pPr>
          </w:p>
        </w:tc>
        <w:tc>
          <w:tcPr>
            <w:tcW w:w="993" w:type="dxa"/>
            <w:vAlign w:val="center"/>
          </w:tcPr>
          <w:p>
            <w:pPr>
              <w:snapToGrid w:val="0"/>
              <w:spacing w:line="240" w:lineRule="auto"/>
              <w:jc w:val="center"/>
              <w:rPr>
                <w:rFonts w:ascii="仿宋" w:hAnsi="仿宋" w:eastAsia="仿宋" w:cs="仿宋"/>
                <w:color w:val="auto"/>
                <w:sz w:val="24"/>
                <w:highlight w:val="none"/>
              </w:rPr>
            </w:pPr>
          </w:p>
        </w:tc>
        <w:tc>
          <w:tcPr>
            <w:tcW w:w="1559" w:type="dxa"/>
            <w:vAlign w:val="center"/>
          </w:tcPr>
          <w:p>
            <w:pPr>
              <w:spacing w:line="240" w:lineRule="auto"/>
              <w:jc w:val="center"/>
              <w:rPr>
                <w:rFonts w:ascii="仿宋" w:hAnsi="仿宋" w:eastAsia="仿宋" w:cs="仿宋"/>
                <w:color w:val="auto"/>
                <w:sz w:val="24"/>
                <w:highlight w:val="none"/>
              </w:rPr>
            </w:pPr>
          </w:p>
        </w:tc>
        <w:tc>
          <w:tcPr>
            <w:tcW w:w="1984" w:type="dxa"/>
            <w:vAlign w:val="center"/>
          </w:tcPr>
          <w:p>
            <w:pPr>
              <w:spacing w:line="240" w:lineRule="auto"/>
              <w:jc w:val="center"/>
              <w:rPr>
                <w:rFonts w:ascii="仿宋" w:hAnsi="仿宋" w:eastAsia="仿宋" w:cs="仿宋"/>
                <w:color w:val="auto"/>
                <w:sz w:val="24"/>
                <w:highlight w:val="none"/>
              </w:rPr>
            </w:pPr>
          </w:p>
        </w:tc>
        <w:tc>
          <w:tcPr>
            <w:tcW w:w="3119" w:type="dxa"/>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912" w:type="dxa"/>
            <w:gridSpan w:val="4"/>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912" w:type="dxa"/>
            <w:gridSpan w:val="4"/>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spacing w:line="240" w:lineRule="auto"/>
              <w:jc w:val="center"/>
              <w:rPr>
                <w:rFonts w:ascii="仿宋" w:hAnsi="仿宋" w:eastAsia="仿宋" w:cs="仿宋"/>
                <w:color w:val="auto"/>
                <w:sz w:val="24"/>
                <w:highlight w:val="none"/>
              </w:rPr>
            </w:pPr>
          </w:p>
        </w:tc>
      </w:tr>
    </w:tbl>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1、投标人需按本表格式填写，不得自行更改。</w:t>
      </w:r>
    </w:p>
    <w:p>
      <w:pPr>
        <w:spacing w:line="36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投标文件含有采购人不能接受的附加条件的，投标无效</w:t>
      </w:r>
      <w:r>
        <w:rPr>
          <w:rFonts w:hint="eastAsia" w:ascii="仿宋" w:hAnsi="仿宋" w:eastAsia="仿宋" w:cs="仿宋"/>
          <w:b/>
          <w:color w:val="auto"/>
          <w:kern w:val="0"/>
          <w:sz w:val="24"/>
          <w:highlight w:val="none"/>
          <w:lang w:val="zh-CN"/>
        </w:rPr>
        <w:t>。</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5、</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690"/>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0"/>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tabs>
          <w:tab w:val="left" w:pos="8085"/>
        </w:tabs>
        <w:spacing w:line="360" w:lineRule="auto"/>
        <w:ind w:firstLine="1285" w:firstLineChars="400"/>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政府采购支持中小企业信用融资相关事项通知</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为贯彻落实中央、省、市关于支持民营经济健康发展有关精神，发挥政府采购在促进中小企业发展中的政策引导作用，缓解中小企业融资难、融资贵问题，建德市财政局、浙江银监局建德监管办事处、建德市人民政府金融工作办公室、建德市经济和信息化局制定《建德市政府采购支持中小企业信用融资实施细则》。相关事项通知如下：</w:t>
      </w:r>
    </w:p>
    <w:p>
      <w:pPr>
        <w:widowControl/>
        <w:spacing w:line="440" w:lineRule="exact"/>
        <w:ind w:firstLine="482"/>
        <w:rPr>
          <w:rFonts w:ascii="仿宋" w:hAnsi="仿宋" w:eastAsia="仿宋" w:cs="仿宋"/>
          <w:color w:val="auto"/>
          <w:szCs w:val="21"/>
          <w:highlight w:val="none"/>
        </w:rPr>
      </w:pPr>
      <w:r>
        <w:rPr>
          <w:rFonts w:hint="eastAsia" w:ascii="仿宋" w:hAnsi="仿宋" w:eastAsia="仿宋" w:cs="仿宋"/>
          <w:b/>
          <w:bCs/>
          <w:color w:val="auto"/>
          <w:kern w:val="0"/>
          <w:sz w:val="24"/>
          <w:highlight w:val="none"/>
          <w:lang w:bidi="ar"/>
        </w:rPr>
        <w:t>一、适用对象</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凡已在浙江政府采购网上注册入库，并取得建德市政府采购合同的中小企业供应商（以下简称“供应商”），均可申请政府采购信用融资。</w:t>
      </w:r>
    </w:p>
    <w:p>
      <w:pPr>
        <w:widowControl/>
        <w:spacing w:line="440" w:lineRule="exact"/>
        <w:ind w:firstLine="482"/>
        <w:rPr>
          <w:rFonts w:ascii="仿宋" w:hAnsi="仿宋" w:eastAsia="仿宋" w:cs="仿宋"/>
          <w:color w:val="auto"/>
          <w:szCs w:val="21"/>
          <w:highlight w:val="none"/>
        </w:rPr>
      </w:pPr>
      <w:r>
        <w:rPr>
          <w:rFonts w:hint="eastAsia" w:ascii="仿宋" w:hAnsi="仿宋" w:eastAsia="仿宋" w:cs="仿宋"/>
          <w:b/>
          <w:bCs/>
          <w:color w:val="auto"/>
          <w:kern w:val="0"/>
          <w:sz w:val="24"/>
          <w:highlight w:val="none"/>
          <w:lang w:bidi="ar"/>
        </w:rPr>
        <w:t>二、政府采购信用融资操作流程：</w:t>
      </w:r>
    </w:p>
    <w:p>
      <w:pPr>
        <w:widowControl/>
        <w:spacing w:line="440" w:lineRule="exact"/>
        <w:ind w:firstLine="96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（一）线上融资模式（政采云）：</w:t>
      </w:r>
    </w:p>
    <w:p>
      <w:pPr>
        <w:widowControl/>
        <w:spacing w:line="440" w:lineRule="exact"/>
        <w:ind w:firstLine="96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操作路劲：登录政采云平台—金融服务中心—融资贷款。</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　　1.供应商根据合作银行提供的方案，自行选择金融产品，并办理开户等手续；</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　　2.采购合同签订后，供应商在“政采云”平台向合作银行发出融资申请。</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　　3.审批通过后，办理放贷手续。</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　　（二）线下融资模式：</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　　1.供应商根据合作银行提供的方案，自行选择金融产品，向合作银行提出信用资格预审，并办理开户等手续；</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　　2.采购合同签订后，供应商向合作银行发出融资申请；</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　　3.合作银行受理申请后，供应商提供审批材料。合作银行应对申请信用融资的供应商及备案的政府采购合同信息进行核对和审查；</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　　4.审批通过后，合作银行应按照合作备忘录中约定的审批放款期限和优惠利率及时予以放款。</w:t>
      </w:r>
    </w:p>
    <w:p>
      <w:pPr>
        <w:pStyle w:val="6"/>
        <w:keepNext w:val="0"/>
        <w:keepLines w:val="0"/>
        <w:widowControl/>
        <w:spacing w:line="440" w:lineRule="exact"/>
        <w:ind w:firstLine="960"/>
        <w:rPr>
          <w:rFonts w:ascii="仿宋" w:eastAsia="仿宋" w:cs="仿宋"/>
          <w:color w:val="auto"/>
          <w:highlight w:val="none"/>
        </w:rPr>
      </w:pPr>
      <w:r>
        <w:rPr>
          <w:rFonts w:hint="eastAsia" w:ascii="仿宋" w:eastAsia="仿宋" w:cs="仿宋"/>
          <w:b w:val="0"/>
          <w:bCs w:val="0"/>
          <w:color w:val="auto"/>
          <w:sz w:val="24"/>
          <w:szCs w:val="24"/>
          <w:highlight w:val="none"/>
        </w:rPr>
        <w:t>（三）杭州e融平台申请融资</w:t>
      </w:r>
    </w:p>
    <w:p>
      <w:pPr>
        <w:pStyle w:val="6"/>
        <w:keepNext w:val="0"/>
        <w:keepLines w:val="0"/>
        <w:widowControl/>
        <w:spacing w:line="440" w:lineRule="exact"/>
        <w:ind w:firstLine="960"/>
        <w:rPr>
          <w:rFonts w:ascii="仿宋" w:eastAsia="仿宋" w:cs="仿宋"/>
          <w:color w:val="auto"/>
          <w:highlight w:val="none"/>
        </w:rPr>
      </w:pPr>
      <w:r>
        <w:rPr>
          <w:rFonts w:hint="eastAsia" w:ascii="仿宋" w:eastAsia="仿宋" w:cs="仿宋"/>
          <w:b w:val="0"/>
          <w:bCs w:val="0"/>
          <w:color w:val="auto"/>
          <w:sz w:val="24"/>
          <w:szCs w:val="24"/>
          <w:highlight w:val="none"/>
        </w:rPr>
        <w:t>供应商通过杭州e融平台政采贷专区，自行选择金融产品，按规定手续办理贷款流程。</w:t>
      </w:r>
    </w:p>
    <w:p>
      <w:pPr>
        <w:widowControl/>
        <w:spacing w:line="440" w:lineRule="exact"/>
        <w:ind w:firstLine="482"/>
        <w:rPr>
          <w:rFonts w:ascii="仿宋" w:hAnsi="仿宋" w:eastAsia="仿宋" w:cs="仿宋"/>
          <w:color w:val="auto"/>
          <w:szCs w:val="21"/>
          <w:highlight w:val="none"/>
        </w:rPr>
      </w:pPr>
      <w:r>
        <w:rPr>
          <w:rFonts w:hint="eastAsia" w:ascii="仿宋" w:hAnsi="仿宋" w:eastAsia="仿宋" w:cs="仿宋"/>
          <w:b/>
          <w:bCs/>
          <w:color w:val="auto"/>
          <w:kern w:val="0"/>
          <w:sz w:val="24"/>
          <w:highlight w:val="none"/>
          <w:lang w:bidi="ar"/>
        </w:rPr>
        <w:t>三、注意事项</w:t>
      </w:r>
    </w:p>
    <w:p>
      <w:pPr>
        <w:widowControl/>
        <w:spacing w:line="440" w:lineRule="exact"/>
        <w:ind w:firstLine="480"/>
        <w:rPr>
          <w:rFonts w:ascii="仿宋" w:hAnsi="仿宋" w:eastAsia="仿宋" w:cs="仿宋"/>
          <w:color w:val="auto"/>
          <w:szCs w:val="21"/>
          <w:highlight w:val="none"/>
        </w:rPr>
      </w:pPr>
      <w:r>
        <w:rPr>
          <w:rFonts w:hint="eastAsia" w:ascii="仿宋" w:hAnsi="仿宋" w:eastAsia="仿宋" w:cs="仿宋"/>
          <w:color w:val="auto"/>
          <w:kern w:val="0"/>
          <w:sz w:val="24"/>
          <w:highlight w:val="none"/>
          <w:lang w:bidi="ar"/>
        </w:rPr>
        <w:t>1、对拟用于信用融资的政府采购合同，供应商在签订合同时应当在合同中注明融资银行名称及账号，作为在该银行的唯一收款账号。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2、供应商弄虚作假或以伪造政府采购合同等方式违规获取政府采购信用融资，或不及时还款，或出现其他违反规定情形的，按融资合同约定承担违约责任；涉嫌犯罪的，移送司法机关处理。</w:t>
      </w:r>
    </w:p>
    <w:p>
      <w:pPr>
        <w:spacing w:line="360" w:lineRule="auto"/>
        <w:ind w:left="5060" w:hanging="5060" w:hangingChars="2100"/>
        <w:rPr>
          <w:rFonts w:ascii="仿宋" w:hAnsi="仿宋" w:eastAsia="仿宋" w:cs="仿宋"/>
          <w:b/>
          <w:bCs/>
          <w:color w:val="auto"/>
          <w:kern w:val="0"/>
          <w:sz w:val="24"/>
          <w:highlight w:val="none"/>
        </w:rPr>
      </w:pPr>
    </w:p>
    <w:p>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550" w:name="_Toc465665161"/>
      <w:r>
        <w:rPr>
          <w:rFonts w:hint="eastAsia" w:ascii="仿宋" w:hAnsi="仿宋" w:eastAsia="仿宋" w:cs="仿宋"/>
          <w:color w:val="auto"/>
          <w:highlight w:val="none"/>
        </w:rPr>
        <w:t>附件</w:t>
      </w:r>
      <w:bookmarkEnd w:id="550"/>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pPr>
        <w:spacing w:line="360" w:lineRule="auto"/>
        <w:jc w:val="center"/>
        <w:rPr>
          <w:rFonts w:ascii="仿宋" w:hAnsi="仿宋" w:eastAsia="仿宋" w:cs="仿宋"/>
          <w:b/>
          <w:color w:val="auto"/>
          <w:spacing w:val="6"/>
          <w:sz w:val="32"/>
          <w:szCs w:val="32"/>
          <w:highlight w:val="none"/>
        </w:rPr>
      </w:pPr>
      <w:bookmarkStart w:id="551" w:name="OLE_LINK14"/>
      <w:bookmarkStart w:id="552" w:name="OLE_LINK13"/>
      <w:r>
        <w:rPr>
          <w:rFonts w:hint="eastAsia" w:ascii="仿宋" w:hAnsi="仿宋" w:eastAsia="仿宋" w:cs="仿宋"/>
          <w:b/>
          <w:color w:val="auto"/>
          <w:spacing w:val="6"/>
          <w:sz w:val="32"/>
          <w:szCs w:val="32"/>
          <w:highlight w:val="none"/>
        </w:rPr>
        <w:t>残疾人福利性单位声明函</w:t>
      </w:r>
    </w:p>
    <w:bookmarkEnd w:id="551"/>
    <w:bookmarkEnd w:id="552"/>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spacing w:line="360" w:lineRule="auto"/>
        <w:ind w:firstLine="480" w:firstLineChars="200"/>
        <w:rPr>
          <w:rFonts w:ascii="仿宋" w:hAnsi="仿宋" w:eastAsia="仿宋" w:cs="仿宋"/>
          <w:color w:val="auto"/>
          <w:sz w:val="24"/>
          <w:highlight w:val="none"/>
        </w:rPr>
      </w:pPr>
    </w:p>
    <w:p>
      <w:pPr>
        <w:spacing w:line="360" w:lineRule="auto"/>
        <w:ind w:firstLine="420" w:firstLineChars="200"/>
        <w:rPr>
          <w:rFonts w:ascii="仿宋" w:hAnsi="仿宋" w:eastAsia="仿宋" w:cs="仿宋"/>
          <w:color w:val="auto"/>
          <w:highlight w:val="none"/>
        </w:rPr>
      </w:pPr>
    </w:p>
    <w:p>
      <w:pPr>
        <w:spacing w:line="360" w:lineRule="auto"/>
        <w:ind w:firstLine="420" w:firstLineChars="200"/>
        <w:rPr>
          <w:rFonts w:ascii="仿宋" w:hAnsi="仿宋" w:eastAsia="仿宋" w:cs="仿宋"/>
          <w:color w:val="auto"/>
          <w:highlight w:val="none"/>
        </w:rPr>
      </w:pPr>
    </w:p>
    <w:p>
      <w:pPr>
        <w:spacing w:line="360" w:lineRule="auto"/>
        <w:ind w:firstLine="420" w:firstLineChars="200"/>
        <w:rPr>
          <w:rFonts w:ascii="仿宋" w:hAnsi="仿宋" w:eastAsia="仿宋" w:cs="仿宋"/>
          <w:color w:val="auto"/>
          <w:highlight w:val="none"/>
        </w:rPr>
      </w:pPr>
    </w:p>
    <w:p>
      <w:pPr>
        <w:spacing w:line="360" w:lineRule="auto"/>
        <w:ind w:firstLine="420" w:firstLineChars="200"/>
        <w:rPr>
          <w:rFonts w:ascii="仿宋" w:hAnsi="仿宋" w:eastAsia="仿宋" w:cs="仿宋"/>
          <w:color w:val="auto"/>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u w:val="single"/>
          <w:lang w:eastAsia="zh-CN"/>
        </w:rPr>
        <w:t>建德市人民政府洋溪街道办事处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杭州欣兴建设工程招标代理有限公司</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洋安未来社区创意装饰、导视牌、景观小品制作等采购项目</w:t>
      </w:r>
      <w:r>
        <w:rPr>
          <w:rFonts w:hint="eastAsia" w:ascii="仿宋" w:hAnsi="仿宋" w:eastAsia="仿宋" w:cs="仿宋"/>
          <w:color w:val="auto"/>
          <w:sz w:val="24"/>
          <w:highlight w:val="none"/>
        </w:rPr>
        <w:t>项目【招标编号：JD2022BF- 】</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4teYCSoCAAB0BAAADgAAAGRycy9lMm9Eb2MueG1srVTB btswDL0P2D8Iui+O3SRdjThFkSDDgG4r1u0DFFmOhUmiRilxsq8fLadZ2u3Qw3wwRJN6eu+R8vz2 YA3bKwwaXMXz0Zgz5STU2m0r/v3b+t17zkIUrhYGnKr4UQV+u3j7Zt75UhXQgqkVMgJxoex8xdsY fZllQbbKijACrxwlG0ArIoW4zWoUHaFbkxXj8SzrAGuPIFUI9HU1JPkJEV8DCE2jpVqB3Fnl4oCK yohIkkKrfeCLxLZplIxfmiaoyEzFSWlMbzqE1pv+nS3motyi8K2WJwriNRReaLJCOzr0DLUSUbAd 6r+grJYIAZo4kmCzQUhyhFTk4xfePLbCq6SFrA7+bHr4f7Dy8/4Bma4rfsWZE5Ya/pVME25rFMuv e386H0oqe/QP2CsM/h7kj8AcLFsqU3eI0LVK1MQq7+uzZxv6INBWtuk+QU3wYhchWXVo0PaAZAI7 pI4czx1Rh8gkfSyux5PJbMqZpFxRTK9m+TSdIcqn7R5D/KDAsn5RcST2CV7s70Ps6YjyqSTRB6Pr tTYmBbjdLA2yvaDxWKfnhB4uy4xjXcVvpsU0IT/LhUuIcXr+BWF1pFtjtCUZl0XGnQzrPRq83kB9 JL8QhmGlq0qLFvAXZx0NasXDz51AxZn56Mjzm3wy6Sc7BZPpdUEBXmY2lxnhJEFVPHI2LJdxuA07 j3rb0kl50ujgjvrU6ORg38OB1YksDWMy9nRx+mm/jFPVn5/F4jd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D1kA8/2AAAAAoBAAAPAAAAAAAAAAEAIAAAACIAAABkcnMvZG93bnJldi54bWxQSwECFAAU AAAACACHTuJA4teYCSoCAAB0BAAADgAAAAAAAAABACAAAAAnAQAAZHJzL2Uyb0RvYy54bWxQSwUG AAAAAAYABgBZAQAAwwUAAAAA ">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d4J9RCoCAAB0BAAADgAAAGRycy9lMm9Eb2MueG1srVTB btswDL0P2D8Iui+OvSRdjDhFkSDDgG4t1u0DFFmOhUmiRilxuq8fLadZ2u3Qw3wwRJN6eu+R8uL6 aA07KAwaXMXz0Zgz5STU2u0q/v3b5t0HzkIUrhYGnKr4owr8evn2zaLzpSqgBVMrZATiQtn5ircx +jLLgmyVFWEEXjlKNoBWRApxl9UoOkK3JivG41nWAdYeQaoQ6Ot6SPITIr4GEJpGS7UGubfKxQEV lRGRJIVW+8CXiW3TKBnvmiaoyEzFSWlMbzqE1tv+nS0Xotyh8K2WJwriNRReaLJCOzr0DLUWUbA9 6r+grJYIAZo4kmCzQUhyhFTk4xfePLTCq6SFrA7+bHr4f7Dyy+Eema4rPuHMCUsN/0qmCbcziuWz 3p/Oh5LKHvw99gqDvwX5IzAHq5bK1A0idK0SNbHK+/rs2YY+CLSVbbvPUBO82EdIVh0btD0gmcCO qSOP546oY2SSPhazydV8Ss2SlCuK6ftZPk1niPJpu8cQPyqwrF9UHIl9gheH2xB7OqJ8Kkn0weh6 o41JAe62K4PsIGg8Nuk5oYfLMuNYV/H5tJgm5Ge5cAkxTs+/IKyOdGuMtiTjssi4k2G9R4PXW6gf yS+EYVjpqtKiBfzFWUeDWvHwcy9QcWY+OfJ8nk8m/WSnYDK9KijAy8z2MiOcJKiKR86G5SoOt2Hv Ue9aOilPGh3cUJ8anRzseziwOpGlYUzGni5OP+2Xcar687NY/gZ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AZjEem2AAAAAoBAAAPAAAAAAAAAAEAIAAAACIAAABkcnMvZG93bnJldi54bWxQSwECFAAU AAAACACHTuJAd4J9RCoCAAB0BAAADgAAAAAAAAABACAAAAAnAQAAZHJzL2Uyb0RvYy54bWxQSwUG AAAAAAYABgBZAQAAwwUAAAAA ">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sz w:val="32"/>
          <w:szCs w:val="32"/>
          <w:highlight w:val="none"/>
        </w:rPr>
        <w:t>中小企业声明函</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（单位名称） 的 </w:t>
      </w:r>
      <w:r>
        <w:rPr>
          <w:rFonts w:hint="eastAsia" w:ascii="仿宋" w:hAnsi="仿宋" w:eastAsia="仿宋" w:cs="仿宋"/>
          <w:color w:val="auto"/>
          <w:sz w:val="24"/>
          <w:highlight w:val="none"/>
          <w:lang w:eastAsia="zh-CN"/>
        </w:rPr>
        <w:t>洋安未来社区创意装饰、导视牌、景观小品制作等采购项目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p>
    <w:p>
      <w:pPr>
        <w:spacing w:line="360" w:lineRule="auto"/>
        <w:ind w:right="420" w:firstLine="480" w:firstLineChars="200"/>
        <w:rPr>
          <w:rFonts w:hint="eastAsia" w:ascii="仿宋" w:hAnsi="仿宋" w:eastAsia="仿宋" w:cs="仿宋"/>
          <w:color w:val="auto"/>
          <w:sz w:val="24"/>
          <w:highlight w:val="none"/>
        </w:rPr>
      </w:pP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pStyle w:val="6"/>
        <w:jc w:val="center"/>
        <w:rPr>
          <w:rFonts w:hint="eastAsia" w:ascii="仿宋" w:hAnsi="仿宋" w:eastAsia="仿宋" w:cs="仿宋"/>
          <w:lang w:val="en-US" w:eastAsia="zh-CN"/>
        </w:rPr>
      </w:pPr>
      <w:r>
        <w:rPr>
          <w:rFonts w:hint="eastAsia" w:ascii="仿宋" w:hAnsi="仿宋" w:eastAsia="仿宋" w:cs="仿宋"/>
          <w:b/>
          <w:bCs w:val="0"/>
          <w:spacing w:val="6"/>
          <w:kern w:val="2"/>
          <w:sz w:val="32"/>
          <w:szCs w:val="32"/>
          <w:highlight w:val="none"/>
          <w:lang w:val="en-US" w:eastAsia="zh-CN" w:bidi="ar-SA"/>
        </w:rPr>
        <w:t>附件6：</w:t>
      </w:r>
      <w:r>
        <w:rPr>
          <w:rFonts w:hint="eastAsia" w:ascii="仿宋" w:hAnsi="仿宋" w:eastAsia="仿宋" w:cs="仿宋"/>
          <w:b/>
          <w:bCs/>
          <w:sz w:val="40"/>
          <w:szCs w:val="48"/>
        </w:rPr>
        <w:t>现场踏勘确认书</w:t>
      </w:r>
    </w:p>
    <w:p>
      <w:pPr>
        <w:spacing w:line="360" w:lineRule="auto"/>
        <w:ind w:right="420"/>
        <w:rPr>
          <w:rFonts w:hint="eastAsia" w:ascii="仿宋" w:hAnsi="仿宋" w:eastAsia="仿宋" w:cs="仿宋"/>
          <w:highlight w:val="none"/>
        </w:rPr>
      </w:pPr>
    </w:p>
    <w:p>
      <w:pPr>
        <w:jc w:val="center"/>
        <w:rPr>
          <w:rFonts w:hint="eastAsia" w:ascii="仿宋" w:hAnsi="仿宋" w:eastAsia="仿宋" w:cs="仿宋"/>
          <w:sz w:val="32"/>
          <w:szCs w:val="40"/>
        </w:rPr>
      </w:pPr>
    </w:p>
    <w:p>
      <w:pPr>
        <w:spacing w:line="360" w:lineRule="auto"/>
        <w:rPr>
          <w:rFonts w:hint="eastAsia" w:ascii="仿宋" w:hAnsi="仿宋" w:eastAsia="仿宋" w:cs="仿宋"/>
          <w:sz w:val="28"/>
          <w:szCs w:val="36"/>
        </w:rPr>
      </w:pPr>
      <w:r>
        <w:rPr>
          <w:rFonts w:hint="eastAsia" w:ascii="仿宋" w:hAnsi="仿宋" w:eastAsia="仿宋" w:cs="仿宋"/>
          <w:sz w:val="28"/>
          <w:szCs w:val="36"/>
        </w:rPr>
        <w:t>建德市人民政府洋溪街道办事处：</w:t>
      </w:r>
    </w:p>
    <w:p>
      <w:pPr>
        <w:spacing w:line="360" w:lineRule="auto"/>
        <w:rPr>
          <w:rFonts w:hint="eastAsia" w:ascii="仿宋" w:hAnsi="仿宋" w:eastAsia="仿宋" w:cs="仿宋"/>
          <w:sz w:val="28"/>
          <w:szCs w:val="36"/>
        </w:rPr>
      </w:pPr>
      <w:r>
        <w:rPr>
          <w:rFonts w:hint="eastAsia" w:ascii="仿宋" w:hAnsi="仿宋" w:eastAsia="仿宋" w:cs="仿宋"/>
          <w:sz w:val="28"/>
          <w:szCs w:val="36"/>
        </w:rPr>
        <w:t xml:space="preserve">   </w:t>
      </w:r>
      <w:r>
        <w:rPr>
          <w:rFonts w:hint="eastAsia" w:ascii="仿宋" w:hAnsi="仿宋" w:eastAsia="仿宋" w:cs="仿宋"/>
          <w:sz w:val="28"/>
          <w:szCs w:val="36"/>
          <w:lang w:val="en-US" w:eastAsia="zh-CN"/>
        </w:rPr>
        <w:t xml:space="preserve"> </w:t>
      </w:r>
      <w:r>
        <w:rPr>
          <w:rFonts w:hint="eastAsia" w:ascii="仿宋" w:hAnsi="仿宋" w:eastAsia="仿宋" w:cs="仿宋"/>
          <w:sz w:val="28"/>
          <w:szCs w:val="36"/>
        </w:rPr>
        <w:t>根据招标文件要求，我方已对</w:t>
      </w:r>
      <w:r>
        <w:rPr>
          <w:rFonts w:hint="eastAsia" w:ascii="仿宋" w:hAnsi="仿宋" w:eastAsia="仿宋" w:cs="仿宋"/>
          <w:sz w:val="28"/>
          <w:szCs w:val="36"/>
          <w:u w:val="single"/>
          <w:lang w:eastAsia="zh-CN"/>
        </w:rPr>
        <w:t>洋安未来社区创意装饰、导视牌、景观小品制作等采购项目</w:t>
      </w:r>
      <w:r>
        <w:rPr>
          <w:rFonts w:hint="eastAsia" w:ascii="仿宋" w:hAnsi="仿宋" w:eastAsia="仿宋" w:cs="仿宋"/>
          <w:sz w:val="28"/>
          <w:szCs w:val="36"/>
          <w:u w:val="none"/>
          <w:lang w:val="en-US" w:eastAsia="zh-CN"/>
        </w:rPr>
        <w:t>的</w:t>
      </w:r>
      <w:r>
        <w:rPr>
          <w:rFonts w:hint="eastAsia" w:ascii="仿宋" w:hAnsi="仿宋" w:eastAsia="仿宋" w:cs="仿宋"/>
          <w:sz w:val="28"/>
          <w:szCs w:val="36"/>
        </w:rPr>
        <w:t>项目现场进行实地踏勘，并获得投标所需要相关数据和资料：</w:t>
      </w:r>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rPr>
        <w:t>经现场踏勘，我方对该项目场地现状已充分了解。</w:t>
      </w:r>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rPr>
        <w:t>若我方中标，不会对场地现状提出异议，不以场地存在瑕疵为由拒绝签署项目合同书或履行所约定的各项义务。</w:t>
      </w:r>
    </w:p>
    <w:p>
      <w:pPr>
        <w:rPr>
          <w:rFonts w:hint="eastAsia" w:ascii="仿宋" w:hAnsi="仿宋" w:eastAsia="仿宋" w:cs="仿宋"/>
          <w:sz w:val="28"/>
          <w:szCs w:val="36"/>
        </w:rPr>
      </w:pPr>
    </w:p>
    <w:p>
      <w:pPr>
        <w:jc w:val="right"/>
        <w:rPr>
          <w:rFonts w:hint="eastAsia" w:ascii="仿宋" w:hAnsi="仿宋" w:eastAsia="仿宋" w:cs="仿宋"/>
          <w:sz w:val="28"/>
          <w:szCs w:val="36"/>
          <w:u w:val="single"/>
        </w:rPr>
      </w:pPr>
      <w:r>
        <w:rPr>
          <w:rFonts w:hint="eastAsia" w:ascii="仿宋" w:hAnsi="仿宋" w:eastAsia="仿宋" w:cs="仿宋"/>
          <w:sz w:val="28"/>
          <w:szCs w:val="36"/>
        </w:rPr>
        <w:t>采购单位：</w:t>
      </w:r>
      <w:r>
        <w:rPr>
          <w:rFonts w:hint="eastAsia" w:ascii="仿宋" w:hAnsi="仿宋" w:eastAsia="仿宋" w:cs="仿宋"/>
          <w:sz w:val="28"/>
          <w:szCs w:val="36"/>
          <w:u w:val="single"/>
        </w:rPr>
        <w:t xml:space="preserve">                     （签字或盖章）</w:t>
      </w:r>
    </w:p>
    <w:p>
      <w:pPr>
        <w:jc w:val="center"/>
        <w:rPr>
          <w:rFonts w:hint="eastAsia" w:ascii="仿宋" w:hAnsi="仿宋" w:eastAsia="仿宋" w:cs="仿宋"/>
          <w:sz w:val="28"/>
          <w:szCs w:val="36"/>
        </w:rPr>
      </w:pPr>
      <w:r>
        <w:rPr>
          <w:rFonts w:hint="eastAsia" w:ascii="仿宋" w:hAnsi="仿宋" w:eastAsia="仿宋" w:cs="仿宋"/>
          <w:sz w:val="28"/>
          <w:szCs w:val="36"/>
        </w:rPr>
        <w:t xml:space="preserve">                            </w:t>
      </w:r>
    </w:p>
    <w:p>
      <w:pPr>
        <w:jc w:val="right"/>
        <w:rPr>
          <w:rFonts w:hint="eastAsia" w:ascii="仿宋" w:hAnsi="仿宋" w:eastAsia="仿宋" w:cs="仿宋"/>
          <w:sz w:val="28"/>
          <w:szCs w:val="36"/>
        </w:rPr>
      </w:pPr>
      <w:r>
        <w:rPr>
          <w:rFonts w:hint="eastAsia" w:ascii="仿宋" w:hAnsi="仿宋" w:eastAsia="仿宋" w:cs="仿宋"/>
          <w:sz w:val="28"/>
          <w:szCs w:val="36"/>
        </w:rPr>
        <w:t>投标单位名称：</w:t>
      </w:r>
      <w:r>
        <w:rPr>
          <w:rFonts w:hint="eastAsia" w:ascii="仿宋" w:hAnsi="仿宋" w:eastAsia="仿宋" w:cs="仿宋"/>
          <w:sz w:val="28"/>
          <w:szCs w:val="36"/>
          <w:u w:val="single"/>
        </w:rPr>
        <w:t xml:space="preserve">                       （盖章）</w:t>
      </w:r>
    </w:p>
    <w:p>
      <w:pPr>
        <w:jc w:val="right"/>
        <w:rPr>
          <w:rFonts w:hint="eastAsia" w:ascii="仿宋" w:hAnsi="仿宋" w:eastAsia="仿宋" w:cs="仿宋"/>
          <w:sz w:val="28"/>
          <w:szCs w:val="36"/>
        </w:rPr>
      </w:pPr>
    </w:p>
    <w:p>
      <w:pPr>
        <w:spacing w:line="360" w:lineRule="auto"/>
        <w:jc w:val="right"/>
        <w:rPr>
          <w:rFonts w:hint="eastAsia" w:ascii="仿宋" w:hAnsi="仿宋" w:eastAsia="仿宋" w:cs="仿宋"/>
          <w:sz w:val="28"/>
          <w:szCs w:val="36"/>
          <w:u w:val="single"/>
        </w:rPr>
      </w:pPr>
      <w:r>
        <w:rPr>
          <w:rFonts w:hint="eastAsia" w:ascii="仿宋" w:hAnsi="仿宋" w:eastAsia="仿宋" w:cs="仿宋"/>
          <w:sz w:val="28"/>
          <w:szCs w:val="36"/>
        </w:rPr>
        <w:t>投标单位授权代表：</w:t>
      </w:r>
      <w:r>
        <w:rPr>
          <w:rFonts w:hint="eastAsia" w:ascii="仿宋" w:hAnsi="仿宋" w:eastAsia="仿宋" w:cs="仿宋"/>
          <w:sz w:val="28"/>
          <w:szCs w:val="36"/>
          <w:u w:val="single"/>
        </w:rPr>
        <w:t xml:space="preserve">          （签字）</w:t>
      </w:r>
    </w:p>
    <w:p>
      <w:pPr>
        <w:spacing w:line="360" w:lineRule="auto"/>
        <w:jc w:val="right"/>
        <w:rPr>
          <w:rFonts w:hint="eastAsia" w:ascii="仿宋" w:hAnsi="仿宋" w:eastAsia="仿宋" w:cs="仿宋"/>
          <w:sz w:val="28"/>
          <w:szCs w:val="36"/>
        </w:rPr>
      </w:pPr>
      <w:r>
        <w:rPr>
          <w:rFonts w:hint="eastAsia" w:ascii="仿宋" w:hAnsi="仿宋" w:eastAsia="仿宋" w:cs="仿宋"/>
          <w:sz w:val="28"/>
          <w:szCs w:val="36"/>
        </w:rPr>
        <w:t>踏勘日期：202</w:t>
      </w:r>
      <w:r>
        <w:rPr>
          <w:rFonts w:hint="eastAsia" w:ascii="仿宋" w:hAnsi="仿宋" w:eastAsia="仿宋" w:cs="仿宋"/>
          <w:sz w:val="28"/>
          <w:szCs w:val="36"/>
          <w:lang w:val="en-US" w:eastAsia="zh-CN"/>
        </w:rPr>
        <w:t>2</w:t>
      </w:r>
      <w:r>
        <w:rPr>
          <w:rFonts w:hint="eastAsia" w:ascii="仿宋" w:hAnsi="仿宋" w:eastAsia="仿宋" w:cs="仿宋"/>
          <w:sz w:val="28"/>
          <w:szCs w:val="36"/>
        </w:rPr>
        <w:t>年  月  日</w:t>
      </w:r>
    </w:p>
    <w:p>
      <w:pPr>
        <w:pStyle w:val="26"/>
        <w:ind w:left="0" w:leftChars="0" w:firstLine="0" w:firstLineChars="0"/>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Courier New"/>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Courier New"/>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Courier New"/>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Bookshelf Symbol 7">
    <w:panose1 w:val="05010101010101010101"/>
    <w:charset w:val="00"/>
    <w:family w:val="auto"/>
    <w:pitch w:val="default"/>
    <w:sig w:usb0="00000000" w:usb1="00000000" w:usb2="00000000" w:usb3="00000000" w:csb0="80000000"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楷体_GB2312"/>
    <w:panose1 w:val="02010609060101010101"/>
    <w:charset w:val="86"/>
    <w:family w:val="auto"/>
    <w:pitch w:val="default"/>
    <w:sig w:usb0="00000000" w:usb1="00000000" w:usb2="00000016" w:usb3="00000000" w:csb0="00040001" w:csb1="00000000"/>
  </w:font>
  <w:font w:name="Century Gothic">
    <w:altName w:val="Century"/>
    <w:panose1 w:val="020B0502020202020204"/>
    <w:charset w:val="00"/>
    <w:family w:val="swiss"/>
    <w:pitch w:val="default"/>
    <w:sig w:usb0="00000000" w:usb1="00000000" w:usb2="00000000" w:usb3="00000000" w:csb0="2000009F" w:csb1="DFD70000"/>
  </w:font>
  <w:font w:name="Century">
    <w:panose1 w:val="02040604050505020304"/>
    <w:charset w:val="00"/>
    <w:family w:val="auto"/>
    <w:pitch w:val="default"/>
    <w:sig w:usb0="00000287" w:usb1="00000000" w:usb2="00000000" w:usb3="00000000" w:csb0="2000009F" w:csb1="DFD70000"/>
  </w:font>
  <w:font w:name="Aldine401 BT">
    <w:altName w:val="Courier New"/>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KT72nYyAgAAYwQAAA4AAABkcnMvZTJvRG9jLnhtbK1UzY7TMBC+I/EO lu80aRFLVTVdla2KkCp2pQVxdh2nseQ/2W6T8gDwBpy4cN/n6nPwOWm6aOGwBy7O2DP+xt83M5lf t1qRg/BBWlPQ8SinRBhuS2l2Bf38af1qSkmIzJRMWSMKehSBXi9evpg3biYmtraqFJ4AxIRZ4wpa x+hmWRZ4LTQLI+uEgbOyXrOIrd9lpWcN0LXKJnl+lTXWl85bLkLA6ap30jOifw6grSrJxcryvRYm 9qheKBZBKdTSBbroXltVgsfbqgoiElVQMI3diiSwt2nNFnM223nmasnPT2DPecITTppJg6QXqBWL jOy9/AtKS+5tsFUccauznkinCFiM8yfa3NfMiY4LpA7uInr4f7D84+HOE1miE95SYphGxU8/vp9+ Ppx+fSM4g0CNCzPE3TtExvadbRE8nAccJt5t5XX6ghGBH/IeL/KKNhKeLk0n02kOF4dv2AA/e7zu fIjvhdUkGQX1qF8nKztsQuxDh5CUzdi1VKqroTKkKejV6zd5d+HiAbgyyJFI9I9NVmy37ZnZ1pZH EPO2743g+Foi+YaFeMc8mgEPxrjEWyyVskhizxYltfVf/3We4lEjeClp0FwFNZglStQHg9oBMA6G H4ztYJi9vrHo1jHG0PHOxAUf1WBW3uovmKFlygEXMxyZChoH8yb2DY4Z5GK57IL2zstd3V9A5zkW N+be8ZQmCRncch8hZqdxEqhX5awbeq+r0nlOUnP/ue+iHv8Ni99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pPvadjICAABjBAAADgAAAAAAAAABACAAAAAfAQAAZHJzL2Uyb0RvYy54bWxQSwUG AAAAAAYABgBZAQAAwwUAAAAA ">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L3z1oQxAgAAYwQAAA4AAABkcnMvZTJvRG9jLnhtbK1US44TMRDdI3EH y3vSSRCjKEpnFCYKQoqYkQJi7bjdaUv+yXbSHQ4AN2DFhj3nyjl47k8GDSxmwcZddpVf+b2q6sVt oxU5CR+kNTmdjMaUCMNtIc0hp58+bl7NKAmRmYIpa0ROzyLQ2+XLF4vazcXUVlYVwhOAmDCvXU6r GN08ywKvhGZhZJ0wcJbWaxax9Yes8KwGulbZdDy+yWrrC+ctFyHgdN05aY/onwNoy1Jysbb8qIWJ HaoXikVQCpV0gS7b15al4PG+LIOIROUUTGO7IgnsfVqz5YLND565SvL+Cew5T3jCSTNpkPQKtWaR kaOXf0Fpyb0NtowjbnXWEWkVAYvJ+Ik2u4o50XKB1MFdRQ//D5Z/OD14Igt0AupumEbFL9+/XX78 uvz8SnAGgWoX5ojbOUTG5q1tEDycBxwm3k3pdfqCEYEf8p6v8oomEp4uzaaz2RguDt+wAX72eN35 EN8Jq0kycupRv1ZWdtqG2IUOISmbsRupVFtDZUid05vXb8bthasH4MogRyLRPTZZsdk3PbO9Lc4g 5m3XG8HxjUTyLQvxgXk0Ax6McYn3WEplkcT2FiWV9V/+dZ7iUSN4KanRXDk1mCVK1HuD2gEwDoYf jP1gmKO+s+jWCcbQ8dbEBR/VYJbe6s+YoVXKARczHJlyGgfzLnYNjhnkYrVqg47Oy0PVXUDnORa3 Zud4SpOEDG51jBCz1TgJ1KnS64bea6vUz0lq7j/3bdTjv2H5G1BLAwQKAAAAAACHTuJAAAAAAAAA AAAAAAAABgAAAF9yZWxzL1BLAwQUAAAACACHTuJAihRmPNEAAACUAQAACwAAAF9yZWxzLy5yZWxz pZDBasMwDIbvg72D0X1xmsMYo04vo9Br6R7A2IpjGltGMtn69vMOg2X0tqN+oe8T//7wmRa1Ikuk bGDX9aAwO/IxBwPvl+PTCyipNnu7UEYDNxQ4jI8P+zMutrYjmWMR1ShZDMy1lletxc2YrHRUMLfN RJxsbSMHXay72oB66Ptnzb8ZMG6Y6uQN8MkPoC630sx/2Ck6JqGpdo6SpmmK7h5VB7Zlju7INuEb uUazHLAa8CwaB2pZ134EfV+/+6fe00c+47rVfoeM649Xb7ocvwBQSwMEFAAAAAgAh07iQH7m5SD3 AAAA4QEAABMAAABbQ29udGVudF9UeXBlc10ueG1slZFBTsMwEEX3SNzB8hYlTrtACCXpgrRLQKgc YGRPEotkbHlMaG+Pk7YbRJFY2jP/vye73BzGQUwY2Dqq5CovpEDSzljqKvm+32UPUnAEMjA4wkoe keWmvr0p90ePLFKauJJ9jP5RKdY9jsC580hp0rowQkzH0CkP+gM6VOuiuFfaUUSKWZw7ZF022MLn EMX2kK5PJgEHluLptDizKgneD1ZDTKZqIvODkp0JeUouO9xbz3dJQ6pfCfPkOuCce0lPE6xB8Qoh PsOYNJQJrIz7ooBT/nfJbDly5trWasybwE2KveF0sbrWjmvXOP3f8u2SunSr5YPqb1BLAQIUABQA AAAIAIdO4kB+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C989aEMQIAAGMEAAAOAAAAAAAAAAEAIAAAAB8BAABkcnMvZTJvRG9jLnhtbFBLBQYA AAAABgAGAFkBAADCBQAAAAA= ">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OsAOHoxAgAAYwQAAA4AAABkcnMvZTJvRG9jLnhtbK1US44TMRDdI3EH y3vSSRCjKEpnFCYKQoqYkQJi7bjdaUv+yXbSHQ4AN2DFhj3nyjl47k8GDSxmwcZddpVf1XtV7sVt oxU5CR+kNTmdjMaUCMNtIc0hp58+bl7NKAmRmYIpa0ROzyLQ2+XLF4vazcXUVlYVwhOAmDCvXU6r GN08ywKvhGZhZJ0wcJbWaxax9Yes8KwGulbZdDy+yWrrC+ctFyHgdN05aY/onwNoy1Jysbb8qIWJ HaoXikVQCpV0gS7bastS8HhflkFEonIKprFdkQT2Pq3ZcsHmB89cJXlfAntOCU84aSYNkl6h1iwy cvTyLygtubfBlnHErc46Iq0iYDEZP9FmVzEnWi6QOrir6OH/wfIPpwdPZIFJmFBimEbHL9+/XX78 uvz8SnAGgWoX5ojbOUTG5q1tEDycBxwm3k3pdfqCEYEf8p6v8oomEp4uzaaz2RguDt+wAX72eN35 EN8Jq0kycurRv1ZWdtqG2IUOISmbsRupVNtDZUid05vXb8bthasH4MogRyLRFZus2OybntneFmcQ 87abjeD4RiL5loX4wDyGAQXjucR7LKWySGJ7i5LK+i//Ok/x6BG8lNQYrpwavCVK1HuD3gEwDoYf jP1gmKO+s5hWtAO1tCYu+KgGs/RWf8YbWqUccDHDkSmncTDvYjfgeINcrFZt0NF5eai6C5g8x+LW 7BxPaZKQwa2OEWK2GieBOlV63TB7bZf6d5KG+899G/X4b1j+BlBLAwQKAAAAAACHTuJAAAAAAAAA AAAAAAAABgAAAF9yZWxzL1BLAwQUAAAACACHTuJAihRmPNEAAACUAQAACwAAAF9yZWxzLy5yZWxz pZDBasMwDIbvg72D0X1xmsMYo04vo9Br6R7A2IpjGltGMtn69vMOg2X0tqN+oe8T//7wmRa1Ikuk bGDX9aAwO/IxBwPvl+PTCyipNnu7UEYDNxQ4jI8P+zMutrYjmWMR1ShZDMy1lletxc2YrHRUMLfN RJxsbSMHXay72oB66Ptnzb8ZMG6Y6uQN8MkPoC630sx/2Ck6JqGpdo6SpmmK7h5VB7Zlju7INuEb uUazHLAa8CwaB2pZ134EfV+/+6fe00c+47rVfoeM649Xb7ocvwBQSwMEFAAAAAgAh07iQH7m5SD3 AAAA4QEAABMAAABbQ29udGVudF9UeXBlc10ueG1slZFBTsMwEEX3SNzB8hYlTrtACCXpgrRLQKgc YGRPEotkbHlMaG+Pk7YbRJFY2jP/vye73BzGQUwY2Dqq5CovpEDSzljqKvm+32UPUnAEMjA4wkoe keWmvr0p90ePLFKauJJ9jP5RKdY9jsC580hp0rowQkzH0CkP+gM6VOuiuFfaUUSKWZw7ZF022MLn EMX2kK5PJgEHluLptDizKgneD1ZDTKZqIvODkp0JeUouO9xbz3dJQ6pfCfPkOuCce0lPE6xB8Qoh PsOYNJQJrIz7ooBT/nfJbDly5trWasybwE2KveF0sbrWjmvXOP3f8u2SunSr5YPqb1BLAQIUABQA AAAIAIdO4kB+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DrADh6MQIAAGMEAAAOAAAAAAAAAAEAIAAAAB8BAABkcnMvZTJvRG9jLnhtbFBLBQYA AAAABgAGAFkBAADCBQAAAAA= ">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Gz+8ZExAgAAYwQAAA4AAABkcnMvZTJvRG9jLnhtbK1US44TMRDdI3EH y3vSSRCjKEpnFCYKQoqYkQJi7bjdaUv+yXbSHQ4AN2DFhj3nyjl47k8GDSxmwcZddpVf+b2q6sVt oxU5CR+kNTmdjMaUCMNtIc0hp58+bl7NKAmRmYIpa0ROzyLQ2+XLF4vazcXUVlYVwhOAmDCvXU6r GN08ywKvhGZhZJ0wcJbWaxax9Yes8KwGulbZdDy+yWrrC+ctFyHgdN05aY/onwNoy1Jysbb8qIWJ HaoXikVQCpV0gS7b15al4PG+LIOIROUUTGO7IgnsfVqz5YLND565SvL+Cew5T3jCSTNpkPQKtWaR kaOXf0Fpyb0NtowjbnXWEWkVAYvJ+Ik2u4o50XKB1MFdRQ//D5Z/OD14Igt0wpQSwzQqfvn+7fLj 1+XnV4IzCFS7MEfcziEyNm9tg+DhPOAw8W5Kr9MXjAj8kPd8lVc0kfB0aTadzcZwcfiGDfCzx+vO h/hOWE2SkVOP+rWystM2xC50CEnZjN1IpdoaKkPqnN68fjNuL1w9AFcGORKJ7rHJis2+6ZntbXEG MW+73giObySSb1mID8yjGfBgjEu8x1IqiyS2tyiprP/yr/MUjxrBS0mN5sqpwSxRot4b1A6AcTD8 YOwHwxz1nUW3TjCGjrcmLvioBrP0Vn/GDK1SDriY4ciU0ziYd7FrcMwgF6tVG3R0Xh6q7gI6z7G4 NTvHU5okZHCrY4SYrcZJoE6VXjf0Xlulfk5Sc/+5b6Me/w3L31BLAwQKAAAAAACHTuJAAAAAAAAA AAAAAAAABgAAAF9yZWxzL1BLAwQUAAAACACHTuJAihRmPNEAAACUAQAACwAAAF9yZWxzLy5yZWxz pZDBasMwDIbvg72D0X1xmsMYo04vo9Br6R7A2IpjGltGMtn69vMOg2X0tqN+oe8T//7wmRa1Ikuk bGDX9aAwO/IxBwPvl+PTCyipNnu7UEYDNxQ4jI8P+zMutrYjmWMR1ShZDMy1lletxc2YrHRUMLfN RJxsbSMHXay72oB66Ptnzb8ZMG6Y6uQN8MkPoC630sx/2Ck6JqGpdo6SpmmK7h5VB7Zlju7INuEb uUazHLAa8CwaB2pZ134EfV+/+6fe00c+47rVfoeM649Xb7ocvwBQSwMEFAAAAAgAh07iQH7m5SD3 AAAA4QEAABMAAABbQ29udGVudF9UeXBlc10ueG1slZFBTsMwEEX3SNzB8hYlTrtACCXpgrRLQKgc YGRPEotkbHlMaG+Pk7YbRJFY2jP/vye73BzGQUwY2Dqq5CovpEDSzljqKvm+32UPUnAEMjA4wkoe keWmvr0p90ePLFKauJJ9jP5RKdY9jsC580hp0rowQkzH0CkP+gM6VOuiuFfaUUSKWZw7ZF022MLn EMX2kK5PJgEHluLptDizKgneD1ZDTKZqIvODkp0JeUouO9xbz3dJQ6pfCfPkOuCce0lPE6xB8Qoh PsOYNJQJrIz7ooBT/nfJbDly5trWasybwE2KveF0sbrWjmvXOP3f8u2SunSr5YPqb1BLAQIUABQA AAAIAIdO4kB+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Bs/vGRMQIAAGMEAAAOAAAAAAAAAAEAIAAAAB8BAABkcnMvZTJvRG9jLnhtbFBLBQYA AAAABgAGAFkBAADCBQAAAAA= ">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14</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C5WZn4yAgAAYwQAAA4AAABkcnMvZTJvRG9jLnhtbK1US44TMRDdI3EH y3vSSUaMoiidUZgoCCliRhoQa8ftTlvyT7aT7nAAuAErNuw5V84xz/3JoIHFLNi4y67yK79XVb24 abQiR+GDtCank9GYEmG4LaTZ5/Tzp82bGSUhMlMwZY3I6UkEerN8/WpRu7mY2sqqQngCEBPmtctp FaObZ1ngldAsjKwTBs7Ses0itn6fFZ7VQNcqm47H11ltfeG85SIEnK47J+0R/UsAbVlKLtaWH7Qw sUP1QrEISqGSLtBl+9qyFDzelWUQkaicgmlsVySBvUtrtlyw+d4zV0neP4G95AnPOGkmDZJeoNYs MnLw8i8oLbm3wZZxxK3OOiKtImAxGT/T5qFiTrRcIHVwF9HD/4PlH4/3nsgCnXBFiWEaFT//+H7+ +fv86xvBGQSqXZgj7sEhMjbvbIPg4TzgMPFuSq/TF4wI/JD3dJFXNJHwdGk2nc3GcHH4hg3ws6fr zof4XlhNkpFTj/q1srLjNsQudAhJ2YzdSKXaGipD6pxeX70dtxcuHoArgxyJRPfYZMVm1/TMdrY4 gZi3XW8ExzcSybcsxHvm0Qx4MMYl3mEplUUS21uUVNZ//dd5ikeN4KWkRnPl1GCWKFEfDGoHwDgY fjB2g2EO+taiWycYQ8dbExd8VINZequ/YIZWKQdczHBkymkczNvYNThmkIvVqg06OC/3VXcBnedY 3JoHx1OaJGRwq0OEmK3GSaBOlV439F5bpX5OUnP/uW+jnv4Ny0d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LlZmfjICAABjBAAADgAAAAAAAAABACAAAAAfAQAAZHJzL2Uyb0RvYy54bWxQSwUG AAAAAAYABgBZAQAAwwUAAAAA ">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CMFE50yAgAAYwQAAA4AAABkcnMvZTJvRG9jLnhtbK1UzY7TMBC+I/EO lu80aYFVVTVdla2KkCp2pQVxdh2nseQ/2W6T8gDwBpy4cN/n6nPwOWm6aOGwBy7O2DP+xt83M5lf t1qRg/BBWlPQ8SinRBhuS2l2Bf38af1qSkmIzJRMWSMKehSBXi9evpg3biYmtraqFJ4AxIRZ4wpa x+hmWRZ4LTQLI+uEgbOyXrOIrd9lpWcN0LXKJnl+lTXWl85bLkLA6ap30jOifw6grSrJxcryvRYm 9qheKBZBKdTSBbroXltVgsfbqgoiElVQMI3diiSwt2nNFnM223nmasnPT2DPecITTppJg6QXqBWL jOy9/AtKS+5tsFUccauznkinCFiM8yfa3NfMiY4LpA7uInr4f7D84+HOE1miE95QYphGxU8/vp9+ Ppx+fSM4g0CNCzPE3TtExvadbRE8nAccJt5t5XX6ghGBH/IeL/KKNhKeLk0n02kOF4dv2AA/e7zu fIjvhdUkGQX1qF8nKztsQuxDh5CUzdi1VKqroTKkKejV67d5d+HiAbgyyJFI9I9NVmy37ZnZ1pZH EPO2743g+Foi+YaFeMc8mgEPxrjEWyyVskhizxYltfVf/3We4lEjeClp0FwFNZglStQHg9oBMA6G H4ztYJi9vrHo1jHG0PHOxAUf1WBW3uovmKFlygEXMxyZChoH8yb2DY4Z5GK57IL2zstd3V9A5zkW N+be8ZQmCRncch8hZqdxEqhX5awbeq+r0nlOUnP/ue+iHv8Ni99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IwUTnTICAABjBAAADgAAAAAAAAABACAAAAAfAQAAZHJzL2Uyb0RvYy54bWxQSwUG AAAAAAYABgBZAQAAwwUAAAAA ">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GGthHIzAgAAYwQAAA4AAABkcnMvZTJvRG9jLnhtbK1UzY7TMBC+I/EO lu80bdGuqqrpqmxVhFSxKy2Is+s4TST/yXablAeAN+DEhTvP1efYz07SRQuHPXBxxp7xN/6+mcni plWSHIXztdE5nYzGlAjNTVHrfU4/f9q8mVHiA9MFk0aLnJ6EpzfL168WjZ2LqamMLIQjANF+3tic ViHYeZZ5XgnF/MhYoeEsjVMsYOv2WeFYA3Qls+l4fJ01xhXWGS68x+m6c9Ie0b0E0JRlzcXa8IMS OnSoTkgWQMlXtfV0mV5bloKHu7L0IhCZUzANaUUS2Lu4ZssFm+8ds1XN+yewlzzhGSfFao2kF6g1 C4wcXP0XlKq5M96UYcSNyjoiSRGwmIyfafNQMSsSF0jt7UV0//9g+cfjvSN1gU64okQzhYqff3w/ //x9/vWN4AwCNdbPEfdgERnad6ZF8HDucRh5t6VT8QtGBH7Ie7rIK9pAeLw0m85mY7g4fMMG+NnT det8eC+MItHIqUP9kqzsuPWhCx1CYjZtNrWUqYZSkyan12+vxunCxQNwqZEjkugeG63Q7tqe2c4U JxBzpusNb/mmRvIt8+GeOTQDHoxxCXdYSmmQxPQWJZVxX/91HuNRI3gpadBcOdWYJUrkB43aATAM hhuM3WDog7o16NYJxtDyZOKCC3IwS2fUF8zQKuaAi2mOTDkNg3kbugbHDHKxWqWgg3X1vuouoPMs C1v9YHlME4X0dnUIEDNpHAXqVOl1Q++lKvVzEpv7z32Kevo3LB8B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nAQAAFtDb250ZW50X1R5cGVzXS54 bWxQSwECFAAKAAAAAACHTuJAAAAAAAAAAAAAAAAABgAAAAAAAAAAABAAAAB+AwAAX3JlbHMvUEsB AhQAFAAAAAgAh07iQIoUZjzRAAAAlAEAAAsAAAAAAAAAAQAgAAAAogMAAF9yZWxzLy5yZWxzUEsB AhQACgAAAAAAh07iQAAAAAAAAAAAAAAAAAQAAAAAAAAAAAAQAAAAAAAAAGRycy9QSwECFAAUAAAA CACHTuJAs0lY7tAAAAAFAQAADwAAAAAAAAABACAAAAAiAAAAZHJzL2Rvd25yZXYueG1sUEsBAhQA FAAAAAgAh07iQGGthHIzAgAAYwQAAA4AAAAAAAAAAQAgAAAAHwEAAGRycy9lMm9Eb2MueG1sUEsF BgAAAAAGAAYAWQEAAMQFAAAAAA== ">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OZTTZkyAgAAYwQAAA4AAABkcnMvZTJvRG9jLnhtbK1US44TMRDdI3EH y3vSSRBRFKUzChMFIUXMSANi7bjdaUv+yXbSHQ4AN2DFhj3nyjl47k8GDSxmwcZddpVf+b2q6uVN oxU5CR+kNTmdjMaUCMNtIc0hp58+bl/NKQmRmYIpa0ROzyLQm9XLF8vaLcTUVlYVwhOAmLCoXU6r GN0iywKvhGZhZJ0wcJbWaxax9Yes8KwGulbZdDyeZbX1hfOWixBwuumctEf0zwG0ZSm52Fh+1MLE DtULxSIohUq6QFfta8tS8HhXlkFEonIKprFdkQT2Pq3ZaskWB89cJXn/BPacJzzhpJk0SHqF2rDI yNHLv6C05N4GW8YRtzrriLSKgMVk/ESbh4o50XKB1MFdRQ//D5Z/ON17Igt0wowSwzQqfvn+7fLj 1+XnV4IzCFS7sEDcg0NkbN7aBsHDecBh4t2UXqcvGBH4Ie/5Kq9oIuHp0nw6n4/h4vANG+Bnj9ed D/GdsJokI6ce9WtlZaddiF3oEJKyGbuVSrU1VIbUOZ29fjNuL1w9AFcGORKJ7rHJis2+6ZntbXEG MW+73giObyWS71iI98yjGfBgjEu8w1IqiyS2tyiprP/yr/MUjxrBS0mN5sqpwSxRot4b1A6AcTD8 YOwHwxz1rUW3TjCGjrcmLvioBrP0Vn/GDK1TDriY4ciU0ziYt7FrcMwgF+t1G3R0Xh6q7gI6z7G4 Mw+OpzRJyODWxwgxW42TQJ0qvW7ovbZK/Zyk5v5z30Y9/htWvwF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5lNNmTICAABjBAAADgAAAAAAAAABACAAAAAfAQAAZHJzL2Uyb0RvYy54bWxQSwUG AAAAAAYABgBZAQAAwwUAAAAA ">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4"/>
      </w:pBdr>
      <w:jc w:val="right"/>
    </w:pPr>
    <w:r>
      <w:t></w:t>
    </w:r>
    <w:r>
      <w:rPr>
        <w:rFonts w:hint="eastAsia"/>
      </w:rPr>
      <w:t xml:space="preserve">            </w:t>
    </w:r>
  </w:p>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rPr>
        <w:rFonts w:hint="eastAsia"/>
        <w:lang w:val="en-US" w:eastAsia="zh-CN"/>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mNjc4ZGJiNzMyMDMzNzRiMzU1MzYyZmUxMzQ1ZT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6EB"/>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458"/>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9AA"/>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1956"/>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5B3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B79F7"/>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0A05"/>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42B"/>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636"/>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076"/>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399D"/>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4EC"/>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69A"/>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C7F"/>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8A7"/>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0F34"/>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0EEB"/>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913"/>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31"/>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531"/>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089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406"/>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1E8"/>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1E3"/>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D87"/>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19DA"/>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5A"/>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16"/>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52"/>
    <w:rsid w:val="00DA61AB"/>
    <w:rsid w:val="00DA61CD"/>
    <w:rsid w:val="00DA6EE2"/>
    <w:rsid w:val="00DA718A"/>
    <w:rsid w:val="00DA78CF"/>
    <w:rsid w:val="00DA78D5"/>
    <w:rsid w:val="00DA7A89"/>
    <w:rsid w:val="00DA7BF4"/>
    <w:rsid w:val="00DB052F"/>
    <w:rsid w:val="00DB14D3"/>
    <w:rsid w:val="00DB154B"/>
    <w:rsid w:val="00DB1BDC"/>
    <w:rsid w:val="00DB256D"/>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5F4B"/>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3B00"/>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3F63"/>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3F2A53"/>
    <w:rsid w:val="024156EE"/>
    <w:rsid w:val="026B2E25"/>
    <w:rsid w:val="02824D4D"/>
    <w:rsid w:val="02DC4B10"/>
    <w:rsid w:val="02DD76CE"/>
    <w:rsid w:val="02F36323"/>
    <w:rsid w:val="02F5619C"/>
    <w:rsid w:val="0326446A"/>
    <w:rsid w:val="032D5555"/>
    <w:rsid w:val="03463A74"/>
    <w:rsid w:val="03604B36"/>
    <w:rsid w:val="036634D2"/>
    <w:rsid w:val="03A22080"/>
    <w:rsid w:val="03D83E39"/>
    <w:rsid w:val="03DD35E4"/>
    <w:rsid w:val="04076900"/>
    <w:rsid w:val="041A5A3B"/>
    <w:rsid w:val="042311BA"/>
    <w:rsid w:val="04277401"/>
    <w:rsid w:val="042B157A"/>
    <w:rsid w:val="044F07A2"/>
    <w:rsid w:val="048F763B"/>
    <w:rsid w:val="049F330E"/>
    <w:rsid w:val="04AA775C"/>
    <w:rsid w:val="04AF1889"/>
    <w:rsid w:val="04F66F48"/>
    <w:rsid w:val="05251E14"/>
    <w:rsid w:val="05782918"/>
    <w:rsid w:val="05A16594"/>
    <w:rsid w:val="05A7762D"/>
    <w:rsid w:val="060E5941"/>
    <w:rsid w:val="06110FAF"/>
    <w:rsid w:val="061708BA"/>
    <w:rsid w:val="06493CA7"/>
    <w:rsid w:val="065A6178"/>
    <w:rsid w:val="066F1CF3"/>
    <w:rsid w:val="06914150"/>
    <w:rsid w:val="06930BB8"/>
    <w:rsid w:val="07245D42"/>
    <w:rsid w:val="07264C62"/>
    <w:rsid w:val="07630750"/>
    <w:rsid w:val="0779354C"/>
    <w:rsid w:val="07885862"/>
    <w:rsid w:val="07D1358A"/>
    <w:rsid w:val="08061376"/>
    <w:rsid w:val="08452D77"/>
    <w:rsid w:val="086401F8"/>
    <w:rsid w:val="08751CAA"/>
    <w:rsid w:val="087E4C40"/>
    <w:rsid w:val="08962A29"/>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7F7F97"/>
    <w:rsid w:val="0A961435"/>
    <w:rsid w:val="0AA374A5"/>
    <w:rsid w:val="0AAB7649"/>
    <w:rsid w:val="0ABC5606"/>
    <w:rsid w:val="0B30404E"/>
    <w:rsid w:val="0B4C6C14"/>
    <w:rsid w:val="0B631A88"/>
    <w:rsid w:val="0B683D45"/>
    <w:rsid w:val="0B7D5D15"/>
    <w:rsid w:val="0B7F3F11"/>
    <w:rsid w:val="0B884417"/>
    <w:rsid w:val="0BF6188C"/>
    <w:rsid w:val="0BF73C91"/>
    <w:rsid w:val="0BFB189F"/>
    <w:rsid w:val="0C063DA0"/>
    <w:rsid w:val="0C0701CD"/>
    <w:rsid w:val="0C170175"/>
    <w:rsid w:val="0C1D76E7"/>
    <w:rsid w:val="0C5220AE"/>
    <w:rsid w:val="0C571A41"/>
    <w:rsid w:val="0C5C1171"/>
    <w:rsid w:val="0C5E1CBC"/>
    <w:rsid w:val="0C615B50"/>
    <w:rsid w:val="0C802428"/>
    <w:rsid w:val="0C8445DA"/>
    <w:rsid w:val="0C87121B"/>
    <w:rsid w:val="0CC007F7"/>
    <w:rsid w:val="0CC149A5"/>
    <w:rsid w:val="0CFE707A"/>
    <w:rsid w:val="0D063BDA"/>
    <w:rsid w:val="0D08375F"/>
    <w:rsid w:val="0D184CFB"/>
    <w:rsid w:val="0D4A7419"/>
    <w:rsid w:val="0D827401"/>
    <w:rsid w:val="0D84094E"/>
    <w:rsid w:val="0D8A00E9"/>
    <w:rsid w:val="0D8D589E"/>
    <w:rsid w:val="0DA01C73"/>
    <w:rsid w:val="0DD63300"/>
    <w:rsid w:val="0DE75511"/>
    <w:rsid w:val="0DF50604"/>
    <w:rsid w:val="0DF702FE"/>
    <w:rsid w:val="0E060E51"/>
    <w:rsid w:val="0E5604B2"/>
    <w:rsid w:val="0E6D5D79"/>
    <w:rsid w:val="0E8F43C2"/>
    <w:rsid w:val="0E9D0089"/>
    <w:rsid w:val="0EB803EE"/>
    <w:rsid w:val="0EF94D4B"/>
    <w:rsid w:val="0F021BCC"/>
    <w:rsid w:val="0F4958DC"/>
    <w:rsid w:val="0F515DF7"/>
    <w:rsid w:val="0F535C96"/>
    <w:rsid w:val="0F596BA8"/>
    <w:rsid w:val="0F6248D2"/>
    <w:rsid w:val="0F632911"/>
    <w:rsid w:val="0F693536"/>
    <w:rsid w:val="0F7B0511"/>
    <w:rsid w:val="0F7B76D9"/>
    <w:rsid w:val="0F816ACD"/>
    <w:rsid w:val="0F9832DB"/>
    <w:rsid w:val="0FB431D9"/>
    <w:rsid w:val="0FBF3FD2"/>
    <w:rsid w:val="0FBF7FF3"/>
    <w:rsid w:val="10001551"/>
    <w:rsid w:val="10646583"/>
    <w:rsid w:val="107D4B15"/>
    <w:rsid w:val="108A3C80"/>
    <w:rsid w:val="10C26171"/>
    <w:rsid w:val="10F33360"/>
    <w:rsid w:val="10FC16EA"/>
    <w:rsid w:val="110E10F1"/>
    <w:rsid w:val="110F1D40"/>
    <w:rsid w:val="11266F33"/>
    <w:rsid w:val="118253BD"/>
    <w:rsid w:val="118963A1"/>
    <w:rsid w:val="11A96BF0"/>
    <w:rsid w:val="11C6522A"/>
    <w:rsid w:val="11E07AD1"/>
    <w:rsid w:val="11E104CC"/>
    <w:rsid w:val="11E20309"/>
    <w:rsid w:val="12255233"/>
    <w:rsid w:val="12530213"/>
    <w:rsid w:val="127723A9"/>
    <w:rsid w:val="12862074"/>
    <w:rsid w:val="12883966"/>
    <w:rsid w:val="129E45B4"/>
    <w:rsid w:val="12D81596"/>
    <w:rsid w:val="13072A44"/>
    <w:rsid w:val="135F4BE2"/>
    <w:rsid w:val="137D0DEC"/>
    <w:rsid w:val="13982C39"/>
    <w:rsid w:val="139B1A0A"/>
    <w:rsid w:val="139D25C7"/>
    <w:rsid w:val="13BF3CE4"/>
    <w:rsid w:val="141008D8"/>
    <w:rsid w:val="14125FE6"/>
    <w:rsid w:val="14294AD0"/>
    <w:rsid w:val="146D271E"/>
    <w:rsid w:val="14982588"/>
    <w:rsid w:val="149A5AD9"/>
    <w:rsid w:val="14A7619D"/>
    <w:rsid w:val="14BA0BCF"/>
    <w:rsid w:val="14CA62B3"/>
    <w:rsid w:val="14D262B5"/>
    <w:rsid w:val="150536C3"/>
    <w:rsid w:val="150C1963"/>
    <w:rsid w:val="151447A0"/>
    <w:rsid w:val="154A6454"/>
    <w:rsid w:val="156669A8"/>
    <w:rsid w:val="15762120"/>
    <w:rsid w:val="15C00E5A"/>
    <w:rsid w:val="15EC04AB"/>
    <w:rsid w:val="16A8729C"/>
    <w:rsid w:val="16B33777"/>
    <w:rsid w:val="16BC70A7"/>
    <w:rsid w:val="16BF32B3"/>
    <w:rsid w:val="16C6339E"/>
    <w:rsid w:val="17042E02"/>
    <w:rsid w:val="170610F8"/>
    <w:rsid w:val="170A15C8"/>
    <w:rsid w:val="172F2D79"/>
    <w:rsid w:val="17557BEF"/>
    <w:rsid w:val="17D349C1"/>
    <w:rsid w:val="1830729E"/>
    <w:rsid w:val="1870062C"/>
    <w:rsid w:val="18817102"/>
    <w:rsid w:val="18830A15"/>
    <w:rsid w:val="18852B28"/>
    <w:rsid w:val="188B5321"/>
    <w:rsid w:val="188C79A1"/>
    <w:rsid w:val="18FC2175"/>
    <w:rsid w:val="18FF0241"/>
    <w:rsid w:val="1980756A"/>
    <w:rsid w:val="19932372"/>
    <w:rsid w:val="19A20DD5"/>
    <w:rsid w:val="19AE03F1"/>
    <w:rsid w:val="1A071A03"/>
    <w:rsid w:val="1A1F16AE"/>
    <w:rsid w:val="1A3B5C77"/>
    <w:rsid w:val="1A48704D"/>
    <w:rsid w:val="1A984BAD"/>
    <w:rsid w:val="1AB8220E"/>
    <w:rsid w:val="1ABA500B"/>
    <w:rsid w:val="1AE4166C"/>
    <w:rsid w:val="1AF06CFB"/>
    <w:rsid w:val="1AF11B8D"/>
    <w:rsid w:val="1B11359C"/>
    <w:rsid w:val="1B2163CC"/>
    <w:rsid w:val="1B2A271F"/>
    <w:rsid w:val="1B530544"/>
    <w:rsid w:val="1B713184"/>
    <w:rsid w:val="1BA209CF"/>
    <w:rsid w:val="1BB4777D"/>
    <w:rsid w:val="1BD75AB8"/>
    <w:rsid w:val="1C0459C2"/>
    <w:rsid w:val="1C1B3B4A"/>
    <w:rsid w:val="1C5348DD"/>
    <w:rsid w:val="1C88086E"/>
    <w:rsid w:val="1C8E668E"/>
    <w:rsid w:val="1C9D24FF"/>
    <w:rsid w:val="1D266CE1"/>
    <w:rsid w:val="1D3963AF"/>
    <w:rsid w:val="1D4F1E7E"/>
    <w:rsid w:val="1D5E5FA2"/>
    <w:rsid w:val="1D6A673C"/>
    <w:rsid w:val="1D8F18A8"/>
    <w:rsid w:val="1D9247AE"/>
    <w:rsid w:val="1DB567EC"/>
    <w:rsid w:val="1DF51A98"/>
    <w:rsid w:val="1E3D060F"/>
    <w:rsid w:val="1E3F7D2E"/>
    <w:rsid w:val="1E4134E4"/>
    <w:rsid w:val="1E5062B3"/>
    <w:rsid w:val="1E523514"/>
    <w:rsid w:val="1E6814E5"/>
    <w:rsid w:val="1E714A66"/>
    <w:rsid w:val="1E802593"/>
    <w:rsid w:val="1E82212B"/>
    <w:rsid w:val="1E932E17"/>
    <w:rsid w:val="1EA703CC"/>
    <w:rsid w:val="1EB7330C"/>
    <w:rsid w:val="1F0A0FF3"/>
    <w:rsid w:val="1F5771FF"/>
    <w:rsid w:val="1FBF421C"/>
    <w:rsid w:val="1FE868A9"/>
    <w:rsid w:val="20034907"/>
    <w:rsid w:val="20173E4B"/>
    <w:rsid w:val="204E48BC"/>
    <w:rsid w:val="208921B3"/>
    <w:rsid w:val="20973DEB"/>
    <w:rsid w:val="20A86FEA"/>
    <w:rsid w:val="20B26522"/>
    <w:rsid w:val="20B44310"/>
    <w:rsid w:val="20EA1D9A"/>
    <w:rsid w:val="20F87A83"/>
    <w:rsid w:val="211116EB"/>
    <w:rsid w:val="21442F49"/>
    <w:rsid w:val="214C3C4D"/>
    <w:rsid w:val="216133FC"/>
    <w:rsid w:val="2187594D"/>
    <w:rsid w:val="21AA7187"/>
    <w:rsid w:val="21D56769"/>
    <w:rsid w:val="21E52EF3"/>
    <w:rsid w:val="21FB5D7B"/>
    <w:rsid w:val="220129F6"/>
    <w:rsid w:val="220B1C3D"/>
    <w:rsid w:val="221D1D20"/>
    <w:rsid w:val="222039B6"/>
    <w:rsid w:val="22334A87"/>
    <w:rsid w:val="22BE6801"/>
    <w:rsid w:val="233500BF"/>
    <w:rsid w:val="23377FF7"/>
    <w:rsid w:val="236B425F"/>
    <w:rsid w:val="23836192"/>
    <w:rsid w:val="23901F29"/>
    <w:rsid w:val="239C0061"/>
    <w:rsid w:val="23AA7D54"/>
    <w:rsid w:val="23B908A4"/>
    <w:rsid w:val="23E95BEF"/>
    <w:rsid w:val="23FD0064"/>
    <w:rsid w:val="24433C55"/>
    <w:rsid w:val="245375B0"/>
    <w:rsid w:val="24642C0A"/>
    <w:rsid w:val="24B22173"/>
    <w:rsid w:val="24B95AD9"/>
    <w:rsid w:val="24BE24DA"/>
    <w:rsid w:val="24CF5825"/>
    <w:rsid w:val="24D663E6"/>
    <w:rsid w:val="24D77F2B"/>
    <w:rsid w:val="252B0A60"/>
    <w:rsid w:val="258B00E2"/>
    <w:rsid w:val="25A917A6"/>
    <w:rsid w:val="25BE27CC"/>
    <w:rsid w:val="25F74A5C"/>
    <w:rsid w:val="261843A2"/>
    <w:rsid w:val="2628662C"/>
    <w:rsid w:val="262D45DE"/>
    <w:rsid w:val="269E759F"/>
    <w:rsid w:val="26A53EF9"/>
    <w:rsid w:val="26A94201"/>
    <w:rsid w:val="26AC274F"/>
    <w:rsid w:val="27044A29"/>
    <w:rsid w:val="271D34C8"/>
    <w:rsid w:val="276142BF"/>
    <w:rsid w:val="27783712"/>
    <w:rsid w:val="27907362"/>
    <w:rsid w:val="27B150B0"/>
    <w:rsid w:val="28333E1D"/>
    <w:rsid w:val="28454BD6"/>
    <w:rsid w:val="28455253"/>
    <w:rsid w:val="28551971"/>
    <w:rsid w:val="285B1C53"/>
    <w:rsid w:val="288B2A44"/>
    <w:rsid w:val="289F7086"/>
    <w:rsid w:val="28C32028"/>
    <w:rsid w:val="28CC490F"/>
    <w:rsid w:val="28DE40AA"/>
    <w:rsid w:val="29345E77"/>
    <w:rsid w:val="294C65AD"/>
    <w:rsid w:val="29806583"/>
    <w:rsid w:val="298B3C4C"/>
    <w:rsid w:val="29F17253"/>
    <w:rsid w:val="29F26D24"/>
    <w:rsid w:val="29F32E8B"/>
    <w:rsid w:val="2A15033F"/>
    <w:rsid w:val="2A1662C1"/>
    <w:rsid w:val="2A1C7367"/>
    <w:rsid w:val="2A2815FA"/>
    <w:rsid w:val="2A6D3510"/>
    <w:rsid w:val="2A6D6092"/>
    <w:rsid w:val="2A7D31F3"/>
    <w:rsid w:val="2A7D76B4"/>
    <w:rsid w:val="2A9974A4"/>
    <w:rsid w:val="2B437463"/>
    <w:rsid w:val="2B4A10E3"/>
    <w:rsid w:val="2B7807EE"/>
    <w:rsid w:val="2BBB2EAF"/>
    <w:rsid w:val="2BBF00EC"/>
    <w:rsid w:val="2BC37CFD"/>
    <w:rsid w:val="2BCA4992"/>
    <w:rsid w:val="2BD5237F"/>
    <w:rsid w:val="2BE02A8B"/>
    <w:rsid w:val="2BE536CE"/>
    <w:rsid w:val="2BE758D9"/>
    <w:rsid w:val="2C09049E"/>
    <w:rsid w:val="2C0A653C"/>
    <w:rsid w:val="2C0F02F4"/>
    <w:rsid w:val="2C191F85"/>
    <w:rsid w:val="2C58133E"/>
    <w:rsid w:val="2C6C7DEF"/>
    <w:rsid w:val="2CC91630"/>
    <w:rsid w:val="2CE82D6F"/>
    <w:rsid w:val="2D343236"/>
    <w:rsid w:val="2DD15014"/>
    <w:rsid w:val="2DF67CC1"/>
    <w:rsid w:val="2DF72DE4"/>
    <w:rsid w:val="2E0220AF"/>
    <w:rsid w:val="2E4B082A"/>
    <w:rsid w:val="2E5D4E86"/>
    <w:rsid w:val="2E5D790B"/>
    <w:rsid w:val="2E9A3C18"/>
    <w:rsid w:val="2EBB0FEE"/>
    <w:rsid w:val="2EC63002"/>
    <w:rsid w:val="2ED973C6"/>
    <w:rsid w:val="2F0A6B38"/>
    <w:rsid w:val="2F946CCB"/>
    <w:rsid w:val="2FD25781"/>
    <w:rsid w:val="2FFD7934"/>
    <w:rsid w:val="30682246"/>
    <w:rsid w:val="30733ACD"/>
    <w:rsid w:val="308C3862"/>
    <w:rsid w:val="309379D8"/>
    <w:rsid w:val="30A270F7"/>
    <w:rsid w:val="30AE6FB0"/>
    <w:rsid w:val="30D04931"/>
    <w:rsid w:val="30DF1478"/>
    <w:rsid w:val="30EC586F"/>
    <w:rsid w:val="3105779E"/>
    <w:rsid w:val="31112756"/>
    <w:rsid w:val="319C6071"/>
    <w:rsid w:val="31AC537E"/>
    <w:rsid w:val="31B4017A"/>
    <w:rsid w:val="31E3679B"/>
    <w:rsid w:val="31E732FD"/>
    <w:rsid w:val="32517576"/>
    <w:rsid w:val="32BE5C2C"/>
    <w:rsid w:val="32FB6478"/>
    <w:rsid w:val="33263B3F"/>
    <w:rsid w:val="336963EB"/>
    <w:rsid w:val="33816EEB"/>
    <w:rsid w:val="33EB55CD"/>
    <w:rsid w:val="33EC4C02"/>
    <w:rsid w:val="33F05B15"/>
    <w:rsid w:val="33FE43C4"/>
    <w:rsid w:val="340D2360"/>
    <w:rsid w:val="3410665D"/>
    <w:rsid w:val="34211214"/>
    <w:rsid w:val="342E63AB"/>
    <w:rsid w:val="34950E68"/>
    <w:rsid w:val="34986E94"/>
    <w:rsid w:val="34AF62C9"/>
    <w:rsid w:val="34CB4388"/>
    <w:rsid w:val="34FA6E12"/>
    <w:rsid w:val="354B4447"/>
    <w:rsid w:val="35530223"/>
    <w:rsid w:val="35715B00"/>
    <w:rsid w:val="358D5588"/>
    <w:rsid w:val="35E36D7D"/>
    <w:rsid w:val="360D5BA8"/>
    <w:rsid w:val="36140CC0"/>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5950D4"/>
    <w:rsid w:val="386817BB"/>
    <w:rsid w:val="38BC0149"/>
    <w:rsid w:val="38D87D1C"/>
    <w:rsid w:val="39636459"/>
    <w:rsid w:val="39647F89"/>
    <w:rsid w:val="396B7F6C"/>
    <w:rsid w:val="39B417A9"/>
    <w:rsid w:val="39D778FC"/>
    <w:rsid w:val="39E27A90"/>
    <w:rsid w:val="39FB6D73"/>
    <w:rsid w:val="39FC5695"/>
    <w:rsid w:val="3A006D8E"/>
    <w:rsid w:val="3A331955"/>
    <w:rsid w:val="3A3651E5"/>
    <w:rsid w:val="3A744481"/>
    <w:rsid w:val="3A8C7BEF"/>
    <w:rsid w:val="3A906246"/>
    <w:rsid w:val="3B2349B7"/>
    <w:rsid w:val="3B410F13"/>
    <w:rsid w:val="3B4D6624"/>
    <w:rsid w:val="3B616CFF"/>
    <w:rsid w:val="3B6259F6"/>
    <w:rsid w:val="3B976654"/>
    <w:rsid w:val="3BC01EFC"/>
    <w:rsid w:val="3BCA786A"/>
    <w:rsid w:val="3BD31E2F"/>
    <w:rsid w:val="3BF15831"/>
    <w:rsid w:val="3C105946"/>
    <w:rsid w:val="3C471448"/>
    <w:rsid w:val="3C5F759A"/>
    <w:rsid w:val="3C617A90"/>
    <w:rsid w:val="3C6C525A"/>
    <w:rsid w:val="3C7B3283"/>
    <w:rsid w:val="3CCE23CB"/>
    <w:rsid w:val="3CD17D17"/>
    <w:rsid w:val="3D3C7F39"/>
    <w:rsid w:val="3D440F09"/>
    <w:rsid w:val="3D4504A0"/>
    <w:rsid w:val="3D8734BB"/>
    <w:rsid w:val="3D9A11D4"/>
    <w:rsid w:val="3DA16D89"/>
    <w:rsid w:val="3DA364BE"/>
    <w:rsid w:val="3DA63ECD"/>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9736B"/>
    <w:rsid w:val="3F1D1096"/>
    <w:rsid w:val="3F2F0234"/>
    <w:rsid w:val="3F6363FE"/>
    <w:rsid w:val="3F6532F2"/>
    <w:rsid w:val="3F756B8F"/>
    <w:rsid w:val="3F781E00"/>
    <w:rsid w:val="3F8166FC"/>
    <w:rsid w:val="3F8E1B07"/>
    <w:rsid w:val="3F95482B"/>
    <w:rsid w:val="4019356B"/>
    <w:rsid w:val="401F27C9"/>
    <w:rsid w:val="403C77B5"/>
    <w:rsid w:val="40421F64"/>
    <w:rsid w:val="40592157"/>
    <w:rsid w:val="406E1CAE"/>
    <w:rsid w:val="40827192"/>
    <w:rsid w:val="409812A1"/>
    <w:rsid w:val="40A0133A"/>
    <w:rsid w:val="40C31A53"/>
    <w:rsid w:val="40FF545D"/>
    <w:rsid w:val="410067C8"/>
    <w:rsid w:val="415F3C5A"/>
    <w:rsid w:val="418F0D2A"/>
    <w:rsid w:val="41AF32FF"/>
    <w:rsid w:val="41CB5D4C"/>
    <w:rsid w:val="41D01505"/>
    <w:rsid w:val="42474939"/>
    <w:rsid w:val="424C3C57"/>
    <w:rsid w:val="426043A2"/>
    <w:rsid w:val="42613FF3"/>
    <w:rsid w:val="42660D96"/>
    <w:rsid w:val="428667D2"/>
    <w:rsid w:val="42C024C7"/>
    <w:rsid w:val="42CD1CE0"/>
    <w:rsid w:val="42E1381E"/>
    <w:rsid w:val="42ED6459"/>
    <w:rsid w:val="42F0276F"/>
    <w:rsid w:val="42FE58DD"/>
    <w:rsid w:val="43174B3D"/>
    <w:rsid w:val="434B790E"/>
    <w:rsid w:val="4360274F"/>
    <w:rsid w:val="43977AB6"/>
    <w:rsid w:val="43A3342B"/>
    <w:rsid w:val="43C77C27"/>
    <w:rsid w:val="43DE09EE"/>
    <w:rsid w:val="44002FAD"/>
    <w:rsid w:val="449101DD"/>
    <w:rsid w:val="44A96E38"/>
    <w:rsid w:val="44DE1391"/>
    <w:rsid w:val="451B225C"/>
    <w:rsid w:val="452410C9"/>
    <w:rsid w:val="45317DFB"/>
    <w:rsid w:val="456D3CE4"/>
    <w:rsid w:val="4579042C"/>
    <w:rsid w:val="457F0571"/>
    <w:rsid w:val="45851176"/>
    <w:rsid w:val="45BF61BF"/>
    <w:rsid w:val="45C63B94"/>
    <w:rsid w:val="45ED5BF0"/>
    <w:rsid w:val="460E7DA5"/>
    <w:rsid w:val="462036D5"/>
    <w:rsid w:val="46422483"/>
    <w:rsid w:val="4659254A"/>
    <w:rsid w:val="465B0637"/>
    <w:rsid w:val="465E3F0D"/>
    <w:rsid w:val="466A16E6"/>
    <w:rsid w:val="46893F2B"/>
    <w:rsid w:val="46C4686E"/>
    <w:rsid w:val="46F907D7"/>
    <w:rsid w:val="477B778F"/>
    <w:rsid w:val="47814E49"/>
    <w:rsid w:val="478203EC"/>
    <w:rsid w:val="47B025FA"/>
    <w:rsid w:val="47BB36B5"/>
    <w:rsid w:val="4809698F"/>
    <w:rsid w:val="4811697D"/>
    <w:rsid w:val="482D7546"/>
    <w:rsid w:val="48433EA8"/>
    <w:rsid w:val="487A3E25"/>
    <w:rsid w:val="488B5503"/>
    <w:rsid w:val="48937E21"/>
    <w:rsid w:val="489A0361"/>
    <w:rsid w:val="48B94FF3"/>
    <w:rsid w:val="48E37AAB"/>
    <w:rsid w:val="48FD4B4C"/>
    <w:rsid w:val="490A68E0"/>
    <w:rsid w:val="491055FE"/>
    <w:rsid w:val="495F5B3E"/>
    <w:rsid w:val="496F77D7"/>
    <w:rsid w:val="497654FD"/>
    <w:rsid w:val="497C2B27"/>
    <w:rsid w:val="49B4660E"/>
    <w:rsid w:val="49B64211"/>
    <w:rsid w:val="49F6167F"/>
    <w:rsid w:val="4A064FA0"/>
    <w:rsid w:val="4A16615C"/>
    <w:rsid w:val="4A4424D7"/>
    <w:rsid w:val="4A697CFB"/>
    <w:rsid w:val="4AB82D0F"/>
    <w:rsid w:val="4AEB7664"/>
    <w:rsid w:val="4AFD7C19"/>
    <w:rsid w:val="4B0567D1"/>
    <w:rsid w:val="4B236AAE"/>
    <w:rsid w:val="4B35377F"/>
    <w:rsid w:val="4B707271"/>
    <w:rsid w:val="4B747158"/>
    <w:rsid w:val="4B9739F7"/>
    <w:rsid w:val="4BAF683C"/>
    <w:rsid w:val="4BEE2503"/>
    <w:rsid w:val="4C1A1980"/>
    <w:rsid w:val="4C245A30"/>
    <w:rsid w:val="4CB6685F"/>
    <w:rsid w:val="4CC367FE"/>
    <w:rsid w:val="4D077F3C"/>
    <w:rsid w:val="4D123355"/>
    <w:rsid w:val="4D2A3B31"/>
    <w:rsid w:val="4D312C52"/>
    <w:rsid w:val="4D6735DB"/>
    <w:rsid w:val="4D905305"/>
    <w:rsid w:val="4D964A72"/>
    <w:rsid w:val="4D9C1254"/>
    <w:rsid w:val="4E4F1CA6"/>
    <w:rsid w:val="4E793892"/>
    <w:rsid w:val="4E800872"/>
    <w:rsid w:val="4EC569ED"/>
    <w:rsid w:val="4ECB7419"/>
    <w:rsid w:val="4ED50EA1"/>
    <w:rsid w:val="4EEC050C"/>
    <w:rsid w:val="4F104EC3"/>
    <w:rsid w:val="4F47354A"/>
    <w:rsid w:val="4F7E1357"/>
    <w:rsid w:val="4F911C54"/>
    <w:rsid w:val="4FE625E0"/>
    <w:rsid w:val="5021480F"/>
    <w:rsid w:val="50962ECB"/>
    <w:rsid w:val="50962F12"/>
    <w:rsid w:val="50A42E38"/>
    <w:rsid w:val="50A4577F"/>
    <w:rsid w:val="50B73D1F"/>
    <w:rsid w:val="50BD5BC9"/>
    <w:rsid w:val="50C11EEE"/>
    <w:rsid w:val="50E97CFC"/>
    <w:rsid w:val="50FA4028"/>
    <w:rsid w:val="510D65B7"/>
    <w:rsid w:val="511157AB"/>
    <w:rsid w:val="5142540C"/>
    <w:rsid w:val="514A4EC8"/>
    <w:rsid w:val="518832C8"/>
    <w:rsid w:val="51A0432A"/>
    <w:rsid w:val="51A86090"/>
    <w:rsid w:val="51B7396D"/>
    <w:rsid w:val="51D874A6"/>
    <w:rsid w:val="51F22A5F"/>
    <w:rsid w:val="522E4CC3"/>
    <w:rsid w:val="5244713B"/>
    <w:rsid w:val="52615633"/>
    <w:rsid w:val="52977FD4"/>
    <w:rsid w:val="52A25790"/>
    <w:rsid w:val="52A821E0"/>
    <w:rsid w:val="52A96B6F"/>
    <w:rsid w:val="52B45975"/>
    <w:rsid w:val="52D94AA4"/>
    <w:rsid w:val="52E448CC"/>
    <w:rsid w:val="52E67F33"/>
    <w:rsid w:val="52EA3A62"/>
    <w:rsid w:val="52F50BB8"/>
    <w:rsid w:val="53097272"/>
    <w:rsid w:val="53544462"/>
    <w:rsid w:val="5397158E"/>
    <w:rsid w:val="54013861"/>
    <w:rsid w:val="54483D0D"/>
    <w:rsid w:val="54487265"/>
    <w:rsid w:val="544D6070"/>
    <w:rsid w:val="54605E1E"/>
    <w:rsid w:val="548B182B"/>
    <w:rsid w:val="54B3506A"/>
    <w:rsid w:val="54CA0D16"/>
    <w:rsid w:val="54DD4057"/>
    <w:rsid w:val="54E7490F"/>
    <w:rsid w:val="55016BCB"/>
    <w:rsid w:val="550764A4"/>
    <w:rsid w:val="550B2BF6"/>
    <w:rsid w:val="55214EB5"/>
    <w:rsid w:val="55252C86"/>
    <w:rsid w:val="55364EFD"/>
    <w:rsid w:val="554B1D98"/>
    <w:rsid w:val="555D4828"/>
    <w:rsid w:val="555F0CAB"/>
    <w:rsid w:val="557A4C8B"/>
    <w:rsid w:val="557B26D6"/>
    <w:rsid w:val="558931E1"/>
    <w:rsid w:val="55923347"/>
    <w:rsid w:val="55925180"/>
    <w:rsid w:val="55983B1B"/>
    <w:rsid w:val="55A8376B"/>
    <w:rsid w:val="55DC29B6"/>
    <w:rsid w:val="55DD4241"/>
    <w:rsid w:val="566B6D1E"/>
    <w:rsid w:val="56C97BE7"/>
    <w:rsid w:val="57032A2C"/>
    <w:rsid w:val="570F5219"/>
    <w:rsid w:val="57364582"/>
    <w:rsid w:val="575D12B5"/>
    <w:rsid w:val="57610A87"/>
    <w:rsid w:val="577B1140"/>
    <w:rsid w:val="577B7F21"/>
    <w:rsid w:val="577F181B"/>
    <w:rsid w:val="57921984"/>
    <w:rsid w:val="579737F0"/>
    <w:rsid w:val="57AB7B30"/>
    <w:rsid w:val="57AF5251"/>
    <w:rsid w:val="57B26373"/>
    <w:rsid w:val="57B63F04"/>
    <w:rsid w:val="57CD20C2"/>
    <w:rsid w:val="57D675AB"/>
    <w:rsid w:val="57D95FDD"/>
    <w:rsid w:val="584B3471"/>
    <w:rsid w:val="58917D2F"/>
    <w:rsid w:val="5894085C"/>
    <w:rsid w:val="58AE4F0C"/>
    <w:rsid w:val="58B85899"/>
    <w:rsid w:val="58E363A9"/>
    <w:rsid w:val="595E1678"/>
    <w:rsid w:val="59694BE8"/>
    <w:rsid w:val="596D5BD4"/>
    <w:rsid w:val="597E3DD8"/>
    <w:rsid w:val="598D5E93"/>
    <w:rsid w:val="59F80043"/>
    <w:rsid w:val="5A09252F"/>
    <w:rsid w:val="5A0B2778"/>
    <w:rsid w:val="5A134FAF"/>
    <w:rsid w:val="5A2A7C7B"/>
    <w:rsid w:val="5A3E2560"/>
    <w:rsid w:val="5A5D3B6E"/>
    <w:rsid w:val="5A5D684E"/>
    <w:rsid w:val="5A637A76"/>
    <w:rsid w:val="5A6D33BA"/>
    <w:rsid w:val="5A792B1F"/>
    <w:rsid w:val="5A7B63A6"/>
    <w:rsid w:val="5A874767"/>
    <w:rsid w:val="5AAD6F28"/>
    <w:rsid w:val="5AD63A24"/>
    <w:rsid w:val="5B2E1A1D"/>
    <w:rsid w:val="5B843A1C"/>
    <w:rsid w:val="5B873E3F"/>
    <w:rsid w:val="5B8D3163"/>
    <w:rsid w:val="5C02690E"/>
    <w:rsid w:val="5C196DA7"/>
    <w:rsid w:val="5C2A048C"/>
    <w:rsid w:val="5C80234E"/>
    <w:rsid w:val="5C8A680C"/>
    <w:rsid w:val="5C9800BC"/>
    <w:rsid w:val="5D0C4701"/>
    <w:rsid w:val="5D0F0395"/>
    <w:rsid w:val="5D221076"/>
    <w:rsid w:val="5D2D69AC"/>
    <w:rsid w:val="5D397964"/>
    <w:rsid w:val="5D4A1228"/>
    <w:rsid w:val="5D5A391C"/>
    <w:rsid w:val="5D5F10C0"/>
    <w:rsid w:val="5D736A1E"/>
    <w:rsid w:val="5D891B7B"/>
    <w:rsid w:val="5DAD38EE"/>
    <w:rsid w:val="5DBB1A8F"/>
    <w:rsid w:val="5E006862"/>
    <w:rsid w:val="5E0207B9"/>
    <w:rsid w:val="5E041912"/>
    <w:rsid w:val="5E1834A1"/>
    <w:rsid w:val="5E261785"/>
    <w:rsid w:val="5E4A7017"/>
    <w:rsid w:val="5E50172C"/>
    <w:rsid w:val="5E552BBA"/>
    <w:rsid w:val="5E611C10"/>
    <w:rsid w:val="5E69089E"/>
    <w:rsid w:val="5E6A4482"/>
    <w:rsid w:val="5E764031"/>
    <w:rsid w:val="5EA20CD3"/>
    <w:rsid w:val="5EFC7377"/>
    <w:rsid w:val="5F06174D"/>
    <w:rsid w:val="5F3A3602"/>
    <w:rsid w:val="5F6277C6"/>
    <w:rsid w:val="5F6D0B1D"/>
    <w:rsid w:val="5F8D0B82"/>
    <w:rsid w:val="5F8D1984"/>
    <w:rsid w:val="5FCC5339"/>
    <w:rsid w:val="5FE34A5B"/>
    <w:rsid w:val="5FEE0301"/>
    <w:rsid w:val="5FFE1E36"/>
    <w:rsid w:val="60232584"/>
    <w:rsid w:val="607330CE"/>
    <w:rsid w:val="60825176"/>
    <w:rsid w:val="609F2AC4"/>
    <w:rsid w:val="60FA2EE8"/>
    <w:rsid w:val="61054A27"/>
    <w:rsid w:val="61061B60"/>
    <w:rsid w:val="610A52BC"/>
    <w:rsid w:val="611D2366"/>
    <w:rsid w:val="61421856"/>
    <w:rsid w:val="615227C4"/>
    <w:rsid w:val="61654E3F"/>
    <w:rsid w:val="6182292A"/>
    <w:rsid w:val="619F7F92"/>
    <w:rsid w:val="61E0223F"/>
    <w:rsid w:val="61F94C26"/>
    <w:rsid w:val="62000E56"/>
    <w:rsid w:val="62013264"/>
    <w:rsid w:val="624F3E49"/>
    <w:rsid w:val="62632286"/>
    <w:rsid w:val="6280045C"/>
    <w:rsid w:val="62885958"/>
    <w:rsid w:val="62F40B65"/>
    <w:rsid w:val="62FC2CFE"/>
    <w:rsid w:val="63024505"/>
    <w:rsid w:val="635B1DB5"/>
    <w:rsid w:val="63711FED"/>
    <w:rsid w:val="63880DDC"/>
    <w:rsid w:val="638D750D"/>
    <w:rsid w:val="63AC6CC0"/>
    <w:rsid w:val="64055776"/>
    <w:rsid w:val="64240056"/>
    <w:rsid w:val="643E143A"/>
    <w:rsid w:val="648B6EEF"/>
    <w:rsid w:val="64C158BF"/>
    <w:rsid w:val="64CE2EAA"/>
    <w:rsid w:val="65217654"/>
    <w:rsid w:val="653C3090"/>
    <w:rsid w:val="65854376"/>
    <w:rsid w:val="658767BE"/>
    <w:rsid w:val="65892531"/>
    <w:rsid w:val="66195831"/>
    <w:rsid w:val="662E75B1"/>
    <w:rsid w:val="66342C2E"/>
    <w:rsid w:val="663E784C"/>
    <w:rsid w:val="668B6A45"/>
    <w:rsid w:val="66E328B4"/>
    <w:rsid w:val="67135CE8"/>
    <w:rsid w:val="672F3F24"/>
    <w:rsid w:val="673E055F"/>
    <w:rsid w:val="674175FB"/>
    <w:rsid w:val="67551CE3"/>
    <w:rsid w:val="67A22552"/>
    <w:rsid w:val="67B22DCC"/>
    <w:rsid w:val="67BE71AA"/>
    <w:rsid w:val="67D90273"/>
    <w:rsid w:val="67DE5875"/>
    <w:rsid w:val="67E55852"/>
    <w:rsid w:val="67EB1AB4"/>
    <w:rsid w:val="67FA1285"/>
    <w:rsid w:val="68273FF7"/>
    <w:rsid w:val="68551F4F"/>
    <w:rsid w:val="68737AFB"/>
    <w:rsid w:val="687C10C9"/>
    <w:rsid w:val="68840C16"/>
    <w:rsid w:val="68876EFB"/>
    <w:rsid w:val="68884654"/>
    <w:rsid w:val="689F444F"/>
    <w:rsid w:val="68B96DBB"/>
    <w:rsid w:val="68CA2805"/>
    <w:rsid w:val="68E937A3"/>
    <w:rsid w:val="693E15D3"/>
    <w:rsid w:val="69627681"/>
    <w:rsid w:val="6977531D"/>
    <w:rsid w:val="69CC2BFF"/>
    <w:rsid w:val="69FD55B8"/>
    <w:rsid w:val="6A025FC0"/>
    <w:rsid w:val="6A0B1C62"/>
    <w:rsid w:val="6A2406C8"/>
    <w:rsid w:val="6A343766"/>
    <w:rsid w:val="6ADE0BD1"/>
    <w:rsid w:val="6ADF4614"/>
    <w:rsid w:val="6AE96859"/>
    <w:rsid w:val="6B147746"/>
    <w:rsid w:val="6B24787C"/>
    <w:rsid w:val="6B460C38"/>
    <w:rsid w:val="6B573233"/>
    <w:rsid w:val="6B583B8B"/>
    <w:rsid w:val="6B5B6274"/>
    <w:rsid w:val="6B935D53"/>
    <w:rsid w:val="6C196F71"/>
    <w:rsid w:val="6C226FCB"/>
    <w:rsid w:val="6C31226F"/>
    <w:rsid w:val="6C3C5DDB"/>
    <w:rsid w:val="6C552F0B"/>
    <w:rsid w:val="6C8C67B7"/>
    <w:rsid w:val="6C9D744C"/>
    <w:rsid w:val="6CA04DB4"/>
    <w:rsid w:val="6CCD6EB9"/>
    <w:rsid w:val="6D167928"/>
    <w:rsid w:val="6D26299B"/>
    <w:rsid w:val="6D3D22B1"/>
    <w:rsid w:val="6D4772EC"/>
    <w:rsid w:val="6D9078AF"/>
    <w:rsid w:val="6DAA3FEF"/>
    <w:rsid w:val="6DC0172B"/>
    <w:rsid w:val="6DCB690C"/>
    <w:rsid w:val="6DD41A5B"/>
    <w:rsid w:val="6DF43C2E"/>
    <w:rsid w:val="6DF51CA3"/>
    <w:rsid w:val="6E5B0E2F"/>
    <w:rsid w:val="6E8335BD"/>
    <w:rsid w:val="6E8E12EF"/>
    <w:rsid w:val="6E972936"/>
    <w:rsid w:val="6ED446C5"/>
    <w:rsid w:val="6F2A7D94"/>
    <w:rsid w:val="6F8331F1"/>
    <w:rsid w:val="6F9A64D2"/>
    <w:rsid w:val="6FAE1A09"/>
    <w:rsid w:val="6FD75BF8"/>
    <w:rsid w:val="6FDB71C5"/>
    <w:rsid w:val="6FF60E7F"/>
    <w:rsid w:val="707723D0"/>
    <w:rsid w:val="70F5661B"/>
    <w:rsid w:val="71360107"/>
    <w:rsid w:val="713B688E"/>
    <w:rsid w:val="7177062A"/>
    <w:rsid w:val="71D43752"/>
    <w:rsid w:val="71F1796A"/>
    <w:rsid w:val="72154626"/>
    <w:rsid w:val="72262B5D"/>
    <w:rsid w:val="72283FF7"/>
    <w:rsid w:val="722E7212"/>
    <w:rsid w:val="723A0474"/>
    <w:rsid w:val="725923E4"/>
    <w:rsid w:val="72864BF7"/>
    <w:rsid w:val="729023FC"/>
    <w:rsid w:val="72E2292C"/>
    <w:rsid w:val="7311773A"/>
    <w:rsid w:val="734D7E6B"/>
    <w:rsid w:val="738B5D82"/>
    <w:rsid w:val="73C0646E"/>
    <w:rsid w:val="73C92407"/>
    <w:rsid w:val="742222F5"/>
    <w:rsid w:val="74476126"/>
    <w:rsid w:val="74706664"/>
    <w:rsid w:val="747F3682"/>
    <w:rsid w:val="748C0004"/>
    <w:rsid w:val="749C4185"/>
    <w:rsid w:val="74B2097B"/>
    <w:rsid w:val="75067759"/>
    <w:rsid w:val="752E6DCD"/>
    <w:rsid w:val="75425644"/>
    <w:rsid w:val="7551380D"/>
    <w:rsid w:val="75600BE5"/>
    <w:rsid w:val="7564475C"/>
    <w:rsid w:val="758331B5"/>
    <w:rsid w:val="7583797F"/>
    <w:rsid w:val="75D20F1D"/>
    <w:rsid w:val="75DA2C18"/>
    <w:rsid w:val="75F54412"/>
    <w:rsid w:val="761D08E0"/>
    <w:rsid w:val="765D347C"/>
    <w:rsid w:val="76826699"/>
    <w:rsid w:val="76C40651"/>
    <w:rsid w:val="76C87133"/>
    <w:rsid w:val="76CD08D5"/>
    <w:rsid w:val="76DB4B92"/>
    <w:rsid w:val="77052AA4"/>
    <w:rsid w:val="77136511"/>
    <w:rsid w:val="77340A39"/>
    <w:rsid w:val="77351FD0"/>
    <w:rsid w:val="77472422"/>
    <w:rsid w:val="77690189"/>
    <w:rsid w:val="777B33FD"/>
    <w:rsid w:val="777F31F2"/>
    <w:rsid w:val="77D1700D"/>
    <w:rsid w:val="77EC04CC"/>
    <w:rsid w:val="785C1A9B"/>
    <w:rsid w:val="786951E9"/>
    <w:rsid w:val="78775729"/>
    <w:rsid w:val="78A42DB0"/>
    <w:rsid w:val="78A656AB"/>
    <w:rsid w:val="78B2245C"/>
    <w:rsid w:val="78DA1A11"/>
    <w:rsid w:val="78E172CC"/>
    <w:rsid w:val="78EA1D1F"/>
    <w:rsid w:val="7904172F"/>
    <w:rsid w:val="790F7E27"/>
    <w:rsid w:val="792A231A"/>
    <w:rsid w:val="79316829"/>
    <w:rsid w:val="797E66A9"/>
    <w:rsid w:val="79A97383"/>
    <w:rsid w:val="79D52F41"/>
    <w:rsid w:val="79E27E8B"/>
    <w:rsid w:val="79F270C7"/>
    <w:rsid w:val="79F850CE"/>
    <w:rsid w:val="79FD443C"/>
    <w:rsid w:val="7A1D1975"/>
    <w:rsid w:val="7A3E5150"/>
    <w:rsid w:val="7A4670D6"/>
    <w:rsid w:val="7A4D1334"/>
    <w:rsid w:val="7A534B63"/>
    <w:rsid w:val="7A615382"/>
    <w:rsid w:val="7A67303B"/>
    <w:rsid w:val="7A8B1ECA"/>
    <w:rsid w:val="7AAB1D04"/>
    <w:rsid w:val="7AAD2DC8"/>
    <w:rsid w:val="7ABA4368"/>
    <w:rsid w:val="7AD05746"/>
    <w:rsid w:val="7B257FFD"/>
    <w:rsid w:val="7B343476"/>
    <w:rsid w:val="7B3459C8"/>
    <w:rsid w:val="7B5A2978"/>
    <w:rsid w:val="7B5A7E4C"/>
    <w:rsid w:val="7B667AF9"/>
    <w:rsid w:val="7B7468F8"/>
    <w:rsid w:val="7BEE0103"/>
    <w:rsid w:val="7C0A0FE4"/>
    <w:rsid w:val="7C254906"/>
    <w:rsid w:val="7C3C7809"/>
    <w:rsid w:val="7C590818"/>
    <w:rsid w:val="7C7C10F6"/>
    <w:rsid w:val="7C7E0232"/>
    <w:rsid w:val="7C853BEA"/>
    <w:rsid w:val="7C881368"/>
    <w:rsid w:val="7C933476"/>
    <w:rsid w:val="7CA91E7F"/>
    <w:rsid w:val="7CE27788"/>
    <w:rsid w:val="7D0C32F1"/>
    <w:rsid w:val="7D0F408D"/>
    <w:rsid w:val="7D491C6C"/>
    <w:rsid w:val="7D5429C0"/>
    <w:rsid w:val="7D637B59"/>
    <w:rsid w:val="7D6E6D43"/>
    <w:rsid w:val="7DB0109D"/>
    <w:rsid w:val="7DB57A34"/>
    <w:rsid w:val="7DE60973"/>
    <w:rsid w:val="7DEF0916"/>
    <w:rsid w:val="7E1E5218"/>
    <w:rsid w:val="7E484F9C"/>
    <w:rsid w:val="7E7C788C"/>
    <w:rsid w:val="7E9A4E1F"/>
    <w:rsid w:val="7EA7723A"/>
    <w:rsid w:val="7ECB2067"/>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18"/>
    <w:qFormat/>
    <w:uiPriority w:val="0"/>
    <w:pPr>
      <w:adjustRightInd/>
      <w:spacing w:after="120" w:line="240" w:lineRule="auto"/>
      <w:ind w:left="420" w:leftChars="200" w:firstLine="210"/>
    </w:pPr>
    <w:rPr>
      <w:sz w:val="21"/>
    </w:rPr>
  </w:style>
  <w:style w:type="paragraph" w:styleId="3">
    <w:name w:val="Body Text Indent"/>
    <w:basedOn w:val="1"/>
    <w:next w:val="4"/>
    <w:link w:val="262"/>
    <w:qFormat/>
    <w:uiPriority w:val="0"/>
    <w:pPr>
      <w:spacing w:line="480" w:lineRule="exact"/>
      <w:ind w:firstLine="480" w:firstLineChars="200"/>
    </w:pPr>
    <w:rPr>
      <w:rFonts w:ascii="宋体" w:hAnsi="宋体"/>
      <w:sz w:val="24"/>
    </w:rPr>
  </w:style>
  <w:style w:type="paragraph" w:styleId="4">
    <w:name w:val="Normal Indent"/>
    <w:basedOn w:val="1"/>
    <w:next w:val="3"/>
    <w:link w:val="190"/>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6"/>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199"/>
    <w:qFormat/>
    <w:uiPriority w:val="0"/>
    <w:pPr>
      <w:shd w:val="clear" w:color="auto" w:fill="000080"/>
    </w:pPr>
  </w:style>
  <w:style w:type="paragraph" w:styleId="21">
    <w:name w:val="annotation text"/>
    <w:basedOn w:val="1"/>
    <w:link w:val="341"/>
    <w:qFormat/>
    <w:uiPriority w:val="99"/>
    <w:pPr>
      <w:jc w:val="left"/>
    </w:pPr>
  </w:style>
  <w:style w:type="paragraph" w:styleId="22">
    <w:name w:val="Salutation"/>
    <w:basedOn w:val="1"/>
    <w:next w:val="1"/>
    <w:link w:val="295"/>
    <w:qFormat/>
    <w:uiPriority w:val="0"/>
    <w:rPr>
      <w:rFonts w:ascii="仿宋_GB2312" w:eastAsia="仿宋_GB2312"/>
      <w:sz w:val="28"/>
      <w:szCs w:val="20"/>
    </w:rPr>
  </w:style>
  <w:style w:type="paragraph" w:styleId="23">
    <w:name w:val="Body Text 3"/>
    <w:basedOn w:val="1"/>
    <w:link w:val="327"/>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26"/>
    <w:link w:val="427"/>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8"/>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2"/>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8"/>
    <w:qFormat/>
    <w:uiPriority w:val="0"/>
    <w:pPr>
      <w:ind w:left="100" w:leftChars="2500"/>
    </w:pPr>
    <w:rPr>
      <w:rFonts w:ascii="宋体"/>
      <w:sz w:val="24"/>
      <w:szCs w:val="21"/>
      <w:lang w:val="zh-CN"/>
    </w:rPr>
  </w:style>
  <w:style w:type="paragraph" w:styleId="38">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Balloon Text"/>
    <w:basedOn w:val="1"/>
    <w:link w:val="185"/>
    <w:qFormat/>
    <w:uiPriority w:val="0"/>
    <w:rPr>
      <w:sz w:val="18"/>
      <w:szCs w:val="18"/>
    </w:rPr>
  </w:style>
  <w:style w:type="paragraph" w:styleId="41">
    <w:name w:val="footer"/>
    <w:basedOn w:val="1"/>
    <w:link w:val="380"/>
    <w:qFormat/>
    <w:uiPriority w:val="99"/>
    <w:pPr>
      <w:tabs>
        <w:tab w:val="center" w:pos="4153"/>
        <w:tab w:val="right" w:pos="8306"/>
      </w:tabs>
      <w:snapToGrid w:val="0"/>
      <w:jc w:val="left"/>
    </w:pPr>
    <w:rPr>
      <w:sz w:val="18"/>
      <w:szCs w:val="18"/>
    </w:rPr>
  </w:style>
  <w:style w:type="paragraph" w:styleId="42">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4"/>
    <w:link w:val="307"/>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2"/>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299"/>
    <w:qFormat/>
    <w:uiPriority w:val="0"/>
    <w:pPr>
      <w:spacing w:after="120" w:line="480" w:lineRule="auto"/>
    </w:pPr>
  </w:style>
  <w:style w:type="paragraph" w:styleId="58">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3"/>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字符"/>
    <w:link w:val="61"/>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文本首行缩进 2 字符"/>
    <w:link w:val="2"/>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字符"/>
    <w:link w:val="48"/>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字符"/>
    <w:link w:val="10"/>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6"/>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字符"/>
    <w:link w:val="37"/>
    <w:qFormat/>
    <w:uiPriority w:val="0"/>
    <w:rPr>
      <w:rFonts w:ascii="宋体"/>
      <w:kern w:val="2"/>
      <w:sz w:val="24"/>
      <w:szCs w:val="21"/>
      <w:lang w:val="zh-CN"/>
    </w:rPr>
  </w:style>
  <w:style w:type="character" w:customStyle="1" w:styleId="179">
    <w:name w:val="标题 9 字符"/>
    <w:link w:val="13"/>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字符1"/>
    <w:link w:val="40"/>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字符2"/>
    <w:link w:val="4"/>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字符"/>
    <w:link w:val="20"/>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字符"/>
    <w:link w:val="31"/>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8"/>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字符"/>
    <w:link w:val="18"/>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5">
    <w:name w:val="列表段落1"/>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字符1"/>
    <w:link w:val="3"/>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字符1"/>
    <w:link w:val="5"/>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字符"/>
    <w:link w:val="60"/>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字符"/>
    <w:link w:val="9"/>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字符"/>
    <w:link w:val="22"/>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字符"/>
    <w:link w:val="58"/>
    <w:qFormat/>
    <w:uiPriority w:val="0"/>
    <w:rPr>
      <w:rFonts w:ascii="黑体" w:hAnsi="Courier New" w:eastAsia="黑体"/>
    </w:rPr>
  </w:style>
  <w:style w:type="character" w:customStyle="1" w:styleId="299">
    <w:name w:val="正文文本 2 字符1"/>
    <w:link w:val="57"/>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8"/>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字符"/>
    <w:link w:val="11"/>
    <w:qFormat/>
    <w:uiPriority w:val="0"/>
    <w:rPr>
      <w:b/>
      <w:bCs/>
      <w:kern w:val="2"/>
      <w:sz w:val="24"/>
      <w:szCs w:val="24"/>
    </w:rPr>
  </w:style>
  <w:style w:type="character" w:customStyle="1" w:styleId="305">
    <w:name w:val="正文文本缩进 2 字符"/>
    <w:link w:val="38"/>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字符"/>
    <w:link w:val="51"/>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文本首行缩进 字符"/>
    <w:link w:val="26"/>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字符1"/>
    <w:link w:val="8"/>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字符"/>
    <w:link w:val="23"/>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字符1"/>
    <w:link w:val="21"/>
    <w:qFormat/>
    <w:uiPriority w:val="0"/>
    <w:rPr>
      <w:kern w:val="2"/>
      <w:sz w:val="21"/>
      <w:szCs w:val="24"/>
    </w:rPr>
  </w:style>
  <w:style w:type="character" w:customStyle="1" w:styleId="342">
    <w:name w:val="签名 字符"/>
    <w:link w:val="43"/>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字符"/>
    <w:link w:val="12"/>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字符"/>
    <w:link w:val="54"/>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字符2"/>
    <w:link w:val="41"/>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字符2"/>
    <w:link w:val="42"/>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4"/>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字符"/>
    <w:link w:val="25"/>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8"/>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0">
    <w:name w:val="无间隔2"/>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6"/>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7"/>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9"/>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7"/>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8"/>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7"/>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5"/>
    <w:qFormat/>
    <w:uiPriority w:val="0"/>
    <w:pPr>
      <w:tabs>
        <w:tab w:val="left" w:pos="840"/>
      </w:tabs>
      <w:adjustRightInd/>
      <w:ind w:left="840" w:hanging="420"/>
    </w:pPr>
  </w:style>
  <w:style w:type="paragraph" w:customStyle="1" w:styleId="623">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8"/>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7"/>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7">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4"/>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0"/>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9"/>
    <w:next w:val="1"/>
    <w:qFormat/>
    <w:uiPriority w:val="0"/>
    <w:pPr>
      <w:tabs>
        <w:tab w:val="left" w:pos="1080"/>
      </w:tabs>
      <w:ind w:left="1080" w:hanging="1080"/>
    </w:pPr>
  </w:style>
  <w:style w:type="paragraph" w:customStyle="1" w:styleId="894">
    <w:name w:val="数字标题1"/>
    <w:basedOn w:val="5"/>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字符"/>
    <w:link w:val="39"/>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z-窗体底端1"/>
    <w:basedOn w:val="1"/>
    <w:next w:val="1"/>
    <w:qFormat/>
    <w:uiPriority w:val="0"/>
    <w:pPr>
      <w:pBdr>
        <w:top w:val="single" w:color="auto" w:sz="6" w:space="1"/>
      </w:pBdr>
      <w:jc w:val="center"/>
    </w:pPr>
    <w:rPr>
      <w:rFonts w:ascii="Arial"/>
      <w:vanish/>
      <w:sz w:val="16"/>
    </w:rPr>
  </w:style>
  <w:style w:type="paragraph" w:customStyle="1" w:styleId="962">
    <w:name w:val="z-窗体底端11"/>
    <w:basedOn w:val="1"/>
    <w:next w:val="1"/>
    <w:qFormat/>
    <w:uiPriority w:val="0"/>
    <w:pPr>
      <w:pBdr>
        <w:top w:val="single" w:color="auto" w:sz="6" w:space="1"/>
      </w:pBdr>
      <w:jc w:val="center"/>
    </w:pPr>
    <w:rPr>
      <w:rFonts w:ascii="Arial"/>
      <w:vanish/>
      <w:sz w:val="16"/>
    </w:rPr>
  </w:style>
  <w:style w:type="paragraph" w:customStyle="1" w:styleId="963">
    <w:name w:val="msonospacing"/>
    <w:basedOn w:val="1"/>
    <w:qFormat/>
    <w:uiPriority w:val="0"/>
    <w:rPr>
      <w:szCs w:val="22"/>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eader3.xml" Type="http://schemas.openxmlformats.org/officeDocument/2006/relationships/header"/><Relationship Id="rId100" Target="media/image77.png" Type="http://schemas.openxmlformats.org/officeDocument/2006/relationships/image"/><Relationship Id="rId101" Target="media/image78.png" Type="http://schemas.openxmlformats.org/officeDocument/2006/relationships/image"/><Relationship Id="rId102" Target="media/image79.png" Type="http://schemas.openxmlformats.org/officeDocument/2006/relationships/image"/><Relationship Id="rId103" Target="media/image80.png" Type="http://schemas.openxmlformats.org/officeDocument/2006/relationships/image"/><Relationship Id="rId104" Target="media/image81.png" Type="http://schemas.openxmlformats.org/officeDocument/2006/relationships/image"/><Relationship Id="rId105" Target="media/image82.png" Type="http://schemas.openxmlformats.org/officeDocument/2006/relationships/image"/><Relationship Id="rId106" Target="media/image83.png" Type="http://schemas.openxmlformats.org/officeDocument/2006/relationships/image"/><Relationship Id="rId107" Target="media/image84.png" Type="http://schemas.openxmlformats.org/officeDocument/2006/relationships/image"/><Relationship Id="rId108" Target="media/image85.png" Type="http://schemas.openxmlformats.org/officeDocument/2006/relationships/image"/><Relationship Id="rId109" Target="media/image86.png" Type="http://schemas.openxmlformats.org/officeDocument/2006/relationships/image"/><Relationship Id="rId11" Target="header4.xml" Type="http://schemas.openxmlformats.org/officeDocument/2006/relationships/header"/><Relationship Id="rId110" Target="media/image87.png" Type="http://schemas.openxmlformats.org/officeDocument/2006/relationships/image"/><Relationship Id="rId111" Target="media/image88.jpeg" Type="http://schemas.openxmlformats.org/officeDocument/2006/relationships/image"/><Relationship Id="rId112" Target="media/image89.jpeg" Type="http://schemas.openxmlformats.org/officeDocument/2006/relationships/image"/><Relationship Id="rId113" Target="media/image90.png" Type="http://schemas.openxmlformats.org/officeDocument/2006/relationships/image"/><Relationship Id="rId114" Target="media/image91.png" Type="http://schemas.openxmlformats.org/officeDocument/2006/relationships/image"/><Relationship Id="rId115" Target="media/image92.png" Type="http://schemas.openxmlformats.org/officeDocument/2006/relationships/image"/><Relationship Id="rId116" Target="media/image93.png" Type="http://schemas.openxmlformats.org/officeDocument/2006/relationships/image"/><Relationship Id="rId117" Target="media/image94.png" Type="http://schemas.openxmlformats.org/officeDocument/2006/relationships/image"/><Relationship Id="rId118" Target="media/image95.png" Type="http://schemas.openxmlformats.org/officeDocument/2006/relationships/image"/><Relationship Id="rId119" Target="media/image96.png" Type="http://schemas.openxmlformats.org/officeDocument/2006/relationships/image"/><Relationship Id="rId12" Target="footer6.xml" Type="http://schemas.openxmlformats.org/officeDocument/2006/relationships/footer"/><Relationship Id="rId120" Target="media/image97.png" Type="http://schemas.openxmlformats.org/officeDocument/2006/relationships/image"/><Relationship Id="rId121" Target="media/image98.png" Type="http://schemas.openxmlformats.org/officeDocument/2006/relationships/image"/><Relationship Id="rId122" Target="media/image99.png" Type="http://schemas.openxmlformats.org/officeDocument/2006/relationships/image"/><Relationship Id="rId123" Target="../customXml/item1.xml" Type="http://schemas.openxmlformats.org/officeDocument/2006/relationships/customXml"/><Relationship Id="rId124" Target="../customXml/item2.xml" Type="http://schemas.openxmlformats.org/officeDocument/2006/relationships/customXml"/><Relationship Id="rId125" Target="fontTable.xml" Type="http://schemas.openxmlformats.org/officeDocument/2006/relationships/fontTable"/><Relationship Id="rId13" Target="footer7.xml" Type="http://schemas.openxmlformats.org/officeDocument/2006/relationships/footer"/><Relationship Id="rId14" Target="header5.xml" Type="http://schemas.openxmlformats.org/officeDocument/2006/relationships/header"/><Relationship Id="rId15" Target="header6.xml" Type="http://schemas.openxmlformats.org/officeDocument/2006/relationships/header"/><Relationship Id="rId16" Target="footer8.xml" Type="http://schemas.openxmlformats.org/officeDocument/2006/relationships/footer"/><Relationship Id="rId17" Target="footer9.xml" Type="http://schemas.openxmlformats.org/officeDocument/2006/relationships/footer"/><Relationship Id="rId18" Target="header7.xml" Type="http://schemas.openxmlformats.org/officeDocument/2006/relationships/header"/><Relationship Id="rId19" Target="header8.xml" Type="http://schemas.openxmlformats.org/officeDocument/2006/relationships/header"/><Relationship Id="rId2" Target="settings.xml" Type="http://schemas.openxmlformats.org/officeDocument/2006/relationships/settings"/><Relationship Id="rId20" Target="footer10.xml" Type="http://schemas.openxmlformats.org/officeDocument/2006/relationships/footer"/><Relationship Id="rId21" Target="footer11.xml" Type="http://schemas.openxmlformats.org/officeDocument/2006/relationships/footer"/><Relationship Id="rId22" Target="footer12.xml" Type="http://schemas.openxmlformats.org/officeDocument/2006/relationships/footer"/><Relationship Id="rId23" Target="theme/theme1.xml" Type="http://schemas.openxmlformats.org/officeDocument/2006/relationships/theme"/><Relationship Id="rId24" Target="media/image1.png" Type="http://schemas.openxmlformats.org/officeDocument/2006/relationships/image"/><Relationship Id="rId25" Target="media/image2.png" Type="http://schemas.openxmlformats.org/officeDocument/2006/relationships/image"/><Relationship Id="rId26" Target="media/image3.png" Type="http://schemas.openxmlformats.org/officeDocument/2006/relationships/image"/><Relationship Id="rId27" Target="media/image4.png" Type="http://schemas.openxmlformats.org/officeDocument/2006/relationships/image"/><Relationship Id="rId28" Target="media/image5.png" Type="http://schemas.openxmlformats.org/officeDocument/2006/relationships/image"/><Relationship Id="rId29" Target="media/image6.png" Type="http://schemas.openxmlformats.org/officeDocument/2006/relationships/image"/><Relationship Id="rId3" Target="header1.xml" Type="http://schemas.openxmlformats.org/officeDocument/2006/relationships/header"/><Relationship Id="rId30" Target="media/image7.png" Type="http://schemas.openxmlformats.org/officeDocument/2006/relationships/image"/><Relationship Id="rId31" Target="media/image8.png" Type="http://schemas.openxmlformats.org/officeDocument/2006/relationships/image"/><Relationship Id="rId32" Target="media/image9.png" Type="http://schemas.openxmlformats.org/officeDocument/2006/relationships/image"/><Relationship Id="rId33" Target="media/image10.png" Type="http://schemas.openxmlformats.org/officeDocument/2006/relationships/image"/><Relationship Id="rId34" Target="media/image11.png" Type="http://schemas.openxmlformats.org/officeDocument/2006/relationships/image"/><Relationship Id="rId35" Target="media/image12.png" Type="http://schemas.openxmlformats.org/officeDocument/2006/relationships/image"/><Relationship Id="rId36" Target="media/image13.png" Type="http://schemas.openxmlformats.org/officeDocument/2006/relationships/image"/><Relationship Id="rId37" Target="media/image14.png" Type="http://schemas.openxmlformats.org/officeDocument/2006/relationships/image"/><Relationship Id="rId38" Target="media/image15.png" Type="http://schemas.openxmlformats.org/officeDocument/2006/relationships/image"/><Relationship Id="rId39" Target="media/image16.png" Type="http://schemas.openxmlformats.org/officeDocument/2006/relationships/image"/><Relationship Id="rId4" Target="header2.xml" Type="http://schemas.openxmlformats.org/officeDocument/2006/relationships/header"/><Relationship Id="rId40" Target="media/image17.png" Type="http://schemas.openxmlformats.org/officeDocument/2006/relationships/image"/><Relationship Id="rId41" Target="media/image18.png" Type="http://schemas.openxmlformats.org/officeDocument/2006/relationships/image"/><Relationship Id="rId42" Target="media/image19.png" Type="http://schemas.openxmlformats.org/officeDocument/2006/relationships/image"/><Relationship Id="rId43" Target="media/image20.png" Type="http://schemas.openxmlformats.org/officeDocument/2006/relationships/image"/><Relationship Id="rId44" Target="media/image21.png" Type="http://schemas.openxmlformats.org/officeDocument/2006/relationships/image"/><Relationship Id="rId45" Target="media/image22.png" Type="http://schemas.openxmlformats.org/officeDocument/2006/relationships/image"/><Relationship Id="rId46" Target="media/image23.png" Type="http://schemas.openxmlformats.org/officeDocument/2006/relationships/image"/><Relationship Id="rId47" Target="media/image24.png" Type="http://schemas.openxmlformats.org/officeDocument/2006/relationships/image"/><Relationship Id="rId48" Target="media/image25.png" Type="http://schemas.openxmlformats.org/officeDocument/2006/relationships/image"/><Relationship Id="rId49" Target="media/image26.png" Type="http://schemas.openxmlformats.org/officeDocument/2006/relationships/image"/><Relationship Id="rId5" Target="footer1.xml" Type="http://schemas.openxmlformats.org/officeDocument/2006/relationships/footer"/><Relationship Id="rId50" Target="media/image27.png" Type="http://schemas.openxmlformats.org/officeDocument/2006/relationships/image"/><Relationship Id="rId51" Target="media/image28.png" Type="http://schemas.openxmlformats.org/officeDocument/2006/relationships/image"/><Relationship Id="rId52" Target="media/image29.png" Type="http://schemas.openxmlformats.org/officeDocument/2006/relationships/image"/><Relationship Id="rId53" Target="media/image30.png" Type="http://schemas.openxmlformats.org/officeDocument/2006/relationships/image"/><Relationship Id="rId54" Target="media/image31.png" Type="http://schemas.openxmlformats.org/officeDocument/2006/relationships/image"/><Relationship Id="rId55" Target="media/image32.png" Type="http://schemas.openxmlformats.org/officeDocument/2006/relationships/image"/><Relationship Id="rId56" Target="media/image33.png" Type="http://schemas.openxmlformats.org/officeDocument/2006/relationships/image"/><Relationship Id="rId57" Target="media/image34.png" Type="http://schemas.openxmlformats.org/officeDocument/2006/relationships/image"/><Relationship Id="rId58" Target="media/image35.png" Type="http://schemas.openxmlformats.org/officeDocument/2006/relationships/image"/><Relationship Id="rId59" Target="media/image36.png" Type="http://schemas.openxmlformats.org/officeDocument/2006/relationships/image"/><Relationship Id="rId6" Target="footer2.xml" Type="http://schemas.openxmlformats.org/officeDocument/2006/relationships/footer"/><Relationship Id="rId60" Target="media/image37.png" Type="http://schemas.openxmlformats.org/officeDocument/2006/relationships/image"/><Relationship Id="rId61" Target="media/image38.png" Type="http://schemas.openxmlformats.org/officeDocument/2006/relationships/image"/><Relationship Id="rId62" Target="media/image39.png" Type="http://schemas.openxmlformats.org/officeDocument/2006/relationships/image"/><Relationship Id="rId63" Target="media/image40.png" Type="http://schemas.openxmlformats.org/officeDocument/2006/relationships/image"/><Relationship Id="rId64" Target="media/image41.png" Type="http://schemas.openxmlformats.org/officeDocument/2006/relationships/image"/><Relationship Id="rId65" Target="media/image42.png" Type="http://schemas.openxmlformats.org/officeDocument/2006/relationships/image"/><Relationship Id="rId66" Target="media/image43.png" Type="http://schemas.openxmlformats.org/officeDocument/2006/relationships/image"/><Relationship Id="rId67" Target="media/image44.png" Type="http://schemas.openxmlformats.org/officeDocument/2006/relationships/image"/><Relationship Id="rId68" Target="media/image45.png" Type="http://schemas.openxmlformats.org/officeDocument/2006/relationships/image"/><Relationship Id="rId69" Target="media/image46.png" Type="http://schemas.openxmlformats.org/officeDocument/2006/relationships/image"/><Relationship Id="rId7" Target="footer3.xml" Type="http://schemas.openxmlformats.org/officeDocument/2006/relationships/footer"/><Relationship Id="rId70" Target="media/image47.png" Type="http://schemas.openxmlformats.org/officeDocument/2006/relationships/image"/><Relationship Id="rId71" Target="media/image48.png" Type="http://schemas.openxmlformats.org/officeDocument/2006/relationships/image"/><Relationship Id="rId72" Target="media/image49.png" Type="http://schemas.openxmlformats.org/officeDocument/2006/relationships/image"/><Relationship Id="rId73" Target="media/image50.png" Type="http://schemas.openxmlformats.org/officeDocument/2006/relationships/image"/><Relationship Id="rId74" Target="media/image51.png" Type="http://schemas.openxmlformats.org/officeDocument/2006/relationships/image"/><Relationship Id="rId75" Target="media/image52.png" Type="http://schemas.openxmlformats.org/officeDocument/2006/relationships/image"/><Relationship Id="rId76" Target="media/image53.png" Type="http://schemas.openxmlformats.org/officeDocument/2006/relationships/image"/><Relationship Id="rId77" Target="media/image54.png" Type="http://schemas.openxmlformats.org/officeDocument/2006/relationships/image"/><Relationship Id="rId78" Target="media/image55.png" Type="http://schemas.openxmlformats.org/officeDocument/2006/relationships/image"/><Relationship Id="rId79" Target="media/image56.png" Type="http://schemas.openxmlformats.org/officeDocument/2006/relationships/image"/><Relationship Id="rId8" Target="footer4.xml" Type="http://schemas.openxmlformats.org/officeDocument/2006/relationships/footer"/><Relationship Id="rId80" Target="media/image57.png" Type="http://schemas.openxmlformats.org/officeDocument/2006/relationships/image"/><Relationship Id="rId81" Target="media/image58.png" Type="http://schemas.openxmlformats.org/officeDocument/2006/relationships/image"/><Relationship Id="rId82" Target="media/image59.png" Type="http://schemas.openxmlformats.org/officeDocument/2006/relationships/image"/><Relationship Id="rId83" Target="media/image60.png" Type="http://schemas.openxmlformats.org/officeDocument/2006/relationships/image"/><Relationship Id="rId84" Target="media/image61.png" Type="http://schemas.openxmlformats.org/officeDocument/2006/relationships/image"/><Relationship Id="rId85" Target="media/image62.png" Type="http://schemas.openxmlformats.org/officeDocument/2006/relationships/image"/><Relationship Id="rId86" Target="media/image63.png" Type="http://schemas.openxmlformats.org/officeDocument/2006/relationships/image"/><Relationship Id="rId87" Target="media/image64.png" Type="http://schemas.openxmlformats.org/officeDocument/2006/relationships/image"/><Relationship Id="rId88" Target="media/image65.png" Type="http://schemas.openxmlformats.org/officeDocument/2006/relationships/image"/><Relationship Id="rId89" Target="media/image66.png" Type="http://schemas.openxmlformats.org/officeDocument/2006/relationships/image"/><Relationship Id="rId9" Target="footer5.xml" Type="http://schemas.openxmlformats.org/officeDocument/2006/relationships/footer"/><Relationship Id="rId90" Target="media/image67.png" Type="http://schemas.openxmlformats.org/officeDocument/2006/relationships/image"/><Relationship Id="rId91" Target="media/image68.png" Type="http://schemas.openxmlformats.org/officeDocument/2006/relationships/image"/><Relationship Id="rId92" Target="media/image69.png" Type="http://schemas.openxmlformats.org/officeDocument/2006/relationships/image"/><Relationship Id="rId93" Target="media/image70.png" Type="http://schemas.openxmlformats.org/officeDocument/2006/relationships/image"/><Relationship Id="rId94" Target="media/image71.png" Type="http://schemas.openxmlformats.org/officeDocument/2006/relationships/image"/><Relationship Id="rId95" Target="media/image72.png" Type="http://schemas.openxmlformats.org/officeDocument/2006/relationships/image"/><Relationship Id="rId96" Target="media/image73.png" Type="http://schemas.openxmlformats.org/officeDocument/2006/relationships/image"/><Relationship Id="rId97" Target="media/image74.png" Type="http://schemas.openxmlformats.org/officeDocument/2006/relationships/image"/><Relationship Id="rId98" Target="media/image75.png" Type="http://schemas.openxmlformats.org/officeDocument/2006/relationships/image"/><Relationship Id="rId99" Target="media/image76.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118</Pages>
  <Words>52346</Words>
  <Characters>60553</Characters>
  <Lines>370</Lines>
  <Paragraphs>104</Paragraphs>
  <TotalTime>21</TotalTime>
  <ScaleCrop>false</ScaleCrop>
  <LinksUpToDate>false</LinksUpToDate>
  <CharactersWithSpaces>65125</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2021-07-30T00:22:00Z</dcterms:created>
  <dc:creator>玥</dc:creator>
  <cp:lastModifiedBy>不点</cp:lastModifiedBy>
  <cp:lastPrinted>2021-12-27T03:06:00Z</cp:lastPrinted>
  <dcterms:modified xsi:type="dcterms:W3CDTF">2022-06-02T11:10:19Z</dcterms:modified>
  <cp:revision>217</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5821749C48894542AFF3E0629925F938</vt:lpwstr>
  </property>
  <property fmtid="{D5CDD505-2E9C-101B-9397-08002B2CF9AE}" pid="5" name="commondata">
    <vt:lpwstr>eyJoZGlkIjoiNzUzZTg2NWY4MWI5MmY0ZjJkNWQyNzQ1MTQ4Mzg4MDQifQ==</vt:lpwstr>
  </property>
</Properties>
</file>