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sz w:val="24"/>
        </w:rPr>
      </w:pPr>
    </w:p>
    <w:p>
      <w:pPr>
        <w:spacing w:line="360" w:lineRule="auto"/>
        <w:jc w:val="center"/>
        <w:rPr>
          <w:rFonts w:ascii="宋体" w:hAnsi="宋体" w:cs="宋体"/>
          <w:b/>
          <w:sz w:val="24"/>
        </w:rPr>
      </w:pPr>
    </w:p>
    <w:p>
      <w:pPr>
        <w:adjustRightInd/>
        <w:spacing w:line="360" w:lineRule="auto"/>
        <w:jc w:val="center"/>
        <w:rPr>
          <w:rFonts w:ascii="宋体" w:hAnsi="宋体" w:cs="宋体"/>
          <w:b/>
          <w:sz w:val="44"/>
          <w:szCs w:val="44"/>
        </w:rPr>
      </w:pPr>
    </w:p>
    <w:p>
      <w:pPr>
        <w:spacing w:line="360" w:lineRule="auto"/>
        <w:jc w:val="center"/>
        <w:rPr>
          <w:rFonts w:ascii="宋体" w:hAnsi="宋体" w:cs="宋体"/>
          <w:b/>
          <w:sz w:val="44"/>
          <w:szCs w:val="44"/>
        </w:rPr>
      </w:pPr>
    </w:p>
    <w:p>
      <w:pPr>
        <w:adjustRightInd/>
        <w:spacing w:line="360" w:lineRule="auto"/>
        <w:jc w:val="center"/>
        <w:rPr>
          <w:rFonts w:ascii="宋体" w:hAnsi="宋体" w:cs="宋体"/>
          <w:b/>
          <w:sz w:val="48"/>
          <w:szCs w:val="48"/>
        </w:rPr>
      </w:pPr>
    </w:p>
    <w:p>
      <w:pPr>
        <w:adjustRightInd/>
        <w:spacing w:line="360" w:lineRule="auto"/>
        <w:jc w:val="center"/>
        <w:rPr>
          <w:rFonts w:ascii="仿宋" w:hAnsi="仿宋" w:eastAsia="仿宋" w:cs="仿宋"/>
          <w:sz w:val="56"/>
          <w:szCs w:val="56"/>
        </w:rPr>
      </w:pPr>
      <w:r>
        <w:rPr>
          <w:rFonts w:hint="eastAsia" w:ascii="仿宋" w:hAnsi="仿宋" w:eastAsia="仿宋" w:cs="仿宋"/>
          <w:color w:val="000000" w:themeColor="text1"/>
          <w:sz w:val="52"/>
          <w:szCs w:val="52"/>
        </w:rPr>
        <w:t>建德市人民检察院驻新看守所检察室弱电项目</w:t>
      </w:r>
    </w:p>
    <w:p>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pPr>
        <w:snapToGrid w:val="0"/>
        <w:spacing w:line="360" w:lineRule="auto"/>
        <w:jc w:val="center"/>
        <w:rPr>
          <w:rFonts w:ascii="宋体" w:hAnsi="宋体" w:cs="宋体"/>
          <w:color w:val="FF0000"/>
          <w:sz w:val="30"/>
          <w:szCs w:val="30"/>
        </w:rPr>
      </w:pPr>
      <w:r>
        <w:rPr>
          <w:rFonts w:hint="eastAsia" w:ascii="宋体" w:hAnsi="宋体" w:cs="宋体"/>
          <w:sz w:val="30"/>
          <w:szCs w:val="30"/>
        </w:rPr>
        <w:t>编号:</w:t>
      </w:r>
      <w:r>
        <w:rPr>
          <w:rFonts w:hint="eastAsia" w:ascii="仿宋" w:hAnsi="仿宋" w:eastAsia="仿宋" w:cs="仿宋"/>
          <w:sz w:val="30"/>
          <w:szCs w:val="30"/>
        </w:rPr>
        <w:t>JD2023BJ-028</w:t>
      </w:r>
    </w:p>
    <w:p>
      <w:pPr>
        <w:adjustRightInd/>
        <w:spacing w:line="360" w:lineRule="auto"/>
        <w:rPr>
          <w:rFonts w:ascii="宋体" w:hAnsi="宋体" w:cs="宋体"/>
          <w:sz w:val="28"/>
          <w:szCs w:val="20"/>
        </w:rPr>
      </w:pPr>
    </w:p>
    <w:p>
      <w:pPr>
        <w:spacing w:line="360" w:lineRule="auto"/>
        <w:jc w:val="center"/>
        <w:rPr>
          <w:rFonts w:ascii="宋体" w:hAnsi="宋体" w:cs="宋体"/>
          <w:b/>
          <w:sz w:val="44"/>
          <w:szCs w:val="44"/>
        </w:rPr>
      </w:pP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32"/>
          <w:szCs w:val="32"/>
        </w:rPr>
      </w:pPr>
    </w:p>
    <w:p>
      <w:pPr>
        <w:spacing w:line="360" w:lineRule="auto"/>
        <w:jc w:val="center"/>
        <w:rPr>
          <w:rFonts w:ascii="仿宋" w:hAnsi="仿宋" w:eastAsia="仿宋" w:cs="仿宋"/>
          <w:sz w:val="32"/>
          <w:szCs w:val="32"/>
        </w:rPr>
      </w:pPr>
      <w:r>
        <w:rPr>
          <w:rFonts w:hint="eastAsia" w:ascii="仿宋" w:hAnsi="仿宋" w:eastAsia="仿宋" w:cs="仿宋"/>
          <w:sz w:val="32"/>
          <w:szCs w:val="32"/>
        </w:rPr>
        <w:t>采购人：建德市人民检察院</w:t>
      </w:r>
    </w:p>
    <w:p>
      <w:pPr>
        <w:spacing w:line="360" w:lineRule="auto"/>
        <w:jc w:val="center"/>
        <w:rPr>
          <w:rFonts w:ascii="仿宋" w:hAnsi="仿宋" w:eastAsia="仿宋" w:cs="仿宋"/>
          <w:bCs/>
          <w:sz w:val="32"/>
          <w:szCs w:val="32"/>
        </w:rPr>
      </w:pPr>
      <w:r>
        <w:rPr>
          <w:rFonts w:hint="eastAsia" w:ascii="仿宋" w:hAnsi="仿宋" w:eastAsia="仿宋" w:cs="仿宋"/>
          <w:bCs/>
          <w:sz w:val="32"/>
          <w:szCs w:val="32"/>
        </w:rPr>
        <w:t>采购代理机构：杭州市公共资源交易中心建德分中心</w:t>
      </w:r>
    </w:p>
    <w:p>
      <w:pPr>
        <w:snapToGrid w:val="0"/>
        <w:spacing w:line="360" w:lineRule="auto"/>
        <w:jc w:val="center"/>
        <w:rPr>
          <w:rFonts w:ascii="宋体" w:hAnsi="宋体" w:cs="宋体"/>
          <w:bCs/>
          <w:sz w:val="32"/>
          <w:szCs w:val="32"/>
        </w:rPr>
      </w:pPr>
      <w:r>
        <w:rPr>
          <w:rFonts w:hint="eastAsia" w:ascii="宋体" w:hAnsi="宋体" w:cs="宋体"/>
          <w:bCs/>
          <w:sz w:val="32"/>
          <w:szCs w:val="32"/>
        </w:rPr>
        <w:t>二〇二三年</w:t>
      </w:r>
      <w:r>
        <w:rPr>
          <w:rFonts w:hint="eastAsia" w:ascii="宋体" w:hAnsi="宋体" w:cs="宋体"/>
          <w:bCs/>
          <w:sz w:val="32"/>
          <w:szCs w:val="32"/>
          <w:lang w:eastAsia="zh-CN"/>
        </w:rPr>
        <w:t>七</w:t>
      </w:r>
      <w:r>
        <w:rPr>
          <w:rFonts w:hint="eastAsia" w:ascii="宋体" w:hAnsi="宋体" w:cs="宋体"/>
          <w:bCs/>
          <w:sz w:val="32"/>
          <w:szCs w:val="32"/>
        </w:rPr>
        <w:t>月</w:t>
      </w:r>
      <w:r>
        <w:rPr>
          <w:rFonts w:hint="eastAsia" w:ascii="宋体" w:hAnsi="宋体" w:cs="宋体"/>
          <w:bCs/>
          <w:sz w:val="32"/>
          <w:szCs w:val="32"/>
          <w:lang w:eastAsia="zh-CN"/>
        </w:rPr>
        <w:t>十四</w:t>
      </w:r>
      <w:r>
        <w:rPr>
          <w:rFonts w:hint="eastAsia" w:ascii="宋体" w:hAnsi="宋体" w:cs="宋体"/>
          <w:bCs/>
          <w:sz w:val="32"/>
          <w:szCs w:val="32"/>
        </w:rPr>
        <w:t>日</w:t>
      </w:r>
    </w:p>
    <w:p>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pPr>
        <w:spacing w:line="360" w:lineRule="auto"/>
        <w:jc w:val="center"/>
        <w:rPr>
          <w:rFonts w:ascii="宋体" w:hAnsi="宋体" w:cs="宋体"/>
          <w:sz w:val="24"/>
        </w:rPr>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07423"/>
      <w:bookmarkEnd w:id="4"/>
      <w:bookmarkStart w:id="5" w:name="_Hlt74728647"/>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宋体" w:hAnsi="宋体" w:cs="宋体"/>
          <w:b/>
          <w:sz w:val="36"/>
          <w:szCs w:val="20"/>
        </w:rPr>
        <w:t>第一部分 招标公告</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rPr>
        <w:t>建德市人民检察院驻新看守所检察室弱电项目的潜在投标人应在政采云平台（</w:t>
      </w:r>
      <w:r>
        <w:fldChar w:fldCharType="begin"/>
      </w:r>
      <w:r>
        <w:instrText xml:space="preserve"> HYPERLINK "https://www.zcygov.cn/）获取（下载）招标文件，并于202%20年%20月%20日%20点%20分00秒" </w:instrText>
      </w:r>
      <w:r>
        <w:fldChar w:fldCharType="separate"/>
      </w:r>
      <w:r>
        <w:rPr>
          <w:rStyle w:val="76"/>
          <w:rFonts w:cs="Times New Roman" w:asciiTheme="minorEastAsia" w:hAnsiTheme="minorEastAsia" w:eastAsiaTheme="minorEastAsia"/>
          <w:snapToGrid/>
          <w:kern w:val="2"/>
          <w:sz w:val="24"/>
          <w:szCs w:val="24"/>
        </w:rPr>
        <w:t>https://www.zcygov.cn/）获取（下载）招标文件，并于</w:t>
      </w:r>
      <w:r>
        <w:rPr>
          <w:rStyle w:val="76"/>
          <w:rFonts w:hint="eastAsia" w:cs="Times New Roman" w:asciiTheme="minorEastAsia" w:hAnsiTheme="minorEastAsia" w:eastAsiaTheme="minorEastAsia"/>
          <w:snapToGrid/>
          <w:kern w:val="2"/>
          <w:sz w:val="24"/>
          <w:szCs w:val="24"/>
        </w:rPr>
        <w:t>2023</w:t>
      </w:r>
      <w:r>
        <w:rPr>
          <w:rStyle w:val="76"/>
          <w:rFonts w:cs="Times New Roman" w:asciiTheme="minorEastAsia" w:hAnsiTheme="minorEastAsia" w:eastAsiaTheme="minorEastAsia"/>
          <w:snapToGrid/>
          <w:kern w:val="2"/>
          <w:sz w:val="24"/>
          <w:szCs w:val="24"/>
        </w:rPr>
        <w:t>年</w:t>
      </w:r>
      <w:r>
        <w:rPr>
          <w:rStyle w:val="76"/>
          <w:rFonts w:hint="eastAsia" w:cs="Times New Roman" w:asciiTheme="minorEastAsia" w:hAnsiTheme="minorEastAsia" w:eastAsiaTheme="minorEastAsia"/>
          <w:snapToGrid/>
          <w:kern w:val="2"/>
          <w:sz w:val="24"/>
          <w:szCs w:val="24"/>
          <w:lang w:val="en-US" w:eastAsia="zh-CN"/>
        </w:rPr>
        <w:t>8</w:t>
      </w:r>
      <w:r>
        <w:rPr>
          <w:rStyle w:val="76"/>
          <w:rFonts w:hint="eastAsia" w:cs="Times New Roman" w:asciiTheme="minorEastAsia" w:hAnsiTheme="minorEastAsia" w:eastAsiaTheme="minorEastAsia"/>
          <w:snapToGrid/>
          <w:kern w:val="2"/>
          <w:sz w:val="24"/>
          <w:szCs w:val="24"/>
        </w:rPr>
        <w:t>月</w:t>
      </w:r>
      <w:r>
        <w:rPr>
          <w:rStyle w:val="76"/>
          <w:rFonts w:hint="eastAsia" w:cs="Times New Roman" w:asciiTheme="minorEastAsia" w:hAnsiTheme="minorEastAsia" w:eastAsiaTheme="minorEastAsia"/>
          <w:snapToGrid/>
          <w:kern w:val="2"/>
          <w:sz w:val="24"/>
          <w:szCs w:val="24"/>
          <w:lang w:val="en-US" w:eastAsia="zh-CN"/>
        </w:rPr>
        <w:t>4</w:t>
      </w:r>
      <w:r>
        <w:rPr>
          <w:rStyle w:val="76"/>
          <w:rFonts w:hint="eastAsia" w:cs="Times New Roman" w:asciiTheme="minorEastAsia" w:hAnsiTheme="minorEastAsia" w:eastAsiaTheme="minorEastAsia"/>
          <w:snapToGrid/>
          <w:kern w:val="2"/>
          <w:sz w:val="24"/>
          <w:szCs w:val="24"/>
        </w:rPr>
        <w:t>日9点30分</w:t>
      </w:r>
      <w:r>
        <w:rPr>
          <w:rStyle w:val="76"/>
          <w:rFonts w:hint="eastAsia" w:cs="Times New Roman" w:asciiTheme="minorEastAsia" w:hAnsiTheme="minorEastAsia" w:eastAsiaTheme="minorEastAsia"/>
          <w:bCs/>
          <w:snapToGrid/>
          <w:kern w:val="2"/>
          <w:sz w:val="24"/>
          <w:szCs w:val="24"/>
        </w:rPr>
        <w:t>00秒</w:t>
      </w:r>
      <w:r>
        <w:rPr>
          <w:rStyle w:val="76"/>
          <w:rFonts w:hint="eastAsia" w:cs="Times New Roman" w:asciiTheme="minorEastAsia" w:hAnsiTheme="minorEastAsia" w:eastAsiaTheme="minorEastAsia"/>
          <w:bCs/>
          <w:snapToGrid/>
          <w:kern w:val="2"/>
          <w:sz w:val="24"/>
          <w:szCs w:val="24"/>
        </w:rPr>
        <w:fldChar w:fldCharType="end"/>
      </w:r>
      <w:r>
        <w:rPr>
          <w:rFonts w:hint="eastAsia" w:asciiTheme="minorEastAsia" w:hAnsiTheme="minorEastAsia" w:eastAsiaTheme="minorEastAsia"/>
          <w:bCs/>
          <w:sz w:val="24"/>
        </w:rPr>
        <w:t>（北京时间）前</w:t>
      </w:r>
      <w:r>
        <w:rPr>
          <w:rFonts w:hint="eastAsia" w:asciiTheme="minorEastAsia" w:hAnsiTheme="minorEastAsia" w:eastAsiaTheme="minorEastAsia"/>
          <w:sz w:val="24"/>
        </w:rPr>
        <w:t>递交（上传）投标文件。</w:t>
      </w:r>
    </w:p>
    <w:p>
      <w:pPr>
        <w:spacing w:line="360" w:lineRule="auto"/>
        <w:rPr>
          <w:rFonts w:ascii="宋体" w:hAnsi="宋体" w:cs="宋体"/>
          <w:b/>
          <w:sz w:val="24"/>
        </w:rPr>
      </w:pPr>
      <w:r>
        <w:rPr>
          <w:rFonts w:hint="eastAsia" w:ascii="宋体" w:hAnsi="宋体" w:cs="宋体"/>
          <w:b/>
          <w:sz w:val="24"/>
        </w:rPr>
        <w:t xml:space="preserve">一、项目基本情况                                            </w:t>
      </w:r>
    </w:p>
    <w:p>
      <w:pPr>
        <w:spacing w:line="360" w:lineRule="auto"/>
        <w:ind w:firstLine="482" w:firstLineChars="200"/>
        <w:rPr>
          <w:rFonts w:ascii="宋体" w:hAnsi="宋体" w:cs="宋体"/>
          <w:sz w:val="24"/>
        </w:rPr>
      </w:pPr>
      <w:r>
        <w:rPr>
          <w:rFonts w:hint="eastAsia" w:ascii="宋体" w:hAnsi="宋体" w:cs="宋体"/>
          <w:b/>
          <w:sz w:val="24"/>
        </w:rPr>
        <w:t>项目编号：</w:t>
      </w:r>
      <w:r>
        <w:rPr>
          <w:rFonts w:hint="eastAsia" w:ascii="仿宋" w:hAnsi="仿宋" w:eastAsia="仿宋" w:cs="仿宋"/>
          <w:sz w:val="24"/>
        </w:rPr>
        <w:t>JD2023BJ-028</w:t>
      </w:r>
    </w:p>
    <w:p>
      <w:pPr>
        <w:spacing w:line="360" w:lineRule="auto"/>
        <w:ind w:firstLine="482" w:firstLineChars="200"/>
        <w:rPr>
          <w:rFonts w:ascii="宋体" w:hAnsi="宋体" w:cs="宋体"/>
          <w:b/>
          <w:sz w:val="24"/>
        </w:rPr>
      </w:pPr>
      <w:r>
        <w:rPr>
          <w:rFonts w:hint="eastAsia" w:ascii="宋体" w:hAnsi="宋体" w:cs="宋体"/>
          <w:b/>
          <w:sz w:val="24"/>
        </w:rPr>
        <w:t>项目名称：建德市人民检察院驻新看守所检察室弱电项目</w:t>
      </w:r>
    </w:p>
    <w:p>
      <w:pPr>
        <w:spacing w:line="360" w:lineRule="auto"/>
        <w:ind w:firstLine="482" w:firstLineChars="200"/>
        <w:rPr>
          <w:rFonts w:ascii="宋体" w:hAnsi="宋体" w:cs="宋体"/>
          <w:color w:val="0000FF"/>
          <w:sz w:val="24"/>
        </w:rPr>
      </w:pPr>
      <w:r>
        <w:rPr>
          <w:rFonts w:hint="eastAsia" w:ascii="宋体" w:hAnsi="宋体" w:cs="宋体"/>
          <w:b/>
          <w:sz w:val="24"/>
        </w:rPr>
        <w:t>预算金额（元）：1324355.00</w:t>
      </w:r>
    </w:p>
    <w:p>
      <w:pPr>
        <w:spacing w:line="360" w:lineRule="auto"/>
        <w:ind w:firstLine="480"/>
        <w:rPr>
          <w:rFonts w:ascii="宋体" w:hAnsi="宋体" w:cs="宋体"/>
          <w:color w:val="0000FF"/>
          <w:sz w:val="24"/>
        </w:rPr>
      </w:pPr>
      <w:r>
        <w:rPr>
          <w:rFonts w:hint="eastAsia" w:ascii="宋体" w:hAnsi="宋体" w:cs="宋体"/>
          <w:b/>
          <w:sz w:val="24"/>
        </w:rPr>
        <w:t>最高限价（元）：1324355.00</w:t>
      </w:r>
    </w:p>
    <w:p>
      <w:pPr>
        <w:widowControl/>
        <w:ind w:firstLine="482" w:firstLineChars="200"/>
        <w:jc w:val="left"/>
        <w:rPr>
          <w:rFonts w:hAnsi="宋体" w:cs="宋体"/>
          <w:bCs/>
          <w:sz w:val="24"/>
        </w:rPr>
      </w:pPr>
      <w:r>
        <w:rPr>
          <w:rFonts w:hint="eastAsia" w:hAnsi="宋体" w:cs="宋体"/>
          <w:b/>
          <w:sz w:val="24"/>
        </w:rPr>
        <w:t>采购需求：</w:t>
      </w:r>
      <w:r>
        <w:rPr>
          <w:rFonts w:hint="eastAsia" w:hAnsi="宋体" w:cs="宋体"/>
          <w:bCs/>
          <w:sz w:val="24"/>
        </w:rPr>
        <w:t>采购人民检察院驻新看守所检察室弱电建设项目设备一批</w:t>
      </w:r>
      <w:r>
        <w:rPr>
          <w:rFonts w:hint="eastAsia" w:hAnsi="宋体" w:cs="宋体"/>
          <w:bCs/>
          <w:sz w:val="24"/>
          <w:lang w:val="zh-CN"/>
        </w:rPr>
        <w:t>（包括设计、供货、包装、装卸运输、安装调试、备品备件、专用工具、保险、培训、税金、验收、辅助工作及售后服务等完成该项目的所有费用）</w:t>
      </w:r>
      <w:r>
        <w:rPr>
          <w:rFonts w:hint="eastAsia" w:ascii="宋体" w:hAnsi="宋体" w:cs="宋体"/>
          <w:color w:val="000000"/>
          <w:kern w:val="0"/>
          <w:sz w:val="24"/>
        </w:rPr>
        <w:t>。</w:t>
      </w:r>
      <w:r>
        <w:rPr>
          <w:rFonts w:hint="eastAsia" w:asciiTheme="minorEastAsia" w:hAnsiTheme="minorEastAsia" w:eastAsiaTheme="minorEastAsia"/>
          <w:sz w:val="24"/>
        </w:rPr>
        <w:t>具体以招标文件第三部分采购需求为准，供应商可点击本公告下方“浏览采购文件”查看采购需求。</w:t>
      </w:r>
    </w:p>
    <w:p>
      <w:pPr>
        <w:pStyle w:val="128"/>
        <w:ind w:firstLine="482"/>
        <w:outlineLvl w:val="2"/>
        <w:rPr>
          <w:rFonts w:ascii="宋体" w:hAnsi="宋体" w:cs="宋体"/>
          <w:b/>
        </w:rPr>
      </w:pPr>
      <w:r>
        <w:rPr>
          <w:rFonts w:hint="eastAsia" w:ascii="宋体" w:hAnsi="宋体" w:cs="宋体"/>
          <w:b/>
        </w:rPr>
        <w:t>合同履约期限：</w:t>
      </w:r>
      <w:r>
        <w:rPr>
          <w:rFonts w:hint="eastAsia" w:ascii="宋体" w:hAnsi="宋体" w:cs="宋体"/>
          <w:bCs/>
        </w:rPr>
        <w:t>合同签订生效后15日历天完成安装调试</w:t>
      </w:r>
    </w:p>
    <w:p>
      <w:pPr>
        <w:pStyle w:val="9"/>
        <w:spacing w:line="360" w:lineRule="auto"/>
        <w:ind w:firstLine="480"/>
        <w:rPr>
          <w:rFonts w:hAnsi="宋体" w:cs="宋体"/>
          <w:color w:val="auto"/>
          <w:kern w:val="0"/>
          <w:sz w:val="24"/>
        </w:rPr>
      </w:pPr>
      <w:r>
        <w:rPr>
          <w:rFonts w:hint="eastAsia" w:hAnsi="宋体" w:cs="宋体"/>
          <w:b/>
          <w:color w:val="auto"/>
          <w:sz w:val="24"/>
        </w:rPr>
        <w:t>本项目接受联合体投标：</w:t>
      </w:r>
      <w:r>
        <w:rPr>
          <w:rFonts w:hint="eastAsia" w:hAnsi="宋体" w:cs="宋体"/>
          <w:color w:val="auto"/>
          <w:kern w:val="0"/>
          <w:sz w:val="24"/>
        </w:rPr>
        <w:sym w:font="Wingdings" w:char="00A8"/>
      </w:r>
      <w:r>
        <w:rPr>
          <w:rFonts w:hint="eastAsia" w:hAnsi="宋体" w:cs="宋体"/>
          <w:b/>
          <w:color w:val="auto"/>
          <w:sz w:val="24"/>
        </w:rPr>
        <w:t>是</w:t>
      </w:r>
      <w:r>
        <w:rPr>
          <w:rFonts w:hint="eastAsia" w:hAnsi="宋体" w:cs="宋体"/>
          <w:b/>
          <w:snapToGrid/>
          <w:color w:val="auto"/>
          <w:kern w:val="2"/>
          <w:sz w:val="24"/>
        </w:rPr>
        <w:t>；</w:t>
      </w:r>
      <w:sdt>
        <w:sdtPr>
          <w:rPr>
            <w:rFonts w:hint="eastAsia" w:hAnsi="宋体" w:cs="宋体"/>
            <w:color w:val="auto"/>
            <w:kern w:val="0"/>
            <w:sz w:val="24"/>
          </w:rPr>
          <w:id w:val="-1765526721"/>
        </w:sdtPr>
        <w:sdtEndPr>
          <w:rPr>
            <w:rFonts w:hint="eastAsia" w:hAnsi="宋体" w:cs="宋体"/>
            <w:color w:val="auto"/>
            <w:kern w:val="0"/>
            <w:sz w:val="24"/>
          </w:rPr>
        </w:sdtEndPr>
        <w:sdtContent>
          <w:sdt>
            <w:sdtPr>
              <w:rPr>
                <w:rFonts w:hint="eastAsia" w:hAnsi="宋体" w:cs="宋体"/>
                <w:color w:val="auto"/>
                <w:kern w:val="0"/>
                <w:sz w:val="24"/>
              </w:rPr>
              <w:id w:val="2035453831"/>
            </w:sdtPr>
            <w:sdtEndPr>
              <w:rPr>
                <w:rFonts w:hint="eastAsia" w:hAnsi="宋体" w:cs="宋体"/>
                <w:color w:val="auto"/>
                <w:kern w:val="0"/>
                <w:sz w:val="24"/>
              </w:rPr>
            </w:sdtEndPr>
            <w:sdtContent>
              <w:r>
                <w:rPr>
                  <w:rFonts w:hint="eastAsia" w:hAnsi="宋体" w:cs="宋体"/>
                  <w:color w:val="auto"/>
                  <w:kern w:val="0"/>
                  <w:sz w:val="24"/>
                </w:rPr>
                <w:sym w:font="Wingdings" w:char="00FE"/>
              </w:r>
            </w:sdtContent>
          </w:sdt>
        </w:sdtContent>
      </w:sdt>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sz w:val="24"/>
        </w:rPr>
      </w:pPr>
      <w:r>
        <w:rPr>
          <w:rFonts w:hint="eastAsia" w:ascii="宋体" w:hAnsi="宋体" w:cs="宋体"/>
          <w:b/>
          <w:sz w:val="24"/>
        </w:rPr>
        <w:t>二、</w:t>
      </w:r>
      <w:bookmarkStart w:id="11" w:name="_Hlk101132948"/>
      <w:r>
        <w:rPr>
          <w:rFonts w:hint="eastAsia" w:ascii="宋体" w:hAnsi="宋体" w:cs="宋体"/>
          <w:b/>
          <w:sz w:val="24"/>
        </w:rPr>
        <w:t>申请人的资格要求</w:t>
      </w:r>
      <w:bookmarkEnd w:id="11"/>
      <w:r>
        <w:rPr>
          <w:rFonts w:hint="eastAsia" w:ascii="宋体" w:hAnsi="宋体" w:cs="宋体"/>
          <w:b/>
          <w:sz w:val="24"/>
        </w:rPr>
        <w:t>：</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24" w:firstLineChars="177"/>
        <w:rPr>
          <w:rFonts w:ascii="宋体" w:hAnsi="宋体" w:cs="宋体"/>
          <w:snapToGrid w:val="0"/>
          <w:kern w:val="28"/>
          <w:sz w:val="24"/>
          <w:szCs w:val="20"/>
        </w:rPr>
      </w:pPr>
      <w:r>
        <w:rPr>
          <w:rFonts w:ascii="宋体" w:hAnsi="宋体" w:cs="宋体"/>
          <w:snapToGrid w:val="0"/>
          <w:kern w:val="28"/>
          <w:sz w:val="24"/>
          <w:szCs w:val="20"/>
        </w:rPr>
        <w:t>2</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pPr>
        <w:spacing w:line="360" w:lineRule="auto"/>
        <w:ind w:firstLine="480" w:firstLineChars="200"/>
        <w:rPr>
          <w:rFonts w:ascii="宋体" w:hAnsi="宋体" w:cs="宋体"/>
          <w:sz w:val="24"/>
        </w:rPr>
      </w:pPr>
      <w:r>
        <w:rPr>
          <w:rFonts w:ascii="Wingdings" w:hAnsi="Wingdings" w:cs="宋体"/>
          <w:color w:val="000000" w:themeColor="text1"/>
          <w:kern w:val="0"/>
          <w:sz w:val="24"/>
        </w:rPr>
        <w:sym w:font="Wingdings" w:char="00FE"/>
      </w:r>
      <w:sdt>
        <w:sdtPr>
          <w:rPr>
            <w:rFonts w:hint="eastAsia" w:ascii="宋体" w:hAnsi="宋体" w:cs="宋体"/>
            <w:color w:val="0000FF"/>
            <w:kern w:val="0"/>
            <w:sz w:val="24"/>
          </w:rPr>
          <w:id w:val="1928616923"/>
        </w:sdtPr>
        <w:sdtEndPr>
          <w:rPr>
            <w:rFonts w:hint="eastAsia" w:ascii="宋体" w:hAnsi="宋体" w:cs="宋体"/>
            <w:color w:val="auto"/>
            <w:kern w:val="0"/>
            <w:sz w:val="24"/>
          </w:rPr>
        </w:sdtEndPr>
        <w:sdtContent>
          <w:sdt>
            <w:sdtPr>
              <w:rPr>
                <w:rFonts w:hint="eastAsia" w:ascii="宋体" w:hAnsi="宋体" w:cs="宋体"/>
                <w:kern w:val="0"/>
                <w:sz w:val="24"/>
              </w:rPr>
              <w:id w:val="515496243"/>
              <w:showingPlcHdr/>
            </w:sdtPr>
            <w:sdtEndPr>
              <w:rPr>
                <w:rFonts w:hint="eastAsia" w:ascii="宋体" w:hAnsi="宋体" w:cs="宋体"/>
                <w:kern w:val="0"/>
                <w:sz w:val="24"/>
              </w:rPr>
            </w:sdtEndPr>
            <w:sdtContent/>
          </w:sdt>
        </w:sdtContent>
      </w:sdt>
      <w:r>
        <w:rPr>
          <w:rFonts w:hint="eastAsia" w:ascii="宋体" w:hAnsi="宋体" w:cs="宋体"/>
          <w:sz w:val="24"/>
        </w:rPr>
        <w:t>无</w:t>
      </w:r>
      <w:r>
        <w:rPr>
          <w:rFonts w:hint="eastAsia" w:ascii="宋体" w:hAnsi="宋体" w:cs="宋体"/>
          <w:snapToGrid w:val="0"/>
          <w:color w:val="000000" w:themeColor="text1"/>
          <w:kern w:val="28"/>
          <w:sz w:val="24"/>
          <w:szCs w:val="20"/>
        </w:rPr>
        <w:t>（注：不得限制大中型企业与小微企业组成联合体参与投标）</w:t>
      </w:r>
      <w:r>
        <w:rPr>
          <w:rFonts w:hint="eastAsia" w:ascii="宋体" w:hAnsi="宋体" w:cs="宋体"/>
          <w:color w:val="000000" w:themeColor="text1"/>
          <w:sz w:val="24"/>
        </w:rPr>
        <w:t>；</w:t>
      </w:r>
    </w:p>
    <w:p>
      <w:pPr>
        <w:spacing w:line="360" w:lineRule="auto"/>
        <w:ind w:firstLine="480" w:firstLineChars="200"/>
        <w:rPr>
          <w:rFonts w:ascii="宋体" w:hAnsi="宋体" w:cs="宋体"/>
          <w:color w:val="000000" w:themeColor="text1"/>
          <w:sz w:val="24"/>
        </w:rPr>
      </w:pPr>
      <w:sdt>
        <w:sdtPr>
          <w:rPr>
            <w:rFonts w:hint="eastAsia" w:ascii="宋体" w:hAnsi="宋体" w:cs="宋体"/>
            <w:kern w:val="0"/>
            <w:sz w:val="24"/>
          </w:rPr>
          <w:id w:val="-1024704304"/>
        </w:sdtPr>
        <w:sdtEndPr>
          <w:rPr>
            <w:rFonts w:hint="eastAsia" w:ascii="宋体" w:hAnsi="宋体" w:cs="宋体"/>
            <w:color w:val="000000" w:themeColor="text1"/>
            <w:kern w:val="0"/>
            <w:sz w:val="24"/>
          </w:rPr>
        </w:sdtEndPr>
        <w:sdtContent>
          <w:r>
            <w:rPr>
              <w:rFonts w:ascii="Wingdings" w:hAnsi="Wingdings" w:cs="宋体"/>
              <w:color w:val="000000" w:themeColor="text1"/>
              <w:kern w:val="0"/>
              <w:sz w:val="24"/>
            </w:rPr>
            <w:sym w:font="Wingdings" w:char="00A8"/>
          </w:r>
        </w:sdtContent>
      </w:sdt>
      <w:r>
        <w:rPr>
          <w:rFonts w:hint="eastAsia" w:ascii="宋体" w:hAnsi="宋体" w:cs="宋体"/>
          <w:color w:val="000000" w:themeColor="text1"/>
          <w:kern w:val="0"/>
          <w:sz w:val="24"/>
        </w:rPr>
        <w:t>专</w:t>
      </w:r>
      <w:r>
        <w:rPr>
          <w:rFonts w:hint="eastAsia" w:ascii="宋体" w:hAnsi="宋体" w:cs="宋体"/>
          <w:color w:val="000000" w:themeColor="text1"/>
          <w:sz w:val="24"/>
        </w:rPr>
        <w:t>门面向中小企业</w:t>
      </w:r>
    </w:p>
    <w:p>
      <w:pPr>
        <w:spacing w:line="360" w:lineRule="auto"/>
        <w:ind w:firstLine="897" w:firstLineChars="374"/>
        <w:rPr>
          <w:rFonts w:ascii="宋体" w:hAnsi="宋体" w:cs="宋体"/>
          <w:color w:val="000000" w:themeColor="text1"/>
          <w:sz w:val="24"/>
          <w:u w:val="single"/>
        </w:rPr>
      </w:pPr>
      <w:sdt>
        <w:sdtPr>
          <w:rPr>
            <w:rFonts w:hint="eastAsia" w:ascii="宋体" w:hAnsi="宋体" w:cs="宋体"/>
            <w:color w:val="000000" w:themeColor="text1"/>
            <w:kern w:val="0"/>
            <w:sz w:val="24"/>
          </w:rPr>
          <w:id w:val="-924730588"/>
        </w:sdtPr>
        <w:sdtEndPr>
          <w:rPr>
            <w:rFonts w:hint="eastAsia" w:ascii="宋体" w:hAnsi="宋体" w:cs="宋体"/>
            <w:color w:val="000000" w:themeColor="text1"/>
            <w:kern w:val="0"/>
            <w:sz w:val="24"/>
          </w:rPr>
        </w:sdtEndPr>
        <w:sdtContent>
          <w:r>
            <w:rPr>
              <w:rFonts w:ascii="Wingdings" w:hAnsi="Wingdings" w:cs="宋体"/>
              <w:color w:val="000000" w:themeColor="text1"/>
              <w:kern w:val="0"/>
              <w:sz w:val="24"/>
            </w:rPr>
            <w:sym w:font="Wingdings" w:char="00A8"/>
          </w:r>
        </w:sdtContent>
      </w:sdt>
      <w:r>
        <w:rPr>
          <w:rFonts w:hint="eastAsia" w:ascii="宋体" w:hAnsi="宋体" w:cs="宋体"/>
          <w:color w:val="000000" w:themeColor="text1"/>
          <w:sz w:val="24"/>
        </w:rPr>
        <w:t>货物全部由符合政策要求的中小企业制造，提供中小企业声明函；</w:t>
      </w:r>
    </w:p>
    <w:p>
      <w:pPr>
        <w:spacing w:line="360" w:lineRule="auto"/>
        <w:ind w:firstLine="897" w:firstLineChars="374"/>
        <w:rPr>
          <w:rFonts w:ascii="宋体" w:hAnsi="宋体" w:cs="宋体"/>
          <w:color w:val="FF0000"/>
          <w:sz w:val="24"/>
        </w:rPr>
      </w:pPr>
      <w:sdt>
        <w:sdtPr>
          <w:rPr>
            <w:rFonts w:hint="eastAsia" w:ascii="宋体" w:hAnsi="宋体" w:cs="宋体"/>
            <w:color w:val="000000" w:themeColor="text1"/>
            <w:kern w:val="0"/>
            <w:sz w:val="24"/>
          </w:rPr>
          <w:id w:val="-1152604937"/>
        </w:sdtPr>
        <w:sdtEndPr>
          <w:rPr>
            <w:rFonts w:hint="eastAsia" w:ascii="宋体" w:hAnsi="宋体" w:cs="宋体"/>
            <w:color w:val="000000" w:themeColor="text1"/>
            <w:kern w:val="0"/>
            <w:sz w:val="24"/>
          </w:rPr>
        </w:sdtEndPr>
        <w:sdtContent>
          <w:r>
            <w:rPr>
              <w:rFonts w:hint="eastAsia" w:ascii="宋体" w:hAnsi="宋体" w:cs="宋体"/>
              <w:color w:val="000000" w:themeColor="text1"/>
              <w:kern w:val="0"/>
              <w:sz w:val="24"/>
            </w:rPr>
            <w:t>☐</w:t>
          </w:r>
        </w:sdtContent>
      </w:sdt>
      <w:r>
        <w:rPr>
          <w:rFonts w:hint="eastAsia" w:ascii="宋体" w:hAnsi="宋体" w:cs="宋体"/>
          <w:color w:val="000000" w:themeColor="text1"/>
          <w:sz w:val="24"/>
        </w:rPr>
        <w:t>货物全部由符合政策要求的小微企业制造，提供中小企业声明函；</w:t>
      </w:r>
    </w:p>
    <w:p>
      <w:pPr>
        <w:spacing w:line="360" w:lineRule="auto"/>
        <w:ind w:firstLine="480" w:firstLineChars="200"/>
        <w:rPr>
          <w:rFonts w:ascii="宋体" w:hAnsi="宋体" w:cs="宋体"/>
          <w:sz w:val="24"/>
        </w:rPr>
      </w:pPr>
      <w:bookmarkStart w:id="12" w:name="_Hlk101132524"/>
      <w:sdt>
        <w:sdtPr>
          <w:rPr>
            <w:rFonts w:hint="eastAsia" w:ascii="宋体" w:hAnsi="宋体" w:cs="宋体"/>
            <w:kern w:val="0"/>
            <w:sz w:val="24"/>
          </w:rPr>
          <w:id w:val="-1985607795"/>
        </w:sdtPr>
        <w:sdtEndPr>
          <w:rPr>
            <w:rFonts w:hint="eastAsia" w:ascii="宋体" w:hAnsi="宋体" w:cs="宋体"/>
            <w:kern w:val="0"/>
            <w:sz w:val="24"/>
          </w:rPr>
        </w:sdtEndPr>
        <w:sdtContent>
          <w:sdt>
            <w:sdtPr>
              <w:rPr>
                <w:rFonts w:hint="eastAsia" w:ascii="宋体" w:hAnsi="宋体" w:cs="宋体"/>
                <w:color w:val="0000FF"/>
                <w:kern w:val="0"/>
                <w:sz w:val="24"/>
              </w:rPr>
              <w:id w:val="515496241"/>
            </w:sdtPr>
            <w:sdtEndPr>
              <w:rPr>
                <w:rFonts w:hint="eastAsia" w:ascii="宋体" w:hAnsi="宋体" w:cs="宋体"/>
                <w:color w:val="000000" w:themeColor="text1"/>
                <w:kern w:val="0"/>
                <w:sz w:val="24"/>
              </w:rPr>
            </w:sdtEndPr>
            <w:sdtContent>
              <w:r>
                <w:rPr>
                  <w:rFonts w:ascii="Wingdings" w:hAnsi="Wingdings" w:cs="宋体"/>
                  <w:color w:val="000000" w:themeColor="text1"/>
                  <w:kern w:val="0"/>
                  <w:sz w:val="24"/>
                </w:rPr>
                <w:sym w:font="Wingdings" w:char="00A8"/>
              </w:r>
            </w:sdtContent>
          </w:sdt>
        </w:sdtContent>
      </w:sdt>
      <w:r>
        <w:rPr>
          <w:rFonts w:hint="eastAsia" w:ascii="宋体" w:hAnsi="宋体" w:cs="宋体"/>
          <w:sz w:val="24"/>
        </w:rPr>
        <w:t>要求以联合体形式参加，提供联合协议和中小企业声明函，联合协议中中小企业合同金额应当达到%，其中小微企业合同金额应当达到%;</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bookmarkEnd w:id="12"/>
    <w:p>
      <w:pPr>
        <w:spacing w:line="360" w:lineRule="auto"/>
        <w:ind w:firstLine="480" w:firstLineChars="200"/>
        <w:rPr>
          <w:rFonts w:ascii="宋体" w:hAnsi="宋体" w:cs="宋体"/>
          <w:sz w:val="24"/>
        </w:rPr>
      </w:pPr>
      <w:sdt>
        <w:sdtPr>
          <w:rPr>
            <w:rFonts w:hint="eastAsia" w:ascii="宋体" w:hAnsi="宋体" w:cs="宋体"/>
            <w:kern w:val="0"/>
            <w:sz w:val="24"/>
          </w:rPr>
          <w:id w:val="3463064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 ，其中小微企业合同金额应当达到%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pPr>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.本项目的特定资格要求：无；</w:t>
      </w:r>
    </w:p>
    <w:p>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sz w:val="24"/>
        </w:rPr>
      </w:pPr>
      <w:r>
        <w:rPr>
          <w:rFonts w:hint="eastAsia" w:ascii="宋体" w:hAnsi="宋体" w:cs="宋体"/>
          <w:b/>
          <w:sz w:val="24"/>
        </w:rPr>
        <w:t xml:space="preserve">三、获取招标文件 </w:t>
      </w:r>
    </w:p>
    <w:p>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2023年</w:t>
      </w:r>
      <w:r>
        <w:rPr>
          <w:rFonts w:hint="eastAsia" w:ascii="宋体" w:hAnsi="宋体" w:cs="宋体"/>
          <w:sz w:val="24"/>
          <w:u w:val="single"/>
          <w:lang w:val="en-US" w:eastAsia="zh-CN"/>
        </w:rPr>
        <w:t>8</w:t>
      </w:r>
      <w:r>
        <w:rPr>
          <w:rFonts w:hint="eastAsia" w:ascii="宋体" w:hAnsi="宋体" w:cs="宋体"/>
          <w:sz w:val="24"/>
          <w:u w:val="single"/>
        </w:rPr>
        <w:t>月</w:t>
      </w:r>
      <w:r>
        <w:rPr>
          <w:rFonts w:hint="eastAsia" w:ascii="宋体" w:hAnsi="宋体" w:cs="宋体"/>
          <w:sz w:val="24"/>
          <w:u w:val="single"/>
          <w:lang w:val="en-US" w:eastAsia="zh-CN"/>
        </w:rPr>
        <w:t>4</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四、提交投标文件截止时间、开标时间和地点</w:t>
      </w:r>
    </w:p>
    <w:p>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2023年</w:t>
      </w:r>
      <w:r>
        <w:rPr>
          <w:rFonts w:hint="eastAsia" w:ascii="宋体" w:hAnsi="宋体" w:cs="宋体"/>
          <w:sz w:val="24"/>
          <w:u w:val="single"/>
          <w:lang w:val="en-US" w:eastAsia="zh-CN"/>
        </w:rPr>
        <w:t>8</w:t>
      </w:r>
      <w:r>
        <w:rPr>
          <w:rFonts w:hint="eastAsia" w:ascii="宋体" w:hAnsi="宋体" w:cs="宋体"/>
          <w:sz w:val="24"/>
          <w:u w:val="single"/>
        </w:rPr>
        <w:t>月</w:t>
      </w:r>
      <w:r>
        <w:rPr>
          <w:rFonts w:hint="eastAsia" w:ascii="宋体" w:hAnsi="宋体" w:cs="宋体"/>
          <w:sz w:val="24"/>
          <w:u w:val="single"/>
          <w:lang w:val="en-US" w:eastAsia="zh-CN"/>
        </w:rPr>
        <w:t>4</w:t>
      </w:r>
      <w:r>
        <w:rPr>
          <w:rFonts w:hint="eastAsia" w:ascii="宋体" w:hAnsi="宋体" w:cs="宋体"/>
          <w:sz w:val="24"/>
          <w:u w:val="single"/>
        </w:rPr>
        <w:t>日9点30分00秒</w:t>
      </w:r>
      <w:r>
        <w:rPr>
          <w:rFonts w:hint="eastAsia" w:ascii="宋体" w:hAnsi="宋体" w:cs="宋体"/>
          <w:sz w:val="24"/>
        </w:rPr>
        <w:t>（北京时间）</w:t>
      </w:r>
    </w:p>
    <w:p>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2023年</w:t>
      </w:r>
      <w:r>
        <w:rPr>
          <w:rFonts w:hint="eastAsia" w:ascii="宋体" w:hAnsi="宋体" w:cs="宋体"/>
          <w:sz w:val="24"/>
          <w:u w:val="single"/>
          <w:lang w:val="en-US" w:eastAsia="zh-CN"/>
        </w:rPr>
        <w:t>8</w:t>
      </w:r>
      <w:r>
        <w:rPr>
          <w:rFonts w:hint="eastAsia" w:ascii="宋体" w:hAnsi="宋体" w:cs="宋体"/>
          <w:sz w:val="24"/>
          <w:u w:val="single"/>
        </w:rPr>
        <w:t>月</w:t>
      </w:r>
      <w:r>
        <w:rPr>
          <w:rFonts w:hint="eastAsia" w:ascii="宋体" w:hAnsi="宋体" w:cs="宋体"/>
          <w:sz w:val="24"/>
          <w:u w:val="single"/>
          <w:lang w:val="en-US" w:eastAsia="zh-CN"/>
        </w:rPr>
        <w:t>4</w:t>
      </w:r>
      <w:r>
        <w:rPr>
          <w:rFonts w:hint="eastAsia" w:ascii="宋体" w:hAnsi="宋体" w:cs="宋体"/>
          <w:sz w:val="24"/>
          <w:u w:val="single"/>
        </w:rPr>
        <w:t>日9点30分00秒</w:t>
      </w:r>
    </w:p>
    <w:p>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pPr>
        <w:spacing w:line="360" w:lineRule="auto"/>
        <w:rPr>
          <w:rFonts w:ascii="宋体" w:hAnsi="宋体" w:cs="宋体"/>
          <w:sz w:val="24"/>
        </w:rPr>
      </w:pPr>
      <w:r>
        <w:rPr>
          <w:rFonts w:hint="eastAsia" w:ascii="宋体" w:hAnsi="宋体" w:cs="宋体"/>
          <w:b/>
          <w:sz w:val="24"/>
        </w:rPr>
        <w:t xml:space="preserve">五、公告期限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rPr>
          <w:rFonts w:ascii="宋体" w:hAnsi="宋体" w:cs="宋体"/>
          <w:b/>
          <w:sz w:val="24"/>
        </w:rPr>
      </w:pPr>
      <w:r>
        <w:rPr>
          <w:rFonts w:hint="eastAsia" w:ascii="宋体" w:hAnsi="宋体" w:cs="宋体"/>
          <w:b/>
          <w:sz w:val="24"/>
        </w:rPr>
        <w:t>六、其他补充事宜</w:t>
      </w:r>
    </w:p>
    <w:p>
      <w:pPr>
        <w:spacing w:line="360" w:lineRule="auto"/>
        <w:ind w:firstLine="480" w:firstLineChars="200"/>
        <w:rPr>
          <w:rFonts w:ascii="宋体" w:hAnsi="宋体" w:cs="宋体"/>
          <w:sz w:val="24"/>
        </w:rPr>
      </w:pPr>
      <w:r>
        <w:rPr>
          <w:rFonts w:hint="eastAsia" w:ascii="宋体" w:hAnsi="宋体" w:cs="宋体"/>
          <w:sz w:val="24"/>
        </w:rPr>
        <w:t xml:space="preserve"> 1. </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sz w:val="24"/>
        </w:rPr>
      </w:pPr>
      <w:r>
        <w:rPr>
          <w:rFonts w:hint="eastAsia" w:ascii="宋体" w:hAnsi="宋体" w:cs="宋体"/>
          <w:b/>
          <w:sz w:val="24"/>
        </w:rPr>
        <w:t>七、对本次采购提出询问、质疑、投诉，请按以下方式联系</w:t>
      </w:r>
    </w:p>
    <w:p>
      <w:pPr>
        <w:spacing w:line="360" w:lineRule="auto"/>
        <w:rPr>
          <w:rFonts w:ascii="宋体" w:hAnsi="宋体" w:cs="宋体"/>
          <w:sz w:val="24"/>
        </w:rPr>
      </w:pPr>
      <w:r>
        <w:rPr>
          <w:rFonts w:hint="eastAsia" w:ascii="宋体" w:hAnsi="宋体" w:cs="宋体"/>
          <w:sz w:val="24"/>
        </w:rPr>
        <w:t xml:space="preserve">    1.采购人信息</w:t>
      </w:r>
    </w:p>
    <w:p>
      <w:pPr>
        <w:spacing w:line="360" w:lineRule="auto"/>
        <w:ind w:firstLine="424" w:firstLineChars="177"/>
        <w:rPr>
          <w:rFonts w:ascii="宋体" w:hAnsi="宋体" w:cs="宋体"/>
          <w:sz w:val="24"/>
        </w:rPr>
      </w:pPr>
      <w:r>
        <w:rPr>
          <w:rFonts w:hint="eastAsia" w:ascii="宋体" w:hAnsi="宋体" w:cs="宋体"/>
          <w:sz w:val="24"/>
        </w:rPr>
        <w:t xml:space="preserve"> 名    称：建德市人民检察院</w:t>
      </w:r>
    </w:p>
    <w:p>
      <w:pPr>
        <w:spacing w:line="360" w:lineRule="auto"/>
        <w:rPr>
          <w:rFonts w:ascii="宋体" w:hAnsi="宋体" w:cs="宋体"/>
          <w:sz w:val="24"/>
        </w:rPr>
      </w:pPr>
      <w:r>
        <w:rPr>
          <w:rFonts w:hint="eastAsia" w:ascii="宋体" w:hAnsi="宋体" w:cs="宋体"/>
          <w:sz w:val="24"/>
        </w:rPr>
        <w:t xml:space="preserve">    地    址：浙江建德市新安江街道白沙路121号       </w:t>
      </w:r>
    </w:p>
    <w:p>
      <w:pPr>
        <w:spacing w:line="360" w:lineRule="auto"/>
        <w:ind w:firstLine="480"/>
        <w:rPr>
          <w:rFonts w:ascii="宋体" w:hAnsi="宋体" w:cs="宋体"/>
          <w:sz w:val="24"/>
        </w:rPr>
      </w:pPr>
      <w:r>
        <w:rPr>
          <w:rFonts w:hint="eastAsia" w:ascii="宋体" w:hAnsi="宋体" w:cs="宋体"/>
          <w:sz w:val="24"/>
        </w:rPr>
        <w:t>传    真： /</w:t>
      </w:r>
    </w:p>
    <w:p>
      <w:pPr>
        <w:spacing w:line="360" w:lineRule="auto"/>
        <w:ind w:firstLine="480"/>
        <w:rPr>
          <w:rFonts w:ascii="宋体" w:hAnsi="宋体" w:cs="宋体"/>
          <w:color w:val="000000" w:themeColor="text1"/>
          <w:sz w:val="24"/>
        </w:rPr>
      </w:pPr>
      <w:r>
        <w:rPr>
          <w:rFonts w:hint="eastAsia" w:ascii="宋体" w:hAnsi="宋体" w:cs="宋体"/>
          <w:color w:val="000000" w:themeColor="text1"/>
          <w:sz w:val="24"/>
        </w:rPr>
        <w:t xml:space="preserve">项目联系人（询问）：郭姝含 </w:t>
      </w:r>
    </w:p>
    <w:p>
      <w:pPr>
        <w:spacing w:line="360" w:lineRule="auto"/>
        <w:ind w:firstLine="465"/>
        <w:rPr>
          <w:rFonts w:ascii="宋体" w:hAnsi="宋体" w:cs="宋体"/>
          <w:color w:val="000000" w:themeColor="text1"/>
          <w:sz w:val="24"/>
        </w:rPr>
      </w:pPr>
      <w:r>
        <w:rPr>
          <w:rFonts w:hint="eastAsia" w:ascii="宋体" w:hAnsi="宋体" w:cs="宋体"/>
          <w:color w:val="000000" w:themeColor="text1"/>
          <w:sz w:val="24"/>
        </w:rPr>
        <w:t>项目联系方式（询问）：0571-89605586</w:t>
      </w:r>
    </w:p>
    <w:p>
      <w:pPr>
        <w:spacing w:line="360" w:lineRule="auto"/>
        <w:ind w:firstLine="465"/>
        <w:rPr>
          <w:rFonts w:ascii="宋体" w:hAnsi="宋体" w:cs="宋体"/>
          <w:color w:val="000000" w:themeColor="text1"/>
          <w:sz w:val="24"/>
        </w:rPr>
      </w:pPr>
      <w:r>
        <w:rPr>
          <w:rFonts w:hint="eastAsia" w:ascii="宋体" w:hAnsi="宋体" w:cs="宋体"/>
          <w:color w:val="000000" w:themeColor="text1"/>
          <w:sz w:val="24"/>
        </w:rPr>
        <w:t>质疑联系人：</w:t>
      </w:r>
      <w:r>
        <w:rPr>
          <w:rFonts w:hint="eastAsia" w:asciiTheme="minorEastAsia" w:hAnsiTheme="minorEastAsia" w:eastAsiaTheme="minorEastAsia"/>
          <w:sz w:val="24"/>
        </w:rPr>
        <w:t>洪境</w:t>
      </w:r>
      <w:r>
        <w:rPr>
          <w:rFonts w:hint="eastAsia" w:ascii="宋体" w:hAnsi="宋体" w:cs="宋体"/>
          <w:color w:val="000000" w:themeColor="text1"/>
          <w:sz w:val="24"/>
        </w:rPr>
        <w:t> </w:t>
      </w:r>
    </w:p>
    <w:p>
      <w:pPr>
        <w:spacing w:line="360" w:lineRule="auto"/>
        <w:ind w:firstLine="465"/>
        <w:rPr>
          <w:rFonts w:ascii="宋体" w:hAnsi="宋体" w:cs="宋体"/>
          <w:color w:val="FF0000"/>
          <w:sz w:val="24"/>
        </w:rPr>
      </w:pPr>
      <w:r>
        <w:rPr>
          <w:rFonts w:hint="eastAsia" w:ascii="宋体" w:hAnsi="宋体" w:cs="宋体"/>
          <w:color w:val="000000" w:themeColor="text1"/>
          <w:sz w:val="24"/>
        </w:rPr>
        <w:t>质疑联系方式：</w:t>
      </w:r>
      <w:r>
        <w:rPr>
          <w:rFonts w:hint="eastAsia" w:asciiTheme="minorEastAsia" w:hAnsiTheme="minorEastAsia" w:eastAsiaTheme="minorEastAsia"/>
          <w:sz w:val="24"/>
        </w:rPr>
        <w:t>18758002306</w:t>
      </w:r>
    </w:p>
    <w:p>
      <w:pPr>
        <w:spacing w:line="360" w:lineRule="auto"/>
        <w:rPr>
          <w:rFonts w:ascii="宋体" w:hAnsi="宋体" w:cs="宋体"/>
          <w:sz w:val="24"/>
        </w:rPr>
      </w:pPr>
      <w:r>
        <w:rPr>
          <w:rFonts w:hint="eastAsia" w:ascii="宋体" w:hAnsi="宋体" w:cs="宋体"/>
          <w:sz w:val="24"/>
        </w:rPr>
        <w:t xml:space="preserve">    2.采购代理机构信息            </w:t>
      </w:r>
    </w:p>
    <w:p>
      <w:pPr>
        <w:spacing w:line="360" w:lineRule="auto"/>
        <w:ind w:firstLine="480"/>
        <w:rPr>
          <w:rFonts w:ascii="宋体" w:hAnsi="宋体" w:cs="宋体"/>
          <w:sz w:val="24"/>
        </w:rPr>
      </w:pPr>
      <w:r>
        <w:rPr>
          <w:rFonts w:hint="eastAsia" w:ascii="宋体" w:hAnsi="宋体" w:cs="宋体"/>
          <w:sz w:val="24"/>
        </w:rPr>
        <w:t>名    称：杭州市公共资源交易中心建德分中心</w:t>
      </w:r>
    </w:p>
    <w:p>
      <w:pPr>
        <w:spacing w:line="360" w:lineRule="auto"/>
        <w:ind w:firstLine="480"/>
        <w:rPr>
          <w:rFonts w:ascii="宋体" w:hAnsi="宋体" w:cs="宋体"/>
          <w:sz w:val="24"/>
        </w:rPr>
      </w:pPr>
      <w:r>
        <w:rPr>
          <w:rFonts w:hint="eastAsia" w:ascii="宋体" w:hAnsi="宋体" w:cs="宋体"/>
          <w:sz w:val="24"/>
        </w:rPr>
        <w:t>地    址：浙江省建德市洋溪街道荷映路113号</w:t>
      </w:r>
    </w:p>
    <w:p>
      <w:pPr>
        <w:spacing w:line="360" w:lineRule="auto"/>
        <w:rPr>
          <w:rFonts w:ascii="宋体" w:hAnsi="宋体" w:cs="宋体"/>
          <w:sz w:val="24"/>
        </w:rPr>
      </w:pPr>
      <w:r>
        <w:rPr>
          <w:rFonts w:hint="eastAsia" w:ascii="宋体" w:hAnsi="宋体" w:cs="宋体"/>
          <w:sz w:val="24"/>
        </w:rPr>
        <w:t xml:space="preserve">    传    真： </w:t>
      </w:r>
      <w:r>
        <w:rPr>
          <w:rFonts w:hint="eastAsia" w:ascii="仿宋" w:hAnsi="仿宋" w:eastAsia="仿宋" w:cs="仿宋"/>
          <w:sz w:val="24"/>
        </w:rPr>
        <w:t>/</w:t>
      </w:r>
    </w:p>
    <w:p>
      <w:pPr>
        <w:spacing w:line="360" w:lineRule="auto"/>
        <w:rPr>
          <w:rFonts w:ascii="宋体" w:hAnsi="宋体" w:cs="宋体"/>
          <w:sz w:val="24"/>
        </w:rPr>
      </w:pPr>
      <w:r>
        <w:rPr>
          <w:rFonts w:hint="eastAsia" w:ascii="宋体" w:hAnsi="宋体" w:cs="宋体"/>
          <w:sz w:val="24"/>
        </w:rPr>
        <w:t xml:space="preserve">    项目联系人（询问）： 徐赛明</w:t>
      </w:r>
    </w:p>
    <w:p>
      <w:pPr>
        <w:spacing w:line="360" w:lineRule="auto"/>
        <w:rPr>
          <w:rFonts w:ascii="宋体" w:hAnsi="宋体" w:cs="宋体"/>
          <w:sz w:val="24"/>
        </w:rPr>
      </w:pPr>
      <w:r>
        <w:rPr>
          <w:rFonts w:hint="eastAsia" w:ascii="宋体" w:hAnsi="宋体" w:cs="宋体"/>
          <w:sz w:val="24"/>
        </w:rPr>
        <w:t xml:space="preserve">    项目联系方式（询问）：0571-64780093</w:t>
      </w:r>
    </w:p>
    <w:p>
      <w:pPr>
        <w:spacing w:line="360" w:lineRule="auto"/>
        <w:rPr>
          <w:rFonts w:ascii="宋体" w:hAnsi="宋体" w:cs="宋体"/>
          <w:sz w:val="24"/>
        </w:rPr>
      </w:pPr>
      <w:r>
        <w:rPr>
          <w:rFonts w:hint="eastAsia" w:ascii="宋体" w:hAnsi="宋体" w:cs="宋体"/>
          <w:sz w:val="24"/>
        </w:rPr>
        <w:t xml:space="preserve">    质疑联系人： 王雪凤</w:t>
      </w:r>
    </w:p>
    <w:p>
      <w:pPr>
        <w:spacing w:line="360" w:lineRule="auto"/>
        <w:rPr>
          <w:rFonts w:ascii="宋体" w:hAnsi="宋体" w:cs="宋体"/>
          <w:sz w:val="24"/>
        </w:rPr>
      </w:pPr>
      <w:r>
        <w:rPr>
          <w:rFonts w:hint="eastAsia" w:ascii="宋体" w:hAnsi="宋体" w:cs="宋体"/>
          <w:sz w:val="24"/>
        </w:rPr>
        <w:t xml:space="preserve">    质疑联系方式：0571-64780093</w:t>
      </w:r>
    </w:p>
    <w:p>
      <w:pPr>
        <w:spacing w:line="360" w:lineRule="auto"/>
        <w:rPr>
          <w:rFonts w:ascii="宋体" w:hAnsi="宋体" w:cs="宋体"/>
          <w:sz w:val="24"/>
        </w:rPr>
      </w:pPr>
      <w:r>
        <w:rPr>
          <w:rFonts w:hint="eastAsia" w:ascii="宋体" w:hAnsi="宋体" w:cs="宋体"/>
          <w:sz w:val="24"/>
        </w:rPr>
        <w:t xml:space="preserve">    3.同级政府采购监督管理部门            </w:t>
      </w:r>
    </w:p>
    <w:p>
      <w:pPr>
        <w:spacing w:line="360" w:lineRule="auto"/>
        <w:ind w:firstLine="480"/>
        <w:rPr>
          <w:rFonts w:ascii="宋体" w:hAnsi="宋体" w:cs="宋体"/>
          <w:sz w:val="24"/>
        </w:rPr>
      </w:pPr>
      <w:r>
        <w:rPr>
          <w:rFonts w:hint="eastAsia" w:ascii="宋体" w:hAnsi="宋体" w:cs="宋体"/>
          <w:sz w:val="24"/>
        </w:rPr>
        <w:t>名    称：建德市采购办</w:t>
      </w:r>
    </w:p>
    <w:p>
      <w:pPr>
        <w:spacing w:line="360" w:lineRule="auto"/>
        <w:ind w:firstLine="480"/>
        <w:rPr>
          <w:rFonts w:ascii="宋体" w:hAnsi="宋体" w:cs="宋体"/>
          <w:sz w:val="24"/>
        </w:rPr>
      </w:pPr>
      <w:r>
        <w:rPr>
          <w:rFonts w:hint="eastAsia" w:ascii="宋体" w:hAnsi="宋体" w:cs="宋体"/>
          <w:sz w:val="24"/>
        </w:rPr>
        <w:t xml:space="preserve">地    址：建德市新安江街道严州大道1089号 </w:t>
      </w:r>
    </w:p>
    <w:p>
      <w:pPr>
        <w:spacing w:line="360" w:lineRule="auto"/>
        <w:rPr>
          <w:rFonts w:ascii="宋体" w:hAnsi="宋体" w:cs="宋体"/>
          <w:sz w:val="24"/>
        </w:rPr>
      </w:pPr>
      <w:r>
        <w:rPr>
          <w:rFonts w:hint="eastAsia" w:ascii="宋体" w:hAnsi="宋体" w:cs="宋体"/>
          <w:sz w:val="24"/>
        </w:rPr>
        <w:t xml:space="preserve">    传    真： /</w:t>
      </w:r>
    </w:p>
    <w:p>
      <w:pPr>
        <w:spacing w:line="360" w:lineRule="auto"/>
        <w:rPr>
          <w:rFonts w:ascii="宋体" w:hAnsi="宋体" w:cs="宋体"/>
          <w:sz w:val="24"/>
        </w:rPr>
      </w:pPr>
      <w:r>
        <w:rPr>
          <w:rFonts w:hint="eastAsia" w:ascii="宋体" w:hAnsi="宋体" w:cs="宋体"/>
          <w:sz w:val="24"/>
        </w:rPr>
        <w:t xml:space="preserve">    联系人 ：邵菁</w:t>
      </w:r>
    </w:p>
    <w:p>
      <w:pPr>
        <w:spacing w:line="360" w:lineRule="auto"/>
        <w:ind w:firstLine="480"/>
        <w:rPr>
          <w:rFonts w:ascii="宋体" w:hAnsi="宋体" w:cs="宋体"/>
          <w:sz w:val="24"/>
        </w:rPr>
      </w:pPr>
      <w:r>
        <w:rPr>
          <w:rFonts w:hint="eastAsia" w:ascii="宋体" w:hAnsi="宋体" w:cs="宋体"/>
          <w:sz w:val="24"/>
        </w:rPr>
        <w:t>监督投诉电话：0571-64718168</w:t>
      </w:r>
    </w:p>
    <w:p>
      <w:pPr>
        <w:spacing w:line="360" w:lineRule="auto"/>
        <w:ind w:firstLine="48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pPr>
        <w:pStyle w:val="34"/>
        <w:spacing w:line="360" w:lineRule="auto"/>
        <w:rPr>
          <w:rFonts w:hAnsi="宋体" w:cs="宋体"/>
          <w:b/>
          <w:sz w:val="36"/>
          <w:szCs w:val="20"/>
        </w:rPr>
      </w:pPr>
    </w:p>
    <w:p>
      <w:pPr>
        <w:pStyle w:val="7"/>
        <w:rPr>
          <w:rFonts w:ascii="宋体"/>
          <w:snapToGrid w:val="0"/>
        </w:rPr>
      </w:pPr>
      <w:r>
        <w:br w:type="page"/>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5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6520" w:type="dxa"/>
            <w:tcBorders>
              <w:top w:val="single" w:color="000000" w:sz="8" w:space="0"/>
              <w:left w:val="single" w:color="000000" w:sz="2" w:space="0"/>
              <w:bottom w:val="single" w:color="000000" w:sz="8" w:space="0"/>
              <w:right w:val="single" w:color="000000" w:sz="8" w:space="0"/>
            </w:tcBorders>
            <w:vAlign w:val="center"/>
          </w:tcPr>
          <w:p>
            <w:pPr>
              <w:widowControl/>
              <w:jc w:val="left"/>
              <w:textAlignment w:val="center"/>
              <w:rPr>
                <w:rFonts w:ascii="宋体" w:hAnsi="宋体" w:cs="宋体"/>
                <w:sz w:val="24"/>
              </w:rPr>
            </w:pPr>
            <w:r>
              <w:rPr>
                <w:rFonts w:hint="eastAsia" w:ascii="宋体" w:hAnsi="宋体" w:cs="宋体"/>
                <w:sz w:val="24"/>
              </w:rPr>
              <w:t>货物类，单一产品或核心产品为：云存储运维系统、云存储管理系统、</w:t>
            </w:r>
            <w:r>
              <w:rPr>
                <w:rFonts w:hint="eastAsia" w:ascii="宋体" w:hAnsi="宋体" w:cs="宋体"/>
                <w:color w:val="000000"/>
                <w:sz w:val="24"/>
              </w:rPr>
              <w:t>存储阵列存储</w:t>
            </w:r>
            <w:r>
              <w:rPr>
                <w:rFonts w:hint="eastAsia" w:ascii="宋体" w:hAnsi="宋体" w:cs="宋体"/>
                <w:sz w:val="24"/>
              </w:rPr>
              <w:t>、</w:t>
            </w:r>
            <w:r>
              <w:rPr>
                <w:rFonts w:hint="eastAsia" w:ascii="宋体" w:hAnsi="宋体" w:cs="宋体"/>
                <w:color w:val="000000"/>
                <w:sz w:val="24"/>
              </w:rPr>
              <w:t>云存储管理软件</w:t>
            </w:r>
            <w:r>
              <w:rPr>
                <w:rFonts w:hint="eastAsia" w:ascii="宋体" w:hAnsi="宋体" w:cs="宋体"/>
                <w:sz w:val="24"/>
              </w:rPr>
              <w:t>、</w:t>
            </w:r>
            <w:r>
              <w:rPr>
                <w:rFonts w:hint="eastAsia" w:ascii="宋体" w:hAnsi="宋体" w:cs="宋体"/>
                <w:color w:val="000000"/>
                <w:sz w:val="24"/>
              </w:rPr>
              <w:t>云存储运维软件</w:t>
            </w:r>
            <w:r>
              <w:rPr>
                <w:rFonts w:hint="eastAsia" w:ascii="宋体" w:hAnsi="宋体" w:cs="宋体"/>
                <w:sz w:val="24"/>
              </w:rPr>
              <w:t>、</w:t>
            </w:r>
            <w:r>
              <w:rPr>
                <w:rFonts w:hint="eastAsia" w:ascii="宋体" w:hAnsi="宋体" w:cs="宋体"/>
                <w:color w:val="000000"/>
                <w:sz w:val="24"/>
              </w:rPr>
              <w:t>视频安防平台</w:t>
            </w:r>
            <w:r>
              <w:rPr>
                <w:rFonts w:hint="eastAsia" w:ascii="仿宋" w:hAnsi="仿宋" w:eastAsia="仿宋" w:cs="仿宋"/>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520" w:type="dxa"/>
            <w:tcBorders>
              <w:top w:val="single" w:color="000000" w:sz="8" w:space="0"/>
              <w:left w:val="single" w:color="000000" w:sz="2" w:space="0"/>
              <w:bottom w:val="single" w:color="000000" w:sz="8" w:space="0"/>
              <w:right w:val="single" w:color="000000" w:sz="8" w:space="0"/>
            </w:tcBorders>
            <w:vAlign w:val="center"/>
          </w:tcPr>
          <w:p>
            <w:pPr>
              <w:snapToGrid w:val="0"/>
              <w:spacing w:line="280" w:lineRule="exact"/>
              <w:rPr>
                <w:rFonts w:ascii="宋体" w:hAnsi="宋体" w:cs="宋体"/>
                <w:sz w:val="24"/>
              </w:rPr>
            </w:pPr>
            <w:r>
              <w:rPr>
                <w:rFonts w:hint="eastAsia" w:ascii="宋体" w:hAnsi="宋体" w:cs="宋体"/>
                <w:sz w:val="24"/>
              </w:rPr>
              <w:t>采购标的：云存储运维系统，属于工业行业</w:t>
            </w:r>
          </w:p>
          <w:p>
            <w:pPr>
              <w:pStyle w:val="4"/>
              <w:spacing w:line="280" w:lineRule="exact"/>
              <w:ind w:firstLine="0"/>
              <w:rPr>
                <w:rFonts w:hAnsi="宋体" w:cs="宋体"/>
              </w:rPr>
            </w:pPr>
            <w:r>
              <w:rPr>
                <w:rFonts w:hint="eastAsia" w:hAnsi="宋体" w:cs="宋体"/>
              </w:rPr>
              <w:t>采购标的：云存储管理系统，属于工业行业</w:t>
            </w:r>
          </w:p>
          <w:p>
            <w:pPr>
              <w:spacing w:line="280" w:lineRule="exact"/>
              <w:rPr>
                <w:rFonts w:ascii="宋体" w:hAnsi="宋体" w:cs="宋体"/>
                <w:sz w:val="24"/>
              </w:rPr>
            </w:pPr>
            <w:r>
              <w:rPr>
                <w:rFonts w:hint="eastAsia" w:ascii="宋体" w:hAnsi="宋体" w:cs="宋体"/>
                <w:sz w:val="24"/>
              </w:rPr>
              <w:t>采购标的：</w:t>
            </w:r>
            <w:r>
              <w:rPr>
                <w:rFonts w:hint="eastAsia" w:ascii="宋体" w:hAnsi="宋体" w:cs="宋体"/>
                <w:color w:val="000000"/>
                <w:sz w:val="24"/>
              </w:rPr>
              <w:t>存储阵列存储</w:t>
            </w:r>
            <w:r>
              <w:rPr>
                <w:rFonts w:hint="eastAsia" w:ascii="宋体" w:hAnsi="宋体" w:cs="宋体"/>
                <w:sz w:val="24"/>
              </w:rPr>
              <w:t>，属于工业行业</w:t>
            </w:r>
          </w:p>
          <w:p>
            <w:pPr>
              <w:pStyle w:val="4"/>
              <w:spacing w:line="280" w:lineRule="exact"/>
              <w:ind w:firstLine="0"/>
              <w:rPr>
                <w:rFonts w:hAnsi="宋体" w:cs="宋体"/>
              </w:rPr>
            </w:pPr>
            <w:r>
              <w:rPr>
                <w:rFonts w:hint="eastAsia" w:hAnsi="宋体" w:cs="宋体"/>
              </w:rPr>
              <w:t>采购标的：</w:t>
            </w:r>
            <w:r>
              <w:rPr>
                <w:rFonts w:hint="eastAsia" w:hAnsi="宋体" w:cs="宋体"/>
                <w:color w:val="000000"/>
              </w:rPr>
              <w:t>云存储管理软件</w:t>
            </w:r>
            <w:r>
              <w:rPr>
                <w:rFonts w:hint="eastAsia" w:hAnsi="宋体" w:cs="宋体"/>
              </w:rPr>
              <w:t>，属于软件和信息技术服务业行业</w:t>
            </w:r>
          </w:p>
          <w:p>
            <w:pPr>
              <w:spacing w:line="280" w:lineRule="exact"/>
              <w:rPr>
                <w:rFonts w:ascii="宋体" w:hAnsi="宋体" w:cs="宋体"/>
                <w:sz w:val="24"/>
              </w:rPr>
            </w:pPr>
            <w:r>
              <w:rPr>
                <w:rFonts w:hint="eastAsia" w:ascii="宋体" w:hAnsi="宋体" w:cs="宋体"/>
                <w:sz w:val="24"/>
              </w:rPr>
              <w:t>采购标的：</w:t>
            </w:r>
            <w:r>
              <w:rPr>
                <w:rFonts w:hint="eastAsia" w:ascii="宋体" w:hAnsi="宋体" w:cs="宋体"/>
                <w:color w:val="000000"/>
                <w:sz w:val="24"/>
              </w:rPr>
              <w:t>云存储运维软件</w:t>
            </w:r>
            <w:r>
              <w:rPr>
                <w:rFonts w:hint="eastAsia" w:ascii="宋体" w:hAnsi="宋体" w:cs="宋体"/>
                <w:sz w:val="24"/>
              </w:rPr>
              <w:t>，属于</w:t>
            </w:r>
            <w:r>
              <w:rPr>
                <w:rFonts w:hint="eastAsia" w:hAnsi="宋体" w:cs="宋体"/>
                <w:sz w:val="24"/>
              </w:rPr>
              <w:t>软件和信息技术服务业</w:t>
            </w:r>
            <w:r>
              <w:rPr>
                <w:rFonts w:hint="eastAsia" w:ascii="宋体" w:hAnsi="宋体" w:cs="宋体"/>
                <w:sz w:val="24"/>
              </w:rPr>
              <w:t>行业</w:t>
            </w:r>
          </w:p>
          <w:p>
            <w:pPr>
              <w:spacing w:line="280" w:lineRule="exact"/>
              <w:rPr>
                <w:rFonts w:ascii="宋体" w:hAnsi="宋体" w:cs="宋体"/>
                <w:sz w:val="24"/>
              </w:rPr>
            </w:pPr>
            <w:r>
              <w:rPr>
                <w:rFonts w:hint="eastAsia" w:ascii="宋体" w:hAnsi="宋体" w:cs="宋体"/>
                <w:sz w:val="24"/>
              </w:rPr>
              <w:t>采购标的：</w:t>
            </w:r>
            <w:r>
              <w:rPr>
                <w:rFonts w:hint="eastAsia" w:ascii="宋体" w:hAnsi="宋体" w:cs="宋体"/>
                <w:color w:val="000000"/>
                <w:sz w:val="24"/>
              </w:rPr>
              <w:t>视频安防平台</w:t>
            </w:r>
            <w:r>
              <w:rPr>
                <w:rFonts w:hint="eastAsia" w:ascii="宋体" w:hAnsi="宋体" w:cs="宋体"/>
                <w:sz w:val="24"/>
              </w:rPr>
              <w:t>，属于工业行业</w:t>
            </w:r>
          </w:p>
          <w:p>
            <w:pPr>
              <w:pStyle w:val="7"/>
              <w:rPr>
                <w:rFonts w:ascii="宋体" w:hAnsi="宋体" w:eastAsia="宋体" w:cs="宋体"/>
                <w:lang w:val="en-US"/>
              </w:rPr>
            </w:pPr>
            <w:r>
              <w:rPr>
                <w:rFonts w:hint="eastAsia" w:ascii="仿宋" w:eastAsia="仿宋" w:cs="仿宋"/>
                <w:kern w:val="0"/>
                <w:sz w:val="24"/>
              </w:rPr>
              <w:t>注：请各供应商严格按照中小企业声明函要求填写。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shd w:val="clear" w:color="auto" w:fill="FFFFFF" w:themeFill="background1"/>
          </w:tcPr>
          <w:p>
            <w:pPr>
              <w:snapToGrid w:val="0"/>
              <w:spacing w:line="360" w:lineRule="auto"/>
              <w:jc w:val="center"/>
              <w:rPr>
                <w:rFonts w:ascii="宋体" w:hAnsi="宋体" w:cs="宋体"/>
                <w:b/>
                <w:sz w:val="24"/>
              </w:rPr>
            </w:pPr>
          </w:p>
          <w:p>
            <w:pPr>
              <w:snapToGrid w:val="0"/>
              <w:spacing w:line="360" w:lineRule="auto"/>
              <w:jc w:val="center"/>
              <w:rPr>
                <w:rFonts w:ascii="宋体" w:hAnsi="宋体" w:cs="宋体"/>
                <w:b/>
                <w:sz w:val="24"/>
              </w:rPr>
            </w:pPr>
          </w:p>
          <w:p>
            <w:pPr>
              <w:snapToGrid w:val="0"/>
              <w:spacing w:line="360" w:lineRule="auto"/>
              <w:jc w:val="center"/>
              <w:rPr>
                <w:rFonts w:ascii="宋体" w:hAnsi="宋体" w:cs="宋体"/>
                <w:b/>
                <w:sz w:val="24"/>
              </w:rPr>
            </w:pPr>
            <w:r>
              <w:rPr>
                <w:rFonts w:hint="eastAsia" w:ascii="宋体" w:hAnsi="宋体" w:cs="宋体"/>
                <w:b/>
                <w:sz w:val="24"/>
              </w:rPr>
              <w:t>3</w:t>
            </w:r>
          </w:p>
        </w:tc>
        <w:tc>
          <w:tcPr>
            <w:tcW w:w="1843" w:type="dxa"/>
            <w:tcBorders>
              <w:top w:val="single" w:color="000000" w:sz="8" w:space="0"/>
              <w:left w:val="single" w:color="auto" w:sz="4" w:space="0"/>
              <w:bottom w:val="single" w:color="000000" w:sz="8" w:space="0"/>
              <w:right w:val="single" w:color="000000" w:sz="8" w:space="0"/>
            </w:tcBorders>
            <w:shd w:val="clear" w:color="auto" w:fill="FFFFFF" w:themeFill="background1"/>
            <w:vAlign w:val="center"/>
          </w:tcPr>
          <w:p>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520" w:type="dxa"/>
            <w:tcBorders>
              <w:top w:val="single" w:color="000000" w:sz="8" w:space="0"/>
              <w:left w:val="single" w:color="000000" w:sz="2" w:space="0"/>
              <w:bottom w:val="single" w:color="000000" w:sz="8" w:space="0"/>
              <w:right w:val="single" w:color="000000" w:sz="8" w:space="0"/>
            </w:tcBorders>
            <w:shd w:val="clear" w:color="auto" w:fill="FFFFFF" w:themeFill="background1"/>
            <w:vAlign w:val="center"/>
          </w:tcPr>
          <w:p>
            <w:pPr>
              <w:spacing w:line="360" w:lineRule="auto"/>
              <w:rPr>
                <w:rFonts w:ascii="仿宋" w:hAnsi="仿宋" w:eastAsia="仿宋" w:cs="仿宋"/>
                <w:sz w:val="24"/>
              </w:rPr>
            </w:pPr>
            <w:sdt>
              <w:sdtPr>
                <w:rPr>
                  <w:rFonts w:hint="eastAsia" w:ascii="宋体" w:hAnsi="宋体" w:cs="宋体"/>
                  <w:color w:val="000000" w:themeColor="text1"/>
                  <w:kern w:val="0"/>
                  <w:sz w:val="24"/>
                  <w:highlight w:val="yellow"/>
                </w:rPr>
                <w:id w:val="-1828425707"/>
              </w:sdtPr>
              <w:sdtEndPr>
                <w:rPr>
                  <w:rFonts w:hint="eastAsia" w:ascii="仿宋" w:hAnsi="仿宋" w:eastAsia="仿宋" w:cs="仿宋"/>
                  <w:color w:val="auto"/>
                  <w:kern w:val="2"/>
                  <w:sz w:val="24"/>
                  <w:highlight w:val="none"/>
                </w:rPr>
              </w:sdtEndPr>
              <w:sdtContent>
                <w:sdt>
                  <w:sdtPr>
                    <w:rPr>
                      <w:rFonts w:hint="eastAsia" w:ascii="宋体" w:hAnsi="宋体" w:cs="宋体"/>
                      <w:kern w:val="0"/>
                      <w:sz w:val="24"/>
                    </w:rPr>
                    <w:id w:val="515496251"/>
                  </w:sdtPr>
                  <w:sdtEndPr>
                    <w:rPr>
                      <w:rFonts w:hint="eastAsia" w:ascii="仿宋" w:hAnsi="仿宋" w:eastAsia="仿宋" w:cs="仿宋"/>
                      <w:kern w:val="2"/>
                      <w:sz w:val="24"/>
                    </w:rPr>
                  </w:sdtEndPr>
                  <w:sdtContent>
                    <w:sdt>
                      <w:sdtPr>
                        <w:rPr>
                          <w:rFonts w:hint="eastAsia" w:ascii="宋体" w:hAnsi="宋体" w:cs="宋体"/>
                          <w:kern w:val="0"/>
                          <w:sz w:val="24"/>
                        </w:rPr>
                        <w:id w:val="515496264"/>
                      </w:sdtPr>
                      <w:sdtEndPr>
                        <w:rPr>
                          <w:rFonts w:hint="eastAsia" w:ascii="宋体" w:hAnsi="宋体" w:cs="宋体"/>
                          <w:kern w:val="0"/>
                          <w:sz w:val="24"/>
                        </w:rPr>
                      </w:sdtEndPr>
                      <w:sdtContent>
                        <w:r>
                          <w:rPr>
                            <w:rFonts w:ascii="Wingdings" w:hAnsi="Wingdings" w:cs="宋体"/>
                            <w:kern w:val="0"/>
                            <w:sz w:val="24"/>
                          </w:rPr>
                          <w:t></w:t>
                        </w:r>
                      </w:sdtContent>
                    </w:sdt>
                  </w:sdtContent>
                </w:sdt>
              </w:sdtContent>
            </w:sdt>
            <w:r>
              <w:rPr>
                <w:rFonts w:hint="eastAsia" w:ascii="仿宋" w:hAnsi="仿宋" w:eastAsia="仿宋" w:cs="仿宋"/>
                <w:sz w:val="24"/>
              </w:rPr>
              <w:t>本项目不允许采购进口产品。</w:t>
            </w:r>
          </w:p>
          <w:p>
            <w:pPr>
              <w:spacing w:line="360" w:lineRule="auto"/>
              <w:rPr>
                <w:rFonts w:ascii="宋体" w:hAnsi="宋体" w:cs="宋体"/>
                <w:color w:val="000000" w:themeColor="text1"/>
                <w:highlight w:val="yellow"/>
              </w:rPr>
            </w:pPr>
            <w:sdt>
              <w:sdtPr>
                <w:rPr>
                  <w:rFonts w:hint="eastAsia" w:ascii="仿宋" w:hAnsi="仿宋" w:eastAsia="仿宋" w:cs="仿宋"/>
                  <w:sz w:val="24"/>
                </w:rPr>
                <w:id w:val="-52852824"/>
              </w:sdtPr>
              <w:sdtEndPr>
                <w:rPr>
                  <w:rFonts w:hint="eastAsia" w:ascii="仿宋" w:hAnsi="仿宋" w:eastAsia="仿宋" w:cs="仿宋"/>
                  <w:sz w:val="24"/>
                </w:rPr>
              </w:sdtEndPr>
              <w:sdtContent>
                <w:r>
                  <w:rPr>
                    <w:rFonts w:hint="eastAsia" w:ascii="仿宋" w:hAnsi="仿宋" w:eastAsia="仿宋" w:cs="仿宋"/>
                    <w:sz w:val="24"/>
                  </w:rPr>
                  <w:t>☐</w:t>
                </w:r>
              </w:sdtContent>
            </w:sdt>
            <w:r>
              <w:rPr>
                <w:rFonts w:hint="eastAsia" w:ascii="仿宋" w:hAnsi="仿宋" w:eastAsia="仿宋" w:cs="仿宋"/>
                <w:sz w:val="24"/>
              </w:rPr>
              <w:t>可以就采购进产品。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ascii="Wingdings" w:hAnsi="Wingdings" w:cs="宋体"/>
                <w:kern w:val="0"/>
                <w:sz w:val="24"/>
              </w:rPr>
              <w:sym w:font="Wingdings" w:char="00A8"/>
            </w:r>
            <w:r>
              <w:rPr>
                <w:rFonts w:hint="eastAsia" w:ascii="宋体" w:hAnsi="宋体" w:cs="宋体"/>
                <w:kern w:val="0"/>
                <w:sz w:val="24"/>
              </w:rPr>
              <w:t xml:space="preserve"> A</w:t>
            </w:r>
            <w:r>
              <w:rPr>
                <w:rFonts w:hint="eastAsia" w:ascii="宋体" w:hAnsi="宋体" w:cs="宋体"/>
                <w:sz w:val="24"/>
              </w:rPr>
              <w:t>同意将非主体、非关键性的工作分包。</w:t>
            </w:r>
          </w:p>
          <w:p>
            <w:pPr>
              <w:spacing w:line="360" w:lineRule="auto"/>
              <w:rPr>
                <w:rFonts w:ascii="宋体" w:hAnsi="宋体" w:cs="宋体"/>
                <w:sz w:val="24"/>
              </w:rPr>
            </w:pPr>
            <w:sdt>
              <w:sdtPr>
                <w:rPr>
                  <w:rFonts w:hint="eastAsia" w:ascii="宋体" w:hAnsi="宋体" w:cs="宋体"/>
                  <w:kern w:val="0"/>
                  <w:sz w:val="24"/>
                </w:rPr>
                <w:id w:val="-1276331357"/>
              </w:sdtPr>
              <w:sdtEndPr>
                <w:rPr>
                  <w:rFonts w:hint="eastAsia" w:ascii="宋体" w:hAnsi="宋体" w:cs="宋体"/>
                  <w:kern w:val="0"/>
                  <w:sz w:val="24"/>
                </w:rPr>
              </w:sdtEndPr>
              <w:sdtContent>
                <w:sdt>
                  <w:sdtPr>
                    <w:rPr>
                      <w:rFonts w:hint="eastAsia" w:ascii="宋体" w:hAnsi="宋体" w:cs="宋体"/>
                      <w:kern w:val="0"/>
                      <w:sz w:val="24"/>
                    </w:rPr>
                    <w:id w:val="-1477286927"/>
                  </w:sdtPr>
                  <w:sdtEndPr>
                    <w:rPr>
                      <w:rFonts w:hint="eastAsia" w:ascii="宋体" w:hAnsi="宋体" w:cs="宋体"/>
                      <w:kern w:val="0"/>
                      <w:sz w:val="24"/>
                    </w:rPr>
                  </w:sdtEndPr>
                  <w:sdtContent>
                    <w:r>
                      <w:rPr>
                        <w:rFonts w:ascii="Wingdings" w:hAnsi="Wingdings" w:cs="宋体"/>
                        <w:kern w:val="0"/>
                        <w:sz w:val="24"/>
                      </w:rPr>
                      <w:sym w:font="Wingdings" w:char="00FE"/>
                    </w:r>
                  </w:sdtContent>
                </w:sdt>
              </w:sdtContent>
            </w:sdt>
            <w:r>
              <w:rPr>
                <w:rFonts w:hint="eastAsia" w:ascii="宋体" w:hAnsi="宋体" w:cs="宋体"/>
                <w:kern w:val="0"/>
                <w:sz w:val="24"/>
              </w:rPr>
              <w:t xml:space="preserve"> B</w:t>
            </w:r>
            <w:r>
              <w:rPr>
                <w:rFonts w:hint="eastAsia" w:ascii="宋体" w:hAnsi="宋体" w:cs="宋体"/>
                <w:sz w:val="24"/>
              </w:rPr>
              <w:t>不同意分包。</w:t>
            </w:r>
          </w:p>
          <w:p>
            <w:pPr>
              <w:spacing w:line="360" w:lineRule="auto"/>
              <w:rPr>
                <w:rFonts w:ascii="宋体" w:hAnsi="宋体" w:cs="宋体"/>
                <w:sz w:val="24"/>
              </w:rPr>
            </w:pPr>
            <w:r>
              <w:rPr>
                <w:rFonts w:hint="eastAsia" w:ascii="宋体" w:hAnsi="宋体" w:cs="宋体"/>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212966419"/>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sz w:val="24"/>
                <w:szCs w:val="20"/>
              </w:rPr>
            </w:pPr>
            <w:sdt>
              <w:sdtPr>
                <w:rPr>
                  <w:rFonts w:hint="eastAsia" w:ascii="宋体" w:hAnsi="宋体" w:cs="宋体"/>
                  <w:kern w:val="0"/>
                  <w:sz w:val="24"/>
                </w:rPr>
                <w:id w:val="-999802974"/>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时间：,地点：，联系人：，联系方式：</w:t>
            </w:r>
            <w:r>
              <w:rPr>
                <w:rFonts w:hint="eastAsia" w:ascii="宋体" w:hAnsi="宋体" w:cs="宋体"/>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639946486"/>
              </w:sdtPr>
              <w:sdtEndPr>
                <w:rPr>
                  <w:rFonts w:hint="eastAsia" w:ascii="宋体" w:hAnsi="宋体" w:cs="宋体"/>
                  <w:kern w:val="0"/>
                  <w:sz w:val="24"/>
                </w:rPr>
              </w:sdtEndPr>
              <w:sdtContent>
                <w:r>
                  <w:rPr>
                    <w:rFonts w:ascii="Wingdings" w:hAnsi="Wingdings" w:eastAsia="MS Gothic" w:cs="宋体"/>
                    <w:kern w:val="0"/>
                    <w:sz w:val="24"/>
                  </w:rPr>
                  <w:sym w:font="Wingdings" w:char="00FE"/>
                </w:r>
              </w:sdtContent>
            </w:sdt>
            <w:r>
              <w:rPr>
                <w:rFonts w:hint="eastAsia" w:ascii="宋体" w:hAnsi="宋体" w:cs="宋体"/>
                <w:kern w:val="0"/>
                <w:sz w:val="24"/>
              </w:rPr>
              <w:t>A</w:t>
            </w:r>
            <w:r>
              <w:rPr>
                <w:rFonts w:hint="eastAsia" w:ascii="宋体" w:hAnsi="宋体" w:cs="宋体"/>
                <w:sz w:val="24"/>
              </w:rPr>
              <w:t>不要求提供。</w:t>
            </w:r>
          </w:p>
          <w:p>
            <w:pPr>
              <w:spacing w:line="360" w:lineRule="auto"/>
              <w:rPr>
                <w:rFonts w:ascii="宋体" w:hAnsi="宋体" w:cs="宋体"/>
                <w:kern w:val="0"/>
                <w:sz w:val="24"/>
              </w:rPr>
            </w:pPr>
            <w:sdt>
              <w:sdtPr>
                <w:rPr>
                  <w:rFonts w:hint="eastAsia" w:ascii="宋体" w:hAnsi="宋体" w:cs="宋体"/>
                  <w:kern w:val="0"/>
                  <w:sz w:val="24"/>
                </w:rPr>
                <w:id w:val="1026831988"/>
              </w:sdtPr>
              <w:sdtEndPr>
                <w:rPr>
                  <w:rFonts w:hint="eastAsia" w:ascii="宋体" w:hAnsi="宋体" w:cs="宋体"/>
                  <w:kern w:val="0"/>
                  <w:sz w:val="24"/>
                </w:rPr>
              </w:sdtEndPr>
              <w:sdtContent>
                <w:sdt>
                  <w:sdtPr>
                    <w:rPr>
                      <w:rFonts w:hint="eastAsia" w:ascii="宋体" w:hAnsi="宋体" w:cs="宋体"/>
                      <w:kern w:val="0"/>
                      <w:sz w:val="24"/>
                    </w:rPr>
                    <w:id w:val="515496254"/>
                  </w:sdtPr>
                  <w:sdtEndPr>
                    <w:rPr>
                      <w:rFonts w:hint="eastAsia" w:ascii="宋体" w:hAnsi="宋体" w:cs="宋体"/>
                      <w:kern w:val="0"/>
                      <w:sz w:val="24"/>
                    </w:rPr>
                  </w:sdtEndPr>
                  <w:sdtContent>
                    <w:r>
                      <w:rPr>
                        <w:rFonts w:ascii="Wingdings" w:hAnsi="Wingdings" w:eastAsia="MS Gothic" w:cs="宋体"/>
                        <w:kern w:val="0"/>
                        <w:sz w:val="24"/>
                      </w:rPr>
                      <w:sym w:font="Wingdings" w:char="00A8"/>
                    </w:r>
                  </w:sdtContent>
                </w:sdt>
              </w:sdtContent>
            </w:sdt>
            <w:r>
              <w:rPr>
                <w:rFonts w:hint="eastAsia" w:ascii="宋体" w:hAnsi="宋体" w:cs="宋体"/>
                <w:kern w:val="0"/>
                <w:sz w:val="24"/>
              </w:rPr>
              <w:t>B要求提供，</w:t>
            </w:r>
          </w:p>
          <w:p>
            <w:pPr>
              <w:spacing w:line="360" w:lineRule="auto"/>
              <w:rPr>
                <w:rFonts w:ascii="宋体" w:hAnsi="宋体" w:cs="宋体"/>
                <w:kern w:val="0"/>
                <w:sz w:val="24"/>
                <w:highlight w:val="yellow"/>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kern w:val="0"/>
                <w:sz w:val="24"/>
              </w:rPr>
              <w:t>；</w:t>
            </w:r>
          </w:p>
          <w:p>
            <w:pPr>
              <w:spacing w:line="360" w:lineRule="auto"/>
              <w:outlineLvl w:val="0"/>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sdtPr>
              <w:sdtEndPr>
                <w:rPr>
                  <w:rFonts w:hint="eastAsia" w:ascii="宋体" w:hAnsi="宋体" w:cs="宋体"/>
                  <w:kern w:val="0"/>
                  <w:sz w:val="24"/>
                </w:rPr>
              </w:sdtEndPr>
              <w:sdtContent>
                <w:sdt>
                  <w:sdtPr>
                    <w:rPr>
                      <w:rFonts w:hint="eastAsia" w:ascii="宋体" w:hAnsi="宋体" w:cs="宋体"/>
                      <w:kern w:val="0"/>
                      <w:sz w:val="24"/>
                    </w:rPr>
                    <w:id w:val="515496256"/>
                  </w:sdtPr>
                  <w:sdtEndPr>
                    <w:rPr>
                      <w:rFonts w:hint="eastAsia" w:ascii="宋体" w:hAnsi="宋体" w:cs="宋体"/>
                      <w:kern w:val="0"/>
                      <w:sz w:val="24"/>
                    </w:rPr>
                  </w:sdtEndPr>
                  <w:sdtContent>
                    <w:r>
                      <w:rPr>
                        <w:rFonts w:ascii="Wingdings" w:hAnsi="Wingdings" w:eastAsia="MS Gothic" w:cs="宋体"/>
                        <w:kern w:val="0"/>
                        <w:sz w:val="24"/>
                      </w:rPr>
                      <w:t></w:t>
                    </w:r>
                  </w:sdtContent>
                </w:sdt>
              </w:sdtContent>
            </w:sdt>
            <w:r>
              <w:rPr>
                <w:rFonts w:hint="eastAsia" w:ascii="宋体" w:hAnsi="宋体" w:cs="宋体"/>
                <w:kern w:val="0"/>
                <w:sz w:val="24"/>
              </w:rPr>
              <w:t>否；</w:t>
            </w:r>
            <w:sdt>
              <w:sdtPr>
                <w:rPr>
                  <w:rFonts w:hint="eastAsia" w:ascii="宋体" w:hAnsi="宋体" w:cs="宋体"/>
                  <w:kern w:val="0"/>
                  <w:sz w:val="24"/>
                </w:rPr>
                <w:id w:val="1621728433"/>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kern w:val="0"/>
                <w:sz w:val="24"/>
              </w:rPr>
              <w:t>；检测内容</w:t>
            </w:r>
            <w:r>
              <w:rPr>
                <w:rFonts w:hint="eastAsia" w:ascii="宋体" w:hAnsi="宋体" w:cs="宋体"/>
                <w:sz w:val="24"/>
              </w:rPr>
              <w:t>：</w:t>
            </w:r>
            <w:r>
              <w:rPr>
                <w:rFonts w:hint="eastAsia" w:ascii="宋体" w:hAnsi="宋体" w:cs="宋体"/>
                <w:kern w:val="0"/>
                <w:sz w:val="24"/>
              </w:rPr>
              <w:t>。</w:t>
            </w:r>
          </w:p>
          <w:p>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年月日前</w:t>
            </w:r>
            <w:r>
              <w:rPr>
                <w:rFonts w:hint="eastAsia" w:ascii="宋体" w:hAnsi="宋体" w:cs="宋体"/>
                <w:kern w:val="0"/>
                <w:sz w:val="24"/>
              </w:rPr>
              <w:t>；地点：；联系人：，联系电话：。请投标人在上述时间内提供样品</w:t>
            </w:r>
            <w:r>
              <w:rPr>
                <w:rFonts w:hint="eastAsia" w:ascii="宋体" w:hAnsi="宋体" w:cs="宋体"/>
                <w:sz w:val="24"/>
              </w:rPr>
              <w:t>。超过截止时间的，采购人或采购代理机构将不予接收，并将清场并封闭样品现场。</w:t>
            </w:r>
          </w:p>
          <w:p>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p>
          <w:p>
            <w:pPr>
              <w:snapToGrid w:val="0"/>
              <w:spacing w:line="360" w:lineRule="auto"/>
              <w:jc w:val="center"/>
              <w:rPr>
                <w:rFonts w:ascii="宋体" w:hAnsi="宋体" w:cs="宋体"/>
                <w:sz w:val="24"/>
                <w:highlight w:val="yellow"/>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859348549"/>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kern w:val="0"/>
                <w:sz w:val="24"/>
              </w:rPr>
            </w:pPr>
            <w:sdt>
              <w:sdtPr>
                <w:rPr>
                  <w:rFonts w:hint="eastAsia" w:ascii="宋体" w:hAnsi="宋体" w:cs="宋体"/>
                  <w:kern w:val="0"/>
                  <w:sz w:val="24"/>
                </w:rPr>
                <w:id w:val="1174071719"/>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20（编制时可根据项目情况进行调整）</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3（编制时可根据项目情况进行调整）</w:t>
            </w:r>
            <w:r>
              <w:rPr>
                <w:rFonts w:hint="eastAsia" w:ascii="宋体" w:hAnsi="宋体" w:cs="宋体"/>
                <w:kern w:val="0"/>
                <w:sz w:val="24"/>
              </w:rPr>
              <w:t>人。讲解演示结束后按要求解答评标委员会提问。</w:t>
            </w:r>
          </w:p>
          <w:p>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520"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（1）资格证明文件：见招标文件第二部分11.1。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4"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520"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5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652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45"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520"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r>
              <w:rPr>
                <w:rFonts w:hint="eastAsia" w:cs="宋体" w:asciiTheme="minorEastAsia" w:hAnsiTheme="minorEastAsia" w:eastAsiaTheme="minorEastAsia"/>
                <w:snapToGrid w:val="0"/>
                <w:kern w:val="28"/>
                <w:sz w:val="24"/>
              </w:rPr>
              <w:t>具体可咨询建德市财政局采购办，联系电话：0571-64718168.</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520" w:type="dxa"/>
            <w:tcBorders>
              <w:top w:val="single" w:color="000000" w:sz="8" w:space="0"/>
              <w:left w:val="single" w:color="000000" w:sz="2" w:space="0"/>
              <w:bottom w:val="single" w:color="000000" w:sz="8" w:space="0"/>
              <w:right w:val="single" w:color="000000" w:sz="8" w:space="0"/>
            </w:tcBorders>
            <w:vAlign w:val="center"/>
          </w:tcPr>
          <w:p>
            <w:pPr>
              <w:pStyle w:val="34"/>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kern w:val="28"/>
                <w:sz w:val="24"/>
                <w:szCs w:val="24"/>
                <w:u w:val="single"/>
              </w:rPr>
              <w:t>浙江省杭州市建德市洋溪街道洋安社区荷映路113号3003办公室</w:t>
            </w:r>
            <w:r>
              <w:rPr>
                <w:rFonts w:hint="eastAsia" w:hAnsi="宋体" w:cs="宋体"/>
                <w:kern w:val="28"/>
                <w:sz w:val="24"/>
                <w:szCs w:val="24"/>
              </w:rPr>
              <w:t>；备份投标文件签收人员</w:t>
            </w:r>
            <w:r>
              <w:rPr>
                <w:rFonts w:hint="eastAsia" w:ascii="仿宋" w:hAnsi="仿宋" w:eastAsia="仿宋" w:cs="仿宋"/>
                <w:kern w:val="28"/>
                <w:sz w:val="24"/>
                <w:szCs w:val="24"/>
              </w:rPr>
              <w:t>：</w:t>
            </w:r>
            <w:r>
              <w:rPr>
                <w:rFonts w:hint="eastAsia" w:ascii="仿宋" w:hAnsi="仿宋" w:eastAsia="仿宋" w:cs="仿宋"/>
                <w:kern w:val="28"/>
                <w:sz w:val="24"/>
                <w:szCs w:val="24"/>
                <w:u w:val="single"/>
              </w:rPr>
              <w:t>徐赛明</w:t>
            </w:r>
            <w:r>
              <w:rPr>
                <w:rFonts w:hint="eastAsia" w:ascii="仿宋" w:hAnsi="仿宋" w:eastAsia="仿宋" w:cs="仿宋"/>
                <w:kern w:val="28"/>
                <w:sz w:val="24"/>
                <w:szCs w:val="24"/>
              </w:rPr>
              <w:t>；</w:t>
            </w:r>
            <w:r>
              <w:rPr>
                <w:rFonts w:hint="eastAsia" w:hAnsi="宋体" w:cs="宋体"/>
                <w:kern w:val="28"/>
                <w:sz w:val="24"/>
                <w:szCs w:val="24"/>
              </w:rPr>
              <w:t>联系电话：</w:t>
            </w:r>
            <w:r>
              <w:rPr>
                <w:rFonts w:hint="eastAsia" w:hAnsi="宋体" w:cs="宋体"/>
                <w:kern w:val="28"/>
                <w:sz w:val="24"/>
                <w:szCs w:val="24"/>
                <w:u w:val="single"/>
              </w:rPr>
              <w:t>0571-64780093</w:t>
            </w:r>
            <w:r>
              <w:rPr>
                <w:rFonts w:hint="eastAsia" w:hAnsi="宋体" w:cs="宋体"/>
                <w:sz w:val="24"/>
                <w:szCs w:val="24"/>
              </w:rPr>
              <w:t>。</w:t>
            </w:r>
            <w:r>
              <w:rPr>
                <w:rFonts w:hint="eastAsia" w:hAnsi="宋体" w:cs="宋体"/>
                <w:b/>
                <w:sz w:val="24"/>
                <w:szCs w:val="24"/>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r>
              <w:rPr>
                <w:rFonts w:hint="eastAsia" w:ascii="宋体" w:hAnsi="宋体" w:cs="宋体"/>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cs="宋体" w:asciiTheme="minorEastAsia" w:hAnsiTheme="minorEastAsia" w:eastAsiaTheme="minorEastAsia"/>
                <w:b/>
                <w:sz w:val="24"/>
              </w:rPr>
              <w:t>采购代理服务费</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ascii="宋体" w:hAnsi="宋体" w:cs="宋体"/>
                  <w:kern w:val="0"/>
                  <w:sz w:val="24"/>
                </w:rPr>
                <w:id w:val="515496258"/>
              </w:sdtPr>
              <w:sdtEndPr>
                <w:rPr>
                  <w:rFonts w:hint="eastAsia" w:ascii="宋体" w:hAnsi="宋体" w:cs="宋体"/>
                  <w:kern w:val="0"/>
                  <w:sz w:val="24"/>
                </w:rPr>
              </w:sdtEndPr>
              <w:sdtContent>
                <w:r>
                  <w:rPr>
                    <w:rFonts w:ascii="Wingdings" w:hAnsi="Wingdings" w:eastAsia="MS Gothic" w:cs="宋体"/>
                    <w:kern w:val="0"/>
                    <w:sz w:val="24"/>
                  </w:rPr>
                  <w:t></w:t>
                </w:r>
              </w:sdtContent>
            </w:sdt>
            <w:sdt>
              <w:sdtPr>
                <w:rPr>
                  <w:rFonts w:hint="eastAsia" w:cs="宋体" w:asciiTheme="minorEastAsia" w:hAnsiTheme="minorEastAsia" w:eastAsiaTheme="minorEastAsia"/>
                  <w:kern w:val="0"/>
                  <w:sz w:val="24"/>
                </w:rPr>
                <w:id w:val="876584110"/>
              </w:sdtPr>
              <w:sdtEndPr>
                <w:rPr>
                  <w:rFonts w:hint="eastAsia" w:cs="宋体" w:asciiTheme="minorEastAsia" w:hAnsiTheme="minorEastAsia" w:eastAsiaTheme="minorEastAsia"/>
                  <w:kern w:val="0"/>
                  <w:sz w:val="24"/>
                </w:rPr>
              </w:sdtEndP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本项目不收取采购代理服务费。</w:t>
            </w:r>
          </w:p>
          <w:p>
            <w:pPr>
              <w:pStyle w:val="34"/>
              <w:spacing w:line="360" w:lineRule="auto"/>
              <w:rPr>
                <w:rFonts w:hAnsi="宋体" w:cs="宋体"/>
                <w:kern w:val="28"/>
                <w:sz w:val="24"/>
                <w:szCs w:val="24"/>
              </w:rPr>
            </w:pPr>
            <w:sdt>
              <w:sdtPr>
                <w:rPr>
                  <w:rFonts w:hint="eastAsia" w:cs="宋体" w:asciiTheme="minorEastAsia" w:hAnsiTheme="minorEastAsia" w:eastAsiaTheme="minorEastAsia"/>
                  <w:kern w:val="0"/>
                  <w:sz w:val="24"/>
                </w:rPr>
                <w:id w:val="876584111"/>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w:t>
            </w:r>
            <w:r>
              <w:rPr>
                <w:rFonts w:hint="eastAsia" w:cs="宋体" w:asciiTheme="minorEastAsia" w:hAnsiTheme="minorEastAsia" w:eastAsiaTheme="minorEastAsia"/>
                <w:sz w:val="24"/>
              </w:rPr>
              <w:t>本项目收取采购代理服务费。</w:t>
            </w:r>
            <w:r>
              <w:rPr>
                <w:rFonts w:hint="eastAsia" w:hAnsi="宋体" w:cs="宋体"/>
                <w:kern w:val="28"/>
                <w:sz w:val="24"/>
              </w:rPr>
              <w:t>响应总报价应包含采购服务费，采购服务费按收费标准（</w:t>
            </w:r>
            <w:r>
              <w:rPr>
                <w:rFonts w:hint="eastAsia" w:cs="宋体" w:asciiTheme="minorEastAsia" w:hAnsiTheme="minorEastAsia" w:eastAsiaTheme="minorEastAsia"/>
                <w:sz w:val="24"/>
                <w:u w:val="single"/>
              </w:rPr>
              <w:t>货物</w:t>
            </w:r>
            <w:r>
              <w:rPr>
                <w:rFonts w:hint="eastAsia" w:hAnsi="宋体" w:cs="宋体"/>
                <w:kern w:val="28"/>
                <w:sz w:val="24"/>
              </w:rPr>
              <w:t>类）计取，人民币</w:t>
            </w:r>
            <w:r>
              <w:rPr>
                <w:rFonts w:hint="eastAsia" w:hAnsi="宋体" w:cs="宋体"/>
                <w:kern w:val="28"/>
                <w:sz w:val="24"/>
              </w:rPr>
              <w:fldChar w:fldCharType="begin"/>
            </w:r>
            <w:r>
              <w:rPr>
                <w:rFonts w:hint="eastAsia" w:hAnsi="宋体" w:cs="宋体"/>
                <w:kern w:val="28"/>
                <w:sz w:val="24"/>
              </w:rPr>
              <w:instrText xml:space="preserve"> = 6900 \* CHINESENUM4 \* MERGEFORMAT </w:instrText>
            </w:r>
            <w:r>
              <w:rPr>
                <w:rFonts w:hint="eastAsia" w:hAnsi="宋体" w:cs="宋体"/>
                <w:kern w:val="28"/>
                <w:sz w:val="24"/>
              </w:rPr>
              <w:fldChar w:fldCharType="separate"/>
            </w:r>
            <w:r>
              <w:rPr>
                <w:rFonts w:hint="eastAsia" w:hAnsi="宋体" w:cs="宋体"/>
                <w:kern w:val="28"/>
                <w:sz w:val="24"/>
              </w:rPr>
              <w:t>元整</w:t>
            </w:r>
            <w:r>
              <w:rPr>
                <w:rFonts w:hint="eastAsia" w:hAnsi="宋体" w:cs="宋体"/>
                <w:kern w:val="28"/>
                <w:sz w:val="24"/>
              </w:rPr>
              <w:fldChar w:fldCharType="end"/>
            </w:r>
            <w:r>
              <w:rPr>
                <w:rFonts w:hint="eastAsia" w:hAnsi="宋体" w:cs="宋体"/>
                <w:kern w:val="28"/>
                <w:sz w:val="24"/>
              </w:rPr>
              <w:t>（¥：元），由成交供应商在领取成交通知书时支付给采购代理公司。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ascii="宋体" w:hAnsi="宋体" w:cs="宋体"/>
                <w:sz w:val="24"/>
              </w:rPr>
            </w:pPr>
            <w:r>
              <w:rPr>
                <w:rFonts w:hint="eastAsia" w:ascii="宋体" w:hAnsi="宋体" w:cs="宋体"/>
                <w:sz w:val="24"/>
              </w:rPr>
              <w:t>14</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tc>
        <w:tc>
          <w:tcPr>
            <w:tcW w:w="1843" w:type="dxa"/>
            <w:vMerge w:val="continue"/>
            <w:tcBorders>
              <w:left w:val="single" w:color="000000" w:sz="2" w:space="0"/>
              <w:bottom w:val="single" w:color="auto" w:sz="4" w:space="0"/>
              <w:right w:val="single" w:color="000000" w:sz="8" w:space="0"/>
            </w:tcBorders>
            <w:vAlign w:val="center"/>
          </w:tcPr>
          <w:p>
            <w:pPr>
              <w:snapToGrid w:val="0"/>
              <w:spacing w:line="360" w:lineRule="auto"/>
              <w:jc w:val="center"/>
              <w:rPr>
                <w:rFonts w:ascii="宋体" w:hAnsi="宋体" w:cs="宋体"/>
                <w:b/>
                <w:sz w:val="24"/>
              </w:rPr>
            </w:pPr>
          </w:p>
        </w:tc>
        <w:tc>
          <w:tcPr>
            <w:tcW w:w="652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p>
        </w:tc>
      </w:tr>
    </w:tbl>
    <w:p>
      <w:pPr>
        <w:snapToGrid w:val="0"/>
        <w:spacing w:line="360" w:lineRule="auto"/>
        <w:jc w:val="center"/>
        <w:rPr>
          <w:rFonts w:ascii="宋体" w:hAnsi="宋体" w:cs="宋体"/>
          <w:b/>
          <w:sz w:val="32"/>
          <w:szCs w:val="20"/>
        </w:rPr>
      </w:pPr>
    </w:p>
    <w:bookmarkEnd w:id="10"/>
    <w:p>
      <w:pPr>
        <w:adjustRightInd/>
        <w:spacing w:line="360" w:lineRule="auto"/>
        <w:ind w:firstLine="3845" w:firstLineChars="1197"/>
        <w:outlineLvl w:val="0"/>
        <w:rPr>
          <w:rFonts w:ascii="宋体" w:hAnsi="宋体" w:cs="宋体"/>
          <w:b/>
          <w:sz w:val="32"/>
          <w:szCs w:val="20"/>
        </w:rPr>
      </w:pPr>
      <w:bookmarkStart w:id="13" w:name="第三部分"/>
      <w:bookmarkStart w:id="14" w:name="_Toc164416483"/>
      <w:r>
        <w:rPr>
          <w:rFonts w:hint="eastAsia" w:ascii="宋体" w:hAnsi="宋体" w:cs="宋体"/>
          <w:b/>
          <w:sz w:val="32"/>
          <w:szCs w:val="20"/>
        </w:rPr>
        <w:t>一、总则</w:t>
      </w:r>
    </w:p>
    <w:p>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 xml:space="preserve">   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pPr>
        <w:spacing w:line="360" w:lineRule="auto"/>
        <w:ind w:firstLine="241" w:firstLineChars="100"/>
        <w:rPr>
          <w:rFonts w:ascii="宋体" w:hAnsi="宋体" w:cs="宋体"/>
          <w:b/>
          <w:sz w:val="24"/>
        </w:rPr>
      </w:pPr>
      <w:r>
        <w:rPr>
          <w:rFonts w:hint="eastAsia" w:ascii="宋体" w:hAnsi="宋体" w:cs="宋体"/>
          <w:b/>
          <w:sz w:val="24"/>
        </w:rPr>
        <w:t>3.采购项目需要落实的政府采购政策</w:t>
      </w:r>
    </w:p>
    <w:p>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pPr>
        <w:spacing w:line="360" w:lineRule="auto"/>
        <w:ind w:firstLine="240" w:firstLineChars="1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宋体" w:hAnsi="宋体" w:cs="宋体"/>
          <w:color w:val="000000" w:themeColor="text1"/>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000000" w:themeColor="text1"/>
          <w:sz w:val="24"/>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pPr>
        <w:spacing w:line="360" w:lineRule="auto"/>
        <w:ind w:firstLine="240" w:firstLineChars="1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sz w:val="24"/>
        </w:rPr>
        <w:t>联合协议或者分包意向协议约定小微企业的合同份额占到合同总金额30%以上的</w:t>
      </w:r>
      <w:bookmarkEnd w:id="16"/>
      <w:r>
        <w:rPr>
          <w:rFonts w:hint="eastAsia" w:ascii="宋体" w:hAnsi="宋体" w:cs="宋体"/>
          <w:sz w:val="24"/>
        </w:rPr>
        <w:t>，对联合体或者大中型企业的报价给予</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pPr>
        <w:spacing w:line="360" w:lineRule="auto"/>
        <w:ind w:firstLine="240" w:firstLineChars="100"/>
        <w:rPr>
          <w:rFonts w:ascii="宋体" w:hAnsi="宋体" w:cs="宋体"/>
          <w:sz w:val="24"/>
        </w:rPr>
      </w:pPr>
      <w:r>
        <w:rPr>
          <w:rFonts w:hint="eastAsia" w:ascii="宋体" w:hAnsi="宋体" w:cs="宋体"/>
          <w:sz w:val="24"/>
        </w:rPr>
        <w:t>3.5平等对待内外资企业和符合条件的破产重整企业</w:t>
      </w:r>
    </w:p>
    <w:p>
      <w:pPr>
        <w:spacing w:line="360" w:lineRule="auto"/>
        <w:ind w:firstLine="480" w:firstLineChars="2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pPr>
        <w:spacing w:line="360" w:lineRule="auto"/>
        <w:ind w:firstLine="480" w:firstLineChars="200"/>
        <w:rPr>
          <w:rFonts w:ascii="宋体" w:hAnsi="宋体" w:cs="宋体"/>
          <w:sz w:val="24"/>
        </w:rPr>
      </w:pPr>
      <w:r>
        <w:rPr>
          <w:rFonts w:hint="eastAsia" w:ascii="宋体" w:hAnsi="宋体" w:cs="宋体"/>
          <w:sz w:val="24"/>
        </w:rPr>
        <w:t>4.1在线询问、质疑、投诉</w:t>
      </w:r>
    </w:p>
    <w:p>
      <w:pPr>
        <w:spacing w:line="360" w:lineRule="auto"/>
        <w:ind w:firstLine="480" w:firstLineChars="200"/>
        <w:rPr>
          <w:lang w:val="zh-CN"/>
        </w:rPr>
      </w:pPr>
      <w:r>
        <w:rPr>
          <w:rFonts w:hint="eastAsia" w:ascii="宋体" w:hAnsi="宋体" w:cs="宋体"/>
          <w:sz w:val="24"/>
        </w:rPr>
        <w:t>根据《浙江省财</w:t>
      </w:r>
      <w:r>
        <w:rPr>
          <w:rFonts w:hint="eastAsia" w:ascii="宋体" w:hAnsi="宋体" w:cs="宋体"/>
          <w:kern w:val="0"/>
          <w:sz w:val="24"/>
          <w:lang w:val="zh-CN"/>
        </w:rPr>
        <w:t>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9"/>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pPr>
        <w:pStyle w:val="34"/>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pPr>
        <w:pStyle w:val="34"/>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pPr>
        <w:pStyle w:val="886"/>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pPr>
      <w:r>
        <w:rPr>
          <w:rFonts w:hint="eastAsia"/>
        </w:rPr>
        <w:t>质疑函范本及制作说明详见附件2。</w:t>
      </w:r>
    </w:p>
    <w:p>
      <w:pPr>
        <w:pStyle w:val="886"/>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pPr>
        <w:pStyle w:val="886"/>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pPr>
        <w:pStyle w:val="886"/>
        <w:shd w:val="clear" w:color="auto" w:fill="FFFFFF"/>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pPr>
      <w:r>
        <w:rPr>
          <w:rFonts w:hint="eastAsia"/>
        </w:rPr>
        <w:t>4.4.3供应商投诉应当有明确的请求和必要的证明材料。</w:t>
      </w:r>
    </w:p>
    <w:p>
      <w:pPr>
        <w:pStyle w:val="886"/>
        <w:shd w:val="clear" w:color="auto" w:fill="FFFFFF"/>
        <w:snapToGrid w:val="0"/>
        <w:spacing w:after="240" w:afterAutospacing="0" w:line="360" w:lineRule="auto"/>
        <w:ind w:firstLine="400"/>
        <w:contextualSpacing/>
      </w:pPr>
      <w:r>
        <w:rPr>
          <w:rFonts w:hint="eastAsia"/>
        </w:rPr>
        <w:t>4.4.4 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pPr>
      <w:r>
        <w:rPr>
          <w:rFonts w:hint="eastAsia"/>
        </w:rPr>
        <w:t>投诉书范本及制作说明详见附件3。</w:t>
      </w:r>
    </w:p>
    <w:p>
      <w:pPr>
        <w:pStyle w:val="128"/>
        <w:snapToGrid w:val="0"/>
        <w:spacing w:before="0"/>
        <w:ind w:firstLine="360"/>
        <w:rPr>
          <w:rFonts w:ascii="宋体" w:hAnsi="宋体" w:cs="宋体"/>
          <w:sz w:val="18"/>
          <w:szCs w:val="18"/>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pPr>
        <w:pStyle w:val="34"/>
        <w:spacing w:line="360" w:lineRule="auto"/>
        <w:rPr>
          <w:rFonts w:hAnsi="宋体" w:cs="宋体"/>
          <w:b/>
          <w:sz w:val="24"/>
          <w:szCs w:val="24"/>
        </w:rPr>
      </w:pPr>
      <w:r>
        <w:rPr>
          <w:rFonts w:hint="eastAsia" w:hAnsi="宋体" w:cs="宋体"/>
          <w:b/>
          <w:sz w:val="24"/>
          <w:szCs w:val="24"/>
        </w:rPr>
        <w:t>5．招标文件的构成</w:t>
      </w:r>
    </w:p>
    <w:p>
      <w:pPr>
        <w:pStyle w:val="34"/>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34"/>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pPr>
        <w:pStyle w:val="34"/>
        <w:spacing w:line="360" w:lineRule="auto"/>
        <w:rPr>
          <w:rFonts w:hAnsi="宋体" w:cs="宋体"/>
          <w:b/>
          <w:sz w:val="24"/>
          <w:szCs w:val="24"/>
        </w:rPr>
      </w:pPr>
      <w:r>
        <w:rPr>
          <w:rFonts w:hint="eastAsia" w:hAnsi="宋体" w:cs="宋体"/>
          <w:b/>
          <w:sz w:val="24"/>
          <w:szCs w:val="24"/>
        </w:rPr>
        <w:t>6. 招标文件的澄清、修改</w:t>
      </w:r>
    </w:p>
    <w:p>
      <w:pPr>
        <w:pStyle w:val="128"/>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pPr>
        <w:pStyle w:val="128"/>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5"/>
        <w:rPr>
          <w:rFonts w:hAnsi="宋体" w:cs="宋体"/>
          <w:sz w:val="18"/>
          <w:szCs w:val="18"/>
          <w:lang w:val="en-US"/>
        </w:rPr>
      </w:pP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4"/>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4"/>
        <w:spacing w:line="360" w:lineRule="auto"/>
        <w:rPr>
          <w:rFonts w:hAnsi="宋体" w:cs="宋体"/>
          <w:b/>
          <w:sz w:val="24"/>
          <w:szCs w:val="24"/>
        </w:rPr>
      </w:pPr>
      <w:r>
        <w:rPr>
          <w:rFonts w:hint="eastAsia" w:hAnsi="宋体" w:cs="宋体"/>
          <w:b/>
          <w:sz w:val="24"/>
          <w:szCs w:val="24"/>
        </w:rPr>
        <w:t>8.开标前答疑会或现场考察</w:t>
      </w:r>
    </w:p>
    <w:p>
      <w:pPr>
        <w:pStyle w:val="34"/>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4"/>
        <w:spacing w:line="360" w:lineRule="auto"/>
        <w:rPr>
          <w:rFonts w:hAnsi="宋体" w:cs="宋体"/>
          <w:b/>
          <w:szCs w:val="24"/>
        </w:rPr>
      </w:pPr>
      <w:r>
        <w:rPr>
          <w:rFonts w:hint="eastAsia" w:hAnsi="宋体" w:cs="宋体"/>
          <w:b/>
          <w:kern w:val="28"/>
          <w:sz w:val="24"/>
          <w:szCs w:val="24"/>
        </w:rPr>
        <w:t>9.投标保证金</w:t>
      </w:r>
    </w:p>
    <w:p>
      <w:pPr>
        <w:pStyle w:val="9"/>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4"/>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4"/>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960" w:firstLineChars="400"/>
        <w:rPr>
          <w:rFonts w:ascii="宋体" w:hAnsi="宋体" w:cs="宋体"/>
          <w:color w:val="000000" w:themeColor="text1"/>
          <w:sz w:val="24"/>
        </w:rPr>
      </w:pPr>
      <w:r>
        <w:rPr>
          <w:rFonts w:hint="eastAsia" w:ascii="宋体" w:hAnsi="宋体" w:cs="宋体"/>
          <w:sz w:val="24"/>
        </w:rPr>
        <w:t>1</w:t>
      </w:r>
      <w:r>
        <w:rPr>
          <w:rFonts w:ascii="宋体" w:hAnsi="宋体" w:cs="宋体"/>
          <w:sz w:val="24"/>
        </w:rPr>
        <w:t>1.1.2</w:t>
      </w:r>
      <w:bookmarkStart w:id="17" w:name="_Hlk101259339"/>
      <w:r>
        <w:rPr>
          <w:rFonts w:hint="eastAsia" w:ascii="宋体" w:hAnsi="宋体" w:cs="宋体"/>
          <w:snapToGrid w:val="0"/>
          <w:kern w:val="28"/>
          <w:sz w:val="24"/>
          <w:szCs w:val="20"/>
        </w:rPr>
        <w:t>联合协议</w:t>
      </w:r>
      <w:bookmarkEnd w:id="17"/>
      <w:r>
        <w:rPr>
          <w:rFonts w:hint="eastAsia" w:ascii="宋体" w:hAnsi="宋体" w:cs="宋体"/>
          <w:snapToGrid w:val="0"/>
          <w:color w:val="000000" w:themeColor="text1"/>
          <w:kern w:val="28"/>
          <w:sz w:val="24"/>
          <w:szCs w:val="20"/>
        </w:rPr>
        <w:t>（如果有)；</w:t>
      </w:r>
    </w:p>
    <w:p>
      <w:pPr>
        <w:snapToGrid w:val="0"/>
        <w:spacing w:line="360" w:lineRule="auto"/>
        <w:ind w:firstLine="960" w:firstLineChars="400"/>
        <w:rPr>
          <w:rFonts w:ascii="宋体" w:hAnsi="宋体" w:cs="宋体"/>
          <w:color w:val="000000" w:themeColor="text1"/>
          <w:sz w:val="24"/>
        </w:rPr>
      </w:pPr>
      <w:r>
        <w:rPr>
          <w:rFonts w:hint="eastAsia" w:ascii="宋体" w:hAnsi="宋体" w:cs="宋体"/>
          <w:color w:val="000000" w:themeColor="text1"/>
          <w:sz w:val="24"/>
        </w:rPr>
        <w:t>11.1.</w:t>
      </w:r>
      <w:r>
        <w:rPr>
          <w:rFonts w:ascii="宋体" w:hAnsi="宋体" w:cs="宋体"/>
          <w:color w:val="000000" w:themeColor="text1"/>
          <w:sz w:val="24"/>
        </w:rPr>
        <w:t>3</w:t>
      </w:r>
      <w:r>
        <w:rPr>
          <w:rFonts w:hint="eastAsia" w:ascii="宋体" w:hAnsi="宋体" w:cs="宋体"/>
          <w:color w:val="000000" w:themeColor="text1"/>
          <w:sz w:val="24"/>
        </w:rPr>
        <w:t>落实政府采购政策需满足的资格要求：中小企业声明函；</w:t>
      </w:r>
    </w:p>
    <w:p>
      <w:pPr>
        <w:snapToGrid w:val="0"/>
        <w:spacing w:line="360" w:lineRule="auto"/>
        <w:ind w:firstLine="960" w:firstLineChars="400"/>
        <w:rPr>
          <w:rFonts w:ascii="宋体" w:hAnsi="宋体" w:cs="宋体"/>
          <w:color w:val="000000" w:themeColor="text1"/>
          <w:sz w:val="24"/>
        </w:rPr>
      </w:pPr>
      <w:r>
        <w:rPr>
          <w:rFonts w:hint="eastAsia" w:ascii="宋体" w:hAnsi="宋体" w:cs="宋体"/>
          <w:color w:val="000000" w:themeColor="text1"/>
          <w:sz w:val="24"/>
        </w:rPr>
        <w:t>11.1.</w:t>
      </w:r>
      <w:r>
        <w:rPr>
          <w:rFonts w:ascii="宋体" w:hAnsi="宋体" w:cs="宋体"/>
          <w:color w:val="000000" w:themeColor="text1"/>
          <w:sz w:val="24"/>
        </w:rPr>
        <w:t>4</w:t>
      </w:r>
      <w:r>
        <w:rPr>
          <w:rFonts w:hint="eastAsia" w:ascii="宋体" w:hAnsi="宋体" w:cs="宋体"/>
          <w:color w:val="000000" w:themeColor="text1"/>
          <w:sz w:val="24"/>
        </w:rPr>
        <w:t>本项目的特定资格要求：</w:t>
      </w:r>
      <w:r>
        <w:rPr>
          <w:rFonts w:hint="eastAsia" w:ascii="宋体" w:hAnsi="宋体" w:cs="宋体"/>
          <w:snapToGrid w:val="0"/>
          <w:color w:val="000000" w:themeColor="text1"/>
          <w:kern w:val="28"/>
          <w:sz w:val="24"/>
          <w:szCs w:val="20"/>
        </w:rPr>
        <w:t>（如果有)</w:t>
      </w:r>
      <w:r>
        <w:rPr>
          <w:rFonts w:hint="eastAsia" w:ascii="宋体" w:hAnsi="宋体" w:cs="宋体"/>
          <w:color w:val="000000" w:themeColor="text1"/>
          <w:sz w:val="24"/>
        </w:rPr>
        <w:t>。</w:t>
      </w:r>
    </w:p>
    <w:p>
      <w:pPr>
        <w:snapToGrid w:val="0"/>
        <w:spacing w:line="360" w:lineRule="auto"/>
        <w:ind w:firstLine="480" w:firstLineChars="200"/>
        <w:rPr>
          <w:rFonts w:ascii="宋体" w:hAnsi="宋体" w:cs="宋体"/>
          <w:color w:val="000000" w:themeColor="text1"/>
          <w:sz w:val="24"/>
          <w:lang w:val="zh-CN"/>
        </w:rPr>
      </w:pPr>
      <w:r>
        <w:rPr>
          <w:rFonts w:hint="eastAsia" w:ascii="宋体" w:hAnsi="宋体" w:cs="宋体"/>
          <w:color w:val="000000" w:themeColor="text1"/>
          <w:sz w:val="24"/>
          <w:lang w:val="zh-CN"/>
        </w:rPr>
        <w:t>11.</w:t>
      </w:r>
      <w:r>
        <w:rPr>
          <w:rFonts w:hint="eastAsia" w:ascii="宋体" w:hAnsi="宋体" w:cs="宋体"/>
          <w:color w:val="000000" w:themeColor="text1"/>
          <w:sz w:val="24"/>
        </w:rPr>
        <w:t>2商务技术</w:t>
      </w:r>
      <w:r>
        <w:rPr>
          <w:rFonts w:hint="eastAsia" w:ascii="宋体" w:hAnsi="宋体" w:cs="宋体"/>
          <w:color w:val="000000" w:themeColor="text1"/>
          <w:sz w:val="24"/>
          <w:lang w:val="zh-CN"/>
        </w:rPr>
        <w:t>文件：</w:t>
      </w:r>
    </w:p>
    <w:p>
      <w:pPr>
        <w:snapToGrid w:val="0"/>
        <w:spacing w:line="360" w:lineRule="auto"/>
        <w:ind w:firstLine="960" w:firstLineChars="400"/>
        <w:rPr>
          <w:rFonts w:ascii="宋体" w:hAnsi="宋体" w:cs="宋体"/>
          <w:color w:val="000000" w:themeColor="text1"/>
          <w:sz w:val="24"/>
        </w:rPr>
      </w:pPr>
      <w:r>
        <w:rPr>
          <w:rFonts w:hint="eastAsia" w:ascii="宋体" w:hAnsi="宋体" w:cs="宋体"/>
          <w:color w:val="000000" w:themeColor="text1"/>
          <w:sz w:val="24"/>
        </w:rPr>
        <w:t>11.2.1投标函；</w:t>
      </w:r>
    </w:p>
    <w:p>
      <w:pPr>
        <w:snapToGrid w:val="0"/>
        <w:spacing w:line="360" w:lineRule="auto"/>
        <w:ind w:firstLine="960" w:firstLineChars="400"/>
        <w:rPr>
          <w:rFonts w:ascii="宋体" w:hAnsi="宋体" w:cs="宋体"/>
          <w:color w:val="000000" w:themeColor="text1"/>
          <w:sz w:val="24"/>
        </w:rPr>
      </w:pPr>
      <w:r>
        <w:rPr>
          <w:rFonts w:hint="eastAsia" w:ascii="宋体" w:hAnsi="宋体" w:cs="宋体"/>
          <w:color w:val="000000" w:themeColor="text1"/>
          <w:sz w:val="24"/>
        </w:rPr>
        <w:t>11.2.2授权委托书或法定代表人（单位负责人、自然人本人）身份证明；</w:t>
      </w:r>
    </w:p>
    <w:p>
      <w:pPr>
        <w:snapToGrid w:val="0"/>
        <w:spacing w:line="360" w:lineRule="auto"/>
        <w:ind w:firstLine="960" w:firstLineChars="400"/>
        <w:rPr>
          <w:rFonts w:ascii="宋体" w:hAnsi="宋体" w:cs="宋体"/>
          <w:color w:val="000000" w:themeColor="text1"/>
          <w:sz w:val="24"/>
        </w:rPr>
      </w:pPr>
      <w:r>
        <w:rPr>
          <w:rFonts w:hint="eastAsia" w:ascii="宋体" w:hAnsi="宋体" w:cs="宋体"/>
          <w:color w:val="000000" w:themeColor="text1"/>
          <w:sz w:val="24"/>
        </w:rPr>
        <w:t>11.2.</w:t>
      </w:r>
      <w:r>
        <w:rPr>
          <w:rFonts w:ascii="宋体" w:hAnsi="宋体" w:cs="宋体"/>
          <w:color w:val="000000" w:themeColor="text1"/>
          <w:sz w:val="24"/>
        </w:rPr>
        <w:t>3</w:t>
      </w:r>
      <w:r>
        <w:rPr>
          <w:rFonts w:hint="eastAsia" w:ascii="宋体" w:hAnsi="宋体" w:cs="宋体"/>
          <w:color w:val="000000" w:themeColor="text1"/>
          <w:sz w:val="24"/>
        </w:rPr>
        <w:t>分包意向协议</w:t>
      </w:r>
      <w:r>
        <w:rPr>
          <w:rFonts w:hint="eastAsia" w:ascii="宋体" w:hAnsi="宋体" w:cs="宋体"/>
          <w:snapToGrid w:val="0"/>
          <w:color w:val="000000" w:themeColor="text1"/>
          <w:kern w:val="28"/>
          <w:sz w:val="24"/>
          <w:szCs w:val="20"/>
        </w:rPr>
        <w:t>（如果有)</w:t>
      </w:r>
      <w:r>
        <w:rPr>
          <w:rFonts w:hint="eastAsia" w:ascii="宋体" w:hAnsi="宋体" w:cs="宋体"/>
          <w:color w:val="000000" w:themeColor="text1"/>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p>
    <w:p>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pPr>
        <w:snapToGrid w:val="0"/>
        <w:spacing w:line="360" w:lineRule="auto"/>
        <w:ind w:firstLine="960" w:firstLineChars="400"/>
        <w:rPr>
          <w:rFonts w:ascii="宋体" w:hAnsi="宋体" w:cs="宋体"/>
          <w:color w:val="FF0000"/>
          <w:sz w:val="24"/>
        </w:rPr>
      </w:pPr>
      <w:r>
        <w:rPr>
          <w:rFonts w:hint="eastAsia" w:ascii="宋体" w:hAnsi="宋体" w:cs="宋体"/>
          <w:color w:val="000000" w:themeColor="text1"/>
          <w:sz w:val="24"/>
        </w:rPr>
        <w:t>11.3.2中小企业声明函。</w:t>
      </w:r>
    </w:p>
    <w:p>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pPr>
        <w:pStyle w:val="128"/>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28"/>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28"/>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28"/>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128"/>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8"/>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28"/>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34"/>
        <w:spacing w:line="360" w:lineRule="auto"/>
        <w:rPr>
          <w:rFonts w:hAnsi="宋体" w:cs="宋体"/>
          <w:b/>
          <w:sz w:val="24"/>
          <w:szCs w:val="24"/>
        </w:rPr>
      </w:pPr>
      <w:r>
        <w:rPr>
          <w:rFonts w:hint="eastAsia" w:hAnsi="宋体" w:cs="宋体"/>
          <w:b/>
          <w:sz w:val="24"/>
          <w:szCs w:val="24"/>
        </w:rPr>
        <w:t>15.备份投标文件</w:t>
      </w:r>
    </w:p>
    <w:p>
      <w:pPr>
        <w:pStyle w:val="34"/>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pPr>
        <w:pStyle w:val="34"/>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34"/>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pPr>
        <w:pStyle w:val="34"/>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pPr>
        <w:pStyle w:val="34"/>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pPr>
        <w:pStyle w:val="128"/>
        <w:spacing w:before="0"/>
        <w:ind w:firstLine="0" w:firstLineChars="0"/>
        <w:rPr>
          <w:rFonts w:ascii="宋体" w:hAnsi="宋体" w:cs="宋体"/>
          <w:b/>
          <w:szCs w:val="24"/>
        </w:rPr>
      </w:pPr>
      <w:r>
        <w:rPr>
          <w:rFonts w:hint="eastAsia" w:ascii="宋体" w:hAnsi="宋体" w:cs="宋体"/>
          <w:b/>
          <w:szCs w:val="24"/>
        </w:rPr>
        <w:t>16.投标文件的无效处理</w:t>
      </w:r>
    </w:p>
    <w:p>
      <w:pPr>
        <w:pStyle w:val="3"/>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pPr>
        <w:pStyle w:val="128"/>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28"/>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28"/>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28"/>
        <w:spacing w:before="0"/>
        <w:ind w:firstLine="643"/>
        <w:rPr>
          <w:rFonts w:ascii="宋体" w:hAnsi="宋体" w:cs="宋体"/>
          <w:b/>
          <w:sz w:val="32"/>
        </w:rPr>
      </w:pPr>
    </w:p>
    <w:p>
      <w:pPr>
        <w:pStyle w:val="128"/>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554"/>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p>
    <w:p>
      <w:pPr>
        <w:pStyle w:val="554"/>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pPr>
        <w:pStyle w:val="554"/>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pPr>
        <w:pStyle w:val="554"/>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pPr>
        <w:pStyle w:val="128"/>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128"/>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pPr>
        <w:pStyle w:val="128"/>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pPr>
        <w:pStyle w:val="128"/>
        <w:spacing w:before="0"/>
        <w:ind w:firstLine="0" w:firstLineChars="0"/>
        <w:rPr>
          <w:rFonts w:ascii="宋体" w:hAnsi="宋体" w:cs="宋体"/>
          <w:b/>
          <w:szCs w:val="24"/>
        </w:rPr>
      </w:pPr>
      <w:r>
        <w:rPr>
          <w:rFonts w:hint="eastAsia" w:ascii="宋体" w:hAnsi="宋体" w:cs="宋体"/>
          <w:b/>
          <w:szCs w:val="24"/>
        </w:rPr>
        <w:t>20、信用信息查询</w:t>
      </w:r>
    </w:p>
    <w:p>
      <w:pPr>
        <w:pStyle w:val="128"/>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20.1信用信息查询渠道及截止时间：采购代理机构将在资格审查时通过“信用中国”网站(www.creditchina.gov.cn)、中国政府采购网(www.ccgp.gov.cn)渠道查询投标人接受资格审查时的信用记录。</w:t>
      </w:r>
    </w:p>
    <w:p>
      <w:pPr>
        <w:pStyle w:val="128"/>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28"/>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pStyle w:val="128"/>
        <w:spacing w:before="0"/>
        <w:ind w:firstLine="0" w:firstLineChars="0"/>
        <w:rPr>
          <w:rFonts w:ascii="宋体" w:hAnsi="宋体" w:cs="宋体"/>
          <w:kern w:val="0"/>
          <w:szCs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8" w:name="_Toc91899903"/>
      <w:r>
        <w:rPr>
          <w:rFonts w:hint="eastAsia" w:ascii="宋体" w:hAnsi="宋体" w:cs="宋体"/>
          <w:b/>
          <w:sz w:val="24"/>
        </w:rPr>
        <w:t>21.</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pacing w:line="360" w:lineRule="auto"/>
        <w:rPr>
          <w:rFonts w:ascii="宋体" w:hAnsi="宋体" w:cs="宋体"/>
          <w:b/>
          <w:sz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pPr>
        <w:pStyle w:val="3"/>
        <w:spacing w:line="360" w:lineRule="auto"/>
        <w:ind w:left="479" w:hanging="479" w:hangingChars="199"/>
        <w:rPr>
          <w:rFonts w:cs="宋体"/>
          <w:b/>
        </w:rPr>
      </w:pPr>
      <w:r>
        <w:rPr>
          <w:rFonts w:hint="eastAsia" w:cs="宋体"/>
          <w:b/>
        </w:rPr>
        <w:t>22. 确定中标供应商</w:t>
      </w:r>
    </w:p>
    <w:p>
      <w:pPr>
        <w:pStyle w:val="128"/>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28"/>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3"/>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3"/>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8"/>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128"/>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3"/>
        <w:numPr>
          <w:ilvl w:val="0"/>
          <w:numId w:val="1"/>
        </w:numPr>
        <w:spacing w:line="360" w:lineRule="auto"/>
        <w:ind w:left="479" w:hanging="479" w:hangingChars="199"/>
        <w:rPr>
          <w:rFonts w:cs="宋体"/>
          <w:b/>
        </w:rPr>
      </w:pPr>
      <w:r>
        <w:rPr>
          <w:rFonts w:hint="eastAsia" w:cs="宋体"/>
          <w:b/>
        </w:rPr>
        <w:t>履约保证金</w:t>
      </w:r>
    </w:p>
    <w:p>
      <w:pPr>
        <w:spacing w:line="360" w:lineRule="auto"/>
        <w:ind w:firstLine="480" w:firstLineChars="200"/>
      </w:pPr>
      <w:r>
        <w:rPr>
          <w:rFonts w:hint="eastAsia" w:ascii="宋体" w:hAnsi="宋体" w:cs="宋体"/>
          <w:kern w:val="0"/>
          <w:sz w:val="24"/>
        </w:rPr>
        <w:t>本项目免缴履约保证金。</w:t>
      </w:r>
    </w:p>
    <w:p>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pPr>
        <w:pStyle w:val="7"/>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7"/>
      </w:pPr>
      <w:r>
        <w:rPr>
          <w:rFonts w:ascii="宋体" w:hAnsi="宋体" w:eastAsia="宋体"/>
          <w:sz w:val="24"/>
          <w:lang w:val="en-US"/>
        </w:rPr>
        <w:t>27.预付款</w:t>
      </w:r>
    </w:p>
    <w:p>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p>
      <w:pPr>
        <w:snapToGrid w:val="0"/>
        <w:spacing w:line="360" w:lineRule="auto"/>
        <w:ind w:firstLine="3357" w:firstLineChars="1045"/>
        <w:rPr>
          <w:rFonts w:ascii="宋体" w:hAnsi="宋体" w:cs="宋体"/>
          <w:b/>
          <w:sz w:val="32"/>
        </w:rPr>
      </w:pPr>
    </w:p>
    <w:p>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pPr>
        <w:pStyle w:val="128"/>
        <w:snapToGrid w:val="0"/>
        <w:spacing w:before="0"/>
        <w:ind w:firstLine="0" w:firstLineChars="0"/>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pPr>
        <w:pStyle w:val="128"/>
        <w:snapToGrid w:val="0"/>
        <w:spacing w:before="0"/>
        <w:ind w:firstLine="480"/>
        <w:rPr>
          <w:rFonts w:ascii="宋体" w:hAnsi="宋体" w:cs="宋体"/>
        </w:rPr>
      </w:pPr>
      <w:r>
        <w:rPr>
          <w:rFonts w:hint="eastAsia" w:ascii="宋体" w:hAnsi="宋体" w:cs="宋体"/>
        </w:rPr>
        <w:t xml:space="preserve">28.1电子交易平台发生故障而无法登录访问的； </w:t>
      </w:r>
    </w:p>
    <w:p>
      <w:pPr>
        <w:pStyle w:val="128"/>
        <w:snapToGrid w:val="0"/>
        <w:spacing w:before="0"/>
        <w:ind w:firstLine="480"/>
        <w:rPr>
          <w:rFonts w:ascii="宋体" w:hAnsi="宋体" w:cs="宋体"/>
        </w:rPr>
      </w:pPr>
      <w:r>
        <w:rPr>
          <w:rFonts w:hint="eastAsia" w:ascii="宋体" w:hAnsi="宋体" w:cs="宋体"/>
        </w:rPr>
        <w:t>28.2电子交易平台应用或数据库出现错误，不能进行正常操作的；</w:t>
      </w:r>
    </w:p>
    <w:p>
      <w:pPr>
        <w:pStyle w:val="128"/>
        <w:snapToGrid w:val="0"/>
        <w:spacing w:before="0"/>
        <w:ind w:firstLine="480"/>
        <w:rPr>
          <w:rFonts w:ascii="宋体" w:hAnsi="宋体" w:cs="宋体"/>
        </w:rPr>
      </w:pPr>
      <w:r>
        <w:rPr>
          <w:rFonts w:hint="eastAsia" w:ascii="宋体" w:hAnsi="宋体" w:cs="宋体"/>
        </w:rPr>
        <w:t>28.3电子交易平台发现严重安全漏洞，有潜在泄密危险的；</w:t>
      </w:r>
    </w:p>
    <w:p>
      <w:pPr>
        <w:pStyle w:val="128"/>
        <w:snapToGrid w:val="0"/>
        <w:spacing w:before="0"/>
        <w:ind w:firstLine="480"/>
        <w:rPr>
          <w:rFonts w:ascii="宋体" w:hAnsi="宋体" w:cs="宋体"/>
        </w:rPr>
      </w:pPr>
      <w:r>
        <w:rPr>
          <w:rFonts w:hint="eastAsia" w:ascii="宋体" w:hAnsi="宋体" w:cs="宋体"/>
        </w:rPr>
        <w:t xml:space="preserve">28.4病毒发作导致不能进行正常操作的； </w:t>
      </w:r>
    </w:p>
    <w:p>
      <w:pPr>
        <w:pStyle w:val="128"/>
        <w:snapToGrid w:val="0"/>
        <w:spacing w:before="0"/>
        <w:ind w:firstLine="480"/>
        <w:rPr>
          <w:rFonts w:ascii="宋体" w:hAnsi="宋体" w:cs="宋体"/>
        </w:rPr>
      </w:pPr>
      <w:r>
        <w:rPr>
          <w:rFonts w:hint="eastAsia" w:ascii="宋体" w:hAnsi="宋体" w:cs="宋体"/>
        </w:rPr>
        <w:t>28.5其他无法保证电子交易的公平、公正和安全的情况。</w:t>
      </w:r>
    </w:p>
    <w:p>
      <w:pPr>
        <w:pStyle w:val="128"/>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3"/>
        <w:spacing w:line="360" w:lineRule="auto"/>
        <w:ind w:firstLine="0" w:firstLineChars="0"/>
        <w:rPr>
          <w:rFonts w:cs="宋体"/>
          <w:b/>
        </w:rPr>
      </w:pPr>
      <w:r>
        <w:rPr>
          <w:rFonts w:hint="eastAsia" w:cs="宋体"/>
          <w:b/>
        </w:rPr>
        <w:t>30.验收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bookmarkEnd w:id="14"/>
    <w:bookmarkEnd w:id="18"/>
    <w:p>
      <w:pPr>
        <w:spacing w:line="360" w:lineRule="auto"/>
        <w:jc w:val="center"/>
        <w:outlineLvl w:val="0"/>
        <w:rPr>
          <w:rFonts w:ascii="宋体" w:hAnsi="宋体" w:cs="宋体"/>
          <w:b/>
          <w:sz w:val="36"/>
          <w:szCs w:val="36"/>
        </w:rPr>
        <w:sectPr>
          <w:pgSz w:w="11907" w:h="16840"/>
          <w:pgMar w:top="1191" w:right="1134" w:bottom="1191" w:left="1134" w:header="851" w:footer="851" w:gutter="0"/>
          <w:cols w:space="720" w:num="1"/>
          <w:docGrid w:linePitch="286" w:charSpace="0"/>
        </w:sectPr>
      </w:pPr>
      <w:bookmarkStart w:id="19" w:name="_Hlt68072998"/>
      <w:bookmarkEnd w:id="19"/>
      <w:bookmarkStart w:id="20" w:name="_Hlt74730295"/>
      <w:bookmarkEnd w:id="20"/>
      <w:bookmarkStart w:id="21" w:name="_Hlt75236290"/>
      <w:bookmarkEnd w:id="21"/>
      <w:bookmarkStart w:id="22" w:name="_Hlt74714665"/>
      <w:bookmarkEnd w:id="22"/>
      <w:bookmarkStart w:id="23" w:name="_Hlt74707468"/>
      <w:bookmarkEnd w:id="23"/>
      <w:bookmarkStart w:id="24" w:name="_Hlt68073093"/>
      <w:bookmarkEnd w:id="24"/>
      <w:bookmarkStart w:id="25" w:name="_Hlt75236011"/>
      <w:bookmarkEnd w:id="25"/>
      <w:bookmarkStart w:id="26" w:name="_Hlt68057669"/>
      <w:bookmarkEnd w:id="26"/>
      <w:bookmarkStart w:id="27" w:name="_Hlt74729768"/>
      <w:bookmarkEnd w:id="27"/>
      <w:bookmarkStart w:id="28" w:name="_Hlt75236101"/>
      <w:bookmarkEnd w:id="28"/>
      <w:bookmarkStart w:id="29" w:name="_Hlt68403820"/>
      <w:bookmarkEnd w:id="29"/>
      <w:bookmarkStart w:id="30" w:name="_Hlt68072990"/>
      <w:bookmarkEnd w:id="30"/>
      <w:bookmarkStart w:id="31" w:name="第四部分"/>
      <w:r>
        <w:rPr>
          <w:rFonts w:hint="eastAsia" w:ascii="宋体" w:hAnsi="宋体" w:cs="宋体"/>
          <w:b/>
          <w:sz w:val="36"/>
          <w:szCs w:val="36"/>
        </w:rPr>
        <w:t xml:space="preserve">  </w:t>
      </w:r>
    </w:p>
    <w:p>
      <w:pPr>
        <w:spacing w:line="360" w:lineRule="auto"/>
        <w:jc w:val="center"/>
        <w:outlineLvl w:val="0"/>
        <w:rPr>
          <w:rFonts w:ascii="宋体" w:hAnsi="宋体" w:cs="宋体"/>
          <w:b/>
          <w:sz w:val="36"/>
          <w:szCs w:val="36"/>
        </w:rPr>
      </w:pPr>
      <w:r>
        <w:rPr>
          <w:rFonts w:hint="eastAsia" w:ascii="宋体" w:hAnsi="宋体" w:cs="宋体"/>
          <w:b/>
          <w:sz w:val="36"/>
          <w:szCs w:val="36"/>
        </w:rPr>
        <w:t>第三部分 采购需求</w:t>
      </w:r>
    </w:p>
    <w:p>
      <w:pPr>
        <w:widowControl/>
        <w:tabs>
          <w:tab w:val="left" w:pos="425"/>
          <w:tab w:val="left" w:pos="747"/>
        </w:tabs>
        <w:spacing w:beforeLines="50" w:afterLines="50" w:line="360" w:lineRule="auto"/>
        <w:jc w:val="left"/>
        <w:rPr>
          <w:rFonts w:ascii="仿宋" w:hAnsi="仿宋" w:eastAsia="仿宋" w:cs="仿宋"/>
          <w:b/>
          <w:sz w:val="28"/>
          <w:szCs w:val="28"/>
        </w:rPr>
      </w:pPr>
      <w:r>
        <w:rPr>
          <w:rFonts w:hint="eastAsia" w:ascii="仿宋" w:hAnsi="仿宋" w:eastAsia="仿宋" w:cs="仿宋"/>
          <w:b/>
          <w:sz w:val="28"/>
          <w:szCs w:val="28"/>
        </w:rPr>
        <w:t>一、需求清单</w:t>
      </w:r>
    </w:p>
    <w:tbl>
      <w:tblPr>
        <w:tblStyle w:val="62"/>
        <w:tblW w:w="144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8"/>
        <w:gridCol w:w="3330"/>
        <w:gridCol w:w="3330"/>
        <w:gridCol w:w="1040"/>
        <w:gridCol w:w="1289"/>
        <w:gridCol w:w="2912"/>
        <w:gridCol w:w="1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1398"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序号</w:t>
            </w:r>
          </w:p>
        </w:tc>
        <w:tc>
          <w:tcPr>
            <w:tcW w:w="3330"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采购内容</w:t>
            </w:r>
          </w:p>
        </w:tc>
        <w:tc>
          <w:tcPr>
            <w:tcW w:w="3330"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主要服务技术要求</w:t>
            </w:r>
          </w:p>
        </w:tc>
        <w:tc>
          <w:tcPr>
            <w:tcW w:w="1040"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单位</w:t>
            </w:r>
          </w:p>
        </w:tc>
        <w:tc>
          <w:tcPr>
            <w:tcW w:w="1289"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数量</w:t>
            </w:r>
          </w:p>
        </w:tc>
        <w:tc>
          <w:tcPr>
            <w:tcW w:w="2912"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预算总价（元）</w:t>
            </w:r>
          </w:p>
        </w:tc>
        <w:tc>
          <w:tcPr>
            <w:tcW w:w="1149"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398"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1</w:t>
            </w:r>
          </w:p>
        </w:tc>
        <w:tc>
          <w:tcPr>
            <w:tcW w:w="3330"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采购人民检察院驻新看守所检察室弱电建设项目设备一批</w:t>
            </w:r>
            <w:r>
              <w:rPr>
                <w:rFonts w:hint="eastAsia" w:ascii="仿宋" w:hAnsi="仿宋" w:eastAsia="仿宋" w:cs="仿宋"/>
                <w:sz w:val="24"/>
                <w:lang w:val="zh-CN"/>
              </w:rPr>
              <w:t>（包括设计、供货、包装、装卸运输、安装调试、备品备件、专用工具、保险、培训、税金、验收、辅助工作及售后服务等完成该项目的所有费用）</w:t>
            </w:r>
          </w:p>
        </w:tc>
        <w:tc>
          <w:tcPr>
            <w:tcW w:w="3330"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详见“采购需求”</w:t>
            </w:r>
          </w:p>
        </w:tc>
        <w:tc>
          <w:tcPr>
            <w:tcW w:w="1040"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批</w:t>
            </w:r>
          </w:p>
        </w:tc>
        <w:tc>
          <w:tcPr>
            <w:tcW w:w="1289"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1</w:t>
            </w:r>
          </w:p>
        </w:tc>
        <w:tc>
          <w:tcPr>
            <w:tcW w:w="2912" w:type="dxa"/>
            <w:noWrap/>
            <w:vAlign w:val="center"/>
          </w:tcPr>
          <w:p>
            <w:pPr>
              <w:widowControl/>
              <w:tabs>
                <w:tab w:val="left" w:pos="360"/>
              </w:tabs>
              <w:spacing w:line="360" w:lineRule="auto"/>
              <w:jc w:val="center"/>
              <w:rPr>
                <w:rFonts w:ascii="仿宋" w:hAnsi="仿宋" w:eastAsia="仿宋" w:cs="仿宋"/>
                <w:sz w:val="24"/>
              </w:rPr>
            </w:pPr>
            <w:r>
              <w:rPr>
                <w:rFonts w:hint="eastAsia" w:ascii="仿宋" w:hAnsi="仿宋" w:eastAsia="仿宋" w:cs="仿宋"/>
                <w:sz w:val="24"/>
              </w:rPr>
              <w:t>1324355.00</w:t>
            </w:r>
          </w:p>
        </w:tc>
        <w:tc>
          <w:tcPr>
            <w:tcW w:w="1149" w:type="dxa"/>
            <w:noWrap/>
            <w:vAlign w:val="center"/>
          </w:tcPr>
          <w:p>
            <w:pPr>
              <w:widowControl/>
              <w:tabs>
                <w:tab w:val="left" w:pos="360"/>
              </w:tabs>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14449" w:type="dxa"/>
            <w:gridSpan w:val="7"/>
            <w:noWrap/>
            <w:vAlign w:val="center"/>
          </w:tcPr>
          <w:p>
            <w:pPr>
              <w:widowControl/>
              <w:tabs>
                <w:tab w:val="left" w:pos="360"/>
              </w:tabs>
              <w:spacing w:line="360" w:lineRule="auto"/>
              <w:jc w:val="left"/>
              <w:rPr>
                <w:rFonts w:ascii="仿宋" w:hAnsi="仿宋" w:eastAsia="仿宋" w:cs="仿宋"/>
                <w:b/>
                <w:bCs/>
                <w:kern w:val="0"/>
                <w:sz w:val="24"/>
                <w:u w:val="single"/>
              </w:rPr>
            </w:pPr>
            <w:r>
              <w:rPr>
                <w:rFonts w:hint="eastAsia" w:ascii="仿宋" w:hAnsi="仿宋" w:eastAsia="仿宋" w:cs="仿宋"/>
                <w:b/>
                <w:bCs/>
                <w:kern w:val="0"/>
                <w:sz w:val="24"/>
                <w:u w:val="single"/>
              </w:rPr>
              <w:t>最高限价：人民币（大写）：壹佰叁拾贰万肆仟叁佰伍拾伍元整（￥1324355.00元）</w:t>
            </w:r>
          </w:p>
        </w:tc>
      </w:tr>
    </w:tbl>
    <w:p>
      <w:pPr>
        <w:widowControl/>
        <w:tabs>
          <w:tab w:val="left" w:pos="425"/>
          <w:tab w:val="left" w:pos="747"/>
        </w:tabs>
        <w:spacing w:beforeLines="50" w:afterLines="50" w:line="360" w:lineRule="auto"/>
        <w:jc w:val="left"/>
        <w:rPr>
          <w:rFonts w:ascii="仿宋" w:hAnsi="仿宋" w:eastAsia="仿宋" w:cs="仿宋"/>
          <w:b/>
          <w:sz w:val="28"/>
          <w:szCs w:val="28"/>
        </w:rPr>
      </w:pPr>
      <w:r>
        <w:rPr>
          <w:rFonts w:hint="eastAsia" w:ascii="仿宋" w:hAnsi="仿宋" w:eastAsia="仿宋" w:cs="仿宋"/>
          <w:b/>
          <w:sz w:val="28"/>
          <w:szCs w:val="28"/>
        </w:rPr>
        <w:t>二、设备采购清单和主要技术参数及要求</w:t>
      </w:r>
    </w:p>
    <w:tbl>
      <w:tblPr>
        <w:tblStyle w:val="62"/>
        <w:tblW w:w="1449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1101"/>
        <w:gridCol w:w="1636"/>
        <w:gridCol w:w="7186"/>
        <w:gridCol w:w="709"/>
        <w:gridCol w:w="708"/>
        <w:gridCol w:w="1276"/>
        <w:gridCol w:w="1276"/>
        <w:gridCol w:w="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8" w:hRule="atLeast"/>
        </w:trPr>
        <w:tc>
          <w:tcPr>
            <w:tcW w:w="567" w:type="dxa"/>
            <w:shd w:val="clear" w:color="000000" w:fill="FFFFFF"/>
            <w:vAlign w:val="center"/>
          </w:tcPr>
          <w:p>
            <w:pPr>
              <w:spacing w:line="276" w:lineRule="auto"/>
              <w:jc w:val="center"/>
              <w:rPr>
                <w:rFonts w:ascii="宋体" w:hAnsi="宋体" w:cs="宋体"/>
                <w:b/>
                <w:bCs/>
                <w:kern w:val="0"/>
                <w:sz w:val="24"/>
              </w:rPr>
            </w:pPr>
            <w:r>
              <w:rPr>
                <w:rFonts w:hint="eastAsia" w:ascii="宋体" w:hAnsi="宋体" w:cs="宋体"/>
                <w:b/>
                <w:bCs/>
                <w:kern w:val="0"/>
                <w:sz w:val="24"/>
              </w:rPr>
              <w:t>序号</w:t>
            </w:r>
          </w:p>
        </w:tc>
        <w:tc>
          <w:tcPr>
            <w:tcW w:w="1101" w:type="dxa"/>
            <w:shd w:val="clear" w:color="000000" w:fill="FFFFFF"/>
            <w:vAlign w:val="center"/>
          </w:tcPr>
          <w:p>
            <w:pPr>
              <w:spacing w:line="276" w:lineRule="auto"/>
              <w:jc w:val="center"/>
              <w:rPr>
                <w:rFonts w:ascii="宋体" w:hAnsi="宋体" w:cs="宋体"/>
                <w:b/>
                <w:bCs/>
                <w:kern w:val="0"/>
                <w:sz w:val="24"/>
              </w:rPr>
            </w:pPr>
            <w:r>
              <w:rPr>
                <w:rFonts w:hint="eastAsia" w:ascii="宋体" w:hAnsi="宋体" w:cs="宋体"/>
                <w:b/>
                <w:bCs/>
                <w:kern w:val="0"/>
                <w:sz w:val="24"/>
              </w:rPr>
              <w:t>设备名称</w:t>
            </w:r>
          </w:p>
        </w:tc>
        <w:tc>
          <w:tcPr>
            <w:tcW w:w="1636" w:type="dxa"/>
            <w:shd w:val="clear" w:color="000000" w:fill="FFFFFF"/>
            <w:vAlign w:val="center"/>
          </w:tcPr>
          <w:p>
            <w:pPr>
              <w:spacing w:line="276" w:lineRule="auto"/>
              <w:jc w:val="center"/>
              <w:rPr>
                <w:rFonts w:ascii="宋体" w:hAnsi="宋体" w:cs="宋体"/>
                <w:b/>
                <w:bCs/>
                <w:kern w:val="0"/>
                <w:sz w:val="24"/>
              </w:rPr>
            </w:pPr>
            <w:r>
              <w:rPr>
                <w:rFonts w:hint="eastAsia" w:ascii="宋体" w:hAnsi="宋体" w:cs="宋体"/>
                <w:b/>
                <w:bCs/>
                <w:kern w:val="0"/>
                <w:sz w:val="24"/>
              </w:rPr>
              <w:t>参考品牌</w:t>
            </w:r>
          </w:p>
        </w:tc>
        <w:tc>
          <w:tcPr>
            <w:tcW w:w="7186" w:type="dxa"/>
            <w:shd w:val="clear" w:color="000000" w:fill="FFFFFF"/>
            <w:vAlign w:val="center"/>
          </w:tcPr>
          <w:p>
            <w:pPr>
              <w:spacing w:line="276" w:lineRule="auto"/>
              <w:jc w:val="center"/>
              <w:rPr>
                <w:rFonts w:ascii="宋体" w:hAnsi="宋体" w:cs="宋体"/>
                <w:b/>
                <w:bCs/>
                <w:kern w:val="0"/>
                <w:sz w:val="24"/>
              </w:rPr>
            </w:pPr>
            <w:r>
              <w:rPr>
                <w:rFonts w:hint="eastAsia" w:ascii="宋体" w:hAnsi="宋体" w:cs="宋体"/>
                <w:b/>
                <w:bCs/>
                <w:kern w:val="0"/>
                <w:sz w:val="24"/>
              </w:rPr>
              <w:t>招标参数</w:t>
            </w:r>
          </w:p>
        </w:tc>
        <w:tc>
          <w:tcPr>
            <w:tcW w:w="709" w:type="dxa"/>
            <w:shd w:val="clear" w:color="000000" w:fill="FFFFFF"/>
            <w:vAlign w:val="center"/>
          </w:tcPr>
          <w:p>
            <w:pPr>
              <w:spacing w:line="276" w:lineRule="auto"/>
              <w:jc w:val="center"/>
              <w:rPr>
                <w:rFonts w:ascii="宋体" w:hAnsi="宋体" w:cs="宋体"/>
                <w:b/>
                <w:bCs/>
                <w:kern w:val="0"/>
                <w:sz w:val="24"/>
              </w:rPr>
            </w:pPr>
            <w:r>
              <w:rPr>
                <w:rFonts w:hint="eastAsia" w:ascii="宋体" w:hAnsi="宋体" w:cs="宋体"/>
                <w:b/>
                <w:bCs/>
                <w:kern w:val="0"/>
                <w:sz w:val="24"/>
              </w:rPr>
              <w:t>单位</w:t>
            </w:r>
          </w:p>
        </w:tc>
        <w:tc>
          <w:tcPr>
            <w:tcW w:w="708" w:type="dxa"/>
            <w:shd w:val="clear" w:color="000000" w:fill="FFFFFF"/>
            <w:vAlign w:val="center"/>
          </w:tcPr>
          <w:p>
            <w:pPr>
              <w:spacing w:line="276" w:lineRule="auto"/>
              <w:jc w:val="center"/>
              <w:rPr>
                <w:rFonts w:ascii="宋体" w:hAnsi="宋体" w:cs="宋体"/>
                <w:b/>
                <w:bCs/>
                <w:kern w:val="0"/>
                <w:sz w:val="24"/>
              </w:rPr>
            </w:pPr>
            <w:r>
              <w:rPr>
                <w:rFonts w:hint="eastAsia" w:ascii="宋体" w:hAnsi="宋体" w:cs="宋体"/>
                <w:b/>
                <w:bCs/>
                <w:kern w:val="0"/>
                <w:sz w:val="24"/>
              </w:rPr>
              <w:t>数量</w:t>
            </w:r>
          </w:p>
        </w:tc>
        <w:tc>
          <w:tcPr>
            <w:tcW w:w="1276" w:type="dxa"/>
            <w:shd w:val="clear" w:color="000000" w:fill="FFFFFF"/>
            <w:vAlign w:val="center"/>
          </w:tcPr>
          <w:p>
            <w:pPr>
              <w:spacing w:line="276" w:lineRule="auto"/>
              <w:jc w:val="center"/>
              <w:rPr>
                <w:rFonts w:ascii="宋体" w:hAnsi="宋体" w:cs="宋体"/>
                <w:b/>
                <w:bCs/>
                <w:kern w:val="0"/>
                <w:sz w:val="24"/>
              </w:rPr>
            </w:pPr>
            <w:r>
              <w:rPr>
                <w:rFonts w:hint="eastAsia" w:ascii="宋体" w:hAnsi="宋体" w:cs="宋体"/>
                <w:b/>
                <w:bCs/>
                <w:kern w:val="0"/>
                <w:sz w:val="24"/>
              </w:rPr>
              <w:t>预算单价（元）</w:t>
            </w:r>
          </w:p>
        </w:tc>
        <w:tc>
          <w:tcPr>
            <w:tcW w:w="1311" w:type="dxa"/>
            <w:gridSpan w:val="2"/>
            <w:shd w:val="clear" w:color="000000" w:fill="FFFFFF"/>
            <w:vAlign w:val="center"/>
          </w:tcPr>
          <w:p>
            <w:pPr>
              <w:spacing w:line="276" w:lineRule="auto"/>
              <w:jc w:val="center"/>
              <w:rPr>
                <w:rFonts w:ascii="宋体" w:hAnsi="宋体" w:cs="宋体"/>
                <w:b/>
                <w:bCs/>
                <w:kern w:val="0"/>
                <w:sz w:val="24"/>
              </w:rPr>
            </w:pPr>
            <w:r>
              <w:rPr>
                <w:rFonts w:hint="eastAsia" w:ascii="宋体" w:hAnsi="宋体" w:cs="宋体"/>
                <w:b/>
                <w:bCs/>
                <w:kern w:val="0"/>
                <w:sz w:val="24"/>
              </w:rPr>
              <w:t>预算总价（元）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567" w:type="dxa"/>
            <w:shd w:val="clear" w:color="000000" w:fill="FFFFFF"/>
            <w:vAlign w:val="center"/>
          </w:tcPr>
          <w:p>
            <w:pPr>
              <w:widowControl/>
              <w:spacing w:line="276" w:lineRule="auto"/>
              <w:jc w:val="center"/>
              <w:rPr>
                <w:rFonts w:ascii="宋体" w:hAnsi="宋体" w:cs="宋体"/>
                <w:bCs/>
                <w:kern w:val="0"/>
                <w:sz w:val="24"/>
              </w:rPr>
            </w:pPr>
            <w:r>
              <w:rPr>
                <w:rFonts w:ascii="宋体" w:hAnsi="宋体" w:cs="宋体"/>
                <w:color w:val="000000"/>
                <w:kern w:val="0"/>
                <w:sz w:val="24"/>
              </w:rPr>
              <w:t>1</w:t>
            </w:r>
          </w:p>
        </w:tc>
        <w:tc>
          <w:tcPr>
            <w:tcW w:w="1101" w:type="dxa"/>
            <w:shd w:val="clear" w:color="000000" w:fill="FFFFFF"/>
            <w:vAlign w:val="center"/>
          </w:tcPr>
          <w:p>
            <w:pPr>
              <w:widowControl/>
              <w:spacing w:line="276" w:lineRule="auto"/>
              <w:jc w:val="left"/>
              <w:rPr>
                <w:rFonts w:ascii="宋体" w:hAnsi="宋体" w:cs="宋体"/>
                <w:sz w:val="24"/>
              </w:rPr>
            </w:pPr>
            <w:r>
              <w:rPr>
                <w:rFonts w:hint="eastAsia" w:ascii="宋体" w:hAnsi="宋体" w:cs="宋体"/>
                <w:sz w:val="24"/>
              </w:rPr>
              <w:t>云存储运维系统</w:t>
            </w:r>
          </w:p>
        </w:tc>
        <w:tc>
          <w:tcPr>
            <w:tcW w:w="1636" w:type="dxa"/>
            <w:shd w:val="clear" w:color="000000" w:fill="FFFFFF"/>
            <w:vAlign w:val="center"/>
          </w:tcPr>
          <w:p>
            <w:pPr>
              <w:widowControl/>
              <w:spacing w:line="276" w:lineRule="auto"/>
              <w:jc w:val="left"/>
              <w:rPr>
                <w:rFonts w:ascii="宋体" w:hAnsi="宋体" w:cs="宋体"/>
                <w:sz w:val="24"/>
              </w:rPr>
            </w:pPr>
            <w:r>
              <w:rPr>
                <w:rFonts w:hint="eastAsia" w:ascii="宋体" w:hAnsi="宋体" w:cs="宋体"/>
                <w:sz w:val="24"/>
              </w:rPr>
              <w:t>海康威视/大华/宇视</w:t>
            </w:r>
          </w:p>
        </w:tc>
        <w:tc>
          <w:tcPr>
            <w:tcW w:w="7186" w:type="dxa"/>
            <w:shd w:val="clear" w:color="000000" w:fill="FFFFFF"/>
            <w:vAlign w:val="center"/>
          </w:tcPr>
          <w:p>
            <w:pPr>
              <w:widowControl/>
              <w:spacing w:line="276" w:lineRule="auto"/>
              <w:jc w:val="left"/>
              <w:rPr>
                <w:rFonts w:ascii="宋体" w:hAnsi="宋体" w:cs="宋体"/>
                <w:sz w:val="24"/>
              </w:rPr>
            </w:pPr>
            <w:r>
              <w:rPr>
                <w:rFonts w:hint="eastAsia" w:ascii="宋体" w:hAnsi="宋体" w:cs="宋体"/>
                <w:sz w:val="24"/>
              </w:rPr>
              <w:t>云存储运维系统平台终端（运维系统节点管理平台）</w:t>
            </w:r>
          </w:p>
          <w:p>
            <w:pPr>
              <w:widowControl/>
              <w:spacing w:line="276" w:lineRule="auto"/>
              <w:jc w:val="left"/>
              <w:rPr>
                <w:rFonts w:ascii="宋体" w:hAnsi="宋体" w:cs="宋体"/>
                <w:sz w:val="24"/>
              </w:rPr>
            </w:pPr>
            <w:r>
              <w:rPr>
                <w:rFonts w:hint="eastAsia" w:ascii="宋体" w:hAnsi="宋体" w:cs="宋体"/>
                <w:sz w:val="24"/>
              </w:rPr>
              <w:t xml:space="preserve">技术规格： </w:t>
            </w:r>
            <w:r>
              <w:rPr>
                <w:rFonts w:hint="eastAsia" w:ascii="宋体" w:hAnsi="宋体" w:cs="宋体"/>
                <w:sz w:val="24"/>
              </w:rPr>
              <w:br w:type="textWrapping"/>
            </w:r>
            <w:r>
              <w:rPr>
                <w:rFonts w:hint="eastAsia" w:ascii="宋体" w:hAnsi="宋体" w:cs="宋体"/>
                <w:sz w:val="24"/>
              </w:rPr>
              <w:t>64位CPU，核数≧16/内存≧16GB ECC内存/1颗SSD硬盘/热插拔/以太网口1Gx2/冗余电源/2U</w:t>
            </w:r>
            <w:r>
              <w:rPr>
                <w:rFonts w:hint="eastAsia" w:ascii="宋体" w:hAnsi="宋体" w:cs="宋体"/>
                <w:sz w:val="24"/>
              </w:rPr>
              <w:br w:type="textWrapping"/>
            </w:r>
            <w:r>
              <w:rPr>
                <w:rFonts w:hint="eastAsia" w:ascii="宋体" w:hAnsi="宋体" w:cs="宋体"/>
                <w:sz w:val="24"/>
              </w:rPr>
              <w:t>注：操作系统：CentOS7 64位</w:t>
            </w:r>
          </w:p>
        </w:tc>
        <w:tc>
          <w:tcPr>
            <w:tcW w:w="709"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sz w:val="24"/>
              </w:rPr>
              <w:t>套</w:t>
            </w:r>
          </w:p>
        </w:tc>
        <w:tc>
          <w:tcPr>
            <w:tcW w:w="708"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sz w:val="24"/>
              </w:rPr>
              <w:t>1</w:t>
            </w:r>
          </w:p>
        </w:tc>
        <w:tc>
          <w:tcPr>
            <w:tcW w:w="1276"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sz w:val="24"/>
              </w:rPr>
              <w:t>20450</w:t>
            </w:r>
          </w:p>
        </w:tc>
        <w:tc>
          <w:tcPr>
            <w:tcW w:w="1311" w:type="dxa"/>
            <w:gridSpan w:val="2"/>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sz w:val="24"/>
              </w:rPr>
              <w:t>20450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567" w:type="dxa"/>
            <w:shd w:val="clear" w:color="000000" w:fill="FFFFFF"/>
            <w:vAlign w:val="center"/>
          </w:tcPr>
          <w:p>
            <w:pPr>
              <w:widowControl/>
              <w:spacing w:line="276" w:lineRule="auto"/>
              <w:jc w:val="center"/>
              <w:rPr>
                <w:rFonts w:ascii="宋体" w:hAnsi="宋体" w:cs="宋体"/>
                <w:color w:val="000000"/>
                <w:kern w:val="0"/>
                <w:sz w:val="24"/>
              </w:rPr>
            </w:pPr>
            <w:r>
              <w:rPr>
                <w:rFonts w:hint="eastAsia" w:ascii="宋体" w:hAnsi="宋体" w:cs="宋体"/>
                <w:color w:val="000000"/>
                <w:kern w:val="0"/>
                <w:sz w:val="24"/>
              </w:rPr>
              <w:t>2</w:t>
            </w:r>
          </w:p>
        </w:tc>
        <w:tc>
          <w:tcPr>
            <w:tcW w:w="1101" w:type="dxa"/>
            <w:shd w:val="clear" w:color="000000" w:fill="FFFFFF"/>
            <w:vAlign w:val="center"/>
          </w:tcPr>
          <w:p>
            <w:pPr>
              <w:widowControl/>
              <w:spacing w:line="276" w:lineRule="auto"/>
              <w:jc w:val="left"/>
              <w:rPr>
                <w:rFonts w:ascii="宋体" w:hAnsi="宋体" w:cs="宋体"/>
                <w:sz w:val="24"/>
              </w:rPr>
            </w:pPr>
            <w:r>
              <w:rPr>
                <w:rFonts w:hint="eastAsia" w:ascii="宋体" w:hAnsi="宋体" w:cs="宋体"/>
                <w:sz w:val="24"/>
              </w:rPr>
              <w:t>云存储管理系统</w:t>
            </w:r>
          </w:p>
        </w:tc>
        <w:tc>
          <w:tcPr>
            <w:tcW w:w="1636" w:type="dxa"/>
            <w:shd w:val="clear" w:color="000000" w:fill="FFFFFF"/>
            <w:vAlign w:val="center"/>
          </w:tcPr>
          <w:p>
            <w:pPr>
              <w:widowControl/>
              <w:spacing w:line="276" w:lineRule="auto"/>
              <w:jc w:val="left"/>
              <w:rPr>
                <w:rFonts w:ascii="宋体" w:hAnsi="宋体" w:cs="宋体"/>
                <w:sz w:val="24"/>
              </w:rPr>
            </w:pPr>
            <w:r>
              <w:rPr>
                <w:rFonts w:hint="eastAsia" w:ascii="宋体" w:hAnsi="宋体" w:cs="宋体"/>
                <w:sz w:val="24"/>
              </w:rPr>
              <w:t>海康威视/大华/宇视</w:t>
            </w:r>
          </w:p>
        </w:tc>
        <w:tc>
          <w:tcPr>
            <w:tcW w:w="7186" w:type="dxa"/>
            <w:shd w:val="clear" w:color="000000" w:fill="FFFFFF"/>
            <w:vAlign w:val="center"/>
          </w:tcPr>
          <w:p>
            <w:pPr>
              <w:widowControl/>
              <w:spacing w:line="276" w:lineRule="auto"/>
              <w:jc w:val="left"/>
              <w:rPr>
                <w:rFonts w:ascii="宋体" w:hAnsi="宋体" w:cs="宋体"/>
                <w:sz w:val="24"/>
              </w:rPr>
            </w:pPr>
            <w:r>
              <w:rPr>
                <w:rFonts w:hint="eastAsia" w:ascii="宋体" w:hAnsi="宋体" w:cs="宋体"/>
                <w:sz w:val="24"/>
              </w:rPr>
              <w:t>机架式云存储管理系统终端平台（节点管理平台）</w:t>
            </w:r>
            <w:r>
              <w:rPr>
                <w:rFonts w:hint="eastAsia" w:ascii="宋体" w:hAnsi="宋体" w:cs="宋体"/>
                <w:sz w:val="24"/>
              </w:rPr>
              <w:br w:type="textWrapping"/>
            </w:r>
            <w:r>
              <w:rPr>
                <w:rFonts w:hint="eastAsia" w:ascii="宋体" w:hAnsi="宋体" w:cs="宋体"/>
                <w:sz w:val="24"/>
              </w:rPr>
              <w:t>处理器：64位多核处理器（核数≧16）</w:t>
            </w:r>
            <w:r>
              <w:rPr>
                <w:rFonts w:hint="eastAsia" w:ascii="宋体" w:hAnsi="宋体" w:cs="宋体"/>
                <w:sz w:val="24"/>
              </w:rPr>
              <w:br w:type="textWrapping"/>
            </w:r>
            <w:r>
              <w:rPr>
                <w:rFonts w:hint="eastAsia" w:ascii="宋体" w:hAnsi="宋体" w:cs="宋体"/>
                <w:sz w:val="24"/>
              </w:rPr>
              <w:t>内存：DDR4，标配32GB内存，最大可扩展至256GB</w:t>
            </w:r>
            <w:r>
              <w:rPr>
                <w:rFonts w:hint="eastAsia" w:ascii="宋体" w:hAnsi="宋体" w:cs="宋体"/>
                <w:sz w:val="24"/>
              </w:rPr>
              <w:br w:type="textWrapping"/>
            </w:r>
            <w:r>
              <w:rPr>
                <w:rFonts w:hint="eastAsia" w:ascii="宋体" w:hAnsi="宋体" w:cs="宋体"/>
                <w:sz w:val="24"/>
              </w:rPr>
              <w:t>内置SSD硬盘：标配2个热插拔960GB SSD硬盘</w:t>
            </w:r>
            <w:r>
              <w:rPr>
                <w:rFonts w:hint="eastAsia" w:ascii="宋体" w:hAnsi="宋体" w:cs="宋体"/>
                <w:sz w:val="24"/>
              </w:rPr>
              <w:br w:type="textWrapping"/>
            </w:r>
            <w:r>
              <w:rPr>
                <w:rFonts w:hint="eastAsia" w:ascii="宋体" w:hAnsi="宋体" w:cs="宋体"/>
                <w:color w:val="000000" w:themeColor="text1"/>
                <w:sz w:val="24"/>
              </w:rPr>
              <w:t>网口：2个万兆网口，4个万兆光口；</w:t>
            </w:r>
            <w:r>
              <w:rPr>
                <w:rFonts w:hint="eastAsia" w:ascii="宋体" w:hAnsi="宋体" w:cs="宋体"/>
                <w:color w:val="FF0000"/>
                <w:sz w:val="24"/>
              </w:rPr>
              <w:br w:type="textWrapping"/>
            </w:r>
            <w:r>
              <w:rPr>
                <w:rFonts w:hint="eastAsia" w:ascii="宋体" w:hAnsi="宋体" w:cs="宋体"/>
                <w:sz w:val="24"/>
              </w:rPr>
              <w:t>其它接口：2个RJ-45网络接口、4个USB 3.0接口，2个2.0接口，1个VGA接口 1个HDMI接口</w:t>
            </w:r>
            <w:r>
              <w:rPr>
                <w:rFonts w:hint="eastAsia" w:ascii="宋体" w:hAnsi="宋体" w:cs="宋体"/>
                <w:sz w:val="24"/>
              </w:rPr>
              <w:br w:type="textWrapping"/>
            </w:r>
            <w:r>
              <w:rPr>
                <w:rFonts w:hint="eastAsia" w:ascii="宋体" w:hAnsi="宋体" w:cs="宋体"/>
                <w:sz w:val="24"/>
              </w:rPr>
              <w:t>电源：高效能750W铂金1+1冗余电源</w:t>
            </w:r>
            <w:r>
              <w:rPr>
                <w:rFonts w:hint="eastAsia" w:ascii="宋体" w:hAnsi="宋体" w:cs="宋体"/>
                <w:sz w:val="24"/>
              </w:rPr>
              <w:br w:type="textWrapping"/>
            </w:r>
            <w:r>
              <w:rPr>
                <w:rFonts w:hint="eastAsia" w:ascii="宋体" w:hAnsi="宋体" w:cs="宋体"/>
                <w:sz w:val="24"/>
              </w:rPr>
              <w:t>尺寸：430mm（宽）x88mm（高）x 660mm（深）</w:t>
            </w:r>
          </w:p>
          <w:p>
            <w:pPr>
              <w:widowControl/>
              <w:spacing w:line="276" w:lineRule="auto"/>
              <w:jc w:val="left"/>
              <w:rPr>
                <w:rFonts w:ascii="宋体" w:hAnsi="宋体" w:cs="宋体"/>
                <w:sz w:val="24"/>
              </w:rPr>
            </w:pPr>
            <w:r>
              <w:rPr>
                <w:rFonts w:hint="eastAsia" w:ascii="宋体" w:hAnsi="宋体" w:cs="宋体"/>
                <w:sz w:val="24"/>
              </w:rPr>
              <w:t>重量：最大17千克</w:t>
            </w:r>
            <w:r>
              <w:rPr>
                <w:rFonts w:hint="eastAsia" w:ascii="宋体" w:hAnsi="宋体" w:cs="宋体"/>
                <w:sz w:val="24"/>
              </w:rPr>
              <w:br w:type="textWrapping"/>
            </w:r>
            <w:r>
              <w:rPr>
                <w:rFonts w:hint="eastAsia" w:ascii="宋体" w:hAnsi="宋体" w:cs="宋体"/>
                <w:sz w:val="24"/>
              </w:rPr>
              <w:t>含软件操作系统：CentOS7 64位</w:t>
            </w:r>
          </w:p>
        </w:tc>
        <w:tc>
          <w:tcPr>
            <w:tcW w:w="709" w:type="dxa"/>
            <w:shd w:val="clear" w:color="000000" w:fill="FFFFFF"/>
            <w:vAlign w:val="center"/>
          </w:tcPr>
          <w:p>
            <w:pPr>
              <w:widowControl/>
              <w:spacing w:line="276" w:lineRule="auto"/>
              <w:jc w:val="center"/>
              <w:rPr>
                <w:rFonts w:ascii="宋体" w:hAnsi="宋体" w:cs="宋体"/>
                <w:color w:val="000000"/>
                <w:sz w:val="24"/>
              </w:rPr>
            </w:pPr>
            <w:r>
              <w:rPr>
                <w:rFonts w:hint="eastAsia" w:ascii="宋体" w:hAnsi="宋体" w:cs="宋体"/>
                <w:color w:val="000000"/>
                <w:sz w:val="24"/>
              </w:rPr>
              <w:t>套</w:t>
            </w:r>
          </w:p>
        </w:tc>
        <w:tc>
          <w:tcPr>
            <w:tcW w:w="708" w:type="dxa"/>
            <w:shd w:val="clear" w:color="000000" w:fill="FFFFFF"/>
            <w:vAlign w:val="center"/>
          </w:tcPr>
          <w:p>
            <w:pPr>
              <w:widowControl/>
              <w:spacing w:line="276" w:lineRule="auto"/>
              <w:jc w:val="center"/>
              <w:rPr>
                <w:rFonts w:ascii="宋体" w:hAnsi="宋体" w:cs="宋体"/>
                <w:color w:val="000000"/>
                <w:sz w:val="24"/>
              </w:rPr>
            </w:pPr>
            <w:r>
              <w:rPr>
                <w:rFonts w:hint="eastAsia" w:ascii="宋体" w:hAnsi="宋体" w:cs="宋体"/>
                <w:color w:val="000000"/>
                <w:sz w:val="24"/>
              </w:rPr>
              <w:t>2</w:t>
            </w:r>
          </w:p>
        </w:tc>
        <w:tc>
          <w:tcPr>
            <w:tcW w:w="1276" w:type="dxa"/>
            <w:shd w:val="clear" w:color="000000" w:fill="FFFFFF"/>
            <w:vAlign w:val="center"/>
          </w:tcPr>
          <w:p>
            <w:pPr>
              <w:widowControl/>
              <w:spacing w:line="276" w:lineRule="auto"/>
              <w:jc w:val="center"/>
              <w:rPr>
                <w:rFonts w:ascii="宋体" w:hAnsi="宋体" w:cs="宋体"/>
                <w:sz w:val="24"/>
              </w:rPr>
            </w:pPr>
            <w:r>
              <w:rPr>
                <w:rFonts w:hint="eastAsia" w:ascii="宋体" w:hAnsi="宋体" w:cs="宋体"/>
                <w:sz w:val="24"/>
              </w:rPr>
              <w:t>23240</w:t>
            </w:r>
          </w:p>
        </w:tc>
        <w:tc>
          <w:tcPr>
            <w:tcW w:w="1311" w:type="dxa"/>
            <w:gridSpan w:val="2"/>
            <w:shd w:val="clear" w:color="000000" w:fill="FFFFFF"/>
            <w:vAlign w:val="center"/>
          </w:tcPr>
          <w:p>
            <w:pPr>
              <w:widowControl/>
              <w:spacing w:line="276" w:lineRule="auto"/>
              <w:jc w:val="center"/>
              <w:rPr>
                <w:rFonts w:ascii="宋体" w:hAnsi="宋体" w:cs="宋体"/>
                <w:color w:val="000000"/>
                <w:sz w:val="24"/>
              </w:rPr>
            </w:pPr>
            <w:r>
              <w:rPr>
                <w:rFonts w:hint="eastAsia" w:ascii="宋体" w:hAnsi="宋体" w:cs="宋体"/>
                <w:color w:val="000000"/>
                <w:sz w:val="24"/>
              </w:rPr>
              <w:t>46480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567" w:type="dxa"/>
            <w:shd w:val="clear" w:color="000000" w:fill="FFFFFF"/>
            <w:vAlign w:val="center"/>
          </w:tcPr>
          <w:p>
            <w:pPr>
              <w:widowControl/>
              <w:spacing w:line="276" w:lineRule="auto"/>
              <w:jc w:val="center"/>
              <w:rPr>
                <w:rFonts w:ascii="宋体" w:hAnsi="宋体" w:cs="宋体"/>
                <w:color w:val="000000"/>
                <w:kern w:val="0"/>
                <w:sz w:val="24"/>
              </w:rPr>
            </w:pPr>
            <w:r>
              <w:rPr>
                <w:rFonts w:hint="eastAsia" w:ascii="宋体" w:hAnsi="宋体" w:cs="宋体"/>
                <w:color w:val="000000"/>
                <w:kern w:val="0"/>
                <w:sz w:val="24"/>
              </w:rPr>
              <w:t>3</w:t>
            </w:r>
          </w:p>
        </w:tc>
        <w:tc>
          <w:tcPr>
            <w:tcW w:w="1101"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sz w:val="24"/>
              </w:rPr>
              <w:t>存储阵列存储</w:t>
            </w:r>
          </w:p>
        </w:tc>
        <w:tc>
          <w:tcPr>
            <w:tcW w:w="1636"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sz w:val="24"/>
              </w:rPr>
              <w:t>海康威视/大华/宇视</w:t>
            </w:r>
          </w:p>
        </w:tc>
        <w:tc>
          <w:tcPr>
            <w:tcW w:w="7186" w:type="dxa"/>
            <w:shd w:val="clear" w:color="000000" w:fill="FFFFFF"/>
            <w:vAlign w:val="center"/>
          </w:tcPr>
          <w:p>
            <w:pPr>
              <w:widowControl/>
              <w:spacing w:line="276" w:lineRule="auto"/>
              <w:jc w:val="left"/>
              <w:rPr>
                <w:rFonts w:ascii="宋体" w:hAnsi="宋体" w:cs="宋体"/>
                <w:color w:val="000000"/>
                <w:sz w:val="24"/>
              </w:rPr>
            </w:pPr>
            <w:r>
              <w:rPr>
                <w:rFonts w:hint="eastAsia" w:ascii="宋体" w:hAnsi="宋体" w:cs="宋体"/>
                <w:color w:val="000000"/>
                <w:sz w:val="24"/>
              </w:rPr>
              <w:t>含：企业级IoT存储盘，HK726TAH，单盘容量≧6TB，7200RPM，SATA</w:t>
            </w:r>
          </w:p>
          <w:p>
            <w:pPr>
              <w:widowControl/>
              <w:jc w:val="left"/>
              <w:rPr>
                <w:rFonts w:ascii="宋体" w:hAnsi="宋体" w:cs="宋体"/>
                <w:color w:val="000000"/>
                <w:sz w:val="24"/>
              </w:rPr>
            </w:pPr>
            <w:r>
              <w:rPr>
                <w:rFonts w:hint="eastAsia" w:ascii="宋体" w:hAnsi="宋体" w:cs="宋体"/>
                <w:color w:val="000000"/>
                <w:sz w:val="24"/>
              </w:rPr>
              <w:t>编码类型：H.265 选择分辨率为 4MP的格式下必须满足存储时间要求为：存储时间≧60天 企业级存储硬盘数量≧468块。</w:t>
            </w:r>
          </w:p>
          <w:p>
            <w:pPr>
              <w:widowControl/>
              <w:spacing w:line="276" w:lineRule="auto"/>
              <w:jc w:val="left"/>
              <w:rPr>
                <w:rFonts w:ascii="宋体" w:hAnsi="宋体" w:cs="宋体"/>
                <w:color w:val="000000"/>
                <w:sz w:val="24"/>
              </w:rPr>
            </w:pPr>
            <w:r>
              <w:rPr>
                <w:rFonts w:hint="eastAsia" w:ascii="宋体" w:hAnsi="宋体" w:cs="宋体"/>
                <w:color w:val="000000"/>
                <w:sz w:val="24"/>
              </w:rPr>
              <w:t>单设备标准配置64位多核处理器；16GB缓存；冗余电源；36块6T企业级SATA磁盘；2个万兆网口；</w:t>
            </w:r>
            <w:r>
              <w:rPr>
                <w:rFonts w:ascii="宋体" w:hAnsi="宋体" w:cs="宋体"/>
                <w:color w:val="000000"/>
                <w:sz w:val="24"/>
              </w:rPr>
              <w:t>2</w:t>
            </w:r>
            <w:r>
              <w:rPr>
                <w:rFonts w:hint="eastAsia" w:ascii="宋体" w:hAnsi="宋体" w:cs="宋体"/>
                <w:color w:val="000000"/>
                <w:sz w:val="24"/>
              </w:rPr>
              <w:t>个系统SSD盘；支持视音频、图片、直接写入，支持视频高速预览、回放、下载，支持云内容灾备份，支持一体化运维，支持GB/T28181-2011、Onvif、RTSP、H265、SVAC等标准视频协议。</w:t>
            </w:r>
            <w:r>
              <w:rPr>
                <w:rFonts w:hint="eastAsia" w:ascii="宋体" w:hAnsi="宋体" w:cs="宋体"/>
                <w:color w:val="000000"/>
                <w:sz w:val="24"/>
              </w:rPr>
              <w:br w:type="textWrapping"/>
            </w:r>
            <w:r>
              <w:rPr>
                <w:rFonts w:hint="eastAsia" w:ascii="宋体" w:hAnsi="宋体" w:cs="宋体"/>
                <w:color w:val="000000" w:themeColor="text1"/>
                <w:sz w:val="24"/>
              </w:rPr>
              <w:t>▲支持云存储系统一键部署，一键部署微视云、标准云环境，一键部署包含组建集群、创建域、自动创建资源池等，一套云存储系统可对外提供多种类型数据混合存储，同时支持分布式流式存储，分布式对象存储、分布式文件存储、分布式块存储；支持前端设备和存储设备之间直接存储，采用块级存储，不生成文件（即不使用文件系统），无碎片。云存储支持双控设备双active的工作方式，存储任务和压力平均分摊到两个控制器上面；支持按照设备可用容量实现负载均衡，各存储节点上存储的数据量在稳定状态下保持均衡，差距小于5%，支持录像正放切换为倒放，及倒放切换为正放；支持通过统一运维一键式部署整个云存储系统，一键升级、格式化系统；支持设备自动发现，支持无需登录设备，即可远程配置IP地址；支持单服务、服务集群一键升级，支持升级包的hash签名加密认证。（以公安部检测报告为准）</w:t>
            </w:r>
            <w:r>
              <w:rPr>
                <w:rFonts w:hint="eastAsia" w:ascii="宋体" w:hAnsi="宋体" w:cs="宋体"/>
                <w:color w:val="FF0000"/>
                <w:sz w:val="24"/>
              </w:rPr>
              <w:br w:type="textWrapping"/>
            </w:r>
            <w:r>
              <w:rPr>
                <w:rFonts w:hint="eastAsia" w:ascii="宋体" w:hAnsi="宋体" w:cs="宋体"/>
                <w:color w:val="000000"/>
                <w:sz w:val="24"/>
              </w:rPr>
              <w:t>支持全对称部署模式，集群所有节点服务角色对等，无需独立元数据平台，且单集群可同时管理3EB存储空间、1024台存储节点；系统支持单机（1台）、HA（2台）、集群（3台及以上）部署模式。支持在线扩容、升级，且扩容、升级过程中实时读写业务不中断、数据不丢失，扩容后历史数据无需迁移；支持分布式对称架构与非对称架构相互自由切换（以公安部检测报告为准）</w:t>
            </w:r>
          </w:p>
          <w:p>
            <w:pPr>
              <w:widowControl/>
              <w:spacing w:line="276" w:lineRule="auto"/>
              <w:ind w:firstLine="240" w:firstLineChars="100"/>
              <w:jc w:val="left"/>
              <w:rPr>
                <w:rFonts w:ascii="宋体" w:hAnsi="宋体" w:cs="宋体"/>
                <w:color w:val="000000"/>
                <w:sz w:val="24"/>
              </w:rPr>
            </w:pPr>
            <w:r>
              <w:rPr>
                <w:rFonts w:hint="eastAsia" w:ascii="宋体" w:hAnsi="宋体" w:cs="宋体"/>
                <w:color w:val="000000"/>
                <w:sz w:val="24"/>
              </w:rPr>
              <w:t>一套系统，支持同时提供7类数据存储服务，15种存储协议，构建统一数据湖。存储服务包含：流式存储-视频存储（GB/T 28181、RTSP、Onvif）、流式存储-图片存储（GA/T 1400.4、REST）、NAS文件存储（NFS、CIFS、FTP）、对象存储（S3、OSS）、块存储（iSCSI，FC）、大数据存储（HDFS）、结构化数据存储(REST、原生ElasticSearch http接口协议)；同时系统支持HDFS文件数据存储服务，支持大数据组件MapReduce、Hive、Spark、Flink、ElasticSearch、Hbase接入，HDFS数据存储可同时提供多副本、Erasure Code数据保护机制；支持Cinder插件，为第三方云计算提供云硬盘服务；支持CSI容器存储接口标准，通过标准NFS、iscsi协议兼容容器编排平台，CSI（容器存储接口）插件将块存储资源、文件存储资源作为持久化数据服务提供给容器应用。支持多协议间数据互通(以对象协议上传的数据通过NAS协议提取，支持以NAS协议上传的数据通过对象协议获取)（以公安部检测报告为准）</w:t>
            </w:r>
            <w:r>
              <w:rPr>
                <w:rFonts w:hint="eastAsia" w:ascii="宋体" w:hAnsi="宋体" w:cs="宋体"/>
                <w:color w:val="000000"/>
                <w:sz w:val="24"/>
              </w:rPr>
              <w:br w:type="textWrapping"/>
            </w:r>
            <w:r>
              <w:rPr>
                <w:rFonts w:hint="eastAsia" w:ascii="宋体" w:hAnsi="宋体" w:cs="宋体"/>
                <w:color w:val="000000"/>
                <w:sz w:val="24"/>
              </w:rPr>
              <w:t xml:space="preserve"> 支持对集群资源池的容量进行实时监控与趋势分析的前检测，对资源池可用的剩余天数和提前覆盖时间进行预测和预警提示；支持对存储数据视频质量进行后检测，如图像清晰度异常，亮度异常等，支持对录像数据中音频异常，音频中有无人声的检测（以公安部检测报告为准）</w:t>
            </w:r>
          </w:p>
          <w:p>
            <w:pPr>
              <w:widowControl/>
              <w:spacing w:line="276" w:lineRule="auto"/>
              <w:ind w:firstLine="240" w:firstLineChars="100"/>
              <w:jc w:val="left"/>
              <w:rPr>
                <w:rFonts w:ascii="宋体" w:hAnsi="宋体" w:cs="宋体"/>
                <w:bCs/>
                <w:kern w:val="0"/>
                <w:sz w:val="24"/>
              </w:rPr>
            </w:pPr>
            <w:r>
              <w:rPr>
                <w:rFonts w:hint="eastAsia" w:ascii="宋体" w:hAnsi="宋体" w:cs="宋体"/>
                <w:color w:val="000000"/>
                <w:sz w:val="24"/>
              </w:rPr>
              <w:t xml:space="preserve">须和建德市新看守所原有前端平台相适应，必须满足前端设备为600个节点，视频监控选择分辨率为 4MP的格式下，存储时间要能够≧60天。  </w:t>
            </w:r>
          </w:p>
        </w:tc>
        <w:tc>
          <w:tcPr>
            <w:tcW w:w="709"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sz w:val="24"/>
              </w:rPr>
              <w:t>台</w:t>
            </w:r>
          </w:p>
        </w:tc>
        <w:tc>
          <w:tcPr>
            <w:tcW w:w="708"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sz w:val="24"/>
              </w:rPr>
              <w:t>13</w:t>
            </w:r>
          </w:p>
        </w:tc>
        <w:tc>
          <w:tcPr>
            <w:tcW w:w="1276"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sz w:val="24"/>
              </w:rPr>
              <w:t>86000</w:t>
            </w:r>
          </w:p>
        </w:tc>
        <w:tc>
          <w:tcPr>
            <w:tcW w:w="1311" w:type="dxa"/>
            <w:gridSpan w:val="2"/>
            <w:shd w:val="clear" w:color="000000" w:fill="FFFFFF"/>
            <w:vAlign w:val="center"/>
          </w:tcPr>
          <w:p>
            <w:pPr>
              <w:widowControl/>
              <w:spacing w:line="276" w:lineRule="auto"/>
              <w:jc w:val="center"/>
              <w:rPr>
                <w:rFonts w:ascii="宋体" w:hAnsi="宋体" w:cs="宋体"/>
                <w:color w:val="000000"/>
                <w:sz w:val="24"/>
              </w:rPr>
            </w:pPr>
            <w:r>
              <w:rPr>
                <w:rFonts w:hint="eastAsia" w:ascii="宋体" w:hAnsi="宋体" w:cs="宋体"/>
                <w:color w:val="000000"/>
                <w:sz w:val="24"/>
              </w:rPr>
              <w:t>1118000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567"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kern w:val="0"/>
                <w:sz w:val="24"/>
              </w:rPr>
              <w:t>4</w:t>
            </w:r>
          </w:p>
        </w:tc>
        <w:tc>
          <w:tcPr>
            <w:tcW w:w="1101"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sz w:val="24"/>
              </w:rPr>
              <w:t>云存储管理软件</w:t>
            </w:r>
          </w:p>
        </w:tc>
        <w:tc>
          <w:tcPr>
            <w:tcW w:w="1636"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sz w:val="24"/>
              </w:rPr>
              <w:t>海康威视/大华/宇视</w:t>
            </w:r>
          </w:p>
        </w:tc>
        <w:tc>
          <w:tcPr>
            <w:tcW w:w="7186" w:type="dxa"/>
            <w:shd w:val="clear" w:color="000000" w:fill="FFFFFF"/>
            <w:vAlign w:val="center"/>
          </w:tcPr>
          <w:p>
            <w:pPr>
              <w:widowControl/>
              <w:spacing w:line="276" w:lineRule="auto"/>
              <w:jc w:val="left"/>
              <w:rPr>
                <w:rFonts w:ascii="宋体" w:hAnsi="宋体" w:cs="宋体"/>
                <w:color w:val="000000"/>
                <w:sz w:val="24"/>
              </w:rPr>
            </w:pPr>
            <w:r>
              <w:rPr>
                <w:rFonts w:hint="eastAsia" w:ascii="宋体" w:hAnsi="宋体" w:cs="宋体"/>
                <w:color w:val="000000"/>
                <w:sz w:val="24"/>
              </w:rPr>
              <w:t>视频云存储可提供视频存储、图片存储、文件存储、对象存储和智能结构化数据融合存储服务。通过集群应用、网格技术或分布式文件系统等，将网络中不同类型的存储设备通过应用软件集合起来协同工作，共同对外提供视音频、图片及其伴生的结构化数据的存储和业务访问功能的系统。</w:t>
            </w:r>
            <w:r>
              <w:rPr>
                <w:rFonts w:hint="eastAsia" w:ascii="宋体" w:hAnsi="宋体" w:cs="宋体"/>
                <w:color w:val="000000"/>
                <w:sz w:val="24"/>
              </w:rPr>
              <w:br w:type="textWrapping"/>
            </w:r>
            <w:r>
              <w:rPr>
                <w:rFonts w:hint="eastAsia" w:ascii="宋体" w:hAnsi="宋体" w:cs="宋体"/>
                <w:color w:val="000000"/>
                <w:sz w:val="24"/>
              </w:rPr>
              <w:t>集成容量虚拟化管理功能、集群化管理功能；负责视频录像资源分配、计划管理、索引管理，负载均衡调度；提供数据查询、回放、下载、锁定等功能。支持录像计划从前端取流直存到虚拟化容量空间，提供视频、图片的统一存储。</w:t>
            </w:r>
            <w:r>
              <w:rPr>
                <w:rFonts w:hint="eastAsia" w:ascii="宋体" w:hAnsi="宋体" w:cs="宋体"/>
                <w:color w:val="000000"/>
                <w:sz w:val="24"/>
              </w:rPr>
              <w:br w:type="textWrapping"/>
            </w:r>
            <w:r>
              <w:rPr>
                <w:rFonts w:hint="eastAsia" w:ascii="宋体" w:hAnsi="宋体" w:cs="宋体"/>
                <w:color w:val="000000"/>
                <w:sz w:val="24"/>
              </w:rPr>
              <w:t>支持最少1台存储节点即可构建云存储系统；支持2~</w:t>
            </w:r>
            <w:r>
              <w:rPr>
                <w:rFonts w:ascii="宋体" w:hAnsi="宋体" w:cs="宋体"/>
                <w:color w:val="000000"/>
                <w:sz w:val="24"/>
              </w:rPr>
              <w:t>5</w:t>
            </w:r>
            <w:r>
              <w:rPr>
                <w:rFonts w:hint="eastAsia" w:ascii="宋体" w:hAnsi="宋体" w:cs="宋体"/>
                <w:color w:val="000000"/>
                <w:sz w:val="24"/>
              </w:rPr>
              <w:t>6台存储节点组成的全对称架构部署模式，支持按照接入任务数实现自动负载均衡，支持前端设备自动分配到存储节点。各节点间读写任务数差距±1；支持录像隐藏功能，对选定视频片段做标签并设定周期后，在周期内录像隐藏不可见且不被覆盖，支持视图转换，能将指定时间段视频按时间间隔抽帧转换成图片。支持当磁盘或设备故障时，支持智能数据恢复，对标明重要的特定文件中的数据优先恢复。</w:t>
            </w:r>
            <w:r>
              <w:rPr>
                <w:rFonts w:hint="eastAsia" w:ascii="宋体" w:hAnsi="宋体" w:cs="宋体"/>
                <w:color w:val="000000"/>
                <w:sz w:val="24"/>
              </w:rPr>
              <w:br w:type="textWrapping"/>
            </w:r>
            <w:r>
              <w:rPr>
                <w:rFonts w:hint="eastAsia" w:ascii="宋体" w:hAnsi="宋体" w:cs="宋体"/>
                <w:color w:val="000000"/>
                <w:sz w:val="24"/>
              </w:rPr>
              <w:t>存储设备根据自身业务量，自适应重构速度，如当前设备空间资源较为充裕时，重构速度较高，若存储设备读写压力上来后，重构速度自动降低。支持通过统一运维一键式部署整个云存储系统，一键升级、格式化系统；支持设备自动发现，支持无需登录设备，即可远程配置IP地址；支持单服务、服务集群一键升级，支持升级包的hash签名加密认证。</w:t>
            </w:r>
            <w:r>
              <w:rPr>
                <w:rFonts w:hint="eastAsia" w:ascii="宋体" w:hAnsi="宋体" w:cs="宋体"/>
                <w:color w:val="000000"/>
                <w:sz w:val="24"/>
              </w:rPr>
              <w:br w:type="textWrapping"/>
            </w:r>
            <w:r>
              <w:rPr>
                <w:rFonts w:hint="eastAsia" w:ascii="宋体" w:hAnsi="宋体" w:cs="宋体"/>
                <w:color w:val="000000"/>
                <w:sz w:val="24"/>
              </w:rPr>
              <w:t>▲支持运行在ARM架构下的银河麒麟系统中；支持国产海光CPU、中标麒麟系统。并获得“麒麟软件NeoCertify认证”证书；</w:t>
            </w:r>
            <w:r>
              <w:rPr>
                <w:rFonts w:hint="eastAsia" w:ascii="宋体" w:hAnsi="宋体" w:cs="宋体"/>
                <w:color w:val="000000" w:themeColor="text1"/>
                <w:sz w:val="24"/>
              </w:rPr>
              <w:t>（以公安部检测报告为准或</w:t>
            </w:r>
            <w:r>
              <w:rPr>
                <w:rFonts w:ascii="宋体" w:hAnsi="宋体" w:cs="宋体"/>
                <w:color w:val="000000" w:themeColor="text1"/>
                <w:sz w:val="24"/>
              </w:rPr>
              <w:t>麒麟软件NeoCertify认证</w:t>
            </w:r>
            <w:r>
              <w:rPr>
                <w:rFonts w:hint="eastAsia" w:ascii="宋体" w:hAnsi="宋体" w:cs="宋体"/>
                <w:color w:val="000000" w:themeColor="text1"/>
                <w:sz w:val="24"/>
              </w:rPr>
              <w:t>）</w:t>
            </w:r>
          </w:p>
          <w:p>
            <w:pPr>
              <w:widowControl/>
              <w:spacing w:line="276" w:lineRule="auto"/>
              <w:jc w:val="left"/>
              <w:rPr>
                <w:rFonts w:ascii="宋体" w:hAnsi="宋体" w:cs="宋体"/>
                <w:color w:val="000000"/>
                <w:sz w:val="24"/>
              </w:rPr>
            </w:pPr>
            <w:r>
              <w:rPr>
                <w:rFonts w:hint="eastAsia" w:ascii="宋体" w:hAnsi="宋体" w:cs="宋体"/>
                <w:color w:val="000000"/>
                <w:sz w:val="24"/>
              </w:rPr>
              <w:t>云存储系统支持对数据进行加密存储保护，加密算法兼容AES加密、SM4加密算法；加密方式支持软加密（AES 128、AES 256）、硬加密（加密卡和KMS服务平台终端）</w:t>
            </w:r>
            <w:r>
              <w:rPr>
                <w:rFonts w:hint="eastAsia" w:ascii="宋体" w:hAnsi="宋体" w:cs="宋体"/>
                <w:color w:val="000000"/>
                <w:sz w:val="24"/>
              </w:rPr>
              <w:br w:type="textWrapping"/>
            </w:r>
            <w:r>
              <w:rPr>
                <w:rFonts w:hint="eastAsia" w:ascii="宋体" w:hAnsi="宋体" w:cs="宋体"/>
                <w:color w:val="000000"/>
                <w:sz w:val="24"/>
              </w:rPr>
              <w:t>系统支持数据智能重构，可根据不同场景设定重构优先级及重构策略，其中策略包含：1级：即时读取时重构；2级：自定义点位与时间段重构；3级：用户锁定数据优先重构；4级：存储池安全级别，重构优先级级别依次递减；同时重构系统根据当前负载情况自动调整数据恢复速度，在整个数据恢复过程中，业务不中断。</w:t>
            </w:r>
          </w:p>
          <w:p>
            <w:pPr>
              <w:widowControl/>
              <w:spacing w:line="276" w:lineRule="auto"/>
              <w:ind w:firstLine="480" w:firstLineChars="200"/>
              <w:jc w:val="left"/>
              <w:rPr>
                <w:rFonts w:ascii="宋体" w:hAnsi="宋体" w:cs="宋体"/>
                <w:color w:val="000000"/>
                <w:sz w:val="24"/>
              </w:rPr>
            </w:pPr>
            <w:r>
              <w:rPr>
                <w:rFonts w:hint="eastAsia" w:ascii="宋体" w:hAnsi="宋体" w:cs="宋体"/>
                <w:color w:val="000000"/>
                <w:sz w:val="24"/>
              </w:rPr>
              <w:t>支持查看硬盘体检报告、硬盘深度体检和磁盘档案；支持下载单个硬盘或批量硬盘的报告，支持按时间显示硬盘的坏扇区、温度、振动变化趋势的曲线图； 可对系统中的磁盘进行周期性体检、对有风险的磁盘做深度体检，并给出处理意见，对有损坏风险的磁盘，可使用RAID技术进行数据处理（以公安部检测报告为准）</w:t>
            </w:r>
          </w:p>
        </w:tc>
        <w:tc>
          <w:tcPr>
            <w:tcW w:w="709" w:type="dxa"/>
            <w:shd w:val="clear" w:color="000000" w:fill="FFFFFF"/>
            <w:vAlign w:val="center"/>
          </w:tcPr>
          <w:p>
            <w:pPr>
              <w:widowControl/>
              <w:jc w:val="center"/>
              <w:rPr>
                <w:rFonts w:ascii="宋体" w:hAnsi="宋体" w:cs="宋体"/>
                <w:color w:val="000000"/>
                <w:sz w:val="24"/>
              </w:rPr>
            </w:pPr>
            <w:r>
              <w:rPr>
                <w:rFonts w:hint="eastAsia" w:ascii="宋体" w:hAnsi="宋体" w:cs="宋体"/>
                <w:color w:val="000000"/>
                <w:sz w:val="24"/>
              </w:rPr>
              <w:t>套</w:t>
            </w:r>
          </w:p>
        </w:tc>
        <w:tc>
          <w:tcPr>
            <w:tcW w:w="708"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bCs/>
                <w:kern w:val="0"/>
                <w:sz w:val="24"/>
              </w:rPr>
              <w:t>1</w:t>
            </w:r>
          </w:p>
        </w:tc>
        <w:tc>
          <w:tcPr>
            <w:tcW w:w="1276"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sz w:val="24"/>
              </w:rPr>
              <w:t>12970</w:t>
            </w:r>
          </w:p>
        </w:tc>
        <w:tc>
          <w:tcPr>
            <w:tcW w:w="1311" w:type="dxa"/>
            <w:gridSpan w:val="2"/>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bCs/>
                <w:kern w:val="0"/>
                <w:sz w:val="24"/>
              </w:rPr>
              <w:t>12970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3" w:hRule="atLeast"/>
        </w:trPr>
        <w:tc>
          <w:tcPr>
            <w:tcW w:w="567"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kern w:val="0"/>
                <w:sz w:val="24"/>
              </w:rPr>
              <w:t>5</w:t>
            </w:r>
          </w:p>
        </w:tc>
        <w:tc>
          <w:tcPr>
            <w:tcW w:w="1101"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sz w:val="24"/>
              </w:rPr>
              <w:t>云存储运维软件</w:t>
            </w:r>
          </w:p>
        </w:tc>
        <w:tc>
          <w:tcPr>
            <w:tcW w:w="1636"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sz w:val="24"/>
              </w:rPr>
              <w:t>海康威视/大华/宇视</w:t>
            </w:r>
          </w:p>
        </w:tc>
        <w:tc>
          <w:tcPr>
            <w:tcW w:w="7186" w:type="dxa"/>
            <w:shd w:val="clear" w:color="000000" w:fill="FFFFFF"/>
            <w:vAlign w:val="center"/>
          </w:tcPr>
          <w:p>
            <w:pPr>
              <w:widowControl/>
              <w:spacing w:line="276" w:lineRule="auto"/>
              <w:jc w:val="left"/>
              <w:rPr>
                <w:rFonts w:ascii="宋体" w:hAnsi="宋体" w:cs="宋体"/>
                <w:sz w:val="24"/>
              </w:rPr>
            </w:pPr>
            <w:r>
              <w:rPr>
                <w:rFonts w:hint="eastAsia" w:ascii="宋体" w:hAnsi="宋体" w:cs="宋体"/>
                <w:sz w:val="24"/>
              </w:rPr>
              <w:t>视频云运维平台（HikCloud Storage FOM），含对接维护及支持二次开发，统一Iaas层HIK存储资源的管理运维入口，对项目的实体资产和数据资产进行直观可视化数据监控，并结合专家经验封装了智能巡检、常见病点诊断、趋势预警、全景链路、微信/钉钉推送等专业的特色运维应用，提高存储系统透明度、存储系统可靠性、存储业务可靠性，以及日常运维工作效率。 本产品支持部署在通用X86服务器、ARM服务器和虚拟机环境，支持对存储系统的硬件、软件、业务等维度实现信息采集、可视化、监控、巡检、告警、管理、报表等功能，同时提供基于安防行业的智能业务应用和数据分析服务产品特性。</w:t>
            </w:r>
            <w:r>
              <w:rPr>
                <w:rFonts w:hint="eastAsia" w:ascii="宋体" w:hAnsi="宋体" w:cs="宋体"/>
                <w:sz w:val="24"/>
              </w:rPr>
              <w:br w:type="textWrapping"/>
            </w:r>
            <w:r>
              <w:rPr>
                <w:rFonts w:hint="eastAsia" w:ascii="宋体" w:hAnsi="宋体" w:cs="宋体"/>
                <w:color w:val="000000" w:themeColor="text1"/>
                <w:sz w:val="24"/>
              </w:rPr>
              <w:t>▲支持对频繁上报的同一个告警信息进行分析过滤，经过告警分析规则的过滤后，支持在指定时间后再一次上报到运维平台；（以公安部检测报告为准）</w:t>
            </w:r>
            <w:r>
              <w:rPr>
                <w:rFonts w:hint="eastAsia" w:ascii="宋体" w:hAnsi="宋体" w:cs="宋体"/>
                <w:sz w:val="24"/>
              </w:rPr>
              <w:br w:type="textWrapping"/>
            </w:r>
            <w:r>
              <w:rPr>
                <w:rFonts w:hint="eastAsia" w:ascii="宋体" w:hAnsi="宋体" w:cs="宋体"/>
                <w:sz w:val="24"/>
              </w:rPr>
              <w:t xml:space="preserve">支持设备自动发现，支持无需登录设备，即可远程配置IP地址；支持单服务、服务集群一键升级，支持升级包的hash签名加密认证。 </w:t>
            </w:r>
          </w:p>
          <w:p>
            <w:pPr>
              <w:widowControl/>
              <w:spacing w:line="276" w:lineRule="auto"/>
              <w:jc w:val="left"/>
              <w:rPr>
                <w:rFonts w:ascii="宋体" w:hAnsi="宋体" w:cs="宋体"/>
                <w:bCs/>
                <w:kern w:val="0"/>
                <w:sz w:val="24"/>
              </w:rPr>
            </w:pPr>
            <w:r>
              <w:rPr>
                <w:rFonts w:hint="eastAsia" w:ascii="宋体" w:hAnsi="宋体" w:cs="宋体"/>
                <w:sz w:val="24"/>
              </w:rPr>
              <w:t>一键部署：支持在单个运维平台上完成一键自动部署并配置和管理多套云存储系统，只需配置云系统中的节点IP即可。（以公安部检测报告为准）实现信号采集和存储数字化、监控观看网络化、业务分析智能化、操作简便化，以检察机关实际业务需求为导向，满足高清数字信号的采集和存储，使整个系统能够综合集成视频采集、视频存储、视频预览等各应用模块，使之能充分满足检察机关特有业务需求。</w:t>
            </w:r>
          </w:p>
        </w:tc>
        <w:tc>
          <w:tcPr>
            <w:tcW w:w="709" w:type="dxa"/>
            <w:shd w:val="clear" w:color="000000" w:fill="FFFFFF"/>
            <w:vAlign w:val="center"/>
          </w:tcPr>
          <w:p>
            <w:pPr>
              <w:widowControl/>
              <w:jc w:val="center"/>
              <w:rPr>
                <w:rFonts w:ascii="宋体" w:hAnsi="宋体" w:cs="宋体"/>
                <w:color w:val="000000"/>
                <w:sz w:val="24"/>
              </w:rPr>
            </w:pPr>
            <w:r>
              <w:rPr>
                <w:rFonts w:hint="eastAsia" w:ascii="宋体" w:hAnsi="宋体" w:cs="宋体"/>
                <w:color w:val="000000"/>
                <w:sz w:val="24"/>
              </w:rPr>
              <w:t>套</w:t>
            </w:r>
          </w:p>
        </w:tc>
        <w:tc>
          <w:tcPr>
            <w:tcW w:w="708"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bCs/>
                <w:kern w:val="0"/>
                <w:sz w:val="24"/>
              </w:rPr>
              <w:t>1</w:t>
            </w:r>
          </w:p>
        </w:tc>
        <w:tc>
          <w:tcPr>
            <w:tcW w:w="1276"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sz w:val="24"/>
              </w:rPr>
              <w:t>10855</w:t>
            </w:r>
          </w:p>
        </w:tc>
        <w:tc>
          <w:tcPr>
            <w:tcW w:w="1311" w:type="dxa"/>
            <w:gridSpan w:val="2"/>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sz w:val="24"/>
              </w:rPr>
              <w:t>10855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3" w:hRule="atLeast"/>
        </w:trPr>
        <w:tc>
          <w:tcPr>
            <w:tcW w:w="567"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kern w:val="0"/>
                <w:sz w:val="24"/>
              </w:rPr>
              <w:t>6</w:t>
            </w:r>
          </w:p>
        </w:tc>
        <w:tc>
          <w:tcPr>
            <w:tcW w:w="1101"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color w:val="000000"/>
                <w:sz w:val="24"/>
              </w:rPr>
              <w:t>视频安防平台</w:t>
            </w:r>
          </w:p>
        </w:tc>
        <w:tc>
          <w:tcPr>
            <w:tcW w:w="1636" w:type="dxa"/>
            <w:shd w:val="clear" w:color="000000" w:fill="FFFFFF"/>
            <w:vAlign w:val="center"/>
          </w:tcPr>
          <w:p>
            <w:pPr>
              <w:widowControl/>
              <w:spacing w:line="276" w:lineRule="auto"/>
              <w:jc w:val="center"/>
              <w:rPr>
                <w:rFonts w:ascii="宋体" w:hAnsi="宋体" w:cs="宋体"/>
                <w:color w:val="000000"/>
                <w:sz w:val="24"/>
              </w:rPr>
            </w:pPr>
            <w:r>
              <w:rPr>
                <w:rFonts w:hint="eastAsia" w:ascii="宋体" w:hAnsi="宋体" w:cs="宋体"/>
                <w:color w:val="000000"/>
                <w:sz w:val="24"/>
              </w:rPr>
              <w:t>海康威视/大华/宇视</w:t>
            </w:r>
          </w:p>
        </w:tc>
        <w:tc>
          <w:tcPr>
            <w:tcW w:w="7186" w:type="dxa"/>
            <w:shd w:val="clear" w:color="000000" w:fill="FFFFFF"/>
            <w:vAlign w:val="center"/>
          </w:tcPr>
          <w:p>
            <w:pPr>
              <w:widowControl/>
              <w:jc w:val="left"/>
              <w:rPr>
                <w:rFonts w:ascii="宋体" w:hAnsi="宋体" w:cs="宋体"/>
                <w:sz w:val="24"/>
              </w:rPr>
            </w:pPr>
            <w:r>
              <w:rPr>
                <w:rFonts w:hint="eastAsia" w:ascii="宋体" w:hAnsi="宋体" w:cs="宋体"/>
                <w:sz w:val="24"/>
              </w:rPr>
              <w:t>含基础模块+</w:t>
            </w:r>
            <w:r>
              <w:rPr>
                <w:rFonts w:ascii="宋体" w:hAnsi="宋体" w:cs="宋体"/>
                <w:sz w:val="24"/>
              </w:rPr>
              <w:t>2</w:t>
            </w:r>
            <w:r>
              <w:rPr>
                <w:rFonts w:hint="eastAsia" w:ascii="宋体" w:hAnsi="宋体" w:cs="宋体"/>
                <w:sz w:val="24"/>
              </w:rPr>
              <w:t>000路视频授权+视频联网模块，支持扩容，含1台</w:t>
            </w:r>
            <w:r>
              <w:rPr>
                <w:rFonts w:ascii="宋体" w:hAnsi="宋体" w:cs="宋体"/>
                <w:sz w:val="24"/>
              </w:rPr>
              <w:t>64</w:t>
            </w:r>
            <w:r>
              <w:rPr>
                <w:rFonts w:hint="eastAsia" w:ascii="宋体" w:hAnsi="宋体" w:cs="宋体"/>
                <w:sz w:val="24"/>
              </w:rPr>
              <w:t>G服务器</w:t>
            </w:r>
          </w:p>
          <w:p>
            <w:pPr>
              <w:widowControl/>
              <w:spacing w:line="276" w:lineRule="auto"/>
              <w:jc w:val="left"/>
              <w:rPr>
                <w:rFonts w:ascii="宋体" w:hAnsi="宋体" w:cs="宋体"/>
                <w:color w:val="000000"/>
                <w:sz w:val="24"/>
              </w:rPr>
            </w:pPr>
            <w:r>
              <w:rPr>
                <w:rFonts w:hint="eastAsia" w:ascii="宋体" w:hAnsi="宋体" w:cs="宋体"/>
                <w:color w:val="000000"/>
                <w:sz w:val="24"/>
              </w:rPr>
              <w:t>综合安防管理平台，通过接入视频监控、入侵报警、一卡通、停车场、动环等系统的设备，获取边缘节点数据，实现安防信息化集成与联动。以电子地图为载体，融合各系统能力实现丰富的智能应用。该平台适用于全行业通用综合安防业务，对各系统资源进行了整合和集中管理，实现统一部署、统一配置、统一管理和统一调度。</w:t>
            </w:r>
            <w:r>
              <w:rPr>
                <w:rFonts w:hint="eastAsia" w:ascii="宋体" w:hAnsi="宋体" w:cs="宋体"/>
                <w:color w:val="000000"/>
                <w:sz w:val="24"/>
              </w:rPr>
              <w:br w:type="textWrapping"/>
            </w:r>
            <w:r>
              <w:rPr>
                <w:rFonts w:hint="eastAsia" w:ascii="宋体" w:hAnsi="宋体" w:cs="宋体"/>
                <w:color w:val="000000"/>
                <w:sz w:val="24"/>
              </w:rPr>
              <w:t>含运行终端1台：HG7163(16核2.4GHz)×1/32GB DDR4/600GB SAS*2/SAS_HBA/</w:t>
            </w:r>
            <w:r>
              <w:rPr>
                <w:rFonts w:ascii="宋体" w:hAnsi="宋体" w:cs="宋体"/>
                <w:color w:val="000000"/>
                <w:sz w:val="24"/>
              </w:rPr>
              <w:t>2</w:t>
            </w:r>
            <w:r>
              <w:rPr>
                <w:rFonts w:hint="eastAsia" w:ascii="宋体" w:hAnsi="宋体" w:cs="宋体"/>
                <w:color w:val="000000"/>
                <w:sz w:val="24"/>
              </w:rPr>
              <w:t>GbE*2/</w:t>
            </w:r>
            <w:r>
              <w:rPr>
                <w:rFonts w:ascii="宋体" w:hAnsi="宋体" w:cs="宋体"/>
                <w:color w:val="000000"/>
                <w:sz w:val="24"/>
              </w:rPr>
              <w:t>7</w:t>
            </w:r>
            <w:r>
              <w:rPr>
                <w:rFonts w:hint="eastAsia" w:ascii="宋体" w:hAnsi="宋体" w:cs="宋体"/>
                <w:color w:val="000000"/>
                <w:sz w:val="24"/>
              </w:rPr>
              <w:t>50W(1+1)/2U/16DIMM</w:t>
            </w:r>
            <w:r>
              <w:rPr>
                <w:rFonts w:hint="eastAsia" w:ascii="宋体" w:hAnsi="宋体" w:cs="宋体"/>
                <w:color w:val="000000"/>
                <w:sz w:val="24"/>
              </w:rPr>
              <w:br w:type="textWrapping"/>
            </w:r>
            <w:r>
              <w:rPr>
                <w:rFonts w:hint="eastAsia" w:ascii="宋体" w:hAnsi="宋体" w:cs="宋体"/>
                <w:color w:val="000000"/>
                <w:sz w:val="24"/>
              </w:rPr>
              <w:t>支持AD域</w:t>
            </w:r>
            <w:r>
              <w:rPr>
                <w:rFonts w:hint="eastAsia" w:ascii="宋体" w:hAnsi="宋体" w:cs="宋体"/>
                <w:color w:val="000000"/>
                <w:sz w:val="24"/>
              </w:rPr>
              <w:br w:type="textWrapping"/>
            </w:r>
            <w:r>
              <w:rPr>
                <w:rFonts w:hint="eastAsia" w:ascii="宋体" w:hAnsi="宋体" w:cs="宋体"/>
                <w:color w:val="000000"/>
                <w:sz w:val="24"/>
              </w:rPr>
              <w:t>支持根据用户使用习惯自定义配置快捷功能入口，支持首页投放大屏展示，支持最近</w:t>
            </w:r>
            <w:r>
              <w:rPr>
                <w:rFonts w:ascii="宋体" w:hAnsi="宋体" w:cs="宋体"/>
                <w:color w:val="000000"/>
                <w:sz w:val="24"/>
              </w:rPr>
              <w:t>30</w:t>
            </w:r>
            <w:r>
              <w:rPr>
                <w:rFonts w:hint="eastAsia" w:ascii="宋体" w:hAnsi="宋体" w:cs="宋体"/>
                <w:color w:val="000000"/>
                <w:sz w:val="24"/>
              </w:rPr>
              <w:t>天每日的用户活跃数统计</w:t>
            </w:r>
            <w:r>
              <w:rPr>
                <w:rFonts w:hint="eastAsia" w:ascii="宋体" w:hAnsi="宋体" w:cs="宋体"/>
                <w:color w:val="000000"/>
                <w:sz w:val="24"/>
              </w:rPr>
              <w:br w:type="textWrapping"/>
            </w:r>
            <w:r>
              <w:rPr>
                <w:rFonts w:hint="eastAsia" w:ascii="宋体" w:hAnsi="宋体" w:cs="宋体"/>
                <w:color w:val="000000"/>
                <w:sz w:val="24"/>
              </w:rPr>
              <w:t>支持以中心管理服务为核心的网络拓扑结构，支持对系统中的分组、服务器、组件等统计概览、查看</w:t>
            </w:r>
            <w:r>
              <w:rPr>
                <w:rFonts w:hint="eastAsia" w:ascii="宋体" w:hAnsi="宋体" w:cs="宋体"/>
                <w:color w:val="000000"/>
                <w:sz w:val="24"/>
              </w:rPr>
              <w:br w:type="textWrapping"/>
            </w:r>
            <w:r>
              <w:rPr>
                <w:rFonts w:hint="eastAsia" w:ascii="宋体" w:hAnsi="宋体" w:cs="宋体"/>
                <w:color w:val="000000"/>
                <w:sz w:val="24"/>
              </w:rPr>
              <w:t>支持多色彩（红、橙、黄）展示运行告警状态，支持告警统计、概览、处理，支持告警记录查看、查询，支持告警单条、批量处理；支持系统最近7天每日告警数统计，支持评分量化系统监控指数，显示系统运行状态</w:t>
            </w:r>
            <w:r>
              <w:rPr>
                <w:rFonts w:hint="eastAsia" w:ascii="宋体" w:hAnsi="宋体" w:cs="宋体"/>
                <w:color w:val="000000"/>
                <w:sz w:val="24"/>
              </w:rPr>
              <w:br w:type="textWrapping"/>
            </w:r>
            <w:r>
              <w:rPr>
                <w:rFonts w:hint="eastAsia" w:ascii="宋体" w:hAnsi="宋体" w:cs="宋体"/>
                <w:color w:val="000000"/>
                <w:sz w:val="24"/>
              </w:rPr>
              <w:t>支持导航视图管理，对系统内各节点进行查看、增加、删除、修改，展示、查找；支持对系统内所有服务器进行监控，包括名称、IP地址、状态、未处理告警数、CPU使用率、内存使用率、磁盘容量、主机代理版等；支持对系统内所有组件信息进行监控，组件信息包含：组件名称、未处理告警数、所属服务器、最近操作时间、授权状态、维保期限、使用期限等</w:t>
            </w:r>
            <w:r>
              <w:rPr>
                <w:rFonts w:hint="eastAsia" w:ascii="宋体" w:hAnsi="宋体" w:cs="宋体"/>
                <w:color w:val="000000"/>
                <w:sz w:val="24"/>
              </w:rPr>
              <w:br w:type="textWrapping"/>
            </w:r>
            <w:r>
              <w:rPr>
                <w:rFonts w:hint="eastAsia" w:ascii="宋体" w:hAnsi="宋体" w:cs="宋体"/>
                <w:color w:val="000000"/>
                <w:sz w:val="24"/>
              </w:rPr>
              <w:t>支持软件包（组件包、设备驱动包、语言包、皮肤包）上传、搜索查询、移除、更新、查看；支持对服务的参数配置进行查看、修改、下发、查询；支持告警策略配置查看、设置、修改、启用；支持校时配置、启用、停止功能；支持集群管理，支持集群信息查看、添加、删除；支持授权查看管理，支持导入、移除授权文件；支持在线授权激活，支持离线授权激活；支持在线、离线授权反激活</w:t>
            </w:r>
            <w:r>
              <w:rPr>
                <w:rFonts w:hint="eastAsia" w:ascii="宋体" w:hAnsi="宋体" w:cs="宋体"/>
                <w:color w:val="000000"/>
                <w:sz w:val="24"/>
              </w:rPr>
              <w:br w:type="textWrapping"/>
            </w:r>
            <w:r>
              <w:rPr>
                <w:rFonts w:hint="eastAsia" w:ascii="宋体" w:hAnsi="宋体" w:cs="宋体"/>
                <w:color w:val="000000"/>
                <w:sz w:val="24"/>
              </w:rPr>
              <w:t>监控点最多管理容量为1000000路</w:t>
            </w:r>
            <w:r>
              <w:rPr>
                <w:rFonts w:hint="eastAsia" w:ascii="宋体" w:hAnsi="宋体" w:cs="宋体"/>
                <w:color w:val="000000"/>
                <w:sz w:val="24"/>
              </w:rPr>
              <w:br w:type="textWrapping"/>
            </w:r>
            <w:r>
              <w:rPr>
                <w:rFonts w:hint="eastAsia" w:ascii="宋体" w:hAnsi="宋体" w:cs="宋体"/>
                <w:color w:val="000000"/>
                <w:sz w:val="24"/>
              </w:rPr>
              <w:t>支持全景摄像机，实现360度的全景监控，可以对全景区域内的多个目标进行穿越警戒面、区域入侵、进入区域、离开区域行为的检测</w:t>
            </w:r>
            <w:r>
              <w:rPr>
                <w:rFonts w:hint="eastAsia" w:ascii="宋体" w:hAnsi="宋体" w:cs="宋体"/>
                <w:color w:val="000000"/>
                <w:sz w:val="24"/>
              </w:rPr>
              <w:br w:type="textWrapping"/>
            </w:r>
            <w:r>
              <w:rPr>
                <w:rFonts w:hint="eastAsia" w:ascii="宋体" w:hAnsi="宋体" w:cs="宋体"/>
                <w:color w:val="000000"/>
                <w:sz w:val="24"/>
              </w:rPr>
              <w:t>支持设备录像回传至中心存储，可以支持计划回传和手动回传两种模式</w:t>
            </w:r>
            <w:r>
              <w:rPr>
                <w:rFonts w:hint="eastAsia" w:ascii="宋体" w:hAnsi="宋体" w:cs="宋体"/>
                <w:color w:val="000000"/>
                <w:sz w:val="24"/>
              </w:rPr>
              <w:br w:type="textWrapping"/>
            </w:r>
            <w:r>
              <w:rPr>
                <w:rFonts w:hint="eastAsia" w:ascii="宋体" w:hAnsi="宋体" w:cs="宋体"/>
                <w:color w:val="000000"/>
                <w:sz w:val="24"/>
              </w:rPr>
              <w:t xml:space="preserve">  要求支持将视频监控画面、智能监控实时画面、门禁出入信息、出入口进出信息一个客户端页面进行展示.</w:t>
            </w:r>
            <w:r>
              <w:rPr>
                <w:rFonts w:hint="eastAsia" w:ascii="宋体" w:hAnsi="宋体" w:cs="宋体"/>
                <w:color w:val="000000"/>
                <w:sz w:val="24"/>
              </w:rPr>
              <w:br w:type="textWrapping"/>
            </w:r>
            <w:r>
              <w:rPr>
                <w:rFonts w:hint="eastAsia" w:ascii="宋体" w:hAnsi="宋体" w:cs="宋体"/>
                <w:color w:val="000000"/>
                <w:sz w:val="24"/>
              </w:rPr>
              <w:t xml:space="preserve">  支持单个窗口绑定 或移除单个或多资源点 （最多支持绑定</w:t>
            </w:r>
            <w:r>
              <w:rPr>
                <w:rFonts w:ascii="宋体" w:hAnsi="宋体" w:cs="宋体"/>
                <w:color w:val="000000"/>
                <w:sz w:val="24"/>
              </w:rPr>
              <w:t>16</w:t>
            </w:r>
            <w:r>
              <w:rPr>
                <w:rFonts w:hint="eastAsia" w:ascii="宋体" w:hAnsi="宋体" w:cs="宋体"/>
                <w:color w:val="000000"/>
                <w:sz w:val="24"/>
              </w:rPr>
              <w:t>个监控点 +</w:t>
            </w:r>
            <w:r>
              <w:rPr>
                <w:rFonts w:ascii="宋体" w:hAnsi="宋体" w:cs="宋体"/>
                <w:color w:val="000000"/>
                <w:sz w:val="24"/>
              </w:rPr>
              <w:t>32</w:t>
            </w:r>
            <w:r>
              <w:rPr>
                <w:rFonts w:hint="eastAsia" w:ascii="宋体" w:hAnsi="宋体" w:cs="宋体"/>
                <w:color w:val="000000"/>
                <w:sz w:val="24"/>
              </w:rPr>
              <w:t>个门禁或</w:t>
            </w:r>
            <w:r>
              <w:rPr>
                <w:rFonts w:ascii="宋体" w:hAnsi="宋体" w:cs="宋体"/>
                <w:color w:val="000000"/>
                <w:sz w:val="24"/>
              </w:rPr>
              <w:t>16</w:t>
            </w:r>
            <w:r>
              <w:rPr>
                <w:rFonts w:hint="eastAsia" w:ascii="宋体" w:hAnsi="宋体" w:cs="宋体"/>
                <w:color w:val="000000"/>
                <w:sz w:val="24"/>
              </w:rPr>
              <w:t>个监控点 +</w:t>
            </w:r>
            <w:r>
              <w:rPr>
                <w:rFonts w:ascii="宋体" w:hAnsi="宋体" w:cs="宋体"/>
                <w:color w:val="000000"/>
                <w:sz w:val="24"/>
              </w:rPr>
              <w:t>32</w:t>
            </w:r>
            <w:r>
              <w:rPr>
                <w:rFonts w:hint="eastAsia" w:ascii="宋体" w:hAnsi="宋体" w:cs="宋体"/>
                <w:color w:val="000000"/>
                <w:sz w:val="24"/>
              </w:rPr>
              <w:t>个出入口）</w:t>
            </w:r>
            <w:r>
              <w:rPr>
                <w:rFonts w:hint="eastAsia" w:ascii="宋体" w:hAnsi="宋体" w:cs="宋体"/>
                <w:color w:val="000000"/>
                <w:sz w:val="24"/>
              </w:rPr>
              <w:br w:type="textWrapping"/>
            </w:r>
            <w:r>
              <w:rPr>
                <w:rFonts w:hint="eastAsia" w:ascii="宋体" w:hAnsi="宋体" w:cs="宋体"/>
                <w:color w:val="000000"/>
                <w:sz w:val="24"/>
              </w:rPr>
              <w:t>支持查看监控点到视频服务终端平台之间的网络连接和流量情况</w:t>
            </w:r>
          </w:p>
        </w:tc>
        <w:tc>
          <w:tcPr>
            <w:tcW w:w="709" w:type="dxa"/>
            <w:shd w:val="clear" w:color="000000" w:fill="FFFFFF"/>
            <w:vAlign w:val="center"/>
          </w:tcPr>
          <w:p>
            <w:pPr>
              <w:widowControl/>
              <w:spacing w:line="276" w:lineRule="auto"/>
              <w:jc w:val="center"/>
              <w:rPr>
                <w:rFonts w:ascii="宋体" w:hAnsi="宋体" w:cs="宋体"/>
                <w:color w:val="000000"/>
                <w:sz w:val="24"/>
              </w:rPr>
            </w:pPr>
            <w:r>
              <w:rPr>
                <w:rFonts w:hint="eastAsia" w:ascii="宋体" w:hAnsi="宋体" w:cs="宋体"/>
                <w:color w:val="000000"/>
                <w:sz w:val="24"/>
              </w:rPr>
              <w:t>套</w:t>
            </w:r>
          </w:p>
        </w:tc>
        <w:tc>
          <w:tcPr>
            <w:tcW w:w="708" w:type="dxa"/>
            <w:shd w:val="clear" w:color="000000" w:fill="FFFFFF"/>
            <w:vAlign w:val="center"/>
          </w:tcPr>
          <w:p>
            <w:pPr>
              <w:widowControl/>
              <w:spacing w:line="276" w:lineRule="auto"/>
              <w:jc w:val="center"/>
              <w:rPr>
                <w:rFonts w:ascii="宋体" w:hAnsi="宋体" w:cs="宋体"/>
                <w:color w:val="000000"/>
                <w:sz w:val="24"/>
              </w:rPr>
            </w:pPr>
            <w:r>
              <w:rPr>
                <w:rFonts w:hint="eastAsia" w:ascii="宋体" w:hAnsi="宋体" w:cs="宋体"/>
                <w:color w:val="000000"/>
                <w:sz w:val="24"/>
              </w:rPr>
              <w:t>2</w:t>
            </w:r>
          </w:p>
        </w:tc>
        <w:tc>
          <w:tcPr>
            <w:tcW w:w="1276" w:type="dxa"/>
            <w:shd w:val="clear" w:color="000000" w:fill="FFFFFF"/>
            <w:vAlign w:val="center"/>
          </w:tcPr>
          <w:p>
            <w:pPr>
              <w:widowControl/>
              <w:spacing w:line="276" w:lineRule="auto"/>
              <w:jc w:val="center"/>
              <w:rPr>
                <w:rFonts w:ascii="宋体" w:hAnsi="宋体" w:cs="宋体"/>
                <w:color w:val="000000"/>
                <w:sz w:val="24"/>
              </w:rPr>
            </w:pPr>
            <w:r>
              <w:rPr>
                <w:rFonts w:hint="eastAsia" w:ascii="宋体" w:hAnsi="宋体" w:cs="宋体"/>
                <w:sz w:val="24"/>
              </w:rPr>
              <w:t>57800</w:t>
            </w:r>
          </w:p>
        </w:tc>
        <w:tc>
          <w:tcPr>
            <w:tcW w:w="1311" w:type="dxa"/>
            <w:gridSpan w:val="2"/>
            <w:shd w:val="clear" w:color="000000" w:fill="FFFFFF"/>
            <w:vAlign w:val="center"/>
          </w:tcPr>
          <w:p>
            <w:pPr>
              <w:widowControl/>
              <w:spacing w:line="276" w:lineRule="auto"/>
              <w:jc w:val="center"/>
              <w:rPr>
                <w:rFonts w:ascii="宋体" w:hAnsi="宋体" w:cs="宋体"/>
                <w:color w:val="000000"/>
                <w:sz w:val="24"/>
              </w:rPr>
            </w:pPr>
            <w:r>
              <w:rPr>
                <w:rFonts w:hint="eastAsia" w:ascii="宋体" w:hAnsi="宋体" w:cs="宋体"/>
                <w:color w:val="000000"/>
                <w:sz w:val="24"/>
              </w:rPr>
              <w:t xml:space="preserve">115600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5" w:type="dxa"/>
          <w:trHeight w:val="995" w:hRule="atLeast"/>
        </w:trPr>
        <w:tc>
          <w:tcPr>
            <w:tcW w:w="13183" w:type="dxa"/>
            <w:gridSpan w:val="7"/>
            <w:shd w:val="clear" w:color="000000" w:fill="FFFFFF"/>
            <w:vAlign w:val="center"/>
          </w:tcPr>
          <w:p>
            <w:pPr>
              <w:widowControl/>
              <w:spacing w:line="276" w:lineRule="auto"/>
              <w:jc w:val="left"/>
              <w:rPr>
                <w:rFonts w:ascii="宋体" w:hAnsi="宋体" w:cs="宋体"/>
                <w:bCs/>
                <w:kern w:val="0"/>
                <w:sz w:val="24"/>
              </w:rPr>
            </w:pPr>
            <w:r>
              <w:rPr>
                <w:rFonts w:hint="eastAsia" w:ascii="宋体" w:hAnsi="宋体" w:cs="宋体"/>
                <w:bCs/>
                <w:kern w:val="0"/>
                <w:sz w:val="24"/>
              </w:rPr>
              <w:t>合计（大写）：人民币壹佰叁拾贰万肆仟叁佰伍拾伍元整</w:t>
            </w:r>
          </w:p>
        </w:tc>
        <w:tc>
          <w:tcPr>
            <w:tcW w:w="1276" w:type="dxa"/>
            <w:shd w:val="clear" w:color="000000" w:fill="FFFFFF"/>
            <w:vAlign w:val="center"/>
          </w:tcPr>
          <w:p>
            <w:pPr>
              <w:widowControl/>
              <w:spacing w:line="276" w:lineRule="auto"/>
              <w:jc w:val="center"/>
              <w:rPr>
                <w:rFonts w:ascii="宋体" w:hAnsi="宋体" w:cs="宋体"/>
                <w:bCs/>
                <w:kern w:val="0"/>
                <w:sz w:val="24"/>
              </w:rPr>
            </w:pPr>
            <w:r>
              <w:rPr>
                <w:rFonts w:hint="eastAsia" w:ascii="宋体" w:hAnsi="宋体" w:cs="宋体"/>
                <w:bCs/>
                <w:kern w:val="0"/>
                <w:sz w:val="24"/>
              </w:rPr>
              <w:t>1324355</w:t>
            </w:r>
          </w:p>
        </w:tc>
      </w:tr>
    </w:tbl>
    <w:p>
      <w:pPr>
        <w:spacing w:line="360" w:lineRule="auto"/>
        <w:ind w:left="210" w:leftChars="100"/>
        <w:jc w:val="left"/>
        <w:rPr>
          <w:rFonts w:ascii="宋体" w:hAnsi="宋体" w:cs="宋体"/>
          <w:sz w:val="24"/>
        </w:rPr>
        <w:sectPr>
          <w:pgSz w:w="16840" w:h="11907" w:orient="landscape"/>
          <w:pgMar w:top="1134" w:right="1191" w:bottom="1134" w:left="1191" w:header="851" w:footer="851" w:gutter="0"/>
          <w:cols w:space="720" w:num="1"/>
          <w:docGrid w:linePitch="286" w:charSpace="0"/>
        </w:sectPr>
      </w:pPr>
    </w:p>
    <w:p>
      <w:pPr>
        <w:spacing w:line="360" w:lineRule="auto"/>
        <w:ind w:firstLine="424" w:firstLineChars="177"/>
        <w:jc w:val="left"/>
        <w:rPr>
          <w:rFonts w:ascii="宋体" w:hAnsi="宋体" w:cs="宋体"/>
          <w:sz w:val="24"/>
        </w:rPr>
      </w:pPr>
      <w:r>
        <w:rPr>
          <w:rFonts w:hint="eastAsia" w:ascii="宋体" w:hAnsi="宋体" w:cs="宋体"/>
          <w:sz w:val="24"/>
        </w:rPr>
        <w:t>三、售后服务要求</w:t>
      </w:r>
    </w:p>
    <w:p>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color w:val="000000" w:themeColor="text1"/>
          <w:sz w:val="24"/>
          <w:highlight w:val="none"/>
        </w:rPr>
        <w:t>本项目</w:t>
      </w:r>
      <w:r>
        <w:rPr>
          <w:rFonts w:hint="eastAsia" w:ascii="宋体" w:hAnsi="宋体" w:cs="宋体"/>
          <w:color w:val="000000" w:themeColor="text1"/>
          <w:sz w:val="24"/>
          <w:highlight w:val="none"/>
          <w:lang w:eastAsia="zh-CN"/>
        </w:rPr>
        <w:t>需</w:t>
      </w:r>
      <w:r>
        <w:rPr>
          <w:rFonts w:hint="eastAsia" w:ascii="宋体" w:hAnsi="宋体" w:cs="宋体"/>
          <w:color w:val="000000" w:themeColor="text1"/>
          <w:sz w:val="24"/>
          <w:highlight w:val="none"/>
        </w:rPr>
        <w:t>提供≥3年的质保期，</w:t>
      </w:r>
      <w:r>
        <w:rPr>
          <w:rFonts w:hint="eastAsia" w:ascii="宋体" w:hAnsi="宋体" w:cs="宋体"/>
          <w:sz w:val="24"/>
        </w:rPr>
        <w:t>质保期从验收合格交付使用之日起算；质量保修期内提供至少1名工程师跟踪服务支持，确保设备系统稳定运行。 质保期内因不能排除的故障而影响工作的情况每发生一次，其质保期相应延长60天，质保期内因设备本身缺陷造成各种故障应由卖方免费技术服务和维修。</w:t>
      </w:r>
    </w:p>
    <w:p>
      <w:pPr>
        <w:spacing w:line="360" w:lineRule="auto"/>
        <w:ind w:firstLine="480" w:firstLineChars="200"/>
        <w:jc w:val="left"/>
        <w:rPr>
          <w:rFonts w:ascii="宋体" w:hAnsi="宋体" w:cs="宋体"/>
          <w:sz w:val="24"/>
        </w:rPr>
      </w:pPr>
      <w:r>
        <w:rPr>
          <w:rFonts w:hint="eastAsia" w:ascii="宋体" w:hAnsi="宋体" w:cs="宋体"/>
          <w:sz w:val="24"/>
        </w:rPr>
        <w:t>2.在设备（或系统）整个使用期内，中标供应商应确保正常使用，在接到采购单位维修要求后在1小时内响应并提出解决方案，2小时内到达现场对故障进行处理，维修过程中所需材料中标供应商在接到通知后应及时提供，最长不超过24小时必须送达采购单位。若24小时内无法修复的，应48小时内提供相应备用设备并负责安装调试，为此，投标供应商应提供相应承诺书。</w:t>
      </w:r>
    </w:p>
    <w:p>
      <w:pPr>
        <w:spacing w:line="360" w:lineRule="auto"/>
        <w:ind w:firstLine="420"/>
        <w:jc w:val="left"/>
        <w:rPr>
          <w:rFonts w:ascii="宋体" w:hAnsi="宋体" w:cs="宋体"/>
          <w:sz w:val="24"/>
        </w:rPr>
      </w:pPr>
      <w:r>
        <w:rPr>
          <w:rFonts w:hint="eastAsia" w:ascii="宋体" w:hAnsi="宋体" w:cs="宋体"/>
          <w:sz w:val="24"/>
        </w:rPr>
        <w:t>3、供应商在投标文件中须说明保修期内提供的服务计划。</w:t>
      </w:r>
    </w:p>
    <w:p>
      <w:pPr>
        <w:spacing w:line="360" w:lineRule="auto"/>
        <w:ind w:firstLine="420"/>
        <w:jc w:val="left"/>
        <w:rPr>
          <w:rFonts w:ascii="宋体" w:hAnsi="宋体" w:cs="宋体"/>
          <w:sz w:val="24"/>
        </w:rPr>
      </w:pPr>
      <w:r>
        <w:rPr>
          <w:rFonts w:hint="eastAsia" w:ascii="宋体" w:hAnsi="宋体" w:cs="宋体"/>
          <w:sz w:val="24"/>
        </w:rPr>
        <w:t>4、质保期内免收包括材料费在内的各种费用及相关服务费用。质保期满后，供应商提供跟踪服务，若需更换零配件，采购方只承担更换零配件的成本费，其余费用均由中标人承担。</w:t>
      </w:r>
    </w:p>
    <w:p>
      <w:pPr>
        <w:spacing w:line="360" w:lineRule="auto"/>
        <w:ind w:firstLine="420"/>
        <w:jc w:val="left"/>
        <w:rPr>
          <w:rFonts w:ascii="宋体" w:hAnsi="宋体" w:cs="宋体"/>
          <w:sz w:val="24"/>
        </w:rPr>
      </w:pPr>
      <w:r>
        <w:rPr>
          <w:rFonts w:hint="eastAsia" w:ascii="宋体" w:hAnsi="宋体" w:cs="宋体"/>
          <w:sz w:val="24"/>
        </w:rPr>
        <w:t>5、对提供的设备，供应商产品更新换代，不再批量生产该产品，也必须随时有备品零配件供应，并提供终身技术服务。</w:t>
      </w:r>
    </w:p>
    <w:p>
      <w:pPr>
        <w:spacing w:line="360" w:lineRule="auto"/>
        <w:ind w:firstLine="480" w:firstLineChars="200"/>
        <w:jc w:val="left"/>
        <w:rPr>
          <w:rFonts w:ascii="宋体" w:hAnsi="宋体" w:cs="宋体"/>
          <w:sz w:val="24"/>
        </w:rPr>
      </w:pPr>
      <w:r>
        <w:rPr>
          <w:rFonts w:hint="eastAsia" w:ascii="宋体" w:hAnsi="宋体" w:cs="宋体"/>
          <w:sz w:val="24"/>
        </w:rPr>
        <w:t>6、如供应商未达到以上要求，视为违约，采购方有权要求无条件退货，一切费用将由供应商承担。</w:t>
      </w:r>
    </w:p>
    <w:p>
      <w:pPr>
        <w:spacing w:line="360" w:lineRule="auto"/>
        <w:ind w:firstLine="424" w:firstLineChars="177"/>
        <w:jc w:val="left"/>
        <w:rPr>
          <w:rFonts w:ascii="宋体" w:hAnsi="宋体" w:cs="宋体"/>
          <w:sz w:val="24"/>
        </w:rPr>
      </w:pPr>
      <w:r>
        <w:rPr>
          <w:rFonts w:hint="eastAsia" w:ascii="宋体" w:hAnsi="宋体" w:cs="宋体"/>
          <w:sz w:val="24"/>
        </w:rPr>
        <w:t>四、其他商务要求（包装和运输、保险等）</w:t>
      </w:r>
    </w:p>
    <w:p>
      <w:pPr>
        <w:spacing w:line="360" w:lineRule="auto"/>
        <w:ind w:firstLine="420"/>
        <w:jc w:val="left"/>
        <w:rPr>
          <w:rFonts w:ascii="宋体" w:hAnsi="宋体" w:cs="宋体"/>
          <w:sz w:val="24"/>
        </w:rPr>
      </w:pPr>
      <w:r>
        <w:rPr>
          <w:rFonts w:hint="eastAsia" w:ascii="宋体" w:hAnsi="宋体" w:cs="宋体"/>
          <w:sz w:val="24"/>
        </w:rPr>
        <w:t xml:space="preserve"> 1、收货时间：供应商合同签订生效后15日历天内送达并安装完成，如在规定的时间内由于卖方的原因不能送达货物并安装完成通过验收的，中标方应承担由此给用户造成的损失。</w:t>
      </w:r>
    </w:p>
    <w:p>
      <w:pPr>
        <w:spacing w:line="360" w:lineRule="auto"/>
        <w:ind w:firstLine="420"/>
        <w:jc w:val="left"/>
        <w:rPr>
          <w:rFonts w:ascii="宋体" w:hAnsi="宋体" w:cs="宋体"/>
          <w:sz w:val="24"/>
        </w:rPr>
      </w:pPr>
      <w:r>
        <w:rPr>
          <w:rFonts w:hint="eastAsia" w:ascii="宋体" w:hAnsi="宋体" w:cs="宋体"/>
          <w:sz w:val="24"/>
        </w:rPr>
        <w:t>2、收货及安装地点：建德市人民检察院。</w:t>
      </w:r>
    </w:p>
    <w:p>
      <w:pPr>
        <w:spacing w:line="360" w:lineRule="auto"/>
        <w:ind w:firstLine="420"/>
        <w:jc w:val="left"/>
        <w:rPr>
          <w:rFonts w:ascii="宋体" w:hAnsi="宋体" w:cs="宋体"/>
          <w:sz w:val="24"/>
        </w:rPr>
      </w:pPr>
      <w:r>
        <w:rPr>
          <w:rFonts w:hint="eastAsia" w:ascii="宋体" w:hAnsi="宋体" w:cs="宋体"/>
          <w:sz w:val="24"/>
        </w:rPr>
        <w:t>3、中标方免费提供中标货物的安装培训和技术指导。</w:t>
      </w:r>
    </w:p>
    <w:p>
      <w:pPr>
        <w:spacing w:line="360" w:lineRule="auto"/>
        <w:ind w:firstLine="424" w:firstLineChars="177"/>
        <w:jc w:val="left"/>
        <w:rPr>
          <w:rFonts w:ascii="宋体" w:hAnsi="宋体" w:cs="宋体"/>
          <w:sz w:val="24"/>
        </w:rPr>
      </w:pPr>
      <w:r>
        <w:rPr>
          <w:rFonts w:hint="eastAsia" w:ascii="宋体" w:hAnsi="宋体" w:cs="宋体"/>
          <w:sz w:val="24"/>
        </w:rPr>
        <w:t>五、其他要求</w:t>
      </w:r>
    </w:p>
    <w:p>
      <w:pPr>
        <w:spacing w:beforeLines="50" w:line="360" w:lineRule="auto"/>
        <w:ind w:firstLine="480" w:firstLineChars="200"/>
        <w:jc w:val="left"/>
        <w:rPr>
          <w:rFonts w:ascii="宋体" w:hAnsi="宋体" w:cs="宋体"/>
          <w:sz w:val="24"/>
        </w:rPr>
      </w:pPr>
      <w:r>
        <w:rPr>
          <w:rFonts w:hint="eastAsia" w:ascii="宋体" w:hAnsi="宋体" w:cs="宋体"/>
          <w:sz w:val="24"/>
        </w:rPr>
        <w:t>验收：1.中标供应商应提供系统设备的有效检验材料，经采购单位认可后，与合同的技术指标一起作为验收标准。采购单位对系统设备验收合格后，在《建德市政府采购验收反馈表》上签署意见并加盖单位公章。验收中发现系统设备达不到验收标准或合同规定的技术指标，中标供应商必须更换，并负担由此给采购单位造成的损失，直到验收合格为止。</w:t>
      </w:r>
    </w:p>
    <w:p>
      <w:pPr>
        <w:spacing w:beforeLines="50" w:line="360" w:lineRule="auto"/>
        <w:ind w:firstLine="424" w:firstLineChars="177"/>
        <w:jc w:val="left"/>
        <w:rPr>
          <w:rFonts w:ascii="宋体" w:hAnsi="宋体" w:cs="宋体"/>
          <w:sz w:val="24"/>
        </w:rPr>
      </w:pPr>
      <w:r>
        <w:rPr>
          <w:rFonts w:hint="eastAsia" w:ascii="宋体" w:hAnsi="宋体" w:cs="宋体"/>
          <w:sz w:val="24"/>
        </w:rPr>
        <w:t>2. 投标供应商应于投标书中提供系统设备的验收标准和检测办法，并在验收中提供买方认可的相应检测手段，验收标准应符合中国有关的国家、地方、行业的标准，如若中标，经采购单位确认后作为验收的依据。</w:t>
      </w:r>
    </w:p>
    <w:p>
      <w:pPr>
        <w:spacing w:line="360" w:lineRule="auto"/>
        <w:ind w:firstLine="424" w:firstLineChars="177"/>
        <w:outlineLvl w:val="0"/>
        <w:rPr>
          <w:rFonts w:ascii="宋体" w:hAnsi="宋体" w:cs="宋体"/>
          <w:b/>
          <w:sz w:val="36"/>
          <w:szCs w:val="36"/>
        </w:rPr>
      </w:pPr>
      <w:r>
        <w:rPr>
          <w:rFonts w:hint="eastAsia" w:ascii="宋体" w:hAnsi="宋体" w:cs="宋体"/>
          <w:sz w:val="24"/>
        </w:rPr>
        <w:t>3. 验收费用由中标供应商承担。</w:t>
      </w:r>
    </w:p>
    <w:p>
      <w:pPr>
        <w:spacing w:line="360" w:lineRule="auto"/>
        <w:jc w:val="center"/>
        <w:outlineLvl w:val="0"/>
        <w:rPr>
          <w:rFonts w:ascii="宋体" w:hAnsi="宋体" w:cs="宋体"/>
          <w:b/>
          <w:sz w:val="36"/>
          <w:szCs w:val="36"/>
        </w:rPr>
      </w:pPr>
    </w:p>
    <w:p>
      <w:pPr>
        <w:spacing w:line="360" w:lineRule="auto"/>
        <w:jc w:val="center"/>
        <w:outlineLvl w:val="0"/>
        <w:rPr>
          <w:rFonts w:ascii="宋体" w:hAnsi="宋体" w:cs="宋体"/>
          <w:b/>
          <w:sz w:val="36"/>
          <w:szCs w:val="36"/>
        </w:rPr>
      </w:pPr>
    </w:p>
    <w:p>
      <w:pPr>
        <w:spacing w:line="360" w:lineRule="auto"/>
        <w:jc w:val="center"/>
        <w:outlineLvl w:val="0"/>
        <w:rPr>
          <w:rFonts w:ascii="宋体" w:hAnsi="宋体" w:cs="宋体"/>
          <w:b/>
          <w:sz w:val="36"/>
          <w:szCs w:val="36"/>
        </w:rPr>
      </w:pPr>
    </w:p>
    <w:p>
      <w:pPr>
        <w:spacing w:line="360" w:lineRule="auto"/>
        <w:jc w:val="center"/>
        <w:outlineLvl w:val="0"/>
        <w:rPr>
          <w:rFonts w:ascii="宋体" w:hAnsi="宋体" w:cs="宋体"/>
          <w:b/>
          <w:sz w:val="36"/>
          <w:szCs w:val="36"/>
        </w:rPr>
      </w:pPr>
    </w:p>
    <w:p>
      <w:pPr>
        <w:spacing w:line="360" w:lineRule="auto"/>
        <w:jc w:val="center"/>
        <w:outlineLvl w:val="0"/>
        <w:rPr>
          <w:rFonts w:ascii="宋体" w:hAnsi="宋体" w:cs="宋体"/>
          <w:b/>
          <w:sz w:val="36"/>
          <w:szCs w:val="36"/>
        </w:rPr>
      </w:pPr>
    </w:p>
    <w:p>
      <w:pPr>
        <w:spacing w:line="360" w:lineRule="auto"/>
        <w:jc w:val="center"/>
        <w:outlineLvl w:val="0"/>
        <w:rPr>
          <w:rFonts w:ascii="宋体" w:hAnsi="宋体" w:cs="宋体"/>
          <w:b/>
          <w:sz w:val="36"/>
          <w:szCs w:val="36"/>
        </w:rPr>
      </w:pPr>
    </w:p>
    <w:p>
      <w:pPr>
        <w:spacing w:line="360" w:lineRule="auto"/>
        <w:jc w:val="center"/>
        <w:outlineLvl w:val="0"/>
        <w:rPr>
          <w:rFonts w:ascii="宋体" w:hAnsi="宋体" w:cs="宋体"/>
          <w:b/>
          <w:sz w:val="36"/>
          <w:szCs w:val="36"/>
        </w:rPr>
      </w:pPr>
    </w:p>
    <w:p>
      <w:pPr>
        <w:spacing w:line="360" w:lineRule="auto"/>
        <w:jc w:val="center"/>
        <w:outlineLvl w:val="0"/>
        <w:rPr>
          <w:rFonts w:ascii="宋体" w:hAnsi="宋体" w:cs="宋体"/>
          <w:b/>
          <w:sz w:val="36"/>
          <w:szCs w:val="36"/>
        </w:rPr>
      </w:pPr>
    </w:p>
    <w:p>
      <w:pPr>
        <w:spacing w:line="360" w:lineRule="auto"/>
        <w:jc w:val="center"/>
        <w:outlineLvl w:val="0"/>
        <w:rPr>
          <w:rFonts w:ascii="宋体" w:hAnsi="宋体" w:cs="宋体"/>
          <w:b/>
          <w:sz w:val="36"/>
          <w:szCs w:val="36"/>
        </w:rPr>
      </w:pPr>
    </w:p>
    <w:p>
      <w:pPr>
        <w:spacing w:line="360" w:lineRule="auto"/>
        <w:jc w:val="center"/>
        <w:outlineLvl w:val="0"/>
        <w:rPr>
          <w:rFonts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32" w:name="_Toc184310296"/>
      <w:bookmarkEnd w:id="32"/>
      <w:bookmarkStart w:id="33" w:name="_Toc184312091"/>
      <w:bookmarkEnd w:id="33"/>
      <w:bookmarkStart w:id="34" w:name="_Toc184308050"/>
      <w:bookmarkEnd w:id="34"/>
      <w:bookmarkStart w:id="35" w:name="_Toc184314456"/>
      <w:bookmarkEnd w:id="35"/>
      <w:bookmarkStart w:id="36" w:name="_Toc184313243"/>
      <w:bookmarkEnd w:id="36"/>
      <w:bookmarkStart w:id="37" w:name="_Toc184313262"/>
      <w:bookmarkEnd w:id="37"/>
      <w:bookmarkStart w:id="38" w:name="_Toc184314429"/>
      <w:bookmarkEnd w:id="38"/>
      <w:bookmarkStart w:id="39" w:name="_Toc184313291"/>
      <w:bookmarkEnd w:id="39"/>
      <w:bookmarkStart w:id="40" w:name="_Toc184312084"/>
      <w:bookmarkEnd w:id="40"/>
      <w:bookmarkStart w:id="41" w:name="_Toc184314438"/>
      <w:bookmarkEnd w:id="41"/>
      <w:bookmarkStart w:id="42" w:name="_Toc184312082"/>
      <w:bookmarkEnd w:id="42"/>
      <w:bookmarkStart w:id="43" w:name="_Toc184308061"/>
      <w:bookmarkEnd w:id="43"/>
      <w:bookmarkStart w:id="44" w:name="_Toc184314470"/>
      <w:bookmarkEnd w:id="44"/>
      <w:bookmarkStart w:id="45" w:name="_Toc184310328"/>
      <w:bookmarkEnd w:id="45"/>
      <w:bookmarkStart w:id="46" w:name="_Toc184312110"/>
      <w:bookmarkEnd w:id="46"/>
      <w:bookmarkStart w:id="47" w:name="_Toc184310322"/>
      <w:bookmarkEnd w:id="47"/>
      <w:bookmarkStart w:id="48" w:name="_Toc184308103"/>
      <w:bookmarkEnd w:id="48"/>
      <w:bookmarkStart w:id="49" w:name="_Toc184313306"/>
      <w:bookmarkEnd w:id="49"/>
      <w:bookmarkStart w:id="50" w:name="_Toc184314454"/>
      <w:bookmarkEnd w:id="50"/>
      <w:bookmarkStart w:id="51" w:name="_Toc184314444"/>
      <w:bookmarkEnd w:id="51"/>
      <w:bookmarkStart w:id="52" w:name="_Toc184312129"/>
      <w:bookmarkEnd w:id="52"/>
      <w:bookmarkStart w:id="53" w:name="_Toc184308100"/>
      <w:bookmarkEnd w:id="53"/>
      <w:bookmarkStart w:id="54" w:name="_Toc184314414"/>
      <w:bookmarkEnd w:id="54"/>
      <w:bookmarkStart w:id="55" w:name="_Toc184310314"/>
      <w:bookmarkEnd w:id="55"/>
      <w:bookmarkStart w:id="56" w:name="_Toc184308106"/>
      <w:bookmarkEnd w:id="56"/>
      <w:bookmarkStart w:id="57" w:name="_Toc184314449"/>
      <w:bookmarkEnd w:id="57"/>
      <w:bookmarkStart w:id="58" w:name="_Toc184312127"/>
      <w:bookmarkEnd w:id="58"/>
      <w:bookmarkStart w:id="59" w:name="_Toc184308094"/>
      <w:bookmarkEnd w:id="59"/>
      <w:bookmarkStart w:id="60" w:name="_Toc184310301"/>
      <w:bookmarkEnd w:id="60"/>
      <w:bookmarkStart w:id="61" w:name="_Toc184314442"/>
      <w:bookmarkEnd w:id="61"/>
      <w:bookmarkStart w:id="62" w:name="_Toc184314482"/>
      <w:bookmarkEnd w:id="62"/>
      <w:bookmarkStart w:id="63" w:name="_Toc184314445"/>
      <w:bookmarkEnd w:id="63"/>
      <w:bookmarkStart w:id="64" w:name="_Toc184314411"/>
      <w:bookmarkEnd w:id="64"/>
      <w:bookmarkStart w:id="65" w:name="_Toc184312081"/>
      <w:bookmarkEnd w:id="65"/>
      <w:bookmarkStart w:id="66" w:name="_Toc184312067"/>
      <w:bookmarkEnd w:id="66"/>
      <w:bookmarkStart w:id="67" w:name="_Toc184313301"/>
      <w:bookmarkEnd w:id="67"/>
      <w:bookmarkStart w:id="68" w:name="_Toc184308108"/>
      <w:bookmarkEnd w:id="68"/>
      <w:bookmarkStart w:id="69" w:name="_Toc184314431"/>
      <w:bookmarkEnd w:id="69"/>
      <w:bookmarkStart w:id="70" w:name="_Toc184314447"/>
      <w:bookmarkEnd w:id="70"/>
      <w:bookmarkStart w:id="71" w:name="_Toc184314472"/>
      <w:bookmarkEnd w:id="71"/>
      <w:bookmarkStart w:id="72" w:name="_Toc184312071"/>
      <w:bookmarkEnd w:id="72"/>
      <w:bookmarkStart w:id="73" w:name="_Toc184312099"/>
      <w:bookmarkEnd w:id="73"/>
      <w:bookmarkStart w:id="74" w:name="_Toc184314450"/>
      <w:bookmarkEnd w:id="74"/>
      <w:bookmarkStart w:id="75" w:name="_Toc184312086"/>
      <w:bookmarkEnd w:id="75"/>
      <w:bookmarkStart w:id="76" w:name="_Toc184313277"/>
      <w:bookmarkEnd w:id="76"/>
      <w:bookmarkStart w:id="77" w:name="_Toc184313261"/>
      <w:bookmarkEnd w:id="77"/>
      <w:bookmarkStart w:id="78" w:name="_Toc184313259"/>
      <w:bookmarkEnd w:id="78"/>
      <w:bookmarkStart w:id="79" w:name="_Toc184314428"/>
      <w:bookmarkEnd w:id="79"/>
      <w:bookmarkStart w:id="80" w:name="_Toc184313244"/>
      <w:bookmarkEnd w:id="80"/>
      <w:bookmarkStart w:id="81" w:name="_Toc184313266"/>
      <w:bookmarkEnd w:id="81"/>
      <w:bookmarkStart w:id="82" w:name="_Toc184310285"/>
      <w:bookmarkEnd w:id="82"/>
      <w:bookmarkStart w:id="83" w:name="_Toc184310279"/>
      <w:bookmarkEnd w:id="83"/>
      <w:bookmarkStart w:id="84" w:name="_Toc184314433"/>
      <w:bookmarkEnd w:id="84"/>
      <w:bookmarkStart w:id="85" w:name="_Toc184312092"/>
      <w:bookmarkEnd w:id="85"/>
      <w:bookmarkStart w:id="86" w:name="_Toc184308086"/>
      <w:bookmarkEnd w:id="86"/>
      <w:bookmarkStart w:id="87" w:name="_Toc184310272"/>
      <w:bookmarkEnd w:id="87"/>
      <w:bookmarkStart w:id="88" w:name="_Toc184308042"/>
      <w:bookmarkEnd w:id="88"/>
      <w:bookmarkStart w:id="89" w:name="_Toc184312138"/>
      <w:bookmarkEnd w:id="89"/>
      <w:bookmarkStart w:id="90" w:name="_Toc184310283"/>
      <w:bookmarkEnd w:id="90"/>
      <w:bookmarkStart w:id="91" w:name="_Toc184313238"/>
      <w:bookmarkEnd w:id="91"/>
      <w:bookmarkStart w:id="92" w:name="_Toc184312075"/>
      <w:bookmarkEnd w:id="92"/>
      <w:bookmarkStart w:id="93" w:name="_Toc184312070"/>
      <w:bookmarkEnd w:id="93"/>
      <w:bookmarkStart w:id="94" w:name="_Toc184308041"/>
      <w:bookmarkEnd w:id="94"/>
      <w:bookmarkStart w:id="95" w:name="_Toc184312095"/>
      <w:bookmarkEnd w:id="95"/>
      <w:bookmarkStart w:id="96" w:name="_Toc184310324"/>
      <w:bookmarkEnd w:id="96"/>
      <w:bookmarkStart w:id="97" w:name="_Toc184314477"/>
      <w:bookmarkEnd w:id="97"/>
      <w:bookmarkStart w:id="98" w:name="_Toc184314426"/>
      <w:bookmarkEnd w:id="98"/>
      <w:bookmarkStart w:id="99" w:name="_Toc184308067"/>
      <w:bookmarkEnd w:id="99"/>
      <w:bookmarkStart w:id="100" w:name="_Toc184312104"/>
      <w:bookmarkEnd w:id="100"/>
      <w:bookmarkStart w:id="101" w:name="_Toc184313283"/>
      <w:bookmarkEnd w:id="101"/>
      <w:bookmarkStart w:id="102" w:name="_Toc184314474"/>
      <w:bookmarkEnd w:id="102"/>
      <w:bookmarkStart w:id="103" w:name="_Toc184313272"/>
      <w:bookmarkEnd w:id="103"/>
      <w:bookmarkStart w:id="104" w:name="_Toc184312079"/>
      <w:bookmarkEnd w:id="104"/>
      <w:bookmarkStart w:id="105" w:name="_Toc184310282"/>
      <w:bookmarkEnd w:id="105"/>
      <w:bookmarkStart w:id="106" w:name="_Toc184310293"/>
      <w:bookmarkEnd w:id="106"/>
      <w:bookmarkStart w:id="107" w:name="_Toc184314473"/>
      <w:bookmarkEnd w:id="107"/>
      <w:bookmarkStart w:id="108" w:name="_Toc184308045"/>
      <w:bookmarkEnd w:id="108"/>
      <w:bookmarkStart w:id="109" w:name="_Toc184310289"/>
      <w:bookmarkEnd w:id="109"/>
      <w:bookmarkStart w:id="110" w:name="_Toc184310333"/>
      <w:bookmarkEnd w:id="110"/>
      <w:bookmarkStart w:id="111" w:name="_Toc184313254"/>
      <w:bookmarkEnd w:id="111"/>
      <w:bookmarkStart w:id="112" w:name="_Toc184313282"/>
      <w:bookmarkEnd w:id="112"/>
      <w:bookmarkStart w:id="113" w:name="_Toc184314466"/>
      <w:bookmarkEnd w:id="113"/>
      <w:bookmarkStart w:id="114" w:name="_Toc184312111"/>
      <w:bookmarkEnd w:id="114"/>
      <w:bookmarkStart w:id="115" w:name="_Toc184310312"/>
      <w:bookmarkEnd w:id="115"/>
      <w:bookmarkStart w:id="116" w:name="_Toc184312077"/>
      <w:bookmarkEnd w:id="116"/>
      <w:bookmarkStart w:id="117" w:name="_Toc184308057"/>
      <w:bookmarkEnd w:id="117"/>
      <w:bookmarkStart w:id="118" w:name="_Toc184312120"/>
      <w:bookmarkEnd w:id="118"/>
      <w:bookmarkStart w:id="119" w:name="_Toc184308087"/>
      <w:bookmarkEnd w:id="119"/>
      <w:bookmarkStart w:id="120" w:name="_Toc184312093"/>
      <w:bookmarkEnd w:id="120"/>
      <w:bookmarkStart w:id="121" w:name="_Toc184313284"/>
      <w:bookmarkEnd w:id="121"/>
      <w:bookmarkStart w:id="122" w:name="_Toc184308066"/>
      <w:bookmarkEnd w:id="122"/>
      <w:bookmarkStart w:id="123" w:name="_Toc184313295"/>
      <w:bookmarkEnd w:id="123"/>
      <w:bookmarkStart w:id="124" w:name="_Toc184310274"/>
      <w:bookmarkEnd w:id="124"/>
      <w:bookmarkStart w:id="125" w:name="_Toc184314415"/>
      <w:bookmarkEnd w:id="125"/>
      <w:bookmarkStart w:id="126" w:name="_Toc184312100"/>
      <w:bookmarkEnd w:id="126"/>
      <w:bookmarkStart w:id="127" w:name="_Toc184310306"/>
      <w:bookmarkEnd w:id="127"/>
      <w:bookmarkStart w:id="128" w:name="_Toc184308044"/>
      <w:bookmarkEnd w:id="128"/>
      <w:bookmarkStart w:id="129" w:name="_Toc184314457"/>
      <w:bookmarkEnd w:id="129"/>
      <w:bookmarkStart w:id="130" w:name="_Toc184314460"/>
      <w:bookmarkEnd w:id="130"/>
      <w:bookmarkStart w:id="131" w:name="_Toc184314421"/>
      <w:bookmarkEnd w:id="131"/>
      <w:bookmarkStart w:id="132" w:name="_Toc184313275"/>
      <w:bookmarkEnd w:id="132"/>
      <w:bookmarkStart w:id="133" w:name="_Toc184312115"/>
      <w:bookmarkEnd w:id="133"/>
      <w:bookmarkStart w:id="134" w:name="_Toc184310344"/>
      <w:bookmarkEnd w:id="134"/>
      <w:bookmarkStart w:id="135" w:name="_Toc184308089"/>
      <w:bookmarkEnd w:id="135"/>
      <w:bookmarkStart w:id="136" w:name="_Toc184310341"/>
      <w:bookmarkEnd w:id="136"/>
      <w:bookmarkStart w:id="137" w:name="_Toc184308079"/>
      <w:bookmarkEnd w:id="137"/>
      <w:bookmarkStart w:id="138" w:name="_Toc184313264"/>
      <w:bookmarkEnd w:id="138"/>
      <w:bookmarkStart w:id="139" w:name="_Toc184312089"/>
      <w:bookmarkEnd w:id="139"/>
      <w:bookmarkStart w:id="140" w:name="_Toc184314432"/>
      <w:bookmarkEnd w:id="140"/>
      <w:bookmarkStart w:id="141" w:name="_Toc184312102"/>
      <w:bookmarkEnd w:id="141"/>
      <w:bookmarkStart w:id="142" w:name="_Toc184314418"/>
      <w:bookmarkEnd w:id="142"/>
      <w:bookmarkStart w:id="143" w:name="_Toc184310284"/>
      <w:bookmarkEnd w:id="143"/>
      <w:bookmarkStart w:id="144" w:name="_Toc184312139"/>
      <w:bookmarkEnd w:id="144"/>
      <w:bookmarkStart w:id="145" w:name="_Toc184308062"/>
      <w:bookmarkEnd w:id="145"/>
      <w:bookmarkStart w:id="146" w:name="_Toc184310319"/>
      <w:bookmarkEnd w:id="146"/>
      <w:bookmarkStart w:id="147" w:name="_Toc184314467"/>
      <w:bookmarkEnd w:id="147"/>
      <w:bookmarkStart w:id="148" w:name="_Toc184313285"/>
      <w:bookmarkEnd w:id="148"/>
      <w:bookmarkStart w:id="149" w:name="_Toc184314448"/>
      <w:bookmarkEnd w:id="149"/>
      <w:bookmarkStart w:id="150" w:name="_Toc184313250"/>
      <w:bookmarkEnd w:id="150"/>
      <w:bookmarkStart w:id="151" w:name="_Toc184310329"/>
      <w:bookmarkEnd w:id="151"/>
      <w:bookmarkStart w:id="152" w:name="_Toc184310310"/>
      <w:bookmarkEnd w:id="152"/>
      <w:bookmarkStart w:id="153" w:name="_Toc184308080"/>
      <w:bookmarkEnd w:id="153"/>
      <w:bookmarkStart w:id="154" w:name="_Toc184308070"/>
      <w:bookmarkEnd w:id="154"/>
      <w:bookmarkStart w:id="155" w:name="_Toc184308095"/>
      <w:bookmarkEnd w:id="155"/>
      <w:bookmarkStart w:id="156" w:name="_Toc184312122"/>
      <w:bookmarkEnd w:id="156"/>
      <w:bookmarkStart w:id="157" w:name="_Toc184313289"/>
      <w:bookmarkEnd w:id="157"/>
      <w:bookmarkStart w:id="158" w:name="_Toc184308059"/>
      <w:bookmarkEnd w:id="158"/>
      <w:bookmarkStart w:id="159" w:name="_Toc184313271"/>
      <w:bookmarkEnd w:id="159"/>
      <w:bookmarkStart w:id="160" w:name="_Toc184314410"/>
      <w:bookmarkEnd w:id="160"/>
      <w:bookmarkStart w:id="161" w:name="_Toc184313252"/>
      <w:bookmarkEnd w:id="161"/>
      <w:bookmarkStart w:id="162" w:name="_Toc184308101"/>
      <w:bookmarkEnd w:id="162"/>
      <w:bookmarkStart w:id="163" w:name="_Toc184310299"/>
      <w:bookmarkEnd w:id="163"/>
      <w:bookmarkStart w:id="164" w:name="_Toc184313274"/>
      <w:bookmarkEnd w:id="164"/>
      <w:bookmarkStart w:id="165" w:name="_Toc184308071"/>
      <w:bookmarkEnd w:id="165"/>
      <w:bookmarkStart w:id="166" w:name="_Toc184310303"/>
      <w:bookmarkEnd w:id="166"/>
      <w:bookmarkStart w:id="167" w:name="_Toc184312085"/>
      <w:bookmarkEnd w:id="167"/>
      <w:bookmarkStart w:id="168" w:name="_Toc184314420"/>
      <w:bookmarkEnd w:id="168"/>
      <w:bookmarkStart w:id="169" w:name="_Toc184314461"/>
      <w:bookmarkEnd w:id="169"/>
      <w:bookmarkStart w:id="170" w:name="_Toc184314440"/>
      <w:bookmarkEnd w:id="170"/>
      <w:bookmarkStart w:id="171" w:name="_Toc184310316"/>
      <w:bookmarkEnd w:id="171"/>
      <w:bookmarkStart w:id="172" w:name="_Toc184310300"/>
      <w:bookmarkEnd w:id="172"/>
      <w:bookmarkStart w:id="173" w:name="_Toc184310311"/>
      <w:bookmarkEnd w:id="173"/>
      <w:bookmarkStart w:id="174" w:name="_Toc184314478"/>
      <w:bookmarkEnd w:id="174"/>
      <w:bookmarkStart w:id="175" w:name="_Toc184312105"/>
      <w:bookmarkEnd w:id="175"/>
      <w:bookmarkStart w:id="176" w:name="_Toc184310339"/>
      <w:bookmarkEnd w:id="176"/>
      <w:bookmarkStart w:id="177" w:name="_Toc184313280"/>
      <w:bookmarkEnd w:id="177"/>
      <w:bookmarkStart w:id="178" w:name="_Toc184308039"/>
      <w:bookmarkEnd w:id="178"/>
      <w:bookmarkStart w:id="179" w:name="_Toc184310295"/>
      <w:bookmarkEnd w:id="179"/>
      <w:bookmarkStart w:id="180" w:name="_Toc184312074"/>
      <w:bookmarkEnd w:id="180"/>
      <w:bookmarkStart w:id="181" w:name="_Toc184310277"/>
      <w:bookmarkEnd w:id="181"/>
      <w:bookmarkStart w:id="182" w:name="_Toc184312103"/>
      <w:bookmarkEnd w:id="182"/>
      <w:bookmarkStart w:id="183" w:name="_Toc184313292"/>
      <w:bookmarkEnd w:id="183"/>
      <w:bookmarkStart w:id="184" w:name="_Toc184308097"/>
      <w:bookmarkEnd w:id="184"/>
      <w:bookmarkStart w:id="185" w:name="_Toc184314416"/>
      <w:bookmarkEnd w:id="185"/>
      <w:bookmarkStart w:id="186" w:name="_Toc184314441"/>
      <w:bookmarkEnd w:id="186"/>
      <w:bookmarkStart w:id="187" w:name="_Toc184308054"/>
      <w:bookmarkEnd w:id="187"/>
      <w:bookmarkStart w:id="188" w:name="_Toc184314481"/>
      <w:bookmarkEnd w:id="188"/>
      <w:bookmarkStart w:id="189" w:name="_Toc184312125"/>
      <w:bookmarkEnd w:id="189"/>
      <w:bookmarkStart w:id="190" w:name="_Toc184314465"/>
      <w:bookmarkEnd w:id="190"/>
      <w:bookmarkStart w:id="191" w:name="_Toc184308036"/>
      <w:bookmarkEnd w:id="191"/>
      <w:bookmarkStart w:id="192" w:name="_Toc184308104"/>
      <w:bookmarkEnd w:id="192"/>
      <w:bookmarkStart w:id="193" w:name="_Toc184308040"/>
      <w:bookmarkEnd w:id="193"/>
      <w:bookmarkStart w:id="194" w:name="_Toc184314463"/>
      <w:bookmarkEnd w:id="194"/>
      <w:bookmarkStart w:id="195" w:name="_Toc184308046"/>
      <w:bookmarkEnd w:id="195"/>
      <w:bookmarkStart w:id="196" w:name="_Toc184313269"/>
      <w:bookmarkEnd w:id="196"/>
      <w:bookmarkStart w:id="197" w:name="_Toc184308037"/>
      <w:bookmarkEnd w:id="197"/>
      <w:bookmarkStart w:id="198" w:name="_Toc184310327"/>
      <w:bookmarkEnd w:id="198"/>
      <w:bookmarkStart w:id="199" w:name="_Toc184310280"/>
      <w:bookmarkEnd w:id="199"/>
      <w:bookmarkStart w:id="200" w:name="_Toc184310325"/>
      <w:bookmarkEnd w:id="200"/>
      <w:bookmarkStart w:id="201" w:name="_Toc184308072"/>
      <w:bookmarkEnd w:id="201"/>
      <w:bookmarkStart w:id="202" w:name="_Toc184313290"/>
      <w:bookmarkEnd w:id="202"/>
      <w:bookmarkStart w:id="203" w:name="_Toc184313286"/>
      <w:bookmarkEnd w:id="203"/>
      <w:bookmarkStart w:id="204" w:name="_Toc184313242"/>
      <w:bookmarkEnd w:id="204"/>
      <w:bookmarkStart w:id="205" w:name="_Toc184313297"/>
      <w:bookmarkEnd w:id="205"/>
      <w:bookmarkStart w:id="206" w:name="_Toc184313268"/>
      <w:bookmarkEnd w:id="206"/>
      <w:bookmarkStart w:id="207" w:name="_Toc184313263"/>
      <w:bookmarkEnd w:id="207"/>
      <w:bookmarkStart w:id="208" w:name="_Toc184310332"/>
      <w:bookmarkEnd w:id="208"/>
      <w:bookmarkStart w:id="209" w:name="_Toc184312096"/>
      <w:bookmarkEnd w:id="209"/>
      <w:bookmarkStart w:id="210" w:name="_Toc184308047"/>
      <w:bookmarkEnd w:id="210"/>
      <w:bookmarkStart w:id="211" w:name="_Toc184313278"/>
      <w:bookmarkEnd w:id="211"/>
      <w:bookmarkStart w:id="212" w:name="_Toc184308074"/>
      <w:bookmarkEnd w:id="212"/>
      <w:bookmarkStart w:id="213" w:name="_Toc184314423"/>
      <w:bookmarkEnd w:id="213"/>
      <w:bookmarkStart w:id="214" w:name="_Toc184310307"/>
      <w:bookmarkEnd w:id="214"/>
      <w:bookmarkStart w:id="215" w:name="_Toc184313258"/>
      <w:bookmarkEnd w:id="215"/>
      <w:bookmarkStart w:id="216" w:name="_Toc184310276"/>
      <w:bookmarkEnd w:id="216"/>
      <w:bookmarkStart w:id="217" w:name="_Toc184313279"/>
      <w:bookmarkEnd w:id="217"/>
      <w:bookmarkStart w:id="218" w:name="_Toc184310330"/>
      <w:bookmarkEnd w:id="218"/>
      <w:bookmarkStart w:id="219" w:name="_Toc184310275"/>
      <w:bookmarkEnd w:id="219"/>
      <w:bookmarkStart w:id="220" w:name="_Toc184312118"/>
      <w:bookmarkEnd w:id="220"/>
      <w:bookmarkStart w:id="221" w:name="_Toc184310343"/>
      <w:bookmarkEnd w:id="221"/>
      <w:bookmarkStart w:id="222" w:name="_Toc184310298"/>
      <w:bookmarkEnd w:id="222"/>
      <w:bookmarkStart w:id="223" w:name="_Toc184310313"/>
      <w:bookmarkEnd w:id="223"/>
      <w:bookmarkStart w:id="224" w:name="_Toc184313294"/>
      <w:bookmarkEnd w:id="224"/>
      <w:bookmarkStart w:id="225" w:name="_Toc184308053"/>
      <w:bookmarkEnd w:id="225"/>
      <w:bookmarkStart w:id="226" w:name="_Toc184310338"/>
      <w:bookmarkEnd w:id="226"/>
      <w:bookmarkStart w:id="227" w:name="_Toc184310318"/>
      <w:bookmarkEnd w:id="227"/>
      <w:bookmarkStart w:id="228" w:name="_Toc184314437"/>
      <w:bookmarkEnd w:id="228"/>
      <w:bookmarkStart w:id="229" w:name="_Toc184310315"/>
      <w:bookmarkEnd w:id="229"/>
      <w:bookmarkStart w:id="230" w:name="_Toc184313265"/>
      <w:bookmarkEnd w:id="230"/>
      <w:bookmarkStart w:id="231" w:name="_Toc184313302"/>
      <w:bookmarkEnd w:id="231"/>
      <w:bookmarkStart w:id="232" w:name="_Toc184312107"/>
      <w:bookmarkEnd w:id="232"/>
      <w:bookmarkStart w:id="233" w:name="_Toc184308093"/>
      <w:bookmarkEnd w:id="233"/>
      <w:bookmarkStart w:id="234" w:name="_Toc184308082"/>
      <w:bookmarkEnd w:id="234"/>
      <w:bookmarkStart w:id="235" w:name="_Toc184308076"/>
      <w:bookmarkEnd w:id="235"/>
      <w:bookmarkStart w:id="236" w:name="_Toc184310321"/>
      <w:bookmarkEnd w:id="236"/>
      <w:bookmarkStart w:id="237" w:name="_Toc184314422"/>
      <w:bookmarkEnd w:id="237"/>
      <w:bookmarkStart w:id="238" w:name="_Toc184310323"/>
      <w:bookmarkEnd w:id="238"/>
      <w:bookmarkStart w:id="239" w:name="_Toc184312101"/>
      <w:bookmarkEnd w:id="239"/>
      <w:bookmarkStart w:id="240" w:name="_Toc184310292"/>
      <w:bookmarkEnd w:id="240"/>
      <w:bookmarkStart w:id="241" w:name="_Toc184308060"/>
      <w:bookmarkEnd w:id="241"/>
      <w:bookmarkStart w:id="242" w:name="_Toc184312121"/>
      <w:bookmarkEnd w:id="242"/>
      <w:bookmarkStart w:id="243" w:name="_Toc184314413"/>
      <w:bookmarkEnd w:id="243"/>
      <w:bookmarkStart w:id="244" w:name="_Toc184308090"/>
      <w:bookmarkEnd w:id="244"/>
      <w:bookmarkStart w:id="245" w:name="_Toc184314459"/>
      <w:bookmarkEnd w:id="245"/>
      <w:bookmarkStart w:id="246" w:name="_Toc184313257"/>
      <w:bookmarkEnd w:id="246"/>
      <w:bookmarkStart w:id="247" w:name="_Toc184308075"/>
      <w:bookmarkEnd w:id="247"/>
      <w:bookmarkStart w:id="248" w:name="_Toc184314480"/>
      <w:bookmarkEnd w:id="248"/>
      <w:bookmarkStart w:id="249" w:name="_Toc184313310"/>
      <w:bookmarkEnd w:id="249"/>
      <w:bookmarkStart w:id="250" w:name="_Toc184310291"/>
      <w:bookmarkEnd w:id="250"/>
      <w:bookmarkStart w:id="251" w:name="_Toc184308058"/>
      <w:bookmarkEnd w:id="251"/>
      <w:bookmarkStart w:id="252" w:name="_Toc184308051"/>
      <w:bookmarkEnd w:id="252"/>
      <w:bookmarkStart w:id="253" w:name="_Toc184308073"/>
      <w:bookmarkEnd w:id="253"/>
      <w:bookmarkStart w:id="254" w:name="_Toc184314451"/>
      <w:bookmarkEnd w:id="254"/>
      <w:bookmarkStart w:id="255" w:name="_Toc184312124"/>
      <w:bookmarkEnd w:id="255"/>
      <w:bookmarkStart w:id="256" w:name="_Toc184310302"/>
      <w:bookmarkEnd w:id="256"/>
      <w:bookmarkStart w:id="257" w:name="_Toc184312119"/>
      <w:bookmarkEnd w:id="257"/>
      <w:bookmarkStart w:id="258" w:name="_Toc184312113"/>
      <w:bookmarkEnd w:id="258"/>
      <w:bookmarkStart w:id="259" w:name="_Toc184310288"/>
      <w:bookmarkEnd w:id="259"/>
      <w:bookmarkStart w:id="260" w:name="_Toc184313293"/>
      <w:bookmarkEnd w:id="260"/>
      <w:bookmarkStart w:id="261" w:name="_Toc184308052"/>
      <w:bookmarkEnd w:id="261"/>
      <w:bookmarkStart w:id="262" w:name="_Toc184313247"/>
      <w:bookmarkEnd w:id="262"/>
      <w:bookmarkStart w:id="263" w:name="_Toc184312128"/>
      <w:bookmarkEnd w:id="263"/>
      <w:bookmarkStart w:id="264" w:name="_Toc184308085"/>
      <w:bookmarkEnd w:id="264"/>
      <w:bookmarkStart w:id="265" w:name="_Toc184312109"/>
      <w:bookmarkEnd w:id="265"/>
      <w:bookmarkStart w:id="266" w:name="_Toc184314430"/>
      <w:bookmarkEnd w:id="266"/>
      <w:bookmarkStart w:id="267" w:name="_Toc184312073"/>
      <w:bookmarkEnd w:id="267"/>
      <w:bookmarkStart w:id="268" w:name="_Toc184310334"/>
      <w:bookmarkEnd w:id="268"/>
      <w:bookmarkStart w:id="269" w:name="_Toc184310304"/>
      <w:bookmarkEnd w:id="269"/>
      <w:bookmarkStart w:id="270" w:name="_Toc184312126"/>
      <w:bookmarkEnd w:id="270"/>
      <w:bookmarkStart w:id="271" w:name="_Toc184310320"/>
      <w:bookmarkEnd w:id="271"/>
      <w:bookmarkStart w:id="272" w:name="_Toc184314464"/>
      <w:bookmarkEnd w:id="272"/>
      <w:bookmarkStart w:id="273" w:name="_Toc184313253"/>
      <w:bookmarkEnd w:id="273"/>
      <w:bookmarkStart w:id="274" w:name="_Toc184314469"/>
      <w:bookmarkEnd w:id="274"/>
      <w:bookmarkStart w:id="275" w:name="_Toc184313255"/>
      <w:bookmarkEnd w:id="275"/>
      <w:bookmarkStart w:id="276" w:name="_Toc184308069"/>
      <w:bookmarkEnd w:id="276"/>
      <w:bookmarkStart w:id="277" w:name="_Toc184313240"/>
      <w:bookmarkEnd w:id="277"/>
      <w:bookmarkStart w:id="278" w:name="_Toc184314427"/>
      <w:bookmarkEnd w:id="278"/>
      <w:bookmarkStart w:id="279" w:name="_Toc184308078"/>
      <w:bookmarkEnd w:id="279"/>
      <w:bookmarkStart w:id="280" w:name="_Toc184312116"/>
      <w:bookmarkEnd w:id="280"/>
      <w:bookmarkStart w:id="281" w:name="_Toc184308064"/>
      <w:bookmarkEnd w:id="281"/>
      <w:bookmarkStart w:id="282" w:name="_Toc184312135"/>
      <w:bookmarkEnd w:id="282"/>
      <w:bookmarkStart w:id="283" w:name="_Toc184312134"/>
      <w:bookmarkEnd w:id="283"/>
      <w:bookmarkStart w:id="284" w:name="_Toc184310308"/>
      <w:bookmarkEnd w:id="284"/>
      <w:bookmarkStart w:id="285" w:name="_Toc184312080"/>
      <w:bookmarkEnd w:id="285"/>
      <w:bookmarkStart w:id="286" w:name="_Toc184312090"/>
      <w:bookmarkEnd w:id="286"/>
      <w:bookmarkStart w:id="287" w:name="_Toc184314479"/>
      <w:bookmarkEnd w:id="287"/>
      <w:bookmarkStart w:id="288" w:name="_Toc184312068"/>
      <w:bookmarkEnd w:id="288"/>
      <w:bookmarkStart w:id="289" w:name="_Toc184313241"/>
      <w:bookmarkEnd w:id="289"/>
      <w:bookmarkStart w:id="290" w:name="_Toc184314425"/>
      <w:bookmarkEnd w:id="290"/>
      <w:bookmarkStart w:id="291" w:name="_Toc184310297"/>
      <w:bookmarkEnd w:id="291"/>
      <w:bookmarkStart w:id="292" w:name="_Toc184312076"/>
      <w:bookmarkEnd w:id="292"/>
      <w:bookmarkStart w:id="293" w:name="_Toc184314419"/>
      <w:bookmarkEnd w:id="293"/>
      <w:bookmarkStart w:id="294" w:name="_Toc184308048"/>
      <w:bookmarkEnd w:id="294"/>
      <w:bookmarkStart w:id="295" w:name="_Toc184312106"/>
      <w:bookmarkEnd w:id="295"/>
      <w:bookmarkStart w:id="296" w:name="_Toc184314424"/>
      <w:bookmarkEnd w:id="296"/>
      <w:bookmarkStart w:id="297" w:name="_Toc184314434"/>
      <w:bookmarkEnd w:id="297"/>
      <w:bookmarkStart w:id="298" w:name="_Toc184313298"/>
      <w:bookmarkEnd w:id="298"/>
      <w:bookmarkStart w:id="299" w:name="_Toc184313276"/>
      <w:bookmarkEnd w:id="299"/>
      <w:bookmarkStart w:id="300" w:name="_Toc184314476"/>
      <w:bookmarkEnd w:id="300"/>
      <w:bookmarkStart w:id="301" w:name="_Toc184314435"/>
      <w:bookmarkEnd w:id="301"/>
      <w:bookmarkStart w:id="302" w:name="_Toc184310294"/>
      <w:bookmarkEnd w:id="302"/>
      <w:bookmarkStart w:id="303" w:name="_Toc184313299"/>
      <w:bookmarkEnd w:id="303"/>
      <w:bookmarkStart w:id="304" w:name="_Toc184312112"/>
      <w:bookmarkEnd w:id="304"/>
      <w:bookmarkStart w:id="305" w:name="_Toc184312098"/>
      <w:bookmarkEnd w:id="305"/>
      <w:bookmarkStart w:id="306" w:name="_Toc184308056"/>
      <w:bookmarkEnd w:id="306"/>
      <w:bookmarkStart w:id="307" w:name="_Toc184308107"/>
      <w:bookmarkEnd w:id="307"/>
      <w:bookmarkStart w:id="308" w:name="_Toc184314475"/>
      <w:bookmarkEnd w:id="308"/>
      <w:bookmarkStart w:id="309" w:name="_Toc184312072"/>
      <w:bookmarkEnd w:id="309"/>
      <w:bookmarkStart w:id="310" w:name="_Toc184308068"/>
      <w:bookmarkEnd w:id="310"/>
      <w:bookmarkStart w:id="311" w:name="_Toc184308088"/>
      <w:bookmarkEnd w:id="311"/>
      <w:bookmarkStart w:id="312" w:name="_Toc184314443"/>
      <w:bookmarkEnd w:id="312"/>
      <w:bookmarkStart w:id="313" w:name="_Toc184312087"/>
      <w:bookmarkEnd w:id="313"/>
      <w:bookmarkStart w:id="314" w:name="_Toc184312083"/>
      <w:bookmarkEnd w:id="314"/>
      <w:bookmarkStart w:id="315" w:name="_Toc184312114"/>
      <w:bookmarkEnd w:id="315"/>
      <w:bookmarkStart w:id="316" w:name="_Toc184308102"/>
      <w:bookmarkEnd w:id="316"/>
      <w:bookmarkStart w:id="317" w:name="_Toc184312131"/>
      <w:bookmarkEnd w:id="317"/>
      <w:bookmarkStart w:id="318" w:name="_Toc184312094"/>
      <w:bookmarkEnd w:id="318"/>
      <w:bookmarkStart w:id="319" w:name="_Toc184313288"/>
      <w:bookmarkEnd w:id="319"/>
      <w:bookmarkStart w:id="320" w:name="_Toc184312130"/>
      <w:bookmarkEnd w:id="320"/>
      <w:bookmarkStart w:id="321" w:name="_Toc184312133"/>
      <w:bookmarkEnd w:id="321"/>
      <w:bookmarkStart w:id="322" w:name="_Toc184308099"/>
      <w:bookmarkEnd w:id="322"/>
      <w:bookmarkStart w:id="323" w:name="_Toc184314436"/>
      <w:bookmarkEnd w:id="323"/>
      <w:bookmarkStart w:id="324" w:name="_Toc184308049"/>
      <w:bookmarkEnd w:id="324"/>
      <w:bookmarkStart w:id="325" w:name="_Toc184308092"/>
      <w:bookmarkEnd w:id="325"/>
      <w:bookmarkStart w:id="326" w:name="_Toc184314452"/>
      <w:bookmarkEnd w:id="326"/>
      <w:bookmarkStart w:id="327" w:name="_Toc184314446"/>
      <w:bookmarkEnd w:id="327"/>
      <w:bookmarkStart w:id="328" w:name="_Toc184310336"/>
      <w:bookmarkEnd w:id="328"/>
      <w:bookmarkStart w:id="329" w:name="_Toc184313251"/>
      <w:bookmarkEnd w:id="329"/>
      <w:bookmarkStart w:id="330" w:name="_Toc184310305"/>
      <w:bookmarkEnd w:id="330"/>
      <w:bookmarkStart w:id="331" w:name="_Toc184310309"/>
      <w:bookmarkEnd w:id="331"/>
      <w:bookmarkStart w:id="332" w:name="_Toc184312136"/>
      <w:bookmarkEnd w:id="332"/>
      <w:bookmarkStart w:id="333" w:name="_Toc184313248"/>
      <w:bookmarkEnd w:id="333"/>
      <w:bookmarkStart w:id="334" w:name="_Toc184313273"/>
      <w:bookmarkEnd w:id="334"/>
      <w:bookmarkStart w:id="335" w:name="_Toc184313300"/>
      <w:bookmarkEnd w:id="335"/>
      <w:bookmarkStart w:id="336" w:name="_Toc184308081"/>
      <w:bookmarkEnd w:id="336"/>
      <w:bookmarkStart w:id="337" w:name="_Toc184308105"/>
      <w:bookmarkEnd w:id="337"/>
      <w:bookmarkStart w:id="338" w:name="_Toc184313304"/>
      <w:bookmarkEnd w:id="338"/>
      <w:bookmarkStart w:id="339" w:name="_Toc184308038"/>
      <w:bookmarkEnd w:id="339"/>
      <w:bookmarkStart w:id="340" w:name="_Toc184308083"/>
      <w:bookmarkEnd w:id="340"/>
      <w:bookmarkStart w:id="341" w:name="_Toc184313245"/>
      <w:bookmarkEnd w:id="341"/>
      <w:bookmarkStart w:id="342" w:name="_Toc184310326"/>
      <w:bookmarkEnd w:id="342"/>
      <w:bookmarkStart w:id="343" w:name="_Toc184308091"/>
      <w:bookmarkEnd w:id="343"/>
      <w:bookmarkStart w:id="344" w:name="_Toc184310278"/>
      <w:bookmarkEnd w:id="344"/>
      <w:bookmarkStart w:id="345" w:name="_Toc184312097"/>
      <w:bookmarkEnd w:id="345"/>
      <w:bookmarkStart w:id="346" w:name="_Toc184314468"/>
      <w:bookmarkEnd w:id="346"/>
      <w:bookmarkStart w:id="347" w:name="_Toc184312108"/>
      <w:bookmarkEnd w:id="347"/>
      <w:bookmarkStart w:id="348" w:name="_Toc184308084"/>
      <w:bookmarkEnd w:id="348"/>
      <w:bookmarkStart w:id="349" w:name="_Toc184312088"/>
      <w:bookmarkEnd w:id="349"/>
      <w:bookmarkStart w:id="350" w:name="_Toc184312132"/>
      <w:bookmarkEnd w:id="350"/>
      <w:bookmarkStart w:id="351" w:name="_Toc184313303"/>
      <w:bookmarkEnd w:id="351"/>
      <w:bookmarkStart w:id="352" w:name="_Toc184310342"/>
      <w:bookmarkEnd w:id="352"/>
      <w:bookmarkStart w:id="353" w:name="_Toc184310273"/>
      <w:bookmarkEnd w:id="353"/>
      <w:bookmarkStart w:id="354" w:name="_Toc184314453"/>
      <w:bookmarkEnd w:id="354"/>
      <w:bookmarkStart w:id="355" w:name="_Toc184314417"/>
      <w:bookmarkEnd w:id="355"/>
      <w:bookmarkStart w:id="356" w:name="_Toc184310335"/>
      <w:bookmarkEnd w:id="356"/>
      <w:bookmarkStart w:id="357" w:name="_Toc184310286"/>
      <w:bookmarkEnd w:id="357"/>
      <w:bookmarkStart w:id="358" w:name="_Toc184308055"/>
      <w:bookmarkEnd w:id="358"/>
      <w:bookmarkStart w:id="359" w:name="_Toc184310337"/>
      <w:bookmarkEnd w:id="359"/>
      <w:bookmarkStart w:id="360" w:name="_Toc184313308"/>
      <w:bookmarkEnd w:id="360"/>
      <w:bookmarkStart w:id="361" w:name="_Toc184314458"/>
      <w:bookmarkEnd w:id="361"/>
      <w:bookmarkStart w:id="362" w:name="_Toc184313281"/>
      <w:bookmarkEnd w:id="362"/>
      <w:bookmarkStart w:id="363" w:name="_Toc184313270"/>
      <w:bookmarkEnd w:id="363"/>
      <w:bookmarkStart w:id="364" w:name="_Toc184314439"/>
      <w:bookmarkEnd w:id="364"/>
      <w:bookmarkStart w:id="365" w:name="_Toc184310317"/>
      <w:bookmarkEnd w:id="365"/>
      <w:bookmarkStart w:id="366" w:name="_Toc184313287"/>
      <w:bookmarkEnd w:id="366"/>
      <w:bookmarkStart w:id="367" w:name="_Toc184313246"/>
      <w:bookmarkEnd w:id="367"/>
      <w:bookmarkStart w:id="368" w:name="_Toc184312123"/>
      <w:bookmarkEnd w:id="368"/>
      <w:bookmarkStart w:id="369" w:name="_Toc184314412"/>
      <w:bookmarkEnd w:id="369"/>
      <w:bookmarkStart w:id="370" w:name="_Toc184310331"/>
      <w:bookmarkEnd w:id="370"/>
      <w:bookmarkStart w:id="371" w:name="_Toc184310290"/>
      <w:bookmarkEnd w:id="371"/>
      <w:bookmarkStart w:id="372" w:name="_Toc184313267"/>
      <w:bookmarkEnd w:id="372"/>
      <w:bookmarkStart w:id="373" w:name="_Toc184312117"/>
      <w:bookmarkEnd w:id="373"/>
      <w:bookmarkStart w:id="374" w:name="_Toc184308043"/>
      <w:bookmarkEnd w:id="374"/>
      <w:bookmarkStart w:id="375" w:name="_Toc184312137"/>
      <w:bookmarkEnd w:id="375"/>
      <w:bookmarkStart w:id="376" w:name="_Toc184308065"/>
      <w:bookmarkEnd w:id="376"/>
      <w:bookmarkStart w:id="377" w:name="_Toc184314462"/>
      <w:bookmarkEnd w:id="377"/>
      <w:bookmarkStart w:id="378" w:name="_Toc184313309"/>
      <w:bookmarkEnd w:id="378"/>
      <w:bookmarkStart w:id="379" w:name="_Toc184313296"/>
      <w:bookmarkEnd w:id="379"/>
      <w:bookmarkStart w:id="380" w:name="_Toc184312069"/>
      <w:bookmarkEnd w:id="380"/>
      <w:bookmarkStart w:id="381" w:name="_Toc184308096"/>
      <w:bookmarkEnd w:id="381"/>
      <w:bookmarkStart w:id="382" w:name="_Toc184313256"/>
      <w:bookmarkEnd w:id="382"/>
      <w:bookmarkStart w:id="383" w:name="_Toc184314471"/>
      <w:bookmarkEnd w:id="383"/>
      <w:bookmarkStart w:id="384" w:name="_Toc184310287"/>
      <w:bookmarkEnd w:id="384"/>
      <w:bookmarkStart w:id="385" w:name="_Toc184313249"/>
      <w:bookmarkEnd w:id="385"/>
      <w:bookmarkStart w:id="386" w:name="_Toc184313239"/>
      <w:bookmarkEnd w:id="386"/>
      <w:bookmarkStart w:id="387" w:name="_Toc184313307"/>
      <w:bookmarkEnd w:id="387"/>
      <w:bookmarkStart w:id="388" w:name="_Toc184308063"/>
      <w:bookmarkEnd w:id="388"/>
      <w:bookmarkStart w:id="389" w:name="_Toc184312078"/>
      <w:bookmarkEnd w:id="389"/>
      <w:bookmarkStart w:id="390" w:name="_Toc184310281"/>
      <w:bookmarkEnd w:id="390"/>
      <w:bookmarkStart w:id="391" w:name="_Toc184313260"/>
      <w:bookmarkEnd w:id="391"/>
      <w:bookmarkStart w:id="392" w:name="_Toc184313305"/>
      <w:bookmarkEnd w:id="392"/>
      <w:bookmarkStart w:id="393" w:name="_Toc184308098"/>
      <w:bookmarkEnd w:id="393"/>
      <w:bookmarkStart w:id="394" w:name="_Toc184308077"/>
      <w:bookmarkEnd w:id="394"/>
      <w:bookmarkStart w:id="395" w:name="_Toc184310340"/>
      <w:bookmarkEnd w:id="395"/>
      <w:bookmarkStart w:id="396" w:name="_Toc184314455"/>
      <w:bookmarkEnd w:id="396"/>
      <w:r>
        <w:rPr>
          <w:rFonts w:hint="eastAsia" w:ascii="宋体" w:hAnsi="宋体" w:cs="宋体"/>
          <w:b/>
          <w:sz w:val="36"/>
          <w:szCs w:val="36"/>
        </w:rPr>
        <w:t>评标办法</w:t>
      </w:r>
    </w:p>
    <w:p>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9"/>
        <w:gridCol w:w="5315"/>
        <w:gridCol w:w="708"/>
        <w:gridCol w:w="993"/>
        <w:gridCol w:w="18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序号</w:t>
            </w:r>
          </w:p>
        </w:tc>
        <w:tc>
          <w:tcPr>
            <w:tcW w:w="5315"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评标标准</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权重</w:t>
            </w:r>
          </w:p>
        </w:tc>
        <w:tc>
          <w:tcPr>
            <w:tcW w:w="993" w:type="dxa"/>
            <w:vAlign w:val="center"/>
          </w:tcPr>
          <w:p>
            <w:pPr>
              <w:snapToGrid w:val="0"/>
              <w:spacing w:line="360" w:lineRule="auto"/>
              <w:jc w:val="center"/>
              <w:rPr>
                <w:rFonts w:cs="仿宋_GB2312" w:asciiTheme="minorEastAsia" w:hAnsiTheme="minorEastAsia" w:eastAsiaTheme="minorEastAsia"/>
                <w:bCs/>
                <w:color w:val="000000" w:themeColor="text1"/>
                <w:sz w:val="24"/>
              </w:rPr>
            </w:pPr>
            <w:r>
              <w:rPr>
                <w:rFonts w:hint="eastAsia" w:cs="仿宋_GB2312" w:asciiTheme="minorEastAsia" w:hAnsiTheme="minorEastAsia" w:eastAsiaTheme="minorEastAsia"/>
                <w:bCs/>
                <w:color w:val="000000" w:themeColor="text1"/>
                <w:sz w:val="24"/>
              </w:rPr>
              <w:t>主观分/客观分属性</w:t>
            </w:r>
          </w:p>
        </w:tc>
        <w:tc>
          <w:tcPr>
            <w:tcW w:w="1842" w:type="dxa"/>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bCs/>
                <w:color w:val="000000" w:themeColor="text1"/>
                <w:sz w:val="24"/>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ascii="仿宋" w:hAnsi="仿宋" w:eastAsia="仿宋" w:cs="仿宋"/>
                <w:color w:val="000000" w:themeColor="text1"/>
                <w:sz w:val="24"/>
              </w:rPr>
            </w:pPr>
            <w:r>
              <w:rPr>
                <w:rFonts w:hint="eastAsia" w:ascii="仿宋" w:hAnsi="仿宋" w:eastAsia="仿宋" w:cs="仿宋"/>
                <w:color w:val="000000" w:themeColor="text1"/>
                <w:sz w:val="24"/>
              </w:rPr>
              <w:t>1</w:t>
            </w:r>
          </w:p>
        </w:tc>
        <w:tc>
          <w:tcPr>
            <w:tcW w:w="5315" w:type="dxa"/>
            <w:vAlign w:val="center"/>
          </w:tcPr>
          <w:p>
            <w:pPr>
              <w:snapToGrid w:val="0"/>
              <w:jc w:val="left"/>
              <w:rPr>
                <w:rFonts w:ascii="仿宋" w:hAnsi="仿宋" w:eastAsia="仿宋" w:cs="仿宋"/>
                <w:color w:val="000000" w:themeColor="text1"/>
                <w:sz w:val="24"/>
              </w:rPr>
            </w:pPr>
            <w:r>
              <w:rPr>
                <w:rFonts w:hint="eastAsia" w:ascii="仿宋" w:hAnsi="仿宋" w:eastAsia="仿宋" w:cs="仿宋"/>
                <w:color w:val="000000" w:themeColor="text1"/>
                <w:sz w:val="24"/>
              </w:rPr>
              <w:t>符合明确指标参数得20分。投标产品关键技术指标（标有“▲”的指标）必须满足，负偏离废标；对非关键的性能指标及技术参数属负偏离或缺漏项的每项扣2分，扣完为止（属某一品牌型号特有的技术参数且不影响产品使用功能的负偏离不扣分）。</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20</w:t>
            </w:r>
          </w:p>
        </w:tc>
        <w:tc>
          <w:tcPr>
            <w:tcW w:w="993" w:type="dxa"/>
            <w:vAlign w:val="center"/>
          </w:tcPr>
          <w:p>
            <w:pPr>
              <w:snapToGrid w:val="0"/>
              <w:spacing w:line="360" w:lineRule="auto"/>
              <w:jc w:val="center"/>
              <w:rPr>
                <w:rFonts w:cs="仿宋_GB2312" w:asciiTheme="minorEastAsia" w:hAnsiTheme="minorEastAsia" w:eastAsiaTheme="minorEastAsia"/>
                <w:bCs/>
                <w:color w:val="000000" w:themeColor="text1"/>
                <w:sz w:val="24"/>
              </w:rPr>
            </w:pPr>
            <w:r>
              <w:rPr>
                <w:rFonts w:hint="eastAsia" w:cs="仿宋_GB2312" w:asciiTheme="minorEastAsia" w:hAnsiTheme="minorEastAsia" w:eastAsiaTheme="minorEastAsia"/>
                <w:bCs/>
                <w:color w:val="000000" w:themeColor="text1"/>
                <w:sz w:val="24"/>
              </w:rPr>
              <w:t>客观</w:t>
            </w:r>
          </w:p>
        </w:tc>
        <w:tc>
          <w:tcPr>
            <w:tcW w:w="1842" w:type="dxa"/>
          </w:tcPr>
          <w:p>
            <w:pPr>
              <w:snapToGrid w:val="0"/>
              <w:spacing w:line="360" w:lineRule="auto"/>
              <w:jc w:val="center"/>
              <w:rPr>
                <w:rFonts w:cs="仿宋_GB2312" w:asciiTheme="minorEastAsia" w:hAnsiTheme="minorEastAsia" w:eastAsiaTheme="minorEastAsia"/>
                <w:bCs/>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2</w:t>
            </w:r>
          </w:p>
        </w:tc>
        <w:tc>
          <w:tcPr>
            <w:tcW w:w="5315" w:type="dxa"/>
          </w:tcPr>
          <w:p>
            <w:pPr>
              <w:snapToGrid w:val="0"/>
              <w:jc w:val="left"/>
              <w:rPr>
                <w:rFonts w:ascii="仿宋" w:hAnsi="仿宋" w:eastAsia="仿宋" w:cs="仿宋"/>
                <w:color w:val="000000" w:themeColor="text1"/>
                <w:sz w:val="24"/>
              </w:rPr>
            </w:pPr>
            <w:r>
              <w:rPr>
                <w:rFonts w:hint="eastAsia" w:ascii="仿宋" w:hAnsi="仿宋" w:eastAsia="仿宋" w:cs="仿宋"/>
                <w:color w:val="000000" w:themeColor="text1"/>
                <w:sz w:val="24"/>
              </w:rPr>
              <w:t>对性能指标、技术参数属正偏或高配的、有先进程度的正偏离每项加2分（最高分为10分），无实质性意义的正偏离不加分。</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10</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bCs/>
                <w:color w:val="000000" w:themeColor="text1"/>
                <w:sz w:val="24"/>
              </w:rPr>
              <w:t>客观</w:t>
            </w:r>
          </w:p>
        </w:tc>
        <w:tc>
          <w:tcPr>
            <w:tcW w:w="1842" w:type="dxa"/>
          </w:tcPr>
          <w:p>
            <w:pPr>
              <w:snapToGrid w:val="0"/>
              <w:spacing w:line="360" w:lineRule="auto"/>
              <w:jc w:val="center"/>
              <w:rPr>
                <w:rFonts w:cs="仿宋_GB2312" w:asciiTheme="minorEastAsia" w:hAnsiTheme="minorEastAsia" w:eastAsiaTheme="minorEastAsia"/>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cs="仿宋_GB2312" w:asciiTheme="minorEastAsia" w:hAnsiTheme="minorEastAsia" w:eastAsiaTheme="minorEastAsia"/>
                <w:color w:val="0000FF"/>
                <w:sz w:val="24"/>
              </w:rPr>
            </w:pPr>
            <w:r>
              <w:rPr>
                <w:rFonts w:hint="eastAsia" w:cs="仿宋_GB2312" w:asciiTheme="minorEastAsia" w:hAnsiTheme="minorEastAsia" w:eastAsiaTheme="minorEastAsia"/>
                <w:color w:val="000000" w:themeColor="text1"/>
                <w:sz w:val="24"/>
              </w:rPr>
              <w:t>3</w:t>
            </w:r>
          </w:p>
        </w:tc>
        <w:tc>
          <w:tcPr>
            <w:tcW w:w="5315" w:type="dxa"/>
            <w:vAlign w:val="center"/>
          </w:tcPr>
          <w:p>
            <w:pPr>
              <w:spacing w:line="300" w:lineRule="exact"/>
              <w:jc w:val="left"/>
              <w:rPr>
                <w:rFonts w:ascii="仿宋" w:hAnsi="仿宋" w:eastAsia="仿宋" w:cs="仿宋"/>
                <w:bCs/>
                <w:sz w:val="24"/>
              </w:rPr>
            </w:pPr>
            <w:r>
              <w:rPr>
                <w:rFonts w:hint="eastAsia" w:ascii="仿宋" w:hAnsi="仿宋" w:eastAsia="仿宋" w:cs="仿宋"/>
                <w:bCs/>
                <w:sz w:val="24"/>
                <w:lang w:eastAsia="zh-CN"/>
              </w:rPr>
              <w:t>对</w:t>
            </w:r>
            <w:r>
              <w:rPr>
                <w:rFonts w:hint="eastAsia" w:ascii="仿宋" w:hAnsi="仿宋" w:eastAsia="仿宋" w:cs="仿宋"/>
                <w:bCs/>
                <w:sz w:val="24"/>
              </w:rPr>
              <w:t>投标产品的型号、用户反馈等情况打分，最高分4分。</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4</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主观</w:t>
            </w:r>
          </w:p>
        </w:tc>
        <w:tc>
          <w:tcPr>
            <w:tcW w:w="1842" w:type="dxa"/>
          </w:tcPr>
          <w:p>
            <w:pPr>
              <w:snapToGrid w:val="0"/>
              <w:spacing w:line="360" w:lineRule="auto"/>
              <w:jc w:val="center"/>
              <w:rPr>
                <w:rFonts w:cs="仿宋_GB2312" w:asciiTheme="minorEastAsia" w:hAnsiTheme="minorEastAsia" w:eastAsiaTheme="minorEastAsia"/>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4</w:t>
            </w:r>
          </w:p>
        </w:tc>
        <w:tc>
          <w:tcPr>
            <w:tcW w:w="5315" w:type="dxa"/>
            <w:vAlign w:val="center"/>
          </w:tcPr>
          <w:p>
            <w:pPr>
              <w:spacing w:line="300" w:lineRule="exact"/>
              <w:jc w:val="left"/>
              <w:rPr>
                <w:rFonts w:ascii="仿宋" w:hAnsi="仿宋" w:eastAsia="仿宋" w:cs="仿宋"/>
                <w:bCs/>
                <w:sz w:val="24"/>
              </w:rPr>
            </w:pPr>
            <w:r>
              <w:rPr>
                <w:rFonts w:hint="eastAsia" w:ascii="仿宋" w:hAnsi="仿宋" w:eastAsia="仿宋" w:cs="仿宋"/>
                <w:bCs/>
                <w:sz w:val="24"/>
              </w:rPr>
              <w:t>对投标供应商工作时间进度表、工作程序、步骤、管理、协调方案等进行打分，每项得1分，</w:t>
            </w:r>
            <w:r>
              <w:rPr>
                <w:rFonts w:ascii="仿宋" w:hAnsi="仿宋" w:eastAsia="仿宋" w:cs="仿宋"/>
                <w:bCs/>
                <w:sz w:val="24"/>
              </w:rPr>
              <w:t>最高</w:t>
            </w:r>
            <w:r>
              <w:rPr>
                <w:rFonts w:hint="eastAsia" w:ascii="仿宋" w:hAnsi="仿宋" w:eastAsia="仿宋" w:cs="仿宋"/>
                <w:bCs/>
                <w:sz w:val="24"/>
              </w:rPr>
              <w:t>得</w:t>
            </w:r>
            <w:r>
              <w:rPr>
                <w:rFonts w:ascii="仿宋" w:hAnsi="仿宋" w:eastAsia="仿宋" w:cs="仿宋"/>
                <w:bCs/>
                <w:sz w:val="24"/>
              </w:rPr>
              <w:t>5分。</w:t>
            </w:r>
            <w:bookmarkStart w:id="559" w:name="_GoBack"/>
            <w:bookmarkEnd w:id="559"/>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5</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主观</w:t>
            </w:r>
          </w:p>
        </w:tc>
        <w:tc>
          <w:tcPr>
            <w:tcW w:w="1842" w:type="dxa"/>
          </w:tcPr>
          <w:p>
            <w:pPr>
              <w:snapToGrid w:val="0"/>
              <w:spacing w:line="360" w:lineRule="auto"/>
              <w:jc w:val="center"/>
              <w:rPr>
                <w:rFonts w:cs="仿宋_GB2312" w:asciiTheme="minorEastAsia" w:hAnsiTheme="minorEastAsia" w:eastAsiaTheme="minorEastAsia"/>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5</w:t>
            </w:r>
          </w:p>
        </w:tc>
        <w:tc>
          <w:tcPr>
            <w:tcW w:w="5315" w:type="dxa"/>
            <w:vAlign w:val="center"/>
          </w:tcPr>
          <w:p>
            <w:pPr>
              <w:spacing w:line="300" w:lineRule="exact"/>
              <w:jc w:val="left"/>
              <w:rPr>
                <w:rFonts w:ascii="仿宋" w:hAnsi="仿宋" w:eastAsia="仿宋" w:cs="仿宋"/>
                <w:bCs/>
                <w:sz w:val="24"/>
              </w:rPr>
            </w:pPr>
            <w:r>
              <w:rPr>
                <w:rFonts w:hint="eastAsia" w:ascii="仿宋" w:hAnsi="仿宋" w:eastAsia="仿宋" w:cs="仿宋"/>
                <w:bCs/>
                <w:sz w:val="24"/>
              </w:rPr>
              <w:t>对投标供应商的供货、货物存放、部署、安装调试</w:t>
            </w:r>
            <w:r>
              <w:rPr>
                <w:rFonts w:ascii="仿宋" w:hAnsi="仿宋" w:eastAsia="仿宋" w:cs="仿宋"/>
                <w:bCs/>
                <w:sz w:val="24"/>
              </w:rPr>
              <w:t>、验收方案</w:t>
            </w:r>
            <w:r>
              <w:rPr>
                <w:rFonts w:hint="eastAsia" w:ascii="仿宋" w:hAnsi="仿宋" w:eastAsia="仿宋" w:cs="仿宋"/>
                <w:bCs/>
                <w:sz w:val="24"/>
              </w:rPr>
              <w:t>进行打分，每项得1分，</w:t>
            </w:r>
            <w:r>
              <w:rPr>
                <w:rFonts w:ascii="仿宋" w:hAnsi="仿宋" w:eastAsia="仿宋" w:cs="仿宋"/>
                <w:bCs/>
                <w:sz w:val="24"/>
              </w:rPr>
              <w:t>最高</w:t>
            </w:r>
            <w:r>
              <w:rPr>
                <w:rFonts w:hint="eastAsia" w:ascii="仿宋" w:hAnsi="仿宋" w:eastAsia="仿宋" w:cs="仿宋"/>
                <w:bCs/>
                <w:sz w:val="24"/>
              </w:rPr>
              <w:t>得</w:t>
            </w:r>
            <w:r>
              <w:rPr>
                <w:rFonts w:ascii="仿宋" w:hAnsi="仿宋" w:eastAsia="仿宋" w:cs="仿宋"/>
                <w:bCs/>
                <w:sz w:val="24"/>
              </w:rPr>
              <w:t>5分。</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5</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主观</w:t>
            </w:r>
          </w:p>
        </w:tc>
        <w:tc>
          <w:tcPr>
            <w:tcW w:w="1842" w:type="dxa"/>
          </w:tcPr>
          <w:p>
            <w:pPr>
              <w:snapToGrid w:val="0"/>
              <w:spacing w:line="360" w:lineRule="auto"/>
              <w:jc w:val="center"/>
              <w:rPr>
                <w:rFonts w:cs="仿宋_GB2312" w:asciiTheme="minorEastAsia" w:hAnsiTheme="minorEastAsia" w:eastAsiaTheme="minorEastAsia"/>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6</w:t>
            </w:r>
          </w:p>
        </w:tc>
        <w:tc>
          <w:tcPr>
            <w:tcW w:w="5315" w:type="dxa"/>
            <w:vAlign w:val="center"/>
          </w:tcPr>
          <w:p>
            <w:pPr>
              <w:spacing w:line="300" w:lineRule="exact"/>
              <w:jc w:val="left"/>
              <w:rPr>
                <w:rFonts w:ascii="仿宋" w:hAnsi="仿宋" w:eastAsia="仿宋" w:cs="仿宋"/>
                <w:bCs/>
                <w:sz w:val="24"/>
              </w:rPr>
            </w:pPr>
            <w:r>
              <w:rPr>
                <w:rFonts w:hint="eastAsia" w:ascii="仿宋" w:hAnsi="仿宋" w:eastAsia="仿宋" w:cs="仿宋"/>
                <w:bCs/>
                <w:sz w:val="24"/>
              </w:rPr>
              <w:t>投标产品响应招标文件质保要求</w:t>
            </w:r>
            <w:r>
              <w:rPr>
                <w:rFonts w:ascii="仿宋" w:hAnsi="仿宋" w:eastAsia="仿宋" w:cs="仿宋"/>
                <w:bCs/>
                <w:sz w:val="24"/>
              </w:rPr>
              <w:t>3</w:t>
            </w:r>
            <w:r>
              <w:rPr>
                <w:rFonts w:hint="eastAsia" w:ascii="仿宋" w:hAnsi="仿宋" w:eastAsia="仿宋" w:cs="仿宋"/>
                <w:bCs/>
                <w:sz w:val="24"/>
              </w:rPr>
              <w:t>年的不得分，质保年限每延长一年得1分，最高得2分。</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2</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客观</w:t>
            </w:r>
          </w:p>
        </w:tc>
        <w:tc>
          <w:tcPr>
            <w:tcW w:w="1842" w:type="dxa"/>
          </w:tcPr>
          <w:p>
            <w:pPr>
              <w:snapToGrid w:val="0"/>
              <w:spacing w:line="360" w:lineRule="auto"/>
              <w:jc w:val="center"/>
              <w:rPr>
                <w:rFonts w:cs="仿宋_GB2312" w:asciiTheme="minorEastAsia" w:hAnsiTheme="minorEastAsia" w:eastAsiaTheme="minorEastAsia"/>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7</w:t>
            </w:r>
          </w:p>
        </w:tc>
        <w:tc>
          <w:tcPr>
            <w:tcW w:w="5315" w:type="dxa"/>
            <w:vAlign w:val="center"/>
          </w:tcPr>
          <w:p>
            <w:pPr>
              <w:spacing w:line="300" w:lineRule="exact"/>
              <w:jc w:val="left"/>
              <w:rPr>
                <w:rFonts w:ascii="仿宋" w:hAnsi="仿宋" w:eastAsia="仿宋" w:cs="仿宋"/>
                <w:bCs/>
                <w:sz w:val="24"/>
              </w:rPr>
            </w:pPr>
            <w:r>
              <w:rPr>
                <w:rFonts w:hint="eastAsia" w:ascii="仿宋" w:hAnsi="仿宋" w:eastAsia="仿宋" w:cs="仿宋"/>
                <w:bCs/>
                <w:sz w:val="24"/>
              </w:rPr>
              <w:t>投标人按照采购单位的要求提供详实的进度计划，提出切合实际可行的方案并优于采购文件工期安排，本项最高2分。</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2</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主观</w:t>
            </w:r>
          </w:p>
        </w:tc>
        <w:tc>
          <w:tcPr>
            <w:tcW w:w="1842" w:type="dxa"/>
          </w:tcPr>
          <w:p>
            <w:pPr>
              <w:snapToGrid w:val="0"/>
              <w:spacing w:line="360" w:lineRule="auto"/>
              <w:jc w:val="center"/>
              <w:rPr>
                <w:rFonts w:cs="仿宋_GB2312" w:asciiTheme="minorEastAsia" w:hAnsiTheme="minorEastAsia" w:eastAsiaTheme="minorEastAsia"/>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8</w:t>
            </w:r>
          </w:p>
        </w:tc>
        <w:tc>
          <w:tcPr>
            <w:tcW w:w="5315" w:type="dxa"/>
            <w:vAlign w:val="center"/>
          </w:tcPr>
          <w:p>
            <w:pPr>
              <w:spacing w:line="300" w:lineRule="exact"/>
              <w:jc w:val="left"/>
              <w:rPr>
                <w:rFonts w:ascii="仿宋" w:hAnsi="仿宋" w:eastAsia="仿宋" w:cs="仿宋"/>
                <w:bCs/>
                <w:sz w:val="24"/>
              </w:rPr>
            </w:pPr>
            <w:r>
              <w:rPr>
                <w:rFonts w:ascii="仿宋" w:hAnsi="仿宋" w:eastAsia="仿宋" w:cs="仿宋"/>
                <w:bCs/>
                <w:sz w:val="24"/>
              </w:rPr>
              <w:t>投标人提</w:t>
            </w:r>
            <w:r>
              <w:rPr>
                <w:rFonts w:hint="eastAsia" w:ascii="仿宋" w:hAnsi="仿宋" w:eastAsia="仿宋" w:cs="仿宋"/>
                <w:bCs/>
                <w:sz w:val="24"/>
              </w:rPr>
              <w:t>供</w:t>
            </w:r>
            <w:r>
              <w:rPr>
                <w:rFonts w:ascii="仿宋" w:hAnsi="仿宋" w:eastAsia="仿宋" w:cs="仿宋"/>
                <w:bCs/>
                <w:sz w:val="24"/>
              </w:rPr>
              <w:t>培训计划、</w:t>
            </w:r>
            <w:r>
              <w:rPr>
                <w:rFonts w:hint="eastAsia" w:ascii="仿宋" w:hAnsi="仿宋" w:eastAsia="仿宋" w:cs="仿宋"/>
                <w:bCs/>
                <w:sz w:val="24"/>
              </w:rPr>
              <w:t>实施方案</w:t>
            </w:r>
            <w:r>
              <w:rPr>
                <w:rFonts w:ascii="仿宋" w:hAnsi="仿宋" w:eastAsia="仿宋" w:cs="仿宋"/>
                <w:bCs/>
                <w:sz w:val="24"/>
              </w:rPr>
              <w:t>、软硬件资料等内容是否完整、科学合理，</w:t>
            </w:r>
            <w:r>
              <w:rPr>
                <w:rFonts w:hint="eastAsia" w:ascii="仿宋" w:hAnsi="仿宋" w:eastAsia="仿宋" w:cs="仿宋"/>
                <w:bCs/>
                <w:sz w:val="24"/>
              </w:rPr>
              <w:t>最高得5分。</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5</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主观</w:t>
            </w:r>
          </w:p>
        </w:tc>
        <w:tc>
          <w:tcPr>
            <w:tcW w:w="1842" w:type="dxa"/>
          </w:tcPr>
          <w:p>
            <w:pPr>
              <w:snapToGrid w:val="0"/>
              <w:spacing w:line="360" w:lineRule="auto"/>
              <w:jc w:val="center"/>
              <w:rPr>
                <w:rFonts w:cs="仿宋_GB2312" w:asciiTheme="minorEastAsia" w:hAnsiTheme="minorEastAsia" w:eastAsiaTheme="minorEastAsia"/>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9</w:t>
            </w:r>
          </w:p>
        </w:tc>
        <w:tc>
          <w:tcPr>
            <w:tcW w:w="5315" w:type="dxa"/>
            <w:vAlign w:val="center"/>
          </w:tcPr>
          <w:p>
            <w:pPr>
              <w:spacing w:line="300" w:lineRule="exact"/>
              <w:jc w:val="left"/>
              <w:rPr>
                <w:rFonts w:ascii="仿宋" w:hAnsi="仿宋" w:eastAsia="仿宋" w:cs="仿宋"/>
                <w:bCs/>
                <w:sz w:val="24"/>
              </w:rPr>
            </w:pPr>
            <w:r>
              <w:rPr>
                <w:rFonts w:hint="eastAsia" w:ascii="仿宋" w:hAnsi="仿宋" w:eastAsia="仿宋" w:cs="仿宋"/>
                <w:bCs/>
                <w:sz w:val="24"/>
              </w:rPr>
              <w:t>项目维护计划、提供备品备件（对用户故障的响应、处置、定期巡检、安全维护情况）的有效性。最高得4分。</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4</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主观</w:t>
            </w:r>
          </w:p>
        </w:tc>
        <w:tc>
          <w:tcPr>
            <w:tcW w:w="1842" w:type="dxa"/>
          </w:tcPr>
          <w:p>
            <w:pPr>
              <w:snapToGrid w:val="0"/>
              <w:spacing w:line="360" w:lineRule="auto"/>
              <w:jc w:val="center"/>
              <w:rPr>
                <w:rFonts w:cs="仿宋_GB2312" w:asciiTheme="minorEastAsia" w:hAnsiTheme="minorEastAsia" w:eastAsiaTheme="minorEastAsia"/>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10</w:t>
            </w:r>
          </w:p>
        </w:tc>
        <w:tc>
          <w:tcPr>
            <w:tcW w:w="5315" w:type="dxa"/>
            <w:vAlign w:val="center"/>
          </w:tcPr>
          <w:p>
            <w:pPr>
              <w:spacing w:line="300" w:lineRule="exact"/>
              <w:jc w:val="left"/>
              <w:rPr>
                <w:rFonts w:ascii="仿宋" w:hAnsi="仿宋" w:eastAsia="仿宋" w:cs="仿宋"/>
                <w:bCs/>
                <w:sz w:val="24"/>
              </w:rPr>
            </w:pPr>
            <w:r>
              <w:rPr>
                <w:rFonts w:hint="eastAsia" w:ascii="仿宋" w:hAnsi="仿宋" w:eastAsia="仿宋" w:cs="仿宋"/>
                <w:bCs/>
                <w:kern w:val="0"/>
                <w:sz w:val="24"/>
              </w:rPr>
              <w:t>根据提供详细完整的“三包”措施及售后服务措施和方案（包括服务措施、产品质量保证和回访等）情况打分。每项得1分，最高的</w:t>
            </w:r>
            <w:r>
              <w:rPr>
                <w:rFonts w:ascii="仿宋" w:hAnsi="仿宋" w:eastAsia="仿宋" w:cs="仿宋"/>
                <w:bCs/>
                <w:kern w:val="0"/>
                <w:sz w:val="24"/>
              </w:rPr>
              <w:t>3</w:t>
            </w:r>
            <w:r>
              <w:rPr>
                <w:rFonts w:hint="eastAsia" w:ascii="仿宋" w:hAnsi="仿宋" w:eastAsia="仿宋" w:cs="仿宋"/>
                <w:bCs/>
                <w:kern w:val="0"/>
                <w:sz w:val="24"/>
              </w:rPr>
              <w:t>分。</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3</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主观</w:t>
            </w:r>
          </w:p>
        </w:tc>
        <w:tc>
          <w:tcPr>
            <w:tcW w:w="1842" w:type="dxa"/>
          </w:tcPr>
          <w:p>
            <w:pPr>
              <w:snapToGrid w:val="0"/>
              <w:spacing w:line="360" w:lineRule="auto"/>
              <w:jc w:val="center"/>
              <w:rPr>
                <w:rFonts w:cs="仿宋_GB2312" w:asciiTheme="minorEastAsia" w:hAnsiTheme="minorEastAsia" w:eastAsiaTheme="minorEastAsia"/>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11</w:t>
            </w:r>
          </w:p>
        </w:tc>
        <w:tc>
          <w:tcPr>
            <w:tcW w:w="5315" w:type="dxa"/>
            <w:vAlign w:val="center"/>
          </w:tcPr>
          <w:p>
            <w:pPr>
              <w:spacing w:line="300" w:lineRule="exact"/>
              <w:jc w:val="left"/>
              <w:rPr>
                <w:rFonts w:ascii="仿宋" w:hAnsi="仿宋" w:eastAsia="仿宋" w:cs="仿宋"/>
                <w:bCs/>
                <w:color w:val="FF0000"/>
                <w:kern w:val="0"/>
                <w:sz w:val="24"/>
              </w:rPr>
            </w:pPr>
            <w:r>
              <w:rPr>
                <w:rFonts w:hint="eastAsia" w:ascii="仿宋" w:hAnsi="仿宋" w:eastAsia="仿宋" w:cs="仿宋"/>
                <w:bCs/>
                <w:color w:val="auto"/>
                <w:sz w:val="24"/>
                <w:lang w:eastAsia="zh-CN"/>
              </w:rPr>
              <w:t>投标人或者</w:t>
            </w:r>
            <w:r>
              <w:rPr>
                <w:rFonts w:hint="eastAsia" w:ascii="仿宋" w:hAnsi="仿宋" w:eastAsia="仿宋" w:cs="仿宋"/>
                <w:bCs/>
                <w:color w:val="auto"/>
                <w:sz w:val="24"/>
                <w:highlight w:val="none"/>
              </w:rPr>
              <w:t>所投产品厂商</w:t>
            </w:r>
            <w:r>
              <w:rPr>
                <w:rFonts w:hint="eastAsia" w:ascii="仿宋" w:hAnsi="仿宋" w:eastAsia="仿宋" w:cs="仿宋"/>
                <w:bCs/>
                <w:color w:val="auto"/>
                <w:sz w:val="24"/>
              </w:rPr>
              <w:t>需具有完整的管理体系，通过ISO/IEC 20000信息技术服务管理体系认证、ISO 9001质量管理体系认证、ISO 14001环境管理体系认证、OHSAS 18001职业健康安全管理体系认证、ISO/ISE 27001信息安全管理体系认证，每提供一项得1分，满分</w:t>
            </w:r>
            <w:r>
              <w:rPr>
                <w:rFonts w:ascii="仿宋" w:hAnsi="仿宋" w:eastAsia="仿宋" w:cs="仿宋"/>
                <w:bCs/>
                <w:color w:val="auto"/>
                <w:sz w:val="24"/>
              </w:rPr>
              <w:t>5</w:t>
            </w:r>
            <w:r>
              <w:rPr>
                <w:rFonts w:hint="eastAsia" w:ascii="仿宋" w:hAnsi="仿宋" w:eastAsia="仿宋" w:cs="仿宋"/>
                <w:bCs/>
                <w:color w:val="auto"/>
                <w:sz w:val="24"/>
              </w:rPr>
              <w:t>分。需提供相关证书复印件加盖公章，未提供的不得分。</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5</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客观</w:t>
            </w:r>
          </w:p>
        </w:tc>
        <w:tc>
          <w:tcPr>
            <w:tcW w:w="1842" w:type="dxa"/>
          </w:tcPr>
          <w:p>
            <w:pPr>
              <w:snapToGrid w:val="0"/>
              <w:spacing w:line="360" w:lineRule="auto"/>
              <w:jc w:val="center"/>
              <w:rPr>
                <w:rFonts w:cs="仿宋_GB2312" w:asciiTheme="minorEastAsia" w:hAnsiTheme="minorEastAsia" w:eastAsiaTheme="minorEastAsia"/>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12</w:t>
            </w:r>
          </w:p>
        </w:tc>
        <w:tc>
          <w:tcPr>
            <w:tcW w:w="5315" w:type="dxa"/>
            <w:vAlign w:val="center"/>
          </w:tcPr>
          <w:p>
            <w:pPr>
              <w:spacing w:line="300" w:lineRule="exact"/>
              <w:jc w:val="left"/>
              <w:rPr>
                <w:rFonts w:ascii="仿宋" w:hAnsi="仿宋" w:eastAsia="仿宋" w:cs="仿宋"/>
                <w:bCs/>
                <w:sz w:val="24"/>
              </w:rPr>
            </w:pPr>
            <w:r>
              <w:rPr>
                <w:rFonts w:hint="eastAsia" w:ascii="仿宋" w:hAnsi="仿宋" w:eastAsia="仿宋" w:cs="仿宋"/>
                <w:bCs/>
                <w:sz w:val="24"/>
              </w:rPr>
              <w:t>供应商的本地化服务网点设在建德市范围内的得2分，在杭州地区范围内（除建德市外）的得1.5分,在浙江省范围内（除杭州地区范围外）的得1分，其余地区不得分。(注：投标人若未在以上区域设置本地化服务网点的，可于投标文件中提供相应的承诺函，承诺函中至少需包含在中标后30日历天内何处设立售后服务网点，否则不予认可)（投标文件中提供有效的承诺函或营业执照或房屋租赁合同等证明材料并加盖供应商公章，不提供不得分）。</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2</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客观</w:t>
            </w:r>
          </w:p>
        </w:tc>
        <w:tc>
          <w:tcPr>
            <w:tcW w:w="1842" w:type="dxa"/>
          </w:tcPr>
          <w:p>
            <w:pPr>
              <w:snapToGrid w:val="0"/>
              <w:spacing w:line="360" w:lineRule="auto"/>
              <w:jc w:val="center"/>
              <w:rPr>
                <w:rFonts w:cs="仿宋_GB2312" w:asciiTheme="minorEastAsia" w:hAnsiTheme="minorEastAsia" w:eastAsiaTheme="minorEastAsia"/>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13</w:t>
            </w:r>
          </w:p>
        </w:tc>
        <w:tc>
          <w:tcPr>
            <w:tcW w:w="5315" w:type="dxa"/>
            <w:vAlign w:val="center"/>
          </w:tcPr>
          <w:p>
            <w:pPr>
              <w:spacing w:line="300" w:lineRule="exact"/>
              <w:jc w:val="left"/>
              <w:rPr>
                <w:rFonts w:ascii="仿宋" w:hAnsi="仿宋" w:eastAsia="仿宋" w:cs="仿宋"/>
                <w:bCs/>
                <w:kern w:val="0"/>
                <w:sz w:val="24"/>
              </w:rPr>
            </w:pPr>
            <w:r>
              <w:rPr>
                <w:rFonts w:hint="eastAsia" w:ascii="仿宋" w:hAnsi="仿宋" w:eastAsia="仿宋" w:cs="仿宋"/>
                <w:bCs/>
                <w:kern w:val="0"/>
                <w:sz w:val="24"/>
              </w:rPr>
              <w:t>提供2020年1月1日以来投标企业同类项目成功案例，每提供一个得1分，最高得3分（提供合同复印件、用户联系方式）。</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3</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客观</w:t>
            </w:r>
          </w:p>
        </w:tc>
        <w:tc>
          <w:tcPr>
            <w:tcW w:w="1842" w:type="dxa"/>
          </w:tcPr>
          <w:p>
            <w:pPr>
              <w:snapToGrid w:val="0"/>
              <w:spacing w:line="360" w:lineRule="auto"/>
              <w:jc w:val="center"/>
              <w:rPr>
                <w:rFonts w:cs="仿宋_GB2312" w:asciiTheme="minorEastAsia" w:hAnsiTheme="minorEastAsia" w:eastAsiaTheme="minorEastAsia"/>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14</w:t>
            </w:r>
          </w:p>
        </w:tc>
        <w:tc>
          <w:tcPr>
            <w:tcW w:w="5315" w:type="dxa"/>
          </w:tcPr>
          <w:p>
            <w:pPr>
              <w:pStyle w:val="23"/>
              <w:rPr>
                <w:rFonts w:ascii="仿宋" w:hAnsi="仿宋" w:eastAsia="仿宋" w:cs="仿宋"/>
                <w:color w:val="000000"/>
                <w:sz w:val="24"/>
              </w:rPr>
            </w:pPr>
            <w:r>
              <w:rPr>
                <w:rFonts w:hint="eastAsia" w:ascii="仿宋" w:hAnsi="仿宋" w:eastAsia="仿宋" w:cs="仿宋"/>
                <w:color w:val="000000"/>
                <w:sz w:val="24"/>
              </w:rPr>
              <w:t>有效投标报价的最低价作为评标基准价，其最低报价为满分30分；按［投标报价得分</w:t>
            </w:r>
            <w:r>
              <w:rPr>
                <w:rFonts w:ascii="仿宋" w:hAnsi="仿宋" w:eastAsia="仿宋" w:cs="仿宋"/>
                <w:color w:val="000000"/>
                <w:sz w:val="24"/>
              </w:rPr>
              <w:t>=（评标基准价/投标报价）*</w:t>
            </w:r>
            <w:r>
              <w:rPr>
                <w:rFonts w:hint="eastAsia" w:ascii="仿宋" w:hAnsi="仿宋" w:eastAsia="仿宋" w:cs="仿宋"/>
                <w:color w:val="000000"/>
                <w:sz w:val="24"/>
              </w:rPr>
              <w:t>权重</w:t>
            </w:r>
            <w:r>
              <w:rPr>
                <w:rFonts w:ascii="仿宋" w:hAnsi="仿宋" w:eastAsia="仿宋" w:cs="仿宋"/>
                <w:color w:val="000000"/>
                <w:sz w:val="24"/>
              </w:rPr>
              <w:t>］的计算公式计算。</w:t>
            </w:r>
          </w:p>
          <w:p>
            <w:pPr>
              <w:pStyle w:val="23"/>
              <w:rPr>
                <w:rFonts w:asciiTheme="minorEastAsia" w:hAnsiTheme="minorEastAsia" w:eastAsiaTheme="minorEastAsia"/>
                <w:color w:val="0000FF"/>
                <w:sz w:val="24"/>
              </w:rPr>
            </w:pPr>
            <w:r>
              <w:rPr>
                <w:rFonts w:ascii="仿宋" w:hAnsi="仿宋" w:eastAsia="仿宋" w:cs="仿宋"/>
                <w:color w:val="000000"/>
                <w:sz w:val="24"/>
              </w:rPr>
              <w:t>评标过程中，不得去掉报价中的最高报价和最低报价。</w:t>
            </w:r>
          </w:p>
        </w:tc>
        <w:tc>
          <w:tcPr>
            <w:tcW w:w="708"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30</w:t>
            </w:r>
          </w:p>
        </w:tc>
        <w:tc>
          <w:tcPr>
            <w:tcW w:w="993" w:type="dxa"/>
            <w:vAlign w:val="center"/>
          </w:tcPr>
          <w:p>
            <w:pPr>
              <w:snapToGrid w:val="0"/>
              <w:spacing w:line="360" w:lineRule="auto"/>
              <w:jc w:val="center"/>
              <w:rPr>
                <w:rFonts w:cs="仿宋_GB2312" w:asciiTheme="minorEastAsia" w:hAnsiTheme="minorEastAsia" w:eastAsiaTheme="minorEastAsia"/>
                <w:color w:val="000000" w:themeColor="text1"/>
                <w:sz w:val="24"/>
              </w:rPr>
            </w:pPr>
            <w:r>
              <w:rPr>
                <w:rFonts w:hint="eastAsia" w:cs="仿宋_GB2312" w:asciiTheme="minorEastAsia" w:hAnsiTheme="minorEastAsia" w:eastAsiaTheme="minorEastAsia"/>
                <w:color w:val="000000" w:themeColor="text1"/>
                <w:sz w:val="24"/>
              </w:rPr>
              <w:t>客观</w:t>
            </w:r>
          </w:p>
        </w:tc>
        <w:tc>
          <w:tcPr>
            <w:tcW w:w="1842" w:type="dxa"/>
          </w:tcPr>
          <w:p>
            <w:pPr>
              <w:snapToGrid w:val="0"/>
              <w:spacing w:line="360" w:lineRule="auto"/>
              <w:jc w:val="center"/>
              <w:rPr>
                <w:rFonts w:cs="仿宋_GB2312" w:asciiTheme="minorEastAsia" w:hAnsiTheme="minorEastAsia" w:eastAsiaTheme="minorEastAsia"/>
                <w:color w:val="0000FF"/>
                <w:sz w:val="24"/>
              </w:rPr>
            </w:pPr>
          </w:p>
        </w:tc>
      </w:tr>
    </w:tbl>
    <w:p>
      <w:pPr>
        <w:pStyle w:val="7"/>
        <w:rPr>
          <w:lang w:val="en-US"/>
        </w:rPr>
      </w:pPr>
    </w:p>
    <w:p>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pPr>
        <w:snapToGrid w:val="0"/>
        <w:spacing w:line="360" w:lineRule="auto"/>
        <w:rPr>
          <w:rFonts w:ascii="宋体" w:hAnsi="宋体" w:cs="宋体"/>
          <w:b/>
          <w:sz w:val="32"/>
        </w:rPr>
      </w:pPr>
    </w:p>
    <w:p>
      <w:pPr>
        <w:snapToGrid w:val="0"/>
        <w:spacing w:line="360" w:lineRule="auto"/>
        <w:rPr>
          <w:rFonts w:ascii="宋体" w:hAnsi="宋体" w:cs="宋体"/>
          <w:b/>
          <w:sz w:val="32"/>
        </w:rPr>
      </w:pPr>
    </w:p>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360" w:lineRule="auto"/>
        <w:ind w:firstLine="472" w:firstLineChars="196"/>
        <w:rPr>
          <w:rFonts w:ascii="宋体" w:hAnsi="宋体" w:cs="宋体"/>
          <w:b/>
          <w:sz w:val="24"/>
        </w:rPr>
      </w:pPr>
      <w:r>
        <w:rPr>
          <w:rFonts w:hint="eastAsia" w:ascii="宋体" w:hAnsi="宋体" w:cs="宋体"/>
          <w:b/>
          <w:sz w:val="24"/>
        </w:rPr>
        <w:t>2.评标标准：</w:t>
      </w:r>
      <w:r>
        <w:rPr>
          <w:rFonts w:hint="eastAsia" w:ascii="宋体" w:hAnsi="宋体" w:cs="宋体"/>
          <w:kern w:val="0"/>
          <w:sz w:val="24"/>
        </w:rPr>
        <w:t>见评标办法前附表。</w:t>
      </w:r>
    </w:p>
    <w:p>
      <w:pPr>
        <w:spacing w:line="360" w:lineRule="auto"/>
        <w:outlineLvl w:val="0"/>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128"/>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pPr>
        <w:pStyle w:val="128"/>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128"/>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128"/>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128"/>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128"/>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128"/>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128"/>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3"/>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pPr>
        <w:pStyle w:val="7"/>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3"/>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pPr>
        <w:pStyle w:val="3"/>
        <w:snapToGrid w:val="0"/>
        <w:spacing w:line="360" w:lineRule="auto"/>
        <w:rPr>
          <w:rFonts w:cs="宋体"/>
        </w:rPr>
      </w:pPr>
      <w:r>
        <w:rPr>
          <w:rFonts w:hint="eastAsia" w:cs="宋体"/>
        </w:rPr>
        <w:t>5.1符合专业条件的供应商或者对招标文件作实质响应的供应商不足3家的；</w:t>
      </w:r>
    </w:p>
    <w:p>
      <w:pPr>
        <w:pStyle w:val="3"/>
        <w:snapToGrid w:val="0"/>
        <w:spacing w:line="360" w:lineRule="auto"/>
        <w:rPr>
          <w:rFonts w:cs="宋体"/>
        </w:rPr>
      </w:pPr>
      <w:r>
        <w:rPr>
          <w:rFonts w:hint="eastAsia" w:cs="宋体"/>
        </w:rPr>
        <w:t>5.2出现影响采购公正的违法、违规行为的；</w:t>
      </w:r>
    </w:p>
    <w:p>
      <w:pPr>
        <w:pStyle w:val="3"/>
        <w:snapToGrid w:val="0"/>
        <w:spacing w:line="360" w:lineRule="auto"/>
        <w:rPr>
          <w:rFonts w:cs="宋体"/>
        </w:rPr>
      </w:pPr>
      <w:r>
        <w:rPr>
          <w:rFonts w:hint="eastAsia" w:cs="宋体"/>
        </w:rPr>
        <w:t>5.3投标人的报价均超过了采购预算，采购人不能支付的；</w:t>
      </w:r>
    </w:p>
    <w:p>
      <w:pPr>
        <w:pStyle w:val="3"/>
        <w:snapToGrid w:val="0"/>
        <w:spacing w:line="360" w:lineRule="auto"/>
        <w:rPr>
          <w:rFonts w:cs="宋体"/>
        </w:rPr>
      </w:pPr>
      <w:r>
        <w:rPr>
          <w:rFonts w:hint="eastAsia" w:cs="宋体"/>
        </w:rPr>
        <w:t>5.4因重大变故，采购任务取消的。</w:t>
      </w:r>
    </w:p>
    <w:p>
      <w:pPr>
        <w:pStyle w:val="3"/>
        <w:snapToGrid w:val="0"/>
        <w:spacing w:line="360" w:lineRule="auto"/>
        <w:rPr>
          <w:rFonts w:cs="宋体"/>
        </w:rPr>
      </w:pPr>
      <w:r>
        <w:rPr>
          <w:rFonts w:hint="eastAsia" w:cs="宋体"/>
        </w:rPr>
        <w:t>废标后，采购代理机构应当将废标理由通知所有投标人。</w:t>
      </w:r>
    </w:p>
    <w:p>
      <w:pPr>
        <w:pStyle w:val="3"/>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3"/>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pPr>
        <w:pStyle w:val="3"/>
        <w:snapToGrid w:val="0"/>
        <w:spacing w:line="360" w:lineRule="auto"/>
        <w:rPr>
          <w:rFonts w:cs="宋体"/>
        </w:rPr>
      </w:pPr>
      <w:r>
        <w:rPr>
          <w:rFonts w:hint="eastAsia" w:cs="宋体"/>
        </w:rPr>
        <w:t>7.1未确定中标供应商的，终止本次政府采购活动，重新开展政府采购活动。</w:t>
      </w:r>
    </w:p>
    <w:p>
      <w:pPr>
        <w:pStyle w:val="3"/>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pPr>
        <w:pStyle w:val="3"/>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pPr>
        <w:pStyle w:val="3"/>
        <w:snapToGrid w:val="0"/>
        <w:spacing w:line="360" w:lineRule="auto"/>
        <w:rPr>
          <w:rFonts w:cs="宋体"/>
        </w:rPr>
      </w:pPr>
      <w:r>
        <w:rPr>
          <w:rFonts w:hint="eastAsia" w:cs="宋体"/>
        </w:rPr>
        <w:t>7.4政府采购合同已经履行，给采购人、供应商造成损失的，由责任人承担赔偿责任。</w:t>
      </w:r>
    </w:p>
    <w:p>
      <w:pPr>
        <w:pStyle w:val="3"/>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31"/>
      <w:bookmarkStart w:id="397" w:name="第五部分"/>
      <w:bookmarkStart w:id="398" w:name="_Toc86217003"/>
    </w:p>
    <w:p>
      <w:pPr>
        <w:pStyle w:val="3"/>
        <w:snapToGrid w:val="0"/>
        <w:spacing w:line="360" w:lineRule="auto"/>
        <w:rPr>
          <w:rFonts w:cs="宋体"/>
        </w:rPr>
      </w:pPr>
    </w:p>
    <w:p>
      <w:pPr>
        <w:pStyle w:val="3"/>
        <w:snapToGrid w:val="0"/>
        <w:spacing w:line="360" w:lineRule="auto"/>
        <w:rPr>
          <w:rFonts w:cs="宋体"/>
        </w:rPr>
      </w:pPr>
    </w:p>
    <w:p>
      <w:pPr>
        <w:spacing w:line="360" w:lineRule="auto"/>
        <w:ind w:left="720" w:leftChars="343" w:firstLine="1084" w:firstLineChars="300"/>
        <w:outlineLvl w:val="0"/>
        <w:rPr>
          <w:rFonts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（货物类）</w:t>
      </w:r>
    </w:p>
    <w:p>
      <w:pPr>
        <w:pStyle w:val="699"/>
        <w:rPr>
          <w:rFonts w:ascii="宋体" w:hAnsi="宋体" w:cs="宋体"/>
          <w:szCs w:val="24"/>
        </w:rPr>
      </w:pPr>
    </w:p>
    <w:p>
      <w:pPr>
        <w:pStyle w:val="699"/>
        <w:rPr>
          <w:rFonts w:ascii="宋体" w:hAnsi="宋体" w:cs="宋体"/>
          <w:szCs w:val="24"/>
        </w:rPr>
      </w:pPr>
    </w:p>
    <w:p>
      <w:pPr>
        <w:pStyle w:val="699"/>
        <w:jc w:val="center"/>
        <w:rPr>
          <w:rFonts w:ascii="宋体" w:hAnsi="宋体" w:cs="宋体"/>
          <w:szCs w:val="24"/>
        </w:rPr>
      </w:pPr>
    </w:p>
    <w:p>
      <w:pPr>
        <w:pStyle w:val="699"/>
        <w:ind w:firstLine="2843" w:firstLineChars="1180"/>
        <w:rPr>
          <w:rFonts w:ascii="宋体" w:hAnsi="宋体" w:cs="宋体"/>
          <w:b/>
          <w:szCs w:val="24"/>
        </w:rPr>
      </w:pPr>
      <w:r>
        <w:rPr>
          <w:rFonts w:hint="eastAsia" w:ascii="宋体" w:hAnsi="宋体" w:cs="宋体"/>
          <w:b/>
          <w:szCs w:val="24"/>
        </w:rPr>
        <w:t>第一部分 合同书</w:t>
      </w:r>
    </w:p>
    <w:p>
      <w:pPr>
        <w:pStyle w:val="699"/>
        <w:rPr>
          <w:rFonts w:ascii="宋体" w:hAnsi="宋体" w:cs="宋体"/>
          <w:szCs w:val="24"/>
        </w:rPr>
      </w:pPr>
    </w:p>
    <w:p>
      <w:pPr>
        <w:pStyle w:val="699"/>
        <w:rPr>
          <w:rFonts w:ascii="宋体" w:hAnsi="宋体" w:cs="宋体"/>
          <w:szCs w:val="24"/>
        </w:rPr>
      </w:pPr>
    </w:p>
    <w:p>
      <w:pPr>
        <w:spacing w:before="120" w:line="22" w:lineRule="atLeast"/>
        <w:rPr>
          <w:rFonts w:ascii="宋体" w:hAnsi="宋体" w:cs="宋体"/>
          <w:sz w:val="24"/>
        </w:rPr>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Theme="minorEastAsia" w:hAnsiTheme="minorEastAsia" w:eastAsiaTheme="minorEastAsia"/>
          <w:sz w:val="24"/>
        </w:rPr>
        <w:t>建德市人民检察院驻新看守所检察室弱电项目</w:t>
      </w:r>
    </w:p>
    <w:p>
      <w:pPr>
        <w:pStyle w:val="596"/>
        <w:spacing w:before="120" w:line="22" w:lineRule="atLeast"/>
        <w:rPr>
          <w:rFonts w:ascii="宋体" w:hAnsi="宋体" w:eastAsia="宋体" w:cs="宋体"/>
          <w:szCs w:val="24"/>
        </w:rPr>
      </w:pPr>
    </w:p>
    <w:p>
      <w:pPr>
        <w:pStyle w:val="596"/>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甲方：建德市人民检察院</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签订日期：年月日</w:t>
      </w:r>
    </w:p>
    <w:p>
      <w:pPr>
        <w:widowControl/>
        <w:jc w:val="left"/>
        <w:rPr>
          <w:rFonts w:ascii="宋体" w:hAnsi="宋体" w:cs="宋体"/>
          <w:kern w:val="0"/>
          <w:sz w:val="24"/>
        </w:rPr>
        <w:sectPr>
          <w:pgSz w:w="11907" w:h="16840"/>
          <w:pgMar w:top="1191" w:right="1134" w:bottom="1191" w:left="1134" w:header="851" w:footer="851" w:gutter="0"/>
          <w:cols w:space="720" w:num="1"/>
          <w:docGrid w:linePitch="286" w:charSpace="0"/>
        </w:sectPr>
      </w:pPr>
    </w:p>
    <w:p>
      <w:pPr>
        <w:spacing w:line="560" w:lineRule="exact"/>
        <w:ind w:firstLine="600" w:firstLineChars="250"/>
        <w:rPr>
          <w:rFonts w:ascii="宋体" w:hAnsi="宋体" w:cs="宋体"/>
          <w:sz w:val="24"/>
        </w:rPr>
      </w:pPr>
      <w:r>
        <w:rPr>
          <w:rFonts w:hint="eastAsia" w:ascii="宋体" w:hAnsi="宋体" w:cs="宋体"/>
          <w:sz w:val="24"/>
          <w:u w:val="single"/>
          <w:lang w:val="zh-CN"/>
        </w:rPr>
        <w:t>年  月    日</w:t>
      </w:r>
      <w:r>
        <w:rPr>
          <w:rFonts w:hint="eastAsia" w:ascii="宋体" w:hAnsi="宋体" w:cs="宋体"/>
          <w:sz w:val="24"/>
        </w:rPr>
        <w:t>，</w:t>
      </w:r>
      <w:r>
        <w:rPr>
          <w:rFonts w:hint="eastAsia" w:ascii="宋体" w:hAnsi="宋体" w:cs="宋体"/>
          <w:sz w:val="24"/>
          <w:u w:val="single"/>
        </w:rPr>
        <w:t>建德市人民检察院</w:t>
      </w:r>
      <w:r>
        <w:rPr>
          <w:rFonts w:hint="eastAsia" w:ascii="宋体" w:hAnsi="宋体" w:cs="宋体"/>
          <w:sz w:val="24"/>
        </w:rPr>
        <w:t>以</w:t>
      </w:r>
      <w:r>
        <w:rPr>
          <w:rFonts w:hint="eastAsia" w:ascii="宋体" w:hAnsi="宋体" w:cs="宋体"/>
          <w:sz w:val="24"/>
          <w:u w:val="single"/>
        </w:rPr>
        <w:t>公开招标</w:t>
      </w:r>
      <w:r>
        <w:rPr>
          <w:rFonts w:hint="eastAsia" w:ascii="宋体" w:hAnsi="宋体" w:cs="宋体"/>
          <w:sz w:val="24"/>
        </w:rPr>
        <w:t>对</w:t>
      </w:r>
      <w:r>
        <w:rPr>
          <w:rFonts w:hint="eastAsia" w:ascii="宋体" w:hAnsi="宋体" w:cs="宋体"/>
          <w:sz w:val="24"/>
          <w:u w:val="single"/>
        </w:rPr>
        <w:t>建德市人民检察院驻新看守所检察室弱电项目【招标编号：JD2023BJ-028】</w:t>
      </w:r>
      <w:r>
        <w:rPr>
          <w:rFonts w:hint="eastAsia" w:ascii="宋体" w:hAnsi="宋体" w:cs="宋体"/>
          <w:sz w:val="24"/>
        </w:rPr>
        <w:t>项目进行了采购。经</w:t>
      </w:r>
      <w:r>
        <w:rPr>
          <w:rFonts w:hint="eastAsia" w:ascii="宋体" w:hAnsi="宋体" w:cs="宋体"/>
          <w:sz w:val="24"/>
          <w:u w:val="single"/>
        </w:rPr>
        <w:t xml:space="preserve">   （相关评定主体名称）   </w:t>
      </w:r>
      <w:r>
        <w:rPr>
          <w:rFonts w:hint="eastAsia" w:ascii="宋体" w:hAnsi="宋体" w:cs="宋体"/>
          <w:sz w:val="24"/>
        </w:rPr>
        <w:t>评定，</w:t>
      </w:r>
      <w:r>
        <w:rPr>
          <w:rFonts w:hint="eastAsia" w:ascii="宋体" w:hAnsi="宋体" w:cs="宋体"/>
          <w:sz w:val="24"/>
          <w:u w:val="single"/>
        </w:rPr>
        <w:t xml:space="preserve">   （中标或者成交供应商名称）</w:t>
      </w:r>
      <w:r>
        <w:rPr>
          <w:rFonts w:hint="eastAsia" w:ascii="宋体" w:hAnsi="宋体" w:cs="宋体"/>
          <w:sz w:val="24"/>
        </w:rPr>
        <w:t>为该项目中标或者成交供应商。现于中标或者成交通知书发出之日起10个工作日内，按照采购文件等确定的事项签订本合同。</w:t>
      </w:r>
    </w:p>
    <w:p>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rPr>
        <w:t xml:space="preserve">   （采购人）   </w:t>
      </w:r>
      <w:r>
        <w:rPr>
          <w:rFonts w:hint="eastAsia" w:ascii="宋体" w:hAnsi="宋体" w:cs="宋体"/>
          <w:sz w:val="24"/>
          <w:lang w:val="zh-CN"/>
        </w:rPr>
        <w:t>(以下简称：甲方)和</w:t>
      </w:r>
      <w:r>
        <w:rPr>
          <w:rFonts w:hint="eastAsia" w:ascii="宋体" w:hAnsi="宋体" w:cs="宋体"/>
          <w:sz w:val="24"/>
          <w:u w:val="single"/>
        </w:rPr>
        <w:t xml:space="preserve">   （中标或者成交供应商名称）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pPr>
        <w:spacing w:line="560" w:lineRule="exact"/>
        <w:ind w:firstLine="482" w:firstLineChars="200"/>
        <w:outlineLvl w:val="0"/>
        <w:rPr>
          <w:rFonts w:ascii="宋体" w:hAnsi="宋体" w:cs="宋体"/>
          <w:b/>
          <w:sz w:val="24"/>
        </w:rPr>
      </w:pPr>
      <w:bookmarkStart w:id="399" w:name="_Toc24059"/>
      <w:bookmarkStart w:id="400" w:name="_Toc3029"/>
      <w:bookmarkStart w:id="401" w:name="_Toc2232"/>
      <w:r>
        <w:rPr>
          <w:rFonts w:hint="eastAsia" w:ascii="宋体" w:hAnsi="宋体" w:cs="宋体"/>
          <w:b/>
          <w:sz w:val="24"/>
        </w:rPr>
        <w:t>1.1 合同组成部分</w:t>
      </w:r>
      <w:bookmarkEnd w:id="399"/>
      <w:bookmarkEnd w:id="400"/>
      <w:bookmarkEnd w:id="401"/>
    </w:p>
    <w:p>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pPr>
        <w:spacing w:line="560" w:lineRule="exact"/>
        <w:ind w:firstLine="480" w:firstLineChars="200"/>
        <w:rPr>
          <w:rFonts w:ascii="宋体" w:hAnsi="宋体" w:cs="宋体"/>
          <w:sz w:val="24"/>
        </w:rPr>
      </w:pPr>
      <w:r>
        <w:rPr>
          <w:rFonts w:hint="eastAsia" w:ascii="宋体" w:hAnsi="宋体" w:cs="宋体"/>
          <w:sz w:val="24"/>
        </w:rPr>
        <w:t>1.1.2 中标或者成交通知书；</w:t>
      </w:r>
    </w:p>
    <w:p>
      <w:pPr>
        <w:spacing w:line="560" w:lineRule="exact"/>
        <w:ind w:firstLine="480" w:firstLineChars="200"/>
        <w:rPr>
          <w:rFonts w:ascii="宋体" w:hAnsi="宋体" w:cs="宋体"/>
          <w:sz w:val="24"/>
        </w:rPr>
      </w:pPr>
      <w:r>
        <w:rPr>
          <w:rFonts w:hint="eastAsia" w:ascii="宋体" w:hAnsi="宋体" w:cs="宋体"/>
          <w:sz w:val="24"/>
        </w:rPr>
        <w:t>1.1.3 投标或者响应文件（含澄清或者说明文件）；</w:t>
      </w:r>
    </w:p>
    <w:p>
      <w:pPr>
        <w:spacing w:line="560" w:lineRule="exact"/>
        <w:ind w:firstLine="480" w:firstLineChars="200"/>
        <w:rPr>
          <w:rFonts w:ascii="宋体" w:hAnsi="宋体" w:cs="宋体"/>
          <w:sz w:val="24"/>
        </w:rPr>
      </w:pPr>
      <w:r>
        <w:rPr>
          <w:rFonts w:hint="eastAsia" w:ascii="宋体" w:hAnsi="宋体" w:cs="宋体"/>
          <w:sz w:val="24"/>
        </w:rPr>
        <w:t>1.1.4 采购文件（含澄清或者修改文件）；</w:t>
      </w:r>
    </w:p>
    <w:p>
      <w:pPr>
        <w:spacing w:line="560" w:lineRule="exact"/>
        <w:ind w:firstLine="480" w:firstLineChars="200"/>
        <w:rPr>
          <w:rFonts w:ascii="宋体" w:hAnsi="宋体" w:cs="宋体"/>
          <w:sz w:val="24"/>
        </w:rPr>
      </w:pPr>
      <w:r>
        <w:rPr>
          <w:rFonts w:hint="eastAsia" w:ascii="宋体" w:hAnsi="宋体" w:cs="宋体"/>
          <w:sz w:val="24"/>
        </w:rPr>
        <w:t>1.1.5 其他相关采购文件。</w:t>
      </w:r>
    </w:p>
    <w:p>
      <w:pPr>
        <w:spacing w:line="560" w:lineRule="exact"/>
        <w:ind w:firstLine="482" w:firstLineChars="200"/>
        <w:outlineLvl w:val="0"/>
        <w:rPr>
          <w:rFonts w:ascii="宋体" w:hAnsi="宋体" w:cs="宋体"/>
          <w:b/>
          <w:sz w:val="24"/>
        </w:rPr>
      </w:pPr>
      <w:bookmarkStart w:id="402" w:name="_Toc24300"/>
      <w:bookmarkStart w:id="403" w:name="_Toc27126"/>
      <w:bookmarkStart w:id="404" w:name="_Toc21295"/>
      <w:r>
        <w:rPr>
          <w:rFonts w:hint="eastAsia" w:ascii="宋体" w:hAnsi="宋体" w:cs="宋体"/>
          <w:b/>
          <w:sz w:val="24"/>
        </w:rPr>
        <w:t>1.2 货物</w:t>
      </w:r>
      <w:bookmarkEnd w:id="402"/>
      <w:bookmarkEnd w:id="403"/>
      <w:bookmarkEnd w:id="404"/>
    </w:p>
    <w:p>
      <w:pPr>
        <w:spacing w:line="560" w:lineRule="exact"/>
        <w:ind w:firstLine="480" w:firstLineChars="200"/>
        <w:rPr>
          <w:rFonts w:ascii="宋体" w:hAnsi="宋体" w:cs="宋体"/>
          <w:sz w:val="24"/>
          <w:u w:val="single"/>
        </w:rPr>
      </w:pPr>
      <w:r>
        <w:rPr>
          <w:rFonts w:hint="eastAsia" w:ascii="宋体" w:hAnsi="宋体" w:cs="宋体"/>
          <w:sz w:val="24"/>
        </w:rPr>
        <w:t>1.2.1 货物名称、品牌、规格型号、花色：；</w:t>
      </w:r>
    </w:p>
    <w:p>
      <w:pPr>
        <w:spacing w:line="560" w:lineRule="exact"/>
        <w:ind w:firstLine="480" w:firstLineChars="200"/>
        <w:rPr>
          <w:rFonts w:ascii="宋体" w:hAnsi="宋体" w:cs="宋体"/>
          <w:sz w:val="24"/>
          <w:u w:val="single"/>
        </w:rPr>
      </w:pPr>
      <w:r>
        <w:rPr>
          <w:rFonts w:hint="eastAsia" w:ascii="宋体" w:hAnsi="宋体" w:cs="宋体"/>
          <w:sz w:val="24"/>
        </w:rPr>
        <w:t>1.2.2 货物数量：；</w:t>
      </w:r>
    </w:p>
    <w:p>
      <w:pPr>
        <w:spacing w:line="560" w:lineRule="exact"/>
        <w:ind w:firstLine="480" w:firstLineChars="200"/>
        <w:rPr>
          <w:rFonts w:ascii="宋体" w:hAnsi="宋体" w:cs="宋体"/>
          <w:sz w:val="24"/>
          <w:u w:val="single"/>
        </w:rPr>
      </w:pPr>
      <w:r>
        <w:rPr>
          <w:rFonts w:hint="eastAsia" w:ascii="宋体" w:hAnsi="宋体" w:cs="宋体"/>
          <w:sz w:val="24"/>
        </w:rPr>
        <w:t>1.2.3 货物质量：</w:t>
      </w:r>
      <w:r>
        <w:rPr>
          <w:rFonts w:hint="eastAsia" w:ascii="宋体" w:hAnsi="宋体" w:cs="宋体"/>
          <w:sz w:val="24"/>
          <w:u w:val="single"/>
        </w:rPr>
        <w:t>　　　　　　　　　                      　      ；</w:t>
      </w:r>
    </w:p>
    <w:p>
      <w:pPr>
        <w:spacing w:line="560" w:lineRule="exact"/>
        <w:ind w:firstLine="482" w:firstLineChars="200"/>
        <w:outlineLvl w:val="0"/>
        <w:rPr>
          <w:rFonts w:ascii="宋体" w:hAnsi="宋体" w:cs="宋体"/>
          <w:b/>
          <w:sz w:val="24"/>
        </w:rPr>
      </w:pPr>
      <w:bookmarkStart w:id="405" w:name="_Toc21551"/>
      <w:bookmarkStart w:id="406" w:name="_Toc23292"/>
      <w:bookmarkStart w:id="407" w:name="_Toc21631"/>
      <w:r>
        <w:rPr>
          <w:rFonts w:hint="eastAsia" w:ascii="宋体" w:hAnsi="宋体" w:cs="宋体"/>
          <w:b/>
          <w:sz w:val="24"/>
        </w:rPr>
        <w:t>1.3 价款</w:t>
      </w:r>
      <w:bookmarkEnd w:id="405"/>
      <w:bookmarkEnd w:id="406"/>
      <w:bookmarkEnd w:id="407"/>
    </w:p>
    <w:p>
      <w:pPr>
        <w:spacing w:line="560" w:lineRule="exact"/>
        <w:ind w:firstLine="480" w:firstLineChars="200"/>
        <w:rPr>
          <w:rFonts w:ascii="宋体" w:hAnsi="宋体" w:cs="宋体"/>
          <w:sz w:val="24"/>
        </w:rPr>
      </w:pPr>
      <w:r>
        <w:rPr>
          <w:rFonts w:hint="eastAsia" w:ascii="宋体" w:hAnsi="宋体" w:cs="宋体"/>
          <w:sz w:val="24"/>
        </w:rPr>
        <w:t>本合同总价（含税）为：￥元（大写：元人民币）。</w:t>
      </w:r>
    </w:p>
    <w:p>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jc w:val="center"/>
              <w:rPr>
                <w:rFonts w:hAnsi="宋体" w:cs="宋体"/>
                <w:sz w:val="24"/>
                <w:szCs w:val="24"/>
              </w:rPr>
            </w:pPr>
            <w:r>
              <w:rPr>
                <w:rFonts w:hint="eastAsia" w:hAnsi="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r>
              <w:rPr>
                <w:rFonts w:hint="eastAsia" w:hAnsi="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jc w:val="center"/>
              <w:rPr>
                <w:rFonts w:hAnsi="宋体" w:cs="宋体"/>
                <w:sz w:val="24"/>
                <w:szCs w:val="24"/>
              </w:rPr>
            </w:pPr>
            <w:r>
              <w:rPr>
                <w:rFonts w:hint="eastAsia" w:hAnsi="宋体" w:cs="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r>
              <w:rPr>
                <w:rFonts w:hint="eastAsia" w:hAnsi="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Ansi="宋体" w:cs="宋体"/>
                <w:sz w:val="24"/>
                <w:szCs w:val="24"/>
              </w:rPr>
            </w:pPr>
          </w:p>
        </w:tc>
      </w:tr>
    </w:tbl>
    <w:p>
      <w:pPr>
        <w:pStyle w:val="957"/>
        <w:spacing w:before="0" w:beforeAutospacing="0" w:after="0" w:afterAutospacing="0" w:line="360" w:lineRule="auto"/>
        <w:ind w:firstLine="480"/>
        <w:rPr>
          <w:b/>
        </w:rPr>
      </w:pPr>
      <w:bookmarkStart w:id="408" w:name="_Toc1814"/>
      <w:bookmarkStart w:id="409" w:name="_Toc22618"/>
      <w:bookmarkStart w:id="410" w:name="_Toc10340"/>
      <w:r>
        <w:rPr>
          <w:rFonts w:hint="eastAsia"/>
          <w:b/>
        </w:rPr>
        <w:t>1.4履约保证金</w:t>
      </w:r>
    </w:p>
    <w:p>
      <w:pPr>
        <w:pStyle w:val="957"/>
        <w:spacing w:before="0" w:beforeAutospacing="0" w:after="0" w:afterAutospacing="0" w:line="360" w:lineRule="auto"/>
        <w:ind w:firstLine="480"/>
      </w:pPr>
      <w:r>
        <w:rPr>
          <w:rFonts w:hint="eastAsia"/>
        </w:rPr>
        <w:t xml:space="preserve">乙方 </w:t>
      </w:r>
      <w:r>
        <w:rPr>
          <w:rFonts w:hint="eastAsia"/>
          <w:u w:val="single"/>
        </w:rPr>
        <w:t>否</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b/>
          <w:i/>
          <w:sz w:val="24"/>
          <w:u w:val="single"/>
        </w:rPr>
        <w:t>合同专用条款</w:t>
      </w:r>
      <w:r>
        <w:rPr>
          <w:rFonts w:hint="eastAsia" w:ascii="宋体" w:hAnsi="宋体" w:cs="宋体"/>
          <w:kern w:val="0"/>
          <w:sz w:val="24"/>
        </w:rPr>
        <w:t>；</w:t>
      </w:r>
    </w:p>
    <w:p>
      <w:pPr>
        <w:pStyle w:val="7"/>
        <w:tabs>
          <w:tab w:val="left" w:pos="0"/>
          <w:tab w:val="clear" w:pos="432"/>
        </w:tabs>
        <w:spacing w:line="560" w:lineRule="exact"/>
        <w:ind w:left="0" w:firstLine="480" w:firstLineChars="200"/>
        <w:rPr>
          <w:rFonts w:eastAsia="宋体"/>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pPr>
      <w:r>
        <w:rPr>
          <w:rFonts w:hint="eastAsia" w:ascii="宋体" w:hAnsi="宋体" w:cs="宋体"/>
          <w:kern w:val="0"/>
          <w:sz w:val="24"/>
        </w:rPr>
        <w:t>1.4.4 甲方在项目验收结束后及时退还履约保证金。甲方在项目通过验收之日起个工作日内将履约保证金无息退还乙方，逾期退还的，乙方可要求甲方支付违约金，违约金按每迟延退还一日的应退还而未退还金额的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408"/>
      <w:bookmarkEnd w:id="409"/>
      <w:bookmarkEnd w:id="410"/>
      <w:r>
        <w:rPr>
          <w:rFonts w:hint="eastAsia" w:ascii="宋体" w:hAnsi="宋体" w:cs="宋体"/>
          <w:b/>
          <w:sz w:val="24"/>
        </w:rPr>
        <w:t>预付款</w:t>
      </w:r>
    </w:p>
    <w:p>
      <w:pPr>
        <w:pStyle w:val="957"/>
        <w:spacing w:before="0" w:beforeAutospacing="0" w:after="0" w:afterAutospacing="0" w:line="360" w:lineRule="auto"/>
        <w:ind w:firstLine="480"/>
      </w:pPr>
      <w:r>
        <w:rPr>
          <w:rFonts w:hint="eastAsia"/>
        </w:rPr>
        <w:t>甲方（是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b/>
          <w:i/>
          <w:sz w:val="24"/>
          <w:u w:val="single"/>
        </w:rPr>
        <w:t>合同专用条款</w:t>
      </w:r>
      <w:r>
        <w:rPr>
          <w:rFonts w:hint="eastAsia" w:ascii="宋体" w:hAnsi="宋体" w:cs="宋体"/>
          <w:kern w:val="0"/>
          <w:sz w:val="24"/>
        </w:rPr>
        <w:t>；</w:t>
      </w:r>
    </w:p>
    <w:p>
      <w:pPr>
        <w:pStyle w:val="957"/>
        <w:spacing w:before="0" w:beforeAutospacing="0" w:after="0" w:afterAutospacing="0" w:line="360" w:lineRule="auto"/>
        <w:ind w:firstLine="480"/>
      </w:pPr>
      <w:r>
        <w:rPr>
          <w:rFonts w:hint="eastAsia"/>
        </w:rPr>
        <w:t>1.5.2预付款的扣回方式详见</w:t>
      </w:r>
      <w:r>
        <w:rPr>
          <w:rFonts w:hint="eastAsia"/>
          <w:b/>
          <w:i/>
          <w:u w:val="single"/>
        </w:rPr>
        <w:t>合同专用条款</w:t>
      </w:r>
      <w:r>
        <w:rPr>
          <w:rFonts w:hint="eastAsia"/>
        </w:rPr>
        <w:t>；</w:t>
      </w:r>
    </w:p>
    <w:p>
      <w:pPr>
        <w:pStyle w:val="957"/>
        <w:spacing w:before="0" w:beforeAutospacing="0" w:after="0" w:afterAutospacing="0" w:line="360" w:lineRule="auto"/>
        <w:ind w:firstLine="480"/>
        <w:rPr>
          <w:u w:val="single"/>
        </w:rPr>
      </w:pPr>
      <w:r>
        <w:rPr>
          <w:rFonts w:hint="eastAsia"/>
        </w:rPr>
        <w:t>1.5.3预付款的担保措施详见</w:t>
      </w:r>
      <w:r>
        <w:rPr>
          <w:rFonts w:hint="eastAsia"/>
          <w:b/>
          <w:i/>
          <w:u w:val="single"/>
        </w:rPr>
        <w:t>合同专用条款</w:t>
      </w:r>
      <w:r>
        <w:rPr>
          <w:rFonts w:hint="eastAsia"/>
        </w:rPr>
        <w:t>。</w:t>
      </w:r>
    </w:p>
    <w:p>
      <w:pPr>
        <w:pStyle w:val="957"/>
        <w:spacing w:before="0" w:beforeAutospacing="0" w:after="0" w:afterAutospacing="0" w:line="360" w:lineRule="auto"/>
        <w:ind w:firstLine="480"/>
        <w:rPr>
          <w:b/>
          <w:bCs/>
        </w:rPr>
      </w:pPr>
      <w:r>
        <w:rPr>
          <w:rFonts w:hint="eastAsia"/>
          <w:b/>
          <w:bCs/>
        </w:rPr>
        <w:t>1.6资金支付</w:t>
      </w:r>
    </w:p>
    <w:p>
      <w:pPr>
        <w:pStyle w:val="957"/>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11" w:name="_Toc19304"/>
      <w:bookmarkStart w:id="412" w:name="_Toc2846"/>
      <w:bookmarkStart w:id="413" w:name="_Toc32071"/>
      <w:r>
        <w:rPr>
          <w:rFonts w:hint="eastAsia" w:ascii="宋体" w:hAnsi="宋体" w:cs="宋体"/>
          <w:b/>
          <w:sz w:val="24"/>
        </w:rPr>
        <w:t>1.7货物交付期限、地点和方式</w:t>
      </w:r>
      <w:bookmarkEnd w:id="411"/>
      <w:bookmarkEnd w:id="412"/>
      <w:bookmarkEnd w:id="413"/>
    </w:p>
    <w:p>
      <w:pPr>
        <w:spacing w:line="560" w:lineRule="exact"/>
        <w:ind w:firstLine="480" w:firstLineChars="200"/>
        <w:rPr>
          <w:rFonts w:ascii="宋体" w:hAnsi="宋体" w:cs="宋体"/>
          <w:sz w:val="24"/>
          <w:u w:val="single"/>
        </w:rPr>
      </w:pPr>
      <w:r>
        <w:rPr>
          <w:rFonts w:hint="eastAsia" w:ascii="宋体" w:hAnsi="宋体" w:cs="宋体"/>
          <w:sz w:val="24"/>
        </w:rPr>
        <w:t>1.7.1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14" w:name="_Toc19554"/>
      <w:bookmarkStart w:id="415" w:name="_Toc27250"/>
      <w:bookmarkStart w:id="416" w:name="_Toc21423"/>
      <w:r>
        <w:rPr>
          <w:rFonts w:hint="eastAsia" w:ascii="宋体" w:hAnsi="宋体" w:cs="宋体"/>
          <w:b/>
          <w:sz w:val="24"/>
        </w:rPr>
        <w:t>1.8违约责任</w:t>
      </w:r>
      <w:bookmarkEnd w:id="414"/>
      <w:bookmarkEnd w:id="415"/>
      <w:bookmarkEnd w:id="416"/>
    </w:p>
    <w:p>
      <w:pPr>
        <w:spacing w:line="560" w:lineRule="exact"/>
        <w:ind w:firstLine="480" w:firstLineChars="200"/>
        <w:rPr>
          <w:rFonts w:ascii="宋体" w:hAnsi="宋体" w:cs="宋体"/>
          <w:sz w:val="24"/>
        </w:rPr>
      </w:pPr>
      <w:r>
        <w:rPr>
          <w:rFonts w:hint="eastAsia" w:ascii="宋体" w:hAnsi="宋体" w:cs="宋体"/>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s="宋体"/>
          <w:sz w:val="24"/>
        </w:rPr>
      </w:pPr>
      <w:r>
        <w:rPr>
          <w:rFonts w:hint="eastAsia" w:ascii="宋体" w:hAnsi="宋体" w:cs="宋体"/>
          <w:sz w:val="24"/>
        </w:rPr>
        <w:t>1.8.2 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p>
    <w:p>
      <w:pPr>
        <w:spacing w:line="560" w:lineRule="exact"/>
        <w:ind w:firstLine="480" w:firstLineChars="200"/>
        <w:rPr>
          <w:rFonts w:ascii="宋体" w:hAnsi="宋体" w:cs="宋体"/>
          <w:sz w:val="24"/>
        </w:rPr>
      </w:pPr>
      <w:r>
        <w:rPr>
          <w:rFonts w:hint="eastAsia" w:ascii="宋体" w:hAnsi="宋体" w:cs="宋体"/>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1.8.5如果出现政府采购监督管理部门在处理投诉事项期间，书面通知甲方暂停采购活动的情形，或者询问或质疑事项可能影响中标或者成交结果的，导致甲方中止履行合同的情形，均不视为甲方违约。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left="-420" w:leftChars="-200" w:right="-420" w:rightChars="-200" w:firstLine="960" w:firstLineChars="400"/>
        <w:rPr>
          <w:rFonts w:ascii="宋体" w:hAnsi="宋体" w:cs="宋体"/>
        </w:rPr>
      </w:pPr>
      <w:r>
        <w:rPr>
          <w:rFonts w:hint="eastAsia" w:ascii="宋体" w:hAnsi="宋体" w:cs="宋体"/>
          <w:sz w:val="24"/>
        </w:rPr>
        <w:t>1.8.6违约责任</w:t>
      </w:r>
      <w:r>
        <w:rPr>
          <w:rFonts w:hint="eastAsia" w:ascii="宋体" w:hAnsi="宋体" w:cs="宋体"/>
          <w:b/>
          <w:i/>
          <w:sz w:val="24"/>
          <w:u w:val="single"/>
        </w:rPr>
        <w:t>合同专用条款</w:t>
      </w:r>
      <w:r>
        <w:rPr>
          <w:rFonts w:hint="eastAsia" w:ascii="宋体" w:hAnsi="宋体" w:cs="宋体"/>
          <w:sz w:val="24"/>
        </w:rPr>
        <w:t>另有约定的，从其约定。</w:t>
      </w:r>
    </w:p>
    <w:p>
      <w:pPr>
        <w:spacing w:line="560" w:lineRule="exact"/>
        <w:ind w:firstLine="482" w:firstLineChars="200"/>
        <w:outlineLvl w:val="0"/>
        <w:rPr>
          <w:rFonts w:ascii="宋体" w:hAnsi="宋体" w:cs="宋体"/>
          <w:b/>
          <w:sz w:val="24"/>
        </w:rPr>
      </w:pPr>
      <w:bookmarkStart w:id="417" w:name="_Toc28375"/>
      <w:bookmarkStart w:id="418" w:name="_Toc16021"/>
      <w:bookmarkStart w:id="419" w:name="_Toc15583"/>
      <w:r>
        <w:rPr>
          <w:rFonts w:hint="eastAsia" w:ascii="宋体" w:hAnsi="宋体" w:cs="宋体"/>
          <w:b/>
          <w:sz w:val="24"/>
        </w:rPr>
        <w:t>1.9合同争议的解决</w:t>
      </w:r>
      <w:bookmarkEnd w:id="417"/>
      <w:bookmarkEnd w:id="418"/>
      <w:bookmarkEnd w:id="419"/>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本合同履行过程中发生的任何争议，双方当事人均可通过和解或者调解解决；不愿和解、调解或者和解、调解不成的，可以选择以下第条款规定的方式解决：</w:t>
      </w:r>
    </w:p>
    <w:p>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bookmarkStart w:id="420" w:name="_Toc15322"/>
      <w:bookmarkStart w:id="421" w:name="_Toc11173"/>
      <w:bookmarkStart w:id="422" w:name="_Toc7245"/>
      <w:r>
        <w:rPr>
          <w:rFonts w:hint="eastAsia" w:ascii="宋体" w:hAnsi="宋体" w:cs="宋体"/>
          <w:b/>
          <w:sz w:val="24"/>
        </w:rPr>
        <w:t>2.0 合同生效</w:t>
      </w:r>
      <w:bookmarkEnd w:id="420"/>
      <w:bookmarkEnd w:id="421"/>
      <w:bookmarkEnd w:id="422"/>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pPr>
        <w:autoSpaceDE w:val="0"/>
        <w:autoSpaceDN w:val="0"/>
        <w:spacing w:line="560" w:lineRule="exact"/>
        <w:rPr>
          <w:rFonts w:ascii="宋体" w:hAnsi="宋体" w:cs="宋体"/>
          <w:sz w:val="24"/>
          <w:lang w:val="zh-CN"/>
        </w:rPr>
      </w:pPr>
      <w:r>
        <w:rPr>
          <w:rFonts w:hint="eastAsia" w:ascii="宋体" w:hAnsi="宋体" w:cs="宋体"/>
          <w:sz w:val="24"/>
          <w:lang w:val="zh-CN"/>
        </w:rPr>
        <w:t>统一社会信用代码：                        统一社会信用代码或身份证号码：</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sz w:val="24"/>
          <w:lang w:val="zh-CN"/>
        </w:rPr>
        <w:t>住所：                                   住所：</w:t>
      </w:r>
    </w:p>
    <w:p>
      <w:pPr>
        <w:autoSpaceDE w:val="0"/>
        <w:autoSpaceDN w:val="0"/>
        <w:spacing w:line="560" w:lineRule="exact"/>
        <w:rPr>
          <w:rFonts w:ascii="宋体" w:hAnsi="宋体" w:cs="宋体"/>
          <w:sz w:val="24"/>
          <w:lang w:val="zh-CN"/>
        </w:rPr>
      </w:pPr>
      <w:r>
        <w:rPr>
          <w:rFonts w:hint="eastAsia" w:ascii="宋体" w:hAnsi="宋体" w:cs="宋体"/>
          <w:sz w:val="24"/>
          <w:lang w:val="zh-CN"/>
        </w:rPr>
        <w:t>法定代表人或                             法定代表人</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授权代表（签字）：                        或授权代表（签字）: </w:t>
      </w:r>
    </w:p>
    <w:p>
      <w:pPr>
        <w:autoSpaceDE w:val="0"/>
        <w:autoSpaceDN w:val="0"/>
        <w:spacing w:line="560" w:lineRule="exact"/>
        <w:rPr>
          <w:rFonts w:ascii="宋体" w:hAnsi="宋体" w:cs="宋体"/>
          <w:sz w:val="24"/>
          <w:lang w:val="zh-CN"/>
        </w:rPr>
      </w:pPr>
      <w:r>
        <w:rPr>
          <w:rFonts w:hint="eastAsia" w:ascii="宋体" w:hAnsi="宋体" w:cs="宋体"/>
          <w:sz w:val="24"/>
          <w:lang w:val="zh-CN"/>
        </w:rPr>
        <w:t>联系人：                                 联系人：</w:t>
      </w:r>
    </w:p>
    <w:p>
      <w:pPr>
        <w:autoSpaceDE w:val="0"/>
        <w:autoSpaceDN w:val="0"/>
        <w:spacing w:line="560" w:lineRule="exact"/>
        <w:rPr>
          <w:rFonts w:ascii="宋体" w:hAnsi="宋体" w:cs="宋体"/>
          <w:sz w:val="24"/>
          <w:lang w:val="zh-CN"/>
        </w:rPr>
      </w:pPr>
      <w:r>
        <w:rPr>
          <w:rFonts w:hint="eastAsia" w:ascii="宋体" w:hAnsi="宋体" w:cs="宋体"/>
          <w:sz w:val="24"/>
          <w:lang w:val="zh-CN"/>
        </w:rPr>
        <w:t>约定送达地址：                           约定送达地址：</w:t>
      </w:r>
    </w:p>
    <w:p>
      <w:pPr>
        <w:autoSpaceDE w:val="0"/>
        <w:autoSpaceDN w:val="0"/>
        <w:spacing w:line="560" w:lineRule="exact"/>
        <w:rPr>
          <w:rFonts w:ascii="宋体" w:hAnsi="宋体" w:cs="宋体"/>
          <w:sz w:val="24"/>
          <w:lang w:val="zh-CN"/>
        </w:rPr>
      </w:pPr>
      <w:r>
        <w:rPr>
          <w:rFonts w:hint="eastAsia" w:ascii="宋体" w:hAnsi="宋体" w:cs="宋体"/>
          <w:sz w:val="24"/>
          <w:lang w:val="zh-CN"/>
        </w:rPr>
        <w:t>邮政编码：                               邮政编码：</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电话:                                    电话: </w:t>
      </w:r>
    </w:p>
    <w:p>
      <w:pPr>
        <w:autoSpaceDE w:val="0"/>
        <w:autoSpaceDN w:val="0"/>
        <w:spacing w:line="560" w:lineRule="exact"/>
        <w:rPr>
          <w:rFonts w:ascii="宋体" w:hAnsi="宋体" w:cs="宋体"/>
          <w:sz w:val="24"/>
          <w:lang w:val="zh-CN"/>
        </w:rPr>
      </w:pPr>
      <w:r>
        <w:rPr>
          <w:rFonts w:hint="eastAsia" w:ascii="宋体" w:hAnsi="宋体" w:cs="宋体"/>
          <w:sz w:val="24"/>
          <w:lang w:val="zh-CN"/>
        </w:rPr>
        <w:t>传真:                                    传真:</w:t>
      </w:r>
    </w:p>
    <w:p>
      <w:pPr>
        <w:autoSpaceDE w:val="0"/>
        <w:autoSpaceDN w:val="0"/>
        <w:spacing w:line="560" w:lineRule="exact"/>
        <w:rPr>
          <w:rFonts w:ascii="宋体" w:hAnsi="宋体" w:cs="宋体"/>
          <w:sz w:val="24"/>
        </w:rPr>
      </w:pPr>
      <w:r>
        <w:rPr>
          <w:rFonts w:hint="eastAsia" w:ascii="宋体" w:hAnsi="宋体" w:cs="宋体"/>
          <w:sz w:val="24"/>
          <w:lang w:val="zh-CN"/>
        </w:rPr>
        <w:t>电子邮箱：                               电子邮箱：</w:t>
      </w:r>
    </w:p>
    <w:p>
      <w:pPr>
        <w:autoSpaceDE w:val="0"/>
        <w:autoSpaceDN w:val="0"/>
        <w:spacing w:line="560" w:lineRule="exact"/>
        <w:rPr>
          <w:rFonts w:ascii="宋体" w:hAnsi="宋体" w:cs="宋体"/>
          <w:sz w:val="24"/>
        </w:rPr>
      </w:pPr>
      <w:r>
        <w:rPr>
          <w:rFonts w:hint="eastAsia" w:ascii="宋体" w:hAnsi="宋体" w:cs="宋体"/>
          <w:sz w:val="24"/>
        </w:rPr>
        <w:t xml:space="preserve">开户银行：                               开户银行： </w:t>
      </w:r>
    </w:p>
    <w:p>
      <w:pPr>
        <w:autoSpaceDE w:val="0"/>
        <w:autoSpaceDN w:val="0"/>
        <w:spacing w:line="560" w:lineRule="exact"/>
        <w:rPr>
          <w:rFonts w:ascii="宋体" w:hAnsi="宋体" w:cs="宋体"/>
          <w:sz w:val="24"/>
        </w:rPr>
      </w:pPr>
      <w:r>
        <w:rPr>
          <w:rFonts w:hint="eastAsia" w:ascii="宋体" w:hAnsi="宋体" w:cs="宋体"/>
          <w:sz w:val="24"/>
        </w:rPr>
        <w:t xml:space="preserve">开户名称：                               开户名称： </w:t>
      </w:r>
    </w:p>
    <w:p>
      <w:pPr>
        <w:autoSpaceDE w:val="0"/>
        <w:autoSpaceDN w:val="0"/>
        <w:spacing w:line="560" w:lineRule="exact"/>
        <w:rPr>
          <w:rFonts w:ascii="宋体" w:hAnsi="宋体" w:cs="宋体"/>
          <w:sz w:val="24"/>
        </w:rPr>
      </w:pPr>
      <w:r>
        <w:rPr>
          <w:rFonts w:hint="eastAsia" w:ascii="宋体" w:hAnsi="宋体" w:cs="宋体"/>
          <w:sz w:val="24"/>
        </w:rPr>
        <w:t>开户账号：开户账号：</w:t>
      </w:r>
    </w:p>
    <w:p>
      <w:pPr>
        <w:pStyle w:val="7"/>
        <w:rPr>
          <w:rFonts w:ascii="宋体" w:hAnsi="宋体" w:cs="宋体"/>
          <w:sz w:val="24"/>
        </w:rPr>
      </w:pPr>
    </w:p>
    <w:p>
      <w:pPr>
        <w:rPr>
          <w:rFonts w:ascii="宋体" w:hAnsi="宋体" w:cs="宋体"/>
          <w:sz w:val="24"/>
        </w:rPr>
      </w:pPr>
    </w:p>
    <w:p>
      <w:pPr>
        <w:pStyle w:val="7"/>
        <w:rPr>
          <w:rFonts w:ascii="宋体" w:hAnsi="宋体" w:cs="宋体"/>
          <w:sz w:val="24"/>
        </w:rPr>
      </w:pPr>
    </w:p>
    <w:p>
      <w:pPr>
        <w:rPr>
          <w:rFonts w:ascii="宋体" w:hAnsi="宋体" w:cs="宋体"/>
          <w:sz w:val="24"/>
        </w:rPr>
      </w:pPr>
    </w:p>
    <w:p>
      <w:pPr>
        <w:pStyle w:val="7"/>
        <w:rPr>
          <w:rFonts w:ascii="宋体" w:hAnsi="宋体" w:cs="宋体"/>
          <w:sz w:val="24"/>
        </w:rPr>
      </w:pPr>
    </w:p>
    <w:p>
      <w:pPr>
        <w:rPr>
          <w:rFonts w:ascii="宋体" w:hAnsi="宋体" w:cs="宋体"/>
          <w:sz w:val="24"/>
        </w:rPr>
      </w:pPr>
    </w:p>
    <w:p>
      <w:pPr>
        <w:pStyle w:val="699"/>
        <w:spacing w:line="560" w:lineRule="exact"/>
        <w:ind w:firstLine="482"/>
        <w:jc w:val="center"/>
        <w:rPr>
          <w:rFonts w:ascii="宋体" w:hAnsi="宋体" w:cs="宋体"/>
          <w:b/>
          <w:szCs w:val="24"/>
        </w:rPr>
      </w:pPr>
      <w:r>
        <w:rPr>
          <w:rFonts w:hint="eastAsia" w:ascii="宋体" w:hAnsi="宋体" w:cs="宋体"/>
          <w:b/>
          <w:szCs w:val="24"/>
        </w:rPr>
        <w:t>第二部分 合同一般条款</w:t>
      </w:r>
    </w:p>
    <w:p>
      <w:pPr>
        <w:spacing w:line="560" w:lineRule="exact"/>
        <w:ind w:firstLine="482" w:firstLineChars="200"/>
        <w:outlineLvl w:val="0"/>
        <w:rPr>
          <w:rFonts w:ascii="宋体" w:hAnsi="宋体" w:cs="宋体"/>
          <w:b/>
          <w:sz w:val="24"/>
        </w:rPr>
      </w:pPr>
      <w:bookmarkStart w:id="423" w:name="_Ref467379101"/>
      <w:bookmarkStart w:id="424" w:name="_Ref467378463"/>
      <w:bookmarkStart w:id="425" w:name="_Ref467379195"/>
      <w:bookmarkStart w:id="426" w:name="_Toc28763"/>
      <w:bookmarkStart w:id="427" w:name="_Toc487900349"/>
      <w:bookmarkStart w:id="428" w:name="_Ref467379225"/>
      <w:bookmarkStart w:id="429" w:name="_Toc19614"/>
      <w:bookmarkStart w:id="430" w:name="_Ref467378499"/>
      <w:bookmarkStart w:id="431" w:name="_Toc259093669"/>
      <w:bookmarkStart w:id="432" w:name="_Ref467379205"/>
      <w:bookmarkStart w:id="433" w:name="_Ref467379109"/>
      <w:bookmarkStart w:id="434" w:name="_Toc16917"/>
      <w:bookmarkStart w:id="435" w:name="_Ref467378404"/>
      <w:bookmarkStart w:id="436" w:name="_Ref467379094"/>
      <w:bookmarkStart w:id="437" w:name="_Ref467379214"/>
      <w:bookmarkStart w:id="438" w:name="_Toc279701240"/>
      <w:r>
        <w:rPr>
          <w:rFonts w:hint="eastAsia" w:ascii="宋体" w:hAnsi="宋体" w:cs="宋体"/>
          <w:b/>
          <w:sz w:val="24"/>
        </w:rPr>
        <w:t>2.1 定义</w:t>
      </w:r>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p>
    <w:p>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pPr>
        <w:spacing w:line="560" w:lineRule="exact"/>
        <w:ind w:firstLine="480" w:firstLineChars="200"/>
        <w:rPr>
          <w:rFonts w:ascii="宋体" w:hAnsi="宋体" w:cs="宋体"/>
          <w:sz w:val="24"/>
        </w:rPr>
      </w:pPr>
      <w:r>
        <w:rPr>
          <w:rFonts w:hint="eastAsia" w:ascii="宋体" w:hAnsi="宋体" w:cs="宋体"/>
          <w:sz w:val="24"/>
        </w:rPr>
        <w:t>2.1.1 “合同”系指采购人和中标或成交供应商签订的载明双方当事人所达成的协议，并包括所有的附件、附录和构成合同的其他文件。</w:t>
      </w:r>
    </w:p>
    <w:p>
      <w:pPr>
        <w:spacing w:line="560" w:lineRule="exact"/>
        <w:ind w:firstLine="480" w:firstLineChars="200"/>
        <w:rPr>
          <w:rFonts w:ascii="宋体" w:hAnsi="宋体" w:cs="宋体"/>
          <w:sz w:val="24"/>
        </w:rPr>
      </w:pPr>
      <w:r>
        <w:rPr>
          <w:rFonts w:hint="eastAsia" w:ascii="宋体" w:hAnsi="宋体" w:cs="宋体"/>
          <w:sz w:val="24"/>
        </w:rPr>
        <w:t>2.1.2 “合同价”系指根据合同约定，中标或成交供应商在完全履行合同义务后，采购人应支付给中标或成交供应商的价格。</w:t>
      </w:r>
    </w:p>
    <w:p>
      <w:pPr>
        <w:spacing w:line="560" w:lineRule="exact"/>
        <w:ind w:firstLine="480" w:firstLineChars="200"/>
        <w:rPr>
          <w:rFonts w:ascii="宋体" w:hAnsi="宋体" w:cs="宋体"/>
          <w:sz w:val="24"/>
        </w:rPr>
      </w:pPr>
      <w:r>
        <w:rPr>
          <w:rFonts w:hint="eastAsia" w:ascii="宋体" w:hAnsi="宋体" w:cs="宋体"/>
          <w:sz w:val="24"/>
        </w:rPr>
        <w:t>2.1.3 “货物”系指中标或成交供应商根据合同约定应向采购人交付的一切各种形态和种类的物品，包括原材料、燃料、设备、机械、仪表、备件、计算机软件、产品等，并包括工具、手册等其他相关资料。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ascii="宋体" w:hAnsi="宋体" w:cs="宋体"/>
          <w:sz w:val="24"/>
        </w:rPr>
      </w:pPr>
      <w:bookmarkStart w:id="439" w:name="_Ref467378840"/>
      <w:r>
        <w:rPr>
          <w:rFonts w:hint="eastAsia" w:ascii="宋体" w:hAnsi="宋体" w:cs="宋体"/>
          <w:sz w:val="24"/>
        </w:rPr>
        <w:t>2.1.4 “甲方”系指与中标或成交供应商签署合同的采购人</w:t>
      </w:r>
      <w:bookmarkEnd w:id="439"/>
      <w:r>
        <w:rPr>
          <w:rFonts w:hint="eastAsia" w:ascii="宋体" w:hAnsi="宋体" w:cs="宋体"/>
          <w:sz w:val="24"/>
        </w:rPr>
        <w:t>；采购人委托采购代理机构代表其与乙方签订合同的，采购人的授权委托书作为合同附件。</w:t>
      </w:r>
    </w:p>
    <w:p>
      <w:pPr>
        <w:spacing w:line="560" w:lineRule="exact"/>
        <w:ind w:firstLine="480" w:firstLineChars="200"/>
        <w:rPr>
          <w:rFonts w:ascii="宋体" w:hAnsi="宋体" w:cs="宋体"/>
          <w:sz w:val="24"/>
        </w:rPr>
      </w:pPr>
      <w:bookmarkStart w:id="440" w:name="_Ref467379400"/>
      <w:r>
        <w:rPr>
          <w:rFonts w:hint="eastAsia" w:ascii="宋体" w:hAnsi="宋体" w:cs="宋体"/>
          <w:sz w:val="24"/>
        </w:rPr>
        <w:t>2.1.5 “乙方”系指根据合同约定交付货物的中标或成交供应商</w:t>
      </w:r>
      <w:bookmarkEnd w:id="440"/>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s="宋体"/>
          <w:sz w:val="24"/>
        </w:rPr>
      </w:pPr>
      <w:bookmarkStart w:id="441" w:name="_Ref467379436"/>
      <w:r>
        <w:rPr>
          <w:rFonts w:hint="eastAsia" w:ascii="宋体" w:hAnsi="宋体" w:cs="宋体"/>
          <w:sz w:val="24"/>
        </w:rPr>
        <w:t>2.1.6 “现场”系指合同约定货物将要运至或者安装的地点。</w:t>
      </w:r>
      <w:bookmarkEnd w:id="441"/>
    </w:p>
    <w:p>
      <w:pPr>
        <w:spacing w:line="560" w:lineRule="exact"/>
        <w:ind w:firstLine="482" w:firstLineChars="200"/>
        <w:outlineLvl w:val="0"/>
        <w:rPr>
          <w:rFonts w:ascii="宋体" w:hAnsi="宋体" w:cs="宋体"/>
          <w:b/>
          <w:sz w:val="24"/>
        </w:rPr>
      </w:pPr>
      <w:bookmarkStart w:id="442" w:name="_Toc487900350"/>
      <w:bookmarkStart w:id="443" w:name="_Toc279701241"/>
      <w:bookmarkStart w:id="444" w:name="_Toc32504"/>
      <w:bookmarkStart w:id="445" w:name="_Toc13336"/>
      <w:bookmarkStart w:id="446" w:name="_Toc259093670"/>
      <w:bookmarkStart w:id="447" w:name="_Toc27635"/>
      <w:r>
        <w:rPr>
          <w:rFonts w:hint="eastAsia" w:ascii="宋体" w:hAnsi="宋体" w:cs="宋体"/>
          <w:b/>
          <w:sz w:val="24"/>
        </w:rPr>
        <w:t>2.2 技术规范</w:t>
      </w:r>
      <w:bookmarkEnd w:id="442"/>
      <w:bookmarkEnd w:id="443"/>
      <w:bookmarkEnd w:id="444"/>
      <w:bookmarkEnd w:id="445"/>
      <w:bookmarkEnd w:id="446"/>
      <w:bookmarkEnd w:id="447"/>
    </w:p>
    <w:p>
      <w:pPr>
        <w:spacing w:line="560" w:lineRule="exact"/>
        <w:ind w:firstLine="480" w:firstLineChars="200"/>
        <w:rPr>
          <w:rFonts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宋体" w:hAnsi="宋体" w:cs="宋体"/>
          <w:b/>
          <w:sz w:val="24"/>
        </w:rPr>
      </w:pPr>
      <w:bookmarkStart w:id="448" w:name="_Toc259093671"/>
      <w:bookmarkStart w:id="449" w:name="_Toc9829"/>
      <w:bookmarkStart w:id="450" w:name="_Toc27853"/>
      <w:bookmarkStart w:id="451" w:name="_Toc487900351"/>
      <w:bookmarkStart w:id="452" w:name="_Toc279701242"/>
      <w:bookmarkStart w:id="453" w:name="_Toc31634"/>
      <w:r>
        <w:rPr>
          <w:rFonts w:hint="eastAsia" w:ascii="宋体" w:hAnsi="宋体" w:cs="宋体"/>
          <w:b/>
          <w:sz w:val="24"/>
        </w:rPr>
        <w:t>2.3 知识产权</w:t>
      </w:r>
      <w:bookmarkEnd w:id="448"/>
      <w:bookmarkEnd w:id="449"/>
      <w:bookmarkEnd w:id="450"/>
      <w:bookmarkEnd w:id="451"/>
      <w:bookmarkEnd w:id="452"/>
      <w:bookmarkEnd w:id="453"/>
    </w:p>
    <w:p>
      <w:pPr>
        <w:spacing w:line="560" w:lineRule="exact"/>
        <w:ind w:firstLine="480" w:firstLineChars="200"/>
        <w:rPr>
          <w:rFonts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cs="宋体"/>
          <w:sz w:val="24"/>
        </w:rPr>
      </w:pPr>
      <w:r>
        <w:rPr>
          <w:rFonts w:hint="eastAsia" w:ascii="宋体" w:hAnsi="宋体" w:cs="宋体"/>
          <w:sz w:val="24"/>
        </w:rPr>
        <w:t>2.3.2具有知识产权的计算机软件等货物的知识产权归属，详见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54" w:name="_Toc29149"/>
      <w:bookmarkStart w:id="455" w:name="_Toc11932"/>
      <w:bookmarkStart w:id="456" w:name="_Toc4194"/>
      <w:r>
        <w:rPr>
          <w:rFonts w:hint="eastAsia" w:ascii="宋体" w:hAnsi="宋体" w:cs="宋体"/>
          <w:b/>
          <w:sz w:val="24"/>
        </w:rPr>
        <w:t>2.4 包装和装运</w:t>
      </w:r>
      <w:bookmarkEnd w:id="454"/>
      <w:bookmarkEnd w:id="455"/>
      <w:bookmarkEnd w:id="456"/>
    </w:p>
    <w:p>
      <w:pPr>
        <w:spacing w:line="560" w:lineRule="exact"/>
        <w:ind w:firstLine="480" w:firstLineChars="200"/>
        <w:rPr>
          <w:rFonts w:ascii="宋体" w:hAnsi="宋体" w:cs="宋体"/>
          <w:sz w:val="24"/>
        </w:rPr>
      </w:pPr>
      <w:r>
        <w:rPr>
          <w:rFonts w:hint="eastAsia" w:ascii="宋体" w:hAnsi="宋体" w:cs="宋体"/>
          <w:sz w:val="24"/>
        </w:rPr>
        <w:t>2.4.1除</w:t>
      </w:r>
      <w:r>
        <w:rPr>
          <w:rFonts w:hint="eastAsia" w:ascii="宋体" w:hAnsi="宋体" w:cs="宋体"/>
          <w:b/>
          <w:i/>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ascii="宋体" w:hAnsi="宋体" w:cs="宋体"/>
          <w:sz w:val="24"/>
        </w:rPr>
      </w:pPr>
      <w:r>
        <w:rPr>
          <w:rFonts w:hint="eastAsia" w:ascii="宋体" w:hAnsi="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宋体" w:hAnsi="宋体" w:cs="宋体"/>
          <w:sz w:val="24"/>
        </w:rPr>
      </w:pPr>
      <w:r>
        <w:rPr>
          <w:rFonts w:hint="eastAsia" w:ascii="宋体" w:hAnsi="宋体" w:cs="宋体"/>
          <w:sz w:val="24"/>
        </w:rPr>
        <w:t>2.4.3 装运货物的要求和通知，详见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57" w:name="_Ref467378541"/>
      <w:bookmarkStart w:id="458" w:name="_Toc279701245"/>
      <w:bookmarkStart w:id="459" w:name="_Ref467379527"/>
      <w:bookmarkStart w:id="460" w:name="_Ref467379536"/>
      <w:bookmarkStart w:id="461" w:name="_Ref467379542"/>
      <w:bookmarkStart w:id="462" w:name="_Toc487900354"/>
      <w:bookmarkStart w:id="463" w:name="_Toc259093674"/>
      <w:bookmarkStart w:id="464" w:name="_Ref467378591"/>
      <w:bookmarkStart w:id="465" w:name="_Toc19074"/>
      <w:bookmarkStart w:id="466" w:name="_Toc26182"/>
      <w:bookmarkStart w:id="467" w:name="_Toc30272"/>
      <w:r>
        <w:rPr>
          <w:rFonts w:hint="eastAsia" w:ascii="宋体" w:hAnsi="宋体" w:cs="宋体"/>
          <w:b/>
          <w:sz w:val="24"/>
        </w:rPr>
        <w:t>2.</w:t>
      </w:r>
      <w:bookmarkEnd w:id="457"/>
      <w:bookmarkEnd w:id="458"/>
      <w:bookmarkEnd w:id="459"/>
      <w:bookmarkEnd w:id="460"/>
      <w:bookmarkEnd w:id="461"/>
      <w:bookmarkEnd w:id="462"/>
      <w:bookmarkEnd w:id="463"/>
      <w:bookmarkEnd w:id="464"/>
      <w:r>
        <w:rPr>
          <w:rFonts w:hint="eastAsia" w:ascii="宋体" w:hAnsi="宋体" w:cs="宋体"/>
          <w:b/>
          <w:sz w:val="24"/>
        </w:rPr>
        <w:t>5 履约检查和问题反馈</w:t>
      </w:r>
      <w:bookmarkEnd w:id="465"/>
      <w:bookmarkEnd w:id="466"/>
      <w:bookmarkEnd w:id="467"/>
    </w:p>
    <w:p>
      <w:pPr>
        <w:spacing w:line="560" w:lineRule="exact"/>
        <w:ind w:firstLine="480" w:firstLineChars="200"/>
        <w:rPr>
          <w:rFonts w:ascii="宋体" w:hAnsi="宋体" w:cs="宋体"/>
          <w:sz w:val="24"/>
        </w:rPr>
      </w:pPr>
      <w:bookmarkStart w:id="468" w:name="_Ref467379657"/>
      <w:r>
        <w:rPr>
          <w:rFonts w:hint="eastAsia" w:ascii="宋体" w:hAnsi="宋体" w:cs="宋体"/>
          <w:sz w:val="24"/>
        </w:rPr>
        <w:t>2.5.1</w:t>
      </w:r>
      <w:bookmarkEnd w:id="468"/>
      <w:bookmarkStart w:id="469" w:name="_Toc186431854"/>
      <w:bookmarkStart w:id="470" w:name="_Ref467379793"/>
      <w:bookmarkStart w:id="471" w:name="_Toc487900357"/>
      <w:bookmarkStart w:id="472" w:name="_Ref467379807"/>
      <w:bookmarkStart w:id="473" w:name="_Toc279701247"/>
      <w:bookmarkStart w:id="474" w:name="_Toc259093676"/>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469"/>
      <w:bookmarkStart w:id="475" w:name="_Toc186431855"/>
      <w:r>
        <w:rPr>
          <w:rFonts w:hint="eastAsia" w:ascii="宋体" w:hAnsi="宋体" w:cs="宋体"/>
          <w:sz w:val="24"/>
        </w:rPr>
        <w:t>。</w:t>
      </w:r>
    </w:p>
    <w:bookmarkEnd w:id="470"/>
    <w:bookmarkEnd w:id="471"/>
    <w:bookmarkEnd w:id="472"/>
    <w:bookmarkEnd w:id="473"/>
    <w:bookmarkEnd w:id="474"/>
    <w:bookmarkEnd w:id="475"/>
    <w:p>
      <w:pPr>
        <w:spacing w:line="560" w:lineRule="exact"/>
        <w:ind w:firstLine="482" w:firstLineChars="200"/>
        <w:outlineLvl w:val="0"/>
        <w:rPr>
          <w:rFonts w:ascii="宋体" w:hAnsi="宋体" w:cs="宋体"/>
          <w:b/>
          <w:sz w:val="24"/>
        </w:rPr>
      </w:pPr>
      <w:bookmarkStart w:id="476" w:name="_Toc259093677"/>
      <w:bookmarkStart w:id="477" w:name="_Ref467379923"/>
      <w:bookmarkStart w:id="478" w:name="_Ref467379852"/>
      <w:bookmarkStart w:id="479" w:name="_Toc279701248"/>
      <w:bookmarkStart w:id="480" w:name="_Ref467379863"/>
      <w:bookmarkStart w:id="481" w:name="_Toc487900358"/>
      <w:bookmarkStart w:id="482" w:name="_Toc774"/>
      <w:bookmarkStart w:id="483" w:name="_Toc3225"/>
      <w:bookmarkStart w:id="484" w:name="_Toc16110"/>
      <w:r>
        <w:rPr>
          <w:rFonts w:hint="eastAsia" w:ascii="宋体" w:hAnsi="宋体" w:cs="宋体"/>
          <w:b/>
          <w:sz w:val="24"/>
        </w:rPr>
        <w:t>2.6 技术资料</w:t>
      </w:r>
      <w:bookmarkEnd w:id="476"/>
      <w:bookmarkEnd w:id="477"/>
      <w:bookmarkEnd w:id="478"/>
      <w:bookmarkEnd w:id="479"/>
      <w:bookmarkEnd w:id="480"/>
      <w:bookmarkEnd w:id="481"/>
      <w:r>
        <w:rPr>
          <w:rFonts w:hint="eastAsia" w:ascii="宋体" w:hAnsi="宋体" w:cs="宋体"/>
          <w:b/>
          <w:sz w:val="24"/>
        </w:rPr>
        <w:t>和保密义务</w:t>
      </w:r>
      <w:bookmarkEnd w:id="482"/>
      <w:bookmarkEnd w:id="483"/>
      <w:bookmarkEnd w:id="484"/>
    </w:p>
    <w:p>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pPr>
        <w:spacing w:line="560" w:lineRule="exact"/>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cs="宋体"/>
          <w:b/>
          <w:sz w:val="24"/>
        </w:rPr>
      </w:pPr>
      <w:bookmarkStart w:id="485" w:name="_Toc7860"/>
      <w:r>
        <w:rPr>
          <w:rFonts w:hint="eastAsia" w:ascii="宋体" w:hAnsi="宋体" w:cs="宋体"/>
          <w:b/>
          <w:sz w:val="24"/>
        </w:rPr>
        <w:t>2.7 质量保证</w:t>
      </w:r>
      <w:bookmarkEnd w:id="485"/>
    </w:p>
    <w:p>
      <w:pPr>
        <w:spacing w:line="560" w:lineRule="exact"/>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pPr>
        <w:spacing w:line="560" w:lineRule="exact"/>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cs="宋体"/>
          <w:b/>
          <w:sz w:val="24"/>
        </w:rPr>
      </w:pPr>
      <w:bookmarkStart w:id="486" w:name="_Toc17244"/>
      <w:bookmarkStart w:id="487" w:name="_Toc487900362"/>
      <w:bookmarkStart w:id="488" w:name="_Toc279701252"/>
      <w:bookmarkStart w:id="489" w:name="_Toc259093681"/>
      <w:r>
        <w:rPr>
          <w:rFonts w:hint="eastAsia" w:ascii="宋体" w:hAnsi="宋体" w:cs="宋体"/>
          <w:b/>
          <w:sz w:val="24"/>
        </w:rPr>
        <w:t>2.8 货物的风险负担</w:t>
      </w:r>
      <w:bookmarkEnd w:id="486"/>
    </w:p>
    <w:p>
      <w:pPr>
        <w:spacing w:line="560" w:lineRule="exact"/>
        <w:ind w:firstLine="480" w:firstLineChars="200"/>
        <w:rPr>
          <w:rFonts w:ascii="宋体" w:hAnsi="宋体" w:cs="宋体"/>
          <w:b/>
          <w:sz w:val="24"/>
        </w:rPr>
      </w:pPr>
      <w:r>
        <w:rPr>
          <w:rFonts w:hint="eastAsia" w:ascii="宋体" w:hAnsi="宋体" w:cs="宋体"/>
          <w:sz w:val="24"/>
        </w:rPr>
        <w:t>货物或者在途货物或者交付给第一承运人后的货物毁损、灭失的风险负担详见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90" w:name="_Toc14055"/>
      <w:r>
        <w:rPr>
          <w:rFonts w:hint="eastAsia" w:ascii="宋体" w:hAnsi="宋体" w:cs="宋体"/>
          <w:b/>
          <w:sz w:val="24"/>
        </w:rPr>
        <w:t>2.9 延迟交货</w:t>
      </w:r>
      <w:bookmarkEnd w:id="487"/>
      <w:bookmarkEnd w:id="488"/>
      <w:bookmarkEnd w:id="489"/>
      <w:bookmarkEnd w:id="490"/>
    </w:p>
    <w:p>
      <w:pPr>
        <w:spacing w:line="560" w:lineRule="exact"/>
        <w:ind w:firstLine="480" w:firstLineChars="200"/>
        <w:rPr>
          <w:rFonts w:ascii="宋体" w:hAnsi="宋体" w:cs="宋体"/>
          <w:sz w:val="24"/>
        </w:rPr>
      </w:pPr>
      <w:r>
        <w:rPr>
          <w:rFonts w:hint="eastAsia" w:ascii="宋体" w:hAnsi="宋体"/>
          <w:sz w:val="24"/>
        </w:rPr>
        <w:t>甲乙双方签订合同后，乙方应按照合同约定履行合同义务，除不可抗力外，乙方不得延迟交货。</w:t>
      </w:r>
      <w:r>
        <w:rPr>
          <w:rFonts w:hint="eastAsia" w:ascii="宋体" w:hAnsi="宋体" w:cs="宋体"/>
          <w:sz w:val="24"/>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ascii="宋体" w:hAnsi="宋体" w:cs="宋体"/>
          <w:b/>
          <w:sz w:val="24"/>
        </w:rPr>
      </w:pPr>
      <w:bookmarkStart w:id="491" w:name="_Toc7502"/>
      <w:bookmarkStart w:id="492" w:name="_Toc259093683"/>
      <w:bookmarkStart w:id="493" w:name="_Toc279701254"/>
      <w:bookmarkStart w:id="494" w:name="_Ref467378121"/>
      <w:bookmarkStart w:id="495" w:name="_Toc487900364"/>
      <w:r>
        <w:rPr>
          <w:rFonts w:hint="eastAsia" w:ascii="宋体" w:hAnsi="宋体" w:cs="宋体"/>
          <w:b/>
          <w:sz w:val="24"/>
        </w:rPr>
        <w:t>2.10 合同变更</w:t>
      </w:r>
      <w:bookmarkEnd w:id="491"/>
    </w:p>
    <w:p>
      <w:pPr>
        <w:spacing w:line="560" w:lineRule="exact"/>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bookmarkStart w:id="496" w:name="_Toc279701259"/>
      <w:bookmarkStart w:id="497" w:name="_Toc487900369"/>
      <w:bookmarkStart w:id="498" w:name="_Toc259093688"/>
    </w:p>
    <w:p>
      <w:pPr>
        <w:spacing w:line="560" w:lineRule="exact"/>
        <w:ind w:firstLine="482" w:firstLineChars="200"/>
        <w:outlineLvl w:val="0"/>
        <w:rPr>
          <w:rFonts w:ascii="宋体" w:hAnsi="宋体" w:cs="宋体"/>
          <w:b/>
          <w:sz w:val="24"/>
        </w:rPr>
      </w:pPr>
      <w:bookmarkStart w:id="499" w:name="_Toc22955"/>
      <w:bookmarkStart w:id="500" w:name="_Toc15237"/>
      <w:bookmarkStart w:id="501" w:name="_Toc10366"/>
      <w:r>
        <w:rPr>
          <w:rFonts w:hint="eastAsia" w:ascii="宋体" w:hAnsi="宋体" w:cs="宋体"/>
          <w:b/>
          <w:sz w:val="24"/>
        </w:rPr>
        <w:t>2.11 合同转让</w:t>
      </w:r>
      <w:bookmarkEnd w:id="496"/>
      <w:bookmarkEnd w:id="497"/>
      <w:bookmarkEnd w:id="498"/>
      <w:r>
        <w:rPr>
          <w:rFonts w:hint="eastAsia" w:ascii="宋体" w:hAnsi="宋体" w:cs="宋体"/>
          <w:b/>
          <w:sz w:val="24"/>
        </w:rPr>
        <w:t>和分包</w:t>
      </w:r>
      <w:bookmarkEnd w:id="499"/>
      <w:bookmarkEnd w:id="500"/>
      <w:bookmarkEnd w:id="501"/>
    </w:p>
    <w:p>
      <w:pPr>
        <w:spacing w:line="560" w:lineRule="exact"/>
        <w:ind w:firstLine="480" w:firstLineChars="200"/>
        <w:rPr>
          <w:rFonts w:ascii="宋体" w:hAnsi="宋体" w:cs="宋体"/>
          <w:sz w:val="24"/>
        </w:rPr>
      </w:pPr>
      <w:r>
        <w:rPr>
          <w:rFonts w:hint="eastAsia" w:ascii="宋体" w:hAnsi="宋体"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宋体" w:hAnsi="宋体" w:cs="宋体"/>
          <w:sz w:val="24"/>
        </w:rPr>
      </w:pPr>
      <w:r>
        <w:rPr>
          <w:rFonts w:hint="eastAsia" w:ascii="宋体" w:hAnsi="宋体" w:cs="宋体"/>
          <w:sz w:val="24"/>
        </w:rPr>
        <w:t>2.11.2乙方采取分包方式履行合同的，甲方可直接向分包供应商支付款项。</w:t>
      </w:r>
    </w:p>
    <w:p>
      <w:pPr>
        <w:spacing w:line="560" w:lineRule="exact"/>
        <w:ind w:firstLine="482" w:firstLineChars="200"/>
        <w:outlineLvl w:val="0"/>
        <w:rPr>
          <w:rFonts w:ascii="宋体" w:hAnsi="宋体" w:cs="宋体"/>
          <w:b/>
          <w:sz w:val="24"/>
        </w:rPr>
      </w:pPr>
      <w:bookmarkStart w:id="502" w:name="_Toc14066"/>
      <w:bookmarkStart w:id="503" w:name="_Toc16508"/>
      <w:bookmarkStart w:id="504" w:name="_Toc13566"/>
      <w:r>
        <w:rPr>
          <w:rFonts w:hint="eastAsia" w:ascii="宋体" w:hAnsi="宋体" w:cs="宋体"/>
          <w:b/>
          <w:sz w:val="24"/>
        </w:rPr>
        <w:t>2.12 不可抗力</w:t>
      </w:r>
      <w:bookmarkEnd w:id="502"/>
      <w:bookmarkEnd w:id="503"/>
      <w:bookmarkEnd w:id="504"/>
    </w:p>
    <w:p>
      <w:pPr>
        <w:spacing w:line="560" w:lineRule="exact"/>
        <w:ind w:firstLine="480" w:firstLineChars="200"/>
        <w:rPr>
          <w:rFonts w:ascii="宋体" w:hAnsi="宋体" w:cs="宋体"/>
          <w:sz w:val="24"/>
        </w:rPr>
      </w:pPr>
      <w:r>
        <w:rPr>
          <w:rFonts w:hint="eastAsia" w:ascii="宋体" w:hAnsi="宋体" w:cs="宋体"/>
          <w:sz w:val="24"/>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ascii="宋体" w:hAnsi="宋体" w:cs="宋体"/>
          <w:sz w:val="24"/>
        </w:rPr>
      </w:pPr>
      <w:r>
        <w:rPr>
          <w:rFonts w:hint="eastAsia" w:ascii="宋体" w:hAnsi="宋体" w:cs="宋体"/>
          <w:sz w:val="24"/>
        </w:rPr>
        <w:t>2.12.2 因不可抗力致使不能实现合同目的的，当事人可以解除合同；</w:t>
      </w:r>
    </w:p>
    <w:p>
      <w:pPr>
        <w:spacing w:line="560" w:lineRule="exact"/>
        <w:ind w:firstLine="480" w:firstLineChars="200"/>
        <w:rPr>
          <w:rFonts w:ascii="宋体" w:hAnsi="宋体" w:cs="宋体"/>
          <w:sz w:val="24"/>
        </w:rPr>
      </w:pPr>
      <w:r>
        <w:rPr>
          <w:rFonts w:hint="eastAsia" w:ascii="宋体" w:hAnsi="宋体" w:cs="宋体"/>
          <w:sz w:val="24"/>
        </w:rPr>
        <w:t>2.12.3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pPr>
        <w:spacing w:line="560" w:lineRule="exact"/>
        <w:ind w:firstLine="480" w:firstLineChars="200"/>
        <w:rPr>
          <w:rFonts w:ascii="宋体" w:hAnsi="宋体" w:cs="宋体"/>
          <w:sz w:val="24"/>
        </w:rPr>
      </w:pPr>
      <w:r>
        <w:rPr>
          <w:rFonts w:hint="eastAsia" w:ascii="宋体" w:hAnsi="宋体" w:cs="宋体"/>
          <w:sz w:val="24"/>
        </w:rPr>
        <w:t>2.12.4受不可抗力影响的一方在不可抗力发生后，应在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pPr>
        <w:spacing w:line="560" w:lineRule="exact"/>
        <w:ind w:firstLine="482" w:firstLineChars="200"/>
        <w:outlineLvl w:val="0"/>
        <w:rPr>
          <w:rFonts w:ascii="宋体" w:hAnsi="宋体" w:cs="宋体"/>
          <w:b/>
          <w:sz w:val="24"/>
        </w:rPr>
      </w:pPr>
      <w:bookmarkStart w:id="505" w:name="_Toc689"/>
      <w:bookmarkStart w:id="506" w:name="_Toc259093684"/>
      <w:bookmarkStart w:id="507" w:name="_Toc30676"/>
      <w:bookmarkStart w:id="508" w:name="_Toc279701255"/>
      <w:bookmarkStart w:id="509" w:name="_Toc6969"/>
      <w:bookmarkStart w:id="510" w:name="_Toc487900365"/>
      <w:r>
        <w:rPr>
          <w:rFonts w:hint="eastAsia" w:ascii="宋体" w:hAnsi="宋体" w:cs="宋体"/>
          <w:b/>
          <w:sz w:val="24"/>
        </w:rPr>
        <w:t>2.13 税费</w:t>
      </w:r>
      <w:bookmarkEnd w:id="505"/>
      <w:bookmarkEnd w:id="506"/>
      <w:bookmarkEnd w:id="507"/>
      <w:bookmarkEnd w:id="508"/>
      <w:bookmarkEnd w:id="509"/>
      <w:bookmarkEnd w:id="510"/>
    </w:p>
    <w:p>
      <w:pPr>
        <w:spacing w:line="560" w:lineRule="exact"/>
        <w:ind w:firstLine="480" w:firstLineChars="200"/>
        <w:rPr>
          <w:rFonts w:ascii="宋体" w:hAnsi="宋体" w:cs="宋体"/>
          <w:sz w:val="24"/>
        </w:rPr>
      </w:pPr>
      <w:r>
        <w:rPr>
          <w:rFonts w:hint="eastAsia" w:ascii="宋体" w:hAnsi="宋体" w:cs="宋体"/>
          <w:sz w:val="24"/>
        </w:rPr>
        <w:t>与合同有关的一切税费，均按照中华人民共和国法律的相关规定。</w:t>
      </w:r>
    </w:p>
    <w:p>
      <w:pPr>
        <w:spacing w:line="560" w:lineRule="exact"/>
        <w:ind w:firstLine="482" w:firstLineChars="200"/>
        <w:outlineLvl w:val="0"/>
        <w:rPr>
          <w:rFonts w:ascii="宋体" w:hAnsi="宋体" w:cs="宋体"/>
          <w:b/>
          <w:sz w:val="24"/>
        </w:rPr>
      </w:pPr>
      <w:bookmarkStart w:id="511" w:name="_Toc16959"/>
      <w:bookmarkStart w:id="512" w:name="_Toc279701258"/>
      <w:bookmarkStart w:id="513" w:name="_Toc8298"/>
      <w:bookmarkStart w:id="514" w:name="_Toc487900368"/>
      <w:bookmarkStart w:id="515" w:name="_Toc7102"/>
      <w:bookmarkStart w:id="516" w:name="_Toc259093687"/>
      <w:r>
        <w:rPr>
          <w:rFonts w:hint="eastAsia" w:ascii="宋体" w:hAnsi="宋体" w:cs="宋体"/>
          <w:b/>
          <w:sz w:val="24"/>
        </w:rPr>
        <w:t>2.14乙方破产</w:t>
      </w:r>
      <w:bookmarkEnd w:id="511"/>
      <w:bookmarkEnd w:id="512"/>
      <w:bookmarkEnd w:id="513"/>
      <w:bookmarkEnd w:id="514"/>
      <w:bookmarkEnd w:id="515"/>
      <w:bookmarkEnd w:id="516"/>
    </w:p>
    <w:p>
      <w:pPr>
        <w:spacing w:line="560" w:lineRule="exact"/>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宋体" w:hAnsi="宋体" w:cs="宋体"/>
          <w:b/>
          <w:sz w:val="24"/>
        </w:rPr>
      </w:pPr>
      <w:bookmarkStart w:id="517" w:name="_Toc6134"/>
      <w:bookmarkStart w:id="518" w:name="_Toc29333"/>
      <w:bookmarkStart w:id="519" w:name="_Toc15387"/>
      <w:r>
        <w:rPr>
          <w:rFonts w:hint="eastAsia" w:ascii="宋体" w:hAnsi="宋体" w:cs="宋体"/>
          <w:b/>
          <w:sz w:val="24"/>
        </w:rPr>
        <w:t>2.15 合同中止、终止</w:t>
      </w:r>
      <w:bookmarkEnd w:id="517"/>
      <w:bookmarkEnd w:id="518"/>
      <w:bookmarkEnd w:id="519"/>
    </w:p>
    <w:p>
      <w:pPr>
        <w:spacing w:line="560" w:lineRule="exact"/>
        <w:ind w:firstLine="480" w:firstLineChars="200"/>
        <w:rPr>
          <w:rFonts w:ascii="宋体" w:hAnsi="宋体" w:cs="宋体"/>
          <w:sz w:val="24"/>
        </w:rPr>
      </w:pPr>
      <w:r>
        <w:rPr>
          <w:rFonts w:hint="eastAsia" w:ascii="宋体" w:hAnsi="宋体" w:cs="宋体"/>
          <w:sz w:val="24"/>
        </w:rPr>
        <w:t>2.15.1 双方当事人不得擅自中止或者终止合同；</w:t>
      </w:r>
    </w:p>
    <w:p>
      <w:pPr>
        <w:spacing w:line="560" w:lineRule="exact"/>
        <w:ind w:firstLine="480" w:firstLineChars="200"/>
        <w:rPr>
          <w:rFonts w:ascii="宋体" w:hAnsi="宋体" w:cs="宋体"/>
          <w:sz w:val="24"/>
        </w:rPr>
      </w:pPr>
      <w:r>
        <w:rPr>
          <w:rFonts w:hint="eastAsia" w:ascii="宋体" w:hAnsi="宋体" w:cs="宋体"/>
          <w:sz w:val="24"/>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cs="宋体"/>
          <w:b/>
          <w:sz w:val="24"/>
        </w:rPr>
      </w:pPr>
      <w:bookmarkStart w:id="520" w:name="_Toc6596"/>
      <w:bookmarkStart w:id="521" w:name="_Toc14563"/>
      <w:bookmarkStart w:id="522" w:name="_Toc1125"/>
      <w:r>
        <w:rPr>
          <w:rFonts w:hint="eastAsia" w:ascii="宋体" w:hAnsi="宋体" w:cs="宋体"/>
          <w:b/>
          <w:sz w:val="24"/>
        </w:rPr>
        <w:t>2.16检验和验收</w:t>
      </w:r>
      <w:bookmarkEnd w:id="520"/>
      <w:bookmarkEnd w:id="521"/>
      <w:bookmarkEnd w:id="522"/>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2.16.1货物交付前，乙方应对货物的质量、数量等方面进行详细、全面的检验，并向甲方出具证明货物符合合同约定的文件；货物交付时，甲方在</w:t>
      </w:r>
      <w:r>
        <w:rPr>
          <w:rFonts w:hint="eastAsia" w:ascii="宋体" w:hAnsi="宋体" w:cs="宋体"/>
          <w:b/>
          <w:i/>
          <w:sz w:val="24"/>
          <w:u w:val="single"/>
        </w:rPr>
        <w:t>合同专用条款</w:t>
      </w:r>
      <w:r>
        <w:rPr>
          <w:rFonts w:hint="eastAsia" w:ascii="宋体" w:hAnsi="宋体" w:cs="宋体"/>
          <w:sz w:val="24"/>
        </w:rPr>
        <w:t>约定时间内组织验收，并可依法邀请相关方参加，验收应出具验收书。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bookmarkEnd w:id="492"/>
    <w:bookmarkEnd w:id="493"/>
    <w:bookmarkEnd w:id="494"/>
    <w:bookmarkEnd w:id="495"/>
    <w:p>
      <w:pPr>
        <w:spacing w:line="560" w:lineRule="exact"/>
        <w:ind w:firstLine="482" w:firstLineChars="200"/>
        <w:outlineLvl w:val="0"/>
        <w:rPr>
          <w:rFonts w:ascii="宋体" w:hAnsi="宋体" w:cs="宋体"/>
          <w:b/>
          <w:sz w:val="24"/>
        </w:rPr>
      </w:pPr>
      <w:bookmarkStart w:id="523" w:name="_Toc487900371"/>
      <w:bookmarkStart w:id="524" w:name="_Toc259093690"/>
      <w:bookmarkStart w:id="525" w:name="_Toc279701261"/>
      <w:bookmarkStart w:id="526" w:name="_Toc19604"/>
      <w:bookmarkStart w:id="527" w:name="_Toc25182"/>
      <w:bookmarkStart w:id="528" w:name="_Toc11284"/>
      <w:r>
        <w:rPr>
          <w:rFonts w:hint="eastAsia" w:ascii="宋体" w:hAnsi="宋体" w:cs="宋体"/>
          <w:b/>
          <w:sz w:val="24"/>
        </w:rPr>
        <w:t>2.17 通知</w:t>
      </w:r>
      <w:bookmarkEnd w:id="523"/>
      <w:bookmarkEnd w:id="524"/>
      <w:bookmarkEnd w:id="525"/>
      <w:r>
        <w:rPr>
          <w:rFonts w:hint="eastAsia" w:ascii="宋体" w:hAnsi="宋体" w:cs="宋体"/>
          <w:b/>
          <w:sz w:val="24"/>
        </w:rPr>
        <w:t>和送达</w:t>
      </w:r>
      <w:bookmarkEnd w:id="526"/>
      <w:bookmarkEnd w:id="527"/>
      <w:bookmarkEnd w:id="528"/>
    </w:p>
    <w:p>
      <w:pPr>
        <w:spacing w:line="560" w:lineRule="exact"/>
        <w:ind w:firstLine="480" w:firstLineChars="200"/>
        <w:rPr>
          <w:rFonts w:ascii="宋体" w:hAnsi="宋体" w:cs="宋体"/>
          <w:sz w:val="24"/>
        </w:rPr>
      </w:pPr>
      <w:bookmarkStart w:id="529" w:name="_Toc3135"/>
      <w:bookmarkStart w:id="530" w:name="_Toc6698"/>
      <w:bookmarkStart w:id="531" w:name="_Toc259093691"/>
      <w:bookmarkStart w:id="532" w:name="_Toc487900372"/>
      <w:bookmarkStart w:id="533" w:name="_Toc279701262"/>
      <w:r>
        <w:rPr>
          <w:rFonts w:hint="eastAsia" w:ascii="宋体" w:hAnsi="宋体" w:cs="宋体"/>
          <w:sz w:val="24"/>
        </w:rPr>
        <w:t>2.17.1任何一方因履行合同而以合同第一部分尾部所列明的传真或电子邮件 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bookmarkEnd w:id="529"/>
      <w:bookmarkEnd w:id="530"/>
    </w:p>
    <w:p>
      <w:pPr>
        <w:spacing w:line="560" w:lineRule="exact"/>
        <w:ind w:firstLine="480" w:firstLineChars="200"/>
        <w:rPr>
          <w:rFonts w:ascii="宋体" w:hAnsi="宋体" w:cs="宋体"/>
          <w:sz w:val="24"/>
        </w:rPr>
      </w:pPr>
      <w:bookmarkStart w:id="534" w:name="_Toc23128"/>
      <w:bookmarkStart w:id="535" w:name="_Toc23294"/>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4"/>
      <w:bookmarkEnd w:id="535"/>
    </w:p>
    <w:p>
      <w:pPr>
        <w:spacing w:line="560" w:lineRule="exact"/>
        <w:ind w:firstLine="482" w:firstLineChars="200"/>
        <w:outlineLvl w:val="0"/>
        <w:rPr>
          <w:rFonts w:ascii="宋体" w:hAnsi="宋体" w:cs="宋体"/>
          <w:b/>
          <w:sz w:val="24"/>
        </w:rPr>
      </w:pPr>
      <w:bookmarkStart w:id="536" w:name="_Toc18540"/>
      <w:bookmarkStart w:id="537" w:name="_Toc4355"/>
      <w:bookmarkStart w:id="538" w:name="_Toc30599"/>
      <w:r>
        <w:rPr>
          <w:rFonts w:hint="eastAsia" w:ascii="宋体" w:hAnsi="宋体" w:cs="宋体"/>
          <w:b/>
          <w:sz w:val="24"/>
        </w:rPr>
        <w:t>2.18 计量单位</w:t>
      </w:r>
      <w:bookmarkEnd w:id="531"/>
      <w:bookmarkEnd w:id="532"/>
      <w:bookmarkEnd w:id="533"/>
      <w:bookmarkEnd w:id="536"/>
      <w:bookmarkEnd w:id="537"/>
      <w:bookmarkEnd w:id="538"/>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outlineLvl w:val="0"/>
        <w:rPr>
          <w:rFonts w:ascii="宋体" w:hAnsi="宋体" w:cs="宋体"/>
          <w:b/>
          <w:sz w:val="24"/>
        </w:rPr>
      </w:pPr>
      <w:bookmarkStart w:id="539" w:name="_Toc487900373"/>
      <w:bookmarkStart w:id="540" w:name="_Toc12773"/>
      <w:bookmarkStart w:id="541" w:name="_Toc10330"/>
      <w:bookmarkStart w:id="542" w:name="_Toc279701263"/>
      <w:bookmarkStart w:id="543" w:name="_Toc18567"/>
      <w:bookmarkStart w:id="544" w:name="_Toc259093692"/>
      <w:r>
        <w:rPr>
          <w:rFonts w:hint="eastAsia" w:ascii="宋体" w:hAnsi="宋体" w:cs="宋体"/>
          <w:b/>
          <w:sz w:val="24"/>
        </w:rPr>
        <w:t>2.19 合同使用的文字和适用的法律</w:t>
      </w:r>
      <w:bookmarkEnd w:id="539"/>
      <w:bookmarkEnd w:id="540"/>
      <w:bookmarkEnd w:id="541"/>
      <w:bookmarkEnd w:id="542"/>
      <w:bookmarkEnd w:id="543"/>
      <w:bookmarkEnd w:id="544"/>
    </w:p>
    <w:p>
      <w:pPr>
        <w:spacing w:line="560" w:lineRule="exact"/>
        <w:ind w:firstLine="480" w:firstLineChars="200"/>
        <w:rPr>
          <w:rFonts w:ascii="宋体" w:hAnsi="宋体" w:cs="宋体"/>
          <w:sz w:val="24"/>
        </w:rPr>
      </w:pPr>
      <w:r>
        <w:rPr>
          <w:rFonts w:hint="eastAsia" w:ascii="宋体" w:hAnsi="宋体" w:cs="宋体"/>
          <w:sz w:val="24"/>
        </w:rPr>
        <w:t>2.19.1 合同使用汉语书就、变更和解释；</w:t>
      </w:r>
    </w:p>
    <w:p>
      <w:pPr>
        <w:spacing w:line="560" w:lineRule="exact"/>
        <w:ind w:firstLine="480" w:firstLineChars="200"/>
        <w:rPr>
          <w:rFonts w:ascii="宋体" w:hAnsi="宋体" w:cs="宋体"/>
          <w:sz w:val="24"/>
        </w:rPr>
      </w:pPr>
      <w:r>
        <w:rPr>
          <w:rFonts w:hint="eastAsia" w:ascii="宋体" w:hAnsi="宋体" w:cs="宋体"/>
          <w:sz w:val="24"/>
        </w:rPr>
        <w:t>2.19.2 合同适用中华人民共和国法律。</w:t>
      </w:r>
    </w:p>
    <w:p>
      <w:pPr>
        <w:spacing w:line="560" w:lineRule="exact"/>
        <w:ind w:firstLine="482" w:firstLineChars="200"/>
        <w:outlineLvl w:val="0"/>
        <w:rPr>
          <w:rFonts w:ascii="宋体" w:hAnsi="宋体" w:cs="宋体"/>
          <w:b/>
          <w:sz w:val="24"/>
        </w:rPr>
      </w:pPr>
      <w:bookmarkStart w:id="545" w:name="_Toc6885"/>
      <w:bookmarkStart w:id="546" w:name="_Toc19890"/>
      <w:bookmarkStart w:id="547" w:name="_Toc14001"/>
      <w:r>
        <w:rPr>
          <w:rFonts w:hint="eastAsia" w:ascii="宋体" w:hAnsi="宋体" w:cs="宋体"/>
          <w:b/>
          <w:sz w:val="24"/>
        </w:rPr>
        <w:t>2.20 合同份数</w:t>
      </w:r>
      <w:bookmarkEnd w:id="545"/>
      <w:bookmarkEnd w:id="546"/>
      <w:bookmarkEnd w:id="547"/>
    </w:p>
    <w:p>
      <w:pPr>
        <w:spacing w:line="560" w:lineRule="exact"/>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pPr>
        <w:adjustRightInd/>
        <w:spacing w:line="360" w:lineRule="auto"/>
        <w:ind w:firstLine="2513" w:firstLineChars="1197"/>
        <w:outlineLvl w:val="0"/>
        <w:rPr>
          <w:rFonts w:ascii="宋体" w:hAnsi="宋体" w:cs="宋体"/>
          <w:b/>
        </w:rPr>
      </w:pPr>
      <w:r>
        <w:rPr>
          <w:rFonts w:hint="eastAsia" w:ascii="宋体" w:hAnsi="宋体" w:cs="宋体"/>
          <w:kern w:val="0"/>
        </w:rPr>
        <w:br w:type="page"/>
      </w:r>
      <w:r>
        <w:rPr>
          <w:rFonts w:hint="eastAsia" w:ascii="宋体" w:hAnsi="宋体" w:cs="宋体"/>
          <w:b/>
          <w:sz w:val="32"/>
          <w:szCs w:val="20"/>
        </w:rPr>
        <w:t xml:space="preserve"> 第三部分  合同专用条款</w:t>
      </w:r>
    </w:p>
    <w:p>
      <w:pPr>
        <w:spacing w:line="560" w:lineRule="exact"/>
        <w:ind w:right="-2"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27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5" w:type="pct"/>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4534" w:type="pct"/>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1.4.4</w:t>
            </w:r>
          </w:p>
        </w:tc>
        <w:tc>
          <w:tcPr>
            <w:tcW w:w="4534" w:type="pct"/>
            <w:vAlign w:val="center"/>
          </w:tcPr>
          <w:p>
            <w:pPr>
              <w:widowControl/>
              <w:autoSpaceDE w:val="0"/>
              <w:autoSpaceDN w:val="0"/>
              <w:textAlignment w:val="bottom"/>
            </w:pPr>
            <w:r>
              <w:rPr>
                <w:rFonts w:hint="eastAsia" w:ascii="仿宋" w:hAnsi="仿宋" w:eastAsia="仿宋" w:cs="仿宋"/>
                <w:color w:val="000000"/>
                <w:sz w:val="24"/>
              </w:rPr>
              <w:t>资金支付的方式、时间和条件：</w:t>
            </w:r>
            <w:r>
              <w:rPr>
                <w:rFonts w:hint="eastAsia" w:ascii="仿宋" w:hAnsi="仿宋" w:eastAsia="仿宋" w:cs="仿宋"/>
                <w:sz w:val="24"/>
              </w:rPr>
              <w:t>采购单位根据合同、投标文件等资料进行验收。政府采购合同签订生效后7个工作日内</w:t>
            </w:r>
            <w:r>
              <w:rPr>
                <w:rFonts w:hint="eastAsia" w:ascii="仿宋" w:hAnsi="仿宋" w:eastAsia="仿宋" w:cs="仿宋"/>
                <w:color w:val="000000"/>
                <w:sz w:val="24"/>
              </w:rPr>
              <w:t>，采购单位支付60%预付款。在规定时间内完成项目的供货、并验收通过后，供应商将结款申请1份、发票原件（全额开具）及复印件1份、合同复印件1份和经采购单位验收确认的《建德市政府采购验收反馈表》（还需提供验收报告）提交采购单位，由采购单位向中标供应商支付剩余40%项目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 xml:space="preserve">1.5.1 </w:t>
            </w:r>
          </w:p>
        </w:tc>
        <w:tc>
          <w:tcPr>
            <w:tcW w:w="4534" w:type="pct"/>
            <w:vAlign w:val="center"/>
          </w:tcPr>
          <w:p>
            <w:pPr>
              <w:widowControl/>
              <w:autoSpaceDE w:val="0"/>
              <w:autoSpaceDN w:val="0"/>
              <w:textAlignment w:val="bottom"/>
              <w:rPr>
                <w:rFonts w:ascii="仿宋" w:hAnsi="仿宋" w:eastAsia="仿宋" w:cs="仿宋"/>
                <w:color w:val="000000"/>
                <w:sz w:val="24"/>
              </w:rPr>
            </w:pPr>
            <w:r>
              <w:rPr>
                <w:rFonts w:hint="eastAsia" w:ascii="仿宋" w:hAnsi="仿宋" w:eastAsia="仿宋" w:cs="仿宋"/>
                <w:sz w:val="24"/>
              </w:rPr>
              <w:t>交付期限：合同签订生效后15日历天完成安装调试，如在规定的时间内由于卖方的原因不能送达货物并安装调试完成通过验收的，中标方应承担由此给用户造成的损失。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1.5.2</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交付地点：采购单位指定地点。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 xml:space="preserve">1.5.3 </w:t>
            </w:r>
          </w:p>
        </w:tc>
        <w:tc>
          <w:tcPr>
            <w:tcW w:w="4534" w:type="pct"/>
            <w:vAlign w:val="center"/>
          </w:tcPr>
          <w:p>
            <w:pPr>
              <w:rPr>
                <w:rFonts w:ascii="仿宋" w:hAnsi="仿宋" w:eastAsia="仿宋" w:cs="仿宋"/>
                <w:color w:val="000000"/>
                <w:sz w:val="24"/>
              </w:rPr>
            </w:pPr>
            <w:r>
              <w:rPr>
                <w:rFonts w:hint="eastAsia" w:ascii="仿宋" w:hAnsi="仿宋" w:eastAsia="仿宋" w:cs="仿宋"/>
                <w:sz w:val="24"/>
              </w:rPr>
              <w:t>交付方式：中标方供货、安装、调试。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1.6.7</w:t>
            </w:r>
          </w:p>
        </w:tc>
        <w:tc>
          <w:tcPr>
            <w:tcW w:w="4534" w:type="pct"/>
            <w:vAlign w:val="center"/>
          </w:tcPr>
          <w:p>
            <w:pPr>
              <w:widowControl/>
              <w:autoSpaceDE w:val="0"/>
              <w:autoSpaceDN w:val="0"/>
              <w:textAlignment w:val="bottom"/>
              <w:rPr>
                <w:rFonts w:ascii="仿宋" w:hAnsi="仿宋" w:eastAsia="仿宋" w:cs="仿宋"/>
                <w:color w:val="000000"/>
                <w:sz w:val="24"/>
              </w:rPr>
            </w:pPr>
            <w:r>
              <w:rPr>
                <w:rFonts w:hint="eastAsia" w:ascii="仿宋" w:hAnsi="仿宋" w:eastAsia="仿宋" w:cs="仿宋"/>
                <w:color w:val="000000"/>
                <w:sz w:val="24"/>
              </w:rPr>
              <w:t>违约责任：1．因质量问题发生争议的，由甲方委托有关技术部门进行质量鉴定，该鉴定的结论甲乙双方应当接受，各方均有权直接向对方索赔，并签订书面处理协议书，报见证方备案。</w:t>
            </w:r>
          </w:p>
          <w:p>
            <w:pPr>
              <w:widowControl/>
              <w:autoSpaceDE w:val="0"/>
              <w:autoSpaceDN w:val="0"/>
              <w:textAlignment w:val="bottom"/>
              <w:rPr>
                <w:rFonts w:ascii="仿宋" w:hAnsi="仿宋" w:eastAsia="仿宋" w:cs="仿宋"/>
                <w:color w:val="000000"/>
                <w:sz w:val="24"/>
              </w:rPr>
            </w:pPr>
            <w:r>
              <w:rPr>
                <w:rFonts w:hint="eastAsia" w:ascii="仿宋" w:hAnsi="仿宋" w:eastAsia="仿宋" w:cs="仿宋"/>
                <w:color w:val="000000"/>
                <w:sz w:val="24"/>
              </w:rPr>
              <w:t>2．双方无法通过协商解决合同争议的，任何一方有权向建德市人民法院提出诉讼。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1.7</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000000"/>
                <w:sz w:val="24"/>
                <w:u w:val="single"/>
              </w:rPr>
              <w:t xml:space="preserve"> 1.7.2  </w:t>
            </w:r>
            <w:r>
              <w:rPr>
                <w:rFonts w:hint="eastAsia" w:ascii="仿宋" w:hAnsi="仿宋" w:eastAsia="仿宋" w:cs="仿宋"/>
                <w:color w:val="000000"/>
                <w:sz w:val="24"/>
              </w:rPr>
              <w:t>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1.7.1</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1.7.2</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向</w:t>
            </w:r>
            <w:r>
              <w:rPr>
                <w:rFonts w:hint="eastAsia" w:ascii="仿宋" w:hAnsi="仿宋" w:eastAsia="仿宋" w:cs="仿宋"/>
                <w:b/>
                <w:i/>
                <w:color w:val="000000"/>
                <w:sz w:val="24"/>
                <w:u w:val="single"/>
              </w:rPr>
              <w:t>建德市人民法院</w:t>
            </w:r>
            <w:r>
              <w:rPr>
                <w:rFonts w:hint="eastAsia" w:ascii="仿宋" w:hAnsi="仿宋" w:eastAsia="仿宋" w:cs="仿宋"/>
                <w:color w:val="000000"/>
                <w:sz w:val="24"/>
              </w:rPr>
              <w:t>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2.3.2</w:t>
            </w:r>
          </w:p>
        </w:tc>
        <w:tc>
          <w:tcPr>
            <w:tcW w:w="4534" w:type="pct"/>
            <w:vAlign w:val="center"/>
          </w:tcPr>
          <w:p>
            <w:pPr>
              <w:ind w:left="-420" w:leftChars="-200" w:right="-420" w:rightChars="-200" w:firstLine="480" w:firstLineChars="200"/>
              <w:rPr>
                <w:rFonts w:ascii="仿宋" w:hAnsi="仿宋" w:eastAsia="仿宋" w:cs="仿宋"/>
                <w:color w:val="000000"/>
                <w:sz w:val="24"/>
              </w:rPr>
            </w:pPr>
            <w:r>
              <w:rPr>
                <w:rFonts w:hint="eastAsia" w:ascii="仿宋" w:hAnsi="仿宋" w:eastAsia="仿宋" w:cs="仿宋"/>
                <w:sz w:val="24"/>
              </w:rPr>
              <w:t>具有知识产权的计算机软件等货物的知识产权归属：</w:t>
            </w:r>
            <w:r>
              <w:rPr>
                <w:rFonts w:hint="eastAsia" w:ascii="仿宋" w:hAnsi="仿宋" w:eastAsia="仿宋" w:cs="仿宋"/>
                <w:b/>
                <w:bCs/>
                <w:sz w:val="24"/>
              </w:rPr>
              <w:t>甲方。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2.4.1</w:t>
            </w:r>
          </w:p>
        </w:tc>
        <w:tc>
          <w:tcPr>
            <w:tcW w:w="4534" w:type="pct"/>
            <w:vAlign w:val="center"/>
          </w:tcPr>
          <w:p>
            <w:pPr>
              <w:ind w:left="-420" w:leftChars="-200" w:right="-420" w:rightChars="-200" w:firstLine="480" w:firstLineChars="200"/>
              <w:rPr>
                <w:rFonts w:ascii="仿宋" w:hAnsi="仿宋" w:eastAsia="仿宋" w:cs="仿宋"/>
                <w:color w:val="000000"/>
                <w:sz w:val="24"/>
              </w:rPr>
            </w:pPr>
            <w:r>
              <w:rPr>
                <w:rFonts w:hint="eastAsia" w:ascii="仿宋" w:hAnsi="仿宋" w:eastAsia="仿宋" w:cs="仿宋"/>
                <w:color w:val="000000"/>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2.4.3</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装运货物的要求和通知：</w:t>
            </w:r>
            <w:r>
              <w:rPr>
                <w:rFonts w:hint="eastAsia" w:ascii="仿宋" w:hAnsi="仿宋" w:eastAsia="仿宋" w:cs="仿宋"/>
                <w:b/>
                <w:bCs/>
                <w:color w:val="000000"/>
                <w:sz w:val="24"/>
              </w:rPr>
              <w:t>按乙方投标方案中进度要求。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 xml:space="preserve">2.8 </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货物或者在途货物或者交付给第一承运人后的货物毁损、灭失的风险负担</w:t>
            </w:r>
            <w:r>
              <w:rPr>
                <w:rFonts w:hint="eastAsia" w:ascii="仿宋" w:hAnsi="仿宋" w:eastAsia="仿宋" w:cs="仿宋"/>
                <w:b/>
                <w:bCs/>
                <w:color w:val="000000"/>
                <w:sz w:val="24"/>
                <w:u w:val="single"/>
              </w:rPr>
              <w:t>都由乙方自行承担。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2.12.3</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因不可抗力致使合同有变更必要的，双方当事人应在</w:t>
            </w:r>
            <w:r>
              <w:rPr>
                <w:rFonts w:hint="eastAsia" w:ascii="仿宋" w:hAnsi="仿宋" w:eastAsia="仿宋" w:cs="仿宋"/>
                <w:b/>
                <w:i/>
                <w:color w:val="000000"/>
                <w:sz w:val="24"/>
                <w:u w:val="single"/>
              </w:rPr>
              <w:t>30日</w:t>
            </w:r>
            <w:r>
              <w:rPr>
                <w:rFonts w:hint="eastAsia" w:ascii="仿宋" w:hAnsi="仿宋" w:eastAsia="仿宋" w:cs="仿宋"/>
                <w:color w:val="000000"/>
                <w:sz w:val="24"/>
              </w:rPr>
              <w:t>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2.12.4</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受不可抗力影响的一方在不可抗力发生后，应在</w:t>
            </w:r>
            <w:r>
              <w:rPr>
                <w:rFonts w:hint="eastAsia" w:ascii="仿宋" w:hAnsi="仿宋" w:eastAsia="仿宋" w:cs="仿宋"/>
                <w:b/>
                <w:i/>
                <w:color w:val="000000"/>
                <w:sz w:val="24"/>
                <w:u w:val="single"/>
              </w:rPr>
              <w:t>7日</w:t>
            </w:r>
            <w:r>
              <w:rPr>
                <w:rFonts w:hint="eastAsia" w:ascii="仿宋" w:hAnsi="仿宋" w:eastAsia="仿宋" w:cs="仿宋"/>
                <w:color w:val="000000"/>
                <w:sz w:val="24"/>
              </w:rPr>
              <w:t>内以书面形式通知对方当事人，并在</w:t>
            </w:r>
            <w:r>
              <w:rPr>
                <w:rFonts w:hint="eastAsia" w:ascii="仿宋" w:hAnsi="仿宋" w:eastAsia="仿宋" w:cs="仿宋"/>
                <w:b/>
                <w:i/>
                <w:color w:val="000000"/>
                <w:sz w:val="24"/>
                <w:u w:val="single"/>
              </w:rPr>
              <w:t>14日</w:t>
            </w:r>
            <w:r>
              <w:rPr>
                <w:rFonts w:hint="eastAsia" w:ascii="仿宋" w:hAnsi="仿宋" w:eastAsia="仿宋" w:cs="仿宋"/>
                <w:color w:val="000000"/>
                <w:sz w:val="24"/>
              </w:rPr>
              <w:t>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2.16.1</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货物交付前，乙方应对货物的质量、数量等方面进行详细、全面的检验，并向甲方出具证明货物符合合同约定的文件；货物交付时，乙方将所供商品送达甲方指定地点并上架后，由甲方聘请专业人员进行验收，验收应出具验收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2.16.3</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检验和验收标准、程序等具体内容：1、中标供应商应提供系统设备的有效检验材料，经采购单位认可后，与合同的技术指标一起作为验收标准。采购单位对系统设备验收合格后，在《建德市政府采购验收反馈表》上签署意见并加盖单位公章。验收中发现系统设备达不到验收标准或合同规定的技术指标，中标供应商必须更换，并负担由此给采购单位造成的损失，直到验收合格为止。</w:t>
            </w:r>
          </w:p>
          <w:p>
            <w:pPr>
              <w:rPr>
                <w:rFonts w:ascii="仿宋" w:hAnsi="仿宋" w:eastAsia="仿宋" w:cs="仿宋"/>
                <w:color w:val="000000"/>
                <w:sz w:val="24"/>
              </w:rPr>
            </w:pPr>
            <w:r>
              <w:rPr>
                <w:rFonts w:hint="eastAsia" w:ascii="仿宋" w:hAnsi="仿宋" w:eastAsia="仿宋" w:cs="仿宋"/>
                <w:color w:val="000000"/>
                <w:sz w:val="24"/>
              </w:rPr>
              <w:t>2、投标供应商应于投标书中提供系统设备的验收标准和检测办法，并在验收中提供买方认可的相应检测手段，验收标准应符合中国有关的国家、地方、行业的标准，如若中标，经采购单位确认后作为验收的依据。                    3、验收费用由中标供应商承担。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2.20.1</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pPr>
              <w:rPr>
                <w:rFonts w:ascii="仿宋" w:hAnsi="仿宋" w:eastAsia="仿宋" w:cs="仿宋"/>
                <w:color w:val="000000"/>
                <w:sz w:val="24"/>
              </w:rPr>
            </w:pPr>
            <w:r>
              <w:rPr>
                <w:rFonts w:hint="eastAsia" w:ascii="仿宋" w:hAnsi="仿宋" w:eastAsia="仿宋" w:cs="仿宋"/>
                <w:color w:val="000000"/>
                <w:sz w:val="24"/>
              </w:rPr>
              <w:t xml:space="preserve">2.20.2 </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pPr>
              <w:ind w:left="-420" w:leftChars="-200" w:right="-420" w:rightChars="-200" w:firstLine="480" w:firstLineChars="200"/>
              <w:outlineLvl w:val="0"/>
              <w:rPr>
                <w:rFonts w:ascii="仿宋" w:hAnsi="仿宋" w:eastAsia="仿宋" w:cs="仿宋"/>
                <w:color w:val="000000"/>
                <w:sz w:val="24"/>
              </w:rPr>
            </w:pPr>
            <w:r>
              <w:rPr>
                <w:rFonts w:hint="eastAsia" w:ascii="仿宋" w:hAnsi="仿宋" w:eastAsia="仿宋" w:cs="仿宋"/>
                <w:color w:val="000000"/>
                <w:sz w:val="24"/>
              </w:rPr>
              <w:t xml:space="preserve">2.22 </w:t>
            </w:r>
          </w:p>
        </w:tc>
        <w:tc>
          <w:tcPr>
            <w:tcW w:w="4534" w:type="pct"/>
            <w:vAlign w:val="center"/>
          </w:tcPr>
          <w:p>
            <w:pPr>
              <w:rPr>
                <w:rFonts w:ascii="仿宋" w:hAnsi="仿宋" w:eastAsia="仿宋" w:cs="仿宋"/>
                <w:color w:val="000000"/>
                <w:sz w:val="24"/>
              </w:rPr>
            </w:pPr>
            <w:r>
              <w:rPr>
                <w:rFonts w:hint="eastAsia" w:ascii="仿宋" w:hAnsi="仿宋" w:eastAsia="仿宋" w:cs="仿宋"/>
                <w:color w:val="000000"/>
                <w:sz w:val="24"/>
              </w:rPr>
              <w:t>合同份数：</w:t>
            </w:r>
            <w:r>
              <w:rPr>
                <w:rFonts w:hint="eastAsia" w:ascii="仿宋" w:hAnsi="仿宋" w:eastAsia="仿宋" w:cs="仿宋"/>
                <w:kern w:val="0"/>
                <w:sz w:val="24"/>
              </w:rPr>
              <w:t>本合同壹式陆份，甲、乙双方各执叁份。</w:t>
            </w:r>
          </w:p>
        </w:tc>
      </w:tr>
    </w:tbl>
    <w:p>
      <w:pPr>
        <w:spacing w:line="360" w:lineRule="auto"/>
        <w:ind w:left="-420" w:leftChars="-200" w:right="-420" w:rightChars="-200" w:firstLine="480" w:firstLineChars="200"/>
        <w:rPr>
          <w:rFonts w:ascii="宋体" w:hAnsi="宋体" w:cs="宋体"/>
          <w:sz w:val="24"/>
        </w:rPr>
      </w:pPr>
    </w:p>
    <w:p>
      <w:pPr>
        <w:spacing w:line="360" w:lineRule="auto"/>
        <w:ind w:left="-420" w:leftChars="-200" w:right="-420" w:rightChars="-200"/>
        <w:rPr>
          <w:rFonts w:ascii="宋体" w:hAnsi="宋体" w:cs="宋体"/>
          <w:sz w:val="24"/>
        </w:rPr>
      </w:pPr>
    </w:p>
    <w:p>
      <w:pPr>
        <w:pStyle w:val="7"/>
      </w:pPr>
    </w:p>
    <w:p/>
    <w:p>
      <w:pPr>
        <w:pStyle w:val="7"/>
      </w:pPr>
    </w:p>
    <w:p/>
    <w:p>
      <w:pPr>
        <w:pStyle w:val="7"/>
      </w:pPr>
    </w:p>
    <w:p/>
    <w:p>
      <w:pPr>
        <w:pStyle w:val="7"/>
      </w:pPr>
    </w:p>
    <w:p/>
    <w:p>
      <w:pPr>
        <w:pStyle w:val="2"/>
        <w:ind w:firstLine="420"/>
      </w:pPr>
    </w:p>
    <w:p>
      <w:pPr>
        <w:pStyle w:val="4"/>
      </w:pPr>
    </w:p>
    <w:p/>
    <w:p>
      <w:pPr>
        <w:pStyle w:val="7"/>
      </w:pPr>
    </w:p>
    <w:p>
      <w:pPr>
        <w:rPr>
          <w:lang w:val="zh-CN"/>
        </w:rPr>
      </w:pPr>
    </w:p>
    <w:p>
      <w:pPr>
        <w:pStyle w:val="2"/>
        <w:ind w:firstLine="420"/>
        <w:rPr>
          <w:lang w:val="zh-CN"/>
        </w:rPr>
      </w:pPr>
    </w:p>
    <w:p/>
    <w:p>
      <w:pPr>
        <w:spacing w:line="360" w:lineRule="auto"/>
        <w:ind w:left="720" w:firstLine="723" w:firstLineChars="200"/>
        <w:outlineLvl w:val="0"/>
        <w:rPr>
          <w:rFonts w:ascii="宋体" w:hAnsi="宋体" w:cs="宋体"/>
          <w:b/>
          <w:sz w:val="36"/>
          <w:szCs w:val="20"/>
        </w:rPr>
      </w:pPr>
    </w:p>
    <w:p>
      <w:pPr>
        <w:spacing w:line="360" w:lineRule="auto"/>
        <w:ind w:left="720" w:firstLine="723" w:firstLineChars="200"/>
        <w:outlineLvl w:val="0"/>
        <w:rPr>
          <w:rFonts w:ascii="宋体" w:hAnsi="宋体" w:cs="宋体"/>
          <w:b/>
          <w:sz w:val="36"/>
          <w:szCs w:val="20"/>
        </w:rPr>
      </w:pPr>
    </w:p>
    <w:p>
      <w:pPr>
        <w:spacing w:line="360" w:lineRule="auto"/>
        <w:ind w:left="720" w:firstLine="723" w:firstLineChars="200"/>
        <w:outlineLvl w:val="0"/>
        <w:rPr>
          <w:rFonts w:ascii="宋体" w:hAnsi="宋体" w:cs="宋体"/>
          <w:b/>
          <w:sz w:val="36"/>
          <w:szCs w:val="20"/>
        </w:rPr>
      </w:pPr>
    </w:p>
    <w:p>
      <w:pPr>
        <w:spacing w:line="360" w:lineRule="auto"/>
        <w:ind w:left="720" w:firstLine="723" w:firstLineChars="200"/>
        <w:outlineLvl w:val="0"/>
        <w:rPr>
          <w:rFonts w:ascii="宋体" w:hAnsi="宋体" w:cs="宋体"/>
          <w:b/>
          <w:sz w:val="36"/>
          <w:szCs w:val="20"/>
        </w:rPr>
      </w:pPr>
    </w:p>
    <w:p>
      <w:pPr>
        <w:spacing w:line="360" w:lineRule="auto"/>
        <w:ind w:left="720" w:firstLine="723" w:firstLineChars="200"/>
        <w:outlineLvl w:val="0"/>
        <w:rPr>
          <w:rFonts w:ascii="宋体" w:hAnsi="宋体" w:cs="宋体"/>
          <w:b/>
          <w:sz w:val="36"/>
          <w:szCs w:val="20"/>
        </w:rPr>
      </w:pPr>
    </w:p>
    <w:p>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w:t>
      </w:r>
      <w:bookmarkEnd w:id="397"/>
      <w:bookmarkEnd w:id="398"/>
      <w:r>
        <w:rPr>
          <w:rFonts w:hint="eastAsia" w:ascii="宋体" w:hAnsi="宋体" w:cs="宋体"/>
          <w:b/>
          <w:sz w:val="36"/>
          <w:szCs w:val="20"/>
        </w:rPr>
        <w:t>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pPr>
        <w:snapToGrid w:val="0"/>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ascii="宋体" w:hAnsi="宋体" w:cs="宋体"/>
          <w:sz w:val="24"/>
        </w:rPr>
      </w:pPr>
      <w:r>
        <w:rPr>
          <w:rFonts w:hint="eastAsia" w:ascii="宋体" w:hAnsi="宋体" w:cs="宋体"/>
          <w:sz w:val="24"/>
        </w:rPr>
        <w:t>建德市人民检察院 、杭州市公共资源交易中心建德分中心：</w:t>
      </w:r>
    </w:p>
    <w:p>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Theme="minorEastAsia" w:hAnsiTheme="minorEastAsia" w:eastAsiaTheme="minorEastAsia"/>
          <w:sz w:val="24"/>
        </w:rPr>
        <w:t>建德市人民检察院驻新看守所检察室弱电项目</w:t>
      </w:r>
      <w:r>
        <w:rPr>
          <w:rFonts w:hint="eastAsia" w:ascii="宋体" w:hAnsi="宋体" w:cs="宋体"/>
          <w:sz w:val="24"/>
        </w:rPr>
        <w:t>【招标编号：JD2023BJ-028】政府采购活动，郑重承诺：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pStyle w:val="7"/>
        <w:rPr>
          <w:lang w:val="en-US"/>
        </w:rPr>
      </w:pP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 日</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widowControl/>
        <w:spacing w:line="360" w:lineRule="auto"/>
        <w:ind w:firstLine="643" w:firstLineChars="200"/>
        <w:jc w:val="center"/>
        <w:rPr>
          <w:rFonts w:ascii="宋体" w:hAnsi="宋体" w:cs="宋体"/>
          <w:b/>
          <w:kern w:val="0"/>
          <w:sz w:val="32"/>
          <w:szCs w:val="32"/>
        </w:rPr>
      </w:pPr>
    </w:p>
    <w:p>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000000" w:themeColor="text1"/>
          <w:kern w:val="0"/>
          <w:sz w:val="32"/>
          <w:szCs w:val="32"/>
        </w:rPr>
        <w:t>（如果有）</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pStyle w:val="255"/>
        <w:numPr>
          <w:ilvl w:val="0"/>
          <w:numId w:val="2"/>
        </w:numPr>
        <w:snapToGrid w:val="0"/>
        <w:spacing w:before="50" w:after="50"/>
        <w:ind w:firstLineChars="0"/>
        <w:jc w:val="left"/>
        <w:rPr>
          <w:rFonts w:ascii="宋体" w:hAnsi="宋体" w:cs="宋体"/>
        </w:rPr>
      </w:pPr>
      <w:r>
        <w:rPr>
          <w:rFonts w:hint="eastAsia" w:ascii="宋体" w:hAnsi="宋体" w:cs="宋体"/>
        </w:rPr>
        <w:t>专门面向中小企业，货物全部由符合政策要求的中小企业（或小微企业）制造的，提供相应的中小企业声明函（附件</w:t>
      </w:r>
      <w:r>
        <w:rPr>
          <w:rFonts w:ascii="宋体" w:hAnsi="宋体" w:cs="宋体"/>
        </w:rPr>
        <w:t>7</w:t>
      </w:r>
      <w:r>
        <w:rPr>
          <w:rFonts w:hint="eastAsia" w:ascii="宋体" w:hAnsi="宋体" w:cs="宋体"/>
        </w:rPr>
        <w:t>）。</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pPr>
        <w:snapToGrid w:val="0"/>
        <w:spacing w:before="50" w:after="50" w:line="360" w:lineRule="auto"/>
        <w:jc w:val="center"/>
        <w:rPr>
          <w:rFonts w:ascii="宋体" w:hAnsi="宋体" w:cs="宋体"/>
          <w:sz w:val="24"/>
        </w:rPr>
      </w:pPr>
    </w:p>
    <w:p>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pPr>
        <w:widowControl/>
        <w:spacing w:line="360" w:lineRule="auto"/>
        <w:ind w:left="150"/>
        <w:jc w:val="center"/>
        <w:rPr>
          <w:rFonts w:ascii="宋体" w:hAnsi="宋体" w:cs="宋体"/>
          <w:b/>
          <w:kern w:val="0"/>
          <w:sz w:val="32"/>
          <w:szCs w:val="32"/>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rPr>
          <w:rFonts w:ascii="宋体" w:hAnsi="宋体" w:cs="宋体"/>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pStyle w:val="7"/>
        <w:rPr>
          <w:lang w:val="en-US"/>
        </w:rPr>
      </w:pPr>
    </w:p>
    <w:p/>
    <w:p>
      <w:pPr>
        <w:snapToGrid w:val="0"/>
        <w:spacing w:line="360" w:lineRule="auto"/>
        <w:ind w:firstLine="3855" w:firstLineChars="1200"/>
        <w:outlineLvl w:val="0"/>
        <w:rPr>
          <w:rFonts w:ascii="宋体" w:hAnsi="宋体" w:cs="宋体"/>
          <w:b/>
          <w:kern w:val="0"/>
          <w:sz w:val="32"/>
          <w:szCs w:val="32"/>
        </w:rPr>
      </w:pPr>
    </w:p>
    <w:p>
      <w:pPr>
        <w:snapToGrid w:val="0"/>
        <w:spacing w:line="360" w:lineRule="auto"/>
        <w:ind w:firstLine="3855" w:firstLineChars="1200"/>
        <w:outlineLvl w:val="0"/>
        <w:rPr>
          <w:rFonts w:ascii="宋体" w:hAnsi="宋体" w:cs="宋体"/>
          <w:b/>
          <w:kern w:val="0"/>
          <w:sz w:val="32"/>
          <w:szCs w:val="32"/>
        </w:rPr>
      </w:pPr>
    </w:p>
    <w:p>
      <w:pPr>
        <w:snapToGrid w:val="0"/>
        <w:spacing w:line="360" w:lineRule="auto"/>
        <w:ind w:firstLine="3855" w:firstLineChars="1200"/>
        <w:outlineLvl w:val="0"/>
        <w:rPr>
          <w:rFonts w:ascii="宋体" w:hAnsi="宋体" w:cs="宋体"/>
          <w:b/>
          <w:kern w:val="0"/>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pStyle w:val="255"/>
        <w:numPr>
          <w:ilvl w:val="0"/>
          <w:numId w:val="3"/>
        </w:numPr>
        <w:snapToGrid w:val="0"/>
        <w:ind w:firstLineChars="0"/>
        <w:outlineLvl w:val="0"/>
        <w:rPr>
          <w:rFonts w:ascii="宋体" w:hAnsi="宋体" w:cs="宋体"/>
          <w:b/>
          <w:sz w:val="32"/>
          <w:szCs w:val="32"/>
        </w:rPr>
      </w:pPr>
      <w:r>
        <w:rPr>
          <w:rFonts w:hint="eastAsia" w:ascii="宋体" w:hAnsi="宋体" w:cs="宋体"/>
          <w:b/>
          <w:kern w:val="0"/>
          <w:sz w:val="32"/>
          <w:szCs w:val="32"/>
        </w:rPr>
        <w:t>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ascii="宋体" w:hAnsi="宋体" w:cs="宋体"/>
          <w:sz w:val="24"/>
        </w:rPr>
        <w:t>建德市人民检察院 、杭州市公共资源交易中心建德分中心：</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Theme="minorEastAsia" w:hAnsiTheme="minorEastAsia" w:eastAsiaTheme="minorEastAsia"/>
          <w:sz w:val="24"/>
        </w:rPr>
        <w:t>建德市人民检察院驻新看守所检察室弱电项目</w:t>
      </w:r>
      <w:r>
        <w:rPr>
          <w:rFonts w:hint="eastAsia" w:ascii="宋体" w:hAnsi="宋体" w:cs="宋体"/>
          <w:sz w:val="24"/>
        </w:rPr>
        <w:t>【招标编号：JD2023BJ-028】招标的有关活动，并对此项目进行投标。为此：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420" w:leftChars="200" w:firstLine="480" w:firstLineChars="200"/>
        <w:rPr>
          <w:rFonts w:ascii="宋体" w:hAnsi="宋体" w:cs="宋体"/>
          <w:color w:val="000000" w:themeColor="text1"/>
          <w:sz w:val="24"/>
        </w:rPr>
      </w:pPr>
      <w:r>
        <w:rPr>
          <w:rFonts w:hint="eastAsia" w:ascii="宋体" w:hAnsi="宋体" w:cs="宋体"/>
          <w:sz w:val="24"/>
        </w:rPr>
        <w:t>2.1.2</w:t>
      </w:r>
      <w:r>
        <w:rPr>
          <w:rFonts w:hint="eastAsia" w:ascii="宋体" w:hAnsi="宋体" w:cs="宋体"/>
          <w:snapToGrid w:val="0"/>
          <w:kern w:val="28"/>
          <w:sz w:val="24"/>
          <w:szCs w:val="20"/>
        </w:rPr>
        <w:t>联合协议</w:t>
      </w:r>
      <w:r>
        <w:rPr>
          <w:rFonts w:hint="eastAsia" w:ascii="宋体" w:hAnsi="宋体" w:cs="宋体"/>
          <w:snapToGrid w:val="0"/>
          <w:color w:val="000000" w:themeColor="text1"/>
          <w:kern w:val="28"/>
          <w:sz w:val="24"/>
          <w:szCs w:val="20"/>
        </w:rPr>
        <w:t>（如果有)；</w:t>
      </w:r>
    </w:p>
    <w:p>
      <w:pPr>
        <w:snapToGrid w:val="0"/>
        <w:spacing w:line="360" w:lineRule="auto"/>
        <w:ind w:left="420" w:leftChars="200" w:firstLine="480" w:firstLineChars="200"/>
        <w:rPr>
          <w:rFonts w:ascii="宋体" w:hAnsi="宋体" w:cs="宋体"/>
          <w:color w:val="000000" w:themeColor="text1"/>
          <w:sz w:val="24"/>
        </w:rPr>
      </w:pPr>
      <w:r>
        <w:rPr>
          <w:rFonts w:hint="eastAsia" w:ascii="宋体" w:hAnsi="宋体" w:cs="宋体"/>
          <w:color w:val="000000" w:themeColor="text1"/>
          <w:sz w:val="24"/>
        </w:rPr>
        <w:t>2</w:t>
      </w:r>
      <w:r>
        <w:rPr>
          <w:rFonts w:ascii="宋体" w:hAnsi="宋体" w:cs="宋体"/>
          <w:color w:val="000000" w:themeColor="text1"/>
          <w:sz w:val="24"/>
        </w:rPr>
        <w:t>.1.3</w:t>
      </w:r>
      <w:r>
        <w:rPr>
          <w:rFonts w:hint="eastAsia" w:ascii="宋体" w:hAnsi="宋体" w:cs="宋体"/>
          <w:color w:val="000000" w:themeColor="text1"/>
          <w:sz w:val="24"/>
        </w:rPr>
        <w:t>落实政府采购政策需满足的资格要求</w:t>
      </w:r>
      <w:r>
        <w:rPr>
          <w:rFonts w:hint="eastAsia" w:ascii="宋体" w:hAnsi="宋体" w:cs="宋体"/>
          <w:snapToGrid w:val="0"/>
          <w:color w:val="000000" w:themeColor="text1"/>
          <w:kern w:val="28"/>
          <w:sz w:val="24"/>
          <w:szCs w:val="20"/>
        </w:rPr>
        <w:t>（如果有）</w:t>
      </w:r>
      <w:r>
        <w:rPr>
          <w:rFonts w:hint="eastAsia" w:ascii="宋体" w:hAnsi="宋体" w:cs="宋体"/>
          <w:color w:val="000000" w:themeColor="text1"/>
          <w:sz w:val="24"/>
        </w:rPr>
        <w:t>；</w:t>
      </w:r>
    </w:p>
    <w:p>
      <w:pPr>
        <w:snapToGrid w:val="0"/>
        <w:spacing w:line="360" w:lineRule="auto"/>
        <w:ind w:left="420" w:leftChars="200" w:firstLine="480" w:firstLineChars="200"/>
        <w:rPr>
          <w:rFonts w:ascii="宋体" w:hAnsi="宋体" w:cs="宋体"/>
          <w:color w:val="000000" w:themeColor="text1"/>
          <w:sz w:val="24"/>
        </w:rPr>
      </w:pPr>
      <w:r>
        <w:rPr>
          <w:rFonts w:hint="eastAsia" w:ascii="宋体" w:hAnsi="宋体" w:cs="宋体"/>
          <w:color w:val="000000" w:themeColor="text1"/>
          <w:sz w:val="24"/>
        </w:rPr>
        <w:t>2.1.</w:t>
      </w:r>
      <w:r>
        <w:rPr>
          <w:rFonts w:ascii="宋体" w:hAnsi="宋体" w:cs="宋体"/>
          <w:color w:val="000000" w:themeColor="text1"/>
          <w:sz w:val="24"/>
        </w:rPr>
        <w:t>4</w:t>
      </w:r>
      <w:r>
        <w:rPr>
          <w:rFonts w:hint="eastAsia" w:ascii="宋体" w:hAnsi="宋体" w:cs="宋体"/>
          <w:color w:val="000000" w:themeColor="text1"/>
          <w:sz w:val="24"/>
        </w:rPr>
        <w:t>本项目的特定资格要求</w:t>
      </w:r>
      <w:r>
        <w:rPr>
          <w:rFonts w:hint="eastAsia" w:ascii="宋体" w:hAnsi="宋体" w:cs="宋体"/>
          <w:snapToGrid w:val="0"/>
          <w:color w:val="000000" w:themeColor="text1"/>
          <w:kern w:val="28"/>
          <w:sz w:val="24"/>
          <w:szCs w:val="20"/>
        </w:rPr>
        <w:t>（如果有）</w:t>
      </w:r>
      <w:r>
        <w:rPr>
          <w:rFonts w:hint="eastAsia" w:ascii="宋体" w:hAnsi="宋体" w:cs="宋体"/>
          <w:color w:val="000000" w:themeColor="text1"/>
          <w:sz w:val="24"/>
        </w:rPr>
        <w:t>。</w:t>
      </w:r>
    </w:p>
    <w:p>
      <w:pPr>
        <w:snapToGrid w:val="0"/>
        <w:spacing w:line="360" w:lineRule="auto"/>
        <w:ind w:left="210" w:leftChars="100" w:firstLine="480" w:firstLineChars="200"/>
        <w:rPr>
          <w:rFonts w:ascii="宋体" w:hAnsi="宋体" w:cs="宋体"/>
          <w:color w:val="000000" w:themeColor="text1"/>
          <w:sz w:val="24"/>
          <w:lang w:val="zh-CN"/>
        </w:rPr>
      </w:pPr>
      <w:r>
        <w:rPr>
          <w:rFonts w:hint="eastAsia" w:ascii="宋体" w:hAnsi="宋体" w:cs="宋体"/>
          <w:color w:val="000000" w:themeColor="text1"/>
          <w:sz w:val="24"/>
        </w:rPr>
        <w:t>2</w:t>
      </w:r>
      <w:r>
        <w:rPr>
          <w:rFonts w:hint="eastAsia" w:ascii="宋体" w:hAnsi="宋体" w:cs="宋体"/>
          <w:color w:val="000000" w:themeColor="text1"/>
          <w:sz w:val="24"/>
          <w:lang w:val="zh-CN"/>
        </w:rPr>
        <w:t>.</w:t>
      </w:r>
      <w:r>
        <w:rPr>
          <w:rFonts w:hint="eastAsia" w:ascii="宋体" w:hAnsi="宋体" w:cs="宋体"/>
          <w:color w:val="000000" w:themeColor="text1"/>
          <w:sz w:val="24"/>
        </w:rPr>
        <w:t>2商务技术</w:t>
      </w:r>
      <w:r>
        <w:rPr>
          <w:rFonts w:hint="eastAsia" w:ascii="宋体" w:hAnsi="宋体" w:cs="宋体"/>
          <w:color w:val="000000" w:themeColor="text1"/>
          <w:sz w:val="24"/>
          <w:lang w:val="zh-CN"/>
        </w:rPr>
        <w:t>文件：</w:t>
      </w:r>
    </w:p>
    <w:p>
      <w:pPr>
        <w:snapToGrid w:val="0"/>
        <w:spacing w:line="360" w:lineRule="auto"/>
        <w:ind w:left="420" w:leftChars="200" w:firstLine="480" w:firstLineChars="200"/>
        <w:rPr>
          <w:rFonts w:ascii="宋体" w:hAnsi="宋体" w:cs="宋体"/>
          <w:color w:val="000000" w:themeColor="text1"/>
          <w:sz w:val="24"/>
        </w:rPr>
      </w:pPr>
      <w:r>
        <w:rPr>
          <w:rFonts w:hint="eastAsia" w:ascii="宋体" w:hAnsi="宋体" w:cs="宋体"/>
          <w:color w:val="000000" w:themeColor="text1"/>
          <w:sz w:val="24"/>
        </w:rPr>
        <w:t>2.2.1投标函；</w:t>
      </w:r>
    </w:p>
    <w:p>
      <w:pPr>
        <w:snapToGrid w:val="0"/>
        <w:spacing w:line="360" w:lineRule="auto"/>
        <w:ind w:left="420" w:leftChars="200" w:firstLine="480" w:firstLineChars="200"/>
        <w:rPr>
          <w:rFonts w:ascii="宋体" w:hAnsi="宋体" w:cs="宋体"/>
          <w:color w:val="000000" w:themeColor="text1"/>
          <w:sz w:val="24"/>
        </w:rPr>
      </w:pPr>
      <w:r>
        <w:rPr>
          <w:rFonts w:hint="eastAsia" w:ascii="宋体" w:hAnsi="宋体" w:cs="宋体"/>
          <w:color w:val="000000" w:themeColor="text1"/>
          <w:sz w:val="24"/>
        </w:rPr>
        <w:t>2.2.2授权委托书或法定代表人（单位负责人）身份证明；</w:t>
      </w:r>
    </w:p>
    <w:p>
      <w:pPr>
        <w:snapToGrid w:val="0"/>
        <w:spacing w:line="360" w:lineRule="auto"/>
        <w:ind w:left="420" w:leftChars="200" w:firstLine="480" w:firstLineChars="200"/>
        <w:rPr>
          <w:rFonts w:ascii="宋体" w:hAnsi="宋体" w:cs="宋体"/>
          <w:color w:val="000000" w:themeColor="text1"/>
          <w:sz w:val="24"/>
        </w:rPr>
      </w:pPr>
      <w:r>
        <w:rPr>
          <w:rFonts w:hint="eastAsia" w:ascii="宋体" w:hAnsi="宋体" w:cs="宋体"/>
          <w:color w:val="000000" w:themeColor="text1"/>
          <w:sz w:val="24"/>
        </w:rPr>
        <w:t>2.2.</w:t>
      </w:r>
      <w:r>
        <w:rPr>
          <w:rFonts w:ascii="宋体" w:hAnsi="宋体" w:cs="宋体"/>
          <w:color w:val="000000" w:themeColor="text1"/>
          <w:sz w:val="24"/>
        </w:rPr>
        <w:t>3</w:t>
      </w:r>
      <w:r>
        <w:rPr>
          <w:rFonts w:hint="eastAsia" w:ascii="宋体" w:hAnsi="宋体" w:cs="宋体"/>
          <w:color w:val="000000" w:themeColor="text1"/>
          <w:sz w:val="24"/>
        </w:rPr>
        <w:t>分包意向协议</w:t>
      </w:r>
      <w:r>
        <w:rPr>
          <w:rFonts w:hint="eastAsia" w:ascii="宋体" w:hAnsi="宋体" w:cs="宋体"/>
          <w:snapToGrid w:val="0"/>
          <w:color w:val="000000" w:themeColor="text1"/>
          <w:kern w:val="28"/>
          <w:sz w:val="24"/>
          <w:szCs w:val="20"/>
        </w:rPr>
        <w:t>（如果有）</w:t>
      </w:r>
      <w:r>
        <w:rPr>
          <w:rFonts w:hint="eastAsia" w:ascii="宋体" w:hAnsi="宋体" w:cs="宋体"/>
          <w:color w:val="000000" w:themeColor="text1"/>
          <w:sz w:val="24"/>
        </w:rPr>
        <w:t>；</w:t>
      </w:r>
    </w:p>
    <w:p>
      <w:pPr>
        <w:snapToGrid w:val="0"/>
        <w:spacing w:line="360" w:lineRule="auto"/>
        <w:ind w:left="420" w:leftChars="200" w:firstLine="480" w:firstLineChars="200"/>
        <w:rPr>
          <w:rFonts w:ascii="宋体" w:hAnsi="宋体" w:cs="宋体"/>
          <w:color w:val="000000" w:themeColor="text1"/>
          <w:sz w:val="24"/>
        </w:rPr>
      </w:pPr>
      <w:r>
        <w:rPr>
          <w:rFonts w:hint="eastAsia" w:ascii="宋体" w:hAnsi="宋体" w:cs="宋体"/>
          <w:color w:val="000000" w:themeColor="text1"/>
          <w:sz w:val="24"/>
        </w:rPr>
        <w:t>2.2.</w:t>
      </w:r>
      <w:r>
        <w:rPr>
          <w:rFonts w:ascii="宋体" w:hAnsi="宋体" w:cs="宋体"/>
          <w:color w:val="000000" w:themeColor="text1"/>
          <w:sz w:val="24"/>
        </w:rPr>
        <w:t>4</w:t>
      </w:r>
      <w:r>
        <w:rPr>
          <w:rFonts w:hint="eastAsia" w:ascii="宋体" w:hAnsi="宋体" w:cs="宋体"/>
          <w:color w:val="000000" w:themeColor="text1"/>
          <w:sz w:val="24"/>
        </w:rPr>
        <w:t>符合性审查资料；</w:t>
      </w:r>
    </w:p>
    <w:p>
      <w:pPr>
        <w:snapToGrid w:val="0"/>
        <w:spacing w:line="360" w:lineRule="auto"/>
        <w:ind w:left="420" w:leftChars="200" w:firstLine="480" w:firstLineChars="200"/>
        <w:rPr>
          <w:rFonts w:ascii="宋体" w:hAnsi="宋体" w:cs="宋体"/>
          <w:color w:val="000000" w:themeColor="text1"/>
          <w:sz w:val="24"/>
        </w:rPr>
      </w:pPr>
      <w:r>
        <w:rPr>
          <w:rFonts w:hint="eastAsia" w:ascii="宋体" w:hAnsi="宋体" w:cs="宋体"/>
          <w:color w:val="000000" w:themeColor="text1"/>
          <w:sz w:val="24"/>
        </w:rPr>
        <w:t>2.2.</w:t>
      </w:r>
      <w:r>
        <w:rPr>
          <w:rFonts w:ascii="宋体" w:hAnsi="宋体" w:cs="宋体"/>
          <w:color w:val="000000" w:themeColor="text1"/>
          <w:sz w:val="24"/>
        </w:rPr>
        <w:t>5</w:t>
      </w:r>
      <w:r>
        <w:rPr>
          <w:rFonts w:hint="eastAsia" w:ascii="宋体" w:hAnsi="宋体" w:cs="宋体"/>
          <w:color w:val="000000" w:themeColor="text1"/>
          <w:sz w:val="24"/>
        </w:rPr>
        <w:t>评标标准相应的商务技术资料；</w:t>
      </w:r>
    </w:p>
    <w:p>
      <w:pPr>
        <w:snapToGrid w:val="0"/>
        <w:spacing w:line="360" w:lineRule="auto"/>
        <w:ind w:left="420" w:leftChars="200" w:firstLine="480" w:firstLineChars="200"/>
        <w:rPr>
          <w:rFonts w:ascii="宋体" w:hAnsi="宋体" w:cs="宋体"/>
          <w:color w:val="000000" w:themeColor="text1"/>
          <w:sz w:val="24"/>
        </w:rPr>
      </w:pPr>
      <w:r>
        <w:rPr>
          <w:rFonts w:hint="eastAsia" w:ascii="宋体" w:hAnsi="宋体" w:cs="宋体"/>
          <w:color w:val="000000" w:themeColor="text1"/>
          <w:sz w:val="24"/>
        </w:rPr>
        <w:t>2.2.</w:t>
      </w:r>
      <w:r>
        <w:rPr>
          <w:rFonts w:ascii="宋体" w:hAnsi="宋体" w:cs="宋体"/>
          <w:color w:val="000000" w:themeColor="text1"/>
          <w:sz w:val="24"/>
        </w:rPr>
        <w:t>6</w:t>
      </w:r>
      <w:r>
        <w:rPr>
          <w:rFonts w:hint="eastAsia" w:ascii="宋体" w:hAnsi="宋体" w:cs="宋体"/>
          <w:color w:val="000000" w:themeColor="text1"/>
          <w:sz w:val="24"/>
        </w:rPr>
        <w:t>投标标的清单；</w:t>
      </w:r>
    </w:p>
    <w:p>
      <w:pPr>
        <w:snapToGrid w:val="0"/>
        <w:spacing w:line="360" w:lineRule="auto"/>
        <w:ind w:left="420" w:leftChars="200" w:firstLine="480" w:firstLineChars="200"/>
        <w:rPr>
          <w:rFonts w:ascii="宋体" w:hAnsi="宋体" w:cs="宋体"/>
          <w:color w:val="000000" w:themeColor="text1"/>
          <w:sz w:val="24"/>
        </w:rPr>
      </w:pPr>
      <w:r>
        <w:rPr>
          <w:rFonts w:hint="eastAsia" w:ascii="宋体" w:hAnsi="宋体" w:cs="宋体"/>
          <w:color w:val="000000" w:themeColor="text1"/>
          <w:sz w:val="24"/>
        </w:rPr>
        <w:t>2.2.</w:t>
      </w:r>
      <w:r>
        <w:rPr>
          <w:rFonts w:ascii="宋体" w:hAnsi="宋体" w:cs="宋体"/>
          <w:color w:val="000000" w:themeColor="text1"/>
          <w:sz w:val="24"/>
        </w:rPr>
        <w:t>7</w:t>
      </w:r>
      <w:r>
        <w:rPr>
          <w:rFonts w:hint="eastAsia" w:ascii="宋体" w:hAnsi="宋体" w:cs="宋体"/>
          <w:color w:val="000000" w:themeColor="text1"/>
          <w:sz w:val="24"/>
        </w:rPr>
        <w:t>商务技术偏离表；</w:t>
      </w:r>
    </w:p>
    <w:p>
      <w:pPr>
        <w:snapToGrid w:val="0"/>
        <w:spacing w:line="360" w:lineRule="auto"/>
        <w:ind w:left="420" w:leftChars="200" w:firstLine="480" w:firstLineChars="200"/>
        <w:rPr>
          <w:rFonts w:ascii="宋体" w:hAnsi="宋体" w:cs="宋体"/>
          <w:color w:val="000000" w:themeColor="text1"/>
          <w:sz w:val="24"/>
          <w:lang w:val="zh-CN"/>
        </w:rPr>
      </w:pPr>
      <w:r>
        <w:rPr>
          <w:rFonts w:hint="eastAsia" w:ascii="宋体" w:hAnsi="宋体" w:cs="宋体"/>
          <w:color w:val="000000" w:themeColor="text1"/>
          <w:sz w:val="24"/>
        </w:rPr>
        <w:t>2</w:t>
      </w:r>
      <w:r>
        <w:rPr>
          <w:rFonts w:hint="eastAsia" w:ascii="宋体" w:hAnsi="宋体" w:cs="宋体"/>
          <w:color w:val="000000" w:themeColor="text1"/>
          <w:sz w:val="24"/>
          <w:lang w:val="zh-CN"/>
        </w:rPr>
        <w:t>.</w:t>
      </w:r>
      <w:r>
        <w:rPr>
          <w:rFonts w:hint="eastAsia" w:ascii="宋体" w:hAnsi="宋体" w:cs="宋体"/>
          <w:color w:val="000000" w:themeColor="text1"/>
          <w:sz w:val="24"/>
        </w:rPr>
        <w:t>2</w:t>
      </w:r>
      <w:r>
        <w:rPr>
          <w:rFonts w:hint="eastAsia" w:ascii="宋体" w:hAnsi="宋体" w:cs="宋体"/>
          <w:color w:val="000000" w:themeColor="text1"/>
          <w:sz w:val="24"/>
          <w:lang w:val="zh-CN"/>
        </w:rPr>
        <w:t>.</w:t>
      </w:r>
      <w:r>
        <w:rPr>
          <w:rFonts w:ascii="宋体" w:hAnsi="宋体" w:cs="宋体"/>
          <w:color w:val="000000" w:themeColor="text1"/>
          <w:sz w:val="24"/>
        </w:rPr>
        <w:t>8</w:t>
      </w:r>
      <w:r>
        <w:rPr>
          <w:rFonts w:hint="eastAsia" w:ascii="宋体" w:hAnsi="宋体" w:cs="宋体"/>
          <w:color w:val="000000" w:themeColor="text1"/>
          <w:sz w:val="24"/>
          <w:lang w:val="zh-CN"/>
        </w:rPr>
        <w:t>政府采购供应商廉洁自律承诺书；</w:t>
      </w:r>
    </w:p>
    <w:p>
      <w:pPr>
        <w:snapToGrid w:val="0"/>
        <w:spacing w:line="360" w:lineRule="auto"/>
        <w:ind w:left="210" w:leftChars="100" w:firstLine="480" w:firstLineChars="200"/>
        <w:rPr>
          <w:rFonts w:ascii="宋体" w:hAnsi="宋体" w:cs="宋体"/>
          <w:color w:val="000000" w:themeColor="text1"/>
          <w:sz w:val="24"/>
        </w:rPr>
      </w:pPr>
      <w:r>
        <w:rPr>
          <w:rFonts w:hint="eastAsia" w:ascii="宋体" w:hAnsi="宋体" w:cs="宋体"/>
          <w:color w:val="000000" w:themeColor="text1"/>
          <w:sz w:val="24"/>
        </w:rPr>
        <w:t>2</w:t>
      </w:r>
      <w:r>
        <w:rPr>
          <w:rFonts w:hint="eastAsia" w:ascii="宋体" w:hAnsi="宋体" w:cs="宋体"/>
          <w:color w:val="000000" w:themeColor="text1"/>
          <w:sz w:val="24"/>
          <w:lang w:val="zh-CN"/>
        </w:rPr>
        <w:t>.</w:t>
      </w:r>
      <w:r>
        <w:rPr>
          <w:rFonts w:hint="eastAsia" w:ascii="宋体" w:hAnsi="宋体" w:cs="宋体"/>
          <w:color w:val="000000" w:themeColor="text1"/>
          <w:sz w:val="24"/>
        </w:rPr>
        <w:t>3报价文件</w:t>
      </w:r>
    </w:p>
    <w:p>
      <w:pPr>
        <w:snapToGrid w:val="0"/>
        <w:spacing w:line="360" w:lineRule="auto"/>
        <w:ind w:left="420" w:leftChars="200" w:firstLine="480" w:firstLineChars="200"/>
        <w:rPr>
          <w:rFonts w:ascii="宋体" w:hAnsi="宋体" w:cs="宋体"/>
          <w:color w:val="000000" w:themeColor="text1"/>
          <w:sz w:val="24"/>
        </w:rPr>
      </w:pPr>
      <w:r>
        <w:rPr>
          <w:rFonts w:hint="eastAsia" w:ascii="宋体" w:hAnsi="宋体" w:cs="宋体"/>
          <w:color w:val="000000" w:themeColor="text1"/>
          <w:sz w:val="24"/>
        </w:rPr>
        <w:t>2.3.1开标一览表（报价表）；</w:t>
      </w:r>
    </w:p>
    <w:p>
      <w:pPr>
        <w:snapToGrid w:val="0"/>
        <w:spacing w:line="360" w:lineRule="auto"/>
        <w:ind w:left="420" w:leftChars="200" w:firstLine="480" w:firstLineChars="200"/>
        <w:rPr>
          <w:rFonts w:ascii="宋体" w:hAnsi="宋体" w:cs="宋体"/>
          <w:color w:val="FF0000"/>
          <w:sz w:val="24"/>
        </w:rPr>
      </w:pPr>
      <w:r>
        <w:rPr>
          <w:rFonts w:hint="eastAsia" w:ascii="宋体" w:hAnsi="宋体" w:cs="宋体"/>
          <w:color w:val="000000" w:themeColor="text1"/>
          <w:sz w:val="24"/>
        </w:rPr>
        <w:t>2.3.2中小企业声明函（如果有）。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rPr>
      </w:pPr>
    </w:p>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jc w:val="center"/>
        <w:rPr>
          <w:rFonts w:ascii="宋体" w:hAnsi="宋体" w:cs="宋体"/>
          <w:b/>
          <w:kern w:val="0"/>
          <w:sz w:val="32"/>
          <w:szCs w:val="32"/>
        </w:rPr>
      </w:pPr>
    </w:p>
    <w:p>
      <w:pPr>
        <w:snapToGrid w:val="0"/>
        <w:spacing w:line="360" w:lineRule="auto"/>
        <w:rPr>
          <w:rFonts w:ascii="宋体" w:hAnsi="宋体" w:cs="宋体"/>
          <w:sz w:val="24"/>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p>
    <w:p>
      <w:pPr>
        <w:snapToGrid w:val="0"/>
        <w:spacing w:line="360" w:lineRule="auto"/>
        <w:rPr>
          <w:rFonts w:ascii="宋体" w:hAnsi="宋体" w:cs="宋体"/>
          <w:kern w:val="0"/>
          <w:sz w:val="24"/>
        </w:rPr>
      </w:pPr>
      <w:r>
        <w:rPr>
          <w:rFonts w:hint="eastAsia" w:ascii="宋体" w:hAnsi="宋体" w:cs="宋体"/>
          <w:sz w:val="24"/>
        </w:rPr>
        <w:t>建德市人民检察院</w:t>
      </w:r>
      <w:r>
        <w:rPr>
          <w:rFonts w:hint="eastAsia" w:ascii="宋体" w:hAnsi="宋体" w:cs="宋体"/>
          <w:kern w:val="0"/>
          <w:sz w:val="24"/>
        </w:rPr>
        <w:t xml:space="preserve"> 、杭州市公共资源交易中心建德分中心</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Theme="minorEastAsia" w:hAnsiTheme="minorEastAsia" w:eastAsiaTheme="minorEastAsia"/>
          <w:sz w:val="24"/>
        </w:rPr>
        <w:t>建德市人民检察院驻新看守所检察室弱电项目</w:t>
      </w:r>
      <w:r>
        <w:rPr>
          <w:rFonts w:hint="eastAsia" w:ascii="宋体" w:hAnsi="宋体" w:cs="宋体"/>
          <w:kern w:val="0"/>
          <w:sz w:val="24"/>
          <w:lang w:val="zh-CN"/>
        </w:rPr>
        <w:t>【招标编号：JD2023BJ-028】政府采购投标的一切事项，其法律后果由我方承担。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pPr>
        <w:snapToGrid w:val="0"/>
        <w:spacing w:line="360" w:lineRule="auto"/>
        <w:rPr>
          <w:rFonts w:ascii="宋体" w:hAnsi="宋体" w:cs="宋体"/>
          <w:kern w:val="0"/>
          <w:sz w:val="24"/>
        </w:rPr>
      </w:pP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snapToGrid w:val="0"/>
        <w:spacing w:line="360" w:lineRule="auto"/>
        <w:rPr>
          <w:rFonts w:ascii="宋体" w:hAnsi="宋体" w:cs="宋体"/>
          <w:sz w:val="24"/>
        </w:rPr>
      </w:pP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cs="宋体"/>
          <w:sz w:val="24"/>
        </w:rPr>
        <w:t>建德市人民检察院</w:t>
      </w:r>
      <w:r>
        <w:rPr>
          <w:rFonts w:hint="eastAsia" w:ascii="宋体" w:hAnsi="宋体" w:cs="宋体"/>
          <w:kern w:val="0"/>
          <w:sz w:val="24"/>
        </w:rPr>
        <w:t>、杭州市公共资源交易中心建德分中心</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Theme="minorEastAsia" w:hAnsiTheme="minorEastAsia" w:eastAsiaTheme="minorEastAsia"/>
          <w:sz w:val="24"/>
        </w:rPr>
        <w:t>建德市人民检察院驻新看守所检察室弱电项目</w:t>
      </w:r>
      <w:r>
        <w:rPr>
          <w:rFonts w:hint="eastAsia" w:ascii="宋体" w:hAnsi="宋体" w:cs="宋体"/>
          <w:kern w:val="0"/>
          <w:sz w:val="24"/>
          <w:lang w:val="zh-CN"/>
        </w:rPr>
        <w:t>【招标编号：JD2023BJ-028】政府采购投标的一切事项，其法律后果由我方承担。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pPr>
        <w:snapToGrid w:val="0"/>
        <w:spacing w:line="360" w:lineRule="auto"/>
        <w:rPr>
          <w:rFonts w:ascii="宋体" w:hAnsi="宋体" w:cs="宋体"/>
          <w:kern w:val="0"/>
          <w:sz w:val="24"/>
        </w:rPr>
      </w:pPr>
      <w:r>
        <w:rPr>
          <w:rFonts w:hint="eastAsia" w:ascii="宋体" w:hAnsi="宋体" w:cs="宋体"/>
          <w:kern w:val="0"/>
          <w:sz w:val="24"/>
          <w:lang w:val="zh-CN"/>
        </w:rPr>
        <w:t>特此告知。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46"/>
        <w:spacing w:line="360" w:lineRule="auto"/>
        <w:rPr>
          <w:rFonts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hAnsi="宋体" w:cs="宋体"/>
                <w:bCs/>
                <w:sz w:val="24"/>
              </w:rPr>
            </w:pPr>
            <w:r>
              <w:rPr>
                <w:rFonts w:hint="eastAsia" w:hAnsi="宋体" w:cs="宋体"/>
                <w:bCs/>
                <w:sz w:val="24"/>
              </w:rPr>
              <w:t>正面：                                 反面：</w:t>
            </w:r>
          </w:p>
          <w:p>
            <w:pPr>
              <w:pStyle w:val="146"/>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000000" w:themeColor="text1"/>
          <w:kern w:val="0"/>
          <w:sz w:val="32"/>
          <w:szCs w:val="32"/>
        </w:rPr>
        <w:t>（如果有）</w:t>
      </w:r>
    </w:p>
    <w:p>
      <w:pPr>
        <w:widowControl/>
        <w:spacing w:line="360" w:lineRule="auto"/>
        <w:ind w:firstLine="120" w:firstLineChars="50"/>
        <w:jc w:val="left"/>
        <w:rPr>
          <w:rFonts w:ascii="宋体" w:hAnsi="宋体" w:cs="宋体"/>
          <w:sz w:val="24"/>
        </w:rPr>
      </w:pPr>
      <w:bookmarkStart w:id="548" w:name="_Hlk101169080"/>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bookmarkEnd w:id="548"/>
    <w:p>
      <w:pPr>
        <w:snapToGrid w:val="0"/>
        <w:spacing w:line="360" w:lineRule="auto"/>
        <w:rPr>
          <w:rFonts w:ascii="宋体" w:hAnsi="宋体" w:cs="宋体"/>
          <w:kern w:val="0"/>
          <w:sz w:val="24"/>
        </w:rPr>
      </w:pPr>
    </w:p>
    <w:p>
      <w:pPr>
        <w:jc w:val="center"/>
        <w:rPr>
          <w:rFonts w:ascii="宋体" w:hAnsi="宋体" w:cs="宋体"/>
          <w:b/>
          <w:kern w:val="0"/>
          <w:sz w:val="32"/>
          <w:szCs w:val="32"/>
        </w:rPr>
      </w:pPr>
    </w:p>
    <w:p>
      <w:pPr>
        <w:pStyle w:val="7"/>
        <w:rPr>
          <w:lang w:val="en-US"/>
        </w:rPr>
      </w:pPr>
    </w:p>
    <w:p/>
    <w:p>
      <w:pPr>
        <w:pStyle w:val="7"/>
        <w:rPr>
          <w:lang w:val="en-US"/>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四、符合性审查资料</w:t>
      </w:r>
    </w:p>
    <w:p>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投标文件中的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1</w:t>
            </w:r>
          </w:p>
        </w:tc>
        <w:tc>
          <w:tcPr>
            <w:tcW w:w="4991" w:type="dxa"/>
          </w:tcPr>
          <w:p>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pPr>
              <w:rPr>
                <w:rFonts w:ascii="宋体" w:hAnsi="宋体" w:cs="宋体"/>
                <w:sz w:val="24"/>
              </w:rPr>
            </w:pPr>
          </w:p>
          <w:p>
            <w:pPr>
              <w:rPr>
                <w:rFonts w:ascii="宋体" w:hAnsi="宋体" w:cs="宋体"/>
                <w:sz w:val="24"/>
              </w:rPr>
            </w:pPr>
            <w:r>
              <w:rPr>
                <w:rFonts w:hint="eastAsia" w:ascii="宋体" w:hAnsi="宋体" w:cs="宋体"/>
                <w:sz w:val="24"/>
              </w:rPr>
              <w:t>见投标文件</w:t>
            </w:r>
          </w:p>
          <w:p>
            <w:pPr>
              <w:rPr>
                <w:rFonts w:ascii="宋体" w:hAnsi="宋体" w:cs="宋体"/>
              </w:rPr>
            </w:pPr>
            <w:r>
              <w:rPr>
                <w:rFonts w:hint="eastAsia" w:ascii="宋体" w:hAnsi="宋体" w:cs="宋体"/>
                <w:sz w:val="24"/>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2</w:t>
            </w:r>
          </w:p>
        </w:tc>
        <w:tc>
          <w:tcPr>
            <w:tcW w:w="4991" w:type="dxa"/>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pPr>
              <w:rPr>
                <w:rFonts w:ascii="宋体" w:hAnsi="宋体" w:cs="宋体"/>
                <w:sz w:val="24"/>
              </w:rPr>
            </w:pPr>
            <w:r>
              <w:rPr>
                <w:rFonts w:hint="eastAsia" w:ascii="宋体" w:hAnsi="宋体" w:cs="宋体"/>
                <w:sz w:val="24"/>
              </w:rPr>
              <w:t>投标函</w:t>
            </w:r>
          </w:p>
        </w:tc>
        <w:tc>
          <w:tcPr>
            <w:tcW w:w="1418" w:type="dxa"/>
          </w:tcPr>
          <w:p>
            <w:pPr>
              <w:rPr>
                <w:rFonts w:ascii="宋体" w:hAnsi="宋体" w:cs="宋体"/>
              </w:rPr>
            </w:pPr>
            <w:r>
              <w:rPr>
                <w:rFonts w:hint="eastAsia" w:ascii="宋体" w:hAnsi="宋体" w:cs="宋体"/>
                <w:sz w:val="24"/>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3</w:t>
            </w:r>
          </w:p>
        </w:tc>
        <w:tc>
          <w:tcPr>
            <w:tcW w:w="4991" w:type="dxa"/>
          </w:tcPr>
          <w:p>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pPr>
              <w:rPr>
                <w:rFonts w:ascii="宋体" w:hAnsi="宋体" w:cs="宋体"/>
              </w:rPr>
            </w:pPr>
            <w:r>
              <w:rPr>
                <w:rFonts w:hint="eastAsia" w:ascii="宋体" w:hAnsi="宋体" w:cs="宋体"/>
                <w:sz w:val="24"/>
              </w:rPr>
              <w:t>见投标文件第页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jc w:val="center"/>
        <w:rPr>
          <w:rFonts w:ascii="宋体" w:hAnsi="宋体" w:cs="宋体"/>
        </w:rPr>
      </w:pPr>
      <w:r>
        <w:rPr>
          <w:rFonts w:hint="eastAsia" w:ascii="宋体" w:hAnsi="宋体" w:cs="宋体"/>
          <w:b/>
          <w:kern w:val="0"/>
          <w:sz w:val="32"/>
          <w:szCs w:val="32"/>
        </w:rPr>
        <w:t>五、评标标准相应的商务技术资料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sz w:val="24"/>
              </w:rPr>
            </w:pPr>
            <w:r>
              <w:rPr>
                <w:rFonts w:hint="eastAsia" w:ascii="宋体" w:hAnsi="宋体" w:cs="宋体"/>
                <w:b/>
                <w:bCs/>
                <w:sz w:val="24"/>
              </w:rPr>
              <w:t>序号</w:t>
            </w:r>
          </w:p>
        </w:tc>
        <w:tc>
          <w:tcPr>
            <w:tcW w:w="3683" w:type="dxa"/>
          </w:tcPr>
          <w:p>
            <w:pPr>
              <w:jc w:val="center"/>
              <w:rPr>
                <w:rFonts w:ascii="宋体" w:hAnsi="宋体" w:cs="宋体"/>
                <w:b/>
                <w:bCs/>
                <w:sz w:val="24"/>
              </w:rPr>
            </w:pPr>
            <w:r>
              <w:rPr>
                <w:rFonts w:hint="eastAsia" w:ascii="宋体" w:hAnsi="宋体" w:cs="宋体"/>
                <w:b/>
                <w:bCs/>
                <w:sz w:val="24"/>
              </w:rPr>
              <w:t>招标文件章节及具体内容</w:t>
            </w:r>
          </w:p>
        </w:tc>
        <w:tc>
          <w:tcPr>
            <w:tcW w:w="3546" w:type="dxa"/>
          </w:tcPr>
          <w:p>
            <w:pPr>
              <w:jc w:val="center"/>
              <w:rPr>
                <w:rFonts w:ascii="宋体" w:hAnsi="宋体" w:cs="宋体"/>
                <w:b/>
                <w:bCs/>
                <w:sz w:val="24"/>
              </w:rPr>
            </w:pPr>
            <w:r>
              <w:rPr>
                <w:rFonts w:hint="eastAsia" w:ascii="宋体" w:hAnsi="宋体" w:cs="宋体"/>
                <w:b/>
                <w:bCs/>
                <w:sz w:val="24"/>
              </w:rPr>
              <w:t>投标文件章节及具体内容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1</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2</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pPr>
        <w:jc w:val="center"/>
        <w:rPr>
          <w:rFonts w:ascii="宋体" w:hAnsi="宋体" w:cs="宋体"/>
          <w:b/>
          <w:kern w:val="0"/>
          <w:sz w:val="32"/>
          <w:szCs w:val="32"/>
        </w:rPr>
      </w:pPr>
    </w:p>
    <w:p>
      <w:pPr>
        <w:spacing w:line="360" w:lineRule="auto"/>
        <w:ind w:right="420"/>
        <w:rPr>
          <w:rFonts w:ascii="宋体" w:hAnsi="宋体" w:cs="宋体"/>
          <w:sz w:val="24"/>
        </w:rPr>
      </w:pPr>
      <w:r>
        <w:rPr>
          <w:rFonts w:hint="eastAsia" w:ascii="宋体" w:hAnsi="宋体" w:cs="宋体"/>
          <w:sz w:val="24"/>
        </w:rPr>
        <w:t>注：按本格式和要求提供。</w:t>
      </w: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widowControl/>
        <w:adjustRightInd/>
        <w:jc w:val="left"/>
        <w:rPr>
          <w:rFonts w:ascii="宋体" w:hAnsi="宋体" w:cs="宋体"/>
          <w:b/>
          <w:bCs/>
          <w:sz w:val="32"/>
          <w:szCs w:val="32"/>
        </w:rPr>
      </w:pPr>
      <w:r>
        <w:rPr>
          <w:rFonts w:ascii="宋体" w:hAnsi="宋体" w:cs="宋体"/>
          <w:b/>
          <w:bCs/>
          <w:sz w:val="32"/>
          <w:szCs w:val="32"/>
        </w:rPr>
        <w:br w:type="page"/>
      </w:r>
    </w:p>
    <w:p>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autoSpaceDE w:val="0"/>
        <w:autoSpaceDN w:val="0"/>
        <w:spacing w:line="360" w:lineRule="auto"/>
        <w:jc w:val="left"/>
        <w:rPr>
          <w:rFonts w:ascii="宋体" w:hAnsi="宋体" w:cs="宋体"/>
          <w:kern w:val="0"/>
          <w:sz w:val="24"/>
          <w:lang w:val="zh-CN"/>
        </w:rPr>
      </w:pPr>
      <w:r>
        <w:rPr>
          <w:rFonts w:hint="eastAsia" w:ascii="宋体" w:hAnsi="宋体" w:cs="宋体"/>
          <w:sz w:val="24"/>
        </w:rPr>
        <w:t>建德市人民检察院</w:t>
      </w:r>
      <w:r>
        <w:rPr>
          <w:rFonts w:hint="eastAsia" w:ascii="宋体" w:hAnsi="宋体" w:cs="宋体"/>
          <w:kern w:val="0"/>
          <w:sz w:val="24"/>
          <w:lang w:val="zh-CN"/>
        </w:rPr>
        <w:t>、杭州市公共资源交易中心建德分中心：</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ind w:right="420"/>
        <w:rPr>
          <w:rFonts w:ascii="宋体" w:hAnsi="宋体" w:cs="宋体"/>
          <w:sz w:val="24"/>
        </w:rPr>
      </w:pPr>
      <w:r>
        <w:rPr>
          <w:rFonts w:hint="eastAsia" w:ascii="宋体" w:hAnsi="宋体" w:cs="宋体"/>
          <w:sz w:val="24"/>
        </w:rPr>
        <w:t>注：按本格式和要求提供。</w:t>
      </w:r>
    </w:p>
    <w:p>
      <w:pPr>
        <w:spacing w:line="360" w:lineRule="auto"/>
        <w:jc w:val="center"/>
        <w:rPr>
          <w:rFonts w:ascii="宋体" w:hAnsi="宋体" w:cs="宋体"/>
          <w:b/>
          <w:bCs/>
          <w:sz w:val="24"/>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（1）开标一览表（报价表）………………………………………………………（页码）</w:t>
      </w:r>
    </w:p>
    <w:p>
      <w:pPr>
        <w:snapToGrid w:val="0"/>
        <w:spacing w:line="360" w:lineRule="auto"/>
        <w:rPr>
          <w:rFonts w:ascii="宋体" w:hAnsi="宋体" w:cs="宋体"/>
          <w:sz w:val="24"/>
        </w:rPr>
      </w:pPr>
      <w:r>
        <w:rPr>
          <w:rFonts w:hint="eastAsia" w:ascii="宋体" w:hAnsi="宋体" w:cs="宋体"/>
          <w:sz w:val="24"/>
        </w:rPr>
        <w:t>（2）中小企业声明函………………………………………………………………（页码）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pPr>
        <w:snapToGrid w:val="0"/>
        <w:spacing w:line="360" w:lineRule="auto"/>
        <w:rPr>
          <w:rFonts w:ascii="宋体" w:hAnsi="宋体" w:cs="宋体"/>
          <w:kern w:val="0"/>
          <w:sz w:val="24"/>
        </w:rPr>
      </w:pPr>
      <w:r>
        <w:rPr>
          <w:rFonts w:hint="eastAsia" w:ascii="宋体" w:hAnsi="宋体" w:cs="宋体"/>
          <w:sz w:val="24"/>
        </w:rPr>
        <w:t>建德市人民检察院</w:t>
      </w:r>
      <w:r>
        <w:rPr>
          <w:rFonts w:hint="eastAsia" w:ascii="宋体" w:hAnsi="宋体" w:cs="宋体"/>
          <w:kern w:val="0"/>
          <w:sz w:val="24"/>
        </w:rPr>
        <w:t>、杭州市公共资源交易中心建德分中心</w:t>
      </w:r>
      <w:r>
        <w:rPr>
          <w:rFonts w:hint="eastAsia" w:ascii="宋体" w:hAnsi="宋体" w:cs="宋体"/>
          <w:kern w:val="0"/>
          <w:sz w:val="24"/>
          <w:lang w:val="zh-CN"/>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Theme="minorEastAsia" w:hAnsiTheme="minorEastAsia" w:eastAsiaTheme="minorEastAsia"/>
          <w:sz w:val="24"/>
        </w:rPr>
        <w:t>建德市人民检察院驻新看守所检察室弱电项目</w:t>
      </w:r>
      <w:r>
        <w:rPr>
          <w:rFonts w:hint="eastAsia" w:ascii="宋体" w:hAnsi="宋体" w:cs="宋体"/>
          <w:kern w:val="0"/>
          <w:sz w:val="24"/>
          <w:lang w:val="zh-CN"/>
        </w:rPr>
        <w:t>【招标编号：JD2023BJ-028】</w:t>
      </w:r>
      <w:r>
        <w:rPr>
          <w:rFonts w:hint="eastAsia" w:ascii="宋体" w:hAnsi="宋体" w:cs="宋体"/>
          <w:sz w:val="24"/>
        </w:rPr>
        <w:t>的实施</w:t>
      </w:r>
      <w:r>
        <w:rPr>
          <w:rFonts w:hint="eastAsia" w:ascii="宋体" w:hAnsi="宋体" w:cs="宋体"/>
          <w:kern w:val="0"/>
          <w:sz w:val="24"/>
          <w:lang w:val="zh-CN"/>
        </w:rPr>
        <w:t>。</w:t>
      </w:r>
    </w:p>
    <w:p>
      <w:pPr>
        <w:spacing w:line="360" w:lineRule="auto"/>
        <w:jc w:val="center"/>
        <w:rPr>
          <w:rFonts w:ascii="宋体" w:hAnsi="宋体" w:cs="宋体"/>
          <w:b/>
          <w:color w:val="000000" w:themeColor="text1"/>
          <w:kern w:val="0"/>
          <w:sz w:val="24"/>
          <w:lang w:val="zh-CN"/>
        </w:rPr>
      </w:pPr>
      <w:r>
        <w:rPr>
          <w:rFonts w:hint="eastAsia" w:ascii="宋体" w:hAnsi="宋体" w:cs="宋体"/>
          <w:b/>
          <w:color w:val="000000" w:themeColor="text1"/>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宋体" w:hAnsi="宋体" w:cs="宋体"/>
                <w:b/>
                <w:color w:val="000000" w:themeColor="text1"/>
                <w:sz w:val="24"/>
              </w:rPr>
            </w:pPr>
            <w:r>
              <w:rPr>
                <w:rFonts w:hint="eastAsia" w:ascii="宋体" w:hAnsi="宋体" w:cs="宋体"/>
                <w:b/>
                <w:color w:val="000000" w:themeColor="text1"/>
                <w:sz w:val="24"/>
              </w:rPr>
              <w:t>序号</w:t>
            </w:r>
          </w:p>
        </w:tc>
        <w:tc>
          <w:tcPr>
            <w:tcW w:w="1417" w:type="dxa"/>
            <w:vAlign w:val="center"/>
          </w:tcPr>
          <w:p>
            <w:pPr>
              <w:spacing w:line="360" w:lineRule="auto"/>
              <w:jc w:val="center"/>
              <w:rPr>
                <w:rFonts w:ascii="宋体" w:hAnsi="宋体" w:cs="宋体"/>
                <w:b/>
                <w:color w:val="000000" w:themeColor="text1"/>
                <w:sz w:val="24"/>
              </w:rPr>
            </w:pPr>
            <w:r>
              <w:rPr>
                <w:rFonts w:hint="eastAsia" w:ascii="宋体" w:hAnsi="宋体" w:cs="宋体"/>
                <w:b/>
                <w:color w:val="000000" w:themeColor="text1"/>
                <w:sz w:val="24"/>
              </w:rPr>
              <w:t>名称</w:t>
            </w:r>
          </w:p>
        </w:tc>
        <w:tc>
          <w:tcPr>
            <w:tcW w:w="1843" w:type="dxa"/>
          </w:tcPr>
          <w:p>
            <w:pPr>
              <w:spacing w:line="360" w:lineRule="auto"/>
              <w:jc w:val="center"/>
              <w:rPr>
                <w:rFonts w:ascii="宋体" w:hAnsi="宋体" w:cs="宋体"/>
                <w:b/>
                <w:color w:val="000000" w:themeColor="text1"/>
                <w:sz w:val="24"/>
              </w:rPr>
            </w:pPr>
          </w:p>
          <w:p>
            <w:pPr>
              <w:spacing w:line="360" w:lineRule="auto"/>
              <w:jc w:val="center"/>
              <w:rPr>
                <w:rFonts w:ascii="宋体" w:hAnsi="宋体" w:cs="宋体"/>
                <w:b/>
                <w:color w:val="000000" w:themeColor="text1"/>
                <w:sz w:val="24"/>
              </w:rPr>
            </w:pPr>
            <w:r>
              <w:rPr>
                <w:rFonts w:hint="eastAsia" w:ascii="宋体" w:hAnsi="宋体" w:cs="宋体"/>
                <w:b/>
                <w:color w:val="000000" w:themeColor="text1"/>
                <w:sz w:val="24"/>
              </w:rPr>
              <w:t>品牌（如果有）</w:t>
            </w:r>
          </w:p>
        </w:tc>
        <w:tc>
          <w:tcPr>
            <w:tcW w:w="3118" w:type="dxa"/>
            <w:vAlign w:val="center"/>
          </w:tcPr>
          <w:p>
            <w:pPr>
              <w:spacing w:line="360" w:lineRule="auto"/>
              <w:jc w:val="center"/>
              <w:rPr>
                <w:rFonts w:ascii="宋体" w:hAnsi="宋体" w:cs="宋体"/>
                <w:b/>
                <w:color w:val="000000" w:themeColor="text1"/>
                <w:sz w:val="24"/>
              </w:rPr>
            </w:pPr>
            <w:r>
              <w:rPr>
                <w:rFonts w:hint="eastAsia" w:ascii="宋体" w:hAnsi="宋体" w:cs="宋体"/>
                <w:b/>
                <w:color w:val="000000" w:themeColor="text1"/>
                <w:sz w:val="24"/>
              </w:rPr>
              <w:t>规格型号</w:t>
            </w:r>
          </w:p>
        </w:tc>
        <w:tc>
          <w:tcPr>
            <w:tcW w:w="993" w:type="dxa"/>
            <w:vAlign w:val="center"/>
          </w:tcPr>
          <w:p>
            <w:pPr>
              <w:spacing w:line="360" w:lineRule="auto"/>
              <w:jc w:val="center"/>
              <w:rPr>
                <w:rFonts w:ascii="宋体" w:hAnsi="宋体" w:cs="宋体"/>
                <w:b/>
                <w:color w:val="000000" w:themeColor="text1"/>
                <w:sz w:val="24"/>
              </w:rPr>
            </w:pPr>
            <w:r>
              <w:rPr>
                <w:rFonts w:hint="eastAsia" w:ascii="宋体" w:hAnsi="宋体" w:cs="宋体"/>
                <w:b/>
                <w:color w:val="000000" w:themeColor="text1"/>
                <w:sz w:val="24"/>
              </w:rPr>
              <w:t>数量</w:t>
            </w:r>
          </w:p>
        </w:tc>
        <w:tc>
          <w:tcPr>
            <w:tcW w:w="1559" w:type="dxa"/>
            <w:vAlign w:val="center"/>
          </w:tcPr>
          <w:p>
            <w:pPr>
              <w:spacing w:line="360" w:lineRule="auto"/>
              <w:jc w:val="center"/>
              <w:rPr>
                <w:rFonts w:ascii="宋体" w:hAnsi="宋体" w:cs="宋体"/>
                <w:b/>
                <w:color w:val="000000" w:themeColor="text1"/>
                <w:sz w:val="24"/>
              </w:rPr>
            </w:pPr>
            <w:r>
              <w:rPr>
                <w:rFonts w:hint="eastAsia" w:ascii="宋体" w:hAnsi="宋体" w:cs="宋体"/>
                <w:b/>
                <w:color w:val="000000" w:themeColor="text1"/>
                <w:sz w:val="24"/>
              </w:rPr>
              <w:t>单价</w:t>
            </w:r>
          </w:p>
        </w:tc>
        <w:tc>
          <w:tcPr>
            <w:tcW w:w="1984" w:type="dxa"/>
            <w:vAlign w:val="center"/>
          </w:tcPr>
          <w:p>
            <w:pPr>
              <w:spacing w:line="360" w:lineRule="auto"/>
              <w:jc w:val="center"/>
              <w:rPr>
                <w:rFonts w:ascii="宋体" w:hAnsi="宋体" w:cs="宋体"/>
                <w:b/>
                <w:color w:val="000000" w:themeColor="text1"/>
                <w:sz w:val="24"/>
              </w:rPr>
            </w:pPr>
            <w:r>
              <w:rPr>
                <w:rFonts w:hint="eastAsia" w:ascii="宋体" w:hAnsi="宋体" w:cs="宋体"/>
                <w:b/>
                <w:color w:val="000000" w:themeColor="text1"/>
                <w:sz w:val="24"/>
              </w:rPr>
              <w:t>合计</w:t>
            </w:r>
          </w:p>
        </w:tc>
        <w:tc>
          <w:tcPr>
            <w:tcW w:w="3119" w:type="dxa"/>
            <w:vAlign w:val="center"/>
          </w:tcPr>
          <w:p>
            <w:pPr>
              <w:spacing w:line="360" w:lineRule="auto"/>
              <w:jc w:val="center"/>
              <w:rPr>
                <w:rFonts w:ascii="宋体" w:hAnsi="宋体" w:cs="宋体"/>
                <w:b/>
                <w:color w:val="000000" w:themeColor="text1"/>
                <w:sz w:val="24"/>
              </w:rPr>
            </w:pPr>
          </w:p>
          <w:p>
            <w:pPr>
              <w:spacing w:line="360" w:lineRule="auto"/>
              <w:jc w:val="center"/>
              <w:rPr>
                <w:rFonts w:ascii="宋体" w:hAnsi="宋体" w:cs="宋体"/>
                <w:b/>
                <w:color w:val="000000" w:themeColor="text1"/>
                <w:sz w:val="24"/>
              </w:rPr>
            </w:pPr>
            <w:r>
              <w:rPr>
                <w:rFonts w:hint="eastAsia" w:ascii="宋体" w:hAnsi="宋体" w:cs="宋体"/>
                <w:b/>
                <w:color w:val="000000" w:themeColor="text1"/>
                <w:sz w:val="24"/>
              </w:rPr>
              <w:t>备注（如果有）</w:t>
            </w:r>
          </w:p>
          <w:p>
            <w:pPr>
              <w:spacing w:line="360" w:lineRule="auto"/>
              <w:jc w:val="center"/>
              <w:rPr>
                <w:rFonts w:ascii="宋体" w:hAnsi="宋体" w:cs="宋体"/>
                <w:b/>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宋体" w:hAnsi="宋体" w:cs="宋体"/>
                <w:color w:val="000000" w:themeColor="text1"/>
                <w:sz w:val="24"/>
              </w:rPr>
            </w:pPr>
            <w:r>
              <w:rPr>
                <w:rFonts w:hint="eastAsia" w:ascii="宋体" w:hAnsi="宋体" w:cs="宋体"/>
                <w:color w:val="000000" w:themeColor="text1"/>
                <w:sz w:val="24"/>
              </w:rPr>
              <w:t>1</w:t>
            </w:r>
          </w:p>
        </w:tc>
        <w:tc>
          <w:tcPr>
            <w:tcW w:w="1417" w:type="dxa"/>
            <w:vAlign w:val="center"/>
          </w:tcPr>
          <w:p>
            <w:pPr>
              <w:snapToGrid w:val="0"/>
              <w:spacing w:line="360" w:lineRule="auto"/>
              <w:jc w:val="center"/>
              <w:rPr>
                <w:rFonts w:ascii="宋体" w:hAnsi="宋体" w:cs="宋体"/>
                <w:color w:val="000000" w:themeColor="text1"/>
                <w:sz w:val="24"/>
              </w:rPr>
            </w:pPr>
          </w:p>
        </w:tc>
        <w:tc>
          <w:tcPr>
            <w:tcW w:w="1843" w:type="dxa"/>
            <w:vAlign w:val="center"/>
          </w:tcPr>
          <w:p>
            <w:pPr>
              <w:snapToGrid w:val="0"/>
              <w:spacing w:line="360" w:lineRule="auto"/>
              <w:jc w:val="center"/>
              <w:rPr>
                <w:rFonts w:ascii="宋体" w:hAnsi="宋体" w:cs="宋体"/>
                <w:color w:val="000000" w:themeColor="text1"/>
                <w:sz w:val="24"/>
              </w:rPr>
            </w:pPr>
          </w:p>
        </w:tc>
        <w:tc>
          <w:tcPr>
            <w:tcW w:w="3118" w:type="dxa"/>
            <w:vAlign w:val="center"/>
          </w:tcPr>
          <w:p>
            <w:pPr>
              <w:snapToGrid w:val="0"/>
              <w:spacing w:line="360" w:lineRule="auto"/>
              <w:jc w:val="center"/>
              <w:rPr>
                <w:rFonts w:ascii="宋体" w:hAnsi="宋体" w:cs="宋体"/>
                <w:color w:val="000000" w:themeColor="text1"/>
                <w:sz w:val="24"/>
              </w:rPr>
            </w:pPr>
          </w:p>
        </w:tc>
        <w:tc>
          <w:tcPr>
            <w:tcW w:w="993" w:type="dxa"/>
            <w:vAlign w:val="center"/>
          </w:tcPr>
          <w:p>
            <w:pPr>
              <w:snapToGrid w:val="0"/>
              <w:spacing w:line="360" w:lineRule="auto"/>
              <w:jc w:val="center"/>
              <w:rPr>
                <w:rFonts w:ascii="宋体" w:hAnsi="宋体" w:cs="宋体"/>
                <w:color w:val="000000" w:themeColor="text1"/>
                <w:sz w:val="24"/>
              </w:rPr>
            </w:pPr>
          </w:p>
        </w:tc>
        <w:tc>
          <w:tcPr>
            <w:tcW w:w="1559" w:type="dxa"/>
            <w:vAlign w:val="center"/>
          </w:tcPr>
          <w:p>
            <w:pPr>
              <w:spacing w:line="360" w:lineRule="auto"/>
              <w:jc w:val="center"/>
              <w:rPr>
                <w:rFonts w:ascii="宋体" w:hAnsi="宋体" w:cs="宋体"/>
                <w:color w:val="000000" w:themeColor="text1"/>
                <w:sz w:val="24"/>
              </w:rPr>
            </w:pPr>
          </w:p>
        </w:tc>
        <w:tc>
          <w:tcPr>
            <w:tcW w:w="1984" w:type="dxa"/>
            <w:vAlign w:val="center"/>
          </w:tcPr>
          <w:p>
            <w:pPr>
              <w:spacing w:line="360" w:lineRule="auto"/>
              <w:jc w:val="center"/>
              <w:rPr>
                <w:rFonts w:ascii="宋体" w:hAnsi="宋体" w:cs="宋体"/>
                <w:color w:val="000000" w:themeColor="text1"/>
                <w:sz w:val="24"/>
              </w:rPr>
            </w:pPr>
          </w:p>
        </w:tc>
        <w:tc>
          <w:tcPr>
            <w:tcW w:w="3119" w:type="dxa"/>
            <w:vAlign w:val="center"/>
          </w:tcPr>
          <w:p>
            <w:pPr>
              <w:spacing w:line="360" w:lineRule="auto"/>
              <w:jc w:val="center"/>
              <w:rPr>
                <w:rFonts w:ascii="宋体" w:hAnsi="宋体" w:cs="宋体"/>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000000" w:themeColor="text1"/>
                <w:sz w:val="24"/>
              </w:rPr>
            </w:pPr>
            <w:r>
              <w:rPr>
                <w:rFonts w:hint="eastAsia" w:ascii="宋体" w:hAnsi="宋体" w:cs="宋体"/>
                <w:color w:val="000000" w:themeColor="text1"/>
                <w:sz w:val="24"/>
              </w:rPr>
              <w:t>2</w:t>
            </w:r>
          </w:p>
        </w:tc>
        <w:tc>
          <w:tcPr>
            <w:tcW w:w="1417" w:type="dxa"/>
            <w:vAlign w:val="center"/>
          </w:tcPr>
          <w:p>
            <w:pPr>
              <w:snapToGrid w:val="0"/>
              <w:spacing w:line="360" w:lineRule="auto"/>
              <w:jc w:val="center"/>
              <w:rPr>
                <w:rFonts w:ascii="宋体" w:hAnsi="宋体" w:cs="宋体"/>
                <w:color w:val="000000" w:themeColor="text1"/>
                <w:sz w:val="24"/>
              </w:rPr>
            </w:pPr>
          </w:p>
        </w:tc>
        <w:tc>
          <w:tcPr>
            <w:tcW w:w="1843" w:type="dxa"/>
            <w:vAlign w:val="center"/>
          </w:tcPr>
          <w:p>
            <w:pPr>
              <w:snapToGrid w:val="0"/>
              <w:spacing w:line="360" w:lineRule="auto"/>
              <w:jc w:val="center"/>
              <w:rPr>
                <w:rFonts w:ascii="宋体" w:hAnsi="宋体" w:cs="宋体"/>
                <w:color w:val="000000" w:themeColor="text1"/>
                <w:sz w:val="24"/>
              </w:rPr>
            </w:pPr>
          </w:p>
        </w:tc>
        <w:tc>
          <w:tcPr>
            <w:tcW w:w="3118" w:type="dxa"/>
            <w:vAlign w:val="center"/>
          </w:tcPr>
          <w:p>
            <w:pPr>
              <w:snapToGrid w:val="0"/>
              <w:spacing w:line="360" w:lineRule="auto"/>
              <w:jc w:val="center"/>
              <w:rPr>
                <w:rFonts w:ascii="宋体" w:hAnsi="宋体" w:cs="宋体"/>
                <w:color w:val="000000" w:themeColor="text1"/>
                <w:sz w:val="24"/>
              </w:rPr>
            </w:pPr>
          </w:p>
        </w:tc>
        <w:tc>
          <w:tcPr>
            <w:tcW w:w="993" w:type="dxa"/>
            <w:vAlign w:val="center"/>
          </w:tcPr>
          <w:p>
            <w:pPr>
              <w:snapToGrid w:val="0"/>
              <w:spacing w:line="360" w:lineRule="auto"/>
              <w:jc w:val="center"/>
              <w:rPr>
                <w:rFonts w:ascii="宋体" w:hAnsi="宋体" w:cs="宋体"/>
                <w:color w:val="000000" w:themeColor="text1"/>
                <w:sz w:val="24"/>
              </w:rPr>
            </w:pPr>
          </w:p>
        </w:tc>
        <w:tc>
          <w:tcPr>
            <w:tcW w:w="1559" w:type="dxa"/>
            <w:vAlign w:val="center"/>
          </w:tcPr>
          <w:p>
            <w:pPr>
              <w:spacing w:line="360" w:lineRule="auto"/>
              <w:jc w:val="center"/>
              <w:rPr>
                <w:rFonts w:ascii="宋体" w:hAnsi="宋体" w:cs="宋体"/>
                <w:color w:val="000000" w:themeColor="text1"/>
                <w:sz w:val="24"/>
              </w:rPr>
            </w:pPr>
          </w:p>
        </w:tc>
        <w:tc>
          <w:tcPr>
            <w:tcW w:w="1984" w:type="dxa"/>
            <w:vAlign w:val="center"/>
          </w:tcPr>
          <w:p>
            <w:pPr>
              <w:spacing w:line="360" w:lineRule="auto"/>
              <w:jc w:val="center"/>
              <w:rPr>
                <w:rFonts w:ascii="宋体" w:hAnsi="宋体" w:cs="宋体"/>
                <w:color w:val="000000" w:themeColor="text1"/>
                <w:sz w:val="24"/>
              </w:rPr>
            </w:pPr>
          </w:p>
        </w:tc>
        <w:tc>
          <w:tcPr>
            <w:tcW w:w="3119" w:type="dxa"/>
            <w:vAlign w:val="center"/>
          </w:tcPr>
          <w:p>
            <w:pPr>
              <w:spacing w:line="360" w:lineRule="auto"/>
              <w:jc w:val="center"/>
              <w:rPr>
                <w:rFonts w:ascii="宋体" w:hAnsi="宋体" w:cs="宋体"/>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000000" w:themeColor="text1"/>
                <w:sz w:val="24"/>
              </w:rPr>
            </w:pPr>
            <w:r>
              <w:rPr>
                <w:rFonts w:hint="eastAsia" w:ascii="宋体" w:hAnsi="宋体" w:cs="宋体"/>
                <w:color w:val="000000" w:themeColor="text1"/>
                <w:sz w:val="24"/>
              </w:rPr>
              <w:t>…</w:t>
            </w:r>
          </w:p>
        </w:tc>
        <w:tc>
          <w:tcPr>
            <w:tcW w:w="1417" w:type="dxa"/>
            <w:vAlign w:val="center"/>
          </w:tcPr>
          <w:p>
            <w:pPr>
              <w:snapToGrid w:val="0"/>
              <w:spacing w:line="360" w:lineRule="auto"/>
              <w:jc w:val="center"/>
              <w:rPr>
                <w:rFonts w:ascii="宋体" w:hAnsi="宋体" w:cs="宋体"/>
                <w:color w:val="000000" w:themeColor="text1"/>
                <w:sz w:val="24"/>
              </w:rPr>
            </w:pPr>
          </w:p>
        </w:tc>
        <w:tc>
          <w:tcPr>
            <w:tcW w:w="1843" w:type="dxa"/>
            <w:vAlign w:val="center"/>
          </w:tcPr>
          <w:p>
            <w:pPr>
              <w:snapToGrid w:val="0"/>
              <w:spacing w:line="360" w:lineRule="auto"/>
              <w:jc w:val="center"/>
              <w:rPr>
                <w:rFonts w:ascii="宋体" w:hAnsi="宋体" w:cs="宋体"/>
                <w:color w:val="000000" w:themeColor="text1"/>
                <w:sz w:val="24"/>
              </w:rPr>
            </w:pPr>
          </w:p>
        </w:tc>
        <w:tc>
          <w:tcPr>
            <w:tcW w:w="3118" w:type="dxa"/>
            <w:vAlign w:val="center"/>
          </w:tcPr>
          <w:p>
            <w:pPr>
              <w:snapToGrid w:val="0"/>
              <w:spacing w:line="360" w:lineRule="auto"/>
              <w:jc w:val="center"/>
              <w:rPr>
                <w:rFonts w:ascii="宋体" w:hAnsi="宋体" w:cs="宋体"/>
                <w:color w:val="000000" w:themeColor="text1"/>
                <w:sz w:val="24"/>
              </w:rPr>
            </w:pPr>
          </w:p>
        </w:tc>
        <w:tc>
          <w:tcPr>
            <w:tcW w:w="993" w:type="dxa"/>
            <w:vAlign w:val="center"/>
          </w:tcPr>
          <w:p>
            <w:pPr>
              <w:snapToGrid w:val="0"/>
              <w:spacing w:line="360" w:lineRule="auto"/>
              <w:jc w:val="center"/>
              <w:rPr>
                <w:rFonts w:ascii="宋体" w:hAnsi="宋体" w:cs="宋体"/>
                <w:color w:val="000000" w:themeColor="text1"/>
                <w:sz w:val="24"/>
              </w:rPr>
            </w:pPr>
          </w:p>
        </w:tc>
        <w:tc>
          <w:tcPr>
            <w:tcW w:w="1559" w:type="dxa"/>
            <w:vAlign w:val="center"/>
          </w:tcPr>
          <w:p>
            <w:pPr>
              <w:spacing w:line="360" w:lineRule="auto"/>
              <w:jc w:val="center"/>
              <w:rPr>
                <w:rFonts w:ascii="宋体" w:hAnsi="宋体" w:cs="宋体"/>
                <w:color w:val="000000" w:themeColor="text1"/>
                <w:sz w:val="24"/>
              </w:rPr>
            </w:pPr>
          </w:p>
        </w:tc>
        <w:tc>
          <w:tcPr>
            <w:tcW w:w="1984" w:type="dxa"/>
            <w:vAlign w:val="center"/>
          </w:tcPr>
          <w:p>
            <w:pPr>
              <w:spacing w:line="360" w:lineRule="auto"/>
              <w:jc w:val="center"/>
              <w:rPr>
                <w:rFonts w:ascii="宋体" w:hAnsi="宋体" w:cs="宋体"/>
                <w:color w:val="000000" w:themeColor="text1"/>
                <w:sz w:val="24"/>
              </w:rPr>
            </w:pPr>
          </w:p>
        </w:tc>
        <w:tc>
          <w:tcPr>
            <w:tcW w:w="3119" w:type="dxa"/>
            <w:vAlign w:val="center"/>
          </w:tcPr>
          <w:p>
            <w:pPr>
              <w:spacing w:line="360" w:lineRule="auto"/>
              <w:jc w:val="center"/>
              <w:rPr>
                <w:rFonts w:ascii="宋体" w:hAnsi="宋体" w:cs="宋体"/>
                <w:color w:val="000000" w:themeColor="text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投标报价（小写）</w:t>
            </w:r>
          </w:p>
        </w:tc>
        <w:tc>
          <w:tcPr>
            <w:tcW w:w="7655" w:type="dxa"/>
            <w:gridSpan w:val="4"/>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投标报价（大写）</w:t>
            </w:r>
          </w:p>
        </w:tc>
        <w:tc>
          <w:tcPr>
            <w:tcW w:w="7655" w:type="dxa"/>
            <w:gridSpan w:val="4"/>
            <w:vAlign w:val="center"/>
          </w:tcPr>
          <w:p>
            <w:pPr>
              <w:spacing w:line="360" w:lineRule="auto"/>
              <w:jc w:val="center"/>
              <w:rPr>
                <w:rFonts w:ascii="宋体" w:hAnsi="宋体" w:cs="宋体"/>
                <w:sz w:val="24"/>
              </w:rPr>
            </w:pPr>
          </w:p>
        </w:tc>
      </w:tr>
    </w:tbl>
    <w:p>
      <w:pPr>
        <w:pStyle w:val="2"/>
        <w:ind w:left="0" w:leftChars="0" w:firstLine="0" w:firstLineChars="0"/>
        <w:rPr>
          <w:lang w:val="zh-CN"/>
        </w:rPr>
      </w:pPr>
    </w:p>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ascii="宋体" w:hAnsi="宋体" w:cs="宋体"/>
          <w:color w:val="FF0000"/>
          <w:kern w:val="0"/>
          <w:sz w:val="24"/>
          <w:lang w:val="zh-CN"/>
        </w:rPr>
      </w:pPr>
      <w:r>
        <w:rPr>
          <w:rFonts w:ascii="宋体" w:hAnsi="宋体" w:cs="宋体"/>
          <w:color w:val="000000" w:themeColor="text1"/>
          <w:kern w:val="0"/>
          <w:sz w:val="24"/>
          <w:szCs w:val="22"/>
          <w:lang w:val="zh-CN"/>
        </w:rPr>
        <w:t>4</w:t>
      </w:r>
      <w:r>
        <w:rPr>
          <w:rFonts w:hint="eastAsia" w:ascii="宋体" w:hAnsi="宋体" w:cs="宋体"/>
          <w:color w:val="000000" w:themeColor="text1"/>
          <w:kern w:val="0"/>
          <w:sz w:val="24"/>
          <w:szCs w:val="22"/>
          <w:lang w:val="zh-CN"/>
        </w:rPr>
        <w:t>、</w:t>
      </w:r>
      <w:r>
        <w:rPr>
          <w:rFonts w:hint="eastAsia" w:ascii="宋体" w:hAnsi="宋体" w:cs="宋体"/>
          <w:color w:val="000000" w:themeColor="text1"/>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kern w:val="0"/>
          <w:sz w:val="24"/>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color w:val="000000" w:themeColor="text1"/>
          <w:sz w:val="32"/>
          <w:szCs w:val="32"/>
        </w:rPr>
      </w:pPr>
      <w:r>
        <w:rPr>
          <w:rFonts w:hint="eastAsia" w:ascii="宋体" w:hAnsi="宋体" w:eastAsia="宋体" w:cs="宋体"/>
          <w:color w:val="000000" w:themeColor="text1"/>
          <w:kern w:val="2"/>
          <w:sz w:val="32"/>
          <w:szCs w:val="32"/>
        </w:rPr>
        <w:t>二、</w:t>
      </w:r>
      <w:r>
        <w:rPr>
          <w:rFonts w:hint="eastAsia" w:ascii="宋体" w:hAnsi="宋体" w:eastAsia="宋体" w:cs="宋体"/>
          <w:color w:val="000000" w:themeColor="text1"/>
          <w:sz w:val="32"/>
          <w:szCs w:val="32"/>
        </w:rPr>
        <w:t>中小企业声明函</w:t>
      </w:r>
      <w:bookmarkStart w:id="549" w:name="_Hlk101259491"/>
      <w:r>
        <w:rPr>
          <w:rFonts w:hint="eastAsia" w:ascii="宋体" w:hAnsi="宋体" w:eastAsia="宋体" w:cs="宋体"/>
          <w:color w:val="000000" w:themeColor="text1"/>
          <w:sz w:val="32"/>
          <w:szCs w:val="32"/>
        </w:rPr>
        <w:t>（如果有）</w:t>
      </w:r>
      <w:bookmarkEnd w:id="549"/>
    </w:p>
    <w:p>
      <w:pPr>
        <w:widowControl/>
        <w:spacing w:line="360" w:lineRule="auto"/>
        <w:ind w:firstLine="120" w:firstLineChars="50"/>
        <w:jc w:val="left"/>
        <w:rPr>
          <w:rFonts w:ascii="宋体" w:hAnsi="宋体" w:cs="宋体"/>
          <w:b/>
          <w:color w:val="000000" w:themeColor="text1"/>
          <w:sz w:val="24"/>
        </w:rPr>
      </w:pPr>
      <w:r>
        <w:rPr>
          <w:rFonts w:hint="eastAsia" w:ascii="宋体" w:hAnsi="宋体" w:cs="宋体"/>
          <w:b/>
          <w:color w:val="000000" w:themeColor="text1"/>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000000" w:themeColor="text1"/>
          <w:sz w:val="24"/>
        </w:rPr>
        <w:t>7</w:t>
      </w:r>
      <w:r>
        <w:rPr>
          <w:rFonts w:hint="eastAsia" w:ascii="宋体" w:hAnsi="宋体" w:cs="宋体"/>
          <w:b/>
          <w:color w:val="000000" w:themeColor="text1"/>
          <w:sz w:val="24"/>
        </w:rPr>
        <w:t>）。]</w:t>
      </w:r>
    </w:p>
    <w:p>
      <w:pPr>
        <w:pStyle w:val="690"/>
        <w:keepNext w:val="0"/>
        <w:pageBreakBefore w:val="0"/>
        <w:tabs>
          <w:tab w:val="clear" w:pos="720"/>
        </w:tabs>
        <w:snapToGrid w:val="0"/>
        <w:spacing w:before="120" w:after="120"/>
        <w:ind w:firstLine="643"/>
        <w:outlineLvl w:val="9"/>
        <w:rPr>
          <w:rFonts w:ascii="宋体" w:hAnsi="宋体" w:eastAsia="宋体" w:cs="宋体"/>
          <w:b w:val="0"/>
          <w:color w:val="FF0000"/>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pStyle w:val="6"/>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550" w:name="_Toc465665161"/>
      <w:r>
        <w:rPr>
          <w:rFonts w:hint="eastAsia" w:ascii="宋体" w:hAnsi="宋体" w:cs="宋体"/>
        </w:rPr>
        <w:t>附件</w:t>
      </w:r>
      <w:bookmarkEnd w:id="550"/>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551" w:name="OLE_LINK13"/>
      <w:bookmarkStart w:id="552" w:name="OLE_LINK14"/>
      <w:r>
        <w:rPr>
          <w:rFonts w:hint="eastAsia" w:ascii="宋体" w:hAnsi="宋体" w:cs="宋体"/>
          <w:b/>
          <w:spacing w:val="6"/>
          <w:sz w:val="32"/>
          <w:szCs w:val="32"/>
        </w:rPr>
        <w:t>残疾人福利性单位声明函</w:t>
      </w:r>
    </w:p>
    <w:bookmarkEnd w:id="551"/>
    <w:bookmarkEnd w:id="552"/>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sz w:val="24"/>
          <w:u w:val="single"/>
        </w:rPr>
        <w:t>建德市人民检察院</w:t>
      </w:r>
      <w:r>
        <w:rPr>
          <w:rFonts w:hint="eastAsia" w:ascii="宋体" w:hAnsi="宋体" w:cs="宋体"/>
          <w:sz w:val="24"/>
        </w:rPr>
        <w:t>单位的</w:t>
      </w:r>
      <w:r>
        <w:rPr>
          <w:rFonts w:hint="eastAsia" w:asciiTheme="minorEastAsia" w:hAnsiTheme="minorEastAsia" w:eastAsiaTheme="minorEastAsia"/>
          <w:sz w:val="24"/>
          <w:u w:val="single"/>
        </w:rPr>
        <w:t>建德市人民检察院驻新看守所检察室弱电项目</w:t>
      </w:r>
      <w:r>
        <w:rPr>
          <w:rFonts w:hint="eastAsia" w:ascii="宋体" w:hAnsi="宋体" w:cs="宋体"/>
          <w:sz w:val="24"/>
        </w:rPr>
        <w:t>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p>
    <w:p>
      <w:pPr>
        <w:snapToGrid w:val="0"/>
        <w:spacing w:line="360" w:lineRule="auto"/>
        <w:rPr>
          <w:rFonts w:ascii="宋体" w:hAnsi="宋体" w:cs="宋体"/>
          <w:sz w:val="24"/>
        </w:rPr>
      </w:pPr>
      <w:r>
        <w:rPr>
          <w:rFonts w:hint="eastAsia" w:ascii="宋体" w:hAnsi="宋体" w:cs="宋体"/>
          <w:sz w:val="24"/>
        </w:rPr>
        <w:t>地址：邮编：</w:t>
      </w:r>
    </w:p>
    <w:p>
      <w:pPr>
        <w:snapToGrid w:val="0"/>
        <w:spacing w:line="360" w:lineRule="auto"/>
        <w:rPr>
          <w:rFonts w:ascii="宋体" w:hAnsi="宋体" w:cs="宋体"/>
          <w:sz w:val="24"/>
        </w:rPr>
      </w:pPr>
      <w:r>
        <w:rPr>
          <w:rFonts w:hint="eastAsia" w:ascii="宋体" w:hAnsi="宋体" w:cs="宋体"/>
          <w:sz w:val="24"/>
        </w:rPr>
        <w:t>联系人：联系电话：</w:t>
      </w:r>
    </w:p>
    <w:p>
      <w:pPr>
        <w:snapToGrid w:val="0"/>
        <w:spacing w:line="360" w:lineRule="auto"/>
        <w:rPr>
          <w:rFonts w:ascii="宋体" w:hAnsi="宋体" w:cs="宋体"/>
          <w:sz w:val="24"/>
          <w:u w:val="dotted"/>
        </w:rPr>
      </w:pPr>
      <w:r>
        <w:rPr>
          <w:rFonts w:hint="eastAsia" w:ascii="宋体" w:hAnsi="宋体" w:cs="宋体"/>
          <w:sz w:val="24"/>
        </w:rPr>
        <w:t>授权代表：</w:t>
      </w:r>
    </w:p>
    <w:p>
      <w:pPr>
        <w:snapToGrid w:val="0"/>
        <w:spacing w:line="360" w:lineRule="auto"/>
        <w:rPr>
          <w:rFonts w:ascii="宋体" w:hAnsi="宋体" w:cs="宋体"/>
          <w:sz w:val="24"/>
        </w:rPr>
      </w:pPr>
      <w:r>
        <w:rPr>
          <w:rFonts w:hint="eastAsia" w:ascii="宋体" w:hAnsi="宋体" w:cs="宋体"/>
          <w:sz w:val="24"/>
        </w:rPr>
        <w:t>联系电话：</w:t>
      </w:r>
    </w:p>
    <w:p>
      <w:pPr>
        <w:snapToGrid w:val="0"/>
        <w:spacing w:line="360" w:lineRule="auto"/>
        <w:rPr>
          <w:rFonts w:ascii="宋体" w:hAnsi="宋体" w:cs="宋体"/>
          <w:sz w:val="24"/>
        </w:rPr>
      </w:pPr>
      <w:r>
        <w:rPr>
          <w:rFonts w:hint="eastAsia" w:ascii="宋体" w:hAnsi="宋体" w:cs="宋体"/>
          <w:sz w:val="24"/>
        </w:rPr>
        <w:t>地址： 邮编：</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p>
    <w:p>
      <w:pPr>
        <w:snapToGrid w:val="0"/>
        <w:spacing w:line="360" w:lineRule="auto"/>
        <w:rPr>
          <w:rFonts w:ascii="宋体" w:hAnsi="宋体" w:cs="宋体"/>
          <w:sz w:val="24"/>
        </w:rPr>
      </w:pPr>
      <w:r>
        <w:rPr>
          <w:rFonts w:hint="eastAsia" w:ascii="宋体" w:hAnsi="宋体" w:cs="宋体"/>
          <w:sz w:val="24"/>
        </w:rPr>
        <w:t>质疑项目的编号：包号：</w:t>
      </w:r>
    </w:p>
    <w:p>
      <w:pPr>
        <w:snapToGrid w:val="0"/>
        <w:spacing w:line="360" w:lineRule="auto"/>
        <w:rPr>
          <w:rFonts w:ascii="宋体" w:hAnsi="宋体" w:cs="宋体"/>
          <w:sz w:val="24"/>
          <w:u w:val="dotted"/>
        </w:rPr>
      </w:pPr>
      <w:r>
        <w:rPr>
          <w:rFonts w:hint="eastAsia" w:ascii="宋体" w:hAnsi="宋体" w:cs="宋体"/>
          <w:sz w:val="24"/>
        </w:rPr>
        <w:t>采购人名称：</w:t>
      </w:r>
    </w:p>
    <w:p>
      <w:pPr>
        <w:snapToGrid w:val="0"/>
        <w:spacing w:line="360" w:lineRule="auto"/>
        <w:rPr>
          <w:rFonts w:ascii="宋体" w:hAnsi="宋体" w:cs="宋体"/>
          <w:sz w:val="24"/>
        </w:rPr>
      </w:pPr>
      <w:r>
        <w:rPr>
          <w:rFonts w:hint="eastAsia" w:ascii="宋体" w:hAnsi="宋体" w:cs="宋体"/>
          <w:sz w:val="24"/>
        </w:rPr>
        <w:t>采购文件获取日期：</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p>
    <w:p>
      <w:pPr>
        <w:snapToGrid w:val="0"/>
        <w:spacing w:line="360" w:lineRule="auto"/>
        <w:rPr>
          <w:rFonts w:ascii="宋体" w:hAnsi="宋体" w:cs="宋体"/>
          <w:sz w:val="24"/>
          <w:u w:val="dotted"/>
        </w:rPr>
      </w:pPr>
      <w:r>
        <w:rPr>
          <w:rFonts w:hint="eastAsia" w:ascii="宋体" w:hAnsi="宋体" w:cs="宋体"/>
          <w:sz w:val="24"/>
        </w:rPr>
        <w:t>事实依据：</w:t>
      </w:r>
    </w:p>
    <w:p>
      <w:pPr>
        <w:snapToGrid w:val="0"/>
        <w:spacing w:line="360" w:lineRule="auto"/>
        <w:rPr>
          <w:rFonts w:ascii="宋体" w:hAnsi="宋体" w:cs="宋体"/>
          <w:sz w:val="24"/>
        </w:rPr>
      </w:pPr>
    </w:p>
    <w:p>
      <w:pPr>
        <w:snapToGrid w:val="0"/>
        <w:spacing w:line="360" w:lineRule="auto"/>
        <w:rPr>
          <w:rFonts w:ascii="宋体" w:hAnsi="宋体" w:cs="宋体"/>
          <w:sz w:val="24"/>
          <w:u w:val="dotted"/>
        </w:rPr>
      </w:pPr>
      <w:r>
        <w:rPr>
          <w:rFonts w:hint="eastAsia" w:ascii="宋体" w:hAnsi="宋体" w:cs="宋体"/>
          <w:sz w:val="24"/>
        </w:rPr>
        <w:t>法律依据：</w:t>
      </w:r>
    </w:p>
    <w:p>
      <w:pPr>
        <w:snapToGrid w:val="0"/>
        <w:spacing w:line="360" w:lineRule="auto"/>
        <w:rPr>
          <w:rFonts w:ascii="宋体" w:hAnsi="宋体" w:cs="宋体"/>
          <w:sz w:val="24"/>
          <w:u w:val="dotted"/>
        </w:rPr>
      </w:pP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p>
    <w:p>
      <w:pPr>
        <w:spacing w:line="360" w:lineRule="auto"/>
        <w:rPr>
          <w:rFonts w:ascii="宋体" w:hAnsi="宋体" w:cs="宋体"/>
          <w:sz w:val="24"/>
          <w:u w:val="single"/>
        </w:rPr>
      </w:pPr>
      <w:r>
        <w:rPr>
          <w:rFonts w:hint="eastAsia" w:ascii="宋体" w:hAnsi="宋体" w:cs="宋体"/>
          <w:sz w:val="24"/>
        </w:rPr>
        <w:t>地     址：邮编：</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p>
    <w:p>
      <w:pPr>
        <w:tabs>
          <w:tab w:val="left" w:pos="6510"/>
        </w:tabs>
        <w:spacing w:line="360" w:lineRule="auto"/>
        <w:rPr>
          <w:rFonts w:ascii="宋体" w:hAnsi="宋体" w:cs="宋体"/>
          <w:sz w:val="24"/>
          <w:u w:val="dotted"/>
        </w:rPr>
      </w:pPr>
      <w:r>
        <w:rPr>
          <w:rFonts w:hint="eastAsia" w:ascii="宋体" w:hAnsi="宋体" w:cs="宋体"/>
          <w:sz w:val="24"/>
        </w:rPr>
        <w:t>联系电话：</w:t>
      </w:r>
    </w:p>
    <w:p>
      <w:pPr>
        <w:spacing w:line="360" w:lineRule="auto"/>
        <w:rPr>
          <w:rFonts w:ascii="宋体" w:hAnsi="宋体" w:cs="宋体"/>
          <w:sz w:val="24"/>
          <w:u w:val="dotted"/>
        </w:rPr>
      </w:pPr>
      <w:r>
        <w:rPr>
          <w:rFonts w:hint="eastAsia" w:ascii="宋体" w:hAnsi="宋体" w:cs="宋体"/>
          <w:sz w:val="24"/>
        </w:rPr>
        <w:t>授权代表：联系电话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址：邮编：</w:t>
      </w:r>
    </w:p>
    <w:p>
      <w:pPr>
        <w:spacing w:line="360" w:lineRule="auto"/>
        <w:rPr>
          <w:rFonts w:ascii="宋体" w:hAnsi="宋体" w:cs="宋体"/>
          <w:sz w:val="24"/>
          <w:u w:val="single"/>
        </w:rPr>
      </w:pPr>
      <w:r>
        <w:rPr>
          <w:rFonts w:hint="eastAsia" w:ascii="宋体" w:hAnsi="宋体" w:cs="宋体"/>
          <w:sz w:val="24"/>
        </w:rPr>
        <w:t>被投诉人1：</w:t>
      </w:r>
    </w:p>
    <w:p>
      <w:pPr>
        <w:spacing w:line="360" w:lineRule="auto"/>
        <w:rPr>
          <w:rFonts w:ascii="宋体" w:hAnsi="宋体" w:cs="宋体"/>
          <w:sz w:val="24"/>
          <w:u w:val="single"/>
        </w:rPr>
      </w:pPr>
      <w:r>
        <w:rPr>
          <w:rFonts w:hint="eastAsia" w:ascii="宋体" w:hAnsi="宋体" w:cs="宋体"/>
          <w:sz w:val="24"/>
        </w:rPr>
        <w:t>地     址：邮编：</w:t>
      </w:r>
    </w:p>
    <w:p>
      <w:pPr>
        <w:spacing w:line="360" w:lineRule="auto"/>
        <w:rPr>
          <w:rFonts w:ascii="宋体" w:hAnsi="宋体" w:cs="宋体"/>
          <w:sz w:val="24"/>
          <w:u w:val="single"/>
        </w:rPr>
      </w:pPr>
      <w:r>
        <w:rPr>
          <w:rFonts w:hint="eastAsia" w:ascii="宋体" w:hAnsi="宋体" w:cs="宋体"/>
          <w:sz w:val="24"/>
        </w:rPr>
        <w:t>联系人：联系电话：</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p>
    <w:p>
      <w:pPr>
        <w:spacing w:line="360" w:lineRule="auto"/>
        <w:rPr>
          <w:rFonts w:ascii="宋体" w:hAnsi="宋体" w:cs="宋体"/>
          <w:sz w:val="24"/>
          <w:u w:val="single"/>
        </w:rPr>
      </w:pPr>
      <w:r>
        <w:rPr>
          <w:rFonts w:hint="eastAsia" w:ascii="宋体" w:hAnsi="宋体" w:cs="宋体"/>
          <w:sz w:val="24"/>
        </w:rPr>
        <w:t>地     址：邮编：</w:t>
      </w:r>
    </w:p>
    <w:p>
      <w:pPr>
        <w:spacing w:line="360" w:lineRule="auto"/>
        <w:rPr>
          <w:rFonts w:ascii="宋体" w:hAnsi="宋体" w:cs="宋体"/>
          <w:sz w:val="24"/>
          <w:u w:val="single"/>
        </w:rPr>
      </w:pPr>
      <w:r>
        <w:rPr>
          <w:rFonts w:hint="eastAsia" w:ascii="宋体" w:hAnsi="宋体" w:cs="宋体"/>
          <w:sz w:val="24"/>
        </w:rPr>
        <w:t>联系人：联系电话：</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p>
    <w:p>
      <w:pPr>
        <w:spacing w:line="360" w:lineRule="auto"/>
        <w:rPr>
          <w:rFonts w:ascii="宋体" w:hAnsi="宋体" w:cs="宋体"/>
          <w:sz w:val="24"/>
          <w:u w:val="single"/>
        </w:rPr>
      </w:pPr>
      <w:r>
        <w:rPr>
          <w:rFonts w:hint="eastAsia" w:ascii="宋体" w:hAnsi="宋体" w:cs="宋体"/>
          <w:sz w:val="24"/>
        </w:rPr>
        <w:t>采购项目编号：包号：</w:t>
      </w:r>
    </w:p>
    <w:p>
      <w:pPr>
        <w:spacing w:line="360" w:lineRule="auto"/>
        <w:rPr>
          <w:rFonts w:ascii="宋体" w:hAnsi="宋体" w:cs="宋体"/>
          <w:sz w:val="24"/>
        </w:rPr>
      </w:pPr>
      <w:r>
        <w:rPr>
          <w:rFonts w:hint="eastAsia" w:ascii="宋体" w:hAnsi="宋体" w:cs="宋体"/>
          <w:sz w:val="24"/>
        </w:rPr>
        <w:t>采购人名称：</w:t>
      </w:r>
    </w:p>
    <w:p>
      <w:pPr>
        <w:spacing w:line="360" w:lineRule="auto"/>
        <w:rPr>
          <w:rFonts w:ascii="宋体" w:hAnsi="宋体" w:cs="宋体"/>
          <w:sz w:val="24"/>
          <w:u w:val="single"/>
        </w:rPr>
      </w:pPr>
      <w:r>
        <w:rPr>
          <w:rFonts w:hint="eastAsia" w:ascii="宋体" w:hAnsi="宋体" w:cs="宋体"/>
          <w:sz w:val="24"/>
        </w:rPr>
        <w:t>代理机构名称：</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投诉人于年月日,向提出质疑，质疑事项为：</w:t>
      </w:r>
    </w:p>
    <w:p>
      <w:pPr>
        <w:spacing w:line="360" w:lineRule="auto"/>
        <w:rPr>
          <w:rFonts w:ascii="宋体" w:hAnsi="宋体" w:cs="宋体"/>
          <w:sz w:val="24"/>
          <w:u w:val="dotted"/>
        </w:rPr>
      </w:pP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于年月日,就质疑事项作出了答复/没有在法定期限内作出答复。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p>
    <w:p>
      <w:pPr>
        <w:spacing w:line="360" w:lineRule="auto"/>
        <w:rPr>
          <w:rFonts w:ascii="宋体" w:hAnsi="宋体" w:cs="宋体"/>
          <w:sz w:val="24"/>
        </w:rPr>
      </w:pPr>
      <w:r>
        <w:rPr>
          <w:rFonts w:hint="eastAsia" w:ascii="宋体" w:hAnsi="宋体" w:cs="宋体"/>
          <w:sz w:val="24"/>
        </w:rPr>
        <w:t>事实依据：</w:t>
      </w:r>
    </w:p>
    <w:p>
      <w:pPr>
        <w:spacing w:line="360" w:lineRule="auto"/>
        <w:rPr>
          <w:rFonts w:ascii="宋体" w:hAnsi="宋体" w:cs="宋体"/>
          <w:sz w:val="24"/>
          <w:u w:val="dotted"/>
        </w:rPr>
      </w:pPr>
    </w:p>
    <w:p>
      <w:pPr>
        <w:spacing w:line="360" w:lineRule="auto"/>
        <w:rPr>
          <w:rFonts w:ascii="宋体" w:hAnsi="宋体" w:cs="宋体"/>
          <w:sz w:val="24"/>
          <w:u w:val="single"/>
        </w:rPr>
      </w:pPr>
      <w:r>
        <w:rPr>
          <w:rFonts w:hint="eastAsia" w:ascii="宋体" w:hAnsi="宋体" w:cs="宋体"/>
          <w:sz w:val="24"/>
        </w:rPr>
        <w:t>法律依据：</w:t>
      </w:r>
    </w:p>
    <w:p>
      <w:pPr>
        <w:spacing w:line="360" w:lineRule="auto"/>
        <w:rPr>
          <w:rFonts w:ascii="宋体" w:hAnsi="宋体" w:cs="宋体"/>
          <w:sz w:val="24"/>
          <w:u w:val="dotted"/>
        </w:rPr>
      </w:pP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p>
    <w:p>
      <w:pPr>
        <w:spacing w:line="360" w:lineRule="auto"/>
        <w:rPr>
          <w:rFonts w:ascii="宋体" w:hAnsi="宋体" w:cs="宋体"/>
          <w:sz w:val="24"/>
          <w:u w:val="single"/>
        </w:rPr>
      </w:pP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color w:val="0000FF"/>
          <w:sz w:val="24"/>
          <w:u w:val="single"/>
        </w:rPr>
      </w:pPr>
    </w:p>
    <w:p>
      <w:pPr>
        <w:spacing w:line="360" w:lineRule="auto"/>
        <w:rPr>
          <w:rFonts w:ascii="宋体" w:hAnsi="宋体" w:cs="宋体"/>
          <w:kern w:val="0"/>
          <w:sz w:val="24"/>
          <w:u w:val="single"/>
          <w:lang w:val="zh-CN"/>
        </w:rPr>
      </w:pPr>
      <w:r>
        <w:rPr>
          <w:rFonts w:hint="eastAsia" w:ascii="宋体" w:hAnsi="宋体" w:cs="宋体"/>
          <w:sz w:val="24"/>
          <w:u w:val="single"/>
        </w:rPr>
        <w:t>建德市人民检察院</w:t>
      </w:r>
      <w:r>
        <w:rPr>
          <w:rFonts w:hint="eastAsia" w:ascii="宋体" w:hAnsi="宋体" w:cs="宋体"/>
          <w:kern w:val="0"/>
          <w:sz w:val="24"/>
          <w:u w:val="single"/>
          <w:lang w:val="zh-CN"/>
        </w:rPr>
        <w:t>、杭州市公共资源交易中心建德分中心</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Theme="minorEastAsia" w:hAnsiTheme="minorEastAsia" w:eastAsiaTheme="minorEastAsia"/>
          <w:sz w:val="24"/>
        </w:rPr>
        <w:t>建德市人民检察院驻新看守所检察室弱电项目</w:t>
      </w:r>
      <w:r>
        <w:rPr>
          <w:rFonts w:hint="eastAsia" w:ascii="宋体" w:hAnsi="宋体" w:cs="宋体"/>
          <w:sz w:val="24"/>
        </w:rPr>
        <w:t>【招标编号：JD2023BJ-028】</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ascii="宋体" w:hAnsi="宋体" w:cs="宋体"/>
          <w:b/>
          <w:bCs/>
          <w:sz w:val="24"/>
        </w:rPr>
        <w:pict>
          <v:rect id="Rectangle 17" o:spid="_x0000_s2050" o:spt="1" style="position:absolute;left:0pt;margin-left:238.9pt;margin-top:28.05pt;height:177.45pt;width:212.95pt;z-index:-251657216;mso-width-relative:page;mso-height-relative:page;"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path/>
            <v:fill focussize="0,0"/>
            <v:stroke miterlimit="2"/>
            <v:imagedata o:title=""/>
            <o:lock v:ext="edit"/>
          </v:rect>
        </w:pict>
      </w:r>
      <w:r>
        <w:rPr>
          <w:rFonts w:ascii="宋体" w:hAnsi="宋体" w:cs="宋体"/>
          <w:b/>
          <w:bCs/>
          <w:sz w:val="24"/>
        </w:rPr>
        <w:pict>
          <v:rect id="Rectangle 16" o:spid="_x0000_s2051" o:spt="1" style="position:absolute;left:0pt;margin-left:-7.2pt;margin-top:30.3pt;height:177.45pt;width:208.5pt;z-index:-251656192;mso-width-relative:page;mso-height-relative:page;"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path/>
            <v:fill focussize="0,0"/>
            <v:stroke miterlimit="2"/>
            <v:imagedata o:title=""/>
            <o:lock v:ext="edit"/>
          </v:rect>
        </w:pict>
      </w:r>
      <w:r>
        <w:rPr>
          <w:rFonts w:hint="eastAsia" w:ascii="宋体" w:hAnsi="宋体" w:cs="宋体"/>
          <w:sz w:val="24"/>
        </w:rPr>
        <w:t>投标单位法定名称章（印模）                投标单位“XX专用章”（印模）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5</w:t>
      </w:r>
      <w:r>
        <w:rPr>
          <w:rFonts w:hint="eastAsia" w:ascii="宋体" w:hAnsi="宋体" w:cs="宋体"/>
          <w:b/>
          <w:kern w:val="0"/>
          <w:sz w:val="32"/>
          <w:szCs w:val="32"/>
        </w:rPr>
        <w:t>：联合协议</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kern w:val="0"/>
          <w:sz w:val="24"/>
          <w:lang w:val="zh-CN"/>
        </w:rPr>
        <w:t>寿昌中学老教学楼拆除重建工程教室课桌椅、讲台、书</w:t>
      </w:r>
      <w:r>
        <w:rPr>
          <w:rFonts w:hint="eastAsia" w:asciiTheme="minorEastAsia" w:hAnsiTheme="minorEastAsia" w:eastAsiaTheme="minorEastAsia"/>
          <w:sz w:val="24"/>
        </w:rPr>
        <w:t>柜等设备采购</w:t>
      </w:r>
      <w:r>
        <w:rPr>
          <w:rFonts w:hint="eastAsia" w:ascii="宋体" w:hAnsi="宋体" w:cs="宋体"/>
          <w:kern w:val="0"/>
          <w:sz w:val="24"/>
          <w:lang w:val="zh-CN"/>
        </w:rPr>
        <w:t>项目</w:t>
      </w:r>
      <w:r>
        <w:rPr>
          <w:rFonts w:hint="eastAsia" w:ascii="宋体" w:hAnsi="宋体" w:cs="宋体"/>
          <w:sz w:val="24"/>
        </w:rPr>
        <w:t>【招标编号：JD2023BJ-007】</w:t>
      </w:r>
      <w:r>
        <w:rPr>
          <w:rFonts w:hint="eastAsia" w:ascii="宋体" w:hAnsi="宋体" w:cs="宋体"/>
          <w:kern w:val="0"/>
          <w:sz w:val="24"/>
          <w:lang w:val="zh-CN"/>
        </w:rPr>
        <w:t xml:space="preserve">投标。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pPr>
        <w:snapToGrid w:val="0"/>
        <w:spacing w:line="360" w:lineRule="auto"/>
        <w:ind w:firstLine="576"/>
        <w:rPr>
          <w:rFonts w:ascii="宋体" w:hAnsi="宋体" w:cs="宋体"/>
          <w:kern w:val="0"/>
          <w:sz w:val="24"/>
          <w:lang w:val="zh-CN"/>
        </w:rPr>
      </w:pPr>
      <w:bookmarkStart w:id="553"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553"/>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提供的全部货物由小微企业制造，其合同份额占到合同总金额%以上；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2、中小企业合同金额达到%，其中小微企业合同金额达到%</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6</w:t>
      </w: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Theme="minorEastAsia" w:hAnsiTheme="minorEastAsia" w:eastAsiaTheme="minorEastAsia"/>
          <w:sz w:val="24"/>
        </w:rPr>
        <w:t>建德市人民检察院驻新看守所检察室弱电项目</w:t>
      </w:r>
      <w:r>
        <w:rPr>
          <w:rFonts w:hint="eastAsia" w:ascii="宋体" w:hAnsi="宋体" w:cs="宋体"/>
          <w:sz w:val="24"/>
        </w:rPr>
        <w:t>【招标编号：JD2023BJ-028】</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pStyle w:val="7"/>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……）提供的货物全部由小微企业制造，</w:t>
      </w:r>
      <w:r>
        <w:rPr>
          <w:rFonts w:hint="eastAsia" w:ascii="宋体" w:hAnsi="宋体" w:cs="宋体"/>
          <w:kern w:val="0"/>
          <w:sz w:val="24"/>
        </w:rPr>
        <w:t>其合同份额占到合同总金额%以上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54" w:name="_Hlk101133173"/>
      <w:r>
        <w:rPr>
          <w:rFonts w:hint="eastAsia" w:ascii="宋体" w:hAnsi="宋体" w:cs="宋体"/>
          <w:sz w:val="24"/>
        </w:rPr>
        <w:t>中小企业合同金额达到%，其中小微企业合同金额达到%</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554"/>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pPr>
        <w:snapToGrid w:val="0"/>
        <w:spacing w:line="360" w:lineRule="auto"/>
        <w:ind w:firstLine="576"/>
        <w:rPr>
          <w:rFonts w:ascii="宋体" w:hAnsi="宋体" w:cs="宋体"/>
          <w:u w:val="single"/>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pPr>
        <w:snapToGrid w:val="0"/>
        <w:spacing w:line="360" w:lineRule="auto"/>
        <w:ind w:firstLine="576"/>
        <w:rPr>
          <w:rFonts w:ascii="宋体" w:hAnsi="宋体" w:cs="宋体"/>
          <w:kern w:val="0"/>
          <w:sz w:val="24"/>
          <w:lang w:val="zh-CN"/>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pPr>
        <w:snapToGrid w:val="0"/>
        <w:spacing w:line="360" w:lineRule="auto"/>
        <w:ind w:left="573" w:leftChars="273"/>
        <w:rPr>
          <w:rFonts w:ascii="宋体" w:hAnsi="宋体" w:cs="宋体"/>
          <w:kern w:val="0"/>
          <w:sz w:val="24"/>
          <w:lang w:val="zh-CN"/>
        </w:rPr>
      </w:pP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pPr>
        <w:snapToGrid w:val="0"/>
        <w:spacing w:line="360" w:lineRule="auto"/>
        <w:ind w:firstLine="576"/>
        <w:rPr>
          <w:rFonts w:ascii="宋体" w:hAnsi="宋体" w:cs="宋体"/>
          <w:kern w:val="0"/>
          <w:sz w:val="24"/>
          <w:lang w:val="zh-CN"/>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pPr>
        <w:snapToGrid w:val="0"/>
        <w:spacing w:line="360" w:lineRule="auto"/>
        <w:ind w:firstLine="576"/>
        <w:rPr>
          <w:rFonts w:ascii="宋体" w:hAnsi="宋体" w:cs="宋体"/>
          <w:kern w:val="0"/>
          <w:sz w:val="24"/>
          <w:lang w:val="zh-CN"/>
        </w:rPr>
      </w:pP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napToGrid w:val="0"/>
        <w:spacing w:line="360" w:lineRule="auto"/>
        <w:outlineLvl w:val="0"/>
        <w:rPr>
          <w:rFonts w:ascii="宋体" w:hAnsi="宋体" w:cs="宋体"/>
          <w:b/>
          <w:kern w:val="0"/>
          <w:sz w:val="44"/>
          <w:szCs w:val="44"/>
        </w:rPr>
      </w:pPr>
      <w:r>
        <w:rPr>
          <w:rFonts w:hint="eastAsia" w:ascii="宋体" w:hAnsi="宋体" w:cs="宋体"/>
          <w:b/>
          <w:kern w:val="0"/>
          <w:sz w:val="44"/>
          <w:szCs w:val="44"/>
        </w:rPr>
        <w:t>附件</w:t>
      </w:r>
      <w:r>
        <w:rPr>
          <w:rFonts w:ascii="宋体" w:hAnsi="宋体" w:cs="宋体"/>
          <w:b/>
          <w:kern w:val="0"/>
          <w:sz w:val="44"/>
          <w:szCs w:val="44"/>
        </w:rPr>
        <w:t>7</w:t>
      </w:r>
      <w:r>
        <w:rPr>
          <w:rFonts w:hint="eastAsia" w:ascii="宋体" w:hAnsi="宋体" w:cs="宋体"/>
          <w:b/>
          <w:kern w:val="0"/>
          <w:sz w:val="44"/>
          <w:szCs w:val="44"/>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中小企业声明函（货物）</w:t>
      </w:r>
    </w:p>
    <w:p>
      <w:pPr>
        <w:spacing w:line="360" w:lineRule="auto"/>
        <w:ind w:firstLine="480" w:firstLineChars="200"/>
        <w:rPr>
          <w:rFonts w:ascii="宋体" w:hAnsi="宋体" w:cs="宋体"/>
          <w:sz w:val="24"/>
        </w:rPr>
      </w:pPr>
      <w:r>
        <w:rPr>
          <w:rFonts w:hint="eastAsia" w:ascii="宋体" w:hAnsi="宋体" w:cs="宋体"/>
          <w:sz w:val="24"/>
        </w:rPr>
        <w:t>本公司（联合体）郑重声明，根据《政府采购促进中小企业发展管理办法》（财库﹝2020﹞46 号）的规定，本公司（联合体）参加</w:t>
      </w:r>
      <w:r>
        <w:rPr>
          <w:rFonts w:hint="eastAsia" w:ascii="宋体" w:hAnsi="宋体" w:cs="宋体"/>
          <w:sz w:val="24"/>
          <w:u w:val="single"/>
        </w:rPr>
        <w:t>建德市人民检察院</w:t>
      </w:r>
      <w:r>
        <w:rPr>
          <w:rFonts w:hint="eastAsia" w:ascii="宋体" w:hAnsi="宋体" w:cs="宋体"/>
          <w:sz w:val="24"/>
        </w:rPr>
        <w:t>的</w:t>
      </w:r>
      <w:r>
        <w:rPr>
          <w:rFonts w:hint="eastAsia" w:asciiTheme="minorEastAsia" w:hAnsiTheme="minorEastAsia" w:eastAsiaTheme="minorEastAsia"/>
          <w:sz w:val="24"/>
          <w:u w:val="single"/>
        </w:rPr>
        <w:t>建德市人民检察院驻新看守所检察室弱电项目</w:t>
      </w:r>
      <w:r>
        <w:rPr>
          <w:rFonts w:hint="eastAsia" w:ascii="宋体" w:hAnsi="宋体" w:cs="宋体"/>
          <w:sz w:val="24"/>
        </w:rPr>
        <w:t>采购活动，提供的货物全部由符合政策要求的中小企业制造。相关企业（含联合体中的中小企业、签订分包意向协议的中小企业）的具体情况如下：</w:t>
      </w:r>
    </w:p>
    <w:p>
      <w:pPr>
        <w:numPr>
          <w:ilvl w:val="0"/>
          <w:numId w:val="4"/>
        </w:numPr>
        <w:spacing w:line="360" w:lineRule="auto"/>
        <w:ind w:firstLine="480" w:firstLineChars="200"/>
        <w:rPr>
          <w:rFonts w:ascii="宋体" w:hAnsi="宋体" w:cs="宋体"/>
          <w:sz w:val="24"/>
        </w:rPr>
      </w:pPr>
      <w:r>
        <w:rPr>
          <w:rFonts w:hint="eastAsia" w:ascii="宋体" w:hAnsi="宋体" w:cs="宋体"/>
          <w:sz w:val="24"/>
        </w:rPr>
        <w:t>云存储运维系统，属于工业行业 ；制造商为 （企业名称） ，从业人员  人，营业收入为  万元，资产总额为   万元，属于 （中型企业、小型企业、微型企业）；</w:t>
      </w:r>
    </w:p>
    <w:p>
      <w:pPr>
        <w:numPr>
          <w:ilvl w:val="0"/>
          <w:numId w:val="4"/>
        </w:numPr>
        <w:spacing w:line="360" w:lineRule="auto"/>
        <w:ind w:firstLine="480" w:firstLineChars="200"/>
        <w:rPr>
          <w:rFonts w:ascii="宋体" w:hAnsi="宋体" w:cs="宋体"/>
          <w:sz w:val="24"/>
        </w:rPr>
      </w:pPr>
      <w:r>
        <w:rPr>
          <w:rFonts w:hint="eastAsia" w:ascii="宋体" w:hAnsi="宋体" w:cs="宋体"/>
          <w:sz w:val="24"/>
        </w:rPr>
        <w:t>云存储管理系统，属于工业行业 ；制造商为 （企业名称） ，从业人员  人，营业收入为  万元，资产总额为   万元，属于 （中型企业、小型企业、微型企业）；</w:t>
      </w:r>
    </w:p>
    <w:p>
      <w:pPr>
        <w:numPr>
          <w:ilvl w:val="0"/>
          <w:numId w:val="4"/>
        </w:numPr>
        <w:spacing w:line="360" w:lineRule="auto"/>
        <w:ind w:firstLine="480" w:firstLineChars="200"/>
        <w:rPr>
          <w:rFonts w:ascii="宋体" w:hAnsi="宋体" w:cs="宋体"/>
          <w:sz w:val="24"/>
        </w:rPr>
      </w:pPr>
      <w:r>
        <w:rPr>
          <w:rFonts w:hint="eastAsia" w:ascii="宋体" w:hAnsi="宋体" w:cs="宋体"/>
          <w:color w:val="000000"/>
          <w:sz w:val="24"/>
        </w:rPr>
        <w:t>存储阵列存储</w:t>
      </w:r>
      <w:r>
        <w:rPr>
          <w:rFonts w:hint="eastAsia" w:ascii="宋体" w:hAnsi="宋体" w:cs="宋体"/>
          <w:sz w:val="24"/>
        </w:rPr>
        <w:t>，属于工业行业 ；制造商为 （企业名称） ，从业人员  人，营业收入为  万元，资产总额为   万元，属于 （中型企业、小型企业、微型企业）；</w:t>
      </w:r>
    </w:p>
    <w:p>
      <w:pPr>
        <w:numPr>
          <w:ilvl w:val="0"/>
          <w:numId w:val="4"/>
        </w:numPr>
        <w:spacing w:line="360" w:lineRule="auto"/>
        <w:ind w:firstLine="480" w:firstLineChars="200"/>
        <w:rPr>
          <w:rFonts w:ascii="宋体" w:hAnsi="宋体" w:cs="宋体"/>
          <w:sz w:val="24"/>
        </w:rPr>
      </w:pPr>
      <w:r>
        <w:rPr>
          <w:rFonts w:hint="eastAsia" w:ascii="宋体" w:hAnsi="宋体" w:cs="宋体"/>
          <w:color w:val="000000"/>
          <w:sz w:val="24"/>
        </w:rPr>
        <w:t>云存储管理软件</w:t>
      </w:r>
      <w:r>
        <w:rPr>
          <w:rFonts w:hint="eastAsia" w:ascii="宋体" w:hAnsi="宋体" w:cs="宋体"/>
          <w:sz w:val="24"/>
        </w:rPr>
        <w:t>，属于软件和信息技术服务业行业 ；制造商为 （企业名称） ，从业人员  人，营业收入为  万元，资产总额为   万元，属于 （中型企业、小型企业、微型企业）；</w:t>
      </w:r>
    </w:p>
    <w:p>
      <w:pPr>
        <w:numPr>
          <w:ilvl w:val="0"/>
          <w:numId w:val="4"/>
        </w:numPr>
        <w:spacing w:line="360" w:lineRule="auto"/>
        <w:ind w:firstLine="480" w:firstLineChars="200"/>
        <w:rPr>
          <w:rFonts w:ascii="宋体" w:hAnsi="宋体" w:cs="宋体"/>
          <w:sz w:val="24"/>
        </w:rPr>
      </w:pPr>
      <w:r>
        <w:rPr>
          <w:rFonts w:hint="eastAsia" w:ascii="宋体" w:hAnsi="宋体" w:cs="宋体"/>
          <w:color w:val="000000"/>
          <w:sz w:val="24"/>
        </w:rPr>
        <w:t>云存储运维软件</w:t>
      </w:r>
      <w:r>
        <w:rPr>
          <w:rFonts w:hint="eastAsia" w:ascii="宋体" w:hAnsi="宋体" w:cs="宋体"/>
          <w:sz w:val="24"/>
        </w:rPr>
        <w:t>，属于软件和信息技术服务业行业 ；制造商为 （企业名称） ，从业人员  人，营业收入为  万元，资产总额为   万元，属于 （中型企业、小型企业、微型企业）；</w:t>
      </w:r>
    </w:p>
    <w:p>
      <w:pPr>
        <w:numPr>
          <w:ilvl w:val="0"/>
          <w:numId w:val="4"/>
        </w:numPr>
        <w:spacing w:line="360" w:lineRule="auto"/>
        <w:ind w:firstLine="480" w:firstLineChars="200"/>
        <w:rPr>
          <w:rFonts w:ascii="宋体" w:hAnsi="宋体" w:cs="宋体"/>
          <w:sz w:val="24"/>
        </w:rPr>
      </w:pPr>
      <w:r>
        <w:rPr>
          <w:rFonts w:hint="eastAsia" w:ascii="宋体" w:hAnsi="宋体" w:cs="宋体"/>
          <w:color w:val="000000"/>
          <w:sz w:val="24"/>
        </w:rPr>
        <w:t>视频安防平台</w:t>
      </w:r>
      <w:r>
        <w:rPr>
          <w:rFonts w:hint="eastAsia" w:ascii="宋体" w:hAnsi="宋体" w:cs="宋体"/>
          <w:sz w:val="24"/>
        </w:rPr>
        <w:t>，属于工业行业 ；制造商为 （企业名称） ，从业人员  人，营业收入为  万元，资产总额为   万元，属于 （中型企业、小型企业、微型企业）；</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月日</w:t>
      </w:r>
    </w:p>
    <w:p>
      <w:pPr>
        <w:spacing w:line="360" w:lineRule="auto"/>
        <w:jc w:val="left"/>
        <w:rPr>
          <w:rFonts w:ascii="宋体" w:hAnsi="宋体" w:cs="宋体"/>
          <w:sz w:val="18"/>
          <w:szCs w:val="18"/>
        </w:rPr>
      </w:pPr>
    </w:p>
    <w:p>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pPr>
        <w:spacing w:line="360" w:lineRule="auto"/>
        <w:ind w:right="420" w:firstLine="480" w:firstLineChars="200"/>
        <w:rPr>
          <w:rFonts w:ascii="宋体" w:hAnsi="宋体" w:cs="宋体"/>
          <w:sz w:val="24"/>
        </w:rPr>
      </w:pPr>
      <w:r>
        <w:rPr>
          <w:rFonts w:hint="eastAsia" w:ascii="宋体" w:hAnsi="宋体" w:cs="宋体"/>
          <w:sz w:val="24"/>
        </w:rPr>
        <w:t>注：</w:t>
      </w:r>
    </w:p>
    <w:p>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rPr>
          <w:rFonts w:ascii="宋体" w:hAnsi="宋体" w:cs="宋体"/>
          <w:bCs/>
          <w:sz w:val="24"/>
        </w:rPr>
      </w:pPr>
    </w:p>
    <w:sectPr>
      <w:headerReference r:id="rId16" w:type="first"/>
      <w:footerReference r:id="rId19" w:type="first"/>
      <w:headerReference r:id="rId15" w:type="default"/>
      <w:footerReference r:id="rId17" w:type="default"/>
      <w:footerReference r:id="rId18"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等线 Light">
    <w:altName w:val="宋体"/>
    <w:panose1 w:val="00000000000000000000"/>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0000000000000000000"/>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icrosoft YaHei UI">
    <w:altName w:val="宋体"/>
    <w:panose1 w:val="00000000000000000000"/>
    <w:charset w:val="86"/>
    <w:family w:val="swiss"/>
    <w:pitch w:val="default"/>
    <w:sig w:usb0="00000000" w:usb1="00000000" w:usb2="00000016" w:usb3="00000000" w:csb0="0004001F"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65</w:t>
    </w:r>
    <w:r>
      <w:rPr>
        <w:rFonts w:hint="eastAsia" w:ascii="仿宋_GB2312" w:eastAsia="仿宋_GB2312"/>
        <w:kern w:val="0"/>
        <w:szCs w:val="21"/>
      </w:rPr>
      <w:fldChar w:fldCharType="end"/>
    </w:r>
    <w:bookmarkStart w:id="555" w:name="_Toc91899912"/>
    <w:bookmarkStart w:id="556" w:name="_Toc164085800"/>
    <w:bookmarkStart w:id="557" w:name="_Toc131845147"/>
    <w:bookmarkStart w:id="558" w:name="_Toc36110187"/>
    <w:r>
      <w:rPr>
        <w:rFonts w:hint="eastAsia" w:ascii="仿宋_GB2312" w:eastAsia="仿宋_GB2312"/>
        <w:kern w:val="0"/>
        <w:szCs w:val="21"/>
      </w:rPr>
      <w:t xml:space="preserve"> 页</w:t>
    </w:r>
    <w:bookmarkEnd w:id="555"/>
    <w:bookmarkEnd w:id="556"/>
    <w:bookmarkEnd w:id="557"/>
    <w:bookmarkEnd w:id="55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p>
  <w:p>
    <w:pPr>
      <w:pStyle w:val="42"/>
    </w:pPr>
    <w: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 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E15A2F9"/>
    <w:multiLevelType w:val="singleLevel"/>
    <w:tmpl w:val="CE15A2F9"/>
    <w:lvl w:ilvl="0" w:tentative="0">
      <w:start w:val="1"/>
      <w:numFmt w:val="decimal"/>
      <w:suff w:val="space"/>
      <w:lvlText w:val="%1."/>
      <w:lvlJc w:val="left"/>
    </w:lvl>
  </w:abstractNum>
  <w:abstractNum w:abstractNumId="1">
    <w:nsid w:val="4DF74554"/>
    <w:multiLevelType w:val="singleLevel"/>
    <w:tmpl w:val="4DF74554"/>
    <w:lvl w:ilvl="0" w:tentative="0">
      <w:start w:val="26"/>
      <w:numFmt w:val="decimal"/>
      <w:suff w:val="space"/>
      <w:lvlText w:val="%1."/>
      <w:lvlJc w:val="left"/>
    </w:lvl>
  </w:abstractNum>
  <w:abstractNum w:abstractNumId="2">
    <w:nsid w:val="596D7354"/>
    <w:multiLevelType w:val="multilevel"/>
    <w:tmpl w:val="596D7354"/>
    <w:lvl w:ilvl="0" w:tentative="0">
      <w:start w:val="1"/>
      <w:numFmt w:val="japaneseCounting"/>
      <w:lvlText w:val="%1、"/>
      <w:lvlJc w:val="left"/>
      <w:pPr>
        <w:ind w:left="4515" w:hanging="660"/>
      </w:pPr>
      <w:rPr>
        <w:rFonts w:hint="default"/>
      </w:rPr>
    </w:lvl>
    <w:lvl w:ilvl="1" w:tentative="0">
      <w:start w:val="1"/>
      <w:numFmt w:val="lowerLetter"/>
      <w:lvlText w:val="%2)"/>
      <w:lvlJc w:val="left"/>
      <w:pPr>
        <w:ind w:left="4695" w:hanging="420"/>
      </w:pPr>
    </w:lvl>
    <w:lvl w:ilvl="2" w:tentative="0">
      <w:start w:val="1"/>
      <w:numFmt w:val="lowerRoman"/>
      <w:lvlText w:val="%3."/>
      <w:lvlJc w:val="right"/>
      <w:pPr>
        <w:ind w:left="5115" w:hanging="420"/>
      </w:pPr>
    </w:lvl>
    <w:lvl w:ilvl="3" w:tentative="0">
      <w:start w:val="1"/>
      <w:numFmt w:val="decimal"/>
      <w:lvlText w:val="%4."/>
      <w:lvlJc w:val="left"/>
      <w:pPr>
        <w:ind w:left="5535" w:hanging="420"/>
      </w:pPr>
    </w:lvl>
    <w:lvl w:ilvl="4" w:tentative="0">
      <w:start w:val="1"/>
      <w:numFmt w:val="lowerLetter"/>
      <w:lvlText w:val="%5)"/>
      <w:lvlJc w:val="left"/>
      <w:pPr>
        <w:ind w:left="5955" w:hanging="420"/>
      </w:pPr>
    </w:lvl>
    <w:lvl w:ilvl="5" w:tentative="0">
      <w:start w:val="1"/>
      <w:numFmt w:val="lowerRoman"/>
      <w:lvlText w:val="%6."/>
      <w:lvlJc w:val="right"/>
      <w:pPr>
        <w:ind w:left="6375" w:hanging="420"/>
      </w:pPr>
    </w:lvl>
    <w:lvl w:ilvl="6" w:tentative="0">
      <w:start w:val="1"/>
      <w:numFmt w:val="decimal"/>
      <w:lvlText w:val="%7."/>
      <w:lvlJc w:val="left"/>
      <w:pPr>
        <w:ind w:left="6795" w:hanging="420"/>
      </w:pPr>
    </w:lvl>
    <w:lvl w:ilvl="7" w:tentative="0">
      <w:start w:val="1"/>
      <w:numFmt w:val="lowerLetter"/>
      <w:lvlText w:val="%8)"/>
      <w:lvlJc w:val="left"/>
      <w:pPr>
        <w:ind w:left="7215" w:hanging="420"/>
      </w:pPr>
    </w:lvl>
    <w:lvl w:ilvl="8" w:tentative="0">
      <w:start w:val="1"/>
      <w:numFmt w:val="lowerRoman"/>
      <w:lvlText w:val="%9."/>
      <w:lvlJc w:val="right"/>
      <w:pPr>
        <w:ind w:left="7635" w:hanging="420"/>
      </w:pPr>
    </w:lvl>
  </w:abstractNum>
  <w:abstractNum w:abstractNumId="3">
    <w:nsid w:val="6E852D49"/>
    <w:multiLevelType w:val="multilevel"/>
    <w:tmpl w:val="6E852D49"/>
    <w:lvl w:ilvl="0" w:tentative="0">
      <w:start w:val="1"/>
      <w:numFmt w:val="japaneseCounting"/>
      <w:lvlText w:val="%1、"/>
      <w:lvlJc w:val="left"/>
      <w:pPr>
        <w:ind w:left="1192" w:hanging="720"/>
      </w:pPr>
      <w:rPr>
        <w:rFonts w:hint="default"/>
        <w:b/>
        <w:sz w:val="32"/>
      </w:rPr>
    </w:lvl>
    <w:lvl w:ilvl="1" w:tentative="0">
      <w:start w:val="1"/>
      <w:numFmt w:val="lowerLetter"/>
      <w:lvlText w:val="%2)"/>
      <w:lvlJc w:val="left"/>
      <w:pPr>
        <w:ind w:left="1312" w:hanging="420"/>
      </w:pPr>
    </w:lvl>
    <w:lvl w:ilvl="2" w:tentative="0">
      <w:start w:val="1"/>
      <w:numFmt w:val="lowerRoman"/>
      <w:lvlText w:val="%3."/>
      <w:lvlJc w:val="right"/>
      <w:pPr>
        <w:ind w:left="1732" w:hanging="420"/>
      </w:pPr>
    </w:lvl>
    <w:lvl w:ilvl="3" w:tentative="0">
      <w:start w:val="1"/>
      <w:numFmt w:val="decimal"/>
      <w:lvlText w:val="%4."/>
      <w:lvlJc w:val="left"/>
      <w:pPr>
        <w:ind w:left="2152" w:hanging="420"/>
      </w:pPr>
    </w:lvl>
    <w:lvl w:ilvl="4" w:tentative="0">
      <w:start w:val="1"/>
      <w:numFmt w:val="lowerLetter"/>
      <w:lvlText w:val="%5)"/>
      <w:lvlJc w:val="left"/>
      <w:pPr>
        <w:ind w:left="2572" w:hanging="420"/>
      </w:pPr>
    </w:lvl>
    <w:lvl w:ilvl="5" w:tentative="0">
      <w:start w:val="1"/>
      <w:numFmt w:val="lowerRoman"/>
      <w:lvlText w:val="%6."/>
      <w:lvlJc w:val="right"/>
      <w:pPr>
        <w:ind w:left="2992" w:hanging="420"/>
      </w:pPr>
    </w:lvl>
    <w:lvl w:ilvl="6" w:tentative="0">
      <w:start w:val="1"/>
      <w:numFmt w:val="decimal"/>
      <w:lvlText w:val="%7."/>
      <w:lvlJc w:val="left"/>
      <w:pPr>
        <w:ind w:left="3412" w:hanging="420"/>
      </w:pPr>
    </w:lvl>
    <w:lvl w:ilvl="7" w:tentative="0">
      <w:start w:val="1"/>
      <w:numFmt w:val="lowerLetter"/>
      <w:lvlText w:val="%8)"/>
      <w:lvlJc w:val="left"/>
      <w:pPr>
        <w:ind w:left="3832" w:hanging="420"/>
      </w:pPr>
    </w:lvl>
    <w:lvl w:ilvl="8" w:tentative="0">
      <w:start w:val="1"/>
      <w:numFmt w:val="lowerRoman"/>
      <w:lvlText w:val="%9."/>
      <w:lvlJc w:val="right"/>
      <w:pPr>
        <w:ind w:left="4252" w:hanging="42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documentProtection w:enforcement="0"/>
  <w:defaultTabStop w:val="420"/>
  <w:drawingGridHorizontalSpacing w:val="105"/>
  <w:drawingGridVerticalSpacing w:val="156"/>
  <w:displayHorizontalDrawingGridEvery w:val="2"/>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jEzNTQzODIzY2ZlMmFjZGExZjE0YTYwMjA3ZGE0NTM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31B"/>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77CC1"/>
    <w:rsid w:val="00080812"/>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4F7E"/>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1A95"/>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0E9"/>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2EC"/>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BC7"/>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4547"/>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665"/>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D36"/>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4D5"/>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6E5"/>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006"/>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107"/>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50B"/>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6F65"/>
    <w:rsid w:val="004B728F"/>
    <w:rsid w:val="004B7317"/>
    <w:rsid w:val="004B75B2"/>
    <w:rsid w:val="004B75C6"/>
    <w:rsid w:val="004C02C5"/>
    <w:rsid w:val="004C0BF0"/>
    <w:rsid w:val="004C0D40"/>
    <w:rsid w:val="004C0D94"/>
    <w:rsid w:val="004C114F"/>
    <w:rsid w:val="004C11A9"/>
    <w:rsid w:val="004C27CF"/>
    <w:rsid w:val="004C2A3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5DF4"/>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072C"/>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154"/>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B7B37"/>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1F8"/>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6E6"/>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68A7"/>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2D7"/>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C3D"/>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5CF"/>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3326"/>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546"/>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1EF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59AC"/>
    <w:rsid w:val="00AC6D24"/>
    <w:rsid w:val="00AC6E18"/>
    <w:rsid w:val="00AC7F64"/>
    <w:rsid w:val="00AD1065"/>
    <w:rsid w:val="00AD159E"/>
    <w:rsid w:val="00AD2AB1"/>
    <w:rsid w:val="00AD3132"/>
    <w:rsid w:val="00AD3DA6"/>
    <w:rsid w:val="00AD3F3C"/>
    <w:rsid w:val="00AD4412"/>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07A"/>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53A"/>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090"/>
    <w:rsid w:val="00B70200"/>
    <w:rsid w:val="00B702D7"/>
    <w:rsid w:val="00B70389"/>
    <w:rsid w:val="00B70E01"/>
    <w:rsid w:val="00B713F0"/>
    <w:rsid w:val="00B7165B"/>
    <w:rsid w:val="00B72A0B"/>
    <w:rsid w:val="00B72BF9"/>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32"/>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C82"/>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361"/>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6B98"/>
    <w:rsid w:val="00BD734D"/>
    <w:rsid w:val="00BD7532"/>
    <w:rsid w:val="00BD76D5"/>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1A1C"/>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A7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3F"/>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675"/>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06D"/>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A7B"/>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280"/>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BE3"/>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9B5"/>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E15"/>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273"/>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6B34"/>
    <w:rsid w:val="00F973FA"/>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088"/>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06D"/>
    <w:rsid w:val="00FC22D0"/>
    <w:rsid w:val="00FC38D4"/>
    <w:rsid w:val="00FC391E"/>
    <w:rsid w:val="00FC39B3"/>
    <w:rsid w:val="00FC3BB7"/>
    <w:rsid w:val="00FC4345"/>
    <w:rsid w:val="00FC444A"/>
    <w:rsid w:val="00FC453D"/>
    <w:rsid w:val="00FC4A89"/>
    <w:rsid w:val="00FC5E7E"/>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657"/>
    <w:rsid w:val="00FF49B4"/>
    <w:rsid w:val="00FF49F4"/>
    <w:rsid w:val="00FF5B8D"/>
    <w:rsid w:val="00FF5C6A"/>
    <w:rsid w:val="00FF651D"/>
    <w:rsid w:val="00FF6843"/>
    <w:rsid w:val="00FF6C25"/>
    <w:rsid w:val="010651D9"/>
    <w:rsid w:val="011F6449"/>
    <w:rsid w:val="01236AFB"/>
    <w:rsid w:val="014F6641"/>
    <w:rsid w:val="019B3634"/>
    <w:rsid w:val="019F7441"/>
    <w:rsid w:val="01B37585"/>
    <w:rsid w:val="01B666C0"/>
    <w:rsid w:val="01D55165"/>
    <w:rsid w:val="01DF6BF8"/>
    <w:rsid w:val="01EC2C57"/>
    <w:rsid w:val="025F0711"/>
    <w:rsid w:val="0264611C"/>
    <w:rsid w:val="026B2E25"/>
    <w:rsid w:val="02824D4D"/>
    <w:rsid w:val="0284231A"/>
    <w:rsid w:val="028B18FB"/>
    <w:rsid w:val="02DC4B10"/>
    <w:rsid w:val="02DD76CE"/>
    <w:rsid w:val="02F36323"/>
    <w:rsid w:val="02F5619C"/>
    <w:rsid w:val="0326446A"/>
    <w:rsid w:val="032D5555"/>
    <w:rsid w:val="03604B36"/>
    <w:rsid w:val="036634D2"/>
    <w:rsid w:val="039447DF"/>
    <w:rsid w:val="03DD35E4"/>
    <w:rsid w:val="04076900"/>
    <w:rsid w:val="041A5A3B"/>
    <w:rsid w:val="042311BA"/>
    <w:rsid w:val="042B157A"/>
    <w:rsid w:val="043672F0"/>
    <w:rsid w:val="04402271"/>
    <w:rsid w:val="048F763B"/>
    <w:rsid w:val="049A1AA6"/>
    <w:rsid w:val="049F330E"/>
    <w:rsid w:val="04AA775C"/>
    <w:rsid w:val="04AB0032"/>
    <w:rsid w:val="04AF1889"/>
    <w:rsid w:val="04C133B2"/>
    <w:rsid w:val="04D94B9F"/>
    <w:rsid w:val="04F66F48"/>
    <w:rsid w:val="05173F1B"/>
    <w:rsid w:val="05251E14"/>
    <w:rsid w:val="05A16594"/>
    <w:rsid w:val="05A7762D"/>
    <w:rsid w:val="060E5941"/>
    <w:rsid w:val="06110FAF"/>
    <w:rsid w:val="06493CA7"/>
    <w:rsid w:val="065221E0"/>
    <w:rsid w:val="065A6178"/>
    <w:rsid w:val="066466EB"/>
    <w:rsid w:val="066E1317"/>
    <w:rsid w:val="066F1CF3"/>
    <w:rsid w:val="067601CC"/>
    <w:rsid w:val="067B3A34"/>
    <w:rsid w:val="06930BB8"/>
    <w:rsid w:val="06930D7E"/>
    <w:rsid w:val="06BA455D"/>
    <w:rsid w:val="06C61153"/>
    <w:rsid w:val="06DD649D"/>
    <w:rsid w:val="07245D42"/>
    <w:rsid w:val="07264C62"/>
    <w:rsid w:val="073D0CEA"/>
    <w:rsid w:val="0779354C"/>
    <w:rsid w:val="0781151E"/>
    <w:rsid w:val="07EF6488"/>
    <w:rsid w:val="08061376"/>
    <w:rsid w:val="082F0F7A"/>
    <w:rsid w:val="08452D77"/>
    <w:rsid w:val="08634780"/>
    <w:rsid w:val="086401F8"/>
    <w:rsid w:val="08751CAA"/>
    <w:rsid w:val="087E4C40"/>
    <w:rsid w:val="08803584"/>
    <w:rsid w:val="089F7EAE"/>
    <w:rsid w:val="08A871D0"/>
    <w:rsid w:val="08A90D2D"/>
    <w:rsid w:val="08C77405"/>
    <w:rsid w:val="08D66AD6"/>
    <w:rsid w:val="08DA33A3"/>
    <w:rsid w:val="08E80F13"/>
    <w:rsid w:val="09335624"/>
    <w:rsid w:val="0944690F"/>
    <w:rsid w:val="09535675"/>
    <w:rsid w:val="095F057D"/>
    <w:rsid w:val="09642282"/>
    <w:rsid w:val="09733572"/>
    <w:rsid w:val="09772C16"/>
    <w:rsid w:val="098353B5"/>
    <w:rsid w:val="099E3CC2"/>
    <w:rsid w:val="09A92330"/>
    <w:rsid w:val="09B06B87"/>
    <w:rsid w:val="09C13146"/>
    <w:rsid w:val="09D771D4"/>
    <w:rsid w:val="09E0252C"/>
    <w:rsid w:val="09E04166"/>
    <w:rsid w:val="0A14667A"/>
    <w:rsid w:val="0A1C0718"/>
    <w:rsid w:val="0A3E7710"/>
    <w:rsid w:val="0A5B7E63"/>
    <w:rsid w:val="0AA374A5"/>
    <w:rsid w:val="0AAB7649"/>
    <w:rsid w:val="0ABC5606"/>
    <w:rsid w:val="0AC27E84"/>
    <w:rsid w:val="0ADB7197"/>
    <w:rsid w:val="0B020C07"/>
    <w:rsid w:val="0B1F52D6"/>
    <w:rsid w:val="0B30404E"/>
    <w:rsid w:val="0B4C6C14"/>
    <w:rsid w:val="0B547599"/>
    <w:rsid w:val="0B631A88"/>
    <w:rsid w:val="0B683D45"/>
    <w:rsid w:val="0B7F3F11"/>
    <w:rsid w:val="0B884417"/>
    <w:rsid w:val="0BAB0918"/>
    <w:rsid w:val="0BBA4988"/>
    <w:rsid w:val="0BF6188C"/>
    <w:rsid w:val="0BF73C91"/>
    <w:rsid w:val="0C043964"/>
    <w:rsid w:val="0C170175"/>
    <w:rsid w:val="0C3C5A14"/>
    <w:rsid w:val="0C4F3999"/>
    <w:rsid w:val="0C571A41"/>
    <w:rsid w:val="0C5C1171"/>
    <w:rsid w:val="0C5E1CBC"/>
    <w:rsid w:val="0C615B50"/>
    <w:rsid w:val="0C8445DA"/>
    <w:rsid w:val="0C87121B"/>
    <w:rsid w:val="0C915D60"/>
    <w:rsid w:val="0CC007F7"/>
    <w:rsid w:val="0CC0489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3966AF"/>
    <w:rsid w:val="0E5604B2"/>
    <w:rsid w:val="0E6D5D79"/>
    <w:rsid w:val="0E9D0089"/>
    <w:rsid w:val="0EA64563"/>
    <w:rsid w:val="0EB803EE"/>
    <w:rsid w:val="0EC046DA"/>
    <w:rsid w:val="0EF94D4B"/>
    <w:rsid w:val="0F4958DC"/>
    <w:rsid w:val="0F515DF7"/>
    <w:rsid w:val="0F596BA8"/>
    <w:rsid w:val="0F6248D2"/>
    <w:rsid w:val="0F693536"/>
    <w:rsid w:val="0F7B0511"/>
    <w:rsid w:val="0F7B76D9"/>
    <w:rsid w:val="0F816ACD"/>
    <w:rsid w:val="0F9832DB"/>
    <w:rsid w:val="0FBF3FD2"/>
    <w:rsid w:val="0FBF7FF3"/>
    <w:rsid w:val="10233173"/>
    <w:rsid w:val="1032785A"/>
    <w:rsid w:val="10646583"/>
    <w:rsid w:val="107D4B15"/>
    <w:rsid w:val="108A3C80"/>
    <w:rsid w:val="10C26171"/>
    <w:rsid w:val="10CD7582"/>
    <w:rsid w:val="10F33360"/>
    <w:rsid w:val="10FC16EA"/>
    <w:rsid w:val="110F1D40"/>
    <w:rsid w:val="11266F33"/>
    <w:rsid w:val="117143B2"/>
    <w:rsid w:val="118963A1"/>
    <w:rsid w:val="11C6522A"/>
    <w:rsid w:val="11E104CC"/>
    <w:rsid w:val="11E20309"/>
    <w:rsid w:val="12255233"/>
    <w:rsid w:val="12530213"/>
    <w:rsid w:val="125515DD"/>
    <w:rsid w:val="127723A9"/>
    <w:rsid w:val="12862074"/>
    <w:rsid w:val="12883966"/>
    <w:rsid w:val="129E45B4"/>
    <w:rsid w:val="12B10F0A"/>
    <w:rsid w:val="12CD5618"/>
    <w:rsid w:val="12D81596"/>
    <w:rsid w:val="1303728B"/>
    <w:rsid w:val="13072A44"/>
    <w:rsid w:val="131B45D5"/>
    <w:rsid w:val="133F25E2"/>
    <w:rsid w:val="135F4BE2"/>
    <w:rsid w:val="139B1A0A"/>
    <w:rsid w:val="139D25C7"/>
    <w:rsid w:val="13BF3CE4"/>
    <w:rsid w:val="141008D8"/>
    <w:rsid w:val="14125FE6"/>
    <w:rsid w:val="146D271E"/>
    <w:rsid w:val="14982588"/>
    <w:rsid w:val="149A5AD9"/>
    <w:rsid w:val="14A7619D"/>
    <w:rsid w:val="14A95C11"/>
    <w:rsid w:val="150536C3"/>
    <w:rsid w:val="150C1963"/>
    <w:rsid w:val="151447A0"/>
    <w:rsid w:val="154A6454"/>
    <w:rsid w:val="154F4A0A"/>
    <w:rsid w:val="15604521"/>
    <w:rsid w:val="1565422D"/>
    <w:rsid w:val="15762120"/>
    <w:rsid w:val="168104FC"/>
    <w:rsid w:val="16A62408"/>
    <w:rsid w:val="16A8729C"/>
    <w:rsid w:val="16B33777"/>
    <w:rsid w:val="16BC70A7"/>
    <w:rsid w:val="16C6339E"/>
    <w:rsid w:val="17084E70"/>
    <w:rsid w:val="172F2D79"/>
    <w:rsid w:val="17375756"/>
    <w:rsid w:val="17393759"/>
    <w:rsid w:val="17557BEF"/>
    <w:rsid w:val="17D349C1"/>
    <w:rsid w:val="17FF5816"/>
    <w:rsid w:val="18244F26"/>
    <w:rsid w:val="1830729E"/>
    <w:rsid w:val="1870062C"/>
    <w:rsid w:val="18817102"/>
    <w:rsid w:val="18826EA4"/>
    <w:rsid w:val="18830A15"/>
    <w:rsid w:val="18852B28"/>
    <w:rsid w:val="188B5321"/>
    <w:rsid w:val="188E5849"/>
    <w:rsid w:val="18DE057F"/>
    <w:rsid w:val="19932372"/>
    <w:rsid w:val="19A20DD5"/>
    <w:rsid w:val="19AE03F1"/>
    <w:rsid w:val="19D159ED"/>
    <w:rsid w:val="1A071A03"/>
    <w:rsid w:val="1A1F0E4F"/>
    <w:rsid w:val="1A1F16AE"/>
    <w:rsid w:val="1A3B5C77"/>
    <w:rsid w:val="1A984BAD"/>
    <w:rsid w:val="1AA2382E"/>
    <w:rsid w:val="1AB8220E"/>
    <w:rsid w:val="1AE4166C"/>
    <w:rsid w:val="1AE6371B"/>
    <w:rsid w:val="1AF06CFB"/>
    <w:rsid w:val="1AF11B8D"/>
    <w:rsid w:val="1B102545"/>
    <w:rsid w:val="1B11359C"/>
    <w:rsid w:val="1B1F6C2C"/>
    <w:rsid w:val="1B214484"/>
    <w:rsid w:val="1B2A271F"/>
    <w:rsid w:val="1B530544"/>
    <w:rsid w:val="1B713184"/>
    <w:rsid w:val="1B854CE1"/>
    <w:rsid w:val="1BA209CF"/>
    <w:rsid w:val="1BAF6202"/>
    <w:rsid w:val="1BB4777D"/>
    <w:rsid w:val="1BD75AB8"/>
    <w:rsid w:val="1BE539D2"/>
    <w:rsid w:val="1BEC2FB3"/>
    <w:rsid w:val="1C0459C2"/>
    <w:rsid w:val="1C1B3B4A"/>
    <w:rsid w:val="1C2E2826"/>
    <w:rsid w:val="1C6A3ED7"/>
    <w:rsid w:val="1C88086E"/>
    <w:rsid w:val="1CAC44F0"/>
    <w:rsid w:val="1CC57360"/>
    <w:rsid w:val="1CF814E3"/>
    <w:rsid w:val="1D266CE1"/>
    <w:rsid w:val="1D3963AF"/>
    <w:rsid w:val="1D6A673C"/>
    <w:rsid w:val="1D9247AE"/>
    <w:rsid w:val="1D9E208B"/>
    <w:rsid w:val="1DA63635"/>
    <w:rsid w:val="1DB567EC"/>
    <w:rsid w:val="1DC00253"/>
    <w:rsid w:val="1DF51A98"/>
    <w:rsid w:val="1E051CD9"/>
    <w:rsid w:val="1E2C58E8"/>
    <w:rsid w:val="1E3D060F"/>
    <w:rsid w:val="1E3F7D2E"/>
    <w:rsid w:val="1E4134E4"/>
    <w:rsid w:val="1E5062B3"/>
    <w:rsid w:val="1E523514"/>
    <w:rsid w:val="1E622E3B"/>
    <w:rsid w:val="1E652BA8"/>
    <w:rsid w:val="1E714A66"/>
    <w:rsid w:val="1E802593"/>
    <w:rsid w:val="1E8B6156"/>
    <w:rsid w:val="1EA703CC"/>
    <w:rsid w:val="1EB7330C"/>
    <w:rsid w:val="1F0423C1"/>
    <w:rsid w:val="1F0A0FF3"/>
    <w:rsid w:val="1F5771FF"/>
    <w:rsid w:val="1F69491A"/>
    <w:rsid w:val="1FD52574"/>
    <w:rsid w:val="1FE868A9"/>
    <w:rsid w:val="20034907"/>
    <w:rsid w:val="20173E4B"/>
    <w:rsid w:val="204E48BC"/>
    <w:rsid w:val="20825C93"/>
    <w:rsid w:val="208921B3"/>
    <w:rsid w:val="20973DEB"/>
    <w:rsid w:val="20B26522"/>
    <w:rsid w:val="20B44310"/>
    <w:rsid w:val="20C242E2"/>
    <w:rsid w:val="211116EB"/>
    <w:rsid w:val="212B632B"/>
    <w:rsid w:val="216133FC"/>
    <w:rsid w:val="216B2BCB"/>
    <w:rsid w:val="21D56769"/>
    <w:rsid w:val="21E52EF3"/>
    <w:rsid w:val="21EB1616"/>
    <w:rsid w:val="21F75BAD"/>
    <w:rsid w:val="21FB5D7B"/>
    <w:rsid w:val="22015E94"/>
    <w:rsid w:val="220B1C3D"/>
    <w:rsid w:val="221D1D20"/>
    <w:rsid w:val="22334A87"/>
    <w:rsid w:val="22995516"/>
    <w:rsid w:val="22BE6801"/>
    <w:rsid w:val="23137077"/>
    <w:rsid w:val="232A43C0"/>
    <w:rsid w:val="233500BF"/>
    <w:rsid w:val="23377FF7"/>
    <w:rsid w:val="236B425F"/>
    <w:rsid w:val="23836192"/>
    <w:rsid w:val="23901F29"/>
    <w:rsid w:val="239C0061"/>
    <w:rsid w:val="23B908A4"/>
    <w:rsid w:val="23E12CD1"/>
    <w:rsid w:val="23E95BEF"/>
    <w:rsid w:val="23FD0064"/>
    <w:rsid w:val="240510B5"/>
    <w:rsid w:val="245375B0"/>
    <w:rsid w:val="24642C0A"/>
    <w:rsid w:val="24973CD7"/>
    <w:rsid w:val="24B22173"/>
    <w:rsid w:val="24B30B11"/>
    <w:rsid w:val="24B67C22"/>
    <w:rsid w:val="24B95AD9"/>
    <w:rsid w:val="24BE24DA"/>
    <w:rsid w:val="24CF5825"/>
    <w:rsid w:val="24D663E6"/>
    <w:rsid w:val="24D77F2B"/>
    <w:rsid w:val="25494FD2"/>
    <w:rsid w:val="258B00E2"/>
    <w:rsid w:val="25A917A6"/>
    <w:rsid w:val="25BA7C7E"/>
    <w:rsid w:val="25BE27CC"/>
    <w:rsid w:val="25F74A5C"/>
    <w:rsid w:val="26103D41"/>
    <w:rsid w:val="2628662C"/>
    <w:rsid w:val="262D45DE"/>
    <w:rsid w:val="26871DC8"/>
    <w:rsid w:val="26A53EF9"/>
    <w:rsid w:val="26A94201"/>
    <w:rsid w:val="26AC274F"/>
    <w:rsid w:val="27044A29"/>
    <w:rsid w:val="270D202F"/>
    <w:rsid w:val="271D34C8"/>
    <w:rsid w:val="273932EA"/>
    <w:rsid w:val="276142BF"/>
    <w:rsid w:val="27783712"/>
    <w:rsid w:val="27907362"/>
    <w:rsid w:val="27FC457D"/>
    <w:rsid w:val="281318C7"/>
    <w:rsid w:val="28333E1D"/>
    <w:rsid w:val="28454BD6"/>
    <w:rsid w:val="28455253"/>
    <w:rsid w:val="28551971"/>
    <w:rsid w:val="285B1C53"/>
    <w:rsid w:val="289F7086"/>
    <w:rsid w:val="28C32028"/>
    <w:rsid w:val="28CC490F"/>
    <w:rsid w:val="28DE40AA"/>
    <w:rsid w:val="28F039B6"/>
    <w:rsid w:val="290D6316"/>
    <w:rsid w:val="290F32B2"/>
    <w:rsid w:val="29233D8C"/>
    <w:rsid w:val="29345E77"/>
    <w:rsid w:val="294C65AD"/>
    <w:rsid w:val="29806583"/>
    <w:rsid w:val="298B3C4C"/>
    <w:rsid w:val="29DA08EE"/>
    <w:rsid w:val="29E96D83"/>
    <w:rsid w:val="29F26D24"/>
    <w:rsid w:val="2A076A69"/>
    <w:rsid w:val="2A15033F"/>
    <w:rsid w:val="2A1662C1"/>
    <w:rsid w:val="2A1C7367"/>
    <w:rsid w:val="2A2815FA"/>
    <w:rsid w:val="2A3E70CF"/>
    <w:rsid w:val="2A6D6092"/>
    <w:rsid w:val="2A7D76B4"/>
    <w:rsid w:val="2B0B4AD7"/>
    <w:rsid w:val="2B277B63"/>
    <w:rsid w:val="2B30453E"/>
    <w:rsid w:val="2B437463"/>
    <w:rsid w:val="2B746B21"/>
    <w:rsid w:val="2B7807EE"/>
    <w:rsid w:val="2BA50BF7"/>
    <w:rsid w:val="2BB1742D"/>
    <w:rsid w:val="2BBA09D7"/>
    <w:rsid w:val="2BBF00EC"/>
    <w:rsid w:val="2BC37CFD"/>
    <w:rsid w:val="2BD5237F"/>
    <w:rsid w:val="2BE536CE"/>
    <w:rsid w:val="2BE758D9"/>
    <w:rsid w:val="2BF346BB"/>
    <w:rsid w:val="2C09049E"/>
    <w:rsid w:val="2C0A653C"/>
    <w:rsid w:val="2C191F85"/>
    <w:rsid w:val="2C29790B"/>
    <w:rsid w:val="2C723060"/>
    <w:rsid w:val="2C772424"/>
    <w:rsid w:val="2C8E776E"/>
    <w:rsid w:val="2CCE400E"/>
    <w:rsid w:val="2CDA6E57"/>
    <w:rsid w:val="2CE82D6F"/>
    <w:rsid w:val="2D343236"/>
    <w:rsid w:val="2D512E15"/>
    <w:rsid w:val="2D575011"/>
    <w:rsid w:val="2DD15014"/>
    <w:rsid w:val="2DF72DE4"/>
    <w:rsid w:val="2E0220AF"/>
    <w:rsid w:val="2E4B082A"/>
    <w:rsid w:val="2E5D4E86"/>
    <w:rsid w:val="2E5D790B"/>
    <w:rsid w:val="2E9A3C18"/>
    <w:rsid w:val="2EB616F0"/>
    <w:rsid w:val="2EBB0FEE"/>
    <w:rsid w:val="2EC63002"/>
    <w:rsid w:val="2F0A6B38"/>
    <w:rsid w:val="2F4D3728"/>
    <w:rsid w:val="2F946CCB"/>
    <w:rsid w:val="2FD25781"/>
    <w:rsid w:val="2FDC745C"/>
    <w:rsid w:val="2FFD7934"/>
    <w:rsid w:val="304C3BC8"/>
    <w:rsid w:val="30733ACD"/>
    <w:rsid w:val="308710A4"/>
    <w:rsid w:val="308C3862"/>
    <w:rsid w:val="309379D8"/>
    <w:rsid w:val="30A270F7"/>
    <w:rsid w:val="30B11C7D"/>
    <w:rsid w:val="30BF25EC"/>
    <w:rsid w:val="30DF1478"/>
    <w:rsid w:val="30EC586F"/>
    <w:rsid w:val="316118F5"/>
    <w:rsid w:val="319C6071"/>
    <w:rsid w:val="31AC537E"/>
    <w:rsid w:val="31E3679B"/>
    <w:rsid w:val="31E732FD"/>
    <w:rsid w:val="32517576"/>
    <w:rsid w:val="327C6A0A"/>
    <w:rsid w:val="32BE5C2C"/>
    <w:rsid w:val="32C043F9"/>
    <w:rsid w:val="32D00AE0"/>
    <w:rsid w:val="32FB6478"/>
    <w:rsid w:val="33263B3F"/>
    <w:rsid w:val="336963EB"/>
    <w:rsid w:val="33816EEB"/>
    <w:rsid w:val="33EB55CD"/>
    <w:rsid w:val="33EC4C02"/>
    <w:rsid w:val="33ED56C2"/>
    <w:rsid w:val="340D2360"/>
    <w:rsid w:val="3410665D"/>
    <w:rsid w:val="34211214"/>
    <w:rsid w:val="342E63AB"/>
    <w:rsid w:val="34806536"/>
    <w:rsid w:val="34950E68"/>
    <w:rsid w:val="34986E94"/>
    <w:rsid w:val="34AF62C9"/>
    <w:rsid w:val="34B85CD0"/>
    <w:rsid w:val="34CB4388"/>
    <w:rsid w:val="34FA6E12"/>
    <w:rsid w:val="354D7158"/>
    <w:rsid w:val="35505F08"/>
    <w:rsid w:val="3578720D"/>
    <w:rsid w:val="357A4D33"/>
    <w:rsid w:val="358D5588"/>
    <w:rsid w:val="35A3072E"/>
    <w:rsid w:val="362A675A"/>
    <w:rsid w:val="363A3B40"/>
    <w:rsid w:val="364315C9"/>
    <w:rsid w:val="365302AE"/>
    <w:rsid w:val="36607A0A"/>
    <w:rsid w:val="366E227C"/>
    <w:rsid w:val="366F2E0D"/>
    <w:rsid w:val="367B6A5C"/>
    <w:rsid w:val="369E2CA4"/>
    <w:rsid w:val="36A74ADA"/>
    <w:rsid w:val="36AD60D5"/>
    <w:rsid w:val="36B224F9"/>
    <w:rsid w:val="36EC0CC9"/>
    <w:rsid w:val="371A67CE"/>
    <w:rsid w:val="373F410B"/>
    <w:rsid w:val="37427AD3"/>
    <w:rsid w:val="375D7BAC"/>
    <w:rsid w:val="378123A9"/>
    <w:rsid w:val="37EE7094"/>
    <w:rsid w:val="37FE3956"/>
    <w:rsid w:val="38296C89"/>
    <w:rsid w:val="383002EB"/>
    <w:rsid w:val="38586797"/>
    <w:rsid w:val="385D15DF"/>
    <w:rsid w:val="38BC0149"/>
    <w:rsid w:val="38D87D1C"/>
    <w:rsid w:val="39636459"/>
    <w:rsid w:val="396B7F6C"/>
    <w:rsid w:val="3971469F"/>
    <w:rsid w:val="39B417A9"/>
    <w:rsid w:val="39E15381"/>
    <w:rsid w:val="39F94DC1"/>
    <w:rsid w:val="39FC5695"/>
    <w:rsid w:val="3A006D8E"/>
    <w:rsid w:val="3A3651E5"/>
    <w:rsid w:val="3A655EBA"/>
    <w:rsid w:val="3A744481"/>
    <w:rsid w:val="3A802DEC"/>
    <w:rsid w:val="3A8C7BEF"/>
    <w:rsid w:val="3A906246"/>
    <w:rsid w:val="3B2349B7"/>
    <w:rsid w:val="3B616CFF"/>
    <w:rsid w:val="3B6259F6"/>
    <w:rsid w:val="3B710987"/>
    <w:rsid w:val="3B7641EF"/>
    <w:rsid w:val="3B976654"/>
    <w:rsid w:val="3BB16FD5"/>
    <w:rsid w:val="3BC01EFC"/>
    <w:rsid w:val="3BCA786A"/>
    <w:rsid w:val="3BD31E2F"/>
    <w:rsid w:val="3BD43422"/>
    <w:rsid w:val="3BF15831"/>
    <w:rsid w:val="3C051C61"/>
    <w:rsid w:val="3C105946"/>
    <w:rsid w:val="3C123F18"/>
    <w:rsid w:val="3C2974B3"/>
    <w:rsid w:val="3C471448"/>
    <w:rsid w:val="3C5F759A"/>
    <w:rsid w:val="3C6C525A"/>
    <w:rsid w:val="3CCE23CB"/>
    <w:rsid w:val="3CD17D17"/>
    <w:rsid w:val="3CEF6007"/>
    <w:rsid w:val="3D3C7F39"/>
    <w:rsid w:val="3D440F09"/>
    <w:rsid w:val="3D4504A0"/>
    <w:rsid w:val="3D8734BB"/>
    <w:rsid w:val="3D9A11D4"/>
    <w:rsid w:val="3DA16D89"/>
    <w:rsid w:val="3DA364BE"/>
    <w:rsid w:val="3DC96858"/>
    <w:rsid w:val="3DE041CB"/>
    <w:rsid w:val="3E0D48F6"/>
    <w:rsid w:val="3E1868B4"/>
    <w:rsid w:val="3E377251"/>
    <w:rsid w:val="3E42664B"/>
    <w:rsid w:val="3E5A7334"/>
    <w:rsid w:val="3E7B5D6B"/>
    <w:rsid w:val="3E843E66"/>
    <w:rsid w:val="3E8F51FE"/>
    <w:rsid w:val="3E926F87"/>
    <w:rsid w:val="3E9A59DE"/>
    <w:rsid w:val="3EAF4836"/>
    <w:rsid w:val="3EC139D3"/>
    <w:rsid w:val="3EC33DFA"/>
    <w:rsid w:val="3ED01E68"/>
    <w:rsid w:val="3F060E16"/>
    <w:rsid w:val="3F1D1096"/>
    <w:rsid w:val="3F2F0234"/>
    <w:rsid w:val="3F6363FE"/>
    <w:rsid w:val="3F756B8F"/>
    <w:rsid w:val="3F95482B"/>
    <w:rsid w:val="3FAC6431"/>
    <w:rsid w:val="4019356B"/>
    <w:rsid w:val="40291830"/>
    <w:rsid w:val="403326AF"/>
    <w:rsid w:val="40414DCB"/>
    <w:rsid w:val="40592157"/>
    <w:rsid w:val="406E1CAE"/>
    <w:rsid w:val="40A0133A"/>
    <w:rsid w:val="40BC6B48"/>
    <w:rsid w:val="40C31A53"/>
    <w:rsid w:val="40C61775"/>
    <w:rsid w:val="40DC4AF4"/>
    <w:rsid w:val="40E67721"/>
    <w:rsid w:val="40F24318"/>
    <w:rsid w:val="40FF545D"/>
    <w:rsid w:val="410067C8"/>
    <w:rsid w:val="411E33A4"/>
    <w:rsid w:val="418F0D2A"/>
    <w:rsid w:val="41CE268F"/>
    <w:rsid w:val="41D01505"/>
    <w:rsid w:val="41DF2AEE"/>
    <w:rsid w:val="42474939"/>
    <w:rsid w:val="424C3C57"/>
    <w:rsid w:val="42613FF3"/>
    <w:rsid w:val="42660D96"/>
    <w:rsid w:val="428667D2"/>
    <w:rsid w:val="42CD1CE0"/>
    <w:rsid w:val="42E1381E"/>
    <w:rsid w:val="42E44134"/>
    <w:rsid w:val="42ED6459"/>
    <w:rsid w:val="42FE58DD"/>
    <w:rsid w:val="43174B3D"/>
    <w:rsid w:val="434B790E"/>
    <w:rsid w:val="43556017"/>
    <w:rsid w:val="4360274F"/>
    <w:rsid w:val="43977AB6"/>
    <w:rsid w:val="43A3342B"/>
    <w:rsid w:val="43A7763B"/>
    <w:rsid w:val="43C77C27"/>
    <w:rsid w:val="43DE09EE"/>
    <w:rsid w:val="44002FAD"/>
    <w:rsid w:val="4441183E"/>
    <w:rsid w:val="448E07FB"/>
    <w:rsid w:val="449101DD"/>
    <w:rsid w:val="44DE1391"/>
    <w:rsid w:val="450665E4"/>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901135"/>
    <w:rsid w:val="46963997"/>
    <w:rsid w:val="46A61E2C"/>
    <w:rsid w:val="46C4686E"/>
    <w:rsid w:val="46FA5CD4"/>
    <w:rsid w:val="477B778F"/>
    <w:rsid w:val="478203EC"/>
    <w:rsid w:val="47B025FA"/>
    <w:rsid w:val="4809698F"/>
    <w:rsid w:val="4811697D"/>
    <w:rsid w:val="487A3E25"/>
    <w:rsid w:val="488B5503"/>
    <w:rsid w:val="48937E21"/>
    <w:rsid w:val="489A0361"/>
    <w:rsid w:val="48A4239B"/>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553E21"/>
    <w:rsid w:val="4B707271"/>
    <w:rsid w:val="4B9739F7"/>
    <w:rsid w:val="4BEE2503"/>
    <w:rsid w:val="4C245A30"/>
    <w:rsid w:val="4CB37051"/>
    <w:rsid w:val="4CB6685F"/>
    <w:rsid w:val="4CC367FE"/>
    <w:rsid w:val="4CF338F1"/>
    <w:rsid w:val="4D077F3C"/>
    <w:rsid w:val="4D123355"/>
    <w:rsid w:val="4D292E6F"/>
    <w:rsid w:val="4D2A3B31"/>
    <w:rsid w:val="4D312C52"/>
    <w:rsid w:val="4D7F0CE1"/>
    <w:rsid w:val="4D905305"/>
    <w:rsid w:val="4D964A72"/>
    <w:rsid w:val="4D9C1254"/>
    <w:rsid w:val="4DA860EB"/>
    <w:rsid w:val="4DAB1AD6"/>
    <w:rsid w:val="4E013DEC"/>
    <w:rsid w:val="4E793892"/>
    <w:rsid w:val="4E800872"/>
    <w:rsid w:val="4EBD5F65"/>
    <w:rsid w:val="4EC569ED"/>
    <w:rsid w:val="4ED50EA1"/>
    <w:rsid w:val="4EE96D5A"/>
    <w:rsid w:val="4EEC050C"/>
    <w:rsid w:val="4F104EC3"/>
    <w:rsid w:val="4F47354A"/>
    <w:rsid w:val="4F911C54"/>
    <w:rsid w:val="4FE625E0"/>
    <w:rsid w:val="4FF0236A"/>
    <w:rsid w:val="502142D2"/>
    <w:rsid w:val="5021480F"/>
    <w:rsid w:val="5023004A"/>
    <w:rsid w:val="508462D1"/>
    <w:rsid w:val="50962ECB"/>
    <w:rsid w:val="5099655E"/>
    <w:rsid w:val="50A42E38"/>
    <w:rsid w:val="50A4577F"/>
    <w:rsid w:val="50B73D1F"/>
    <w:rsid w:val="50BD5BC9"/>
    <w:rsid w:val="50C11EEE"/>
    <w:rsid w:val="50E97CFC"/>
    <w:rsid w:val="50EC0D83"/>
    <w:rsid w:val="50ED0658"/>
    <w:rsid w:val="50EF43D0"/>
    <w:rsid w:val="50FA4028"/>
    <w:rsid w:val="50FE0AB7"/>
    <w:rsid w:val="510D65B7"/>
    <w:rsid w:val="511157AB"/>
    <w:rsid w:val="5142540C"/>
    <w:rsid w:val="518832C8"/>
    <w:rsid w:val="519D3C50"/>
    <w:rsid w:val="51A0432A"/>
    <w:rsid w:val="51A86090"/>
    <w:rsid w:val="51B7396D"/>
    <w:rsid w:val="52081BED"/>
    <w:rsid w:val="522E4CC3"/>
    <w:rsid w:val="5244713B"/>
    <w:rsid w:val="5245699D"/>
    <w:rsid w:val="52615633"/>
    <w:rsid w:val="526F4DE4"/>
    <w:rsid w:val="52860D64"/>
    <w:rsid w:val="52977FD4"/>
    <w:rsid w:val="52A25790"/>
    <w:rsid w:val="52A96B6F"/>
    <w:rsid w:val="52B45975"/>
    <w:rsid w:val="52B60D96"/>
    <w:rsid w:val="52C13B4A"/>
    <w:rsid w:val="52D94AA4"/>
    <w:rsid w:val="52EA3A62"/>
    <w:rsid w:val="52F50BB8"/>
    <w:rsid w:val="53097272"/>
    <w:rsid w:val="53163E96"/>
    <w:rsid w:val="53544462"/>
    <w:rsid w:val="53601B6B"/>
    <w:rsid w:val="53605111"/>
    <w:rsid w:val="53933738"/>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2D9F"/>
    <w:rsid w:val="55A8376B"/>
    <w:rsid w:val="55DB3175"/>
    <w:rsid w:val="55DC29B6"/>
    <w:rsid w:val="55DD4241"/>
    <w:rsid w:val="56464A92"/>
    <w:rsid w:val="566B6D1E"/>
    <w:rsid w:val="56972D92"/>
    <w:rsid w:val="56DC71A4"/>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136BF6"/>
    <w:rsid w:val="58917D2F"/>
    <w:rsid w:val="5894085C"/>
    <w:rsid w:val="58AE4F0C"/>
    <w:rsid w:val="58B85899"/>
    <w:rsid w:val="58CA7BFC"/>
    <w:rsid w:val="58E363A9"/>
    <w:rsid w:val="59166304"/>
    <w:rsid w:val="595E1678"/>
    <w:rsid w:val="596D5BD4"/>
    <w:rsid w:val="597C07CB"/>
    <w:rsid w:val="597E3DD8"/>
    <w:rsid w:val="59B461B6"/>
    <w:rsid w:val="59F80043"/>
    <w:rsid w:val="5A09252F"/>
    <w:rsid w:val="5A0B2778"/>
    <w:rsid w:val="5A2A7C7B"/>
    <w:rsid w:val="5A3E2560"/>
    <w:rsid w:val="5A5D3B6E"/>
    <w:rsid w:val="5A637A76"/>
    <w:rsid w:val="5A6D33BA"/>
    <w:rsid w:val="5A792B1F"/>
    <w:rsid w:val="5A874767"/>
    <w:rsid w:val="5AA85BE2"/>
    <w:rsid w:val="5AAD6F28"/>
    <w:rsid w:val="5AB126F6"/>
    <w:rsid w:val="5AD63A24"/>
    <w:rsid w:val="5B2E1A1D"/>
    <w:rsid w:val="5B843A1C"/>
    <w:rsid w:val="5B873E3F"/>
    <w:rsid w:val="5C02690E"/>
    <w:rsid w:val="5C196DA7"/>
    <w:rsid w:val="5C2A048C"/>
    <w:rsid w:val="5C80234E"/>
    <w:rsid w:val="5C8A680C"/>
    <w:rsid w:val="5CAE513F"/>
    <w:rsid w:val="5CDC7EFE"/>
    <w:rsid w:val="5CFF1E3E"/>
    <w:rsid w:val="5D0C4701"/>
    <w:rsid w:val="5D0F0395"/>
    <w:rsid w:val="5D221076"/>
    <w:rsid w:val="5D397964"/>
    <w:rsid w:val="5D4B005A"/>
    <w:rsid w:val="5D5A391C"/>
    <w:rsid w:val="5D5F10C0"/>
    <w:rsid w:val="5D891B7B"/>
    <w:rsid w:val="5DAD38EE"/>
    <w:rsid w:val="5E006862"/>
    <w:rsid w:val="5E0207B9"/>
    <w:rsid w:val="5E033269"/>
    <w:rsid w:val="5E1834A1"/>
    <w:rsid w:val="5E261785"/>
    <w:rsid w:val="5E4A7017"/>
    <w:rsid w:val="5E552BBA"/>
    <w:rsid w:val="5E611C10"/>
    <w:rsid w:val="5E7A0F3F"/>
    <w:rsid w:val="5EA031AD"/>
    <w:rsid w:val="5EFC7377"/>
    <w:rsid w:val="5EFF1C82"/>
    <w:rsid w:val="5F06174D"/>
    <w:rsid w:val="5F3A3602"/>
    <w:rsid w:val="5F45733B"/>
    <w:rsid w:val="5F6277C6"/>
    <w:rsid w:val="5F6D0B1D"/>
    <w:rsid w:val="5F7C1524"/>
    <w:rsid w:val="5F8D0B82"/>
    <w:rsid w:val="5FCC5339"/>
    <w:rsid w:val="5FE34A5B"/>
    <w:rsid w:val="5FFE1E36"/>
    <w:rsid w:val="60232584"/>
    <w:rsid w:val="603E67DA"/>
    <w:rsid w:val="60634492"/>
    <w:rsid w:val="607330CE"/>
    <w:rsid w:val="60825176"/>
    <w:rsid w:val="609F2AC4"/>
    <w:rsid w:val="60E05AE3"/>
    <w:rsid w:val="60FA2EE8"/>
    <w:rsid w:val="61054A27"/>
    <w:rsid w:val="610A52BC"/>
    <w:rsid w:val="611D2366"/>
    <w:rsid w:val="61421856"/>
    <w:rsid w:val="615227C4"/>
    <w:rsid w:val="61654E3F"/>
    <w:rsid w:val="6182292A"/>
    <w:rsid w:val="619F7F92"/>
    <w:rsid w:val="61D03DA9"/>
    <w:rsid w:val="61F94C26"/>
    <w:rsid w:val="62000E56"/>
    <w:rsid w:val="624F3E49"/>
    <w:rsid w:val="625B3673"/>
    <w:rsid w:val="62632286"/>
    <w:rsid w:val="626562A0"/>
    <w:rsid w:val="62885958"/>
    <w:rsid w:val="62C236F2"/>
    <w:rsid w:val="62DA4EE0"/>
    <w:rsid w:val="62F40B65"/>
    <w:rsid w:val="62F87114"/>
    <w:rsid w:val="62FC2CFE"/>
    <w:rsid w:val="6300246C"/>
    <w:rsid w:val="63024505"/>
    <w:rsid w:val="635600A5"/>
    <w:rsid w:val="635B1DB5"/>
    <w:rsid w:val="63711FED"/>
    <w:rsid w:val="63880DDC"/>
    <w:rsid w:val="638906B4"/>
    <w:rsid w:val="638D750D"/>
    <w:rsid w:val="63AC6CC0"/>
    <w:rsid w:val="64055776"/>
    <w:rsid w:val="64240056"/>
    <w:rsid w:val="643E143A"/>
    <w:rsid w:val="64491666"/>
    <w:rsid w:val="648B6EEF"/>
    <w:rsid w:val="64C158BF"/>
    <w:rsid w:val="64CE2EAA"/>
    <w:rsid w:val="653C3090"/>
    <w:rsid w:val="6551678F"/>
    <w:rsid w:val="65613696"/>
    <w:rsid w:val="65624D19"/>
    <w:rsid w:val="65854376"/>
    <w:rsid w:val="658767BE"/>
    <w:rsid w:val="65892531"/>
    <w:rsid w:val="65F87C3B"/>
    <w:rsid w:val="66195831"/>
    <w:rsid w:val="662B15AE"/>
    <w:rsid w:val="662E75B1"/>
    <w:rsid w:val="66342C2E"/>
    <w:rsid w:val="663E784C"/>
    <w:rsid w:val="668B6A45"/>
    <w:rsid w:val="669058B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D43146"/>
    <w:rsid w:val="68E937A3"/>
    <w:rsid w:val="693E15D3"/>
    <w:rsid w:val="69627681"/>
    <w:rsid w:val="69765236"/>
    <w:rsid w:val="6977531D"/>
    <w:rsid w:val="69CC2BFF"/>
    <w:rsid w:val="69D41F5D"/>
    <w:rsid w:val="69FD55B8"/>
    <w:rsid w:val="6A0B1C62"/>
    <w:rsid w:val="6A2406C8"/>
    <w:rsid w:val="6A794FDE"/>
    <w:rsid w:val="6AA858C3"/>
    <w:rsid w:val="6ABC311D"/>
    <w:rsid w:val="6ADE0BD1"/>
    <w:rsid w:val="6AE96859"/>
    <w:rsid w:val="6B147746"/>
    <w:rsid w:val="6B1940CB"/>
    <w:rsid w:val="6B24787C"/>
    <w:rsid w:val="6B364C7D"/>
    <w:rsid w:val="6B573233"/>
    <w:rsid w:val="6B5B6274"/>
    <w:rsid w:val="6B935D53"/>
    <w:rsid w:val="6BD36970"/>
    <w:rsid w:val="6C196F71"/>
    <w:rsid w:val="6C226FCB"/>
    <w:rsid w:val="6C31226F"/>
    <w:rsid w:val="6C552F0B"/>
    <w:rsid w:val="6C8C67B7"/>
    <w:rsid w:val="6C9D744C"/>
    <w:rsid w:val="6CA125CA"/>
    <w:rsid w:val="6CD504C6"/>
    <w:rsid w:val="6D167928"/>
    <w:rsid w:val="6D26299B"/>
    <w:rsid w:val="6D4772EC"/>
    <w:rsid w:val="6D9078AF"/>
    <w:rsid w:val="6DAA3FEF"/>
    <w:rsid w:val="6DC0172B"/>
    <w:rsid w:val="6DC26C9C"/>
    <w:rsid w:val="6DCB690C"/>
    <w:rsid w:val="6DD41A5B"/>
    <w:rsid w:val="6DE97683"/>
    <w:rsid w:val="6DF43C2E"/>
    <w:rsid w:val="6DF51CA3"/>
    <w:rsid w:val="6E1F7C4B"/>
    <w:rsid w:val="6E432668"/>
    <w:rsid w:val="6E4753F3"/>
    <w:rsid w:val="6E533D98"/>
    <w:rsid w:val="6E712470"/>
    <w:rsid w:val="6E777A87"/>
    <w:rsid w:val="6E8335BD"/>
    <w:rsid w:val="6E8E12EF"/>
    <w:rsid w:val="6E922B12"/>
    <w:rsid w:val="6E972936"/>
    <w:rsid w:val="6E9E14B7"/>
    <w:rsid w:val="6EAB14DE"/>
    <w:rsid w:val="6EB04D47"/>
    <w:rsid w:val="6ED446C5"/>
    <w:rsid w:val="6F0F29FF"/>
    <w:rsid w:val="6F2A7D94"/>
    <w:rsid w:val="6F3A0AB4"/>
    <w:rsid w:val="6F40431D"/>
    <w:rsid w:val="6F5002D8"/>
    <w:rsid w:val="6F5558EE"/>
    <w:rsid w:val="6F7C2E7B"/>
    <w:rsid w:val="6F8331F1"/>
    <w:rsid w:val="6FAE1A09"/>
    <w:rsid w:val="6FC860C0"/>
    <w:rsid w:val="6FD75BF8"/>
    <w:rsid w:val="6FEF5D43"/>
    <w:rsid w:val="70117A67"/>
    <w:rsid w:val="707723D0"/>
    <w:rsid w:val="70F5661B"/>
    <w:rsid w:val="71360107"/>
    <w:rsid w:val="713B688E"/>
    <w:rsid w:val="713E2ADE"/>
    <w:rsid w:val="71632544"/>
    <w:rsid w:val="71900E5F"/>
    <w:rsid w:val="71B20DD6"/>
    <w:rsid w:val="71D43752"/>
    <w:rsid w:val="71F1796A"/>
    <w:rsid w:val="72062ED0"/>
    <w:rsid w:val="72154626"/>
    <w:rsid w:val="72262B5D"/>
    <w:rsid w:val="72283FF7"/>
    <w:rsid w:val="722E7212"/>
    <w:rsid w:val="723A0474"/>
    <w:rsid w:val="725923E4"/>
    <w:rsid w:val="72864BF7"/>
    <w:rsid w:val="729023FC"/>
    <w:rsid w:val="72A76461"/>
    <w:rsid w:val="72AF5315"/>
    <w:rsid w:val="72E90827"/>
    <w:rsid w:val="73942E89"/>
    <w:rsid w:val="7395275D"/>
    <w:rsid w:val="73B057E9"/>
    <w:rsid w:val="73C0646E"/>
    <w:rsid w:val="73E52F22"/>
    <w:rsid w:val="73E7745D"/>
    <w:rsid w:val="742222F5"/>
    <w:rsid w:val="74476126"/>
    <w:rsid w:val="74706664"/>
    <w:rsid w:val="747F3682"/>
    <w:rsid w:val="749C4185"/>
    <w:rsid w:val="74E41BEE"/>
    <w:rsid w:val="75067759"/>
    <w:rsid w:val="7521699E"/>
    <w:rsid w:val="752E6DCD"/>
    <w:rsid w:val="7551380D"/>
    <w:rsid w:val="75600BE5"/>
    <w:rsid w:val="7564475C"/>
    <w:rsid w:val="7583797F"/>
    <w:rsid w:val="75D20F1D"/>
    <w:rsid w:val="75DA2C18"/>
    <w:rsid w:val="75F54412"/>
    <w:rsid w:val="760A7432"/>
    <w:rsid w:val="761D08E0"/>
    <w:rsid w:val="765D347C"/>
    <w:rsid w:val="768216BE"/>
    <w:rsid w:val="76826699"/>
    <w:rsid w:val="76C87133"/>
    <w:rsid w:val="76CD08D5"/>
    <w:rsid w:val="76DB4B92"/>
    <w:rsid w:val="76DE441B"/>
    <w:rsid w:val="76FA1255"/>
    <w:rsid w:val="77052AA4"/>
    <w:rsid w:val="77136511"/>
    <w:rsid w:val="7718792D"/>
    <w:rsid w:val="771C566F"/>
    <w:rsid w:val="772C162A"/>
    <w:rsid w:val="77340A39"/>
    <w:rsid w:val="77351FD0"/>
    <w:rsid w:val="77472422"/>
    <w:rsid w:val="777F31F2"/>
    <w:rsid w:val="77866F8C"/>
    <w:rsid w:val="77BE6726"/>
    <w:rsid w:val="77D1700D"/>
    <w:rsid w:val="77E912C9"/>
    <w:rsid w:val="77EC04CC"/>
    <w:rsid w:val="78775729"/>
    <w:rsid w:val="78857244"/>
    <w:rsid w:val="78A42DB0"/>
    <w:rsid w:val="78A656AB"/>
    <w:rsid w:val="78B2245C"/>
    <w:rsid w:val="78E172CC"/>
    <w:rsid w:val="78EA1D1F"/>
    <w:rsid w:val="7904172F"/>
    <w:rsid w:val="790F7E27"/>
    <w:rsid w:val="7928386F"/>
    <w:rsid w:val="792A231A"/>
    <w:rsid w:val="79316829"/>
    <w:rsid w:val="79404F19"/>
    <w:rsid w:val="795A422D"/>
    <w:rsid w:val="796D5B30"/>
    <w:rsid w:val="797E66A9"/>
    <w:rsid w:val="798518A4"/>
    <w:rsid w:val="79A97383"/>
    <w:rsid w:val="79E27E8B"/>
    <w:rsid w:val="79F850CE"/>
    <w:rsid w:val="79FD443C"/>
    <w:rsid w:val="7A1D1975"/>
    <w:rsid w:val="7A3C7DD6"/>
    <w:rsid w:val="7A3E5150"/>
    <w:rsid w:val="7A432507"/>
    <w:rsid w:val="7A462A03"/>
    <w:rsid w:val="7A4670D6"/>
    <w:rsid w:val="7A4F7B0A"/>
    <w:rsid w:val="7A534B63"/>
    <w:rsid w:val="7A615382"/>
    <w:rsid w:val="7A67303B"/>
    <w:rsid w:val="7AAB1D04"/>
    <w:rsid w:val="7ABA4368"/>
    <w:rsid w:val="7AD05746"/>
    <w:rsid w:val="7B257FFD"/>
    <w:rsid w:val="7B343476"/>
    <w:rsid w:val="7B5A2978"/>
    <w:rsid w:val="7B5A7E4C"/>
    <w:rsid w:val="7B667AF9"/>
    <w:rsid w:val="7B7468F8"/>
    <w:rsid w:val="7B7D7718"/>
    <w:rsid w:val="7B933A26"/>
    <w:rsid w:val="7BB93978"/>
    <w:rsid w:val="7BEE0103"/>
    <w:rsid w:val="7BFC5A6F"/>
    <w:rsid w:val="7C0A0FE4"/>
    <w:rsid w:val="7C254906"/>
    <w:rsid w:val="7C3F770A"/>
    <w:rsid w:val="7C590818"/>
    <w:rsid w:val="7C75137E"/>
    <w:rsid w:val="7C7C10F6"/>
    <w:rsid w:val="7C853BEA"/>
    <w:rsid w:val="7C881368"/>
    <w:rsid w:val="7C9712F4"/>
    <w:rsid w:val="7CCA791B"/>
    <w:rsid w:val="7CE13BDC"/>
    <w:rsid w:val="7CE27788"/>
    <w:rsid w:val="7D0C32F1"/>
    <w:rsid w:val="7D0F408D"/>
    <w:rsid w:val="7D491C6C"/>
    <w:rsid w:val="7D5429C0"/>
    <w:rsid w:val="7D6E6D43"/>
    <w:rsid w:val="7DAE0FEB"/>
    <w:rsid w:val="7DB57A34"/>
    <w:rsid w:val="7DE60973"/>
    <w:rsid w:val="7DEF0916"/>
    <w:rsid w:val="7DF05160"/>
    <w:rsid w:val="7E1E5218"/>
    <w:rsid w:val="7E682F48"/>
    <w:rsid w:val="7E775881"/>
    <w:rsid w:val="7E9A4E1F"/>
    <w:rsid w:val="7EA7723A"/>
    <w:rsid w:val="7EF56FBB"/>
    <w:rsid w:val="7F0768EB"/>
    <w:rsid w:val="7F143BEC"/>
    <w:rsid w:val="7F715AF2"/>
    <w:rsid w:val="7F886E69"/>
    <w:rsid w:val="7FC20D7E"/>
    <w:rsid w:val="7FFE0A2C"/>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7">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8">
    <w:name w:val="heading 3"/>
    <w:basedOn w:val="1"/>
    <w:next w:val="9"/>
    <w:qFormat/>
    <w:uiPriority w:val="0"/>
    <w:pPr>
      <w:keepNext/>
      <w:keepLines/>
      <w:tabs>
        <w:tab w:val="left" w:pos="900"/>
      </w:tabs>
      <w:spacing w:before="260" w:after="260" w:line="416" w:lineRule="auto"/>
      <w:ind w:left="900" w:hanging="720"/>
      <w:outlineLvl w:val="2"/>
    </w:pPr>
    <w:rPr>
      <w:b/>
      <w:bCs/>
      <w:sz w:val="32"/>
      <w:szCs w:val="32"/>
    </w:rPr>
  </w:style>
  <w:style w:type="paragraph" w:styleId="10">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1">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12">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3">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4">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5">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link w:val="118"/>
    <w:qFormat/>
    <w:uiPriority w:val="0"/>
    <w:pPr>
      <w:adjustRightInd/>
      <w:spacing w:after="120" w:line="240" w:lineRule="auto"/>
      <w:ind w:left="420" w:leftChars="200" w:firstLine="210"/>
    </w:pPr>
    <w:rPr>
      <w:sz w:val="21"/>
    </w:rPr>
  </w:style>
  <w:style w:type="paragraph" w:styleId="3">
    <w:name w:val="Body Text Indent"/>
    <w:basedOn w:val="1"/>
    <w:next w:val="1"/>
    <w:link w:val="262"/>
    <w:qFormat/>
    <w:uiPriority w:val="0"/>
    <w:pPr>
      <w:spacing w:line="480" w:lineRule="exact"/>
      <w:ind w:firstLine="480" w:firstLineChars="200"/>
    </w:pPr>
    <w:rPr>
      <w:rFonts w:ascii="宋体" w:hAnsi="宋体"/>
      <w:sz w:val="24"/>
    </w:rPr>
  </w:style>
  <w:style w:type="paragraph" w:styleId="4">
    <w:name w:val="Body Text First Indent"/>
    <w:basedOn w:val="5"/>
    <w:next w:val="1"/>
    <w:link w:val="318"/>
    <w:qFormat/>
    <w:uiPriority w:val="0"/>
    <w:pPr>
      <w:ind w:firstLine="420"/>
    </w:pPr>
    <w:rPr>
      <w:rFonts w:hAnsi="Calibri" w:cs="Times New Roman"/>
      <w:snapToGrid/>
      <w:szCs w:val="20"/>
    </w:rPr>
  </w:style>
  <w:style w:type="paragraph" w:styleId="5">
    <w:name w:val="Body Text"/>
    <w:basedOn w:val="1"/>
    <w:next w:val="4"/>
    <w:link w:val="427"/>
    <w:qFormat/>
    <w:uiPriority w:val="0"/>
    <w:pPr>
      <w:autoSpaceDE w:val="0"/>
      <w:autoSpaceDN w:val="0"/>
      <w:spacing w:line="360" w:lineRule="auto"/>
    </w:pPr>
    <w:rPr>
      <w:rFonts w:ascii="宋体" w:hAnsi="Arial" w:cs="Arial"/>
      <w:snapToGrid w:val="0"/>
      <w:sz w:val="24"/>
      <w:szCs w:val="21"/>
      <w:lang w:val="zh-CN"/>
    </w:rPr>
  </w:style>
  <w:style w:type="paragraph" w:styleId="9">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6">
    <w:name w:val="toc 7"/>
    <w:basedOn w:val="1"/>
    <w:next w:val="1"/>
    <w:qFormat/>
    <w:uiPriority w:val="0"/>
    <w:pPr>
      <w:ind w:left="2520" w:leftChars="1200"/>
    </w:pPr>
  </w:style>
  <w:style w:type="paragraph" w:styleId="17">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8">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9">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20">
    <w:name w:val="caption"/>
    <w:basedOn w:val="1"/>
    <w:next w:val="1"/>
    <w:link w:val="226"/>
    <w:qFormat/>
    <w:uiPriority w:val="0"/>
    <w:rPr>
      <w:b/>
      <w:sz w:val="28"/>
      <w:szCs w:val="20"/>
    </w:rPr>
  </w:style>
  <w:style w:type="paragraph" w:styleId="21">
    <w:name w:val="index 5"/>
    <w:basedOn w:val="1"/>
    <w:next w:val="1"/>
    <w:qFormat/>
    <w:uiPriority w:val="0"/>
    <w:pPr>
      <w:adjustRightInd/>
      <w:ind w:left="800" w:leftChars="800" w:firstLine="200" w:firstLineChars="200"/>
    </w:pPr>
  </w:style>
  <w:style w:type="paragraph" w:styleId="22">
    <w:name w:val="Document Map"/>
    <w:basedOn w:val="1"/>
    <w:link w:val="199"/>
    <w:qFormat/>
    <w:uiPriority w:val="0"/>
    <w:pPr>
      <w:shd w:val="clear" w:color="auto" w:fill="000080"/>
    </w:pPr>
  </w:style>
  <w:style w:type="paragraph" w:styleId="23">
    <w:name w:val="annotation text"/>
    <w:basedOn w:val="1"/>
    <w:link w:val="341"/>
    <w:qFormat/>
    <w:uiPriority w:val="99"/>
    <w:pPr>
      <w:jc w:val="left"/>
    </w:pPr>
  </w:style>
  <w:style w:type="paragraph" w:styleId="24">
    <w:name w:val="Salutation"/>
    <w:basedOn w:val="1"/>
    <w:next w:val="1"/>
    <w:link w:val="295"/>
    <w:qFormat/>
    <w:uiPriority w:val="0"/>
    <w:rPr>
      <w:rFonts w:ascii="仿宋_GB2312" w:eastAsia="仿宋_GB2312"/>
      <w:sz w:val="28"/>
      <w:szCs w:val="20"/>
    </w:rPr>
  </w:style>
  <w:style w:type="paragraph" w:styleId="25">
    <w:name w:val="Body Text 3"/>
    <w:basedOn w:val="1"/>
    <w:link w:val="327"/>
    <w:qFormat/>
    <w:uiPriority w:val="0"/>
    <w:pPr>
      <w:jc w:val="center"/>
    </w:pPr>
    <w:rPr>
      <w:szCs w:val="20"/>
    </w:rPr>
  </w:style>
  <w:style w:type="paragraph" w:styleId="26">
    <w:name w:val="List Bullet 3"/>
    <w:basedOn w:val="1"/>
    <w:unhideWhenUsed/>
    <w:qFormat/>
    <w:uiPriority w:val="0"/>
    <w:pPr>
      <w:snapToGrid w:val="0"/>
      <w:spacing w:line="360" w:lineRule="auto"/>
      <w:ind w:left="360" w:right="238" w:hanging="360"/>
      <w:contextualSpacing/>
    </w:pPr>
    <w:rPr>
      <w:sz w:val="24"/>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2"/>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78"/>
    <w:qFormat/>
    <w:uiPriority w:val="0"/>
    <w:pPr>
      <w:ind w:left="100" w:leftChars="2500"/>
    </w:pPr>
    <w:rPr>
      <w:rFonts w:ascii="宋体"/>
      <w:sz w:val="24"/>
      <w:szCs w:val="21"/>
      <w:lang w:val="zh-CN"/>
    </w:rPr>
  </w:style>
  <w:style w:type="paragraph" w:styleId="38">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9">
    <w:name w:val="endnote text"/>
    <w:basedOn w:val="1"/>
    <w:link w:val="929"/>
    <w:qFormat/>
    <w:uiPriority w:val="0"/>
    <w:rPr>
      <w:lang w:val="zh-CN"/>
    </w:rPr>
  </w:style>
  <w:style w:type="paragraph" w:styleId="40">
    <w:name w:val="Balloon Text"/>
    <w:basedOn w:val="1"/>
    <w:link w:val="185"/>
    <w:qFormat/>
    <w:uiPriority w:val="0"/>
    <w:rPr>
      <w:sz w:val="18"/>
      <w:szCs w:val="18"/>
    </w:rPr>
  </w:style>
  <w:style w:type="paragraph" w:styleId="41">
    <w:name w:val="footer"/>
    <w:basedOn w:val="1"/>
    <w:link w:val="380"/>
    <w:qFormat/>
    <w:uiPriority w:val="99"/>
    <w:pPr>
      <w:tabs>
        <w:tab w:val="center" w:pos="4153"/>
        <w:tab w:val="right" w:pos="8306"/>
      </w:tabs>
      <w:snapToGrid w:val="0"/>
      <w:jc w:val="left"/>
    </w:pPr>
    <w:rPr>
      <w:sz w:val="18"/>
      <w:szCs w:val="18"/>
    </w:rPr>
  </w:style>
  <w:style w:type="paragraph" w:styleId="42">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9"/>
    <w:link w:val="307"/>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2"/>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299"/>
    <w:qFormat/>
    <w:uiPriority w:val="0"/>
    <w:pPr>
      <w:spacing w:after="120" w:line="480" w:lineRule="auto"/>
    </w:pPr>
  </w:style>
  <w:style w:type="paragraph" w:styleId="58">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3"/>
    <w:next w:val="23"/>
    <w:link w:val="93"/>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Char1"/>
    <w:link w:val="61"/>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Char"/>
    <w:link w:val="2"/>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8"/>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12"/>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7"/>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7"/>
    <w:qFormat/>
    <w:uiPriority w:val="0"/>
    <w:rPr>
      <w:rFonts w:ascii="宋体"/>
      <w:kern w:val="2"/>
      <w:sz w:val="24"/>
      <w:szCs w:val="21"/>
      <w:lang w:val="zh-CN"/>
    </w:rPr>
  </w:style>
  <w:style w:type="character" w:customStyle="1" w:styleId="179">
    <w:name w:val="标题 9 Char"/>
    <w:link w:val="15"/>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0"/>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40"/>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9"/>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8"/>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22"/>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31"/>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10"/>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20"/>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3"/>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6"/>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60"/>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11"/>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4"/>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8"/>
    <w:qFormat/>
    <w:uiPriority w:val="0"/>
    <w:rPr>
      <w:rFonts w:ascii="黑体" w:hAnsi="Courier New" w:eastAsia="黑体"/>
    </w:rPr>
  </w:style>
  <w:style w:type="character" w:customStyle="1" w:styleId="299">
    <w:name w:val="正文文本 2 Char1"/>
    <w:link w:val="57"/>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10"/>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13"/>
    <w:qFormat/>
    <w:uiPriority w:val="0"/>
    <w:rPr>
      <w:b/>
      <w:bCs/>
      <w:kern w:val="2"/>
      <w:sz w:val="24"/>
      <w:szCs w:val="24"/>
    </w:rPr>
  </w:style>
  <w:style w:type="character" w:customStyle="1" w:styleId="305">
    <w:name w:val="正文文本缩进 2 Char"/>
    <w:link w:val="38"/>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51"/>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4"/>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10"/>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5"/>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23"/>
    <w:qFormat/>
    <w:uiPriority w:val="0"/>
    <w:rPr>
      <w:kern w:val="2"/>
      <w:sz w:val="21"/>
      <w:szCs w:val="24"/>
    </w:rPr>
  </w:style>
  <w:style w:type="character" w:customStyle="1" w:styleId="342">
    <w:name w:val="签名 Char"/>
    <w:link w:val="43"/>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14"/>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4"/>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41"/>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Char2"/>
    <w:link w:val="42"/>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9"/>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5"/>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10"/>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7"/>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7"/>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outlineLvl w:val="5"/>
    </w:pPr>
  </w:style>
  <w:style w:type="paragraph" w:customStyle="1" w:styleId="471">
    <w:name w:val="5级标题"/>
    <w:basedOn w:val="47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12"/>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7"/>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6"/>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8"/>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11"/>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8"/>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7"/>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9"/>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6"/>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10"/>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Lines="50"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7"/>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9"/>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3"/>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7"/>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7"/>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8"/>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7"/>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8"/>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6"/>
    <w:qFormat/>
    <w:uiPriority w:val="0"/>
    <w:pPr>
      <w:tabs>
        <w:tab w:val="left" w:pos="840"/>
      </w:tabs>
      <w:adjustRightInd/>
      <w:ind w:left="840" w:hanging="420"/>
    </w:pPr>
  </w:style>
  <w:style w:type="paragraph" w:customStyle="1" w:styleId="623">
    <w:name w:val="样式 标题 2标题2H2Heading 2 HiddenHeading 2 CCBSheading 22nd lev..."/>
    <w:basedOn w:val="7"/>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10"/>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7"/>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Lines="0" w:afterLines="0"/>
      <w:ind w:left="1680"/>
      <w:outlineLvl w:val="2"/>
    </w:pPr>
  </w:style>
  <w:style w:type="paragraph" w:customStyle="1" w:styleId="655">
    <w:name w:val="章标题"/>
    <w:next w:val="63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7"/>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6"/>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6"/>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10"/>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Lines="50"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7"/>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8"/>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8"/>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5"/>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9"/>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8"/>
    <w:next w:val="54"/>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6"/>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5"/>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10"/>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3"/>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8"/>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9"/>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22"/>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8"/>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6"/>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11"/>
    <w:next w:val="1"/>
    <w:qFormat/>
    <w:uiPriority w:val="0"/>
    <w:pPr>
      <w:tabs>
        <w:tab w:val="left" w:pos="1080"/>
      </w:tabs>
      <w:ind w:left="1080" w:hanging="1080"/>
    </w:pPr>
  </w:style>
  <w:style w:type="paragraph" w:customStyle="1" w:styleId="894">
    <w:name w:val="数字标题1"/>
    <w:basedOn w:val="6"/>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39"/>
    <w:qFormat/>
    <w:uiPriority w:val="0"/>
    <w:rPr>
      <w:kern w:val="2"/>
      <w:sz w:val="21"/>
      <w:szCs w:val="24"/>
      <w:lang w:val="zh-CN"/>
    </w:rPr>
  </w:style>
  <w:style w:type="character" w:customStyle="1" w:styleId="930">
    <w:name w:val="无间隔 Char"/>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7"/>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2">
    <w:name w:val="List2"/>
    <w:basedOn w:val="1"/>
    <w:qFormat/>
    <w:uiPriority w:val="0"/>
    <w:pPr>
      <w:widowControl/>
      <w:ind w:left="100" w:leftChars="200" w:hanging="200" w:hangingChars="200"/>
      <w:textAlignment w:val="baseline"/>
    </w:pPr>
    <w:rPr>
      <w:rFonts w:ascii="宋体" w:hAnsi="宋体"/>
      <w:kern w:val="0"/>
      <w:sz w:val="28"/>
      <w:szCs w:val="22"/>
    </w:rPr>
  </w:style>
  <w:style w:type="character" w:customStyle="1" w:styleId="963">
    <w:name w:val="NormalCharacter"/>
    <w:semiHidden/>
    <w:qFormat/>
    <w:uiPriority w:val="0"/>
  </w:style>
  <w:style w:type="paragraph" w:customStyle="1" w:styleId="964">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965">
    <w:name w:val="font122"/>
    <w:basedOn w:val="69"/>
    <w:qFormat/>
    <w:uiPriority w:val="0"/>
    <w:rPr>
      <w:rFonts w:hint="eastAsia" w:ascii="宋体" w:hAnsi="宋体" w:eastAsia="宋体" w:cs="宋体"/>
      <w:b/>
      <w:bCs/>
      <w:color w:val="FF0000"/>
      <w:sz w:val="24"/>
      <w:szCs w:val="24"/>
      <w:u w:val="none"/>
    </w:rPr>
  </w:style>
  <w:style w:type="character" w:customStyle="1" w:styleId="966">
    <w:name w:val="font151"/>
    <w:basedOn w:val="69"/>
    <w:qFormat/>
    <w:uiPriority w:val="0"/>
    <w:rPr>
      <w:rFonts w:ascii="微软雅黑" w:hAnsi="微软雅黑" w:eastAsia="微软雅黑" w:cs="微软雅黑"/>
      <w:color w:val="000000"/>
      <w:sz w:val="28"/>
      <w:szCs w:val="28"/>
      <w:u w:val="none"/>
    </w:rPr>
  </w:style>
  <w:style w:type="character" w:customStyle="1" w:styleId="967">
    <w:name w:val="cf01"/>
    <w:basedOn w:val="69"/>
    <w:uiPriority w:val="0"/>
    <w:rPr>
      <w:rFonts w:hint="eastAsia" w:ascii="Microsoft YaHei UI" w:hAnsi="Microsoft YaHei UI" w:eastAsia="Microsoft YaHei UI"/>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2050"/>
    <customShpInfo spid="_x0000_s205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0672B4D-9256-4782-95A6-08916EF33AD5}">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76</Pages>
  <Words>38640</Words>
  <Characters>41144</Characters>
  <Lines>319</Lines>
  <Paragraphs>89</Paragraphs>
  <TotalTime>61</TotalTime>
  <ScaleCrop>false</ScaleCrop>
  <LinksUpToDate>false</LinksUpToDate>
  <CharactersWithSpaces>43081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2023-07-10T06:16:00Z</dcterms:created>
  <dc:creator>玥</dc:creator>
  <cp:lastModifiedBy>徐赛明</cp:lastModifiedBy>
  <cp:lastPrinted>2021-12-27T03:06:00Z</cp:lastPrinted>
  <dcterms:modified xsi:type="dcterms:W3CDTF">2023-07-13T05:48:52Z</dcterms:modified>
  <dc:title>杭州市市民卡扩大发卡工程</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4A8D397C5C7D447CBFCFF00EE1988D12</vt:lpwstr>
  </property>
</Properties>
</file>