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淳安县医疗保障局</w:t>
      </w:r>
    </w:p>
    <w:p>
      <w:pPr>
        <w:adjustRightInd/>
        <w:spacing w:line="360" w:lineRule="auto"/>
        <w:jc w:val="center"/>
        <w:rPr>
          <w:rFonts w:ascii="宋体" w:hAnsi="宋体" w:cs="宋体"/>
          <w:b/>
          <w:bCs/>
          <w:sz w:val="48"/>
          <w:szCs w:val="48"/>
        </w:rPr>
      </w:pPr>
      <w:r>
        <w:rPr>
          <w:rFonts w:hint="eastAsia" w:ascii="宋体" w:hAnsi="宋体" w:cs="宋体"/>
          <w:b/>
          <w:bCs/>
          <w:sz w:val="48"/>
          <w:szCs w:val="48"/>
        </w:rPr>
        <w:t>医疗保险监管及经办服务项目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编号:HZYS[2023]101GK</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采购人：淳安县医疗保障局</w:t>
      </w:r>
    </w:p>
    <w:p>
      <w:pPr>
        <w:spacing w:line="360" w:lineRule="auto"/>
        <w:jc w:val="center"/>
        <w:rPr>
          <w:rFonts w:ascii="宋体" w:hAnsi="宋体" w:cs="宋体"/>
          <w:b/>
          <w:bCs/>
          <w:sz w:val="32"/>
          <w:szCs w:val="32"/>
        </w:rPr>
      </w:pPr>
      <w:r>
        <w:rPr>
          <w:rFonts w:hint="eastAsia" w:ascii="宋体" w:hAnsi="宋体" w:cs="宋体"/>
          <w:b/>
          <w:bCs/>
          <w:sz w:val="32"/>
          <w:szCs w:val="32"/>
        </w:rPr>
        <w:t>采购代理机构：杭州永盛联合会计师事务所（普通合伙）</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二〇二三年十二月十五日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淳安县医疗保障局医疗保险监管及经办服务项目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"https://www.zcygov.cn/）获取（下载）招标文件，并于2023年%20%20月%20%20日09点00分00秒" </w:instrText>
      </w:r>
      <w:r>
        <w:fldChar w:fldCharType="separate"/>
      </w:r>
      <w:r>
        <w:rPr>
          <w:rStyle w:val="76"/>
          <w:rFonts w:hint="eastAsia" w:ascii="宋体" w:hAnsi="宋体" w:eastAsia="宋体" w:cs="宋体"/>
          <w:snapToGrid/>
          <w:color w:val="auto"/>
          <w:kern w:val="2"/>
          <w:sz w:val="24"/>
          <w:szCs w:val="24"/>
        </w:rPr>
        <w:t>https://www.zcygov.cn/）获取（下载）招标文件，并于2024年1月5日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eastAsia="仿宋_GB2312" w:cs="宋体"/>
          <w:sz w:val="24"/>
        </w:rPr>
      </w:pPr>
      <w:r>
        <w:rPr>
          <w:rFonts w:hint="eastAsia" w:ascii="宋体" w:hAnsi="宋体" w:cs="宋体"/>
          <w:b/>
          <w:sz w:val="24"/>
        </w:rPr>
        <w:t>项目编号：</w:t>
      </w:r>
      <w:r>
        <w:rPr>
          <w:rStyle w:val="962"/>
          <w:rFonts w:hint="default" w:ascii="宋体" w:hAnsi="宋体" w:cs="宋体"/>
          <w:b w:val="0"/>
          <w:bCs/>
          <w:kern w:val="0"/>
          <w:sz w:val="24"/>
        </w:rPr>
        <w:t>HZYS[2023]101GK</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bCs/>
          <w:sz w:val="24"/>
        </w:rPr>
        <w:t>淳安县医疗保障局医疗保险监管及经办服务项目</w:t>
      </w:r>
    </w:p>
    <w:p>
      <w:pPr>
        <w:spacing w:line="360" w:lineRule="auto"/>
        <w:rPr>
          <w:rFonts w:ascii="宋体" w:hAnsi="宋体" w:cs="宋体"/>
          <w:sz w:val="24"/>
        </w:rPr>
      </w:pPr>
      <w:r>
        <w:rPr>
          <w:rFonts w:hint="eastAsia" w:ascii="宋体" w:hAnsi="宋体" w:cs="宋体"/>
          <w:b/>
          <w:sz w:val="24"/>
        </w:rPr>
        <w:t>预算金额（元）：</w:t>
      </w:r>
      <w:r>
        <w:rPr>
          <w:rFonts w:hint="eastAsia" w:ascii="宋体" w:hAnsi="宋体" w:cs="宋体"/>
          <w:bCs/>
          <w:sz w:val="24"/>
        </w:rPr>
        <w:t>6300000.00</w:t>
      </w:r>
    </w:p>
    <w:p>
      <w:pPr>
        <w:spacing w:line="360" w:lineRule="auto"/>
        <w:rPr>
          <w:rFonts w:ascii="宋体" w:hAnsi="宋体" w:cs="宋体"/>
          <w:sz w:val="24"/>
        </w:rPr>
      </w:pPr>
      <w:r>
        <w:rPr>
          <w:rFonts w:hint="eastAsia" w:ascii="宋体" w:hAnsi="宋体" w:cs="宋体"/>
          <w:b/>
          <w:sz w:val="24"/>
        </w:rPr>
        <w:t>最高限价（元）：</w:t>
      </w:r>
      <w:r>
        <w:rPr>
          <w:rFonts w:hint="eastAsia" w:ascii="宋体" w:hAnsi="宋体" w:cs="宋体"/>
          <w:sz w:val="24"/>
        </w:rPr>
        <w:t>6300000.00；报价高于最高限价的，按无效报价处理。</w:t>
      </w:r>
    </w:p>
    <w:p>
      <w:pPr>
        <w:pStyle w:val="2"/>
        <w:ind w:firstLine="480"/>
        <w:rPr>
          <w:rFonts w:hAnsi="宋体" w:cs="宋体"/>
          <w:bCs/>
          <w:color w:val="auto"/>
          <w:sz w:val="24"/>
        </w:rPr>
      </w:pPr>
      <w:r>
        <w:rPr>
          <w:rFonts w:hint="eastAsia" w:hAnsi="宋体" w:cs="宋体"/>
          <w:b/>
          <w:color w:val="auto"/>
          <w:sz w:val="24"/>
        </w:rPr>
        <w:t>采购需求：</w:t>
      </w:r>
      <w:r>
        <w:rPr>
          <w:rFonts w:hint="eastAsia" w:hAnsi="宋体" w:cs="宋体"/>
          <w:bCs/>
          <w:color w:val="auto"/>
          <w:sz w:val="24"/>
        </w:rPr>
        <w:t>淳安县医疗保障局医疗保险监管及经办服务</w:t>
      </w:r>
      <w:r>
        <w:rPr>
          <w:rFonts w:hint="eastAsia" w:hAnsi="宋体" w:cs="宋体"/>
          <w:bCs/>
          <w:snapToGrid/>
          <w:color w:val="auto"/>
          <w:kern w:val="2"/>
          <w:sz w:val="24"/>
          <w:szCs w:val="24"/>
        </w:rPr>
        <w:t>，</w:t>
      </w:r>
      <w:r>
        <w:rPr>
          <w:rFonts w:hAnsi="宋体" w:cs="宋体"/>
          <w:bCs/>
          <w:color w:val="auto"/>
          <w:sz w:val="24"/>
        </w:rPr>
        <w:t>主要内容：包括医保业务受理、报销审核、两定机构管理、基金审核结算、医院驻点管理、基金监管服务、外伤调查、机构巡查、视频监控巡检、飞行检查和专项检查等。</w:t>
      </w:r>
      <w:r>
        <w:rPr>
          <w:rFonts w:hint="eastAsia" w:hAnsi="宋体" w:cs="宋体"/>
          <w:bCs/>
          <w:color w:val="auto"/>
          <w:sz w:val="24"/>
        </w:rPr>
        <w:t>具</w:t>
      </w:r>
      <w:r>
        <w:rPr>
          <w:rFonts w:hint="eastAsia" w:hAnsi="宋体" w:cs="宋体"/>
          <w:snapToGrid/>
          <w:color w:val="auto"/>
          <w:kern w:val="2"/>
          <w:sz w:val="24"/>
          <w:szCs w:val="24"/>
        </w:rPr>
        <w:t>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w:t>
      </w:r>
      <w:r>
        <w:rPr>
          <w:rFonts w:hint="eastAsia" w:ascii="宋体" w:hAnsi="宋体" w:cs="宋体"/>
          <w:bCs/>
          <w:szCs w:val="24"/>
        </w:rPr>
        <w:t>三年</w:t>
      </w:r>
      <w:r>
        <w:rPr>
          <w:rFonts w:hint="eastAsia" w:ascii="宋体" w:hAnsi="宋体" w:cs="宋体"/>
          <w:szCs w:val="24"/>
        </w:rPr>
        <w:t>。</w:t>
      </w:r>
    </w:p>
    <w:p>
      <w:pPr>
        <w:pStyle w:val="2"/>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r>
            <w:rPr>
              <w:rFonts w:hint="eastAsia" w:ascii="宋体" w:hAnsi="宋体" w:cs="宋体"/>
              <w:kern w:val="0"/>
              <w:sz w:val="24"/>
            </w:rPr>
            <w:t>☐</w:t>
          </w:r>
          <w:r>
            <w:rPr>
              <w:rFonts w:hint="eastAsia" w:cs="宋体" w:asciiTheme="minorEastAsia" w:hAnsiTheme="minorEastAsia" w:eastAsiaTheme="minorEastAsia"/>
              <w:sz w:val="24"/>
            </w:rPr>
            <w:t>服务全部由符合政策要求的中小企业承接，提供中小企业声明函；</w:t>
          </w:r>
        </w:sdtContent>
      </w:sdt>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r>
            <w:rPr>
              <w:rFonts w:hint="eastAsia" w:cs="宋体" w:asciiTheme="minorEastAsia" w:hAnsiTheme="minorEastAsia" w:eastAsiaTheme="minorEastAsia"/>
              <w:sz w:val="24"/>
            </w:rPr>
            <w:t>服务全部由符合政策要求的小微企业承接，提供中小企业声明函；</w:t>
          </w:r>
        </w:sdtContent>
      </w:sdt>
    </w:p>
    <w:p>
      <w:pPr>
        <w:spacing w:line="360" w:lineRule="auto"/>
        <w:ind w:firstLine="480" w:firstLineChars="200"/>
        <w:rPr>
          <w:rFonts w:ascii="宋体" w:hAnsi="宋体" w:cs="宋体"/>
          <w:sz w:val="24"/>
        </w:rPr>
      </w:pPr>
      <w:bookmarkStart w:id="12" w:name="_Hlk101132524"/>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kern w:val="0"/>
                <w:sz w:val="24"/>
              </w:rPr>
              <w:id w:val="1001204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2024年1月5日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2024年1月5日09点00分00秒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2024年1月5日09点00分00秒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w:t>
      </w:r>
      <w:r>
        <w:rPr>
          <w:rStyle w:val="962"/>
          <w:rFonts w:hint="default" w:ascii="宋体" w:hAnsi="宋体" w:eastAsia="宋体" w:cs="宋体"/>
          <w:b w:val="0"/>
          <w:bCs/>
          <w:sz w:val="24"/>
        </w:rPr>
        <w:t>淳安县医疗保障局</w:t>
      </w:r>
    </w:p>
    <w:p>
      <w:pPr>
        <w:pStyle w:val="2"/>
        <w:spacing w:line="360" w:lineRule="auto"/>
        <w:ind w:firstLine="480" w:firstLineChars="200"/>
        <w:rPr>
          <w:rFonts w:hAnsi="宋体" w:cs="宋体"/>
          <w:color w:val="auto"/>
          <w:sz w:val="24"/>
          <w:szCs w:val="24"/>
        </w:rPr>
      </w:pPr>
      <w:r>
        <w:rPr>
          <w:rFonts w:hint="eastAsia" w:hAnsi="宋体" w:cs="宋体"/>
          <w:color w:val="auto"/>
          <w:sz w:val="24"/>
        </w:rPr>
        <w:t>地    址：</w:t>
      </w:r>
      <w:r>
        <w:rPr>
          <w:rFonts w:hint="eastAsia" w:hAnsi="宋体" w:cs="宋体"/>
          <w:color w:val="auto"/>
          <w:sz w:val="24"/>
          <w:szCs w:val="24"/>
        </w:rPr>
        <w:t>浙江省杭州市淳安县千岛湖镇环湖北路375号13楼</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项目联系人（询问）：陈军</w:t>
      </w:r>
    </w:p>
    <w:p>
      <w:pPr>
        <w:spacing w:line="360" w:lineRule="auto"/>
        <w:ind w:firstLine="465"/>
        <w:rPr>
          <w:rFonts w:ascii="宋体" w:hAnsi="宋体" w:cs="宋体"/>
          <w:sz w:val="24"/>
        </w:rPr>
      </w:pPr>
      <w:r>
        <w:rPr>
          <w:rFonts w:hint="eastAsia" w:ascii="宋体" w:hAnsi="宋体" w:cs="宋体"/>
          <w:sz w:val="24"/>
        </w:rPr>
        <w:t>项目联系方式（询问）：</w:t>
      </w:r>
      <w:r>
        <w:rPr>
          <w:rFonts w:ascii="宋体" w:hAnsi="宋体" w:cs="宋体"/>
          <w:sz w:val="24"/>
        </w:rPr>
        <w:t>0571-</w:t>
      </w:r>
      <w:r>
        <w:rPr>
          <w:rFonts w:hint="eastAsia" w:ascii="宋体" w:hAnsi="宋体" w:cs="宋体"/>
          <w:sz w:val="24"/>
        </w:rPr>
        <w:t>89601839</w:t>
      </w:r>
    </w:p>
    <w:p>
      <w:pPr>
        <w:spacing w:line="360" w:lineRule="auto"/>
        <w:ind w:firstLine="465"/>
        <w:rPr>
          <w:rFonts w:ascii="宋体" w:hAnsi="宋体" w:cs="宋体"/>
          <w:sz w:val="24"/>
        </w:rPr>
      </w:pPr>
      <w:r>
        <w:rPr>
          <w:rFonts w:hint="eastAsia" w:ascii="宋体" w:hAnsi="宋体" w:cs="宋体"/>
          <w:sz w:val="24"/>
        </w:rPr>
        <w:t>质疑联系人：方圣智</w:t>
      </w:r>
    </w:p>
    <w:p>
      <w:pPr>
        <w:spacing w:line="360" w:lineRule="auto"/>
        <w:ind w:firstLine="465"/>
        <w:rPr>
          <w:rFonts w:ascii="宋体" w:hAnsi="宋体" w:cs="宋体"/>
          <w:sz w:val="24"/>
        </w:rPr>
      </w:pPr>
      <w:r>
        <w:rPr>
          <w:rFonts w:hint="eastAsia" w:ascii="宋体" w:hAnsi="宋体" w:cs="宋体"/>
          <w:sz w:val="24"/>
        </w:rPr>
        <w:t>质疑联系方式：</w:t>
      </w:r>
      <w:r>
        <w:rPr>
          <w:rFonts w:ascii="宋体" w:hAnsi="宋体" w:cs="宋体"/>
          <w:sz w:val="24"/>
        </w:rPr>
        <w:t>0571-</w:t>
      </w:r>
      <w:r>
        <w:rPr>
          <w:rFonts w:hint="eastAsia" w:ascii="宋体" w:hAnsi="宋体" w:cs="宋体"/>
          <w:sz w:val="24"/>
        </w:rPr>
        <w:t>89601836</w:t>
      </w:r>
    </w:p>
    <w:p>
      <w:pPr>
        <w:spacing w:line="360" w:lineRule="auto"/>
        <w:ind w:firstLine="465"/>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w:t>
      </w:r>
      <w:r>
        <w:rPr>
          <w:rStyle w:val="962"/>
          <w:rFonts w:hint="default" w:ascii="宋体" w:hAnsi="宋体" w:eastAsia="宋体" w:cs="宋体"/>
          <w:b w:val="0"/>
          <w:bCs/>
          <w:sz w:val="24"/>
        </w:rPr>
        <w:t>杭州永盛联合会计师事务所（普通合伙）</w:t>
      </w:r>
    </w:p>
    <w:p>
      <w:pPr>
        <w:spacing w:line="360" w:lineRule="auto"/>
        <w:ind w:firstLine="480"/>
        <w:rPr>
          <w:rFonts w:ascii="宋体" w:hAnsi="宋体" w:cs="宋体"/>
          <w:sz w:val="24"/>
        </w:rPr>
      </w:pPr>
      <w:r>
        <w:rPr>
          <w:rFonts w:hint="eastAsia" w:ascii="宋体" w:hAnsi="宋体" w:cs="宋体"/>
          <w:sz w:val="24"/>
        </w:rPr>
        <w:t>地    址：</w:t>
      </w:r>
      <w:r>
        <w:rPr>
          <w:rStyle w:val="962"/>
          <w:rFonts w:hint="default" w:ascii="宋体" w:hAnsi="宋体" w:eastAsia="宋体" w:cs="宋体"/>
          <w:b w:val="0"/>
          <w:bCs/>
          <w:sz w:val="24"/>
        </w:rPr>
        <w:t>浙江省杭州市淳安县千岛湖镇新安大街41号三楼</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项目联系人（询问）：汪靖</w:t>
      </w:r>
    </w:p>
    <w:p>
      <w:pPr>
        <w:spacing w:line="360" w:lineRule="auto"/>
        <w:rPr>
          <w:rFonts w:ascii="宋体" w:hAnsi="宋体" w:cs="宋体"/>
          <w:sz w:val="24"/>
        </w:rPr>
      </w:pPr>
      <w:r>
        <w:rPr>
          <w:rFonts w:hint="eastAsia" w:ascii="宋体" w:hAnsi="宋体" w:cs="宋体"/>
          <w:sz w:val="24"/>
        </w:rPr>
        <w:t xml:space="preserve">    项目联系方式（询问）：13666668468</w:t>
      </w:r>
    </w:p>
    <w:p>
      <w:pPr>
        <w:spacing w:line="360" w:lineRule="auto"/>
        <w:rPr>
          <w:rFonts w:ascii="宋体" w:hAnsi="宋体" w:cs="宋体"/>
          <w:sz w:val="24"/>
        </w:rPr>
      </w:pPr>
      <w:r>
        <w:rPr>
          <w:rFonts w:hint="eastAsia" w:ascii="宋体" w:hAnsi="宋体" w:cs="宋体"/>
          <w:sz w:val="24"/>
        </w:rPr>
        <w:t xml:space="preserve">    质疑联系人：</w:t>
      </w:r>
      <w:r>
        <w:rPr>
          <w:rFonts w:ascii="宋体" w:hAnsi="宋体" w:cs="宋体"/>
          <w:sz w:val="24"/>
        </w:rPr>
        <w:t>钱宏</w:t>
      </w:r>
    </w:p>
    <w:p>
      <w:pPr>
        <w:spacing w:line="360" w:lineRule="auto"/>
        <w:rPr>
          <w:rFonts w:ascii="宋体" w:hAnsi="宋体" w:cs="宋体"/>
          <w:sz w:val="24"/>
        </w:rPr>
      </w:pPr>
      <w:r>
        <w:rPr>
          <w:rFonts w:hint="eastAsia" w:ascii="宋体" w:hAnsi="宋体" w:cs="宋体"/>
          <w:sz w:val="24"/>
        </w:rPr>
        <w:t xml:space="preserve">    质疑联系方式：0571-64819846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称：淳安县财政局</w:t>
      </w:r>
    </w:p>
    <w:p>
      <w:pPr>
        <w:spacing w:line="360" w:lineRule="auto"/>
        <w:rPr>
          <w:rFonts w:ascii="宋体" w:hAnsi="宋体" w:cs="宋体"/>
          <w:sz w:val="24"/>
        </w:rPr>
      </w:pPr>
      <w:r>
        <w:rPr>
          <w:rFonts w:hint="eastAsia" w:ascii="宋体" w:hAnsi="宋体" w:cs="宋体"/>
          <w:sz w:val="24"/>
        </w:rPr>
        <w:t xml:space="preserve">    地    址：浙江省杭州市淳安县千岛湖镇环湖北路695号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w:t>
      </w:r>
      <w:r>
        <w:rPr>
          <w:rStyle w:val="962"/>
          <w:rFonts w:hint="default" w:ascii="宋体" w:hAnsi="宋体" w:eastAsia="宋体" w:cs="宋体"/>
          <w:b w:val="0"/>
          <w:bCs/>
          <w:sz w:val="24"/>
        </w:rPr>
        <w:t>方建宏</w:t>
      </w:r>
    </w:p>
    <w:p>
      <w:pPr>
        <w:spacing w:line="360" w:lineRule="auto"/>
        <w:ind w:firstLine="480"/>
        <w:rPr>
          <w:rFonts w:ascii="宋体" w:hAnsi="宋体" w:cs="宋体"/>
          <w:sz w:val="24"/>
        </w:rPr>
      </w:pPr>
      <w:r>
        <w:rPr>
          <w:rFonts w:hint="eastAsia" w:ascii="宋体" w:hAnsi="宋体" w:cs="宋体"/>
          <w:sz w:val="24"/>
        </w:rPr>
        <w:t>监督投诉电话：电话：</w:t>
      </w:r>
      <w:r>
        <w:rPr>
          <w:rStyle w:val="962"/>
          <w:rFonts w:hint="default" w:ascii="宋体" w:hAnsi="宋体" w:eastAsia="宋体" w:cs="宋体"/>
          <w:b w:val="0"/>
          <w:bCs/>
          <w:sz w:val="24"/>
        </w:rPr>
        <w:t>0571-</w:t>
      </w:r>
      <w:r>
        <w:rPr>
          <w:rStyle w:val="962"/>
          <w:rFonts w:hint="default" w:ascii="宋体" w:hAnsi="宋体" w:cs="宋体"/>
          <w:b w:val="0"/>
          <w:bCs/>
          <w:sz w:val="24"/>
        </w:rPr>
        <w:t>89602058</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p>
    <w:p>
      <w:pPr>
        <w:pStyle w:val="4"/>
        <w:rPr>
          <w:rFonts w:ascii="宋体" w:hAnsi="宋体" w:eastAsia="宋体" w:cs="宋体"/>
          <w:snapToGrid w:val="0"/>
        </w:rPr>
      </w:pPr>
      <w:r>
        <w:rPr>
          <w:rFonts w:hint="eastAsia" w:ascii="宋体" w:hAnsi="宋体" w:eastAsia="宋体" w:cs="宋体"/>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（1）标的：</w:t>
            </w:r>
            <w:r>
              <w:rPr>
                <w:rFonts w:hint="eastAsia" w:ascii="宋体" w:hAnsi="宋体" w:cs="宋体"/>
                <w:sz w:val="24"/>
                <w:u w:val="single"/>
              </w:rPr>
              <w:t>医疗保险监管及经办服务项目</w:t>
            </w:r>
            <w:r>
              <w:rPr>
                <w:rFonts w:hint="eastAsia" w:ascii="宋体" w:hAnsi="宋体" w:cs="宋体"/>
                <w:kern w:val="0"/>
                <w:sz w:val="24"/>
              </w:rPr>
              <w:t>，属于</w:t>
            </w:r>
            <w:r>
              <w:rPr>
                <w:rFonts w:hint="eastAsia" w:ascii="宋体" w:hAnsi="宋体" w:cs="宋体"/>
                <w:sz w:val="24"/>
                <w:u w:val="single"/>
              </w:rPr>
              <w:t>其他未列明行业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sdt>
                  <w:sdtPr>
                    <w:rPr>
                      <w:rFonts w:hint="eastAsia" w:ascii="宋体" w:hAnsi="宋体" w:cs="宋体"/>
                      <w:kern w:val="0"/>
                      <w:sz w:val="24"/>
                    </w:rPr>
                    <w:id w:val="28136544"/>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资料打印</w:t>
            </w:r>
            <w:r>
              <w:rPr>
                <w:rFonts w:hint="eastAsia" w:ascii="宋体" w:hAnsi="宋体" w:cs="宋体"/>
                <w:sz w:val="24"/>
              </w:rPr>
              <w:t>工作分包。</w:t>
            </w:r>
            <w:sdt>
              <w:sdtPr>
                <w:rPr>
                  <w:rFonts w:hint="eastAsia" w:ascii="宋体" w:hAnsi="宋体" w:cs="宋体"/>
                  <w:kern w:val="0"/>
                  <w:sz w:val="24"/>
                </w:rPr>
                <w:id w:val="-1276331357"/>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31163665"/>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 xml:space="preserve"> 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（1）在评标时安排每个投标人进行方案讲解演示。每个投标人时间不超过分钟，讲解次序以投标文件解密时间先后次序为准，讲解演示人员不超过人。讲解演示结束后在线按要求解答评标委员会提问。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提醒：验收时检测费用（如有）由</w:t>
            </w:r>
            <w:r>
              <w:rPr>
                <w:rFonts w:hint="eastAsia" w:ascii="宋体" w:hAnsi="宋体" w:cs="宋体"/>
                <w:b/>
                <w:kern w:val="0"/>
                <w:sz w:val="24"/>
              </w:rPr>
              <w:t>中标</w:t>
            </w:r>
            <w:r>
              <w:rPr>
                <w:rFonts w:hint="eastAsia" w:ascii="宋体" w:hAnsi="宋体" w:cs="宋体"/>
                <w:b/>
                <w:kern w:val="0"/>
                <w:sz w:val="24"/>
                <w:lang w:val="zh-CN"/>
              </w:rPr>
              <w:t>人承担，包含在投标总价中。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浙江省杭州市淳安县千岛湖镇新安大街41号三楼</w:t>
            </w:r>
            <w:r>
              <w:rPr>
                <w:rFonts w:hint="eastAsia" w:hAnsi="宋体" w:cs="宋体"/>
                <w:kern w:val="28"/>
                <w:sz w:val="24"/>
                <w:szCs w:val="24"/>
              </w:rPr>
              <w:t>；备份投标文件签收人员联系电话：</w:t>
            </w:r>
            <w:r>
              <w:rPr>
                <w:rFonts w:hint="eastAsia" w:hAnsi="宋体" w:cs="宋体"/>
                <w:sz w:val="24"/>
                <w:u w:val="single"/>
              </w:rPr>
              <w:t>汪靖，13666668468</w:t>
            </w:r>
            <w:r>
              <w:rPr>
                <w:rFonts w:hint="eastAsia" w:hAnsi="宋体" w:cs="宋体"/>
                <w:sz w:val="24"/>
                <w:szCs w:val="24"/>
              </w:rPr>
              <w:t>。</w:t>
            </w:r>
            <w:r>
              <w:rPr>
                <w:rFonts w:hint="eastAsia" w:hAnsi="宋体" w:cs="宋体"/>
                <w:b/>
                <w:sz w:val="24"/>
                <w:szCs w:val="24"/>
              </w:rPr>
              <w:t>采购人、采购代理机构不强制或变相强制投标人提交备份投标文件。未按规定提供相应的备份投标文件，造成项目开评标活动无法进行下去的，投标无效。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napToGrid w:val="0"/>
                <w:kern w:val="28"/>
                <w:sz w:val="24"/>
              </w:rPr>
            </w:pPr>
            <w:sdt>
              <w:sdtPr>
                <w:rPr>
                  <w:rFonts w:hint="eastAsia" w:ascii="宋体" w:hAnsi="宋体" w:cs="宋体"/>
                  <w:kern w:val="0"/>
                  <w:sz w:val="24"/>
                </w:rPr>
                <w:id w:val="-36976655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宋体"/>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采购服务费</w:t>
            </w:r>
          </w:p>
        </w:tc>
        <w:tc>
          <w:tcPr>
            <w:tcW w:w="6095" w:type="dxa"/>
            <w:vAlign w:val="center"/>
          </w:tcPr>
          <w:p>
            <w:pPr>
              <w:spacing w:line="360" w:lineRule="auto"/>
              <w:rPr>
                <w:rFonts w:ascii="宋体" w:hAnsi="宋体" w:cs="宋体"/>
                <w:snapToGrid w:val="0"/>
                <w:kern w:val="28"/>
                <w:sz w:val="24"/>
              </w:rPr>
            </w:pPr>
            <w:r>
              <w:rPr>
                <w:rFonts w:hint="eastAsia" w:ascii="宋体" w:hAnsi="宋体" w:cs="宋体"/>
                <w:b/>
                <w:sz w:val="24"/>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宋体" w:hAnsi="宋体" w:cs="宋体"/>
                <w:b/>
                <w:bCs/>
                <w:sz w:val="24"/>
              </w:rPr>
              <w:t>。</w:t>
            </w:r>
            <w:r>
              <w:rPr>
                <w:rFonts w:hint="eastAsia" w:ascii="宋体" w:hAnsi="宋体" w:cs="宋体"/>
                <w:snapToGrid w:val="0"/>
                <w:kern w:val="28"/>
                <w:sz w:val="24"/>
              </w:rPr>
              <w:t>专家评审费</w:t>
            </w:r>
            <w:bookmarkStart w:id="13" w:name="fwzh"/>
            <w:r>
              <w:rPr>
                <w:rFonts w:hint="eastAsia" w:ascii="宋体" w:hAnsi="宋体" w:cs="宋体"/>
                <w:snapToGrid w:val="0"/>
                <w:kern w:val="28"/>
                <w:sz w:val="24"/>
              </w:rPr>
              <w:t>按《淳财监督〔2020〕623号</w:t>
            </w:r>
            <w:bookmarkEnd w:id="13"/>
            <w:r>
              <w:rPr>
                <w:rFonts w:hint="eastAsia" w:ascii="宋体" w:hAnsi="宋体" w:cs="宋体"/>
                <w:snapToGrid w:val="0"/>
                <w:kern w:val="28"/>
                <w:sz w:val="24"/>
              </w:rPr>
              <w:t>》规定的标准由采购人支付。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备注</w:t>
            </w:r>
          </w:p>
        </w:tc>
        <w:tc>
          <w:tcPr>
            <w:tcW w:w="6095" w:type="dxa"/>
            <w:vAlign w:val="center"/>
          </w:tcPr>
          <w:p>
            <w:pPr>
              <w:spacing w:line="360" w:lineRule="auto"/>
              <w:rPr>
                <w:rFonts w:ascii="宋体" w:hAnsi="宋体" w:cs="宋体"/>
                <w:b/>
                <w:sz w:val="24"/>
              </w:rPr>
            </w:pPr>
            <w:r>
              <w:rPr>
                <w:rFonts w:hint="eastAsia" w:ascii="宋体" w:hAnsi="宋体" w:cs="宋体"/>
                <w:b/>
                <w:sz w:val="24"/>
              </w:rPr>
              <w:t>中标人中标后须提供给采购代理机构两份加盖公章并签字的纸质投标文件（一正一副，副本是正本的复印件，与电子投标文件一致，如不一致，以电子投标文件为准）。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4" w:name="_Toc164416483"/>
      <w:bookmarkStart w:id="15"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052570136"/>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11.2.2授权委托书[或联合（如有）]或法定代表人（单位负责人、自然人本人）身份证明；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（如果有)、联合协议（如果有)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11.2.6投标标的清单；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宋体" w:hAnsi="宋体" w:eastAsia="宋体" w:cs="宋体"/>
        </w:rPr>
      </w:pPr>
      <w:r>
        <w:rPr>
          <w:rFonts w:hint="eastAsia" w:ascii="宋体" w:hAnsi="宋体" w:eastAsia="宋体" w:cs="宋体"/>
          <w:sz w:val="24"/>
          <w:lang w:val="en-US"/>
        </w:rPr>
        <w:t>27.预付款</w:t>
      </w:r>
    </w:p>
    <w:p>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宋体" w:hAnsi="宋体" w:cs="宋体"/>
        </w:rPr>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5236290"/>
      <w:bookmarkEnd w:id="20"/>
      <w:bookmarkStart w:id="21" w:name="_Hlt75236101"/>
      <w:bookmarkEnd w:id="21"/>
      <w:bookmarkStart w:id="22" w:name="_Hlt74714665"/>
      <w:bookmarkEnd w:id="22"/>
      <w:bookmarkStart w:id="23" w:name="_Hlt68057669"/>
      <w:bookmarkEnd w:id="23"/>
      <w:bookmarkStart w:id="24" w:name="_Hlt74707468"/>
      <w:bookmarkEnd w:id="24"/>
      <w:bookmarkStart w:id="25" w:name="_Hlt68403820"/>
      <w:bookmarkEnd w:id="25"/>
      <w:bookmarkStart w:id="26" w:name="_Hlt68072990"/>
      <w:bookmarkEnd w:id="26"/>
      <w:bookmarkStart w:id="27" w:name="_Hlt75236011"/>
      <w:bookmarkEnd w:id="27"/>
      <w:bookmarkStart w:id="28" w:name="_Hlt74729768"/>
      <w:bookmarkEnd w:id="28"/>
      <w:bookmarkStart w:id="29" w:name="_Hlt74730295"/>
      <w:bookmarkEnd w:id="29"/>
      <w:bookmarkStart w:id="30" w:name="_Hlt68073093"/>
      <w:bookmarkEnd w:id="30"/>
      <w:bookmarkStart w:id="31" w:name="_Hlt68072998"/>
      <w:bookmarkEnd w:id="31"/>
    </w:p>
    <w:bookmarkEnd w:id="14"/>
    <w:bookmarkEnd w:id="15"/>
    <w:p>
      <w:pPr>
        <w:adjustRightInd/>
        <w:spacing w:line="360" w:lineRule="auto"/>
        <w:jc w:val="center"/>
        <w:outlineLvl w:val="0"/>
        <w:rPr>
          <w:rFonts w:ascii="宋体" w:hAnsi="宋体" w:cs="宋体"/>
          <w:b/>
          <w:sz w:val="36"/>
          <w:szCs w:val="36"/>
        </w:rPr>
      </w:pPr>
      <w:bookmarkStart w:id="32" w:name="第四部分"/>
      <w:r>
        <w:rPr>
          <w:rFonts w:hint="eastAsia" w:ascii="宋体" w:hAnsi="宋体" w:cs="宋体"/>
          <w:b/>
          <w:sz w:val="36"/>
          <w:szCs w:val="36"/>
        </w:rPr>
        <w:t>第三部分   采购需求</w:t>
      </w:r>
    </w:p>
    <w:p>
      <w:pPr>
        <w:spacing w:line="360" w:lineRule="auto"/>
        <w:rPr>
          <w:rFonts w:ascii="宋体" w:hAnsi="宋体" w:cs="宋体"/>
          <w:sz w:val="24"/>
        </w:rPr>
      </w:pPr>
      <w:r>
        <w:rPr>
          <w:rFonts w:hint="eastAsia" w:ascii="宋体" w:hAnsi="宋体" w:cs="宋体"/>
          <w:b/>
          <w:bCs/>
          <w:sz w:val="24"/>
        </w:rPr>
        <w:t>一、项目需求</w:t>
      </w:r>
    </w:p>
    <w:p>
      <w:pPr>
        <w:adjustRightInd/>
        <w:spacing w:line="360" w:lineRule="auto"/>
        <w:rPr>
          <w:rFonts w:ascii="宋体" w:hAnsi="宋体" w:cs="宋体"/>
          <w:b/>
          <w:sz w:val="24"/>
        </w:rPr>
      </w:pPr>
      <w:r>
        <w:rPr>
          <w:rFonts w:hint="eastAsia" w:ascii="宋体" w:hAnsi="宋体" w:cs="宋体"/>
          <w:b/>
          <w:sz w:val="24"/>
        </w:rPr>
        <w:t>1、人员配备和合作内容需求</w:t>
      </w:r>
    </w:p>
    <w:p>
      <w:pPr>
        <w:adjustRightInd/>
        <w:spacing w:line="360" w:lineRule="auto"/>
        <w:ind w:firstLine="480" w:firstLineChars="200"/>
        <w:jc w:val="left"/>
        <w:rPr>
          <w:rFonts w:ascii="宋体" w:hAnsi="宋体" w:cs="宋体"/>
          <w:sz w:val="24"/>
        </w:rPr>
      </w:pPr>
      <w:r>
        <w:rPr>
          <w:rFonts w:hint="eastAsia" w:ascii="宋体" w:hAnsi="宋体" w:cs="宋体"/>
          <w:sz w:val="24"/>
        </w:rPr>
        <w:t>由县医保局牵头，与县财政局、商业保险公司共同成立医疗保险监管及经办服务工作联合领导小组，负责指导合作工作；局下属单位淳安县医疗保障管理服务中心(以下简称县医管中心)具体负责日常协调和医疗保险监管及经办服务考核。商业保险公司应配备不少于23人专业团队且全日制专科及以上学历不低于40%，其中有医学或医学相关专业的人员占比不少于60%。由商业保险公司建立医疗保险监管及经办服务项目办公室，设办公室主任（1人），预警巡查组（4人）、驻点管理组（8人）、视频监控组（2人）、医疗审核组（6人）、综合服务组（2人），共计23人，工作岗位和相应人员配置可根据业务需要进行调整。人员应在中标签订协议后1个月内配置到位，</w:t>
      </w:r>
      <w:r>
        <w:rPr>
          <w:rFonts w:hint="eastAsia" w:ascii="宋体" w:hAnsi="宋体" w:cs="宋体"/>
          <w:kern w:val="0"/>
          <w:sz w:val="24"/>
        </w:rPr>
        <w:t>医学或医学相关专业人员和财务审计相关专业人员的调换率每年不能高于30%，其他人员的调换率每年不能高于40%</w:t>
      </w:r>
      <w:r>
        <w:rPr>
          <w:rFonts w:hint="eastAsia" w:ascii="宋体" w:hAnsi="宋体" w:cs="宋体"/>
          <w:sz w:val="24"/>
        </w:rPr>
        <w:t>。</w:t>
      </w:r>
    </w:p>
    <w:p>
      <w:pPr>
        <w:adjustRightInd/>
        <w:spacing w:line="360" w:lineRule="auto"/>
        <w:ind w:firstLine="480" w:firstLineChars="200"/>
        <w:rPr>
          <w:rFonts w:ascii="宋体" w:hAnsi="宋体" w:cs="宋体"/>
          <w:sz w:val="24"/>
        </w:rPr>
      </w:pPr>
      <w:r>
        <w:rPr>
          <w:rFonts w:hint="eastAsia" w:ascii="宋体" w:hAnsi="宋体" w:cs="宋体"/>
          <w:sz w:val="24"/>
        </w:rPr>
        <w:t>办公室主任：负责医疗保险监管及经办服务办公室全面工作。</w:t>
      </w:r>
    </w:p>
    <w:p>
      <w:pPr>
        <w:adjustRightInd/>
        <w:spacing w:line="360" w:lineRule="auto"/>
        <w:ind w:firstLine="480" w:firstLineChars="200"/>
        <w:rPr>
          <w:rFonts w:ascii="宋体" w:hAnsi="宋体" w:cs="宋体"/>
          <w:sz w:val="24"/>
        </w:rPr>
      </w:pPr>
      <w:r>
        <w:rPr>
          <w:rFonts w:hint="eastAsia" w:ascii="宋体" w:hAnsi="宋体" w:cs="宋体"/>
          <w:sz w:val="24"/>
        </w:rPr>
        <w:t>预警巡查组：主要负责做好异地大额医保费用核查、外伤病人调查、医保异地住院病人核查和异地医保案件调查，以及其他需要代为调查的案件。同时做好两定医疗服务单位的巡查工作，其中村卫生室、社区卫生服务站不少于每半年一次，非驻点管理的其他县内定点单位不少于每季度一次。</w:t>
      </w:r>
    </w:p>
    <w:p>
      <w:pPr>
        <w:adjustRightInd/>
        <w:spacing w:line="360" w:lineRule="auto"/>
        <w:ind w:firstLine="480" w:firstLineChars="200"/>
        <w:rPr>
          <w:rFonts w:ascii="宋体" w:hAnsi="宋体" w:cs="宋体"/>
          <w:sz w:val="24"/>
        </w:rPr>
      </w:pPr>
      <w:r>
        <w:rPr>
          <w:rFonts w:hint="eastAsia" w:ascii="宋体" w:hAnsi="宋体" w:cs="宋体"/>
          <w:sz w:val="24"/>
        </w:rPr>
        <w:t>驻点管理组：主要开展对驻点医院参保人员的身份核查、政策宣传及咨询、意外伤害案件及其他非医保案件的初步排查等工作；对有疑问的案件移交县医管中心，由商保公司配合县医管中心展开调查。</w:t>
      </w:r>
    </w:p>
    <w:p>
      <w:pPr>
        <w:adjustRightInd/>
        <w:spacing w:line="360" w:lineRule="auto"/>
        <w:ind w:firstLine="480" w:firstLineChars="200"/>
        <w:rPr>
          <w:rFonts w:ascii="宋体" w:hAnsi="宋体" w:cs="宋体"/>
          <w:sz w:val="24"/>
        </w:rPr>
      </w:pPr>
      <w:r>
        <w:rPr>
          <w:rFonts w:hint="eastAsia" w:ascii="宋体" w:hAnsi="宋体" w:cs="宋体"/>
          <w:sz w:val="24"/>
        </w:rPr>
        <w:t>视频监控组：对医保协议管理单位（民营医院、私人诊所和药店）进行远程视频实时监控。</w:t>
      </w:r>
    </w:p>
    <w:p>
      <w:pPr>
        <w:adjustRightInd/>
        <w:spacing w:line="360" w:lineRule="auto"/>
        <w:ind w:firstLine="480" w:firstLineChars="200"/>
        <w:rPr>
          <w:rFonts w:ascii="宋体" w:hAnsi="宋体" w:cs="宋体"/>
          <w:sz w:val="24"/>
        </w:rPr>
      </w:pPr>
      <w:r>
        <w:rPr>
          <w:rFonts w:hint="eastAsia" w:ascii="宋体" w:hAnsi="宋体" w:cs="宋体"/>
          <w:sz w:val="24"/>
        </w:rPr>
        <w:t>医疗审核组：配合县医管中心参与医保相关临柜工作的经办，主要开展医保相关业务的登记、审核、报销、结算等服务工作。</w:t>
      </w:r>
    </w:p>
    <w:p>
      <w:pPr>
        <w:adjustRightInd/>
        <w:spacing w:line="360" w:lineRule="auto"/>
        <w:ind w:firstLine="480" w:firstLineChars="200"/>
        <w:rPr>
          <w:rFonts w:ascii="宋体" w:hAnsi="宋体" w:cs="宋体"/>
          <w:sz w:val="24"/>
        </w:rPr>
      </w:pPr>
      <w:r>
        <w:rPr>
          <w:rFonts w:hint="eastAsia" w:ascii="宋体" w:hAnsi="宋体" w:cs="宋体"/>
          <w:sz w:val="24"/>
        </w:rPr>
        <w:t>综合服务组：负责服务办公室的管理工作及与县医管中心等相关部门的沟通工作。同时配备相应信息技术人员，根据县医管中心的实际需求，对医保操作系统做更合理化的完善，也可因地制宜的提供个性化的设置，以保障操作系统的更高效更快捷的运作；配备财务人员，做好日常的资金收支状况记录及日常的资金报销核对工作。</w:t>
      </w:r>
    </w:p>
    <w:p>
      <w:pPr>
        <w:adjustRightInd/>
        <w:spacing w:line="360" w:lineRule="auto"/>
        <w:rPr>
          <w:rFonts w:ascii="宋体" w:hAnsi="宋体" w:cs="宋体"/>
          <w:b/>
          <w:sz w:val="24"/>
        </w:rPr>
      </w:pPr>
      <w:r>
        <w:rPr>
          <w:rFonts w:hint="eastAsia" w:ascii="宋体" w:hAnsi="宋体" w:cs="宋体"/>
          <w:b/>
          <w:sz w:val="24"/>
        </w:rPr>
        <w:t>2、设备需求</w:t>
      </w:r>
    </w:p>
    <w:p>
      <w:pPr>
        <w:autoSpaceDE w:val="0"/>
        <w:autoSpaceDN w:val="0"/>
        <w:adjustRightInd/>
        <w:spacing w:line="360" w:lineRule="auto"/>
        <w:ind w:firstLine="480" w:firstLineChars="200"/>
        <w:textAlignment w:val="bottom"/>
        <w:rPr>
          <w:rFonts w:ascii="宋体" w:hAnsi="宋体" w:cs="宋体"/>
          <w:sz w:val="24"/>
        </w:rPr>
      </w:pPr>
      <w:r>
        <w:rPr>
          <w:rFonts w:hint="eastAsia" w:ascii="宋体" w:hAnsi="宋体" w:cs="宋体"/>
          <w:sz w:val="24"/>
        </w:rPr>
        <w:t>为保障日常办公、审核管控的正常开展，商保公司应为医疗保险监管及经办服务项目办公室配备不少于3辆（其中一辆商务车）的勘查车辆，及其他相应的办公设备和材料，办公场地由招标人负责提供。设备应在中标签订协议后1个月内配置到位。</w:t>
      </w:r>
    </w:p>
    <w:p>
      <w:pPr>
        <w:adjustRightInd/>
        <w:spacing w:line="360" w:lineRule="auto"/>
        <w:rPr>
          <w:rFonts w:ascii="宋体" w:hAnsi="宋体" w:cs="宋体"/>
          <w:b/>
          <w:sz w:val="24"/>
        </w:rPr>
      </w:pPr>
      <w:r>
        <w:rPr>
          <w:rFonts w:hint="eastAsia" w:ascii="宋体" w:hAnsi="宋体" w:cs="宋体"/>
          <w:b/>
          <w:sz w:val="24"/>
        </w:rPr>
        <w:t>三、项目环境</w:t>
      </w:r>
    </w:p>
    <w:p>
      <w:pPr>
        <w:autoSpaceDE w:val="0"/>
        <w:autoSpaceDN w:val="0"/>
        <w:adjustRightInd/>
        <w:spacing w:line="360" w:lineRule="auto"/>
        <w:ind w:firstLine="482" w:firstLineChars="200"/>
        <w:textAlignment w:val="bottom"/>
        <w:rPr>
          <w:rFonts w:ascii="宋体" w:hAnsi="宋体" w:cs="宋体"/>
          <w:sz w:val="24"/>
        </w:rPr>
      </w:pPr>
      <w:r>
        <w:rPr>
          <w:rFonts w:hint="eastAsia" w:ascii="宋体" w:hAnsi="宋体" w:cs="宋体"/>
          <w:b/>
          <w:sz w:val="24"/>
        </w:rPr>
        <w:t>1、工作环境：</w:t>
      </w:r>
      <w:r>
        <w:rPr>
          <w:rFonts w:hint="eastAsia" w:ascii="宋体" w:hAnsi="宋体" w:cs="宋体"/>
          <w:sz w:val="24"/>
        </w:rPr>
        <w:t>县医管中心为商保公司提供审核支付结算需要的办公坐席。商保公司和县医管中心双方采用合署办公的形式。开展医疗保险监管及经办服务工作，商保公司派出人员纳入商保公司和县医管中心双重管理（派出人员日常所需办公设备及办公经费由商保公司自行负责）。商保公司必须严格遵照县医管中心为商保公司提供合作项目所需的业务和财务操作规程执行。</w:t>
      </w:r>
    </w:p>
    <w:p>
      <w:pPr>
        <w:autoSpaceDE w:val="0"/>
        <w:autoSpaceDN w:val="0"/>
        <w:adjustRightInd/>
        <w:spacing w:line="360" w:lineRule="auto"/>
        <w:ind w:firstLine="482" w:firstLineChars="200"/>
        <w:textAlignment w:val="bottom"/>
        <w:rPr>
          <w:rFonts w:ascii="宋体" w:hAnsi="宋体" w:cs="宋体"/>
          <w:sz w:val="24"/>
        </w:rPr>
      </w:pPr>
      <w:r>
        <w:rPr>
          <w:rFonts w:hint="eastAsia" w:ascii="宋体" w:hAnsi="宋体" w:cs="宋体"/>
          <w:b/>
          <w:sz w:val="24"/>
        </w:rPr>
        <w:t>2、信息技术环境：</w:t>
      </w:r>
      <w:r>
        <w:rPr>
          <w:rFonts w:hint="eastAsia" w:ascii="宋体" w:hAnsi="宋体" w:cs="宋体"/>
          <w:sz w:val="24"/>
        </w:rPr>
        <w:t>商保公司为完成工作任务利用中间平台有关数据包括接端口改造、增加模块、年度运行和维护费用，由商保公司自行承担，并承诺落实信息安全和保密责任，所有涉及相关合作内容的信息不用于其它领域，否则将承担经济和法律责任。</w:t>
      </w:r>
    </w:p>
    <w:p>
      <w:pPr>
        <w:autoSpaceDE w:val="0"/>
        <w:autoSpaceDN w:val="0"/>
        <w:adjustRightInd/>
        <w:spacing w:line="360" w:lineRule="auto"/>
        <w:textAlignment w:val="bottom"/>
        <w:rPr>
          <w:rFonts w:ascii="宋体" w:hAnsi="宋体" w:cs="宋体"/>
          <w:b/>
          <w:sz w:val="24"/>
        </w:rPr>
      </w:pPr>
      <w:r>
        <w:rPr>
          <w:rFonts w:hint="eastAsia" w:ascii="宋体" w:hAnsi="宋体" w:cs="宋体"/>
          <w:b/>
          <w:sz w:val="24"/>
        </w:rPr>
        <w:t>四、考核需求</w:t>
      </w:r>
    </w:p>
    <w:p>
      <w:pPr>
        <w:adjustRightInd/>
        <w:spacing w:line="360" w:lineRule="auto"/>
        <w:ind w:firstLine="482" w:firstLineChars="200"/>
        <w:rPr>
          <w:rFonts w:ascii="宋体" w:hAnsi="宋体" w:cs="宋体"/>
          <w:b/>
          <w:sz w:val="24"/>
        </w:rPr>
      </w:pPr>
      <w:r>
        <w:rPr>
          <w:rFonts w:hint="eastAsia" w:ascii="宋体" w:hAnsi="宋体" w:cs="宋体"/>
          <w:b/>
          <w:sz w:val="24"/>
        </w:rPr>
        <w:t>1、服务质量考核</w:t>
      </w:r>
    </w:p>
    <w:p>
      <w:pPr>
        <w:adjustRightInd/>
        <w:spacing w:line="360" w:lineRule="auto"/>
        <w:ind w:firstLine="480" w:firstLineChars="200"/>
        <w:rPr>
          <w:rFonts w:ascii="宋体" w:hAnsi="宋体" w:cs="宋体"/>
          <w:sz w:val="24"/>
        </w:rPr>
      </w:pPr>
      <w:r>
        <w:rPr>
          <w:rFonts w:hint="eastAsia" w:ascii="宋体" w:hAnsi="宋体" w:cs="宋体"/>
          <w:sz w:val="24"/>
        </w:rPr>
        <w:t>（1）商保公司在协议签订后1个月内将人员、设备按协议要求配备到位；中途发生人员变化的，应在1个月内补充到位。因人员、设备未按时按协议要求配备到位的，超期按每人每天200元或每台每天200元扣除服务考核保证金。如果不是现有公司中标，新中标公司对现公司人员的留用率不能低于70%。</w:t>
      </w:r>
    </w:p>
    <w:p>
      <w:pPr>
        <w:adjustRightInd/>
        <w:spacing w:line="360" w:lineRule="auto"/>
        <w:ind w:firstLine="480" w:firstLineChars="200"/>
        <w:rPr>
          <w:rFonts w:ascii="宋体" w:hAnsi="宋体" w:cs="宋体"/>
          <w:sz w:val="24"/>
        </w:rPr>
      </w:pPr>
      <w:r>
        <w:rPr>
          <w:rFonts w:hint="eastAsia" w:ascii="宋体" w:hAnsi="宋体" w:cs="宋体"/>
          <w:sz w:val="24"/>
        </w:rPr>
        <w:t>（2）商保公司工作人员应遵守法律、法规和政策、制度，无条件执行甲方的内部管理制度，认真履行工作职责，由招标人进行定期或不定期的监督考核。对考核情况相应进行扣分和扣款。</w:t>
      </w:r>
    </w:p>
    <w:p>
      <w:pPr>
        <w:adjustRightInd/>
        <w:spacing w:line="360" w:lineRule="auto"/>
        <w:ind w:firstLine="482" w:firstLineChars="200"/>
        <w:rPr>
          <w:rFonts w:ascii="宋体" w:hAnsi="宋体" w:cs="宋体"/>
          <w:b/>
          <w:sz w:val="24"/>
        </w:rPr>
      </w:pPr>
      <w:r>
        <w:rPr>
          <w:rFonts w:hint="eastAsia" w:ascii="宋体" w:hAnsi="宋体" w:cs="宋体"/>
          <w:b/>
          <w:sz w:val="24"/>
        </w:rPr>
        <w:t>2、年度考核</w:t>
      </w:r>
    </w:p>
    <w:p>
      <w:pPr>
        <w:pStyle w:val="128"/>
        <w:adjustRightInd/>
        <w:snapToGrid w:val="0"/>
        <w:spacing w:before="0"/>
        <w:ind w:firstLine="480"/>
        <w:rPr>
          <w:rFonts w:ascii="宋体" w:hAnsi="宋体" w:cs="宋体"/>
          <w:b/>
          <w:szCs w:val="24"/>
        </w:rPr>
      </w:pPr>
      <w:r>
        <w:rPr>
          <w:rFonts w:hint="eastAsia" w:ascii="宋体" w:hAnsi="宋体" w:cs="宋体"/>
          <w:szCs w:val="24"/>
        </w:rPr>
        <w:t>依据商保公司所提供的服务质量和效能，按照“服务参保群众，基金效益优先”的原则，对中标人的第三方服务经营绩效进行综合考评。考评小组由县医保、财政等部门相关人员组成。由考评小组开展定期与不定期检查，每年年底开展一次年度考核。</w:t>
      </w:r>
    </w:p>
    <w:p>
      <w:pPr>
        <w:widowControl/>
        <w:adjustRightInd/>
        <w:spacing w:line="360" w:lineRule="auto"/>
        <w:jc w:val="center"/>
        <w:rPr>
          <w:rFonts w:ascii="宋体" w:hAnsi="宋体" w:cs="宋体"/>
          <w:b/>
          <w:sz w:val="24"/>
        </w:rPr>
      </w:pPr>
    </w:p>
    <w:p>
      <w:pPr>
        <w:widowControl/>
        <w:adjustRightInd/>
        <w:spacing w:line="360" w:lineRule="auto"/>
        <w:jc w:val="center"/>
        <w:rPr>
          <w:rFonts w:ascii="宋体" w:hAnsi="宋体" w:cs="宋体"/>
          <w:b/>
          <w:sz w:val="24"/>
        </w:rPr>
      </w:pPr>
    </w:p>
    <w:p>
      <w:pPr>
        <w:widowControl/>
        <w:adjustRightInd/>
        <w:spacing w:line="360" w:lineRule="auto"/>
        <w:jc w:val="center"/>
        <w:rPr>
          <w:rFonts w:ascii="宋体" w:hAnsi="宋体" w:cs="宋体"/>
          <w:b/>
          <w:sz w:val="24"/>
        </w:rPr>
      </w:pPr>
    </w:p>
    <w:p>
      <w:pPr>
        <w:widowControl/>
        <w:adjustRightInd/>
        <w:spacing w:line="360" w:lineRule="auto"/>
        <w:jc w:val="center"/>
        <w:rPr>
          <w:rFonts w:ascii="宋体" w:hAnsi="宋体" w:cs="宋体"/>
          <w:b/>
          <w:sz w:val="24"/>
        </w:rPr>
      </w:pPr>
    </w:p>
    <w:p>
      <w:pPr>
        <w:widowControl/>
        <w:adjustRightInd/>
        <w:spacing w:line="360" w:lineRule="auto"/>
        <w:jc w:val="center"/>
        <w:rPr>
          <w:rFonts w:ascii="宋体" w:hAnsi="宋体" w:cs="宋体"/>
          <w:b/>
          <w:sz w:val="24"/>
        </w:rPr>
      </w:pPr>
      <w:r>
        <w:rPr>
          <w:rFonts w:hint="eastAsia" w:ascii="宋体" w:hAnsi="宋体" w:cs="宋体"/>
          <w:b/>
          <w:sz w:val="24"/>
        </w:rPr>
        <w:t>年度考核</w:t>
      </w:r>
    </w:p>
    <w:tbl>
      <w:tblPr>
        <w:tblStyle w:val="62"/>
        <w:tblW w:w="10146" w:type="dxa"/>
        <w:jc w:val="center"/>
        <w:tblLayout w:type="fixed"/>
        <w:tblCellMar>
          <w:top w:w="0" w:type="dxa"/>
          <w:left w:w="108" w:type="dxa"/>
          <w:bottom w:w="0" w:type="dxa"/>
          <w:right w:w="108" w:type="dxa"/>
        </w:tblCellMar>
      </w:tblPr>
      <w:tblGrid>
        <w:gridCol w:w="568"/>
        <w:gridCol w:w="709"/>
        <w:gridCol w:w="3544"/>
        <w:gridCol w:w="965"/>
        <w:gridCol w:w="1303"/>
        <w:gridCol w:w="2551"/>
        <w:gridCol w:w="506"/>
      </w:tblGrid>
      <w:tr>
        <w:tblPrEx>
          <w:tblCellMar>
            <w:top w:w="0" w:type="dxa"/>
            <w:left w:w="108" w:type="dxa"/>
            <w:bottom w:w="0" w:type="dxa"/>
            <w:right w:w="108" w:type="dxa"/>
          </w:tblCellMar>
        </w:tblPrEx>
        <w:trPr>
          <w:trHeight w:val="510"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序号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考核</w:t>
            </w:r>
          </w:p>
          <w:p>
            <w:pPr>
              <w:spacing w:line="276" w:lineRule="auto"/>
              <w:jc w:val="center"/>
              <w:rPr>
                <w:rFonts w:ascii="宋体" w:hAnsi="宋体" w:cs="宋体"/>
                <w:bCs/>
                <w:szCs w:val="21"/>
              </w:rPr>
            </w:pPr>
            <w:r>
              <w:rPr>
                <w:rFonts w:hint="eastAsia" w:ascii="宋体" w:hAnsi="宋体" w:cs="宋体"/>
                <w:bCs/>
                <w:szCs w:val="21"/>
              </w:rPr>
              <w:t>项目</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考核具体内容</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标准分</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考核</w:t>
            </w:r>
          </w:p>
          <w:p>
            <w:pPr>
              <w:spacing w:line="276" w:lineRule="auto"/>
              <w:jc w:val="center"/>
              <w:rPr>
                <w:rFonts w:ascii="宋体" w:hAnsi="宋体" w:cs="宋体"/>
                <w:bCs/>
                <w:szCs w:val="21"/>
              </w:rPr>
            </w:pPr>
            <w:r>
              <w:rPr>
                <w:rFonts w:hint="eastAsia" w:ascii="宋体" w:hAnsi="宋体" w:cs="宋体"/>
                <w:bCs/>
                <w:szCs w:val="21"/>
              </w:rPr>
              <w:t>方式</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扣分标准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得分</w:t>
            </w:r>
          </w:p>
        </w:tc>
      </w:tr>
      <w:tr>
        <w:tblPrEx>
          <w:tblCellMar>
            <w:top w:w="0" w:type="dxa"/>
            <w:left w:w="108" w:type="dxa"/>
            <w:bottom w:w="0" w:type="dxa"/>
            <w:right w:w="108" w:type="dxa"/>
          </w:tblCellMar>
        </w:tblPrEx>
        <w:trPr>
          <w:trHeight w:val="1538"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制度建设</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spacing w:val="7"/>
                <w:szCs w:val="21"/>
              </w:rPr>
              <w:t>人员配备齐全，建立内部管理</w:t>
            </w:r>
            <w:r>
              <w:rPr>
                <w:rFonts w:hint="eastAsia" w:ascii="宋体" w:hAnsi="宋体" w:cs="宋体"/>
                <w:spacing w:val="4"/>
                <w:szCs w:val="21"/>
              </w:rPr>
              <w:t>制度，包括咨询服务、投诉处理等业务管理，内控管理，信息管理，人事管理，档案管理等6</w:t>
            </w:r>
            <w:r>
              <w:rPr>
                <w:rFonts w:hint="eastAsia" w:ascii="宋体" w:hAnsi="宋体" w:cs="宋体"/>
                <w:spacing w:val="-3"/>
                <w:szCs w:val="21"/>
              </w:rPr>
              <w:t>项制度。</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6</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实地察看、查资料、随机抽查</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spacing w:val="2"/>
                <w:szCs w:val="21"/>
              </w:rPr>
              <w:t>每少1项制度扣责任单位</w:t>
            </w:r>
            <w:r>
              <w:rPr>
                <w:rFonts w:hint="eastAsia" w:ascii="宋体" w:hAnsi="宋体" w:cs="宋体"/>
                <w:spacing w:val="-22"/>
                <w:szCs w:val="21"/>
              </w:rPr>
              <w:t xml:space="preserve"> 1</w:t>
            </w:r>
            <w:r>
              <w:rPr>
                <w:rFonts w:hint="eastAsia" w:ascii="宋体" w:hAnsi="宋体" w:cs="宋体"/>
                <w:spacing w:val="2"/>
                <w:szCs w:val="21"/>
              </w:rPr>
              <w:t>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49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服务管理</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严格遵守劳动纪律，不迟到、不早退；业务熟练，按照医保局</w:t>
            </w:r>
            <w:r>
              <w:rPr>
                <w:rFonts w:hint="eastAsia" w:ascii="宋体" w:hAnsi="宋体" w:cs="宋体"/>
                <w:szCs w:val="21"/>
              </w:rPr>
              <w:t>基金监管和经办服务要求、</w:t>
            </w:r>
            <w:r>
              <w:rPr>
                <w:rFonts w:hint="eastAsia" w:ascii="宋体" w:hAnsi="宋体" w:cs="宋体"/>
                <w:bCs/>
                <w:szCs w:val="21"/>
              </w:rPr>
              <w:t>行政服务中心窗口服务规范标准及最多跑一次的要求做好经办工作。</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查监控、现场抽查、设置投诉举报电话。</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服务对象、两定单位书面、上门或电话投诉经核实或上级部门、纪检部门查实一次扣1分;扣完为止。</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49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信息安全</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spacing w:val="7"/>
              </w:rPr>
              <w:t>按规定使用医保管理部门提供的医疗保障信息系统，采取有效措施落实信息安全和保密责任。</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5</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抽查台账、记录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spacing w:val="9"/>
              </w:rPr>
              <w:t>泄露参保人员信息或用于其他用途的，每发生</w:t>
            </w:r>
            <w:r>
              <w:rPr>
                <w:spacing w:val="-1"/>
              </w:rPr>
              <w:t>1次扣责任单位2分。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838"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定点医药机构巡查</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完成门急诊、住院参保病人巡查工作，包括对就诊病人身份、病区床位、疾病类型、主治医师等内容进行核对，核实：（1）有否挂床、挂名、冒名住院等情况；（2）有否违反收费规定，擅自提高收费标准，扩大或分解收费项目；（3）有否将工伤、有第三方责任等不属基金支付范围的医疗费列入支付；（4）医保规定需要核实的其他情形。</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现场抽查，查病历、查电脑记录、查巡查记录等</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每发现未核实到位1次扣0.5分。</w:t>
            </w:r>
          </w:p>
        </w:tc>
        <w:tc>
          <w:tcPr>
            <w:tcW w:w="50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91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完成药店巡查工作,完成定点药店进、销、存的核查、处方药核查等工作,核实：（1）是否有不校验就医凭证，允许或纵容冒名购药；（2）是否未按处方配售处方药品或使用假处方；（3）是否有串换药品行为；（4）医保规定需要核实的其他情形。</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查记录、现场抽查</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每发现未核实到位1次扣0.5分。</w:t>
            </w: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225" w:hRule="atLeast"/>
          <w:jc w:val="center"/>
        </w:trPr>
        <w:tc>
          <w:tcPr>
            <w:tcW w:w="568"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5</w:t>
            </w:r>
          </w:p>
          <w:p>
            <w:pPr>
              <w:spacing w:line="276" w:lineRule="auto"/>
              <w:jc w:val="center"/>
              <w:rPr>
                <w:rFonts w:ascii="宋体" w:hAnsi="宋体" w:cs="宋体"/>
                <w:b/>
                <w:bCs/>
                <w:szCs w:val="21"/>
              </w:rPr>
            </w:pPr>
          </w:p>
        </w:tc>
        <w:tc>
          <w:tcPr>
            <w:tcW w:w="709"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业务经办</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spacing w:val="8"/>
                <w:szCs w:val="21"/>
              </w:rPr>
              <w:t>做好大病保险、基本医疗保险、生育保险的参保登记</w:t>
            </w:r>
            <w:r>
              <w:rPr>
                <w:rFonts w:hint="eastAsia" w:ascii="宋体" w:hAnsi="宋体" w:cs="宋体"/>
                <w:spacing w:val="-6"/>
                <w:szCs w:val="21"/>
              </w:rPr>
              <w:t>工作。</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4</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查台账、记录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spacing w:val="6"/>
                <w:szCs w:val="21"/>
              </w:rPr>
              <w:t>每发生1例参保登记工作错误扣责任单位1</w:t>
            </w:r>
            <w:r>
              <w:rPr>
                <w:rFonts w:hint="eastAsia" w:ascii="宋体" w:hAnsi="宋体" w:cs="宋体"/>
                <w:spacing w:val="-9"/>
                <w:szCs w:val="21"/>
              </w:rPr>
              <w:t>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225" w:hRule="atLeast"/>
          <w:jc w:val="center"/>
        </w:trPr>
        <w:tc>
          <w:tcPr>
            <w:tcW w:w="568" w:type="dxa"/>
            <w:vMerge w:val="continue"/>
            <w:tcBorders>
              <w:left w:val="single" w:color="auto" w:sz="4" w:space="0"/>
              <w:right w:val="single" w:color="auto" w:sz="4" w:space="0"/>
            </w:tcBorders>
            <w:vAlign w:val="center"/>
          </w:tcPr>
          <w:p>
            <w:pPr>
              <w:spacing w:line="276" w:lineRule="auto"/>
              <w:jc w:val="center"/>
              <w:rPr>
                <w:rFonts w:ascii="宋体" w:hAnsi="宋体" w:cs="宋体"/>
                <w:bCs/>
                <w:szCs w:val="21"/>
              </w:rPr>
            </w:pPr>
          </w:p>
        </w:tc>
        <w:tc>
          <w:tcPr>
            <w:tcW w:w="709" w:type="dxa"/>
            <w:vMerge w:val="continue"/>
            <w:tcBorders>
              <w:left w:val="single" w:color="auto" w:sz="4" w:space="0"/>
              <w:right w:val="single" w:color="auto" w:sz="4" w:space="0"/>
            </w:tcBorders>
            <w:vAlign w:val="center"/>
          </w:tcPr>
          <w:p>
            <w:pPr>
              <w:spacing w:line="276" w:lineRule="auto"/>
              <w:jc w:val="center"/>
              <w:rPr>
                <w:rFonts w:ascii="宋体" w:hAnsi="宋体" w:cs="宋体"/>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spacing w:val="8"/>
                <w:szCs w:val="21"/>
              </w:rPr>
              <w:t>做好大病保险、基本医疗保险、生育保险、医疗救助及离休人员、伤残军人等其他医疗补助人员费用的审核和零星报销结算工作。</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5</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查台账、记录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spacing w:val="4"/>
                <w:szCs w:val="21"/>
              </w:rPr>
              <w:t>每发生1例费用报销错误扣责任单位1分。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225" w:hRule="atLeast"/>
          <w:jc w:val="center"/>
        </w:trPr>
        <w:tc>
          <w:tcPr>
            <w:tcW w:w="568" w:type="dxa"/>
            <w:vMerge w:val="continue"/>
            <w:tcBorders>
              <w:left w:val="single" w:color="auto" w:sz="4" w:space="0"/>
              <w:right w:val="single" w:color="auto" w:sz="4" w:space="0"/>
            </w:tcBorders>
            <w:vAlign w:val="center"/>
          </w:tcPr>
          <w:p>
            <w:pPr>
              <w:spacing w:line="276" w:lineRule="auto"/>
              <w:jc w:val="center"/>
              <w:rPr>
                <w:rFonts w:ascii="宋体" w:hAnsi="宋体" w:cs="宋体"/>
                <w:bCs/>
                <w:szCs w:val="21"/>
              </w:rPr>
            </w:pPr>
          </w:p>
        </w:tc>
        <w:tc>
          <w:tcPr>
            <w:tcW w:w="709" w:type="dxa"/>
            <w:vMerge w:val="continue"/>
            <w:tcBorders>
              <w:left w:val="single" w:color="auto" w:sz="4" w:space="0"/>
              <w:right w:val="single" w:color="auto" w:sz="4" w:space="0"/>
            </w:tcBorders>
            <w:vAlign w:val="center"/>
          </w:tcPr>
          <w:p>
            <w:pPr>
              <w:spacing w:line="276" w:lineRule="auto"/>
              <w:jc w:val="center"/>
              <w:rPr>
                <w:rFonts w:ascii="宋体" w:hAnsi="宋体" w:cs="宋体"/>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及时审核医院上传信息，对用药、检查、收费及入出院指征等信息进行合理性审查，对违规行为提出处理意见，每月提交审核汇总材料。</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查病历，查电脑记录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审核不及时，未发现明显违规情况，发现1次扣0.5分。发现情况不报告，发现1次扣1分，扣完为止。</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199" w:hRule="atLeast"/>
          <w:jc w:val="center"/>
        </w:trPr>
        <w:tc>
          <w:tcPr>
            <w:tcW w:w="568" w:type="dxa"/>
            <w:vMerge w:val="continue"/>
            <w:tcBorders>
              <w:left w:val="single" w:color="auto" w:sz="4" w:space="0"/>
              <w:right w:val="single" w:color="auto" w:sz="4" w:space="0"/>
            </w:tcBorders>
            <w:vAlign w:val="center"/>
          </w:tcPr>
          <w:p>
            <w:pPr>
              <w:spacing w:line="276" w:lineRule="auto"/>
              <w:jc w:val="center"/>
              <w:rPr>
                <w:rFonts w:ascii="宋体" w:hAnsi="宋体" w:cs="宋体"/>
                <w:bCs/>
                <w:szCs w:val="21"/>
              </w:rPr>
            </w:pPr>
          </w:p>
        </w:tc>
        <w:tc>
          <w:tcPr>
            <w:tcW w:w="709" w:type="dxa"/>
            <w:vMerge w:val="continue"/>
            <w:tcBorders>
              <w:left w:val="single" w:color="auto" w:sz="4" w:space="0"/>
              <w:right w:val="single" w:color="auto" w:sz="4" w:space="0"/>
            </w:tcBorders>
            <w:vAlign w:val="center"/>
          </w:tcPr>
          <w:p>
            <w:pPr>
              <w:spacing w:line="276" w:lineRule="auto"/>
              <w:jc w:val="center"/>
              <w:rPr>
                <w:rFonts w:ascii="宋体" w:hAnsi="宋体" w:cs="宋体"/>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及时审核药店上传信息，结合监控内容，对配药信息进行医保合理性审查，对违规行为提出处理意见，每月提交审核汇总材料。</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查监控，查电脑记录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审核不及时，未发现明显违规情况，发现1次扣0.5分。发现情况不报告，发现1次扣1分，扣完为止。</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680" w:hRule="atLeast"/>
          <w:jc w:val="center"/>
        </w:trPr>
        <w:tc>
          <w:tcPr>
            <w:tcW w:w="568" w:type="dxa"/>
            <w:vMerge w:val="continue"/>
            <w:tcBorders>
              <w:left w:val="single" w:color="auto" w:sz="4" w:space="0"/>
              <w:right w:val="single" w:color="auto" w:sz="4" w:space="0"/>
            </w:tcBorders>
            <w:vAlign w:val="center"/>
          </w:tcPr>
          <w:p>
            <w:pPr>
              <w:spacing w:line="276" w:lineRule="auto"/>
              <w:jc w:val="center"/>
              <w:rPr>
                <w:rFonts w:ascii="宋体" w:hAnsi="宋体" w:cs="宋体"/>
                <w:b/>
                <w:bCs/>
                <w:szCs w:val="21"/>
              </w:rPr>
            </w:pPr>
          </w:p>
        </w:tc>
        <w:tc>
          <w:tcPr>
            <w:tcW w:w="709" w:type="dxa"/>
            <w:vMerge w:val="continue"/>
            <w:tcBorders>
              <w:left w:val="single" w:color="auto" w:sz="4" w:space="0"/>
              <w:right w:val="single" w:color="auto" w:sz="4" w:space="0"/>
            </w:tcBorders>
            <w:vAlign w:val="center"/>
          </w:tcPr>
          <w:p>
            <w:pPr>
              <w:spacing w:line="276" w:lineRule="auto"/>
              <w:jc w:val="center"/>
              <w:rPr>
                <w:rFonts w:ascii="宋体" w:hAnsi="宋体" w:cs="宋体"/>
                <w:b/>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外伤调查、信息录入：按照调查流程做好外伤事故的调查取证工作，撰写调查报告。</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查病历，调查记录，实际抽查</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调查证据不充分，审核不严格、不正确，发现1次扣1分；未撰写调查报告，发现1次扣0.5分。发现调查人员吃拿卡要、弄虚作假等行为的，发现1次，扣2分，扣完为止。</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32" w:hRule="atLeast"/>
          <w:jc w:val="center"/>
        </w:trPr>
        <w:tc>
          <w:tcPr>
            <w:tcW w:w="568" w:type="dxa"/>
            <w:vMerge w:val="continue"/>
            <w:tcBorders>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p>
        </w:tc>
        <w:tc>
          <w:tcPr>
            <w:tcW w:w="709" w:type="dxa"/>
            <w:vMerge w:val="continue"/>
            <w:tcBorders>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定点医药机构的稽查工作：完成定点医药机构的稽查工作，对网上审核、数据分析、群众举报等多种途径反映出来的医保可能存在的违规情形进行现场调查核实，形成调查报告。</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现场抽查、查看调查记录及相关台帐</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未按计划完成定点医药机构稽查工作的发现1次扣2分；对案件未及时调查或调查不充分，发现1次扣2分；未及时完成调查报告，每次扣1分。工作用车未保障到位的，发现一次，扣0.5分，发现调查人员吃拿卡要、弄虚作假等行为，发现1次扣5分，扣完为止。</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3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r>
              <w:rPr>
                <w:rFonts w:hint="eastAsia" w:ascii="宋体" w:hAnsi="宋体" w:cs="宋体"/>
                <w:b/>
                <w:bCs/>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r>
              <w:rPr>
                <w:spacing w:val="4"/>
              </w:rPr>
              <w:t>调研分析</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spacing w:val="9"/>
              </w:rPr>
              <w:t>配合做好医保政策制定和实施的问题研究、分</w:t>
            </w:r>
            <w:r>
              <w:rPr>
                <w:spacing w:val="8"/>
              </w:rPr>
              <w:t>析、检查及政策的进一步完善。</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3</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查看台账</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spacing w:val="-3"/>
              </w:rPr>
              <w:t>工作不配合的，每发现 1次扣责任单位0.5分。</w:t>
            </w:r>
            <w:r>
              <w:rPr>
                <w:rFonts w:hint="eastAsia"/>
                <w:spacing w:val="-3"/>
              </w:rPr>
              <w:t>未开展的扣完为止。</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3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r>
              <w:rPr>
                <w:rFonts w:hint="eastAsia" w:ascii="宋体" w:hAnsi="宋体" w:cs="宋体"/>
                <w:b/>
                <w:bCs/>
                <w:szCs w:val="21"/>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pacing w:val="4"/>
              </w:rPr>
            </w:pPr>
            <w:r>
              <w:rPr>
                <w:spacing w:val="4"/>
              </w:rPr>
              <w:t>宣传服务</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9"/>
              </w:rPr>
            </w:pPr>
            <w:r>
              <w:rPr>
                <w:spacing w:val="8"/>
              </w:rPr>
              <w:t>积极配合做好基本医疗保险、大病保险和医疗救助政</w:t>
            </w:r>
            <w:r>
              <w:rPr>
                <w:spacing w:val="4"/>
              </w:rPr>
              <w:t>策的宣传和咨询工作。</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4</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查看台账记录</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3"/>
              </w:rPr>
            </w:pPr>
            <w:r>
              <w:rPr>
                <w:spacing w:val="9"/>
              </w:rPr>
              <w:t>未配合做好宣传、咨询工作的，每次扣责任单</w:t>
            </w:r>
            <w:r>
              <w:rPr>
                <w:spacing w:val="7"/>
              </w:rPr>
              <w:t>位0.5分，因咨询回复错误导致投诉的，每发</w:t>
            </w:r>
            <w:r>
              <w:rPr>
                <w:spacing w:val="-3"/>
              </w:rPr>
              <w:t>生1例扣</w:t>
            </w:r>
            <w:r>
              <w:rPr>
                <w:rFonts w:hint="eastAsia"/>
                <w:spacing w:val="-20"/>
              </w:rPr>
              <w:t>1</w:t>
            </w:r>
            <w:r>
              <w:rPr>
                <w:spacing w:val="-3"/>
              </w:rPr>
              <w:t>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13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r>
              <w:rPr>
                <w:rFonts w:hint="eastAsia" w:ascii="宋体" w:hAnsi="宋体" w:cs="宋体"/>
                <w:b/>
                <w:bCs/>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pacing w:val="4"/>
              </w:rPr>
            </w:pPr>
            <w:r>
              <w:rPr>
                <w:rFonts w:hint="eastAsia"/>
                <w:spacing w:val="4"/>
              </w:rPr>
              <w:t>满意度调查</w:t>
            </w: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9"/>
              </w:rPr>
            </w:pPr>
            <w:r>
              <w:rPr>
                <w:spacing w:val="-7"/>
                <w:sz w:val="22"/>
                <w:szCs w:val="22"/>
              </w:rPr>
              <w:t>开展</w:t>
            </w:r>
            <w:r>
              <w:rPr>
                <w:rFonts w:hint="eastAsia"/>
                <w:spacing w:val="-7"/>
                <w:sz w:val="22"/>
                <w:szCs w:val="22"/>
              </w:rPr>
              <w:t>基本医保参保人员</w:t>
            </w:r>
            <w:r>
              <w:rPr>
                <w:spacing w:val="-7"/>
                <w:sz w:val="22"/>
                <w:szCs w:val="22"/>
              </w:rPr>
              <w:t>满意度调查，为参保人员提供</w:t>
            </w:r>
            <w:r>
              <w:rPr>
                <w:spacing w:val="-1"/>
                <w:sz w:val="22"/>
                <w:szCs w:val="22"/>
              </w:rPr>
              <w:t>优质、高效、便捷的服务。</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3</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bCs/>
                <w:szCs w:val="21"/>
              </w:rPr>
            </w:pPr>
            <w:r>
              <w:rPr>
                <w:rFonts w:hint="eastAsia" w:ascii="宋体" w:hAnsi="宋体" w:cs="宋体"/>
                <w:bCs/>
                <w:szCs w:val="21"/>
              </w:rPr>
              <w:t>查记录、现场抽查</w:t>
            </w: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3"/>
              </w:rPr>
            </w:pPr>
            <w:r>
              <w:rPr>
                <w:rFonts w:hint="eastAsia" w:ascii="宋体" w:hAnsi="宋体" w:cs="宋体"/>
                <w:bCs/>
                <w:szCs w:val="21"/>
              </w:rPr>
              <w:t>测评10位病人、10位医务人员、10位群众，满意率少于95分，扣2分。90分以下扣3分。80分以下不得分。未及时反馈参保人意见建议1次，扣1分。</w:t>
            </w: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r>
        <w:tblPrEx>
          <w:tblCellMar>
            <w:top w:w="0" w:type="dxa"/>
            <w:left w:w="108" w:type="dxa"/>
            <w:bottom w:w="0" w:type="dxa"/>
            <w:right w:w="108" w:type="dxa"/>
          </w:tblCellMar>
        </w:tblPrEx>
        <w:trPr>
          <w:trHeight w:val="205"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合计</w:t>
            </w:r>
          </w:p>
        </w:tc>
        <w:tc>
          <w:tcPr>
            <w:tcW w:w="9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r>
              <w:rPr>
                <w:rFonts w:hint="eastAsia" w:ascii="宋体" w:hAnsi="宋体" w:cs="宋体"/>
                <w:bCs/>
                <w:szCs w:val="21"/>
              </w:rPr>
              <w:t>100</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c>
          <w:tcPr>
            <w:tcW w:w="5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Cs/>
                <w:szCs w:val="21"/>
              </w:rPr>
            </w:pPr>
          </w:p>
        </w:tc>
      </w:tr>
    </w:tbl>
    <w:p>
      <w:pPr>
        <w:widowControl/>
        <w:adjustRightInd/>
        <w:spacing w:line="360" w:lineRule="auto"/>
        <w:jc w:val="center"/>
        <w:rPr>
          <w:rFonts w:ascii="宋体" w:hAnsi="宋体" w:cs="宋体"/>
          <w:b/>
          <w:sz w:val="24"/>
        </w:rPr>
      </w:pPr>
    </w:p>
    <w:p>
      <w:pPr>
        <w:pStyle w:val="2"/>
        <w:rPr>
          <w:color w:val="auto"/>
        </w:rPr>
      </w:pPr>
    </w:p>
    <w:p/>
    <w:p>
      <w:pPr>
        <w:pStyle w:val="128"/>
        <w:adjustRightInd/>
        <w:snapToGrid w:val="0"/>
        <w:spacing w:before="0"/>
        <w:ind w:firstLine="120" w:firstLineChars="50"/>
        <w:rPr>
          <w:rFonts w:ascii="宋体" w:hAnsi="宋体" w:cs="宋体"/>
          <w:b/>
          <w:szCs w:val="24"/>
        </w:rPr>
      </w:pPr>
      <w:r>
        <w:rPr>
          <w:rFonts w:hint="eastAsia" w:ascii="宋体" w:hAnsi="宋体" w:cs="宋体"/>
          <w:b/>
          <w:szCs w:val="24"/>
        </w:rPr>
        <w:t>五、商务条款：</w:t>
      </w:r>
    </w:p>
    <w:p>
      <w:pPr>
        <w:pStyle w:val="128"/>
        <w:adjustRightInd/>
        <w:snapToGrid w:val="0"/>
        <w:spacing w:before="0"/>
        <w:ind w:firstLine="241" w:firstLineChars="100"/>
        <w:rPr>
          <w:rFonts w:ascii="宋体" w:hAnsi="宋体" w:cs="宋体"/>
          <w:szCs w:val="24"/>
        </w:rPr>
      </w:pPr>
      <w:r>
        <w:rPr>
          <w:rFonts w:hint="eastAsia" w:ascii="宋体" w:hAnsi="宋体" w:cs="宋体"/>
          <w:b/>
          <w:szCs w:val="24"/>
        </w:rPr>
        <w:t>1、</w:t>
      </w:r>
      <w:r>
        <w:rPr>
          <w:rFonts w:hint="eastAsia" w:ascii="宋体" w:hAnsi="宋体" w:cs="宋体"/>
          <w:szCs w:val="24"/>
        </w:rPr>
        <w:t xml:space="preserve">付款方式：签订合同后支付第一年合同价50%的预付款，之后按季度支付服务费（扣除预付款部分）。每一年度医疗保险监管及经办服务费用为人民币210万元，该价格为含税价，在服务期内该价格保持不变。医疗保险监管及经办服务费按季支付（扣除预付款部分），招标人每次付款前，中标人应向招标人提供符合国家规定的足额普通增值税发票，否则招标人有权拒绝付款。 </w:t>
      </w:r>
    </w:p>
    <w:p>
      <w:pPr>
        <w:pStyle w:val="128"/>
        <w:adjustRightInd/>
        <w:snapToGrid w:val="0"/>
        <w:spacing w:before="0"/>
        <w:ind w:firstLine="480"/>
        <w:rPr>
          <w:rFonts w:ascii="宋体" w:hAnsi="宋体" w:cs="宋体"/>
          <w:b/>
          <w:szCs w:val="24"/>
        </w:rPr>
      </w:pPr>
      <w:r>
        <w:rPr>
          <w:rFonts w:hint="eastAsia" w:ascii="宋体" w:hAnsi="宋体" w:cs="宋体"/>
          <w:szCs w:val="24"/>
        </w:rPr>
        <w:t>全年医疗保险监管及经办服务费总额10%（21万元）作为服务考核保证金，由招标人在第四季度结算时予以暂扣。招标人会同财政局等部门相关人员对中标人进行定期和不定期的检查，检查结果作为年度考核依据。年度考核在85分（含）以上，则全额支付服务考核保证金，年度考核在85分以下，则全额扣除服务考核保证金。招标人对中标人政府购买的监管服务合作内容的日常工作开展情况，进行全程监管。中标人违规操作、审核不严造成医保基金损失的，招标人有权没收考核保证金且中标人须承担相应的经济和法律责任。</w:t>
      </w: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ind w:firstLine="0" w:firstLineChars="0"/>
        <w:jc w:val="center"/>
        <w:rPr>
          <w:rFonts w:ascii="宋体" w:hAnsi="宋体" w:cs="宋体"/>
          <w:b/>
          <w:sz w:val="36"/>
        </w:rPr>
      </w:pPr>
    </w:p>
    <w:p>
      <w:pPr>
        <w:pStyle w:val="128"/>
        <w:adjustRightInd/>
        <w:snapToGrid w:val="0"/>
        <w:spacing w:before="0" w:after="120"/>
        <w:ind w:firstLine="0" w:firstLineChars="0"/>
        <w:jc w:val="center"/>
        <w:rPr>
          <w:rFonts w:ascii="宋体" w:hAnsi="宋体" w:cs="宋体"/>
          <w:b/>
          <w:sz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0309"/>
      <w:bookmarkEnd w:id="33"/>
      <w:bookmarkStart w:id="34" w:name="_Toc184314456"/>
      <w:bookmarkEnd w:id="34"/>
      <w:bookmarkStart w:id="35" w:name="_Toc184312124"/>
      <w:bookmarkEnd w:id="35"/>
      <w:bookmarkStart w:id="36" w:name="_Toc184314443"/>
      <w:bookmarkEnd w:id="36"/>
      <w:bookmarkStart w:id="37" w:name="_Toc184312102"/>
      <w:bookmarkEnd w:id="37"/>
      <w:bookmarkStart w:id="38" w:name="_Toc184313297"/>
      <w:bookmarkEnd w:id="38"/>
      <w:bookmarkStart w:id="39" w:name="_Toc184313259"/>
      <w:bookmarkEnd w:id="39"/>
      <w:bookmarkStart w:id="40" w:name="_Toc184308087"/>
      <w:bookmarkEnd w:id="40"/>
      <w:bookmarkStart w:id="41" w:name="_Toc184312117"/>
      <w:bookmarkEnd w:id="41"/>
      <w:bookmarkStart w:id="42" w:name="_Toc184314445"/>
      <w:bookmarkEnd w:id="42"/>
      <w:bookmarkStart w:id="43" w:name="_Toc184314444"/>
      <w:bookmarkEnd w:id="43"/>
      <w:bookmarkStart w:id="44" w:name="_Toc184312116"/>
      <w:bookmarkEnd w:id="44"/>
      <w:bookmarkStart w:id="45" w:name="_Toc184308100"/>
      <w:bookmarkEnd w:id="45"/>
      <w:bookmarkStart w:id="46" w:name="_Toc184312068"/>
      <w:bookmarkEnd w:id="46"/>
      <w:bookmarkStart w:id="47" w:name="_Toc184310293"/>
      <w:bookmarkEnd w:id="47"/>
      <w:bookmarkStart w:id="48" w:name="_Toc184310290"/>
      <w:bookmarkEnd w:id="48"/>
      <w:bookmarkStart w:id="49" w:name="_Toc184310322"/>
      <w:bookmarkEnd w:id="49"/>
      <w:bookmarkStart w:id="50" w:name="_Toc184313288"/>
      <w:bookmarkEnd w:id="50"/>
      <w:bookmarkStart w:id="51" w:name="_Toc184310342"/>
      <w:bookmarkEnd w:id="51"/>
      <w:bookmarkStart w:id="52" w:name="_Toc184310291"/>
      <w:bookmarkEnd w:id="52"/>
      <w:bookmarkStart w:id="53" w:name="_Toc184308069"/>
      <w:bookmarkEnd w:id="53"/>
      <w:bookmarkStart w:id="54" w:name="_Toc184312097"/>
      <w:bookmarkEnd w:id="54"/>
      <w:bookmarkStart w:id="55" w:name="_Toc184308074"/>
      <w:bookmarkEnd w:id="55"/>
      <w:bookmarkStart w:id="56" w:name="_Toc184313284"/>
      <w:bookmarkEnd w:id="56"/>
      <w:bookmarkStart w:id="57" w:name="_Toc184310327"/>
      <w:bookmarkEnd w:id="57"/>
      <w:bookmarkStart w:id="58" w:name="_Toc184310330"/>
      <w:bookmarkEnd w:id="58"/>
      <w:bookmarkStart w:id="59" w:name="_Toc184312088"/>
      <w:bookmarkEnd w:id="59"/>
      <w:bookmarkStart w:id="60" w:name="_Toc184310315"/>
      <w:bookmarkEnd w:id="60"/>
      <w:bookmarkStart w:id="61" w:name="_Toc184308057"/>
      <w:bookmarkEnd w:id="61"/>
      <w:bookmarkStart w:id="62" w:name="_Toc184313245"/>
      <w:bookmarkEnd w:id="62"/>
      <w:bookmarkStart w:id="63" w:name="_Toc184314474"/>
      <w:bookmarkEnd w:id="63"/>
      <w:bookmarkStart w:id="64" w:name="_Toc184312113"/>
      <w:bookmarkEnd w:id="64"/>
      <w:bookmarkStart w:id="65" w:name="_Toc184308102"/>
      <w:bookmarkEnd w:id="65"/>
      <w:bookmarkStart w:id="66" w:name="_Toc184313275"/>
      <w:bookmarkEnd w:id="66"/>
      <w:bookmarkStart w:id="67" w:name="_Toc184312133"/>
      <w:bookmarkEnd w:id="67"/>
      <w:bookmarkStart w:id="68" w:name="_Toc184314425"/>
      <w:bookmarkEnd w:id="68"/>
      <w:bookmarkStart w:id="69" w:name="_Toc184308062"/>
      <w:bookmarkEnd w:id="69"/>
      <w:bookmarkStart w:id="70" w:name="_Toc184312078"/>
      <w:bookmarkEnd w:id="70"/>
      <w:bookmarkStart w:id="71" w:name="_Toc184308036"/>
      <w:bookmarkEnd w:id="71"/>
      <w:bookmarkStart w:id="72" w:name="_Toc184310319"/>
      <w:bookmarkEnd w:id="72"/>
      <w:bookmarkStart w:id="73" w:name="_Toc184310272"/>
      <w:bookmarkEnd w:id="73"/>
      <w:bookmarkStart w:id="74" w:name="_Toc184314418"/>
      <w:bookmarkEnd w:id="74"/>
      <w:bookmarkStart w:id="75" w:name="_Toc184310325"/>
      <w:bookmarkEnd w:id="75"/>
      <w:bookmarkStart w:id="76" w:name="_Toc184313240"/>
      <w:bookmarkEnd w:id="76"/>
      <w:bookmarkStart w:id="77" w:name="_Toc184313273"/>
      <w:bookmarkEnd w:id="77"/>
      <w:bookmarkStart w:id="78" w:name="_Toc184310305"/>
      <w:bookmarkEnd w:id="78"/>
      <w:bookmarkStart w:id="79" w:name="_Toc184308101"/>
      <w:bookmarkEnd w:id="79"/>
      <w:bookmarkStart w:id="80" w:name="_Toc184314482"/>
      <w:bookmarkEnd w:id="80"/>
      <w:bookmarkStart w:id="81" w:name="_Toc184314430"/>
      <w:bookmarkEnd w:id="81"/>
      <w:bookmarkStart w:id="82" w:name="_Toc184308089"/>
      <w:bookmarkEnd w:id="82"/>
      <w:bookmarkStart w:id="83" w:name="_Toc184314454"/>
      <w:bookmarkEnd w:id="83"/>
      <w:bookmarkStart w:id="84" w:name="_Toc184313255"/>
      <w:bookmarkEnd w:id="84"/>
      <w:bookmarkStart w:id="85" w:name="_Toc184314459"/>
      <w:bookmarkEnd w:id="85"/>
      <w:bookmarkStart w:id="86" w:name="_Toc184312084"/>
      <w:bookmarkEnd w:id="86"/>
      <w:bookmarkStart w:id="87" w:name="_Toc184312076"/>
      <w:bookmarkEnd w:id="87"/>
      <w:bookmarkStart w:id="88" w:name="_Toc184314464"/>
      <w:bookmarkEnd w:id="88"/>
      <w:bookmarkStart w:id="89" w:name="_Toc184314419"/>
      <w:bookmarkEnd w:id="89"/>
      <w:bookmarkStart w:id="90" w:name="_Toc184310276"/>
      <w:bookmarkEnd w:id="90"/>
      <w:bookmarkStart w:id="91" w:name="_Toc184313279"/>
      <w:bookmarkEnd w:id="91"/>
      <w:bookmarkStart w:id="92" w:name="_Toc184310308"/>
      <w:bookmarkEnd w:id="92"/>
      <w:bookmarkStart w:id="93" w:name="_Toc184313300"/>
      <w:bookmarkEnd w:id="93"/>
      <w:bookmarkStart w:id="94" w:name="_Toc184310329"/>
      <w:bookmarkEnd w:id="94"/>
      <w:bookmarkStart w:id="95" w:name="_Toc184313276"/>
      <w:bookmarkEnd w:id="95"/>
      <w:bookmarkStart w:id="96" w:name="_Toc184312121"/>
      <w:bookmarkEnd w:id="96"/>
      <w:bookmarkStart w:id="97" w:name="_Toc184308065"/>
      <w:bookmarkEnd w:id="97"/>
      <w:bookmarkStart w:id="98" w:name="_Toc184312093"/>
      <w:bookmarkEnd w:id="98"/>
      <w:bookmarkStart w:id="99" w:name="_Toc184308103"/>
      <w:bookmarkEnd w:id="99"/>
      <w:bookmarkStart w:id="100" w:name="_Toc184314432"/>
      <w:bookmarkEnd w:id="100"/>
      <w:bookmarkStart w:id="101" w:name="_Toc184314451"/>
      <w:bookmarkEnd w:id="101"/>
      <w:bookmarkStart w:id="102" w:name="_Toc184312129"/>
      <w:bookmarkEnd w:id="102"/>
      <w:bookmarkStart w:id="103" w:name="_Toc184314416"/>
      <w:bookmarkEnd w:id="103"/>
      <w:bookmarkStart w:id="104" w:name="_Toc184310332"/>
      <w:bookmarkEnd w:id="104"/>
      <w:bookmarkStart w:id="105" w:name="_Toc184310284"/>
      <w:bookmarkEnd w:id="105"/>
      <w:bookmarkStart w:id="106" w:name="_Toc184314428"/>
      <w:bookmarkEnd w:id="106"/>
      <w:bookmarkStart w:id="107" w:name="_Toc184314449"/>
      <w:bookmarkEnd w:id="107"/>
      <w:bookmarkStart w:id="108" w:name="_Toc184313248"/>
      <w:bookmarkEnd w:id="108"/>
      <w:bookmarkStart w:id="109" w:name="_Toc184310298"/>
      <w:bookmarkEnd w:id="109"/>
      <w:bookmarkStart w:id="110" w:name="_Toc184308088"/>
      <w:bookmarkEnd w:id="110"/>
      <w:bookmarkStart w:id="111" w:name="_Toc184312091"/>
      <w:bookmarkEnd w:id="111"/>
      <w:bookmarkStart w:id="112" w:name="_Toc184314417"/>
      <w:bookmarkEnd w:id="112"/>
      <w:bookmarkStart w:id="113" w:name="_Toc184313251"/>
      <w:bookmarkEnd w:id="113"/>
      <w:bookmarkStart w:id="114" w:name="_Toc184310340"/>
      <w:bookmarkEnd w:id="114"/>
      <w:bookmarkStart w:id="115" w:name="_Toc184310283"/>
      <w:bookmarkEnd w:id="115"/>
      <w:bookmarkStart w:id="116" w:name="_Toc184314413"/>
      <w:bookmarkEnd w:id="116"/>
      <w:bookmarkStart w:id="117" w:name="_Toc184308073"/>
      <w:bookmarkEnd w:id="117"/>
      <w:bookmarkStart w:id="118" w:name="_Toc184313238"/>
      <w:bookmarkEnd w:id="118"/>
      <w:bookmarkStart w:id="119" w:name="_Toc184312111"/>
      <w:bookmarkEnd w:id="119"/>
      <w:bookmarkStart w:id="120" w:name="_Toc184310320"/>
      <w:bookmarkEnd w:id="120"/>
      <w:bookmarkStart w:id="121" w:name="_Toc184314455"/>
      <w:bookmarkEnd w:id="121"/>
      <w:bookmarkStart w:id="122" w:name="_Toc184314469"/>
      <w:bookmarkEnd w:id="122"/>
      <w:bookmarkStart w:id="123" w:name="_Toc184314452"/>
      <w:bookmarkEnd w:id="123"/>
      <w:bookmarkStart w:id="124" w:name="_Toc184310300"/>
      <w:bookmarkEnd w:id="124"/>
      <w:bookmarkStart w:id="125" w:name="_Toc184314465"/>
      <w:bookmarkEnd w:id="125"/>
      <w:bookmarkStart w:id="126" w:name="_Toc184313239"/>
      <w:bookmarkEnd w:id="126"/>
      <w:bookmarkStart w:id="127" w:name="_Toc184310273"/>
      <w:bookmarkEnd w:id="127"/>
      <w:bookmarkStart w:id="128" w:name="_Toc184314440"/>
      <w:bookmarkEnd w:id="128"/>
      <w:bookmarkStart w:id="129" w:name="_Toc184313285"/>
      <w:bookmarkEnd w:id="129"/>
      <w:bookmarkStart w:id="130" w:name="_Toc184308071"/>
      <w:bookmarkEnd w:id="130"/>
      <w:bookmarkStart w:id="131" w:name="_Toc184312072"/>
      <w:bookmarkEnd w:id="131"/>
      <w:bookmarkStart w:id="132" w:name="_Toc184308093"/>
      <w:bookmarkEnd w:id="132"/>
      <w:bookmarkStart w:id="133" w:name="_Toc184310333"/>
      <w:bookmarkEnd w:id="133"/>
      <w:bookmarkStart w:id="134" w:name="_Toc184310275"/>
      <w:bookmarkEnd w:id="134"/>
      <w:bookmarkStart w:id="135" w:name="_Toc184308098"/>
      <w:bookmarkEnd w:id="135"/>
      <w:bookmarkStart w:id="136" w:name="_Toc184308059"/>
      <w:bookmarkEnd w:id="136"/>
      <w:bookmarkStart w:id="137" w:name="_Toc184308070"/>
      <w:bookmarkEnd w:id="137"/>
      <w:bookmarkStart w:id="138" w:name="_Toc184314473"/>
      <w:bookmarkEnd w:id="138"/>
      <w:bookmarkStart w:id="139" w:name="_Toc184310334"/>
      <w:bookmarkEnd w:id="139"/>
      <w:bookmarkStart w:id="140" w:name="_Toc184313264"/>
      <w:bookmarkEnd w:id="140"/>
      <w:bookmarkStart w:id="141" w:name="_Toc184308061"/>
      <w:bookmarkEnd w:id="141"/>
      <w:bookmarkStart w:id="142" w:name="_Toc184314427"/>
      <w:bookmarkEnd w:id="142"/>
      <w:bookmarkStart w:id="143" w:name="_Toc184313278"/>
      <w:bookmarkEnd w:id="143"/>
      <w:bookmarkStart w:id="144" w:name="_Toc184310301"/>
      <w:bookmarkEnd w:id="144"/>
      <w:bookmarkStart w:id="145" w:name="_Toc184313268"/>
      <w:bookmarkEnd w:id="145"/>
      <w:bookmarkStart w:id="146" w:name="_Toc184314412"/>
      <w:bookmarkEnd w:id="146"/>
      <w:bookmarkStart w:id="147" w:name="_Toc184308080"/>
      <w:bookmarkEnd w:id="147"/>
      <w:bookmarkStart w:id="148" w:name="_Toc184313261"/>
      <w:bookmarkEnd w:id="148"/>
      <w:bookmarkStart w:id="149" w:name="_Toc184308054"/>
      <w:bookmarkEnd w:id="149"/>
      <w:bookmarkStart w:id="150" w:name="_Toc184313289"/>
      <w:bookmarkEnd w:id="150"/>
      <w:bookmarkStart w:id="151" w:name="_Toc184313294"/>
      <w:bookmarkEnd w:id="151"/>
      <w:bookmarkStart w:id="152" w:name="_Toc184312103"/>
      <w:bookmarkEnd w:id="152"/>
      <w:bookmarkStart w:id="153" w:name="_Toc184312067"/>
      <w:bookmarkEnd w:id="153"/>
      <w:bookmarkStart w:id="154" w:name="_Toc184310279"/>
      <w:bookmarkEnd w:id="154"/>
      <w:bookmarkStart w:id="155" w:name="_Toc184313257"/>
      <w:bookmarkEnd w:id="155"/>
      <w:bookmarkStart w:id="156" w:name="_Toc184313242"/>
      <w:bookmarkEnd w:id="156"/>
      <w:bookmarkStart w:id="157" w:name="_Toc184312118"/>
      <w:bookmarkEnd w:id="157"/>
      <w:bookmarkStart w:id="158" w:name="_Toc184312119"/>
      <w:bookmarkEnd w:id="158"/>
      <w:bookmarkStart w:id="159" w:name="_Toc184313296"/>
      <w:bookmarkEnd w:id="159"/>
      <w:bookmarkStart w:id="160" w:name="_Toc184313286"/>
      <w:bookmarkEnd w:id="160"/>
      <w:bookmarkStart w:id="161" w:name="_Toc184314478"/>
      <w:bookmarkEnd w:id="161"/>
      <w:bookmarkStart w:id="162" w:name="_Toc184313274"/>
      <w:bookmarkEnd w:id="162"/>
      <w:bookmarkStart w:id="163" w:name="_Toc184314423"/>
      <w:bookmarkEnd w:id="163"/>
      <w:bookmarkStart w:id="164" w:name="_Toc184313310"/>
      <w:bookmarkEnd w:id="164"/>
      <w:bookmarkStart w:id="165" w:name="_Toc184310335"/>
      <w:bookmarkEnd w:id="165"/>
      <w:bookmarkStart w:id="166" w:name="_Toc184312092"/>
      <w:bookmarkEnd w:id="166"/>
      <w:bookmarkStart w:id="167" w:name="_Toc184312070"/>
      <w:bookmarkEnd w:id="167"/>
      <w:bookmarkStart w:id="168" w:name="_Toc184313250"/>
      <w:bookmarkEnd w:id="168"/>
      <w:bookmarkStart w:id="169" w:name="_Toc184314441"/>
      <w:bookmarkEnd w:id="169"/>
      <w:bookmarkStart w:id="170" w:name="_Toc184310303"/>
      <w:bookmarkEnd w:id="170"/>
      <w:bookmarkStart w:id="171" w:name="_Toc184310304"/>
      <w:bookmarkEnd w:id="171"/>
      <w:bookmarkStart w:id="172" w:name="_Toc184314462"/>
      <w:bookmarkEnd w:id="172"/>
      <w:bookmarkStart w:id="173" w:name="_Toc184314421"/>
      <w:bookmarkEnd w:id="173"/>
      <w:bookmarkStart w:id="174" w:name="_Toc184313265"/>
      <w:bookmarkEnd w:id="174"/>
      <w:bookmarkStart w:id="175" w:name="_Toc184310341"/>
      <w:bookmarkEnd w:id="175"/>
      <w:bookmarkStart w:id="176" w:name="_Toc184313308"/>
      <w:bookmarkEnd w:id="176"/>
      <w:bookmarkStart w:id="177" w:name="_Toc184314415"/>
      <w:bookmarkEnd w:id="177"/>
      <w:bookmarkStart w:id="178" w:name="_Toc184310289"/>
      <w:bookmarkEnd w:id="178"/>
      <w:bookmarkStart w:id="179" w:name="_Toc184310296"/>
      <w:bookmarkEnd w:id="179"/>
      <w:bookmarkStart w:id="180" w:name="_Toc184310313"/>
      <w:bookmarkEnd w:id="180"/>
      <w:bookmarkStart w:id="181" w:name="_Toc184310306"/>
      <w:bookmarkEnd w:id="181"/>
      <w:bookmarkStart w:id="182" w:name="_Toc184310344"/>
      <w:bookmarkEnd w:id="182"/>
      <w:bookmarkStart w:id="183" w:name="_Toc184310338"/>
      <w:bookmarkEnd w:id="183"/>
      <w:bookmarkStart w:id="184" w:name="_Toc184308052"/>
      <w:bookmarkEnd w:id="184"/>
      <w:bookmarkStart w:id="185" w:name="_Toc184313302"/>
      <w:bookmarkEnd w:id="185"/>
      <w:bookmarkStart w:id="186" w:name="_Toc184312071"/>
      <w:bookmarkEnd w:id="186"/>
      <w:bookmarkStart w:id="187" w:name="_Toc184313249"/>
      <w:bookmarkEnd w:id="187"/>
      <w:bookmarkStart w:id="188" w:name="_Toc184313291"/>
      <w:bookmarkEnd w:id="188"/>
      <w:bookmarkStart w:id="189" w:name="_Toc184308097"/>
      <w:bookmarkEnd w:id="189"/>
      <w:bookmarkStart w:id="190" w:name="_Toc184308108"/>
      <w:bookmarkEnd w:id="190"/>
      <w:bookmarkStart w:id="191" w:name="_Toc184312074"/>
      <w:bookmarkEnd w:id="191"/>
      <w:bookmarkStart w:id="192" w:name="_Toc184314433"/>
      <w:bookmarkEnd w:id="192"/>
      <w:bookmarkStart w:id="193" w:name="_Toc184312130"/>
      <w:bookmarkEnd w:id="193"/>
      <w:bookmarkStart w:id="194" w:name="_Toc184310316"/>
      <w:bookmarkEnd w:id="194"/>
      <w:bookmarkStart w:id="195" w:name="_Toc184312110"/>
      <w:bookmarkEnd w:id="195"/>
      <w:bookmarkStart w:id="196" w:name="_Toc184313271"/>
      <w:bookmarkEnd w:id="196"/>
      <w:bookmarkStart w:id="197" w:name="_Toc184308050"/>
      <w:bookmarkEnd w:id="197"/>
      <w:bookmarkStart w:id="198" w:name="_Toc184308076"/>
      <w:bookmarkEnd w:id="198"/>
      <w:bookmarkStart w:id="199" w:name="_Toc184314447"/>
      <w:bookmarkEnd w:id="199"/>
      <w:bookmarkStart w:id="200" w:name="_Toc184310339"/>
      <w:bookmarkEnd w:id="200"/>
      <w:bookmarkStart w:id="201" w:name="_Toc184308047"/>
      <w:bookmarkEnd w:id="201"/>
      <w:bookmarkStart w:id="202" w:name="_Toc184312096"/>
      <w:bookmarkEnd w:id="202"/>
      <w:bookmarkStart w:id="203" w:name="_Toc184313280"/>
      <w:bookmarkEnd w:id="203"/>
      <w:bookmarkStart w:id="204" w:name="_Toc184313256"/>
      <w:bookmarkEnd w:id="204"/>
      <w:bookmarkStart w:id="205" w:name="_Toc184314460"/>
      <w:bookmarkEnd w:id="205"/>
      <w:bookmarkStart w:id="206" w:name="_Toc184310297"/>
      <w:bookmarkEnd w:id="206"/>
      <w:bookmarkStart w:id="207" w:name="_Toc184308072"/>
      <w:bookmarkEnd w:id="207"/>
      <w:bookmarkStart w:id="208" w:name="_Toc184308060"/>
      <w:bookmarkEnd w:id="208"/>
      <w:bookmarkStart w:id="209" w:name="_Toc184312132"/>
      <w:bookmarkEnd w:id="209"/>
      <w:bookmarkStart w:id="210" w:name="_Toc184310318"/>
      <w:bookmarkEnd w:id="210"/>
      <w:bookmarkStart w:id="211" w:name="_Toc184310299"/>
      <w:bookmarkEnd w:id="211"/>
      <w:bookmarkStart w:id="212" w:name="_Toc184313260"/>
      <w:bookmarkEnd w:id="212"/>
      <w:bookmarkStart w:id="213" w:name="_Toc184308041"/>
      <w:bookmarkEnd w:id="213"/>
      <w:bookmarkStart w:id="214" w:name="_Toc184308068"/>
      <w:bookmarkEnd w:id="214"/>
      <w:bookmarkStart w:id="215" w:name="_Toc184310307"/>
      <w:bookmarkEnd w:id="215"/>
      <w:bookmarkStart w:id="216" w:name="_Toc184312086"/>
      <w:bookmarkEnd w:id="216"/>
      <w:bookmarkStart w:id="217" w:name="_Toc184310310"/>
      <w:bookmarkEnd w:id="217"/>
      <w:bookmarkStart w:id="218" w:name="_Toc184313307"/>
      <w:bookmarkEnd w:id="218"/>
      <w:bookmarkStart w:id="219" w:name="_Toc184314466"/>
      <w:bookmarkEnd w:id="219"/>
      <w:bookmarkStart w:id="220" w:name="_Toc184310282"/>
      <w:bookmarkEnd w:id="220"/>
      <w:bookmarkStart w:id="221" w:name="_Toc184310321"/>
      <w:bookmarkEnd w:id="221"/>
      <w:bookmarkStart w:id="222" w:name="_Toc184312107"/>
      <w:bookmarkEnd w:id="222"/>
      <w:bookmarkStart w:id="223" w:name="_Toc184312122"/>
      <w:bookmarkEnd w:id="223"/>
      <w:bookmarkStart w:id="224" w:name="_Toc184312077"/>
      <w:bookmarkEnd w:id="224"/>
      <w:bookmarkStart w:id="225" w:name="_Toc184310281"/>
      <w:bookmarkEnd w:id="225"/>
      <w:bookmarkStart w:id="226" w:name="_Toc184312098"/>
      <w:bookmarkEnd w:id="226"/>
      <w:bookmarkStart w:id="227" w:name="_Toc184314471"/>
      <w:bookmarkEnd w:id="227"/>
      <w:bookmarkStart w:id="228" w:name="_Toc184312127"/>
      <w:bookmarkEnd w:id="228"/>
      <w:bookmarkStart w:id="229" w:name="_Toc184313295"/>
      <w:bookmarkEnd w:id="229"/>
      <w:bookmarkStart w:id="230" w:name="_Toc184312106"/>
      <w:bookmarkEnd w:id="230"/>
      <w:bookmarkStart w:id="231" w:name="_Toc184308067"/>
      <w:bookmarkEnd w:id="231"/>
      <w:bookmarkStart w:id="232" w:name="_Toc184314429"/>
      <w:bookmarkEnd w:id="232"/>
      <w:bookmarkStart w:id="233" w:name="_Toc184308066"/>
      <w:bookmarkEnd w:id="233"/>
      <w:bookmarkStart w:id="234" w:name="_Toc184312079"/>
      <w:bookmarkEnd w:id="234"/>
      <w:bookmarkStart w:id="235" w:name="_Toc184314438"/>
      <w:bookmarkEnd w:id="235"/>
      <w:bookmarkStart w:id="236" w:name="_Toc184314448"/>
      <w:bookmarkEnd w:id="236"/>
      <w:bookmarkStart w:id="237" w:name="_Toc184312128"/>
      <w:bookmarkEnd w:id="237"/>
      <w:bookmarkStart w:id="238" w:name="_Toc184314467"/>
      <w:bookmarkEnd w:id="238"/>
      <w:bookmarkStart w:id="239" w:name="_Toc184312115"/>
      <w:bookmarkEnd w:id="239"/>
      <w:bookmarkStart w:id="240" w:name="_Toc184310292"/>
      <w:bookmarkEnd w:id="240"/>
      <w:bookmarkStart w:id="241" w:name="_Toc184312080"/>
      <w:bookmarkEnd w:id="241"/>
      <w:bookmarkStart w:id="242" w:name="_Toc184310277"/>
      <w:bookmarkEnd w:id="242"/>
      <w:bookmarkStart w:id="243" w:name="_Toc184308092"/>
      <w:bookmarkEnd w:id="243"/>
      <w:bookmarkStart w:id="244" w:name="_Toc184308063"/>
      <w:bookmarkEnd w:id="244"/>
      <w:bookmarkStart w:id="245" w:name="_Toc184310328"/>
      <w:bookmarkEnd w:id="245"/>
      <w:bookmarkStart w:id="246" w:name="_Toc184312104"/>
      <w:bookmarkEnd w:id="246"/>
      <w:bookmarkStart w:id="247" w:name="_Toc184308042"/>
      <w:bookmarkEnd w:id="247"/>
      <w:bookmarkStart w:id="248" w:name="_Toc184310336"/>
      <w:bookmarkEnd w:id="248"/>
      <w:bookmarkStart w:id="249" w:name="_Toc184312095"/>
      <w:bookmarkEnd w:id="249"/>
      <w:bookmarkStart w:id="250" w:name="_Toc184308086"/>
      <w:bookmarkEnd w:id="250"/>
      <w:bookmarkStart w:id="251" w:name="_Toc184313303"/>
      <w:bookmarkEnd w:id="251"/>
      <w:bookmarkStart w:id="252" w:name="_Toc184313299"/>
      <w:bookmarkEnd w:id="252"/>
      <w:bookmarkStart w:id="253" w:name="_Toc184310343"/>
      <w:bookmarkEnd w:id="253"/>
      <w:bookmarkStart w:id="254" w:name="_Toc184310285"/>
      <w:bookmarkEnd w:id="254"/>
      <w:bookmarkStart w:id="255" w:name="_Toc184308082"/>
      <w:bookmarkEnd w:id="255"/>
      <w:bookmarkStart w:id="256" w:name="_Toc184313304"/>
      <w:bookmarkEnd w:id="256"/>
      <w:bookmarkStart w:id="257" w:name="_Toc184308049"/>
      <w:bookmarkEnd w:id="257"/>
      <w:bookmarkStart w:id="258" w:name="_Toc184310331"/>
      <w:bookmarkEnd w:id="258"/>
      <w:bookmarkStart w:id="259" w:name="_Toc184312073"/>
      <w:bookmarkEnd w:id="259"/>
      <w:bookmarkStart w:id="260" w:name="_Toc184314434"/>
      <w:bookmarkEnd w:id="260"/>
      <w:bookmarkStart w:id="261" w:name="_Toc184308064"/>
      <w:bookmarkEnd w:id="261"/>
      <w:bookmarkStart w:id="262" w:name="_Toc184314436"/>
      <w:bookmarkEnd w:id="262"/>
      <w:bookmarkStart w:id="263" w:name="_Toc184308058"/>
      <w:bookmarkEnd w:id="263"/>
      <w:bookmarkStart w:id="264" w:name="_Toc184312099"/>
      <w:bookmarkEnd w:id="264"/>
      <w:bookmarkStart w:id="265" w:name="_Toc184308081"/>
      <w:bookmarkEnd w:id="265"/>
      <w:bookmarkStart w:id="266" w:name="_Toc184312085"/>
      <w:bookmarkEnd w:id="266"/>
      <w:bookmarkStart w:id="267" w:name="_Toc184314437"/>
      <w:bookmarkEnd w:id="267"/>
      <w:bookmarkStart w:id="268" w:name="_Toc184314410"/>
      <w:bookmarkEnd w:id="268"/>
      <w:bookmarkStart w:id="269" w:name="_Toc184314442"/>
      <w:bookmarkEnd w:id="269"/>
      <w:bookmarkStart w:id="270" w:name="_Toc184314414"/>
      <w:bookmarkEnd w:id="270"/>
      <w:bookmarkStart w:id="271" w:name="_Toc184312138"/>
      <w:bookmarkEnd w:id="271"/>
      <w:bookmarkStart w:id="272" w:name="_Toc184312081"/>
      <w:bookmarkEnd w:id="272"/>
      <w:bookmarkStart w:id="273" w:name="_Toc184314431"/>
      <w:bookmarkEnd w:id="273"/>
      <w:bookmarkStart w:id="274" w:name="_Toc184313287"/>
      <w:bookmarkEnd w:id="274"/>
      <w:bookmarkStart w:id="275" w:name="_Toc184314468"/>
      <w:bookmarkEnd w:id="275"/>
      <w:bookmarkStart w:id="276" w:name="_Toc184312101"/>
      <w:bookmarkEnd w:id="276"/>
      <w:bookmarkStart w:id="277" w:name="_Toc184310323"/>
      <w:bookmarkEnd w:id="277"/>
      <w:bookmarkStart w:id="278" w:name="_Toc184308078"/>
      <w:bookmarkEnd w:id="278"/>
      <w:bookmarkStart w:id="279" w:name="_Toc184308038"/>
      <w:bookmarkEnd w:id="279"/>
      <w:bookmarkStart w:id="280" w:name="_Toc184313263"/>
      <w:bookmarkEnd w:id="280"/>
      <w:bookmarkStart w:id="281" w:name="_Toc184312069"/>
      <w:bookmarkEnd w:id="281"/>
      <w:bookmarkStart w:id="282" w:name="_Toc184314422"/>
      <w:bookmarkEnd w:id="282"/>
      <w:bookmarkStart w:id="283" w:name="_Toc184310314"/>
      <w:bookmarkEnd w:id="283"/>
      <w:bookmarkStart w:id="284" w:name="_Toc184312083"/>
      <w:bookmarkEnd w:id="284"/>
      <w:bookmarkStart w:id="285" w:name="_Toc184310324"/>
      <w:bookmarkEnd w:id="285"/>
      <w:bookmarkStart w:id="286" w:name="_Toc184313301"/>
      <w:bookmarkEnd w:id="286"/>
      <w:bookmarkStart w:id="287" w:name="_Toc184308048"/>
      <w:bookmarkEnd w:id="287"/>
      <w:bookmarkStart w:id="288" w:name="_Toc184308090"/>
      <w:bookmarkEnd w:id="288"/>
      <w:bookmarkStart w:id="289" w:name="_Toc184314481"/>
      <w:bookmarkEnd w:id="289"/>
      <w:bookmarkStart w:id="290" w:name="_Toc184310280"/>
      <w:bookmarkEnd w:id="290"/>
      <w:bookmarkStart w:id="291" w:name="_Toc184308039"/>
      <w:bookmarkEnd w:id="291"/>
      <w:bookmarkStart w:id="292" w:name="_Toc184312094"/>
      <w:bookmarkEnd w:id="292"/>
      <w:bookmarkStart w:id="293" w:name="_Toc184310326"/>
      <w:bookmarkEnd w:id="293"/>
      <w:bookmarkStart w:id="294" w:name="_Toc184308085"/>
      <w:bookmarkEnd w:id="294"/>
      <w:bookmarkStart w:id="295" w:name="_Toc184313241"/>
      <w:bookmarkEnd w:id="295"/>
      <w:bookmarkStart w:id="296" w:name="_Toc184314450"/>
      <w:bookmarkEnd w:id="296"/>
      <w:bookmarkStart w:id="297" w:name="_Toc184313292"/>
      <w:bookmarkEnd w:id="297"/>
      <w:bookmarkStart w:id="298" w:name="_Toc184314470"/>
      <w:bookmarkEnd w:id="298"/>
      <w:bookmarkStart w:id="299" w:name="_Toc184313283"/>
      <w:bookmarkEnd w:id="299"/>
      <w:bookmarkStart w:id="300" w:name="_Toc184308106"/>
      <w:bookmarkEnd w:id="300"/>
      <w:bookmarkStart w:id="301" w:name="_Toc184313281"/>
      <w:bookmarkEnd w:id="301"/>
      <w:bookmarkStart w:id="302" w:name="_Toc184314477"/>
      <w:bookmarkEnd w:id="302"/>
      <w:bookmarkStart w:id="303" w:name="_Toc184312105"/>
      <w:bookmarkEnd w:id="303"/>
      <w:bookmarkStart w:id="304" w:name="_Toc184308053"/>
      <w:bookmarkEnd w:id="304"/>
      <w:bookmarkStart w:id="305" w:name="_Toc184312126"/>
      <w:bookmarkEnd w:id="305"/>
      <w:bookmarkStart w:id="306" w:name="_Toc184314457"/>
      <w:bookmarkEnd w:id="306"/>
      <w:bookmarkStart w:id="307" w:name="_Toc184313244"/>
      <w:bookmarkEnd w:id="307"/>
      <w:bookmarkStart w:id="308" w:name="_Toc184312136"/>
      <w:bookmarkEnd w:id="308"/>
      <w:bookmarkStart w:id="309" w:name="_Toc184313272"/>
      <w:bookmarkEnd w:id="309"/>
      <w:bookmarkStart w:id="310" w:name="_Toc184313290"/>
      <w:bookmarkEnd w:id="310"/>
      <w:bookmarkStart w:id="311" w:name="_Toc184308107"/>
      <w:bookmarkEnd w:id="311"/>
      <w:bookmarkStart w:id="312" w:name="_Toc184313258"/>
      <w:bookmarkEnd w:id="312"/>
      <w:bookmarkStart w:id="313" w:name="_Toc184314446"/>
      <w:bookmarkEnd w:id="313"/>
      <w:bookmarkStart w:id="314" w:name="_Toc184313270"/>
      <w:bookmarkEnd w:id="314"/>
      <w:bookmarkStart w:id="315" w:name="_Toc184308043"/>
      <w:bookmarkEnd w:id="315"/>
      <w:bookmarkStart w:id="316" w:name="_Toc184308075"/>
      <w:bookmarkEnd w:id="316"/>
      <w:bookmarkStart w:id="317" w:name="_Toc184312125"/>
      <w:bookmarkEnd w:id="317"/>
      <w:bookmarkStart w:id="318" w:name="_Toc184310278"/>
      <w:bookmarkEnd w:id="318"/>
      <w:bookmarkStart w:id="319" w:name="_Toc184314424"/>
      <w:bookmarkEnd w:id="319"/>
      <w:bookmarkStart w:id="320" w:name="_Toc184310295"/>
      <w:bookmarkEnd w:id="320"/>
      <w:bookmarkStart w:id="321" w:name="_Toc184313254"/>
      <w:bookmarkEnd w:id="321"/>
      <w:bookmarkStart w:id="322" w:name="_Toc184312120"/>
      <w:bookmarkEnd w:id="322"/>
      <w:bookmarkStart w:id="323" w:name="_Toc184312087"/>
      <w:bookmarkEnd w:id="323"/>
      <w:bookmarkStart w:id="324" w:name="_Toc184310288"/>
      <w:bookmarkEnd w:id="324"/>
      <w:bookmarkStart w:id="325" w:name="_Toc184308046"/>
      <w:bookmarkEnd w:id="325"/>
      <w:bookmarkStart w:id="326" w:name="_Toc184314463"/>
      <w:bookmarkEnd w:id="326"/>
      <w:bookmarkStart w:id="327" w:name="_Toc184312090"/>
      <w:bookmarkEnd w:id="327"/>
      <w:bookmarkStart w:id="328" w:name="_Toc184308099"/>
      <w:bookmarkEnd w:id="328"/>
      <w:bookmarkStart w:id="329" w:name="_Toc184314475"/>
      <w:bookmarkEnd w:id="329"/>
      <w:bookmarkStart w:id="330" w:name="_Toc184312109"/>
      <w:bookmarkEnd w:id="330"/>
      <w:bookmarkStart w:id="331" w:name="_Toc184308077"/>
      <w:bookmarkEnd w:id="331"/>
      <w:bookmarkStart w:id="332" w:name="_Toc184308084"/>
      <w:bookmarkEnd w:id="332"/>
      <w:bookmarkStart w:id="333" w:name="_Toc184312137"/>
      <w:bookmarkEnd w:id="333"/>
      <w:bookmarkStart w:id="334" w:name="_Toc184314420"/>
      <w:bookmarkEnd w:id="334"/>
      <w:bookmarkStart w:id="335" w:name="_Toc184313309"/>
      <w:bookmarkEnd w:id="335"/>
      <w:bookmarkStart w:id="336" w:name="_Toc184308083"/>
      <w:bookmarkEnd w:id="336"/>
      <w:bookmarkStart w:id="337" w:name="_Toc184308045"/>
      <w:bookmarkEnd w:id="337"/>
      <w:bookmarkStart w:id="338" w:name="_Toc184314480"/>
      <w:bookmarkEnd w:id="338"/>
      <w:bookmarkStart w:id="339" w:name="_Toc184313246"/>
      <w:bookmarkEnd w:id="339"/>
      <w:bookmarkStart w:id="340" w:name="_Toc184313253"/>
      <w:bookmarkEnd w:id="340"/>
      <w:bookmarkStart w:id="341" w:name="_Toc184314476"/>
      <w:bookmarkEnd w:id="341"/>
      <w:bookmarkStart w:id="342" w:name="_Toc184308096"/>
      <w:bookmarkEnd w:id="342"/>
      <w:bookmarkStart w:id="343" w:name="_Toc184312134"/>
      <w:bookmarkEnd w:id="343"/>
      <w:bookmarkStart w:id="344" w:name="_Toc184312131"/>
      <w:bookmarkEnd w:id="344"/>
      <w:bookmarkStart w:id="345" w:name="_Toc184310312"/>
      <w:bookmarkEnd w:id="345"/>
      <w:bookmarkStart w:id="346" w:name="_Toc184314435"/>
      <w:bookmarkEnd w:id="346"/>
      <w:bookmarkStart w:id="347" w:name="_Toc184308044"/>
      <w:bookmarkEnd w:id="347"/>
      <w:bookmarkStart w:id="348" w:name="_Toc184314439"/>
      <w:bookmarkEnd w:id="348"/>
      <w:bookmarkStart w:id="349" w:name="_Toc184312075"/>
      <w:bookmarkEnd w:id="349"/>
      <w:bookmarkStart w:id="350" w:name="_Toc184310274"/>
      <w:bookmarkEnd w:id="350"/>
      <w:bookmarkStart w:id="351" w:name="_Toc184312108"/>
      <w:bookmarkEnd w:id="351"/>
      <w:bookmarkStart w:id="352" w:name="_Toc184308056"/>
      <w:bookmarkEnd w:id="352"/>
      <w:bookmarkStart w:id="353" w:name="_Toc184313266"/>
      <w:bookmarkEnd w:id="353"/>
      <w:bookmarkStart w:id="354" w:name="_Toc184313277"/>
      <w:bookmarkEnd w:id="354"/>
      <w:bookmarkStart w:id="355" w:name="_Toc184313282"/>
      <w:bookmarkEnd w:id="355"/>
      <w:bookmarkStart w:id="356" w:name="_Toc184313252"/>
      <w:bookmarkEnd w:id="356"/>
      <w:bookmarkStart w:id="357" w:name="_Toc184310311"/>
      <w:bookmarkEnd w:id="357"/>
      <w:bookmarkStart w:id="358" w:name="_Toc184310302"/>
      <w:bookmarkEnd w:id="358"/>
      <w:bookmarkStart w:id="359" w:name="_Toc184308091"/>
      <w:bookmarkEnd w:id="359"/>
      <w:bookmarkStart w:id="360" w:name="_Toc184308040"/>
      <w:bookmarkEnd w:id="360"/>
      <w:bookmarkStart w:id="361" w:name="_Toc184308055"/>
      <w:bookmarkEnd w:id="361"/>
      <w:bookmarkStart w:id="362" w:name="_Toc184312082"/>
      <w:bookmarkEnd w:id="362"/>
      <w:bookmarkStart w:id="363" w:name="_Toc184313267"/>
      <w:bookmarkEnd w:id="363"/>
      <w:bookmarkStart w:id="364" w:name="_Toc184314453"/>
      <w:bookmarkEnd w:id="364"/>
      <w:bookmarkStart w:id="365" w:name="_Toc184312114"/>
      <w:bookmarkEnd w:id="365"/>
      <w:bookmarkStart w:id="366" w:name="_Toc184313269"/>
      <w:bookmarkEnd w:id="366"/>
      <w:bookmarkStart w:id="367" w:name="_Toc184308104"/>
      <w:bookmarkEnd w:id="367"/>
      <w:bookmarkStart w:id="368" w:name="_Toc184312089"/>
      <w:bookmarkEnd w:id="368"/>
      <w:bookmarkStart w:id="369" w:name="_Toc184310287"/>
      <w:bookmarkEnd w:id="369"/>
      <w:bookmarkStart w:id="370" w:name="_Toc184308037"/>
      <w:bookmarkEnd w:id="370"/>
      <w:bookmarkStart w:id="371" w:name="_Toc184308079"/>
      <w:bookmarkEnd w:id="371"/>
      <w:bookmarkStart w:id="372" w:name="_Toc184314479"/>
      <w:bookmarkEnd w:id="372"/>
      <w:bookmarkStart w:id="373" w:name="_Toc184314426"/>
      <w:bookmarkEnd w:id="373"/>
      <w:bookmarkStart w:id="374" w:name="_Toc184312139"/>
      <w:bookmarkEnd w:id="374"/>
      <w:bookmarkStart w:id="375" w:name="_Toc184313293"/>
      <w:bookmarkEnd w:id="375"/>
      <w:bookmarkStart w:id="376" w:name="_Toc184312135"/>
      <w:bookmarkEnd w:id="376"/>
      <w:bookmarkStart w:id="377" w:name="_Toc184314458"/>
      <w:bookmarkEnd w:id="377"/>
      <w:bookmarkStart w:id="378" w:name="_Toc184313305"/>
      <w:bookmarkEnd w:id="378"/>
      <w:bookmarkStart w:id="379" w:name="_Toc184310337"/>
      <w:bookmarkEnd w:id="379"/>
      <w:bookmarkStart w:id="380" w:name="_Toc184308095"/>
      <w:bookmarkEnd w:id="380"/>
      <w:bookmarkStart w:id="381" w:name="_Toc184308051"/>
      <w:bookmarkEnd w:id="381"/>
      <w:bookmarkStart w:id="382" w:name="_Toc184310294"/>
      <w:bookmarkEnd w:id="382"/>
      <w:bookmarkStart w:id="383" w:name="_Toc184313298"/>
      <w:bookmarkEnd w:id="383"/>
      <w:bookmarkStart w:id="384" w:name="_Toc184310286"/>
      <w:bookmarkEnd w:id="384"/>
      <w:bookmarkStart w:id="385" w:name="_Toc184313262"/>
      <w:bookmarkEnd w:id="385"/>
      <w:bookmarkStart w:id="386" w:name="_Toc184312123"/>
      <w:bookmarkEnd w:id="386"/>
      <w:bookmarkStart w:id="387" w:name="_Toc184314411"/>
      <w:bookmarkEnd w:id="387"/>
      <w:bookmarkStart w:id="388" w:name="_Toc184308105"/>
      <w:bookmarkEnd w:id="388"/>
      <w:bookmarkStart w:id="389" w:name="_Toc184310317"/>
      <w:bookmarkEnd w:id="389"/>
      <w:bookmarkStart w:id="390" w:name="_Toc184313243"/>
      <w:bookmarkEnd w:id="390"/>
      <w:bookmarkStart w:id="391" w:name="_Toc184312112"/>
      <w:bookmarkEnd w:id="391"/>
      <w:bookmarkStart w:id="392" w:name="_Toc184313306"/>
      <w:bookmarkEnd w:id="392"/>
      <w:bookmarkStart w:id="393" w:name="_Toc184312100"/>
      <w:bookmarkEnd w:id="393"/>
      <w:bookmarkStart w:id="394" w:name="_Toc184313247"/>
      <w:bookmarkEnd w:id="394"/>
      <w:bookmarkStart w:id="395" w:name="_Toc184314461"/>
      <w:bookmarkEnd w:id="395"/>
      <w:bookmarkStart w:id="396" w:name="_Toc184308094"/>
      <w:bookmarkEnd w:id="396"/>
      <w:bookmarkStart w:id="397" w:name="_Toc184314472"/>
      <w:bookmarkEnd w:id="397"/>
      <w:r>
        <w:rPr>
          <w:rFonts w:hint="eastAsia" w:ascii="宋体" w:hAnsi="宋体" w:cs="宋体"/>
          <w:b/>
          <w:sz w:val="36"/>
          <w:szCs w:val="36"/>
        </w:rPr>
        <w:t>评标办法</w:t>
      </w:r>
    </w:p>
    <w:p>
      <w:pPr>
        <w:snapToGrid w:val="0"/>
        <w:spacing w:line="360" w:lineRule="auto"/>
        <w:jc w:val="center"/>
        <w:rPr>
          <w:rFonts w:ascii="宋体" w:hAnsi="宋体" w:cs="宋体"/>
          <w:b/>
          <w:sz w:val="24"/>
        </w:rPr>
      </w:pPr>
      <w:r>
        <w:rPr>
          <w:rFonts w:hint="eastAsia" w:ascii="宋体" w:hAnsi="宋体" w:cs="宋体"/>
          <w:b/>
          <w:sz w:val="24"/>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805"/>
        <w:gridCol w:w="674"/>
        <w:gridCol w:w="93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36" w:type="dxa"/>
            <w:vAlign w:val="center"/>
          </w:tcPr>
          <w:p>
            <w:pPr>
              <w:snapToGrid w:val="0"/>
              <w:jc w:val="center"/>
              <w:rPr>
                <w:rFonts w:ascii="宋体" w:hAnsi="宋体" w:cs="宋体"/>
                <w:szCs w:val="21"/>
              </w:rPr>
            </w:pPr>
            <w:r>
              <w:rPr>
                <w:rFonts w:hint="eastAsia" w:ascii="宋体" w:hAnsi="宋体" w:cs="宋体"/>
                <w:szCs w:val="21"/>
              </w:rPr>
              <w:t>序号</w:t>
            </w:r>
          </w:p>
        </w:tc>
        <w:tc>
          <w:tcPr>
            <w:tcW w:w="5805" w:type="dxa"/>
            <w:vAlign w:val="center"/>
          </w:tcPr>
          <w:p>
            <w:pPr>
              <w:snapToGrid w:val="0"/>
              <w:jc w:val="center"/>
              <w:rPr>
                <w:rFonts w:ascii="宋体" w:hAnsi="宋体" w:cs="宋体"/>
                <w:szCs w:val="21"/>
              </w:rPr>
            </w:pPr>
            <w:r>
              <w:rPr>
                <w:rFonts w:hint="eastAsia" w:ascii="宋体" w:hAnsi="宋体" w:cs="宋体"/>
                <w:szCs w:val="21"/>
              </w:rPr>
              <w:t>评标标准</w:t>
            </w:r>
          </w:p>
        </w:tc>
        <w:tc>
          <w:tcPr>
            <w:tcW w:w="674" w:type="dxa"/>
            <w:vAlign w:val="center"/>
          </w:tcPr>
          <w:p>
            <w:pPr>
              <w:snapToGrid w:val="0"/>
              <w:jc w:val="center"/>
              <w:rPr>
                <w:rFonts w:ascii="宋体" w:hAnsi="宋体" w:cs="宋体"/>
                <w:szCs w:val="21"/>
              </w:rPr>
            </w:pPr>
            <w:r>
              <w:rPr>
                <w:rFonts w:hint="eastAsia" w:ascii="宋体" w:hAnsi="宋体" w:cs="宋体"/>
                <w:szCs w:val="21"/>
              </w:rPr>
              <w:t>权重</w:t>
            </w:r>
          </w:p>
        </w:tc>
        <w:tc>
          <w:tcPr>
            <w:tcW w:w="931" w:type="dxa"/>
            <w:vAlign w:val="center"/>
          </w:tcPr>
          <w:p>
            <w:pPr>
              <w:snapToGrid w:val="0"/>
              <w:jc w:val="center"/>
              <w:rPr>
                <w:rFonts w:ascii="宋体" w:hAnsi="宋体" w:cs="宋体"/>
                <w:bCs/>
                <w:szCs w:val="21"/>
              </w:rPr>
            </w:pPr>
            <w:r>
              <w:rPr>
                <w:rFonts w:hint="eastAsia" w:ascii="宋体" w:hAnsi="宋体" w:cs="宋体"/>
                <w:bCs/>
                <w:szCs w:val="21"/>
              </w:rPr>
              <w:t>主观分/客观分属性</w:t>
            </w:r>
          </w:p>
        </w:tc>
        <w:tc>
          <w:tcPr>
            <w:tcW w:w="1240" w:type="dxa"/>
          </w:tcPr>
          <w:p>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5805" w:type="dxa"/>
            <w:vAlign w:val="center"/>
          </w:tcPr>
          <w:p>
            <w:pPr>
              <w:widowControl/>
              <w:snapToGrid w:val="0"/>
              <w:jc w:val="left"/>
              <w:textAlignment w:val="center"/>
              <w:rPr>
                <w:rFonts w:ascii="宋体" w:hAnsi="宋体" w:cs="宋体"/>
                <w:kern w:val="0"/>
                <w:szCs w:val="21"/>
              </w:rPr>
            </w:pPr>
            <w:r>
              <w:rPr>
                <w:rFonts w:hint="eastAsia" w:ascii="宋体" w:hAnsi="宋体" w:cs="宋体"/>
                <w:kern w:val="0"/>
                <w:szCs w:val="21"/>
              </w:rPr>
              <w:t>根据国家金融监督管理总局提供的2023年第一季度保险消费投诉情况中万张保单投诉量按低到高顺序排名：第一名得5分，第二名得3分，第三名得1分，其他不得分。</w:t>
            </w:r>
          </w:p>
          <w:p>
            <w:pPr>
              <w:pStyle w:val="128"/>
              <w:spacing w:before="0" w:line="240" w:lineRule="auto"/>
              <w:ind w:firstLine="0" w:firstLineChars="0"/>
              <w:rPr>
                <w:rFonts w:ascii="宋体" w:hAnsi="宋体" w:cs="宋体"/>
                <w:sz w:val="21"/>
                <w:szCs w:val="21"/>
              </w:rPr>
            </w:pPr>
            <w:r>
              <w:rPr>
                <w:rFonts w:hint="eastAsia" w:ascii="宋体" w:hAnsi="宋体" w:cs="宋体"/>
                <w:b/>
                <w:bCs/>
                <w:kern w:val="0"/>
                <w:sz w:val="21"/>
                <w:szCs w:val="21"/>
              </w:rPr>
              <w:t>（须提供国家金融监督管理总局网站查询结果截屏，并加盖投标人公章，不提供不得分）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客观分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sz w:val="21"/>
                <w:szCs w:val="21"/>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2</w:t>
            </w:r>
          </w:p>
        </w:tc>
        <w:tc>
          <w:tcPr>
            <w:tcW w:w="5805" w:type="dxa"/>
            <w:vAlign w:val="center"/>
          </w:tcPr>
          <w:p>
            <w:pPr>
              <w:rPr>
                <w:rFonts w:ascii="宋体" w:hAnsi="宋体" w:cs="宋体"/>
                <w:szCs w:val="21"/>
              </w:rPr>
            </w:pPr>
            <w:r>
              <w:rPr>
                <w:rFonts w:hint="eastAsia" w:ascii="宋体" w:hAnsi="宋体" w:cs="宋体"/>
                <w:bCs/>
                <w:szCs w:val="21"/>
              </w:rPr>
              <w:t>投标人自2020年1月1日起至今，投标人承担类似医疗保险监管及经办业务业绩的，每个业绩得0.5分，最高1分。（</w:t>
            </w:r>
            <w:r>
              <w:rPr>
                <w:rFonts w:hint="eastAsia" w:ascii="宋体" w:hAnsi="宋体" w:cs="宋体"/>
                <w:b/>
                <w:bCs/>
                <w:szCs w:val="21"/>
              </w:rPr>
              <w:t>须提供相关合同复印件及验收证明复印件</w:t>
            </w:r>
            <w:r>
              <w:rPr>
                <w:rFonts w:hint="eastAsia" w:ascii="宋体" w:hAnsi="宋体" w:cs="宋体"/>
                <w:bCs/>
                <w:szCs w:val="21"/>
              </w:rPr>
              <w:t>）</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客观分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kern w:val="0"/>
                <w:sz w:val="21"/>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3</w:t>
            </w:r>
          </w:p>
        </w:tc>
        <w:tc>
          <w:tcPr>
            <w:tcW w:w="5805" w:type="dxa"/>
            <w:vAlign w:val="center"/>
          </w:tcPr>
          <w:p>
            <w:pPr>
              <w:pStyle w:val="2"/>
              <w:widowControl w:val="0"/>
              <w:adjustRightInd/>
              <w:spacing w:line="240" w:lineRule="auto"/>
              <w:ind w:firstLine="0"/>
              <w:rPr>
                <w:rFonts w:hAnsi="宋体" w:cs="宋体"/>
                <w:color w:val="auto"/>
                <w:kern w:val="0"/>
                <w:sz w:val="21"/>
                <w:szCs w:val="21"/>
              </w:rPr>
            </w:pPr>
            <w:r>
              <w:rPr>
                <w:rFonts w:hint="eastAsia" w:hAnsi="宋体" w:cs="宋体"/>
                <w:color w:val="auto"/>
                <w:kern w:val="0"/>
                <w:sz w:val="21"/>
                <w:szCs w:val="21"/>
              </w:rPr>
              <w:t>（1）当地医保合作项目运行评价为优秀的每个加1分，合格的0.5分，最高得3分。</w:t>
            </w:r>
          </w:p>
          <w:p>
            <w:pPr>
              <w:pStyle w:val="2"/>
              <w:widowControl w:val="0"/>
              <w:adjustRightInd/>
              <w:spacing w:line="240" w:lineRule="auto"/>
              <w:ind w:firstLine="0"/>
              <w:rPr>
                <w:rFonts w:hAnsi="宋体" w:cs="宋体"/>
                <w:color w:val="auto"/>
                <w:kern w:val="0"/>
                <w:sz w:val="21"/>
                <w:szCs w:val="21"/>
              </w:rPr>
            </w:pPr>
            <w:r>
              <w:rPr>
                <w:rFonts w:hint="eastAsia" w:hAnsi="宋体" w:cs="宋体"/>
                <w:color w:val="auto"/>
                <w:kern w:val="0"/>
                <w:sz w:val="21"/>
                <w:szCs w:val="21"/>
              </w:rPr>
              <w:t>（2）投标截止之日前项目获得县级及以上政府重点批示表彰的加2分。</w:t>
            </w:r>
          </w:p>
          <w:p>
            <w:pPr>
              <w:rPr>
                <w:rFonts w:ascii="宋体" w:hAnsi="宋体" w:cs="宋体"/>
                <w:kern w:val="0"/>
                <w:szCs w:val="21"/>
              </w:rPr>
            </w:pPr>
            <w:r>
              <w:rPr>
                <w:rFonts w:hint="eastAsia" w:ascii="宋体" w:hAnsi="宋体" w:cs="宋体"/>
                <w:b/>
                <w:bCs/>
                <w:kern w:val="0"/>
                <w:szCs w:val="21"/>
              </w:rPr>
              <w:t>（须提供</w:t>
            </w:r>
            <w:r>
              <w:rPr>
                <w:rFonts w:hint="eastAsia" w:hAnsi="宋体" w:cs="宋体"/>
                <w:b/>
                <w:bCs/>
                <w:kern w:val="0"/>
                <w:szCs w:val="21"/>
              </w:rPr>
              <w:t>项目运行评价报告及政府批示证明</w:t>
            </w:r>
            <w:r>
              <w:rPr>
                <w:rFonts w:hint="eastAsia" w:ascii="宋体" w:hAnsi="宋体" w:cs="宋体"/>
                <w:b/>
                <w:bCs/>
                <w:kern w:val="0"/>
                <w:szCs w:val="21"/>
              </w:rPr>
              <w:t>材料，并加盖投标人公章</w:t>
            </w:r>
            <w:r>
              <w:rPr>
                <w:rFonts w:hint="eastAsia" w:hAnsi="宋体" w:cs="宋体"/>
                <w:b/>
                <w:bCs/>
                <w:kern w:val="0"/>
                <w:szCs w:val="21"/>
              </w:rPr>
              <w:t>，</w:t>
            </w:r>
            <w:r>
              <w:rPr>
                <w:rFonts w:hint="eastAsia" w:ascii="宋体" w:hAnsi="宋体" w:cs="宋体"/>
                <w:b/>
                <w:bCs/>
                <w:kern w:val="0"/>
                <w:szCs w:val="21"/>
              </w:rPr>
              <w:t>不提供不得分。）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客观分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bCs/>
                <w:sz w:val="21"/>
                <w:szCs w:val="21"/>
              </w:rPr>
              <w:t>合作项目评价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4</w:t>
            </w:r>
          </w:p>
        </w:tc>
        <w:tc>
          <w:tcPr>
            <w:tcW w:w="5805" w:type="dxa"/>
            <w:vAlign w:val="center"/>
          </w:tcPr>
          <w:p>
            <w:pPr>
              <w:pStyle w:val="2"/>
              <w:widowControl w:val="0"/>
              <w:adjustRightInd/>
              <w:spacing w:line="240" w:lineRule="auto"/>
              <w:ind w:firstLine="0"/>
              <w:jc w:val="left"/>
              <w:rPr>
                <w:rFonts w:hAnsi="宋体" w:cs="宋体"/>
                <w:snapToGrid/>
                <w:color w:val="auto"/>
                <w:kern w:val="0"/>
                <w:sz w:val="21"/>
                <w:szCs w:val="21"/>
              </w:rPr>
            </w:pPr>
            <w:r>
              <w:rPr>
                <w:rFonts w:hint="eastAsia" w:hAnsi="宋体" w:cs="宋体"/>
                <w:snapToGrid/>
                <w:color w:val="auto"/>
                <w:kern w:val="0"/>
                <w:sz w:val="21"/>
                <w:szCs w:val="21"/>
              </w:rPr>
              <w:t>根据参加投标的保险公司其总公司2023年第二季度的综合偿付能力充足率：偿付能力220%（含）以上的得10分；215（含）-220 %的得7分；210（含）-215%的得4分；200（含）-210%的得1分；低于200%的不得分。</w:t>
            </w:r>
          </w:p>
          <w:p>
            <w:pPr>
              <w:pStyle w:val="2"/>
              <w:widowControl w:val="0"/>
              <w:adjustRightInd/>
              <w:spacing w:line="240" w:lineRule="auto"/>
              <w:ind w:firstLine="0"/>
              <w:rPr>
                <w:rFonts w:hAnsi="宋体" w:cs="宋体"/>
                <w:color w:val="auto"/>
                <w:kern w:val="0"/>
                <w:sz w:val="21"/>
                <w:szCs w:val="21"/>
              </w:rPr>
            </w:pPr>
            <w:r>
              <w:rPr>
                <w:rFonts w:hint="eastAsia" w:hAnsi="宋体" w:cs="宋体"/>
                <w:snapToGrid/>
                <w:color w:val="auto"/>
                <w:kern w:val="0"/>
                <w:sz w:val="21"/>
                <w:szCs w:val="21"/>
              </w:rPr>
              <w:t>（须提供中国保险行业协会披露报告并加盖投标人公章，不提供不得分。）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客观分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hAnsi="宋体" w:cs="宋体"/>
                <w:kern w:val="0"/>
                <w:sz w:val="21"/>
                <w:szCs w:val="21"/>
              </w:rPr>
              <w:t>偿付能力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5805" w:type="dxa"/>
            <w:vAlign w:val="center"/>
          </w:tcPr>
          <w:p>
            <w:pPr>
              <w:pStyle w:val="2"/>
              <w:widowControl w:val="0"/>
              <w:adjustRightInd/>
              <w:spacing w:line="240" w:lineRule="auto"/>
              <w:ind w:firstLine="0"/>
              <w:rPr>
                <w:rFonts w:hAnsi="宋体" w:cs="宋体"/>
                <w:color w:val="auto"/>
                <w:kern w:val="0"/>
                <w:sz w:val="21"/>
                <w:szCs w:val="21"/>
              </w:rPr>
            </w:pPr>
            <w:r>
              <w:rPr>
                <w:rFonts w:hint="eastAsia" w:hAnsi="宋体" w:cs="宋体"/>
                <w:snapToGrid/>
                <w:color w:val="auto"/>
                <w:kern w:val="0"/>
                <w:sz w:val="21"/>
                <w:szCs w:val="21"/>
              </w:rPr>
              <w:t>根据参加投标的保险公司其总公司2023年第二季度的核心偿付能力充足率：偿付能力190%（含）以上的得10分；180（含）-190%的得7分；170（含）-180%的得4分；160（含）-170%的得1分；低于160%的不得分。（须提供中国保险行业协会披露报告并加盖投标人公章，不提供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客观分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hAnsi="宋体" w:cs="宋体"/>
                <w:kern w:val="0"/>
                <w:sz w:val="21"/>
                <w:szCs w:val="21"/>
              </w:rPr>
              <w:t>偿付能力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6</w:t>
            </w:r>
          </w:p>
        </w:tc>
        <w:tc>
          <w:tcPr>
            <w:tcW w:w="5805" w:type="dxa"/>
            <w:vAlign w:val="center"/>
          </w:tcPr>
          <w:p>
            <w:pPr>
              <w:widowControl/>
              <w:rPr>
                <w:rFonts w:ascii="宋体" w:hAnsi="宋体" w:cs="宋体"/>
                <w:bCs/>
                <w:szCs w:val="21"/>
              </w:rPr>
            </w:pPr>
            <w:r>
              <w:rPr>
                <w:rFonts w:hint="eastAsia" w:ascii="宋体" w:hAnsi="宋体" w:cs="宋体"/>
                <w:bCs/>
                <w:szCs w:val="21"/>
              </w:rPr>
              <w:t>根据投标人对完成本项目的总体思路，围绕科学管理、优质服务、审核监督、费用管理、成本预算、人员配备、网络建设等方面。</w:t>
            </w:r>
          </w:p>
          <w:p>
            <w:pPr>
              <w:widowControl/>
              <w:rPr>
                <w:rFonts w:ascii="宋体" w:hAnsi="宋体" w:cs="宋体"/>
                <w:bCs/>
                <w:szCs w:val="21"/>
              </w:rPr>
            </w:pPr>
            <w:r>
              <w:rPr>
                <w:rFonts w:hint="eastAsia" w:ascii="宋体" w:hAnsi="宋体" w:cs="宋体"/>
                <w:bCs/>
                <w:szCs w:val="21"/>
              </w:rPr>
              <w:t>①总体思路清晰可实施性强得5分；</w:t>
            </w:r>
          </w:p>
          <w:p>
            <w:pPr>
              <w:widowControl/>
              <w:rPr>
                <w:rFonts w:ascii="宋体" w:hAnsi="宋体" w:cs="宋体"/>
                <w:bCs/>
                <w:szCs w:val="21"/>
              </w:rPr>
            </w:pPr>
            <w:r>
              <w:rPr>
                <w:rFonts w:hint="eastAsia" w:ascii="宋体" w:hAnsi="宋体" w:cs="宋体"/>
                <w:bCs/>
                <w:szCs w:val="21"/>
              </w:rPr>
              <w:t>②总体思路较清晰可实施得4分；</w:t>
            </w:r>
          </w:p>
          <w:p>
            <w:pPr>
              <w:widowControl/>
              <w:rPr>
                <w:rFonts w:ascii="宋体" w:hAnsi="宋体" w:cs="宋体"/>
                <w:bCs/>
                <w:szCs w:val="21"/>
              </w:rPr>
            </w:pPr>
            <w:r>
              <w:rPr>
                <w:rFonts w:hint="eastAsia" w:ascii="宋体" w:hAnsi="宋体" w:cs="宋体"/>
                <w:bCs/>
                <w:szCs w:val="21"/>
              </w:rPr>
              <w:t>③总体思路一般尚可实施得3分；</w:t>
            </w:r>
          </w:p>
          <w:p>
            <w:pPr>
              <w:widowControl/>
              <w:rPr>
                <w:rFonts w:ascii="宋体" w:hAnsi="宋体" w:cs="宋体"/>
                <w:bCs/>
                <w:szCs w:val="21"/>
              </w:rPr>
            </w:pPr>
            <w:r>
              <w:rPr>
                <w:rFonts w:hint="eastAsia" w:ascii="宋体" w:hAnsi="宋体" w:cs="宋体"/>
                <w:bCs/>
                <w:szCs w:val="21"/>
              </w:rPr>
              <w:t>④总体思路一般基本可行得2分；</w:t>
            </w:r>
          </w:p>
          <w:p>
            <w:pPr>
              <w:widowControl/>
              <w:rPr>
                <w:rFonts w:ascii="宋体" w:hAnsi="宋体" w:cs="宋体"/>
                <w:bCs/>
                <w:szCs w:val="21"/>
              </w:rPr>
            </w:pPr>
            <w:r>
              <w:rPr>
                <w:rFonts w:hint="eastAsia" w:ascii="宋体" w:hAnsi="宋体" w:cs="宋体"/>
                <w:bCs/>
                <w:szCs w:val="21"/>
              </w:rPr>
              <w:t>⑤总体思路一般有缺陷需完善后实施得1分；</w:t>
            </w:r>
          </w:p>
          <w:p>
            <w:pPr>
              <w:rPr>
                <w:rFonts w:ascii="宋体" w:hAnsi="宋体" w:cs="仿宋"/>
                <w:szCs w:val="21"/>
              </w:rPr>
            </w:pPr>
            <w:r>
              <w:rPr>
                <w:rFonts w:hint="eastAsia" w:ascii="宋体" w:hAnsi="宋体" w:cs="宋体"/>
                <w:bCs/>
                <w:szCs w:val="21"/>
              </w:rPr>
              <w:t>⑥总体思路一般不满足采购需求或未提供的不得分。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bCs/>
                <w:sz w:val="21"/>
                <w:szCs w:val="21"/>
              </w:rPr>
              <w:t>总体思路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7</w:t>
            </w:r>
          </w:p>
        </w:tc>
        <w:tc>
          <w:tcPr>
            <w:tcW w:w="5805" w:type="dxa"/>
            <w:vAlign w:val="center"/>
          </w:tcPr>
          <w:p>
            <w:pPr>
              <w:rPr>
                <w:rFonts w:ascii="宋体" w:hAnsi="宋体" w:cs="仿宋"/>
                <w:szCs w:val="21"/>
              </w:rPr>
            </w:pPr>
            <w:r>
              <w:rPr>
                <w:rFonts w:hint="eastAsia" w:ascii="宋体" w:hAnsi="宋体" w:cs="宋体"/>
                <w:bCs/>
                <w:szCs w:val="21"/>
              </w:rPr>
              <w:t>提供专业的政保服务平台，具有政保调查、费用分析、视频监控、智慧医疗辅助分析系统或功能并承诺免费提供给招标人使用的，已开发并被认可的系统或功能每</w:t>
            </w:r>
            <w:bookmarkStart w:id="516" w:name="_GoBack"/>
            <w:bookmarkEnd w:id="516"/>
            <w:r>
              <w:rPr>
                <w:rFonts w:hint="eastAsia" w:ascii="宋体" w:hAnsi="宋体" w:cs="宋体"/>
                <w:bCs/>
                <w:szCs w:val="21"/>
              </w:rPr>
              <w:t>个得1分；未开发但承诺在中标后签订协议时投入使用的系统或功能每个得0.5分。最高得4分。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4</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lang w:val="en-US" w:eastAsia="zh-CN"/>
              </w:rPr>
              <w:t>客观</w:t>
            </w:r>
            <w:r>
              <w:rPr>
                <w:rFonts w:hint="eastAsia" w:ascii="宋体" w:hAnsi="宋体" w:cs="宋体"/>
                <w:bCs/>
                <w:sz w:val="21"/>
                <w:szCs w:val="21"/>
              </w:rPr>
              <w:t>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kern w:val="0"/>
                <w:sz w:val="21"/>
                <w:szCs w:val="21"/>
              </w:rPr>
              <w:t>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8</w:t>
            </w:r>
          </w:p>
        </w:tc>
        <w:tc>
          <w:tcPr>
            <w:tcW w:w="5805" w:type="dxa"/>
            <w:vAlign w:val="center"/>
          </w:tcPr>
          <w:p>
            <w:pPr>
              <w:widowControl/>
              <w:rPr>
                <w:rFonts w:ascii="宋体" w:hAnsi="宋体" w:cs="宋体"/>
                <w:bCs/>
                <w:szCs w:val="21"/>
              </w:rPr>
            </w:pPr>
            <w:r>
              <w:rPr>
                <w:rFonts w:hint="eastAsia" w:ascii="宋体" w:hAnsi="宋体" w:cs="宋体"/>
                <w:bCs/>
                <w:szCs w:val="21"/>
              </w:rPr>
              <w:t>出具详细基本医保、大病保险服务方案及医保基金监管方案，具有有效措施做到事前预防，事中监督，事后稽核，控制查处不合理医疗费用，每季提供医疗费用精算报告，分析费用增长趋势，提出管控方案。</w:t>
            </w:r>
          </w:p>
          <w:p>
            <w:pPr>
              <w:widowControl/>
              <w:rPr>
                <w:rFonts w:ascii="宋体" w:hAnsi="宋体" w:cs="宋体"/>
                <w:bCs/>
                <w:szCs w:val="21"/>
              </w:rPr>
            </w:pPr>
            <w:r>
              <w:rPr>
                <w:rFonts w:hint="eastAsia" w:ascii="宋体" w:hAnsi="宋体" w:cs="宋体"/>
                <w:bCs/>
                <w:szCs w:val="21"/>
              </w:rPr>
              <w:t>①监管方案内容完善可实施性强得5分；</w:t>
            </w:r>
          </w:p>
          <w:p>
            <w:pPr>
              <w:widowControl/>
              <w:rPr>
                <w:rFonts w:ascii="宋体" w:hAnsi="宋体" w:cs="宋体"/>
                <w:bCs/>
                <w:szCs w:val="21"/>
              </w:rPr>
            </w:pPr>
            <w:r>
              <w:rPr>
                <w:rFonts w:hint="eastAsia" w:ascii="宋体" w:hAnsi="宋体" w:cs="宋体"/>
                <w:bCs/>
                <w:szCs w:val="21"/>
              </w:rPr>
              <w:t>②监管方案内容较完善可实施得4分；</w:t>
            </w:r>
          </w:p>
          <w:p>
            <w:pPr>
              <w:widowControl/>
              <w:rPr>
                <w:rFonts w:ascii="宋体" w:hAnsi="宋体" w:cs="宋体"/>
                <w:bCs/>
                <w:szCs w:val="21"/>
              </w:rPr>
            </w:pPr>
            <w:r>
              <w:rPr>
                <w:rFonts w:hint="eastAsia" w:ascii="宋体" w:hAnsi="宋体" w:cs="宋体"/>
                <w:bCs/>
                <w:szCs w:val="21"/>
              </w:rPr>
              <w:t>③监管方案内容简单尚可实施得3分；</w:t>
            </w:r>
          </w:p>
          <w:p>
            <w:pPr>
              <w:widowControl/>
              <w:rPr>
                <w:rFonts w:ascii="宋体" w:hAnsi="宋体" w:cs="宋体"/>
                <w:bCs/>
                <w:szCs w:val="21"/>
              </w:rPr>
            </w:pPr>
            <w:r>
              <w:rPr>
                <w:rFonts w:hint="eastAsia" w:ascii="宋体" w:hAnsi="宋体" w:cs="宋体"/>
                <w:bCs/>
                <w:szCs w:val="21"/>
              </w:rPr>
              <w:t>④监管方案内容简单基本可行得2分；</w:t>
            </w:r>
          </w:p>
          <w:p>
            <w:pPr>
              <w:widowControl/>
              <w:rPr>
                <w:rFonts w:ascii="宋体" w:hAnsi="宋体" w:cs="宋体"/>
                <w:bCs/>
                <w:szCs w:val="21"/>
              </w:rPr>
            </w:pPr>
            <w:r>
              <w:rPr>
                <w:rFonts w:hint="eastAsia" w:ascii="宋体" w:hAnsi="宋体" w:cs="宋体"/>
                <w:bCs/>
                <w:szCs w:val="21"/>
              </w:rPr>
              <w:t>⑤监管方案内容有缺陷需完善后实施得1分；</w:t>
            </w:r>
          </w:p>
          <w:p>
            <w:pPr>
              <w:pStyle w:val="128"/>
              <w:spacing w:before="0" w:line="240" w:lineRule="auto"/>
              <w:ind w:firstLine="0" w:firstLineChars="0"/>
              <w:jc w:val="left"/>
              <w:rPr>
                <w:rFonts w:ascii="宋体" w:hAnsi="宋体" w:cs="宋体"/>
                <w:sz w:val="21"/>
                <w:szCs w:val="21"/>
              </w:rPr>
            </w:pPr>
            <w:r>
              <w:rPr>
                <w:rFonts w:hint="eastAsia" w:ascii="宋体" w:hAnsi="宋体" w:cs="宋体"/>
                <w:bCs/>
                <w:sz w:val="21"/>
                <w:szCs w:val="21"/>
              </w:rPr>
              <w:t>⑥监管方案不满足需求或未提供的不得分。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kern w:val="0"/>
                <w:sz w:val="21"/>
                <w:szCs w:val="21"/>
              </w:rPr>
              <w:t>监管方案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9</w:t>
            </w:r>
          </w:p>
        </w:tc>
        <w:tc>
          <w:tcPr>
            <w:tcW w:w="5805" w:type="dxa"/>
            <w:vAlign w:val="center"/>
          </w:tcPr>
          <w:p>
            <w:pPr>
              <w:widowControl/>
              <w:rPr>
                <w:rFonts w:ascii="宋体" w:hAnsi="宋体"/>
                <w:szCs w:val="21"/>
              </w:rPr>
            </w:pPr>
            <w:r>
              <w:rPr>
                <w:rFonts w:hint="eastAsia" w:ascii="宋体" w:hAnsi="宋体" w:cs="宋体"/>
                <w:bCs/>
                <w:szCs w:val="21"/>
              </w:rPr>
              <w:t>根据本项目设置的内控方案，应提供管理制度、人员培训考核、顾客投诉处理情况进行打分，最高得5分。</w:t>
            </w:r>
          </w:p>
          <w:p>
            <w:pPr>
              <w:widowControl/>
              <w:rPr>
                <w:rFonts w:ascii="宋体" w:hAnsi="宋体" w:cs="宋体"/>
                <w:bCs/>
                <w:szCs w:val="21"/>
              </w:rPr>
            </w:pPr>
            <w:r>
              <w:rPr>
                <w:rFonts w:hint="eastAsia" w:ascii="宋体" w:hAnsi="宋体" w:cs="宋体"/>
                <w:szCs w:val="21"/>
              </w:rPr>
              <w:t>①</w:t>
            </w:r>
            <w:r>
              <w:rPr>
                <w:rFonts w:hint="eastAsia" w:ascii="宋体" w:hAnsi="宋体" w:cs="宋体"/>
                <w:bCs/>
                <w:szCs w:val="21"/>
              </w:rPr>
              <w:t>内控方案内容完善可实施性强得5分；</w:t>
            </w:r>
          </w:p>
          <w:p>
            <w:pPr>
              <w:widowControl/>
              <w:rPr>
                <w:rFonts w:ascii="宋体" w:hAnsi="宋体" w:cs="宋体"/>
                <w:bCs/>
                <w:szCs w:val="21"/>
              </w:rPr>
            </w:pPr>
            <w:r>
              <w:rPr>
                <w:rFonts w:hint="eastAsia" w:ascii="宋体" w:hAnsi="宋体" w:cs="宋体"/>
                <w:bCs/>
                <w:szCs w:val="21"/>
              </w:rPr>
              <w:t>②内控方案内容较完善可实施得4分；</w:t>
            </w:r>
          </w:p>
          <w:p>
            <w:pPr>
              <w:widowControl/>
              <w:rPr>
                <w:rFonts w:ascii="宋体" w:hAnsi="宋体" w:cs="宋体"/>
                <w:bCs/>
                <w:szCs w:val="21"/>
              </w:rPr>
            </w:pPr>
            <w:r>
              <w:rPr>
                <w:rFonts w:hint="eastAsia" w:ascii="宋体" w:hAnsi="宋体" w:cs="宋体"/>
                <w:bCs/>
                <w:szCs w:val="21"/>
              </w:rPr>
              <w:t>③内控方案内容简单尚可实施得3分；</w:t>
            </w:r>
          </w:p>
          <w:p>
            <w:pPr>
              <w:widowControl/>
              <w:rPr>
                <w:rFonts w:ascii="宋体" w:hAnsi="宋体" w:cs="宋体"/>
                <w:bCs/>
                <w:szCs w:val="21"/>
              </w:rPr>
            </w:pPr>
            <w:r>
              <w:rPr>
                <w:rFonts w:hint="eastAsia" w:ascii="宋体" w:hAnsi="宋体" w:cs="宋体"/>
                <w:bCs/>
                <w:szCs w:val="21"/>
              </w:rPr>
              <w:t xml:space="preserve">④内控方案内容简单基本可行得2分； </w:t>
            </w:r>
          </w:p>
          <w:p>
            <w:pPr>
              <w:widowControl/>
              <w:rPr>
                <w:rFonts w:ascii="宋体" w:hAnsi="宋体" w:cs="宋体"/>
                <w:bCs/>
                <w:szCs w:val="21"/>
              </w:rPr>
            </w:pPr>
            <w:r>
              <w:rPr>
                <w:rFonts w:hint="eastAsia" w:ascii="宋体" w:hAnsi="宋体" w:cs="宋体"/>
                <w:bCs/>
                <w:szCs w:val="21"/>
              </w:rPr>
              <w:t>⑤内控方案内容有缺陷需完善后实施得1分；</w:t>
            </w:r>
          </w:p>
          <w:p>
            <w:pPr>
              <w:pStyle w:val="128"/>
              <w:spacing w:before="0" w:line="240" w:lineRule="auto"/>
              <w:ind w:firstLine="0" w:firstLineChars="0"/>
              <w:jc w:val="left"/>
              <w:rPr>
                <w:rFonts w:ascii="宋体" w:hAnsi="宋体" w:cs="宋体"/>
                <w:bCs/>
                <w:sz w:val="21"/>
                <w:szCs w:val="21"/>
              </w:rPr>
            </w:pPr>
            <w:r>
              <w:rPr>
                <w:rFonts w:hint="eastAsia" w:ascii="宋体" w:hAnsi="宋体" w:cs="宋体"/>
                <w:bCs/>
                <w:sz w:val="21"/>
                <w:szCs w:val="21"/>
              </w:rPr>
              <w:t>⑥内控方案不满足需求或未提供的不得分。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kern w:val="0"/>
                <w:sz w:val="21"/>
                <w:szCs w:val="21"/>
                <w:lang w:val="zh-CN"/>
              </w:rPr>
              <w:t>内控方案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5805" w:type="dxa"/>
            <w:vAlign w:val="center"/>
          </w:tcPr>
          <w:p>
            <w:pPr>
              <w:widowControl/>
              <w:rPr>
                <w:rFonts w:ascii="宋体" w:hAnsi="宋体" w:cs="宋体"/>
                <w:bCs/>
                <w:szCs w:val="21"/>
              </w:rPr>
            </w:pPr>
            <w:r>
              <w:rPr>
                <w:rFonts w:hint="eastAsia" w:ascii="宋体" w:hAnsi="宋体" w:cs="宋体"/>
                <w:bCs/>
                <w:szCs w:val="21"/>
              </w:rPr>
              <w:t>根据投标供应商提供应急突发事件的响应和处理方案进行评分。最高5分。</w:t>
            </w:r>
          </w:p>
          <w:p>
            <w:pPr>
              <w:widowControl/>
              <w:rPr>
                <w:rFonts w:ascii="宋体" w:hAnsi="宋体" w:cs="宋体"/>
                <w:bCs/>
                <w:szCs w:val="21"/>
              </w:rPr>
            </w:pPr>
            <w:r>
              <w:rPr>
                <w:rFonts w:hint="eastAsia" w:ascii="宋体" w:hAnsi="宋体" w:cs="宋体"/>
                <w:szCs w:val="21"/>
              </w:rPr>
              <w:t>①</w:t>
            </w:r>
            <w:r>
              <w:rPr>
                <w:rFonts w:hint="eastAsia" w:ascii="宋体" w:hAnsi="宋体" w:cs="宋体"/>
                <w:bCs/>
                <w:szCs w:val="21"/>
              </w:rPr>
              <w:t>预案内容完善可实施性强得5分；</w:t>
            </w:r>
          </w:p>
          <w:p>
            <w:pPr>
              <w:widowControl/>
              <w:rPr>
                <w:rFonts w:ascii="宋体" w:hAnsi="宋体" w:cs="宋体"/>
                <w:bCs/>
                <w:szCs w:val="21"/>
              </w:rPr>
            </w:pPr>
            <w:r>
              <w:rPr>
                <w:rFonts w:hint="eastAsia" w:ascii="宋体" w:hAnsi="宋体" w:cs="宋体"/>
                <w:bCs/>
                <w:szCs w:val="21"/>
              </w:rPr>
              <w:t>②预案内容较完善可实施得4分；</w:t>
            </w:r>
          </w:p>
          <w:p>
            <w:pPr>
              <w:widowControl/>
              <w:rPr>
                <w:rFonts w:ascii="宋体" w:hAnsi="宋体" w:cs="宋体"/>
                <w:bCs/>
                <w:szCs w:val="21"/>
              </w:rPr>
            </w:pPr>
            <w:r>
              <w:rPr>
                <w:rFonts w:hint="eastAsia" w:ascii="宋体" w:hAnsi="宋体" w:cs="宋体"/>
                <w:bCs/>
                <w:szCs w:val="21"/>
              </w:rPr>
              <w:t>③预案内容简单尚可实施得3分；</w:t>
            </w:r>
          </w:p>
          <w:p>
            <w:pPr>
              <w:widowControl/>
              <w:rPr>
                <w:rFonts w:ascii="宋体" w:hAnsi="宋体" w:cs="宋体"/>
                <w:bCs/>
                <w:szCs w:val="21"/>
              </w:rPr>
            </w:pPr>
            <w:r>
              <w:rPr>
                <w:rFonts w:hint="eastAsia" w:ascii="宋体" w:hAnsi="宋体" w:cs="宋体"/>
                <w:bCs/>
                <w:szCs w:val="21"/>
              </w:rPr>
              <w:t xml:space="preserve">④预案内容简单基本可行得2分； </w:t>
            </w:r>
          </w:p>
          <w:p>
            <w:pPr>
              <w:widowControl/>
              <w:rPr>
                <w:rFonts w:ascii="宋体" w:hAnsi="宋体" w:cs="宋体"/>
                <w:bCs/>
                <w:szCs w:val="21"/>
              </w:rPr>
            </w:pPr>
            <w:r>
              <w:rPr>
                <w:rFonts w:hint="eastAsia" w:ascii="宋体" w:hAnsi="宋体" w:cs="宋体"/>
                <w:bCs/>
                <w:szCs w:val="21"/>
              </w:rPr>
              <w:t>⑤预案内容有缺陷需完善后实施得1分；</w:t>
            </w:r>
          </w:p>
          <w:p>
            <w:pPr>
              <w:pStyle w:val="128"/>
              <w:spacing w:before="0" w:line="240" w:lineRule="auto"/>
              <w:ind w:firstLine="0" w:firstLineChars="0"/>
              <w:jc w:val="left"/>
              <w:rPr>
                <w:rFonts w:ascii="宋体" w:hAnsi="宋体" w:cs="宋体"/>
                <w:sz w:val="21"/>
                <w:szCs w:val="21"/>
              </w:rPr>
            </w:pPr>
            <w:r>
              <w:rPr>
                <w:rFonts w:hint="eastAsia" w:ascii="宋体" w:hAnsi="宋体" w:cs="宋体"/>
                <w:bCs/>
                <w:sz w:val="21"/>
                <w:szCs w:val="21"/>
              </w:rPr>
              <w:t>⑥预案不满足需求或未提供的不得分。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sz w:val="21"/>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11</w:t>
            </w:r>
          </w:p>
        </w:tc>
        <w:tc>
          <w:tcPr>
            <w:tcW w:w="5805" w:type="dxa"/>
            <w:vAlign w:val="center"/>
          </w:tcPr>
          <w:p>
            <w:pPr>
              <w:widowControl/>
              <w:rPr>
                <w:rFonts w:ascii="宋体" w:hAnsi="宋体" w:cs="宋体"/>
                <w:bCs/>
                <w:szCs w:val="21"/>
              </w:rPr>
            </w:pPr>
            <w:r>
              <w:rPr>
                <w:rFonts w:hint="eastAsia" w:ascii="宋体" w:hAnsi="宋体" w:cs="宋体"/>
                <w:bCs/>
                <w:szCs w:val="21"/>
              </w:rPr>
              <w:t>投标人具有完善的廉政制度，相关制度的完整性、合理性、有效性。最高得5分。</w:t>
            </w:r>
          </w:p>
          <w:p>
            <w:pPr>
              <w:pStyle w:val="128"/>
              <w:spacing w:before="0" w:line="240" w:lineRule="auto"/>
              <w:ind w:firstLine="0" w:firstLineChars="0"/>
              <w:jc w:val="left"/>
              <w:rPr>
                <w:rFonts w:ascii="宋体" w:hAnsi="宋体" w:cs="宋体"/>
                <w:sz w:val="21"/>
                <w:szCs w:val="21"/>
              </w:rPr>
            </w:pPr>
            <w:r>
              <w:rPr>
                <w:rFonts w:hint="eastAsia" w:ascii="宋体" w:hAnsi="宋体" w:cs="宋体"/>
                <w:sz w:val="21"/>
                <w:szCs w:val="21"/>
              </w:rPr>
              <w:t>①方案内容完善可实施性强得5分；</w:t>
            </w:r>
          </w:p>
          <w:p>
            <w:pPr>
              <w:pStyle w:val="128"/>
              <w:spacing w:before="0" w:line="240" w:lineRule="auto"/>
              <w:ind w:firstLine="0" w:firstLineChars="0"/>
              <w:jc w:val="left"/>
              <w:rPr>
                <w:rFonts w:ascii="宋体" w:hAnsi="宋体" w:cs="宋体"/>
                <w:sz w:val="21"/>
                <w:szCs w:val="21"/>
              </w:rPr>
            </w:pPr>
            <w:r>
              <w:rPr>
                <w:rFonts w:hint="eastAsia" w:ascii="宋体" w:hAnsi="宋体" w:cs="宋体"/>
                <w:sz w:val="21"/>
                <w:szCs w:val="21"/>
              </w:rPr>
              <w:t>②方案内容较完善可实施得4分；</w:t>
            </w:r>
          </w:p>
          <w:p>
            <w:pPr>
              <w:pStyle w:val="128"/>
              <w:spacing w:before="0" w:line="240" w:lineRule="auto"/>
              <w:ind w:firstLine="0" w:firstLineChars="0"/>
              <w:jc w:val="left"/>
              <w:rPr>
                <w:rFonts w:ascii="宋体" w:hAnsi="宋体" w:cs="宋体"/>
                <w:sz w:val="21"/>
                <w:szCs w:val="21"/>
              </w:rPr>
            </w:pPr>
            <w:r>
              <w:rPr>
                <w:rFonts w:hint="eastAsia" w:ascii="宋体" w:hAnsi="宋体" w:cs="宋体"/>
                <w:sz w:val="21"/>
                <w:szCs w:val="21"/>
              </w:rPr>
              <w:t>③方案内容简单尚可实施得3分；</w:t>
            </w:r>
          </w:p>
          <w:p>
            <w:pPr>
              <w:pStyle w:val="128"/>
              <w:spacing w:before="0" w:line="240" w:lineRule="auto"/>
              <w:ind w:firstLine="0" w:firstLineChars="0"/>
              <w:jc w:val="left"/>
              <w:rPr>
                <w:rFonts w:ascii="宋体" w:hAnsi="宋体" w:cs="宋体"/>
                <w:sz w:val="21"/>
                <w:szCs w:val="21"/>
              </w:rPr>
            </w:pPr>
            <w:r>
              <w:rPr>
                <w:rFonts w:hint="eastAsia" w:ascii="宋体" w:hAnsi="宋体" w:cs="宋体"/>
                <w:sz w:val="21"/>
                <w:szCs w:val="21"/>
              </w:rPr>
              <w:t>④方案内容简单基本可行得2分；</w:t>
            </w:r>
          </w:p>
          <w:p>
            <w:pPr>
              <w:pStyle w:val="128"/>
              <w:spacing w:before="0" w:line="240" w:lineRule="auto"/>
              <w:ind w:firstLine="0" w:firstLineChars="0"/>
              <w:jc w:val="left"/>
              <w:rPr>
                <w:rFonts w:ascii="宋体" w:hAnsi="宋体" w:cs="宋体"/>
                <w:sz w:val="21"/>
                <w:szCs w:val="21"/>
              </w:rPr>
            </w:pPr>
            <w:r>
              <w:rPr>
                <w:rFonts w:hint="eastAsia" w:ascii="宋体" w:hAnsi="宋体" w:cs="宋体"/>
                <w:sz w:val="21"/>
                <w:szCs w:val="21"/>
              </w:rPr>
              <w:t>⑤方案内容有缺陷需完善后实施得1分；</w:t>
            </w:r>
          </w:p>
          <w:p>
            <w:pPr>
              <w:pStyle w:val="128"/>
              <w:spacing w:before="0" w:line="240" w:lineRule="auto"/>
              <w:ind w:firstLine="0" w:firstLineChars="0"/>
              <w:jc w:val="left"/>
              <w:rPr>
                <w:rFonts w:ascii="宋体" w:hAnsi="宋体" w:cs="宋体"/>
                <w:sz w:val="21"/>
                <w:szCs w:val="21"/>
              </w:rPr>
            </w:pPr>
            <w:r>
              <w:rPr>
                <w:rFonts w:hint="eastAsia" w:ascii="宋体" w:hAnsi="宋体" w:cs="宋体"/>
                <w:sz w:val="21"/>
                <w:szCs w:val="21"/>
              </w:rPr>
              <w:t>⑥方案不满足需求或未提供的不得分。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廉政制度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12</w:t>
            </w:r>
          </w:p>
        </w:tc>
        <w:tc>
          <w:tcPr>
            <w:tcW w:w="5805" w:type="dxa"/>
            <w:vAlign w:val="center"/>
          </w:tcPr>
          <w:p>
            <w:pPr>
              <w:rPr>
                <w:rFonts w:ascii="宋体" w:hAnsi="宋体" w:cs="宋体"/>
                <w:b/>
                <w:bCs/>
                <w:szCs w:val="21"/>
              </w:rPr>
            </w:pPr>
            <w:r>
              <w:rPr>
                <w:rFonts w:hint="eastAsia" w:ascii="宋体" w:hAnsi="宋体" w:cs="宋体"/>
                <w:bCs/>
                <w:szCs w:val="21"/>
              </w:rPr>
              <w:t>投标人承诺拟投入本项目服务团队的结构方案，包括人员数量、学历、专业及符合要求等情况进行打分，完全满足采需求的得5分，不满足的不得分。（</w:t>
            </w:r>
            <w:r>
              <w:rPr>
                <w:rFonts w:hint="eastAsia" w:ascii="宋体" w:hAnsi="宋体" w:cs="宋体"/>
                <w:b/>
                <w:bCs/>
                <w:szCs w:val="21"/>
              </w:rPr>
              <w:t>提供劳动关系证明或近三个月社保证明以及学历证书、专业证书）</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客观分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kern w:val="0"/>
                <w:sz w:val="21"/>
                <w:szCs w:val="21"/>
              </w:rPr>
              <w:t>项目实施人员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13</w:t>
            </w:r>
          </w:p>
        </w:tc>
        <w:tc>
          <w:tcPr>
            <w:tcW w:w="5805" w:type="dxa"/>
            <w:vAlign w:val="center"/>
          </w:tcPr>
          <w:p>
            <w:pPr>
              <w:rPr>
                <w:rFonts w:ascii="宋体" w:hAnsi="宋体" w:cs="宋体"/>
                <w:bCs/>
                <w:szCs w:val="21"/>
              </w:rPr>
            </w:pPr>
            <w:r>
              <w:rPr>
                <w:rFonts w:hint="eastAsia" w:ascii="宋体" w:hAnsi="宋体" w:cs="宋体"/>
                <w:bCs/>
                <w:szCs w:val="21"/>
              </w:rPr>
              <w:t>根据投标人当地配备的服务车辆及相应设施设备情况进行打分，最高得5分；（须提供车辆登记证或行驶证或租赁合同复印件、设备清单、参考图片等）</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kern w:val="0"/>
                <w:sz w:val="21"/>
                <w:szCs w:val="21"/>
              </w:rPr>
              <w:t>设备保障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36"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14</w:t>
            </w:r>
          </w:p>
        </w:tc>
        <w:tc>
          <w:tcPr>
            <w:tcW w:w="5805" w:type="dxa"/>
            <w:vAlign w:val="center"/>
          </w:tcPr>
          <w:p>
            <w:pPr>
              <w:rPr>
                <w:rFonts w:ascii="宋体" w:hAnsi="宋体" w:cs="宋体"/>
                <w:bCs/>
                <w:szCs w:val="21"/>
              </w:rPr>
            </w:pPr>
            <w:r>
              <w:rPr>
                <w:rFonts w:hint="eastAsia" w:ascii="宋体" w:hAnsi="宋体" w:cs="宋体"/>
                <w:bCs/>
                <w:szCs w:val="21"/>
              </w:rPr>
              <w:t>根据投标人的服务质量承诺及质量控制措施的完整性、切实可行性，最高得5分。</w:t>
            </w:r>
          </w:p>
          <w:p>
            <w:pPr>
              <w:rPr>
                <w:rFonts w:ascii="宋体" w:hAnsi="宋体" w:cs="宋体"/>
                <w:bCs/>
                <w:szCs w:val="21"/>
              </w:rPr>
            </w:pPr>
            <w:r>
              <w:rPr>
                <w:rFonts w:hint="eastAsia" w:ascii="宋体" w:hAnsi="宋体" w:cs="宋体"/>
                <w:bCs/>
                <w:szCs w:val="21"/>
              </w:rPr>
              <w:t>①方案内容完善可实施性强得5分；</w:t>
            </w:r>
          </w:p>
          <w:p>
            <w:pPr>
              <w:rPr>
                <w:rFonts w:ascii="宋体" w:hAnsi="宋体" w:cs="宋体"/>
                <w:bCs/>
                <w:szCs w:val="21"/>
              </w:rPr>
            </w:pPr>
            <w:r>
              <w:rPr>
                <w:rFonts w:hint="eastAsia" w:ascii="宋体" w:hAnsi="宋体" w:cs="宋体"/>
                <w:bCs/>
                <w:szCs w:val="21"/>
              </w:rPr>
              <w:t>②方案内容较完善可实施得4分；</w:t>
            </w:r>
          </w:p>
          <w:p>
            <w:pPr>
              <w:rPr>
                <w:rFonts w:ascii="宋体" w:hAnsi="宋体" w:cs="宋体"/>
                <w:bCs/>
                <w:szCs w:val="21"/>
              </w:rPr>
            </w:pPr>
            <w:r>
              <w:rPr>
                <w:rFonts w:hint="eastAsia" w:ascii="宋体" w:hAnsi="宋体" w:cs="宋体"/>
                <w:bCs/>
                <w:szCs w:val="21"/>
              </w:rPr>
              <w:t>③方案内容简单尚可实施得3分；</w:t>
            </w:r>
          </w:p>
          <w:p>
            <w:pPr>
              <w:rPr>
                <w:rFonts w:ascii="宋体" w:hAnsi="宋体" w:cs="宋体"/>
                <w:bCs/>
                <w:szCs w:val="21"/>
              </w:rPr>
            </w:pPr>
            <w:r>
              <w:rPr>
                <w:rFonts w:hint="eastAsia" w:ascii="宋体" w:hAnsi="宋体" w:cs="宋体"/>
                <w:bCs/>
                <w:szCs w:val="21"/>
              </w:rPr>
              <w:t>④方案内容简单基本可行得2分；</w:t>
            </w:r>
          </w:p>
          <w:p>
            <w:pPr>
              <w:rPr>
                <w:rFonts w:ascii="宋体" w:hAnsi="宋体" w:cs="宋体"/>
                <w:bCs/>
                <w:szCs w:val="21"/>
              </w:rPr>
            </w:pPr>
            <w:r>
              <w:rPr>
                <w:rFonts w:hint="eastAsia" w:ascii="宋体" w:hAnsi="宋体" w:cs="宋体"/>
                <w:bCs/>
                <w:szCs w:val="21"/>
              </w:rPr>
              <w:t>⑤</w:t>
            </w:r>
            <w:r>
              <w:rPr>
                <w:rFonts w:hint="eastAsia" w:ascii="宋体" w:hAnsi="宋体" w:cs="宋体"/>
                <w:szCs w:val="21"/>
              </w:rPr>
              <w:t>方</w:t>
            </w:r>
            <w:r>
              <w:rPr>
                <w:rFonts w:hint="eastAsia" w:ascii="宋体" w:hAnsi="宋体" w:cs="宋体"/>
                <w:bCs/>
                <w:szCs w:val="21"/>
              </w:rPr>
              <w:t>案内容有缺陷需完善后实施得1分；</w:t>
            </w:r>
          </w:p>
          <w:p>
            <w:pPr>
              <w:rPr>
                <w:rFonts w:ascii="宋体" w:hAnsi="宋体" w:cs="宋体"/>
                <w:bCs/>
                <w:szCs w:val="21"/>
              </w:rPr>
            </w:pPr>
            <w:r>
              <w:rPr>
                <w:rFonts w:hint="eastAsia" w:ascii="宋体" w:hAnsi="宋体" w:cs="宋体"/>
                <w:bCs/>
                <w:szCs w:val="21"/>
              </w:rPr>
              <w:t>⑥方案不满足需求或未提供的不得分。</w:t>
            </w:r>
          </w:p>
        </w:tc>
        <w:tc>
          <w:tcPr>
            <w:tcW w:w="674"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服务质量承诺及控制措施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15</w:t>
            </w:r>
          </w:p>
        </w:tc>
        <w:tc>
          <w:tcPr>
            <w:tcW w:w="5805" w:type="dxa"/>
            <w:vAlign w:val="center"/>
          </w:tcPr>
          <w:p>
            <w:pPr>
              <w:widowControl/>
              <w:rPr>
                <w:rFonts w:ascii="宋体" w:hAnsi="宋体" w:cs="宋体"/>
                <w:bCs/>
                <w:szCs w:val="21"/>
              </w:rPr>
            </w:pPr>
            <w:r>
              <w:rPr>
                <w:rFonts w:hint="eastAsia" w:ascii="宋体" w:hAnsi="宋体" w:cs="宋体"/>
                <w:bCs/>
                <w:szCs w:val="21"/>
              </w:rPr>
              <w:t>对经办或稽核过程中因服务方式方法导致不良后果产生费用的，承诺承担一切费用，且有具体方案的，最高得5分，不承诺且没方案的不得分。</w:t>
            </w:r>
          </w:p>
          <w:p>
            <w:pPr>
              <w:widowControl/>
              <w:rPr>
                <w:rFonts w:ascii="宋体" w:hAnsi="宋体" w:cs="宋体"/>
                <w:bCs/>
                <w:szCs w:val="21"/>
              </w:rPr>
            </w:pPr>
            <w:r>
              <w:rPr>
                <w:rFonts w:hint="eastAsia" w:ascii="宋体" w:hAnsi="宋体" w:cs="宋体"/>
                <w:bCs/>
                <w:szCs w:val="21"/>
              </w:rPr>
              <w:t>①方案内容完善可实施性强得5分；</w:t>
            </w:r>
          </w:p>
          <w:p>
            <w:pPr>
              <w:widowControl/>
              <w:rPr>
                <w:rFonts w:ascii="宋体" w:hAnsi="宋体" w:cs="宋体"/>
                <w:bCs/>
                <w:szCs w:val="21"/>
              </w:rPr>
            </w:pPr>
            <w:r>
              <w:rPr>
                <w:rFonts w:hint="eastAsia" w:ascii="宋体" w:hAnsi="宋体" w:cs="宋体"/>
                <w:bCs/>
                <w:szCs w:val="21"/>
              </w:rPr>
              <w:t>②方案内容较完善可实施得4分；</w:t>
            </w:r>
          </w:p>
          <w:p>
            <w:pPr>
              <w:widowControl/>
              <w:rPr>
                <w:rFonts w:ascii="宋体" w:hAnsi="宋体" w:cs="宋体"/>
                <w:bCs/>
                <w:szCs w:val="21"/>
              </w:rPr>
            </w:pPr>
            <w:r>
              <w:rPr>
                <w:rFonts w:hint="eastAsia" w:ascii="宋体" w:hAnsi="宋体" w:cs="宋体"/>
                <w:bCs/>
                <w:szCs w:val="21"/>
              </w:rPr>
              <w:t>③方案内容简单尚可实施得3分；</w:t>
            </w:r>
          </w:p>
          <w:p>
            <w:pPr>
              <w:widowControl/>
              <w:rPr>
                <w:rFonts w:ascii="宋体" w:hAnsi="宋体" w:cs="宋体"/>
                <w:bCs/>
                <w:szCs w:val="21"/>
              </w:rPr>
            </w:pPr>
            <w:r>
              <w:rPr>
                <w:rFonts w:hint="eastAsia" w:ascii="宋体" w:hAnsi="宋体" w:cs="宋体"/>
                <w:bCs/>
                <w:szCs w:val="21"/>
              </w:rPr>
              <w:t>④方案内容简单基本可行得2分；</w:t>
            </w:r>
          </w:p>
          <w:p>
            <w:pPr>
              <w:widowControl/>
              <w:rPr>
                <w:rFonts w:ascii="宋体" w:hAnsi="宋体" w:cs="宋体"/>
                <w:bCs/>
                <w:szCs w:val="21"/>
              </w:rPr>
            </w:pPr>
            <w:r>
              <w:rPr>
                <w:rFonts w:hint="eastAsia" w:ascii="宋体" w:hAnsi="宋体" w:cs="宋体"/>
                <w:bCs/>
                <w:szCs w:val="21"/>
              </w:rPr>
              <w:t>⑤方案内容有缺陷需完善后实施得1分；</w:t>
            </w:r>
          </w:p>
          <w:p>
            <w:pPr>
              <w:rPr>
                <w:rFonts w:ascii="宋体" w:hAnsi="宋体" w:cs="宋体"/>
                <w:bCs/>
                <w:szCs w:val="21"/>
              </w:rPr>
            </w:pPr>
            <w:r>
              <w:rPr>
                <w:rFonts w:hint="eastAsia" w:ascii="宋体" w:hAnsi="宋体" w:cs="宋体"/>
                <w:bCs/>
                <w:szCs w:val="21"/>
              </w:rPr>
              <w:t>⑥方案不满足需求或未提供的不得分。</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kern w:val="0"/>
                <w:sz w:val="21"/>
                <w:szCs w:val="21"/>
              </w:rPr>
            </w:pPr>
            <w:r>
              <w:rPr>
                <w:rFonts w:hint="eastAsia" w:ascii="宋体" w:hAnsi="宋体" w:cs="宋体"/>
                <w:kern w:val="0"/>
                <w:sz w:val="21"/>
                <w:szCs w:val="21"/>
              </w:rPr>
              <w:t>经办稽核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36"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16</w:t>
            </w:r>
          </w:p>
        </w:tc>
        <w:tc>
          <w:tcPr>
            <w:tcW w:w="5805" w:type="dxa"/>
            <w:vAlign w:val="center"/>
          </w:tcPr>
          <w:p>
            <w:pPr>
              <w:widowControl/>
              <w:rPr>
                <w:rFonts w:ascii="宋体" w:hAnsi="宋体" w:cs="宋体"/>
                <w:bCs/>
                <w:szCs w:val="21"/>
              </w:rPr>
            </w:pPr>
            <w:r>
              <w:rPr>
                <w:rFonts w:hint="eastAsia" w:ascii="宋体" w:hAnsi="宋体" w:cs="宋体"/>
                <w:bCs/>
                <w:szCs w:val="21"/>
              </w:rPr>
              <w:t>投标人针对本项目制定了详细的服务制度（档案管理、安全管理等），最高得5分。</w:t>
            </w:r>
          </w:p>
          <w:p>
            <w:pPr>
              <w:widowControl/>
              <w:rPr>
                <w:rFonts w:ascii="宋体" w:hAnsi="宋体" w:cs="宋体"/>
                <w:bCs/>
                <w:szCs w:val="21"/>
              </w:rPr>
            </w:pPr>
            <w:r>
              <w:rPr>
                <w:rFonts w:hint="eastAsia" w:ascii="宋体" w:hAnsi="宋体" w:cs="宋体"/>
                <w:bCs/>
                <w:szCs w:val="21"/>
              </w:rPr>
              <w:t>①制度内容完善可实施性强得5分；</w:t>
            </w:r>
          </w:p>
          <w:p>
            <w:pPr>
              <w:widowControl/>
              <w:rPr>
                <w:rFonts w:ascii="宋体" w:hAnsi="宋体" w:cs="宋体"/>
                <w:bCs/>
                <w:szCs w:val="21"/>
              </w:rPr>
            </w:pPr>
            <w:r>
              <w:rPr>
                <w:rFonts w:hint="eastAsia" w:ascii="宋体" w:hAnsi="宋体" w:cs="宋体"/>
                <w:bCs/>
                <w:szCs w:val="21"/>
              </w:rPr>
              <w:t>②制度内容较完善可实施得4分；</w:t>
            </w:r>
          </w:p>
          <w:p>
            <w:pPr>
              <w:widowControl/>
              <w:rPr>
                <w:rFonts w:ascii="宋体" w:hAnsi="宋体" w:cs="宋体"/>
                <w:bCs/>
                <w:szCs w:val="21"/>
              </w:rPr>
            </w:pPr>
            <w:r>
              <w:rPr>
                <w:rFonts w:hint="eastAsia" w:ascii="宋体" w:hAnsi="宋体" w:cs="宋体"/>
                <w:bCs/>
                <w:szCs w:val="21"/>
              </w:rPr>
              <w:t>③制度内容简单尚可实施得3分；</w:t>
            </w:r>
          </w:p>
          <w:p>
            <w:pPr>
              <w:widowControl/>
              <w:rPr>
                <w:rFonts w:ascii="宋体" w:hAnsi="宋体" w:cs="宋体"/>
                <w:bCs/>
                <w:szCs w:val="21"/>
              </w:rPr>
            </w:pPr>
            <w:r>
              <w:rPr>
                <w:rFonts w:hint="eastAsia" w:ascii="宋体" w:hAnsi="宋体" w:cs="宋体"/>
                <w:bCs/>
                <w:szCs w:val="21"/>
              </w:rPr>
              <w:t>④制度内容简单基本可行得2分；</w:t>
            </w:r>
          </w:p>
          <w:p>
            <w:pPr>
              <w:widowControl/>
              <w:rPr>
                <w:rFonts w:ascii="宋体" w:hAnsi="宋体" w:cs="宋体"/>
                <w:bCs/>
                <w:szCs w:val="21"/>
              </w:rPr>
            </w:pPr>
            <w:r>
              <w:rPr>
                <w:rFonts w:hint="eastAsia" w:ascii="宋体" w:hAnsi="宋体" w:cs="宋体"/>
                <w:bCs/>
                <w:szCs w:val="21"/>
              </w:rPr>
              <w:t>⑤制度内容有缺陷需完善后实施得1分；</w:t>
            </w:r>
          </w:p>
          <w:p>
            <w:pPr>
              <w:rPr>
                <w:rFonts w:ascii="宋体" w:hAnsi="宋体" w:cs="宋体"/>
                <w:bCs/>
                <w:szCs w:val="21"/>
              </w:rPr>
            </w:pPr>
            <w:r>
              <w:rPr>
                <w:rFonts w:hint="eastAsia" w:ascii="宋体" w:hAnsi="宋体" w:cs="宋体"/>
                <w:bCs/>
                <w:szCs w:val="21"/>
              </w:rPr>
              <w:t>⑥制度不满足需求或未提供的不得分。</w:t>
            </w:r>
          </w:p>
        </w:tc>
        <w:tc>
          <w:tcPr>
            <w:tcW w:w="674"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6"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17</w:t>
            </w:r>
          </w:p>
        </w:tc>
        <w:tc>
          <w:tcPr>
            <w:tcW w:w="5805" w:type="dxa"/>
            <w:vAlign w:val="center"/>
          </w:tcPr>
          <w:p>
            <w:pPr>
              <w:rPr>
                <w:rFonts w:ascii="宋体" w:hAnsi="宋体" w:cs="宋体"/>
                <w:bCs/>
                <w:szCs w:val="21"/>
              </w:rPr>
            </w:pPr>
            <w:r>
              <w:rPr>
                <w:rFonts w:hint="eastAsia" w:ascii="宋体" w:hAnsi="宋体" w:cs="宋体"/>
                <w:bCs/>
                <w:szCs w:val="21"/>
              </w:rPr>
              <w:t>投标人提出具有创新性和特色性的医保基金监管业务方法手段，以及对日常监管工作的合理化建议，经专家评审，每一条建议得1分，最高得5分。</w:t>
            </w:r>
          </w:p>
        </w:tc>
        <w:tc>
          <w:tcPr>
            <w:tcW w:w="674"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5</w:t>
            </w:r>
          </w:p>
        </w:tc>
        <w:tc>
          <w:tcPr>
            <w:tcW w:w="931"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40" w:type="dxa"/>
            <w:vAlign w:val="center"/>
          </w:tcPr>
          <w:p>
            <w:pPr>
              <w:pStyle w:val="128"/>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18</w:t>
            </w:r>
          </w:p>
        </w:tc>
        <w:tc>
          <w:tcPr>
            <w:tcW w:w="5805" w:type="dxa"/>
            <w:vAlign w:val="center"/>
          </w:tcPr>
          <w:p>
            <w:pPr>
              <w:rPr>
                <w:rFonts w:ascii="宋体" w:hAnsi="宋体" w:cs="仿宋"/>
                <w:szCs w:val="21"/>
              </w:rPr>
            </w:pPr>
            <w:r>
              <w:rPr>
                <w:rFonts w:hint="eastAsia" w:ascii="宋体" w:hAnsi="宋体" w:cs="仿宋"/>
                <w:szCs w:val="21"/>
              </w:rPr>
              <w:t>有效投标报价的最低价作为评标基准价，其最低报价为满分；按［投标报价得分=评标基准价/投标报价）*10］的计算公式计算。</w:t>
            </w:r>
          </w:p>
          <w:p>
            <w:pPr>
              <w:widowControl/>
              <w:shd w:val="clear" w:color="auto" w:fill="FFFFFF"/>
              <w:adjustRightInd/>
              <w:ind w:firstLine="420"/>
              <w:jc w:val="left"/>
              <w:rPr>
                <w:rFonts w:ascii="宋体" w:hAnsi="宋体" w:cs="宋体"/>
                <w:szCs w:val="21"/>
              </w:rPr>
            </w:pPr>
            <w:r>
              <w:rPr>
                <w:rFonts w:hint="eastAsia" w:ascii="宋体" w:hAnsi="宋体" w:cs="宋体"/>
                <w:szCs w:val="21"/>
              </w:rPr>
              <w:t>评标过程中，不得去掉报价中的最高报价和最低报价。</w:t>
            </w:r>
          </w:p>
          <w:p>
            <w:pPr>
              <w:pStyle w:val="128"/>
              <w:spacing w:before="0" w:line="240" w:lineRule="auto"/>
              <w:ind w:firstLine="0" w:firstLineChars="0"/>
              <w:jc w:val="left"/>
              <w:rPr>
                <w:rFonts w:ascii="宋体" w:hAnsi="宋体" w:cs="宋体"/>
                <w:bCs/>
                <w:sz w:val="21"/>
                <w:szCs w:val="21"/>
              </w:rPr>
            </w:pPr>
            <w:r>
              <w:rPr>
                <w:rFonts w:hint="eastAsia" w:ascii="宋体" w:hAnsi="宋体" w:cs="宋体"/>
                <w:sz w:val="21"/>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74"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10</w:t>
            </w:r>
          </w:p>
        </w:tc>
        <w:tc>
          <w:tcPr>
            <w:tcW w:w="931" w:type="dxa"/>
            <w:vAlign w:val="center"/>
          </w:tcPr>
          <w:p>
            <w:pPr>
              <w:pStyle w:val="128"/>
              <w:spacing w:before="0" w:line="240" w:lineRule="auto"/>
              <w:ind w:firstLine="0" w:firstLineChars="0"/>
              <w:jc w:val="center"/>
              <w:rPr>
                <w:rFonts w:ascii="宋体" w:hAnsi="宋体" w:cs="宋体"/>
                <w:sz w:val="21"/>
                <w:szCs w:val="21"/>
              </w:rPr>
            </w:pPr>
          </w:p>
        </w:tc>
        <w:tc>
          <w:tcPr>
            <w:tcW w:w="1240" w:type="dxa"/>
            <w:vAlign w:val="center"/>
          </w:tcPr>
          <w:p>
            <w:pPr>
              <w:pStyle w:val="128"/>
              <w:spacing w:before="0" w:line="240" w:lineRule="auto"/>
              <w:ind w:firstLine="0" w:firstLineChars="0"/>
              <w:jc w:val="center"/>
              <w:rPr>
                <w:rFonts w:ascii="宋体" w:hAnsi="宋体" w:cs="宋体"/>
                <w:sz w:val="21"/>
                <w:szCs w:val="21"/>
              </w:rPr>
            </w:pPr>
            <w:r>
              <w:rPr>
                <w:rFonts w:hint="eastAsia" w:ascii="宋体" w:hAnsi="宋体" w:cs="宋体"/>
                <w:sz w:val="21"/>
                <w:szCs w:val="21"/>
              </w:rPr>
              <w:t>/</w:t>
            </w:r>
          </w:p>
        </w:tc>
      </w:tr>
    </w:tbl>
    <w:p>
      <w:pPr>
        <w:snapToGrid w:val="0"/>
        <w:spacing w:line="360" w:lineRule="auto"/>
        <w:rPr>
          <w:rFonts w:ascii="宋体" w:hAnsi="宋体" w:cs="宋体"/>
          <w:b/>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32"/>
    <w:p>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pPr>
        <w:spacing w:line="360" w:lineRule="auto"/>
        <w:ind w:left="720" w:leftChars="343" w:firstLine="1084" w:firstLineChars="300"/>
        <w:outlineLvl w:val="0"/>
        <w:rPr>
          <w:rFonts w:ascii="宋体" w:hAnsi="宋体" w:cs="宋体"/>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第五部分 拟签订的合同文本</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p>
    <w:p>
      <w:pPr>
        <w:spacing w:line="360" w:lineRule="auto"/>
        <w:rPr>
          <w:rFonts w:asciiTheme="minorEastAsia" w:hAnsiTheme="minorEastAsia" w:eastAsiaTheme="minorEastAsia"/>
          <w:sz w:val="24"/>
          <w:u w:val="single"/>
        </w:rPr>
      </w:pPr>
    </w:p>
    <w:p>
      <w:pPr>
        <w:pStyle w:val="699"/>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699"/>
        <w:rPr>
          <w:rFonts w:asciiTheme="minorEastAsia" w:hAnsiTheme="minorEastAsia" w:eastAsiaTheme="minorEastAsia"/>
          <w:szCs w:val="24"/>
        </w:rPr>
      </w:pPr>
    </w:p>
    <w:p>
      <w:pPr>
        <w:pStyle w:val="699"/>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pStyle w:val="59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签订日期：年月日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560" w:lineRule="exact"/>
        <w:ind w:firstLine="480" w:firstLineChars="200"/>
        <w:rPr>
          <w:rFonts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cs="宋体"/>
          <w:sz w:val="24"/>
          <w:u w:val="single"/>
        </w:rPr>
        <w:t>（采购人）</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hint="eastAsia" w:ascii="宋体" w:hAnsi="宋体" w:cs="宋体"/>
          <w:sz w:val="24"/>
          <w:u w:val="single"/>
        </w:rPr>
        <w:t xml:space="preserve">（项目名称）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400" w:name="_Toc28855"/>
      <w:bookmarkStart w:id="401" w:name="_Toc19273"/>
      <w:bookmarkStart w:id="402" w:name="_Toc22967"/>
      <w:bookmarkStart w:id="403" w:name="_Toc15367"/>
      <w:bookmarkStart w:id="404" w:name="_Toc20421"/>
      <w:r>
        <w:rPr>
          <w:rFonts w:ascii="宋体" w:hAnsi="宋体"/>
          <w:b/>
          <w:sz w:val="24"/>
        </w:rPr>
        <w:t xml:space="preserve">1.1 </w:t>
      </w:r>
      <w:r>
        <w:rPr>
          <w:rFonts w:hint="eastAsia" w:ascii="宋体" w:hAnsi="宋体"/>
          <w:b/>
          <w:sz w:val="24"/>
        </w:rPr>
        <w:t>合同组成部分</w:t>
      </w:r>
      <w:bookmarkEnd w:id="400"/>
      <w:bookmarkEnd w:id="401"/>
      <w:bookmarkEnd w:id="402"/>
      <w:bookmarkEnd w:id="403"/>
      <w:bookmarkEnd w:id="404"/>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5" w:name="_Toc22185"/>
      <w:bookmarkStart w:id="406" w:name="_Toc6773"/>
      <w:bookmarkStart w:id="407" w:name="_Toc6311"/>
      <w:bookmarkStart w:id="408" w:name="_Toc2918"/>
      <w:bookmarkStart w:id="409" w:name="_Toc18585"/>
      <w:r>
        <w:rPr>
          <w:rFonts w:ascii="宋体" w:hAnsi="宋体"/>
          <w:b/>
          <w:sz w:val="24"/>
        </w:rPr>
        <w:t xml:space="preserve">1.2 </w:t>
      </w:r>
      <w:r>
        <w:rPr>
          <w:rFonts w:hint="eastAsia" w:ascii="宋体" w:hAnsi="宋体"/>
          <w:b/>
          <w:sz w:val="24"/>
        </w:rPr>
        <w:t>标的</w:t>
      </w:r>
      <w:bookmarkEnd w:id="405"/>
      <w:bookmarkEnd w:id="406"/>
      <w:bookmarkEnd w:id="407"/>
      <w:bookmarkEnd w:id="408"/>
      <w:bookmarkEnd w:id="409"/>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1.2.5合同（是</w:t>
      </w:r>
      <w:r>
        <w:rPr>
          <w:rFonts w:hint="eastAsia" w:ascii="仿宋" w:hAnsi="仿宋" w:eastAsia="仿宋" w:cs="仿宋"/>
        </w:rPr>
        <w:t>/</w:t>
      </w:r>
      <w:r>
        <w:rPr>
          <w:rFonts w:hint="eastAsia"/>
        </w:rPr>
        <w:t>否）涉及货物。若涉及货物的，则：</w:t>
      </w:r>
    </w:p>
    <w:p>
      <w:pPr>
        <w:spacing w:line="560" w:lineRule="exact"/>
        <w:ind w:firstLine="480" w:firstLineChars="200"/>
        <w:rPr>
          <w:rFonts w:ascii="宋体" w:hAnsi="宋体" w:cs="宋体"/>
          <w:sz w:val="24"/>
          <w:u w:val="single"/>
        </w:rPr>
      </w:pPr>
      <w:bookmarkStart w:id="410" w:name="_Toc1386"/>
      <w:bookmarkStart w:id="411" w:name="_Toc13918"/>
      <w:bookmarkStart w:id="412" w:name="_Toc21124"/>
      <w:bookmarkStart w:id="413" w:name="_Toc5635"/>
      <w:bookmarkStart w:id="414" w:name="_Toc4929"/>
      <w:r>
        <w:rPr>
          <w:rFonts w:hint="eastAsia" w:ascii="宋体" w:hAnsi="宋体" w:cs="宋体"/>
          <w:sz w:val="24"/>
        </w:rPr>
        <w:t>1.2.5.1 货物名称、品牌、规格型号：；</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10"/>
      <w:bookmarkEnd w:id="411"/>
      <w:bookmarkEnd w:id="412"/>
      <w:bookmarkEnd w:id="413"/>
      <w:bookmarkEnd w:id="414"/>
    </w:p>
    <w:p>
      <w:pPr>
        <w:spacing w:line="560" w:lineRule="exact"/>
        <w:ind w:firstLine="480" w:firstLineChars="200"/>
        <w:rPr>
          <w:rFonts w:ascii="宋体" w:hAnsi="宋体"/>
          <w:sz w:val="24"/>
        </w:rPr>
      </w:pPr>
      <w:r>
        <w:rPr>
          <w:rFonts w:hint="eastAsia" w:ascii="宋体" w:hAnsi="宋体" w:cs="宋体"/>
          <w:sz w:val="24"/>
        </w:rPr>
        <w:t>本项目采用以下第条款规定的计价方式计价。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5" w:name="_Toc26916"/>
      <w:bookmarkStart w:id="416" w:name="_Toc30506"/>
      <w:bookmarkStart w:id="417" w:name="_Toc30158"/>
      <w:bookmarkStart w:id="418" w:name="_Toc14993"/>
      <w:bookmarkStart w:id="419" w:name="_Toc3654"/>
      <w:r>
        <w:rPr>
          <w:rFonts w:hint="eastAsia" w:ascii="宋体" w:hAnsi="宋体"/>
          <w:bCs/>
          <w:sz w:val="24"/>
        </w:rPr>
        <w:t>1.3.2单价合同，本合同单价（含税）标准为：</w:t>
      </w:r>
      <w:r>
        <w:rPr>
          <w:rFonts w:ascii="宋体" w:hAnsi="宋体"/>
          <w:sz w:val="24"/>
        </w:rPr>
        <w:t>。</w:t>
      </w:r>
      <w:r>
        <w:rPr>
          <w:rFonts w:hint="eastAsia" w:ascii="宋体" w:hAnsi="宋体"/>
          <w:sz w:val="24"/>
        </w:rPr>
        <w:t>服务工作量的计量方式为：</w:t>
      </w:r>
      <w:r>
        <w:rPr>
          <w:rFonts w:hint="eastAsia" w:ascii="宋体" w:hAnsi="宋体" w:cs="宋体"/>
          <w:b/>
          <w:i/>
          <w:sz w:val="24"/>
          <w:u w:val="single"/>
        </w:rPr>
        <w:t>合同专用条款</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rPr>
        <w:t>元</w:t>
      </w:r>
      <w:r>
        <w:rPr>
          <w:rFonts w:hint="eastAsia" w:ascii="宋体" w:hAnsi="宋体"/>
          <w:sz w:val="24"/>
        </w:rPr>
        <w:t>（大写：元人民币）。</w:t>
      </w:r>
    </w:p>
    <w:p>
      <w:pPr>
        <w:pStyle w:val="4"/>
        <w:rPr>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折扣：</w:t>
      </w:r>
      <w:r>
        <w:rPr>
          <w:rFonts w:hint="eastAsia" w:ascii="宋体" w:hAnsi="宋体" w:eastAsia="宋体" w:cs="宋体"/>
          <w:b w:val="0"/>
          <w:bCs w:val="0"/>
          <w:sz w:val="24"/>
        </w:rPr>
        <w:t>。</w:t>
      </w:r>
    </w:p>
    <w:bookmarkEnd w:id="415"/>
    <w:bookmarkEnd w:id="416"/>
    <w:bookmarkEnd w:id="417"/>
    <w:bookmarkEnd w:id="418"/>
    <w:bookmarkEnd w:id="419"/>
    <w:p>
      <w:pPr>
        <w:pStyle w:val="957"/>
        <w:spacing w:before="0" w:beforeAutospacing="0" w:after="0" w:afterAutospacing="0" w:line="360" w:lineRule="auto"/>
        <w:ind w:firstLine="480"/>
        <w:rPr>
          <w:b/>
        </w:rPr>
      </w:pPr>
      <w:bookmarkStart w:id="420" w:name="_Toc22618"/>
      <w:bookmarkStart w:id="421" w:name="_Toc10340"/>
      <w:bookmarkStart w:id="422" w:name="_Toc1814"/>
      <w:bookmarkStart w:id="423" w:name="_Toc3625"/>
      <w:bookmarkStart w:id="424" w:name="_Toc8772"/>
      <w:bookmarkStart w:id="425" w:name="_Toc4760"/>
      <w:bookmarkStart w:id="426" w:name="_Toc11108"/>
      <w:bookmarkStart w:id="427" w:name="_Toc31421"/>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否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b/>
          <w:i/>
          <w:sz w:val="24"/>
          <w:u w:val="single"/>
        </w:rPr>
        <w:t>合同专用条款</w:t>
      </w:r>
      <w:r>
        <w:rPr>
          <w:rFonts w:hint="eastAsia" w:ascii="宋体" w:hAnsi="宋体" w:cs="宋体"/>
          <w:kern w:val="0"/>
          <w:sz w:val="24"/>
        </w:rPr>
        <w:t>；</w:t>
      </w:r>
    </w:p>
    <w:p>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0"/>
      <w:bookmarkEnd w:id="421"/>
      <w:bookmarkEnd w:id="422"/>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3"/>
      <w:bookmarkEnd w:id="424"/>
      <w:bookmarkEnd w:id="425"/>
      <w:bookmarkEnd w:id="426"/>
      <w:bookmarkEnd w:id="427"/>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8" w:name="_Toc2375"/>
      <w:bookmarkStart w:id="429" w:name="_Toc24662"/>
      <w:bookmarkStart w:id="430" w:name="_Toc3079"/>
      <w:bookmarkStart w:id="431" w:name="_Toc5698"/>
      <w:bookmarkStart w:id="432" w:name="_Toc8586"/>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8"/>
      <w:bookmarkEnd w:id="429"/>
      <w:bookmarkEnd w:id="430"/>
      <w:bookmarkEnd w:id="431"/>
      <w:bookmarkEnd w:id="432"/>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5（可根据情况修改） %计算，最高限额为本合同总价的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33" w:name="_Toc9497"/>
      <w:bookmarkStart w:id="434" w:name="_Toc32454"/>
      <w:bookmarkStart w:id="435" w:name="_Toc26807"/>
      <w:bookmarkStart w:id="436" w:name="_Toc30329"/>
      <w:bookmarkStart w:id="437"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3"/>
    <w:bookmarkEnd w:id="434"/>
    <w:bookmarkEnd w:id="435"/>
    <w:bookmarkEnd w:id="436"/>
    <w:bookmarkEnd w:id="437"/>
    <w:p>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spacing w:line="560" w:lineRule="exact"/>
        <w:ind w:firstLine="480" w:firstLineChars="200"/>
        <w:rPr>
          <w:rFonts w:ascii="宋体" w:hAnsi="宋体" w:cs="宋体"/>
          <w:sz w:val="24"/>
          <w:lang w:val="zh-CN"/>
        </w:rPr>
      </w:pPr>
      <w:r>
        <w:rPr>
          <w:rFonts w:hint="eastAsia" w:ascii="宋体" w:hAnsi="宋体" w:cs="宋体"/>
          <w:sz w:val="24"/>
        </w:rPr>
        <w:t>（注：本合同不强制现场签订，可盖章后邮寄送达）</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 xml:space="preserve">：                                      </w:t>
      </w:r>
      <w:r>
        <w:rPr>
          <w:rFonts w:ascii="宋体" w:hAnsi="宋体"/>
          <w:b/>
          <w:sz w:val="24"/>
          <w:lang w:val="zh-CN"/>
        </w:rPr>
        <w:t>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                           统一社会信用代码或身份证号码：</w:t>
      </w:r>
    </w:p>
    <w:p>
      <w:pPr>
        <w:autoSpaceDE w:val="0"/>
        <w:autoSpaceDN w:val="0"/>
        <w:spacing w:line="560" w:lineRule="exact"/>
        <w:rPr>
          <w:rFonts w:ascii="宋体" w:hAnsi="宋体"/>
          <w:sz w:val="24"/>
          <w:lang w:val="zh-CN"/>
        </w:rPr>
      </w:pPr>
      <w:r>
        <w:rPr>
          <w:rFonts w:hint="eastAsia" w:ascii="宋体" w:hAnsi="宋体"/>
          <w:sz w:val="24"/>
          <w:lang w:val="zh-CN"/>
        </w:rPr>
        <w:t>住所：                                        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授权代表（签字）: </w:t>
      </w:r>
      <w:r>
        <w:rPr>
          <w:rFonts w:hint="eastAsia" w:ascii="宋体" w:hAnsi="宋体"/>
          <w:sz w:val="24"/>
          <w:lang w:val="zh-CN"/>
        </w:rPr>
        <w:t xml:space="preserve">                法定代表人或授权代表（签字）：                                                          联系人：                                        联系人：</w:t>
      </w:r>
    </w:p>
    <w:p>
      <w:pPr>
        <w:autoSpaceDE w:val="0"/>
        <w:autoSpaceDN w:val="0"/>
        <w:spacing w:line="560" w:lineRule="exact"/>
        <w:rPr>
          <w:rFonts w:ascii="宋体" w:hAnsi="宋体"/>
          <w:sz w:val="24"/>
          <w:lang w:val="zh-CN"/>
        </w:rPr>
      </w:pPr>
      <w:r>
        <w:rPr>
          <w:rFonts w:hint="eastAsia" w:ascii="宋体" w:hAnsi="宋体"/>
          <w:sz w:val="24"/>
          <w:lang w:val="zh-CN"/>
        </w:rPr>
        <w:t>约定送达地址：                                 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                                     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 xml:space="preserve">      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                                     电子邮箱：</w:t>
      </w:r>
    </w:p>
    <w:p>
      <w:pPr>
        <w:autoSpaceDE w:val="0"/>
        <w:autoSpaceDN w:val="0"/>
        <w:spacing w:line="560" w:lineRule="exact"/>
        <w:rPr>
          <w:rFonts w:ascii="宋体" w:hAnsi="宋体"/>
          <w:sz w:val="24"/>
        </w:rPr>
      </w:pPr>
      <w:r>
        <w:rPr>
          <w:rFonts w:hint="eastAsia" w:ascii="宋体" w:hAnsi="宋体"/>
          <w:sz w:val="24"/>
        </w:rPr>
        <w:t xml:space="preserve">开户银行：                                   </w:t>
      </w:r>
      <w:r>
        <w:rPr>
          <w:rFonts w:ascii="宋体" w:hAnsi="宋体"/>
          <w:sz w:val="24"/>
        </w:rPr>
        <w:t xml:space="preserve">开户银行： </w:t>
      </w:r>
    </w:p>
    <w:p>
      <w:pPr>
        <w:autoSpaceDE w:val="0"/>
        <w:autoSpaceDN w:val="0"/>
        <w:spacing w:line="560" w:lineRule="exact"/>
        <w:rPr>
          <w:rFonts w:ascii="宋体" w:hAnsi="宋体"/>
          <w:sz w:val="24"/>
        </w:rPr>
      </w:pPr>
      <w:r>
        <w:rPr>
          <w:rFonts w:hint="eastAsia" w:ascii="宋体" w:hAnsi="宋体"/>
          <w:sz w:val="24"/>
        </w:rPr>
        <w:t xml:space="preserve">开户名称：                                   </w:t>
      </w:r>
      <w:r>
        <w:rPr>
          <w:rFonts w:ascii="宋体" w:hAnsi="宋体"/>
          <w:sz w:val="24"/>
        </w:rPr>
        <w:t xml:space="preserve">开户名称： </w:t>
      </w:r>
    </w:p>
    <w:p>
      <w:pPr>
        <w:autoSpaceDE w:val="0"/>
        <w:autoSpaceDN w:val="0"/>
        <w:spacing w:line="560" w:lineRule="exact"/>
        <w:rPr>
          <w:rFonts w:ascii="宋体" w:hAnsi="宋体"/>
          <w:sz w:val="24"/>
        </w:rPr>
      </w:pPr>
      <w:r>
        <w:rPr>
          <w:rFonts w:hint="eastAsia" w:ascii="宋体" w:hAnsi="宋体"/>
          <w:sz w:val="24"/>
        </w:rPr>
        <w:t>开户账号：                                    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第二部分合同一般条款</w:t>
      </w:r>
    </w:p>
    <w:p>
      <w:pPr>
        <w:spacing w:line="560" w:lineRule="exact"/>
        <w:ind w:firstLine="482" w:firstLineChars="200"/>
        <w:outlineLvl w:val="0"/>
        <w:rPr>
          <w:rFonts w:ascii="宋体" w:hAnsi="宋体"/>
          <w:b/>
          <w:sz w:val="24"/>
        </w:rPr>
      </w:pPr>
      <w:bookmarkStart w:id="438" w:name="_Toc25079"/>
      <w:bookmarkStart w:id="439" w:name="_Toc5228"/>
      <w:bookmarkStart w:id="440" w:name="_Toc19680"/>
      <w:bookmarkStart w:id="441" w:name="_Toc31297"/>
      <w:bookmarkStart w:id="442" w:name="_Toc14021"/>
      <w:r>
        <w:rPr>
          <w:rFonts w:ascii="宋体" w:hAnsi="宋体"/>
          <w:b/>
          <w:sz w:val="24"/>
        </w:rPr>
        <w:t>2.1 定义</w:t>
      </w:r>
      <w:bookmarkEnd w:id="438"/>
      <w:bookmarkEnd w:id="439"/>
      <w:bookmarkEnd w:id="440"/>
      <w:bookmarkEnd w:id="441"/>
      <w:bookmarkEnd w:id="442"/>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3" w:name="_Toc23289"/>
      <w:bookmarkStart w:id="444" w:name="_Toc16752"/>
      <w:bookmarkStart w:id="445" w:name="_Toc3769"/>
      <w:bookmarkStart w:id="446" w:name="_Toc19539"/>
      <w:bookmarkStart w:id="447" w:name="_Toc31402"/>
      <w:r>
        <w:rPr>
          <w:rFonts w:ascii="宋体" w:hAnsi="宋体"/>
          <w:b/>
          <w:sz w:val="24"/>
        </w:rPr>
        <w:t>2.2 技术规范</w:t>
      </w:r>
      <w:bookmarkEnd w:id="443"/>
      <w:bookmarkEnd w:id="444"/>
      <w:bookmarkEnd w:id="445"/>
      <w:bookmarkEnd w:id="446"/>
      <w:bookmarkEnd w:id="447"/>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8" w:name="_Toc9161"/>
      <w:bookmarkStart w:id="449" w:name="_Toc13673"/>
      <w:bookmarkStart w:id="450" w:name="_Toc4133"/>
      <w:bookmarkStart w:id="451" w:name="_Toc12412"/>
      <w:bookmarkStart w:id="452" w:name="_Toc27945"/>
      <w:r>
        <w:rPr>
          <w:rFonts w:ascii="宋体" w:hAnsi="宋体"/>
          <w:b/>
          <w:sz w:val="24"/>
        </w:rPr>
        <w:t>2.3 知识产权</w:t>
      </w:r>
      <w:bookmarkEnd w:id="448"/>
      <w:bookmarkEnd w:id="449"/>
      <w:bookmarkEnd w:id="450"/>
      <w:bookmarkEnd w:id="451"/>
      <w:bookmarkEnd w:id="452"/>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3" w:name="_Toc26555"/>
      <w:bookmarkStart w:id="454" w:name="_Toc31233"/>
      <w:bookmarkStart w:id="455" w:name="_Toc22011"/>
      <w:bookmarkStart w:id="456" w:name="_Toc32670"/>
      <w:bookmarkStart w:id="457" w:name="_Toc15447"/>
      <w:r>
        <w:rPr>
          <w:rFonts w:ascii="宋体" w:hAnsi="宋体"/>
          <w:b/>
          <w:sz w:val="24"/>
        </w:rPr>
        <w:t>2.5 结算方式和付款条件</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8" w:name="_Toc30507"/>
      <w:bookmarkStart w:id="459" w:name="_Toc16163"/>
      <w:bookmarkStart w:id="460" w:name="_Toc13467"/>
      <w:bookmarkStart w:id="461" w:name="_Toc13154"/>
      <w:bookmarkStart w:id="462" w:name="_Toc18990"/>
      <w:r>
        <w:rPr>
          <w:rFonts w:ascii="宋体" w:hAnsi="宋体"/>
          <w:b/>
          <w:sz w:val="24"/>
        </w:rPr>
        <w:t>2.6 技术资料和保密义务</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6" w:name="_Toc21830"/>
      <w:bookmarkStart w:id="467" w:name="_Toc26689"/>
      <w:bookmarkStart w:id="468" w:name="_Toc10663"/>
      <w:bookmarkStart w:id="469" w:name="_Toc42"/>
      <w:bookmarkStart w:id="470" w:name="_Toc23368"/>
      <w:r>
        <w:rPr>
          <w:rFonts w:ascii="宋体" w:hAnsi="宋体"/>
          <w:b/>
          <w:sz w:val="24"/>
        </w:rPr>
        <w:t>2.10 合同转让和分包</w:t>
      </w:r>
      <w:bookmarkEnd w:id="466"/>
      <w:bookmarkEnd w:id="467"/>
      <w:bookmarkEnd w:id="468"/>
      <w:bookmarkEnd w:id="469"/>
      <w:bookmarkEnd w:id="470"/>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1" w:name="_Toc25571"/>
      <w:bookmarkStart w:id="472" w:name="_Toc4720"/>
      <w:bookmarkStart w:id="473" w:name="_Toc32494"/>
      <w:bookmarkStart w:id="474" w:name="_Toc14371"/>
      <w:bookmarkStart w:id="475" w:name="_Toc26633"/>
      <w:r>
        <w:rPr>
          <w:rFonts w:ascii="宋体" w:hAnsi="宋体"/>
          <w:b/>
          <w:sz w:val="24"/>
        </w:rPr>
        <w:t>2.11 不可抗力</w:t>
      </w:r>
      <w:bookmarkEnd w:id="471"/>
      <w:bookmarkEnd w:id="472"/>
      <w:bookmarkEnd w:id="473"/>
      <w:bookmarkEnd w:id="474"/>
      <w:bookmarkEnd w:id="475"/>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6" w:name="_Toc23854"/>
      <w:bookmarkStart w:id="477" w:name="_Toc24465"/>
      <w:bookmarkStart w:id="478" w:name="_Toc25783"/>
      <w:bookmarkStart w:id="479" w:name="_Toc3638"/>
      <w:bookmarkStart w:id="480" w:name="_Toc14115"/>
      <w:r>
        <w:rPr>
          <w:rFonts w:ascii="宋体" w:hAnsi="宋体"/>
          <w:b/>
          <w:sz w:val="24"/>
        </w:rPr>
        <w:t>2.12 税费</w:t>
      </w:r>
      <w:bookmarkEnd w:id="476"/>
      <w:bookmarkEnd w:id="477"/>
      <w:bookmarkEnd w:id="478"/>
      <w:bookmarkEnd w:id="479"/>
      <w:bookmarkEnd w:id="480"/>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1" w:name="_Toc25525"/>
      <w:bookmarkStart w:id="482" w:name="_Toc26883"/>
      <w:bookmarkStart w:id="483" w:name="_Toc30105"/>
      <w:bookmarkStart w:id="484" w:name="_Toc7315"/>
      <w:bookmarkStart w:id="485" w:name="_Toc14814"/>
      <w:r>
        <w:rPr>
          <w:rFonts w:ascii="宋体" w:hAnsi="宋体"/>
          <w:b/>
          <w:sz w:val="24"/>
        </w:rPr>
        <w:t>2.13 乙方破产</w:t>
      </w:r>
      <w:bookmarkEnd w:id="481"/>
      <w:bookmarkEnd w:id="482"/>
      <w:bookmarkEnd w:id="483"/>
      <w:bookmarkEnd w:id="484"/>
      <w:bookmarkEnd w:id="485"/>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6" w:name="_Toc2016"/>
      <w:bookmarkStart w:id="487" w:name="_Toc23323"/>
      <w:bookmarkStart w:id="488" w:name="_Toc1123"/>
      <w:r>
        <w:rPr>
          <w:rFonts w:ascii="宋体" w:hAnsi="宋体"/>
          <w:b/>
          <w:sz w:val="24"/>
        </w:rPr>
        <w:t>2.14 合同中止、终止</w:t>
      </w:r>
      <w:bookmarkEnd w:id="486"/>
      <w:bookmarkEnd w:id="487"/>
      <w:bookmarkEnd w:id="488"/>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9" w:name="_Toc1969"/>
      <w:bookmarkStart w:id="490" w:name="_Toc14525"/>
      <w:bookmarkStart w:id="491" w:name="_Toc17363"/>
      <w:r>
        <w:rPr>
          <w:rFonts w:ascii="宋体" w:hAnsi="宋体"/>
          <w:b/>
          <w:sz w:val="24"/>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2" w:name="_Toc25198"/>
      <w:bookmarkStart w:id="493" w:name="_Toc12666"/>
      <w:bookmarkStart w:id="494" w:name="_Toc2308"/>
      <w:bookmarkStart w:id="495" w:name="_Toc31892"/>
      <w:bookmarkStart w:id="496" w:name="_Toc9808"/>
      <w:r>
        <w:rPr>
          <w:rFonts w:ascii="宋体" w:hAnsi="宋体"/>
          <w:b/>
          <w:sz w:val="24"/>
        </w:rPr>
        <w:t>2.16 通知和送达</w:t>
      </w:r>
      <w:bookmarkEnd w:id="492"/>
      <w:bookmarkEnd w:id="493"/>
      <w:bookmarkEnd w:id="494"/>
      <w:bookmarkEnd w:id="495"/>
      <w:bookmarkEnd w:id="496"/>
    </w:p>
    <w:p>
      <w:pPr>
        <w:spacing w:line="560" w:lineRule="exact"/>
        <w:ind w:firstLine="480" w:firstLineChars="200"/>
        <w:rPr>
          <w:rFonts w:ascii="宋体" w:hAnsi="宋体"/>
          <w:sz w:val="24"/>
        </w:rPr>
      </w:pPr>
      <w:bookmarkStart w:id="497" w:name="_Toc18401"/>
      <w:bookmarkStart w:id="498" w:name="_Toc27674"/>
      <w:r>
        <w:rPr>
          <w:rFonts w:ascii="宋体" w:hAnsi="宋体"/>
          <w:sz w:val="24"/>
        </w:rPr>
        <w:t>2.17.1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pPr>
        <w:spacing w:line="560" w:lineRule="exact"/>
        <w:ind w:firstLine="482" w:firstLineChars="200"/>
        <w:outlineLvl w:val="0"/>
        <w:rPr>
          <w:rFonts w:ascii="宋体" w:hAnsi="宋体"/>
          <w:b/>
          <w:sz w:val="24"/>
        </w:rPr>
      </w:pPr>
      <w:bookmarkStart w:id="499" w:name="_Toc20808"/>
      <w:bookmarkStart w:id="500" w:name="_Toc27644"/>
      <w:bookmarkStart w:id="501" w:name="_Toc28906"/>
      <w:bookmarkStart w:id="502" w:name="_Toc12254"/>
      <w:bookmarkStart w:id="503"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1.5.1</w:t>
            </w:r>
          </w:p>
        </w:tc>
        <w:tc>
          <w:tcPr>
            <w:tcW w:w="4464" w:type="pct"/>
            <w:vAlign w:val="center"/>
          </w:tcPr>
          <w:p>
            <w:pPr>
              <w:spacing w:line="360" w:lineRule="auto"/>
              <w:rPr>
                <w:rFonts w:ascii="宋体" w:hAnsi="宋体" w:cs="宋体"/>
                <w:sz w:val="24"/>
              </w:rPr>
            </w:pPr>
            <w:r>
              <w:rPr>
                <w:rFonts w:hint="eastAsia" w:ascii="宋体" w:hAnsi="宋体" w:cs="宋体"/>
                <w:sz w:val="24"/>
              </w:rPr>
              <w:t>合同生效以及具备实施条件后7个工作日内支付合同总价的50%。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r>
              <w:rPr>
                <w:rFonts w:hint="eastAsia" w:ascii="宋体" w:hAnsi="宋体" w:cs="宋体"/>
                <w:sz w:val="24"/>
              </w:rPr>
              <w:t>合同因故无法履约或无法完全履约，出现预付款金额大于实际支付金额时，乙方应及时向甲方返还超出部分的预付款金额。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1.5.3</w:t>
            </w:r>
          </w:p>
        </w:tc>
        <w:tc>
          <w:tcPr>
            <w:tcW w:w="4464" w:type="pct"/>
            <w:vAlign w:val="center"/>
          </w:tcPr>
          <w:p>
            <w:pPr>
              <w:spacing w:line="360" w:lineRule="auto"/>
              <w:rPr>
                <w:rFonts w:ascii="宋体" w:hAnsi="宋体" w:cs="宋体"/>
                <w:sz w:val="24"/>
              </w:rPr>
            </w:pPr>
            <w:r>
              <w:rPr>
                <w:rFonts w:hint="eastAsia" w:ascii="宋体" w:hAnsi="宋体" w:cs="仿宋"/>
                <w:kern w:val="0"/>
                <w:sz w:val="24"/>
              </w:rPr>
              <w:t>甲方可以要求</w:t>
            </w:r>
            <w:r>
              <w:rPr>
                <w:rFonts w:hint="eastAsia" w:ascii="宋体" w:hAnsi="宋体" w:cs="仿宋"/>
                <w:sz w:val="24"/>
              </w:rPr>
              <w:t>乙方应提交银行、保险公司等金融机构出具的预付款保函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1.6.2</w:t>
            </w:r>
          </w:p>
        </w:tc>
        <w:tc>
          <w:tcPr>
            <w:tcW w:w="4464" w:type="pct"/>
            <w:vAlign w:val="center"/>
          </w:tcPr>
          <w:p>
            <w:pPr>
              <w:pStyle w:val="128"/>
              <w:adjustRightInd/>
              <w:snapToGrid w:val="0"/>
              <w:spacing w:before="0"/>
              <w:ind w:firstLine="240" w:firstLineChars="100"/>
              <w:rPr>
                <w:rFonts w:ascii="宋体" w:hAnsi="宋体" w:cs="宋体"/>
                <w:szCs w:val="24"/>
              </w:rPr>
            </w:pPr>
            <w:r>
              <w:rPr>
                <w:rFonts w:hint="eastAsia" w:ascii="宋体" w:hAnsi="宋体" w:cs="Helvetica"/>
                <w:kern w:val="0"/>
              </w:rPr>
              <w:t>付款方式：</w:t>
            </w:r>
            <w:r>
              <w:rPr>
                <w:rFonts w:hint="eastAsia" w:ascii="宋体" w:hAnsi="宋体" w:cs="宋体"/>
                <w:szCs w:val="24"/>
              </w:rPr>
              <w:t xml:space="preserve">签订合同后预付合同总价的50%，每一年度医疗保险监管及经办服务费用为人民币210万元，该价格为含税价，在服务期内该价格保持不变。医疗保险监管及经办服务费按季支付（扣除预付款部分），甲方每次付款前，乙方应向甲方提供符合国家规定的足额普通增值税发票，否则甲方有权拒绝付款。 </w:t>
            </w:r>
          </w:p>
          <w:p>
            <w:pPr>
              <w:pStyle w:val="128"/>
              <w:adjustRightInd/>
              <w:snapToGrid w:val="0"/>
              <w:spacing w:before="0"/>
              <w:ind w:firstLine="480"/>
              <w:rPr>
                <w:rFonts w:ascii="宋体" w:hAnsi="宋体" w:cs="宋体"/>
                <w:b/>
                <w:szCs w:val="24"/>
              </w:rPr>
            </w:pPr>
            <w:r>
              <w:rPr>
                <w:rFonts w:hint="eastAsia" w:ascii="宋体" w:hAnsi="宋体" w:cs="宋体"/>
                <w:szCs w:val="24"/>
              </w:rPr>
              <w:t>全年医疗保险监管及经办服务费总额10%（21万元）作为服务考核保证金，由甲方在第四季度结算时予以暂扣。甲方会同财政局等部门相关人员对乙方进行定期和不定期的检查，检查结果作为年度考核依据。甲方对乙方政府购买的监管服务合作内容的日常工作开展情况，进行全程监管。乙方违规操作、审核不严造成医保基金损失的，甲方有权没收考核保证金且乙方须承担相应的经济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1.7.1</w:t>
            </w:r>
          </w:p>
        </w:tc>
        <w:tc>
          <w:tcPr>
            <w:tcW w:w="4464" w:type="pct"/>
            <w:vAlign w:val="center"/>
          </w:tcPr>
          <w:p>
            <w:pPr>
              <w:tabs>
                <w:tab w:val="left" w:pos="0"/>
              </w:tabs>
              <w:spacing w:line="360" w:lineRule="auto"/>
              <w:rPr>
                <w:rFonts w:ascii="宋体" w:hAnsi="宋体" w:cs="Helvetica"/>
                <w:bCs/>
                <w:kern w:val="0"/>
                <w:sz w:val="24"/>
              </w:rPr>
            </w:pPr>
            <w:r>
              <w:rPr>
                <w:rFonts w:hint="eastAsia" w:ascii="宋体" w:hAnsi="宋体" w:cs="宋体"/>
                <w:sz w:val="24"/>
              </w:rPr>
              <w:t>服务期限：三年</w:t>
            </w:r>
            <w:r>
              <w:rPr>
                <w:rFonts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r>
              <w:rPr>
                <w:rFonts w:hint="eastAsia" w:ascii="宋体" w:hAnsi="宋体" w:cs="宋体"/>
                <w:sz w:val="24"/>
              </w:rPr>
              <w:t>淳安县（甲方指定位置）。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1.7.3</w:t>
            </w:r>
          </w:p>
        </w:tc>
        <w:tc>
          <w:tcPr>
            <w:tcW w:w="4464" w:type="pct"/>
            <w:vAlign w:val="center"/>
          </w:tcPr>
          <w:p>
            <w:pPr>
              <w:tabs>
                <w:tab w:val="left" w:pos="0"/>
              </w:tabs>
              <w:spacing w:line="360" w:lineRule="auto"/>
              <w:rPr>
                <w:rFonts w:ascii="宋体" w:hAnsi="宋体" w:cs="Helvetica"/>
                <w:bCs/>
                <w:kern w:val="0"/>
                <w:sz w:val="24"/>
              </w:rPr>
            </w:pPr>
            <w:r>
              <w:rPr>
                <w:rFonts w:hint="eastAsia" w:ascii="宋体" w:hAnsi="宋体" w:cs="宋体"/>
                <w:sz w:val="24"/>
              </w:rPr>
              <w:t>按要求完成所有关联服务内容</w:t>
            </w:r>
            <w:r>
              <w:rPr>
                <w:rFonts w:ascii="宋体" w:hAnsi="宋体" w:cs="Helvetica"/>
                <w:bCs/>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1.8.7</w:t>
            </w:r>
          </w:p>
        </w:tc>
        <w:tc>
          <w:tcPr>
            <w:tcW w:w="4464" w:type="pct"/>
            <w:vAlign w:val="center"/>
          </w:tcPr>
          <w:p>
            <w:pPr>
              <w:widowControl/>
              <w:autoSpaceDE w:val="0"/>
              <w:autoSpaceDN w:val="0"/>
              <w:spacing w:line="360" w:lineRule="auto"/>
              <w:textAlignment w:val="bottom"/>
              <w:rPr>
                <w:rFonts w:ascii="宋体" w:hAnsi="宋体" w:cs="宋体"/>
                <w:sz w:val="24"/>
              </w:rPr>
            </w:pPr>
            <w:r>
              <w:rPr>
                <w:rFonts w:hint="eastAsia" w:ascii="宋体" w:hAnsi="宋体" w:cs="宋体"/>
                <w:sz w:val="24"/>
              </w:rPr>
              <w:t>违约责任：由于乙方原因(除不可抗力外)不能按期交付合同标的，对超出交付期的每一天，乙方应按合同总价款的千分之三承担违约金，在合同款项支付时一次性扣除。若超出交付期十天(含十天)以上的，甲方有权终止合同，履约保证金不予退还。</w:t>
            </w:r>
          </w:p>
          <w:p>
            <w:pPr>
              <w:spacing w:line="360" w:lineRule="auto"/>
              <w:rPr>
                <w:rFonts w:ascii="宋体" w:hAnsi="宋体" w:cs="宋体"/>
                <w:sz w:val="24"/>
              </w:rPr>
            </w:pPr>
            <w:r>
              <w:rPr>
                <w:rFonts w:hint="eastAsia" w:ascii="宋体" w:hAnsi="宋体" w:cs="宋体"/>
                <w:sz w:val="24"/>
              </w:rPr>
              <w:t>乙方按合同要求完成服务后，经验收合格后，甲方超出付款期支付款项的，每逾一天，甲方应向乙方支付合同金额的千分之三的滞纳金。如遇特殊情况甲方要求推迟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1.9.2</w:t>
            </w:r>
          </w:p>
        </w:tc>
        <w:tc>
          <w:tcPr>
            <w:tcW w:w="4464" w:type="pct"/>
            <w:vAlign w:val="center"/>
          </w:tcPr>
          <w:p>
            <w:pPr>
              <w:spacing w:line="360" w:lineRule="auto"/>
              <w:jc w:val="left"/>
              <w:rPr>
                <w:rFonts w:ascii="宋体" w:hAnsi="宋体" w:cs="宋体"/>
                <w:sz w:val="24"/>
              </w:rPr>
            </w:pPr>
            <w:r>
              <w:rPr>
                <w:rFonts w:hint="eastAsia" w:ascii="宋体" w:hAnsi="宋体" w:cs="宋体"/>
                <w:sz w:val="24"/>
              </w:rPr>
              <w:t>淳安县人民法院起诉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2.3.2</w:t>
            </w:r>
          </w:p>
        </w:tc>
        <w:tc>
          <w:tcPr>
            <w:tcW w:w="4464" w:type="pct"/>
            <w:vAlign w:val="center"/>
          </w:tcPr>
          <w:p>
            <w:pPr>
              <w:spacing w:line="360" w:lineRule="auto"/>
              <w:ind w:right="-420" w:rightChars="-200"/>
              <w:rPr>
                <w:rFonts w:ascii="宋体" w:hAnsi="宋体" w:cs="宋体"/>
                <w:sz w:val="24"/>
              </w:rPr>
            </w:pPr>
            <w:r>
              <w:rPr>
                <w:rFonts w:hint="eastAsia" w:ascii="宋体" w:hAnsi="宋体" w:cs="宋体"/>
                <w:sz w:val="24"/>
              </w:rPr>
              <w:t>属于甲方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right="-420" w:rightChars="-200"/>
              <w:rPr>
                <w:rFonts w:ascii="宋体" w:hAnsi="宋体" w:cs="宋体"/>
                <w:sz w:val="24"/>
              </w:rPr>
            </w:pPr>
            <w:r>
              <w:rPr>
                <w:rFonts w:hint="eastAsia" w:ascii="宋体" w:hAnsi="宋体" w:cs="宋体"/>
                <w:sz w:val="24"/>
              </w:rPr>
              <w:t>同1.6.2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r>
              <w:rPr>
                <w:rFonts w:hint="eastAsia" w:ascii="宋体" w:hAnsi="宋体" w:cs="宋体"/>
                <w:sz w:val="24"/>
              </w:rPr>
              <w:t>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11.4</w:t>
            </w:r>
          </w:p>
        </w:tc>
        <w:tc>
          <w:tcPr>
            <w:tcW w:w="4464" w:type="pct"/>
          </w:tcPr>
          <w:p>
            <w:pPr>
              <w:spacing w:line="360" w:lineRule="auto"/>
              <w:rPr>
                <w:rFonts w:ascii="宋体" w:hAnsi="宋体" w:cs="宋体"/>
                <w:sz w:val="24"/>
              </w:rPr>
            </w:pPr>
            <w:r>
              <w:rPr>
                <w:rFonts w:hint="eastAsia" w:ascii="宋体" w:hAnsi="宋体" w:cs="宋体"/>
                <w:sz w:val="24"/>
              </w:rPr>
              <w:t>7日、14日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r>
              <w:rPr>
                <w:rFonts w:hint="eastAsia" w:ascii="宋体" w:hAnsi="宋体" w:cs="宋体"/>
                <w:sz w:val="24"/>
              </w:rPr>
              <w:t>甲方需求、服务结束时，乙方在10日内约定时间内组织验收，并可依法邀请相关方参加，验收应出具验收书。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r>
              <w:rPr>
                <w:rFonts w:hint="eastAsia" w:ascii="宋体" w:hAnsi="宋体" w:cs="宋体"/>
                <w:sz w:val="24"/>
              </w:rPr>
              <w:t>检验和验收标准、程序等具体内容：验收方式：</w:t>
            </w:r>
          </w:p>
          <w:p>
            <w:pPr>
              <w:spacing w:line="360" w:lineRule="auto"/>
              <w:rPr>
                <w:rFonts w:ascii="宋体" w:hAnsi="宋体" w:cs="宋体"/>
                <w:sz w:val="24"/>
              </w:rPr>
            </w:pPr>
            <w:r>
              <w:rPr>
                <w:rFonts w:hint="eastAsia" w:ascii="宋体" w:hAnsi="宋体" w:cs="宋体"/>
                <w:sz w:val="24"/>
              </w:rPr>
              <w:t>（1）由甲方组织验收。</w:t>
            </w:r>
          </w:p>
          <w:p>
            <w:pPr>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项目成果质量须满足甲方的相关要求</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（3）乙方提供验收报告、验收意见作为成果资料。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jc w:val="center"/>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r>
              <w:rPr>
                <w:rFonts w:hint="eastAsia" w:ascii="宋体" w:hAnsi="宋体" w:cs="宋体"/>
                <w:sz w:val="24"/>
              </w:rPr>
              <w:t>本合同壹式伍份，甲、乙双方各执贰份，采购代理机构壹份。</w:t>
            </w:r>
          </w:p>
        </w:tc>
      </w:tr>
    </w:tbl>
    <w:p>
      <w:pPr>
        <w:spacing w:line="360" w:lineRule="auto"/>
        <w:ind w:left="-420" w:leftChars="-200" w:right="-420" w:rightChars="-200" w:firstLine="480" w:firstLineChars="200"/>
        <w:rPr>
          <w:rFonts w:ascii="宋体" w:hAnsi="宋体" w:cs="宋体"/>
          <w:sz w:val="24"/>
        </w:rPr>
      </w:pPr>
    </w:p>
    <w:p>
      <w:pPr>
        <w:pStyle w:val="25"/>
        <w:rPr>
          <w:rFonts w:cs="宋体"/>
        </w:rPr>
      </w:pPr>
    </w:p>
    <w:p>
      <w:pPr>
        <w:rPr>
          <w:rFonts w:ascii="宋体" w:hAnsi="宋体" w:cs="宋体"/>
          <w:sz w:val="24"/>
        </w:rPr>
      </w:pPr>
    </w:p>
    <w:p>
      <w:pPr>
        <w:pStyle w:val="25"/>
        <w:rPr>
          <w:rFonts w:cs="宋体"/>
        </w:rPr>
      </w:pPr>
    </w:p>
    <w:p>
      <w:pPr>
        <w:rPr>
          <w:rFonts w:ascii="宋体" w:hAnsi="宋体" w:cs="宋体"/>
          <w:sz w:val="24"/>
        </w:rPr>
      </w:pPr>
    </w:p>
    <w:p>
      <w:pPr>
        <w:pStyle w:val="25"/>
        <w:rPr>
          <w:rFonts w:cs="宋体"/>
        </w:rPr>
      </w:pPr>
    </w:p>
    <w:p>
      <w:pPr>
        <w:rPr>
          <w:rFonts w:ascii="宋体" w:hAnsi="宋体" w:cs="宋体"/>
          <w:sz w:val="24"/>
        </w:rPr>
      </w:pPr>
    </w:p>
    <w:p>
      <w:pPr>
        <w:pStyle w:val="25"/>
        <w:rPr>
          <w:rFonts w:cs="宋体"/>
        </w:rPr>
      </w:pPr>
    </w:p>
    <w:p>
      <w:pPr>
        <w:rPr>
          <w:rFonts w:ascii="宋体" w:hAnsi="宋体" w:cs="宋体"/>
          <w:sz w:val="24"/>
        </w:rPr>
      </w:pPr>
    </w:p>
    <w:p>
      <w:pPr>
        <w:pStyle w:val="2"/>
        <w:ind w:firstLine="0"/>
        <w:rPr>
          <w:color w:val="auto"/>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bookmarkEnd w:id="39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（3）分包意向协议、联合协议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rPr>
        <w:t>公章</w:t>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或</w:t>
      </w:r>
      <w:r>
        <w:rPr>
          <w:rFonts w:hint="eastAsia" w:ascii="宋体" w:hAnsi="宋体" w:cs="宋体"/>
          <w:kern w:val="0"/>
          <w:sz w:val="24"/>
          <w:lang w:val="zh-CN"/>
        </w:rPr>
        <w:t>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联合体成员名称(电子签名或公章)：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kern w:val="0"/>
          <w:sz w:val="24"/>
        </w:rPr>
        <w:t>公章</w:t>
      </w:r>
      <w:r>
        <w:rPr>
          <w:rFonts w:hint="eastAsia" w:ascii="宋体" w:hAnsi="宋体" w:cs="宋体"/>
          <w:kern w:val="0"/>
          <w:sz w:val="24"/>
          <w:lang w:val="zh-CN"/>
        </w:rPr>
        <w:t xml:space="preserve">)：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04"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504"/>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rFonts w:ascii="宋体" w:hAnsi="宋体" w:eastAsia="宋体" w:cs="宋体"/>
          <w:lang w:val="en-US"/>
        </w:rPr>
      </w:pPr>
    </w:p>
    <w:p>
      <w:pPr>
        <w:rPr>
          <w:rFonts w:ascii="宋体" w:hAnsi="宋体" w:cs="宋体"/>
        </w:rPr>
      </w:pPr>
    </w:p>
    <w:p>
      <w:pPr>
        <w:pStyle w:val="4"/>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hint="eastAsia"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rPr>
        <w:t>公章</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1984"/>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985"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701"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服务期限</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项目负责人</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rPr>
            </w:pPr>
            <w:r>
              <w:rPr>
                <w:rFonts w:hint="eastAsia" w:ascii="宋体" w:hAnsi="宋体" w:cs="宋体"/>
                <w:sz w:val="24"/>
              </w:rPr>
              <w:t>1</w:t>
            </w:r>
          </w:p>
        </w:tc>
        <w:tc>
          <w:tcPr>
            <w:tcW w:w="1985" w:type="dxa"/>
            <w:vAlign w:val="center"/>
          </w:tcPr>
          <w:p>
            <w:pPr>
              <w:snapToGrid w:val="0"/>
              <w:spacing w:line="360" w:lineRule="auto"/>
              <w:jc w:val="center"/>
              <w:rPr>
                <w:rFonts w:ascii="宋体" w:hAnsi="宋体" w:cs="宋体"/>
                <w:sz w:val="24"/>
              </w:rPr>
            </w:pPr>
            <w:r>
              <w:rPr>
                <w:rFonts w:hint="eastAsia" w:ascii="宋体" w:hAnsi="宋体" w:cs="宋体"/>
                <w:sz w:val="24"/>
              </w:rPr>
              <w:t>淳安县医疗保障局医疗保险监管及经办服务项目</w:t>
            </w:r>
          </w:p>
        </w:tc>
        <w:tc>
          <w:tcPr>
            <w:tcW w:w="1701"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1985" w:type="dxa"/>
            <w:vAlign w:val="center"/>
          </w:tcPr>
          <w:p>
            <w:pPr>
              <w:snapToGrid w:val="0"/>
              <w:spacing w:line="360" w:lineRule="auto"/>
              <w:jc w:val="center"/>
              <w:rPr>
                <w:rFonts w:ascii="宋体" w:hAnsi="宋体" w:cs="宋体"/>
                <w:sz w:val="24"/>
              </w:rPr>
            </w:pPr>
          </w:p>
        </w:tc>
        <w:tc>
          <w:tcPr>
            <w:tcW w:w="1701" w:type="dxa"/>
            <w:vAlign w:val="center"/>
          </w:tcPr>
          <w:p>
            <w:pPr>
              <w:snapToGrid w:val="0"/>
              <w:spacing w:line="360" w:lineRule="auto"/>
              <w:jc w:val="center"/>
              <w:rPr>
                <w:rFonts w:ascii="宋体" w:hAnsi="宋体" w:cs="宋体"/>
                <w:sz w:val="24"/>
              </w:rPr>
            </w:pPr>
          </w:p>
        </w:tc>
        <w:tc>
          <w:tcPr>
            <w:tcW w:w="1984"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w:t>
            </w:r>
          </w:p>
        </w:tc>
        <w:tc>
          <w:tcPr>
            <w:tcW w:w="8647" w:type="dxa"/>
            <w:gridSpan w:val="4"/>
          </w:tcPr>
          <w:p>
            <w:pPr>
              <w:spacing w:line="360" w:lineRule="auto"/>
              <w:jc w:val="left"/>
              <w:rPr>
                <w:rFonts w:ascii="宋体" w:hAnsi="宋体" w:cs="宋体"/>
                <w:sz w:val="24"/>
              </w:rPr>
            </w:pPr>
            <w:r>
              <w:rPr>
                <w:rFonts w:hint="eastAsia" w:ascii="宋体" w:hAnsi="宋体" w:cs="宋体"/>
                <w:sz w:val="24"/>
              </w:rPr>
              <w:t>大写：</w:t>
            </w:r>
          </w:p>
          <w:p>
            <w:pPr>
              <w:spacing w:line="360" w:lineRule="auto"/>
              <w:jc w:val="left"/>
              <w:rPr>
                <w:rFonts w:ascii="宋体" w:hAnsi="宋体" w:cs="宋体"/>
                <w:sz w:val="24"/>
              </w:rPr>
            </w:pPr>
            <w:r>
              <w:rPr>
                <w:rFonts w:hint="eastAsia" w:ascii="宋体" w:hAnsi="宋体" w:cs="宋体"/>
                <w:sz w:val="24"/>
              </w:rPr>
              <w:t>小写：</w:t>
            </w: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Cs/>
          <w:kern w:val="0"/>
          <w:sz w:val="24"/>
        </w:rPr>
      </w:pPr>
      <w:r>
        <w:rPr>
          <w:rFonts w:hint="eastAsia" w:ascii="宋体" w:hAnsi="宋体" w:cs="宋体"/>
          <w:bCs/>
          <w:kern w:val="0"/>
          <w:sz w:val="24"/>
        </w:rPr>
        <w:t>5、报价如填写明细，格式自拟。</w:t>
      </w:r>
    </w:p>
    <w:p>
      <w:pPr>
        <w:spacing w:line="360" w:lineRule="auto"/>
        <w:ind w:firstLine="480" w:firstLineChars="200"/>
        <w:rPr>
          <w:rFonts w:ascii="宋体" w:hAnsi="宋体" w:cs="宋体"/>
          <w:b/>
          <w:kern w:val="0"/>
          <w:sz w:val="24"/>
        </w:rPr>
      </w:pPr>
      <w:r>
        <w:rPr>
          <w:rFonts w:hint="eastAsia" w:ascii="宋体" w:hAnsi="宋体" w:cs="宋体"/>
          <w:sz w:val="24"/>
        </w:rPr>
        <w:t>▲</w:t>
      </w:r>
      <w:r>
        <w:rPr>
          <w:rFonts w:hint="eastAsia" w:ascii="宋体" w:hAnsi="宋体" w:cs="宋体"/>
          <w:b/>
          <w:kern w:val="0"/>
          <w:sz w:val="24"/>
        </w:rPr>
        <w:t>6、特别说明：供应商报价低于项目预算50%的，应当在报价文件中详细阐述不影响服务质量或者诚信履约的具体原因，否则为无效报价。</w:t>
      </w:r>
    </w:p>
    <w:p>
      <w:pPr>
        <w:spacing w:line="360" w:lineRule="auto"/>
        <w:ind w:firstLine="480" w:firstLineChars="200"/>
        <w:rPr>
          <w:rFonts w:ascii="宋体" w:hAnsi="宋体" w:cs="宋体"/>
          <w:bCs/>
          <w:kern w:val="0"/>
          <w:sz w:val="24"/>
        </w:rPr>
      </w:pPr>
      <w:r>
        <w:rPr>
          <w:rFonts w:hint="eastAsia" w:ascii="宋体" w:hAnsi="宋体" w:cs="宋体"/>
          <w:bCs/>
          <w:kern w:val="0"/>
          <w:sz w:val="24"/>
        </w:rPr>
        <w:t>投标人名称（</w:t>
      </w:r>
      <w:r>
        <w:rPr>
          <w:rFonts w:hint="eastAsia" w:ascii="宋体" w:hAnsi="宋体" w:cs="宋体"/>
          <w:kern w:val="0"/>
          <w:sz w:val="24"/>
        </w:rPr>
        <w:t>公章</w:t>
      </w:r>
      <w:r>
        <w:rPr>
          <w:rFonts w:hint="eastAsia" w:ascii="宋体" w:hAnsi="宋体" w:cs="宋体"/>
          <w:bCs/>
          <w:kern w:val="0"/>
          <w:sz w:val="24"/>
        </w:rPr>
        <w:t>）：                                         日期：   年  月   日</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05" w:name="_Hlk101259491"/>
      <w:r>
        <w:rPr>
          <w:rFonts w:hint="eastAsia" w:ascii="宋体" w:hAnsi="宋体" w:eastAsia="宋体" w:cs="宋体"/>
          <w:sz w:val="32"/>
          <w:szCs w:val="32"/>
        </w:rPr>
        <w:t>（如果有）</w:t>
      </w:r>
      <w:bookmarkEnd w:id="505"/>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06" w:name="_Toc465665161"/>
      <w:r>
        <w:rPr>
          <w:rFonts w:hint="eastAsia" w:ascii="宋体" w:hAnsi="宋体" w:cs="宋体"/>
        </w:rPr>
        <w:t>附件</w:t>
      </w:r>
      <w:bookmarkEnd w:id="50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7" w:name="OLE_LINK13"/>
      <w:bookmarkStart w:id="508" w:name="OLE_LINK14"/>
      <w:r>
        <w:rPr>
          <w:rFonts w:hint="eastAsia" w:ascii="宋体" w:hAnsi="宋体" w:cs="宋体"/>
          <w:b/>
          <w:spacing w:val="6"/>
          <w:sz w:val="32"/>
          <w:szCs w:val="32"/>
        </w:rPr>
        <w:t>残疾人福利性单位声明函</w:t>
      </w:r>
    </w:p>
    <w:bookmarkEnd w:id="507"/>
    <w:bookmarkEnd w:id="50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w:t>
      </w:r>
      <w:r>
        <w:rPr>
          <w:rFonts w:hint="eastAsia" w:ascii="宋体" w:hAnsi="宋体" w:cs="宋体"/>
          <w:kern w:val="0"/>
          <w:sz w:val="24"/>
        </w:rPr>
        <w:t>公章</w:t>
      </w:r>
      <w:r>
        <w:rPr>
          <w:rFonts w:hint="eastAsia" w:ascii="宋体" w:hAnsi="宋体" w:cs="宋体"/>
          <w:kern w:val="0"/>
          <w:sz w:val="24"/>
          <w:lang w:val="zh-CN"/>
        </w:rPr>
        <w:t>）</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附件5：联合协议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0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09"/>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w:t>
      </w:r>
      <w:r>
        <w:rPr>
          <w:rFonts w:hint="eastAsia" w:ascii="宋体" w:hAnsi="宋体" w:cs="宋体"/>
          <w:kern w:val="0"/>
          <w:sz w:val="24"/>
        </w:rPr>
        <w:t>或</w:t>
      </w:r>
      <w:r>
        <w:rPr>
          <w:rFonts w:hint="eastAsia" w:ascii="宋体" w:hAnsi="宋体" w:cs="宋体"/>
          <w:kern w:val="0"/>
          <w:sz w:val="24"/>
          <w:lang w:val="zh-CN"/>
        </w:rPr>
        <w:t>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联合体成员名称(电子签名或公章)：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附件6：分包意向协议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0"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kern w:val="0"/>
          <w:sz w:val="24"/>
        </w:rPr>
        <w:t>公章</w:t>
      </w:r>
      <w:r>
        <w:rPr>
          <w:rFonts w:hint="eastAsia" w:ascii="宋体" w:hAnsi="宋体" w:cs="宋体"/>
          <w:kern w:val="0"/>
          <w:sz w:val="24"/>
          <w:lang w:val="zh-CN"/>
        </w:rPr>
        <w:t>)：</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w:t>
      </w:r>
      <w:r>
        <w:rPr>
          <w:rFonts w:hint="eastAsia" w:ascii="宋体" w:hAnsi="宋体" w:cs="宋体"/>
          <w:kern w:val="0"/>
          <w:sz w:val="24"/>
        </w:rPr>
        <w:t>或</w:t>
      </w:r>
      <w:r>
        <w:rPr>
          <w:rFonts w:hint="eastAsia" w:ascii="宋体" w:hAnsi="宋体" w:cs="宋体"/>
          <w:kern w:val="0"/>
          <w:sz w:val="24"/>
          <w:lang w:val="zh-CN"/>
        </w:rPr>
        <w:t>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附件7：中小企业声明函</w:t>
      </w:r>
    </w:p>
    <w:p>
      <w:pPr>
        <w:spacing w:line="360" w:lineRule="auto"/>
        <w:jc w:val="center"/>
        <w:rPr>
          <w:rFonts w:ascii="宋体" w:hAnsi="宋体" w:cs="宋体"/>
          <w:sz w:val="24"/>
          <w:u w:val="single"/>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u w:val="single"/>
        </w:rPr>
        <w:t>医疗保险监管及经办服务项目</w:t>
      </w:r>
      <w:r>
        <w:rPr>
          <w:rFonts w:hint="eastAsia" w:cs="宋体" w:asciiTheme="minorEastAsia" w:hAnsiTheme="minorEastAsia" w:eastAsiaTheme="minorEastAsia"/>
          <w:sz w:val="24"/>
        </w:rPr>
        <w:t xml:space="preserve">，属于 </w:t>
      </w:r>
      <w:r>
        <w:rPr>
          <w:rFonts w:hint="eastAsia" w:ascii="宋体" w:hAnsi="宋体" w:cs="宋体"/>
          <w:sz w:val="24"/>
          <w:u w:val="single"/>
        </w:rPr>
        <w:t>其他未列明行业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2.，属于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w:t>
      </w:r>
      <w:r>
        <w:rPr>
          <w:rFonts w:hint="eastAsia" w:ascii="宋体" w:hAnsi="宋体" w:cs="宋体"/>
          <w:kern w:val="0"/>
          <w:sz w:val="24"/>
        </w:rPr>
        <w:t>公章</w:t>
      </w:r>
      <w:r>
        <w:rPr>
          <w:rFonts w:hint="eastAsia" w:cs="宋体" w:asciiTheme="minorEastAsia" w:hAnsiTheme="minorEastAsia" w:eastAsiaTheme="minorEastAsia"/>
          <w:sz w:val="24"/>
        </w:rPr>
        <w:t>）：</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pStyle w:val="25"/>
        <w:rPr>
          <w:rFonts w:cs="宋体"/>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pStyle w:val="26"/>
        <w:ind w:firstLine="480"/>
        <w:rPr>
          <w:rFonts w:cs="宋体"/>
          <w:sz w:val="24"/>
        </w:rPr>
      </w:pPr>
    </w:p>
    <w:p>
      <w:pPr>
        <w:spacing w:line="360" w:lineRule="auto"/>
        <w:rPr>
          <w:rFonts w:ascii="宋体" w:hAnsi="宋体" w:cs="宋体"/>
          <w:b/>
          <w:sz w:val="32"/>
          <w:szCs w:val="32"/>
        </w:rPr>
      </w:pPr>
    </w:p>
    <w:p>
      <w:pPr>
        <w:spacing w:line="360" w:lineRule="auto"/>
        <w:rPr>
          <w:rFonts w:ascii="宋体" w:hAnsi="宋体" w:cs="宋体"/>
          <w:bCs/>
          <w:sz w:val="24"/>
        </w:rPr>
      </w:pPr>
    </w:p>
    <w:p>
      <w:pPr>
        <w:pStyle w:val="2"/>
        <w:rPr>
          <w:color w:val="auto"/>
        </w:rPr>
      </w:pPr>
    </w:p>
    <w:p/>
    <w:p>
      <w:pPr>
        <w:pStyle w:val="2"/>
        <w:rPr>
          <w:color w:val="auto"/>
        </w:rPr>
      </w:pPr>
    </w:p>
    <w:p>
      <w:pPr>
        <w:rPr>
          <w:rFonts w:ascii="宋体" w:hAnsi="宋体" w:cs="宋体"/>
          <w:sz w:val="24"/>
        </w:rPr>
      </w:pPr>
      <w:r>
        <w:rPr>
          <w:rFonts w:hint="eastAsia" w:ascii="宋体" w:hAnsi="宋体" w:cs="宋体"/>
          <w:b/>
          <w:spacing w:val="6"/>
          <w:sz w:val="24"/>
        </w:rPr>
        <w:t>附表1：</w:t>
      </w:r>
      <w:r>
        <w:rPr>
          <w:rFonts w:hint="eastAsia" w:ascii="宋体" w:hAnsi="宋体" w:cs="宋体"/>
          <w:sz w:val="24"/>
        </w:rPr>
        <w:t>发改价格[2011]534号文《关于降低部分建设项目收费标准规范收费行为等有关问题的通知》</w:t>
      </w:r>
      <w:bookmarkStart w:id="511" w:name="_Toc532896436"/>
      <w:r>
        <w:rPr>
          <w:rFonts w:hint="eastAsia" w:ascii="宋体" w:hAnsi="宋体" w:cs="宋体"/>
          <w:sz w:val="24"/>
        </w:rPr>
        <w:t>收费标准</w:t>
      </w:r>
      <w:bookmarkEnd w:id="511"/>
      <w:r>
        <w:rPr>
          <w:rFonts w:hint="eastAsia" w:ascii="宋体" w:hAnsi="宋体" w:cs="宋体"/>
          <w:sz w:val="24"/>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ascii="宋体" w:hAnsi="宋体" w:cs="宋体"/>
              </w:rPr>
            </w:pPr>
            <w:r>
              <w:rPr>
                <w:rFonts w:ascii="宋体" w:hAnsi="宋体" w:cs="宋体"/>
              </w:rPr>
              <w:pict>
                <v:line id="_x0000_s1031" o:spid="_x0000_s1031"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pPr>
              <w:ind w:firstLine="1004"/>
              <w:rPr>
                <w:rFonts w:ascii="宋体" w:hAnsi="宋体" w:cs="宋体"/>
              </w:rPr>
            </w:pPr>
            <w:r>
              <w:rPr>
                <w:rFonts w:hint="eastAsia" w:ascii="宋体" w:hAnsi="宋体" w:cs="宋体"/>
              </w:rPr>
              <w:t>　　　</w:t>
            </w:r>
          </w:p>
          <w:p>
            <w:pPr>
              <w:ind w:firstLine="840" w:firstLineChars="400"/>
              <w:rPr>
                <w:rFonts w:ascii="宋体" w:hAnsi="宋体" w:cs="宋体"/>
              </w:rPr>
            </w:pPr>
            <w:r>
              <w:rPr>
                <w:rFonts w:hint="eastAsia" w:ascii="宋体" w:hAnsi="宋体" w:cs="宋体"/>
              </w:rPr>
              <w:t>服务类型</w:t>
            </w:r>
          </w:p>
          <w:p>
            <w:pPr>
              <w:ind w:firstLine="1295" w:firstLineChars="617"/>
              <w:rPr>
                <w:rFonts w:ascii="宋体" w:hAnsi="宋体" w:cs="宋体"/>
              </w:rPr>
            </w:pPr>
          </w:p>
          <w:p>
            <w:pPr>
              <w:ind w:firstLine="1295" w:firstLineChars="617"/>
              <w:rPr>
                <w:rFonts w:ascii="宋体" w:hAnsi="宋体" w:cs="宋体"/>
              </w:rPr>
            </w:pPr>
          </w:p>
          <w:p>
            <w:pPr>
              <w:ind w:firstLine="630" w:firstLineChars="300"/>
              <w:rPr>
                <w:rFonts w:ascii="宋体" w:hAnsi="宋体" w:cs="宋体"/>
              </w:rPr>
            </w:pPr>
            <w:r>
              <w:rPr>
                <w:rFonts w:ascii="宋体" w:hAnsi="宋体" w:cs="宋体"/>
              </w:rPr>
              <w:pict>
                <v:line id="直接连接符 5" o:spid="_x0000_s1030"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宋体" w:hAnsi="宋体" w:cs="宋体"/>
              </w:rPr>
              <w:t>费率</w:t>
            </w:r>
          </w:p>
          <w:p>
            <w:pPr>
              <w:ind w:firstLine="1054"/>
              <w:rPr>
                <w:rFonts w:ascii="宋体" w:hAnsi="宋体" w:cs="宋体"/>
              </w:rPr>
            </w:pPr>
            <w:r>
              <w:rPr>
                <w:rFonts w:hint="eastAsia" w:ascii="宋体" w:hAnsi="宋体" w:cs="宋体"/>
              </w:rPr>
              <w:t>　　　</w:t>
            </w:r>
          </w:p>
          <w:p>
            <w:pPr>
              <w:ind w:firstLine="1054"/>
              <w:rPr>
                <w:rFonts w:ascii="宋体" w:hAnsi="宋体" w:cs="宋体"/>
              </w:rPr>
            </w:pPr>
            <w:r>
              <w:rPr>
                <w:rFonts w:hint="eastAsia" w:ascii="宋体" w:hAnsi="宋体" w:cs="宋体"/>
              </w:rPr>
              <w:t>　　　　</w:t>
            </w:r>
          </w:p>
          <w:p>
            <w:pPr>
              <w:rPr>
                <w:rFonts w:ascii="宋体" w:hAnsi="宋体" w:cs="宋体"/>
              </w:rPr>
            </w:pPr>
            <w:r>
              <w:rPr>
                <w:rFonts w:hint="eastAsia" w:ascii="宋体" w:hAnsi="宋体" w:cs="宋体"/>
              </w:rPr>
              <w:t xml:space="preserve">中标金额（万元） </w:t>
            </w:r>
          </w:p>
        </w:tc>
        <w:tc>
          <w:tcPr>
            <w:tcW w:w="1980" w:type="dxa"/>
            <w:vAlign w:val="center"/>
          </w:tcPr>
          <w:p>
            <w:pPr>
              <w:jc w:val="center"/>
              <w:rPr>
                <w:rFonts w:ascii="宋体" w:hAnsi="宋体" w:cs="宋体"/>
              </w:rPr>
            </w:pPr>
            <w:r>
              <w:rPr>
                <w:rFonts w:hint="eastAsia" w:ascii="宋体" w:hAnsi="宋体" w:cs="宋体"/>
              </w:rPr>
              <w:t>货物招标</w:t>
            </w:r>
          </w:p>
        </w:tc>
        <w:tc>
          <w:tcPr>
            <w:tcW w:w="1980" w:type="dxa"/>
            <w:vAlign w:val="center"/>
          </w:tcPr>
          <w:p>
            <w:pPr>
              <w:jc w:val="center"/>
              <w:rPr>
                <w:rFonts w:ascii="宋体" w:hAnsi="宋体" w:cs="宋体"/>
              </w:rPr>
            </w:pPr>
            <w:r>
              <w:rPr>
                <w:rFonts w:hint="eastAsia" w:ascii="宋体" w:hAnsi="宋体" w:cs="宋体"/>
              </w:rPr>
              <w:t>服务招标</w:t>
            </w:r>
          </w:p>
        </w:tc>
        <w:tc>
          <w:tcPr>
            <w:tcW w:w="1980" w:type="dxa"/>
            <w:vAlign w:val="center"/>
          </w:tcPr>
          <w:p>
            <w:pPr>
              <w:jc w:val="center"/>
              <w:rPr>
                <w:rFonts w:ascii="宋体" w:hAnsi="宋体" w:cs="宋体"/>
              </w:rPr>
            </w:pPr>
            <w:r>
              <w:rPr>
                <w:rFonts w:hint="eastAsia" w:ascii="宋体" w:hAnsi="宋体" w:cs="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100以下</w:t>
            </w:r>
          </w:p>
        </w:tc>
        <w:tc>
          <w:tcPr>
            <w:tcW w:w="1980" w:type="dxa"/>
          </w:tcPr>
          <w:p>
            <w:pPr>
              <w:jc w:val="center"/>
              <w:rPr>
                <w:rFonts w:ascii="宋体" w:hAnsi="宋体" w:cs="宋体"/>
              </w:rPr>
            </w:pPr>
            <w:r>
              <w:rPr>
                <w:rFonts w:hint="eastAsia" w:ascii="宋体" w:hAnsi="宋体" w:cs="宋体"/>
              </w:rPr>
              <w:t>1.5%</w:t>
            </w:r>
          </w:p>
        </w:tc>
        <w:tc>
          <w:tcPr>
            <w:tcW w:w="1980" w:type="dxa"/>
          </w:tcPr>
          <w:p>
            <w:pPr>
              <w:jc w:val="center"/>
              <w:rPr>
                <w:rFonts w:ascii="宋体" w:hAnsi="宋体" w:cs="宋体"/>
              </w:rPr>
            </w:pPr>
            <w:r>
              <w:rPr>
                <w:rFonts w:hint="eastAsia" w:ascii="宋体" w:hAnsi="宋体" w:cs="宋体"/>
              </w:rPr>
              <w:t>1.5%</w:t>
            </w:r>
          </w:p>
        </w:tc>
        <w:tc>
          <w:tcPr>
            <w:tcW w:w="1980" w:type="dxa"/>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100-500</w:t>
            </w:r>
          </w:p>
        </w:tc>
        <w:tc>
          <w:tcPr>
            <w:tcW w:w="1980" w:type="dxa"/>
          </w:tcPr>
          <w:p>
            <w:pPr>
              <w:jc w:val="center"/>
              <w:rPr>
                <w:rFonts w:ascii="宋体" w:hAnsi="宋体" w:cs="宋体"/>
              </w:rPr>
            </w:pPr>
            <w:r>
              <w:rPr>
                <w:rFonts w:hint="eastAsia" w:ascii="宋体" w:hAnsi="宋体" w:cs="宋体"/>
              </w:rPr>
              <w:t>1.1%</w:t>
            </w:r>
          </w:p>
        </w:tc>
        <w:tc>
          <w:tcPr>
            <w:tcW w:w="1980" w:type="dxa"/>
          </w:tcPr>
          <w:p>
            <w:pPr>
              <w:jc w:val="center"/>
              <w:rPr>
                <w:rFonts w:ascii="宋体" w:hAnsi="宋体" w:cs="宋体"/>
              </w:rPr>
            </w:pPr>
            <w:r>
              <w:rPr>
                <w:rFonts w:hint="eastAsia" w:ascii="宋体" w:hAnsi="宋体" w:cs="宋体"/>
              </w:rPr>
              <w:t>0.8%</w:t>
            </w:r>
          </w:p>
        </w:tc>
        <w:tc>
          <w:tcPr>
            <w:tcW w:w="1980" w:type="dxa"/>
          </w:tcPr>
          <w:p>
            <w:pPr>
              <w:jc w:val="center"/>
              <w:rPr>
                <w:rFonts w:ascii="宋体" w:hAnsi="宋体" w:cs="宋体"/>
              </w:rPr>
            </w:pPr>
            <w:r>
              <w:rPr>
                <w:rFonts w:hint="eastAsia" w:ascii="宋体"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500-1000</w:t>
            </w:r>
          </w:p>
        </w:tc>
        <w:tc>
          <w:tcPr>
            <w:tcW w:w="1980" w:type="dxa"/>
          </w:tcPr>
          <w:p>
            <w:pPr>
              <w:jc w:val="center"/>
              <w:rPr>
                <w:rFonts w:ascii="宋体" w:hAnsi="宋体" w:cs="宋体"/>
              </w:rPr>
            </w:pPr>
            <w:r>
              <w:rPr>
                <w:rFonts w:hint="eastAsia" w:ascii="宋体" w:hAnsi="宋体" w:cs="宋体"/>
              </w:rPr>
              <w:t>0.8%</w:t>
            </w:r>
          </w:p>
        </w:tc>
        <w:tc>
          <w:tcPr>
            <w:tcW w:w="1980" w:type="dxa"/>
          </w:tcPr>
          <w:p>
            <w:pPr>
              <w:jc w:val="center"/>
              <w:rPr>
                <w:rFonts w:ascii="宋体" w:hAnsi="宋体" w:cs="宋体"/>
              </w:rPr>
            </w:pPr>
            <w:r>
              <w:rPr>
                <w:rFonts w:hint="eastAsia" w:ascii="宋体" w:hAnsi="宋体" w:cs="宋体"/>
              </w:rPr>
              <w:t>0.45%</w:t>
            </w:r>
          </w:p>
        </w:tc>
        <w:tc>
          <w:tcPr>
            <w:tcW w:w="1980" w:type="dxa"/>
          </w:tcPr>
          <w:p>
            <w:pPr>
              <w:jc w:val="center"/>
              <w:rPr>
                <w:rFonts w:ascii="宋体" w:hAnsi="宋体" w:cs="宋体"/>
              </w:rPr>
            </w:pPr>
            <w:r>
              <w:rPr>
                <w:rFonts w:hint="eastAsia" w:ascii="宋体"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1000-5000</w:t>
            </w:r>
          </w:p>
        </w:tc>
        <w:tc>
          <w:tcPr>
            <w:tcW w:w="1980" w:type="dxa"/>
          </w:tcPr>
          <w:p>
            <w:pPr>
              <w:jc w:val="center"/>
              <w:rPr>
                <w:rFonts w:ascii="宋体" w:hAnsi="宋体" w:cs="宋体"/>
              </w:rPr>
            </w:pPr>
            <w:r>
              <w:rPr>
                <w:rFonts w:hint="eastAsia" w:ascii="宋体" w:hAnsi="宋体" w:cs="宋体"/>
              </w:rPr>
              <w:t>0.5%</w:t>
            </w:r>
          </w:p>
        </w:tc>
        <w:tc>
          <w:tcPr>
            <w:tcW w:w="1980" w:type="dxa"/>
          </w:tcPr>
          <w:p>
            <w:pPr>
              <w:jc w:val="center"/>
              <w:rPr>
                <w:rFonts w:ascii="宋体" w:hAnsi="宋体" w:cs="宋体"/>
              </w:rPr>
            </w:pPr>
            <w:r>
              <w:rPr>
                <w:rFonts w:hint="eastAsia" w:ascii="宋体" w:hAnsi="宋体" w:cs="宋体"/>
              </w:rPr>
              <w:t>0.25%</w:t>
            </w:r>
          </w:p>
        </w:tc>
        <w:tc>
          <w:tcPr>
            <w:tcW w:w="1980" w:type="dxa"/>
          </w:tcPr>
          <w:p>
            <w:pPr>
              <w:jc w:val="center"/>
              <w:rPr>
                <w:rFonts w:ascii="宋体" w:hAnsi="宋体" w:cs="宋体"/>
              </w:rPr>
            </w:pPr>
            <w:r>
              <w:rPr>
                <w:rFonts w:hint="eastAsia" w:ascii="宋体" w:hAnsi="宋体" w:cs="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5000-10000</w:t>
            </w:r>
          </w:p>
        </w:tc>
        <w:tc>
          <w:tcPr>
            <w:tcW w:w="1980" w:type="dxa"/>
          </w:tcPr>
          <w:p>
            <w:pPr>
              <w:jc w:val="center"/>
              <w:rPr>
                <w:rFonts w:ascii="宋体" w:hAnsi="宋体" w:cs="宋体"/>
              </w:rPr>
            </w:pPr>
            <w:r>
              <w:rPr>
                <w:rFonts w:hint="eastAsia" w:ascii="宋体" w:hAnsi="宋体" w:cs="宋体"/>
              </w:rPr>
              <w:t>0.25%</w:t>
            </w:r>
          </w:p>
        </w:tc>
        <w:tc>
          <w:tcPr>
            <w:tcW w:w="1980" w:type="dxa"/>
          </w:tcPr>
          <w:p>
            <w:pPr>
              <w:jc w:val="center"/>
              <w:rPr>
                <w:rFonts w:ascii="宋体" w:hAnsi="宋体" w:cs="宋体"/>
              </w:rPr>
            </w:pPr>
            <w:r>
              <w:rPr>
                <w:rFonts w:hint="eastAsia" w:ascii="宋体" w:hAnsi="宋体" w:cs="宋体"/>
              </w:rPr>
              <w:t>0.1%</w:t>
            </w:r>
          </w:p>
        </w:tc>
        <w:tc>
          <w:tcPr>
            <w:tcW w:w="1980" w:type="dxa"/>
          </w:tcPr>
          <w:p>
            <w:pPr>
              <w:jc w:val="cente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10000-50000</w:t>
            </w:r>
          </w:p>
        </w:tc>
        <w:tc>
          <w:tcPr>
            <w:tcW w:w="1980" w:type="dxa"/>
          </w:tcPr>
          <w:p>
            <w:pPr>
              <w:jc w:val="center"/>
              <w:rPr>
                <w:rFonts w:ascii="宋体" w:hAnsi="宋体" w:cs="宋体"/>
              </w:rPr>
            </w:pPr>
            <w:r>
              <w:rPr>
                <w:rFonts w:hint="eastAsia" w:ascii="宋体" w:hAnsi="宋体" w:cs="宋体"/>
              </w:rPr>
              <w:t>0.05%</w:t>
            </w:r>
          </w:p>
        </w:tc>
        <w:tc>
          <w:tcPr>
            <w:tcW w:w="1980" w:type="dxa"/>
          </w:tcPr>
          <w:p>
            <w:pPr>
              <w:jc w:val="center"/>
              <w:rPr>
                <w:rFonts w:ascii="宋体" w:hAnsi="宋体" w:cs="宋体"/>
              </w:rPr>
            </w:pPr>
            <w:r>
              <w:rPr>
                <w:rFonts w:hint="eastAsia" w:ascii="宋体" w:hAnsi="宋体" w:cs="宋体"/>
              </w:rPr>
              <w:t>0.05%</w:t>
            </w:r>
          </w:p>
        </w:tc>
        <w:tc>
          <w:tcPr>
            <w:tcW w:w="1980" w:type="dxa"/>
          </w:tcPr>
          <w:p>
            <w:pPr>
              <w:jc w:val="center"/>
              <w:rPr>
                <w:rFonts w:ascii="宋体" w:hAnsi="宋体" w:cs="宋体"/>
              </w:rPr>
            </w:pPr>
            <w:r>
              <w:rPr>
                <w:rFonts w:hint="eastAsia" w:ascii="宋体" w:hAnsi="宋体" w:cs="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50000-100000</w:t>
            </w:r>
          </w:p>
        </w:tc>
        <w:tc>
          <w:tcPr>
            <w:tcW w:w="1980" w:type="dxa"/>
          </w:tcPr>
          <w:p>
            <w:pPr>
              <w:jc w:val="center"/>
              <w:rPr>
                <w:rFonts w:ascii="宋体" w:hAnsi="宋体" w:cs="宋体"/>
              </w:rPr>
            </w:pPr>
            <w:r>
              <w:rPr>
                <w:rFonts w:hint="eastAsia" w:ascii="宋体" w:hAnsi="宋体" w:cs="宋体"/>
              </w:rPr>
              <w:t>0.035%</w:t>
            </w:r>
          </w:p>
        </w:tc>
        <w:tc>
          <w:tcPr>
            <w:tcW w:w="1980" w:type="dxa"/>
          </w:tcPr>
          <w:p>
            <w:pPr>
              <w:jc w:val="center"/>
              <w:rPr>
                <w:rFonts w:ascii="宋体" w:hAnsi="宋体" w:cs="宋体"/>
              </w:rPr>
            </w:pPr>
            <w:r>
              <w:rPr>
                <w:rFonts w:hint="eastAsia" w:ascii="宋体" w:hAnsi="宋体" w:cs="宋体"/>
              </w:rPr>
              <w:t>0.035%</w:t>
            </w:r>
          </w:p>
        </w:tc>
        <w:tc>
          <w:tcPr>
            <w:tcW w:w="1980" w:type="dxa"/>
          </w:tcPr>
          <w:p>
            <w:pPr>
              <w:jc w:val="center"/>
              <w:rPr>
                <w:rFonts w:ascii="宋体" w:hAnsi="宋体" w:cs="宋体"/>
              </w:rPr>
            </w:pPr>
            <w:r>
              <w:rPr>
                <w:rFonts w:hint="eastAsia" w:ascii="宋体" w:hAnsi="宋体" w:cs="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100000-500000</w:t>
            </w:r>
          </w:p>
        </w:tc>
        <w:tc>
          <w:tcPr>
            <w:tcW w:w="1980" w:type="dxa"/>
          </w:tcPr>
          <w:p>
            <w:pPr>
              <w:jc w:val="center"/>
              <w:rPr>
                <w:rFonts w:ascii="宋体" w:hAnsi="宋体" w:cs="宋体"/>
              </w:rPr>
            </w:pPr>
            <w:r>
              <w:rPr>
                <w:rFonts w:hint="eastAsia" w:ascii="宋体" w:hAnsi="宋体" w:cs="宋体"/>
              </w:rPr>
              <w:t>0.008%</w:t>
            </w:r>
          </w:p>
        </w:tc>
        <w:tc>
          <w:tcPr>
            <w:tcW w:w="1980" w:type="dxa"/>
          </w:tcPr>
          <w:p>
            <w:pPr>
              <w:jc w:val="center"/>
              <w:rPr>
                <w:rFonts w:ascii="宋体" w:hAnsi="宋体" w:cs="宋体"/>
              </w:rPr>
            </w:pPr>
            <w:r>
              <w:rPr>
                <w:rFonts w:hint="eastAsia" w:ascii="宋体" w:hAnsi="宋体" w:cs="宋体"/>
              </w:rPr>
              <w:t>0.008%</w:t>
            </w:r>
          </w:p>
        </w:tc>
        <w:tc>
          <w:tcPr>
            <w:tcW w:w="1980" w:type="dxa"/>
          </w:tcPr>
          <w:p>
            <w:pPr>
              <w:jc w:val="center"/>
              <w:rPr>
                <w:rFonts w:ascii="宋体" w:hAnsi="宋体" w:cs="宋体"/>
              </w:rPr>
            </w:pPr>
            <w:r>
              <w:rPr>
                <w:rFonts w:hint="eastAsia" w:ascii="宋体" w:hAnsi="宋体" w:cs="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500000-1000000</w:t>
            </w:r>
          </w:p>
        </w:tc>
        <w:tc>
          <w:tcPr>
            <w:tcW w:w="1980" w:type="dxa"/>
          </w:tcPr>
          <w:p>
            <w:pPr>
              <w:jc w:val="center"/>
              <w:rPr>
                <w:rFonts w:ascii="宋体" w:hAnsi="宋体" w:cs="宋体"/>
              </w:rPr>
            </w:pPr>
            <w:r>
              <w:rPr>
                <w:rFonts w:hint="eastAsia" w:ascii="宋体" w:hAnsi="宋体" w:cs="宋体"/>
              </w:rPr>
              <w:t>0.006%</w:t>
            </w:r>
          </w:p>
        </w:tc>
        <w:tc>
          <w:tcPr>
            <w:tcW w:w="1980" w:type="dxa"/>
          </w:tcPr>
          <w:p>
            <w:pPr>
              <w:jc w:val="center"/>
              <w:rPr>
                <w:rFonts w:ascii="宋体" w:hAnsi="宋体" w:cs="宋体"/>
              </w:rPr>
            </w:pPr>
            <w:r>
              <w:rPr>
                <w:rFonts w:hint="eastAsia" w:ascii="宋体" w:hAnsi="宋体" w:cs="宋体"/>
              </w:rPr>
              <w:t>0.006%</w:t>
            </w:r>
          </w:p>
        </w:tc>
        <w:tc>
          <w:tcPr>
            <w:tcW w:w="1980" w:type="dxa"/>
          </w:tcPr>
          <w:p>
            <w:pPr>
              <w:jc w:val="center"/>
              <w:rPr>
                <w:rFonts w:ascii="宋体" w:hAnsi="宋体" w:cs="宋体"/>
              </w:rPr>
            </w:pPr>
            <w:r>
              <w:rPr>
                <w:rFonts w:hint="eastAsia" w:ascii="宋体" w:hAnsi="宋体" w:cs="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1000000以上</w:t>
            </w:r>
          </w:p>
        </w:tc>
        <w:tc>
          <w:tcPr>
            <w:tcW w:w="1980" w:type="dxa"/>
          </w:tcPr>
          <w:p>
            <w:pPr>
              <w:jc w:val="center"/>
              <w:rPr>
                <w:rFonts w:ascii="宋体" w:hAnsi="宋体" w:cs="宋体"/>
              </w:rPr>
            </w:pPr>
            <w:r>
              <w:rPr>
                <w:rFonts w:hint="eastAsia" w:ascii="宋体" w:hAnsi="宋体" w:cs="宋体"/>
              </w:rPr>
              <w:t>0.004%</w:t>
            </w:r>
          </w:p>
        </w:tc>
        <w:tc>
          <w:tcPr>
            <w:tcW w:w="1980" w:type="dxa"/>
          </w:tcPr>
          <w:p>
            <w:pPr>
              <w:jc w:val="center"/>
              <w:rPr>
                <w:rFonts w:ascii="宋体" w:hAnsi="宋体" w:cs="宋体"/>
              </w:rPr>
            </w:pPr>
            <w:r>
              <w:rPr>
                <w:rFonts w:hint="eastAsia" w:ascii="宋体" w:hAnsi="宋体" w:cs="宋体"/>
              </w:rPr>
              <w:t>0.004%</w:t>
            </w:r>
          </w:p>
        </w:tc>
        <w:tc>
          <w:tcPr>
            <w:tcW w:w="1980" w:type="dxa"/>
          </w:tcPr>
          <w:p>
            <w:pPr>
              <w:jc w:val="center"/>
              <w:rPr>
                <w:rFonts w:ascii="宋体" w:hAnsi="宋体" w:cs="宋体"/>
              </w:rPr>
            </w:pPr>
            <w:r>
              <w:rPr>
                <w:rFonts w:hint="eastAsia" w:ascii="宋体" w:hAnsi="宋体" w:cs="宋体"/>
              </w:rPr>
              <w:t>0.004%</w:t>
            </w:r>
          </w:p>
        </w:tc>
      </w:tr>
    </w:tbl>
    <w:p>
      <w:pPr>
        <w:spacing w:line="360" w:lineRule="auto"/>
        <w:ind w:firstLine="420" w:firstLineChars="200"/>
        <w:rPr>
          <w:rFonts w:ascii="宋体" w:hAnsi="宋体" w:cs="宋体"/>
          <w:szCs w:val="21"/>
        </w:rPr>
      </w:pPr>
      <w:r>
        <w:rPr>
          <w:rFonts w:hint="eastAsia" w:ascii="宋体" w:hAnsi="宋体" w:cs="宋体"/>
          <w:szCs w:val="21"/>
        </w:rPr>
        <w:t>注：收费标准低于2000元的按2000元收取。</w:t>
      </w:r>
    </w:p>
    <w:p>
      <w:pPr>
        <w:spacing w:line="360" w:lineRule="auto"/>
        <w:ind w:firstLine="420" w:firstLineChars="200"/>
        <w:rPr>
          <w:rFonts w:ascii="宋体" w:hAnsi="宋体" w:cs="宋体"/>
          <w:szCs w:val="21"/>
        </w:rPr>
      </w:pPr>
      <w:r>
        <w:rPr>
          <w:rFonts w:hint="eastAsia" w:ascii="宋体" w:hAnsi="宋体" w:cs="宋体"/>
          <w:szCs w:val="21"/>
        </w:rPr>
        <w:t>例：一项货物采购项目，中标金额6000万元，收费如下：</w:t>
      </w:r>
    </w:p>
    <w:p>
      <w:pPr>
        <w:spacing w:line="360" w:lineRule="auto"/>
        <w:ind w:firstLine="420" w:firstLineChars="200"/>
        <w:rPr>
          <w:rFonts w:ascii="宋体" w:hAnsi="宋体" w:cs="宋体"/>
          <w:szCs w:val="21"/>
        </w:rPr>
      </w:pPr>
      <w:r>
        <w:rPr>
          <w:rFonts w:hint="eastAsia" w:ascii="宋体" w:hAnsi="宋体" w:cs="宋体"/>
          <w:szCs w:val="21"/>
        </w:rPr>
        <w:t>100万元×1.5％＝1.5万元</w:t>
      </w:r>
    </w:p>
    <w:p>
      <w:pPr>
        <w:spacing w:line="360" w:lineRule="auto"/>
        <w:ind w:firstLine="420" w:firstLineChars="200"/>
        <w:rPr>
          <w:rFonts w:ascii="宋体" w:hAnsi="宋体" w:cs="宋体"/>
          <w:szCs w:val="21"/>
        </w:rPr>
      </w:pPr>
      <w:r>
        <w:rPr>
          <w:rFonts w:hint="eastAsia" w:ascii="宋体" w:hAnsi="宋体" w:cs="宋体"/>
          <w:szCs w:val="21"/>
        </w:rPr>
        <w:t>（500-100）万元×1.1％＝4.4万元</w:t>
      </w:r>
    </w:p>
    <w:p>
      <w:pPr>
        <w:spacing w:line="360" w:lineRule="auto"/>
        <w:ind w:firstLine="420" w:firstLineChars="200"/>
        <w:rPr>
          <w:rFonts w:ascii="宋体" w:hAnsi="宋体" w:cs="宋体"/>
          <w:szCs w:val="21"/>
        </w:rPr>
      </w:pPr>
      <w:r>
        <w:rPr>
          <w:rFonts w:hint="eastAsia" w:ascii="宋体" w:hAnsi="宋体" w:cs="宋体"/>
          <w:szCs w:val="21"/>
        </w:rPr>
        <w:t>（1000-500）万元×0.8％=4万元</w:t>
      </w:r>
    </w:p>
    <w:p>
      <w:pPr>
        <w:spacing w:line="360" w:lineRule="auto"/>
        <w:ind w:firstLine="420" w:firstLineChars="200"/>
        <w:rPr>
          <w:rFonts w:ascii="宋体" w:hAnsi="宋体" w:cs="宋体"/>
          <w:szCs w:val="21"/>
        </w:rPr>
      </w:pPr>
      <w:r>
        <w:rPr>
          <w:rFonts w:hint="eastAsia" w:ascii="宋体" w:hAnsi="宋体" w:cs="宋体"/>
          <w:szCs w:val="21"/>
        </w:rPr>
        <w:t>（5000-1000）万元×0.5％=20万元</w:t>
      </w:r>
    </w:p>
    <w:p>
      <w:pPr>
        <w:spacing w:line="360" w:lineRule="auto"/>
        <w:ind w:firstLine="420" w:firstLineChars="200"/>
        <w:rPr>
          <w:rFonts w:ascii="宋体" w:hAnsi="宋体" w:cs="宋体"/>
          <w:szCs w:val="21"/>
        </w:rPr>
      </w:pPr>
      <w:r>
        <w:rPr>
          <w:rFonts w:hint="eastAsia" w:ascii="宋体" w:hAnsi="宋体" w:cs="宋体"/>
          <w:szCs w:val="21"/>
        </w:rPr>
        <w:t>（6000-5000）万元×0.25％=2.5万元</w:t>
      </w:r>
    </w:p>
    <w:p>
      <w:pPr>
        <w:spacing w:line="360" w:lineRule="auto"/>
        <w:ind w:firstLine="420" w:firstLineChars="200"/>
        <w:rPr>
          <w:rFonts w:ascii="宋体" w:hAnsi="宋体" w:cs="宋体"/>
          <w:szCs w:val="21"/>
        </w:rPr>
      </w:pPr>
      <w:r>
        <w:rPr>
          <w:rFonts w:hint="eastAsia" w:ascii="宋体" w:hAnsi="宋体" w:cs="宋体"/>
          <w:szCs w:val="21"/>
        </w:rPr>
        <w:t>合计收费＝1.5+4.4+4+20+2.5＝32.4万元</w:t>
      </w:r>
    </w:p>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12" w:name="_Toc131845147"/>
    <w:bookmarkStart w:id="513" w:name="_Toc91899912"/>
    <w:bookmarkStart w:id="514" w:name="_Toc164085800"/>
    <w:bookmarkStart w:id="515" w:name="_Toc3611018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淳安县</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淳安县</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淳安县</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淳安县</w:t>
    </w: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E0NGVhNmIyZGIyODhmMTcyZTk3N2MxNmI5MjdhYzUifQ=="/>
  </w:docVars>
  <w:rsids>
    <w:rsidRoot w:val="00172A27"/>
    <w:rsid w:val="00000451"/>
    <w:rsid w:val="0000108B"/>
    <w:rsid w:val="0000133D"/>
    <w:rsid w:val="00001509"/>
    <w:rsid w:val="00001A4C"/>
    <w:rsid w:val="0000231E"/>
    <w:rsid w:val="000032B2"/>
    <w:rsid w:val="0000363B"/>
    <w:rsid w:val="000058BD"/>
    <w:rsid w:val="00005C84"/>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F9"/>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610"/>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4B6E"/>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254"/>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F92"/>
    <w:rsid w:val="001F41F3"/>
    <w:rsid w:val="001F590F"/>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F59"/>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68FB"/>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1D"/>
    <w:rsid w:val="0031318C"/>
    <w:rsid w:val="00313C9D"/>
    <w:rsid w:val="0031430C"/>
    <w:rsid w:val="00314919"/>
    <w:rsid w:val="00314C5A"/>
    <w:rsid w:val="0031531A"/>
    <w:rsid w:val="00315394"/>
    <w:rsid w:val="00315AE9"/>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4F"/>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BC8"/>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1F0"/>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23F"/>
    <w:rsid w:val="00432ECA"/>
    <w:rsid w:val="0043554E"/>
    <w:rsid w:val="004355D4"/>
    <w:rsid w:val="004357B1"/>
    <w:rsid w:val="00435821"/>
    <w:rsid w:val="0043583E"/>
    <w:rsid w:val="00436943"/>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959"/>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24"/>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7BA2"/>
    <w:rsid w:val="00550AC5"/>
    <w:rsid w:val="00550B7E"/>
    <w:rsid w:val="00551052"/>
    <w:rsid w:val="005524E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32C"/>
    <w:rsid w:val="00574E7B"/>
    <w:rsid w:val="00574F36"/>
    <w:rsid w:val="00575CAB"/>
    <w:rsid w:val="00576B5C"/>
    <w:rsid w:val="005770CC"/>
    <w:rsid w:val="005802F9"/>
    <w:rsid w:val="005806D5"/>
    <w:rsid w:val="00580DFC"/>
    <w:rsid w:val="0058134C"/>
    <w:rsid w:val="005815CD"/>
    <w:rsid w:val="00582255"/>
    <w:rsid w:val="005827A7"/>
    <w:rsid w:val="00583D43"/>
    <w:rsid w:val="005846C3"/>
    <w:rsid w:val="00584F04"/>
    <w:rsid w:val="0058544C"/>
    <w:rsid w:val="00585623"/>
    <w:rsid w:val="005857F7"/>
    <w:rsid w:val="00585ABA"/>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8A0"/>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93D"/>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28D"/>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57E"/>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D15"/>
    <w:rsid w:val="007F7F8F"/>
    <w:rsid w:val="0080038D"/>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200"/>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2F3"/>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79F"/>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0D"/>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F4"/>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72E"/>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4763"/>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9F7"/>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4A39"/>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386"/>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602"/>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2F5C"/>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DC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2D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856"/>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89B"/>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5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502"/>
    <w:rsid w:val="00E266DD"/>
    <w:rsid w:val="00E26D2E"/>
    <w:rsid w:val="00E279B2"/>
    <w:rsid w:val="00E303C0"/>
    <w:rsid w:val="00E3055B"/>
    <w:rsid w:val="00E31687"/>
    <w:rsid w:val="00E31699"/>
    <w:rsid w:val="00E31761"/>
    <w:rsid w:val="00E31812"/>
    <w:rsid w:val="00E31889"/>
    <w:rsid w:val="00E319C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B91"/>
    <w:rsid w:val="00E47DB1"/>
    <w:rsid w:val="00E50BDD"/>
    <w:rsid w:val="00E510CF"/>
    <w:rsid w:val="00E513D7"/>
    <w:rsid w:val="00E519BE"/>
    <w:rsid w:val="00E519FE"/>
    <w:rsid w:val="00E5206C"/>
    <w:rsid w:val="00E52AAB"/>
    <w:rsid w:val="00E536CA"/>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D7CB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0F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4919"/>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1D8A"/>
    <w:rsid w:val="00FC22D0"/>
    <w:rsid w:val="00FC38D4"/>
    <w:rsid w:val="00FC391E"/>
    <w:rsid w:val="00FC39B3"/>
    <w:rsid w:val="00FC3BB7"/>
    <w:rsid w:val="00FC4345"/>
    <w:rsid w:val="00FC444A"/>
    <w:rsid w:val="00FC453D"/>
    <w:rsid w:val="00FC4A89"/>
    <w:rsid w:val="00FC51E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812"/>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075ED"/>
    <w:rsid w:val="041A5A3B"/>
    <w:rsid w:val="042311BA"/>
    <w:rsid w:val="042B157A"/>
    <w:rsid w:val="048F763B"/>
    <w:rsid w:val="049F330E"/>
    <w:rsid w:val="04AA775C"/>
    <w:rsid w:val="04AF1889"/>
    <w:rsid w:val="04F66F48"/>
    <w:rsid w:val="05251E14"/>
    <w:rsid w:val="05A16594"/>
    <w:rsid w:val="05A7762D"/>
    <w:rsid w:val="05C1754F"/>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B55204"/>
    <w:rsid w:val="08D66AD6"/>
    <w:rsid w:val="08DA33A3"/>
    <w:rsid w:val="08E80F13"/>
    <w:rsid w:val="09060F0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37538"/>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63104"/>
    <w:rsid w:val="12255233"/>
    <w:rsid w:val="12530213"/>
    <w:rsid w:val="127723A9"/>
    <w:rsid w:val="12862074"/>
    <w:rsid w:val="12883966"/>
    <w:rsid w:val="12911F0C"/>
    <w:rsid w:val="129E45B4"/>
    <w:rsid w:val="12D81596"/>
    <w:rsid w:val="13072A44"/>
    <w:rsid w:val="135F4BE2"/>
    <w:rsid w:val="139B1A0A"/>
    <w:rsid w:val="139D25C7"/>
    <w:rsid w:val="139F2BBE"/>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75767"/>
    <w:rsid w:val="17D349C1"/>
    <w:rsid w:val="18244F26"/>
    <w:rsid w:val="1830729E"/>
    <w:rsid w:val="1870062C"/>
    <w:rsid w:val="18817102"/>
    <w:rsid w:val="18830A15"/>
    <w:rsid w:val="18852B28"/>
    <w:rsid w:val="188B5321"/>
    <w:rsid w:val="19932372"/>
    <w:rsid w:val="19A20DD5"/>
    <w:rsid w:val="19AE03F1"/>
    <w:rsid w:val="19B56717"/>
    <w:rsid w:val="1A071A03"/>
    <w:rsid w:val="1A1F16AE"/>
    <w:rsid w:val="1A3B5C77"/>
    <w:rsid w:val="1A984BAD"/>
    <w:rsid w:val="1AB633DF"/>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A51ADA"/>
    <w:rsid w:val="21D56769"/>
    <w:rsid w:val="21E52EF3"/>
    <w:rsid w:val="21FB5D7B"/>
    <w:rsid w:val="22015E94"/>
    <w:rsid w:val="220B1C3D"/>
    <w:rsid w:val="221D1D20"/>
    <w:rsid w:val="22334A87"/>
    <w:rsid w:val="22B373EE"/>
    <w:rsid w:val="22BE6801"/>
    <w:rsid w:val="233500BF"/>
    <w:rsid w:val="23377FF7"/>
    <w:rsid w:val="236B425F"/>
    <w:rsid w:val="23836192"/>
    <w:rsid w:val="23901F29"/>
    <w:rsid w:val="239C0061"/>
    <w:rsid w:val="23B908A4"/>
    <w:rsid w:val="23E95BEF"/>
    <w:rsid w:val="23FD0064"/>
    <w:rsid w:val="23FE278A"/>
    <w:rsid w:val="240B442E"/>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C5C2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AB000C"/>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3F50F37"/>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B40A8"/>
    <w:rsid w:val="373F410B"/>
    <w:rsid w:val="37EE7094"/>
    <w:rsid w:val="38296C89"/>
    <w:rsid w:val="383002EB"/>
    <w:rsid w:val="38586797"/>
    <w:rsid w:val="385D15DF"/>
    <w:rsid w:val="38BC0149"/>
    <w:rsid w:val="38D87D1C"/>
    <w:rsid w:val="39636459"/>
    <w:rsid w:val="396B7F6C"/>
    <w:rsid w:val="39B417A9"/>
    <w:rsid w:val="39E41616"/>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918DA"/>
    <w:rsid w:val="434B790E"/>
    <w:rsid w:val="4360274F"/>
    <w:rsid w:val="43977AB6"/>
    <w:rsid w:val="43A3342B"/>
    <w:rsid w:val="43C77C27"/>
    <w:rsid w:val="43DE09EE"/>
    <w:rsid w:val="44002FAD"/>
    <w:rsid w:val="4430342A"/>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9229E3"/>
    <w:rsid w:val="47B025FA"/>
    <w:rsid w:val="4809698F"/>
    <w:rsid w:val="4811697D"/>
    <w:rsid w:val="482D3D25"/>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6095D"/>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5288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B0278"/>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96DE3"/>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10E72"/>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F633F"/>
    <w:rsid w:val="5FCC5339"/>
    <w:rsid w:val="5FE34A5B"/>
    <w:rsid w:val="5FFE1E36"/>
    <w:rsid w:val="6016506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532EF"/>
    <w:rsid w:val="63711FED"/>
    <w:rsid w:val="63880DDC"/>
    <w:rsid w:val="638D750D"/>
    <w:rsid w:val="63AC6CC0"/>
    <w:rsid w:val="64055776"/>
    <w:rsid w:val="64240056"/>
    <w:rsid w:val="643E143A"/>
    <w:rsid w:val="64491666"/>
    <w:rsid w:val="648B6EEF"/>
    <w:rsid w:val="64C158BF"/>
    <w:rsid w:val="64CE2EAA"/>
    <w:rsid w:val="653C3090"/>
    <w:rsid w:val="65554D43"/>
    <w:rsid w:val="65854376"/>
    <w:rsid w:val="658767BE"/>
    <w:rsid w:val="65892531"/>
    <w:rsid w:val="66195831"/>
    <w:rsid w:val="662E75B1"/>
    <w:rsid w:val="66313BE9"/>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61AC7"/>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A03756"/>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autoRedefine/>
    <w:qFormat/>
    <w:uiPriority w:val="0"/>
    <w:pPr>
      <w:ind w:firstLine="420"/>
    </w:pPr>
    <w:rPr>
      <w:rFonts w:hAnsi="Calibri" w:cs="Times New Roman"/>
      <w:snapToGrid/>
      <w:szCs w:val="20"/>
    </w:rPr>
  </w:style>
  <w:style w:type="paragraph" w:styleId="25">
    <w:name w:val="Body Text Indent"/>
    <w:basedOn w:val="1"/>
    <w:next w:val="26"/>
    <w:link w:val="262"/>
    <w:autoRedefine/>
    <w:qFormat/>
    <w:uiPriority w:val="0"/>
    <w:pPr>
      <w:spacing w:line="480" w:lineRule="exact"/>
      <w:ind w:firstLine="480" w:firstLineChars="200"/>
    </w:pPr>
    <w:rPr>
      <w:rFonts w:ascii="宋体" w:hAnsi="宋体"/>
      <w:sz w:val="24"/>
    </w:rPr>
  </w:style>
  <w:style w:type="paragraph" w:styleId="26">
    <w:name w:val="Body Text First Indent 2"/>
    <w:basedOn w:val="25"/>
    <w:link w:val="118"/>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2"/>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299"/>
    <w:autoRedefine/>
    <w:qFormat/>
    <w:uiPriority w:val="0"/>
    <w:pPr>
      <w:spacing w:after="120" w:line="480" w:lineRule="auto"/>
    </w:pPr>
  </w:style>
  <w:style w:type="paragraph" w:styleId="58">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99"/>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1"/>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26"/>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5"/>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60"/>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8"/>
    <w:autoRedefine/>
    <w:qFormat/>
    <w:uiPriority w:val="0"/>
    <w:rPr>
      <w:rFonts w:ascii="黑体" w:hAnsi="Courier New" w:eastAsia="黑体"/>
    </w:rPr>
  </w:style>
  <w:style w:type="character" w:customStyle="1" w:styleId="299">
    <w:name w:val="正文文本 2 Char1"/>
    <w:link w:val="57"/>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2"/>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link w:val="965"/>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qFormat/>
    <w:uiPriority w:val="0"/>
    <w:rPr>
      <w:rFonts w:hint="eastAsia" w:ascii="仿宋_GB2312" w:eastAsia="仿宋_GB2312"/>
      <w:b/>
      <w:sz w:val="32"/>
      <w:szCs w:val="32"/>
    </w:rPr>
  </w:style>
  <w:style w:type="paragraph" w:customStyle="1" w:styleId="963">
    <w:name w:val="投标正文"/>
    <w:basedOn w:val="1"/>
    <w:link w:val="964"/>
    <w:qFormat/>
    <w:uiPriority w:val="0"/>
    <w:pPr>
      <w:adjustRightInd/>
      <w:spacing w:line="360" w:lineRule="auto"/>
      <w:ind w:left="100" w:firstLine="480" w:firstLineChars="200"/>
    </w:pPr>
    <w:rPr>
      <w:rFonts w:ascii="Calibri" w:hAnsi="Calibri"/>
      <w:sz w:val="24"/>
    </w:rPr>
  </w:style>
  <w:style w:type="character" w:customStyle="1" w:styleId="964">
    <w:name w:val="投标正文 Char"/>
    <w:basedOn w:val="69"/>
    <w:link w:val="963"/>
    <w:autoRedefine/>
    <w:qFormat/>
    <w:locked/>
    <w:uiPriority w:val="0"/>
    <w:rPr>
      <w:rFonts w:ascii="Calibri" w:hAnsi="Calibri"/>
      <w:kern w:val="2"/>
      <w:sz w:val="24"/>
      <w:szCs w:val="24"/>
    </w:rPr>
  </w:style>
  <w:style w:type="character" w:customStyle="1" w:styleId="965">
    <w:name w:val="__正文 Char"/>
    <w:basedOn w:val="69"/>
    <w:link w:val="710"/>
    <w:autoRedefine/>
    <w:qFormat/>
    <w:locked/>
    <w:uiPriority w:val="0"/>
    <w:rPr>
      <w:rFonts w:eastAsia="等线"/>
      <w:kern w:val="2"/>
      <w:sz w:val="24"/>
      <w:szCs w:val="21"/>
    </w:rPr>
  </w:style>
  <w:style w:type="paragraph" w:customStyle="1" w:styleId="966">
    <w:name w:val="msolistparagraph"/>
    <w:basedOn w:val="1"/>
    <w:qFormat/>
    <w:uiPriority w:val="0"/>
    <w:pPr>
      <w:spacing w:line="360" w:lineRule="auto"/>
      <w:ind w:firstLine="200" w:firstLineChars="200"/>
    </w:pPr>
    <w:rPr>
      <w:szCs w:val="22"/>
    </w:rPr>
  </w:style>
  <w:style w:type="character" w:customStyle="1" w:styleId="967">
    <w:name w:val="bookmark-item"/>
    <w:basedOn w:val="6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B24F5-C4B1-457D-BC97-5B3457737B9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38428</Words>
  <Characters>6297</Characters>
  <Lines>52</Lines>
  <Paragraphs>89</Paragraphs>
  <TotalTime>3</TotalTime>
  <ScaleCrop>false</ScaleCrop>
  <LinksUpToDate>false</LinksUpToDate>
  <CharactersWithSpaces>44636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力拔山兮</cp:lastModifiedBy>
  <cp:lastPrinted>2023-05-15T04:10:00Z</cp:lastPrinted>
  <dcterms:modified xsi:type="dcterms:W3CDTF">2023-12-15T01:35:40Z</dcterms:modified>
  <dc:title>杭州市市民卡扩大发卡工程</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