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10"/>
        <w:ind w:firstLine="480"/>
        <w:rPr>
          <w:rFonts w:ascii="仿宋" w:hAnsi="仿宋" w:eastAsia="仿宋" w:cs="仿宋"/>
          <w:color w:val="auto"/>
        </w:rPr>
      </w:pPr>
      <w:bookmarkStart w:id="558" w:name="_GoBack"/>
    </w:p>
    <w:p>
      <w:pPr>
        <w:spacing w:line="360" w:lineRule="auto"/>
        <w:jc w:val="center"/>
        <w:rPr>
          <w:rFonts w:ascii="仿宋" w:hAnsi="仿宋" w:eastAsia="仿宋" w:cs="仿宋"/>
          <w:b/>
          <w:color w:val="auto"/>
          <w:sz w:val="24"/>
        </w:rPr>
      </w:pPr>
    </w:p>
    <w:p>
      <w:pPr>
        <w:adjustRightInd/>
        <w:spacing w:line="360" w:lineRule="auto"/>
        <w:jc w:val="center"/>
        <w:rPr>
          <w:rFonts w:ascii="仿宋" w:hAnsi="仿宋" w:eastAsia="仿宋" w:cs="仿宋"/>
          <w:b/>
          <w:color w:val="auto"/>
          <w:sz w:val="44"/>
          <w:szCs w:val="44"/>
        </w:rPr>
      </w:pPr>
    </w:p>
    <w:p>
      <w:pPr>
        <w:adjustRightInd/>
        <w:spacing w:line="360" w:lineRule="auto"/>
        <w:rPr>
          <w:rFonts w:ascii="仿宋" w:hAnsi="仿宋" w:eastAsia="仿宋" w:cs="仿宋"/>
          <w:b/>
          <w:color w:val="auto"/>
          <w:sz w:val="48"/>
          <w:szCs w:val="48"/>
        </w:rPr>
      </w:pPr>
    </w:p>
    <w:p>
      <w:pPr>
        <w:adjustRightInd/>
        <w:spacing w:line="360" w:lineRule="auto"/>
        <w:jc w:val="center"/>
        <w:rPr>
          <w:rFonts w:hint="eastAsia" w:ascii="仿宋" w:hAnsi="仿宋" w:eastAsia="仿宋" w:cs="仿宋"/>
          <w:color w:val="auto"/>
          <w:sz w:val="48"/>
          <w:szCs w:val="48"/>
          <w:lang w:eastAsia="zh-CN"/>
        </w:rPr>
      </w:pPr>
      <w:r>
        <w:rPr>
          <w:rFonts w:hint="eastAsia" w:ascii="仿宋" w:hAnsi="仿宋" w:eastAsia="仿宋" w:cs="仿宋"/>
          <w:color w:val="auto"/>
          <w:sz w:val="48"/>
          <w:szCs w:val="48"/>
          <w:lang w:eastAsia="zh-CN"/>
        </w:rPr>
        <w:t>建德市国土空间规划编制专项-森林古道保护与利用规划</w:t>
      </w:r>
    </w:p>
    <w:p>
      <w:pPr>
        <w:adjustRightInd/>
        <w:spacing w:line="360" w:lineRule="auto"/>
        <w:jc w:val="center"/>
        <w:rPr>
          <w:rFonts w:ascii="仿宋" w:hAnsi="仿宋" w:eastAsia="仿宋" w:cs="仿宋"/>
          <w:color w:val="auto"/>
          <w:sz w:val="48"/>
          <w:szCs w:val="48"/>
        </w:rPr>
      </w:pPr>
      <w:r>
        <w:rPr>
          <w:rFonts w:hint="eastAsia" w:ascii="仿宋" w:hAnsi="仿宋" w:eastAsia="仿宋" w:cs="仿宋"/>
          <w:color w:val="auto"/>
          <w:sz w:val="48"/>
          <w:szCs w:val="48"/>
        </w:rPr>
        <w:t>招标文件</w:t>
      </w:r>
    </w:p>
    <w:p>
      <w:pPr>
        <w:adjustRightInd/>
        <w:spacing w:line="360" w:lineRule="auto"/>
        <w:jc w:val="center"/>
        <w:rPr>
          <w:rFonts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编号:JD2022BF-083</w:t>
      </w:r>
    </w:p>
    <w:p>
      <w:pPr>
        <w:adjustRightInd/>
        <w:spacing w:line="360" w:lineRule="auto"/>
        <w:rPr>
          <w:rFonts w:ascii="仿宋" w:hAnsi="仿宋" w:eastAsia="仿宋" w:cs="仿宋"/>
          <w:color w:val="auto"/>
          <w:sz w:val="28"/>
          <w:szCs w:val="20"/>
        </w:rPr>
      </w:pPr>
    </w:p>
    <w:p>
      <w:pPr>
        <w:spacing w:line="360" w:lineRule="auto"/>
        <w:jc w:val="center"/>
        <w:rPr>
          <w:rFonts w:ascii="仿宋" w:hAnsi="仿宋" w:eastAsia="仿宋" w:cs="仿宋"/>
          <w:b/>
          <w:color w:val="auto"/>
          <w:sz w:val="44"/>
          <w:szCs w:val="44"/>
        </w:rPr>
      </w:pPr>
    </w:p>
    <w:p>
      <w:pPr>
        <w:spacing w:line="360" w:lineRule="auto"/>
        <w:jc w:val="center"/>
        <w:rPr>
          <w:rFonts w:ascii="仿宋" w:hAnsi="仿宋" w:eastAsia="仿宋" w:cs="仿宋"/>
          <w:b/>
          <w:color w:val="auto"/>
          <w:sz w:val="44"/>
          <w:szCs w:val="44"/>
        </w:rPr>
      </w:pPr>
    </w:p>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color w:val="auto"/>
          <w:sz w:val="24"/>
        </w:rPr>
      </w:pPr>
    </w:p>
    <w:p>
      <w:pPr>
        <w:spacing w:line="360" w:lineRule="auto"/>
        <w:rPr>
          <w:rFonts w:ascii="仿宋" w:hAnsi="仿宋" w:eastAsia="仿宋" w:cs="仿宋"/>
          <w:color w:val="auto"/>
          <w:sz w:val="32"/>
          <w:szCs w:val="32"/>
        </w:rPr>
      </w:pPr>
    </w:p>
    <w:p>
      <w:pPr>
        <w:spacing w:line="360" w:lineRule="auto"/>
        <w:jc w:val="center"/>
        <w:rPr>
          <w:rFonts w:ascii="仿宋" w:hAnsi="仿宋" w:eastAsia="仿宋" w:cs="仿宋"/>
          <w:bCs/>
          <w:color w:val="auto"/>
          <w:sz w:val="32"/>
          <w:szCs w:val="32"/>
        </w:rPr>
      </w:pPr>
      <w:r>
        <w:rPr>
          <w:rFonts w:hint="eastAsia" w:ascii="仿宋" w:hAnsi="仿宋" w:eastAsia="仿宋" w:cs="仿宋"/>
          <w:bCs/>
          <w:color w:val="auto"/>
          <w:sz w:val="32"/>
          <w:szCs w:val="32"/>
        </w:rPr>
        <w:t>建德市林业局</w:t>
      </w:r>
    </w:p>
    <w:p>
      <w:pPr>
        <w:spacing w:line="360" w:lineRule="auto"/>
        <w:jc w:val="center"/>
        <w:rPr>
          <w:rFonts w:ascii="仿宋" w:hAnsi="仿宋" w:eastAsia="仿宋" w:cs="仿宋"/>
          <w:bCs/>
          <w:color w:val="auto"/>
          <w:sz w:val="32"/>
          <w:szCs w:val="32"/>
        </w:rPr>
      </w:pPr>
      <w:r>
        <w:rPr>
          <w:rFonts w:hint="eastAsia" w:ascii="仿宋" w:hAnsi="仿宋" w:eastAsia="仿宋" w:cs="仿宋"/>
          <w:bCs/>
          <w:color w:val="auto"/>
          <w:sz w:val="32"/>
          <w:szCs w:val="32"/>
        </w:rPr>
        <w:t>永盛联合(杭州)项目管理有限公司</w:t>
      </w:r>
    </w:p>
    <w:p>
      <w:pPr>
        <w:spacing w:line="360" w:lineRule="auto"/>
        <w:jc w:val="center"/>
        <w:rPr>
          <w:rFonts w:ascii="仿宋" w:hAnsi="仿宋" w:eastAsia="仿宋" w:cs="仿宋"/>
          <w:bCs/>
          <w:color w:val="auto"/>
          <w:sz w:val="32"/>
          <w:szCs w:val="32"/>
        </w:rPr>
      </w:pPr>
      <w:r>
        <w:rPr>
          <w:rFonts w:hint="eastAsia" w:ascii="仿宋" w:hAnsi="仿宋" w:eastAsia="仿宋" w:cs="仿宋"/>
          <w:bCs/>
          <w:color w:val="auto"/>
          <w:sz w:val="32"/>
          <w:szCs w:val="32"/>
        </w:rPr>
        <w:t>二〇二二年</w:t>
      </w:r>
      <w:r>
        <w:rPr>
          <w:rFonts w:hint="eastAsia" w:ascii="仿宋" w:hAnsi="仿宋" w:eastAsia="仿宋" w:cs="仿宋"/>
          <w:bCs/>
          <w:color w:val="auto"/>
          <w:sz w:val="32"/>
          <w:szCs w:val="32"/>
          <w:lang w:val="en-US" w:eastAsia="zh-CN"/>
        </w:rPr>
        <w:t>六</w:t>
      </w:r>
      <w:r>
        <w:rPr>
          <w:rFonts w:hint="eastAsia" w:ascii="仿宋" w:hAnsi="仿宋" w:eastAsia="仿宋" w:cs="仿宋"/>
          <w:bCs/>
          <w:color w:val="auto"/>
          <w:sz w:val="32"/>
          <w:szCs w:val="32"/>
        </w:rPr>
        <w:t>月</w:t>
      </w:r>
      <w:r>
        <w:rPr>
          <w:rFonts w:hint="eastAsia" w:ascii="仿宋" w:hAnsi="仿宋" w:eastAsia="仿宋" w:cs="仿宋"/>
          <w:bCs/>
          <w:color w:val="auto"/>
          <w:sz w:val="32"/>
          <w:szCs w:val="32"/>
          <w:lang w:val="en-US" w:eastAsia="zh-CN"/>
        </w:rPr>
        <w:t>八</w:t>
      </w:r>
      <w:r>
        <w:rPr>
          <w:rFonts w:hint="eastAsia" w:ascii="仿宋" w:hAnsi="仿宋" w:eastAsia="仿宋" w:cs="仿宋"/>
          <w:bCs/>
          <w:color w:val="auto"/>
          <w:sz w:val="32"/>
          <w:szCs w:val="32"/>
        </w:rPr>
        <w:t>日</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br w:type="page"/>
      </w:r>
      <w:bookmarkStart w:id="0" w:name="_Hlt67893495"/>
      <w:bookmarkEnd w:id="0"/>
    </w:p>
    <w:p>
      <w:pPr>
        <w:spacing w:line="360" w:lineRule="auto"/>
        <w:jc w:val="center"/>
        <w:rPr>
          <w:rFonts w:ascii="仿宋" w:hAnsi="仿宋" w:eastAsia="仿宋" w:cs="仿宋"/>
          <w:color w:val="auto"/>
          <w:sz w:val="24"/>
        </w:rPr>
      </w:pPr>
    </w:p>
    <w:p>
      <w:pPr>
        <w:spacing w:line="360" w:lineRule="auto"/>
        <w:jc w:val="center"/>
        <w:rPr>
          <w:rFonts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ascii="仿宋" w:hAnsi="仿宋" w:eastAsia="仿宋" w:cs="仿宋"/>
          <w:color w:val="auto"/>
          <w:sz w:val="32"/>
          <w:szCs w:val="32"/>
        </w:rPr>
      </w:pPr>
    </w:p>
    <w:p>
      <w:pPr>
        <w:spacing w:line="360" w:lineRule="auto"/>
        <w:rPr>
          <w:rFonts w:ascii="仿宋" w:hAnsi="仿宋" w:eastAsia="仿宋" w:cs="仿宋"/>
          <w:color w:val="auto"/>
          <w:sz w:val="32"/>
          <w:szCs w:val="32"/>
        </w:rPr>
      </w:pP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ascii="仿宋" w:hAnsi="仿宋" w:eastAsia="仿宋" w:cs="仿宋"/>
          <w:color w:val="auto"/>
          <w:sz w:val="24"/>
        </w:rPr>
      </w:pPr>
      <w:bookmarkStart w:id="1" w:name="_Hlt91233176"/>
      <w:bookmarkEnd w:id="1"/>
      <w:bookmarkStart w:id="2" w:name="_Toc91899869"/>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ind w:firstLine="549" w:firstLineChars="229"/>
        <w:rPr>
          <w:rFonts w:ascii="仿宋" w:hAnsi="仿宋" w:eastAsia="仿宋" w:cs="仿宋"/>
          <w:color w:val="auto"/>
          <w:sz w:val="24"/>
        </w:rPr>
      </w:pPr>
    </w:p>
    <w:p>
      <w:pPr>
        <w:spacing w:line="360" w:lineRule="auto"/>
        <w:rPr>
          <w:rFonts w:ascii="仿宋" w:hAnsi="仿宋" w:eastAsia="仿宋" w:cs="仿宋"/>
          <w:color w:val="auto"/>
          <w:sz w:val="24"/>
        </w:rPr>
      </w:pPr>
    </w:p>
    <w:p>
      <w:pPr>
        <w:adjustRightInd/>
        <w:spacing w:line="360" w:lineRule="auto"/>
        <w:jc w:val="center"/>
        <w:outlineLvl w:val="0"/>
        <w:rPr>
          <w:rFonts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u w:val="single"/>
        </w:rPr>
      </w:pPr>
      <w:r>
        <w:rPr>
          <w:rStyle w:val="961"/>
          <w:rFonts w:hint="eastAsia" w:ascii="仿宋" w:hAnsi="仿宋" w:eastAsia="仿宋" w:cs="仿宋"/>
          <w:b w:val="0"/>
          <w:color w:val="auto"/>
          <w:kern w:val="0"/>
          <w:sz w:val="24"/>
          <w:u w:val="single"/>
          <w:lang w:eastAsia="zh-CN"/>
        </w:rPr>
        <w:t>建德市国土空间规划编制专项-森林古道保护与利用规划</w:t>
      </w:r>
      <w:r>
        <w:rPr>
          <w:rFonts w:hint="eastAsia" w:ascii="仿宋" w:hAnsi="仿宋" w:eastAsia="仿宋" w:cs="仿宋"/>
          <w:color w:val="auto"/>
          <w:sz w:val="24"/>
        </w:rPr>
        <w:t>招标项目的潜在投标人应在政采云平台（</w:t>
      </w:r>
      <w:r>
        <w:rPr>
          <w:color w:val="auto"/>
        </w:rPr>
        <w:fldChar w:fldCharType="begin"/>
      </w:r>
      <w:r>
        <w:rPr>
          <w:color w:val="auto"/>
        </w:rPr>
        <w:instrText xml:space="preserve"> HYPERLINK "https://www.zcygov.cn/）获取（下载）招标文件，并于2022年4月%20日14点00分00秒" </w:instrText>
      </w:r>
      <w:r>
        <w:rPr>
          <w:color w:val="auto"/>
        </w:rPr>
        <w:fldChar w:fldCharType="separate"/>
      </w:r>
      <w:r>
        <w:rPr>
          <w:rStyle w:val="76"/>
          <w:rFonts w:hint="eastAsia" w:ascii="仿宋" w:hAnsi="仿宋" w:eastAsia="仿宋" w:cs="仿宋"/>
          <w:snapToGrid/>
          <w:color w:val="auto"/>
          <w:kern w:val="2"/>
          <w:sz w:val="24"/>
          <w:szCs w:val="24"/>
        </w:rPr>
        <w:t>https://www.zcygov.cn/）获取（下载）招标文件，并于2022年</w:t>
      </w:r>
      <w:r>
        <w:rPr>
          <w:rStyle w:val="76"/>
          <w:rFonts w:hint="eastAsia" w:ascii="仿宋" w:hAnsi="仿宋" w:eastAsia="仿宋" w:cs="仿宋"/>
          <w:snapToGrid/>
          <w:color w:val="auto"/>
          <w:kern w:val="2"/>
          <w:sz w:val="24"/>
          <w:szCs w:val="24"/>
        </w:rPr>
        <w:t>6</w:t>
      </w:r>
      <w:r>
        <w:rPr>
          <w:rStyle w:val="76"/>
          <w:rFonts w:hint="eastAsia" w:ascii="仿宋" w:hAnsi="仿宋" w:eastAsia="仿宋" w:cs="仿宋"/>
          <w:snapToGrid/>
          <w:color w:val="auto"/>
          <w:kern w:val="2"/>
          <w:sz w:val="24"/>
          <w:szCs w:val="24"/>
        </w:rPr>
        <w:t>月</w:t>
      </w:r>
      <w:r>
        <w:rPr>
          <w:rStyle w:val="76"/>
          <w:rFonts w:hint="eastAsia" w:ascii="仿宋" w:hAnsi="仿宋" w:eastAsia="仿宋" w:cs="仿宋"/>
          <w:snapToGrid/>
          <w:color w:val="auto"/>
          <w:kern w:val="2"/>
          <w:sz w:val="24"/>
          <w:szCs w:val="24"/>
          <w:lang w:val="en-US" w:eastAsia="zh-CN"/>
        </w:rPr>
        <w:t>29</w:t>
      </w:r>
      <w:r>
        <w:rPr>
          <w:rStyle w:val="76"/>
          <w:rFonts w:hint="eastAsia" w:ascii="仿宋" w:hAnsi="仿宋" w:eastAsia="仿宋" w:cs="仿宋"/>
          <w:snapToGrid/>
          <w:color w:val="auto"/>
          <w:kern w:val="2"/>
          <w:sz w:val="24"/>
          <w:szCs w:val="24"/>
        </w:rPr>
        <w:t>日14点</w:t>
      </w:r>
      <w:r>
        <w:rPr>
          <w:rStyle w:val="76"/>
          <w:rFonts w:hint="eastAsia" w:ascii="仿宋" w:hAnsi="仿宋" w:eastAsia="仿宋" w:cs="仿宋"/>
          <w:snapToGrid/>
          <w:color w:val="auto"/>
          <w:kern w:val="2"/>
          <w:sz w:val="24"/>
          <w:szCs w:val="24"/>
          <w:lang w:val="en-US" w:eastAsia="zh-CN"/>
        </w:rPr>
        <w:t>3</w:t>
      </w:r>
      <w:r>
        <w:rPr>
          <w:rStyle w:val="76"/>
          <w:rFonts w:hint="eastAsia" w:ascii="仿宋" w:hAnsi="仿宋" w:eastAsia="仿宋" w:cs="仿宋"/>
          <w:snapToGrid/>
          <w:color w:val="auto"/>
          <w:kern w:val="2"/>
          <w:sz w:val="24"/>
          <w:szCs w:val="24"/>
        </w:rPr>
        <w:t>0分</w:t>
      </w:r>
      <w:r>
        <w:rPr>
          <w:rStyle w:val="76"/>
          <w:rFonts w:hint="eastAsia" w:ascii="仿宋" w:hAnsi="仿宋" w:eastAsia="仿宋" w:cs="仿宋"/>
          <w:bCs/>
          <w:snapToGrid/>
          <w:color w:val="auto"/>
          <w:kern w:val="2"/>
          <w:sz w:val="24"/>
          <w:szCs w:val="24"/>
        </w:rPr>
        <w:t>00秒</w:t>
      </w:r>
      <w:r>
        <w:rPr>
          <w:rStyle w:val="76"/>
          <w:rFonts w:hint="eastAsia" w:ascii="仿宋" w:hAnsi="仿宋" w:eastAsia="仿宋" w:cs="仿宋"/>
          <w:bCs/>
          <w:snapToGrid/>
          <w:color w:val="auto"/>
          <w:kern w:val="2"/>
          <w:sz w:val="24"/>
          <w:szCs w:val="24"/>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ascii="仿宋" w:hAnsi="仿宋" w:eastAsia="仿宋" w:cs="仿宋"/>
          <w:color w:val="auto"/>
          <w:sz w:val="24"/>
        </w:rPr>
      </w:pPr>
      <w:r>
        <w:rPr>
          <w:rFonts w:hint="eastAsia" w:ascii="仿宋" w:hAnsi="仿宋" w:eastAsia="仿宋" w:cs="仿宋"/>
          <w:b/>
          <w:color w:val="auto"/>
          <w:sz w:val="24"/>
        </w:rPr>
        <w:t>项目编号：</w:t>
      </w:r>
      <w:r>
        <w:rPr>
          <w:rStyle w:val="961"/>
          <w:rFonts w:hint="default" w:ascii="仿宋" w:hAnsi="仿宋" w:eastAsia="仿宋" w:cs="仿宋"/>
          <w:b w:val="0"/>
          <w:color w:val="auto"/>
          <w:kern w:val="0"/>
          <w:sz w:val="24"/>
        </w:rPr>
        <w:t>JD2022BF-083</w:t>
      </w:r>
    </w:p>
    <w:p>
      <w:pPr>
        <w:spacing w:line="360" w:lineRule="auto"/>
        <w:rPr>
          <w:rFonts w:hint="eastAsia" w:ascii="仿宋" w:hAnsi="仿宋" w:eastAsia="仿宋" w:cs="仿宋"/>
          <w:color w:val="auto"/>
          <w:sz w:val="24"/>
          <w:lang w:eastAsia="zh-CN"/>
        </w:rPr>
      </w:pPr>
      <w:r>
        <w:rPr>
          <w:rFonts w:hint="eastAsia" w:ascii="仿宋" w:hAnsi="仿宋" w:eastAsia="仿宋" w:cs="仿宋"/>
          <w:b/>
          <w:color w:val="auto"/>
          <w:sz w:val="24"/>
        </w:rPr>
        <w:t>项目名称：</w:t>
      </w:r>
      <w:r>
        <w:rPr>
          <w:rStyle w:val="961"/>
          <w:rFonts w:hint="eastAsia" w:ascii="仿宋" w:hAnsi="仿宋" w:eastAsia="仿宋" w:cs="仿宋"/>
          <w:b w:val="0"/>
          <w:color w:val="auto"/>
          <w:kern w:val="0"/>
          <w:sz w:val="24"/>
          <w:lang w:eastAsia="zh-CN"/>
        </w:rPr>
        <w:t>建德市国土空间规划编制专项-森林古道保护与利用规划</w:t>
      </w:r>
    </w:p>
    <w:p>
      <w:pPr>
        <w:spacing w:line="360" w:lineRule="auto"/>
        <w:rPr>
          <w:rFonts w:ascii="仿宋" w:hAnsi="仿宋" w:eastAsia="仿宋" w:cs="仿宋"/>
          <w:color w:val="auto"/>
          <w:sz w:val="24"/>
        </w:rPr>
      </w:pPr>
      <w:r>
        <w:rPr>
          <w:rFonts w:hint="eastAsia" w:ascii="仿宋" w:hAnsi="仿宋" w:eastAsia="仿宋" w:cs="仿宋"/>
          <w:b/>
          <w:color w:val="auto"/>
          <w:sz w:val="24"/>
        </w:rPr>
        <w:t>预算金额（元）：</w:t>
      </w:r>
      <w:r>
        <w:rPr>
          <w:rFonts w:hint="eastAsia" w:ascii="仿宋" w:hAnsi="仿宋" w:eastAsia="仿宋" w:cs="仿宋"/>
          <w:bCs/>
          <w:color w:val="auto"/>
          <w:sz w:val="24"/>
        </w:rPr>
        <w:t>500000元</w:t>
      </w:r>
    </w:p>
    <w:p>
      <w:pPr>
        <w:spacing w:line="360" w:lineRule="auto"/>
        <w:rPr>
          <w:rFonts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bCs/>
          <w:color w:val="auto"/>
          <w:sz w:val="24"/>
        </w:rPr>
        <w:t>500000元</w:t>
      </w:r>
    </w:p>
    <w:p>
      <w:pPr>
        <w:spacing w:line="360" w:lineRule="auto"/>
        <w:rPr>
          <w:rFonts w:ascii="仿宋" w:hAnsi="仿宋" w:eastAsia="仿宋" w:cs="仿宋"/>
          <w:color w:val="auto"/>
          <w:sz w:val="24"/>
        </w:rPr>
      </w:pPr>
      <w:r>
        <w:rPr>
          <w:rFonts w:hint="eastAsia" w:ascii="仿宋" w:hAnsi="仿宋" w:eastAsia="仿宋" w:cs="仿宋"/>
          <w:b/>
          <w:color w:val="auto"/>
          <w:sz w:val="24"/>
        </w:rPr>
        <w:t>采购需求：</w:t>
      </w:r>
      <w:r>
        <w:rPr>
          <w:rStyle w:val="961"/>
          <w:rFonts w:hint="default" w:ascii="仿宋" w:hAnsi="仿宋" w:eastAsia="仿宋" w:cs="仿宋"/>
          <w:b w:val="0"/>
          <w:color w:val="auto"/>
          <w:kern w:val="0"/>
          <w:sz w:val="24"/>
          <w:szCs w:val="24"/>
        </w:rPr>
        <w:t>建德市森林古道保护与利用规划，</w:t>
      </w:r>
      <w:r>
        <w:rPr>
          <w:rFonts w:hint="eastAsia" w:ascii="仿宋" w:hAnsi="仿宋" w:eastAsia="仿宋" w:cs="仿宋"/>
          <w:bCs/>
          <w:color w:val="auto"/>
          <w:sz w:val="24"/>
        </w:rPr>
        <w:t>主要内容：按省林业局要求，完成市域范围内森林古道资源普查，并</w:t>
      </w:r>
      <w:r>
        <w:rPr>
          <w:rFonts w:hint="eastAsia" w:ascii="仿宋" w:hAnsi="仿宋" w:eastAsia="仿宋" w:cs="仿宋"/>
          <w:color w:val="auto"/>
          <w:sz w:val="24"/>
        </w:rPr>
        <w:t>编制《</w:t>
      </w:r>
      <w:r>
        <w:rPr>
          <w:rFonts w:hint="eastAsia" w:ascii="仿宋" w:hAnsi="仿宋" w:eastAsia="仿宋" w:cs="仿宋"/>
          <w:color w:val="auto"/>
          <w:sz w:val="24"/>
          <w:lang w:eastAsia="zh-CN"/>
        </w:rPr>
        <w:t>建德市森林古道保护与利用规划</w:t>
      </w:r>
      <w:r>
        <w:rPr>
          <w:rFonts w:hint="eastAsia" w:ascii="仿宋" w:hAnsi="仿宋" w:eastAsia="仿宋" w:cs="仿宋"/>
          <w:color w:val="auto"/>
          <w:sz w:val="24"/>
        </w:rPr>
        <w:t>（2023-2030年）》</w:t>
      </w:r>
      <w:r>
        <w:rPr>
          <w:rFonts w:hint="eastAsia" w:ascii="仿宋" w:hAnsi="仿宋" w:eastAsia="仿宋" w:cs="仿宋"/>
          <w:bCs/>
          <w:color w:val="auto"/>
          <w:sz w:val="24"/>
        </w:rPr>
        <w:t>。详见招标文件第三部分采购需求。</w:t>
      </w:r>
    </w:p>
    <w:p>
      <w:pPr>
        <w:pStyle w:val="128"/>
        <w:ind w:firstLine="0" w:firstLineChars="0"/>
        <w:outlineLvl w:val="2"/>
        <w:rPr>
          <w:rFonts w:ascii="仿宋" w:hAnsi="仿宋" w:eastAsia="仿宋" w:cs="仿宋"/>
          <w:color w:val="auto"/>
          <w:szCs w:val="24"/>
        </w:rPr>
      </w:pPr>
      <w:r>
        <w:rPr>
          <w:rFonts w:hint="eastAsia" w:ascii="仿宋" w:hAnsi="仿宋" w:eastAsia="仿宋" w:cs="仿宋"/>
          <w:b/>
          <w:color w:val="auto"/>
        </w:rPr>
        <w:t>合同履约期限：</w:t>
      </w:r>
      <w:r>
        <w:rPr>
          <w:rFonts w:hint="eastAsia" w:ascii="仿宋" w:hAnsi="仿宋" w:eastAsia="仿宋" w:cs="仿宋"/>
          <w:color w:val="auto"/>
        </w:rPr>
        <w:t>2022年10月31日前交付成果</w:t>
      </w:r>
      <w:r>
        <w:rPr>
          <w:rFonts w:hint="eastAsia" w:ascii="仿宋" w:hAnsi="仿宋" w:eastAsia="仿宋" w:cs="仿宋"/>
          <w:color w:val="auto"/>
          <w:szCs w:val="24"/>
        </w:rPr>
        <w:t>。</w:t>
      </w:r>
    </w:p>
    <w:p>
      <w:pPr>
        <w:pStyle w:val="128"/>
        <w:ind w:firstLine="0" w:firstLineChars="0"/>
        <w:outlineLvl w:val="2"/>
        <w:rPr>
          <w:rFonts w:ascii="仿宋" w:hAnsi="仿宋" w:eastAsia="仿宋" w:cs="仿宋"/>
          <w:color w:val="auto"/>
        </w:rPr>
      </w:pPr>
      <w:r>
        <w:rPr>
          <w:rFonts w:hint="eastAsia" w:ascii="仿宋" w:hAnsi="仿宋" w:eastAsia="仿宋" w:cs="仿宋"/>
          <w:b/>
          <w:color w:val="auto"/>
        </w:rPr>
        <w:t>采购方式：</w:t>
      </w:r>
      <w:r>
        <w:rPr>
          <w:rFonts w:hint="eastAsia" w:ascii="仿宋" w:hAnsi="仿宋" w:eastAsia="仿宋" w:cs="仿宋"/>
          <w:color w:val="auto"/>
        </w:rPr>
        <w:t>公开招标</w:t>
      </w:r>
    </w:p>
    <w:p>
      <w:pPr>
        <w:pStyle w:val="5"/>
        <w:spacing w:line="360" w:lineRule="auto"/>
        <w:ind w:firstLine="0"/>
        <w:rPr>
          <w:rFonts w:ascii="仿宋" w:hAnsi="仿宋" w:eastAsia="仿宋" w:cs="仿宋"/>
          <w:b/>
          <w:color w:val="auto"/>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95205666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76552672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2.落实政府采购政策需满足的资格要求：</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1024704304"/>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467333"/>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1955161828"/>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00FE"/>
                  </w:r>
                </w:sdtContent>
              </w:sdt>
            </w:sdtContent>
          </w:sdt>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480" w:firstLineChars="200"/>
        <w:rPr>
          <w:rFonts w:ascii="仿宋" w:hAnsi="仿宋" w:eastAsia="仿宋" w:cs="仿宋"/>
          <w:color w:val="auto"/>
          <w:sz w:val="24"/>
        </w:rPr>
      </w:pPr>
      <w:sdt>
        <w:sdtPr>
          <w:rPr>
            <w:rFonts w:hint="eastAsia" w:ascii="仿宋" w:hAnsi="仿宋" w:eastAsia="仿宋" w:cs="仿宋"/>
            <w:color w:val="auto"/>
            <w:kern w:val="0"/>
            <w:sz w:val="24"/>
          </w:rPr>
          <w:id w:val="-333685401"/>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3.本项目的特定资格要求：林业调查规划设计乙级及以上资质；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2022年</w:t>
      </w:r>
      <w:r>
        <w:rPr>
          <w:rFonts w:hint="eastAsia" w:ascii="仿宋" w:hAnsi="仿宋" w:eastAsia="仿宋" w:cs="仿宋"/>
          <w:color w:val="auto"/>
          <w:sz w:val="24"/>
          <w:u w:val="single"/>
        </w:rPr>
        <w:t>6</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 xml:space="preserve"> 2022年6月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日14点30分</w:t>
      </w:r>
      <w:r>
        <w:rPr>
          <w:rFonts w:hint="eastAsia" w:ascii="仿宋" w:hAnsi="仿宋" w:eastAsia="仿宋" w:cs="仿宋"/>
          <w:color w:val="auto"/>
          <w:sz w:val="24"/>
        </w:rPr>
        <w:t>（北京时间）</w:t>
      </w:r>
    </w:p>
    <w:p>
      <w:pPr>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2022年6月</w:t>
      </w:r>
      <w:r>
        <w:rPr>
          <w:rFonts w:hint="eastAsia" w:ascii="仿宋" w:hAnsi="仿宋" w:eastAsia="仿宋" w:cs="仿宋"/>
          <w:color w:val="auto"/>
          <w:sz w:val="24"/>
          <w:u w:val="single"/>
          <w:lang w:val="en-US" w:eastAsia="zh-CN"/>
        </w:rPr>
        <w:t>29</w:t>
      </w:r>
      <w:r>
        <w:rPr>
          <w:rFonts w:hint="eastAsia" w:ascii="仿宋" w:hAnsi="仿宋" w:eastAsia="仿宋" w:cs="仿宋"/>
          <w:color w:val="auto"/>
          <w:sz w:val="24"/>
          <w:u w:val="single"/>
        </w:rPr>
        <w:t>日14点30分</w:t>
      </w:r>
    </w:p>
    <w:p>
      <w:pPr>
        <w:spacing w:line="360" w:lineRule="auto"/>
        <w:ind w:firstLine="482" w:firstLineChars="200"/>
        <w:rPr>
          <w:rFonts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等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360" w:lineRule="auto"/>
        <w:rPr>
          <w:rFonts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Style w:val="961"/>
          <w:rFonts w:hint="default" w:ascii="仿宋" w:hAnsi="仿宋" w:eastAsia="仿宋" w:cs="仿宋"/>
          <w:b w:val="0"/>
          <w:bCs/>
          <w:color w:val="auto"/>
          <w:sz w:val="24"/>
        </w:rPr>
      </w:pPr>
      <w:r>
        <w:rPr>
          <w:rFonts w:hint="eastAsia" w:ascii="仿宋" w:hAnsi="仿宋" w:eastAsia="仿宋" w:cs="仿宋"/>
          <w:color w:val="auto"/>
          <w:sz w:val="24"/>
        </w:rPr>
        <w:t xml:space="preserve">    名   </w:t>
      </w:r>
      <w:r>
        <w:rPr>
          <w:rStyle w:val="961"/>
          <w:rFonts w:hint="default" w:ascii="仿宋" w:hAnsi="仿宋" w:eastAsia="仿宋" w:cs="仿宋"/>
          <w:b w:val="0"/>
          <w:bCs/>
          <w:color w:val="auto"/>
          <w:sz w:val="24"/>
        </w:rPr>
        <w:t>称：建德市林业局</w:t>
      </w:r>
    </w:p>
    <w:p>
      <w:pPr>
        <w:spacing w:line="360" w:lineRule="auto"/>
        <w:ind w:firstLine="480" w:firstLineChars="200"/>
        <w:jc w:val="left"/>
        <w:rPr>
          <w:rStyle w:val="961"/>
          <w:rFonts w:hint="default" w:ascii="仿宋" w:hAnsi="仿宋" w:eastAsia="仿宋" w:cs="仿宋"/>
          <w:b w:val="0"/>
          <w:bCs/>
          <w:color w:val="auto"/>
          <w:sz w:val="24"/>
        </w:rPr>
      </w:pPr>
      <w:r>
        <w:rPr>
          <w:rStyle w:val="961"/>
          <w:rFonts w:hint="default" w:ascii="仿宋" w:hAnsi="仿宋" w:eastAsia="仿宋" w:cs="仿宋"/>
          <w:b w:val="0"/>
          <w:bCs/>
          <w:color w:val="auto"/>
          <w:sz w:val="24"/>
        </w:rPr>
        <w:t>地   址：建德市新安路91号</w:t>
      </w:r>
    </w:p>
    <w:p>
      <w:pPr>
        <w:spacing w:line="360" w:lineRule="auto"/>
        <w:ind w:firstLine="480"/>
        <w:rPr>
          <w:rStyle w:val="961"/>
          <w:rFonts w:hint="default" w:ascii="仿宋" w:hAnsi="仿宋" w:eastAsia="仿宋" w:cs="仿宋"/>
          <w:b w:val="0"/>
          <w:bCs/>
          <w:color w:val="auto"/>
          <w:sz w:val="24"/>
        </w:rPr>
      </w:pPr>
      <w:r>
        <w:rPr>
          <w:rStyle w:val="961"/>
          <w:rFonts w:hint="default" w:ascii="仿宋" w:hAnsi="仿宋" w:eastAsia="仿宋" w:cs="仿宋"/>
          <w:b w:val="0"/>
          <w:bCs/>
          <w:color w:val="auto"/>
          <w:sz w:val="24"/>
        </w:rPr>
        <w:t>传    真： /</w:t>
      </w:r>
    </w:p>
    <w:p>
      <w:pPr>
        <w:spacing w:line="360" w:lineRule="auto"/>
        <w:ind w:firstLine="480"/>
        <w:rPr>
          <w:rStyle w:val="961"/>
          <w:rFonts w:hint="default" w:ascii="仿宋" w:hAnsi="仿宋" w:eastAsia="仿宋" w:cs="仿宋"/>
          <w:b w:val="0"/>
          <w:bCs/>
          <w:color w:val="auto"/>
          <w:sz w:val="24"/>
        </w:rPr>
      </w:pPr>
      <w:r>
        <w:rPr>
          <w:rStyle w:val="961"/>
          <w:rFonts w:hint="default" w:ascii="仿宋" w:hAnsi="仿宋" w:eastAsia="仿宋" w:cs="仿宋"/>
          <w:b w:val="0"/>
          <w:bCs/>
          <w:color w:val="auto"/>
          <w:sz w:val="24"/>
        </w:rPr>
        <w:t>项目联系人（询问）：吴军</w:t>
      </w:r>
    </w:p>
    <w:p>
      <w:pPr>
        <w:spacing w:line="360" w:lineRule="auto"/>
        <w:rPr>
          <w:rStyle w:val="961"/>
          <w:rFonts w:hint="default" w:ascii="仿宋" w:hAnsi="仿宋" w:eastAsia="仿宋" w:cs="仿宋"/>
          <w:b w:val="0"/>
          <w:bCs/>
          <w:color w:val="auto"/>
          <w:sz w:val="24"/>
        </w:rPr>
      </w:pPr>
      <w:r>
        <w:rPr>
          <w:rStyle w:val="961"/>
          <w:rFonts w:hint="default" w:ascii="仿宋" w:hAnsi="仿宋" w:eastAsia="仿宋" w:cs="仿宋"/>
          <w:b w:val="0"/>
          <w:bCs/>
          <w:color w:val="auto"/>
          <w:sz w:val="24"/>
        </w:rPr>
        <w:t xml:space="preserve">    项目联系方式（询问）：13819161863</w:t>
      </w:r>
    </w:p>
    <w:p>
      <w:pPr>
        <w:spacing w:line="360" w:lineRule="auto"/>
        <w:ind w:firstLine="465"/>
        <w:rPr>
          <w:rStyle w:val="961"/>
          <w:rFonts w:hint="default" w:ascii="仿宋" w:hAnsi="仿宋" w:eastAsia="仿宋" w:cs="仿宋"/>
          <w:b w:val="0"/>
          <w:bCs/>
          <w:color w:val="auto"/>
          <w:sz w:val="24"/>
        </w:rPr>
      </w:pPr>
      <w:r>
        <w:rPr>
          <w:rStyle w:val="961"/>
          <w:rFonts w:hint="default" w:ascii="仿宋" w:hAnsi="仿宋" w:eastAsia="仿宋" w:cs="仿宋"/>
          <w:b w:val="0"/>
          <w:bCs/>
          <w:color w:val="auto"/>
          <w:sz w:val="24"/>
        </w:rPr>
        <w:t>质疑联系人：王珏</w:t>
      </w:r>
    </w:p>
    <w:p>
      <w:pPr>
        <w:spacing w:line="360" w:lineRule="auto"/>
        <w:rPr>
          <w:rStyle w:val="961"/>
          <w:rFonts w:hint="default" w:ascii="仿宋" w:hAnsi="仿宋" w:eastAsia="仿宋" w:cs="仿宋"/>
          <w:b w:val="0"/>
          <w:bCs/>
          <w:color w:val="auto"/>
          <w:sz w:val="24"/>
        </w:rPr>
      </w:pPr>
      <w:r>
        <w:rPr>
          <w:rStyle w:val="961"/>
          <w:rFonts w:hint="default" w:ascii="仿宋" w:hAnsi="仿宋" w:eastAsia="仿宋" w:cs="仿宋"/>
          <w:b w:val="0"/>
          <w:bCs/>
          <w:color w:val="auto"/>
          <w:sz w:val="24"/>
        </w:rPr>
        <w:t xml:space="preserve">    质疑联系方式：0571-58312371</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名    称：</w:t>
      </w:r>
      <w:r>
        <w:rPr>
          <w:rStyle w:val="961"/>
          <w:rFonts w:hint="default" w:ascii="仿宋" w:hAnsi="仿宋" w:eastAsia="仿宋" w:cs="仿宋"/>
          <w:b w:val="0"/>
          <w:bCs/>
          <w:color w:val="auto"/>
          <w:sz w:val="24"/>
        </w:rPr>
        <w:t>永盛联合(杭州)项目管理有限公司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地    址：建德市新安江街道半岛国际大厦1919室</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项目联系人（询问）：徐建平</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项目联系方式（询问）：13429119044</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质疑联系人：徐晓君</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质疑联系方式：0571-64819846</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称：建德市采购办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地    址：杭州市建德市严州大道1089号 </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 xml:space="preserve">  传    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联系人：</w:t>
      </w:r>
      <w:r>
        <w:rPr>
          <w:rStyle w:val="961"/>
          <w:rFonts w:hint="default" w:ascii="仿宋" w:hAnsi="仿宋" w:eastAsia="仿宋" w:cs="仿宋"/>
          <w:b w:val="0"/>
          <w:bCs/>
          <w:color w:val="auto"/>
          <w:sz w:val="24"/>
        </w:rPr>
        <w:t>邵菁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监督投诉电话：</w:t>
      </w:r>
      <w:r>
        <w:rPr>
          <w:rStyle w:val="961"/>
          <w:rFonts w:hint="default" w:ascii="仿宋" w:hAnsi="仿宋" w:eastAsia="仿宋" w:cs="仿宋"/>
          <w:b w:val="0"/>
          <w:bCs/>
          <w:color w:val="auto"/>
          <w:sz w:val="24"/>
        </w:rPr>
        <w:t>0571-64718168</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2"/>
        <w:spacing w:line="360" w:lineRule="auto"/>
        <w:ind w:firstLine="480" w:firstLineChars="200"/>
        <w:rPr>
          <w:rFonts w:ascii="仿宋" w:hAnsi="仿宋" w:eastAsia="仿宋" w:cs="仿宋"/>
          <w:color w:val="auto"/>
          <w:sz w:val="24"/>
          <w:szCs w:val="24"/>
        </w:rPr>
      </w:pPr>
    </w:p>
    <w:p>
      <w:pPr>
        <w:adjustRightInd/>
        <w:spacing w:line="360" w:lineRule="auto"/>
        <w:jc w:val="center"/>
        <w:outlineLvl w:val="0"/>
        <w:rPr>
          <w:rFonts w:ascii="仿宋" w:hAnsi="仿宋" w:eastAsia="仿宋" w:cs="仿宋"/>
          <w:b/>
          <w:color w:val="auto"/>
          <w:sz w:val="36"/>
          <w:szCs w:val="20"/>
        </w:rPr>
      </w:pPr>
      <w:r>
        <w:rPr>
          <w:rFonts w:hint="eastAsia" w:ascii="仿宋" w:hAnsi="仿宋" w:eastAsia="仿宋" w:cs="仿宋"/>
          <w:b/>
          <w:color w:val="auto"/>
          <w:sz w:val="36"/>
          <w:szCs w:val="20"/>
        </w:rPr>
        <w:br w:type="page"/>
      </w:r>
      <w:r>
        <w:rPr>
          <w:rFonts w:hint="eastAsia" w:ascii="仿宋" w:hAnsi="仿宋" w:eastAsia="仿宋" w:cs="仿宋"/>
          <w:b/>
          <w:color w:val="auto"/>
          <w:sz w:val="36"/>
          <w:szCs w:val="20"/>
        </w:rPr>
        <w:t>第二部分</w:t>
      </w:r>
      <w:bookmarkEnd w:id="8"/>
      <w:r>
        <w:rPr>
          <w:rFonts w:hint="eastAsia" w:ascii="仿宋" w:hAnsi="仿宋" w:eastAsia="仿宋" w:cs="仿宋"/>
          <w:b/>
          <w:color w:val="auto"/>
          <w:sz w:val="36"/>
          <w:szCs w:val="20"/>
        </w:rPr>
        <w:t xml:space="preserve"> 投标人须知</w:t>
      </w:r>
      <w:bookmarkEnd w:id="9"/>
    </w:p>
    <w:p>
      <w:pPr>
        <w:snapToGrid w:val="0"/>
        <w:spacing w:line="360" w:lineRule="auto"/>
        <w:jc w:val="center"/>
        <w:rPr>
          <w:rFonts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事项</w:t>
            </w:r>
          </w:p>
        </w:tc>
        <w:tc>
          <w:tcPr>
            <w:tcW w:w="6095"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6"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报价要求</w:t>
            </w:r>
          </w:p>
        </w:tc>
        <w:tc>
          <w:tcPr>
            <w:tcW w:w="6095" w:type="dxa"/>
            <w:vAlign w:val="center"/>
          </w:tcPr>
          <w:p>
            <w:pPr>
              <w:snapToGrid w:val="0"/>
              <w:spacing w:line="360" w:lineRule="auto"/>
              <w:jc w:val="left"/>
              <w:rPr>
                <w:rFonts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p>
          <w:p>
            <w:pPr>
              <w:snapToGrid w:val="0"/>
              <w:spacing w:line="360" w:lineRule="auto"/>
              <w:jc w:val="left"/>
              <w:rPr>
                <w:rFonts w:ascii="仿宋" w:hAnsi="仿宋" w:eastAsia="仿宋" w:cs="仿宋"/>
                <w:b/>
                <w:color w:val="auto"/>
                <w:kern w:val="0"/>
                <w:sz w:val="24"/>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2"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843" w:type="dxa"/>
            <w:vAlign w:val="center"/>
          </w:tcPr>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分包</w:t>
            </w:r>
          </w:p>
        </w:tc>
        <w:tc>
          <w:tcPr>
            <w:tcW w:w="6095" w:type="dxa"/>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47728692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同意将非主体、非关键性的工作分包。</w:t>
            </w:r>
            <w:sdt>
              <w:sdtPr>
                <w:rPr>
                  <w:rFonts w:hint="eastAsia" w:ascii="仿宋" w:hAnsi="仿宋" w:eastAsia="仿宋" w:cs="仿宋"/>
                  <w:color w:val="auto"/>
                  <w:kern w:val="0"/>
                  <w:sz w:val="24"/>
                </w:rPr>
                <w:id w:val="-1276331357"/>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843" w:type="dxa"/>
            <w:vMerge w:val="restart"/>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center"/>
          </w:tcPr>
          <w:p>
            <w:pPr>
              <w:snapToGrid w:val="0"/>
              <w:spacing w:line="360" w:lineRule="auto"/>
              <w:jc w:val="center"/>
              <w:rPr>
                <w:rFonts w:ascii="仿宋" w:hAnsi="仿宋" w:eastAsia="仿宋" w:cs="仿宋"/>
                <w:color w:val="auto"/>
                <w:sz w:val="24"/>
              </w:rPr>
            </w:pPr>
          </w:p>
        </w:tc>
        <w:tc>
          <w:tcPr>
            <w:tcW w:w="1843" w:type="dxa"/>
            <w:vMerge w:val="continue"/>
            <w:vAlign w:val="center"/>
          </w:tcPr>
          <w:p>
            <w:pPr>
              <w:snapToGrid w:val="0"/>
              <w:spacing w:line="360" w:lineRule="auto"/>
              <w:jc w:val="center"/>
              <w:rPr>
                <w:rFonts w:ascii="仿宋" w:hAnsi="仿宋" w:eastAsia="仿宋" w:cs="仿宋"/>
                <w:b/>
                <w:color w:val="auto"/>
                <w:sz w:val="24"/>
              </w:rPr>
            </w:pPr>
          </w:p>
        </w:tc>
        <w:tc>
          <w:tcPr>
            <w:tcW w:w="609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4</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项目属性与核心产品</w:t>
            </w:r>
          </w:p>
        </w:tc>
        <w:tc>
          <w:tcPr>
            <w:tcW w:w="6095" w:type="dxa"/>
            <w:vAlign w:val="center"/>
          </w:tcPr>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11872786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467338"/>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937284416"/>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sdtContent>
                </w:sdt>
              </w:sdtContent>
            </w:sdt>
            <w:r>
              <w:rPr>
                <w:rFonts w:hint="eastAsia" w:ascii="仿宋" w:hAnsi="仿宋" w:eastAsia="仿宋" w:cs="仿宋"/>
                <w:color w:val="auto"/>
                <w:kern w:val="0"/>
                <w:sz w:val="24"/>
              </w:rPr>
              <w:t>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rPr>
              <w:t>。</w:t>
            </w:r>
          </w:p>
          <w:p>
            <w:pPr>
              <w:spacing w:line="360" w:lineRule="auto"/>
              <w:rPr>
                <w:rFonts w:ascii="仿宋" w:hAnsi="仿宋" w:eastAsia="仿宋" w:cs="仿宋"/>
                <w:color w:val="auto"/>
                <w:sz w:val="24"/>
              </w:rPr>
            </w:pPr>
            <w:sdt>
              <w:sdtPr>
                <w:rPr>
                  <w:rFonts w:hint="eastAsia" w:ascii="仿宋" w:hAnsi="仿宋" w:eastAsia="仿宋" w:cs="仿宋"/>
                  <w:color w:val="auto"/>
                  <w:kern w:val="0"/>
                  <w:sz w:val="24"/>
                </w:rPr>
                <w:id w:val="47488555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5</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095" w:type="dxa"/>
            <w:vAlign w:val="center"/>
          </w:tcPr>
          <w:p>
            <w:pPr>
              <w:snapToGrid w:val="0"/>
              <w:spacing w:line="360" w:lineRule="auto"/>
              <w:rPr>
                <w:rFonts w:ascii="仿宋" w:hAnsi="仿宋" w:eastAsia="仿宋" w:cs="仿宋"/>
                <w:color w:val="auto"/>
              </w:rPr>
            </w:pPr>
            <w:r>
              <w:rPr>
                <w:rFonts w:hint="eastAsia" w:ascii="仿宋" w:hAnsi="仿宋" w:eastAsia="仿宋" w:cs="仿宋"/>
                <w:color w:val="auto"/>
                <w:kern w:val="0"/>
                <w:sz w:val="24"/>
                <w:lang w:val="zh-CN"/>
              </w:rPr>
              <w:t>标的：</w:t>
            </w:r>
            <w:r>
              <w:rPr>
                <w:rFonts w:hint="eastAsia" w:ascii="仿宋" w:hAnsi="仿宋" w:eastAsia="仿宋" w:cs="仿宋"/>
                <w:color w:val="auto"/>
                <w:kern w:val="0"/>
                <w:sz w:val="24"/>
                <w:u w:val="single"/>
                <w:lang w:val="zh-CN"/>
              </w:rPr>
              <w:t>编制</w:t>
            </w:r>
            <w:r>
              <w:rPr>
                <w:rStyle w:val="961"/>
                <w:rFonts w:hint="default" w:ascii="仿宋" w:hAnsi="仿宋" w:eastAsia="仿宋" w:cs="仿宋"/>
                <w:b w:val="0"/>
                <w:color w:val="auto"/>
                <w:kern w:val="0"/>
                <w:sz w:val="24"/>
                <w:u w:val="single"/>
              </w:rPr>
              <w:t>森林古道保护与利用规划</w:t>
            </w:r>
            <w:r>
              <w:rPr>
                <w:rFonts w:hint="eastAsia" w:ascii="仿宋" w:hAnsi="仿宋" w:eastAsia="仿宋" w:cs="仿宋"/>
                <w:color w:val="auto"/>
                <w:kern w:val="0"/>
                <w:sz w:val="24"/>
                <w:u w:val="single"/>
                <w:lang w:val="zh-CN"/>
              </w:rPr>
              <w:t>，属于其他未列明行业；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6</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vAlign w:val="center"/>
          </w:tcPr>
          <w:p>
            <w:pPr>
              <w:snapToGrid w:val="0"/>
              <w:spacing w:line="360" w:lineRule="auto"/>
              <w:rPr>
                <w:rFonts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restart"/>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7</w:t>
            </w:r>
          </w:p>
        </w:tc>
        <w:tc>
          <w:tcPr>
            <w:tcW w:w="1843" w:type="dxa"/>
            <w:vMerge w:val="restart"/>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vAlign w:val="center"/>
          </w:tcPr>
          <w:p>
            <w:pPr>
              <w:spacing w:line="360" w:lineRule="auto"/>
              <w:ind w:firstLine="480" w:firstLineChars="200"/>
              <w:jc w:val="left"/>
              <w:rPr>
                <w:rFonts w:ascii="仿宋" w:hAnsi="仿宋" w:eastAsia="仿宋" w:cs="仿宋"/>
                <w:color w:val="auto"/>
                <w:sz w:val="24"/>
              </w:rPr>
            </w:pPr>
            <w:r>
              <w:rPr>
                <w:rFonts w:hint="eastAsia" w:ascii="仿宋" w:hAnsi="仿宋" w:eastAsia="仿宋" w:cs="仿宋"/>
                <w:snapToGrid w:val="0"/>
                <w:color w:val="auto"/>
                <w:kern w:val="28"/>
                <w:sz w:val="24"/>
              </w:rPr>
              <w:t>为支持和促进中小企业发展，建德市财政局出台了政府采购信用融资政策，供应商可凭中标合同申请贷款，利率一般在基准利率左右（不同银行略有差异）。具体可咨询建德市财政局采购办，联系电话：0571-64718168；也可登录 https://jinrong.zcygov.cn/?utm=a0017.b1540.ct001.11.3a0260f064fd11eba8f1adac56aaf47c办理业务。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blHeader/>
        </w:trPr>
        <w:tc>
          <w:tcPr>
            <w:tcW w:w="629" w:type="dxa"/>
            <w:vMerge w:val="continue"/>
            <w:vAlign w:val="center"/>
          </w:tcPr>
          <w:p>
            <w:pPr>
              <w:spacing w:line="360" w:lineRule="auto"/>
              <w:ind w:firstLine="420" w:firstLineChars="200"/>
              <w:jc w:val="center"/>
              <w:rPr>
                <w:rFonts w:ascii="仿宋" w:hAnsi="仿宋" w:eastAsia="仿宋" w:cs="仿宋"/>
                <w:color w:val="auto"/>
              </w:rPr>
            </w:pPr>
          </w:p>
        </w:tc>
        <w:tc>
          <w:tcPr>
            <w:tcW w:w="1843" w:type="dxa"/>
            <w:vMerge w:val="continue"/>
            <w:vAlign w:val="center"/>
          </w:tcPr>
          <w:p>
            <w:pPr>
              <w:spacing w:line="360" w:lineRule="auto"/>
              <w:ind w:firstLine="420" w:firstLineChars="200"/>
              <w:rPr>
                <w:rFonts w:ascii="仿宋" w:hAnsi="仿宋" w:eastAsia="仿宋" w:cs="仿宋"/>
                <w:color w:val="auto"/>
              </w:rPr>
            </w:pPr>
          </w:p>
        </w:tc>
        <w:tc>
          <w:tcPr>
            <w:tcW w:w="6095" w:type="dxa"/>
            <w:vAlign w:val="center"/>
          </w:tcPr>
          <w:p>
            <w:pPr>
              <w:spacing w:line="360" w:lineRule="auto"/>
              <w:ind w:firstLine="480" w:firstLineChars="200"/>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8</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 xml:space="preserve">备份投标文件送达地点和签收人员 </w:t>
            </w:r>
          </w:p>
        </w:tc>
        <w:tc>
          <w:tcPr>
            <w:tcW w:w="6095" w:type="dxa"/>
            <w:vAlign w:val="center"/>
          </w:tcPr>
          <w:p>
            <w:pPr>
              <w:pStyle w:val="32"/>
              <w:spacing w:line="360" w:lineRule="auto"/>
              <w:rPr>
                <w:rFonts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u w:val="single"/>
              </w:rPr>
              <w:t>建德市新安江街道半岛国际大厦1919室</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u w:val="single"/>
              </w:rPr>
              <w:t>徐建平、13429119044</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采购人、采购代理机构不强制或变相强制投标人提交备份投标文件。未按规定提供相应的备份投标文件，造成项目开评标活动无法进行下去的，投标无效。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9</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采购服务费</w:t>
            </w:r>
          </w:p>
        </w:tc>
        <w:tc>
          <w:tcPr>
            <w:tcW w:w="6095" w:type="dxa"/>
            <w:vAlign w:val="center"/>
          </w:tcPr>
          <w:p>
            <w:pPr>
              <w:spacing w:line="360" w:lineRule="auto"/>
              <w:rPr>
                <w:rFonts w:ascii="仿宋" w:hAnsi="仿宋" w:eastAsia="仿宋" w:cs="仿宋"/>
                <w:snapToGrid w:val="0"/>
                <w:color w:val="auto"/>
                <w:kern w:val="28"/>
                <w:sz w:val="24"/>
              </w:rPr>
            </w:pPr>
            <w:r>
              <w:rPr>
                <w:rFonts w:hint="eastAsia" w:ascii="仿宋" w:hAnsi="仿宋" w:eastAsia="仿宋" w:cs="仿宋"/>
                <w:b/>
                <w:bCs/>
                <w:snapToGrid w:val="0"/>
                <w:color w:val="auto"/>
                <w:kern w:val="28"/>
                <w:sz w:val="24"/>
              </w:rPr>
              <w:t>投标总报价应含采购服务费，采购服务费按照国家发展计划委员会计价格[2002]1980 号文《招标代理服务费管理暂行办法》及发改办价格[2003]857号文的收费标准（服务类）计取，为人民币柒仟伍佰元整（￥7500.00元）。由中标人在领取中标通知书时支付给采购代理机构</w:t>
            </w:r>
            <w:r>
              <w:rPr>
                <w:rFonts w:hint="eastAsia" w:ascii="仿宋" w:hAnsi="仿宋" w:eastAsia="仿宋" w:cs="仿宋"/>
                <w:b/>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24"/>
              </w:rPr>
              <w:t>10</w:t>
            </w:r>
          </w:p>
        </w:tc>
        <w:tc>
          <w:tcPr>
            <w:tcW w:w="1843" w:type="dxa"/>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特别说明</w:t>
            </w:r>
          </w:p>
        </w:tc>
        <w:tc>
          <w:tcPr>
            <w:tcW w:w="6095" w:type="dxa"/>
            <w:vAlign w:val="center"/>
          </w:tcPr>
          <w:p>
            <w:pPr>
              <w:spacing w:line="360" w:lineRule="auto"/>
              <w:rPr>
                <w:rFonts w:ascii="仿宋" w:hAnsi="仿宋" w:eastAsia="仿宋" w:cs="仿宋"/>
                <w:b/>
                <w:bCs/>
                <w:snapToGrid w:val="0"/>
                <w:color w:val="auto"/>
                <w:kern w:val="28"/>
                <w:sz w:val="24"/>
              </w:rPr>
            </w:pPr>
            <w:r>
              <w:rPr>
                <w:rFonts w:hint="eastAsia" w:ascii="仿宋" w:hAnsi="仿宋" w:eastAsia="仿宋" w:cs="仿宋"/>
                <w:b/>
                <w:color w:val="auto"/>
                <w:sz w:val="24"/>
              </w:rPr>
              <w:t>中标人中标后须提供给采购代理机构两份加盖公章并签字的纸质投标文件（一正一副，副本是正本的复印件，与电子投标文件一致，如不一致，以电子投标文件为准）。</w:t>
            </w:r>
          </w:p>
        </w:tc>
      </w:tr>
    </w:tbl>
    <w:p>
      <w:pPr>
        <w:snapToGrid w:val="0"/>
        <w:spacing w:line="360" w:lineRule="auto"/>
        <w:jc w:val="center"/>
        <w:rPr>
          <w:rFonts w:ascii="仿宋" w:hAnsi="仿宋" w:eastAsia="仿宋" w:cs="仿宋"/>
          <w:b/>
          <w:color w:val="auto"/>
          <w:sz w:val="32"/>
          <w:szCs w:val="20"/>
        </w:rPr>
      </w:pPr>
    </w:p>
    <w:bookmarkEnd w:id="10"/>
    <w:p>
      <w:pPr>
        <w:adjustRightInd/>
        <w:spacing w:line="360" w:lineRule="auto"/>
        <w:ind w:firstLine="3845" w:firstLineChars="1197"/>
        <w:outlineLvl w:val="0"/>
        <w:rPr>
          <w:rFonts w:ascii="仿宋" w:hAnsi="仿宋" w:eastAsia="仿宋" w:cs="仿宋"/>
          <w:b/>
          <w:color w:val="auto"/>
          <w:sz w:val="32"/>
          <w:szCs w:val="20"/>
        </w:rPr>
      </w:pPr>
      <w:bookmarkStart w:id="11" w:name="第三部分"/>
      <w:bookmarkStart w:id="12" w:name="_Toc164416483"/>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2.2 “采购代理机构”系指招标公告中载明的本项目的采购代理机构。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2.6“电子交易平台”是指本项目政府采购活动所依托的政府采购云平台（https://www.zcygov.cn/）。</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2.7 “▲” 系指实质性要求条款，“★”系产品采购项目中单一产品或核心产品，“</w:t>
      </w:r>
      <w:sdt>
        <w:sdtPr>
          <w:rPr>
            <w:rFonts w:hint="eastAsia" w:ascii="仿宋" w:hAnsi="仿宋" w:eastAsia="仿宋" w:cs="仿宋"/>
            <w:color w:val="auto"/>
            <w:kern w:val="0"/>
            <w:sz w:val="24"/>
          </w:rPr>
          <w:id w:val="512970236"/>
        </w:sdtPr>
        <w:sdtEndPr>
          <w:rPr>
            <w:rFonts w:hint="eastAsia" w:ascii="仿宋" w:hAnsi="仿宋" w:eastAsia="仿宋" w:cs="仿宋"/>
            <w:color w:val="auto"/>
            <w:kern w:val="0"/>
            <w:sz w:val="24"/>
          </w:rPr>
        </w:sdtEndPr>
        <w:sdtContent>
          <w:sdt>
            <w:sdtPr>
              <w:rPr>
                <w:rFonts w:hint="eastAsia" w:ascii="仿宋" w:hAnsi="仿宋" w:eastAsia="仿宋" w:cs="仿宋"/>
                <w:color w:val="auto"/>
                <w:kern w:val="0"/>
                <w:sz w:val="24"/>
              </w:rPr>
              <w:id w:val="467342"/>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系指不适用本项目的要求。</w:t>
      </w:r>
    </w:p>
    <w:p>
      <w:pPr>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rPr>
        <w:t>3.采购项目需要落实的政府采购政策</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3.3.2.2在工程采购项目中，工程由中小企业承建，即工程施工单位为中小企业；</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在货物采购项目中，投标人提供的货物既有中小企业制造货物，也有大型企业制造货物的，不享受中小企业扶持政策。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3.3.3符合《关于促进残疾人就业政府采购政策的通知》（财库〔2017〕141号）规定的条件并提供《残疾人福利性单位声明函》（附件1）的残疾人福利性单位视同中小企业；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3.3.4符合《关于政府采购支持监狱企业发展有关问题的通知》（财库[2014]68号）规定的监狱企业并提供由省级以上监狱管理局、戒毒管理局（含新疆生产建设兵团）出具的属于监狱企业证明文件的，视同为中小企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3.3.5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3.3.6中小企业享受扶持政策获得政府采购合同的，小微企业不得将合同分包给大中型企业，中型企业不得将合同分包给大型企业。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3.4.1采购人优先采购被认定为首台套产品和“制造精品”的自主创新产品。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b/>
          <w:color w:val="auto"/>
          <w:sz w:val="24"/>
        </w:rPr>
      </w:pPr>
      <w:r>
        <w:rPr>
          <w:rFonts w:hint="eastAsia" w:ascii="仿宋" w:hAnsi="仿宋" w:eastAsia="仿宋" w:cs="仿宋"/>
          <w:color w:val="auto"/>
          <w:sz w:val="24"/>
        </w:rPr>
        <w:t>3.5中小企业信用融资：</w:t>
      </w:r>
      <w:r>
        <w:rPr>
          <w:rFonts w:hint="eastAsia" w:ascii="仿宋" w:hAnsi="仿宋" w:eastAsia="仿宋" w:cs="仿宋"/>
          <w:snapToGrid w:val="0"/>
          <w:color w:val="auto"/>
          <w:kern w:val="28"/>
          <w:sz w:val="24"/>
        </w:rPr>
        <w:t>为支持和促进中小企业发展，建德市财政局出台了政府采购信用融资政策，供应商可凭中标合同申请贷款，利率一般在基准利率左右（不同银行略有差异）。具体可咨询建德市财政局采购办，联系电话：0571-64718168；也可登录 https://jinrong.zcygov.cn/?utm=a0017.b1540.ct001.11.3a0260f064fd11eba8f1adac56aaf47c办理业务</w:t>
      </w:r>
      <w:r>
        <w:rPr>
          <w:rFonts w:hint="eastAsia" w:ascii="仿宋" w:hAnsi="仿宋" w:eastAsia="仿宋" w:cs="仿宋"/>
          <w:color w:val="auto"/>
          <w:sz w:val="24"/>
        </w:rPr>
        <w:t>。</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240" w:firstLineChars="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4.1供应商询问</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4.2供应商质疑</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4.2</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4.2.2.3对采购结果提出质疑的，质疑期限自采购结果公告期限届满之日起计算。</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4.2.3</w:t>
      </w:r>
      <w:r>
        <w:rPr>
          <w:rFonts w:hint="eastAsia" w:ascii="仿宋" w:hAnsi="仿宋" w:eastAsia="仿宋" w:cs="仿宋"/>
          <w:color w:val="auto"/>
          <w:sz w:val="24"/>
        </w:rPr>
        <w:t>供应商提出质疑应当提交质疑函和必要的证明材料。质疑函应当包括下列内容：</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4.2.3.1供应商的姓名或者名称、地址、邮编、联系人及联系电话；</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4.2.3.2质疑项目的名称、编号；</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4.2.3.3具体、明确的质疑事项和与质疑事项相关的请求；</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4.2.3.4事实依据；</w:t>
      </w:r>
    </w:p>
    <w:p>
      <w:pPr>
        <w:pStyle w:val="32"/>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　　4.2.3.5必要的法律依据；</w:t>
      </w:r>
    </w:p>
    <w:p>
      <w:pPr>
        <w:pStyle w:val="32"/>
        <w:spacing w:line="360" w:lineRule="auto"/>
        <w:ind w:firstLine="960" w:firstLineChars="400"/>
        <w:rPr>
          <w:rFonts w:ascii="仿宋" w:hAnsi="仿宋" w:eastAsia="仿宋" w:cs="仿宋"/>
          <w:color w:val="auto"/>
          <w:kern w:val="0"/>
          <w:sz w:val="24"/>
          <w:lang w:val="zh-CN"/>
        </w:rPr>
      </w:pPr>
      <w:r>
        <w:rPr>
          <w:rFonts w:hint="eastAsia" w:ascii="仿宋" w:hAnsi="仿宋" w:eastAsia="仿宋" w:cs="仿宋"/>
          <w:color w:val="auto"/>
          <w:kern w:val="0"/>
          <w:sz w:val="24"/>
          <w:lang w:val="zh-CN"/>
        </w:rPr>
        <w:t>4.2.3.6提出质疑的日期。</w:t>
      </w:r>
    </w:p>
    <w:p>
      <w:pPr>
        <w:pStyle w:val="886"/>
        <w:shd w:val="clear" w:color="auto" w:fill="FFFFFF"/>
        <w:snapToGrid w:val="0"/>
        <w:spacing w:before="0" w:beforeAutospacing="0"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lang w:val="zh-CN"/>
        </w:rPr>
        <w:t>4.2</w:t>
      </w:r>
      <w:r>
        <w:rPr>
          <w:rFonts w:hint="eastAsia" w:ascii="仿宋" w:hAnsi="仿宋" w:eastAsia="仿宋" w:cs="仿宋"/>
          <w:color w:val="auto"/>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color w:val="auto"/>
          <w:lang w:val="zh-CN"/>
        </w:rPr>
      </w:pPr>
      <w:r>
        <w:rPr>
          <w:rFonts w:hint="eastAsia" w:ascii="仿宋" w:hAnsi="仿宋" w:eastAsia="仿宋" w:cs="仿宋"/>
          <w:color w:val="auto"/>
          <w:lang w:val="zh-CN"/>
        </w:rPr>
        <w:t>4.3供应商投诉</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4.3.3供应商投诉应当有明确的请求和必要的证明材料。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color w:val="auto"/>
        </w:rPr>
      </w:pPr>
      <w:r>
        <w:rPr>
          <w:rFonts w:hint="eastAsia" w:ascii="仿宋" w:hAnsi="仿宋" w:eastAsia="仿宋" w:cs="仿宋"/>
          <w:color w:val="auto"/>
        </w:rPr>
        <w:t>投诉书范本及制作说明详见附件3。</w:t>
      </w:r>
    </w:p>
    <w:p>
      <w:pPr>
        <w:adjustRightInd/>
        <w:spacing w:line="360" w:lineRule="auto"/>
        <w:jc w:val="center"/>
        <w:outlineLvl w:val="0"/>
        <w:rPr>
          <w:rFonts w:ascii="仿宋" w:hAnsi="仿宋" w:eastAsia="仿宋" w:cs="仿宋"/>
          <w:b/>
          <w:color w:val="auto"/>
          <w:sz w:val="32"/>
          <w:szCs w:val="20"/>
        </w:rPr>
      </w:pPr>
      <w:r>
        <w:rPr>
          <w:rFonts w:hint="eastAsia" w:ascii="仿宋" w:hAnsi="仿宋" w:eastAsia="仿宋" w:cs="仿宋"/>
          <w:b/>
          <w:color w:val="auto"/>
          <w:sz w:val="32"/>
          <w:szCs w:val="20"/>
        </w:rPr>
        <w:t>二、招标文件的构成、澄清、修改</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5.1.1招标公告；</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5.1.3采购需求；</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5.1.4评标办法；</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2"/>
        <w:tabs>
          <w:tab w:val="left" w:pos="840"/>
        </w:tabs>
        <w:spacing w:line="360" w:lineRule="auto"/>
        <w:ind w:firstLine="960" w:firstLineChars="400"/>
        <w:rPr>
          <w:rFonts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6.1已获取招标文件的潜在投标人，若有问题需要澄清，应于投标截止时间前，以书面形式向采购代理机构提出。</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jc w:val="center"/>
        <w:rPr>
          <w:rFonts w:ascii="仿宋" w:hAnsi="仿宋" w:eastAsia="仿宋" w:cs="仿宋"/>
          <w:b/>
          <w:color w:val="auto"/>
          <w:sz w:val="30"/>
          <w:szCs w:val="20"/>
        </w:rPr>
      </w:pPr>
      <w:r>
        <w:rPr>
          <w:rFonts w:hint="eastAsia" w:ascii="仿宋" w:hAnsi="仿宋" w:eastAsia="仿宋" w:cs="仿宋"/>
          <w:b/>
          <w:color w:val="auto"/>
          <w:sz w:val="30"/>
          <w:szCs w:val="20"/>
        </w:rPr>
        <w:t>三、投标</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5"/>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11.1.1提供有效的营业执照(或事业法人登记证或其他工商等登记证明材料)；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11.1.2符合参加政府采购活动应当具备的一般条件的承诺函；</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11.1.3落实政府采购政策需满足的资格要求；</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11.1.4本项目的特定资格要求。</w:t>
      </w:r>
    </w:p>
    <w:p>
      <w:pPr>
        <w:snapToGrid w:val="0"/>
        <w:spacing w:line="360" w:lineRule="auto"/>
        <w:ind w:firstLine="480" w:firstLineChars="2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2商务技术</w:t>
      </w:r>
      <w:r>
        <w:rPr>
          <w:rFonts w:hint="eastAsia" w:ascii="仿宋" w:hAnsi="仿宋" w:eastAsia="仿宋" w:cs="仿宋"/>
          <w:color w:val="auto"/>
          <w:sz w:val="24"/>
          <w:lang w:val="zh-CN"/>
        </w:rPr>
        <w:t>文件：</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11.2.1投标函；</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11.2.2提供有效的营业执照(或事业法人登记证或其他工商等登记证明材料)；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11.2.3授权委托书或法定代表人（单位负责人、自然人本人）身份证明；</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11.2.4符合性审查资料；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11.2.5评标标准相应的商务技术资料；</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11.2.6商务技术偏离表；</w:t>
      </w:r>
    </w:p>
    <w:p>
      <w:pPr>
        <w:snapToGrid w:val="0"/>
        <w:spacing w:line="360" w:lineRule="auto"/>
        <w:ind w:firstLine="960" w:firstLineChars="400"/>
        <w:rPr>
          <w:rFonts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7</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p>
    <w:p>
      <w:pPr>
        <w:snapToGrid w:val="0"/>
        <w:spacing w:line="360" w:lineRule="auto"/>
        <w:ind w:firstLine="960" w:firstLineChars="400"/>
        <w:rPr>
          <w:rFonts w:ascii="仿宋" w:hAnsi="仿宋" w:eastAsia="仿宋" w:cs="仿宋"/>
          <w:color w:val="auto"/>
          <w:sz w:val="24"/>
        </w:rPr>
      </w:pPr>
      <w:r>
        <w:rPr>
          <w:rFonts w:hint="eastAsia" w:ascii="仿宋" w:hAnsi="仿宋" w:eastAsia="仿宋" w:cs="仿宋"/>
          <w:color w:val="auto"/>
          <w:sz w:val="24"/>
        </w:rPr>
        <w:t>11.3.1开标一览表（报价表）；</w:t>
      </w:r>
    </w:p>
    <w:p>
      <w:pPr>
        <w:spacing w:line="360" w:lineRule="auto"/>
        <w:ind w:firstLine="723" w:firstLineChars="300"/>
        <w:rPr>
          <w:rFonts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28"/>
        <w:snapToGrid w:val="0"/>
        <w:spacing w:before="0"/>
        <w:ind w:firstLine="0" w:firstLineChars="0"/>
        <w:outlineLvl w:val="0"/>
        <w:rPr>
          <w:rFonts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13.投标文件的签署、盖章</w:t>
      </w:r>
    </w:p>
    <w:p>
      <w:pPr>
        <w:pStyle w:val="128"/>
        <w:snapToGrid w:val="0"/>
        <w:spacing w:before="0"/>
        <w:ind w:firstLine="480"/>
        <w:rPr>
          <w:rFonts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28"/>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28"/>
        <w:ind w:firstLine="480"/>
        <w:rPr>
          <w:rFonts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 w:hAnsi="仿宋" w:eastAsia="仿宋" w:cs="仿宋"/>
          <w:color w:val="auto"/>
          <w:szCs w:val="24"/>
        </w:rPr>
      </w:pPr>
      <w:r>
        <w:rPr>
          <w:rFonts w:hint="eastAsia" w:ascii="仿宋" w:hAnsi="仿宋" w:eastAsia="仿宋" w:cs="仿宋"/>
          <w:color w:val="auto"/>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2"/>
        <w:spacing w:line="360" w:lineRule="auto"/>
        <w:ind w:firstLine="360" w:firstLineChars="150"/>
        <w:rPr>
          <w:rFonts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15.1投标人在电子交易平台传输递交投标文件后，还可以在投标截止时间前直接提交或者以快递方式递交备份投标文件1份，</w:t>
      </w:r>
      <w:r>
        <w:rPr>
          <w:rFonts w:hint="eastAsia" w:ascii="仿宋" w:hAnsi="仿宋" w:eastAsia="仿宋" w:cs="仿宋"/>
          <w:b/>
          <w:color w:val="auto"/>
          <w:sz w:val="24"/>
          <w:szCs w:val="24"/>
        </w:rPr>
        <w:t>但采购人、采购代理机构不强制或变相强制投标人提交备份投标文件。未按规定提供相应的备份投标文件，造成项目开评标活动无法进行下去的，投标无效。</w:t>
      </w:r>
    </w:p>
    <w:p>
      <w:pPr>
        <w:pStyle w:val="32"/>
        <w:spacing w:line="360" w:lineRule="auto"/>
        <w:ind w:firstLine="480" w:firstLineChars="200"/>
        <w:rPr>
          <w:rFonts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DVD光盘等介质</w:t>
      </w:r>
      <w:r>
        <w:rPr>
          <w:rFonts w:hint="eastAsia" w:ascii="仿宋" w:hAnsi="仿宋" w:eastAsia="仿宋" w:cs="仿宋"/>
          <w:color w:val="auto"/>
          <w:sz w:val="24"/>
          <w:szCs w:val="24"/>
        </w:rPr>
        <w:t>中。备份投标文件应当密封包装并在包装上加盖公章并注明投标项目名称，投标人名称。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15.3直接提交备份投标文件的，投标人应于投标截止时间前在招标文件中载明的地点将备份投标文件提交给采购代理机构，采购代理机构将拒绝接受逾期送达的备份投标文件。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15.4以快递方式递交备份投标文件的，投标人应先将备份投标文件按要求密封和标记，再进行快递包装后邮寄。备份投标文件须在投标截止时间之前送达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color w:val="auto"/>
          <w:sz w:val="24"/>
          <w:szCs w:val="24"/>
        </w:rPr>
      </w:pPr>
      <w:r>
        <w:rPr>
          <w:rFonts w:hint="eastAsia" w:ascii="仿宋" w:hAnsi="仿宋" w:eastAsia="仿宋" w:cs="仿宋"/>
          <w:b/>
          <w:color w:val="auto"/>
          <w:sz w:val="24"/>
          <w:szCs w:val="24"/>
        </w:rPr>
        <w:t>15.5投标人仅提交备份投标文件，没有在电子交易平台传输递交投标文件的，投标无效。</w:t>
      </w:r>
    </w:p>
    <w:p>
      <w:pPr>
        <w:pStyle w:val="128"/>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16.投标文件的无效处理</w:t>
      </w:r>
    </w:p>
    <w:p>
      <w:pPr>
        <w:pStyle w:val="6"/>
        <w:spacing w:line="360" w:lineRule="auto"/>
        <w:ind w:firstLine="360" w:firstLineChars="150"/>
        <w:rPr>
          <w:rFonts w:ascii="仿宋" w:hAnsi="仿宋" w:eastAsia="仿宋" w:cs="仿宋"/>
          <w:color w:val="auto"/>
          <w:szCs w:val="21"/>
        </w:rPr>
      </w:pPr>
      <w:r>
        <w:rPr>
          <w:rFonts w:hint="eastAsia" w:ascii="仿宋" w:hAnsi="仿宋" w:eastAsia="仿宋" w:cs="仿宋"/>
          <w:color w:val="auto"/>
          <w:szCs w:val="21"/>
        </w:rPr>
        <w:t>有招标文件第四部分</w:t>
      </w:r>
      <w:r>
        <w:rPr>
          <w:rFonts w:hint="eastAsia" w:ascii="仿宋" w:hAnsi="仿宋" w:eastAsia="仿宋" w:cs="仿宋"/>
          <w:color w:val="auto"/>
        </w:rPr>
        <w:t>第4.2项规定</w:t>
      </w:r>
      <w:r>
        <w:rPr>
          <w:rFonts w:hint="eastAsia" w:ascii="仿宋" w:hAnsi="仿宋" w:eastAsia="仿宋" w:cs="仿宋"/>
          <w:color w:val="auto"/>
          <w:szCs w:val="21"/>
        </w:rPr>
        <w:t>的情形之一的，投标无效：</w:t>
      </w:r>
    </w:p>
    <w:p>
      <w:pPr>
        <w:pStyle w:val="128"/>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28"/>
        <w:spacing w:before="0"/>
        <w:ind w:firstLine="480"/>
        <w:rPr>
          <w:rFonts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28"/>
        <w:spacing w:before="0"/>
        <w:ind w:firstLine="480"/>
        <w:rPr>
          <w:rFonts w:ascii="仿宋" w:hAnsi="仿宋" w:eastAsia="仿宋" w:cs="仿宋"/>
          <w:color w:val="auto"/>
        </w:rPr>
      </w:pPr>
      <w:r>
        <w:rPr>
          <w:rFonts w:hint="eastAsia" w:ascii="仿宋" w:hAnsi="仿宋" w:eastAsia="仿宋" w:cs="仿宋"/>
          <w:color w:val="auto"/>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1928" w:firstLineChars="600"/>
        <w:rPr>
          <w:rFonts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4"/>
        <w:spacing w:before="0" w:line="360" w:lineRule="auto"/>
        <w:ind w:left="0" w:firstLine="241" w:firstLineChars="100"/>
        <w:contextualSpacing/>
        <w:rPr>
          <w:rFonts w:ascii="仿宋" w:hAnsi="仿宋" w:eastAsia="仿宋" w:cs="仿宋"/>
          <w:color w:val="auto"/>
          <w:sz w:val="24"/>
        </w:rPr>
      </w:pPr>
      <w:r>
        <w:rPr>
          <w:rFonts w:hint="eastAsia" w:ascii="仿宋" w:hAnsi="仿宋" w:eastAsia="仿宋" w:cs="仿宋"/>
          <w:b/>
          <w:color w:val="auto"/>
          <w:sz w:val="24"/>
          <w:szCs w:val="24"/>
        </w:rPr>
        <w:t>18.开标</w:t>
      </w:r>
    </w:p>
    <w:p>
      <w:pPr>
        <w:pStyle w:val="554"/>
        <w:spacing w:before="0" w:line="360" w:lineRule="auto"/>
        <w:ind w:left="0" w:firstLine="480" w:firstLineChars="200"/>
        <w:contextualSpacing/>
        <w:rPr>
          <w:rFonts w:ascii="仿宋" w:hAnsi="仿宋" w:eastAsia="仿宋" w:cs="仿宋"/>
          <w:color w:val="auto"/>
          <w:sz w:val="24"/>
        </w:rPr>
      </w:pPr>
      <w:r>
        <w:rPr>
          <w:rFonts w:hint="eastAsia" w:ascii="仿宋" w:hAnsi="仿宋" w:eastAsia="仿宋" w:cs="仿宋"/>
          <w:color w:val="auto"/>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ascii="仿宋" w:hAnsi="仿宋" w:eastAsia="仿宋" w:cs="仿宋"/>
          <w:b/>
          <w:color w:val="auto"/>
          <w:sz w:val="24"/>
          <w:szCs w:val="20"/>
        </w:rPr>
      </w:pPr>
      <w:r>
        <w:rPr>
          <w:rFonts w:hint="eastAsia" w:ascii="仿宋" w:hAnsi="仿宋" w:eastAsia="仿宋" w:cs="仿宋"/>
          <w:b/>
          <w:color w:val="auto"/>
          <w:sz w:val="24"/>
          <w:szCs w:val="20"/>
        </w:rPr>
        <w:t>　19、资格审查</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19.1开标后，采购人或采购代理机构将依法对投标人的资格进行审查。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rPr>
        <w:t>19.2</w:t>
      </w:r>
      <w:r>
        <w:rPr>
          <w:rFonts w:hint="eastAsia" w:ascii="仿宋" w:hAnsi="仿宋" w:eastAsia="仿宋" w:cs="仿宋"/>
          <w:color w:val="auto"/>
          <w:sz w:val="24"/>
        </w:rPr>
        <w:t>采购人或采购代理机构依据法律法规和招标文件的规定，对投标人的基本资格条件、特定资格条件进行审查。</w:t>
      </w:r>
    </w:p>
    <w:p>
      <w:pPr>
        <w:pStyle w:val="128"/>
        <w:spacing w:before="0"/>
        <w:ind w:firstLine="480"/>
        <w:rPr>
          <w:rFonts w:ascii="仿宋" w:hAnsi="仿宋" w:eastAsia="仿宋" w:cs="仿宋"/>
          <w:color w:val="auto"/>
        </w:rPr>
      </w:pPr>
      <w:r>
        <w:rPr>
          <w:rFonts w:hint="eastAsia" w:ascii="仿宋" w:hAnsi="仿宋" w:eastAsia="仿宋" w:cs="仿宋"/>
          <w:color w:val="auto"/>
          <w:kern w:val="0"/>
          <w:szCs w:val="24"/>
        </w:rPr>
        <w:t>19.3投标人未按照招标文件要求提供与</w:t>
      </w:r>
      <w:r>
        <w:rPr>
          <w:rFonts w:hint="eastAsia" w:ascii="仿宋" w:hAnsi="仿宋" w:eastAsia="仿宋" w:cs="仿宋"/>
          <w:color w:val="auto"/>
        </w:rPr>
        <w:t>基本资格条件、特定资格条件相应的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28"/>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4对未通过资格审查的投标人，采购人或采购代理机构告知其未通过的原因。</w:t>
      </w:r>
    </w:p>
    <w:p>
      <w:pPr>
        <w:pStyle w:val="128"/>
        <w:spacing w:before="0"/>
        <w:ind w:firstLine="480"/>
        <w:rPr>
          <w:rFonts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rPr>
        <w:t>5合格投标人不足3家的，不再评标。</w:t>
      </w:r>
    </w:p>
    <w:p>
      <w:pPr>
        <w:pStyle w:val="128"/>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20、信用信息查询</w:t>
      </w:r>
    </w:p>
    <w:p>
      <w:pPr>
        <w:pStyle w:val="128"/>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20.1信用信息查询渠道及截止时间：采购代理机构将通过“信用中国”网站(www.creditchina.gov.cn)、中国政府采购网(www.ccgp.gov.cn)渠道查询投标人投标截止时间当天的信用记录。</w:t>
      </w:r>
    </w:p>
    <w:p>
      <w:pPr>
        <w:pStyle w:val="128"/>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snapToGrid w:val="0"/>
        <w:spacing w:line="360" w:lineRule="auto"/>
        <w:jc w:val="center"/>
        <w:outlineLvl w:val="0"/>
        <w:rPr>
          <w:rFonts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rPr>
          <w:rFonts w:ascii="仿宋" w:hAnsi="仿宋" w:eastAsia="仿宋" w:cs="仿宋"/>
          <w:b/>
          <w:color w:val="auto"/>
          <w:sz w:val="24"/>
        </w:rPr>
      </w:pPr>
      <w:bookmarkStart w:id="13" w:name="_Toc91899903"/>
      <w:r>
        <w:rPr>
          <w:rFonts w:hint="eastAsia" w:ascii="仿宋" w:hAnsi="仿宋" w:eastAsia="仿宋" w:cs="仿宋"/>
          <w:b/>
          <w:color w:val="auto"/>
          <w:sz w:val="24"/>
        </w:rPr>
        <w:t>21.</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napToGrid w:val="0"/>
        <w:spacing w:line="360" w:lineRule="auto"/>
        <w:jc w:val="center"/>
        <w:outlineLvl w:val="0"/>
        <w:rPr>
          <w:rFonts w:ascii="仿宋" w:hAnsi="仿宋" w:eastAsia="仿宋" w:cs="仿宋"/>
          <w:b/>
          <w:color w:val="auto"/>
          <w:sz w:val="36"/>
          <w:szCs w:val="36"/>
        </w:rPr>
      </w:pPr>
      <w:r>
        <w:rPr>
          <w:rFonts w:hint="eastAsia" w:ascii="仿宋" w:hAnsi="仿宋" w:eastAsia="仿宋" w:cs="仿宋"/>
          <w:b/>
          <w:color w:val="auto"/>
          <w:sz w:val="36"/>
          <w:szCs w:val="36"/>
        </w:rPr>
        <w:t>六、定 标</w:t>
      </w:r>
    </w:p>
    <w:p>
      <w:pPr>
        <w:pStyle w:val="6"/>
        <w:spacing w:line="360" w:lineRule="auto"/>
        <w:ind w:left="479" w:hanging="479" w:hangingChars="199"/>
        <w:rPr>
          <w:rFonts w:ascii="仿宋" w:hAnsi="仿宋" w:eastAsia="仿宋" w:cs="仿宋"/>
          <w:b/>
          <w:color w:val="auto"/>
        </w:rPr>
      </w:pPr>
      <w:r>
        <w:rPr>
          <w:rFonts w:hint="eastAsia" w:ascii="仿宋" w:hAnsi="仿宋" w:eastAsia="仿宋" w:cs="仿宋"/>
          <w:b/>
          <w:color w:val="auto"/>
        </w:rPr>
        <w:t>22. 确定中标供应商</w:t>
      </w:r>
    </w:p>
    <w:p>
      <w:pPr>
        <w:pStyle w:val="128"/>
        <w:snapToGrid w:val="0"/>
        <w:spacing w:before="0"/>
        <w:ind w:firstLine="480"/>
        <w:rPr>
          <w:rFonts w:ascii="仿宋" w:hAnsi="仿宋" w:eastAsia="仿宋" w:cs="仿宋"/>
          <w:b/>
          <w:color w:val="auto"/>
          <w:szCs w:val="24"/>
        </w:rPr>
      </w:pPr>
      <w:r>
        <w:rPr>
          <w:rFonts w:hint="eastAsia" w:ascii="仿宋" w:hAnsi="仿宋" w:eastAsia="仿宋" w:cs="仿宋"/>
          <w:color w:val="auto"/>
          <w:szCs w:val="24"/>
        </w:rPr>
        <w:t>采购人将自收到评审报告之日起5个工作日内通过电子交易平台在评审报告推荐的中标候选人中按顺序确定中标供应商。</w:t>
      </w:r>
    </w:p>
    <w:p>
      <w:pPr>
        <w:pStyle w:val="128"/>
        <w:snapToGrid w:val="0"/>
        <w:spacing w:before="0"/>
        <w:ind w:firstLine="0" w:firstLineChars="0"/>
        <w:rPr>
          <w:rFonts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23.2中标结果公告内容包括采购人及其委托的采购代理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ascii="仿宋" w:hAnsi="仿宋" w:eastAsia="仿宋" w:cs="仿宋"/>
          <w:b/>
          <w:color w:val="auto"/>
          <w:sz w:val="32"/>
        </w:rPr>
      </w:pPr>
      <w:r>
        <w:rPr>
          <w:rFonts w:hint="eastAsia" w:ascii="仿宋" w:hAnsi="仿宋" w:eastAsia="仿宋" w:cs="仿宋"/>
          <w:b/>
          <w:color w:val="auto"/>
          <w:sz w:val="32"/>
        </w:rPr>
        <w:t>七、合同授予</w:t>
      </w:r>
    </w:p>
    <w:p>
      <w:pPr>
        <w:pStyle w:val="6"/>
        <w:spacing w:line="360" w:lineRule="auto"/>
        <w:ind w:left="479" w:hanging="479" w:hangingChars="199"/>
        <w:rPr>
          <w:rFonts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6"/>
        <w:spacing w:line="360" w:lineRule="auto"/>
        <w:ind w:left="479" w:hanging="479" w:hangingChars="199"/>
        <w:rPr>
          <w:rFonts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采购人与中标人应当通过电子交易平台在中标通知书发出之日起十</w:t>
      </w:r>
      <w:r>
        <w:rPr>
          <w:rFonts w:hint="eastAsia" w:ascii="仿宋" w:hAnsi="仿宋" w:eastAsia="仿宋" w:cs="仿宋"/>
          <w:color w:val="auto"/>
          <w:kern w:val="0"/>
          <w:sz w:val="24"/>
          <w:lang w:val="en-US" w:eastAsia="zh-CN"/>
        </w:rPr>
        <w:t>个工作</w:t>
      </w:r>
      <w:r>
        <w:rPr>
          <w:rFonts w:hint="eastAsia" w:ascii="仿宋" w:hAnsi="仿宋" w:eastAsia="仿宋" w:cs="仿宋"/>
          <w:color w:val="auto"/>
          <w:kern w:val="0"/>
          <w:sz w:val="24"/>
        </w:rPr>
        <w:t>日内，按照招标文件确定的事项签订政府采购合同，并在合同签订之日起2个工作日内依法发布合同公告。</w:t>
      </w:r>
    </w:p>
    <w:p>
      <w:pPr>
        <w:pStyle w:val="128"/>
        <w:snapToGrid w:val="0"/>
        <w:spacing w:before="0"/>
        <w:ind w:firstLine="480"/>
        <w:rPr>
          <w:rFonts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6"/>
        <w:spacing w:line="360" w:lineRule="auto"/>
        <w:ind w:left="479" w:hanging="479" w:hangingChars="199"/>
        <w:rPr>
          <w:rFonts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ascii="仿宋" w:hAnsi="仿宋" w:eastAsia="仿宋" w:cs="仿宋"/>
          <w:color w:val="auto"/>
          <w:sz w:val="24"/>
          <w:szCs w:val="20"/>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。履约保证金的数额不得超过政府采购合同金额的2.5%。鼓励和支持供应商以银行、保险公司出具的保函形式提供履约保证金。</w:t>
      </w:r>
      <w:r>
        <w:rPr>
          <w:rFonts w:hint="eastAsia" w:ascii="仿宋" w:hAnsi="仿宋" w:eastAsia="仿宋" w:cs="仿宋"/>
          <w:b/>
          <w:color w:val="auto"/>
          <w:sz w:val="24"/>
        </w:rPr>
        <w:t>采购人不得拒收履约保函。</w:t>
      </w:r>
    </w:p>
    <w:p>
      <w:pPr>
        <w:pStyle w:val="2"/>
        <w:ind w:left="0" w:firstLine="480" w:firstLineChars="200"/>
        <w:rPr>
          <w:rFonts w:ascii="仿宋" w:eastAsia="仿宋" w:cs="仿宋"/>
          <w:color w:val="auto"/>
          <w:lang w:val="en-US"/>
        </w:rPr>
      </w:pPr>
      <w:r>
        <w:rPr>
          <w:rFonts w:hint="eastAsia" w:ascii="仿宋" w:eastAsia="仿宋" w:cs="仿宋"/>
          <w:b w:val="0"/>
          <w:bCs w:val="0"/>
          <w:snapToGrid w:val="0"/>
          <w:color w:val="auto"/>
          <w:kern w:val="28"/>
          <w:sz w:val="24"/>
        </w:rPr>
        <w:t>供应商</w:t>
      </w:r>
      <w:r>
        <w:rPr>
          <w:rFonts w:hint="eastAsia" w:ascii="仿宋" w:eastAsia="仿宋" w:cs="仿宋"/>
          <w:b w:val="0"/>
          <w:bCs w:val="0"/>
          <w:snapToGrid w:val="0"/>
          <w:color w:val="auto"/>
          <w:kern w:val="28"/>
          <w:sz w:val="24"/>
          <w:lang w:val="en-US"/>
        </w:rPr>
        <w:t>可</w:t>
      </w:r>
      <w:r>
        <w:rPr>
          <w:rFonts w:hint="eastAsia" w:asci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32"/>
        </w:rPr>
        <w:t>八、电子交易活动的中止</w:t>
      </w:r>
    </w:p>
    <w:p>
      <w:pPr>
        <w:pStyle w:val="128"/>
        <w:snapToGrid w:val="0"/>
        <w:spacing w:before="0"/>
        <w:ind w:firstLine="0" w:firstLineChars="0"/>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b/>
          <w:color w:val="auto"/>
          <w:szCs w:val="24"/>
        </w:rPr>
        <w:t>7. 电子交易活动的中止。</w:t>
      </w:r>
      <w:r>
        <w:rPr>
          <w:rFonts w:hint="eastAsia" w:ascii="仿宋" w:hAnsi="仿宋" w:eastAsia="仿宋" w:cs="仿宋"/>
          <w:color w:val="auto"/>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 xml:space="preserve">27.1电子交易平台发生故障而无法登录访问的； </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27.2电子交易平台应用或数据库出现错误，不能进行正常操作的；</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27.3电子交易平台发现严重安全漏洞，有潜在泄密危险的；</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 xml:space="preserve">27.4病毒发作导致不能进行正常操作的； </w:t>
      </w:r>
    </w:p>
    <w:p>
      <w:pPr>
        <w:pStyle w:val="128"/>
        <w:snapToGrid w:val="0"/>
        <w:spacing w:before="0"/>
        <w:ind w:firstLine="480"/>
        <w:rPr>
          <w:rFonts w:ascii="仿宋" w:hAnsi="仿宋" w:eastAsia="仿宋" w:cs="仿宋"/>
          <w:color w:val="auto"/>
        </w:rPr>
      </w:pPr>
      <w:r>
        <w:rPr>
          <w:rFonts w:hint="eastAsia" w:ascii="仿宋" w:hAnsi="仿宋" w:eastAsia="仿宋" w:cs="仿宋"/>
          <w:color w:val="auto"/>
        </w:rPr>
        <w:t>27.5其他无法保证电子交易的公平、公正和安全的情况。</w:t>
      </w:r>
    </w:p>
    <w:p>
      <w:pPr>
        <w:pStyle w:val="128"/>
        <w:snapToGrid w:val="0"/>
        <w:spacing w:before="0"/>
        <w:ind w:firstLine="0" w:firstLineChars="0"/>
        <w:rPr>
          <w:rFonts w:ascii="仿宋" w:hAnsi="仿宋" w:eastAsia="仿宋" w:cs="仿宋"/>
          <w:color w:val="auto"/>
        </w:rPr>
      </w:pPr>
      <w:r>
        <w:rPr>
          <w:rFonts w:hint="eastAsia" w:ascii="仿宋" w:hAnsi="仿宋" w:eastAsia="仿宋" w:cs="仿宋"/>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 w:hAnsi="仿宋" w:eastAsia="仿宋" w:cs="仿宋"/>
          <w:b/>
          <w:color w:val="auto"/>
          <w:sz w:val="32"/>
        </w:rPr>
      </w:pPr>
      <w:r>
        <w:rPr>
          <w:rFonts w:hint="eastAsia" w:ascii="仿宋" w:hAnsi="仿宋" w:eastAsia="仿宋" w:cs="仿宋"/>
          <w:b/>
          <w:color w:val="auto"/>
          <w:sz w:val="32"/>
        </w:rPr>
        <w:t>九、验收</w:t>
      </w:r>
    </w:p>
    <w:p>
      <w:pPr>
        <w:pStyle w:val="6"/>
        <w:spacing w:line="360" w:lineRule="auto"/>
        <w:ind w:firstLine="0" w:firstLineChars="0"/>
        <w:rPr>
          <w:rFonts w:ascii="仿宋" w:hAnsi="仿宋" w:eastAsia="仿宋" w:cs="仿宋"/>
          <w:b/>
          <w:color w:val="auto"/>
        </w:rPr>
      </w:pPr>
      <w:r>
        <w:rPr>
          <w:rFonts w:hint="eastAsia" w:ascii="仿宋" w:hAnsi="仿宋" w:eastAsia="仿宋" w:cs="仿宋"/>
          <w:b/>
          <w:color w:val="auto"/>
        </w:rPr>
        <w:t>29.验收</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rPr>
      </w:pPr>
      <w:r>
        <w:rPr>
          <w:rFonts w:hint="eastAsia" w:ascii="仿宋" w:hAnsi="仿宋" w:eastAsia="仿宋" w:cs="仿宋"/>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rPr>
      </w:pPr>
      <w:r>
        <w:rPr>
          <w:rFonts w:hint="eastAsia" w:ascii="仿宋" w:hAnsi="仿宋" w:eastAsia="仿宋" w:cs="仿宋"/>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4714665"/>
      <w:bookmarkEnd w:id="14"/>
      <w:bookmarkStart w:id="15" w:name="_Hlt75236290"/>
      <w:bookmarkEnd w:id="15"/>
      <w:bookmarkStart w:id="16" w:name="_Hlt74729768"/>
      <w:bookmarkEnd w:id="16"/>
      <w:bookmarkStart w:id="17" w:name="_Hlt74707468"/>
      <w:bookmarkEnd w:id="17"/>
      <w:bookmarkStart w:id="18" w:name="_Hlt68072998"/>
      <w:bookmarkEnd w:id="18"/>
      <w:bookmarkStart w:id="19" w:name="_Hlt68403820"/>
      <w:bookmarkEnd w:id="19"/>
      <w:bookmarkStart w:id="20" w:name="_Hlt68057669"/>
      <w:bookmarkEnd w:id="20"/>
      <w:bookmarkStart w:id="21" w:name="_Hlt68072990"/>
      <w:bookmarkEnd w:id="21"/>
      <w:bookmarkStart w:id="22" w:name="_Hlt75236011"/>
      <w:bookmarkEnd w:id="22"/>
      <w:bookmarkStart w:id="23" w:name="_Hlt75236101"/>
      <w:bookmarkEnd w:id="23"/>
      <w:bookmarkStart w:id="24" w:name="_Hlt74730295"/>
      <w:bookmarkEnd w:id="24"/>
      <w:bookmarkStart w:id="25" w:name="_Hlt68073093"/>
      <w:bookmarkEnd w:id="25"/>
    </w:p>
    <w:bookmarkEnd w:id="11"/>
    <w:bookmarkEnd w:id="12"/>
    <w:p>
      <w:pPr>
        <w:spacing w:line="360" w:lineRule="auto"/>
        <w:jc w:val="center"/>
        <w:outlineLvl w:val="0"/>
        <w:rPr>
          <w:rFonts w:ascii="仿宋" w:hAnsi="仿宋" w:eastAsia="仿宋" w:cs="仿宋"/>
          <w:b/>
          <w:color w:val="auto"/>
          <w:sz w:val="36"/>
          <w:szCs w:val="36"/>
        </w:rPr>
      </w:pPr>
      <w:bookmarkStart w:id="26" w:name="第四部分"/>
      <w:r>
        <w:rPr>
          <w:rFonts w:hint="eastAsia" w:ascii="仿宋" w:hAnsi="仿宋" w:eastAsia="仿宋" w:cs="仿宋"/>
          <w:b/>
          <w:color w:val="auto"/>
          <w:sz w:val="36"/>
          <w:szCs w:val="36"/>
        </w:rPr>
        <w:t>第三部分   采购需求</w:t>
      </w:r>
    </w:p>
    <w:p>
      <w:pPr>
        <w:widowControl/>
        <w:numPr>
          <w:ilvl w:val="0"/>
          <w:numId w:val="1"/>
        </w:numPr>
        <w:tabs>
          <w:tab w:val="left" w:pos="425"/>
          <w:tab w:val="left" w:pos="747"/>
        </w:tabs>
        <w:adjustRightInd/>
        <w:spacing w:line="400" w:lineRule="exact"/>
        <w:jc w:val="left"/>
        <w:rPr>
          <w:rFonts w:ascii="仿宋" w:hAnsi="仿宋" w:eastAsia="仿宋" w:cs="仿宋"/>
          <w:b/>
          <w:color w:val="auto"/>
          <w:sz w:val="24"/>
        </w:rPr>
      </w:pPr>
      <w:r>
        <w:rPr>
          <w:rFonts w:hint="eastAsia" w:ascii="仿宋" w:hAnsi="仿宋" w:eastAsia="仿宋" w:cs="仿宋"/>
          <w:b/>
          <w:color w:val="auto"/>
          <w:sz w:val="24"/>
        </w:rPr>
        <w:t>采购预算</w:t>
      </w:r>
    </w:p>
    <w:tbl>
      <w:tblPr>
        <w:tblStyle w:val="62"/>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83"/>
        <w:gridCol w:w="2650"/>
        <w:gridCol w:w="778"/>
        <w:gridCol w:w="744"/>
        <w:gridCol w:w="143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序号</w:t>
            </w:r>
          </w:p>
        </w:tc>
        <w:tc>
          <w:tcPr>
            <w:tcW w:w="3183"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项目名称</w:t>
            </w:r>
          </w:p>
        </w:tc>
        <w:tc>
          <w:tcPr>
            <w:tcW w:w="265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内容及要求</w:t>
            </w:r>
          </w:p>
        </w:tc>
        <w:tc>
          <w:tcPr>
            <w:tcW w:w="778"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单位</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数量</w:t>
            </w:r>
          </w:p>
        </w:tc>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预算价</w:t>
            </w:r>
          </w:p>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（元）</w:t>
            </w:r>
          </w:p>
        </w:tc>
        <w:tc>
          <w:tcPr>
            <w:tcW w:w="72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1</w:t>
            </w:r>
          </w:p>
        </w:tc>
        <w:tc>
          <w:tcPr>
            <w:tcW w:w="3183"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lang w:eastAsia="zh-CN"/>
              </w:rPr>
              <w:t>建德市国土空间规划编制专项-森林古道保护与利用规划</w:t>
            </w:r>
            <w:r>
              <w:rPr>
                <w:rFonts w:hint="eastAsia" w:ascii="仿宋" w:hAnsi="仿宋" w:eastAsia="仿宋" w:cs="仿宋"/>
                <w:color w:val="auto"/>
                <w:sz w:val="24"/>
              </w:rPr>
              <w:t>采购项目</w:t>
            </w:r>
          </w:p>
        </w:tc>
        <w:tc>
          <w:tcPr>
            <w:tcW w:w="265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开展建德市森林古道普查并编制《</w:t>
            </w:r>
            <w:r>
              <w:rPr>
                <w:rFonts w:hint="eastAsia" w:ascii="仿宋" w:hAnsi="仿宋" w:eastAsia="仿宋" w:cs="仿宋"/>
                <w:color w:val="auto"/>
                <w:sz w:val="24"/>
                <w:lang w:eastAsia="zh-CN"/>
              </w:rPr>
              <w:t>建德市森林古道保护与利用规划</w:t>
            </w:r>
            <w:r>
              <w:rPr>
                <w:rFonts w:hint="eastAsia" w:ascii="仿宋" w:hAnsi="仿宋" w:eastAsia="仿宋" w:cs="仿宋"/>
                <w:color w:val="auto"/>
                <w:sz w:val="24"/>
              </w:rPr>
              <w:t>》</w:t>
            </w:r>
          </w:p>
        </w:tc>
        <w:tc>
          <w:tcPr>
            <w:tcW w:w="778"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项</w:t>
            </w:r>
          </w:p>
        </w:tc>
        <w:tc>
          <w:tcPr>
            <w:tcW w:w="744"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1</w:t>
            </w:r>
          </w:p>
        </w:tc>
        <w:tc>
          <w:tcPr>
            <w:tcW w:w="1433"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500000.00</w:t>
            </w:r>
          </w:p>
        </w:tc>
        <w:tc>
          <w:tcPr>
            <w:tcW w:w="720" w:type="dxa"/>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017"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360"/>
              </w:tabs>
              <w:jc w:val="center"/>
              <w:rPr>
                <w:rFonts w:ascii="仿宋" w:hAnsi="仿宋" w:eastAsia="仿宋" w:cs="仿宋"/>
                <w:color w:val="auto"/>
                <w:sz w:val="24"/>
              </w:rPr>
            </w:pPr>
            <w:r>
              <w:rPr>
                <w:rFonts w:hint="eastAsia" w:ascii="仿宋" w:hAnsi="仿宋" w:eastAsia="仿宋" w:cs="仿宋"/>
                <w:color w:val="auto"/>
                <w:sz w:val="24"/>
              </w:rPr>
              <w:t>预算价：人民币（大写）伍拾万元整</w:t>
            </w:r>
          </w:p>
        </w:tc>
      </w:tr>
    </w:tbl>
    <w:p>
      <w:pPr>
        <w:spacing w:line="340" w:lineRule="exact"/>
        <w:ind w:left="720" w:hanging="720" w:hangingChars="300"/>
        <w:rPr>
          <w:rFonts w:ascii="仿宋" w:hAnsi="仿宋" w:eastAsia="仿宋" w:cs="仿宋"/>
          <w:b/>
          <w:color w:val="auto"/>
          <w:sz w:val="24"/>
        </w:rPr>
      </w:pPr>
      <w:r>
        <w:rPr>
          <w:rFonts w:hint="eastAsia" w:ascii="仿宋" w:hAnsi="仿宋" w:eastAsia="仿宋" w:cs="仿宋"/>
          <w:color w:val="auto"/>
          <w:sz w:val="24"/>
        </w:rPr>
        <w:t>备注：</w:t>
      </w:r>
      <w:r>
        <w:rPr>
          <w:rFonts w:hint="eastAsia" w:ascii="仿宋" w:hAnsi="仿宋" w:eastAsia="仿宋" w:cs="仿宋"/>
          <w:color w:val="auto"/>
          <w:kern w:val="0"/>
          <w:sz w:val="24"/>
        </w:rPr>
        <w:t>以上金额包括人工工资、差旅费、通讯费、编制服务费、评审费、管理费、税金、验收、辅助工作及售后服务等完成本项目所需的全部费用。</w:t>
      </w:r>
    </w:p>
    <w:p>
      <w:pPr>
        <w:widowControl/>
        <w:tabs>
          <w:tab w:val="left" w:pos="425"/>
          <w:tab w:val="left" w:pos="747"/>
        </w:tabs>
        <w:adjustRightInd/>
        <w:spacing w:line="400" w:lineRule="exact"/>
        <w:jc w:val="left"/>
        <w:rPr>
          <w:rFonts w:ascii="仿宋" w:hAnsi="仿宋" w:eastAsia="仿宋" w:cs="仿宋"/>
          <w:b/>
          <w:color w:val="auto"/>
          <w:sz w:val="24"/>
        </w:rPr>
      </w:pPr>
      <w:r>
        <w:rPr>
          <w:rFonts w:hint="eastAsia" w:ascii="仿宋" w:hAnsi="仿宋" w:eastAsia="仿宋" w:cs="仿宋"/>
          <w:b/>
          <w:color w:val="auto"/>
          <w:sz w:val="24"/>
        </w:rPr>
        <w:t>二、项目背景</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根据《浙江省古道保护办法》规定“县级以上古道行政主管部门应当会同有关部门组织编制古道保护和利用专项规划”；2021年12月《浙江省委省政府关于建设高质量森林浙江打造林业现代化先行省的意见》（浙委发〔2021〕42号）提出“推进生态文化传承创新，开展世界自然遗产遗迹、古树名木、森林古道等保护行动”。为积极推进我市森林古道保护修复工作，决定组织编制《</w:t>
      </w:r>
      <w:r>
        <w:rPr>
          <w:rFonts w:hint="eastAsia" w:ascii="仿宋" w:hAnsi="仿宋" w:eastAsia="仿宋" w:cs="仿宋"/>
          <w:color w:val="auto"/>
          <w:sz w:val="24"/>
          <w:lang w:eastAsia="zh-CN"/>
        </w:rPr>
        <w:t>建德市森林古道保护与利用规划</w:t>
      </w:r>
      <w:r>
        <w:rPr>
          <w:rFonts w:hint="eastAsia" w:ascii="仿宋" w:hAnsi="仿宋" w:eastAsia="仿宋" w:cs="仿宋"/>
          <w:color w:val="auto"/>
          <w:sz w:val="24"/>
        </w:rPr>
        <w:t>（2023-2030年）》，在全面摸清我市森林古道资源底数和保存状况的基础上，结合2017年全域森林风景资源调查、全市自然保护地情况和省林业局要求的千万亩森林质量精准提升等重点工作，分类施策，科学规划，进一步指导全市森林古道的保护修复利用工作。</w:t>
      </w:r>
    </w:p>
    <w:p>
      <w:pPr>
        <w:pStyle w:val="2"/>
        <w:numPr>
          <w:ilvl w:val="0"/>
          <w:numId w:val="2"/>
        </w:numPr>
        <w:rPr>
          <w:rFonts w:ascii="仿宋" w:eastAsia="仿宋" w:cs="仿宋"/>
          <w:bCs w:val="0"/>
          <w:color w:val="auto"/>
          <w:sz w:val="24"/>
          <w:szCs w:val="24"/>
          <w:lang w:val="en-US"/>
        </w:rPr>
      </w:pPr>
      <w:r>
        <w:rPr>
          <w:rFonts w:hint="eastAsia" w:ascii="仿宋" w:eastAsia="仿宋" w:cs="仿宋"/>
          <w:bCs w:val="0"/>
          <w:color w:val="auto"/>
          <w:sz w:val="24"/>
          <w:szCs w:val="24"/>
          <w:lang w:val="en-US"/>
        </w:rPr>
        <w:t>规划范围与期限</w:t>
      </w:r>
    </w:p>
    <w:p>
      <w:pPr>
        <w:spacing w:line="360" w:lineRule="auto"/>
        <w:ind w:firstLine="420" w:firstLineChars="200"/>
        <w:rPr>
          <w:rFonts w:ascii="仿宋" w:hAnsi="仿宋" w:eastAsia="仿宋" w:cs="仿宋"/>
          <w:color w:val="auto"/>
          <w:sz w:val="24"/>
        </w:rPr>
      </w:pPr>
      <w:r>
        <w:rPr>
          <w:rFonts w:hint="eastAsia"/>
          <w:color w:val="auto"/>
        </w:rPr>
        <w:t xml:space="preserve"> </w:t>
      </w:r>
      <w:r>
        <w:rPr>
          <w:rFonts w:hint="eastAsia" w:ascii="仿宋" w:hAnsi="仿宋" w:eastAsia="仿宋" w:cs="仿宋"/>
          <w:color w:val="auto"/>
          <w:sz w:val="24"/>
        </w:rPr>
        <w:t>本次规划的范围为建德市行政范围，面积2314平方公里；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规划期限：2023-2030年。其中：近期为2023-2025年，远期为2025-2030年。</w:t>
      </w:r>
    </w:p>
    <w:p>
      <w:pPr>
        <w:numPr>
          <w:ilvl w:val="0"/>
          <w:numId w:val="2"/>
        </w:numPr>
        <w:tabs>
          <w:tab w:val="left" w:pos="0"/>
        </w:tabs>
        <w:spacing w:line="360" w:lineRule="auto"/>
        <w:ind w:left="432" w:hanging="432"/>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项目研究内容及要求</w:t>
      </w:r>
    </w:p>
    <w:p>
      <w:pPr>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1）开展全市森林古道资源普查：全面查清市域范围内古道数量、权属、地理信息及相关矢量数据、历史沿革、保存现状、沿途生态环境状况和主要景观资源、相关附属设施、非物质历史文化遗存以及开发利用状况等底数，并对古道的生态景观价值、历史文化价值、开发利用价值等开展评价，最终将相关数据上报全省古道资源数据库。</w:t>
      </w:r>
    </w:p>
    <w:p>
      <w:pPr>
        <w:numPr>
          <w:ilvl w:val="0"/>
          <w:numId w:val="3"/>
        </w:numPr>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编制森林古道保护与利用规划：总体规划（包括空间布局、路网规划等）、专项规划（包括古道修复规划、节点服务规划、配套设施规划、标识系统规划、森林保护规划等）及重要古道方案设计。</w:t>
      </w:r>
    </w:p>
    <w:p>
      <w:pPr>
        <w:pStyle w:val="2"/>
        <w:ind w:left="0" w:firstLine="0"/>
        <w:rPr>
          <w:rFonts w:cs="Helvetica"/>
          <w:color w:val="auto"/>
          <w:kern w:val="0"/>
          <w:sz w:val="24"/>
          <w:szCs w:val="24"/>
          <w:lang w:val="en-US"/>
        </w:rPr>
      </w:pPr>
      <w:r>
        <w:rPr>
          <w:rFonts w:hint="eastAsia" w:cs="Helvetica"/>
          <w:color w:val="auto"/>
          <w:kern w:val="0"/>
          <w:sz w:val="24"/>
          <w:szCs w:val="24"/>
          <w:lang w:val="en-US"/>
        </w:rPr>
        <w:t>五、成果要求</w:t>
      </w:r>
    </w:p>
    <w:p>
      <w:pPr>
        <w:tabs>
          <w:tab w:val="left" w:pos="0"/>
        </w:tabs>
        <w:spacing w:line="360" w:lineRule="auto"/>
        <w:ind w:firstLine="482"/>
        <w:rPr>
          <w:rFonts w:ascii="仿宋" w:hAnsi="仿宋" w:eastAsia="仿宋" w:cs="仿宋"/>
          <w:color w:val="auto"/>
          <w:sz w:val="24"/>
        </w:rPr>
      </w:pPr>
      <w:r>
        <w:rPr>
          <w:rFonts w:hint="eastAsia" w:ascii="仿宋" w:hAnsi="仿宋" w:eastAsia="仿宋" w:cs="仿宋"/>
          <w:color w:val="auto"/>
          <w:sz w:val="24"/>
        </w:rPr>
        <w:t>（1）森林古道资源普查成果必须满足全省古道资源数据库入库要求，包括：文字材料、照片、短视频、古道线路地理信息数据等。</w:t>
      </w:r>
    </w:p>
    <w:p>
      <w:pPr>
        <w:tabs>
          <w:tab w:val="left" w:pos="0"/>
        </w:tabs>
        <w:spacing w:line="360" w:lineRule="auto"/>
        <w:ind w:firstLine="482"/>
        <w:rPr>
          <w:rFonts w:ascii="仿宋" w:hAnsi="仿宋" w:eastAsia="仿宋" w:cs="仿宋"/>
          <w:color w:val="auto"/>
          <w:sz w:val="24"/>
        </w:rPr>
      </w:pPr>
      <w:r>
        <w:rPr>
          <w:rFonts w:hint="eastAsia" w:ascii="仿宋" w:hAnsi="仿宋" w:eastAsia="仿宋" w:cs="仿宋"/>
          <w:color w:val="auto"/>
          <w:sz w:val="24"/>
        </w:rPr>
        <w:t>（2）规划设计成果包括文本、图纸及相应的电子文件。文本应当规范、准确、含义清晰，与图纸内容一致。</w:t>
      </w:r>
    </w:p>
    <w:p>
      <w:pPr>
        <w:tabs>
          <w:tab w:val="left" w:pos="0"/>
        </w:tabs>
        <w:spacing w:line="360" w:lineRule="auto"/>
        <w:ind w:firstLine="482"/>
        <w:rPr>
          <w:rFonts w:ascii="仿宋" w:hAnsi="仿宋" w:eastAsia="仿宋" w:cs="仿宋"/>
          <w:color w:val="auto"/>
          <w:sz w:val="24"/>
        </w:rPr>
      </w:pPr>
      <w:r>
        <w:rPr>
          <w:rFonts w:hint="eastAsia" w:ascii="仿宋" w:hAnsi="仿宋" w:eastAsia="仿宋" w:cs="仿宋"/>
          <w:color w:val="auto"/>
          <w:sz w:val="24"/>
        </w:rPr>
        <w:t>（3）每个阶段的设计成果均应提交规划简本若干套，汇报时须制作PPT等多媒体电子文件；最终成果须署单位名称并加盖单位公章，设计单位应将文本、图纸及附件装订成册，并提交采购人10套。</w:t>
      </w:r>
    </w:p>
    <w:p>
      <w:pPr>
        <w:pStyle w:val="2"/>
        <w:ind w:left="0" w:firstLine="0"/>
        <w:rPr>
          <w:rFonts w:cs="Helvetica"/>
          <w:color w:val="auto"/>
          <w:kern w:val="0"/>
          <w:sz w:val="24"/>
          <w:szCs w:val="24"/>
          <w:lang w:val="en-US"/>
        </w:rPr>
      </w:pPr>
      <w:r>
        <w:rPr>
          <w:rFonts w:hint="eastAsia" w:cs="Helvetica"/>
          <w:color w:val="auto"/>
          <w:kern w:val="0"/>
          <w:sz w:val="24"/>
          <w:szCs w:val="24"/>
          <w:lang w:val="en-US"/>
        </w:rPr>
        <w:t>六、项目进度安排、成果交付期限及验收要求</w:t>
      </w:r>
    </w:p>
    <w:p>
      <w:pPr>
        <w:adjustRightInd/>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项目进度安排：2022年8月31日前完成森林古道资源普查外业工作；9月30日前完成规划编制工作，形成《建德市森林古道保护与利用建设规划》（初稿）；10月中旬前完成浙江林业数字系统数字古道板块有关材料报送工作；10月31日前完成规划意见征求、修改完善、评审工作，形成《建德市森林古道保护与利用建设规划》（成果稿）。</w:t>
      </w:r>
    </w:p>
    <w:p>
      <w:pPr>
        <w:tabs>
          <w:tab w:val="left" w:pos="0"/>
        </w:tabs>
        <w:spacing w:line="360" w:lineRule="auto"/>
        <w:ind w:firstLine="480"/>
        <w:rPr>
          <w:rFonts w:ascii="仿宋" w:hAnsi="仿宋" w:eastAsia="仿宋" w:cs="仿宋"/>
          <w:color w:val="auto"/>
          <w:sz w:val="24"/>
        </w:rPr>
      </w:pPr>
      <w:r>
        <w:rPr>
          <w:rFonts w:hint="eastAsia" w:ascii="仿宋" w:hAnsi="仿宋" w:eastAsia="仿宋" w:cs="仿宋"/>
          <w:color w:val="auto"/>
          <w:sz w:val="24"/>
        </w:rPr>
        <w:t>（2）成果交付期限：2022年10月31日前交付成果。</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（3）验收方式：采购人组织相关人员按照相关标准进行验收。若因质量问题导致验收不合格，中标单位应及时予以处理，直至验收合格，期间发生的一切相关费用由中标单位承担。</w:t>
      </w:r>
    </w:p>
    <w:p>
      <w:pPr>
        <w:pStyle w:val="2"/>
        <w:ind w:left="0" w:firstLine="0"/>
        <w:rPr>
          <w:rFonts w:cs="Helvetica"/>
          <w:color w:val="auto"/>
          <w:kern w:val="0"/>
          <w:sz w:val="24"/>
          <w:szCs w:val="24"/>
        </w:rPr>
      </w:pPr>
      <w:r>
        <w:rPr>
          <w:rFonts w:hint="eastAsia" w:cs="Helvetica"/>
          <w:color w:val="auto"/>
          <w:kern w:val="0"/>
          <w:sz w:val="24"/>
          <w:szCs w:val="24"/>
        </w:rPr>
        <w:t>七、人员配备</w:t>
      </w:r>
    </w:p>
    <w:p>
      <w:pPr>
        <w:pStyle w:val="2"/>
        <w:rPr>
          <w:rFonts w:ascii="仿宋" w:eastAsia="仿宋" w:cs="仿宋"/>
          <w:b w:val="0"/>
          <w:bCs w:val="0"/>
          <w:color w:val="auto"/>
          <w:sz w:val="24"/>
          <w:szCs w:val="24"/>
          <w:lang w:val="en-US"/>
        </w:rPr>
      </w:pPr>
      <w:r>
        <w:rPr>
          <w:rFonts w:hint="eastAsia"/>
          <w:color w:val="auto"/>
          <w:sz w:val="24"/>
          <w:szCs w:val="24"/>
          <w:lang w:val="en-US"/>
        </w:rPr>
        <w:t xml:space="preserve">    </w:t>
      </w:r>
      <w:r>
        <w:rPr>
          <w:rFonts w:hint="eastAsia" w:ascii="仿宋" w:eastAsia="仿宋" w:cs="仿宋"/>
          <w:b w:val="0"/>
          <w:bCs w:val="0"/>
          <w:color w:val="auto"/>
          <w:sz w:val="24"/>
          <w:szCs w:val="24"/>
          <w:lang w:val="en-US"/>
        </w:rPr>
        <w:t>本项目需安排六名服务人员。</w:t>
      </w:r>
    </w:p>
    <w:p>
      <w:pPr>
        <w:pStyle w:val="2"/>
        <w:ind w:left="0" w:firstLine="0"/>
        <w:rPr>
          <w:rFonts w:cs="Helvetica"/>
          <w:color w:val="auto"/>
          <w:kern w:val="0"/>
          <w:sz w:val="24"/>
          <w:szCs w:val="24"/>
          <w:lang w:val="en-US"/>
        </w:rPr>
      </w:pPr>
      <w:r>
        <w:rPr>
          <w:rFonts w:hint="eastAsia" w:cs="Helvetica"/>
          <w:color w:val="auto"/>
          <w:kern w:val="0"/>
          <w:sz w:val="24"/>
          <w:szCs w:val="24"/>
          <w:lang w:val="en-US"/>
        </w:rPr>
        <w:t>八、付款方式</w:t>
      </w:r>
    </w:p>
    <w:p>
      <w:pPr>
        <w:tabs>
          <w:tab w:val="left" w:pos="0"/>
        </w:tabs>
        <w:spacing w:line="360" w:lineRule="auto"/>
        <w:ind w:firstLine="480"/>
        <w:rPr>
          <w:color w:val="auto"/>
        </w:rPr>
      </w:pPr>
      <w:r>
        <w:rPr>
          <w:rFonts w:hint="eastAsia" w:ascii="仿宋" w:hAnsi="仿宋" w:eastAsia="仿宋" w:cs="仿宋"/>
          <w:color w:val="auto"/>
          <w:sz w:val="24"/>
        </w:rPr>
        <w:t>签订合同七日内支付合同价的30%项目款，完成森林古道资源普查相关工作且规划编制项目初稿形成后，经采购人初验后支付合同总价款的40%；完成成果修改形成最终送审稿，根据验收组的验收意见，形成最终稿后三十日内一次性支付合同总价款的30%编制费用。</w:t>
      </w:r>
    </w:p>
    <w:p>
      <w:pPr>
        <w:snapToGrid w:val="0"/>
        <w:spacing w:line="360" w:lineRule="auto"/>
        <w:ind w:firstLine="2048" w:firstLineChars="850"/>
        <w:rPr>
          <w:rFonts w:ascii="仿宋" w:hAnsi="仿宋" w:eastAsia="仿宋" w:cs="仿宋"/>
          <w:b/>
          <w:color w:val="auto"/>
          <w:sz w:val="36"/>
          <w:szCs w:val="36"/>
        </w:rPr>
      </w:pPr>
      <w:r>
        <w:rPr>
          <w:rFonts w:hint="eastAsia" w:ascii="仿宋" w:hAnsi="仿宋" w:eastAsia="仿宋" w:cs="仿宋"/>
          <w:b/>
          <w:color w:val="auto"/>
          <w:sz w:val="24"/>
        </w:rPr>
        <w:br w:type="page"/>
      </w:r>
      <w:r>
        <w:rPr>
          <w:rFonts w:hint="eastAsia" w:ascii="仿宋" w:hAnsi="仿宋" w:eastAsia="仿宋" w:cs="仿宋"/>
          <w:b/>
          <w:color w:val="auto"/>
          <w:sz w:val="36"/>
          <w:szCs w:val="36"/>
        </w:rPr>
        <w:t xml:space="preserve">第四部分   </w:t>
      </w:r>
      <w:bookmarkStart w:id="27" w:name="_Toc184313309"/>
      <w:bookmarkEnd w:id="27"/>
      <w:bookmarkStart w:id="28" w:name="_Toc184314476"/>
      <w:bookmarkEnd w:id="28"/>
      <w:bookmarkStart w:id="29" w:name="_Toc184313241"/>
      <w:bookmarkEnd w:id="29"/>
      <w:bookmarkStart w:id="30" w:name="_Toc184314413"/>
      <w:bookmarkEnd w:id="30"/>
      <w:bookmarkStart w:id="31" w:name="_Toc184314477"/>
      <w:bookmarkEnd w:id="31"/>
      <w:bookmarkStart w:id="32" w:name="_Toc184313281"/>
      <w:bookmarkEnd w:id="32"/>
      <w:bookmarkStart w:id="33" w:name="_Toc184313244"/>
      <w:bookmarkEnd w:id="33"/>
      <w:bookmarkStart w:id="34" w:name="_Toc184310323"/>
      <w:bookmarkEnd w:id="34"/>
      <w:bookmarkStart w:id="35" w:name="_Toc184310343"/>
      <w:bookmarkEnd w:id="35"/>
      <w:bookmarkStart w:id="36" w:name="_Toc184314430"/>
      <w:bookmarkEnd w:id="36"/>
      <w:bookmarkStart w:id="37" w:name="_Toc184313263"/>
      <w:bookmarkEnd w:id="37"/>
      <w:bookmarkStart w:id="38" w:name="_Toc184312096"/>
      <w:bookmarkEnd w:id="38"/>
      <w:bookmarkStart w:id="39" w:name="_Toc184308067"/>
      <w:bookmarkEnd w:id="39"/>
      <w:bookmarkStart w:id="40" w:name="_Toc184314454"/>
      <w:bookmarkEnd w:id="40"/>
      <w:bookmarkStart w:id="41" w:name="_Toc184310320"/>
      <w:bookmarkEnd w:id="41"/>
      <w:bookmarkStart w:id="42" w:name="_Toc184310339"/>
      <w:bookmarkEnd w:id="42"/>
      <w:bookmarkStart w:id="43" w:name="_Toc184313299"/>
      <w:bookmarkEnd w:id="43"/>
      <w:bookmarkStart w:id="44" w:name="_Toc184314460"/>
      <w:bookmarkEnd w:id="44"/>
      <w:bookmarkStart w:id="45" w:name="_Toc184313248"/>
      <w:bookmarkEnd w:id="45"/>
      <w:bookmarkStart w:id="46" w:name="_Toc184310331"/>
      <w:bookmarkEnd w:id="46"/>
      <w:bookmarkStart w:id="47" w:name="_Toc184312137"/>
      <w:bookmarkEnd w:id="47"/>
      <w:bookmarkStart w:id="48" w:name="_Toc184310285"/>
      <w:bookmarkEnd w:id="48"/>
      <w:bookmarkStart w:id="49" w:name="_Toc184310309"/>
      <w:bookmarkEnd w:id="49"/>
      <w:bookmarkStart w:id="50" w:name="_Toc184312138"/>
      <w:bookmarkEnd w:id="50"/>
      <w:bookmarkStart w:id="51" w:name="_Toc184314418"/>
      <w:bookmarkEnd w:id="51"/>
      <w:bookmarkStart w:id="52" w:name="_Toc184313293"/>
      <w:bookmarkEnd w:id="52"/>
      <w:bookmarkStart w:id="53" w:name="_Toc184312074"/>
      <w:bookmarkEnd w:id="53"/>
      <w:bookmarkStart w:id="54" w:name="_Toc184314455"/>
      <w:bookmarkEnd w:id="54"/>
      <w:bookmarkStart w:id="55" w:name="_Toc184310329"/>
      <w:bookmarkEnd w:id="55"/>
      <w:bookmarkStart w:id="56" w:name="_Toc184310286"/>
      <w:bookmarkEnd w:id="56"/>
      <w:bookmarkStart w:id="57" w:name="_Toc184312097"/>
      <w:bookmarkEnd w:id="57"/>
      <w:bookmarkStart w:id="58" w:name="_Toc184313257"/>
      <w:bookmarkEnd w:id="58"/>
      <w:bookmarkStart w:id="59" w:name="_Toc184312124"/>
      <w:bookmarkEnd w:id="59"/>
      <w:bookmarkStart w:id="60" w:name="_Toc184314464"/>
      <w:bookmarkEnd w:id="60"/>
      <w:bookmarkStart w:id="61" w:name="_Toc184313253"/>
      <w:bookmarkEnd w:id="61"/>
      <w:bookmarkStart w:id="62" w:name="_Toc184310311"/>
      <w:bookmarkEnd w:id="62"/>
      <w:bookmarkStart w:id="63" w:name="_Toc184310310"/>
      <w:bookmarkEnd w:id="63"/>
      <w:bookmarkStart w:id="64" w:name="_Toc184308092"/>
      <w:bookmarkEnd w:id="64"/>
      <w:bookmarkStart w:id="65" w:name="_Toc184313269"/>
      <w:bookmarkEnd w:id="65"/>
      <w:bookmarkStart w:id="66" w:name="_Toc184313265"/>
      <w:bookmarkEnd w:id="66"/>
      <w:bookmarkStart w:id="67" w:name="_Toc184314451"/>
      <w:bookmarkEnd w:id="67"/>
      <w:bookmarkStart w:id="68" w:name="_Toc184313247"/>
      <w:bookmarkEnd w:id="68"/>
      <w:bookmarkStart w:id="69" w:name="_Toc184313252"/>
      <w:bookmarkEnd w:id="69"/>
      <w:bookmarkStart w:id="70" w:name="_Toc184308094"/>
      <w:bookmarkEnd w:id="70"/>
      <w:bookmarkStart w:id="71" w:name="_Toc184308045"/>
      <w:bookmarkEnd w:id="71"/>
      <w:bookmarkStart w:id="72" w:name="_Toc184312103"/>
      <w:bookmarkEnd w:id="72"/>
      <w:bookmarkStart w:id="73" w:name="_Toc184314420"/>
      <w:bookmarkEnd w:id="73"/>
      <w:bookmarkStart w:id="74" w:name="_Toc184312129"/>
      <w:bookmarkEnd w:id="74"/>
      <w:bookmarkStart w:id="75" w:name="_Toc184314441"/>
      <w:bookmarkEnd w:id="75"/>
      <w:bookmarkStart w:id="76" w:name="_Toc184313239"/>
      <w:bookmarkEnd w:id="76"/>
      <w:bookmarkStart w:id="77" w:name="_Toc184308087"/>
      <w:bookmarkEnd w:id="77"/>
      <w:bookmarkStart w:id="78" w:name="_Toc184310284"/>
      <w:bookmarkEnd w:id="78"/>
      <w:bookmarkStart w:id="79" w:name="_Toc184313304"/>
      <w:bookmarkEnd w:id="79"/>
      <w:bookmarkStart w:id="80" w:name="_Toc184310326"/>
      <w:bookmarkEnd w:id="80"/>
      <w:bookmarkStart w:id="81" w:name="_Toc184314410"/>
      <w:bookmarkEnd w:id="81"/>
      <w:bookmarkStart w:id="82" w:name="_Toc184314472"/>
      <w:bookmarkEnd w:id="82"/>
      <w:bookmarkStart w:id="83" w:name="_Toc184313295"/>
      <w:bookmarkEnd w:id="83"/>
      <w:bookmarkStart w:id="84" w:name="_Toc184313250"/>
      <w:bookmarkEnd w:id="84"/>
      <w:bookmarkStart w:id="85" w:name="_Toc184312118"/>
      <w:bookmarkEnd w:id="85"/>
      <w:bookmarkStart w:id="86" w:name="_Toc184308100"/>
      <w:bookmarkEnd w:id="86"/>
      <w:bookmarkStart w:id="87" w:name="_Toc184312122"/>
      <w:bookmarkEnd w:id="87"/>
      <w:bookmarkStart w:id="88" w:name="_Toc184310308"/>
      <w:bookmarkEnd w:id="88"/>
      <w:bookmarkStart w:id="89" w:name="_Toc184312105"/>
      <w:bookmarkEnd w:id="89"/>
      <w:bookmarkStart w:id="90" w:name="_Toc184314424"/>
      <w:bookmarkEnd w:id="90"/>
      <w:bookmarkStart w:id="91" w:name="_Toc184310340"/>
      <w:bookmarkEnd w:id="91"/>
      <w:bookmarkStart w:id="92" w:name="_Toc184314461"/>
      <w:bookmarkEnd w:id="92"/>
      <w:bookmarkStart w:id="93" w:name="_Toc184314457"/>
      <w:bookmarkEnd w:id="93"/>
      <w:bookmarkStart w:id="94" w:name="_Toc184313305"/>
      <w:bookmarkEnd w:id="94"/>
      <w:bookmarkStart w:id="95" w:name="_Toc184312120"/>
      <w:bookmarkEnd w:id="95"/>
      <w:bookmarkStart w:id="96" w:name="_Toc184312079"/>
      <w:bookmarkEnd w:id="96"/>
      <w:bookmarkStart w:id="97" w:name="_Toc184310332"/>
      <w:bookmarkEnd w:id="97"/>
      <w:bookmarkStart w:id="98" w:name="_Toc184313274"/>
      <w:bookmarkEnd w:id="98"/>
      <w:bookmarkStart w:id="99" w:name="_Toc184313278"/>
      <w:bookmarkEnd w:id="99"/>
      <w:bookmarkStart w:id="100" w:name="_Toc184312107"/>
      <w:bookmarkEnd w:id="100"/>
      <w:bookmarkStart w:id="101" w:name="_Toc184313294"/>
      <w:bookmarkEnd w:id="101"/>
      <w:bookmarkStart w:id="102" w:name="_Toc184313303"/>
      <w:bookmarkEnd w:id="102"/>
      <w:bookmarkStart w:id="103" w:name="_Toc184313310"/>
      <w:bookmarkEnd w:id="103"/>
      <w:bookmarkStart w:id="104" w:name="_Toc184314470"/>
      <w:bookmarkEnd w:id="104"/>
      <w:bookmarkStart w:id="105" w:name="_Toc184314465"/>
      <w:bookmarkEnd w:id="105"/>
      <w:bookmarkStart w:id="106" w:name="_Toc184313301"/>
      <w:bookmarkEnd w:id="106"/>
      <w:bookmarkStart w:id="107" w:name="_Toc184312083"/>
      <w:bookmarkEnd w:id="107"/>
      <w:bookmarkStart w:id="108" w:name="_Toc184312108"/>
      <w:bookmarkEnd w:id="108"/>
      <w:bookmarkStart w:id="109" w:name="_Toc184308090"/>
      <w:bookmarkEnd w:id="109"/>
      <w:bookmarkStart w:id="110" w:name="_Toc184312080"/>
      <w:bookmarkEnd w:id="110"/>
      <w:bookmarkStart w:id="111" w:name="_Toc184314446"/>
      <w:bookmarkEnd w:id="111"/>
      <w:bookmarkStart w:id="112" w:name="_Toc184313271"/>
      <w:bookmarkEnd w:id="112"/>
      <w:bookmarkStart w:id="113" w:name="_Toc184308070"/>
      <w:bookmarkEnd w:id="113"/>
      <w:bookmarkStart w:id="114" w:name="_Toc184310335"/>
      <w:bookmarkEnd w:id="114"/>
      <w:bookmarkStart w:id="115" w:name="_Toc184308077"/>
      <w:bookmarkEnd w:id="115"/>
      <w:bookmarkStart w:id="116" w:name="_Toc184312093"/>
      <w:bookmarkEnd w:id="116"/>
      <w:bookmarkStart w:id="117" w:name="_Toc184314421"/>
      <w:bookmarkEnd w:id="117"/>
      <w:bookmarkStart w:id="118" w:name="_Toc184308072"/>
      <w:bookmarkEnd w:id="118"/>
      <w:bookmarkStart w:id="119" w:name="_Toc184312132"/>
      <w:bookmarkEnd w:id="119"/>
      <w:bookmarkStart w:id="120" w:name="_Toc184312133"/>
      <w:bookmarkEnd w:id="120"/>
      <w:bookmarkStart w:id="121" w:name="_Toc184314444"/>
      <w:bookmarkEnd w:id="121"/>
      <w:bookmarkStart w:id="122" w:name="_Toc184310330"/>
      <w:bookmarkEnd w:id="122"/>
      <w:bookmarkStart w:id="123" w:name="_Toc184312067"/>
      <w:bookmarkEnd w:id="123"/>
      <w:bookmarkStart w:id="124" w:name="_Toc184308081"/>
      <w:bookmarkEnd w:id="124"/>
      <w:bookmarkStart w:id="125" w:name="_Toc184313264"/>
      <w:bookmarkEnd w:id="125"/>
      <w:bookmarkStart w:id="126" w:name="_Toc184310303"/>
      <w:bookmarkEnd w:id="126"/>
      <w:bookmarkStart w:id="127" w:name="_Toc184312136"/>
      <w:bookmarkEnd w:id="127"/>
      <w:bookmarkStart w:id="128" w:name="_Toc184314480"/>
      <w:bookmarkEnd w:id="128"/>
      <w:bookmarkStart w:id="129" w:name="_Toc184313254"/>
      <w:bookmarkEnd w:id="129"/>
      <w:bookmarkStart w:id="130" w:name="_Toc184314475"/>
      <w:bookmarkEnd w:id="130"/>
      <w:bookmarkStart w:id="131" w:name="_Toc184310282"/>
      <w:bookmarkEnd w:id="131"/>
      <w:bookmarkStart w:id="132" w:name="_Toc184310338"/>
      <w:bookmarkEnd w:id="132"/>
      <w:bookmarkStart w:id="133" w:name="_Toc184313270"/>
      <w:bookmarkEnd w:id="133"/>
      <w:bookmarkStart w:id="134" w:name="_Toc184310287"/>
      <w:bookmarkEnd w:id="134"/>
      <w:bookmarkStart w:id="135" w:name="_Toc184310324"/>
      <w:bookmarkEnd w:id="135"/>
      <w:bookmarkStart w:id="136" w:name="_Toc184310327"/>
      <w:bookmarkEnd w:id="136"/>
      <w:bookmarkStart w:id="137" w:name="_Toc184310342"/>
      <w:bookmarkEnd w:id="137"/>
      <w:bookmarkStart w:id="138" w:name="_Toc184312091"/>
      <w:bookmarkEnd w:id="138"/>
      <w:bookmarkStart w:id="139" w:name="_Toc184314412"/>
      <w:bookmarkEnd w:id="139"/>
      <w:bookmarkStart w:id="140" w:name="_Toc184314474"/>
      <w:bookmarkEnd w:id="140"/>
      <w:bookmarkStart w:id="141" w:name="_Toc184310333"/>
      <w:bookmarkEnd w:id="141"/>
      <w:bookmarkStart w:id="142" w:name="_Toc184310276"/>
      <w:bookmarkEnd w:id="142"/>
      <w:bookmarkStart w:id="143" w:name="_Toc184308078"/>
      <w:bookmarkEnd w:id="143"/>
      <w:bookmarkStart w:id="144" w:name="_Toc184314436"/>
      <w:bookmarkEnd w:id="144"/>
      <w:bookmarkStart w:id="145" w:name="_Toc184308102"/>
      <w:bookmarkEnd w:id="145"/>
      <w:bookmarkStart w:id="146" w:name="_Toc184308063"/>
      <w:bookmarkEnd w:id="146"/>
      <w:bookmarkStart w:id="147" w:name="_Toc184310313"/>
      <w:bookmarkEnd w:id="147"/>
      <w:bookmarkStart w:id="148" w:name="_Toc184310279"/>
      <w:bookmarkEnd w:id="148"/>
      <w:bookmarkStart w:id="149" w:name="_Toc184310325"/>
      <w:bookmarkEnd w:id="149"/>
      <w:bookmarkStart w:id="150" w:name="_Toc184313251"/>
      <w:bookmarkEnd w:id="150"/>
      <w:bookmarkStart w:id="151" w:name="_Toc184312100"/>
      <w:bookmarkEnd w:id="151"/>
      <w:bookmarkStart w:id="152" w:name="_Toc184312070"/>
      <w:bookmarkEnd w:id="152"/>
      <w:bookmarkStart w:id="153" w:name="_Toc184312089"/>
      <w:bookmarkEnd w:id="153"/>
      <w:bookmarkStart w:id="154" w:name="_Toc184308082"/>
      <w:bookmarkEnd w:id="154"/>
      <w:bookmarkStart w:id="155" w:name="_Toc184308073"/>
      <w:bookmarkEnd w:id="155"/>
      <w:bookmarkStart w:id="156" w:name="_Toc184308101"/>
      <w:bookmarkEnd w:id="156"/>
      <w:bookmarkStart w:id="157" w:name="_Toc184313290"/>
      <w:bookmarkEnd w:id="157"/>
      <w:bookmarkStart w:id="158" w:name="_Toc184312069"/>
      <w:bookmarkEnd w:id="158"/>
      <w:bookmarkStart w:id="159" w:name="_Toc184308037"/>
      <w:bookmarkEnd w:id="159"/>
      <w:bookmarkStart w:id="160" w:name="_Toc184313262"/>
      <w:bookmarkEnd w:id="160"/>
      <w:bookmarkStart w:id="161" w:name="_Toc184308093"/>
      <w:bookmarkEnd w:id="161"/>
      <w:bookmarkStart w:id="162" w:name="_Toc184312130"/>
      <w:bookmarkEnd w:id="162"/>
      <w:bookmarkStart w:id="163" w:name="_Toc184313260"/>
      <w:bookmarkEnd w:id="163"/>
      <w:bookmarkStart w:id="164" w:name="_Toc184312115"/>
      <w:bookmarkEnd w:id="164"/>
      <w:bookmarkStart w:id="165" w:name="_Toc184308108"/>
      <w:bookmarkEnd w:id="165"/>
      <w:bookmarkStart w:id="166" w:name="_Toc184310299"/>
      <w:bookmarkEnd w:id="166"/>
      <w:bookmarkStart w:id="167" w:name="_Toc184312126"/>
      <w:bookmarkEnd w:id="167"/>
      <w:bookmarkStart w:id="168" w:name="_Toc184312123"/>
      <w:bookmarkEnd w:id="168"/>
      <w:bookmarkStart w:id="169" w:name="_Toc184308036"/>
      <w:bookmarkEnd w:id="169"/>
      <w:bookmarkStart w:id="170" w:name="_Toc184308075"/>
      <w:bookmarkEnd w:id="170"/>
      <w:bookmarkStart w:id="171" w:name="_Toc184310281"/>
      <w:bookmarkEnd w:id="171"/>
      <w:bookmarkStart w:id="172" w:name="_Toc184314419"/>
      <w:bookmarkEnd w:id="172"/>
      <w:bookmarkStart w:id="173" w:name="_Toc184308042"/>
      <w:bookmarkEnd w:id="173"/>
      <w:bookmarkStart w:id="174" w:name="_Toc184314423"/>
      <w:bookmarkEnd w:id="174"/>
      <w:bookmarkStart w:id="175" w:name="_Toc184313258"/>
      <w:bookmarkEnd w:id="175"/>
      <w:bookmarkStart w:id="176" w:name="_Toc184308088"/>
      <w:bookmarkEnd w:id="176"/>
      <w:bookmarkStart w:id="177" w:name="_Toc184308105"/>
      <w:bookmarkEnd w:id="177"/>
      <w:bookmarkStart w:id="178" w:name="_Toc184314440"/>
      <w:bookmarkEnd w:id="178"/>
      <w:bookmarkStart w:id="179" w:name="_Toc184308091"/>
      <w:bookmarkEnd w:id="179"/>
      <w:bookmarkStart w:id="180" w:name="_Toc184312102"/>
      <w:bookmarkEnd w:id="180"/>
      <w:bookmarkStart w:id="181" w:name="_Toc184312081"/>
      <w:bookmarkEnd w:id="181"/>
      <w:bookmarkStart w:id="182" w:name="_Toc184308086"/>
      <w:bookmarkEnd w:id="182"/>
      <w:bookmarkStart w:id="183" w:name="_Toc184310278"/>
      <w:bookmarkEnd w:id="183"/>
      <w:bookmarkStart w:id="184" w:name="_Toc184310341"/>
      <w:bookmarkEnd w:id="184"/>
      <w:bookmarkStart w:id="185" w:name="_Toc184314458"/>
      <w:bookmarkEnd w:id="185"/>
      <w:bookmarkStart w:id="186" w:name="_Toc184314438"/>
      <w:bookmarkEnd w:id="186"/>
      <w:bookmarkStart w:id="187" w:name="_Toc184310296"/>
      <w:bookmarkEnd w:id="187"/>
      <w:bookmarkStart w:id="188" w:name="_Toc184308106"/>
      <w:bookmarkEnd w:id="188"/>
      <w:bookmarkStart w:id="189" w:name="_Toc184310290"/>
      <w:bookmarkEnd w:id="189"/>
      <w:bookmarkStart w:id="190" w:name="_Toc184310280"/>
      <w:bookmarkEnd w:id="190"/>
      <w:bookmarkStart w:id="191" w:name="_Toc184313246"/>
      <w:bookmarkEnd w:id="191"/>
      <w:bookmarkStart w:id="192" w:name="_Toc184308048"/>
      <w:bookmarkEnd w:id="192"/>
      <w:bookmarkStart w:id="193" w:name="_Toc184312117"/>
      <w:bookmarkEnd w:id="193"/>
      <w:bookmarkStart w:id="194" w:name="_Toc184310273"/>
      <w:bookmarkEnd w:id="194"/>
      <w:bookmarkStart w:id="195" w:name="_Toc184310291"/>
      <w:bookmarkEnd w:id="195"/>
      <w:bookmarkStart w:id="196" w:name="_Toc184308059"/>
      <w:bookmarkEnd w:id="196"/>
      <w:bookmarkStart w:id="197" w:name="_Toc184310315"/>
      <w:bookmarkEnd w:id="197"/>
      <w:bookmarkStart w:id="198" w:name="_Toc184312099"/>
      <w:bookmarkEnd w:id="198"/>
      <w:bookmarkStart w:id="199" w:name="_Toc184312121"/>
      <w:bookmarkEnd w:id="199"/>
      <w:bookmarkStart w:id="200" w:name="_Toc184310328"/>
      <w:bookmarkEnd w:id="200"/>
      <w:bookmarkStart w:id="201" w:name="_Toc184312106"/>
      <w:bookmarkEnd w:id="201"/>
      <w:bookmarkStart w:id="202" w:name="_Toc184310277"/>
      <w:bookmarkEnd w:id="202"/>
      <w:bookmarkStart w:id="203" w:name="_Toc184313280"/>
      <w:bookmarkEnd w:id="203"/>
      <w:bookmarkStart w:id="204" w:name="_Toc184308098"/>
      <w:bookmarkEnd w:id="204"/>
      <w:bookmarkStart w:id="205" w:name="_Toc184310306"/>
      <w:bookmarkEnd w:id="205"/>
      <w:bookmarkStart w:id="206" w:name="_Toc184312090"/>
      <w:bookmarkEnd w:id="206"/>
      <w:bookmarkStart w:id="207" w:name="_Toc184308103"/>
      <w:bookmarkEnd w:id="207"/>
      <w:bookmarkStart w:id="208" w:name="_Toc184310336"/>
      <w:bookmarkEnd w:id="208"/>
      <w:bookmarkStart w:id="209" w:name="_Toc184308099"/>
      <w:bookmarkEnd w:id="209"/>
      <w:bookmarkStart w:id="210" w:name="_Toc184314463"/>
      <w:bookmarkEnd w:id="210"/>
      <w:bookmarkStart w:id="211" w:name="_Toc184314439"/>
      <w:bookmarkEnd w:id="211"/>
      <w:bookmarkStart w:id="212" w:name="_Toc184314450"/>
      <w:bookmarkEnd w:id="212"/>
      <w:bookmarkStart w:id="213" w:name="_Toc184313288"/>
      <w:bookmarkEnd w:id="213"/>
      <w:bookmarkStart w:id="214" w:name="_Toc184312072"/>
      <w:bookmarkEnd w:id="214"/>
      <w:bookmarkStart w:id="215" w:name="_Toc184312112"/>
      <w:bookmarkEnd w:id="215"/>
      <w:bookmarkStart w:id="216" w:name="_Toc184312075"/>
      <w:bookmarkEnd w:id="216"/>
      <w:bookmarkStart w:id="217" w:name="_Toc184312128"/>
      <w:bookmarkEnd w:id="217"/>
      <w:bookmarkStart w:id="218" w:name="_Toc184308056"/>
      <w:bookmarkEnd w:id="218"/>
      <w:bookmarkStart w:id="219" w:name="_Toc184308074"/>
      <w:bookmarkEnd w:id="219"/>
      <w:bookmarkStart w:id="220" w:name="_Toc184310301"/>
      <w:bookmarkEnd w:id="220"/>
      <w:bookmarkStart w:id="221" w:name="_Toc184312127"/>
      <w:bookmarkEnd w:id="221"/>
      <w:bookmarkStart w:id="222" w:name="_Toc184313267"/>
      <w:bookmarkEnd w:id="222"/>
      <w:bookmarkStart w:id="223" w:name="_Toc184313287"/>
      <w:bookmarkEnd w:id="223"/>
      <w:bookmarkStart w:id="224" w:name="_Toc184314437"/>
      <w:bookmarkEnd w:id="224"/>
      <w:bookmarkStart w:id="225" w:name="_Toc184312131"/>
      <w:bookmarkEnd w:id="225"/>
      <w:bookmarkStart w:id="226" w:name="_Toc184314422"/>
      <w:bookmarkEnd w:id="226"/>
      <w:bookmarkStart w:id="227" w:name="_Toc184312084"/>
      <w:bookmarkEnd w:id="227"/>
      <w:bookmarkStart w:id="228" w:name="_Toc184308052"/>
      <w:bookmarkEnd w:id="228"/>
      <w:bookmarkStart w:id="229" w:name="_Toc184313261"/>
      <w:bookmarkEnd w:id="229"/>
      <w:bookmarkStart w:id="230" w:name="_Toc184310317"/>
      <w:bookmarkEnd w:id="230"/>
      <w:bookmarkStart w:id="231" w:name="_Toc184314479"/>
      <w:bookmarkEnd w:id="231"/>
      <w:bookmarkStart w:id="232" w:name="_Toc184313296"/>
      <w:bookmarkEnd w:id="232"/>
      <w:bookmarkStart w:id="233" w:name="_Toc184312077"/>
      <w:bookmarkEnd w:id="233"/>
      <w:bookmarkStart w:id="234" w:name="_Toc184308066"/>
      <w:bookmarkEnd w:id="234"/>
      <w:bookmarkStart w:id="235" w:name="_Toc184310316"/>
      <w:bookmarkEnd w:id="235"/>
      <w:bookmarkStart w:id="236" w:name="_Toc184308089"/>
      <w:bookmarkEnd w:id="236"/>
      <w:bookmarkStart w:id="237" w:name="_Toc184314449"/>
      <w:bookmarkEnd w:id="237"/>
      <w:bookmarkStart w:id="238" w:name="_Toc184313283"/>
      <w:bookmarkEnd w:id="238"/>
      <w:bookmarkStart w:id="239" w:name="_Toc184314428"/>
      <w:bookmarkEnd w:id="239"/>
      <w:bookmarkStart w:id="240" w:name="_Toc184313282"/>
      <w:bookmarkEnd w:id="240"/>
      <w:bookmarkStart w:id="241" w:name="_Toc184313268"/>
      <w:bookmarkEnd w:id="241"/>
      <w:bookmarkStart w:id="242" w:name="_Toc184308053"/>
      <w:bookmarkEnd w:id="242"/>
      <w:bookmarkStart w:id="243" w:name="_Toc184313242"/>
      <w:bookmarkEnd w:id="243"/>
      <w:bookmarkStart w:id="244" w:name="_Toc184312087"/>
      <w:bookmarkEnd w:id="244"/>
      <w:bookmarkStart w:id="245" w:name="_Toc184314469"/>
      <w:bookmarkEnd w:id="245"/>
      <w:bookmarkStart w:id="246" w:name="_Toc184312139"/>
      <w:bookmarkEnd w:id="246"/>
      <w:bookmarkStart w:id="247" w:name="_Toc184314432"/>
      <w:bookmarkEnd w:id="247"/>
      <w:bookmarkStart w:id="248" w:name="_Toc184308062"/>
      <w:bookmarkEnd w:id="248"/>
      <w:bookmarkStart w:id="249" w:name="_Toc184308047"/>
      <w:bookmarkEnd w:id="249"/>
      <w:bookmarkStart w:id="250" w:name="_Toc184308040"/>
      <w:bookmarkEnd w:id="250"/>
      <w:bookmarkStart w:id="251" w:name="_Toc184313273"/>
      <w:bookmarkEnd w:id="251"/>
      <w:bookmarkStart w:id="252" w:name="_Toc184313285"/>
      <w:bookmarkEnd w:id="252"/>
      <w:bookmarkStart w:id="253" w:name="_Toc184308068"/>
      <w:bookmarkEnd w:id="253"/>
      <w:bookmarkStart w:id="254" w:name="_Toc184314456"/>
      <w:bookmarkEnd w:id="254"/>
      <w:bookmarkStart w:id="255" w:name="_Toc184310300"/>
      <w:bookmarkEnd w:id="255"/>
      <w:bookmarkStart w:id="256" w:name="_Toc184308041"/>
      <w:bookmarkEnd w:id="256"/>
      <w:bookmarkStart w:id="257" w:name="_Toc184313272"/>
      <w:bookmarkEnd w:id="257"/>
      <w:bookmarkStart w:id="258" w:name="_Toc184308049"/>
      <w:bookmarkEnd w:id="258"/>
      <w:bookmarkStart w:id="259" w:name="_Toc184314473"/>
      <w:bookmarkEnd w:id="259"/>
      <w:bookmarkStart w:id="260" w:name="_Toc184313243"/>
      <w:bookmarkEnd w:id="260"/>
      <w:bookmarkStart w:id="261" w:name="_Toc184312125"/>
      <w:bookmarkEnd w:id="261"/>
      <w:bookmarkStart w:id="262" w:name="_Toc184314453"/>
      <w:bookmarkEnd w:id="262"/>
      <w:bookmarkStart w:id="263" w:name="_Toc184314431"/>
      <w:bookmarkEnd w:id="263"/>
      <w:bookmarkStart w:id="264" w:name="_Toc184314482"/>
      <w:bookmarkEnd w:id="264"/>
      <w:bookmarkStart w:id="265" w:name="_Toc184313256"/>
      <w:bookmarkEnd w:id="265"/>
      <w:bookmarkStart w:id="266" w:name="_Toc184312098"/>
      <w:bookmarkEnd w:id="266"/>
      <w:bookmarkStart w:id="267" w:name="_Toc184314433"/>
      <w:bookmarkEnd w:id="267"/>
      <w:bookmarkStart w:id="268" w:name="_Toc184310275"/>
      <w:bookmarkEnd w:id="268"/>
      <w:bookmarkStart w:id="269" w:name="_Toc184308097"/>
      <w:bookmarkEnd w:id="269"/>
      <w:bookmarkStart w:id="270" w:name="_Toc184314462"/>
      <w:bookmarkEnd w:id="270"/>
      <w:bookmarkStart w:id="271" w:name="_Toc184308060"/>
      <w:bookmarkEnd w:id="271"/>
      <w:bookmarkStart w:id="272" w:name="_Toc184310307"/>
      <w:bookmarkEnd w:id="272"/>
      <w:bookmarkStart w:id="273" w:name="_Toc184313291"/>
      <w:bookmarkEnd w:id="273"/>
      <w:bookmarkStart w:id="274" w:name="_Toc184310305"/>
      <w:bookmarkEnd w:id="274"/>
      <w:bookmarkStart w:id="275" w:name="_Toc184310321"/>
      <w:bookmarkEnd w:id="275"/>
      <w:bookmarkStart w:id="276" w:name="_Toc184313307"/>
      <w:bookmarkEnd w:id="276"/>
      <w:bookmarkStart w:id="277" w:name="_Toc184312110"/>
      <w:bookmarkEnd w:id="277"/>
      <w:bookmarkStart w:id="278" w:name="_Toc184310297"/>
      <w:bookmarkEnd w:id="278"/>
      <w:bookmarkStart w:id="279" w:name="_Toc184314452"/>
      <w:bookmarkEnd w:id="279"/>
      <w:bookmarkStart w:id="280" w:name="_Toc184310337"/>
      <w:bookmarkEnd w:id="280"/>
      <w:bookmarkStart w:id="281" w:name="_Toc184308084"/>
      <w:bookmarkEnd w:id="281"/>
      <w:bookmarkStart w:id="282" w:name="_Toc184312071"/>
      <w:bookmarkEnd w:id="282"/>
      <w:bookmarkStart w:id="283" w:name="_Toc184312086"/>
      <w:bookmarkEnd w:id="283"/>
      <w:bookmarkStart w:id="284" w:name="_Toc184308043"/>
      <w:bookmarkEnd w:id="284"/>
      <w:bookmarkStart w:id="285" w:name="_Toc184312073"/>
      <w:bookmarkEnd w:id="285"/>
      <w:bookmarkStart w:id="286" w:name="_Toc184314434"/>
      <w:bookmarkEnd w:id="286"/>
      <w:bookmarkStart w:id="287" w:name="_Toc184313255"/>
      <w:bookmarkEnd w:id="287"/>
      <w:bookmarkStart w:id="288" w:name="_Toc184314416"/>
      <w:bookmarkEnd w:id="288"/>
      <w:bookmarkStart w:id="289" w:name="_Toc184314478"/>
      <w:bookmarkEnd w:id="289"/>
      <w:bookmarkStart w:id="290" w:name="_Toc184314435"/>
      <w:bookmarkEnd w:id="290"/>
      <w:bookmarkStart w:id="291" w:name="_Toc184308071"/>
      <w:bookmarkEnd w:id="291"/>
      <w:bookmarkStart w:id="292" w:name="_Toc184310298"/>
      <w:bookmarkEnd w:id="292"/>
      <w:bookmarkStart w:id="293" w:name="_Toc184313277"/>
      <w:bookmarkEnd w:id="293"/>
      <w:bookmarkStart w:id="294" w:name="_Toc184314442"/>
      <w:bookmarkEnd w:id="294"/>
      <w:bookmarkStart w:id="295" w:name="_Toc184312095"/>
      <w:bookmarkEnd w:id="295"/>
      <w:bookmarkStart w:id="296" w:name="_Toc184310288"/>
      <w:bookmarkEnd w:id="296"/>
      <w:bookmarkStart w:id="297" w:name="_Toc184312134"/>
      <w:bookmarkEnd w:id="297"/>
      <w:bookmarkStart w:id="298" w:name="_Toc184310289"/>
      <w:bookmarkEnd w:id="298"/>
      <w:bookmarkStart w:id="299" w:name="_Toc184308107"/>
      <w:bookmarkEnd w:id="299"/>
      <w:bookmarkStart w:id="300" w:name="_Toc184308039"/>
      <w:bookmarkEnd w:id="300"/>
      <w:bookmarkStart w:id="301" w:name="_Toc184312078"/>
      <w:bookmarkEnd w:id="301"/>
      <w:bookmarkStart w:id="302" w:name="_Toc184313298"/>
      <w:bookmarkEnd w:id="302"/>
      <w:bookmarkStart w:id="303" w:name="_Toc184308051"/>
      <w:bookmarkEnd w:id="303"/>
      <w:bookmarkStart w:id="304" w:name="_Toc184314445"/>
      <w:bookmarkEnd w:id="304"/>
      <w:bookmarkStart w:id="305" w:name="_Toc184312116"/>
      <w:bookmarkEnd w:id="305"/>
      <w:bookmarkStart w:id="306" w:name="_Toc184308044"/>
      <w:bookmarkEnd w:id="306"/>
      <w:bookmarkStart w:id="307" w:name="_Toc184312082"/>
      <w:bookmarkEnd w:id="307"/>
      <w:bookmarkStart w:id="308" w:name="_Toc184314447"/>
      <w:bookmarkEnd w:id="308"/>
      <w:bookmarkStart w:id="309" w:name="_Toc184308050"/>
      <w:bookmarkEnd w:id="309"/>
      <w:bookmarkStart w:id="310" w:name="_Toc184308095"/>
      <w:bookmarkEnd w:id="310"/>
      <w:bookmarkStart w:id="311" w:name="_Toc184308046"/>
      <w:bookmarkEnd w:id="311"/>
      <w:bookmarkStart w:id="312" w:name="_Toc184313259"/>
      <w:bookmarkEnd w:id="312"/>
      <w:bookmarkStart w:id="313" w:name="_Toc184308038"/>
      <w:bookmarkEnd w:id="313"/>
      <w:bookmarkStart w:id="314" w:name="_Toc184310302"/>
      <w:bookmarkEnd w:id="314"/>
      <w:bookmarkStart w:id="315" w:name="_Toc184313292"/>
      <w:bookmarkEnd w:id="315"/>
      <w:bookmarkStart w:id="316" w:name="_Toc184312135"/>
      <w:bookmarkEnd w:id="316"/>
      <w:bookmarkStart w:id="317" w:name="_Toc184313297"/>
      <w:bookmarkEnd w:id="317"/>
      <w:bookmarkStart w:id="318" w:name="_Toc184314443"/>
      <w:bookmarkEnd w:id="318"/>
      <w:bookmarkStart w:id="319" w:name="_Toc184310272"/>
      <w:bookmarkEnd w:id="319"/>
      <w:bookmarkStart w:id="320" w:name="_Toc184308069"/>
      <w:bookmarkEnd w:id="320"/>
      <w:bookmarkStart w:id="321" w:name="_Toc184308104"/>
      <w:bookmarkEnd w:id="321"/>
      <w:bookmarkStart w:id="322" w:name="_Toc184314459"/>
      <w:bookmarkEnd w:id="322"/>
      <w:bookmarkStart w:id="323" w:name="_Toc184314425"/>
      <w:bookmarkEnd w:id="323"/>
      <w:bookmarkStart w:id="324" w:name="_Toc184308065"/>
      <w:bookmarkEnd w:id="324"/>
      <w:bookmarkStart w:id="325" w:name="_Toc184308064"/>
      <w:bookmarkEnd w:id="325"/>
      <w:bookmarkStart w:id="326" w:name="_Toc184312114"/>
      <w:bookmarkEnd w:id="326"/>
      <w:bookmarkStart w:id="327" w:name="_Toc184310314"/>
      <w:bookmarkEnd w:id="327"/>
      <w:bookmarkStart w:id="328" w:name="_Toc184312104"/>
      <w:bookmarkEnd w:id="328"/>
      <w:bookmarkStart w:id="329" w:name="_Toc184310274"/>
      <w:bookmarkEnd w:id="329"/>
      <w:bookmarkStart w:id="330" w:name="_Toc184308080"/>
      <w:bookmarkEnd w:id="330"/>
      <w:bookmarkStart w:id="331" w:name="_Toc184313266"/>
      <w:bookmarkEnd w:id="331"/>
      <w:bookmarkStart w:id="332" w:name="_Toc184314426"/>
      <w:bookmarkEnd w:id="332"/>
      <w:bookmarkStart w:id="333" w:name="_Toc184314427"/>
      <w:bookmarkEnd w:id="333"/>
      <w:bookmarkStart w:id="334" w:name="_Toc184310322"/>
      <w:bookmarkEnd w:id="334"/>
      <w:bookmarkStart w:id="335" w:name="_Toc184310292"/>
      <w:bookmarkEnd w:id="335"/>
      <w:bookmarkStart w:id="336" w:name="_Toc184308057"/>
      <w:bookmarkEnd w:id="336"/>
      <w:bookmarkStart w:id="337" w:name="_Toc184313308"/>
      <w:bookmarkEnd w:id="337"/>
      <w:bookmarkStart w:id="338" w:name="_Toc184314414"/>
      <w:bookmarkEnd w:id="338"/>
      <w:bookmarkStart w:id="339" w:name="_Toc184314429"/>
      <w:bookmarkEnd w:id="339"/>
      <w:bookmarkStart w:id="340" w:name="_Toc184308096"/>
      <w:bookmarkEnd w:id="340"/>
      <w:bookmarkStart w:id="341" w:name="_Toc184313279"/>
      <w:bookmarkEnd w:id="341"/>
      <w:bookmarkStart w:id="342" w:name="_Toc184313302"/>
      <w:bookmarkEnd w:id="342"/>
      <w:bookmarkStart w:id="343" w:name="_Toc184312111"/>
      <w:bookmarkEnd w:id="343"/>
      <w:bookmarkStart w:id="344" w:name="_Toc184313275"/>
      <w:bookmarkEnd w:id="344"/>
      <w:bookmarkStart w:id="345" w:name="_Toc184308061"/>
      <w:bookmarkEnd w:id="345"/>
      <w:bookmarkStart w:id="346" w:name="_Toc184314467"/>
      <w:bookmarkEnd w:id="346"/>
      <w:bookmarkStart w:id="347" w:name="_Toc184312068"/>
      <w:bookmarkEnd w:id="347"/>
      <w:bookmarkStart w:id="348" w:name="_Toc184310304"/>
      <w:bookmarkEnd w:id="348"/>
      <w:bookmarkStart w:id="349" w:name="_Toc184308054"/>
      <w:bookmarkEnd w:id="349"/>
      <w:bookmarkStart w:id="350" w:name="_Toc184313289"/>
      <w:bookmarkEnd w:id="350"/>
      <w:bookmarkStart w:id="351" w:name="_Toc184312119"/>
      <w:bookmarkEnd w:id="351"/>
      <w:bookmarkStart w:id="352" w:name="_Toc184314415"/>
      <w:bookmarkEnd w:id="352"/>
      <w:bookmarkStart w:id="353" w:name="_Toc184313300"/>
      <w:bookmarkEnd w:id="353"/>
      <w:bookmarkStart w:id="354" w:name="_Toc184313284"/>
      <w:bookmarkEnd w:id="354"/>
      <w:bookmarkStart w:id="355" w:name="_Toc184312085"/>
      <w:bookmarkEnd w:id="355"/>
      <w:bookmarkStart w:id="356" w:name="_Toc184313240"/>
      <w:bookmarkEnd w:id="356"/>
      <w:bookmarkStart w:id="357" w:name="_Toc184308083"/>
      <w:bookmarkEnd w:id="357"/>
      <w:bookmarkStart w:id="358" w:name="_Toc184313276"/>
      <w:bookmarkEnd w:id="358"/>
      <w:bookmarkStart w:id="359" w:name="_Toc184312076"/>
      <w:bookmarkEnd w:id="359"/>
      <w:bookmarkStart w:id="360" w:name="_Toc184310319"/>
      <w:bookmarkEnd w:id="360"/>
      <w:bookmarkStart w:id="361" w:name="_Toc184314466"/>
      <w:bookmarkEnd w:id="361"/>
      <w:bookmarkStart w:id="362" w:name="_Toc184310283"/>
      <w:bookmarkEnd w:id="362"/>
      <w:bookmarkStart w:id="363" w:name="_Toc184313238"/>
      <w:bookmarkEnd w:id="363"/>
      <w:bookmarkStart w:id="364" w:name="_Toc184314468"/>
      <w:bookmarkEnd w:id="364"/>
      <w:bookmarkStart w:id="365" w:name="_Toc184312113"/>
      <w:bookmarkEnd w:id="365"/>
      <w:bookmarkStart w:id="366" w:name="_Toc184312088"/>
      <w:bookmarkEnd w:id="366"/>
      <w:bookmarkStart w:id="367" w:name="_Toc184308058"/>
      <w:bookmarkEnd w:id="367"/>
      <w:bookmarkStart w:id="368" w:name="_Toc184308079"/>
      <w:bookmarkEnd w:id="368"/>
      <w:bookmarkStart w:id="369" w:name="_Toc184308055"/>
      <w:bookmarkEnd w:id="369"/>
      <w:bookmarkStart w:id="370" w:name="_Toc184312094"/>
      <w:bookmarkEnd w:id="370"/>
      <w:bookmarkStart w:id="371" w:name="_Toc184312101"/>
      <w:bookmarkEnd w:id="371"/>
      <w:bookmarkStart w:id="372" w:name="_Toc184313286"/>
      <w:bookmarkEnd w:id="372"/>
      <w:bookmarkStart w:id="373" w:name="_Toc184314448"/>
      <w:bookmarkEnd w:id="373"/>
      <w:bookmarkStart w:id="374" w:name="_Toc184310344"/>
      <w:bookmarkEnd w:id="374"/>
      <w:bookmarkStart w:id="375" w:name="_Toc184313249"/>
      <w:bookmarkEnd w:id="375"/>
      <w:bookmarkStart w:id="376" w:name="_Toc184314471"/>
      <w:bookmarkEnd w:id="376"/>
      <w:bookmarkStart w:id="377" w:name="_Toc184310312"/>
      <w:bookmarkEnd w:id="377"/>
      <w:bookmarkStart w:id="378" w:name="_Toc184314481"/>
      <w:bookmarkEnd w:id="378"/>
      <w:bookmarkStart w:id="379" w:name="_Toc184312109"/>
      <w:bookmarkEnd w:id="379"/>
      <w:bookmarkStart w:id="380" w:name="_Toc184312092"/>
      <w:bookmarkEnd w:id="380"/>
      <w:bookmarkStart w:id="381" w:name="_Toc184308076"/>
      <w:bookmarkEnd w:id="381"/>
      <w:bookmarkStart w:id="382" w:name="_Toc184313306"/>
      <w:bookmarkEnd w:id="382"/>
      <w:bookmarkStart w:id="383" w:name="_Toc184314411"/>
      <w:bookmarkEnd w:id="383"/>
      <w:bookmarkStart w:id="384" w:name="_Toc184310318"/>
      <w:bookmarkEnd w:id="384"/>
      <w:bookmarkStart w:id="385" w:name="_Toc184308085"/>
      <w:bookmarkEnd w:id="385"/>
      <w:bookmarkStart w:id="386" w:name="_Toc184313245"/>
      <w:bookmarkEnd w:id="386"/>
      <w:bookmarkStart w:id="387" w:name="_Toc184310294"/>
      <w:bookmarkEnd w:id="387"/>
      <w:bookmarkStart w:id="388" w:name="_Toc184310295"/>
      <w:bookmarkEnd w:id="388"/>
      <w:bookmarkStart w:id="389" w:name="_Toc184310334"/>
      <w:bookmarkEnd w:id="389"/>
      <w:bookmarkStart w:id="390" w:name="_Toc184310293"/>
      <w:bookmarkEnd w:id="390"/>
      <w:bookmarkStart w:id="391" w:name="_Toc184314417"/>
      <w:bookmarkEnd w:id="391"/>
      <w:r>
        <w:rPr>
          <w:rFonts w:hint="eastAsia" w:ascii="仿宋" w:hAnsi="仿宋" w:eastAsia="仿宋" w:cs="仿宋"/>
          <w:b/>
          <w:color w:val="auto"/>
          <w:sz w:val="36"/>
          <w:szCs w:val="36"/>
        </w:rPr>
        <w:t>评标办法</w:t>
      </w:r>
    </w:p>
    <w:p>
      <w:pPr>
        <w:snapToGrid w:val="0"/>
        <w:spacing w:line="360" w:lineRule="auto"/>
        <w:jc w:val="center"/>
        <w:rPr>
          <w:rFonts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62"/>
        <w:tblpPr w:leftFromText="180" w:rightFromText="180" w:vertAnchor="text" w:horzAnchor="page" w:tblpXSpec="center" w:tblpY="126"/>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402"/>
        <w:gridCol w:w="72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序号</w:t>
            </w:r>
          </w:p>
        </w:tc>
        <w:tc>
          <w:tcPr>
            <w:tcW w:w="5402"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评标标准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权重</w:t>
            </w:r>
          </w:p>
        </w:tc>
        <w:tc>
          <w:tcPr>
            <w:tcW w:w="1952"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1</w:t>
            </w:r>
          </w:p>
        </w:tc>
        <w:tc>
          <w:tcPr>
            <w:tcW w:w="5402"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企业业绩（0-2分）：</w:t>
            </w:r>
            <w:r>
              <w:rPr>
                <w:rFonts w:hint="eastAsia" w:ascii="仿宋" w:hAnsi="仿宋" w:eastAsia="仿宋" w:cs="仿宋_GB2312"/>
                <w:bCs/>
                <w:color w:val="auto"/>
                <w:sz w:val="24"/>
              </w:rPr>
              <w:t>投标人提供2017年1月1日以来承担过古道调查或规划设计编制业绩，每个得0.5分，最高得2分。（须提供合同或有关证明文件原件扫描件，未提供不得分）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2</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2</w:t>
            </w:r>
          </w:p>
        </w:tc>
        <w:tc>
          <w:tcPr>
            <w:tcW w:w="5402"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企业实力（0-6分）：投标人2017年1月1日以来获得过相关政府部门或省级及以上行业协会颁发的规划类项目荣誉的每提供一份得2分，最高得6分。（须提供证明材料原件扫描件，未提供不得分）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6</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3</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团队能力（0-15分）：</w:t>
            </w:r>
          </w:p>
          <w:p>
            <w:pPr>
              <w:pStyle w:val="6"/>
              <w:ind w:firstLine="0" w:firstLineChars="0"/>
              <w:rPr>
                <w:rFonts w:ascii="仿宋" w:hAnsi="仿宋" w:eastAsia="仿宋" w:cs="仿宋"/>
                <w:color w:val="auto"/>
              </w:rPr>
            </w:pPr>
            <w:r>
              <w:rPr>
                <w:rFonts w:hint="eastAsia" w:ascii="仿宋" w:hAnsi="仿宋" w:eastAsia="仿宋" w:cs="仿宋"/>
                <w:color w:val="auto"/>
              </w:rPr>
              <w:t>1、项目服务团队人数满足6人要求的得2分，在此基础上每增加1人得0.5分，最高可得5分；</w:t>
            </w:r>
          </w:p>
          <w:p>
            <w:pPr>
              <w:pStyle w:val="6"/>
              <w:ind w:firstLine="0" w:firstLineChars="0"/>
              <w:rPr>
                <w:rFonts w:ascii="仿宋" w:hAnsi="仿宋" w:eastAsia="仿宋" w:cs="仿宋"/>
                <w:color w:val="auto"/>
              </w:rPr>
            </w:pPr>
            <w:r>
              <w:rPr>
                <w:rFonts w:hint="eastAsia" w:ascii="仿宋" w:hAnsi="仿宋" w:eastAsia="仿宋" w:cs="仿宋"/>
                <w:color w:val="auto"/>
              </w:rPr>
              <w:t>2、项目负责人具有林学或者风景园林专业正高级职称的，得5分，具有副高级职称的，得3分，具有中级职称的，得1分。最高5分。（提供职称证书复印件加盖公章，近3个月由投标人为其缴纳社保证明，否则不得分）</w:t>
            </w:r>
          </w:p>
          <w:p>
            <w:pPr>
              <w:pStyle w:val="6"/>
              <w:ind w:firstLine="0" w:firstLineChars="0"/>
              <w:rPr>
                <w:rFonts w:ascii="仿宋" w:hAnsi="仿宋" w:eastAsia="仿宋" w:cs="仿宋"/>
                <w:color w:val="auto"/>
              </w:rPr>
            </w:pPr>
            <w:r>
              <w:rPr>
                <w:rFonts w:hint="eastAsia" w:ascii="仿宋" w:hAnsi="仿宋" w:eastAsia="仿宋" w:cs="仿宋"/>
                <w:color w:val="auto"/>
              </w:rPr>
              <w:t>3、除项目负责人以外的项目团队人员中具有林学或者风景园林中级及以上的每人得1分，最高可得5分。（提供对应的职称证书复印件加盖公章，近3个月由投标人为其缴纳社保证明，否则不得分）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15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4</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项目理解（0-20分）：</w:t>
            </w:r>
          </w:p>
          <w:p>
            <w:pPr>
              <w:pStyle w:val="6"/>
              <w:ind w:firstLine="0" w:firstLineChars="0"/>
              <w:rPr>
                <w:rFonts w:ascii="仿宋" w:hAnsi="仿宋" w:eastAsia="仿宋" w:cs="仿宋"/>
                <w:color w:val="auto"/>
              </w:rPr>
            </w:pPr>
            <w:r>
              <w:rPr>
                <w:rFonts w:hint="eastAsia" w:ascii="仿宋" w:hAnsi="仿宋" w:eastAsia="仿宋" w:cs="仿宋"/>
                <w:color w:val="auto"/>
              </w:rPr>
              <w:t>1、根据投标人对本项目背景的理解及熟悉程度情况进行综合比较打分；（0-5分）</w:t>
            </w:r>
          </w:p>
          <w:p>
            <w:pPr>
              <w:pStyle w:val="6"/>
              <w:ind w:firstLine="0" w:firstLineChars="0"/>
              <w:rPr>
                <w:rFonts w:ascii="仿宋" w:hAnsi="仿宋" w:eastAsia="仿宋" w:cs="仿宋"/>
                <w:color w:val="auto"/>
              </w:rPr>
            </w:pPr>
            <w:r>
              <w:rPr>
                <w:rFonts w:hint="eastAsia" w:ascii="仿宋" w:hAnsi="仿宋" w:eastAsia="仿宋" w:cs="仿宋"/>
                <w:color w:val="auto"/>
              </w:rPr>
              <w:t>2、根据投标人对本项目区域内古道、森林风景资源综合现状进行综合比较打分。（0-5分）</w:t>
            </w:r>
          </w:p>
          <w:p>
            <w:pPr>
              <w:pStyle w:val="6"/>
              <w:ind w:firstLine="0" w:firstLineChars="0"/>
              <w:rPr>
                <w:rFonts w:ascii="仿宋" w:hAnsi="仿宋" w:eastAsia="仿宋" w:cs="仿宋"/>
                <w:color w:val="auto"/>
              </w:rPr>
            </w:pPr>
            <w:r>
              <w:rPr>
                <w:rFonts w:hint="eastAsia" w:ascii="仿宋" w:hAnsi="仿宋" w:eastAsia="仿宋" w:cs="仿宋"/>
                <w:color w:val="auto"/>
              </w:rPr>
              <w:t>3、根据投标人对古道重点区域自然保护地现状、发展方向等进行综合比较打分。（0-5分）</w:t>
            </w:r>
          </w:p>
          <w:p>
            <w:pPr>
              <w:pStyle w:val="6"/>
              <w:ind w:firstLine="0" w:firstLineChars="0"/>
              <w:rPr>
                <w:color w:val="auto"/>
              </w:rPr>
            </w:pPr>
            <w:r>
              <w:rPr>
                <w:rFonts w:hint="eastAsia" w:ascii="仿宋" w:hAnsi="仿宋" w:eastAsia="仿宋" w:cs="仿宋"/>
                <w:color w:val="auto"/>
              </w:rPr>
              <w:t>4、根据投标人对建德市对自然保护地为核心的旅游重点区域旅游发展思路分析进行综合比较打分。（0-5分）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20</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项目分析（0-5分）：</w:t>
            </w:r>
          </w:p>
          <w:p>
            <w:pPr>
              <w:pStyle w:val="6"/>
              <w:ind w:firstLine="0" w:firstLineChars="0"/>
              <w:rPr>
                <w:rFonts w:ascii="仿宋" w:hAnsi="仿宋" w:eastAsia="仿宋" w:cs="仿宋"/>
                <w:color w:val="auto"/>
              </w:rPr>
            </w:pPr>
            <w:r>
              <w:rPr>
                <w:rFonts w:hint="eastAsia" w:ascii="仿宋" w:hAnsi="仿宋" w:eastAsia="仿宋" w:cs="仿宋"/>
                <w:color w:val="auto"/>
              </w:rPr>
              <w:t>根据投标人结合省林业局千万亩森林质量精准提升工程选择古道或者自然保护地等重点区域选取1-2个案例预分析，内容包括现状、发展思路、景观改造、目标效果图等进行综合比较打分。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6</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技术方案（0-5分）：</w:t>
            </w:r>
          </w:p>
          <w:p>
            <w:pPr>
              <w:pStyle w:val="6"/>
              <w:ind w:firstLine="0" w:firstLineChars="0"/>
              <w:rPr>
                <w:rFonts w:ascii="仿宋" w:hAnsi="仿宋" w:eastAsia="仿宋" w:cs="仿宋"/>
                <w:color w:val="auto"/>
              </w:rPr>
            </w:pPr>
            <w:r>
              <w:rPr>
                <w:rFonts w:hint="eastAsia" w:ascii="仿宋" w:hAnsi="仿宋" w:eastAsia="仿宋" w:cs="仿宋"/>
                <w:color w:val="auto"/>
              </w:rPr>
              <w:t>根据投标人针对本项目的特点及要求编制保证项目质量的技术方案，及方案是否主次分明、条理清晰，切实结合项目的特点等情况进行综合比较打分。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7</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调查技术（0-5分）：</w:t>
            </w:r>
          </w:p>
          <w:p>
            <w:pPr>
              <w:pStyle w:val="6"/>
              <w:ind w:firstLine="0" w:firstLineChars="0"/>
              <w:rPr>
                <w:color w:val="auto"/>
              </w:rPr>
            </w:pPr>
            <w:r>
              <w:rPr>
                <w:rFonts w:hint="eastAsia" w:ascii="仿宋" w:hAnsi="仿宋" w:eastAsia="仿宋" w:cs="仿宋"/>
                <w:color w:val="auto"/>
              </w:rPr>
              <w:t>根据投标人按照省林业局相关工作要求对外业调查投入设备、主要方法等进行综合比较打分。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8</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各项规章制度（0-5分）：</w:t>
            </w:r>
          </w:p>
          <w:p>
            <w:pPr>
              <w:pStyle w:val="6"/>
              <w:ind w:firstLine="0" w:firstLineChars="0"/>
              <w:rPr>
                <w:rFonts w:ascii="仿宋" w:hAnsi="仿宋" w:eastAsia="仿宋" w:cs="仿宋"/>
                <w:color w:val="auto"/>
              </w:rPr>
            </w:pPr>
            <w:r>
              <w:rPr>
                <w:rFonts w:hint="eastAsia" w:ascii="仿宋" w:hAnsi="仿宋" w:eastAsia="仿宋" w:cs="仿宋"/>
                <w:color w:val="auto"/>
              </w:rPr>
              <w:t>根据投标人的各项规章制度，包括工作制度、内部岗位职责制度、管理运作制度、考核制度的完善性、适用性以及各项要求符合的规范性等方面进行综合比较打分。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9</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重难点分析及解决措施（0-5分）:</w:t>
            </w:r>
          </w:p>
          <w:p>
            <w:pPr>
              <w:pStyle w:val="6"/>
              <w:ind w:firstLine="0" w:firstLineChars="0"/>
              <w:rPr>
                <w:rFonts w:ascii="仿宋" w:hAnsi="仿宋" w:eastAsia="仿宋" w:cs="仿宋"/>
                <w:color w:val="auto"/>
              </w:rPr>
            </w:pPr>
            <w:r>
              <w:rPr>
                <w:rFonts w:hint="eastAsia" w:ascii="仿宋" w:hAnsi="仿宋" w:eastAsia="仿宋" w:cs="仿宋"/>
                <w:color w:val="auto"/>
              </w:rPr>
              <w:t>根据投标人对项目的技术关键点、难点进行分析，并提出具有切实可行的解决措施等内容进行综合比较打分。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10</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进度安排（0-5分）:</w:t>
            </w:r>
          </w:p>
          <w:p>
            <w:pPr>
              <w:pStyle w:val="6"/>
              <w:ind w:firstLine="0" w:firstLineChars="0"/>
              <w:rPr>
                <w:rFonts w:ascii="仿宋" w:hAnsi="仿宋" w:eastAsia="仿宋" w:cs="仿宋_GB2312"/>
                <w:bCs/>
                <w:color w:val="auto"/>
              </w:rPr>
            </w:pPr>
            <w:r>
              <w:rPr>
                <w:rFonts w:hint="eastAsia" w:ascii="仿宋" w:hAnsi="仿宋" w:eastAsia="仿宋" w:cs="仿宋"/>
                <w:color w:val="auto"/>
              </w:rPr>
              <w:t>根据投标人针对本项目实施进度安排的合理性、科学性等情况进行综合比较打分。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11</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售后服务（0-5分）：</w:t>
            </w:r>
          </w:p>
          <w:p>
            <w:pPr>
              <w:pStyle w:val="6"/>
              <w:ind w:firstLine="0" w:firstLineChars="0"/>
              <w:rPr>
                <w:rFonts w:ascii="仿宋" w:hAnsi="仿宋" w:eastAsia="仿宋" w:cs="仿宋"/>
                <w:color w:val="auto"/>
              </w:rPr>
            </w:pPr>
            <w:r>
              <w:rPr>
                <w:rFonts w:hint="eastAsia" w:ascii="仿宋" w:hAnsi="仿宋" w:eastAsia="仿宋" w:cs="仿宋"/>
                <w:color w:val="auto"/>
              </w:rPr>
              <w:t>投标人有详细的售后服务及其它有利于保证项目质量的措施或者优势，根据方案的可行性进行打分，最高5分。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5</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12</w:t>
            </w:r>
          </w:p>
        </w:tc>
        <w:tc>
          <w:tcPr>
            <w:tcW w:w="5402" w:type="dxa"/>
            <w:vAlign w:val="center"/>
          </w:tcPr>
          <w:p>
            <w:pPr>
              <w:pStyle w:val="6"/>
              <w:ind w:firstLine="0" w:firstLineChars="0"/>
              <w:rPr>
                <w:rFonts w:ascii="仿宋" w:hAnsi="仿宋" w:eastAsia="仿宋" w:cs="仿宋"/>
                <w:color w:val="auto"/>
              </w:rPr>
            </w:pPr>
            <w:r>
              <w:rPr>
                <w:rFonts w:hint="eastAsia" w:ascii="仿宋" w:hAnsi="仿宋" w:eastAsia="仿宋" w:cs="仿宋"/>
                <w:color w:val="auto"/>
              </w:rPr>
              <w:t>应急处理方案（0-2分）：</w:t>
            </w:r>
          </w:p>
          <w:p>
            <w:pPr>
              <w:pStyle w:val="6"/>
              <w:ind w:firstLine="0" w:firstLineChars="0"/>
              <w:rPr>
                <w:rFonts w:ascii="仿宋" w:hAnsi="仿宋" w:eastAsia="仿宋" w:cs="仿宋"/>
                <w:color w:val="auto"/>
              </w:rPr>
            </w:pPr>
            <w:r>
              <w:rPr>
                <w:rFonts w:hint="eastAsia" w:ascii="仿宋" w:hAnsi="仿宋" w:eastAsia="仿宋" w:cs="仿宋"/>
                <w:color w:val="auto"/>
              </w:rPr>
              <w:t>根据投标人提供的应对项目实施过程中的响应时间、调配人数与突发事件处理方案的可行性、科学性、合理性等情况进行综合比较打分。</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2</w:t>
            </w:r>
          </w:p>
        </w:tc>
        <w:tc>
          <w:tcPr>
            <w:tcW w:w="1952" w:type="dxa"/>
            <w:vAlign w:val="center"/>
          </w:tcPr>
          <w:p>
            <w:pPr>
              <w:spacing w:line="360" w:lineRule="auto"/>
              <w:jc w:val="center"/>
              <w:outlineLvl w:val="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835"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13</w:t>
            </w:r>
          </w:p>
        </w:tc>
        <w:tc>
          <w:tcPr>
            <w:tcW w:w="5402" w:type="dxa"/>
            <w:vAlign w:val="center"/>
          </w:tcPr>
          <w:p>
            <w:pPr>
              <w:spacing w:line="360" w:lineRule="auto"/>
              <w:jc w:val="left"/>
              <w:outlineLvl w:val="0"/>
              <w:rPr>
                <w:rFonts w:ascii="仿宋" w:hAnsi="仿宋" w:eastAsia="仿宋" w:cs="仿宋"/>
                <w:color w:val="auto"/>
                <w:sz w:val="24"/>
              </w:rPr>
            </w:pPr>
            <w:r>
              <w:rPr>
                <w:rFonts w:hint="eastAsia" w:ascii="仿宋" w:hAnsi="仿宋" w:eastAsia="仿宋" w:cs="仿宋"/>
                <w:color w:val="auto"/>
                <w:sz w:val="24"/>
              </w:rPr>
              <w:t>有效投标报价的最低价作为评标基准价，其最低报价为满分；按［投标报价得分=（评标基准价/投标报价）*20］的计算公式计算。</w:t>
            </w:r>
          </w:p>
          <w:p>
            <w:pPr>
              <w:widowControl/>
              <w:shd w:val="clear" w:color="auto" w:fill="FFFFFF"/>
              <w:adjustRightInd/>
              <w:spacing w:line="360" w:lineRule="auto"/>
              <w:jc w:val="left"/>
              <w:rPr>
                <w:rFonts w:ascii="仿宋" w:hAnsi="仿宋" w:eastAsia="仿宋" w:cs="仿宋"/>
                <w:color w:val="auto"/>
                <w:sz w:val="24"/>
              </w:rPr>
            </w:pPr>
            <w:r>
              <w:rPr>
                <w:rFonts w:hint="eastAsia" w:ascii="仿宋" w:hAnsi="仿宋" w:eastAsia="仿宋" w:cs="仿宋"/>
                <w:color w:val="auto"/>
                <w:sz w:val="24"/>
              </w:rPr>
              <w:t>评标过程中，不得去掉报价中的最高报价和最低报价。</w:t>
            </w:r>
          </w:p>
        </w:tc>
        <w:tc>
          <w:tcPr>
            <w:tcW w:w="726" w:type="dxa"/>
            <w:vAlign w:val="center"/>
          </w:tcPr>
          <w:p>
            <w:pPr>
              <w:spacing w:line="360" w:lineRule="auto"/>
              <w:jc w:val="center"/>
              <w:outlineLvl w:val="0"/>
              <w:rPr>
                <w:rFonts w:ascii="仿宋" w:hAnsi="仿宋" w:eastAsia="仿宋" w:cs="仿宋"/>
                <w:color w:val="auto"/>
                <w:sz w:val="24"/>
              </w:rPr>
            </w:pPr>
            <w:r>
              <w:rPr>
                <w:rFonts w:hint="eastAsia" w:ascii="仿宋" w:hAnsi="仿宋" w:eastAsia="仿宋" w:cs="仿宋"/>
                <w:color w:val="auto"/>
                <w:sz w:val="24"/>
              </w:rPr>
              <w:t>20</w:t>
            </w:r>
          </w:p>
        </w:tc>
        <w:tc>
          <w:tcPr>
            <w:tcW w:w="1952" w:type="dxa"/>
            <w:vAlign w:val="center"/>
          </w:tcPr>
          <w:p>
            <w:pPr>
              <w:pStyle w:val="710"/>
              <w:ind w:firstLine="480"/>
              <w:jc w:val="center"/>
              <w:rPr>
                <w:rFonts w:ascii="仿宋" w:hAnsi="仿宋" w:eastAsia="仿宋" w:cs="仿宋"/>
                <w:color w:val="auto"/>
                <w:szCs w:val="24"/>
              </w:rPr>
            </w:pPr>
          </w:p>
        </w:tc>
      </w:tr>
    </w:tbl>
    <w:p>
      <w:pPr>
        <w:snapToGrid w:val="0"/>
        <w:spacing w:line="360" w:lineRule="auto"/>
        <w:rPr>
          <w:rFonts w:ascii="仿宋" w:hAnsi="仿宋" w:eastAsia="仿宋" w:cs="仿宋"/>
          <w:b/>
          <w:color w:val="auto"/>
          <w:sz w:val="24"/>
        </w:rPr>
      </w:pPr>
      <w:r>
        <w:rPr>
          <w:rFonts w:hint="eastAsia" w:ascii="仿宋" w:hAnsi="仿宋" w:eastAsia="仿宋" w:cs="仿宋"/>
          <w:color w:val="auto"/>
          <w:sz w:val="20"/>
          <w:szCs w:val="20"/>
          <w:shd w:val="clear" w:color="auto" w:fill="FFFFFF"/>
        </w:rPr>
        <w:t>*</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napToGrid w:val="0"/>
        <w:spacing w:line="360" w:lineRule="auto"/>
        <w:rPr>
          <w:rFonts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ascii="仿宋" w:hAnsi="仿宋" w:eastAsia="仿宋" w:cs="仿宋"/>
          <w:b/>
          <w:color w:val="auto"/>
          <w:sz w:val="24"/>
        </w:rPr>
      </w:pPr>
      <w:r>
        <w:rPr>
          <w:rFonts w:hint="eastAsia" w:ascii="仿宋" w:hAnsi="仿宋" w:eastAsia="仿宋" w:cs="仿宋"/>
          <w:b/>
          <w:color w:val="auto"/>
          <w:sz w:val="24"/>
        </w:rPr>
        <w:t>2.评标标准：</w:t>
      </w:r>
      <w:r>
        <w:rPr>
          <w:rFonts w:hint="eastAsia" w:ascii="仿宋" w:hAnsi="仿宋" w:eastAsia="仿宋" w:cs="仿宋"/>
          <w:color w:val="auto"/>
          <w:kern w:val="0"/>
          <w:sz w:val="24"/>
        </w:rPr>
        <w:t>见评标办法前附表。</w:t>
      </w:r>
    </w:p>
    <w:p>
      <w:pPr>
        <w:spacing w:line="360" w:lineRule="auto"/>
        <w:outlineLvl w:val="0"/>
        <w:rPr>
          <w:rFonts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28"/>
        <w:spacing w:before="0"/>
        <w:ind w:firstLine="508" w:firstLineChars="212"/>
        <w:rPr>
          <w:rFonts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28"/>
        <w:spacing w:before="0"/>
        <w:ind w:firstLine="480"/>
        <w:rPr>
          <w:rFonts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360" w:lineRule="auto"/>
        <w:ind w:firstLine="482" w:firstLineChars="200"/>
        <w:rPr>
          <w:rFonts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rPr>
      </w:pPr>
      <w:r>
        <w:rPr>
          <w:rFonts w:hint="eastAsia" w:ascii="仿宋" w:hAnsi="仿宋" w:eastAsia="仿宋" w:cs="仿宋"/>
          <w:b/>
          <w:color w:val="auto"/>
          <w:sz w:val="32"/>
        </w:rPr>
        <w:t>四、评标中的其他事项</w:t>
      </w:r>
    </w:p>
    <w:p>
      <w:pPr>
        <w:pStyle w:val="128"/>
        <w:spacing w:before="0"/>
        <w:ind w:firstLine="472" w:firstLineChars="196"/>
        <w:rPr>
          <w:rFonts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有下列情况之一的，投标无效：</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4.2.12投标人仅提交备份投标文件，没有在电子交易平台传输递交投标文件的，投标无效；</w:t>
      </w:r>
    </w:p>
    <w:p>
      <w:pPr>
        <w:pStyle w:val="2"/>
        <w:ind w:left="862" w:leftChars="205"/>
        <w:rPr>
          <w:rFonts w:ascii="仿宋" w:eastAsia="仿宋" w:cs="仿宋"/>
          <w:b w:val="0"/>
          <w:bCs w:val="0"/>
          <w:color w:val="auto"/>
          <w:kern w:val="0"/>
          <w:sz w:val="24"/>
          <w:szCs w:val="24"/>
          <w:lang w:val="en-US"/>
        </w:rPr>
      </w:pPr>
      <w:r>
        <w:rPr>
          <w:rFonts w:hint="eastAsia" w:asci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6"/>
        <w:snapToGrid w:val="0"/>
        <w:spacing w:line="360" w:lineRule="auto"/>
        <w:ind w:firstLine="472" w:firstLineChars="196"/>
        <w:rPr>
          <w:rFonts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6"/>
        <w:snapToGrid w:val="0"/>
        <w:spacing w:line="360" w:lineRule="auto"/>
        <w:rPr>
          <w:rFonts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6"/>
        <w:snapToGrid w:val="0"/>
        <w:spacing w:line="360" w:lineRule="auto"/>
        <w:rPr>
          <w:rFonts w:ascii="仿宋" w:hAnsi="仿宋" w:eastAsia="仿宋" w:cs="仿宋"/>
          <w:color w:val="auto"/>
        </w:rPr>
      </w:pPr>
      <w:r>
        <w:rPr>
          <w:rFonts w:hint="eastAsia" w:ascii="仿宋" w:hAnsi="仿宋" w:eastAsia="仿宋" w:cs="仿宋"/>
          <w:color w:val="auto"/>
        </w:rPr>
        <w:t>5.2出现影响采购公正的违法、违规行为的；</w:t>
      </w:r>
    </w:p>
    <w:p>
      <w:pPr>
        <w:pStyle w:val="6"/>
        <w:snapToGrid w:val="0"/>
        <w:spacing w:line="360" w:lineRule="auto"/>
        <w:rPr>
          <w:rFonts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6"/>
        <w:snapToGrid w:val="0"/>
        <w:spacing w:line="360" w:lineRule="auto"/>
        <w:rPr>
          <w:rFonts w:ascii="仿宋" w:hAnsi="仿宋" w:eastAsia="仿宋" w:cs="仿宋"/>
          <w:color w:val="auto"/>
        </w:rPr>
      </w:pPr>
      <w:r>
        <w:rPr>
          <w:rFonts w:hint="eastAsia" w:ascii="仿宋" w:hAnsi="仿宋" w:eastAsia="仿宋" w:cs="仿宋"/>
          <w:color w:val="auto"/>
        </w:rPr>
        <w:t>5.4因重大变故，采购任务取消的。</w:t>
      </w:r>
    </w:p>
    <w:p>
      <w:pPr>
        <w:pStyle w:val="6"/>
        <w:snapToGrid w:val="0"/>
        <w:spacing w:line="360" w:lineRule="auto"/>
        <w:rPr>
          <w:rFonts w:ascii="仿宋" w:hAnsi="仿宋" w:eastAsia="仿宋" w:cs="仿宋"/>
          <w:color w:val="auto"/>
        </w:rPr>
      </w:pPr>
      <w:r>
        <w:rPr>
          <w:rFonts w:hint="eastAsia" w:ascii="仿宋" w:hAnsi="仿宋" w:eastAsia="仿宋" w:cs="仿宋"/>
          <w:color w:val="auto"/>
        </w:rPr>
        <w:t>废标后，采购代理机构应当将废标理由通知所有投标人。</w:t>
      </w:r>
    </w:p>
    <w:p>
      <w:pPr>
        <w:pStyle w:val="6"/>
        <w:snapToGrid w:val="0"/>
        <w:spacing w:line="360" w:lineRule="auto"/>
        <w:ind w:firstLine="590" w:firstLineChars="245"/>
        <w:rPr>
          <w:rFonts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6"/>
        <w:snapToGrid w:val="0"/>
        <w:spacing w:line="360" w:lineRule="auto"/>
        <w:ind w:firstLine="590" w:firstLineChars="245"/>
        <w:rPr>
          <w:rFonts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ascii="仿宋" w:hAnsi="仿宋" w:eastAsia="仿宋" w:cs="仿宋"/>
          <w:color w:val="auto"/>
        </w:rPr>
      </w:pPr>
      <w:r>
        <w:rPr>
          <w:rFonts w:hint="eastAsia" w:ascii="仿宋" w:hAnsi="仿宋" w:eastAsia="仿宋" w:cs="仿宋"/>
          <w:color w:val="auto"/>
        </w:rPr>
        <w:t>7.1未确定中标或者中标人的，终止本次政府采购活动，重新开展政府采购活动。</w:t>
      </w:r>
    </w:p>
    <w:p>
      <w:pPr>
        <w:pStyle w:val="6"/>
        <w:snapToGrid w:val="0"/>
        <w:spacing w:line="360" w:lineRule="auto"/>
        <w:ind w:firstLine="600" w:firstLineChars="250"/>
        <w:rPr>
          <w:rFonts w:ascii="仿宋" w:hAnsi="仿宋" w:eastAsia="仿宋" w:cs="仿宋"/>
          <w:color w:val="auto"/>
        </w:rPr>
      </w:pPr>
      <w:r>
        <w:rPr>
          <w:rFonts w:hint="eastAsia" w:ascii="仿宋" w:hAnsi="仿宋" w:eastAsia="仿宋" w:cs="仿宋"/>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ascii="仿宋" w:hAnsi="仿宋" w:eastAsia="仿宋" w:cs="仿宋"/>
          <w:color w:val="auto"/>
        </w:rPr>
      </w:pPr>
      <w:r>
        <w:rPr>
          <w:rFonts w:hint="eastAsia" w:ascii="仿宋" w:hAnsi="仿宋" w:eastAsia="仿宋" w:cs="仿宋"/>
          <w:color w:val="auto"/>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6"/>
        <w:snapToGrid w:val="0"/>
        <w:spacing w:line="360" w:lineRule="auto"/>
        <w:rPr>
          <w:rFonts w:ascii="仿宋" w:hAnsi="仿宋" w:eastAsia="仿宋" w:cs="仿宋"/>
          <w:color w:val="auto"/>
        </w:rPr>
      </w:pPr>
      <w:r>
        <w:rPr>
          <w:rFonts w:hint="eastAsia" w:ascii="仿宋" w:hAnsi="仿宋" w:eastAsia="仿宋" w:cs="仿宋"/>
          <w:color w:val="auto"/>
        </w:rPr>
        <w:t>7.5政府采购当事人有其他违反政府采购法</w:t>
      </w:r>
      <w:r>
        <w:rPr>
          <w:rFonts w:hint="eastAsia" w:ascii="仿宋" w:hAnsi="仿宋" w:eastAsia="仿宋" w:cs="仿宋"/>
          <w:color w:val="auto"/>
          <w:kern w:val="0"/>
        </w:rPr>
        <w:t>或者政府采购法实施条例等法律法规规定</w:t>
      </w:r>
      <w:r>
        <w:rPr>
          <w:rFonts w:hint="eastAsia" w:ascii="仿宋" w:hAnsi="仿宋" w:eastAsia="仿宋" w:cs="仿宋"/>
          <w:color w:val="auto"/>
        </w:rPr>
        <w:t>的行为，经改正后仍然影响或者可能影响中标、成交结果或者依法被认定为中标、成交无效的，依照7.1-7.4规定处理。</w:t>
      </w:r>
    </w:p>
    <w:bookmarkEnd w:id="26"/>
    <w:p>
      <w:pPr>
        <w:spacing w:line="360" w:lineRule="auto"/>
        <w:ind w:left="720" w:leftChars="343" w:firstLine="1084" w:firstLineChars="300"/>
        <w:outlineLvl w:val="0"/>
        <w:rPr>
          <w:rFonts w:ascii="仿宋" w:hAnsi="仿宋" w:eastAsia="仿宋" w:cs="仿宋"/>
          <w:b/>
          <w:color w:val="auto"/>
          <w:sz w:val="36"/>
          <w:szCs w:val="36"/>
        </w:rPr>
      </w:pPr>
      <w:bookmarkStart w:id="392" w:name="第五部分"/>
      <w:bookmarkStart w:id="393" w:name="_Toc86217003"/>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p>
    <w:p>
      <w:pPr>
        <w:pStyle w:val="2"/>
        <w:rPr>
          <w:rFonts w:ascii="仿宋" w:hAnsi="仿宋" w:eastAsia="仿宋" w:cs="仿宋"/>
          <w:b/>
          <w:color w:val="auto"/>
          <w:sz w:val="36"/>
          <w:szCs w:val="36"/>
        </w:rPr>
      </w:pPr>
    </w:p>
    <w:p>
      <w:pPr>
        <w:rPr>
          <w:rFonts w:ascii="仿宋" w:hAnsi="仿宋" w:eastAsia="仿宋" w:cs="仿宋"/>
          <w:b/>
          <w:color w:val="auto"/>
          <w:sz w:val="36"/>
          <w:szCs w:val="36"/>
        </w:rPr>
      </w:pPr>
    </w:p>
    <w:p>
      <w:pPr>
        <w:pStyle w:val="2"/>
        <w:rPr>
          <w:color w:val="auto"/>
        </w:rPr>
      </w:pPr>
    </w:p>
    <w:p>
      <w:pPr>
        <w:spacing w:line="360" w:lineRule="auto"/>
        <w:ind w:left="720" w:leftChars="343" w:firstLine="1084" w:firstLineChars="300"/>
        <w:outlineLvl w:val="0"/>
        <w:rPr>
          <w:rFonts w:ascii="仿宋" w:hAnsi="仿宋" w:eastAsia="仿宋" w:cs="仿宋"/>
          <w:b/>
          <w:color w:val="auto"/>
          <w:sz w:val="36"/>
          <w:szCs w:val="36"/>
        </w:rPr>
      </w:pPr>
    </w:p>
    <w:p>
      <w:pPr>
        <w:spacing w:line="360" w:lineRule="auto"/>
        <w:ind w:left="720" w:leftChars="343" w:firstLine="1084" w:firstLineChars="300"/>
        <w:outlineLvl w:val="0"/>
        <w:rPr>
          <w:rFonts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ind w:firstLine="1320" w:firstLineChars="550"/>
        <w:rPr>
          <w:rFonts w:ascii="仿宋" w:hAnsi="仿宋" w:eastAsia="仿宋" w:cs="仿宋"/>
          <w:color w:val="auto"/>
          <w:sz w:val="24"/>
          <w:u w:val="single"/>
        </w:rPr>
      </w:pPr>
      <w:r>
        <w:rPr>
          <w:rFonts w:hint="eastAsia" w:ascii="仿宋" w:hAnsi="仿宋" w:eastAsia="仿宋" w:cs="仿宋"/>
          <w:color w:val="auto"/>
          <w:sz w:val="24"/>
        </w:rPr>
        <w:t>合同编号：</w:t>
      </w:r>
    </w:p>
    <w:p>
      <w:pPr>
        <w:spacing w:line="480" w:lineRule="auto"/>
        <w:jc w:val="center"/>
        <w:rPr>
          <w:rFonts w:ascii="仿宋" w:hAnsi="仿宋" w:eastAsia="仿宋" w:cs="仿宋"/>
          <w:b/>
          <w:color w:val="auto"/>
          <w:sz w:val="28"/>
          <w:szCs w:val="28"/>
        </w:rPr>
      </w:pPr>
    </w:p>
    <w:p>
      <w:pPr>
        <w:spacing w:line="480" w:lineRule="auto"/>
        <w:jc w:val="center"/>
        <w:rPr>
          <w:rFonts w:ascii="仿宋" w:hAnsi="仿宋" w:eastAsia="仿宋" w:cs="仿宋"/>
          <w:b/>
          <w:color w:val="auto"/>
          <w:sz w:val="24"/>
        </w:rPr>
      </w:pPr>
    </w:p>
    <w:p>
      <w:pPr>
        <w:spacing w:line="480" w:lineRule="auto"/>
        <w:jc w:val="center"/>
        <w:rPr>
          <w:rFonts w:ascii="仿宋" w:hAnsi="仿宋" w:eastAsia="仿宋" w:cs="仿宋"/>
          <w:b/>
          <w:color w:val="auto"/>
          <w:sz w:val="24"/>
        </w:rPr>
      </w:pPr>
    </w:p>
    <w:p>
      <w:pPr>
        <w:spacing w:line="48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480" w:lineRule="auto"/>
        <w:jc w:val="center"/>
        <w:rPr>
          <w:rFonts w:ascii="仿宋" w:hAnsi="仿宋" w:eastAsia="仿宋" w:cs="仿宋"/>
          <w:b/>
          <w:color w:val="auto"/>
          <w:sz w:val="36"/>
          <w:szCs w:val="36"/>
        </w:rPr>
      </w:pPr>
      <w:r>
        <w:rPr>
          <w:rFonts w:hint="eastAsia" w:ascii="仿宋" w:hAnsi="仿宋" w:eastAsia="仿宋" w:cs="仿宋"/>
          <w:b/>
          <w:color w:val="auto"/>
          <w:sz w:val="36"/>
          <w:szCs w:val="36"/>
        </w:rPr>
        <w:t>（服务类）</w:t>
      </w:r>
    </w:p>
    <w:p>
      <w:pPr>
        <w:pStyle w:val="699"/>
        <w:jc w:val="center"/>
        <w:rPr>
          <w:rFonts w:ascii="仿宋" w:hAnsi="仿宋" w:eastAsia="仿宋" w:cs="仿宋"/>
          <w:color w:val="auto"/>
          <w:szCs w:val="24"/>
        </w:rPr>
      </w:pPr>
    </w:p>
    <w:p>
      <w:pPr>
        <w:pStyle w:val="699"/>
        <w:ind w:firstLine="2843" w:firstLineChars="1180"/>
        <w:rPr>
          <w:rFonts w:ascii="仿宋" w:hAnsi="仿宋" w:eastAsia="仿宋" w:cs="仿宋"/>
          <w:b/>
          <w:color w:val="auto"/>
          <w:szCs w:val="24"/>
        </w:rPr>
      </w:pPr>
      <w:r>
        <w:rPr>
          <w:rFonts w:hint="eastAsia" w:ascii="仿宋" w:hAnsi="仿宋" w:eastAsia="仿宋" w:cs="仿宋"/>
          <w:b/>
          <w:color w:val="auto"/>
          <w:szCs w:val="24"/>
        </w:rPr>
        <w:t>第一部分 合同书</w:t>
      </w:r>
    </w:p>
    <w:p>
      <w:pPr>
        <w:pStyle w:val="699"/>
        <w:ind w:left="0" w:leftChars="0" w:firstLine="0" w:firstLineChars="0"/>
        <w:rPr>
          <w:rFonts w:ascii="仿宋" w:hAnsi="仿宋" w:eastAsia="仿宋" w:cs="仿宋"/>
          <w:color w:val="auto"/>
          <w:szCs w:val="24"/>
        </w:rPr>
      </w:pP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rPr>
      </w:pPr>
      <w:r>
        <w:rPr>
          <w:rFonts w:hint="eastAsia" w:ascii="仿宋" w:hAnsi="仿宋" w:eastAsia="仿宋" w:cs="仿宋"/>
          <w:color w:val="auto"/>
          <w:sz w:val="24"/>
        </w:rPr>
        <w:t>项目名称：</w:t>
      </w:r>
    </w:p>
    <w:p>
      <w:pPr>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甲方：</w:t>
      </w:r>
    </w:p>
    <w:p>
      <w:pPr>
        <w:spacing w:before="120" w:line="22" w:lineRule="atLeast"/>
        <w:rPr>
          <w:rFonts w:ascii="仿宋" w:hAnsi="仿宋" w:eastAsia="仿宋" w:cs="仿宋"/>
          <w:color w:val="auto"/>
          <w:sz w:val="24"/>
        </w:rPr>
      </w:pPr>
    </w:p>
    <w:p>
      <w:pPr>
        <w:spacing w:before="120" w:line="22" w:lineRule="atLeast"/>
        <w:ind w:left="960"/>
        <w:rPr>
          <w:rFonts w:ascii="仿宋" w:hAnsi="仿宋" w:eastAsia="仿宋" w:cs="仿宋"/>
          <w:color w:val="auto"/>
          <w:sz w:val="24"/>
          <w:u w:val="single"/>
        </w:rPr>
      </w:pPr>
      <w:r>
        <w:rPr>
          <w:rFonts w:hint="eastAsia" w:ascii="仿宋" w:hAnsi="仿宋" w:eastAsia="仿宋" w:cs="仿宋"/>
          <w:color w:val="auto"/>
          <w:sz w:val="24"/>
        </w:rPr>
        <w:t>乙方：</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签订地：</w:t>
      </w:r>
    </w:p>
    <w:p>
      <w:pPr>
        <w:spacing w:before="120" w:line="22" w:lineRule="atLeast"/>
        <w:rPr>
          <w:rFonts w:ascii="仿宋" w:hAnsi="仿宋" w:eastAsia="仿宋" w:cs="仿宋"/>
          <w:color w:val="auto"/>
          <w:sz w:val="24"/>
        </w:rPr>
      </w:pPr>
    </w:p>
    <w:p>
      <w:pPr>
        <w:spacing w:before="120" w:line="22" w:lineRule="atLeast"/>
        <w:ind w:firstLine="960" w:firstLineChars="400"/>
        <w:rPr>
          <w:rFonts w:ascii="仿宋" w:hAnsi="仿宋" w:eastAsia="仿宋" w:cs="仿宋"/>
          <w:color w:val="auto"/>
          <w:sz w:val="24"/>
          <w:u w:val="single"/>
        </w:rPr>
      </w:pPr>
      <w:r>
        <w:rPr>
          <w:rFonts w:hint="eastAsia" w:ascii="仿宋" w:hAnsi="仿宋" w:eastAsia="仿宋" w:cs="仿宋"/>
          <w:color w:val="auto"/>
          <w:sz w:val="24"/>
        </w:rPr>
        <w:t>签订日期：年月日</w:t>
      </w:r>
    </w:p>
    <w:p>
      <w:pPr>
        <w:widowControl/>
        <w:jc w:val="left"/>
        <w:rPr>
          <w:rFonts w:ascii="仿宋" w:hAnsi="仿宋" w:eastAsia="仿宋" w:cs="仿宋"/>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val="zh-CN"/>
        </w:rPr>
        <w:t>年月日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（同前页项目名称）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（中标供应商名称）</w:t>
      </w:r>
      <w:r>
        <w:rPr>
          <w:rFonts w:hint="eastAsia" w:ascii="仿宋" w:hAnsi="仿宋" w:eastAsia="仿宋" w:cs="仿宋"/>
          <w:color w:val="auto"/>
          <w:sz w:val="24"/>
        </w:rPr>
        <w:t>为该项目中标供应商。现于中标通知书发出之日起十</w:t>
      </w:r>
      <w:r>
        <w:rPr>
          <w:rFonts w:hint="eastAsia" w:ascii="仿宋" w:hAnsi="仿宋" w:eastAsia="仿宋" w:cs="仿宋"/>
          <w:color w:val="auto"/>
          <w:sz w:val="24"/>
          <w:lang w:val="en-US" w:eastAsia="zh-CN"/>
        </w:rPr>
        <w:t>个工作</w:t>
      </w:r>
      <w:r>
        <w:rPr>
          <w:rFonts w:hint="eastAsia" w:ascii="仿宋" w:hAnsi="仿宋" w:eastAsia="仿宋" w:cs="仿宋"/>
          <w:color w:val="auto"/>
          <w:sz w:val="24"/>
        </w:rPr>
        <w:t>日内，按照采购文件确定的事项签订本合同。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560" w:lineRule="exact"/>
        <w:ind w:firstLine="482" w:firstLineChars="200"/>
        <w:outlineLvl w:val="0"/>
        <w:rPr>
          <w:rFonts w:ascii="仿宋" w:hAnsi="仿宋" w:eastAsia="仿宋" w:cs="仿宋"/>
          <w:b/>
          <w:color w:val="auto"/>
          <w:sz w:val="24"/>
        </w:rPr>
      </w:pPr>
      <w:bookmarkStart w:id="394" w:name="_Toc24059"/>
      <w:bookmarkStart w:id="395" w:name="_Toc2232"/>
      <w:bookmarkStart w:id="396" w:name="_Toc3029"/>
      <w:r>
        <w:rPr>
          <w:rFonts w:hint="eastAsia" w:ascii="仿宋" w:hAnsi="仿宋" w:eastAsia="仿宋" w:cs="仿宋"/>
          <w:b/>
          <w:color w:val="auto"/>
          <w:sz w:val="24"/>
        </w:rPr>
        <w:t>1.1 合同组成部分</w:t>
      </w:r>
      <w:bookmarkEnd w:id="394"/>
      <w:bookmarkEnd w:id="395"/>
      <w:bookmarkEnd w:id="39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1.1.2 中标通知书；</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1.1.3 投标文件（含澄清或者说明文件）；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1.1.4 招标文件（含澄清或者修改文件）；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1.1.5 其他相关采购文件。</w:t>
      </w:r>
    </w:p>
    <w:p>
      <w:pPr>
        <w:spacing w:line="560" w:lineRule="exact"/>
        <w:ind w:firstLine="482" w:firstLineChars="200"/>
        <w:outlineLvl w:val="0"/>
        <w:rPr>
          <w:rFonts w:ascii="仿宋" w:hAnsi="仿宋" w:eastAsia="仿宋" w:cs="仿宋"/>
          <w:b/>
          <w:color w:val="auto"/>
          <w:sz w:val="24"/>
        </w:rPr>
      </w:pPr>
      <w:bookmarkStart w:id="397" w:name="_Toc24300"/>
      <w:bookmarkStart w:id="398" w:name="_Toc21295"/>
      <w:bookmarkStart w:id="399" w:name="_Toc27126"/>
      <w:r>
        <w:rPr>
          <w:rFonts w:hint="eastAsia" w:ascii="仿宋" w:hAnsi="仿宋" w:eastAsia="仿宋" w:cs="仿宋"/>
          <w:b/>
          <w:color w:val="auto"/>
          <w:sz w:val="24"/>
        </w:rPr>
        <w:t xml:space="preserve">1.2 </w:t>
      </w:r>
      <w:bookmarkEnd w:id="397"/>
      <w:bookmarkEnd w:id="398"/>
      <w:bookmarkEnd w:id="399"/>
      <w:r>
        <w:rPr>
          <w:rFonts w:hint="eastAsia" w:ascii="仿宋" w:hAnsi="仿宋" w:eastAsia="仿宋" w:cs="仿宋"/>
          <w:b/>
          <w:color w:val="auto"/>
          <w:sz w:val="24"/>
        </w:rPr>
        <w:t>服务</w:t>
      </w:r>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1.2.1 服务内容：；</w:t>
      </w:r>
    </w:p>
    <w:p>
      <w:pPr>
        <w:spacing w:line="560" w:lineRule="exact"/>
        <w:ind w:firstLine="482" w:firstLineChars="200"/>
        <w:outlineLvl w:val="0"/>
        <w:rPr>
          <w:rFonts w:ascii="仿宋" w:hAnsi="仿宋" w:eastAsia="仿宋" w:cs="仿宋"/>
          <w:b/>
          <w:color w:val="auto"/>
          <w:sz w:val="24"/>
        </w:rPr>
      </w:pPr>
      <w:bookmarkStart w:id="400" w:name="_Toc21631"/>
      <w:bookmarkStart w:id="401" w:name="_Toc23292"/>
      <w:bookmarkStart w:id="402" w:name="_Toc21551"/>
      <w:r>
        <w:rPr>
          <w:rFonts w:hint="eastAsia" w:ascii="仿宋" w:hAnsi="仿宋" w:eastAsia="仿宋" w:cs="仿宋"/>
          <w:b/>
          <w:color w:val="auto"/>
          <w:sz w:val="24"/>
        </w:rPr>
        <w:t>1.3 价款</w:t>
      </w:r>
      <w:bookmarkEnd w:id="400"/>
      <w:bookmarkEnd w:id="401"/>
      <w:bookmarkEnd w:id="40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本合同总价为：￥元（大写：元人民币）。</w:t>
      </w:r>
    </w:p>
    <w:p>
      <w:pPr>
        <w:spacing w:line="560" w:lineRule="exact"/>
        <w:ind w:firstLine="482" w:firstLineChars="200"/>
        <w:outlineLvl w:val="0"/>
        <w:rPr>
          <w:rFonts w:ascii="仿宋" w:hAnsi="仿宋" w:eastAsia="仿宋" w:cs="仿宋"/>
          <w:b/>
          <w:color w:val="auto"/>
          <w:sz w:val="24"/>
        </w:rPr>
      </w:pPr>
      <w:bookmarkStart w:id="403" w:name="_Toc1814"/>
      <w:bookmarkStart w:id="404" w:name="_Toc22618"/>
      <w:bookmarkStart w:id="405" w:name="_Toc10340"/>
      <w:r>
        <w:rPr>
          <w:rFonts w:hint="eastAsia" w:ascii="仿宋" w:hAnsi="仿宋" w:eastAsia="仿宋" w:cs="仿宋"/>
          <w:b/>
          <w:color w:val="auto"/>
          <w:sz w:val="24"/>
        </w:rPr>
        <w:t>1.4 付款</w:t>
      </w:r>
      <w:bookmarkEnd w:id="403"/>
      <w:bookmarkEnd w:id="404"/>
      <w:bookmarkEnd w:id="405"/>
      <w:r>
        <w:rPr>
          <w:rFonts w:hint="eastAsia" w:ascii="仿宋" w:hAnsi="仿宋" w:eastAsia="仿宋" w:cs="仿宋"/>
          <w:b/>
          <w:color w:val="auto"/>
          <w:sz w:val="24"/>
        </w:rPr>
        <w:t>方式、时间和条件</w:t>
      </w:r>
    </w:p>
    <w:p>
      <w:pPr>
        <w:pStyle w:val="957"/>
        <w:spacing w:before="0" w:beforeAutospacing="0" w:after="0" w:afterAutospacing="0" w:line="360" w:lineRule="auto"/>
        <w:ind w:firstLine="480"/>
        <w:rPr>
          <w:rFonts w:ascii="仿宋" w:hAnsi="仿宋" w:eastAsia="仿宋" w:cs="仿宋"/>
          <w:color w:val="auto"/>
        </w:rPr>
      </w:pPr>
      <w:r>
        <w:rPr>
          <w:rFonts w:hint="eastAsia" w:ascii="仿宋" w:hAnsi="仿宋" w:eastAsia="仿宋" w:cs="仿宋"/>
          <w:color w:val="auto"/>
        </w:rPr>
        <w:t>1.4.1甲方应严格履行合同，及时组织验收，验收合格后及时将合同款支付完毕。对于满足合同约定支付条件的，甲方自收到发票后7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1.4.2甲方在政府采购合同中约定预付款，预付款比例为合同金额的30％。甲方可以根据项目特点、乙方信用等实际情况提高预付款比例，最高预付比例可以达到50%。乙方可登录政采云前台大厅选择金融服务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仿宋" w:hAnsi="仿宋" w:eastAsia="仿宋" w:cs="仿宋"/>
          <w:color w:val="auto"/>
          <w:sz w:val="24"/>
        </w:rPr>
      </w:pPr>
      <w:r>
        <w:rPr>
          <w:rFonts w:hint="eastAsia" w:ascii="仿宋" w:hAnsi="仿宋" w:eastAsia="仿宋" w:cs="仿宋"/>
          <w:color w:val="auto"/>
          <w:sz w:val="24"/>
        </w:rPr>
        <w:t>1.4.4资金支付的方式、时间和条件详见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06" w:name="_Toc19304"/>
      <w:bookmarkStart w:id="407" w:name="_Toc2846"/>
      <w:bookmarkStart w:id="408" w:name="_Toc32071"/>
      <w:r>
        <w:rPr>
          <w:rFonts w:hint="eastAsia" w:ascii="仿宋" w:hAnsi="仿宋" w:eastAsia="仿宋" w:cs="仿宋"/>
          <w:b/>
          <w:color w:val="auto"/>
          <w:sz w:val="24"/>
        </w:rPr>
        <w:t>1.5 服务期限、地点和方式</w:t>
      </w:r>
      <w:bookmarkEnd w:id="406"/>
      <w:bookmarkEnd w:id="407"/>
      <w:bookmarkEnd w:id="408"/>
    </w:p>
    <w:p>
      <w:pPr>
        <w:spacing w:line="560" w:lineRule="exact"/>
        <w:ind w:firstLine="480" w:firstLineChars="200"/>
        <w:rPr>
          <w:rFonts w:ascii="仿宋" w:hAnsi="仿宋" w:eastAsia="仿宋" w:cs="仿宋"/>
          <w:color w:val="auto"/>
          <w:sz w:val="24"/>
          <w:u w:val="single"/>
        </w:rPr>
      </w:pPr>
      <w:r>
        <w:rPr>
          <w:rFonts w:hint="eastAsia" w:ascii="仿宋" w:hAnsi="仿宋" w:eastAsia="仿宋" w:cs="仿宋"/>
          <w:color w:val="auto"/>
          <w:sz w:val="24"/>
        </w:rPr>
        <w:t>1.5.1 服务期限：详见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1.5.2 服务地点：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1.5.3 服务方式：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09" w:name="_Toc19554"/>
      <w:bookmarkStart w:id="410" w:name="_Toc21423"/>
      <w:bookmarkStart w:id="411" w:name="_Toc27250"/>
      <w:r>
        <w:rPr>
          <w:rFonts w:hint="eastAsia" w:ascii="仿宋" w:hAnsi="仿宋" w:eastAsia="仿宋" w:cs="仿宋"/>
          <w:b/>
          <w:color w:val="auto"/>
          <w:sz w:val="24"/>
        </w:rPr>
        <w:t>1.6 违约责任</w:t>
      </w:r>
      <w:bookmarkEnd w:id="409"/>
      <w:bookmarkEnd w:id="410"/>
      <w:bookmarkEnd w:id="41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仿宋" w:hAnsi="仿宋" w:eastAsia="仿宋" w:cs="仿宋"/>
          <w:color w:val="auto"/>
          <w:sz w:val="24"/>
        </w:rPr>
      </w:pPr>
      <w:r>
        <w:rPr>
          <w:rFonts w:hint="eastAsia" w:ascii="仿宋" w:hAnsi="仿宋" w:eastAsia="仿宋" w:cs="仿宋"/>
          <w:color w:val="auto"/>
          <w:sz w:val="24"/>
        </w:rPr>
        <w:t>1.6.7违约责任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p>
      <w:pPr>
        <w:spacing w:line="560" w:lineRule="exact"/>
        <w:ind w:firstLine="482" w:firstLineChars="200"/>
        <w:outlineLvl w:val="0"/>
        <w:rPr>
          <w:rFonts w:ascii="仿宋" w:hAnsi="仿宋" w:eastAsia="仿宋" w:cs="仿宋"/>
          <w:b/>
          <w:color w:val="auto"/>
          <w:sz w:val="24"/>
        </w:rPr>
      </w:pPr>
      <w:bookmarkStart w:id="412" w:name="_Toc28375"/>
      <w:bookmarkStart w:id="413" w:name="_Toc16021"/>
      <w:bookmarkStart w:id="414" w:name="_Toc15583"/>
      <w:r>
        <w:rPr>
          <w:rFonts w:hint="eastAsia" w:ascii="仿宋" w:hAnsi="仿宋" w:eastAsia="仿宋" w:cs="仿宋"/>
          <w:b/>
          <w:color w:val="auto"/>
          <w:sz w:val="24"/>
        </w:rPr>
        <w:t>1.7 合同争议的解决</w:t>
      </w:r>
      <w:bookmarkEnd w:id="412"/>
      <w:bookmarkEnd w:id="413"/>
      <w:bookmarkEnd w:id="414"/>
    </w:p>
    <w:p>
      <w:pPr>
        <w:spacing w:line="560" w:lineRule="exact"/>
        <w:ind w:left="-61" w:leftChars="-29" w:right="-420" w:rightChars="-200" w:firstLine="240" w:firstLineChars="100"/>
        <w:rPr>
          <w:rFonts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合同专用条款  </w:t>
      </w:r>
      <w:r>
        <w:rPr>
          <w:rFonts w:hint="eastAsia" w:ascii="仿宋" w:hAnsi="仿宋" w:eastAsia="仿宋" w:cs="仿宋"/>
          <w:color w:val="auto"/>
          <w:sz w:val="24"/>
        </w:rPr>
        <w:t>条款规定的方式解决：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rPr>
      </w:pPr>
      <w:r>
        <w:rPr>
          <w:rFonts w:hint="eastAsia" w:ascii="仿宋" w:hAnsi="仿宋" w:eastAsia="仿宋" w:cs="仿宋"/>
          <w:color w:val="auto"/>
          <w:sz w:val="24"/>
        </w:rPr>
        <w:t>1.7.2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560" w:lineRule="exact"/>
        <w:ind w:firstLine="482" w:firstLineChars="200"/>
        <w:outlineLvl w:val="0"/>
        <w:rPr>
          <w:rFonts w:ascii="仿宋" w:hAnsi="仿宋" w:eastAsia="仿宋" w:cs="仿宋"/>
          <w:b/>
          <w:color w:val="auto"/>
          <w:sz w:val="24"/>
        </w:rPr>
      </w:pPr>
      <w:bookmarkStart w:id="415" w:name="_Toc7245"/>
      <w:bookmarkStart w:id="416" w:name="_Toc15322"/>
      <w:bookmarkStart w:id="417" w:name="_Toc11173"/>
      <w:r>
        <w:rPr>
          <w:rFonts w:hint="eastAsia" w:ascii="仿宋" w:hAnsi="仿宋" w:eastAsia="仿宋" w:cs="仿宋"/>
          <w:b/>
          <w:color w:val="auto"/>
          <w:sz w:val="24"/>
        </w:rPr>
        <w:t>1.8 合同生效</w:t>
      </w:r>
      <w:bookmarkEnd w:id="415"/>
      <w:bookmarkEnd w:id="416"/>
      <w:bookmarkEnd w:id="417"/>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本合同自双方当事人盖章或者签字时生效。</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rPr>
        <w:t>地址</w:t>
      </w:r>
      <w:r>
        <w:rPr>
          <w:rFonts w:hint="eastAsia" w:ascii="仿宋" w:hAnsi="仿宋" w:eastAsia="仿宋" w:cs="仿宋"/>
          <w:color w:val="auto"/>
          <w:sz w:val="24"/>
          <w:lang w:val="zh-CN"/>
        </w:rPr>
        <w:t xml:space="preserve">：                                   </w:t>
      </w:r>
      <w:r>
        <w:rPr>
          <w:rFonts w:hint="eastAsia" w:ascii="仿宋" w:hAnsi="仿宋" w:eastAsia="仿宋" w:cs="仿宋"/>
          <w:color w:val="auto"/>
          <w:sz w:val="24"/>
        </w:rPr>
        <w:t>地址</w:t>
      </w:r>
      <w:r>
        <w:rPr>
          <w:rFonts w:hint="eastAsia" w:ascii="仿宋" w:hAnsi="仿宋" w:eastAsia="仿宋" w:cs="仿宋"/>
          <w:color w:val="auto"/>
          <w:sz w:val="24"/>
          <w:lang w:val="zh-CN"/>
        </w:rPr>
        <w:t>：</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法定代表人或                             法定代表人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授权代表（签字）：                        或授权代表（签字）: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560" w:lineRule="exact"/>
        <w:rPr>
          <w:rFonts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560" w:lineRule="exact"/>
        <w:rPr>
          <w:rFonts w:ascii="仿宋" w:hAnsi="仿宋" w:eastAsia="仿宋" w:cs="仿宋"/>
          <w:color w:val="auto"/>
          <w:sz w:val="24"/>
        </w:rPr>
      </w:pPr>
      <w:r>
        <w:rPr>
          <w:rFonts w:hint="eastAsia" w:ascii="仿宋" w:hAnsi="仿宋" w:eastAsia="仿宋" w:cs="仿宋"/>
          <w:color w:val="auto"/>
          <w:sz w:val="24"/>
        </w:rPr>
        <w:t>开户账号：                               开户账号：</w:t>
      </w:r>
    </w:p>
    <w:p>
      <w:pPr>
        <w:pStyle w:val="699"/>
        <w:spacing w:line="560" w:lineRule="exact"/>
        <w:ind w:firstLine="0" w:firstLineChars="0"/>
        <w:jc w:val="center"/>
        <w:rPr>
          <w:rFonts w:ascii="仿宋" w:hAnsi="仿宋" w:eastAsia="仿宋" w:cs="仿宋"/>
          <w:b/>
          <w:color w:val="auto"/>
          <w:szCs w:val="24"/>
        </w:rPr>
      </w:pPr>
      <w:bookmarkStart w:id="418" w:name="_Toc331685783"/>
    </w:p>
    <w:p>
      <w:pPr>
        <w:pStyle w:val="699"/>
        <w:spacing w:line="560" w:lineRule="exact"/>
        <w:ind w:firstLine="0" w:firstLineChars="0"/>
        <w:jc w:val="center"/>
        <w:rPr>
          <w:rFonts w:ascii="仿宋" w:hAnsi="仿宋" w:eastAsia="仿宋" w:cs="仿宋"/>
          <w:b/>
          <w:color w:val="auto"/>
          <w:szCs w:val="24"/>
        </w:rPr>
      </w:pPr>
    </w:p>
    <w:p>
      <w:pPr>
        <w:pStyle w:val="699"/>
        <w:spacing w:line="560" w:lineRule="exact"/>
        <w:ind w:firstLine="0" w:firstLineChars="0"/>
        <w:jc w:val="center"/>
        <w:rPr>
          <w:rFonts w:ascii="仿宋" w:hAnsi="仿宋" w:eastAsia="仿宋" w:cs="仿宋"/>
          <w:b/>
          <w:color w:val="auto"/>
          <w:szCs w:val="24"/>
        </w:rPr>
      </w:pPr>
      <w:r>
        <w:rPr>
          <w:rFonts w:hint="eastAsia" w:ascii="仿宋" w:hAnsi="仿宋" w:eastAsia="仿宋" w:cs="仿宋"/>
          <w:b/>
          <w:color w:val="auto"/>
          <w:szCs w:val="24"/>
        </w:rPr>
        <w:t>第二部分 合同一般条款</w:t>
      </w:r>
      <w:bookmarkEnd w:id="418"/>
    </w:p>
    <w:p>
      <w:pPr>
        <w:spacing w:line="560" w:lineRule="exact"/>
        <w:ind w:firstLine="482" w:firstLineChars="200"/>
        <w:outlineLvl w:val="0"/>
        <w:rPr>
          <w:rFonts w:ascii="仿宋" w:hAnsi="仿宋" w:eastAsia="仿宋" w:cs="仿宋"/>
          <w:b/>
          <w:color w:val="auto"/>
          <w:sz w:val="24"/>
        </w:rPr>
      </w:pPr>
      <w:bookmarkStart w:id="419" w:name="_Ref467379214"/>
      <w:bookmarkStart w:id="420" w:name="_Toc279701240"/>
      <w:bookmarkStart w:id="421" w:name="_Ref467378499"/>
      <w:bookmarkStart w:id="422" w:name="_Toc487900349"/>
      <w:bookmarkStart w:id="423" w:name="_Ref467379101"/>
      <w:bookmarkStart w:id="424" w:name="_Ref467379109"/>
      <w:bookmarkStart w:id="425" w:name="_Ref467379225"/>
      <w:bookmarkStart w:id="426" w:name="_Toc16917"/>
      <w:bookmarkStart w:id="427" w:name="_Ref467379205"/>
      <w:bookmarkStart w:id="428" w:name="_Toc259093669"/>
      <w:bookmarkStart w:id="429" w:name="_Ref467378404"/>
      <w:bookmarkStart w:id="430" w:name="_Ref467379094"/>
      <w:bookmarkStart w:id="431" w:name="_Toc19614"/>
      <w:bookmarkStart w:id="432" w:name="_Toc28763"/>
      <w:bookmarkStart w:id="433" w:name="_Ref467378463"/>
      <w:bookmarkStart w:id="434" w:name="_Ref467379195"/>
      <w:r>
        <w:rPr>
          <w:rFonts w:hint="eastAsia" w:ascii="仿宋" w:hAnsi="仿宋" w:eastAsia="仿宋" w:cs="仿宋"/>
          <w:b/>
          <w:color w:val="auto"/>
          <w:sz w:val="24"/>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 “合同价”系指根据合同约定，中标供应商在完全履行合同义务后，采购人应支付给中标供应商的价格。</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仿宋" w:hAnsi="仿宋" w:eastAsia="仿宋" w:cs="仿宋"/>
          <w:color w:val="auto"/>
          <w:sz w:val="24"/>
        </w:rPr>
      </w:pPr>
      <w:bookmarkStart w:id="435" w:name="_Ref467378840"/>
      <w:r>
        <w:rPr>
          <w:rFonts w:hint="eastAsia" w:ascii="仿宋" w:hAnsi="仿宋" w:eastAsia="仿宋" w:cs="仿宋"/>
          <w:color w:val="auto"/>
          <w:sz w:val="24"/>
        </w:rPr>
        <w:t>2.1.4 “甲方”系指与中标供应商签署合同的采购人</w:t>
      </w:r>
      <w:bookmarkEnd w:id="435"/>
      <w:r>
        <w:rPr>
          <w:rFonts w:hint="eastAsia" w:ascii="仿宋" w:hAnsi="仿宋" w:eastAsia="仿宋" w:cs="仿宋"/>
          <w:color w:val="auto"/>
          <w:sz w:val="24"/>
        </w:rPr>
        <w:t>；采购人委托采购代理机构代表其与乙方签订合同的，采购人的授权委托书作为合同附件。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rPr>
      </w:pPr>
      <w:bookmarkStart w:id="436" w:name="_Ref467379400"/>
      <w:r>
        <w:rPr>
          <w:rFonts w:hint="eastAsia" w:ascii="仿宋" w:hAnsi="仿宋" w:eastAsia="仿宋" w:cs="仿宋"/>
          <w:color w:val="auto"/>
          <w:sz w:val="24"/>
        </w:rPr>
        <w:t>2.1.5 “乙方”系指根据合同约定提供服务的中标供应商</w:t>
      </w:r>
      <w:bookmarkEnd w:id="436"/>
      <w:r>
        <w:rPr>
          <w:rFonts w:hint="eastAsia" w:ascii="仿宋" w:hAnsi="仿宋" w:eastAsia="仿宋" w:cs="仿宋"/>
          <w:color w:val="auto"/>
          <w:sz w:val="24"/>
        </w:rPr>
        <w:t>。</w:t>
      </w:r>
    </w:p>
    <w:p>
      <w:pPr>
        <w:spacing w:line="560" w:lineRule="exact"/>
        <w:ind w:firstLine="480" w:firstLineChars="200"/>
        <w:rPr>
          <w:rFonts w:ascii="仿宋" w:hAnsi="仿宋" w:eastAsia="仿宋" w:cs="仿宋"/>
          <w:color w:val="auto"/>
          <w:sz w:val="24"/>
        </w:rPr>
      </w:pPr>
      <w:bookmarkStart w:id="437" w:name="_Ref467379436"/>
      <w:r>
        <w:rPr>
          <w:rFonts w:hint="eastAsia" w:ascii="仿宋" w:hAnsi="仿宋" w:eastAsia="仿宋" w:cs="仿宋"/>
          <w:color w:val="auto"/>
          <w:sz w:val="24"/>
        </w:rPr>
        <w:t>2.1.6 “现场”系指合同约定货物将要运至或者安装的地点。</w:t>
      </w:r>
      <w:bookmarkEnd w:id="437"/>
    </w:p>
    <w:p>
      <w:pPr>
        <w:spacing w:line="560" w:lineRule="exact"/>
        <w:ind w:firstLine="482" w:firstLineChars="200"/>
        <w:outlineLvl w:val="0"/>
        <w:rPr>
          <w:rFonts w:ascii="仿宋" w:hAnsi="仿宋" w:eastAsia="仿宋" w:cs="仿宋"/>
          <w:b/>
          <w:color w:val="auto"/>
          <w:sz w:val="24"/>
        </w:rPr>
      </w:pPr>
      <w:bookmarkStart w:id="438" w:name="_Toc259093670"/>
      <w:bookmarkStart w:id="439" w:name="_Toc13336"/>
      <w:bookmarkStart w:id="440" w:name="_Toc32504"/>
      <w:bookmarkStart w:id="441" w:name="_Toc487900350"/>
      <w:bookmarkStart w:id="442" w:name="_Toc279701241"/>
      <w:bookmarkStart w:id="443" w:name="_Toc27635"/>
      <w:r>
        <w:rPr>
          <w:rFonts w:hint="eastAsia" w:ascii="仿宋" w:hAnsi="仿宋" w:eastAsia="仿宋" w:cs="仿宋"/>
          <w:b/>
          <w:color w:val="auto"/>
          <w:sz w:val="24"/>
        </w:rPr>
        <w:t>2.2 技术规范</w:t>
      </w:r>
      <w:bookmarkEnd w:id="438"/>
      <w:bookmarkEnd w:id="439"/>
      <w:bookmarkEnd w:id="440"/>
      <w:bookmarkEnd w:id="441"/>
      <w:bookmarkEnd w:id="442"/>
      <w:bookmarkEnd w:id="443"/>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rPr>
      </w:pPr>
      <w:bookmarkStart w:id="444" w:name="_Toc259093671"/>
      <w:bookmarkStart w:id="445" w:name="_Toc31634"/>
      <w:bookmarkStart w:id="446" w:name="_Toc27853"/>
      <w:bookmarkStart w:id="447" w:name="_Toc487900351"/>
      <w:bookmarkStart w:id="448" w:name="_Toc279701242"/>
      <w:bookmarkStart w:id="449" w:name="_Toc9829"/>
      <w:r>
        <w:rPr>
          <w:rFonts w:hint="eastAsia" w:ascii="仿宋" w:hAnsi="仿宋" w:eastAsia="仿宋" w:cs="仿宋"/>
          <w:b/>
          <w:color w:val="auto"/>
          <w:sz w:val="24"/>
        </w:rPr>
        <w:t>2.3 知识产权</w:t>
      </w:r>
      <w:bookmarkEnd w:id="444"/>
      <w:bookmarkEnd w:id="445"/>
      <w:bookmarkEnd w:id="446"/>
      <w:bookmarkEnd w:id="447"/>
      <w:bookmarkEnd w:id="448"/>
      <w:bookmarkEnd w:id="44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2.3.2具有知识产权的计算机软件等货物的知识产权归属，详见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50" w:name="_Toc11932"/>
      <w:bookmarkStart w:id="451" w:name="_Toc4194"/>
      <w:bookmarkStart w:id="452" w:name="_Toc29149"/>
      <w:r>
        <w:rPr>
          <w:rFonts w:hint="eastAsia" w:ascii="仿宋" w:hAnsi="仿宋" w:eastAsia="仿宋" w:cs="仿宋"/>
          <w:b/>
          <w:color w:val="auto"/>
          <w:sz w:val="24"/>
        </w:rPr>
        <w:t>2.4 包装和装运</w:t>
      </w:r>
      <w:bookmarkEnd w:id="450"/>
      <w:bookmarkEnd w:id="451"/>
      <w:bookmarkEnd w:id="45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2.4.1除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装运货物的要求和通知，详见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53" w:name="_Toc279701245"/>
      <w:bookmarkStart w:id="454" w:name="_Toc259093674"/>
      <w:bookmarkStart w:id="455" w:name="_Ref467379536"/>
      <w:bookmarkStart w:id="456" w:name="_Ref467379527"/>
      <w:bookmarkStart w:id="457" w:name="_Toc487900354"/>
      <w:bookmarkStart w:id="458" w:name="_Ref467379542"/>
      <w:bookmarkStart w:id="459" w:name="_Ref467378591"/>
      <w:bookmarkStart w:id="460" w:name="_Ref467378541"/>
      <w:bookmarkStart w:id="461" w:name="_Toc19074"/>
      <w:bookmarkStart w:id="462" w:name="_Toc26182"/>
      <w:bookmarkStart w:id="463" w:name="_Toc30272"/>
      <w:r>
        <w:rPr>
          <w:rFonts w:hint="eastAsia" w:ascii="仿宋" w:hAnsi="仿宋" w:eastAsia="仿宋" w:cs="仿宋"/>
          <w:b/>
          <w:color w:val="auto"/>
          <w:sz w:val="24"/>
        </w:rPr>
        <w:t>2.</w:t>
      </w:r>
      <w:bookmarkEnd w:id="453"/>
      <w:bookmarkEnd w:id="454"/>
      <w:bookmarkEnd w:id="455"/>
      <w:bookmarkEnd w:id="456"/>
      <w:bookmarkEnd w:id="457"/>
      <w:bookmarkEnd w:id="458"/>
      <w:bookmarkEnd w:id="459"/>
      <w:bookmarkEnd w:id="460"/>
      <w:r>
        <w:rPr>
          <w:rFonts w:hint="eastAsia" w:ascii="仿宋" w:hAnsi="仿宋" w:eastAsia="仿宋" w:cs="仿宋"/>
          <w:b/>
          <w:color w:val="auto"/>
          <w:sz w:val="24"/>
        </w:rPr>
        <w:t>5 履约检查和问题反馈</w:t>
      </w:r>
      <w:bookmarkEnd w:id="461"/>
      <w:bookmarkEnd w:id="462"/>
      <w:bookmarkEnd w:id="463"/>
    </w:p>
    <w:p>
      <w:pPr>
        <w:spacing w:line="560" w:lineRule="exact"/>
        <w:ind w:firstLine="480" w:firstLineChars="200"/>
        <w:rPr>
          <w:rFonts w:ascii="仿宋" w:hAnsi="仿宋" w:eastAsia="仿宋" w:cs="仿宋"/>
          <w:color w:val="auto"/>
          <w:sz w:val="24"/>
        </w:rPr>
      </w:pPr>
      <w:bookmarkStart w:id="464" w:name="_Ref467379657"/>
      <w:r>
        <w:rPr>
          <w:rFonts w:hint="eastAsia" w:ascii="仿宋" w:hAnsi="仿宋" w:eastAsia="仿宋" w:cs="仿宋"/>
          <w:color w:val="auto"/>
          <w:sz w:val="24"/>
        </w:rPr>
        <w:t>2.5.1</w:t>
      </w:r>
      <w:bookmarkEnd w:id="464"/>
      <w:bookmarkStart w:id="465" w:name="_Toc186431854"/>
      <w:bookmarkStart w:id="466" w:name="_Ref467379793"/>
      <w:bookmarkStart w:id="467" w:name="_Toc487900357"/>
      <w:bookmarkStart w:id="468" w:name="_Toc279701247"/>
      <w:bookmarkStart w:id="469" w:name="_Toc259093676"/>
      <w:bookmarkStart w:id="470" w:name="_Ref467379807"/>
      <w:r>
        <w:rPr>
          <w:rFonts w:hint="eastAsia" w:ascii="仿宋" w:hAnsi="仿宋" w:eastAsia="仿宋" w:cs="仿宋"/>
          <w:color w:val="auto"/>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2.5.2 合同履行期间，甲方有权将履行过程中出现的问题反馈给乙方，双方当事人应以书面形式约定需要完善和改进的内容</w:t>
      </w:r>
      <w:bookmarkEnd w:id="465"/>
      <w:bookmarkStart w:id="471" w:name="_Toc186431855"/>
      <w:r>
        <w:rPr>
          <w:rFonts w:hint="eastAsia" w:ascii="仿宋" w:hAnsi="仿宋" w:eastAsia="仿宋" w:cs="仿宋"/>
          <w:color w:val="auto"/>
          <w:sz w:val="24"/>
        </w:rPr>
        <w:t>。</w:t>
      </w:r>
    </w:p>
    <w:bookmarkEnd w:id="466"/>
    <w:bookmarkEnd w:id="467"/>
    <w:bookmarkEnd w:id="468"/>
    <w:bookmarkEnd w:id="469"/>
    <w:bookmarkEnd w:id="470"/>
    <w:bookmarkEnd w:id="471"/>
    <w:p>
      <w:pPr>
        <w:spacing w:line="560" w:lineRule="exact"/>
        <w:ind w:firstLine="482" w:firstLineChars="200"/>
        <w:outlineLvl w:val="0"/>
        <w:rPr>
          <w:rFonts w:ascii="仿宋" w:hAnsi="仿宋" w:eastAsia="仿宋" w:cs="仿宋"/>
          <w:b/>
          <w:color w:val="auto"/>
          <w:sz w:val="24"/>
        </w:rPr>
      </w:pPr>
      <w:bookmarkStart w:id="472" w:name="_Ref467379852"/>
      <w:bookmarkStart w:id="473" w:name="_Toc279701248"/>
      <w:bookmarkStart w:id="474" w:name="_Ref467379923"/>
      <w:bookmarkStart w:id="475" w:name="_Toc487900358"/>
      <w:bookmarkStart w:id="476" w:name="_Ref467379863"/>
      <w:bookmarkStart w:id="477" w:name="_Toc259093677"/>
      <w:bookmarkStart w:id="478" w:name="_Toc3225"/>
      <w:bookmarkStart w:id="479" w:name="_Toc774"/>
      <w:bookmarkStart w:id="480" w:name="_Toc16110"/>
      <w:r>
        <w:rPr>
          <w:rFonts w:hint="eastAsia" w:ascii="仿宋" w:hAnsi="仿宋" w:eastAsia="仿宋" w:cs="仿宋"/>
          <w:b/>
          <w:color w:val="auto"/>
          <w:sz w:val="24"/>
        </w:rPr>
        <w:t>2.6 技术资料</w:t>
      </w:r>
      <w:bookmarkEnd w:id="472"/>
      <w:bookmarkEnd w:id="473"/>
      <w:bookmarkEnd w:id="474"/>
      <w:bookmarkEnd w:id="475"/>
      <w:bookmarkEnd w:id="476"/>
      <w:bookmarkEnd w:id="477"/>
      <w:r>
        <w:rPr>
          <w:rFonts w:hint="eastAsia" w:ascii="仿宋" w:hAnsi="仿宋" w:eastAsia="仿宋" w:cs="仿宋"/>
          <w:b/>
          <w:color w:val="auto"/>
          <w:sz w:val="24"/>
        </w:rPr>
        <w:t>和保密义务</w:t>
      </w:r>
      <w:bookmarkEnd w:id="478"/>
      <w:bookmarkEnd w:id="479"/>
      <w:bookmarkEnd w:id="48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rPr>
      </w:pPr>
      <w:bookmarkStart w:id="481" w:name="_Toc7860"/>
      <w:r>
        <w:rPr>
          <w:rFonts w:hint="eastAsia" w:ascii="仿宋" w:hAnsi="仿宋" w:eastAsia="仿宋" w:cs="仿宋"/>
          <w:b/>
          <w:color w:val="auto"/>
          <w:sz w:val="24"/>
        </w:rPr>
        <w:t>2.7 质量保证</w:t>
      </w:r>
      <w:bookmarkEnd w:id="481"/>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rPr>
      </w:pPr>
      <w:bookmarkStart w:id="482" w:name="_Toc17244"/>
      <w:bookmarkStart w:id="483" w:name="_Toc279701252"/>
      <w:bookmarkStart w:id="484" w:name="_Toc259093681"/>
      <w:bookmarkStart w:id="485" w:name="_Toc487900362"/>
      <w:r>
        <w:rPr>
          <w:rFonts w:hint="eastAsia" w:ascii="仿宋" w:hAnsi="仿宋" w:eastAsia="仿宋" w:cs="仿宋"/>
          <w:b/>
          <w:color w:val="auto"/>
          <w:sz w:val="24"/>
        </w:rPr>
        <w:t>2.8 货物的风险负担</w:t>
      </w:r>
      <w:bookmarkEnd w:id="482"/>
    </w:p>
    <w:p>
      <w:pPr>
        <w:spacing w:line="560" w:lineRule="exact"/>
        <w:ind w:firstLine="480" w:firstLineChars="200"/>
        <w:rPr>
          <w:rFonts w:ascii="仿宋" w:hAnsi="仿宋" w:eastAsia="仿宋" w:cs="仿宋"/>
          <w:b/>
          <w:color w:val="auto"/>
          <w:sz w:val="24"/>
        </w:rPr>
      </w:pPr>
      <w:r>
        <w:rPr>
          <w:rFonts w:hint="eastAsia" w:ascii="仿宋" w:hAnsi="仿宋" w:eastAsia="仿宋" w:cs="仿宋"/>
          <w:color w:val="auto"/>
          <w:sz w:val="24"/>
        </w:rPr>
        <w:t>货物或者在途货物或者交付给第一承运人后的货物毁损、灭失的风险负担详见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560" w:lineRule="exact"/>
        <w:ind w:firstLine="482" w:firstLineChars="200"/>
        <w:outlineLvl w:val="0"/>
        <w:rPr>
          <w:rFonts w:ascii="仿宋" w:hAnsi="仿宋" w:eastAsia="仿宋" w:cs="仿宋"/>
          <w:b/>
          <w:color w:val="auto"/>
          <w:sz w:val="24"/>
        </w:rPr>
      </w:pPr>
      <w:bookmarkStart w:id="486" w:name="_Toc14055"/>
      <w:r>
        <w:rPr>
          <w:rFonts w:hint="eastAsia" w:ascii="仿宋" w:hAnsi="仿宋" w:eastAsia="仿宋" w:cs="仿宋"/>
          <w:b/>
          <w:color w:val="auto"/>
          <w:sz w:val="24"/>
        </w:rPr>
        <w:t>2.9 延迟交货</w:t>
      </w:r>
      <w:bookmarkEnd w:id="483"/>
      <w:bookmarkEnd w:id="484"/>
      <w:bookmarkEnd w:id="485"/>
      <w:bookmarkEnd w:id="48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仿宋" w:hAnsi="仿宋" w:eastAsia="仿宋" w:cs="仿宋"/>
          <w:b/>
          <w:color w:val="auto"/>
          <w:sz w:val="24"/>
        </w:rPr>
      </w:pPr>
      <w:bookmarkStart w:id="487" w:name="_Toc7502"/>
      <w:bookmarkStart w:id="488" w:name="_Ref467378121"/>
      <w:bookmarkStart w:id="489" w:name="_Toc259093683"/>
      <w:bookmarkStart w:id="490" w:name="_Toc487900364"/>
      <w:bookmarkStart w:id="491" w:name="_Toc279701254"/>
      <w:r>
        <w:rPr>
          <w:rFonts w:hint="eastAsia" w:ascii="仿宋" w:hAnsi="仿宋" w:eastAsia="仿宋" w:cs="仿宋"/>
          <w:b/>
          <w:color w:val="auto"/>
          <w:sz w:val="24"/>
        </w:rPr>
        <w:t>2.10 合同变更</w:t>
      </w:r>
      <w:bookmarkEnd w:id="48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bookmarkStart w:id="492" w:name="_Toc279701259"/>
      <w:bookmarkStart w:id="493" w:name="_Toc259093688"/>
      <w:bookmarkStart w:id="494" w:name="_Toc487900369"/>
    </w:p>
    <w:p>
      <w:pPr>
        <w:spacing w:line="560" w:lineRule="exact"/>
        <w:ind w:firstLine="482" w:firstLineChars="200"/>
        <w:outlineLvl w:val="0"/>
        <w:rPr>
          <w:rFonts w:ascii="仿宋" w:hAnsi="仿宋" w:eastAsia="仿宋" w:cs="仿宋"/>
          <w:b/>
          <w:color w:val="auto"/>
          <w:sz w:val="24"/>
        </w:rPr>
      </w:pPr>
      <w:bookmarkStart w:id="495" w:name="_Toc15237"/>
      <w:bookmarkStart w:id="496" w:name="_Toc22955"/>
      <w:bookmarkStart w:id="497" w:name="_Toc10366"/>
      <w:r>
        <w:rPr>
          <w:rFonts w:hint="eastAsia" w:ascii="仿宋" w:hAnsi="仿宋" w:eastAsia="仿宋" w:cs="仿宋"/>
          <w:b/>
          <w:color w:val="auto"/>
          <w:sz w:val="24"/>
        </w:rPr>
        <w:t>2.11 合同转让</w:t>
      </w:r>
      <w:bookmarkEnd w:id="492"/>
      <w:bookmarkEnd w:id="493"/>
      <w:bookmarkEnd w:id="494"/>
      <w:r>
        <w:rPr>
          <w:rFonts w:hint="eastAsia" w:ascii="仿宋" w:hAnsi="仿宋" w:eastAsia="仿宋" w:cs="仿宋"/>
          <w:b/>
          <w:color w:val="auto"/>
          <w:sz w:val="24"/>
        </w:rPr>
        <w:t>和分包</w:t>
      </w:r>
      <w:bookmarkEnd w:id="495"/>
      <w:bookmarkEnd w:id="496"/>
      <w:bookmarkEnd w:id="497"/>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2.11.1合同的权利义务依法不得转让，本项目不同意分包。</w:t>
      </w:r>
    </w:p>
    <w:p>
      <w:pPr>
        <w:spacing w:line="560" w:lineRule="exact"/>
        <w:ind w:firstLine="482" w:firstLineChars="200"/>
        <w:outlineLvl w:val="0"/>
        <w:rPr>
          <w:rFonts w:ascii="仿宋" w:hAnsi="仿宋" w:eastAsia="仿宋" w:cs="仿宋"/>
          <w:b/>
          <w:color w:val="auto"/>
          <w:sz w:val="24"/>
        </w:rPr>
      </w:pPr>
      <w:bookmarkStart w:id="498" w:name="_Toc14066"/>
      <w:bookmarkStart w:id="499" w:name="_Toc13566"/>
      <w:bookmarkStart w:id="500" w:name="_Toc16508"/>
      <w:r>
        <w:rPr>
          <w:rFonts w:hint="eastAsia" w:ascii="仿宋" w:hAnsi="仿宋" w:eastAsia="仿宋" w:cs="仿宋"/>
          <w:b/>
          <w:color w:val="auto"/>
          <w:sz w:val="24"/>
        </w:rPr>
        <w:t>2.12 不可抗力</w:t>
      </w:r>
      <w:bookmarkEnd w:id="498"/>
      <w:bookmarkEnd w:id="499"/>
      <w:bookmarkEnd w:id="50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2.12.2 因不可抗力致使不能实现合同目的的，当事人可以解除合同；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2.12.4受不可抗力影响的一方在不可抗力发生后，应在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rPr>
      </w:pPr>
      <w:bookmarkStart w:id="501" w:name="_Toc487900365"/>
      <w:bookmarkStart w:id="502" w:name="_Toc689"/>
      <w:bookmarkStart w:id="503" w:name="_Toc30676"/>
      <w:bookmarkStart w:id="504" w:name="_Toc6969"/>
      <w:bookmarkStart w:id="505" w:name="_Toc279701255"/>
      <w:bookmarkStart w:id="506" w:name="_Toc259093684"/>
      <w:r>
        <w:rPr>
          <w:rFonts w:hint="eastAsia" w:ascii="仿宋" w:hAnsi="仿宋" w:eastAsia="仿宋" w:cs="仿宋"/>
          <w:b/>
          <w:color w:val="auto"/>
          <w:sz w:val="24"/>
        </w:rPr>
        <w:t>2.13 税费</w:t>
      </w:r>
      <w:bookmarkEnd w:id="501"/>
      <w:bookmarkEnd w:id="502"/>
      <w:bookmarkEnd w:id="503"/>
      <w:bookmarkEnd w:id="504"/>
      <w:bookmarkEnd w:id="505"/>
      <w:bookmarkEnd w:id="506"/>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w:t>
      </w:r>
    </w:p>
    <w:p>
      <w:pPr>
        <w:spacing w:line="560" w:lineRule="exact"/>
        <w:ind w:firstLine="482" w:firstLineChars="200"/>
        <w:outlineLvl w:val="0"/>
        <w:rPr>
          <w:rFonts w:ascii="仿宋" w:hAnsi="仿宋" w:eastAsia="仿宋" w:cs="仿宋"/>
          <w:b/>
          <w:color w:val="auto"/>
          <w:sz w:val="24"/>
        </w:rPr>
      </w:pPr>
      <w:bookmarkStart w:id="507" w:name="_Toc7102"/>
      <w:bookmarkStart w:id="508" w:name="_Toc279701258"/>
      <w:bookmarkStart w:id="509" w:name="_Toc259093687"/>
      <w:bookmarkStart w:id="510" w:name="_Toc487900368"/>
      <w:bookmarkStart w:id="511" w:name="_Toc16959"/>
      <w:bookmarkStart w:id="512" w:name="_Toc8298"/>
      <w:r>
        <w:rPr>
          <w:rFonts w:hint="eastAsia" w:ascii="仿宋" w:hAnsi="仿宋" w:eastAsia="仿宋" w:cs="仿宋"/>
          <w:b/>
          <w:color w:val="auto"/>
          <w:sz w:val="24"/>
        </w:rPr>
        <w:t>2.14乙方破产</w:t>
      </w:r>
      <w:bookmarkEnd w:id="507"/>
      <w:bookmarkEnd w:id="508"/>
      <w:bookmarkEnd w:id="509"/>
      <w:bookmarkEnd w:id="510"/>
      <w:bookmarkEnd w:id="511"/>
      <w:bookmarkEnd w:id="512"/>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rPr>
      </w:pPr>
      <w:bookmarkStart w:id="513" w:name="_Toc6134"/>
      <w:bookmarkStart w:id="514" w:name="_Toc15387"/>
      <w:bookmarkStart w:id="515" w:name="_Toc29333"/>
      <w:r>
        <w:rPr>
          <w:rFonts w:hint="eastAsia" w:ascii="仿宋" w:hAnsi="仿宋" w:eastAsia="仿宋" w:cs="仿宋"/>
          <w:b/>
          <w:color w:val="auto"/>
          <w:sz w:val="24"/>
        </w:rPr>
        <w:t>2.15 合同中止、终止</w:t>
      </w:r>
      <w:bookmarkEnd w:id="513"/>
      <w:bookmarkEnd w:id="514"/>
      <w:bookmarkEnd w:id="515"/>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2.15.1 双方当事人不得擅自中止或者终止合同；</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rPr>
      </w:pPr>
      <w:bookmarkStart w:id="516" w:name="_Toc1125"/>
      <w:bookmarkStart w:id="517" w:name="_Toc14563"/>
      <w:bookmarkStart w:id="518" w:name="_Toc6596"/>
      <w:r>
        <w:rPr>
          <w:rFonts w:hint="eastAsia" w:ascii="仿宋" w:hAnsi="仿宋" w:eastAsia="仿宋" w:cs="仿宋"/>
          <w:b/>
          <w:color w:val="auto"/>
          <w:sz w:val="24"/>
        </w:rPr>
        <w:t>2.16检验和验收</w:t>
      </w:r>
      <w:bookmarkEnd w:id="516"/>
      <w:bookmarkEnd w:id="517"/>
      <w:bookmarkEnd w:id="518"/>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2.16.3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bookmarkEnd w:id="488"/>
    <w:bookmarkEnd w:id="489"/>
    <w:bookmarkEnd w:id="490"/>
    <w:bookmarkEnd w:id="491"/>
    <w:p>
      <w:pPr>
        <w:spacing w:line="560" w:lineRule="exact"/>
        <w:ind w:firstLine="482" w:firstLineChars="200"/>
        <w:outlineLvl w:val="0"/>
        <w:rPr>
          <w:rFonts w:ascii="仿宋" w:hAnsi="仿宋" w:eastAsia="仿宋" w:cs="仿宋"/>
          <w:b/>
          <w:color w:val="auto"/>
          <w:sz w:val="24"/>
        </w:rPr>
      </w:pPr>
      <w:bookmarkStart w:id="519" w:name="_Toc279701261"/>
      <w:bookmarkStart w:id="520" w:name="_Toc259093690"/>
      <w:bookmarkStart w:id="521" w:name="_Toc487900371"/>
      <w:bookmarkStart w:id="522" w:name="_Toc25182"/>
      <w:bookmarkStart w:id="523" w:name="_Toc11284"/>
      <w:bookmarkStart w:id="524" w:name="_Toc19604"/>
      <w:r>
        <w:rPr>
          <w:rFonts w:hint="eastAsia" w:ascii="仿宋" w:hAnsi="仿宋" w:eastAsia="仿宋" w:cs="仿宋"/>
          <w:b/>
          <w:color w:val="auto"/>
          <w:sz w:val="24"/>
        </w:rPr>
        <w:t>2.17 通知</w:t>
      </w:r>
      <w:bookmarkEnd w:id="519"/>
      <w:bookmarkEnd w:id="520"/>
      <w:bookmarkEnd w:id="521"/>
      <w:r>
        <w:rPr>
          <w:rFonts w:hint="eastAsia" w:ascii="仿宋" w:hAnsi="仿宋" w:eastAsia="仿宋" w:cs="仿宋"/>
          <w:b/>
          <w:color w:val="auto"/>
          <w:sz w:val="24"/>
        </w:rPr>
        <w:t>和送达</w:t>
      </w:r>
      <w:bookmarkEnd w:id="522"/>
      <w:bookmarkEnd w:id="523"/>
      <w:bookmarkEnd w:id="524"/>
    </w:p>
    <w:p>
      <w:pPr>
        <w:spacing w:line="560" w:lineRule="exact"/>
        <w:ind w:firstLine="480" w:firstLineChars="200"/>
        <w:rPr>
          <w:rFonts w:ascii="仿宋" w:hAnsi="仿宋" w:eastAsia="仿宋" w:cs="仿宋"/>
          <w:color w:val="auto"/>
          <w:sz w:val="24"/>
        </w:rPr>
      </w:pPr>
      <w:bookmarkStart w:id="525" w:name="_Toc3135"/>
      <w:bookmarkStart w:id="526" w:name="_Toc6698"/>
      <w:bookmarkStart w:id="527" w:name="_Toc487900372"/>
      <w:bookmarkStart w:id="528" w:name="_Toc279701262"/>
      <w:bookmarkStart w:id="529" w:name="_Toc259093691"/>
      <w:r>
        <w:rPr>
          <w:rFonts w:hint="eastAsia" w:ascii="仿宋" w:hAnsi="仿宋" w:eastAsia="仿宋" w:cs="仿宋"/>
          <w:color w:val="auto"/>
          <w:sz w:val="24"/>
        </w:rPr>
        <w:t>2.17.1任何一方因履行合同而以合同第一部分尾部所列明的传真或电子邮件 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bookmarkEnd w:id="525"/>
      <w:bookmarkEnd w:id="526"/>
    </w:p>
    <w:p>
      <w:pPr>
        <w:spacing w:line="560" w:lineRule="exact"/>
        <w:ind w:firstLine="480" w:firstLineChars="200"/>
        <w:rPr>
          <w:rFonts w:ascii="仿宋" w:hAnsi="仿宋" w:eastAsia="仿宋" w:cs="仿宋"/>
          <w:color w:val="auto"/>
          <w:sz w:val="24"/>
        </w:rPr>
      </w:pPr>
      <w:bookmarkStart w:id="530" w:name="_Toc23294"/>
      <w:bookmarkStart w:id="531" w:name="_Toc23128"/>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spacing w:line="560" w:lineRule="exact"/>
        <w:ind w:firstLine="482" w:firstLineChars="200"/>
        <w:outlineLvl w:val="0"/>
        <w:rPr>
          <w:rFonts w:ascii="仿宋" w:hAnsi="仿宋" w:eastAsia="仿宋" w:cs="仿宋"/>
          <w:b/>
          <w:color w:val="auto"/>
          <w:sz w:val="24"/>
        </w:rPr>
      </w:pPr>
      <w:bookmarkStart w:id="532" w:name="_Toc18540"/>
      <w:bookmarkStart w:id="533" w:name="_Toc4355"/>
      <w:bookmarkStart w:id="534" w:name="_Toc30599"/>
      <w:r>
        <w:rPr>
          <w:rFonts w:hint="eastAsia" w:ascii="仿宋" w:hAnsi="仿宋" w:eastAsia="仿宋" w:cs="仿宋"/>
          <w:b/>
          <w:color w:val="auto"/>
          <w:sz w:val="24"/>
        </w:rPr>
        <w:t>2.18 计量单位</w:t>
      </w:r>
      <w:bookmarkEnd w:id="527"/>
      <w:bookmarkEnd w:id="528"/>
      <w:bookmarkEnd w:id="529"/>
      <w:bookmarkEnd w:id="532"/>
      <w:bookmarkEnd w:id="533"/>
      <w:bookmarkEnd w:id="534"/>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560" w:lineRule="exact"/>
        <w:ind w:firstLine="482" w:firstLineChars="200"/>
        <w:outlineLvl w:val="0"/>
        <w:rPr>
          <w:rFonts w:ascii="仿宋" w:hAnsi="仿宋" w:eastAsia="仿宋" w:cs="仿宋"/>
          <w:b/>
          <w:color w:val="auto"/>
          <w:sz w:val="24"/>
        </w:rPr>
      </w:pPr>
      <w:bookmarkStart w:id="535" w:name="_Toc279701263"/>
      <w:bookmarkStart w:id="536" w:name="_Toc10330"/>
      <w:bookmarkStart w:id="537" w:name="_Toc12773"/>
      <w:bookmarkStart w:id="538" w:name="_Toc259093692"/>
      <w:bookmarkStart w:id="539" w:name="_Toc18567"/>
      <w:bookmarkStart w:id="540" w:name="_Toc487900373"/>
      <w:r>
        <w:rPr>
          <w:rFonts w:hint="eastAsia" w:ascii="仿宋" w:hAnsi="仿宋" w:eastAsia="仿宋" w:cs="仿宋"/>
          <w:b/>
          <w:color w:val="auto"/>
          <w:sz w:val="24"/>
        </w:rPr>
        <w:t>2.19 合同使用的文字和适用的法律</w:t>
      </w:r>
      <w:bookmarkEnd w:id="535"/>
      <w:bookmarkEnd w:id="536"/>
      <w:bookmarkEnd w:id="537"/>
      <w:bookmarkEnd w:id="538"/>
      <w:bookmarkEnd w:id="539"/>
      <w:bookmarkEnd w:id="540"/>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2.19.1 合同使用汉语书就、变更和解释；</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2.19.2 合同适用中华人民共和国法律。</w:t>
      </w:r>
    </w:p>
    <w:p>
      <w:pPr>
        <w:spacing w:line="560" w:lineRule="exact"/>
        <w:ind w:firstLine="482" w:firstLineChars="200"/>
        <w:outlineLvl w:val="0"/>
        <w:rPr>
          <w:rFonts w:ascii="仿宋" w:hAnsi="仿宋" w:eastAsia="仿宋" w:cs="仿宋"/>
          <w:b/>
          <w:color w:val="auto"/>
          <w:sz w:val="24"/>
        </w:rPr>
      </w:pPr>
      <w:bookmarkStart w:id="541" w:name="_Toc259093693"/>
      <w:bookmarkStart w:id="542" w:name="_Toc3148"/>
      <w:bookmarkStart w:id="543" w:name="_Toc12004"/>
      <w:bookmarkStart w:id="544" w:name="_Toc279701264"/>
      <w:bookmarkStart w:id="545" w:name="_Toc16673"/>
      <w:bookmarkStart w:id="546" w:name="_Toc487900374"/>
      <w:r>
        <w:rPr>
          <w:rFonts w:hint="eastAsia" w:ascii="仿宋" w:hAnsi="仿宋" w:eastAsia="仿宋" w:cs="仿宋"/>
          <w:b/>
          <w:color w:val="auto"/>
          <w:sz w:val="24"/>
        </w:rPr>
        <w:t>2.20 履约保证金</w:t>
      </w:r>
      <w:bookmarkEnd w:id="541"/>
      <w:bookmarkEnd w:id="542"/>
      <w:bookmarkEnd w:id="543"/>
      <w:bookmarkEnd w:id="544"/>
      <w:bookmarkEnd w:id="545"/>
    </w:p>
    <w:p>
      <w:pPr>
        <w:pStyle w:val="957"/>
        <w:spacing w:before="0" w:beforeAutospacing="0" w:after="0" w:afterAutospacing="0" w:line="360" w:lineRule="auto"/>
        <w:ind w:firstLine="420"/>
        <w:rPr>
          <w:rFonts w:ascii="仿宋" w:hAnsi="仿宋" w:eastAsia="仿宋" w:cs="仿宋"/>
          <w:color w:val="auto"/>
        </w:rPr>
      </w:pPr>
      <w:r>
        <w:rPr>
          <w:rFonts w:hint="eastAsia" w:ascii="仿宋" w:hAnsi="仿宋" w:eastAsia="仿宋" w:cs="仿宋"/>
          <w:color w:val="auto"/>
        </w:rPr>
        <w:t>2.20.1 采购文件要求乙方提交履约保证金的，乙方应按</w:t>
      </w:r>
      <w:r>
        <w:rPr>
          <w:rFonts w:hint="eastAsia" w:ascii="仿宋" w:hAnsi="仿宋" w:eastAsia="仿宋" w:cs="仿宋"/>
          <w:b/>
          <w:i/>
          <w:color w:val="auto"/>
          <w:u w:val="single"/>
        </w:rPr>
        <w:t>合同专用条款</w:t>
      </w:r>
      <w:r>
        <w:rPr>
          <w:rFonts w:hint="eastAsia" w:ascii="仿宋" w:hAnsi="仿宋" w:eastAsia="仿宋" w:cs="仿宋"/>
          <w:color w:val="auto"/>
        </w:rPr>
        <w:t>约定的方式，以支票、汇票、本票或者金融机构、担保机构出具的保函等非现金形式，提交不超过合同金额2.5%的履约保证金；鼓励和支持乙方以银行、保险公司出具的保函形式提供履约保证。</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2.20.2  履约保证金在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约定期间内不予退还。乙方在前述约定期间届满前能履行完合同约定义务事项的，甲方在前述约定期间届满之日起</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约定的方式将履约保证金退还乙方，逾期退还的，乙方可要求甲方支付违约金，违约金按每迟延退还一日的应退还而未退还金额的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%计算，最高限额为本合同履约保证金的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 xml:space="preserve">%； </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2.20.4甲方在乙方履行完合同约定义务事项后及时退还，延迟退还的，应当按照合同约定和法律规定承担相应的赔偿责任。</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2.21对于因甲方原因导致变更、中止或者终止政府采购合同的，甲方应当依照合同约定对供应商受到的损失予以赔偿或者补偿。</w:t>
      </w:r>
    </w:p>
    <w:bookmarkEnd w:id="546"/>
    <w:p>
      <w:pPr>
        <w:spacing w:line="560" w:lineRule="exact"/>
        <w:ind w:firstLine="482" w:firstLineChars="200"/>
        <w:outlineLvl w:val="0"/>
        <w:rPr>
          <w:rFonts w:ascii="仿宋" w:hAnsi="仿宋" w:eastAsia="仿宋" w:cs="仿宋"/>
          <w:b/>
          <w:color w:val="auto"/>
          <w:sz w:val="24"/>
        </w:rPr>
      </w:pPr>
      <w:bookmarkStart w:id="547" w:name="_Toc19890"/>
      <w:bookmarkStart w:id="548" w:name="_Toc6885"/>
      <w:bookmarkStart w:id="549" w:name="_Toc14001"/>
      <w:r>
        <w:rPr>
          <w:rFonts w:hint="eastAsia" w:ascii="仿宋" w:hAnsi="仿宋" w:eastAsia="仿宋" w:cs="仿宋"/>
          <w:b/>
          <w:color w:val="auto"/>
          <w:sz w:val="24"/>
        </w:rPr>
        <w:t>2.22合同份数</w:t>
      </w:r>
      <w:bookmarkEnd w:id="547"/>
      <w:bookmarkEnd w:id="548"/>
      <w:bookmarkEnd w:id="549"/>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pStyle w:val="699"/>
        <w:spacing w:line="560" w:lineRule="exact"/>
        <w:ind w:firstLine="0" w:firstLineChars="0"/>
        <w:jc w:val="center"/>
        <w:rPr>
          <w:rFonts w:ascii="仿宋" w:hAnsi="仿宋" w:eastAsia="仿宋" w:cs="仿宋"/>
          <w:b/>
          <w:color w:val="auto"/>
          <w:szCs w:val="24"/>
        </w:rPr>
      </w:pPr>
      <w:bookmarkStart w:id="550" w:name="_Toc331685784"/>
      <w:bookmarkEnd w:id="550"/>
    </w:p>
    <w:p>
      <w:pPr>
        <w:pStyle w:val="699"/>
        <w:spacing w:line="560" w:lineRule="exact"/>
        <w:ind w:firstLine="0" w:firstLineChars="0"/>
        <w:jc w:val="center"/>
        <w:rPr>
          <w:rFonts w:ascii="仿宋" w:hAnsi="仿宋" w:eastAsia="仿宋" w:cs="仿宋"/>
          <w:b/>
          <w:color w:val="auto"/>
          <w:szCs w:val="24"/>
        </w:rPr>
      </w:pPr>
      <w:r>
        <w:rPr>
          <w:rFonts w:hint="eastAsia" w:ascii="仿宋" w:hAnsi="仿宋" w:eastAsia="仿宋" w:cs="仿宋"/>
          <w:b/>
          <w:color w:val="auto"/>
          <w:szCs w:val="24"/>
        </w:rPr>
        <w:t>第三部分  合同专用条款</w:t>
      </w:r>
    </w:p>
    <w:p>
      <w:pPr>
        <w:spacing w:line="560" w:lineRule="exact"/>
        <w:ind w:left="-420" w:leftChars="-200" w:right="-420" w:rightChars="-200" w:firstLine="480" w:firstLineChars="200"/>
        <w:rPr>
          <w:rFonts w:ascii="仿宋" w:hAnsi="仿宋" w:eastAsia="仿宋" w:cs="仿宋"/>
          <w:color w:val="auto"/>
          <w:sz w:val="24"/>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条款号</w:t>
            </w:r>
          </w:p>
        </w:tc>
        <w:tc>
          <w:tcPr>
            <w:tcW w:w="8275"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1.4.4</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签订合同七日内支付合同价的30%项目款，完成森林古道资源普查相关工作且规划编制项目初稿形成后，经甲方初验后支付合同总价款的40%；完成成果修改形成最终送审稿，根据验收组的验收意见，形成最终稿后三十日内一次性支付合同总价款的30%编制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1.5.1 </w:t>
            </w:r>
          </w:p>
        </w:tc>
        <w:tc>
          <w:tcPr>
            <w:tcW w:w="8275" w:type="dxa"/>
            <w:vAlign w:val="center"/>
          </w:tcPr>
          <w:p>
            <w:pPr>
              <w:snapToGrid w:val="0"/>
              <w:spacing w:line="360" w:lineRule="auto"/>
              <w:rPr>
                <w:rFonts w:ascii="仿宋" w:hAnsi="仿宋" w:eastAsia="仿宋" w:cs="仿宋"/>
                <w:color w:val="auto"/>
                <w:sz w:val="24"/>
              </w:rPr>
            </w:pPr>
            <w:r>
              <w:rPr>
                <w:rFonts w:hint="eastAsia" w:ascii="仿宋" w:hAnsi="仿宋" w:eastAsia="仿宋" w:cs="仿宋"/>
                <w:color w:val="auto"/>
                <w:sz w:val="24"/>
              </w:rPr>
              <w:t>（1）项目进度安排：2022年8月31日前完成森林古道资源普查外业工作；9月30日前完成规划编制工作，形成《建德市森林古道保护与利用建设规划》（初稿）；10月中旬前完成浙江林业数字系统数字古道板块有关材料报送工作；10月31日前完成规划意见征求、修改完善、评审工作，形成《建德市森林古道保护与利用建设规划》（成果稿）。</w:t>
            </w:r>
          </w:p>
          <w:p>
            <w:pPr>
              <w:spacing w:line="360" w:lineRule="auto"/>
              <w:rPr>
                <w:rFonts w:ascii="仿宋" w:hAnsi="仿宋" w:eastAsia="仿宋" w:cs="仿宋"/>
                <w:color w:val="auto"/>
                <w:sz w:val="24"/>
              </w:rPr>
            </w:pPr>
            <w:r>
              <w:rPr>
                <w:rFonts w:hint="eastAsia" w:ascii="仿宋" w:hAnsi="仿宋" w:eastAsia="仿宋" w:cs="仿宋"/>
                <w:color w:val="auto"/>
                <w:sz w:val="24"/>
              </w:rPr>
              <w:t>（2）成果交付期限：2022年10月31日前交付成果。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1.5.2</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建德市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1.5.3 </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1.6.7</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1.7.2  </w:t>
            </w:r>
            <w:r>
              <w:rPr>
                <w:rFonts w:hint="eastAsia" w:ascii="仿宋" w:hAnsi="仿宋" w:eastAsia="仿宋" w:cs="仿宋"/>
                <w:color w:val="auto"/>
                <w:sz w:val="24"/>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1.7.1</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1.7.2</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向</w:t>
            </w:r>
            <w:r>
              <w:rPr>
                <w:rFonts w:hint="eastAsia" w:ascii="仿宋" w:hAnsi="仿宋" w:eastAsia="仿宋" w:cs="仿宋"/>
                <w:b/>
                <w:i/>
                <w:color w:val="auto"/>
                <w:sz w:val="24"/>
                <w:u w:val="single"/>
              </w:rPr>
              <w:t>建德市</w:t>
            </w:r>
            <w:r>
              <w:rPr>
                <w:rFonts w:hint="eastAsia" w:ascii="仿宋" w:hAnsi="仿宋" w:eastAsia="仿宋" w:cs="仿宋"/>
                <w:color w:val="auto"/>
                <w:sz w:val="24"/>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2.3.2</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rPr>
            </w:pPr>
            <w:r>
              <w:rPr>
                <w:rFonts w:hint="eastAsia" w:ascii="仿宋" w:hAnsi="仿宋" w:eastAsia="仿宋" w:cs="仿宋"/>
                <w:color w:val="auto"/>
                <w:sz w:val="24"/>
              </w:rPr>
              <w:t>具有知识产权的计算机软件等货物的知识产权归属：</w:t>
            </w:r>
            <w:r>
              <w:rPr>
                <w:rFonts w:hint="eastAsia" w:ascii="仿宋" w:hAnsi="仿宋" w:eastAsia="仿宋" w:cs="仿宋"/>
                <w:b/>
                <w:bCs/>
                <w:color w:val="auto"/>
                <w:sz w:val="24"/>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2.4.1</w:t>
            </w:r>
          </w:p>
        </w:tc>
        <w:tc>
          <w:tcPr>
            <w:tcW w:w="8275" w:type="dxa"/>
            <w:vAlign w:val="center"/>
          </w:tcPr>
          <w:p>
            <w:pPr>
              <w:spacing w:line="360" w:lineRule="auto"/>
              <w:ind w:left="-420" w:leftChars="-200" w:right="-420" w:rightChars="-200" w:firstLine="480" w:firstLineChars="200"/>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2.4.2</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2.8 </w:t>
            </w:r>
          </w:p>
        </w:tc>
        <w:tc>
          <w:tcPr>
            <w:tcW w:w="8275" w:type="dxa"/>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2.12.3</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因不可抗力致使合同有变更必要的，双方当事人应在</w:t>
            </w:r>
            <w:r>
              <w:rPr>
                <w:rFonts w:hint="eastAsia" w:ascii="仿宋" w:hAnsi="仿宋" w:eastAsia="仿宋" w:cs="仿宋"/>
                <w:b/>
                <w:i/>
                <w:color w:val="auto"/>
                <w:sz w:val="24"/>
                <w:u w:val="single"/>
              </w:rPr>
              <w:t>30日</w:t>
            </w:r>
            <w:r>
              <w:rPr>
                <w:rFonts w:hint="eastAsia" w:ascii="仿宋" w:hAnsi="仿宋" w:eastAsia="仿宋" w:cs="仿宋"/>
                <w:color w:val="auto"/>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2.12.4</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受不可抗力影响的一方在不可抗力发生后，应在</w:t>
            </w:r>
            <w:r>
              <w:rPr>
                <w:rFonts w:hint="eastAsia" w:ascii="仿宋" w:hAnsi="仿宋" w:eastAsia="仿宋" w:cs="仿宋"/>
                <w:b/>
                <w:i/>
                <w:color w:val="auto"/>
                <w:sz w:val="24"/>
                <w:u w:val="single"/>
              </w:rPr>
              <w:t>7日</w:t>
            </w:r>
            <w:r>
              <w:rPr>
                <w:rFonts w:hint="eastAsia" w:ascii="仿宋" w:hAnsi="仿宋" w:eastAsia="仿宋" w:cs="仿宋"/>
                <w:color w:val="auto"/>
                <w:sz w:val="24"/>
              </w:rPr>
              <w:t>内以书面形式通知对方当事人，并在</w:t>
            </w:r>
            <w:r>
              <w:rPr>
                <w:rFonts w:hint="eastAsia" w:ascii="仿宋" w:hAnsi="仿宋" w:eastAsia="仿宋" w:cs="仿宋"/>
                <w:b/>
                <w:i/>
                <w:color w:val="auto"/>
                <w:sz w:val="24"/>
                <w:u w:val="single"/>
              </w:rPr>
              <w:t>14日</w:t>
            </w:r>
            <w:r>
              <w:rPr>
                <w:rFonts w:hint="eastAsia" w:ascii="仿宋" w:hAnsi="仿宋" w:eastAsia="仿宋" w:cs="仿宋"/>
                <w:color w:val="auto"/>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2.16.1</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olor w:val="auto"/>
                <w:sz w:val="24"/>
              </w:rPr>
              <w:t>甲方组织相关人员按照相关标准进行验收。若因质量问题导致验收不合格，乙方应及时予以处理，直至验收合格，期间发生的一切相关费用由乙方承担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2.16.3</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检验和验收标准、程序等具体内容：甲方对普查成果进行验收，根据验收报告支付相应合同款。若因质量问题导致验收不合格，乙方应及时予以处理，直至验收合格，期间发生的一切相关费用由乙方承担。验收合格后，出具验收报告并在《建德市政府采购验收反馈表》上签署意见并加盖单位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仿宋" w:hAnsi="仿宋" w:eastAsia="仿宋" w:cs="仿宋"/>
                <w:color w:val="auto"/>
                <w:sz w:val="24"/>
              </w:rPr>
            </w:pPr>
            <w:r>
              <w:rPr>
                <w:rFonts w:hint="eastAsia" w:ascii="仿宋" w:hAnsi="仿宋" w:eastAsia="仿宋" w:cs="仿宋"/>
                <w:color w:val="auto"/>
                <w:sz w:val="24"/>
              </w:rPr>
              <w:t>2.20.1</w:t>
            </w:r>
          </w:p>
        </w:tc>
        <w:tc>
          <w:tcPr>
            <w:tcW w:w="8275" w:type="dxa"/>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 xml:space="preserve">2.20.2 </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仿宋" w:hAnsi="仿宋" w:eastAsia="仿宋" w:cs="仿宋"/>
                <w:color w:val="auto"/>
                <w:sz w:val="24"/>
              </w:rPr>
            </w:pPr>
            <w:r>
              <w:rPr>
                <w:rFonts w:hint="eastAsia" w:ascii="仿宋" w:hAnsi="仿宋" w:eastAsia="仿宋" w:cs="仿宋"/>
                <w:color w:val="auto"/>
                <w:sz w:val="24"/>
              </w:rPr>
              <w:t xml:space="preserve">2.22 </w:t>
            </w:r>
          </w:p>
        </w:tc>
        <w:tc>
          <w:tcPr>
            <w:tcW w:w="8275"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合同份数：</w:t>
            </w:r>
            <w:r>
              <w:rPr>
                <w:rFonts w:hint="eastAsia" w:ascii="仿宋" w:hAnsi="仿宋" w:eastAsia="仿宋" w:cs="仿宋"/>
                <w:color w:val="auto"/>
                <w:kern w:val="0"/>
                <w:sz w:val="24"/>
              </w:rPr>
              <w:t>本合同一式伍份，甲、乙双方各执贰份，采购代理机构壹份。</w:t>
            </w:r>
          </w:p>
        </w:tc>
      </w:tr>
    </w:tbl>
    <w:p>
      <w:pPr>
        <w:spacing w:line="360" w:lineRule="auto"/>
        <w:ind w:left="-420" w:leftChars="-200" w:right="-420" w:rightChars="-200" w:firstLine="480" w:firstLineChars="200"/>
        <w:rPr>
          <w:rFonts w:ascii="仿宋" w:hAnsi="仿宋" w:eastAsia="仿宋" w:cs="仿宋"/>
          <w:color w:val="auto"/>
          <w:sz w:val="24"/>
        </w:rPr>
      </w:pPr>
    </w:p>
    <w:p>
      <w:pPr>
        <w:spacing w:line="360" w:lineRule="auto"/>
        <w:ind w:left="-420" w:leftChars="-200" w:right="-420" w:rightChars="-200"/>
        <w:rPr>
          <w:rFonts w:ascii="仿宋" w:hAnsi="仿宋" w:eastAsia="仿宋" w:cs="仿宋"/>
          <w:color w:val="auto"/>
          <w:sz w:val="24"/>
        </w:rPr>
      </w:pPr>
    </w:p>
    <w:p>
      <w:pPr>
        <w:spacing w:line="360" w:lineRule="auto"/>
        <w:ind w:left="-420" w:leftChars="-200" w:right="-420" w:rightChars="-200" w:firstLine="480" w:firstLineChars="200"/>
        <w:jc w:val="center"/>
        <w:outlineLvl w:val="0"/>
        <w:rPr>
          <w:rFonts w:ascii="仿宋" w:hAnsi="仿宋" w:eastAsia="仿宋" w:cs="仿宋"/>
          <w:color w:val="auto"/>
          <w:sz w:val="24"/>
        </w:rPr>
      </w:pPr>
    </w:p>
    <w:p>
      <w:pPr>
        <w:spacing w:line="360" w:lineRule="auto"/>
        <w:ind w:left="-420" w:leftChars="-200" w:right="-420" w:rightChars="-200" w:firstLine="480" w:firstLineChars="200"/>
        <w:jc w:val="center"/>
        <w:outlineLvl w:val="0"/>
        <w:rPr>
          <w:rFonts w:ascii="仿宋" w:hAnsi="仿宋" w:eastAsia="仿宋" w:cs="仿宋"/>
          <w:color w:val="auto"/>
          <w:sz w:val="24"/>
        </w:rPr>
      </w:pPr>
    </w:p>
    <w:p>
      <w:pPr>
        <w:spacing w:line="360" w:lineRule="auto"/>
        <w:jc w:val="center"/>
        <w:outlineLvl w:val="0"/>
        <w:rPr>
          <w:rFonts w:ascii="仿宋" w:hAnsi="仿宋" w:eastAsia="仿宋" w:cs="仿宋"/>
          <w:b/>
          <w:color w:val="auto"/>
          <w:sz w:val="36"/>
          <w:szCs w:val="20"/>
        </w:rPr>
      </w:pPr>
    </w:p>
    <w:p>
      <w:pPr>
        <w:pStyle w:val="6"/>
        <w:rPr>
          <w:rFonts w:ascii="仿宋" w:hAnsi="仿宋" w:eastAsia="仿宋" w:cs="仿宋"/>
          <w:color w:val="auto"/>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spacing w:line="360" w:lineRule="auto"/>
        <w:jc w:val="center"/>
        <w:outlineLvl w:val="0"/>
        <w:rPr>
          <w:rFonts w:ascii="仿宋" w:hAnsi="仿宋" w:eastAsia="仿宋" w:cs="仿宋"/>
          <w:b/>
          <w:color w:val="auto"/>
          <w:sz w:val="36"/>
          <w:szCs w:val="20"/>
        </w:rPr>
      </w:pPr>
    </w:p>
    <w:p>
      <w:pPr>
        <w:pStyle w:val="6"/>
        <w:rPr>
          <w:color w:val="auto"/>
        </w:rPr>
      </w:pPr>
    </w:p>
    <w:p>
      <w:pPr>
        <w:pStyle w:val="5"/>
        <w:rPr>
          <w:color w:val="auto"/>
        </w:rPr>
      </w:pPr>
    </w:p>
    <w:p>
      <w:pPr>
        <w:pStyle w:val="6"/>
        <w:rPr>
          <w:color w:val="auto"/>
        </w:rPr>
      </w:pPr>
    </w:p>
    <w:p>
      <w:pPr>
        <w:spacing w:line="360" w:lineRule="auto"/>
        <w:jc w:val="center"/>
        <w:outlineLvl w:val="0"/>
        <w:rPr>
          <w:rFonts w:ascii="仿宋" w:hAnsi="仿宋" w:eastAsia="仿宋" w:cs="仿宋"/>
          <w:b/>
          <w:color w:val="auto"/>
          <w:sz w:val="36"/>
          <w:szCs w:val="20"/>
        </w:rPr>
      </w:pPr>
      <w:r>
        <w:rPr>
          <w:rFonts w:hint="eastAsia" w:eastAsia="仿宋"/>
          <w:color w:val="auto"/>
        </w:rPr>
        <w:t>、</w:t>
      </w:r>
      <w:r>
        <w:rPr>
          <w:rFonts w:hint="eastAsia" w:ascii="仿宋" w:hAnsi="仿宋" w:eastAsia="仿宋" w:cs="仿宋"/>
          <w:b/>
          <w:color w:val="auto"/>
          <w:sz w:val="36"/>
          <w:szCs w:val="20"/>
        </w:rPr>
        <w:t>第六部分</w:t>
      </w:r>
      <w:bookmarkEnd w:id="392"/>
      <w:bookmarkEnd w:id="393"/>
      <w:r>
        <w:rPr>
          <w:rFonts w:hint="eastAsia" w:ascii="仿宋" w:hAnsi="仿宋" w:eastAsia="仿宋" w:cs="仿宋"/>
          <w:b/>
          <w:color w:val="auto"/>
          <w:sz w:val="36"/>
          <w:szCs w:val="20"/>
        </w:rPr>
        <w:t>应提交的有关格式范例</w:t>
      </w:r>
    </w:p>
    <w:p>
      <w:pPr>
        <w:spacing w:line="360" w:lineRule="auto"/>
        <w:jc w:val="center"/>
        <w:outlineLvl w:val="0"/>
        <w:rPr>
          <w:rFonts w:ascii="仿宋" w:hAnsi="仿宋" w:eastAsia="仿宋" w:cs="仿宋"/>
          <w:b/>
          <w:color w:val="auto"/>
          <w:kern w:val="0"/>
          <w:sz w:val="36"/>
          <w:szCs w:val="36"/>
        </w:rPr>
      </w:pP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ascii="仿宋" w:hAnsi="仿宋" w:eastAsia="仿宋" w:cs="仿宋"/>
          <w:b/>
          <w:color w:val="auto"/>
          <w:kern w:val="0"/>
          <w:sz w:val="36"/>
          <w:szCs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（1）营业执照(或事业法人登记证或其他工商等登记证明材料)………（页码）</w:t>
      </w:r>
    </w:p>
    <w:p>
      <w:pPr>
        <w:snapToGrid w:val="0"/>
        <w:spacing w:line="360" w:lineRule="auto"/>
        <w:rPr>
          <w:rFonts w:ascii="仿宋" w:hAnsi="仿宋" w:eastAsia="仿宋" w:cs="仿宋"/>
          <w:color w:val="auto"/>
        </w:rPr>
      </w:pPr>
      <w:r>
        <w:rPr>
          <w:rFonts w:hint="eastAsia" w:ascii="仿宋" w:hAnsi="仿宋" w:eastAsia="仿宋" w:cs="仿宋"/>
          <w:color w:val="auto"/>
          <w:sz w:val="24"/>
        </w:rPr>
        <w:t>（2）符合参加政府采购活动应当具备的一般条件的承诺函……………（页码）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（3）落实政府采购政策需满足的资格要求………………………………（页码）</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（4）本项目的特定资格要求………………………………………………（页码）</w:t>
      </w:r>
    </w:p>
    <w:p>
      <w:pPr>
        <w:snapToGrid w:val="0"/>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一、营业执照(或事业法人登记证或其他工商等登记证明材料)</w:t>
      </w: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二、 符合参加政府采购活动应当具备的一般条件的承诺函</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ind w:firstLine="5520" w:firstLineChars="2300"/>
        <w:rPr>
          <w:rFonts w:ascii="仿宋" w:hAnsi="仿宋" w:eastAsia="仿宋" w:cs="仿宋"/>
          <w:color w:val="auto"/>
          <w:kern w:val="0"/>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 日</w:t>
      </w: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rPr>
          <w:rFonts w:ascii="仿宋" w:hAnsi="仿宋" w:eastAsia="仿宋" w:cs="仿宋"/>
          <w:color w:val="auto"/>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三、落实政府采购政策需满足的资格要求</w:t>
      </w:r>
    </w:p>
    <w:p>
      <w:pPr>
        <w:spacing w:line="360" w:lineRule="auto"/>
        <w:rPr>
          <w:rFonts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.专门面向中小企业，服务全部由符合政策要求的中小企业承接的，提供相应的中小企业声明函（附件5）。 </w:t>
      </w:r>
    </w:p>
    <w:p>
      <w:pPr>
        <w:widowControl/>
        <w:spacing w:line="360" w:lineRule="auto"/>
        <w:ind w:firstLine="480"/>
        <w:jc w:val="left"/>
        <w:rPr>
          <w:rFonts w:ascii="仿宋" w:hAnsi="仿宋" w:eastAsia="仿宋" w:cs="仿宋"/>
          <w:color w:val="auto"/>
          <w:sz w:val="24"/>
        </w:rPr>
      </w:pPr>
    </w:p>
    <w:p>
      <w:pPr>
        <w:snapToGrid w:val="0"/>
        <w:spacing w:before="50" w:after="50" w:line="360" w:lineRule="auto"/>
        <w:jc w:val="center"/>
        <w:rPr>
          <w:rFonts w:ascii="仿宋" w:hAnsi="仿宋" w:eastAsia="仿宋" w:cs="仿宋"/>
          <w:b/>
          <w:color w:val="auto"/>
          <w:kern w:val="0"/>
          <w:sz w:val="32"/>
          <w:szCs w:val="32"/>
          <w:lang w:val="zh-CN"/>
        </w:rPr>
      </w:pPr>
    </w:p>
    <w:p>
      <w:pPr>
        <w:snapToGrid w:val="0"/>
        <w:spacing w:line="360" w:lineRule="auto"/>
        <w:ind w:firstLine="3534" w:firstLineChars="1100"/>
        <w:rPr>
          <w:rFonts w:ascii="仿宋" w:hAnsi="仿宋" w:eastAsia="仿宋" w:cs="仿宋"/>
          <w:b/>
          <w:color w:val="auto"/>
          <w:kern w:val="0"/>
          <w:sz w:val="32"/>
          <w:szCs w:val="32"/>
        </w:rPr>
      </w:pPr>
    </w:p>
    <w:p>
      <w:pPr>
        <w:widowControl/>
        <w:spacing w:line="360" w:lineRule="auto"/>
        <w:ind w:left="15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rPr>
          <w:rFonts w:ascii="仿宋" w:hAnsi="仿宋" w:eastAsia="仿宋" w:cs="仿宋"/>
          <w:color w:val="auto"/>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pacing w:line="360" w:lineRule="auto"/>
        <w:jc w:val="center"/>
        <w:outlineLvl w:val="0"/>
        <w:rPr>
          <w:rFonts w:ascii="仿宋" w:hAnsi="仿宋" w:eastAsia="仿宋" w:cs="仿宋"/>
          <w:b/>
          <w:color w:val="auto"/>
          <w:kern w:val="0"/>
          <w:sz w:val="36"/>
          <w:szCs w:val="36"/>
        </w:rPr>
      </w:pPr>
    </w:p>
    <w:p>
      <w:pPr>
        <w:snapToGrid w:val="0"/>
        <w:spacing w:line="360" w:lineRule="auto"/>
        <w:ind w:right="480"/>
        <w:jc w:val="center"/>
        <w:rPr>
          <w:rFonts w:ascii="仿宋" w:hAnsi="仿宋" w:eastAsia="仿宋" w:cs="仿宋"/>
          <w:b/>
          <w:color w:val="auto"/>
          <w:kern w:val="0"/>
          <w:sz w:val="32"/>
          <w:szCs w:val="32"/>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rPr>
          <w:rFonts w:ascii="仿宋" w:hAnsi="仿宋" w:eastAsia="仿宋" w:cs="仿宋"/>
          <w:b/>
          <w:color w:val="auto"/>
          <w:kern w:val="0"/>
          <w:sz w:val="36"/>
          <w:szCs w:val="36"/>
        </w:rPr>
      </w:pPr>
    </w:p>
    <w:p>
      <w:pPr>
        <w:spacing w:line="360" w:lineRule="auto"/>
        <w:ind w:right="420" w:firstLine="3614" w:firstLineChars="1000"/>
        <w:jc w:val="left"/>
        <w:rPr>
          <w:rFonts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ascii="仿宋" w:hAnsi="仿宋" w:eastAsia="仿宋" w:cs="仿宋"/>
          <w:b/>
          <w:color w:val="auto"/>
          <w:kern w:val="0"/>
          <w:sz w:val="24"/>
        </w:rPr>
      </w:pPr>
    </w:p>
    <w:p>
      <w:pPr>
        <w:spacing w:line="360" w:lineRule="auto"/>
        <w:jc w:val="center"/>
        <w:outlineLvl w:val="0"/>
        <w:rPr>
          <w:rFonts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sz w:val="24"/>
        </w:rPr>
      </w:pPr>
      <w:r>
        <w:rPr>
          <w:rFonts w:hint="eastAsia" w:ascii="仿宋" w:hAnsi="仿宋" w:eastAsia="仿宋" w:cs="仿宋"/>
          <w:color w:val="auto"/>
          <w:sz w:val="24"/>
        </w:rPr>
        <w:t>（2）营业执照(或事业法人登记证或其他工商等登记证明材料)</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（3）授权委托书或法定代表人（单位负责人、自然人本人）身份证明</w:t>
      </w:r>
      <w:r>
        <w:rPr>
          <w:rFonts w:hint="eastAsia" w:ascii="仿宋" w:hAnsi="仿宋" w:eastAsia="仿宋" w:cs="仿宋"/>
          <w:color w:val="auto"/>
        </w:rPr>
        <w:t>………（页码）</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（6）商务技术偏离表</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7</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rPr>
          <w:rFonts w:ascii="仿宋" w:hAnsi="仿宋" w:eastAsia="仿宋" w:cs="仿宋"/>
          <w:b/>
          <w:color w:val="auto"/>
          <w:kern w:val="0"/>
          <w:sz w:val="32"/>
          <w:szCs w:val="32"/>
          <w:lang w:val="zh-CN"/>
        </w:rPr>
      </w:pPr>
    </w:p>
    <w:p>
      <w:pPr>
        <w:snapToGrid w:val="0"/>
        <w:spacing w:line="360" w:lineRule="auto"/>
        <w:jc w:val="center"/>
        <w:outlineLvl w:val="0"/>
        <w:rPr>
          <w:rFonts w:ascii="仿宋" w:hAnsi="仿宋" w:eastAsia="仿宋" w:cs="仿宋"/>
          <w:b/>
          <w:color w:val="auto"/>
          <w:kern w:val="0"/>
          <w:sz w:val="32"/>
          <w:szCs w:val="32"/>
        </w:rPr>
      </w:pPr>
    </w:p>
    <w:p>
      <w:pPr>
        <w:snapToGrid w:val="0"/>
        <w:spacing w:line="360" w:lineRule="auto"/>
        <w:jc w:val="center"/>
        <w:outlineLvl w:val="0"/>
        <w:rPr>
          <w:rFonts w:ascii="仿宋" w:hAnsi="仿宋" w:eastAsia="仿宋" w:cs="仿宋"/>
          <w:b/>
          <w:color w:val="auto"/>
          <w:kern w:val="0"/>
          <w:sz w:val="32"/>
          <w:szCs w:val="32"/>
        </w:rPr>
      </w:pPr>
    </w:p>
    <w:p>
      <w:pPr>
        <w:rPr>
          <w:rFonts w:ascii="仿宋" w:hAnsi="仿宋" w:eastAsia="仿宋" w:cs="仿宋"/>
          <w:color w:val="auto"/>
        </w:rPr>
      </w:pPr>
    </w:p>
    <w:p>
      <w:pPr>
        <w:snapToGrid w:val="0"/>
        <w:spacing w:line="360" w:lineRule="auto"/>
        <w:jc w:val="center"/>
        <w:outlineLvl w:val="0"/>
        <w:rPr>
          <w:rFonts w:ascii="仿宋" w:hAnsi="仿宋" w:eastAsia="仿宋" w:cs="仿宋"/>
          <w:b/>
          <w:color w:val="auto"/>
          <w:kern w:val="0"/>
          <w:sz w:val="32"/>
          <w:szCs w:val="32"/>
        </w:rPr>
      </w:pPr>
    </w:p>
    <w:p>
      <w:pPr>
        <w:snapToGrid w:val="0"/>
        <w:spacing w:line="360" w:lineRule="auto"/>
        <w:jc w:val="center"/>
        <w:outlineLvl w:val="0"/>
        <w:rPr>
          <w:rFonts w:ascii="仿宋" w:hAnsi="仿宋" w:eastAsia="仿宋" w:cs="仿宋"/>
          <w:b/>
          <w:color w:val="auto"/>
          <w:kern w:val="0"/>
          <w:sz w:val="32"/>
          <w:szCs w:val="32"/>
        </w:rPr>
      </w:pPr>
    </w:p>
    <w:p>
      <w:pPr>
        <w:snapToGrid w:val="0"/>
        <w:spacing w:line="360" w:lineRule="auto"/>
        <w:jc w:val="center"/>
        <w:outlineLvl w:val="0"/>
        <w:rPr>
          <w:rFonts w:ascii="仿宋" w:hAnsi="仿宋" w:eastAsia="仿宋" w:cs="仿宋"/>
          <w:b/>
          <w:color w:val="auto"/>
          <w:kern w:val="0"/>
          <w:sz w:val="32"/>
          <w:szCs w:val="32"/>
        </w:rPr>
      </w:pPr>
    </w:p>
    <w:p>
      <w:pPr>
        <w:snapToGrid w:val="0"/>
        <w:spacing w:line="360" w:lineRule="auto"/>
        <w:jc w:val="center"/>
        <w:outlineLvl w:val="0"/>
        <w:rPr>
          <w:rFonts w:ascii="仿宋" w:hAnsi="仿宋" w:eastAsia="仿宋" w:cs="仿宋"/>
          <w:b/>
          <w:color w:val="auto"/>
          <w:kern w:val="0"/>
          <w:sz w:val="32"/>
          <w:szCs w:val="32"/>
        </w:rPr>
      </w:pPr>
    </w:p>
    <w:p>
      <w:pPr>
        <w:pStyle w:val="2"/>
        <w:rPr>
          <w:rFonts w:ascii="仿宋" w:eastAsia="仿宋" w:cs="仿宋"/>
          <w:color w:val="auto"/>
          <w:kern w:val="0"/>
        </w:rPr>
      </w:pPr>
    </w:p>
    <w:p>
      <w:pPr>
        <w:pStyle w:val="2"/>
        <w:ind w:left="0" w:firstLine="0"/>
        <w:rPr>
          <w:rFonts w:ascii="仿宋" w:eastAsia="仿宋" w:cs="仿宋"/>
          <w:color w:val="auto"/>
        </w:rPr>
      </w:pPr>
    </w:p>
    <w:p>
      <w:pPr>
        <w:snapToGrid w:val="0"/>
        <w:jc w:val="center"/>
        <w:outlineLvl w:val="0"/>
        <w:rPr>
          <w:rFonts w:ascii="仿宋" w:hAnsi="仿宋" w:eastAsia="仿宋" w:cs="仿宋"/>
          <w:b/>
          <w:color w:val="auto"/>
          <w:kern w:val="0"/>
          <w:sz w:val="32"/>
          <w:szCs w:val="32"/>
        </w:rPr>
      </w:pPr>
    </w:p>
    <w:p>
      <w:pPr>
        <w:snapToGrid w:val="0"/>
        <w:jc w:val="center"/>
        <w:outlineLvl w:val="0"/>
        <w:rPr>
          <w:rFonts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rPr>
          <w:rFonts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2.1.2落实政府采购政策需满足的资格要求（如果有）；</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2.1.3本项目的特定资格要求（如果有）。</w:t>
      </w:r>
    </w:p>
    <w:p>
      <w:pPr>
        <w:snapToGrid w:val="0"/>
        <w:spacing w:line="360" w:lineRule="auto"/>
        <w:ind w:left="210" w:leftChars="100"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2.2.1投标函；</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2.2.3符合性审查资料；</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2.2.4评标标准相应的商务技术资料；</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2.2.5商务技术偏离表；</w:t>
      </w:r>
    </w:p>
    <w:p>
      <w:pPr>
        <w:snapToGrid w:val="0"/>
        <w:spacing w:line="360" w:lineRule="auto"/>
        <w:ind w:left="420" w:leftChars="200" w:firstLine="480" w:firstLineChars="200"/>
        <w:rPr>
          <w:rFonts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6</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ind w:firstLine="3600" w:firstLineChars="1500"/>
        <w:rPr>
          <w:rFonts w:ascii="仿宋" w:hAnsi="仿宋" w:eastAsia="仿宋" w:cs="仿宋"/>
          <w:color w:val="auto"/>
          <w:sz w:val="24"/>
        </w:rPr>
      </w:pPr>
      <w:r>
        <w:rPr>
          <w:rFonts w:hint="eastAsia" w:ascii="仿宋" w:hAnsi="仿宋" w:eastAsia="仿宋" w:cs="仿宋"/>
          <w:color w:val="auto"/>
          <w:sz w:val="24"/>
        </w:rPr>
        <w:t xml:space="preserve">投标人名称（电子签名）：                          </w:t>
      </w:r>
    </w:p>
    <w:p>
      <w:pPr>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jc w:val="center"/>
        <w:rPr>
          <w:rFonts w:ascii="仿宋" w:hAnsi="仿宋" w:eastAsia="仿宋" w:cs="仿宋"/>
          <w:b/>
          <w:color w:val="auto"/>
          <w:kern w:val="0"/>
          <w:sz w:val="32"/>
          <w:szCs w:val="32"/>
          <w:lang w:val="zh-CN"/>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 xml:space="preserve">二、营业执照(或事业法人登记证或其他工商等登记证明材料) </w:t>
      </w:r>
    </w:p>
    <w:p>
      <w:pPr>
        <w:jc w:val="center"/>
        <w:rPr>
          <w:rFonts w:ascii="仿宋" w:hAnsi="仿宋" w:eastAsia="仿宋" w:cs="仿宋"/>
          <w:b/>
          <w:color w:val="auto"/>
          <w:kern w:val="0"/>
          <w:sz w:val="32"/>
          <w:szCs w:val="32"/>
          <w:lang w:val="zh-CN"/>
        </w:rPr>
      </w:pPr>
    </w:p>
    <w:p>
      <w:pPr>
        <w:jc w:val="center"/>
        <w:rPr>
          <w:rFonts w:ascii="仿宋" w:hAnsi="仿宋" w:eastAsia="仿宋" w:cs="仿宋"/>
          <w:b/>
          <w:color w:val="auto"/>
          <w:kern w:val="0"/>
          <w:sz w:val="32"/>
          <w:szCs w:val="32"/>
          <w:lang w:val="zh-CN"/>
        </w:rPr>
      </w:pPr>
      <w:r>
        <w:rPr>
          <w:rFonts w:hint="eastAsia" w:ascii="仿宋" w:hAnsi="仿宋" w:eastAsia="仿宋" w:cs="仿宋"/>
          <w:b/>
          <w:color w:val="auto"/>
          <w:kern w:val="0"/>
          <w:sz w:val="32"/>
          <w:szCs w:val="32"/>
        </w:rPr>
        <w:t>三</w:t>
      </w:r>
      <w:r>
        <w:rPr>
          <w:rFonts w:hint="eastAsia" w:ascii="仿宋" w:hAnsi="仿宋" w:eastAsia="仿宋" w:cs="仿宋"/>
          <w:b/>
          <w:color w:val="auto"/>
          <w:kern w:val="0"/>
          <w:sz w:val="32"/>
          <w:szCs w:val="32"/>
          <w:lang w:val="zh-CN"/>
        </w:rPr>
        <w:t>、授权委托书或法定代表人（单位负责人、自然人本人）身份证明</w:t>
      </w:r>
    </w:p>
    <w:p>
      <w:pPr>
        <w:snapToGrid w:val="0"/>
        <w:spacing w:line="360" w:lineRule="auto"/>
        <w:rPr>
          <w:rFonts w:ascii="仿宋" w:hAnsi="仿宋" w:eastAsia="仿宋" w:cs="仿宋"/>
          <w:color w:val="auto"/>
          <w:sz w:val="24"/>
        </w:rPr>
      </w:pPr>
    </w:p>
    <w:p>
      <w:pPr>
        <w:snapToGrid w:val="0"/>
        <w:spacing w:line="360" w:lineRule="auto"/>
        <w:ind w:firstLine="2872" w:firstLineChars="894"/>
        <w:rPr>
          <w:rFonts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（姓名）</w:t>
      </w:r>
      <w:r>
        <w:rPr>
          <w:rFonts w:hint="eastAsia" w:ascii="仿宋" w:hAnsi="仿宋" w:eastAsia="仿宋" w:cs="仿宋"/>
          <w:color w:val="auto"/>
          <w:kern w:val="0"/>
          <w:sz w:val="24"/>
          <w:lang w:val="zh-CN"/>
        </w:rPr>
        <w:t>为我方代理人（身份证号码：</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u w:val="single"/>
        </w:rPr>
        <w:t>（项目名称）</w:t>
      </w:r>
      <w:r>
        <w:rPr>
          <w:rFonts w:hint="eastAsia" w:ascii="仿宋" w:hAnsi="仿宋" w:eastAsia="仿宋" w:cs="仿宋"/>
          <w:color w:val="auto"/>
          <w:sz w:val="24"/>
        </w:rPr>
        <w:t>【编号：</w:t>
      </w:r>
      <w:r>
        <w:rPr>
          <w:rFonts w:hint="eastAsia" w:ascii="仿宋" w:hAnsi="仿宋" w:eastAsia="仿宋" w:cs="仿宋"/>
          <w:color w:val="auto"/>
          <w:sz w:val="24"/>
          <w:u w:val="single"/>
        </w:rPr>
        <w:t>（采购编号）</w:t>
      </w:r>
      <w:r>
        <w:rPr>
          <w:rFonts w:hint="eastAsia" w:ascii="仿宋" w:hAnsi="仿宋" w:eastAsia="仿宋" w:cs="仿宋"/>
          <w:color w:val="auto"/>
          <w:sz w:val="24"/>
        </w:rPr>
        <w:t>】</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u w:val="single"/>
          <w:lang w:val="zh-CN"/>
        </w:rPr>
        <w:t>自年月日起至年月日止。</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lang w:val="zh-CN"/>
        </w:rPr>
        <w:t>特此告知。</w:t>
      </w:r>
    </w:p>
    <w:p>
      <w:pPr>
        <w:snapToGrid w:val="0"/>
        <w:spacing w:line="360" w:lineRule="auto"/>
        <w:jc w:val="right"/>
        <w:rPr>
          <w:rFonts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ascii="仿宋" w:hAnsi="仿宋" w:eastAsia="仿宋" w:cs="仿宋"/>
          <w:color w:val="auto"/>
          <w:sz w:val="24"/>
        </w:rPr>
      </w:pPr>
    </w:p>
    <w:p>
      <w:pPr>
        <w:autoSpaceDE w:val="0"/>
        <w:autoSpaceDN w:val="0"/>
        <w:spacing w:line="360" w:lineRule="auto"/>
        <w:jc w:val="center"/>
        <w:rPr>
          <w:rFonts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6"/>
        <w:spacing w:line="360" w:lineRule="auto"/>
        <w:rPr>
          <w:rFonts w:ascii="仿宋" w:hAnsi="仿宋" w:eastAsia="仿宋" w:cs="仿宋"/>
          <w:bCs/>
          <w:color w:val="auto"/>
          <w:sz w:val="24"/>
        </w:rPr>
      </w:pPr>
      <w:r>
        <w:rPr>
          <w:rFonts w:hint="eastAsia" w:ascii="仿宋" w:hAnsi="仿宋" w:eastAsia="仿宋" w:cs="仿宋"/>
          <w:bCs/>
          <w:color w:val="auto"/>
          <w:sz w:val="24"/>
        </w:rPr>
        <w:t>法定代表人或代理人身份证件扫描件：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jc w:val="center"/>
        </w:trPr>
        <w:tc>
          <w:tcPr>
            <w:tcW w:w="9207" w:type="dxa"/>
          </w:tcPr>
          <w:p>
            <w:pPr>
              <w:pStyle w:val="146"/>
              <w:adjustRightInd w:val="0"/>
              <w:spacing w:line="360" w:lineRule="auto"/>
              <w:rPr>
                <w:rFonts w:ascii="仿宋" w:hAnsi="仿宋" w:eastAsia="仿宋" w:cs="仿宋"/>
                <w:bCs/>
                <w:color w:val="auto"/>
                <w:sz w:val="24"/>
              </w:rPr>
            </w:pPr>
            <w:r>
              <w:rPr>
                <w:rFonts w:hint="eastAsia" w:ascii="仿宋" w:hAnsi="仿宋" w:eastAsia="仿宋" w:cs="仿宋"/>
                <w:bCs/>
                <w:color w:val="auto"/>
                <w:sz w:val="24"/>
              </w:rPr>
              <w:t>正面：                                 反面：</w:t>
            </w:r>
          </w:p>
          <w:p>
            <w:pPr>
              <w:pStyle w:val="146"/>
              <w:adjustRightInd w:val="0"/>
              <w:spacing w:line="360" w:lineRule="auto"/>
              <w:rPr>
                <w:rFonts w:ascii="仿宋" w:hAnsi="仿宋" w:eastAsia="仿宋" w:cs="仿宋"/>
                <w:bCs/>
                <w:color w:val="auto"/>
                <w:sz w:val="24"/>
              </w:rPr>
            </w:pPr>
          </w:p>
        </w:tc>
      </w:tr>
    </w:tbl>
    <w:p>
      <w:pPr>
        <w:snapToGrid w:val="0"/>
        <w:spacing w:line="360" w:lineRule="auto"/>
        <w:ind w:firstLine="576"/>
        <w:jc w:val="center"/>
        <w:rPr>
          <w:rFonts w:ascii="仿宋" w:hAnsi="仿宋" w:eastAsia="仿宋" w:cs="仿宋"/>
          <w:color w:val="auto"/>
          <w:kern w:val="0"/>
          <w:sz w:val="24"/>
          <w:lang w:val="zh-CN"/>
        </w:rPr>
      </w:pPr>
    </w:p>
    <w:p>
      <w:pPr>
        <w:jc w:val="center"/>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jc w:val="center"/>
        <w:rPr>
          <w:rFonts w:ascii="仿宋" w:hAnsi="仿宋" w:eastAsia="仿宋" w:cs="仿宋"/>
          <w:color w:val="auto"/>
          <w:kern w:val="0"/>
          <w:sz w:val="24"/>
          <w:lang w:val="zh-CN"/>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四、符合性审查资料</w:t>
      </w:r>
    </w:p>
    <w:p>
      <w:pPr>
        <w:jc w:val="center"/>
        <w:rPr>
          <w:rFonts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投标文件中的</w:t>
            </w:r>
          </w:p>
          <w:p>
            <w:pPr>
              <w:snapToGrid w:val="0"/>
              <w:spacing w:line="240" w:lineRule="atLeast"/>
              <w:jc w:val="center"/>
              <w:rPr>
                <w:rFonts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4991"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vAlign w:val="center"/>
          </w:tcPr>
          <w:p>
            <w:pPr>
              <w:rPr>
                <w:rFonts w:ascii="仿宋" w:hAnsi="仿宋" w:eastAsia="仿宋" w:cs="仿宋"/>
                <w:color w:val="auto"/>
                <w:sz w:val="24"/>
              </w:rPr>
            </w:pPr>
            <w:r>
              <w:rPr>
                <w:rFonts w:hint="eastAsia" w:ascii="仿宋" w:hAnsi="仿宋" w:eastAsia="仿宋" w:cs="仿宋"/>
                <w:color w:val="auto"/>
                <w:sz w:val="24"/>
              </w:rPr>
              <w:t>见投标文件</w:t>
            </w:r>
          </w:p>
          <w:p>
            <w:pPr>
              <w:rPr>
                <w:rFonts w:ascii="仿宋" w:hAnsi="仿宋" w:eastAsia="仿宋" w:cs="仿宋"/>
                <w:color w:val="auto"/>
              </w:rPr>
            </w:pPr>
            <w:r>
              <w:rPr>
                <w:rFonts w:hint="eastAsia" w:ascii="仿宋" w:hAnsi="仿宋" w:eastAsia="仿宋" w:cs="仿宋"/>
                <w:color w:val="auto"/>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w:t>
            </w:r>
          </w:p>
        </w:tc>
        <w:tc>
          <w:tcPr>
            <w:tcW w:w="4991"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节能产品认证证书（本项目拟采购的产品不属于政府强制采购的节能产品品目清单范围的，无需提供）</w:t>
            </w:r>
          </w:p>
        </w:tc>
        <w:tc>
          <w:tcPr>
            <w:tcW w:w="1418" w:type="dxa"/>
            <w:vAlign w:val="center"/>
          </w:tcPr>
          <w:p>
            <w:pPr>
              <w:rPr>
                <w:rFonts w:ascii="仿宋" w:hAnsi="仿宋" w:eastAsia="仿宋" w:cs="仿宋"/>
                <w:color w:val="auto"/>
                <w:sz w:val="24"/>
              </w:rPr>
            </w:pPr>
            <w:r>
              <w:rPr>
                <w:rFonts w:hint="eastAsia" w:ascii="仿宋" w:hAnsi="仿宋" w:eastAsia="仿宋" w:cs="仿宋"/>
                <w:color w:val="auto"/>
                <w:sz w:val="24"/>
              </w:rPr>
              <w:t>见投标文件</w:t>
            </w:r>
          </w:p>
          <w:p>
            <w:pPr>
              <w:pStyle w:val="2"/>
              <w:jc w:val="both"/>
              <w:rPr>
                <w:rFonts w:ascii="仿宋" w:eastAsia="仿宋" w:cs="仿宋"/>
                <w:color w:val="auto"/>
                <w:lang w:val="en-US"/>
              </w:rPr>
            </w:pPr>
            <w:r>
              <w:rPr>
                <w:rFonts w:hint="eastAsia" w:ascii="仿宋" w:eastAsia="仿宋" w:cs="仿宋"/>
                <w:b w:val="0"/>
                <w:bCs w:val="0"/>
                <w:color w:val="auto"/>
                <w:sz w:val="24"/>
                <w:szCs w:val="24"/>
                <w:lang w:val="en-US"/>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4991"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rPr>
                <w:rFonts w:ascii="仿宋" w:hAnsi="仿宋" w:eastAsia="仿宋" w:cs="仿宋"/>
                <w:color w:val="auto"/>
                <w:sz w:val="24"/>
              </w:rPr>
            </w:pPr>
            <w:r>
              <w:rPr>
                <w:rFonts w:hint="eastAsia" w:ascii="仿宋" w:hAnsi="仿宋" w:eastAsia="仿宋" w:cs="仿宋"/>
                <w:color w:val="auto"/>
                <w:sz w:val="24"/>
              </w:rPr>
              <w:t>投标函</w:t>
            </w:r>
          </w:p>
        </w:tc>
        <w:tc>
          <w:tcPr>
            <w:tcW w:w="1418" w:type="dxa"/>
            <w:vAlign w:val="center"/>
          </w:tcPr>
          <w:p>
            <w:pPr>
              <w:rPr>
                <w:rFonts w:ascii="仿宋" w:hAnsi="仿宋" w:eastAsia="仿宋" w:cs="仿宋"/>
                <w:color w:val="auto"/>
              </w:rPr>
            </w:pPr>
            <w:r>
              <w:rPr>
                <w:rFonts w:hint="eastAsia" w:ascii="仿宋" w:hAnsi="仿宋" w:eastAsia="仿宋" w:cs="仿宋"/>
                <w:color w:val="auto"/>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4991" w:type="dxa"/>
            <w:vAlign w:val="center"/>
          </w:tcPr>
          <w:p>
            <w:pPr>
              <w:spacing w:line="360" w:lineRule="auto"/>
              <w:rPr>
                <w:rFonts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rPr>
                <w:rFonts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vAlign w:val="center"/>
          </w:tcPr>
          <w:p>
            <w:pPr>
              <w:rPr>
                <w:rFonts w:ascii="仿宋" w:hAnsi="仿宋" w:eastAsia="仿宋" w:cs="仿宋"/>
                <w:color w:val="auto"/>
              </w:rPr>
            </w:pPr>
            <w:r>
              <w:rPr>
                <w:rFonts w:hint="eastAsia" w:ascii="仿宋" w:hAnsi="仿宋" w:eastAsia="仿宋" w:cs="仿宋"/>
                <w:color w:val="auto"/>
                <w:sz w:val="24"/>
              </w:rPr>
              <w:t>见投标文件第页</w:t>
            </w:r>
          </w:p>
        </w:tc>
      </w:tr>
    </w:tbl>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color w:val="auto"/>
        </w:rPr>
      </w:pPr>
      <w:r>
        <w:rPr>
          <w:rFonts w:hint="eastAsia" w:ascii="仿宋" w:hAnsi="仿宋" w:eastAsia="仿宋" w:cs="仿宋"/>
          <w:b/>
          <w:color w:val="auto"/>
          <w:kern w:val="0"/>
          <w:sz w:val="32"/>
          <w:szCs w:val="32"/>
        </w:rPr>
        <w:t>五、评标标准相应的商务技术资料</w:t>
      </w:r>
    </w:p>
    <w:p>
      <w:pPr>
        <w:snapToGrid w:val="0"/>
        <w:spacing w:line="360" w:lineRule="auto"/>
        <w:jc w:val="left"/>
        <w:rPr>
          <w:rFonts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jc w:val="center"/>
              <w:rPr>
                <w:rFonts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jc w:val="center"/>
              <w:rPr>
                <w:rFonts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jc w:val="center"/>
              <w:rPr>
                <w:rFonts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jc w:val="center"/>
              <w:rPr>
                <w:rFonts w:ascii="仿宋" w:hAnsi="仿宋" w:eastAsia="仿宋" w:cs="仿宋"/>
                <w:b/>
                <w:color w:val="auto"/>
                <w:kern w:val="0"/>
                <w:sz w:val="32"/>
                <w:szCs w:val="32"/>
              </w:rPr>
            </w:pPr>
          </w:p>
        </w:tc>
        <w:tc>
          <w:tcPr>
            <w:tcW w:w="3546" w:type="dxa"/>
          </w:tcPr>
          <w:p>
            <w:pPr>
              <w:jc w:val="center"/>
              <w:rPr>
                <w:rFonts w:ascii="仿宋" w:hAnsi="仿宋" w:eastAsia="仿宋" w:cs="仿宋"/>
                <w:b/>
                <w:color w:val="auto"/>
                <w:kern w:val="0"/>
                <w:sz w:val="32"/>
                <w:szCs w:val="32"/>
              </w:rPr>
            </w:pPr>
          </w:p>
        </w:tc>
        <w:tc>
          <w:tcPr>
            <w:tcW w:w="1276" w:type="dxa"/>
          </w:tcPr>
          <w:p>
            <w:pPr>
              <w:jc w:val="center"/>
              <w:rPr>
                <w:rFonts w:ascii="仿宋" w:hAnsi="仿宋" w:eastAsia="仿宋" w:cs="仿宋"/>
                <w:b/>
                <w:color w:val="auto"/>
                <w:kern w:val="0"/>
                <w:sz w:val="32"/>
                <w:szCs w:val="32"/>
              </w:rPr>
            </w:pPr>
          </w:p>
        </w:tc>
      </w:tr>
    </w:tbl>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jc w:val="center"/>
        <w:rPr>
          <w:rFonts w:ascii="仿宋" w:hAnsi="仿宋" w:eastAsia="仿宋" w:cs="仿宋"/>
          <w:b/>
          <w:color w:val="auto"/>
          <w:kern w:val="0"/>
          <w:sz w:val="32"/>
          <w:szCs w:val="32"/>
        </w:rPr>
      </w:pPr>
    </w:p>
    <w:p>
      <w:pPr>
        <w:ind w:firstLine="1911" w:firstLineChars="595"/>
        <w:rPr>
          <w:rFonts w:ascii="仿宋" w:hAnsi="仿宋" w:eastAsia="仿宋" w:cs="仿宋"/>
          <w:b/>
          <w:color w:val="auto"/>
          <w:kern w:val="0"/>
          <w:sz w:val="32"/>
          <w:szCs w:val="32"/>
        </w:rPr>
      </w:pPr>
      <w:r>
        <w:rPr>
          <w:rFonts w:hint="eastAsia" w:ascii="仿宋" w:hAnsi="仿宋" w:eastAsia="仿宋" w:cs="仿宋"/>
          <w:b/>
          <w:color w:val="auto"/>
          <w:kern w:val="0"/>
          <w:sz w:val="32"/>
          <w:szCs w:val="32"/>
        </w:rPr>
        <w:t>七、</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jc w:val="left"/>
        <w:rPr>
          <w:rFonts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ascii="仿宋" w:hAnsi="仿宋" w:eastAsia="仿宋" w:cs="仿宋"/>
          <w:b/>
          <w:bCs/>
          <w:color w:val="auto"/>
          <w:sz w:val="24"/>
        </w:rPr>
      </w:pPr>
    </w:p>
    <w:p>
      <w:pPr>
        <w:spacing w:line="360" w:lineRule="auto"/>
        <w:jc w:val="center"/>
        <w:rPr>
          <w:rFonts w:ascii="仿宋" w:hAnsi="仿宋" w:eastAsia="仿宋" w:cs="仿宋"/>
          <w:b/>
          <w:bCs/>
          <w:color w:val="auto"/>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ascii="仿宋" w:hAnsi="仿宋" w:eastAsia="仿宋" w:cs="仿宋"/>
          <w:b/>
          <w:color w:val="auto"/>
          <w:kern w:val="0"/>
          <w:sz w:val="36"/>
          <w:szCs w:val="36"/>
        </w:rPr>
      </w:pP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snapToGrid w:val="0"/>
        <w:spacing w:line="360" w:lineRule="auto"/>
        <w:ind w:right="480"/>
        <w:jc w:val="center"/>
        <w:rPr>
          <w:rFonts w:ascii="仿宋" w:hAnsi="仿宋" w:eastAsia="仿宋" w:cs="仿宋"/>
          <w:b/>
          <w:color w:val="auto"/>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276"/>
        <w:gridCol w:w="1559"/>
        <w:gridCol w:w="850"/>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51"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项目名称</w:t>
            </w:r>
          </w:p>
        </w:tc>
        <w:tc>
          <w:tcPr>
            <w:tcW w:w="1843"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具体服务内容</w:t>
            </w:r>
          </w:p>
        </w:tc>
        <w:tc>
          <w:tcPr>
            <w:tcW w:w="1276"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单位</w:t>
            </w:r>
          </w:p>
        </w:tc>
        <w:tc>
          <w:tcPr>
            <w:tcW w:w="1559"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数量</w:t>
            </w:r>
          </w:p>
        </w:tc>
        <w:tc>
          <w:tcPr>
            <w:tcW w:w="850" w:type="dxa"/>
            <w:vAlign w:val="center"/>
          </w:tcPr>
          <w:p>
            <w:pPr>
              <w:spacing w:line="360" w:lineRule="auto"/>
              <w:jc w:val="center"/>
              <w:rPr>
                <w:rFonts w:ascii="仿宋" w:hAnsi="仿宋" w:eastAsia="仿宋" w:cs="仿宋"/>
                <w:b/>
                <w:color w:val="auto"/>
                <w:sz w:val="24"/>
              </w:rPr>
            </w:pPr>
            <w:r>
              <w:rPr>
                <w:rFonts w:hint="eastAsia" w:ascii="仿宋" w:hAnsi="仿宋" w:eastAsia="仿宋" w:cs="仿宋"/>
                <w:b/>
                <w:color w:val="auto"/>
                <w:sz w:val="24"/>
              </w:rPr>
              <w:t>单价</w:t>
            </w:r>
          </w:p>
        </w:tc>
        <w:tc>
          <w:tcPr>
            <w:tcW w:w="156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总价</w:t>
            </w:r>
          </w:p>
        </w:tc>
        <w:tc>
          <w:tcPr>
            <w:tcW w:w="127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p>
        </w:tc>
        <w:tc>
          <w:tcPr>
            <w:tcW w:w="1276"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850" w:type="dxa"/>
            <w:vAlign w:val="center"/>
          </w:tcPr>
          <w:p>
            <w:pPr>
              <w:spacing w:line="360" w:lineRule="auto"/>
              <w:jc w:val="center"/>
              <w:rPr>
                <w:rFonts w:ascii="仿宋" w:hAnsi="仿宋" w:eastAsia="仿宋" w:cs="仿宋"/>
                <w:color w:val="auto"/>
                <w:sz w:val="24"/>
              </w:rPr>
            </w:pPr>
          </w:p>
        </w:tc>
        <w:tc>
          <w:tcPr>
            <w:tcW w:w="1560" w:type="dxa"/>
            <w:vAlign w:val="center"/>
          </w:tcPr>
          <w:p>
            <w:pPr>
              <w:jc w:val="center"/>
              <w:rPr>
                <w:rFonts w:ascii="仿宋" w:hAnsi="仿宋" w:eastAsia="仿宋" w:cs="仿宋"/>
                <w:b/>
                <w:color w:val="auto"/>
                <w:sz w:val="24"/>
              </w:rPr>
            </w:pPr>
          </w:p>
        </w:tc>
        <w:tc>
          <w:tcPr>
            <w:tcW w:w="1275" w:type="dxa"/>
            <w:vAlign w:val="center"/>
          </w:tcPr>
          <w:p>
            <w:pPr>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51" w:type="dxa"/>
            <w:vAlign w:val="center"/>
          </w:tcPr>
          <w:p>
            <w:pPr>
              <w:snapToGrid w:val="0"/>
              <w:spacing w:line="360" w:lineRule="auto"/>
              <w:jc w:val="center"/>
              <w:rPr>
                <w:rFonts w:ascii="仿宋" w:hAnsi="仿宋" w:eastAsia="仿宋" w:cs="仿宋"/>
                <w:color w:val="auto"/>
                <w:sz w:val="24"/>
              </w:rPr>
            </w:pPr>
          </w:p>
        </w:tc>
        <w:tc>
          <w:tcPr>
            <w:tcW w:w="1843" w:type="dxa"/>
            <w:vAlign w:val="center"/>
          </w:tcPr>
          <w:p>
            <w:pPr>
              <w:snapToGrid w:val="0"/>
              <w:spacing w:line="360" w:lineRule="auto"/>
              <w:jc w:val="center"/>
              <w:rPr>
                <w:rFonts w:ascii="仿宋" w:hAnsi="仿宋" w:eastAsia="仿宋" w:cs="仿宋"/>
                <w:color w:val="auto"/>
                <w:sz w:val="24"/>
              </w:rPr>
            </w:pPr>
            <w:r>
              <w:rPr>
                <w:rFonts w:ascii="仿宋" w:hAnsi="仿宋" w:eastAsia="仿宋" w:cs="仿宋"/>
                <w:color w:val="auto"/>
                <w:sz w:val="24"/>
              </w:rPr>
              <w:t>…</w:t>
            </w:r>
          </w:p>
        </w:tc>
        <w:tc>
          <w:tcPr>
            <w:tcW w:w="1276" w:type="dxa"/>
            <w:vAlign w:val="center"/>
          </w:tcPr>
          <w:p>
            <w:pPr>
              <w:snapToGrid w:val="0"/>
              <w:spacing w:line="360" w:lineRule="auto"/>
              <w:jc w:val="center"/>
              <w:rPr>
                <w:rFonts w:ascii="仿宋" w:hAnsi="仿宋" w:eastAsia="仿宋" w:cs="仿宋"/>
                <w:color w:val="auto"/>
                <w:sz w:val="24"/>
              </w:rPr>
            </w:pPr>
          </w:p>
        </w:tc>
        <w:tc>
          <w:tcPr>
            <w:tcW w:w="1559" w:type="dxa"/>
            <w:vAlign w:val="center"/>
          </w:tcPr>
          <w:p>
            <w:pPr>
              <w:spacing w:line="360" w:lineRule="auto"/>
              <w:jc w:val="center"/>
              <w:rPr>
                <w:rFonts w:ascii="仿宋" w:hAnsi="仿宋" w:eastAsia="仿宋" w:cs="仿宋"/>
                <w:color w:val="auto"/>
                <w:sz w:val="24"/>
              </w:rPr>
            </w:pPr>
          </w:p>
        </w:tc>
        <w:tc>
          <w:tcPr>
            <w:tcW w:w="850" w:type="dxa"/>
            <w:vAlign w:val="center"/>
          </w:tcPr>
          <w:p>
            <w:pPr>
              <w:spacing w:line="360" w:lineRule="auto"/>
              <w:jc w:val="center"/>
              <w:rPr>
                <w:rFonts w:ascii="仿宋" w:hAnsi="仿宋" w:eastAsia="仿宋" w:cs="仿宋"/>
                <w:color w:val="auto"/>
                <w:sz w:val="24"/>
              </w:rPr>
            </w:pPr>
          </w:p>
        </w:tc>
        <w:tc>
          <w:tcPr>
            <w:tcW w:w="1560" w:type="dxa"/>
            <w:vAlign w:val="center"/>
          </w:tcPr>
          <w:p>
            <w:pPr>
              <w:jc w:val="center"/>
              <w:rPr>
                <w:rFonts w:ascii="仿宋" w:hAnsi="仿宋" w:eastAsia="仿宋" w:cs="仿宋"/>
                <w:b/>
                <w:color w:val="auto"/>
                <w:sz w:val="24"/>
              </w:rPr>
            </w:pPr>
          </w:p>
        </w:tc>
        <w:tc>
          <w:tcPr>
            <w:tcW w:w="1275" w:type="dxa"/>
            <w:vAlign w:val="center"/>
          </w:tcPr>
          <w:p>
            <w:pPr>
              <w:jc w:val="center"/>
              <w:rPr>
                <w:rFonts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314" w:type="dxa"/>
            <w:gridSpan w:val="7"/>
            <w:vAlign w:val="center"/>
          </w:tcPr>
          <w:p>
            <w:pPr>
              <w:spacing w:line="360" w:lineRule="auto"/>
              <w:ind w:left="-2" w:leftChars="-1" w:firstLine="480" w:firstLineChars="200"/>
              <w:rPr>
                <w:rFonts w:ascii="仿宋" w:hAnsi="仿宋" w:eastAsia="仿宋" w:cs="仿宋"/>
                <w:color w:val="auto"/>
                <w:kern w:val="0"/>
                <w:sz w:val="24"/>
              </w:rPr>
            </w:pPr>
            <w:r>
              <w:rPr>
                <w:rFonts w:hint="eastAsia" w:ascii="仿宋" w:hAnsi="仿宋" w:eastAsia="仿宋" w:cs="仿宋"/>
                <w:color w:val="auto"/>
                <w:kern w:val="0"/>
                <w:sz w:val="24"/>
              </w:rPr>
              <w:t>合计：小写：￥    元</w:t>
            </w:r>
          </w:p>
          <w:p>
            <w:pPr>
              <w:spacing w:line="360" w:lineRule="auto"/>
              <w:ind w:left="-2" w:leftChars="-1" w:firstLine="480" w:firstLineChars="200"/>
              <w:rPr>
                <w:color w:val="auto"/>
              </w:rPr>
            </w:pPr>
            <w:r>
              <w:rPr>
                <w:rFonts w:hint="eastAsia" w:ascii="仿宋" w:hAnsi="仿宋" w:eastAsia="仿宋" w:cs="仿宋"/>
                <w:color w:val="auto"/>
                <w:kern w:val="0"/>
                <w:sz w:val="24"/>
              </w:rPr>
              <w:t>大写：人民币      元</w:t>
            </w:r>
          </w:p>
        </w:tc>
      </w:tr>
    </w:tbl>
    <w:p>
      <w:pPr>
        <w:snapToGrid w:val="0"/>
        <w:spacing w:line="360" w:lineRule="auto"/>
        <w:ind w:left="480"/>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1、投标人需按本表格式填写，不得自行更改。</w:t>
      </w:r>
    </w:p>
    <w:p>
      <w:pPr>
        <w:spacing w:line="360"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采购人将以合同形式有偿取得服务，不接受投标人给予的赠品、回扣或者与采购无关的其他服务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w:t>
      </w:r>
    </w:p>
    <w:p>
      <w:pPr>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3、以上表格要求细分项目及报价，在“具体服务”一栏中，服务类项目填写具体服务。</w:t>
      </w:r>
    </w:p>
    <w:p>
      <w:pPr>
        <w:snapToGrid w:val="0"/>
        <w:spacing w:line="360" w:lineRule="auto"/>
        <w:ind w:firstLine="480" w:firstLineChars="200"/>
        <w:jc w:val="left"/>
        <w:rPr>
          <w:rFonts w:ascii="仿宋" w:hAnsi="仿宋" w:eastAsia="仿宋" w:cs="仿宋"/>
          <w:color w:val="auto"/>
          <w:kern w:val="0"/>
          <w:sz w:val="24"/>
          <w:lang w:val="zh-CN"/>
        </w:rPr>
      </w:pPr>
      <w:r>
        <w:rPr>
          <w:rFonts w:hint="eastAsia" w:ascii="仿宋" w:hAnsi="仿宋" w:eastAsia="仿宋" w:cs="仿宋"/>
          <w:color w:val="auto"/>
          <w:kern w:val="0"/>
          <w:sz w:val="24"/>
          <w:lang w:val="zh-CN"/>
        </w:rPr>
        <w:t>4、特别提示：采购代理机构将对项目名称和项目编号，中标供应商名称、地址和中标金额，主要中标标的的名称、数量、单价、服务要求等予以公示。</w:t>
      </w:r>
    </w:p>
    <w:p>
      <w:pPr>
        <w:snapToGrid w:val="0"/>
        <w:jc w:val="center"/>
        <w:rPr>
          <w:rFonts w:ascii="仿宋" w:hAnsi="仿宋" w:eastAsia="仿宋" w:cs="仿宋"/>
          <w:color w:val="auto"/>
          <w:kern w:val="0"/>
          <w:sz w:val="24"/>
          <w:lang w:val="zh-CN"/>
        </w:rPr>
      </w:pPr>
    </w:p>
    <w:p>
      <w:pPr>
        <w:snapToGrid w:val="0"/>
        <w:jc w:val="center"/>
        <w:rPr>
          <w:rFonts w:ascii="仿宋" w:hAnsi="仿宋" w:eastAsia="仿宋" w:cs="仿宋"/>
          <w:b/>
          <w:color w:val="auto"/>
          <w:sz w:val="32"/>
          <w:szCs w:val="32"/>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 xml:space="preserve">   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             </w:t>
      </w:r>
    </w:p>
    <w:p>
      <w:pPr>
        <w:snapToGrid w:val="0"/>
        <w:jc w:val="center"/>
        <w:rPr>
          <w:rFonts w:ascii="仿宋" w:hAnsi="仿宋" w:eastAsia="仿宋" w:cs="仿宋"/>
          <w:b/>
          <w:color w:val="auto"/>
          <w:sz w:val="32"/>
          <w:szCs w:val="32"/>
        </w:rPr>
      </w:pPr>
    </w:p>
    <w:p>
      <w:pPr>
        <w:snapToGrid w:val="0"/>
        <w:jc w:val="center"/>
        <w:rPr>
          <w:rFonts w:ascii="仿宋" w:hAnsi="仿宋" w:eastAsia="仿宋" w:cs="仿宋"/>
          <w:b/>
          <w:color w:val="auto"/>
          <w:sz w:val="32"/>
          <w:szCs w:val="32"/>
        </w:rPr>
        <w:sectPr>
          <w:pgSz w:w="11906" w:h="16838"/>
          <w:pgMar w:top="1247" w:right="1418" w:bottom="1276" w:left="1418" w:header="851" w:footer="992" w:gutter="0"/>
          <w:cols w:space="720" w:num="1"/>
          <w:titlePg/>
          <w:docGrid w:linePitch="312" w:charSpace="0"/>
        </w:sectPr>
      </w:pPr>
    </w:p>
    <w:p>
      <w:pPr>
        <w:pStyle w:val="3"/>
        <w:keepNext w:val="0"/>
        <w:keepLines w:val="0"/>
        <w:pageBreakBefore/>
        <w:widowControl/>
        <w:spacing w:before="100" w:beforeAutospacing="1" w:after="100" w:afterAutospacing="1" w:line="360" w:lineRule="auto"/>
        <w:ind w:left="428" w:hanging="428" w:hangingChars="97"/>
        <w:jc w:val="center"/>
        <w:rPr>
          <w:rFonts w:ascii="仿宋" w:hAnsi="仿宋" w:eastAsia="仿宋" w:cs="仿宋"/>
          <w:color w:val="auto"/>
        </w:rPr>
      </w:pPr>
      <w:bookmarkStart w:id="551" w:name="_Toc465665161"/>
      <w:r>
        <w:rPr>
          <w:rFonts w:hint="eastAsia" w:ascii="仿宋" w:hAnsi="仿宋" w:eastAsia="仿宋" w:cs="仿宋"/>
          <w:color w:val="auto"/>
        </w:rPr>
        <w:t>附件</w:t>
      </w:r>
      <w:bookmarkEnd w:id="551"/>
    </w:p>
    <w:p>
      <w:pPr>
        <w:spacing w:line="360" w:lineRule="auto"/>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ascii="仿宋" w:hAnsi="仿宋" w:eastAsia="仿宋" w:cs="仿宋"/>
          <w:b/>
          <w:color w:val="auto"/>
          <w:spacing w:val="6"/>
          <w:sz w:val="32"/>
          <w:szCs w:val="32"/>
        </w:rPr>
      </w:pPr>
      <w:bookmarkStart w:id="552" w:name="OLE_LINK14"/>
      <w:bookmarkStart w:id="553" w:name="OLE_LINK13"/>
      <w:r>
        <w:rPr>
          <w:rFonts w:hint="eastAsia" w:ascii="仿宋" w:hAnsi="仿宋" w:eastAsia="仿宋" w:cs="仿宋"/>
          <w:b/>
          <w:color w:val="auto"/>
          <w:spacing w:val="6"/>
          <w:sz w:val="32"/>
          <w:szCs w:val="32"/>
        </w:rPr>
        <w:t>残疾人福利性单位声明函</w:t>
      </w:r>
    </w:p>
    <w:bookmarkEnd w:id="552"/>
    <w:bookmarkEnd w:id="553"/>
    <w:p>
      <w:pPr>
        <w:spacing w:line="360" w:lineRule="auto"/>
        <w:rPr>
          <w:rFonts w:ascii="仿宋" w:hAnsi="仿宋" w:eastAsia="仿宋" w:cs="仿宋"/>
          <w:b/>
          <w:color w:val="auto"/>
          <w:spacing w:val="6"/>
          <w:sz w:val="30"/>
          <w:szCs w:val="30"/>
        </w:rPr>
      </w:pP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ascii="仿宋" w:hAnsi="仿宋" w:eastAsia="仿宋" w:cs="仿宋"/>
          <w:color w:val="auto"/>
          <w:sz w:val="24"/>
        </w:rPr>
      </w:pPr>
    </w:p>
    <w:p>
      <w:pPr>
        <w:spacing w:line="360" w:lineRule="auto"/>
        <w:ind w:firstLine="480" w:firstLineChars="200"/>
        <w:rPr>
          <w:rFonts w:ascii="仿宋" w:hAnsi="仿宋" w:eastAsia="仿宋" w:cs="仿宋"/>
          <w:color w:val="auto"/>
          <w:sz w:val="24"/>
        </w:rPr>
      </w:pPr>
    </w:p>
    <w:p>
      <w:pPr>
        <w:tabs>
          <w:tab w:val="left" w:pos="4860"/>
        </w:tabs>
        <w:spacing w:line="360" w:lineRule="auto"/>
        <w:ind w:right="1560" w:firstLine="480" w:firstLineChars="200"/>
        <w:jc w:val="center"/>
        <w:rPr>
          <w:rFonts w:ascii="仿宋" w:hAnsi="仿宋" w:eastAsia="仿宋" w:cs="仿宋"/>
          <w:color w:val="auto"/>
          <w:sz w:val="24"/>
        </w:rPr>
      </w:pP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ascii="仿宋" w:hAnsi="仿宋" w:eastAsia="仿宋" w:cs="仿宋"/>
          <w:color w:val="auto"/>
          <w:sz w:val="24"/>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ind w:firstLine="420" w:firstLineChars="200"/>
        <w:rPr>
          <w:rFonts w:ascii="仿宋" w:hAnsi="仿宋" w:eastAsia="仿宋" w:cs="仿宋"/>
          <w:color w:val="auto"/>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jc w:val="left"/>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Lines="100" w:line="360" w:lineRule="auto"/>
        <w:rPr>
          <w:rFonts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质疑供应商：</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地址：邮编：</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联系人：联系电话：</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授权代表：</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联系电话：</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地址： 邮编：</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质疑项目的名称：</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质疑项目的编号：包号：</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采购人名称：</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采购文件获取日期：</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质疑事项1：</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事实依据：</w:t>
      </w:r>
    </w:p>
    <w:p>
      <w:pPr>
        <w:snapToGrid w:val="0"/>
        <w:spacing w:line="360" w:lineRule="auto"/>
        <w:rPr>
          <w:rFonts w:ascii="仿宋" w:hAnsi="仿宋" w:eastAsia="仿宋" w:cs="仿宋"/>
          <w:color w:val="auto"/>
          <w:sz w:val="24"/>
        </w:rPr>
      </w:pP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法律依据：</w:t>
      </w:r>
    </w:p>
    <w:p>
      <w:pPr>
        <w:snapToGrid w:val="0"/>
        <w:spacing w:line="360" w:lineRule="auto"/>
        <w:rPr>
          <w:rFonts w:ascii="仿宋" w:hAnsi="仿宋" w:eastAsia="仿宋" w:cs="仿宋"/>
          <w:color w:val="auto"/>
          <w:sz w:val="24"/>
          <w:u w:val="dotted"/>
        </w:rPr>
      </w:pP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ascii="仿宋" w:hAnsi="仿宋" w:eastAsia="仿宋" w:cs="仿宋"/>
          <w:color w:val="auto"/>
          <w:sz w:val="24"/>
          <w:u w:val="dotted"/>
        </w:rPr>
      </w:pPr>
      <w:r>
        <w:rPr>
          <w:rFonts w:hint="eastAsia" w:ascii="仿宋" w:hAnsi="仿宋" w:eastAsia="仿宋" w:cs="仿宋"/>
          <w:color w:val="auto"/>
          <w:sz w:val="24"/>
        </w:rPr>
        <w:t>请求：</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ascii="仿宋" w:hAnsi="仿宋" w:eastAsia="仿宋" w:cs="仿宋"/>
          <w:b/>
          <w:bCs/>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center"/>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p>
    <w:p>
      <w:pPr>
        <w:spacing w:line="360" w:lineRule="auto"/>
        <w:jc w:val="left"/>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ascii="仿宋" w:hAnsi="仿宋" w:eastAsia="仿宋" w:cs="仿宋"/>
          <w:b/>
          <w:color w:val="auto"/>
          <w:sz w:val="24"/>
        </w:rPr>
      </w:pPr>
    </w:p>
    <w:p>
      <w:pPr>
        <w:spacing w:line="360" w:lineRule="auto"/>
        <w:jc w:val="center"/>
        <w:rPr>
          <w:rFonts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投诉人：</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址：邮编：</w:t>
      </w:r>
    </w:p>
    <w:p>
      <w:pPr>
        <w:tabs>
          <w:tab w:val="left" w:pos="6510"/>
        </w:tabs>
        <w:spacing w:line="360" w:lineRule="auto"/>
        <w:jc w:val="left"/>
        <w:rPr>
          <w:rFonts w:ascii="仿宋" w:hAnsi="仿宋" w:eastAsia="仿宋" w:cs="仿宋"/>
          <w:color w:val="auto"/>
          <w:sz w:val="24"/>
        </w:rPr>
      </w:pPr>
      <w:r>
        <w:rPr>
          <w:rFonts w:hint="eastAsia" w:ascii="仿宋" w:hAnsi="仿宋" w:eastAsia="仿宋" w:cs="仿宋"/>
          <w:color w:val="auto"/>
          <w:sz w:val="24"/>
        </w:rPr>
        <w:t>法定代表人/主要负责人：</w:t>
      </w:r>
    </w:p>
    <w:p>
      <w:pPr>
        <w:tabs>
          <w:tab w:val="left" w:pos="6510"/>
        </w:tabs>
        <w:spacing w:line="360" w:lineRule="auto"/>
        <w:rPr>
          <w:rFonts w:ascii="仿宋" w:hAnsi="仿宋" w:eastAsia="仿宋" w:cs="仿宋"/>
          <w:color w:val="auto"/>
          <w:sz w:val="24"/>
          <w:u w:val="dotted"/>
        </w:rPr>
      </w:pPr>
      <w:r>
        <w:rPr>
          <w:rFonts w:hint="eastAsia" w:ascii="仿宋" w:hAnsi="仿宋" w:eastAsia="仿宋" w:cs="仿宋"/>
          <w:color w:val="auto"/>
          <w:sz w:val="24"/>
        </w:rPr>
        <w:t>联系电话：</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授权代表：联系电话</w:t>
      </w:r>
      <w:r>
        <w:rPr>
          <w:rFonts w:hint="eastAsia" w:ascii="仿宋" w:hAnsi="仿宋" w:eastAsia="仿宋" w:cs="仿宋"/>
          <w:color w:val="auto"/>
          <w:sz w:val="24"/>
          <w:u w:val="dotted"/>
        </w:rPr>
        <w:t xml:space="preserve">：                  </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地     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被投诉人1：</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联系人：联系电话：</w:t>
      </w:r>
    </w:p>
    <w:p>
      <w:pPr>
        <w:spacing w:line="360" w:lineRule="auto"/>
        <w:rPr>
          <w:rFonts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相关供应商：</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地     址：邮编：</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联系人：联系电话：</w:t>
      </w:r>
    </w:p>
    <w:p>
      <w:pPr>
        <w:spacing w:line="360" w:lineRule="auto"/>
        <w:rPr>
          <w:rFonts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采购项目名称：</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采购项目编号：包号：</w:t>
      </w:r>
    </w:p>
    <w:p>
      <w:pPr>
        <w:spacing w:line="360" w:lineRule="auto"/>
        <w:rPr>
          <w:rFonts w:ascii="仿宋" w:hAnsi="仿宋" w:eastAsia="仿宋" w:cs="仿宋"/>
          <w:color w:val="auto"/>
          <w:sz w:val="24"/>
        </w:rPr>
      </w:pPr>
      <w:r>
        <w:rPr>
          <w:rFonts w:hint="eastAsia" w:ascii="仿宋" w:hAnsi="仿宋" w:eastAsia="仿宋" w:cs="仿宋"/>
          <w:color w:val="auto"/>
          <w:sz w:val="24"/>
        </w:rPr>
        <w:t>采购人名称：</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代理机构名称：</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p>
    <w:p>
      <w:pPr>
        <w:spacing w:line="360" w:lineRule="auto"/>
        <w:rPr>
          <w:rFonts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ascii="仿宋" w:hAnsi="仿宋" w:eastAsia="仿宋" w:cs="仿宋"/>
          <w:color w:val="auto"/>
          <w:sz w:val="24"/>
          <w:u w:val="dotted"/>
        </w:rPr>
      </w:pPr>
      <w:r>
        <w:rPr>
          <w:rFonts w:hint="eastAsia" w:ascii="仿宋" w:hAnsi="仿宋" w:eastAsia="仿宋" w:cs="仿宋"/>
          <w:color w:val="auto"/>
          <w:sz w:val="24"/>
        </w:rPr>
        <w:t>投诉人于年月日,向提出质疑，质疑事项为：</w:t>
      </w:r>
    </w:p>
    <w:p>
      <w:pPr>
        <w:spacing w:line="360" w:lineRule="auto"/>
        <w:rPr>
          <w:rFonts w:ascii="仿宋" w:hAnsi="仿宋" w:eastAsia="仿宋" w:cs="仿宋"/>
          <w:color w:val="auto"/>
          <w:sz w:val="24"/>
          <w:u w:val="dotted"/>
        </w:rPr>
      </w:pPr>
    </w:p>
    <w:p>
      <w:pPr>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于年月日,就质疑事项作出了答复/没有在法定期限内作出答复。</w:t>
      </w:r>
    </w:p>
    <w:p>
      <w:pPr>
        <w:spacing w:line="360" w:lineRule="auto"/>
        <w:rPr>
          <w:rFonts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ascii="仿宋" w:hAnsi="仿宋" w:eastAsia="仿宋" w:cs="仿宋"/>
          <w:color w:val="auto"/>
          <w:sz w:val="24"/>
          <w:u w:val="single"/>
        </w:rPr>
      </w:pPr>
      <w:r>
        <w:rPr>
          <w:rFonts w:hint="eastAsia" w:ascii="仿宋" w:hAnsi="仿宋" w:eastAsia="仿宋" w:cs="仿宋"/>
          <w:color w:val="auto"/>
          <w:sz w:val="24"/>
        </w:rPr>
        <w:t>投诉事项 1：</w:t>
      </w:r>
    </w:p>
    <w:p>
      <w:pPr>
        <w:spacing w:line="360" w:lineRule="auto"/>
        <w:rPr>
          <w:rFonts w:ascii="仿宋" w:hAnsi="仿宋" w:eastAsia="仿宋" w:cs="仿宋"/>
          <w:color w:val="auto"/>
          <w:sz w:val="24"/>
        </w:rPr>
      </w:pPr>
      <w:r>
        <w:rPr>
          <w:rFonts w:hint="eastAsia" w:ascii="仿宋" w:hAnsi="仿宋" w:eastAsia="仿宋" w:cs="仿宋"/>
          <w:color w:val="auto"/>
          <w:sz w:val="24"/>
        </w:rPr>
        <w:t>事实依据：</w:t>
      </w:r>
    </w:p>
    <w:p>
      <w:pPr>
        <w:spacing w:line="360" w:lineRule="auto"/>
        <w:rPr>
          <w:rFonts w:ascii="仿宋" w:hAnsi="仿宋" w:eastAsia="仿宋" w:cs="仿宋"/>
          <w:color w:val="auto"/>
          <w:sz w:val="24"/>
          <w:u w:val="dotted"/>
        </w:rPr>
      </w:pPr>
    </w:p>
    <w:p>
      <w:pPr>
        <w:spacing w:line="360" w:lineRule="auto"/>
        <w:rPr>
          <w:rFonts w:ascii="仿宋" w:hAnsi="仿宋" w:eastAsia="仿宋" w:cs="仿宋"/>
          <w:color w:val="auto"/>
          <w:sz w:val="24"/>
          <w:u w:val="single"/>
        </w:rPr>
      </w:pPr>
      <w:r>
        <w:rPr>
          <w:rFonts w:hint="eastAsia" w:ascii="仿宋" w:hAnsi="仿宋" w:eastAsia="仿宋" w:cs="仿宋"/>
          <w:color w:val="auto"/>
          <w:sz w:val="24"/>
        </w:rPr>
        <w:t>法律依据：</w:t>
      </w:r>
    </w:p>
    <w:p>
      <w:pPr>
        <w:spacing w:line="360" w:lineRule="auto"/>
        <w:rPr>
          <w:rFonts w:ascii="仿宋" w:hAnsi="仿宋" w:eastAsia="仿宋" w:cs="仿宋"/>
          <w:color w:val="auto"/>
          <w:sz w:val="24"/>
          <w:u w:val="dotted"/>
        </w:rPr>
      </w:pPr>
    </w:p>
    <w:p>
      <w:pPr>
        <w:spacing w:line="360" w:lineRule="auto"/>
        <w:rPr>
          <w:rFonts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ascii="仿宋" w:hAnsi="仿宋" w:eastAsia="仿宋" w:cs="仿宋"/>
          <w:color w:val="auto"/>
          <w:sz w:val="24"/>
        </w:rPr>
      </w:pPr>
      <w:r>
        <w:rPr>
          <w:rFonts w:hint="eastAsia" w:ascii="仿宋" w:hAnsi="仿宋" w:eastAsia="仿宋" w:cs="仿宋"/>
          <w:color w:val="auto"/>
          <w:sz w:val="24"/>
        </w:rPr>
        <w:t>请求：</w:t>
      </w:r>
    </w:p>
    <w:p>
      <w:pPr>
        <w:spacing w:line="360" w:lineRule="auto"/>
        <w:rPr>
          <w:rFonts w:ascii="仿宋" w:hAnsi="仿宋" w:eastAsia="仿宋" w:cs="仿宋"/>
          <w:color w:val="auto"/>
          <w:sz w:val="24"/>
          <w:u w:val="single"/>
        </w:rPr>
      </w:pP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rPr>
      </w:pPr>
    </w:p>
    <w:p>
      <w:pPr>
        <w:autoSpaceDE w:val="0"/>
        <w:autoSpaceDN w:val="0"/>
        <w:jc w:val="center"/>
        <w:rPr>
          <w:rFonts w:ascii="仿宋" w:hAnsi="仿宋" w:eastAsia="仿宋" w:cs="仿宋"/>
          <w:b/>
          <w:color w:val="auto"/>
          <w:spacing w:val="6"/>
          <w:sz w:val="32"/>
          <w:szCs w:val="32"/>
        </w:rPr>
      </w:pPr>
    </w:p>
    <w:p>
      <w:pPr>
        <w:pStyle w:val="2"/>
        <w:rPr>
          <w:rFonts w:ascii="仿宋" w:eastAsia="仿宋" w:cs="仿宋"/>
          <w:color w:val="auto"/>
          <w:lang w:val="en-US"/>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你方组织的（项目名称）项目【招标编号：（采购编号）】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firstLine="494"/>
        <w:rPr>
          <w:rFonts w:ascii="仿宋" w:hAnsi="仿宋" w:eastAsia="仿宋" w:cs="仿宋"/>
          <w:color w:val="auto"/>
          <w:sz w:val="24"/>
        </w:rPr>
      </w:pPr>
    </w:p>
    <w:p>
      <w:pPr>
        <w:spacing w:line="360" w:lineRule="auto"/>
        <w:ind w:right="480" w:firstLine="4080" w:firstLineChars="1700"/>
        <w:rPr>
          <w:rFonts w:ascii="仿宋" w:hAnsi="仿宋" w:eastAsia="仿宋" w:cs="仿宋"/>
          <w:color w:val="auto"/>
          <w:sz w:val="24"/>
        </w:rPr>
      </w:pPr>
      <w:r>
        <w:rPr>
          <w:rFonts w:hint="eastAsia" w:ascii="仿宋" w:hAnsi="仿宋" w:eastAsia="仿宋" w:cs="仿宋"/>
          <w:color w:val="auto"/>
          <w:sz w:val="24"/>
        </w:rPr>
        <w:t>投标单位（法定名称章）：</w:t>
      </w:r>
    </w:p>
    <w:p>
      <w:pPr>
        <w:ind w:right="1440" w:firstLine="494"/>
        <w:jc w:val="center"/>
        <w:rPr>
          <w:rFonts w:ascii="仿宋" w:hAnsi="仿宋" w:eastAsia="仿宋" w:cs="仿宋"/>
          <w:color w:val="auto"/>
          <w:sz w:val="24"/>
        </w:rPr>
      </w:pPr>
      <w:r>
        <w:rPr>
          <w:rFonts w:hint="eastAsia" w:ascii="仿宋" w:hAnsi="仿宋" w:eastAsia="仿宋" w:cs="仿宋"/>
          <w:color w:val="auto"/>
          <w:sz w:val="24"/>
        </w:rPr>
        <w:t xml:space="preserve">                              日期：       年     月     日</w:t>
      </w:r>
    </w:p>
    <w:p>
      <w:pPr>
        <w:rPr>
          <w:rFonts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ascii="仿宋" w:hAnsi="仿宋" w:eastAsia="仿宋" w:cs="仿宋"/>
          <w:bCs/>
          <w:color w:val="auto"/>
          <w:sz w:val="24"/>
        </w:rPr>
      </w:pPr>
      <w:r>
        <w:rPr>
          <w:rFonts w:ascii="仿宋" w:hAnsi="仿宋" w:eastAsia="仿宋" w:cs="仿宋"/>
          <w:b/>
          <w:bCs/>
          <w:color w:val="auto"/>
          <w:sz w:val="24"/>
        </w:rPr>
        <w:pict>
          <v:rect id="Rectangle 17" o:spid="_x0000_s1028"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cs="仿宋"/>
          <w:b/>
          <w:bCs/>
          <w:color w:val="auto"/>
          <w:sz w:val="24"/>
        </w:rPr>
        <w:pict>
          <v:rect id="Rectangle 16" o:spid="_x0000_s1029"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仿宋"/>
          <w:color w:val="auto"/>
          <w:sz w:val="24"/>
        </w:rPr>
        <w:t>投标单位法定名称章（印模）                投标单位“XX专用章”（印模）</w:t>
      </w: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color w:val="auto"/>
          <w:spacing w:val="6"/>
          <w:sz w:val="32"/>
          <w:szCs w:val="32"/>
        </w:rPr>
      </w:pPr>
    </w:p>
    <w:p>
      <w:pPr>
        <w:autoSpaceDE w:val="0"/>
        <w:autoSpaceDN w:val="0"/>
        <w:jc w:val="center"/>
        <w:rPr>
          <w:rFonts w:ascii="仿宋" w:hAnsi="仿宋" w:eastAsia="仿宋" w:cs="仿宋"/>
          <w:b/>
          <w:bCs/>
          <w:color w:val="auto"/>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sz w:val="32"/>
          <w:szCs w:val="32"/>
        </w:rPr>
        <w:t>中小企业声明函</w:t>
      </w:r>
    </w:p>
    <w:p>
      <w:pPr>
        <w:spacing w:line="360" w:lineRule="auto"/>
        <w:jc w:val="center"/>
        <w:rPr>
          <w:rFonts w:ascii="仿宋" w:hAnsi="仿宋" w:eastAsia="仿宋" w:cs="仿宋"/>
          <w:color w:val="auto"/>
          <w:sz w:val="24"/>
          <w:u w:val="single"/>
        </w:rPr>
      </w:pPr>
    </w:p>
    <w:p>
      <w:pPr>
        <w:spacing w:line="36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rPr>
          <w:rFonts w:ascii="仿宋" w:hAnsi="仿宋" w:eastAsia="仿宋" w:cs="仿宋"/>
          <w:color w:val="auto"/>
        </w:rPr>
      </w:pPr>
    </w:p>
    <w:p>
      <w:pPr>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本公司郑重声明，根据《政府采购促进中小企业发展管理办法》（财库﹝2020﹞46 号）的规定，本公司参加</w:t>
      </w:r>
      <w:r>
        <w:rPr>
          <w:rFonts w:hint="eastAsia" w:ascii="仿宋" w:hAnsi="仿宋" w:eastAsia="仿宋" w:cs="仿宋"/>
          <w:color w:val="auto"/>
          <w:sz w:val="24"/>
          <w:u w:val="single"/>
        </w:rPr>
        <w:t>（单位名称）</w:t>
      </w:r>
      <w:r>
        <w:rPr>
          <w:rFonts w:hint="eastAsia" w:ascii="仿宋" w:hAnsi="仿宋" w:eastAsia="仿宋" w:cs="仿宋"/>
          <w:color w:val="auto"/>
          <w:sz w:val="24"/>
        </w:rPr>
        <w:t>的</w:t>
      </w:r>
      <w:r>
        <w:rPr>
          <w:rFonts w:hint="eastAsia" w:ascii="仿宋" w:hAnsi="仿宋" w:eastAsia="仿宋" w:cs="仿宋"/>
          <w:color w:val="auto"/>
          <w:sz w:val="24"/>
          <w:u w:val="single"/>
        </w:rPr>
        <w:t>（项目名称）</w:t>
      </w:r>
      <w:r>
        <w:rPr>
          <w:rFonts w:hint="eastAsia" w:ascii="仿宋" w:hAnsi="仿宋" w:eastAsia="仿宋" w:cs="仿宋"/>
          <w:color w:val="auto"/>
          <w:sz w:val="24"/>
        </w:rPr>
        <w:t>采购活动，服务全部由符合政策要求的中小企业承接。相关企业的具体情况如下：</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u w:val="single"/>
        </w:rPr>
        <w:t>（标的名称）</w:t>
      </w:r>
      <w:r>
        <w:rPr>
          <w:rFonts w:hint="eastAsia" w:ascii="仿宋" w:hAnsi="仿宋" w:eastAsia="仿宋" w:cs="仿宋"/>
          <w:color w:val="auto"/>
          <w:sz w:val="24"/>
        </w:rPr>
        <w:t>，属于</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ascii="仿宋" w:hAnsi="仿宋" w:eastAsia="仿宋" w:cs="仿宋"/>
          <w:color w:val="auto"/>
          <w:sz w:val="24"/>
        </w:rPr>
      </w:pPr>
      <w:r>
        <w:rPr>
          <w:rFonts w:hint="eastAsia" w:ascii="仿宋" w:hAnsi="仿宋" w:eastAsia="仿宋" w:cs="仿宋"/>
          <w:color w:val="auto"/>
          <w:sz w:val="24"/>
        </w:rPr>
        <w:t>日期：</w:t>
      </w:r>
    </w:p>
    <w:p>
      <w:pPr>
        <w:spacing w:line="360" w:lineRule="auto"/>
        <w:ind w:firstLine="310" w:firstLineChars="147"/>
        <w:jc w:val="left"/>
        <w:rPr>
          <w:rFonts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ascii="仿宋" w:hAnsi="仿宋" w:eastAsia="仿宋" w:cs="仿宋"/>
          <w:color w:val="auto"/>
          <w:sz w:val="24"/>
        </w:rPr>
      </w:pPr>
    </w:p>
    <w:p>
      <w:pPr>
        <w:spacing w:line="360" w:lineRule="auto"/>
        <w:ind w:right="420"/>
        <w:rPr>
          <w:rFonts w:ascii="仿宋" w:hAnsi="仿宋" w:eastAsia="仿宋" w:cs="仿宋"/>
          <w:color w:val="auto"/>
          <w:sz w:val="24"/>
        </w:rPr>
      </w:pPr>
      <w:r>
        <w:rPr>
          <w:rFonts w:hint="eastAsia" w:ascii="仿宋" w:hAnsi="仿宋" w:eastAsia="仿宋" w:cs="仿宋"/>
          <w:color w:val="auto"/>
          <w:sz w:val="24"/>
        </w:rPr>
        <w:t xml:space="preserve">   注：符合《关于促进残疾人就业政府采购政策的通知》（财库〔2017〕141号）规定的条件并提供《残疾人福利性单位声明函》（附件1）的残疾人福利性单位视同中小企业；根据《关于政府采购支持监狱企业发展有关问题的通知》（财库[2014]68号）的规定，投标人提供由省级以上监狱管理局、戒毒管理局（含新疆生产建设兵团）出具的属于监狱企业证明文件的，视同为中小企业。</w:t>
      </w: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jc w:val="center"/>
        <w:rPr>
          <w:rFonts w:ascii="仿宋" w:hAnsi="仿宋" w:eastAsia="仿宋" w:cs="仿宋"/>
          <w:b/>
          <w:color w:val="auto"/>
          <w:sz w:val="32"/>
          <w:szCs w:val="32"/>
        </w:rPr>
      </w:pPr>
    </w:p>
    <w:p>
      <w:pPr>
        <w:spacing w:line="360" w:lineRule="auto"/>
        <w:rPr>
          <w:rFonts w:ascii="仿宋" w:hAnsi="仿宋" w:eastAsia="仿宋" w:cs="仿宋"/>
          <w:bCs/>
          <w:color w:val="auto"/>
          <w:sz w:val="24"/>
        </w:rPr>
      </w:pPr>
    </w:p>
    <w:p>
      <w:pPr>
        <w:spacing w:line="360" w:lineRule="auto"/>
        <w:ind w:right="420"/>
        <w:rPr>
          <w:rFonts w:ascii="仿宋" w:hAnsi="仿宋" w:eastAsia="仿宋" w:cs="仿宋"/>
          <w:b/>
          <w:color w:val="auto"/>
          <w:kern w:val="0"/>
          <w:sz w:val="36"/>
          <w:szCs w:val="36"/>
        </w:rPr>
      </w:pPr>
    </w:p>
    <w:bookmarkEnd w:id="558"/>
    <w:sectPr>
      <w:headerReference r:id="rId17" w:type="first"/>
      <w:footerReference r:id="rId19" w:type="first"/>
      <w:headerReference r:id="rId16" w:type="default"/>
      <w:footerReference r:id="rId18" w:type="default"/>
      <w:pgSz w:w="11906" w:h="16838"/>
      <w:pgMar w:top="1247" w:right="1417" w:bottom="1276" w:left="141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微软雅黑"/>
    <w:panose1 w:val="00000000000000000000"/>
    <w:charset w:val="00"/>
    <w:family w:val="roman"/>
    <w:pitch w:val="default"/>
    <w:sig w:usb0="00000000" w:usb1="00000000" w:usb2="00000010" w:usb3="00000000" w:csb0="0004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51</w:t>
    </w:r>
    <w:r>
      <w:rPr>
        <w:rFonts w:hint="eastAsia" w:ascii="仿宋_GB2312" w:eastAsia="仿宋_GB2312"/>
        <w:kern w:val="0"/>
        <w:szCs w:val="21"/>
      </w:rPr>
      <w:fldChar w:fldCharType="end"/>
    </w:r>
    <w:bookmarkStart w:id="554" w:name="_Toc164085800"/>
    <w:bookmarkStart w:id="555" w:name="_Toc36110187"/>
    <w:bookmarkStart w:id="556" w:name="_Toc91899912"/>
    <w:bookmarkStart w:id="557" w:name="_Toc131845147"/>
    <w:r>
      <w:rPr>
        <w:rFonts w:hint="eastAsia" w:ascii="仿宋_GB2312" w:eastAsia="仿宋_GB2312"/>
        <w:kern w:val="0"/>
        <w:szCs w:val="21"/>
      </w:rPr>
      <w:t xml:space="preserve"> 页</w:t>
    </w:r>
    <w:bookmarkEnd w:id="554"/>
    <w:bookmarkEnd w:id="555"/>
    <w:bookmarkEnd w:id="556"/>
    <w:bookmarkEnd w:id="557"/>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建德</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建德市</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建德</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jc w:val="right"/>
    </w:pPr>
    <w:r>
      <w:rPr>
        <w:rFonts w:hint="eastAsia"/>
      </w:rPr>
      <w:t>建德市</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建德</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建德</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建德</w:t>
    </w:r>
    <w:r>
      <w:t>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建德市</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E8E6A"/>
    <w:multiLevelType w:val="singleLevel"/>
    <w:tmpl w:val="531E8E6A"/>
    <w:lvl w:ilvl="0" w:tentative="0">
      <w:start w:val="1"/>
      <w:numFmt w:val="chineseCounting"/>
      <w:suff w:val="nothing"/>
      <w:lvlText w:val="%1、"/>
      <w:lvlJc w:val="left"/>
      <w:pPr>
        <w:ind w:left="0" w:firstLine="0"/>
      </w:pPr>
    </w:lvl>
  </w:abstractNum>
  <w:abstractNum w:abstractNumId="1">
    <w:nsid w:val="628F31B3"/>
    <w:multiLevelType w:val="singleLevel"/>
    <w:tmpl w:val="628F31B3"/>
    <w:lvl w:ilvl="0" w:tentative="0">
      <w:start w:val="3"/>
      <w:numFmt w:val="chineseCounting"/>
      <w:suff w:val="nothing"/>
      <w:lvlText w:val="%1、"/>
      <w:lvlJc w:val="left"/>
    </w:lvl>
  </w:abstractNum>
  <w:abstractNum w:abstractNumId="2">
    <w:nsid w:val="628F332D"/>
    <w:multiLevelType w:val="singleLevel"/>
    <w:tmpl w:val="628F332D"/>
    <w:lvl w:ilvl="0" w:tentative="0">
      <w:start w:val="2"/>
      <w:numFmt w:val="decimal"/>
      <w:suff w:val="nothing"/>
      <w:lvlText w:val="（%1）"/>
      <w:lvlJc w:val="left"/>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GZlNDVkYjFhMzdhMDMyNjY5YWYzZTVhMjA4NWY3NjYifQ=="/>
  </w:docVars>
  <w:rsids>
    <w:rsidRoot w:val="00172A27"/>
    <w:rsid w:val="00000451"/>
    <w:rsid w:val="0000108B"/>
    <w:rsid w:val="0000133D"/>
    <w:rsid w:val="00001509"/>
    <w:rsid w:val="000032B2"/>
    <w:rsid w:val="0000363B"/>
    <w:rsid w:val="00004C4C"/>
    <w:rsid w:val="000058BD"/>
    <w:rsid w:val="00006109"/>
    <w:rsid w:val="00006150"/>
    <w:rsid w:val="000063E8"/>
    <w:rsid w:val="00006725"/>
    <w:rsid w:val="0000675E"/>
    <w:rsid w:val="00007CAA"/>
    <w:rsid w:val="00010FE9"/>
    <w:rsid w:val="0001122F"/>
    <w:rsid w:val="00011A4B"/>
    <w:rsid w:val="00012251"/>
    <w:rsid w:val="0001337C"/>
    <w:rsid w:val="0001374F"/>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69AE"/>
    <w:rsid w:val="00047354"/>
    <w:rsid w:val="00047A06"/>
    <w:rsid w:val="00047F6F"/>
    <w:rsid w:val="00050656"/>
    <w:rsid w:val="00050A19"/>
    <w:rsid w:val="000511B6"/>
    <w:rsid w:val="00051B00"/>
    <w:rsid w:val="00051C72"/>
    <w:rsid w:val="00051E7C"/>
    <w:rsid w:val="00052192"/>
    <w:rsid w:val="0005238F"/>
    <w:rsid w:val="00052787"/>
    <w:rsid w:val="00052BB8"/>
    <w:rsid w:val="0005417A"/>
    <w:rsid w:val="00054D39"/>
    <w:rsid w:val="0005501B"/>
    <w:rsid w:val="000550F5"/>
    <w:rsid w:val="00055337"/>
    <w:rsid w:val="000554C7"/>
    <w:rsid w:val="0005553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AFC"/>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A2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3B1"/>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20F"/>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ACC"/>
    <w:rsid w:val="000D5EA6"/>
    <w:rsid w:val="000D5F00"/>
    <w:rsid w:val="000D6C9F"/>
    <w:rsid w:val="000D6E3B"/>
    <w:rsid w:val="000D6F30"/>
    <w:rsid w:val="000D74E4"/>
    <w:rsid w:val="000D7C9D"/>
    <w:rsid w:val="000D7CE0"/>
    <w:rsid w:val="000E2785"/>
    <w:rsid w:val="000E27BB"/>
    <w:rsid w:val="000E2E20"/>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E7DCB"/>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6FE"/>
    <w:rsid w:val="001168F8"/>
    <w:rsid w:val="00116D6C"/>
    <w:rsid w:val="001176FF"/>
    <w:rsid w:val="0012153F"/>
    <w:rsid w:val="0012159D"/>
    <w:rsid w:val="00121804"/>
    <w:rsid w:val="00121EC9"/>
    <w:rsid w:val="001224FE"/>
    <w:rsid w:val="001231D3"/>
    <w:rsid w:val="001232A7"/>
    <w:rsid w:val="00123F7C"/>
    <w:rsid w:val="001240F7"/>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69FB"/>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3F2"/>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02"/>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5B0"/>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5B17"/>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09"/>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BE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3666"/>
    <w:rsid w:val="0024415B"/>
    <w:rsid w:val="00245565"/>
    <w:rsid w:val="0024579D"/>
    <w:rsid w:val="002458C1"/>
    <w:rsid w:val="002458C7"/>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3BC1"/>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4E3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F9"/>
    <w:rsid w:val="002866EC"/>
    <w:rsid w:val="0028744E"/>
    <w:rsid w:val="002876D2"/>
    <w:rsid w:val="00287936"/>
    <w:rsid w:val="00287BB7"/>
    <w:rsid w:val="002903C5"/>
    <w:rsid w:val="0029041B"/>
    <w:rsid w:val="00290A99"/>
    <w:rsid w:val="00290EAF"/>
    <w:rsid w:val="0029159A"/>
    <w:rsid w:val="00291BBB"/>
    <w:rsid w:val="00291CF1"/>
    <w:rsid w:val="00292AA1"/>
    <w:rsid w:val="00294012"/>
    <w:rsid w:val="002945B0"/>
    <w:rsid w:val="0029499D"/>
    <w:rsid w:val="00294A13"/>
    <w:rsid w:val="00294B10"/>
    <w:rsid w:val="00294DF9"/>
    <w:rsid w:val="00295073"/>
    <w:rsid w:val="00295468"/>
    <w:rsid w:val="00296C32"/>
    <w:rsid w:val="0029778E"/>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4AD"/>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694C"/>
    <w:rsid w:val="002C70E7"/>
    <w:rsid w:val="002D0C27"/>
    <w:rsid w:val="002D0E88"/>
    <w:rsid w:val="002D0EA7"/>
    <w:rsid w:val="002D0F31"/>
    <w:rsid w:val="002D1593"/>
    <w:rsid w:val="002D1A1E"/>
    <w:rsid w:val="002D22A6"/>
    <w:rsid w:val="002D2574"/>
    <w:rsid w:val="002D2819"/>
    <w:rsid w:val="002D2CD6"/>
    <w:rsid w:val="002D2F81"/>
    <w:rsid w:val="002D371F"/>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255"/>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917"/>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240"/>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74B"/>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6C"/>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19E"/>
    <w:rsid w:val="003A373C"/>
    <w:rsid w:val="003A5378"/>
    <w:rsid w:val="003A553C"/>
    <w:rsid w:val="003A56DF"/>
    <w:rsid w:val="003A6008"/>
    <w:rsid w:val="003A703F"/>
    <w:rsid w:val="003A7E2B"/>
    <w:rsid w:val="003A7E40"/>
    <w:rsid w:val="003B0336"/>
    <w:rsid w:val="003B0A3A"/>
    <w:rsid w:val="003B0D79"/>
    <w:rsid w:val="003B2930"/>
    <w:rsid w:val="003B31A7"/>
    <w:rsid w:val="003B443E"/>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1E9C"/>
    <w:rsid w:val="003E20F7"/>
    <w:rsid w:val="003E336A"/>
    <w:rsid w:val="003E3E2F"/>
    <w:rsid w:val="003E4048"/>
    <w:rsid w:val="003E4CE5"/>
    <w:rsid w:val="003E5D0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F91"/>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2DB"/>
    <w:rsid w:val="00422907"/>
    <w:rsid w:val="00423125"/>
    <w:rsid w:val="00423309"/>
    <w:rsid w:val="004233AD"/>
    <w:rsid w:val="00423C5E"/>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756"/>
    <w:rsid w:val="00440814"/>
    <w:rsid w:val="0044105D"/>
    <w:rsid w:val="00441424"/>
    <w:rsid w:val="0044233E"/>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847"/>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301"/>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BFA"/>
    <w:rsid w:val="004C0D40"/>
    <w:rsid w:val="004C114F"/>
    <w:rsid w:val="004C11A9"/>
    <w:rsid w:val="004C27CF"/>
    <w:rsid w:val="004C2CA7"/>
    <w:rsid w:val="004C33B6"/>
    <w:rsid w:val="004C3592"/>
    <w:rsid w:val="004C45C8"/>
    <w:rsid w:val="004C4F8F"/>
    <w:rsid w:val="004C5F4B"/>
    <w:rsid w:val="004C612E"/>
    <w:rsid w:val="004C61B8"/>
    <w:rsid w:val="004C63EA"/>
    <w:rsid w:val="004C69FE"/>
    <w:rsid w:val="004C6C0A"/>
    <w:rsid w:val="004C6C6D"/>
    <w:rsid w:val="004C77FF"/>
    <w:rsid w:val="004C7DB0"/>
    <w:rsid w:val="004C7FFC"/>
    <w:rsid w:val="004D0223"/>
    <w:rsid w:val="004D0C4C"/>
    <w:rsid w:val="004D16A3"/>
    <w:rsid w:val="004D1934"/>
    <w:rsid w:val="004D1E41"/>
    <w:rsid w:val="004D21A6"/>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5FE"/>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62A"/>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37C"/>
    <w:rsid w:val="00576B5C"/>
    <w:rsid w:val="005770CC"/>
    <w:rsid w:val="005802F9"/>
    <w:rsid w:val="005806D5"/>
    <w:rsid w:val="00580DFC"/>
    <w:rsid w:val="0058134C"/>
    <w:rsid w:val="005815CD"/>
    <w:rsid w:val="005827A7"/>
    <w:rsid w:val="00583D43"/>
    <w:rsid w:val="005844EB"/>
    <w:rsid w:val="005846C3"/>
    <w:rsid w:val="00584F04"/>
    <w:rsid w:val="0058544C"/>
    <w:rsid w:val="00585623"/>
    <w:rsid w:val="005857F7"/>
    <w:rsid w:val="005865E9"/>
    <w:rsid w:val="005868FD"/>
    <w:rsid w:val="00587D7B"/>
    <w:rsid w:val="005904DB"/>
    <w:rsid w:val="005905ED"/>
    <w:rsid w:val="00590AE7"/>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56C"/>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22"/>
    <w:rsid w:val="005E1AB4"/>
    <w:rsid w:val="005E255B"/>
    <w:rsid w:val="005E2CF7"/>
    <w:rsid w:val="005E4543"/>
    <w:rsid w:val="005E4A1C"/>
    <w:rsid w:val="005E4C7E"/>
    <w:rsid w:val="005E56C9"/>
    <w:rsid w:val="005E5CF7"/>
    <w:rsid w:val="005E5FF0"/>
    <w:rsid w:val="005E642A"/>
    <w:rsid w:val="005E65A7"/>
    <w:rsid w:val="005E6F1E"/>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A22"/>
    <w:rsid w:val="00603B1C"/>
    <w:rsid w:val="00604055"/>
    <w:rsid w:val="006042CD"/>
    <w:rsid w:val="00605217"/>
    <w:rsid w:val="006054A5"/>
    <w:rsid w:val="006059E4"/>
    <w:rsid w:val="00605D60"/>
    <w:rsid w:val="006062A0"/>
    <w:rsid w:val="00607015"/>
    <w:rsid w:val="0061098D"/>
    <w:rsid w:val="00610B78"/>
    <w:rsid w:val="00611B59"/>
    <w:rsid w:val="00611FBA"/>
    <w:rsid w:val="00612098"/>
    <w:rsid w:val="0061272A"/>
    <w:rsid w:val="00612D3F"/>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C75"/>
    <w:rsid w:val="006212D3"/>
    <w:rsid w:val="00621639"/>
    <w:rsid w:val="00622B22"/>
    <w:rsid w:val="00622F67"/>
    <w:rsid w:val="00623571"/>
    <w:rsid w:val="00623A5E"/>
    <w:rsid w:val="00623FBF"/>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573"/>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47E80"/>
    <w:rsid w:val="00650D19"/>
    <w:rsid w:val="00652838"/>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282"/>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69C"/>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6E0"/>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9DA"/>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FCE"/>
    <w:rsid w:val="006E727B"/>
    <w:rsid w:val="006E76C8"/>
    <w:rsid w:val="006E7A92"/>
    <w:rsid w:val="006F01FF"/>
    <w:rsid w:val="006F0CB2"/>
    <w:rsid w:val="006F1DE9"/>
    <w:rsid w:val="006F2046"/>
    <w:rsid w:val="006F2F59"/>
    <w:rsid w:val="006F311E"/>
    <w:rsid w:val="006F3442"/>
    <w:rsid w:val="006F36A5"/>
    <w:rsid w:val="006F41F4"/>
    <w:rsid w:val="006F440F"/>
    <w:rsid w:val="006F4576"/>
    <w:rsid w:val="006F5813"/>
    <w:rsid w:val="006F59A8"/>
    <w:rsid w:val="006F5A1D"/>
    <w:rsid w:val="006F71A6"/>
    <w:rsid w:val="006F7974"/>
    <w:rsid w:val="006F7C2C"/>
    <w:rsid w:val="006F7FD5"/>
    <w:rsid w:val="00700405"/>
    <w:rsid w:val="00700479"/>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7B7"/>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3C0"/>
    <w:rsid w:val="0072454E"/>
    <w:rsid w:val="007249D1"/>
    <w:rsid w:val="00724FE4"/>
    <w:rsid w:val="00725829"/>
    <w:rsid w:val="00725D6A"/>
    <w:rsid w:val="00726380"/>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596"/>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462"/>
    <w:rsid w:val="00782CF3"/>
    <w:rsid w:val="00783959"/>
    <w:rsid w:val="00783BA5"/>
    <w:rsid w:val="007844A9"/>
    <w:rsid w:val="00785091"/>
    <w:rsid w:val="0078638C"/>
    <w:rsid w:val="007869F9"/>
    <w:rsid w:val="00786CBB"/>
    <w:rsid w:val="00786E21"/>
    <w:rsid w:val="0079038E"/>
    <w:rsid w:val="00790EBB"/>
    <w:rsid w:val="00791563"/>
    <w:rsid w:val="00791C6E"/>
    <w:rsid w:val="007921F7"/>
    <w:rsid w:val="00792692"/>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8A"/>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407"/>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3DE5"/>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15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277A"/>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A1"/>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C71"/>
    <w:rsid w:val="00850013"/>
    <w:rsid w:val="008500DD"/>
    <w:rsid w:val="00850A0A"/>
    <w:rsid w:val="00850A94"/>
    <w:rsid w:val="00851E96"/>
    <w:rsid w:val="00851F1C"/>
    <w:rsid w:val="00852FA5"/>
    <w:rsid w:val="008535E8"/>
    <w:rsid w:val="00853F7D"/>
    <w:rsid w:val="0085439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BD0"/>
    <w:rsid w:val="008A3C76"/>
    <w:rsid w:val="008A3D54"/>
    <w:rsid w:val="008A3E10"/>
    <w:rsid w:val="008A411C"/>
    <w:rsid w:val="008A4630"/>
    <w:rsid w:val="008A47CE"/>
    <w:rsid w:val="008A4DFA"/>
    <w:rsid w:val="008A516C"/>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361"/>
    <w:rsid w:val="008B5AB9"/>
    <w:rsid w:val="008B6455"/>
    <w:rsid w:val="008B67E6"/>
    <w:rsid w:val="008B69B8"/>
    <w:rsid w:val="008B7042"/>
    <w:rsid w:val="008B770C"/>
    <w:rsid w:val="008C0325"/>
    <w:rsid w:val="008C083B"/>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728"/>
    <w:rsid w:val="00906EA2"/>
    <w:rsid w:val="00907278"/>
    <w:rsid w:val="00910041"/>
    <w:rsid w:val="00910209"/>
    <w:rsid w:val="0091112B"/>
    <w:rsid w:val="00911D61"/>
    <w:rsid w:val="00912850"/>
    <w:rsid w:val="009128B8"/>
    <w:rsid w:val="0091472C"/>
    <w:rsid w:val="00914DC9"/>
    <w:rsid w:val="00915351"/>
    <w:rsid w:val="00915679"/>
    <w:rsid w:val="009159C2"/>
    <w:rsid w:val="0091627F"/>
    <w:rsid w:val="00916E45"/>
    <w:rsid w:val="0092077A"/>
    <w:rsid w:val="00920DC0"/>
    <w:rsid w:val="00921436"/>
    <w:rsid w:val="009219F3"/>
    <w:rsid w:val="00921AF8"/>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D21"/>
    <w:rsid w:val="009335D9"/>
    <w:rsid w:val="0093386D"/>
    <w:rsid w:val="00934C8E"/>
    <w:rsid w:val="00934CF0"/>
    <w:rsid w:val="00935194"/>
    <w:rsid w:val="00936EA5"/>
    <w:rsid w:val="00937114"/>
    <w:rsid w:val="0094015D"/>
    <w:rsid w:val="00940916"/>
    <w:rsid w:val="009412B7"/>
    <w:rsid w:val="00941B13"/>
    <w:rsid w:val="0094215C"/>
    <w:rsid w:val="00942F8E"/>
    <w:rsid w:val="00943543"/>
    <w:rsid w:val="00943547"/>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6DB"/>
    <w:rsid w:val="009550DB"/>
    <w:rsid w:val="009555C1"/>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3DDC"/>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A6D"/>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7EC"/>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95F"/>
    <w:rsid w:val="00996EF4"/>
    <w:rsid w:val="00997044"/>
    <w:rsid w:val="00997897"/>
    <w:rsid w:val="00997BC9"/>
    <w:rsid w:val="009A113D"/>
    <w:rsid w:val="009A1ECA"/>
    <w:rsid w:val="009A2BE9"/>
    <w:rsid w:val="009A2BF3"/>
    <w:rsid w:val="009A30BD"/>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B79"/>
    <w:rsid w:val="009C10DA"/>
    <w:rsid w:val="009C19FC"/>
    <w:rsid w:val="009C2108"/>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0F8"/>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4E4"/>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6E4C"/>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8CD"/>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61B8"/>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3F5E"/>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2713"/>
    <w:rsid w:val="00AE315E"/>
    <w:rsid w:val="00AE319F"/>
    <w:rsid w:val="00AE31D9"/>
    <w:rsid w:val="00AE3AD3"/>
    <w:rsid w:val="00AE3C7D"/>
    <w:rsid w:val="00AE3CF0"/>
    <w:rsid w:val="00AE4546"/>
    <w:rsid w:val="00AE6575"/>
    <w:rsid w:val="00AE68FB"/>
    <w:rsid w:val="00AE71EE"/>
    <w:rsid w:val="00AF03CF"/>
    <w:rsid w:val="00AF0A0A"/>
    <w:rsid w:val="00AF14FC"/>
    <w:rsid w:val="00AF1615"/>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48"/>
    <w:rsid w:val="00B11A61"/>
    <w:rsid w:val="00B12082"/>
    <w:rsid w:val="00B12648"/>
    <w:rsid w:val="00B1270C"/>
    <w:rsid w:val="00B12710"/>
    <w:rsid w:val="00B13389"/>
    <w:rsid w:val="00B1364C"/>
    <w:rsid w:val="00B13EA3"/>
    <w:rsid w:val="00B13EDB"/>
    <w:rsid w:val="00B141A5"/>
    <w:rsid w:val="00B14F47"/>
    <w:rsid w:val="00B15282"/>
    <w:rsid w:val="00B15286"/>
    <w:rsid w:val="00B1539F"/>
    <w:rsid w:val="00B1550D"/>
    <w:rsid w:val="00B15F6C"/>
    <w:rsid w:val="00B163E8"/>
    <w:rsid w:val="00B17436"/>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6F86"/>
    <w:rsid w:val="00B274E3"/>
    <w:rsid w:val="00B2765C"/>
    <w:rsid w:val="00B27C4B"/>
    <w:rsid w:val="00B30243"/>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265"/>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385"/>
    <w:rsid w:val="00B6677F"/>
    <w:rsid w:val="00B66C7A"/>
    <w:rsid w:val="00B672EA"/>
    <w:rsid w:val="00B6747B"/>
    <w:rsid w:val="00B70200"/>
    <w:rsid w:val="00B702D7"/>
    <w:rsid w:val="00B70389"/>
    <w:rsid w:val="00B70E01"/>
    <w:rsid w:val="00B71E35"/>
    <w:rsid w:val="00B72CF0"/>
    <w:rsid w:val="00B7380E"/>
    <w:rsid w:val="00B740F6"/>
    <w:rsid w:val="00B74615"/>
    <w:rsid w:val="00B74789"/>
    <w:rsid w:val="00B755B6"/>
    <w:rsid w:val="00B75977"/>
    <w:rsid w:val="00B75A48"/>
    <w:rsid w:val="00B75CC0"/>
    <w:rsid w:val="00B75D0F"/>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594B"/>
    <w:rsid w:val="00B86289"/>
    <w:rsid w:val="00B863B3"/>
    <w:rsid w:val="00B869D3"/>
    <w:rsid w:val="00B86CF8"/>
    <w:rsid w:val="00B86E44"/>
    <w:rsid w:val="00B87359"/>
    <w:rsid w:val="00B87F1C"/>
    <w:rsid w:val="00B90D8D"/>
    <w:rsid w:val="00B91263"/>
    <w:rsid w:val="00B91B61"/>
    <w:rsid w:val="00B91EF6"/>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DC6"/>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A7F4F"/>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861"/>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5BD"/>
    <w:rsid w:val="00C00BF6"/>
    <w:rsid w:val="00C0234A"/>
    <w:rsid w:val="00C0247B"/>
    <w:rsid w:val="00C0378E"/>
    <w:rsid w:val="00C04314"/>
    <w:rsid w:val="00C04BD0"/>
    <w:rsid w:val="00C05730"/>
    <w:rsid w:val="00C05AF4"/>
    <w:rsid w:val="00C05AFD"/>
    <w:rsid w:val="00C0661C"/>
    <w:rsid w:val="00C0675F"/>
    <w:rsid w:val="00C0702A"/>
    <w:rsid w:val="00C0724C"/>
    <w:rsid w:val="00C072BE"/>
    <w:rsid w:val="00C07C11"/>
    <w:rsid w:val="00C07E10"/>
    <w:rsid w:val="00C10015"/>
    <w:rsid w:val="00C1106A"/>
    <w:rsid w:val="00C1110A"/>
    <w:rsid w:val="00C11689"/>
    <w:rsid w:val="00C12414"/>
    <w:rsid w:val="00C12ECB"/>
    <w:rsid w:val="00C13EE8"/>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0BE"/>
    <w:rsid w:val="00C24381"/>
    <w:rsid w:val="00C24801"/>
    <w:rsid w:val="00C24C2E"/>
    <w:rsid w:val="00C24C7A"/>
    <w:rsid w:val="00C24FFB"/>
    <w:rsid w:val="00C25CFF"/>
    <w:rsid w:val="00C25EA6"/>
    <w:rsid w:val="00C25EF1"/>
    <w:rsid w:val="00C26164"/>
    <w:rsid w:val="00C261C1"/>
    <w:rsid w:val="00C26574"/>
    <w:rsid w:val="00C26DBF"/>
    <w:rsid w:val="00C27199"/>
    <w:rsid w:val="00C27204"/>
    <w:rsid w:val="00C304E9"/>
    <w:rsid w:val="00C30AE6"/>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E9D"/>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D97"/>
    <w:rsid w:val="00C75A8F"/>
    <w:rsid w:val="00C76129"/>
    <w:rsid w:val="00C76C0C"/>
    <w:rsid w:val="00C76FFC"/>
    <w:rsid w:val="00C774E0"/>
    <w:rsid w:val="00C776BA"/>
    <w:rsid w:val="00C7791E"/>
    <w:rsid w:val="00C81716"/>
    <w:rsid w:val="00C81D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49B"/>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BF5"/>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0EDF"/>
    <w:rsid w:val="00CF157E"/>
    <w:rsid w:val="00CF1631"/>
    <w:rsid w:val="00CF1834"/>
    <w:rsid w:val="00CF1AAA"/>
    <w:rsid w:val="00CF1EC2"/>
    <w:rsid w:val="00CF2ACF"/>
    <w:rsid w:val="00CF345B"/>
    <w:rsid w:val="00CF475F"/>
    <w:rsid w:val="00CF5008"/>
    <w:rsid w:val="00CF5069"/>
    <w:rsid w:val="00CF5E34"/>
    <w:rsid w:val="00CF6707"/>
    <w:rsid w:val="00CF698D"/>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734"/>
    <w:rsid w:val="00D068AA"/>
    <w:rsid w:val="00D06E71"/>
    <w:rsid w:val="00D06E9C"/>
    <w:rsid w:val="00D0714B"/>
    <w:rsid w:val="00D0764E"/>
    <w:rsid w:val="00D07D82"/>
    <w:rsid w:val="00D07FC9"/>
    <w:rsid w:val="00D10327"/>
    <w:rsid w:val="00D103C9"/>
    <w:rsid w:val="00D10BE1"/>
    <w:rsid w:val="00D11FE3"/>
    <w:rsid w:val="00D12393"/>
    <w:rsid w:val="00D123D8"/>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4A6"/>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9E2"/>
    <w:rsid w:val="00D45C61"/>
    <w:rsid w:val="00D45DDC"/>
    <w:rsid w:val="00D4785D"/>
    <w:rsid w:val="00D5064C"/>
    <w:rsid w:val="00D50C94"/>
    <w:rsid w:val="00D511E7"/>
    <w:rsid w:val="00D517ED"/>
    <w:rsid w:val="00D5251C"/>
    <w:rsid w:val="00D52F56"/>
    <w:rsid w:val="00D539DA"/>
    <w:rsid w:val="00D53BA6"/>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83"/>
    <w:rsid w:val="00D61E1D"/>
    <w:rsid w:val="00D624A3"/>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283"/>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AA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337"/>
    <w:rsid w:val="00DE38D1"/>
    <w:rsid w:val="00DE38E6"/>
    <w:rsid w:val="00DE4106"/>
    <w:rsid w:val="00DE466B"/>
    <w:rsid w:val="00DE48F4"/>
    <w:rsid w:val="00DE5563"/>
    <w:rsid w:val="00DE5C19"/>
    <w:rsid w:val="00DE5D48"/>
    <w:rsid w:val="00DE6E4D"/>
    <w:rsid w:val="00DE7498"/>
    <w:rsid w:val="00DE75EF"/>
    <w:rsid w:val="00DE7611"/>
    <w:rsid w:val="00DE7D19"/>
    <w:rsid w:val="00DE7F57"/>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6992"/>
    <w:rsid w:val="00E1720B"/>
    <w:rsid w:val="00E203DE"/>
    <w:rsid w:val="00E20CE7"/>
    <w:rsid w:val="00E217B1"/>
    <w:rsid w:val="00E222FA"/>
    <w:rsid w:val="00E229CE"/>
    <w:rsid w:val="00E22B4A"/>
    <w:rsid w:val="00E22EC0"/>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410"/>
    <w:rsid w:val="00E37A6F"/>
    <w:rsid w:val="00E37A9C"/>
    <w:rsid w:val="00E40222"/>
    <w:rsid w:val="00E40406"/>
    <w:rsid w:val="00E4082B"/>
    <w:rsid w:val="00E40835"/>
    <w:rsid w:val="00E408EC"/>
    <w:rsid w:val="00E409B5"/>
    <w:rsid w:val="00E40BCB"/>
    <w:rsid w:val="00E41FB2"/>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1E5"/>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0AD"/>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477B"/>
    <w:rsid w:val="00EB5013"/>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BC"/>
    <w:rsid w:val="00EE56E2"/>
    <w:rsid w:val="00EE5FCD"/>
    <w:rsid w:val="00EE63BF"/>
    <w:rsid w:val="00EE6D45"/>
    <w:rsid w:val="00EE6E89"/>
    <w:rsid w:val="00EF0321"/>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02C"/>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0CA"/>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AB1"/>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3A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056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424"/>
    <w:rsid w:val="00F5052D"/>
    <w:rsid w:val="00F51A82"/>
    <w:rsid w:val="00F51B78"/>
    <w:rsid w:val="00F51BDD"/>
    <w:rsid w:val="00F52065"/>
    <w:rsid w:val="00F521CE"/>
    <w:rsid w:val="00F5253E"/>
    <w:rsid w:val="00F5254B"/>
    <w:rsid w:val="00F52CB7"/>
    <w:rsid w:val="00F53A44"/>
    <w:rsid w:val="00F545BB"/>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36"/>
    <w:rsid w:val="00F63BF4"/>
    <w:rsid w:val="00F63C55"/>
    <w:rsid w:val="00F63C60"/>
    <w:rsid w:val="00F64991"/>
    <w:rsid w:val="00F64CE8"/>
    <w:rsid w:val="00F65BA9"/>
    <w:rsid w:val="00F65BC8"/>
    <w:rsid w:val="00F65EEA"/>
    <w:rsid w:val="00F66205"/>
    <w:rsid w:val="00F6630F"/>
    <w:rsid w:val="00F66419"/>
    <w:rsid w:val="00F67079"/>
    <w:rsid w:val="00F67B58"/>
    <w:rsid w:val="00F67E81"/>
    <w:rsid w:val="00F7044B"/>
    <w:rsid w:val="00F70FCF"/>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024"/>
    <w:rsid w:val="00F8421D"/>
    <w:rsid w:val="00F85329"/>
    <w:rsid w:val="00F85683"/>
    <w:rsid w:val="00F85841"/>
    <w:rsid w:val="00F86079"/>
    <w:rsid w:val="00F8610A"/>
    <w:rsid w:val="00F864F7"/>
    <w:rsid w:val="00F87282"/>
    <w:rsid w:val="00F878CD"/>
    <w:rsid w:val="00F87905"/>
    <w:rsid w:val="00F87A66"/>
    <w:rsid w:val="00F903B2"/>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1D0C"/>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A60F49"/>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260DDF"/>
    <w:rsid w:val="0B30404E"/>
    <w:rsid w:val="0B4C6C14"/>
    <w:rsid w:val="0B631A88"/>
    <w:rsid w:val="0B683D45"/>
    <w:rsid w:val="0B7F3F11"/>
    <w:rsid w:val="0B884417"/>
    <w:rsid w:val="0BA9422E"/>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AC1AD0"/>
    <w:rsid w:val="13BF3CE4"/>
    <w:rsid w:val="13FC18CF"/>
    <w:rsid w:val="141008D8"/>
    <w:rsid w:val="14125FE6"/>
    <w:rsid w:val="14231555"/>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B65B7E"/>
    <w:rsid w:val="17BB2A36"/>
    <w:rsid w:val="17D349C1"/>
    <w:rsid w:val="1830729E"/>
    <w:rsid w:val="1870062C"/>
    <w:rsid w:val="18817102"/>
    <w:rsid w:val="18830A15"/>
    <w:rsid w:val="18852B28"/>
    <w:rsid w:val="188B5321"/>
    <w:rsid w:val="18E5190D"/>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A438A4"/>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BB72FB"/>
    <w:rsid w:val="1F0A0FF3"/>
    <w:rsid w:val="1F5771FF"/>
    <w:rsid w:val="1F737547"/>
    <w:rsid w:val="1FA4649C"/>
    <w:rsid w:val="1FE868A9"/>
    <w:rsid w:val="20034907"/>
    <w:rsid w:val="20173E4B"/>
    <w:rsid w:val="204E48BC"/>
    <w:rsid w:val="208921B3"/>
    <w:rsid w:val="20973DEB"/>
    <w:rsid w:val="20B26522"/>
    <w:rsid w:val="20B44310"/>
    <w:rsid w:val="211116EB"/>
    <w:rsid w:val="216133FC"/>
    <w:rsid w:val="21731A80"/>
    <w:rsid w:val="21D56769"/>
    <w:rsid w:val="21E52EF3"/>
    <w:rsid w:val="21FB5D7B"/>
    <w:rsid w:val="220B1C3D"/>
    <w:rsid w:val="221D1D20"/>
    <w:rsid w:val="22334A87"/>
    <w:rsid w:val="22BE6801"/>
    <w:rsid w:val="233500BF"/>
    <w:rsid w:val="23377FF7"/>
    <w:rsid w:val="236B425F"/>
    <w:rsid w:val="237A426A"/>
    <w:rsid w:val="23836192"/>
    <w:rsid w:val="23901F29"/>
    <w:rsid w:val="239C0061"/>
    <w:rsid w:val="23B908A4"/>
    <w:rsid w:val="23CC4251"/>
    <w:rsid w:val="23E95BEF"/>
    <w:rsid w:val="23FD0064"/>
    <w:rsid w:val="245375B0"/>
    <w:rsid w:val="24642C0A"/>
    <w:rsid w:val="24B22173"/>
    <w:rsid w:val="24B95AD9"/>
    <w:rsid w:val="24BE24DA"/>
    <w:rsid w:val="24CF5825"/>
    <w:rsid w:val="24D663E6"/>
    <w:rsid w:val="24D77F2B"/>
    <w:rsid w:val="25820BB4"/>
    <w:rsid w:val="258B00E2"/>
    <w:rsid w:val="25A917A6"/>
    <w:rsid w:val="25BE27CC"/>
    <w:rsid w:val="25F74A5C"/>
    <w:rsid w:val="2628662C"/>
    <w:rsid w:val="262D45DE"/>
    <w:rsid w:val="267E621F"/>
    <w:rsid w:val="26A53EF9"/>
    <w:rsid w:val="26A94201"/>
    <w:rsid w:val="26AC274F"/>
    <w:rsid w:val="26C96854"/>
    <w:rsid w:val="27044A29"/>
    <w:rsid w:val="271D34C8"/>
    <w:rsid w:val="276142BF"/>
    <w:rsid w:val="27783712"/>
    <w:rsid w:val="27892C40"/>
    <w:rsid w:val="278C652F"/>
    <w:rsid w:val="27907362"/>
    <w:rsid w:val="27CB6172"/>
    <w:rsid w:val="28333E1D"/>
    <w:rsid w:val="28454BD6"/>
    <w:rsid w:val="28455253"/>
    <w:rsid w:val="28551971"/>
    <w:rsid w:val="285A252B"/>
    <w:rsid w:val="285B1C53"/>
    <w:rsid w:val="289F7086"/>
    <w:rsid w:val="28C32028"/>
    <w:rsid w:val="28CC490F"/>
    <w:rsid w:val="28DE40AA"/>
    <w:rsid w:val="29345E77"/>
    <w:rsid w:val="294C65AD"/>
    <w:rsid w:val="29806583"/>
    <w:rsid w:val="298B3C4C"/>
    <w:rsid w:val="29F26D24"/>
    <w:rsid w:val="2A15033F"/>
    <w:rsid w:val="2A1662C1"/>
    <w:rsid w:val="2A1C7367"/>
    <w:rsid w:val="2A2815FA"/>
    <w:rsid w:val="2A3B64A4"/>
    <w:rsid w:val="2A6D6092"/>
    <w:rsid w:val="2A7D76B4"/>
    <w:rsid w:val="2A9875ED"/>
    <w:rsid w:val="2AAC5560"/>
    <w:rsid w:val="2B437463"/>
    <w:rsid w:val="2B7807EE"/>
    <w:rsid w:val="2B97627E"/>
    <w:rsid w:val="2BBF00EC"/>
    <w:rsid w:val="2BC37CFD"/>
    <w:rsid w:val="2BD5237F"/>
    <w:rsid w:val="2BE536CE"/>
    <w:rsid w:val="2BE758D9"/>
    <w:rsid w:val="2C0853D4"/>
    <w:rsid w:val="2C09049E"/>
    <w:rsid w:val="2C0A653C"/>
    <w:rsid w:val="2C191F85"/>
    <w:rsid w:val="2CE82D6F"/>
    <w:rsid w:val="2D1E29DD"/>
    <w:rsid w:val="2D343236"/>
    <w:rsid w:val="2DD15014"/>
    <w:rsid w:val="2DF72DE4"/>
    <w:rsid w:val="2E0220AF"/>
    <w:rsid w:val="2E4B082A"/>
    <w:rsid w:val="2E5D4E86"/>
    <w:rsid w:val="2E5D790B"/>
    <w:rsid w:val="2E9A3C18"/>
    <w:rsid w:val="2EBB0FEE"/>
    <w:rsid w:val="2EC63002"/>
    <w:rsid w:val="2ECB58CF"/>
    <w:rsid w:val="2F0A6B38"/>
    <w:rsid w:val="2F946CCB"/>
    <w:rsid w:val="2FD25781"/>
    <w:rsid w:val="2FFD7934"/>
    <w:rsid w:val="30733ACD"/>
    <w:rsid w:val="308C3862"/>
    <w:rsid w:val="309379D8"/>
    <w:rsid w:val="30A270F7"/>
    <w:rsid w:val="30DF1478"/>
    <w:rsid w:val="30EC586F"/>
    <w:rsid w:val="3128728F"/>
    <w:rsid w:val="319C6071"/>
    <w:rsid w:val="31AC537E"/>
    <w:rsid w:val="31E3679B"/>
    <w:rsid w:val="31E732FD"/>
    <w:rsid w:val="31E7599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F6E64"/>
    <w:rsid w:val="358D5588"/>
    <w:rsid w:val="363A3B40"/>
    <w:rsid w:val="365302AE"/>
    <w:rsid w:val="36607A0A"/>
    <w:rsid w:val="366E227C"/>
    <w:rsid w:val="366F2E0D"/>
    <w:rsid w:val="367B6A5C"/>
    <w:rsid w:val="36A74ADA"/>
    <w:rsid w:val="36AD60D5"/>
    <w:rsid w:val="36B224F9"/>
    <w:rsid w:val="36EC0CC9"/>
    <w:rsid w:val="373F410B"/>
    <w:rsid w:val="37BC7885"/>
    <w:rsid w:val="37EE7094"/>
    <w:rsid w:val="38296C89"/>
    <w:rsid w:val="383002EB"/>
    <w:rsid w:val="385170E5"/>
    <w:rsid w:val="38586797"/>
    <w:rsid w:val="38BC0149"/>
    <w:rsid w:val="38D87D1C"/>
    <w:rsid w:val="39636459"/>
    <w:rsid w:val="396B7F6C"/>
    <w:rsid w:val="39B417A9"/>
    <w:rsid w:val="39FC5695"/>
    <w:rsid w:val="3A006D8E"/>
    <w:rsid w:val="3A3651E5"/>
    <w:rsid w:val="3A433073"/>
    <w:rsid w:val="3A4F09F0"/>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DE3321F"/>
    <w:rsid w:val="3E0D48F6"/>
    <w:rsid w:val="3E1868B4"/>
    <w:rsid w:val="3E377251"/>
    <w:rsid w:val="3E42664B"/>
    <w:rsid w:val="3E5A7334"/>
    <w:rsid w:val="3E7B5D6B"/>
    <w:rsid w:val="3E843E66"/>
    <w:rsid w:val="3E8F51FE"/>
    <w:rsid w:val="3E926F87"/>
    <w:rsid w:val="3E9A59DE"/>
    <w:rsid w:val="3EAF4836"/>
    <w:rsid w:val="3EC33DFA"/>
    <w:rsid w:val="3F055FB6"/>
    <w:rsid w:val="3F060E16"/>
    <w:rsid w:val="3F1D1096"/>
    <w:rsid w:val="3F2F0234"/>
    <w:rsid w:val="3F6363FE"/>
    <w:rsid w:val="3F756B8F"/>
    <w:rsid w:val="3F95482B"/>
    <w:rsid w:val="400F158D"/>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13334"/>
    <w:rsid w:val="434B790E"/>
    <w:rsid w:val="4360274F"/>
    <w:rsid w:val="43770B04"/>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3737FA"/>
    <w:rsid w:val="487A3E25"/>
    <w:rsid w:val="488B5503"/>
    <w:rsid w:val="48937E21"/>
    <w:rsid w:val="489A0361"/>
    <w:rsid w:val="48B94FF3"/>
    <w:rsid w:val="48D15230"/>
    <w:rsid w:val="48E37AAB"/>
    <w:rsid w:val="48FD4B4C"/>
    <w:rsid w:val="490A68E0"/>
    <w:rsid w:val="491055FE"/>
    <w:rsid w:val="49360067"/>
    <w:rsid w:val="495F5B3E"/>
    <w:rsid w:val="496F77D7"/>
    <w:rsid w:val="497654FD"/>
    <w:rsid w:val="49B64211"/>
    <w:rsid w:val="49F6167F"/>
    <w:rsid w:val="4A064FA0"/>
    <w:rsid w:val="4A16615C"/>
    <w:rsid w:val="4A4424D7"/>
    <w:rsid w:val="4AB82D0F"/>
    <w:rsid w:val="4ACF1EE4"/>
    <w:rsid w:val="4AE93C6A"/>
    <w:rsid w:val="4AEB7664"/>
    <w:rsid w:val="4AFD7C19"/>
    <w:rsid w:val="4B0567D1"/>
    <w:rsid w:val="4B236AAE"/>
    <w:rsid w:val="4B707271"/>
    <w:rsid w:val="4B9739F7"/>
    <w:rsid w:val="4BEE2503"/>
    <w:rsid w:val="4BF32138"/>
    <w:rsid w:val="4C245A30"/>
    <w:rsid w:val="4CB6685F"/>
    <w:rsid w:val="4CC367FE"/>
    <w:rsid w:val="4D077F3C"/>
    <w:rsid w:val="4D123355"/>
    <w:rsid w:val="4D2A3B31"/>
    <w:rsid w:val="4D312C52"/>
    <w:rsid w:val="4D905305"/>
    <w:rsid w:val="4D950505"/>
    <w:rsid w:val="4D964A72"/>
    <w:rsid w:val="4D9C1254"/>
    <w:rsid w:val="4E793892"/>
    <w:rsid w:val="4E800872"/>
    <w:rsid w:val="4EC569ED"/>
    <w:rsid w:val="4ECB17F2"/>
    <w:rsid w:val="4ED50EA1"/>
    <w:rsid w:val="4EEC050C"/>
    <w:rsid w:val="4F104EC3"/>
    <w:rsid w:val="4F402D39"/>
    <w:rsid w:val="4F47354A"/>
    <w:rsid w:val="4F8C0631"/>
    <w:rsid w:val="4F911C54"/>
    <w:rsid w:val="4FE625E0"/>
    <w:rsid w:val="5021480F"/>
    <w:rsid w:val="505B1B62"/>
    <w:rsid w:val="506B521D"/>
    <w:rsid w:val="50962ECB"/>
    <w:rsid w:val="50A42E38"/>
    <w:rsid w:val="50A4577F"/>
    <w:rsid w:val="50A817A7"/>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42029"/>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21DF5"/>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D743DE"/>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DE1480"/>
    <w:rsid w:val="5EFC7377"/>
    <w:rsid w:val="5F06174D"/>
    <w:rsid w:val="5F166FCB"/>
    <w:rsid w:val="5F3A3602"/>
    <w:rsid w:val="5F6277C6"/>
    <w:rsid w:val="5F6D0B1D"/>
    <w:rsid w:val="5F8D0B82"/>
    <w:rsid w:val="5FAD0AC0"/>
    <w:rsid w:val="5FCC5339"/>
    <w:rsid w:val="5FE34A5B"/>
    <w:rsid w:val="5FFE1E36"/>
    <w:rsid w:val="60232584"/>
    <w:rsid w:val="60597AB8"/>
    <w:rsid w:val="607330CE"/>
    <w:rsid w:val="60825176"/>
    <w:rsid w:val="609F2AC4"/>
    <w:rsid w:val="60B40467"/>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BD45A1"/>
    <w:rsid w:val="64C158BF"/>
    <w:rsid w:val="64CE2EAA"/>
    <w:rsid w:val="65101B23"/>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855A8F"/>
    <w:rsid w:val="6990454A"/>
    <w:rsid w:val="69CC2BFF"/>
    <w:rsid w:val="69FD55B8"/>
    <w:rsid w:val="6A0B1C62"/>
    <w:rsid w:val="6A2406C8"/>
    <w:rsid w:val="6A730977"/>
    <w:rsid w:val="6AB92F52"/>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452A44"/>
    <w:rsid w:val="6E8335BD"/>
    <w:rsid w:val="6E8E12EF"/>
    <w:rsid w:val="6E972936"/>
    <w:rsid w:val="6ED446C5"/>
    <w:rsid w:val="6EEE1484"/>
    <w:rsid w:val="6F2A7D94"/>
    <w:rsid w:val="6F8331F1"/>
    <w:rsid w:val="6FAE1A09"/>
    <w:rsid w:val="6FD75BF8"/>
    <w:rsid w:val="70076BE8"/>
    <w:rsid w:val="70554235"/>
    <w:rsid w:val="707723D0"/>
    <w:rsid w:val="70F5661B"/>
    <w:rsid w:val="71360107"/>
    <w:rsid w:val="713B688E"/>
    <w:rsid w:val="71585560"/>
    <w:rsid w:val="71D43752"/>
    <w:rsid w:val="71F1796A"/>
    <w:rsid w:val="72154626"/>
    <w:rsid w:val="72262B5D"/>
    <w:rsid w:val="72283FF7"/>
    <w:rsid w:val="722E7212"/>
    <w:rsid w:val="723A0474"/>
    <w:rsid w:val="725923E4"/>
    <w:rsid w:val="72864BF7"/>
    <w:rsid w:val="7288377C"/>
    <w:rsid w:val="729023FC"/>
    <w:rsid w:val="733814C9"/>
    <w:rsid w:val="7374164F"/>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A7719"/>
    <w:rsid w:val="77052AA4"/>
    <w:rsid w:val="77136511"/>
    <w:rsid w:val="77340A39"/>
    <w:rsid w:val="77351FD0"/>
    <w:rsid w:val="77472422"/>
    <w:rsid w:val="777F31F2"/>
    <w:rsid w:val="77A141FA"/>
    <w:rsid w:val="77D1700D"/>
    <w:rsid w:val="77EC04CC"/>
    <w:rsid w:val="78775729"/>
    <w:rsid w:val="787E33BA"/>
    <w:rsid w:val="78A42DB0"/>
    <w:rsid w:val="78A656AB"/>
    <w:rsid w:val="78B2245C"/>
    <w:rsid w:val="78E172CC"/>
    <w:rsid w:val="78EA1D1F"/>
    <w:rsid w:val="7904172F"/>
    <w:rsid w:val="790F7E27"/>
    <w:rsid w:val="792A231A"/>
    <w:rsid w:val="79316829"/>
    <w:rsid w:val="79403CAF"/>
    <w:rsid w:val="796F1BE8"/>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93993"/>
    <w:rsid w:val="7B343476"/>
    <w:rsid w:val="7B5A2978"/>
    <w:rsid w:val="7B5A7E4C"/>
    <w:rsid w:val="7B667AF9"/>
    <w:rsid w:val="7B7468F8"/>
    <w:rsid w:val="7BEE0103"/>
    <w:rsid w:val="7C0A0FE4"/>
    <w:rsid w:val="7C13265E"/>
    <w:rsid w:val="7C254906"/>
    <w:rsid w:val="7C2C7246"/>
    <w:rsid w:val="7C590818"/>
    <w:rsid w:val="7C7C10F6"/>
    <w:rsid w:val="7C853BEA"/>
    <w:rsid w:val="7C881368"/>
    <w:rsid w:val="7CE27788"/>
    <w:rsid w:val="7D0C32F1"/>
    <w:rsid w:val="7D0F408D"/>
    <w:rsid w:val="7D491C6C"/>
    <w:rsid w:val="7D5429C0"/>
    <w:rsid w:val="7D6E6D43"/>
    <w:rsid w:val="7DA5464E"/>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0"/>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5"/>
    <w:link w:val="262"/>
    <w:qFormat/>
    <w:uiPriority w:val="0"/>
    <w:pPr>
      <w:spacing w:line="480" w:lineRule="exact"/>
      <w:ind w:firstLine="480" w:firstLineChars="200"/>
    </w:pPr>
    <w:rPr>
      <w:rFonts w:ascii="宋体" w:hAnsi="宋体"/>
      <w:sz w:val="24"/>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0"/>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6"/>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0"/>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NormalCharacter"/>
    <w:qFormat/>
    <w:uiPriority w:val="0"/>
    <w:rPr>
      <w:rFonts w:hint="eastAsia" w:ascii="仿宋_GB2312" w:eastAsia="仿宋_GB2312"/>
      <w:b/>
      <w:sz w:val="32"/>
      <w:szCs w:val="32"/>
    </w:rPr>
  </w:style>
  <w:style w:type="paragraph" w:customStyle="1" w:styleId="962">
    <w:name w:val="UserStyle_191"/>
    <w:basedOn w:val="1"/>
    <w:qFormat/>
    <w:uiPriority w:val="0"/>
    <w:pPr>
      <w:widowControl/>
      <w:adjustRightInd/>
      <w:spacing w:line="300" w:lineRule="auto"/>
      <w:ind w:firstLine="480" w:firstLineChars="200"/>
    </w:pPr>
    <w:rPr>
      <w:rFonts w:ascii="宋体" w:hAnsi="宋体"/>
      <w:kern w:val="0"/>
      <w:sz w:val="24"/>
    </w:rPr>
  </w:style>
  <w:style w:type="character" w:customStyle="1" w:styleId="963">
    <w:name w:val="Unresolved Mention"/>
    <w:basedOn w:val="6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D8B95-25A0-458F-9D4D-88763D607752}">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57</Pages>
  <Words>27855</Words>
  <Characters>29900</Characters>
  <Lines>41</Lines>
  <Paragraphs>65</Paragraphs>
  <TotalTime>1</TotalTime>
  <ScaleCrop>false</ScaleCrop>
  <LinksUpToDate>false</LinksUpToDate>
  <CharactersWithSpaces>31463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2022-05-30T03:22:00Z</cp:lastPrinted>
  <dcterms:modified xsi:type="dcterms:W3CDTF">2022-06-07T10:32:24Z</dcterms:modified>
  <dc:title>杭州市市民卡扩大发卡工程</dc:title>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