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cs="宋体"/>
          <w:b/>
          <w:sz w:val="32"/>
          <w:szCs w:val="32"/>
        </w:rPr>
      </w:pPr>
      <w:r>
        <w:rPr>
          <w:rFonts w:hint="eastAsia" w:ascii="宋体" w:hAnsi="宋体"/>
          <w:b/>
          <w:sz w:val="36"/>
          <w:szCs w:val="36"/>
        </w:rPr>
        <w:t>淳安县市容环境卫生保障中心关于2022年度青溪新城区块道路保洁服务采购项目开招标（线上电子招投标）</w:t>
      </w:r>
    </w:p>
    <w:p>
      <w:pPr>
        <w:snapToGrid w:val="0"/>
        <w:spacing w:line="360" w:lineRule="auto"/>
        <w:jc w:val="center"/>
        <w:rPr>
          <w:rFonts w:ascii="宋体" w:hAnsi="宋体" w:cs="宋体"/>
        </w:rPr>
      </w:pPr>
    </w:p>
    <w:p>
      <w:pPr>
        <w:spacing w:line="1360" w:lineRule="exact"/>
        <w:jc w:val="center"/>
        <w:rPr>
          <w:rFonts w:ascii="宋体" w:hAnsi="宋体" w:cs="宋体"/>
          <w:b/>
          <w:bCs/>
          <w:sz w:val="84"/>
          <w:szCs w:val="84"/>
        </w:rPr>
      </w:pPr>
      <w:r>
        <w:rPr>
          <w:rFonts w:hint="eastAsia" w:ascii="宋体" w:hAnsi="宋体" w:cs="宋体"/>
          <w:b/>
          <w:bCs/>
          <w:sz w:val="84"/>
          <w:szCs w:val="84"/>
        </w:rPr>
        <w:t>招</w:t>
      </w:r>
    </w:p>
    <w:p>
      <w:pPr>
        <w:spacing w:line="1360" w:lineRule="exact"/>
        <w:jc w:val="center"/>
        <w:rPr>
          <w:rFonts w:ascii="宋体" w:hAnsi="宋体" w:cs="宋体"/>
          <w:b/>
          <w:bCs/>
          <w:sz w:val="84"/>
          <w:szCs w:val="84"/>
        </w:rPr>
      </w:pPr>
      <w:r>
        <w:rPr>
          <w:rFonts w:hint="eastAsia" w:ascii="宋体" w:hAnsi="宋体" w:cs="宋体"/>
          <w:b/>
          <w:bCs/>
          <w:sz w:val="84"/>
          <w:szCs w:val="84"/>
        </w:rPr>
        <w:t>标</w:t>
      </w:r>
    </w:p>
    <w:p>
      <w:pPr>
        <w:spacing w:line="1360" w:lineRule="exact"/>
        <w:jc w:val="center"/>
        <w:rPr>
          <w:rFonts w:ascii="宋体" w:hAnsi="宋体" w:cs="宋体"/>
          <w:b/>
          <w:bCs/>
          <w:sz w:val="84"/>
          <w:szCs w:val="84"/>
        </w:rPr>
      </w:pPr>
      <w:r>
        <w:rPr>
          <w:rFonts w:hint="eastAsia" w:ascii="宋体" w:hAnsi="宋体" w:cs="宋体"/>
          <w:b/>
          <w:bCs/>
          <w:sz w:val="84"/>
          <w:szCs w:val="84"/>
        </w:rPr>
        <w:t>文</w:t>
      </w:r>
    </w:p>
    <w:p>
      <w:pPr>
        <w:spacing w:line="1360" w:lineRule="exact"/>
        <w:jc w:val="center"/>
        <w:rPr>
          <w:rFonts w:ascii="宋体" w:hAnsi="宋体" w:cs="宋体"/>
          <w:b/>
          <w:bCs/>
          <w:sz w:val="84"/>
          <w:szCs w:val="84"/>
        </w:rPr>
      </w:pPr>
      <w:r>
        <w:rPr>
          <w:rFonts w:hint="eastAsia" w:ascii="宋体" w:hAnsi="宋体" w:cs="宋体"/>
          <w:b/>
          <w:bCs/>
          <w:sz w:val="84"/>
          <w:szCs w:val="84"/>
        </w:rPr>
        <w:t>件</w:t>
      </w:r>
    </w:p>
    <w:p>
      <w:pPr>
        <w:spacing w:line="520" w:lineRule="exact"/>
        <w:jc w:val="center"/>
        <w:rPr>
          <w:rFonts w:ascii="宋体" w:hAnsi="宋体" w:cs="宋体"/>
          <w:b/>
          <w:bCs/>
          <w:sz w:val="32"/>
          <w:szCs w:val="32"/>
        </w:rPr>
      </w:pPr>
    </w:p>
    <w:p>
      <w:pPr>
        <w:spacing w:line="360" w:lineRule="auto"/>
        <w:ind w:left="527" w:right="527"/>
        <w:jc w:val="center"/>
        <w:rPr>
          <w:rFonts w:ascii="宋体" w:hAnsi="宋体" w:cs="宋体"/>
          <w:b/>
          <w:sz w:val="32"/>
          <w:szCs w:val="32"/>
        </w:rPr>
      </w:pPr>
      <w:r>
        <w:rPr>
          <w:rFonts w:hint="eastAsia" w:ascii="宋体" w:hAnsi="宋体" w:cs="宋体"/>
          <w:b/>
          <w:sz w:val="32"/>
          <w:szCs w:val="32"/>
        </w:rPr>
        <w:t xml:space="preserve">（项目编号：CAZBDL2022ZC- </w:t>
      </w:r>
      <w:r>
        <w:rPr>
          <w:rFonts w:hint="eastAsia" w:ascii="宋体" w:hAnsi="宋体" w:cs="宋体"/>
          <w:b/>
          <w:sz w:val="32"/>
          <w:szCs w:val="32"/>
          <w:lang w:val="en-US" w:eastAsia="zh-CN"/>
        </w:rPr>
        <w:t>032</w:t>
      </w:r>
      <w:r>
        <w:rPr>
          <w:rFonts w:hint="eastAsia" w:ascii="宋体" w:hAnsi="宋体" w:cs="宋体"/>
          <w:b/>
          <w:sz w:val="32"/>
          <w:szCs w:val="32"/>
        </w:rPr>
        <w:t>号）</w:t>
      </w:r>
    </w:p>
    <w:p>
      <w:pPr>
        <w:jc w:val="center"/>
        <w:rPr>
          <w:rFonts w:ascii="宋体" w:hAnsi="宋体" w:cs="宋体"/>
          <w:sz w:val="36"/>
          <w:szCs w:val="36"/>
        </w:rPr>
      </w:pPr>
      <w:r>
        <w:rPr>
          <w:rFonts w:hint="eastAsia" w:ascii="宋体" w:hAnsi="宋体" w:cs="宋体"/>
          <w:sz w:val="36"/>
          <w:szCs w:val="36"/>
        </w:rPr>
        <w:t>淳安县建设工程招标代理有限公司</w:t>
      </w:r>
    </w:p>
    <w:p>
      <w:pPr>
        <w:rPr>
          <w:rFonts w:ascii="宋体" w:hAnsi="宋体" w:cs="宋体"/>
        </w:rPr>
      </w:pPr>
    </w:p>
    <w:tbl>
      <w:tblPr>
        <w:tblStyle w:val="1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8" w:hRule="atLeast"/>
        </w:trPr>
        <w:tc>
          <w:tcPr>
            <w:tcW w:w="4643" w:type="dxa"/>
          </w:tcPr>
          <w:p>
            <w:pPr>
              <w:autoSpaceDE w:val="0"/>
              <w:adjustRightInd w:val="0"/>
              <w:spacing w:after="100" w:afterAutospacing="1" w:line="276" w:lineRule="auto"/>
              <w:rPr>
                <w:rFonts w:ascii="宋体" w:hAnsi="宋体" w:cs="宋体"/>
                <w:b/>
                <w:bCs/>
                <w:kern w:val="0"/>
                <w:sz w:val="32"/>
                <w:szCs w:val="32"/>
              </w:rPr>
            </w:pPr>
            <w:r>
              <w:rPr>
                <w:rFonts w:hint="eastAsia" w:ascii="宋体" w:hAnsi="宋体" w:cs="宋体"/>
                <w:b/>
                <w:bCs/>
                <w:kern w:val="0"/>
                <w:sz w:val="32"/>
                <w:szCs w:val="32"/>
              </w:rPr>
              <w:t>采购单位确认（公章）：该采购文件已经我单位审核确认。</w:t>
            </w:r>
          </w:p>
          <w:p>
            <w:pPr>
              <w:autoSpaceDE w:val="0"/>
              <w:adjustRightInd w:val="0"/>
              <w:spacing w:after="100" w:afterAutospacing="1" w:line="276" w:lineRule="auto"/>
              <w:rPr>
                <w:rFonts w:ascii="宋体" w:hAnsi="宋体" w:cs="宋体"/>
                <w:b/>
                <w:bCs/>
                <w:kern w:val="0"/>
                <w:sz w:val="32"/>
                <w:szCs w:val="32"/>
              </w:rPr>
            </w:pPr>
          </w:p>
          <w:p>
            <w:pPr>
              <w:autoSpaceDE w:val="0"/>
              <w:adjustRightInd w:val="0"/>
              <w:spacing w:after="100" w:afterAutospacing="1" w:line="276" w:lineRule="auto"/>
              <w:rPr>
                <w:rFonts w:ascii="宋体" w:hAnsi="宋体" w:cs="宋体"/>
                <w:b/>
                <w:bCs/>
                <w:kern w:val="0"/>
                <w:sz w:val="32"/>
                <w:szCs w:val="32"/>
              </w:rPr>
            </w:pPr>
            <w:r>
              <w:rPr>
                <w:rFonts w:hint="eastAsia" w:ascii="宋体" w:hAnsi="宋体" w:cs="宋体"/>
                <w:b/>
                <w:bCs/>
                <w:kern w:val="0"/>
                <w:sz w:val="32"/>
                <w:szCs w:val="32"/>
              </w:rPr>
              <w:t>经办人（签名）：</w:t>
            </w:r>
          </w:p>
          <w:p>
            <w:pPr>
              <w:autoSpaceDE w:val="0"/>
              <w:adjustRightInd w:val="0"/>
              <w:spacing w:after="100" w:afterAutospacing="1" w:line="276" w:lineRule="auto"/>
              <w:rPr>
                <w:rFonts w:ascii="宋体" w:hAnsi="宋体" w:cs="宋体"/>
                <w:b/>
                <w:bCs/>
                <w:kern w:val="0"/>
                <w:sz w:val="32"/>
                <w:szCs w:val="32"/>
              </w:rPr>
            </w:pPr>
            <w:r>
              <w:rPr>
                <w:rFonts w:hint="eastAsia" w:ascii="宋体" w:hAnsi="宋体" w:cs="宋体"/>
                <w:b/>
                <w:bCs/>
                <w:kern w:val="0"/>
                <w:sz w:val="32"/>
                <w:szCs w:val="32"/>
              </w:rPr>
              <w:t>日期：    年  月   日</w:t>
            </w:r>
          </w:p>
        </w:tc>
        <w:tc>
          <w:tcPr>
            <w:tcW w:w="4837" w:type="dxa"/>
          </w:tcPr>
          <w:p>
            <w:pPr>
              <w:autoSpaceDE w:val="0"/>
              <w:adjustRightInd w:val="0"/>
              <w:spacing w:after="100" w:afterAutospacing="1" w:line="276" w:lineRule="auto"/>
              <w:rPr>
                <w:rFonts w:ascii="宋体" w:hAnsi="宋体" w:cs="宋体"/>
                <w:b/>
                <w:bCs/>
                <w:kern w:val="0"/>
                <w:sz w:val="32"/>
                <w:szCs w:val="32"/>
              </w:rPr>
            </w:pPr>
            <w:r>
              <w:rPr>
                <w:rFonts w:hint="eastAsia" w:ascii="宋体" w:hAnsi="宋体" w:cs="宋体"/>
                <w:b/>
                <w:bCs/>
                <w:kern w:val="0"/>
                <w:sz w:val="32"/>
                <w:szCs w:val="32"/>
              </w:rPr>
              <w:t>招标代理机构确认（公章）：同意发布。</w:t>
            </w:r>
          </w:p>
          <w:p>
            <w:pPr>
              <w:autoSpaceDE w:val="0"/>
              <w:adjustRightInd w:val="0"/>
              <w:spacing w:after="100" w:afterAutospacing="1" w:line="276" w:lineRule="auto"/>
              <w:rPr>
                <w:rFonts w:ascii="宋体" w:hAnsi="宋体" w:cs="宋体"/>
                <w:b/>
                <w:bCs/>
                <w:kern w:val="0"/>
                <w:sz w:val="32"/>
                <w:szCs w:val="32"/>
              </w:rPr>
            </w:pPr>
          </w:p>
          <w:p>
            <w:pPr>
              <w:autoSpaceDE w:val="0"/>
              <w:adjustRightInd w:val="0"/>
              <w:spacing w:after="100" w:afterAutospacing="1" w:line="276" w:lineRule="auto"/>
              <w:rPr>
                <w:rFonts w:ascii="宋体" w:hAnsi="宋体" w:cs="宋体"/>
                <w:b/>
                <w:bCs/>
                <w:kern w:val="0"/>
                <w:sz w:val="32"/>
                <w:szCs w:val="32"/>
              </w:rPr>
            </w:pPr>
            <w:r>
              <w:rPr>
                <w:rFonts w:hint="eastAsia" w:ascii="宋体" w:hAnsi="宋体" w:cs="宋体"/>
                <w:b/>
                <w:bCs/>
                <w:kern w:val="0"/>
                <w:sz w:val="32"/>
                <w:szCs w:val="32"/>
              </w:rPr>
              <w:t>经办人（签名）：</w:t>
            </w:r>
          </w:p>
          <w:p>
            <w:pPr>
              <w:autoSpaceDE w:val="0"/>
              <w:adjustRightInd w:val="0"/>
              <w:spacing w:after="100" w:afterAutospacing="1" w:line="276" w:lineRule="auto"/>
              <w:rPr>
                <w:rFonts w:ascii="宋体" w:hAnsi="宋体" w:cs="宋体"/>
                <w:b/>
                <w:bCs/>
                <w:kern w:val="0"/>
                <w:sz w:val="32"/>
                <w:szCs w:val="32"/>
              </w:rPr>
            </w:pPr>
            <w:r>
              <w:rPr>
                <w:rFonts w:hint="eastAsia" w:ascii="宋体" w:hAnsi="宋体" w:cs="宋体"/>
                <w:b/>
                <w:bCs/>
                <w:kern w:val="0"/>
                <w:sz w:val="32"/>
                <w:szCs w:val="32"/>
              </w:rPr>
              <w:t>日期：   年   月   日</w:t>
            </w:r>
          </w:p>
        </w:tc>
      </w:tr>
    </w:tbl>
    <w:p>
      <w:pPr>
        <w:spacing w:line="360" w:lineRule="auto"/>
        <w:jc w:val="center"/>
        <w:rPr>
          <w:rFonts w:ascii="宋体" w:hAnsi="宋体" w:cs="宋体"/>
          <w:b/>
          <w:sz w:val="48"/>
          <w:szCs w:val="48"/>
        </w:rPr>
      </w:pPr>
    </w:p>
    <w:p>
      <w:pPr>
        <w:snapToGrid w:val="0"/>
        <w:spacing w:line="360" w:lineRule="auto"/>
        <w:jc w:val="center"/>
        <w:rPr>
          <w:rStyle w:val="30"/>
          <w:rFonts w:ascii="宋体" w:hAnsi="宋体" w:cs="宋体"/>
          <w:bCs/>
          <w:sz w:val="48"/>
          <w:szCs w:val="48"/>
        </w:rPr>
        <w:sectPr>
          <w:footerReference r:id="rId3" w:type="default"/>
          <w:pgSz w:w="11900" w:h="16840"/>
          <w:pgMar w:top="1361" w:right="1361" w:bottom="1361" w:left="1361" w:header="851" w:footer="992" w:gutter="0"/>
          <w:cols w:space="425" w:num="1"/>
          <w:docGrid w:type="lines" w:linePitch="312" w:charSpace="0"/>
        </w:sectPr>
      </w:pPr>
    </w:p>
    <w:p>
      <w:pPr>
        <w:snapToGrid w:val="0"/>
        <w:spacing w:line="360" w:lineRule="auto"/>
        <w:jc w:val="center"/>
        <w:rPr>
          <w:rStyle w:val="30"/>
          <w:rFonts w:ascii="宋体" w:hAnsi="宋体" w:cs="宋体"/>
          <w:bCs/>
          <w:sz w:val="48"/>
          <w:szCs w:val="48"/>
        </w:rPr>
      </w:pPr>
      <w:r>
        <w:rPr>
          <w:rStyle w:val="30"/>
          <w:rFonts w:ascii="宋体" w:hAnsi="宋体" w:cs="宋体"/>
          <w:bCs/>
          <w:sz w:val="48"/>
          <w:szCs w:val="48"/>
        </w:rPr>
        <w:t>目  　录</w:t>
      </w:r>
    </w:p>
    <w:p>
      <w:pPr>
        <w:pStyle w:val="31"/>
        <w:snapToGrid w:val="0"/>
        <w:spacing w:line="360" w:lineRule="auto"/>
        <w:ind w:firstLine="360" w:firstLineChars="200"/>
        <w:rPr>
          <w:rStyle w:val="30"/>
          <w:rFonts w:hAnsi="宋体"/>
          <w:sz w:val="18"/>
          <w:szCs w:val="18"/>
        </w:rPr>
      </w:pPr>
    </w:p>
    <w:p>
      <w:pPr>
        <w:pStyle w:val="31"/>
        <w:snapToGrid w:val="0"/>
        <w:spacing w:line="360" w:lineRule="auto"/>
        <w:ind w:firstLine="360" w:firstLineChars="200"/>
        <w:rPr>
          <w:rStyle w:val="30"/>
          <w:rFonts w:hAnsi="宋体"/>
          <w:sz w:val="18"/>
          <w:szCs w:val="18"/>
        </w:rPr>
      </w:pPr>
    </w:p>
    <w:p>
      <w:pPr>
        <w:tabs>
          <w:tab w:val="left" w:pos="2160"/>
        </w:tabs>
        <w:snapToGrid w:val="0"/>
        <w:spacing w:before="120" w:line="360" w:lineRule="auto"/>
        <w:ind w:firstLine="600" w:firstLineChars="200"/>
        <w:rPr>
          <w:rStyle w:val="30"/>
          <w:rFonts w:ascii="宋体" w:hAnsi="宋体"/>
          <w:sz w:val="30"/>
        </w:rPr>
      </w:pPr>
      <w:r>
        <w:rPr>
          <w:rStyle w:val="30"/>
          <w:rFonts w:ascii="宋体" w:hAnsi="宋体"/>
          <w:sz w:val="30"/>
        </w:rPr>
        <w:t>第一部分   招标公告</w:t>
      </w:r>
    </w:p>
    <w:p>
      <w:pPr>
        <w:tabs>
          <w:tab w:val="left" w:pos="2160"/>
        </w:tabs>
        <w:snapToGrid w:val="0"/>
        <w:spacing w:before="120" w:line="360" w:lineRule="auto"/>
        <w:ind w:firstLine="600" w:firstLineChars="200"/>
        <w:rPr>
          <w:rStyle w:val="30"/>
          <w:rFonts w:ascii="宋体" w:hAnsi="宋体"/>
          <w:sz w:val="30"/>
        </w:rPr>
      </w:pPr>
      <w:r>
        <w:rPr>
          <w:rStyle w:val="30"/>
          <w:rFonts w:ascii="宋体" w:hAnsi="宋体"/>
          <w:sz w:val="30"/>
        </w:rPr>
        <w:t>第二部分   供应商须知</w:t>
      </w:r>
    </w:p>
    <w:p>
      <w:pPr>
        <w:numPr>
          <w:ilvl w:val="0"/>
          <w:numId w:val="1"/>
        </w:numPr>
        <w:tabs>
          <w:tab w:val="left" w:pos="2160"/>
        </w:tabs>
        <w:snapToGrid w:val="0"/>
        <w:spacing w:before="120" w:line="360" w:lineRule="auto"/>
        <w:ind w:firstLine="600" w:firstLineChars="200"/>
        <w:rPr>
          <w:rStyle w:val="30"/>
          <w:rFonts w:ascii="宋体" w:hAnsi="宋体"/>
          <w:sz w:val="30"/>
        </w:rPr>
      </w:pPr>
      <w:r>
        <w:rPr>
          <w:rStyle w:val="30"/>
          <w:rFonts w:ascii="宋体" w:hAnsi="宋体"/>
          <w:sz w:val="30"/>
        </w:rPr>
        <w:t xml:space="preserve">  采购需求</w:t>
      </w:r>
    </w:p>
    <w:p>
      <w:pPr>
        <w:numPr>
          <w:ilvl w:val="0"/>
          <w:numId w:val="1"/>
        </w:numPr>
        <w:tabs>
          <w:tab w:val="left" w:pos="2160"/>
        </w:tabs>
        <w:snapToGrid w:val="0"/>
        <w:spacing w:before="120" w:line="360" w:lineRule="auto"/>
        <w:ind w:firstLine="600" w:firstLineChars="200"/>
        <w:rPr>
          <w:rStyle w:val="30"/>
          <w:rFonts w:ascii="宋体" w:hAnsi="宋体"/>
          <w:sz w:val="30"/>
        </w:rPr>
      </w:pPr>
      <w:r>
        <w:rPr>
          <w:rStyle w:val="30"/>
          <w:rFonts w:ascii="宋体" w:hAnsi="宋体"/>
          <w:sz w:val="30"/>
        </w:rPr>
        <w:t xml:space="preserve">  评标办法及评分标准</w:t>
      </w:r>
    </w:p>
    <w:p>
      <w:pPr>
        <w:numPr>
          <w:ilvl w:val="0"/>
          <w:numId w:val="1"/>
        </w:numPr>
        <w:tabs>
          <w:tab w:val="left" w:pos="2160"/>
        </w:tabs>
        <w:snapToGrid w:val="0"/>
        <w:spacing w:before="120" w:line="360" w:lineRule="auto"/>
        <w:ind w:firstLine="600" w:firstLineChars="200"/>
        <w:rPr>
          <w:rStyle w:val="30"/>
          <w:rFonts w:ascii="宋体" w:hAnsi="宋体"/>
          <w:sz w:val="30"/>
        </w:rPr>
      </w:pPr>
      <w:r>
        <w:rPr>
          <w:rStyle w:val="30"/>
          <w:rFonts w:ascii="宋体" w:hAnsi="宋体"/>
          <w:sz w:val="30"/>
        </w:rPr>
        <w:t xml:space="preserve">  拟签订的合同文本</w:t>
      </w:r>
    </w:p>
    <w:p>
      <w:pPr>
        <w:numPr>
          <w:ilvl w:val="0"/>
          <w:numId w:val="1"/>
        </w:numPr>
        <w:tabs>
          <w:tab w:val="left" w:pos="2160"/>
        </w:tabs>
        <w:snapToGrid w:val="0"/>
        <w:spacing w:before="120" w:line="360" w:lineRule="auto"/>
        <w:ind w:firstLine="600" w:firstLineChars="200"/>
        <w:rPr>
          <w:rStyle w:val="30"/>
          <w:rFonts w:ascii="宋体" w:hAnsi="宋体"/>
          <w:sz w:val="30"/>
        </w:rPr>
      </w:pPr>
      <w:r>
        <w:rPr>
          <w:rStyle w:val="30"/>
          <w:rFonts w:ascii="宋体" w:hAnsi="宋体"/>
          <w:sz w:val="30"/>
        </w:rPr>
        <w:t xml:space="preserve">  应提交的有关格式范例 </w:t>
      </w:r>
    </w:p>
    <w:p>
      <w:pPr>
        <w:snapToGrid w:val="0"/>
        <w:spacing w:line="360" w:lineRule="auto"/>
        <w:jc w:val="center"/>
        <w:rPr>
          <w:rStyle w:val="30"/>
          <w:rFonts w:ascii="宋体" w:hAnsi="宋体"/>
          <w:b/>
          <w:sz w:val="32"/>
          <w:szCs w:val="32"/>
        </w:rPr>
      </w:pPr>
      <w:r>
        <w:rPr>
          <w:rStyle w:val="30"/>
          <w:rFonts w:ascii="宋体" w:hAnsi="宋体"/>
          <w:b/>
          <w:sz w:val="32"/>
          <w:szCs w:val="32"/>
        </w:rPr>
        <w:br w:type="page"/>
      </w:r>
    </w:p>
    <w:p>
      <w:pPr>
        <w:snapToGrid w:val="0"/>
        <w:spacing w:line="360" w:lineRule="auto"/>
        <w:jc w:val="center"/>
        <w:rPr>
          <w:rStyle w:val="30"/>
          <w:rFonts w:ascii="宋体" w:hAnsi="宋体"/>
          <w:kern w:val="0"/>
          <w:sz w:val="24"/>
          <w:lang w:val="zh-CN"/>
        </w:rPr>
      </w:pPr>
      <w:r>
        <w:rPr>
          <w:rStyle w:val="30"/>
          <w:rFonts w:ascii="宋体" w:hAnsi="宋体"/>
          <w:b/>
          <w:sz w:val="36"/>
          <w:szCs w:val="36"/>
        </w:rPr>
        <w:t>第一部分 招标公告</w:t>
      </w:r>
    </w:p>
    <w:p>
      <w:pPr>
        <w:spacing w:line="360" w:lineRule="auto"/>
        <w:ind w:firstLine="360" w:firstLineChars="150"/>
        <w:rPr>
          <w:rFonts w:ascii="仿宋" w:hAnsi="仿宋" w:eastAsia="仿宋" w:cs="仿宋"/>
          <w:sz w:val="24"/>
        </w:rPr>
      </w:pPr>
      <w:r>
        <w:rPr>
          <w:rFonts w:hint="eastAsia" w:ascii="仿宋" w:hAnsi="仿宋" w:eastAsia="仿宋" w:cs="仿宋"/>
          <w:sz w:val="24"/>
        </w:rPr>
        <w:t>根据《中华人民共和国政府采购法》、《政府采购货物和服务招标投标管理办法》等规定，经淳安县财政局批准，受淳安县市容环境卫生保障中心的委托，现就2022年度青溪新城区块道路保洁服务采购项目进行公开招标（线上电子招投标），欢迎国内合格的供应商前来参加。</w:t>
      </w:r>
    </w:p>
    <w:p>
      <w:pPr>
        <w:spacing w:line="360" w:lineRule="auto"/>
        <w:ind w:firstLine="482" w:firstLineChars="200"/>
        <w:rPr>
          <w:rFonts w:ascii="仿宋" w:hAnsi="仿宋" w:eastAsia="仿宋" w:cs="仿宋"/>
          <w:sz w:val="24"/>
        </w:rPr>
      </w:pPr>
      <w:r>
        <w:rPr>
          <w:rFonts w:hint="eastAsia" w:ascii="仿宋" w:hAnsi="仿宋" w:eastAsia="仿宋"/>
          <w:b/>
          <w:sz w:val="24"/>
        </w:rPr>
        <w:t xml:space="preserve">一、项目基本情况         </w:t>
      </w:r>
    </w:p>
    <w:p>
      <w:pPr>
        <w:spacing w:line="500" w:lineRule="exact"/>
        <w:ind w:firstLine="482" w:firstLineChars="200"/>
        <w:jc w:val="left"/>
        <w:rPr>
          <w:rFonts w:ascii="仿宋" w:hAnsi="仿宋" w:eastAsia="仿宋" w:cs="仿宋"/>
          <w:sz w:val="24"/>
        </w:rPr>
      </w:pPr>
      <w:r>
        <w:rPr>
          <w:rFonts w:hint="eastAsia" w:ascii="仿宋" w:hAnsi="仿宋" w:eastAsia="仿宋" w:cs="仿宋"/>
          <w:b/>
          <w:sz w:val="24"/>
        </w:rPr>
        <w:t>1、项目编号：</w:t>
      </w:r>
      <w:r>
        <w:rPr>
          <w:rFonts w:hint="eastAsia" w:ascii="仿宋" w:hAnsi="仿宋" w:eastAsia="仿宋" w:cs="仿宋"/>
          <w:sz w:val="24"/>
        </w:rPr>
        <w:t xml:space="preserve">CAZBDL2022ZC- </w:t>
      </w:r>
      <w:r>
        <w:rPr>
          <w:rFonts w:hint="eastAsia" w:ascii="仿宋" w:hAnsi="仿宋" w:eastAsia="仿宋" w:cs="仿宋"/>
          <w:sz w:val="24"/>
          <w:lang w:val="en-US" w:eastAsia="zh-CN"/>
        </w:rPr>
        <w:t>032</w:t>
      </w:r>
      <w:r>
        <w:rPr>
          <w:rFonts w:hint="eastAsia" w:ascii="仿宋" w:hAnsi="仿宋" w:eastAsia="仿宋" w:cs="仿宋"/>
          <w:sz w:val="24"/>
        </w:rPr>
        <w:t>号</w:t>
      </w:r>
    </w:p>
    <w:p>
      <w:pPr>
        <w:pStyle w:val="11"/>
        <w:spacing w:before="120" w:after="120" w:line="500" w:lineRule="exact"/>
        <w:ind w:firstLine="413" w:firstLineChars="196"/>
        <w:rPr>
          <w:rFonts w:ascii="仿宋" w:hAnsi="仿宋" w:eastAsia="仿宋" w:cs="仿宋"/>
        </w:rPr>
      </w:pPr>
      <w:r>
        <w:rPr>
          <w:rFonts w:hint="eastAsia" w:ascii="仿宋" w:hAnsi="仿宋" w:eastAsia="仿宋" w:cs="仿宋"/>
          <w:b/>
        </w:rPr>
        <w:t>2、</w:t>
      </w:r>
      <w:r>
        <w:rPr>
          <w:rFonts w:hint="eastAsia" w:ascii="仿宋" w:hAnsi="仿宋" w:eastAsia="仿宋" w:cs="仿宋"/>
          <w:b/>
          <w:sz w:val="24"/>
          <w:szCs w:val="24"/>
        </w:rPr>
        <w:t>项目名称</w:t>
      </w:r>
      <w:r>
        <w:rPr>
          <w:rFonts w:hint="eastAsia" w:ascii="仿宋" w:hAnsi="仿宋" w:eastAsia="仿宋" w:cs="仿宋"/>
          <w:b/>
        </w:rPr>
        <w:t>：</w:t>
      </w:r>
      <w:r>
        <w:rPr>
          <w:rFonts w:hint="eastAsia" w:ascii="仿宋" w:hAnsi="仿宋" w:eastAsia="仿宋" w:cs="仿宋"/>
          <w:sz w:val="24"/>
          <w:szCs w:val="24"/>
        </w:rPr>
        <w:t>2022年度青溪新城区块道路保洁服务采购项目</w:t>
      </w:r>
    </w:p>
    <w:p>
      <w:pPr>
        <w:pStyle w:val="11"/>
        <w:spacing w:before="120" w:after="120" w:line="500" w:lineRule="exact"/>
        <w:ind w:firstLine="422" w:firstLineChars="200"/>
        <w:rPr>
          <w:rFonts w:ascii="仿宋" w:hAnsi="仿宋" w:eastAsia="仿宋" w:cs="仿宋"/>
          <w:b/>
          <w:sz w:val="24"/>
          <w:szCs w:val="24"/>
        </w:rPr>
      </w:pPr>
      <w:r>
        <w:rPr>
          <w:rFonts w:hint="eastAsia" w:ascii="仿宋" w:hAnsi="仿宋" w:eastAsia="仿宋" w:cs="仿宋"/>
          <w:b/>
        </w:rPr>
        <w:t>3、</w:t>
      </w:r>
      <w:r>
        <w:rPr>
          <w:rFonts w:hint="eastAsia" w:ascii="仿宋" w:hAnsi="仿宋" w:eastAsia="仿宋" w:cs="仿宋"/>
          <w:b/>
          <w:sz w:val="24"/>
          <w:szCs w:val="24"/>
          <w:lang w:val="zh-CN"/>
        </w:rPr>
        <w:t>预算控制价</w:t>
      </w:r>
      <w:r>
        <w:rPr>
          <w:rFonts w:hint="eastAsia" w:cs="宋体"/>
          <w:b/>
          <w:bCs/>
          <w:lang w:val="zh-CN"/>
        </w:rPr>
        <w:t>：</w:t>
      </w:r>
      <w:r>
        <w:rPr>
          <w:rFonts w:hint="eastAsia" w:cs="宋体"/>
          <w:b/>
          <w:bCs/>
        </w:rPr>
        <w:t xml:space="preserve"> </w:t>
      </w:r>
      <w:r>
        <w:rPr>
          <w:rFonts w:hint="eastAsia" w:ascii="仿宋" w:hAnsi="仿宋" w:eastAsia="仿宋" w:cs="仿宋"/>
          <w:sz w:val="24"/>
          <w:szCs w:val="24"/>
          <w:u w:val="single"/>
        </w:rPr>
        <w:t xml:space="preserve"> 780.0448</w:t>
      </w:r>
      <w:r>
        <w:rPr>
          <w:rFonts w:hint="eastAsia" w:ascii="仿宋" w:hAnsi="仿宋" w:eastAsia="仿宋" w:cs="仿宋"/>
          <w:sz w:val="24"/>
          <w:szCs w:val="24"/>
        </w:rPr>
        <w:t>万元</w:t>
      </w:r>
    </w:p>
    <w:p>
      <w:pPr>
        <w:pStyle w:val="11"/>
        <w:spacing w:before="120" w:after="120" w:line="500" w:lineRule="exact"/>
        <w:ind w:firstLine="422" w:firstLineChars="200"/>
        <w:rPr>
          <w:rFonts w:ascii="仿宋" w:hAnsi="仿宋" w:eastAsia="仿宋" w:cs="仿宋"/>
        </w:rPr>
      </w:pPr>
      <w:r>
        <w:rPr>
          <w:rFonts w:hint="eastAsia" w:ascii="仿宋" w:hAnsi="仿宋" w:eastAsia="仿宋" w:cs="仿宋"/>
          <w:b/>
        </w:rPr>
        <w:t>4、</w:t>
      </w:r>
      <w:r>
        <w:rPr>
          <w:rFonts w:hint="eastAsia" w:ascii="仿宋" w:hAnsi="仿宋" w:eastAsia="仿宋" w:cs="仿宋"/>
          <w:b/>
          <w:sz w:val="24"/>
          <w:szCs w:val="24"/>
        </w:rPr>
        <w:t>采购方式</w:t>
      </w:r>
      <w:r>
        <w:rPr>
          <w:rFonts w:hint="eastAsia" w:ascii="仿宋" w:hAnsi="仿宋" w:eastAsia="仿宋" w:cs="仿宋"/>
          <w:b/>
        </w:rPr>
        <w:t>：</w:t>
      </w:r>
      <w:r>
        <w:rPr>
          <w:rFonts w:hint="eastAsia" w:ascii="仿宋" w:hAnsi="仿宋" w:eastAsia="仿宋" w:cs="仿宋"/>
          <w:sz w:val="24"/>
          <w:szCs w:val="24"/>
        </w:rPr>
        <w:t>公开招标</w:t>
      </w:r>
    </w:p>
    <w:p>
      <w:pPr>
        <w:spacing w:line="360" w:lineRule="auto"/>
        <w:ind w:firstLine="482" w:firstLineChars="200"/>
        <w:jc w:val="left"/>
        <w:rPr>
          <w:rFonts w:ascii="仿宋" w:hAnsi="仿宋" w:eastAsia="仿宋"/>
          <w:sz w:val="24"/>
        </w:rPr>
      </w:pPr>
      <w:r>
        <w:rPr>
          <w:rFonts w:hint="eastAsia" w:ascii="仿宋" w:hAnsi="仿宋" w:eastAsia="仿宋"/>
          <w:b/>
          <w:bCs/>
          <w:sz w:val="24"/>
        </w:rPr>
        <w:t>5、采购人的采购需求：</w:t>
      </w:r>
      <w:r>
        <w:rPr>
          <w:rFonts w:hint="eastAsia" w:ascii="仿宋" w:hAnsi="仿宋" w:eastAsia="仿宋"/>
          <w:sz w:val="24"/>
        </w:rPr>
        <w:t>详见招标文件第三部分</w:t>
      </w:r>
      <w:r>
        <w:rPr>
          <w:rFonts w:hint="eastAsia" w:ascii="仿宋" w:hAnsi="仿宋" w:eastAsia="仿宋"/>
          <w:sz w:val="24"/>
          <w:lang w:val="zh-CN"/>
        </w:rPr>
        <w:t>《招标需求》</w:t>
      </w:r>
      <w:r>
        <w:rPr>
          <w:rFonts w:hint="eastAsia" w:ascii="仿宋" w:hAnsi="仿宋" w:eastAsia="仿宋"/>
          <w:sz w:val="24"/>
        </w:rPr>
        <w:t>。</w:t>
      </w:r>
    </w:p>
    <w:p>
      <w:pPr>
        <w:spacing w:line="360" w:lineRule="auto"/>
        <w:ind w:firstLine="422" w:firstLineChars="200"/>
        <w:jc w:val="left"/>
        <w:rPr>
          <w:rFonts w:ascii="仿宋" w:hAnsi="仿宋" w:eastAsia="仿宋" w:cs="仿宋"/>
          <w:bCs/>
        </w:rPr>
      </w:pPr>
      <w:r>
        <w:rPr>
          <w:rFonts w:hint="eastAsia" w:ascii="仿宋" w:hAnsi="仿宋" w:eastAsia="仿宋" w:cs="仿宋"/>
          <w:b/>
        </w:rPr>
        <w:t xml:space="preserve"> 6、 </w:t>
      </w:r>
      <w:r>
        <w:rPr>
          <w:rFonts w:hint="eastAsia" w:ascii="仿宋" w:hAnsi="仿宋" w:eastAsia="仿宋" w:cs="Times New Roman"/>
          <w:sz w:val="24"/>
        </w:rPr>
        <w:t>本项目不接受联合体投标。</w:t>
      </w:r>
    </w:p>
    <w:p>
      <w:pPr>
        <w:spacing w:line="360" w:lineRule="auto"/>
        <w:ind w:firstLine="475" w:firstLineChars="197"/>
        <w:rPr>
          <w:rFonts w:ascii="仿宋" w:hAnsi="仿宋" w:eastAsia="仿宋" w:cs="仿宋"/>
          <w:b/>
          <w:sz w:val="24"/>
        </w:rPr>
      </w:pPr>
      <w:r>
        <w:rPr>
          <w:rFonts w:hint="eastAsia" w:ascii="仿宋" w:hAnsi="仿宋" w:eastAsia="仿宋" w:cs="仿宋"/>
          <w:b/>
          <w:sz w:val="24"/>
        </w:rPr>
        <w:t>二、申请人的资格要求：</w:t>
      </w:r>
    </w:p>
    <w:p>
      <w:pPr>
        <w:spacing w:line="360" w:lineRule="auto"/>
        <w:ind w:firstLine="480" w:firstLineChars="200"/>
        <w:rPr>
          <w:rFonts w:ascii="仿宋" w:hAnsi="仿宋" w:eastAsia="仿宋"/>
          <w:sz w:val="24"/>
        </w:rPr>
      </w:pPr>
      <w:r>
        <w:rPr>
          <w:rFonts w:hint="eastAsia" w:ascii="仿宋" w:hAnsi="仿宋" w:eastAsia="仿宋"/>
          <w:sz w:val="24"/>
        </w:rPr>
        <w:t>1.满足《中华人民共和国政府采购法》第二十二条规定；</w:t>
      </w:r>
    </w:p>
    <w:p>
      <w:pPr>
        <w:spacing w:line="360" w:lineRule="auto"/>
        <w:ind w:firstLine="480" w:firstLineChars="200"/>
        <w:rPr>
          <w:rFonts w:ascii="仿宋" w:hAnsi="仿宋" w:eastAsia="仿宋"/>
          <w:sz w:val="24"/>
        </w:rPr>
      </w:pPr>
      <w:r>
        <w:rPr>
          <w:rFonts w:hint="eastAsia" w:ascii="仿宋" w:hAnsi="仿宋" w:eastAsia="仿宋"/>
          <w:sz w:val="24"/>
        </w:rPr>
        <w:t>2.落实政府采购政策需满足的资格要求：</w:t>
      </w:r>
      <w:r>
        <w:rPr>
          <w:rFonts w:hint="eastAsia" w:ascii="仿宋" w:hAnsi="仿宋" w:eastAsia="仿宋"/>
          <w:b/>
          <w:bCs/>
          <w:sz w:val="24"/>
        </w:rPr>
        <w:t>专门面向中小企业采购</w:t>
      </w:r>
      <w:r>
        <w:rPr>
          <w:rFonts w:hint="eastAsia" w:ascii="仿宋" w:hAnsi="仿宋" w:eastAsia="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rPr>
        <w:t>3.本项目的特定资格要求：无 ；</w:t>
      </w:r>
    </w:p>
    <w:p>
      <w:pPr>
        <w:spacing w:line="360" w:lineRule="auto"/>
        <w:ind w:firstLine="482" w:firstLineChars="200"/>
        <w:rPr>
          <w:rFonts w:ascii="仿宋" w:hAnsi="仿宋" w:eastAsia="仿宋"/>
          <w:b/>
          <w:bCs/>
          <w:sz w:val="24"/>
        </w:rPr>
      </w:pPr>
      <w:r>
        <w:rPr>
          <w:rFonts w:hint="eastAsia" w:ascii="仿宋" w:hAnsi="仿宋" w:eastAsia="仿宋"/>
          <w:b/>
          <w:bCs/>
          <w:sz w:val="24"/>
        </w:rPr>
        <w:t>4.</w:t>
      </w:r>
      <w:r>
        <w:rPr>
          <w:rFonts w:hint="eastAsia" w:ascii="仿宋" w:hAnsi="仿宋" w:eastAsia="仿宋"/>
          <w:b/>
          <w:bCs/>
          <w:sz w:val="24"/>
          <w:lang w:val="zh-CN"/>
        </w:rPr>
        <w:t>本项目不允许联合投标；不允许转包、分包。</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三、获取招标文件：</w:t>
      </w:r>
    </w:p>
    <w:p>
      <w:pPr>
        <w:spacing w:line="360" w:lineRule="auto"/>
        <w:ind w:firstLine="240" w:firstLineChars="100"/>
        <w:rPr>
          <w:rFonts w:ascii="宋体" w:hAnsi="宋体" w:cs="宋体"/>
          <w:sz w:val="24"/>
        </w:rPr>
      </w:pPr>
      <w:r>
        <w:rPr>
          <w:rFonts w:hint="eastAsia" w:ascii="仿宋" w:hAnsi="仿宋" w:eastAsia="仿宋" w:cs="仿宋"/>
          <w:sz w:val="24"/>
        </w:rPr>
        <w:t xml:space="preserve">   1.</w:t>
      </w:r>
      <w:r>
        <w:rPr>
          <w:rFonts w:hint="eastAsia" w:ascii="仿宋" w:hAnsi="仿宋" w:eastAsia="仿宋" w:cs="仿宋"/>
          <w:b/>
          <w:sz w:val="24"/>
        </w:rPr>
        <w:t>时间</w:t>
      </w:r>
      <w:r>
        <w:rPr>
          <w:rFonts w:hint="eastAsia" w:ascii="仿宋" w:hAnsi="仿宋" w:eastAsia="仿宋" w:cs="仿宋"/>
          <w:sz w:val="24"/>
        </w:rPr>
        <w:t>：</w:t>
      </w:r>
      <w:r>
        <w:rPr>
          <w:rFonts w:hint="eastAsia" w:ascii="宋体" w:hAnsi="宋体" w:cs="宋体"/>
          <w:sz w:val="24"/>
        </w:rPr>
        <w:t>2022年</w:t>
      </w:r>
      <w:r>
        <w:rPr>
          <w:rFonts w:hint="eastAsia" w:ascii="宋体" w:hAnsi="宋体" w:cs="宋体"/>
          <w:sz w:val="24"/>
          <w:lang w:val="en-US" w:eastAsia="zh-CN"/>
        </w:rPr>
        <w:t>03</w:t>
      </w:r>
      <w:r>
        <w:rPr>
          <w:rFonts w:hint="eastAsia" w:ascii="宋体" w:hAnsi="宋体" w:cs="宋体"/>
          <w:sz w:val="24"/>
        </w:rPr>
        <w:t>月</w:t>
      </w:r>
      <w:r>
        <w:rPr>
          <w:rFonts w:hint="eastAsia" w:ascii="宋体" w:hAnsi="宋体" w:cs="宋体"/>
          <w:sz w:val="24"/>
          <w:lang w:val="en-US" w:eastAsia="zh-CN"/>
        </w:rPr>
        <w:t>29</w:t>
      </w:r>
      <w:r>
        <w:rPr>
          <w:rFonts w:hint="eastAsia" w:ascii="宋体" w:hAnsi="宋体" w:cs="宋体"/>
          <w:sz w:val="24"/>
        </w:rPr>
        <w:t>日至2022年</w:t>
      </w:r>
      <w:r>
        <w:rPr>
          <w:rFonts w:hint="eastAsia" w:ascii="宋体" w:hAnsi="宋体" w:cs="宋体"/>
          <w:sz w:val="24"/>
          <w:lang w:val="en-US" w:eastAsia="zh-CN"/>
        </w:rPr>
        <w:t>04</w:t>
      </w:r>
      <w:r>
        <w:rPr>
          <w:rFonts w:hint="eastAsia" w:ascii="宋体" w:hAnsi="宋体" w:cs="宋体"/>
          <w:sz w:val="24"/>
        </w:rPr>
        <w:t>月</w:t>
      </w:r>
      <w:r>
        <w:rPr>
          <w:rFonts w:hint="eastAsia" w:ascii="宋体" w:hAnsi="宋体" w:cs="宋体"/>
          <w:sz w:val="24"/>
          <w:lang w:val="en-US" w:eastAsia="zh-CN"/>
        </w:rPr>
        <w:t>06</w:t>
      </w:r>
      <w:r>
        <w:rPr>
          <w:rFonts w:hint="eastAsia" w:ascii="宋体" w:hAnsi="宋体" w:cs="宋体"/>
          <w:sz w:val="24"/>
        </w:rPr>
        <w:t>日 ，每天上午00:00至12:00 ，下午12:00至23:59（北京时间，线上获取法定节假日均可。）</w:t>
      </w:r>
    </w:p>
    <w:p>
      <w:pPr>
        <w:spacing w:line="360" w:lineRule="auto"/>
        <w:ind w:firstLine="240" w:firstLineChars="100"/>
        <w:rPr>
          <w:rFonts w:ascii="仿宋" w:hAnsi="仿宋" w:eastAsia="仿宋" w:cs="仿宋"/>
          <w:sz w:val="24"/>
        </w:rPr>
      </w:pPr>
      <w:r>
        <w:rPr>
          <w:rFonts w:hint="eastAsia" w:ascii="仿宋" w:hAnsi="仿宋" w:eastAsia="仿宋" w:cs="仿宋"/>
          <w:sz w:val="24"/>
        </w:rPr>
        <w:t xml:space="preserve">   2.</w:t>
      </w:r>
      <w:r>
        <w:rPr>
          <w:rFonts w:hint="eastAsia" w:ascii="仿宋" w:hAnsi="仿宋" w:eastAsia="仿宋" w:cs="仿宋"/>
          <w:b/>
          <w:sz w:val="24"/>
          <w:lang w:val="zh-CN"/>
        </w:rPr>
        <w:t>地点</w:t>
      </w:r>
      <w:r>
        <w:rPr>
          <w:rFonts w:hint="eastAsia" w:ascii="仿宋" w:hAnsi="仿宋" w:eastAsia="仿宋"/>
          <w:b/>
          <w:sz w:val="24"/>
        </w:rPr>
        <w:t>（网址）</w:t>
      </w:r>
      <w:r>
        <w:rPr>
          <w:rFonts w:hint="eastAsia" w:ascii="仿宋" w:hAnsi="仿宋" w:eastAsia="仿宋" w:cs="仿宋"/>
          <w:sz w:val="24"/>
        </w:rPr>
        <w:t>：政采云平台（</w:t>
      </w:r>
      <w:r>
        <w:fldChar w:fldCharType="begin"/>
      </w:r>
      <w:r>
        <w:instrText xml:space="preserve"> HYPERLINK "https://www.zcygov.cn/" </w:instrText>
      </w:r>
      <w:r>
        <w:fldChar w:fldCharType="separate"/>
      </w:r>
      <w:r>
        <w:rPr>
          <w:rStyle w:val="23"/>
          <w:rFonts w:hint="eastAsia" w:ascii="仿宋" w:hAnsi="仿宋" w:eastAsia="仿宋" w:cs="仿宋"/>
          <w:color w:val="auto"/>
          <w:sz w:val="24"/>
        </w:rPr>
        <w:t>https://www.zcygov.cn/</w:t>
      </w:r>
      <w:r>
        <w:rPr>
          <w:rStyle w:val="23"/>
          <w:rFonts w:hint="eastAsia" w:ascii="仿宋" w:hAnsi="仿宋" w:eastAsia="仿宋" w:cs="仿宋"/>
          <w:color w:val="auto"/>
          <w:sz w:val="24"/>
        </w:rPr>
        <w:fldChar w:fldCharType="end"/>
      </w:r>
      <w:r>
        <w:rPr>
          <w:rFonts w:hint="eastAsia" w:ascii="仿宋" w:hAnsi="仿宋" w:eastAsia="仿宋" w:cs="仿宋"/>
          <w:sz w:val="24"/>
        </w:rPr>
        <w:t>）；</w:t>
      </w:r>
    </w:p>
    <w:p>
      <w:pPr>
        <w:spacing w:line="360" w:lineRule="auto"/>
        <w:ind w:firstLine="240" w:firstLineChars="100"/>
        <w:rPr>
          <w:rFonts w:ascii="仿宋" w:hAnsi="仿宋" w:eastAsia="仿宋" w:cs="仿宋"/>
          <w:b/>
          <w:sz w:val="24"/>
        </w:rPr>
      </w:pPr>
      <w:r>
        <w:rPr>
          <w:rFonts w:hint="eastAsia" w:ascii="仿宋" w:hAnsi="仿宋" w:eastAsia="仿宋" w:cs="仿宋"/>
          <w:sz w:val="24"/>
        </w:rPr>
        <w:t xml:space="preserve">   3</w:t>
      </w:r>
      <w:r>
        <w:rPr>
          <w:rFonts w:hint="eastAsia" w:ascii="仿宋" w:hAnsi="仿宋" w:eastAsia="仿宋" w:cs="仿宋"/>
          <w:b/>
          <w:sz w:val="24"/>
        </w:rPr>
        <w:t>.</w:t>
      </w:r>
      <w:r>
        <w:rPr>
          <w:rFonts w:hint="eastAsia" w:ascii="仿宋" w:hAnsi="仿宋" w:eastAsia="仿宋" w:cs="仿宋"/>
          <w:b/>
          <w:sz w:val="24"/>
          <w:lang w:val="zh-CN"/>
        </w:rPr>
        <w:t>方式：</w:t>
      </w:r>
      <w:r>
        <w:rPr>
          <w:rFonts w:hint="eastAsia" w:ascii="仿宋" w:hAnsi="仿宋" w:eastAsia="仿宋" w:cs="仿宋"/>
          <w:sz w:val="24"/>
        </w:rPr>
        <w:t>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w:t>
      </w:r>
    </w:p>
    <w:p>
      <w:pPr>
        <w:spacing w:line="360" w:lineRule="auto"/>
        <w:ind w:firstLine="240" w:firstLineChars="100"/>
        <w:rPr>
          <w:rFonts w:ascii="仿宋" w:hAnsi="仿宋" w:eastAsia="仿宋" w:cs="仿宋"/>
          <w:sz w:val="24"/>
        </w:rPr>
      </w:pPr>
      <w:r>
        <w:rPr>
          <w:rFonts w:hint="eastAsia" w:ascii="仿宋" w:hAnsi="仿宋" w:eastAsia="仿宋" w:cs="仿宋"/>
          <w:sz w:val="24"/>
        </w:rPr>
        <w:t xml:space="preserve">  4.售价：0元</w:t>
      </w:r>
    </w:p>
    <w:p>
      <w:pPr>
        <w:spacing w:line="360" w:lineRule="auto"/>
        <w:rPr>
          <w:rFonts w:ascii="仿宋" w:hAnsi="仿宋" w:eastAsia="仿宋"/>
          <w:b/>
          <w:sz w:val="24"/>
        </w:rPr>
      </w:pPr>
      <w:r>
        <w:rPr>
          <w:rFonts w:hint="eastAsia" w:ascii="仿宋" w:hAnsi="仿宋" w:eastAsia="仿宋"/>
          <w:b/>
          <w:sz w:val="24"/>
        </w:rPr>
        <w:t>四、提交投标文件截止时间、开标时间和地点：</w:t>
      </w:r>
    </w:p>
    <w:p>
      <w:pPr>
        <w:spacing w:line="360" w:lineRule="auto"/>
        <w:ind w:firstLine="482" w:firstLineChars="200"/>
        <w:rPr>
          <w:rFonts w:ascii="仿宋" w:hAnsi="仿宋" w:eastAsia="仿宋"/>
          <w:sz w:val="24"/>
        </w:rPr>
      </w:pPr>
      <w:r>
        <w:rPr>
          <w:rFonts w:hint="eastAsia" w:ascii="仿宋" w:hAnsi="仿宋" w:eastAsia="仿宋"/>
          <w:b/>
          <w:sz w:val="24"/>
        </w:rPr>
        <w:t>1.提交投标文件截止时间：</w:t>
      </w:r>
      <w:r>
        <w:rPr>
          <w:rFonts w:hint="eastAsia" w:ascii="仿宋" w:hAnsi="仿宋" w:eastAsia="仿宋"/>
          <w:sz w:val="24"/>
        </w:rPr>
        <w:t>2022年</w:t>
      </w:r>
      <w:r>
        <w:rPr>
          <w:rFonts w:hint="eastAsia" w:ascii="仿宋" w:hAnsi="仿宋" w:eastAsia="仿宋"/>
          <w:sz w:val="24"/>
          <w:lang w:val="en-US" w:eastAsia="zh-CN"/>
        </w:rPr>
        <w:t>04</w:t>
      </w:r>
      <w:r>
        <w:rPr>
          <w:rFonts w:hint="eastAsia" w:ascii="仿宋" w:hAnsi="仿宋" w:eastAsia="仿宋"/>
          <w:sz w:val="24"/>
        </w:rPr>
        <w:t>月</w:t>
      </w:r>
      <w:r>
        <w:rPr>
          <w:rFonts w:hint="eastAsia" w:ascii="仿宋" w:hAnsi="仿宋" w:eastAsia="仿宋"/>
          <w:sz w:val="24"/>
          <w:lang w:val="en-US" w:eastAsia="zh-CN"/>
        </w:rPr>
        <w:t>19</w:t>
      </w:r>
      <w:r>
        <w:rPr>
          <w:rFonts w:hint="eastAsia" w:ascii="仿宋" w:hAnsi="仿宋" w:eastAsia="仿宋"/>
          <w:sz w:val="24"/>
        </w:rPr>
        <w:t xml:space="preserve"> 日14点00分00秒（北京时间）</w:t>
      </w:r>
    </w:p>
    <w:p>
      <w:pPr>
        <w:spacing w:line="360" w:lineRule="auto"/>
        <w:ind w:firstLine="482" w:firstLineChars="200"/>
        <w:rPr>
          <w:rFonts w:ascii="仿宋" w:hAnsi="仿宋" w:eastAsia="仿宋"/>
          <w:b/>
          <w:sz w:val="24"/>
        </w:rPr>
      </w:pPr>
      <w:r>
        <w:rPr>
          <w:rFonts w:hint="eastAsia" w:ascii="仿宋" w:hAnsi="仿宋" w:eastAsia="仿宋"/>
          <w:b/>
          <w:sz w:val="24"/>
        </w:rPr>
        <w:t>2.投标地点（网址）：</w:t>
      </w:r>
      <w:r>
        <w:rPr>
          <w:rFonts w:hint="eastAsia" w:ascii="仿宋" w:hAnsi="仿宋" w:eastAsia="仿宋"/>
          <w:sz w:val="24"/>
        </w:rPr>
        <w:t xml:space="preserve">政采云平台 </w:t>
      </w:r>
    </w:p>
    <w:p>
      <w:pPr>
        <w:spacing w:line="360" w:lineRule="auto"/>
        <w:ind w:firstLine="482" w:firstLineChars="200"/>
        <w:rPr>
          <w:rFonts w:ascii="仿宋" w:hAnsi="仿宋" w:eastAsia="仿宋"/>
          <w:sz w:val="24"/>
        </w:rPr>
      </w:pPr>
      <w:r>
        <w:rPr>
          <w:rFonts w:hint="eastAsia" w:ascii="仿宋" w:hAnsi="仿宋" w:eastAsia="仿宋"/>
          <w:b/>
          <w:sz w:val="24"/>
        </w:rPr>
        <w:t>3.开标时间：</w:t>
      </w:r>
      <w:r>
        <w:rPr>
          <w:rFonts w:hint="eastAsia" w:ascii="仿宋" w:hAnsi="仿宋" w:eastAsia="仿宋"/>
          <w:sz w:val="24"/>
        </w:rPr>
        <w:t>2022年</w:t>
      </w:r>
      <w:r>
        <w:rPr>
          <w:rFonts w:hint="eastAsia" w:ascii="仿宋" w:hAnsi="仿宋" w:eastAsia="仿宋"/>
          <w:sz w:val="24"/>
          <w:lang w:val="en-US" w:eastAsia="zh-CN"/>
        </w:rPr>
        <w:t>04</w:t>
      </w:r>
      <w:r>
        <w:rPr>
          <w:rFonts w:hint="eastAsia" w:ascii="仿宋" w:hAnsi="仿宋" w:eastAsia="仿宋"/>
          <w:sz w:val="24"/>
        </w:rPr>
        <w:t>月</w:t>
      </w:r>
      <w:r>
        <w:rPr>
          <w:rFonts w:hint="eastAsia" w:ascii="仿宋" w:hAnsi="仿宋" w:eastAsia="仿宋"/>
          <w:sz w:val="24"/>
          <w:lang w:val="en-US" w:eastAsia="zh-CN"/>
        </w:rPr>
        <w:t>19</w:t>
      </w:r>
      <w:r>
        <w:rPr>
          <w:rFonts w:hint="eastAsia" w:ascii="仿宋" w:hAnsi="仿宋" w:eastAsia="仿宋"/>
          <w:sz w:val="24"/>
        </w:rPr>
        <w:t>日14点00分00秒</w:t>
      </w:r>
    </w:p>
    <w:p>
      <w:pPr>
        <w:spacing w:line="360" w:lineRule="auto"/>
        <w:ind w:firstLine="482" w:firstLineChars="200"/>
        <w:rPr>
          <w:rFonts w:ascii="仿宋" w:hAnsi="仿宋" w:eastAsia="仿宋"/>
          <w:sz w:val="24"/>
        </w:rPr>
      </w:pPr>
      <w:r>
        <w:rPr>
          <w:rFonts w:hint="eastAsia" w:ascii="仿宋" w:hAnsi="仿宋" w:eastAsia="仿宋"/>
          <w:b/>
          <w:sz w:val="24"/>
        </w:rPr>
        <w:t>4.开标地点：</w:t>
      </w:r>
      <w:r>
        <w:rPr>
          <w:rFonts w:hint="eastAsia" w:ascii="仿宋" w:hAnsi="仿宋" w:eastAsia="仿宋" w:cs="仿宋"/>
          <w:color w:val="auto"/>
          <w:sz w:val="24"/>
          <w:lang w:val="zh-CN"/>
        </w:rPr>
        <w:t>淳安县千岛湖镇环湖北路375号行政服务中心4楼,</w:t>
      </w:r>
      <w:r>
        <w:rPr>
          <w:rFonts w:hint="eastAsia" w:ascii="仿宋" w:hAnsi="仿宋" w:eastAsia="仿宋" w:cs="仿宋"/>
          <w:sz w:val="24"/>
          <w:lang w:val="zh-CN"/>
        </w:rPr>
        <w:t>通过“政府采购云平台（www.zcygov.cn）”实行在线开标响应。</w:t>
      </w:r>
    </w:p>
    <w:p>
      <w:pPr>
        <w:spacing w:line="360" w:lineRule="auto"/>
        <w:rPr>
          <w:rFonts w:ascii="仿宋" w:hAnsi="仿宋" w:eastAsia="仿宋"/>
          <w:b/>
          <w:sz w:val="24"/>
        </w:rPr>
      </w:pPr>
      <w:r>
        <w:rPr>
          <w:rFonts w:hint="eastAsia" w:ascii="仿宋" w:hAnsi="仿宋" w:eastAsia="仿宋"/>
          <w:b/>
          <w:sz w:val="24"/>
        </w:rPr>
        <w:t xml:space="preserve">五、公告期限 </w:t>
      </w:r>
    </w:p>
    <w:p>
      <w:pPr>
        <w:spacing w:line="360" w:lineRule="auto"/>
        <w:ind w:firstLine="480" w:firstLineChars="200"/>
        <w:rPr>
          <w:rFonts w:ascii="仿宋" w:hAnsi="仿宋" w:eastAsia="仿宋"/>
          <w:sz w:val="24"/>
        </w:rPr>
      </w:pPr>
      <w:r>
        <w:rPr>
          <w:rFonts w:hint="eastAsia" w:ascii="仿宋" w:hAnsi="仿宋" w:eastAsia="仿宋"/>
          <w:sz w:val="24"/>
        </w:rPr>
        <w:t>自本公告发布之日起5个工作日。</w:t>
      </w:r>
    </w:p>
    <w:p>
      <w:pPr>
        <w:spacing w:line="360" w:lineRule="auto"/>
        <w:rPr>
          <w:rFonts w:ascii="仿宋" w:hAnsi="仿宋" w:eastAsia="仿宋"/>
          <w:b/>
          <w:sz w:val="24"/>
        </w:rPr>
      </w:pPr>
      <w:r>
        <w:rPr>
          <w:rFonts w:hint="eastAsia" w:ascii="仿宋" w:hAnsi="仿宋" w:eastAsia="仿宋"/>
          <w:b/>
          <w:sz w:val="24"/>
        </w:rPr>
        <w:t>六、其他补充事宜</w:t>
      </w:r>
    </w:p>
    <w:p>
      <w:pPr>
        <w:spacing w:line="360" w:lineRule="auto"/>
        <w:ind w:firstLine="480" w:firstLineChars="200"/>
        <w:rPr>
          <w:rFonts w:ascii="仿宋" w:hAnsi="仿宋" w:eastAsia="仿宋"/>
          <w:sz w:val="24"/>
        </w:rPr>
      </w:pPr>
      <w:r>
        <w:rPr>
          <w:rFonts w:hint="eastAsia" w:ascii="仿宋" w:hAnsi="仿宋" w:eastAsia="仿宋"/>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sz w:val="24"/>
        </w:rPr>
      </w:pPr>
      <w:r>
        <w:rPr>
          <w:rFonts w:hint="eastAsia" w:ascii="仿宋" w:hAnsi="仿宋" w:eastAsia="仿宋"/>
          <w:sz w:val="24"/>
        </w:rPr>
        <w:t>2.落实政府采购政策：包括保护环境、节约能源、促进中小企业发展等。详见招标文件的第二部分总则。为支持和促进中小企业发展，</w:t>
      </w:r>
      <w:r>
        <w:rPr>
          <w:rFonts w:hint="eastAsia" w:ascii="仿宋" w:hAnsi="仿宋" w:eastAsia="仿宋" w:cs="仿宋"/>
          <w:sz w:val="24"/>
        </w:rPr>
        <w:t>淳安县财政局与中国建设银行股份有限公司淳安支行、杭州银行股份有限公司淳安支行、中国工商银行股份有限公司淳安支行等银行签订了《政府采购支持中小企业信用融资合作备忘录》，本采购项目中标人与采购单位签订的政府采购合同适用于政府采购贷款政策，简称“政采贷”。</w:t>
      </w:r>
    </w:p>
    <w:p>
      <w:pPr>
        <w:spacing w:line="360" w:lineRule="auto"/>
        <w:ind w:firstLine="480" w:firstLineChars="200"/>
        <w:rPr>
          <w:rFonts w:ascii="仿宋" w:hAnsi="仿宋" w:eastAsia="仿宋"/>
          <w:sz w:val="24"/>
        </w:rPr>
      </w:pPr>
      <w:r>
        <w:rPr>
          <w:rFonts w:hint="eastAsia" w:ascii="仿宋" w:hAnsi="仿宋" w:eastAsia="仿宋"/>
          <w:sz w:val="24"/>
        </w:rPr>
        <w:t>3.电子招投标的说明：</w:t>
      </w:r>
    </w:p>
    <w:p>
      <w:pPr>
        <w:spacing w:line="360" w:lineRule="auto"/>
        <w:ind w:firstLine="480" w:firstLineChars="200"/>
        <w:rPr>
          <w:rFonts w:ascii="仿宋" w:hAnsi="仿宋" w:eastAsia="仿宋"/>
          <w:sz w:val="24"/>
        </w:rPr>
      </w:pPr>
      <w:r>
        <w:rPr>
          <w:rFonts w:hint="eastAsia" w:ascii="仿宋" w:hAnsi="仿宋" w:eastAsia="仿宋"/>
          <w:sz w:val="24"/>
        </w:rPr>
        <w:t>1）</w:t>
      </w:r>
      <w:r>
        <w:rPr>
          <w:rFonts w:hint="eastAsia" w:ascii="仿宋_GB2312" w:hAnsi="仿宋" w:eastAsia="仿宋_GB2312" w:cs="仿宋_GB2312"/>
          <w:sz w:val="24"/>
        </w:rPr>
        <w:t>电子招投标：本项目以数据电文形式，依托“政府采购云平台（www.zcygov.cn）”进行招投标活动，不接受纸质投标文件。</w:t>
      </w:r>
      <w:r>
        <w:rPr>
          <w:rFonts w:hint="eastAsia" w:ascii="仿宋" w:hAnsi="仿宋" w:eastAsia="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rPr>
        <w:t>2）</w:t>
      </w:r>
      <w:r>
        <w:rPr>
          <w:rFonts w:hint="eastAsia"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3）招标文件的获取：使用账号登录或者使用CA登录政采云平台；进入“项目采购”应用，在获取采购文件菜单中选择项目，获取招标文件。</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4）投标文件的制作：在“政采云电子交易客户端”中完成“填写基本信息”、“导入投标文件”、“标书关联”、“标书检查”、“电子签名”、“生成电子标书”等操作。</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5）采购人、采购机构将依托政采云平台完成本项目的电子交易活动，平台不接受未按上述方式获取招标文件的供应商进行投标活动。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 6）对未按上述方式获取招标文件的供应商对该文件提出的质疑，采购人或采购代理机构将不予处理。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7）不提供招标文件纸质版。</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8）投标文件的传输递交：投标人在投标截止时间前将加密的投标文件上传至政府采购云平台，</w:t>
      </w:r>
      <w:r>
        <w:rPr>
          <w:rFonts w:hint="eastAsia" w:ascii="仿宋" w:hAnsi="仿宋" w:eastAsia="仿宋" w:cs="仿宋"/>
          <w:sz w:val="24"/>
        </w:rPr>
        <w:t>还可以以介质存储的数据电文形式的备份投标文件：按政采云平台项目采购-电子招投标操作指南制作备份投标文件（后缀名为.bfbs），在投标截止时间前以电子邮件形式递交至(</w:t>
      </w:r>
      <w:r>
        <w:fldChar w:fldCharType="begin"/>
      </w:r>
      <w:r>
        <w:instrText xml:space="preserve"> HYPERLINK "mailto:2990430955@qq.com" </w:instrText>
      </w:r>
      <w:r>
        <w:fldChar w:fldCharType="separate"/>
      </w:r>
      <w:r>
        <w:rPr>
          <w:rFonts w:hint="eastAsia" w:ascii="仿宋" w:hAnsi="仿宋" w:eastAsia="仿宋" w:cs="仿宋"/>
          <w:sz w:val="24"/>
        </w:rPr>
        <w:t>1487692964@qq.com</w:t>
      </w:r>
      <w:r>
        <w:rPr>
          <w:rFonts w:hint="eastAsia" w:ascii="仿宋" w:hAnsi="仿宋" w:eastAsia="仿宋" w:cs="仿宋"/>
          <w:sz w:val="24"/>
        </w:rPr>
        <w:fldChar w:fldCharType="end"/>
      </w:r>
      <w:r>
        <w:rPr>
          <w:rFonts w:hint="eastAsia" w:ascii="仿宋" w:hAnsi="仿宋" w:eastAsia="仿宋" w:cs="仿宋"/>
          <w:sz w:val="24"/>
        </w:rPr>
        <w:t>)。</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sz w:val="24"/>
        </w:rPr>
        <w:t>9）</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10）具体操作指南：详见政采云平台“服务中心-帮助文档-项目采购-操作流程-电子招投标-政府采购项目电子交易管理操作指南-供应商”。</w:t>
      </w:r>
    </w:p>
    <w:p>
      <w:pPr>
        <w:spacing w:line="360" w:lineRule="auto"/>
        <w:rPr>
          <w:rFonts w:ascii="仿宋" w:hAnsi="仿宋" w:eastAsia="仿宋"/>
          <w:b/>
          <w:sz w:val="24"/>
        </w:rPr>
      </w:pPr>
      <w:r>
        <w:rPr>
          <w:rFonts w:hint="eastAsia" w:ascii="仿宋" w:hAnsi="仿宋" w:eastAsia="仿宋"/>
          <w:b/>
          <w:sz w:val="24"/>
        </w:rPr>
        <w:t>七、对本次采购提出询问、质疑、投诉，请按以下方式联系：</w:t>
      </w:r>
    </w:p>
    <w:p>
      <w:pPr>
        <w:pStyle w:val="5"/>
        <w:spacing w:line="440" w:lineRule="exact"/>
        <w:ind w:firstLine="434" w:firstLineChars="181"/>
        <w:rPr>
          <w:rFonts w:ascii="仿宋" w:hAnsi="仿宋" w:eastAsia="仿宋" w:cs="仿宋"/>
          <w:sz w:val="24"/>
        </w:rPr>
      </w:pPr>
      <w:r>
        <w:rPr>
          <w:rFonts w:hint="eastAsia" w:ascii="仿宋" w:hAnsi="仿宋" w:eastAsia="仿宋" w:cs="仿宋"/>
          <w:sz w:val="24"/>
        </w:rPr>
        <w:t>1.采购人信息</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名  称：淳安县市容环境卫生保障中心</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地  址：千岛湖镇新安北路67号</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项目联系人（询问）： 童桔元</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项目联系方式（询问）：0571-64837832</w:t>
      </w:r>
    </w:p>
    <w:p>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质疑联系人：胡钊龙</w:t>
      </w:r>
    </w:p>
    <w:p>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质疑联系方式：0571-64836626</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2.招标代理机构：淳安县建设工程招标代理有限公司</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地址：淳安县千岛湖镇环湖北路88号公路大厦7楼</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代理单位联系人：徐红萍   联系电话：0571-64819847   </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质疑受理地点：淳安县千岛湖镇环湖北路88号公路大厦7楼</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联系人：余八景    联系电话：0571-65025799</w:t>
      </w:r>
    </w:p>
    <w:p>
      <w:pPr>
        <w:pStyle w:val="5"/>
        <w:spacing w:line="440" w:lineRule="exact"/>
        <w:ind w:firstLine="434" w:firstLineChars="181"/>
        <w:rPr>
          <w:rFonts w:ascii="仿宋" w:hAnsi="仿宋" w:eastAsia="仿宋" w:cs="仿宋"/>
          <w:sz w:val="24"/>
        </w:rPr>
      </w:pPr>
      <w:r>
        <w:rPr>
          <w:rFonts w:hint="eastAsia" w:ascii="仿宋" w:hAnsi="仿宋" w:eastAsia="仿宋" w:cs="仿宋"/>
          <w:sz w:val="24"/>
        </w:rPr>
        <w:t>3.同级政府采购监督管理部门</w:t>
      </w:r>
    </w:p>
    <w:p>
      <w:pPr>
        <w:pStyle w:val="5"/>
        <w:spacing w:line="440" w:lineRule="exact"/>
        <w:ind w:firstLine="434" w:firstLineChars="181"/>
        <w:rPr>
          <w:rFonts w:ascii="仿宋" w:hAnsi="仿宋" w:eastAsia="仿宋" w:cs="仿宋"/>
          <w:sz w:val="24"/>
        </w:rPr>
      </w:pPr>
      <w:r>
        <w:rPr>
          <w:rFonts w:hint="eastAsia" w:ascii="仿宋" w:hAnsi="仿宋" w:eastAsia="仿宋" w:cs="仿宋"/>
          <w:sz w:val="24"/>
        </w:rPr>
        <w:t xml:space="preserve">  名  称：淳安县财政局</w:t>
      </w:r>
    </w:p>
    <w:p>
      <w:pPr>
        <w:pStyle w:val="5"/>
        <w:spacing w:line="440" w:lineRule="exact"/>
        <w:ind w:firstLine="434" w:firstLineChars="181"/>
        <w:rPr>
          <w:rFonts w:ascii="仿宋" w:hAnsi="仿宋" w:eastAsia="仿宋" w:cs="仿宋"/>
          <w:sz w:val="24"/>
        </w:rPr>
      </w:pPr>
      <w:r>
        <w:rPr>
          <w:rFonts w:hint="eastAsia" w:ascii="仿宋" w:hAnsi="仿宋" w:eastAsia="仿宋" w:cs="仿宋"/>
          <w:sz w:val="24"/>
        </w:rPr>
        <w:t xml:space="preserve">  地  址：淳安县千岛湖镇环湖北路695号；</w:t>
      </w:r>
    </w:p>
    <w:p>
      <w:pPr>
        <w:pStyle w:val="5"/>
        <w:spacing w:line="440" w:lineRule="exact"/>
        <w:ind w:firstLine="434" w:firstLineChars="181"/>
        <w:rPr>
          <w:rFonts w:ascii="仿宋" w:hAnsi="仿宋" w:eastAsia="仿宋" w:cs="仿宋"/>
          <w:sz w:val="24"/>
        </w:rPr>
      </w:pPr>
      <w:r>
        <w:rPr>
          <w:rFonts w:hint="eastAsia" w:ascii="仿宋" w:hAnsi="仿宋" w:eastAsia="仿宋" w:cs="仿宋"/>
          <w:sz w:val="24"/>
        </w:rPr>
        <w:t xml:space="preserve">  联系人：方建宏</w:t>
      </w:r>
    </w:p>
    <w:p>
      <w:pPr>
        <w:pStyle w:val="5"/>
        <w:spacing w:line="440" w:lineRule="exact"/>
        <w:ind w:firstLine="434" w:firstLineChars="181"/>
        <w:rPr>
          <w:rFonts w:ascii="仿宋" w:hAnsi="仿宋" w:eastAsia="仿宋" w:cs="仿宋"/>
          <w:sz w:val="24"/>
        </w:rPr>
      </w:pPr>
      <w:r>
        <w:rPr>
          <w:rFonts w:hint="eastAsia" w:ascii="仿宋" w:hAnsi="仿宋" w:eastAsia="仿宋" w:cs="仿宋"/>
          <w:sz w:val="24"/>
        </w:rPr>
        <w:t xml:space="preserve">  监督投诉电话： 0571-64818305。</w:t>
      </w:r>
    </w:p>
    <w:p>
      <w:pPr>
        <w:pStyle w:val="5"/>
        <w:spacing w:line="440" w:lineRule="exact"/>
        <w:ind w:firstLine="434" w:firstLineChars="181"/>
        <w:rPr>
          <w:rFonts w:ascii="仿宋" w:hAnsi="仿宋" w:eastAsia="仿宋" w:cs="仿宋"/>
          <w:sz w:val="24"/>
        </w:rPr>
      </w:pPr>
      <w:r>
        <w:rPr>
          <w:rFonts w:hint="eastAsia" w:ascii="仿宋" w:hAnsi="仿宋" w:eastAsia="仿宋" w:cs="仿宋"/>
          <w:sz w:val="24"/>
        </w:rPr>
        <w:t xml:space="preserve">  若对项目采购电子交易系统操作有疑问，可登录政采云（https://www.zcygov.cn/），点击右侧咨询小采，获取采小蜜智能服务管家帮助，或拨打政采云服务热线400-881-7190获取热线服务帮助。       </w:t>
      </w:r>
    </w:p>
    <w:p>
      <w:pPr>
        <w:pStyle w:val="5"/>
        <w:spacing w:line="440" w:lineRule="exact"/>
        <w:ind w:firstLine="434" w:firstLineChars="181"/>
        <w:rPr>
          <w:rFonts w:ascii="仿宋" w:hAnsi="仿宋" w:eastAsia="仿宋" w:cs="仿宋"/>
          <w:sz w:val="24"/>
        </w:rPr>
      </w:pPr>
      <w:r>
        <w:rPr>
          <w:rFonts w:hint="eastAsia" w:ascii="仿宋" w:hAnsi="仿宋" w:eastAsia="仿宋" w:cs="仿宋"/>
          <w:sz w:val="24"/>
        </w:rPr>
        <w:t xml:space="preserve">  CA问题联系电话（人工）：汇信CA 400-888-4636；天谷CA 400-087-8198。</w:t>
      </w:r>
    </w:p>
    <w:p>
      <w:pPr>
        <w:pStyle w:val="5"/>
        <w:spacing w:line="440" w:lineRule="exact"/>
        <w:ind w:firstLine="434" w:firstLineChars="181"/>
        <w:rPr>
          <w:rFonts w:ascii="仿宋" w:hAnsi="仿宋" w:eastAsia="仿宋" w:cs="仿宋"/>
          <w:spacing w:val="10"/>
          <w:kern w:val="0"/>
          <w:sz w:val="24"/>
        </w:rPr>
      </w:pPr>
      <w:r>
        <w:rPr>
          <w:rFonts w:hint="eastAsia" w:ascii="仿宋" w:hAnsi="仿宋" w:eastAsia="仿宋" w:cs="仿宋"/>
          <w:sz w:val="24"/>
        </w:rPr>
        <w:t xml:space="preserve"> </w:t>
      </w:r>
      <w:r>
        <w:rPr>
          <w:rFonts w:hint="eastAsia" w:ascii="仿宋" w:hAnsi="仿宋" w:eastAsia="仿宋" w:cs="仿宋"/>
          <w:spacing w:val="10"/>
          <w:kern w:val="0"/>
          <w:sz w:val="24"/>
        </w:rPr>
        <w:t xml:space="preserve"> </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                                 </w:t>
      </w:r>
    </w:p>
    <w:p>
      <w:pPr>
        <w:spacing w:line="360" w:lineRule="auto"/>
        <w:ind w:firstLine="4320" w:firstLineChars="1800"/>
        <w:jc w:val="left"/>
        <w:rPr>
          <w:rFonts w:ascii="仿宋" w:hAnsi="仿宋" w:eastAsia="仿宋" w:cs="仿宋"/>
          <w:sz w:val="24"/>
          <w:lang w:val="zh-CN"/>
        </w:rPr>
      </w:pPr>
      <w:r>
        <w:rPr>
          <w:rFonts w:hint="eastAsia" w:ascii="仿宋" w:hAnsi="仿宋" w:eastAsia="仿宋" w:cs="仿宋"/>
          <w:sz w:val="24"/>
          <w:lang w:val="zh-CN"/>
        </w:rPr>
        <w:t xml:space="preserve"> 淳安县建设工程招标代理有限公司</w:t>
      </w:r>
    </w:p>
    <w:p>
      <w:pPr>
        <w:spacing w:line="360" w:lineRule="auto"/>
        <w:ind w:firstLine="5040" w:firstLineChars="2100"/>
        <w:jc w:val="left"/>
        <w:rPr>
          <w:rFonts w:ascii="仿宋" w:hAnsi="仿宋" w:eastAsia="仿宋" w:cs="仿宋"/>
          <w:sz w:val="24"/>
        </w:rPr>
      </w:pPr>
      <w:r>
        <w:rPr>
          <w:rFonts w:ascii="仿宋" w:hAnsi="仿宋" w:eastAsia="仿宋" w:cs="仿宋"/>
          <w:sz w:val="24"/>
        </w:rPr>
        <w:t>202</w:t>
      </w:r>
      <w:r>
        <w:rPr>
          <w:rFonts w:hint="eastAsia" w:ascii="仿宋" w:hAnsi="仿宋" w:eastAsia="仿宋" w:cs="仿宋"/>
          <w:sz w:val="24"/>
        </w:rPr>
        <w:t xml:space="preserve">2 </w:t>
      </w:r>
      <w:r>
        <w:rPr>
          <w:rFonts w:hint="eastAsia" w:ascii="仿宋" w:hAnsi="仿宋" w:eastAsia="仿宋" w:cs="仿宋"/>
          <w:sz w:val="24"/>
          <w:lang w:val="zh-CN"/>
        </w:rPr>
        <w:t>年</w:t>
      </w:r>
      <w:r>
        <w:rPr>
          <w:rFonts w:hint="eastAsia" w:ascii="仿宋" w:hAnsi="仿宋" w:eastAsia="仿宋" w:cs="仿宋"/>
          <w:sz w:val="24"/>
          <w:lang w:val="en-US" w:eastAsia="zh-CN"/>
        </w:rPr>
        <w:t xml:space="preserve"> 03</w:t>
      </w:r>
      <w:r>
        <w:rPr>
          <w:rFonts w:hint="eastAsia" w:ascii="仿宋" w:hAnsi="仿宋" w:eastAsia="仿宋" w:cs="仿宋"/>
          <w:sz w:val="24"/>
        </w:rPr>
        <w:t>月</w:t>
      </w:r>
      <w:r>
        <w:rPr>
          <w:rFonts w:hint="eastAsia" w:ascii="仿宋" w:hAnsi="仿宋" w:eastAsia="仿宋" w:cs="仿宋"/>
          <w:sz w:val="24"/>
          <w:lang w:val="en-US" w:eastAsia="zh-CN"/>
        </w:rPr>
        <w:t>29</w:t>
      </w:r>
      <w:r>
        <w:rPr>
          <w:rFonts w:hint="eastAsia" w:ascii="仿宋" w:hAnsi="仿宋" w:eastAsia="仿宋" w:cs="仿宋"/>
          <w:sz w:val="24"/>
        </w:rPr>
        <w:t>日</w:t>
      </w:r>
    </w:p>
    <w:p>
      <w:pPr>
        <w:spacing w:line="360" w:lineRule="auto"/>
        <w:jc w:val="center"/>
        <w:outlineLvl w:val="0"/>
        <w:rPr>
          <w:rFonts w:ascii="仿宋" w:hAnsi="仿宋" w:eastAsia="仿宋" w:cs="仿宋"/>
          <w:b/>
          <w:sz w:val="36"/>
          <w:szCs w:val="36"/>
        </w:rPr>
      </w:pPr>
      <w:r>
        <w:rPr>
          <w:rFonts w:hint="eastAsia" w:ascii="仿宋" w:hAnsi="仿宋" w:eastAsia="仿宋" w:cs="仿宋"/>
          <w:b/>
          <w:bCs/>
          <w:sz w:val="24"/>
        </w:rPr>
        <w:br w:type="page"/>
      </w:r>
      <w:r>
        <w:rPr>
          <w:rStyle w:val="30"/>
          <w:rFonts w:ascii="宋体" w:hAnsi="宋体"/>
          <w:b/>
          <w:sz w:val="36"/>
          <w:szCs w:val="36"/>
        </w:rPr>
        <w:t xml:space="preserve">第二部分  </w:t>
      </w:r>
      <w:r>
        <w:rPr>
          <w:rFonts w:hint="eastAsia" w:ascii="仿宋" w:hAnsi="仿宋" w:eastAsia="仿宋" w:cs="仿宋"/>
          <w:b/>
          <w:sz w:val="36"/>
          <w:szCs w:val="36"/>
        </w:rPr>
        <w:t>投标人须知</w:t>
      </w:r>
    </w:p>
    <w:p>
      <w:pPr>
        <w:snapToGrid w:val="0"/>
        <w:spacing w:line="360" w:lineRule="auto"/>
        <w:jc w:val="center"/>
        <w:rPr>
          <w:rFonts w:ascii="仿宋" w:hAnsi="仿宋" w:eastAsia="仿宋" w:cs="仿宋"/>
          <w:b/>
          <w:sz w:val="30"/>
          <w:szCs w:val="30"/>
        </w:rPr>
      </w:pPr>
      <w:r>
        <w:rPr>
          <w:rFonts w:hint="eastAsia" w:ascii="仿宋" w:hAnsi="仿宋" w:eastAsia="仿宋" w:cs="仿宋"/>
          <w:b/>
          <w:sz w:val="30"/>
          <w:szCs w:val="30"/>
        </w:rPr>
        <w:t>前附表</w:t>
      </w:r>
    </w:p>
    <w:tbl>
      <w:tblPr>
        <w:tblStyle w:val="19"/>
        <w:tblW w:w="957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0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709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709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有关本项目建设所需的</w:t>
            </w:r>
            <w:r>
              <w:rPr>
                <w:rFonts w:hint="eastAsia" w:ascii="仿宋" w:hAnsi="仿宋" w:eastAsia="仿宋" w:cs="仿宋"/>
                <w:sz w:val="24"/>
              </w:rPr>
              <w:t>人工成本费用、维修费用、物耗费用、添置费用、能耗费用、管理酬金、税费</w:t>
            </w:r>
            <w:r>
              <w:rPr>
                <w:rFonts w:hint="eastAsia" w:ascii="仿宋" w:hAnsi="仿宋" w:eastAsia="仿宋" w:cs="仿宋"/>
                <w:kern w:val="0"/>
                <w:sz w:val="24"/>
                <w:lang w:val="zh-CN"/>
              </w:rPr>
              <w:t>等费用均计入报价。</w:t>
            </w:r>
            <w:r>
              <w:rPr>
                <w:rFonts w:hint="eastAsia" w:ascii="仿宋" w:hAnsi="仿宋" w:eastAsia="仿宋" w:cs="仿宋"/>
                <w:sz w:val="24"/>
              </w:rPr>
              <w:t>《投标（开标）一览表》是报价的唯一载体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。提醒：验收时检测费用（如果有）由采购人承担，不包含在投标总价中。</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sz w:val="24"/>
              </w:rPr>
              <w:t>▲</w:t>
            </w:r>
            <w:r>
              <w:rPr>
                <w:rFonts w:hint="eastAsia" w:ascii="仿宋" w:hAnsi="仿宋" w:eastAsia="仿宋" w:cs="仿宋"/>
                <w:b/>
                <w:kern w:val="0"/>
                <w:sz w:val="24"/>
                <w:lang w:val="zh-CN"/>
              </w:rPr>
              <w:t>投标文件出现不是唯一的、有选择性投标报价的；</w:t>
            </w:r>
          </w:p>
          <w:p>
            <w:pPr>
              <w:snapToGrid w:val="0"/>
              <w:spacing w:line="360" w:lineRule="auto"/>
              <w:jc w:val="left"/>
              <w:rPr>
                <w:rFonts w:ascii="仿宋" w:hAnsi="仿宋" w:eastAsia="仿宋" w:cs="仿宋"/>
                <w:kern w:val="0"/>
                <w:sz w:val="24"/>
                <w:lang w:val="zh-CN"/>
              </w:rPr>
            </w:pPr>
            <w:r>
              <w:rPr>
                <w:rFonts w:hint="eastAsia" w:ascii="仿宋" w:hAnsi="仿宋" w:eastAsia="仿宋" w:cs="仿宋"/>
                <w:b/>
                <w:sz w:val="24"/>
              </w:rPr>
              <w:t>▲投标报价高于本项目采购预算或者最高限价的;</w:t>
            </w:r>
          </w:p>
          <w:p>
            <w:pPr>
              <w:spacing w:line="360" w:lineRule="auto"/>
              <w:rPr>
                <w:rFonts w:ascii="仿宋" w:hAnsi="仿宋" w:eastAsia="仿宋" w:cs="仿宋"/>
                <w:b/>
                <w:sz w:val="24"/>
              </w:rPr>
            </w:pPr>
            <w:r>
              <w:rPr>
                <w:rFonts w:hint="eastAsia" w:ascii="仿宋" w:hAnsi="仿宋" w:eastAsia="仿宋" w:cs="仿宋"/>
                <w:b/>
                <w:sz w:val="24"/>
              </w:rPr>
              <w:t>▲</w:t>
            </w: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
                <w:b/>
                <w:sz w:val="24"/>
              </w:rPr>
              <w:t>;</w:t>
            </w:r>
          </w:p>
          <w:p>
            <w:pPr>
              <w:spacing w:line="360" w:lineRule="auto"/>
              <w:rPr>
                <w:rFonts w:ascii="仿宋" w:hAnsi="仿宋" w:eastAsia="仿宋" w:cs="仿宋"/>
                <w:sz w:val="24"/>
              </w:rPr>
            </w:pPr>
            <w:r>
              <w:rPr>
                <w:rFonts w:hint="eastAsia" w:ascii="仿宋" w:hAnsi="仿宋" w:eastAsia="仿宋" w:cs="仿宋"/>
                <w:b/>
                <w:sz w:val="24"/>
              </w:rPr>
              <w:t>▲《投标（开标）一览表》填写不完整或字迹不能辨认或有漏项的；</w:t>
            </w:r>
          </w:p>
          <w:p>
            <w:pPr>
              <w:spacing w:line="360" w:lineRule="auto"/>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仿宋" w:hAnsi="仿宋" w:eastAsia="仿宋" w:cs="仿宋"/>
                <w:b/>
                <w:sz w:val="24"/>
              </w:rPr>
            </w:pPr>
            <w:r>
              <w:rPr>
                <w:rFonts w:hint="eastAsia" w:ascii="仿宋" w:hAnsi="仿宋" w:eastAsia="仿宋" w:cs="仿宋"/>
                <w:b/>
                <w:sz w:val="24"/>
              </w:rPr>
              <w:t>分包或转包。</w:t>
            </w:r>
          </w:p>
        </w:tc>
        <w:tc>
          <w:tcPr>
            <w:tcW w:w="709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sz w:val="24"/>
              </w:rPr>
            </w:pPr>
            <w:r>
              <w:rPr>
                <w:rFonts w:hint="eastAsia" w:ascii="仿宋" w:hAnsi="仿宋" w:eastAsia="仿宋" w:cs="仿宋"/>
                <w:sz w:val="24"/>
              </w:rPr>
              <w:t>（1）采购人</w:t>
            </w:r>
            <w:r>
              <w:rPr>
                <w:rFonts w:hint="eastAsia" w:ascii="仿宋" w:hAnsi="仿宋" w:eastAsia="仿宋" w:cs="仿宋"/>
                <w:b/>
                <w:sz w:val="24"/>
              </w:rPr>
              <w:t>不同意</w:t>
            </w:r>
            <w:r>
              <w:rPr>
                <w:rFonts w:hint="eastAsia" w:ascii="仿宋" w:hAnsi="仿宋" w:eastAsia="仿宋" w:cs="仿宋"/>
                <w:sz w:val="24"/>
              </w:rPr>
              <w:t>分包。</w:t>
            </w:r>
          </w:p>
          <w:p>
            <w:pPr>
              <w:snapToGrid w:val="0"/>
              <w:spacing w:line="360" w:lineRule="auto"/>
              <w:rPr>
                <w:rFonts w:ascii="仿宋" w:hAnsi="仿宋" w:eastAsia="仿宋" w:cs="仿宋"/>
                <w:sz w:val="24"/>
              </w:rPr>
            </w:pPr>
            <w:r>
              <w:rPr>
                <w:rFonts w:hint="eastAsia" w:ascii="仿宋" w:hAnsi="仿宋" w:eastAsia="仿宋" w:cs="仿宋"/>
                <w:sz w:val="24"/>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20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709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ascii="仿宋" w:hAnsi="仿宋" w:eastAsia="仿宋" w:cs="仿宋"/>
                <w:sz w:val="24"/>
              </w:rPr>
            </w:pPr>
            <w:r>
              <w:rPr>
                <w:rFonts w:hint="eastAsia" w:ascii="仿宋" w:hAnsi="仿宋" w:eastAsia="仿宋" w:cs="仿宋"/>
                <w:sz w:val="24"/>
              </w:rPr>
              <w:t>（2）资信证明文件：根据招标文件第四部分具体评标标准提供。</w:t>
            </w:r>
          </w:p>
          <w:p>
            <w:pPr>
              <w:spacing w:line="360" w:lineRule="auto"/>
              <w:rPr>
                <w:rFonts w:ascii="仿宋" w:hAnsi="仿宋" w:eastAsia="仿宋" w:cs="仿宋"/>
                <w:kern w:val="0"/>
                <w:sz w:val="24"/>
              </w:rPr>
            </w:pPr>
            <w:r>
              <w:rPr>
                <w:rFonts w:hint="eastAsia" w:ascii="仿宋" w:hAnsi="仿宋" w:eastAsia="仿宋" w:cs="仿宋"/>
                <w:sz w:val="24"/>
              </w:rPr>
              <w:t>▲</w:t>
            </w:r>
            <w:r>
              <w:rPr>
                <w:rFonts w:hint="eastAsia" w:ascii="仿宋" w:hAnsi="仿宋" w:eastAsia="仿宋" w:cs="仿宋"/>
                <w:b/>
                <w:sz w:val="24"/>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4</w:t>
            </w:r>
          </w:p>
          <w:p>
            <w:pPr>
              <w:snapToGrid w:val="0"/>
              <w:spacing w:line="360" w:lineRule="auto"/>
              <w:jc w:val="center"/>
              <w:rPr>
                <w:rFonts w:ascii="仿宋" w:hAnsi="仿宋" w:eastAsia="仿宋" w:cs="仿宋"/>
                <w:sz w:val="24"/>
              </w:rPr>
            </w:pP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投标文件的组成、份数、效力</w:t>
            </w:r>
          </w:p>
        </w:tc>
        <w:tc>
          <w:tcPr>
            <w:tcW w:w="7098" w:type="dxa"/>
            <w:tcBorders>
              <w:top w:val="single" w:color="000000" w:sz="8" w:space="0"/>
              <w:left w:val="single" w:color="000000" w:sz="2" w:space="0"/>
              <w:bottom w:val="single" w:color="000000" w:sz="8" w:space="0"/>
              <w:right w:val="single" w:color="000000" w:sz="8" w:space="0"/>
            </w:tcBorders>
            <w:vAlign w:val="center"/>
          </w:tcPr>
          <w:p>
            <w:pPr>
              <w:pStyle w:val="11"/>
              <w:snapToGrid w:val="0"/>
              <w:spacing w:before="120" w:after="120" w:line="360" w:lineRule="auto"/>
              <w:rPr>
                <w:rFonts w:ascii="仿宋" w:hAnsi="仿宋" w:eastAsia="仿宋" w:cs="仿宋"/>
                <w:sz w:val="24"/>
                <w:szCs w:val="24"/>
              </w:rPr>
            </w:pPr>
            <w:r>
              <w:rPr>
                <w:rFonts w:hint="eastAsia" w:ascii="仿宋" w:hAnsi="仿宋" w:eastAsia="仿宋" w:cs="仿宋"/>
                <w:sz w:val="24"/>
                <w:szCs w:val="24"/>
              </w:rPr>
              <w:t>本项目实行电子投标。</w:t>
            </w:r>
          </w:p>
          <w:p>
            <w:pPr>
              <w:pStyle w:val="11"/>
              <w:snapToGrid w:val="0"/>
              <w:spacing w:before="120" w:after="120" w:line="360" w:lineRule="auto"/>
              <w:ind w:firstLine="360" w:firstLineChars="150"/>
              <w:rPr>
                <w:rFonts w:ascii="仿宋" w:hAnsi="仿宋" w:eastAsia="仿宋" w:cs="仿宋"/>
                <w:sz w:val="24"/>
                <w:szCs w:val="24"/>
              </w:rPr>
            </w:pPr>
            <w:r>
              <w:rPr>
                <w:rFonts w:hint="eastAsia" w:ascii="仿宋" w:hAnsi="仿宋" w:eastAsia="仿宋" w:cs="仿宋"/>
                <w:sz w:val="24"/>
                <w:szCs w:val="24"/>
              </w:rPr>
              <w:t>1.供应商应准备电子投标文件、以介质存储的数据电文形式的备份投标文件两类：</w:t>
            </w:r>
          </w:p>
          <w:p>
            <w:pPr>
              <w:pStyle w:val="11"/>
              <w:snapToGrid w:val="0"/>
              <w:spacing w:before="120" w:after="120" w:line="360" w:lineRule="auto"/>
              <w:ind w:firstLine="240" w:firstLineChars="100"/>
              <w:rPr>
                <w:rFonts w:ascii="仿宋" w:hAnsi="仿宋" w:eastAsia="仿宋" w:cs="仿宋"/>
                <w:sz w:val="24"/>
                <w:szCs w:val="24"/>
              </w:rPr>
            </w:pPr>
            <w:r>
              <w:rPr>
                <w:rFonts w:hint="eastAsia" w:ascii="仿宋" w:hAnsi="仿宋" w:eastAsia="仿宋" w:cs="仿宋"/>
                <w:sz w:val="24"/>
                <w:szCs w:val="24"/>
              </w:rPr>
              <w:t>（1）电子投标文件，按政采云平台项目采购-电子招投标操作指南及本招标文件要求递交。</w:t>
            </w:r>
          </w:p>
          <w:p>
            <w:pPr>
              <w:pStyle w:val="11"/>
              <w:snapToGrid w:val="0"/>
              <w:spacing w:before="120" w:after="120" w:line="360" w:lineRule="auto"/>
              <w:ind w:firstLine="240" w:firstLineChars="100"/>
              <w:rPr>
                <w:rFonts w:ascii="仿宋" w:hAnsi="仿宋" w:eastAsia="仿宋" w:cs="仿宋"/>
                <w:sz w:val="24"/>
                <w:szCs w:val="24"/>
              </w:rPr>
            </w:pPr>
            <w:r>
              <w:rPr>
                <w:rFonts w:hint="eastAsia" w:ascii="仿宋" w:hAnsi="仿宋" w:eastAsia="仿宋" w:cs="仿宋"/>
                <w:sz w:val="24"/>
                <w:szCs w:val="24"/>
              </w:rPr>
              <w:t>（2）以介质存储的数据电文形式的备份投标文件：按政采云平台项目采购-电子招投标操作指南制作备份投标文件（后缀名为.bfbs），在投标截止时间前以电子邮件形式递交至(</w:t>
            </w:r>
            <w:r>
              <w:fldChar w:fldCharType="begin"/>
            </w:r>
            <w:r>
              <w:instrText xml:space="preserve"> HYPERLINK "mailto:2990430955@qq.com" </w:instrText>
            </w:r>
            <w:r>
              <w:fldChar w:fldCharType="separate"/>
            </w:r>
            <w:r>
              <w:rPr>
                <w:rFonts w:hint="eastAsia" w:ascii="仿宋" w:hAnsi="仿宋" w:eastAsia="仿宋" w:cs="仿宋"/>
                <w:sz w:val="24"/>
                <w:szCs w:val="24"/>
              </w:rPr>
              <w:t>1487692964@qq.com</w:t>
            </w:r>
            <w:r>
              <w:rPr>
                <w:rFonts w:hint="eastAsia" w:ascii="仿宋" w:hAnsi="仿宋" w:eastAsia="仿宋" w:cs="仿宋"/>
                <w:sz w:val="24"/>
                <w:szCs w:val="24"/>
              </w:rPr>
              <w:fldChar w:fldCharType="end"/>
            </w:r>
            <w:r>
              <w:rPr>
                <w:rFonts w:hint="eastAsia" w:ascii="仿宋" w:hAnsi="仿宋" w:eastAsia="仿宋" w:cs="仿宋"/>
                <w:sz w:val="24"/>
                <w:szCs w:val="24"/>
              </w:rPr>
              <w:t>)。</w:t>
            </w:r>
          </w:p>
          <w:p>
            <w:pPr>
              <w:snapToGrid w:val="0"/>
              <w:spacing w:line="360" w:lineRule="auto"/>
              <w:ind w:firstLine="240" w:firstLineChars="100"/>
              <w:rPr>
                <w:rFonts w:ascii="仿宋" w:hAnsi="仿宋" w:eastAsia="仿宋" w:cs="仿宋"/>
                <w:sz w:val="24"/>
              </w:rPr>
            </w:pPr>
            <w:r>
              <w:rPr>
                <w:rFonts w:hint="eastAsia" w:ascii="仿宋" w:hAnsi="仿宋" w:eastAsia="仿宋" w:cs="仿宋"/>
                <w:sz w:val="24"/>
              </w:rPr>
              <w:t>（3）投标文件启用顺序和效力。投标文件的启用，按先后顺位分别为电子投标文件、以介质存储的数据电文形式的备份投标文件。顺位在先的投标文件已按时解密的，备份投标文件自动失效。</w:t>
            </w:r>
          </w:p>
          <w:p>
            <w:pPr>
              <w:spacing w:line="360" w:lineRule="auto"/>
              <w:rPr>
                <w:rFonts w:ascii="仿宋" w:hAnsi="仿宋" w:eastAsia="仿宋" w:cs="仿宋"/>
                <w:b/>
                <w:sz w:val="24"/>
              </w:rPr>
            </w:pPr>
            <w:r>
              <w:rPr>
                <w:rFonts w:hint="eastAsia" w:ascii="仿宋" w:hAnsi="仿宋" w:eastAsia="仿宋" w:cs="仿宋"/>
                <w:b/>
                <w:sz w:val="24"/>
              </w:rPr>
              <w:t>▲未传输递交电子投标文件的，投标无效。</w:t>
            </w:r>
          </w:p>
          <w:p>
            <w:pPr>
              <w:spacing w:line="360" w:lineRule="auto"/>
              <w:rPr>
                <w:rFonts w:ascii="仿宋" w:hAnsi="仿宋" w:eastAsia="仿宋" w:cs="仿宋"/>
                <w:sz w:val="24"/>
              </w:rPr>
            </w:pPr>
            <w:r>
              <w:rPr>
                <w:rFonts w:hint="eastAsia" w:ascii="仿宋" w:hAnsi="仿宋" w:eastAsia="仿宋" w:cs="仿宋"/>
                <w:b/>
                <w:sz w:val="24"/>
              </w:rPr>
              <w:t>▲未按规定提供相应的备份投标文件，造成项目开评标活动无法进行下去的，投标无效。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7098" w:type="dxa"/>
            <w:tcBorders>
              <w:top w:val="single" w:color="000000" w:sz="8" w:space="0"/>
              <w:left w:val="single" w:color="000000" w:sz="2" w:space="0"/>
              <w:bottom w:val="single" w:color="000000" w:sz="8" w:space="0"/>
              <w:right w:val="single" w:color="000000" w:sz="8" w:space="0"/>
            </w:tcBorders>
            <w:vAlign w:val="center"/>
          </w:tcPr>
          <w:p>
            <w:pPr>
              <w:pStyle w:val="11"/>
              <w:spacing w:before="120" w:after="120" w:line="360" w:lineRule="auto"/>
              <w:jc w:val="left"/>
              <w:rPr>
                <w:rFonts w:ascii="仿宋" w:hAnsi="仿宋" w:eastAsia="仿宋" w:cs="仿宋"/>
              </w:rPr>
            </w:pPr>
            <w:r>
              <w:rPr>
                <w:rFonts w:hint="eastAsia" w:ascii="仿宋" w:hAnsi="仿宋" w:eastAsia="仿宋" w:cs="仿宋"/>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7098" w:type="dxa"/>
            <w:tcBorders>
              <w:top w:val="single" w:color="000000" w:sz="8" w:space="0"/>
              <w:left w:val="single" w:color="000000" w:sz="2" w:space="0"/>
              <w:bottom w:val="single" w:color="000000" w:sz="8" w:space="0"/>
              <w:right w:val="single" w:color="000000" w:sz="8" w:space="0"/>
            </w:tcBorders>
            <w:vAlign w:val="center"/>
          </w:tcPr>
          <w:p>
            <w:pPr>
              <w:spacing w:before="100" w:beforeAutospacing="1" w:after="240" w:line="360" w:lineRule="auto"/>
              <w:jc w:val="left"/>
              <w:rPr>
                <w:rFonts w:ascii="仿宋" w:hAnsi="仿宋" w:eastAsia="仿宋" w:cs="仿宋"/>
                <w:b/>
                <w:sz w:val="24"/>
              </w:rPr>
            </w:pPr>
            <w:r>
              <w:rPr>
                <w:rFonts w:hint="eastAsia" w:ascii="仿宋" w:hAnsi="仿宋" w:eastAsia="仿宋" w:cs="仿宋"/>
                <w:sz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
                <w:sz w:val="24"/>
              </w:rPr>
              <w:t>现场演示</w:t>
            </w:r>
          </w:p>
        </w:tc>
        <w:tc>
          <w:tcPr>
            <w:tcW w:w="709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sz w:val="24"/>
              </w:rPr>
            </w:pPr>
            <w:r>
              <w:rPr>
                <w:rFonts w:hint="eastAsia" w:ascii="仿宋" w:hAnsi="仿宋" w:eastAsia="仿宋" w:cs="仿宋"/>
                <w:sz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项目属性</w:t>
            </w:r>
          </w:p>
        </w:tc>
        <w:tc>
          <w:tcPr>
            <w:tcW w:w="7098"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sz w:val="24"/>
              </w:rPr>
            </w:pP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2"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w:t>
            </w:r>
          </w:p>
          <w:p>
            <w:pPr>
              <w:snapToGrid w:val="0"/>
              <w:spacing w:line="360" w:lineRule="auto"/>
              <w:jc w:val="center"/>
              <w:rPr>
                <w:rFonts w:ascii="仿宋" w:hAnsi="仿宋" w:eastAsia="仿宋" w:cs="仿宋"/>
                <w:b/>
                <w:sz w:val="24"/>
              </w:rPr>
            </w:pPr>
            <w:r>
              <w:rPr>
                <w:rFonts w:hint="eastAsia" w:ascii="仿宋" w:hAnsi="仿宋" w:eastAsia="仿宋" w:cs="仿宋"/>
                <w:b/>
                <w:sz w:val="24"/>
              </w:rPr>
              <w:t>融资</w:t>
            </w:r>
          </w:p>
        </w:tc>
        <w:tc>
          <w:tcPr>
            <w:tcW w:w="7098" w:type="dxa"/>
            <w:tcBorders>
              <w:top w:val="single" w:color="000000" w:sz="8" w:space="0"/>
              <w:left w:val="single" w:color="000000" w:sz="2" w:space="0"/>
              <w:bottom w:val="single" w:color="000000" w:sz="8" w:space="0"/>
              <w:right w:val="single" w:color="000000" w:sz="8" w:space="0"/>
            </w:tcBorders>
            <w:vAlign w:val="center"/>
          </w:tcPr>
          <w:p>
            <w:pPr>
              <w:pStyle w:val="11"/>
              <w:snapToGrid w:val="0"/>
              <w:spacing w:before="120" w:after="120" w:line="360" w:lineRule="auto"/>
              <w:rPr>
                <w:rFonts w:ascii="仿宋" w:hAnsi="仿宋" w:eastAsia="仿宋" w:cs="仿宋"/>
              </w:rPr>
            </w:pPr>
            <w:r>
              <w:rPr>
                <w:rFonts w:hint="eastAsia" w:ascii="仿宋" w:hAnsi="仿宋" w:eastAsia="仿宋" w:cs="仿宋"/>
                <w:sz w:val="24"/>
                <w:szCs w:val="24"/>
              </w:rPr>
              <w:t>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采购单位签订的政府采购合同适用于政府采购贷款政策，简称“政采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69" w:hRule="atLeast"/>
          <w:tblHeader/>
        </w:trPr>
        <w:tc>
          <w:tcPr>
            <w:tcW w:w="629" w:type="dxa"/>
            <w:tcBorders>
              <w:top w:val="single" w:color="auto" w:sz="4" w:space="0"/>
              <w:left w:val="single" w:color="000000" w:sz="8" w:space="0"/>
              <w:bottom w:val="single" w:color="000000" w:sz="8" w:space="0"/>
              <w:right w:val="single" w:color="000000" w:sz="2" w:space="0"/>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采购机构代理</w:t>
            </w:r>
          </w:p>
          <w:p>
            <w:pPr>
              <w:snapToGrid w:val="0"/>
              <w:spacing w:line="360" w:lineRule="auto"/>
              <w:jc w:val="center"/>
              <w:rPr>
                <w:rFonts w:ascii="仿宋" w:hAnsi="仿宋" w:eastAsia="仿宋" w:cs="仿宋"/>
                <w:b/>
                <w:sz w:val="24"/>
              </w:rPr>
            </w:pPr>
            <w:r>
              <w:rPr>
                <w:rFonts w:hint="eastAsia" w:ascii="仿宋" w:hAnsi="仿宋" w:eastAsia="仿宋" w:cs="仿宋"/>
                <w:b/>
                <w:sz w:val="24"/>
              </w:rPr>
              <w:t>费用</w:t>
            </w:r>
          </w:p>
        </w:tc>
        <w:tc>
          <w:tcPr>
            <w:tcW w:w="7098"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采购服务费按照国家发展计划委员会计价格[2002]1980 号文《招标代理服务费管理暂行办法》及发改办价格[2003]857号文的收费标准计取。由中标单位支付给采购代理公司。</w:t>
            </w:r>
          </w:p>
          <w:p>
            <w:pPr>
              <w:spacing w:line="360" w:lineRule="auto"/>
              <w:rPr>
                <w:rFonts w:ascii="仿宋" w:hAnsi="仿宋" w:eastAsia="仿宋" w:cs="仿宋"/>
                <w:sz w:val="24"/>
              </w:rPr>
            </w:pPr>
            <w:r>
              <w:rPr>
                <w:rFonts w:hint="eastAsia" w:ascii="仿宋" w:hAnsi="仿宋" w:eastAsia="仿宋" w:cs="仿宋"/>
                <w:sz w:val="24"/>
              </w:rPr>
              <w:t>开户行：浙江泰隆商业银行杭州淳安支行  </w:t>
            </w:r>
            <w:r>
              <w:rPr>
                <w:rFonts w:hint="eastAsia" w:ascii="仿宋" w:hAnsi="仿宋" w:eastAsia="仿宋" w:cs="仿宋"/>
                <w:sz w:val="24"/>
              </w:rPr>
              <w:br w:type="textWrapping"/>
            </w:r>
            <w:r>
              <w:rPr>
                <w:rFonts w:hint="eastAsia" w:ascii="仿宋" w:hAnsi="仿宋" w:eastAsia="仿宋" w:cs="仿宋"/>
                <w:sz w:val="24"/>
              </w:rPr>
              <w:t>账号：33020050201000002081   </w:t>
            </w:r>
          </w:p>
          <w:p>
            <w:pPr>
              <w:snapToGrid w:val="0"/>
              <w:spacing w:line="360" w:lineRule="auto"/>
              <w:jc w:val="left"/>
              <w:rPr>
                <w:rFonts w:ascii="仿宋" w:hAnsi="仿宋" w:eastAsia="仿宋" w:cs="仿宋"/>
                <w:sz w:val="24"/>
              </w:rPr>
            </w:pPr>
            <w:r>
              <w:rPr>
                <w:rFonts w:hint="eastAsia" w:ascii="仿宋" w:hAnsi="仿宋" w:eastAsia="仿宋" w:cs="仿宋"/>
                <w:sz w:val="24"/>
              </w:rPr>
              <w:t>行号：313331080042</w:t>
            </w:r>
            <w:r>
              <w:rPr>
                <w:rFonts w:hint="eastAsia" w:ascii="仿宋" w:hAnsi="仿宋" w:eastAsia="仿宋" w:cs="仿宋"/>
                <w:sz w:val="24"/>
              </w:rPr>
              <w:br w:type="textWrapping"/>
            </w:r>
            <w:r>
              <w:rPr>
                <w:rFonts w:hint="eastAsia" w:ascii="仿宋" w:hAnsi="仿宋" w:eastAsia="仿宋" w:cs="仿宋"/>
                <w:sz w:val="24"/>
              </w:rPr>
              <w:t>联系人：何蓉        联系电话：（0571）65025798</w:t>
            </w:r>
          </w:p>
        </w:tc>
      </w:tr>
    </w:tbl>
    <w:p>
      <w:pPr>
        <w:snapToGrid w:val="0"/>
        <w:spacing w:line="360" w:lineRule="auto"/>
        <w:ind w:firstLine="315" w:firstLineChars="98"/>
        <w:jc w:val="center"/>
        <w:rPr>
          <w:rStyle w:val="30"/>
          <w:rFonts w:ascii="宋体" w:hAnsi="宋体"/>
          <w:b/>
          <w:sz w:val="32"/>
          <w:szCs w:val="32"/>
        </w:rPr>
      </w:pPr>
    </w:p>
    <w:p>
      <w:pPr>
        <w:spacing w:line="360" w:lineRule="auto"/>
        <w:ind w:firstLine="3845" w:firstLineChars="1197"/>
        <w:outlineLvl w:val="0"/>
        <w:rPr>
          <w:rFonts w:ascii="仿宋" w:hAnsi="仿宋" w:eastAsia="仿宋" w:cs="仿宋"/>
          <w:b/>
          <w:sz w:val="32"/>
          <w:szCs w:val="32"/>
        </w:rPr>
      </w:pPr>
    </w:p>
    <w:p>
      <w:pPr>
        <w:spacing w:line="360" w:lineRule="auto"/>
        <w:ind w:firstLine="3845" w:firstLineChars="1197"/>
        <w:outlineLvl w:val="0"/>
        <w:rPr>
          <w:rFonts w:ascii="仿宋" w:hAnsi="仿宋" w:eastAsia="仿宋" w:cs="仿宋"/>
          <w:b/>
          <w:sz w:val="32"/>
          <w:szCs w:val="32"/>
        </w:rPr>
      </w:pPr>
    </w:p>
    <w:p>
      <w:pPr>
        <w:spacing w:line="360" w:lineRule="auto"/>
        <w:ind w:firstLine="3845" w:firstLineChars="1197"/>
        <w:outlineLvl w:val="0"/>
        <w:rPr>
          <w:rFonts w:ascii="仿宋" w:hAnsi="仿宋" w:eastAsia="仿宋" w:cs="仿宋"/>
          <w:b/>
          <w:sz w:val="32"/>
          <w:szCs w:val="32"/>
        </w:rPr>
      </w:pPr>
    </w:p>
    <w:p>
      <w:pPr>
        <w:spacing w:line="360" w:lineRule="auto"/>
        <w:ind w:firstLine="3845" w:firstLineChars="1197"/>
        <w:outlineLvl w:val="0"/>
        <w:rPr>
          <w:rFonts w:ascii="仿宋" w:hAnsi="仿宋" w:eastAsia="仿宋" w:cs="仿宋"/>
          <w:b/>
          <w:sz w:val="32"/>
          <w:szCs w:val="32"/>
        </w:rPr>
      </w:pPr>
    </w:p>
    <w:p>
      <w:pPr>
        <w:spacing w:line="360" w:lineRule="auto"/>
        <w:ind w:firstLine="3845" w:firstLineChars="1197"/>
        <w:outlineLvl w:val="0"/>
        <w:rPr>
          <w:rFonts w:ascii="仿宋" w:hAnsi="仿宋" w:eastAsia="仿宋" w:cs="仿宋"/>
          <w:b/>
          <w:sz w:val="32"/>
          <w:szCs w:val="32"/>
        </w:rPr>
      </w:pPr>
    </w:p>
    <w:p>
      <w:pPr>
        <w:spacing w:line="360" w:lineRule="auto"/>
        <w:ind w:firstLine="3845" w:firstLineChars="1197"/>
        <w:outlineLvl w:val="0"/>
        <w:rPr>
          <w:rFonts w:ascii="仿宋" w:hAnsi="仿宋" w:eastAsia="仿宋" w:cs="仿宋"/>
          <w:b/>
          <w:sz w:val="32"/>
          <w:szCs w:val="32"/>
        </w:rPr>
      </w:pPr>
    </w:p>
    <w:p>
      <w:pPr>
        <w:spacing w:line="360" w:lineRule="auto"/>
        <w:ind w:firstLine="3845" w:firstLineChars="1197"/>
        <w:outlineLvl w:val="0"/>
        <w:rPr>
          <w:rFonts w:ascii="仿宋" w:hAnsi="仿宋" w:eastAsia="仿宋" w:cs="仿宋"/>
          <w:b/>
          <w:sz w:val="32"/>
          <w:szCs w:val="32"/>
        </w:rPr>
      </w:pPr>
    </w:p>
    <w:p>
      <w:pPr>
        <w:spacing w:line="360" w:lineRule="auto"/>
        <w:ind w:firstLine="3845" w:firstLineChars="1197"/>
        <w:outlineLvl w:val="0"/>
        <w:rPr>
          <w:rFonts w:ascii="仿宋" w:hAnsi="仿宋" w:eastAsia="仿宋" w:cs="仿宋"/>
          <w:b/>
          <w:sz w:val="32"/>
          <w:szCs w:val="32"/>
        </w:rPr>
      </w:pPr>
    </w:p>
    <w:p>
      <w:pPr>
        <w:spacing w:line="360" w:lineRule="auto"/>
        <w:ind w:firstLine="3845" w:firstLineChars="1197"/>
        <w:outlineLvl w:val="0"/>
        <w:rPr>
          <w:rFonts w:ascii="仿宋" w:hAnsi="仿宋" w:eastAsia="仿宋" w:cs="仿宋"/>
          <w:b/>
          <w:sz w:val="32"/>
          <w:szCs w:val="32"/>
        </w:rPr>
      </w:pPr>
    </w:p>
    <w:p>
      <w:pPr>
        <w:spacing w:line="360" w:lineRule="auto"/>
        <w:ind w:firstLine="3845" w:firstLineChars="1197"/>
        <w:outlineLvl w:val="0"/>
        <w:rPr>
          <w:rFonts w:ascii="仿宋" w:hAnsi="仿宋" w:eastAsia="仿宋" w:cs="仿宋"/>
          <w:b/>
          <w:sz w:val="32"/>
          <w:szCs w:val="32"/>
        </w:rPr>
      </w:pPr>
    </w:p>
    <w:p>
      <w:pPr>
        <w:spacing w:line="360" w:lineRule="auto"/>
        <w:ind w:firstLine="3845" w:firstLineChars="1197"/>
        <w:outlineLvl w:val="0"/>
        <w:rPr>
          <w:rFonts w:ascii="仿宋" w:hAnsi="仿宋" w:eastAsia="仿宋" w:cs="仿宋"/>
          <w:b/>
          <w:sz w:val="32"/>
          <w:szCs w:val="32"/>
        </w:rPr>
      </w:pPr>
    </w:p>
    <w:p>
      <w:pPr>
        <w:spacing w:line="360" w:lineRule="auto"/>
        <w:ind w:firstLine="3845" w:firstLineChars="1197"/>
        <w:outlineLvl w:val="0"/>
        <w:rPr>
          <w:rFonts w:ascii="仿宋" w:hAnsi="仿宋" w:eastAsia="仿宋" w:cs="仿宋"/>
          <w:b/>
          <w:sz w:val="32"/>
          <w:szCs w:val="32"/>
        </w:rPr>
      </w:pPr>
    </w:p>
    <w:p>
      <w:pPr>
        <w:spacing w:line="360" w:lineRule="auto"/>
        <w:ind w:firstLine="3845" w:firstLineChars="1197"/>
        <w:outlineLvl w:val="0"/>
        <w:rPr>
          <w:rFonts w:ascii="仿宋" w:hAnsi="仿宋" w:eastAsia="仿宋" w:cs="仿宋"/>
          <w:b/>
          <w:sz w:val="32"/>
          <w:szCs w:val="32"/>
        </w:rPr>
      </w:pPr>
    </w:p>
    <w:p>
      <w:pPr>
        <w:spacing w:line="360" w:lineRule="auto"/>
        <w:ind w:firstLine="3845" w:firstLineChars="1197"/>
        <w:outlineLvl w:val="0"/>
        <w:rPr>
          <w:rFonts w:ascii="仿宋" w:hAnsi="仿宋" w:eastAsia="仿宋" w:cs="仿宋"/>
          <w:b/>
          <w:sz w:val="32"/>
          <w:szCs w:val="32"/>
        </w:rPr>
      </w:pPr>
    </w:p>
    <w:p>
      <w:pPr>
        <w:spacing w:line="360" w:lineRule="auto"/>
        <w:ind w:firstLine="3845" w:firstLineChars="1197"/>
        <w:outlineLvl w:val="0"/>
        <w:rPr>
          <w:rFonts w:ascii="仿宋" w:hAnsi="仿宋" w:eastAsia="仿宋" w:cs="仿宋"/>
          <w:b/>
          <w:sz w:val="32"/>
          <w:szCs w:val="32"/>
        </w:rPr>
      </w:pPr>
    </w:p>
    <w:p>
      <w:pPr>
        <w:spacing w:line="360" w:lineRule="auto"/>
        <w:outlineLvl w:val="0"/>
        <w:rPr>
          <w:rFonts w:ascii="仿宋" w:hAnsi="仿宋" w:eastAsia="仿宋" w:cs="仿宋"/>
          <w:b/>
          <w:sz w:val="32"/>
          <w:szCs w:val="32"/>
        </w:rPr>
      </w:pPr>
    </w:p>
    <w:p>
      <w:pPr>
        <w:spacing w:line="360" w:lineRule="auto"/>
        <w:ind w:firstLine="3845" w:firstLineChars="1197"/>
        <w:outlineLvl w:val="0"/>
        <w:rPr>
          <w:rFonts w:ascii="仿宋" w:hAnsi="仿宋" w:eastAsia="仿宋" w:cs="仿宋"/>
          <w:b/>
          <w:sz w:val="32"/>
          <w:szCs w:val="32"/>
        </w:rPr>
      </w:pPr>
      <w:r>
        <w:rPr>
          <w:rFonts w:hint="eastAsia" w:ascii="仿宋" w:hAnsi="仿宋" w:eastAsia="仿宋" w:cs="仿宋"/>
          <w:b/>
          <w:sz w:val="32"/>
          <w:szCs w:val="32"/>
        </w:rPr>
        <w:t>一、总则</w:t>
      </w:r>
    </w:p>
    <w:p>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系指实质性要求条款，“★”系产品采购项目中单一产品或核心产品。</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w:t>
      </w:r>
      <w:r>
        <w:rPr>
          <w:rFonts w:hint="eastAsia" w:ascii="仿宋" w:hAnsi="仿宋" w:eastAsia="仿宋" w:cs="仿宋"/>
          <w:sz w:val="24"/>
        </w:rPr>
        <w:t xml:space="preserve"> </w:t>
      </w:r>
      <w:r>
        <w:rPr>
          <w:rFonts w:hint="eastAsia" w:ascii="仿宋" w:hAnsi="仿宋" w:eastAsia="仿宋" w:cs="仿宋"/>
          <w:b/>
          <w:sz w:val="24"/>
        </w:rPr>
        <w:t>采购项目需要落实的政府采购政策</w:t>
      </w:r>
    </w:p>
    <w:p>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s="仿宋"/>
          <w:sz w:val="24"/>
        </w:rPr>
      </w:pPr>
      <w:r>
        <w:rPr>
          <w:rFonts w:hint="eastAsia" w:ascii="仿宋" w:hAnsi="仿宋" w:eastAsia="仿宋" w:cs="仿宋"/>
          <w:sz w:val="24"/>
        </w:rPr>
        <w:t>3.2 节能环保要求</w:t>
      </w:r>
    </w:p>
    <w:p>
      <w:pPr>
        <w:spacing w:line="360" w:lineRule="auto"/>
        <w:ind w:firstLine="480" w:firstLineChars="200"/>
        <w:rPr>
          <w:rFonts w:ascii="仿宋" w:hAnsi="仿宋" w:eastAsia="仿宋" w:cs="仿宋"/>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ascii="仿宋" w:hAnsi="仿宋" w:eastAsia="仿宋" w:cs="仿宋"/>
          <w:b/>
          <w:sz w:val="24"/>
        </w:rPr>
      </w:pPr>
      <w:r>
        <w:rPr>
          <w:rFonts w:hint="eastAsia" w:ascii="仿宋" w:hAnsi="仿宋" w:eastAsia="仿宋" w:cs="仿宋"/>
          <w:sz w:val="24"/>
        </w:rPr>
        <w:t>3.2.2</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3.3</w:t>
      </w:r>
      <w:r>
        <w:rPr>
          <w:rFonts w:hint="eastAsia" w:ascii="仿宋" w:hAnsi="仿宋" w:eastAsia="仿宋" w:cs="仿宋"/>
          <w:bCs/>
          <w:sz w:val="24"/>
        </w:rPr>
        <w:t>小型、微型</w:t>
      </w:r>
      <w:r>
        <w:rPr>
          <w:rFonts w:hint="eastAsia" w:ascii="仿宋" w:hAnsi="仿宋" w:eastAsia="仿宋" w:cs="仿宋"/>
          <w:sz w:val="24"/>
        </w:rPr>
        <w:t>企业价格扣除。</w:t>
      </w:r>
    </w:p>
    <w:p>
      <w:pPr>
        <w:spacing w:line="360" w:lineRule="auto"/>
        <w:ind w:firstLine="480" w:firstLineChars="200"/>
        <w:rPr>
          <w:rFonts w:ascii="仿宋" w:hAnsi="仿宋" w:eastAsia="仿宋" w:cs="仿宋"/>
          <w:bCs/>
          <w:sz w:val="24"/>
        </w:rPr>
      </w:pPr>
      <w:r>
        <w:rPr>
          <w:rFonts w:hint="eastAsia" w:ascii="仿宋" w:hAnsi="仿宋" w:eastAsia="仿宋" w:cs="仿宋"/>
          <w:sz w:val="24"/>
        </w:rPr>
        <w:t>3.3.1</w:t>
      </w:r>
      <w:r>
        <w:rPr>
          <w:rFonts w:hint="eastAsia" w:ascii="仿宋" w:hAnsi="仿宋" w:eastAsia="仿宋" w:cs="仿宋"/>
          <w:bCs/>
          <w:sz w:val="24"/>
        </w:rPr>
        <w:t>小型、微型企业应当同时符合以下条件：</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（1）符合中小企业划分标准；</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（2）</w:t>
      </w:r>
      <w:r>
        <w:rPr>
          <w:rFonts w:hint="eastAsia" w:ascii="仿宋" w:hAnsi="仿宋" w:eastAsia="仿宋" w:cs="仿宋"/>
          <w:b/>
          <w:bCs/>
          <w:sz w:val="24"/>
        </w:rPr>
        <w:t>提供本企业制造的货物、承担的工程或者服务，或者提供其他小型、微型企业制造的货物。本项所称货物不包括使用大型企业注册商标的货物。小型、微型企业提供中型企业制造的货物的，视同为中型企业。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3.3.2小型、微型企业应按照招标文件格式要求提供《中小企业声明函》。</w:t>
      </w:r>
    </w:p>
    <w:p>
      <w:pPr>
        <w:spacing w:line="360" w:lineRule="auto"/>
        <w:ind w:firstLine="480" w:firstLineChars="200"/>
        <w:rPr>
          <w:rFonts w:ascii="仿宋" w:hAnsi="仿宋" w:eastAsia="仿宋" w:cs="仿宋"/>
          <w:sz w:val="24"/>
        </w:rPr>
      </w:pPr>
      <w:r>
        <w:rPr>
          <w:rFonts w:hint="eastAsia" w:ascii="仿宋" w:hAnsi="仿宋" w:eastAsia="仿宋" w:cs="仿宋"/>
          <w:sz w:val="24"/>
        </w:rPr>
        <w:t>3.3.3符合《关于促进残疾人就业政府采购政策的通知》（财库〔2017〕141号）规定的条件并提供《残疾人福利性单位声明函》（附件1）的残疾人福利性单位视同小型、微型企业；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3.4中小企业信用融资：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采购单位签订的政府采购合同适用于政府采购贷款政策，简称“政采贷”。</w:t>
      </w:r>
    </w:p>
    <w:p>
      <w:pPr>
        <w:spacing w:line="360" w:lineRule="auto"/>
        <w:ind w:firstLine="241" w:firstLineChars="100"/>
        <w:rPr>
          <w:rFonts w:ascii="仿宋" w:hAnsi="仿宋" w:eastAsia="仿宋" w:cs="仿宋"/>
          <w:b/>
          <w:sz w:val="24"/>
        </w:rPr>
      </w:pPr>
      <w:r>
        <w:rPr>
          <w:rFonts w:hint="eastAsia" w:ascii="仿宋" w:hAnsi="仿宋" w:eastAsia="仿宋" w:cs="仿宋"/>
          <w:b/>
          <w:sz w:val="24"/>
        </w:rPr>
        <w:t>4. 询问、质疑、投诉</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4.1供应商询问</w:t>
      </w:r>
    </w:p>
    <w:p>
      <w:pPr>
        <w:spacing w:line="360" w:lineRule="auto"/>
        <w:ind w:firstLine="480" w:firstLineChars="200"/>
        <w:rPr>
          <w:rFonts w:ascii="仿宋" w:hAnsi="仿宋" w:eastAsia="仿宋" w:cs="仿宋"/>
          <w:sz w:val="24"/>
        </w:rPr>
      </w:pPr>
      <w:r>
        <w:rPr>
          <w:rFonts w:hint="eastAsia" w:ascii="仿宋" w:hAnsi="仿宋" w:eastAsia="仿宋" w:cs="仿宋"/>
          <w:sz w:val="24"/>
        </w:rPr>
        <w:t>根据采购人与采购机构签订的《淳安县集中采购年度委托协议》的规定：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4.2供应商质疑</w:t>
      </w:r>
    </w:p>
    <w:p>
      <w:pPr>
        <w:spacing w:line="360" w:lineRule="auto"/>
        <w:ind w:firstLine="480" w:firstLineChars="200"/>
        <w:rPr>
          <w:rFonts w:ascii="仿宋" w:hAnsi="仿宋" w:eastAsia="仿宋" w:cs="仿宋"/>
          <w:sz w:val="24"/>
        </w:rPr>
      </w:pPr>
      <w:r>
        <w:rPr>
          <w:rFonts w:hint="eastAsia" w:ascii="仿宋" w:hAnsi="仿宋" w:eastAsia="仿宋" w:cs="仿宋"/>
          <w:sz w:val="24"/>
          <w:lang w:val="zh-CN"/>
        </w:rPr>
        <w:t>4.2</w:t>
      </w:r>
      <w:r>
        <w:rPr>
          <w:rFonts w:hint="eastAsia" w:ascii="仿宋" w:hAnsi="仿宋" w:eastAsia="仿宋" w:cs="仿宋"/>
          <w:sz w:val="24"/>
        </w:rPr>
        <w:t>.1提出质疑的供应商应当是参与所质疑项目采购活动的供应商。潜在供应商已依法获取其可质疑的采购文件的，可以对该文件提出质疑。</w:t>
      </w:r>
    </w:p>
    <w:p>
      <w:pPr>
        <w:spacing w:line="360" w:lineRule="auto"/>
        <w:ind w:firstLine="480" w:firstLineChars="200"/>
        <w:rPr>
          <w:rFonts w:ascii="仿宋" w:hAnsi="仿宋" w:eastAsia="仿宋" w:cs="仿宋"/>
          <w:sz w:val="24"/>
        </w:rPr>
      </w:pPr>
      <w:r>
        <w:rPr>
          <w:rFonts w:hint="eastAsia" w:ascii="仿宋" w:hAnsi="仿宋" w:eastAsia="仿宋" w:cs="仿宋"/>
          <w:sz w:val="24"/>
          <w:lang w:val="zh-CN"/>
        </w:rPr>
        <w:t>4.2</w:t>
      </w:r>
      <w:r>
        <w:rPr>
          <w:rFonts w:hint="eastAsia" w:ascii="仿宋" w:hAnsi="仿宋" w:eastAsia="仿宋" w:cs="仿宋"/>
          <w:sz w:val="24"/>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spacing w:line="360" w:lineRule="auto"/>
        <w:ind w:firstLine="480" w:firstLineChars="200"/>
        <w:rPr>
          <w:rFonts w:ascii="仿宋" w:hAnsi="仿宋" w:eastAsia="仿宋" w:cs="仿宋"/>
          <w:sz w:val="24"/>
        </w:rPr>
      </w:pPr>
      <w:r>
        <w:rPr>
          <w:rFonts w:hint="eastAsia" w:ascii="仿宋" w:hAnsi="仿宋" w:eastAsia="仿宋" w:cs="仿宋"/>
          <w:sz w:val="24"/>
          <w:lang w:val="zh-CN"/>
        </w:rPr>
        <w:t>4.2</w:t>
      </w:r>
      <w:r>
        <w:rPr>
          <w:rFonts w:hint="eastAsia" w:ascii="仿宋" w:hAnsi="仿宋" w:eastAsia="仿宋" w:cs="仿宋"/>
          <w:sz w:val="24"/>
        </w:rPr>
        <w:t>.2.1对采购文件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机构签订的《淳安县集中采购年度委托协议》的规定：对采购文件中特定资格条件、采购需求、评分办法提出的质疑，原则上由采购人负责答复；对采购文件中其他内容提出的质疑，原则上由采购机构负责答复。</w:t>
      </w:r>
    </w:p>
    <w:p>
      <w:pPr>
        <w:spacing w:line="360" w:lineRule="auto"/>
        <w:ind w:firstLine="480" w:firstLineChars="200"/>
        <w:rPr>
          <w:rFonts w:ascii="仿宋" w:hAnsi="仿宋" w:eastAsia="仿宋" w:cs="仿宋"/>
          <w:sz w:val="24"/>
        </w:rPr>
      </w:pPr>
      <w:r>
        <w:rPr>
          <w:rFonts w:hint="eastAsia" w:ascii="仿宋" w:hAnsi="仿宋" w:eastAsia="仿宋" w:cs="仿宋"/>
          <w:sz w:val="24"/>
          <w:lang w:val="zh-CN"/>
        </w:rPr>
        <w:t>4.2</w:t>
      </w:r>
      <w:r>
        <w:rPr>
          <w:rFonts w:hint="eastAsia" w:ascii="仿宋" w:hAnsi="仿宋" w:eastAsia="仿宋" w:cs="仿宋"/>
          <w:sz w:val="24"/>
        </w:rPr>
        <w:t>.2.2对采购过程提出质疑的，质疑期限为各采购程序环节结束之日起计算。对同一采购程序环节的质疑，供应商须一次性提出。根据采购人与采购机构签订的《淳安县集中采购年度委托协议》的规定：对采购过程中有关现场考察或开标前答疑会事项提出的质疑，原则上由采购人负责答复；对采购过程中其它事项提出的质疑，原则上由采购机构负责答复。</w:t>
      </w:r>
    </w:p>
    <w:p>
      <w:pPr>
        <w:spacing w:line="360" w:lineRule="auto"/>
        <w:ind w:firstLine="480" w:firstLineChars="200"/>
        <w:rPr>
          <w:rFonts w:ascii="仿宋" w:hAnsi="仿宋" w:eastAsia="仿宋" w:cs="仿宋"/>
          <w:sz w:val="24"/>
        </w:rPr>
      </w:pPr>
      <w:r>
        <w:rPr>
          <w:rFonts w:hint="eastAsia" w:ascii="仿宋" w:hAnsi="仿宋" w:eastAsia="仿宋" w:cs="仿宋"/>
          <w:sz w:val="24"/>
          <w:lang w:val="zh-CN"/>
        </w:rPr>
        <w:t>4.2</w:t>
      </w:r>
      <w:r>
        <w:rPr>
          <w:rFonts w:hint="eastAsia" w:ascii="仿宋" w:hAnsi="仿宋" w:eastAsia="仿宋" w:cs="仿宋"/>
          <w:sz w:val="24"/>
        </w:rPr>
        <w:t>.2.3对采购结果提出质疑的，质疑期限自采购结果公告期限届满之日起计算。对采购结果提出质疑的，采购机构负责答复。</w:t>
      </w:r>
    </w:p>
    <w:p>
      <w:pPr>
        <w:spacing w:line="360" w:lineRule="auto"/>
        <w:ind w:firstLine="480" w:firstLineChars="200"/>
        <w:rPr>
          <w:rFonts w:ascii="仿宋" w:hAnsi="仿宋" w:eastAsia="仿宋" w:cs="仿宋"/>
          <w:sz w:val="24"/>
        </w:rPr>
      </w:pPr>
      <w:r>
        <w:rPr>
          <w:rFonts w:hint="eastAsia" w:ascii="仿宋" w:hAnsi="仿宋" w:eastAsia="仿宋" w:cs="仿宋"/>
          <w:sz w:val="24"/>
          <w:lang w:val="zh-CN"/>
        </w:rPr>
        <w:t>4.2.3</w:t>
      </w:r>
      <w:r>
        <w:rPr>
          <w:rFonts w:hint="eastAsia" w:ascii="仿宋" w:hAnsi="仿宋" w:eastAsia="仿宋" w:cs="仿宋"/>
          <w:sz w:val="24"/>
        </w:rPr>
        <w:t>供应商提出质疑应当提交质疑函和必要的证明材料。质疑函应当包括下列内容：</w:t>
      </w:r>
    </w:p>
    <w:p>
      <w:pPr>
        <w:spacing w:line="360" w:lineRule="auto"/>
        <w:ind w:firstLine="480" w:firstLineChars="200"/>
        <w:rPr>
          <w:rFonts w:ascii="仿宋" w:hAnsi="仿宋" w:eastAsia="仿宋" w:cs="仿宋"/>
          <w:sz w:val="24"/>
        </w:rPr>
      </w:pPr>
      <w:r>
        <w:rPr>
          <w:rFonts w:hint="eastAsia" w:ascii="仿宋" w:hAnsi="仿宋" w:eastAsia="仿宋" w:cs="仿宋"/>
          <w:sz w:val="24"/>
        </w:rPr>
        <w:t>　　</w:t>
      </w:r>
      <w:r>
        <w:rPr>
          <w:rFonts w:hint="eastAsia" w:ascii="仿宋" w:hAnsi="仿宋" w:eastAsia="仿宋" w:cs="仿宋"/>
          <w:sz w:val="24"/>
          <w:lang w:val="zh-CN"/>
        </w:rPr>
        <w:t>4.2.3.1</w:t>
      </w:r>
      <w:r>
        <w:rPr>
          <w:rFonts w:hint="eastAsia" w:ascii="仿宋" w:hAnsi="仿宋" w:eastAsia="仿宋" w:cs="仿宋"/>
          <w:sz w:val="24"/>
        </w:rPr>
        <w:t>供应商的姓名或者名称、地址、邮编、联系人及联系电话；</w:t>
      </w:r>
    </w:p>
    <w:p>
      <w:pPr>
        <w:spacing w:line="360" w:lineRule="auto"/>
        <w:ind w:firstLine="480" w:firstLineChars="200"/>
        <w:rPr>
          <w:rFonts w:ascii="仿宋" w:hAnsi="仿宋" w:eastAsia="仿宋" w:cs="仿宋"/>
          <w:sz w:val="24"/>
        </w:rPr>
      </w:pPr>
      <w:r>
        <w:rPr>
          <w:rFonts w:hint="eastAsia" w:ascii="仿宋" w:hAnsi="仿宋" w:eastAsia="仿宋" w:cs="仿宋"/>
          <w:sz w:val="24"/>
        </w:rPr>
        <w:t>　　</w:t>
      </w:r>
      <w:r>
        <w:rPr>
          <w:rFonts w:hint="eastAsia" w:ascii="仿宋" w:hAnsi="仿宋" w:eastAsia="仿宋" w:cs="仿宋"/>
          <w:sz w:val="24"/>
          <w:lang w:val="zh-CN"/>
        </w:rPr>
        <w:t>4.2.3.2</w:t>
      </w:r>
      <w:r>
        <w:rPr>
          <w:rFonts w:hint="eastAsia" w:ascii="仿宋" w:hAnsi="仿宋" w:eastAsia="仿宋" w:cs="仿宋"/>
          <w:sz w:val="24"/>
        </w:rPr>
        <w:t>质疑项目的名称、编号；</w:t>
      </w:r>
    </w:p>
    <w:p>
      <w:pPr>
        <w:spacing w:line="360" w:lineRule="auto"/>
        <w:ind w:firstLine="480" w:firstLineChars="200"/>
        <w:rPr>
          <w:rFonts w:ascii="仿宋" w:hAnsi="仿宋" w:eastAsia="仿宋" w:cs="仿宋"/>
          <w:sz w:val="24"/>
        </w:rPr>
      </w:pPr>
      <w:r>
        <w:rPr>
          <w:rFonts w:hint="eastAsia" w:ascii="仿宋" w:hAnsi="仿宋" w:eastAsia="仿宋" w:cs="仿宋"/>
          <w:sz w:val="24"/>
        </w:rPr>
        <w:t>　　</w:t>
      </w:r>
      <w:r>
        <w:rPr>
          <w:rFonts w:hint="eastAsia" w:ascii="仿宋" w:hAnsi="仿宋" w:eastAsia="仿宋" w:cs="仿宋"/>
          <w:sz w:val="24"/>
          <w:lang w:val="zh-CN"/>
        </w:rPr>
        <w:t>4.2.3.3</w:t>
      </w:r>
      <w:r>
        <w:rPr>
          <w:rFonts w:hint="eastAsia" w:ascii="仿宋" w:hAnsi="仿宋" w:eastAsia="仿宋" w:cs="仿宋"/>
          <w:sz w:val="24"/>
        </w:rPr>
        <w:t>具体、明确的质疑事项和与质疑事项相关的请求；</w:t>
      </w:r>
    </w:p>
    <w:p>
      <w:pPr>
        <w:spacing w:line="360" w:lineRule="auto"/>
        <w:ind w:firstLine="480" w:firstLineChars="200"/>
        <w:rPr>
          <w:rFonts w:ascii="仿宋" w:hAnsi="仿宋" w:eastAsia="仿宋" w:cs="仿宋"/>
          <w:sz w:val="24"/>
        </w:rPr>
      </w:pPr>
      <w:r>
        <w:rPr>
          <w:rFonts w:hint="eastAsia" w:ascii="仿宋" w:hAnsi="仿宋" w:eastAsia="仿宋" w:cs="仿宋"/>
          <w:sz w:val="24"/>
        </w:rPr>
        <w:t>　　</w:t>
      </w:r>
      <w:r>
        <w:rPr>
          <w:rFonts w:hint="eastAsia" w:ascii="仿宋" w:hAnsi="仿宋" w:eastAsia="仿宋" w:cs="仿宋"/>
          <w:sz w:val="24"/>
          <w:lang w:val="zh-CN"/>
        </w:rPr>
        <w:t>4.2.3.4</w:t>
      </w:r>
      <w:r>
        <w:rPr>
          <w:rFonts w:hint="eastAsia" w:ascii="仿宋" w:hAnsi="仿宋" w:eastAsia="仿宋" w:cs="仿宋"/>
          <w:sz w:val="24"/>
        </w:rPr>
        <w:t>事实依据；</w:t>
      </w:r>
    </w:p>
    <w:p>
      <w:pPr>
        <w:spacing w:line="360" w:lineRule="auto"/>
        <w:ind w:firstLine="480" w:firstLineChars="200"/>
        <w:rPr>
          <w:rFonts w:ascii="仿宋" w:hAnsi="仿宋" w:eastAsia="仿宋" w:cs="仿宋"/>
          <w:sz w:val="24"/>
        </w:rPr>
      </w:pPr>
      <w:r>
        <w:rPr>
          <w:rFonts w:hint="eastAsia" w:ascii="仿宋" w:hAnsi="仿宋" w:eastAsia="仿宋" w:cs="仿宋"/>
          <w:sz w:val="24"/>
        </w:rPr>
        <w:t>　　</w:t>
      </w:r>
      <w:r>
        <w:rPr>
          <w:rFonts w:hint="eastAsia" w:ascii="仿宋" w:hAnsi="仿宋" w:eastAsia="仿宋" w:cs="仿宋"/>
          <w:sz w:val="24"/>
          <w:lang w:val="zh-CN"/>
        </w:rPr>
        <w:t>4.2.3.5</w:t>
      </w:r>
      <w:r>
        <w:rPr>
          <w:rFonts w:hint="eastAsia" w:ascii="仿宋" w:hAnsi="仿宋" w:eastAsia="仿宋" w:cs="仿宋"/>
          <w:sz w:val="24"/>
        </w:rPr>
        <w:t>必要的法律依据；</w:t>
      </w:r>
    </w:p>
    <w:p>
      <w:pPr>
        <w:pStyle w:val="51"/>
        <w:shd w:val="clear" w:color="auto" w:fill="FFFFFF"/>
        <w:snapToGrid w:val="0"/>
        <w:spacing w:after="240" w:afterAutospacing="0" w:line="360" w:lineRule="auto"/>
        <w:ind w:firstLine="480"/>
        <w:contextualSpacing/>
        <w:rPr>
          <w:rFonts w:ascii="仿宋" w:hAnsi="仿宋" w:eastAsia="仿宋" w:cs="仿宋"/>
          <w:snapToGrid w:val="0"/>
          <w:kern w:val="2"/>
        </w:rPr>
      </w:pPr>
      <w:r>
        <w:rPr>
          <w:rFonts w:hint="eastAsia" w:ascii="仿宋" w:hAnsi="仿宋" w:eastAsia="仿宋" w:cs="仿宋"/>
          <w:lang w:val="zh-CN"/>
        </w:rPr>
        <w:t>4.2.3.6</w:t>
      </w:r>
      <w:r>
        <w:rPr>
          <w:rFonts w:hint="eastAsia" w:ascii="仿宋" w:hAnsi="仿宋" w:eastAsia="仿宋" w:cs="仿宋"/>
          <w:snapToGrid w:val="0"/>
          <w:kern w:val="2"/>
        </w:rPr>
        <w:t>提出质疑的日期。</w:t>
      </w:r>
    </w:p>
    <w:p>
      <w:pPr>
        <w:pStyle w:val="51"/>
        <w:shd w:val="clear" w:color="auto" w:fill="FFFFFF"/>
        <w:snapToGrid w:val="0"/>
        <w:spacing w:after="240" w:afterAutospacing="0" w:line="360" w:lineRule="auto"/>
        <w:ind w:firstLine="48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51"/>
        <w:shd w:val="clear" w:color="auto" w:fill="FFFFFF"/>
        <w:snapToGrid w:val="0"/>
        <w:spacing w:after="240" w:afterAutospacing="0" w:line="360" w:lineRule="auto"/>
        <w:ind w:firstLine="480"/>
        <w:contextualSpacing/>
        <w:rPr>
          <w:rFonts w:ascii="仿宋" w:hAnsi="仿宋" w:eastAsia="仿宋" w:cs="仿宋"/>
        </w:rPr>
      </w:pPr>
      <w:r>
        <w:rPr>
          <w:rFonts w:hint="eastAsia" w:ascii="仿宋" w:hAnsi="仿宋" w:eastAsia="仿宋" w:cs="仿宋"/>
        </w:rPr>
        <w:t>质疑函范本及制作说明详见附件2。</w:t>
      </w:r>
    </w:p>
    <w:p>
      <w:pPr>
        <w:pStyle w:val="51"/>
        <w:shd w:val="clear" w:color="auto" w:fill="FFFFFF"/>
        <w:snapToGrid w:val="0"/>
        <w:spacing w:after="240" w:afterAutospacing="0" w:line="360" w:lineRule="auto"/>
        <w:ind w:firstLine="48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.4采购人或者采购机构应当在收到供应商的书面质疑后七个工作日内作出答复，并以书面形式通知质疑供应商和其他与质疑处理结果有利害关系的政府采购当事人，但答复的内容不得涉及商业秘密。</w:t>
      </w:r>
    </w:p>
    <w:p>
      <w:pPr>
        <w:pStyle w:val="51"/>
        <w:shd w:val="clear" w:color="auto" w:fill="FFFFFF"/>
        <w:snapToGrid w:val="0"/>
        <w:spacing w:after="240" w:afterAutospacing="0" w:line="360" w:lineRule="auto"/>
        <w:ind w:firstLine="480"/>
        <w:contextualSpacing/>
        <w:rPr>
          <w:rFonts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51"/>
        <w:shd w:val="clear" w:color="auto" w:fill="FFFFFF"/>
        <w:snapToGrid w:val="0"/>
        <w:spacing w:after="240" w:afterAutospacing="0" w:line="360" w:lineRule="auto"/>
        <w:ind w:firstLine="480"/>
        <w:contextualSpacing/>
        <w:rPr>
          <w:rFonts w:ascii="仿宋" w:hAnsi="仿宋" w:eastAsia="仿宋" w:cs="仿宋"/>
          <w:lang w:val="zh-CN"/>
        </w:rPr>
      </w:pPr>
      <w:r>
        <w:rPr>
          <w:rFonts w:hint="eastAsia" w:ascii="仿宋" w:hAnsi="仿宋" w:eastAsia="仿宋" w:cs="仿宋"/>
          <w:lang w:val="zh-CN"/>
        </w:rPr>
        <w:t>4.3供应商投诉</w:t>
      </w:r>
    </w:p>
    <w:p>
      <w:pPr>
        <w:pStyle w:val="51"/>
        <w:shd w:val="clear" w:color="auto" w:fill="FFFFFF"/>
        <w:snapToGrid w:val="0"/>
        <w:spacing w:after="240" w:afterAutospacing="0" w:line="360" w:lineRule="auto"/>
        <w:ind w:firstLine="480"/>
        <w:contextualSpacing/>
        <w:rPr>
          <w:rFonts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51"/>
        <w:shd w:val="clear" w:color="auto" w:fill="FFFFFF"/>
        <w:snapToGrid w:val="0"/>
        <w:spacing w:after="240" w:afterAutospacing="0" w:line="360" w:lineRule="auto"/>
        <w:ind w:firstLine="480"/>
        <w:contextualSpacing/>
        <w:rPr>
          <w:rFonts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51"/>
        <w:shd w:val="clear" w:color="auto" w:fill="FFFFFF"/>
        <w:snapToGrid w:val="0"/>
        <w:spacing w:after="240" w:afterAutospacing="0" w:line="360" w:lineRule="auto"/>
        <w:ind w:firstLine="480"/>
        <w:contextualSpacing/>
        <w:rPr>
          <w:rFonts w:ascii="仿宋" w:hAnsi="仿宋" w:eastAsia="仿宋" w:cs="仿宋"/>
        </w:rPr>
      </w:pPr>
      <w:r>
        <w:rPr>
          <w:rFonts w:hint="eastAsia" w:ascii="仿宋" w:hAnsi="仿宋" w:eastAsia="仿宋" w:cs="仿宋"/>
        </w:rPr>
        <w:t>4.3.3供应商投诉应当有明确的请求和必要的证明材料。</w:t>
      </w:r>
    </w:p>
    <w:p>
      <w:pPr>
        <w:pStyle w:val="51"/>
        <w:shd w:val="clear" w:color="auto" w:fill="FFFFFF"/>
        <w:snapToGrid w:val="0"/>
        <w:spacing w:after="240" w:afterAutospacing="0" w:line="360" w:lineRule="auto"/>
        <w:ind w:firstLine="480"/>
        <w:contextualSpacing/>
        <w:rPr>
          <w:rFonts w:ascii="仿宋" w:hAnsi="仿宋" w:eastAsia="仿宋" w:cs="仿宋"/>
        </w:rPr>
      </w:pPr>
      <w:r>
        <w:rPr>
          <w:rFonts w:hint="eastAsia" w:ascii="仿宋" w:hAnsi="仿宋" w:eastAsia="仿宋" w:cs="仿宋"/>
        </w:rPr>
        <w:t>4.3.4 以联合体形式参加政府采购活动的，其投诉应当由组成联合体的所有供应商共同提出。</w:t>
      </w:r>
    </w:p>
    <w:p>
      <w:pPr>
        <w:pStyle w:val="51"/>
        <w:shd w:val="clear" w:color="auto" w:fill="FFFFFF"/>
        <w:snapToGrid w:val="0"/>
        <w:spacing w:after="240" w:afterAutospacing="0" w:line="360" w:lineRule="auto"/>
        <w:ind w:firstLine="480"/>
        <w:contextualSpacing/>
        <w:rPr>
          <w:rFonts w:ascii="仿宋" w:hAnsi="仿宋" w:eastAsia="仿宋" w:cs="仿宋"/>
        </w:rPr>
      </w:pPr>
      <w:r>
        <w:rPr>
          <w:rFonts w:hint="eastAsia" w:ascii="仿宋" w:hAnsi="仿宋" w:eastAsia="仿宋" w:cs="仿宋"/>
        </w:rPr>
        <w:t>投诉书范本及制作说明详见附件3。</w:t>
      </w:r>
    </w:p>
    <w:p>
      <w:pPr>
        <w:spacing w:line="360" w:lineRule="auto"/>
        <w:jc w:val="center"/>
        <w:outlineLvl w:val="0"/>
        <w:rPr>
          <w:rFonts w:ascii="仿宋" w:hAnsi="仿宋" w:eastAsia="仿宋" w:cs="仿宋"/>
          <w:b/>
          <w:sz w:val="28"/>
          <w:szCs w:val="28"/>
        </w:rPr>
      </w:pPr>
      <w:bookmarkStart w:id="0" w:name="_Hlt74714665"/>
      <w:bookmarkEnd w:id="0"/>
      <w:bookmarkStart w:id="1" w:name="_Hlt74729768"/>
      <w:bookmarkEnd w:id="1"/>
      <w:bookmarkStart w:id="2" w:name="_Hlt68072990"/>
      <w:bookmarkEnd w:id="2"/>
      <w:bookmarkStart w:id="3" w:name="_Hlt75236290"/>
      <w:bookmarkEnd w:id="3"/>
      <w:bookmarkStart w:id="4" w:name="_Hlt74707468"/>
      <w:bookmarkEnd w:id="4"/>
      <w:bookmarkStart w:id="5" w:name="_Hlt68057669"/>
      <w:bookmarkEnd w:id="5"/>
      <w:bookmarkStart w:id="6" w:name="_Hlt74730295"/>
      <w:bookmarkEnd w:id="6"/>
      <w:bookmarkStart w:id="7" w:name="_Toc91899879"/>
      <w:r>
        <w:rPr>
          <w:rFonts w:hint="eastAsia" w:ascii="仿宋" w:hAnsi="仿宋" w:eastAsia="仿宋" w:cs="仿宋"/>
          <w:b/>
          <w:sz w:val="28"/>
          <w:szCs w:val="28"/>
        </w:rPr>
        <w:t>二、招标文件</w:t>
      </w:r>
      <w:bookmarkEnd w:id="7"/>
      <w:r>
        <w:rPr>
          <w:rFonts w:hint="eastAsia" w:ascii="仿宋" w:hAnsi="仿宋" w:eastAsia="仿宋" w:cs="仿宋"/>
          <w:b/>
          <w:sz w:val="28"/>
          <w:szCs w:val="28"/>
        </w:rPr>
        <w:t>的构成、澄清、修改</w:t>
      </w:r>
    </w:p>
    <w:p>
      <w:pPr>
        <w:pStyle w:val="11"/>
        <w:spacing w:before="120" w:after="120" w:line="360" w:lineRule="auto"/>
        <w:rPr>
          <w:rFonts w:ascii="仿宋" w:hAnsi="仿宋" w:eastAsia="仿宋" w:cs="仿宋"/>
          <w:b/>
        </w:rPr>
      </w:pPr>
      <w:bookmarkStart w:id="8" w:name="_Toc91899880"/>
      <w:bookmarkStart w:id="9" w:name="_Hlt74730307"/>
      <w:r>
        <w:rPr>
          <w:rFonts w:hint="eastAsia" w:ascii="仿宋" w:hAnsi="仿宋" w:eastAsia="仿宋" w:cs="仿宋"/>
          <w:b/>
        </w:rPr>
        <w:t>5．招标文件的构成</w:t>
      </w:r>
      <w:bookmarkEnd w:id="8"/>
    </w:p>
    <w:bookmarkEnd w:id="9"/>
    <w:p>
      <w:pPr>
        <w:pStyle w:val="11"/>
        <w:spacing w:before="120" w:after="120"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5.1 招标文件包括下列文件及附件</w:t>
      </w:r>
    </w:p>
    <w:p>
      <w:pPr>
        <w:pStyle w:val="11"/>
        <w:numPr>
          <w:ilvl w:val="0"/>
          <w:numId w:val="2"/>
        </w:numPr>
        <w:spacing w:before="120" w:after="120" w:line="360" w:lineRule="auto"/>
        <w:ind w:left="839" w:firstLine="480" w:firstLineChars="200"/>
        <w:rPr>
          <w:rFonts w:ascii="仿宋" w:hAnsi="仿宋" w:eastAsia="仿宋" w:cs="仿宋"/>
          <w:kern w:val="0"/>
          <w:sz w:val="24"/>
          <w:szCs w:val="24"/>
        </w:rPr>
      </w:pPr>
      <w:r>
        <w:rPr>
          <w:rFonts w:hint="eastAsia" w:ascii="仿宋" w:hAnsi="仿宋" w:eastAsia="仿宋" w:cs="仿宋"/>
          <w:kern w:val="0"/>
          <w:sz w:val="24"/>
          <w:szCs w:val="24"/>
        </w:rPr>
        <w:t>第一部分 招标公告</w:t>
      </w:r>
    </w:p>
    <w:p>
      <w:pPr>
        <w:pStyle w:val="11"/>
        <w:numPr>
          <w:ilvl w:val="0"/>
          <w:numId w:val="2"/>
        </w:numPr>
        <w:spacing w:before="120" w:after="120" w:line="360" w:lineRule="auto"/>
        <w:ind w:left="839" w:firstLine="480" w:firstLineChars="200"/>
        <w:rPr>
          <w:rFonts w:ascii="仿宋" w:hAnsi="仿宋" w:eastAsia="仿宋" w:cs="仿宋"/>
          <w:kern w:val="0"/>
          <w:sz w:val="24"/>
          <w:szCs w:val="24"/>
        </w:rPr>
      </w:pPr>
      <w:r>
        <w:rPr>
          <w:rFonts w:hint="eastAsia" w:ascii="仿宋" w:hAnsi="仿宋" w:eastAsia="仿宋" w:cs="仿宋"/>
          <w:kern w:val="0"/>
          <w:sz w:val="24"/>
          <w:szCs w:val="24"/>
        </w:rPr>
        <w:t>第二部分 投标人须知</w:t>
      </w:r>
    </w:p>
    <w:p>
      <w:pPr>
        <w:pStyle w:val="11"/>
        <w:numPr>
          <w:ilvl w:val="0"/>
          <w:numId w:val="2"/>
        </w:numPr>
        <w:spacing w:before="120" w:after="120" w:line="360" w:lineRule="auto"/>
        <w:ind w:left="839" w:firstLine="480" w:firstLineChars="200"/>
        <w:rPr>
          <w:rFonts w:ascii="仿宋" w:hAnsi="仿宋" w:eastAsia="仿宋" w:cs="仿宋"/>
          <w:kern w:val="0"/>
          <w:sz w:val="24"/>
          <w:szCs w:val="24"/>
        </w:rPr>
      </w:pPr>
      <w:r>
        <w:rPr>
          <w:rFonts w:hint="eastAsia" w:ascii="仿宋" w:hAnsi="仿宋" w:eastAsia="仿宋" w:cs="仿宋"/>
          <w:kern w:val="0"/>
          <w:sz w:val="24"/>
          <w:szCs w:val="24"/>
        </w:rPr>
        <w:t>第三部分 采购需求</w:t>
      </w:r>
    </w:p>
    <w:p>
      <w:pPr>
        <w:pStyle w:val="11"/>
        <w:numPr>
          <w:ilvl w:val="0"/>
          <w:numId w:val="2"/>
        </w:numPr>
        <w:spacing w:before="120" w:after="120" w:line="360" w:lineRule="auto"/>
        <w:ind w:left="839" w:firstLine="480" w:firstLineChars="200"/>
        <w:rPr>
          <w:rFonts w:ascii="仿宋" w:hAnsi="仿宋" w:eastAsia="仿宋" w:cs="仿宋"/>
          <w:kern w:val="0"/>
          <w:sz w:val="24"/>
          <w:szCs w:val="24"/>
        </w:rPr>
      </w:pPr>
      <w:r>
        <w:rPr>
          <w:rFonts w:hint="eastAsia" w:ascii="仿宋" w:hAnsi="仿宋" w:eastAsia="仿宋" w:cs="仿宋"/>
          <w:kern w:val="0"/>
          <w:sz w:val="24"/>
          <w:szCs w:val="24"/>
        </w:rPr>
        <w:t>第四部分 评标方法及评分标准</w:t>
      </w:r>
    </w:p>
    <w:p>
      <w:pPr>
        <w:pStyle w:val="11"/>
        <w:spacing w:before="120" w:after="120" w:line="360" w:lineRule="auto"/>
        <w:ind w:firstLine="1200" w:firstLineChars="500"/>
        <w:rPr>
          <w:rFonts w:ascii="仿宋" w:hAnsi="仿宋" w:eastAsia="仿宋" w:cs="仿宋"/>
          <w:kern w:val="0"/>
          <w:sz w:val="24"/>
          <w:szCs w:val="24"/>
        </w:rPr>
      </w:pPr>
      <w:r>
        <w:rPr>
          <w:rFonts w:hint="eastAsia" w:ascii="仿宋" w:hAnsi="仿宋" w:eastAsia="仿宋" w:cs="仿宋"/>
          <w:kern w:val="0"/>
          <w:sz w:val="24"/>
          <w:szCs w:val="24"/>
        </w:rPr>
        <w:t>第五部分 拟签订的合同文本</w:t>
      </w:r>
    </w:p>
    <w:p>
      <w:pPr>
        <w:pStyle w:val="11"/>
        <w:spacing w:before="120" w:after="120" w:line="360" w:lineRule="auto"/>
        <w:ind w:firstLine="1200" w:firstLineChars="500"/>
        <w:rPr>
          <w:rFonts w:ascii="仿宋" w:hAnsi="仿宋" w:eastAsia="仿宋" w:cs="仿宋"/>
          <w:kern w:val="0"/>
          <w:sz w:val="24"/>
          <w:szCs w:val="24"/>
        </w:rPr>
      </w:pPr>
      <w:r>
        <w:rPr>
          <w:rFonts w:hint="eastAsia" w:ascii="仿宋" w:hAnsi="仿宋" w:eastAsia="仿宋" w:cs="仿宋"/>
          <w:kern w:val="0"/>
          <w:sz w:val="24"/>
          <w:szCs w:val="24"/>
        </w:rPr>
        <w:t>第六部分 应提交的有关格式范例</w:t>
      </w:r>
    </w:p>
    <w:p>
      <w:pPr>
        <w:pStyle w:val="11"/>
        <w:spacing w:before="120" w:after="120"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5.2与本项目有关的澄清或者修改的内容为招标文件的组成部分。</w:t>
      </w:r>
    </w:p>
    <w:p>
      <w:pPr>
        <w:pStyle w:val="11"/>
        <w:spacing w:before="120" w:after="120" w:line="360" w:lineRule="auto"/>
        <w:rPr>
          <w:rFonts w:ascii="仿宋" w:hAnsi="仿宋" w:eastAsia="仿宋" w:cs="仿宋"/>
          <w:b/>
        </w:rPr>
      </w:pPr>
      <w:r>
        <w:rPr>
          <w:rFonts w:hint="eastAsia" w:ascii="仿宋" w:hAnsi="仿宋" w:eastAsia="仿宋" w:cs="仿宋"/>
          <w:b/>
        </w:rPr>
        <w:t>6. 招标文件的澄清、修改</w:t>
      </w:r>
    </w:p>
    <w:p>
      <w:pPr>
        <w:pStyle w:val="52"/>
        <w:snapToGrid w:val="0"/>
        <w:spacing w:before="0"/>
        <w:ind w:firstLine="480"/>
        <w:rPr>
          <w:rFonts w:ascii="仿宋" w:hAnsi="仿宋" w:eastAsia="仿宋" w:cs="仿宋"/>
          <w:szCs w:val="24"/>
        </w:rPr>
      </w:pPr>
      <w:r>
        <w:rPr>
          <w:rFonts w:hint="eastAsia" w:ascii="仿宋" w:hAnsi="仿宋" w:eastAsia="仿宋" w:cs="仿宋"/>
          <w:szCs w:val="24"/>
        </w:rPr>
        <w:t>6.1已获取招标文件的潜在投标人，若有问题需要澄清，应于投标截止时间前，以书面形式向采购机构提出。</w:t>
      </w:r>
    </w:p>
    <w:p>
      <w:pPr>
        <w:pStyle w:val="52"/>
        <w:snapToGrid w:val="0"/>
        <w:spacing w:before="0"/>
        <w:ind w:firstLine="480"/>
        <w:rPr>
          <w:rFonts w:ascii="仿宋" w:hAnsi="仿宋" w:eastAsia="仿宋" w:cs="仿宋"/>
          <w:szCs w:val="24"/>
        </w:rPr>
      </w:pPr>
      <w:r>
        <w:rPr>
          <w:rFonts w:hint="eastAsia" w:ascii="仿宋" w:hAnsi="仿宋" w:eastAsia="仿宋" w:cs="仿宋"/>
          <w:szCs w:val="24"/>
        </w:rPr>
        <w:t>6.2采购机构对采购文件进行澄清或修改的，将同时通过电子交易平台通知已获取采购文件的潜在投标人。依法应当公告的，将按规定公告，同时视情况延长投标截止时间和开标时间。该澄清或者修改的内容为招标文件的组成部分。</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▲投标文件未按招标文件的澄清、修改的内容编制，又不符合实质性要求的，投标无效。</w:t>
      </w:r>
    </w:p>
    <w:p>
      <w:pPr>
        <w:spacing w:line="360" w:lineRule="auto"/>
        <w:jc w:val="center"/>
        <w:outlineLvl w:val="0"/>
        <w:rPr>
          <w:rFonts w:ascii="仿宋" w:hAnsi="仿宋" w:eastAsia="仿宋" w:cs="仿宋"/>
          <w:b/>
          <w:sz w:val="28"/>
          <w:szCs w:val="28"/>
        </w:rPr>
      </w:pPr>
      <w:bookmarkStart w:id="10" w:name="_Hlt75236011"/>
      <w:bookmarkEnd w:id="10"/>
      <w:bookmarkStart w:id="11" w:name="_Toc91899884"/>
      <w:r>
        <w:rPr>
          <w:rFonts w:hint="eastAsia" w:ascii="仿宋" w:hAnsi="仿宋" w:eastAsia="仿宋" w:cs="仿宋"/>
          <w:b/>
          <w:sz w:val="28"/>
          <w:szCs w:val="28"/>
        </w:rPr>
        <w:t>三、投标</w:t>
      </w:r>
      <w:bookmarkEnd w:id="11"/>
    </w:p>
    <w:p>
      <w:pPr>
        <w:pStyle w:val="11"/>
        <w:spacing w:before="120" w:after="120" w:line="360" w:lineRule="auto"/>
        <w:rPr>
          <w:rFonts w:ascii="仿宋" w:hAnsi="仿宋" w:eastAsia="仿宋" w:cs="仿宋"/>
          <w:b/>
        </w:rPr>
      </w:pPr>
      <w:bookmarkStart w:id="12" w:name="_Toc91899892"/>
      <w:bookmarkStart w:id="13" w:name="_Toc86216991"/>
      <w:bookmarkStart w:id="14" w:name="_Toc91899897"/>
      <w:r>
        <w:rPr>
          <w:rFonts w:hint="eastAsia" w:ascii="仿宋" w:hAnsi="仿宋" w:eastAsia="仿宋" w:cs="仿宋"/>
          <w:b/>
        </w:rPr>
        <w:t>7. 招标文件的获取</w:t>
      </w:r>
    </w:p>
    <w:p>
      <w:pPr>
        <w:spacing w:line="450" w:lineRule="exact"/>
        <w:ind w:firstLine="480" w:firstLineChars="200"/>
        <w:textAlignment w:val="auto"/>
        <w:rPr>
          <w:rFonts w:ascii="仿宋" w:hAnsi="仿宋" w:eastAsia="仿宋" w:cs="仿宋"/>
          <w:sz w:val="24"/>
        </w:rPr>
      </w:pPr>
      <w:r>
        <w:rPr>
          <w:rFonts w:hint="eastAsia" w:ascii="仿宋" w:hAnsi="仿宋" w:eastAsia="仿宋" w:cs="仿宋"/>
          <w:sz w:val="24"/>
        </w:rPr>
        <w:t>详见招标公告中获取招标文件的时间期限、地点、方式及招标文件售价。</w:t>
      </w:r>
    </w:p>
    <w:p>
      <w:pPr>
        <w:pStyle w:val="11"/>
        <w:spacing w:before="120" w:after="120" w:line="450" w:lineRule="exact"/>
        <w:rPr>
          <w:rFonts w:ascii="仿宋" w:hAnsi="仿宋" w:eastAsia="仿宋" w:cs="仿宋"/>
          <w:b/>
        </w:rPr>
      </w:pPr>
      <w:r>
        <w:rPr>
          <w:rFonts w:hint="eastAsia" w:ascii="仿宋" w:hAnsi="仿宋" w:eastAsia="仿宋" w:cs="仿宋"/>
          <w:b/>
        </w:rPr>
        <w:t>8.开标前答疑会或现场考察</w:t>
      </w:r>
    </w:p>
    <w:p>
      <w:pPr>
        <w:pStyle w:val="11"/>
        <w:spacing w:before="120" w:after="120" w:line="450" w:lineRule="exact"/>
        <w:ind w:firstLine="480" w:firstLineChars="200"/>
        <w:rPr>
          <w:rFonts w:ascii="仿宋" w:hAnsi="仿宋" w:eastAsia="仿宋" w:cs="仿宋"/>
          <w:b/>
          <w:bCs/>
          <w:sz w:val="24"/>
          <w:szCs w:val="24"/>
        </w:rPr>
      </w:pPr>
      <w:r>
        <w:rPr>
          <w:rFonts w:hint="eastAsia" w:ascii="仿宋" w:hAnsi="仿宋" w:eastAsia="仿宋" w:cs="仿宋"/>
          <w:sz w:val="24"/>
          <w:szCs w:val="24"/>
        </w:rPr>
        <w:t>采购人组织潜在投标人现场考察或者召开开标前答疑会的（如有），潜在投标人按前附表的规定参加现场考察或者开标前答疑会</w:t>
      </w:r>
      <w:r>
        <w:rPr>
          <w:rFonts w:hint="eastAsia" w:ascii="仿宋" w:hAnsi="仿宋" w:eastAsia="仿宋" w:cs="仿宋"/>
        </w:rPr>
        <w:t>。</w:t>
      </w:r>
      <w:r>
        <w:rPr>
          <w:rFonts w:hint="eastAsia" w:ascii="仿宋" w:hAnsi="仿宋" w:eastAsia="仿宋" w:cs="仿宋"/>
          <w:b/>
          <w:bCs/>
          <w:sz w:val="24"/>
          <w:szCs w:val="24"/>
        </w:rPr>
        <w:t>采购人不单独或分别组织只有一个供应商参加的现场考察和答疑会。</w:t>
      </w:r>
    </w:p>
    <w:p>
      <w:pPr>
        <w:pStyle w:val="11"/>
        <w:spacing w:before="120" w:after="120" w:line="450" w:lineRule="exact"/>
        <w:rPr>
          <w:rFonts w:ascii="仿宋" w:hAnsi="仿宋" w:eastAsia="仿宋" w:cs="仿宋"/>
          <w:b/>
        </w:rPr>
      </w:pPr>
      <w:r>
        <w:rPr>
          <w:rFonts w:hint="eastAsia" w:ascii="仿宋" w:hAnsi="仿宋" w:eastAsia="仿宋" w:cs="仿宋"/>
          <w:b/>
          <w:snapToGrid w:val="0"/>
          <w:kern w:val="28"/>
        </w:rPr>
        <w:t>9.投标保证金</w:t>
      </w:r>
    </w:p>
    <w:p>
      <w:pPr>
        <w:pStyle w:val="5"/>
        <w:spacing w:line="450" w:lineRule="exact"/>
        <w:ind w:firstLine="470" w:firstLineChars="196"/>
        <w:textAlignment w:val="auto"/>
        <w:rPr>
          <w:rFonts w:ascii="仿宋" w:hAnsi="仿宋" w:eastAsia="仿宋" w:cs="仿宋"/>
          <w:sz w:val="24"/>
        </w:rPr>
      </w:pPr>
      <w:r>
        <w:rPr>
          <w:rFonts w:hint="eastAsia" w:ascii="仿宋" w:hAnsi="仿宋" w:eastAsia="仿宋" w:cs="仿宋"/>
          <w:sz w:val="24"/>
        </w:rPr>
        <w:t>本项目不需要交纳投标保证金。</w:t>
      </w:r>
    </w:p>
    <w:p>
      <w:pPr>
        <w:pStyle w:val="11"/>
        <w:spacing w:before="120" w:after="120" w:line="450" w:lineRule="exact"/>
        <w:rPr>
          <w:rFonts w:ascii="仿宋" w:hAnsi="仿宋" w:eastAsia="仿宋" w:cs="仿宋"/>
          <w:b/>
        </w:rPr>
      </w:pPr>
      <w:r>
        <w:rPr>
          <w:rFonts w:hint="eastAsia" w:ascii="仿宋" w:hAnsi="仿宋" w:eastAsia="仿宋" w:cs="仿宋"/>
          <w:b/>
        </w:rPr>
        <w:t>10. 投标文件的语言</w:t>
      </w:r>
    </w:p>
    <w:p>
      <w:pPr>
        <w:autoSpaceDE w:val="0"/>
        <w:autoSpaceDN w:val="0"/>
        <w:spacing w:line="450" w:lineRule="exact"/>
        <w:ind w:firstLine="480" w:firstLineChars="200"/>
        <w:textAlignment w:val="auto"/>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11"/>
        <w:spacing w:before="120" w:after="120" w:line="450" w:lineRule="exact"/>
        <w:rPr>
          <w:rFonts w:ascii="仿宋" w:hAnsi="仿宋" w:eastAsia="仿宋" w:cs="仿宋"/>
          <w:b/>
        </w:rPr>
      </w:pPr>
      <w:r>
        <w:rPr>
          <w:rFonts w:hint="eastAsia" w:ascii="仿宋" w:hAnsi="仿宋" w:eastAsia="仿宋" w:cs="仿宋"/>
          <w:b/>
        </w:rPr>
        <w:t>11. 投标文件的组成</w:t>
      </w:r>
    </w:p>
    <w:p>
      <w:pPr>
        <w:pStyle w:val="11"/>
        <w:snapToGrid w:val="0"/>
        <w:spacing w:before="120" w:after="120" w:line="450" w:lineRule="exact"/>
        <w:ind w:firstLine="480" w:firstLineChars="200"/>
        <w:rPr>
          <w:rFonts w:ascii="仿宋" w:hAnsi="仿宋" w:eastAsia="仿宋" w:cs="仿宋"/>
        </w:rPr>
      </w:pPr>
      <w:r>
        <w:rPr>
          <w:rFonts w:hint="eastAsia" w:ascii="仿宋" w:hAnsi="仿宋" w:eastAsia="仿宋" w:cs="仿宋"/>
          <w:sz w:val="24"/>
          <w:szCs w:val="24"/>
        </w:rPr>
        <w:t>投标文件应当包括以下主要内容：</w:t>
      </w:r>
      <w:r>
        <w:rPr>
          <w:rFonts w:hint="eastAsia" w:ascii="仿宋" w:hAnsi="仿宋" w:eastAsia="仿宋" w:cs="仿宋"/>
          <w:b/>
          <w:bCs/>
          <w:sz w:val="24"/>
          <w:szCs w:val="24"/>
        </w:rPr>
        <w:t>资格文件、报价文件、商务技术文件。</w:t>
      </w:r>
      <w:r>
        <w:rPr>
          <w:rFonts w:hint="eastAsia" w:ascii="仿宋" w:hAnsi="仿宋" w:eastAsia="仿宋" w:cs="仿宋"/>
          <w:sz w:val="24"/>
          <w:szCs w:val="24"/>
        </w:rPr>
        <w:t>投标文件应当对招标文件提出的要求和条件作出明确响应。</w:t>
      </w:r>
    </w:p>
    <w:p>
      <w:pPr>
        <w:snapToGrid w:val="0"/>
        <w:spacing w:line="450" w:lineRule="exact"/>
        <w:ind w:firstLine="480" w:firstLineChars="200"/>
        <w:rPr>
          <w:rFonts w:ascii="仿宋" w:hAnsi="仿宋" w:eastAsia="仿宋" w:cs="仿宋"/>
          <w:b/>
          <w:kern w:val="0"/>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应包括以下内容（均需使用电子签名）：</w:t>
      </w:r>
      <w:r>
        <w:rPr>
          <w:rFonts w:hint="eastAsia" w:ascii="仿宋" w:hAnsi="仿宋" w:eastAsia="仿宋" w:cs="仿宋"/>
          <w:kern w:val="0"/>
          <w:sz w:val="24"/>
        </w:rPr>
        <w:t>证明其符合《中华人民共和国政府采购法》规定的供应商基本条件和采购项目对供应商的特定条件</w:t>
      </w:r>
      <w:r>
        <w:rPr>
          <w:rFonts w:hint="eastAsia" w:ascii="仿宋" w:hAnsi="仿宋" w:eastAsia="仿宋" w:cs="仿宋"/>
          <w:sz w:val="24"/>
        </w:rPr>
        <w:t>（如果项目要求）</w:t>
      </w:r>
      <w:r>
        <w:rPr>
          <w:rFonts w:hint="eastAsia" w:ascii="仿宋" w:hAnsi="仿宋" w:eastAsia="仿宋" w:cs="仿宋"/>
          <w:kern w:val="0"/>
          <w:sz w:val="24"/>
        </w:rPr>
        <w:t>的有关资格证明文件。</w:t>
      </w:r>
      <w:r>
        <w:rPr>
          <w:rFonts w:hint="eastAsia" w:ascii="仿宋" w:hAnsi="仿宋" w:eastAsia="仿宋" w:cs="仿宋"/>
          <w:b/>
          <w:kern w:val="0"/>
          <w:sz w:val="24"/>
        </w:rPr>
        <w:t>（以联合体形式进行政府采购的，参加联合体的供应商均应当提供）</w:t>
      </w:r>
    </w:p>
    <w:p>
      <w:pPr>
        <w:pStyle w:val="11"/>
        <w:spacing w:before="120" w:after="120" w:line="450" w:lineRule="exact"/>
        <w:ind w:firstLine="420" w:firstLineChars="200"/>
        <w:rPr>
          <w:rFonts w:ascii="仿宋" w:hAnsi="仿宋" w:eastAsia="仿宋" w:cs="仿宋"/>
        </w:rPr>
      </w:pPr>
      <w:bookmarkStart w:id="15" w:name="_Hlt68072998"/>
      <w:bookmarkEnd w:id="15"/>
      <w:bookmarkStart w:id="16" w:name="_Hlt68073093"/>
      <w:bookmarkEnd w:id="16"/>
      <w:bookmarkStart w:id="17" w:name="_Hlt68403820"/>
      <w:bookmarkEnd w:id="17"/>
      <w:r>
        <w:rPr>
          <w:rFonts w:hint="eastAsia" w:ascii="仿宋" w:hAnsi="仿宋" w:eastAsia="仿宋" w:cs="仿宋"/>
        </w:rPr>
        <w:t>11.1.1营业执照(或事业法人登记证或其他工商等登记证明材料)复印件（投标人为自然人的，提供</w:t>
      </w:r>
      <w:r>
        <w:rPr>
          <w:rFonts w:hint="eastAsia" w:ascii="仿宋" w:hAnsi="仿宋" w:eastAsia="仿宋" w:cs="仿宋"/>
          <w:kern w:val="0"/>
        </w:rPr>
        <w:t>自然人的身份证明</w:t>
      </w:r>
      <w:r>
        <w:rPr>
          <w:rFonts w:hint="eastAsia" w:ascii="仿宋" w:hAnsi="仿宋" w:eastAsia="仿宋" w:cs="仿宋"/>
        </w:rPr>
        <w:t>）；</w:t>
      </w:r>
    </w:p>
    <w:p>
      <w:pPr>
        <w:pStyle w:val="11"/>
        <w:spacing w:before="120" w:after="120" w:line="450" w:lineRule="exact"/>
        <w:ind w:firstLine="420" w:firstLineChars="200"/>
        <w:rPr>
          <w:rFonts w:ascii="仿宋" w:hAnsi="仿宋" w:eastAsia="仿宋" w:cs="仿宋"/>
        </w:rPr>
      </w:pPr>
      <w:r>
        <w:rPr>
          <w:rFonts w:hint="eastAsia" w:ascii="仿宋" w:hAnsi="仿宋" w:eastAsia="仿宋" w:cs="仿宋"/>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pacing w:line="450" w:lineRule="exact"/>
        <w:ind w:firstLine="480" w:firstLineChars="200"/>
        <w:rPr>
          <w:rFonts w:ascii="仿宋" w:hAnsi="仿宋" w:eastAsia="仿宋" w:cs="仿宋"/>
          <w:sz w:val="24"/>
        </w:rPr>
      </w:pPr>
      <w:r>
        <w:rPr>
          <w:rFonts w:hint="eastAsia" w:ascii="仿宋" w:hAnsi="仿宋" w:eastAsia="仿宋" w:cs="仿宋"/>
          <w:sz w:val="24"/>
        </w:rPr>
        <w:t>11.1.2 法人授权书（如法定代表人直接参加投标并对相应文件签字的，只需提供其身份证复印件正反面；如以联合体形式参加政府采购活动的，按招标文件有关格式范例提供联合体投标授权书）；▲</w:t>
      </w:r>
      <w:r>
        <w:rPr>
          <w:rFonts w:hint="eastAsia" w:ascii="仿宋" w:hAnsi="仿宋" w:eastAsia="仿宋" w:cs="仿宋"/>
          <w:b/>
          <w:sz w:val="24"/>
        </w:rPr>
        <w:t>投标文件中法人授权书所载内容与本项目内容有异的，投标无效。</w:t>
      </w:r>
    </w:p>
    <w:p>
      <w:pPr>
        <w:snapToGrid w:val="0"/>
        <w:spacing w:line="450" w:lineRule="exact"/>
        <w:ind w:firstLine="480" w:firstLineChars="200"/>
        <w:rPr>
          <w:rFonts w:ascii="仿宋" w:hAnsi="仿宋" w:eastAsia="仿宋" w:cs="仿宋"/>
          <w:sz w:val="24"/>
        </w:rPr>
      </w:pPr>
      <w:r>
        <w:rPr>
          <w:rFonts w:hint="eastAsia" w:ascii="仿宋" w:hAnsi="仿宋" w:eastAsia="仿宋" w:cs="仿宋"/>
          <w:sz w:val="24"/>
        </w:rPr>
        <w:t>11.1.3 授权代表的身份证（复印件）；</w:t>
      </w:r>
    </w:p>
    <w:p>
      <w:pPr>
        <w:snapToGrid w:val="0"/>
        <w:spacing w:line="450" w:lineRule="exact"/>
        <w:ind w:firstLine="480" w:firstLineChars="200"/>
        <w:rPr>
          <w:rFonts w:ascii="仿宋" w:hAnsi="仿宋" w:eastAsia="仿宋" w:cs="仿宋"/>
          <w:sz w:val="24"/>
        </w:rPr>
      </w:pPr>
      <w:r>
        <w:rPr>
          <w:rFonts w:hint="eastAsia" w:ascii="仿宋" w:hAnsi="仿宋" w:eastAsia="仿宋" w:cs="仿宋"/>
          <w:sz w:val="24"/>
        </w:rPr>
        <w:t xml:space="preserve">11.1.4 </w:t>
      </w:r>
      <w:r>
        <w:rPr>
          <w:rFonts w:hint="eastAsia" w:ascii="仿宋_GB2312" w:hAnsi="仿宋" w:eastAsia="仿宋_GB2312" w:cs="仿宋_GB2312"/>
          <w:sz w:val="24"/>
        </w:rPr>
        <w:t>符合参与政府采购活动的资格条件并且没有税收缴纳、社会保障等方面的失信记录的承诺函</w:t>
      </w:r>
      <w:r>
        <w:rPr>
          <w:rFonts w:hint="eastAsia" w:ascii="仿宋" w:hAnsi="仿宋" w:eastAsia="仿宋" w:cs="仿宋"/>
          <w:sz w:val="24"/>
        </w:rPr>
        <w:t>；</w:t>
      </w:r>
    </w:p>
    <w:p>
      <w:pPr>
        <w:pStyle w:val="11"/>
        <w:spacing w:before="120" w:after="120" w:line="450" w:lineRule="exact"/>
        <w:ind w:firstLine="420" w:firstLineChars="200"/>
        <w:rPr>
          <w:rFonts w:ascii="仿宋" w:hAnsi="仿宋" w:eastAsia="仿宋" w:cs="仿宋"/>
        </w:rPr>
      </w:pPr>
      <w:r>
        <w:rPr>
          <w:rFonts w:hint="eastAsia" w:ascii="仿宋" w:hAnsi="仿宋" w:eastAsia="仿宋" w:cs="仿宋"/>
        </w:rPr>
        <w:t>11.1.5具有履行合同所必需的设备和专业技术能力的承诺函；</w:t>
      </w:r>
    </w:p>
    <w:p>
      <w:pPr>
        <w:spacing w:line="450" w:lineRule="exact"/>
        <w:ind w:firstLine="480" w:firstLineChars="200"/>
        <w:rPr>
          <w:rFonts w:ascii="仿宋" w:hAnsi="仿宋" w:eastAsia="仿宋" w:cs="仿宋"/>
          <w:sz w:val="24"/>
        </w:rPr>
      </w:pPr>
      <w:r>
        <w:rPr>
          <w:rFonts w:hint="eastAsia" w:ascii="仿宋" w:hAnsi="仿宋" w:eastAsia="仿宋" w:cs="仿宋"/>
          <w:sz w:val="24"/>
        </w:rPr>
        <w:t>11.1.6参加政府采购活动前三年内，在经营活动中没有重大违法记录的声明；</w:t>
      </w:r>
    </w:p>
    <w:p>
      <w:pPr>
        <w:pStyle w:val="11"/>
        <w:spacing w:before="120" w:after="120" w:line="450" w:lineRule="exact"/>
        <w:ind w:firstLine="420" w:firstLineChars="200"/>
        <w:rPr>
          <w:rFonts w:ascii="仿宋" w:hAnsi="仿宋" w:eastAsia="仿宋" w:cs="仿宋"/>
        </w:rPr>
      </w:pPr>
      <w:r>
        <w:rPr>
          <w:rFonts w:hint="eastAsia" w:ascii="仿宋" w:hAnsi="仿宋" w:eastAsia="仿宋" w:cs="仿宋"/>
        </w:rPr>
        <w:t xml:space="preserve">11.1.7具有良好商业信誉的特别声明； </w:t>
      </w:r>
    </w:p>
    <w:p>
      <w:pPr>
        <w:pStyle w:val="11"/>
        <w:spacing w:before="120" w:after="120" w:line="450" w:lineRule="exact"/>
        <w:ind w:firstLine="420" w:firstLineChars="200"/>
        <w:rPr>
          <w:rFonts w:ascii="仿宋" w:hAnsi="仿宋" w:eastAsia="仿宋" w:cs="仿宋"/>
        </w:rPr>
      </w:pPr>
      <w:r>
        <w:rPr>
          <w:rFonts w:hint="eastAsia" w:ascii="仿宋" w:hAnsi="仿宋" w:eastAsia="仿宋" w:cs="仿宋"/>
        </w:rPr>
        <w:t>11.1.8符合特定资格条件（如果项目要求）的有关证明材料（复印件）；</w:t>
      </w:r>
    </w:p>
    <w:p>
      <w:pPr>
        <w:pStyle w:val="11"/>
        <w:spacing w:before="120" w:after="120" w:line="450" w:lineRule="exact"/>
        <w:ind w:firstLine="420" w:firstLineChars="200"/>
        <w:rPr>
          <w:rFonts w:ascii="仿宋" w:hAnsi="仿宋" w:eastAsia="仿宋" w:cs="仿宋"/>
        </w:rPr>
      </w:pPr>
      <w:r>
        <w:rPr>
          <w:rFonts w:hint="eastAsia" w:ascii="仿宋" w:hAnsi="仿宋" w:eastAsia="仿宋" w:cs="仿宋"/>
        </w:rPr>
        <w:t>11.1.9以联合体形式投标的，提供联合体协议。</w:t>
      </w:r>
    </w:p>
    <w:p>
      <w:pPr>
        <w:pStyle w:val="11"/>
        <w:snapToGrid w:val="0"/>
        <w:spacing w:before="120" w:after="120" w:line="450" w:lineRule="exact"/>
        <w:ind w:firstLine="420" w:firstLineChars="200"/>
      </w:pPr>
      <w:r>
        <w:rPr>
          <w:rFonts w:hint="eastAsia" w:ascii="仿宋" w:hAnsi="仿宋" w:eastAsia="仿宋" w:cs="仿宋"/>
        </w:rPr>
        <w:t>11.2.0中小企业声明函。</w:t>
      </w:r>
    </w:p>
    <w:p>
      <w:pPr>
        <w:snapToGrid w:val="0"/>
        <w:spacing w:line="450" w:lineRule="exact"/>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kern w:val="0"/>
          <w:sz w:val="24"/>
          <w:lang w:val="zh-CN"/>
        </w:rPr>
        <w:t xml:space="preserve"> </w:t>
      </w:r>
      <w:r>
        <w:rPr>
          <w:rFonts w:hint="eastAsia" w:ascii="仿宋" w:hAnsi="仿宋" w:eastAsia="仿宋" w:cs="仿宋"/>
          <w:sz w:val="24"/>
        </w:rPr>
        <w:t>投标人的</w:t>
      </w:r>
      <w:r>
        <w:rPr>
          <w:rFonts w:hint="eastAsia" w:ascii="仿宋" w:hAnsi="仿宋" w:eastAsia="仿宋" w:cs="仿宋"/>
          <w:b/>
          <w:sz w:val="24"/>
        </w:rPr>
        <w:t>报价文件</w:t>
      </w:r>
      <w:r>
        <w:rPr>
          <w:rFonts w:hint="eastAsia" w:ascii="仿宋" w:hAnsi="仿宋" w:eastAsia="仿宋" w:cs="仿宋"/>
          <w:sz w:val="24"/>
        </w:rPr>
        <w:t>应包括以下内容（均需使用电子签名）：</w:t>
      </w:r>
    </w:p>
    <w:p>
      <w:pPr>
        <w:snapToGrid w:val="0"/>
        <w:spacing w:line="450" w:lineRule="exact"/>
        <w:ind w:firstLine="480" w:firstLineChars="200"/>
        <w:rPr>
          <w:rFonts w:ascii="仿宋" w:hAnsi="仿宋" w:eastAsia="仿宋" w:cs="仿宋"/>
          <w:sz w:val="24"/>
        </w:rPr>
      </w:pPr>
      <w:r>
        <w:rPr>
          <w:rFonts w:hint="eastAsia" w:ascii="仿宋" w:hAnsi="仿宋" w:eastAsia="仿宋" w:cs="仿宋"/>
          <w:sz w:val="24"/>
        </w:rPr>
        <w:t>11.3.1</w:t>
      </w:r>
      <w:r>
        <w:rPr>
          <w:rFonts w:hint="eastAsia" w:ascii="仿宋" w:hAnsi="仿宋" w:eastAsia="仿宋" w:cs="仿宋"/>
          <w:kern w:val="0"/>
          <w:sz w:val="24"/>
        </w:rPr>
        <w:t>投标响应函</w:t>
      </w:r>
      <w:r>
        <w:rPr>
          <w:rFonts w:hint="eastAsia" w:ascii="仿宋" w:hAnsi="仿宋" w:eastAsia="仿宋" w:cs="仿宋"/>
          <w:sz w:val="24"/>
        </w:rPr>
        <w:t>；</w:t>
      </w:r>
    </w:p>
    <w:p>
      <w:pPr>
        <w:pStyle w:val="11"/>
        <w:snapToGrid w:val="0"/>
        <w:spacing w:before="120" w:after="120" w:line="450" w:lineRule="exact"/>
        <w:ind w:firstLine="420" w:firstLineChars="200"/>
        <w:rPr>
          <w:rFonts w:ascii="仿宋" w:hAnsi="仿宋" w:eastAsia="仿宋" w:cs="仿宋"/>
        </w:rPr>
      </w:pPr>
      <w:r>
        <w:rPr>
          <w:rFonts w:hint="eastAsia" w:ascii="仿宋" w:hAnsi="仿宋" w:eastAsia="仿宋" w:cs="仿宋"/>
        </w:rPr>
        <w:t>11.3.2投标(开标)一览表；</w:t>
      </w:r>
    </w:p>
    <w:p>
      <w:pPr>
        <w:pStyle w:val="11"/>
        <w:spacing w:before="120" w:after="120" w:line="450" w:lineRule="exact"/>
        <w:ind w:firstLine="420" w:firstLineChars="200"/>
        <w:rPr>
          <w:rFonts w:ascii="仿宋" w:hAnsi="仿宋" w:eastAsia="仿宋" w:cs="仿宋"/>
          <w:lang w:val="zh-CN"/>
        </w:rPr>
      </w:pPr>
      <w:r>
        <w:rPr>
          <w:rFonts w:hint="eastAsia" w:ascii="仿宋" w:hAnsi="仿宋" w:eastAsia="仿宋" w:cs="仿宋"/>
          <w:kern w:val="0"/>
          <w:lang w:val="zh-CN"/>
        </w:rPr>
        <w:t>11.</w:t>
      </w:r>
      <w:r>
        <w:rPr>
          <w:rFonts w:hint="eastAsia" w:ascii="仿宋" w:hAnsi="仿宋" w:eastAsia="仿宋" w:cs="仿宋"/>
          <w:kern w:val="0"/>
        </w:rPr>
        <w:t>4</w:t>
      </w:r>
      <w:r>
        <w:rPr>
          <w:rFonts w:hint="eastAsia" w:ascii="仿宋" w:hAnsi="仿宋" w:eastAsia="仿宋" w:cs="仿宋"/>
          <w:kern w:val="0"/>
          <w:lang w:val="zh-CN"/>
        </w:rPr>
        <w:t xml:space="preserve">  投标人的</w:t>
      </w:r>
      <w:r>
        <w:rPr>
          <w:rFonts w:hint="eastAsia" w:ascii="仿宋" w:hAnsi="仿宋" w:eastAsia="仿宋" w:cs="仿宋"/>
          <w:b/>
        </w:rPr>
        <w:t>商务技术</w:t>
      </w:r>
      <w:r>
        <w:rPr>
          <w:rFonts w:hint="eastAsia" w:ascii="仿宋" w:hAnsi="仿宋" w:eastAsia="仿宋" w:cs="仿宋"/>
          <w:b/>
          <w:kern w:val="0"/>
          <w:lang w:val="zh-CN"/>
        </w:rPr>
        <w:t>文件应</w:t>
      </w:r>
      <w:r>
        <w:rPr>
          <w:rFonts w:hint="eastAsia" w:ascii="仿宋" w:hAnsi="仿宋" w:eastAsia="仿宋" w:cs="仿宋"/>
          <w:kern w:val="0"/>
          <w:lang w:val="zh-CN"/>
        </w:rPr>
        <w:t>包括以下内容</w:t>
      </w:r>
      <w:r>
        <w:rPr>
          <w:rFonts w:hint="eastAsia" w:ascii="仿宋" w:hAnsi="仿宋" w:eastAsia="仿宋" w:cs="仿宋"/>
        </w:rPr>
        <w:t>（均需使用电子签名）</w:t>
      </w:r>
      <w:r>
        <w:rPr>
          <w:rFonts w:hint="eastAsia" w:ascii="仿宋" w:hAnsi="仿宋" w:eastAsia="仿宋" w:cs="仿宋"/>
          <w:kern w:val="0"/>
          <w:lang w:val="zh-CN"/>
        </w:rPr>
        <w:t>：</w:t>
      </w:r>
      <w:r>
        <w:rPr>
          <w:rFonts w:hint="eastAsia" w:ascii="仿宋" w:hAnsi="仿宋" w:eastAsia="仿宋" w:cs="仿宋"/>
          <w:lang w:val="zh-CN"/>
        </w:rPr>
        <w:t xml:space="preserve"> </w:t>
      </w:r>
    </w:p>
    <w:p>
      <w:pPr>
        <w:snapToGrid w:val="0"/>
        <w:spacing w:line="450" w:lineRule="exact"/>
        <w:ind w:firstLine="480" w:firstLineChars="200"/>
        <w:rPr>
          <w:rFonts w:ascii="仿宋" w:hAnsi="仿宋" w:eastAsia="仿宋" w:cs="仿宋"/>
          <w:sz w:val="24"/>
        </w:rPr>
      </w:pPr>
      <w:r>
        <w:rPr>
          <w:rFonts w:hint="eastAsia" w:ascii="仿宋" w:hAnsi="仿宋" w:eastAsia="仿宋" w:cs="仿宋"/>
          <w:sz w:val="24"/>
          <w:lang w:val="zh-CN"/>
        </w:rPr>
        <w:t>11.</w:t>
      </w:r>
      <w:r>
        <w:rPr>
          <w:rFonts w:hint="eastAsia" w:ascii="仿宋" w:hAnsi="仿宋" w:eastAsia="仿宋" w:cs="仿宋"/>
          <w:sz w:val="24"/>
        </w:rPr>
        <w:t>4</w:t>
      </w:r>
      <w:r>
        <w:rPr>
          <w:rFonts w:hint="eastAsia" w:ascii="仿宋" w:hAnsi="仿宋" w:eastAsia="仿宋" w:cs="仿宋"/>
          <w:sz w:val="24"/>
          <w:lang w:val="zh-CN"/>
        </w:rPr>
        <w:t>.1</w:t>
      </w:r>
      <w:r>
        <w:rPr>
          <w:rFonts w:hint="eastAsia" w:ascii="仿宋" w:hAnsi="仿宋" w:eastAsia="仿宋" w:cs="仿宋"/>
          <w:sz w:val="24"/>
        </w:rPr>
        <w:t>营业执照(或事业法人登记证或其他工商等登记证明材料)复印件（投标人为自然人的，须提供</w:t>
      </w:r>
      <w:r>
        <w:rPr>
          <w:rFonts w:hint="eastAsia" w:ascii="仿宋" w:hAnsi="仿宋" w:eastAsia="仿宋" w:cs="仿宋"/>
          <w:kern w:val="0"/>
          <w:sz w:val="24"/>
        </w:rPr>
        <w:t>自然人的身份证明</w:t>
      </w:r>
      <w:r>
        <w:rPr>
          <w:rFonts w:hint="eastAsia" w:ascii="仿宋" w:hAnsi="仿宋" w:eastAsia="仿宋" w:cs="仿宋"/>
          <w:sz w:val="24"/>
        </w:rPr>
        <w:t>）；</w:t>
      </w:r>
    </w:p>
    <w:p>
      <w:pPr>
        <w:spacing w:line="450" w:lineRule="exact"/>
        <w:ind w:firstLine="480" w:firstLineChars="200"/>
        <w:rPr>
          <w:rFonts w:ascii="仿宋" w:hAnsi="仿宋" w:eastAsia="仿宋" w:cs="仿宋"/>
          <w:sz w:val="24"/>
        </w:rPr>
      </w:pPr>
      <w:r>
        <w:rPr>
          <w:rFonts w:hint="eastAsia" w:ascii="仿宋" w:hAnsi="仿宋" w:eastAsia="仿宋" w:cs="仿宋"/>
          <w:sz w:val="24"/>
          <w:lang w:val="zh-CN"/>
        </w:rPr>
        <w:t>11.</w:t>
      </w:r>
      <w:r>
        <w:rPr>
          <w:rFonts w:hint="eastAsia" w:ascii="仿宋" w:hAnsi="仿宋" w:eastAsia="仿宋" w:cs="仿宋"/>
          <w:sz w:val="24"/>
        </w:rPr>
        <w:t>4</w:t>
      </w:r>
      <w:r>
        <w:rPr>
          <w:rFonts w:hint="eastAsia" w:ascii="仿宋" w:hAnsi="仿宋" w:eastAsia="仿宋" w:cs="仿宋"/>
          <w:sz w:val="24"/>
          <w:lang w:val="zh-CN"/>
        </w:rPr>
        <w:t>.2</w:t>
      </w:r>
      <w:r>
        <w:rPr>
          <w:rFonts w:hint="eastAsia" w:ascii="仿宋" w:hAnsi="仿宋" w:eastAsia="仿宋" w:cs="仿宋"/>
          <w:sz w:val="24"/>
        </w:rPr>
        <w:t>如以联合体形式参加政府采购活动的，联合体各方应当指定牵头人，授权其代表所有联合体成员负责投标和合同实施阶段的主办、协调工作，并应当向采购机构提交由所有联合体成员各方法定代表人签署的授权书，同时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w:t>
      </w:r>
      <w:r>
        <w:rPr>
          <w:rFonts w:hint="eastAsia" w:ascii="仿宋" w:hAnsi="仿宋" w:eastAsia="仿宋" w:cs="仿宋"/>
          <w:b/>
          <w:sz w:val="24"/>
        </w:rPr>
        <w:t>▲如以联合体形式参加政府采购活动的，联合体协议不符合招标文件规定的联合体协议要求的，投标无效。</w:t>
      </w:r>
      <w:r>
        <w:rPr>
          <w:rFonts w:hint="eastAsia" w:ascii="仿宋" w:hAnsi="仿宋" w:eastAsia="仿宋" w:cs="仿宋"/>
          <w:sz w:val="24"/>
        </w:rPr>
        <w:t>）</w:t>
      </w:r>
    </w:p>
    <w:p>
      <w:pPr>
        <w:snapToGrid w:val="0"/>
        <w:spacing w:line="450" w:lineRule="exact"/>
        <w:ind w:firstLine="480" w:firstLineChars="200"/>
        <w:rPr>
          <w:rFonts w:ascii="仿宋" w:hAnsi="仿宋" w:eastAsia="仿宋" w:cs="仿宋"/>
          <w:sz w:val="24"/>
        </w:rPr>
      </w:pPr>
      <w:r>
        <w:rPr>
          <w:rFonts w:hint="eastAsia" w:ascii="仿宋" w:hAnsi="仿宋" w:eastAsia="仿宋" w:cs="仿宋"/>
          <w:sz w:val="24"/>
          <w:lang w:val="zh-CN"/>
        </w:rPr>
        <w:t>11.</w:t>
      </w:r>
      <w:r>
        <w:rPr>
          <w:rFonts w:hint="eastAsia" w:ascii="仿宋" w:hAnsi="仿宋" w:eastAsia="仿宋" w:cs="仿宋"/>
          <w:sz w:val="24"/>
        </w:rPr>
        <w:t>4</w:t>
      </w:r>
      <w:r>
        <w:rPr>
          <w:rFonts w:hint="eastAsia" w:ascii="仿宋" w:hAnsi="仿宋" w:eastAsia="仿宋" w:cs="仿宋"/>
          <w:sz w:val="24"/>
          <w:lang w:val="zh-CN"/>
        </w:rPr>
        <w:t>.</w:t>
      </w:r>
      <w:r>
        <w:rPr>
          <w:rFonts w:hint="eastAsia" w:ascii="仿宋" w:hAnsi="仿宋" w:eastAsia="仿宋" w:cs="仿宋"/>
          <w:sz w:val="24"/>
        </w:rPr>
        <w:t>3资信文件：</w:t>
      </w:r>
      <w:r>
        <w:rPr>
          <w:rFonts w:hint="eastAsia" w:ascii="仿宋" w:hAnsi="仿宋" w:eastAsia="仿宋" w:cs="仿宋"/>
          <w:kern w:val="0"/>
          <w:sz w:val="24"/>
        </w:rPr>
        <w:t>见投标须知前附表所述；</w:t>
      </w:r>
    </w:p>
    <w:p>
      <w:pPr>
        <w:pStyle w:val="52"/>
        <w:snapToGrid w:val="0"/>
        <w:spacing w:before="0" w:line="450" w:lineRule="exact"/>
        <w:ind w:left="0" w:firstLine="480" w:firstLineChars="200"/>
        <w:rPr>
          <w:rFonts w:ascii="仿宋" w:hAnsi="仿宋" w:eastAsia="仿宋" w:cs="仿宋"/>
          <w:kern w:val="0"/>
          <w:szCs w:val="24"/>
          <w:lang w:val="zh-CN"/>
        </w:rPr>
      </w:pPr>
      <w:r>
        <w:rPr>
          <w:rFonts w:hint="eastAsia" w:ascii="仿宋" w:hAnsi="仿宋" w:eastAsia="仿宋" w:cs="仿宋"/>
          <w:szCs w:val="24"/>
          <w:lang w:val="zh-CN"/>
        </w:rPr>
        <w:t>11.</w:t>
      </w:r>
      <w:r>
        <w:rPr>
          <w:rFonts w:hint="eastAsia" w:ascii="仿宋" w:hAnsi="仿宋" w:eastAsia="仿宋" w:cs="仿宋"/>
          <w:szCs w:val="24"/>
        </w:rPr>
        <w:t>4</w:t>
      </w:r>
      <w:r>
        <w:rPr>
          <w:rFonts w:hint="eastAsia" w:ascii="仿宋" w:hAnsi="仿宋" w:eastAsia="仿宋" w:cs="仿宋"/>
          <w:szCs w:val="24"/>
          <w:lang w:val="zh-CN"/>
        </w:rPr>
        <w:t>.</w:t>
      </w:r>
      <w:r>
        <w:rPr>
          <w:rFonts w:hint="eastAsia" w:ascii="仿宋" w:hAnsi="仿宋" w:eastAsia="仿宋" w:cs="仿宋"/>
          <w:szCs w:val="24"/>
        </w:rPr>
        <w:t>4</w:t>
      </w:r>
      <w:r>
        <w:rPr>
          <w:rFonts w:hint="eastAsia" w:ascii="仿宋" w:hAnsi="仿宋" w:eastAsia="仿宋" w:cs="仿宋"/>
          <w:kern w:val="0"/>
          <w:szCs w:val="24"/>
        </w:rPr>
        <w:t>投标截止时间前三年投标人的主要业绩证明材料即</w:t>
      </w:r>
      <w:r>
        <w:rPr>
          <w:rFonts w:hint="eastAsia" w:ascii="仿宋" w:hAnsi="仿宋" w:eastAsia="仿宋" w:cs="仿宋"/>
          <w:szCs w:val="24"/>
          <w:lang w:val="zh-CN"/>
        </w:rPr>
        <w:t>合同</w:t>
      </w:r>
      <w:r>
        <w:rPr>
          <w:rFonts w:hint="eastAsia" w:ascii="仿宋" w:hAnsi="仿宋" w:eastAsia="仿宋" w:cs="仿宋"/>
          <w:szCs w:val="24"/>
        </w:rPr>
        <w:t>和用户验收报告（联合体投标的，联合体各方</w:t>
      </w:r>
      <w:r>
        <w:rPr>
          <w:rFonts w:hint="eastAsia" w:ascii="仿宋" w:hAnsi="仿宋" w:eastAsia="仿宋" w:cs="仿宋"/>
          <w:kern w:val="0"/>
          <w:szCs w:val="24"/>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Pr>
          <w:rFonts w:hint="eastAsia" w:ascii="仿宋" w:hAnsi="仿宋" w:eastAsia="仿宋" w:cs="仿宋"/>
          <w:szCs w:val="24"/>
        </w:rPr>
        <w:t>)</w:t>
      </w:r>
      <w:r>
        <w:rPr>
          <w:rFonts w:hint="eastAsia" w:ascii="仿宋" w:hAnsi="仿宋" w:eastAsia="仿宋" w:cs="仿宋"/>
          <w:kern w:val="0"/>
          <w:szCs w:val="24"/>
        </w:rPr>
        <w:t>；</w:t>
      </w:r>
    </w:p>
    <w:p>
      <w:pPr>
        <w:snapToGrid w:val="0"/>
        <w:spacing w:line="450" w:lineRule="exact"/>
        <w:ind w:firstLine="540" w:firstLineChars="225"/>
        <w:rPr>
          <w:rFonts w:ascii="仿宋" w:hAnsi="仿宋" w:eastAsia="仿宋" w:cs="仿宋"/>
          <w:sz w:val="24"/>
        </w:rPr>
      </w:pPr>
      <w:r>
        <w:rPr>
          <w:rFonts w:hint="eastAsia" w:ascii="仿宋" w:hAnsi="仿宋" w:eastAsia="仿宋" w:cs="仿宋"/>
          <w:sz w:val="24"/>
          <w:lang w:val="zh-CN"/>
        </w:rPr>
        <w:t>11.</w:t>
      </w:r>
      <w:r>
        <w:rPr>
          <w:rFonts w:hint="eastAsia" w:ascii="仿宋" w:hAnsi="仿宋" w:eastAsia="仿宋" w:cs="仿宋"/>
          <w:sz w:val="24"/>
        </w:rPr>
        <w:t>4</w:t>
      </w:r>
      <w:r>
        <w:rPr>
          <w:rFonts w:hint="eastAsia" w:ascii="仿宋" w:hAnsi="仿宋" w:eastAsia="仿宋" w:cs="仿宋"/>
          <w:sz w:val="24"/>
          <w:lang w:val="zh-CN"/>
        </w:rPr>
        <w:t>.</w:t>
      </w:r>
      <w:r>
        <w:rPr>
          <w:rFonts w:hint="eastAsia" w:ascii="仿宋" w:hAnsi="仿宋" w:eastAsia="仿宋" w:cs="仿宋"/>
          <w:sz w:val="24"/>
        </w:rPr>
        <w:t>5</w:t>
      </w:r>
      <w:r>
        <w:rPr>
          <w:rFonts w:hint="eastAsia" w:ascii="仿宋" w:hAnsi="仿宋" w:eastAsia="仿宋" w:cs="仿宋"/>
          <w:kern w:val="0"/>
          <w:sz w:val="24"/>
          <w:lang w:val="zh-CN"/>
        </w:rPr>
        <w:t>投标人认为需要的其他商务文件或说明；</w:t>
      </w:r>
      <w:r>
        <w:rPr>
          <w:rFonts w:hint="eastAsia" w:ascii="仿宋" w:hAnsi="仿宋" w:eastAsia="仿宋" w:cs="仿宋"/>
          <w:sz w:val="24"/>
        </w:rPr>
        <w:t xml:space="preserve"> </w:t>
      </w:r>
    </w:p>
    <w:p>
      <w:pPr>
        <w:pStyle w:val="11"/>
        <w:snapToGrid w:val="0"/>
        <w:spacing w:before="120" w:after="120" w:line="450" w:lineRule="exact"/>
        <w:ind w:firstLine="420" w:firstLineChars="200"/>
        <w:rPr>
          <w:rFonts w:ascii="仿宋" w:hAnsi="仿宋" w:eastAsia="仿宋" w:cs="仿宋"/>
        </w:rPr>
      </w:pPr>
      <w:r>
        <w:rPr>
          <w:rFonts w:hint="eastAsia" w:ascii="仿宋" w:hAnsi="仿宋" w:eastAsia="仿宋" w:cs="仿宋"/>
          <w:lang w:val="zh-CN"/>
        </w:rPr>
        <w:t>11.</w:t>
      </w:r>
      <w:r>
        <w:rPr>
          <w:rFonts w:hint="eastAsia" w:ascii="仿宋" w:hAnsi="仿宋" w:eastAsia="仿宋" w:cs="仿宋"/>
        </w:rPr>
        <w:t>4</w:t>
      </w:r>
      <w:r>
        <w:rPr>
          <w:rFonts w:hint="eastAsia" w:ascii="仿宋" w:hAnsi="仿宋" w:eastAsia="仿宋" w:cs="仿宋"/>
          <w:lang w:val="zh-CN"/>
        </w:rPr>
        <w:t>.</w:t>
      </w:r>
      <w:r>
        <w:rPr>
          <w:rFonts w:hint="eastAsia" w:ascii="仿宋" w:hAnsi="仿宋" w:eastAsia="仿宋" w:cs="仿宋"/>
        </w:rPr>
        <w:t>6</w:t>
      </w:r>
      <w:r>
        <w:rPr>
          <w:rFonts w:hint="eastAsia" w:ascii="仿宋_GB2312" w:hAnsi="仿宋" w:eastAsia="仿宋_GB2312" w:cs="仿宋_GB2312"/>
          <w:lang w:val="zh-CN"/>
        </w:rPr>
        <w:t>投标人应提供针对项目的完整技术解决方案；</w:t>
      </w:r>
    </w:p>
    <w:p>
      <w:pPr>
        <w:pStyle w:val="11"/>
        <w:snapToGrid w:val="0"/>
        <w:spacing w:before="120" w:after="120" w:line="450" w:lineRule="exact"/>
        <w:ind w:firstLine="420" w:firstLineChars="200"/>
        <w:rPr>
          <w:rFonts w:ascii="仿宋" w:hAnsi="仿宋" w:eastAsia="仿宋" w:cs="仿宋_GB2312"/>
          <w:b/>
          <w:color w:val="000000"/>
          <w:kern w:val="0"/>
          <w:lang w:val="zh-CN"/>
        </w:rPr>
      </w:pPr>
      <w:r>
        <w:rPr>
          <w:rFonts w:hint="eastAsia" w:ascii="仿宋_GB2312" w:hAnsi="仿宋" w:eastAsia="仿宋_GB2312" w:cs="仿宋_GB2312"/>
          <w:lang w:val="zh-CN"/>
        </w:rPr>
        <w:t>针对本项目的完整技术解决方案和实施方案；详细阐述项目方案的实现思路及关键技术；符合本项目对当前和未来发展的要求；以及对功能设计和实施计划的建议；</w:t>
      </w:r>
    </w:p>
    <w:p>
      <w:pPr>
        <w:pStyle w:val="11"/>
        <w:snapToGrid w:val="0"/>
        <w:spacing w:before="120" w:after="120" w:line="360" w:lineRule="auto"/>
        <w:ind w:firstLine="422" w:firstLineChars="200"/>
        <w:rPr>
          <w:rFonts w:ascii="仿宋_GB2312" w:hAnsi="仿宋" w:eastAsia="仿宋_GB2312" w:cs="仿宋_GB2312"/>
        </w:rPr>
      </w:pPr>
      <w:r>
        <w:rPr>
          <w:rFonts w:hint="eastAsia" w:ascii="仿宋_GB2312" w:hAnsi="仿宋" w:eastAsia="仿宋_GB2312" w:cs="仿宋_GB2312"/>
          <w:b/>
        </w:rPr>
        <w:t>如果本项目涉及硬件设备采购，还需提供投标产品规格配置清单（设备名称、品牌及型号、规格配置详细说明、数量等）。所有技术指标表述均应采用中文，如当前公布的技术指标只有英文表述的，必须由投标人作出中文注释（评审时以中文注释为准）。否则</w:t>
      </w:r>
      <w:r>
        <w:rPr>
          <w:rFonts w:hint="eastAsia" w:ascii="仿宋_GB2312" w:hAnsi="仿宋" w:eastAsia="仿宋_GB2312" w:cs="仿宋_GB2312"/>
          <w:b/>
          <w:kern w:val="0"/>
          <w:lang w:val="zh-CN"/>
        </w:rPr>
        <w:t>任何含糊不清的</w:t>
      </w:r>
      <w:r>
        <w:rPr>
          <w:rFonts w:hint="eastAsia" w:ascii="仿宋_GB2312" w:hAnsi="仿宋" w:eastAsia="仿宋_GB2312" w:cs="仿宋_GB2312"/>
          <w:b/>
        </w:rPr>
        <w:t>表述导致</w:t>
      </w:r>
      <w:r>
        <w:rPr>
          <w:rFonts w:hint="eastAsia" w:ascii="仿宋_GB2312" w:hAnsi="仿宋" w:eastAsia="仿宋_GB2312" w:cs="仿宋_GB2312"/>
          <w:b/>
          <w:kern w:val="0"/>
          <w:lang w:val="zh-CN"/>
        </w:rPr>
        <w:t>评标委员会技术扣分直至认定为投标无效都将是投标人的责任</w:t>
      </w:r>
      <w:r>
        <w:rPr>
          <w:rFonts w:hint="eastAsia" w:ascii="仿宋_GB2312" w:hAnsi="仿宋" w:eastAsia="仿宋_GB2312" w:cs="仿宋_GB2312"/>
        </w:rPr>
        <w:t>。</w:t>
      </w:r>
    </w:p>
    <w:p>
      <w:pPr>
        <w:pStyle w:val="11"/>
        <w:snapToGrid w:val="0"/>
        <w:spacing w:before="120" w:after="120" w:line="360" w:lineRule="auto"/>
        <w:ind w:firstLine="420" w:firstLineChars="200"/>
        <w:rPr>
          <w:rFonts w:ascii="仿宋_GB2312" w:hAnsi="仿宋" w:eastAsia="仿宋_GB2312" w:cs="仿宋_GB2312"/>
        </w:rPr>
      </w:pPr>
      <w:r>
        <w:rPr>
          <w:rFonts w:hint="eastAsia" w:ascii="仿宋_GB2312" w:hAnsi="仿宋" w:eastAsia="仿宋_GB2312" w:cs="仿宋_GB2312"/>
        </w:rPr>
        <w:t>本项目如需采购政府强制采购的节能产品的或</w:t>
      </w:r>
      <w:r>
        <w:rPr>
          <w:rFonts w:hint="eastAsia" w:ascii="仿宋_GB2312" w:hAnsi="仿宋" w:eastAsia="仿宋_GB2312"/>
        </w:rPr>
        <w:t>投标人提供的产品是环境标志产品，</w:t>
      </w:r>
      <w:r>
        <w:rPr>
          <w:rFonts w:hint="eastAsia" w:ascii="仿宋_GB2312" w:hAnsi="仿宋" w:eastAsia="仿宋_GB2312" w:cs="仿宋_GB2312"/>
        </w:rPr>
        <w:t>投标人按格式提供节能产品、环境标志产品认证证书复印件；</w:t>
      </w:r>
    </w:p>
    <w:p>
      <w:pPr>
        <w:pStyle w:val="11"/>
        <w:snapToGrid w:val="0"/>
        <w:spacing w:before="120" w:after="120" w:line="450" w:lineRule="exact"/>
        <w:ind w:firstLine="420" w:firstLineChars="200"/>
        <w:rPr>
          <w:rFonts w:ascii="仿宋" w:hAnsi="仿宋" w:eastAsia="仿宋" w:cs="仿宋_GB2312"/>
          <w:color w:val="000000"/>
          <w:kern w:val="0"/>
          <w:lang w:val="zh-CN"/>
        </w:rPr>
      </w:pPr>
      <w:r>
        <w:rPr>
          <w:rFonts w:hint="eastAsia" w:ascii="仿宋" w:hAnsi="仿宋" w:eastAsia="仿宋" w:cs="仿宋_GB2312"/>
          <w:color w:val="000000"/>
          <w:lang w:val="zh-CN"/>
        </w:rPr>
        <w:t>11.</w:t>
      </w:r>
      <w:r>
        <w:rPr>
          <w:rFonts w:hint="eastAsia" w:ascii="仿宋" w:hAnsi="仿宋" w:eastAsia="仿宋" w:cs="仿宋_GB2312"/>
          <w:color w:val="000000"/>
        </w:rPr>
        <w:t>4</w:t>
      </w:r>
      <w:r>
        <w:rPr>
          <w:rFonts w:hint="eastAsia" w:ascii="仿宋" w:hAnsi="仿宋" w:eastAsia="仿宋" w:cs="仿宋_GB2312"/>
          <w:color w:val="000000"/>
          <w:lang w:val="zh-CN"/>
        </w:rPr>
        <w:t>.7</w:t>
      </w:r>
      <w:r>
        <w:rPr>
          <w:rFonts w:hint="eastAsia" w:ascii="仿宋_GB2312" w:hAnsi="仿宋" w:eastAsia="仿宋_GB2312" w:cs="仿宋_GB2312"/>
        </w:rPr>
        <w:t>投标人在投标文件技术偏离说明表中，</w:t>
      </w:r>
      <w:r>
        <w:rPr>
          <w:rFonts w:hint="eastAsia" w:ascii="仿宋_GB2312" w:hAnsi="仿宋" w:eastAsia="仿宋_GB2312" w:cs="仿宋_GB2312"/>
          <w:kern w:val="0"/>
          <w:lang w:val="zh-CN"/>
        </w:rPr>
        <w:t>应对</w:t>
      </w:r>
      <w:r>
        <w:rPr>
          <w:rFonts w:hint="eastAsia" w:ascii="仿宋_GB2312" w:hAnsi="仿宋" w:eastAsia="仿宋_GB2312" w:cs="仿宋_GB2312"/>
        </w:rPr>
        <w:t>采购需求</w:t>
      </w:r>
      <w:r>
        <w:rPr>
          <w:rFonts w:hint="eastAsia" w:ascii="仿宋_GB2312" w:hAnsi="仿宋" w:eastAsia="仿宋_GB2312" w:cs="仿宋_GB2312"/>
          <w:kern w:val="0"/>
          <w:lang w:val="zh-CN"/>
        </w:rPr>
        <w:t>中所提出各项要求进行答复、说明和解释。如果投标人在技术偏离表中注明无偏离，评标结束后、签订采购合同前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pPr>
        <w:snapToGrid w:val="0"/>
        <w:spacing w:line="450" w:lineRule="exact"/>
        <w:ind w:firstLine="600" w:firstLineChars="250"/>
        <w:rPr>
          <w:rFonts w:ascii="仿宋" w:hAnsi="仿宋" w:eastAsia="仿宋" w:cs="仿宋_GB2312"/>
          <w:b/>
          <w:color w:val="000000"/>
          <w:kern w:val="0"/>
          <w:sz w:val="24"/>
          <w:lang w:val="zh-CN"/>
        </w:rPr>
      </w:pPr>
      <w:r>
        <w:rPr>
          <w:rFonts w:hint="eastAsia" w:ascii="仿宋" w:hAnsi="仿宋" w:eastAsia="仿宋" w:cs="仿宋_GB2312"/>
          <w:color w:val="000000"/>
          <w:sz w:val="24"/>
          <w:lang w:val="zh-CN"/>
        </w:rPr>
        <w:t>11.</w:t>
      </w:r>
      <w:r>
        <w:rPr>
          <w:rFonts w:hint="eastAsia" w:ascii="仿宋" w:hAnsi="仿宋" w:eastAsia="仿宋" w:cs="仿宋_GB2312"/>
          <w:color w:val="000000"/>
          <w:sz w:val="24"/>
        </w:rPr>
        <w:t>4</w:t>
      </w:r>
      <w:r>
        <w:rPr>
          <w:rFonts w:hint="eastAsia" w:ascii="仿宋" w:hAnsi="仿宋" w:eastAsia="仿宋" w:cs="仿宋_GB2312"/>
          <w:color w:val="000000"/>
          <w:sz w:val="24"/>
          <w:lang w:val="zh-CN"/>
        </w:rPr>
        <w:t>.8</w:t>
      </w:r>
      <w:r>
        <w:rPr>
          <w:rFonts w:hint="eastAsia" w:ascii="仿宋_GB2312" w:hAnsi="仿宋" w:eastAsia="仿宋_GB2312" w:cs="仿宋_GB2312"/>
          <w:kern w:val="0"/>
          <w:sz w:val="24"/>
          <w:lang w:val="zh-CN"/>
        </w:rPr>
        <w:t>针对本项目建设的详细实施计划。本项目详细工作实施组织方案，包括(但不限于)以下内容：组织机构、工作时间进度表、工作程序和步骤、管理和协调方法、关键步骤的思路和要点；</w:t>
      </w:r>
    </w:p>
    <w:p>
      <w:pPr>
        <w:snapToGrid w:val="0"/>
        <w:spacing w:line="450" w:lineRule="exact"/>
        <w:ind w:firstLine="360" w:firstLineChars="150"/>
        <w:rPr>
          <w:rFonts w:ascii="仿宋" w:hAnsi="仿宋" w:eastAsia="仿宋" w:cs="仿宋_GB2312"/>
          <w:color w:val="000000"/>
          <w:kern w:val="0"/>
          <w:sz w:val="24"/>
          <w:lang w:val="zh-CN"/>
        </w:rPr>
      </w:pPr>
      <w:r>
        <w:rPr>
          <w:rFonts w:hint="eastAsia" w:ascii="仿宋" w:hAnsi="仿宋" w:eastAsia="仿宋" w:cs="仿宋_GB2312"/>
          <w:color w:val="000000"/>
          <w:sz w:val="24"/>
          <w:lang w:val="zh-CN"/>
        </w:rPr>
        <w:t xml:space="preserve">  11.</w:t>
      </w:r>
      <w:r>
        <w:rPr>
          <w:rFonts w:hint="eastAsia" w:ascii="仿宋" w:hAnsi="仿宋" w:eastAsia="仿宋" w:cs="仿宋_GB2312"/>
          <w:color w:val="000000"/>
          <w:sz w:val="24"/>
        </w:rPr>
        <w:t>4</w:t>
      </w:r>
      <w:r>
        <w:rPr>
          <w:rFonts w:hint="eastAsia" w:ascii="仿宋" w:hAnsi="仿宋" w:eastAsia="仿宋" w:cs="仿宋_GB2312"/>
          <w:color w:val="000000"/>
          <w:sz w:val="24"/>
          <w:lang w:val="zh-CN"/>
        </w:rPr>
        <w:t>.9</w:t>
      </w:r>
      <w:r>
        <w:rPr>
          <w:rFonts w:hint="eastAsia" w:ascii="仿宋_GB2312" w:hAnsi="仿宋" w:eastAsia="仿宋_GB2312" w:cs="仿宋_GB2312"/>
          <w:kern w:val="0"/>
          <w:sz w:val="24"/>
          <w:lang w:val="zh-CN"/>
        </w:rPr>
        <w:t>针对本项目的售后服务方案。项目验收之前、验收之后的维护方案；针对本项目的维护方案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pPr>
        <w:snapToGrid w:val="0"/>
        <w:spacing w:line="450" w:lineRule="exact"/>
        <w:ind w:firstLine="360" w:firstLineChars="150"/>
        <w:rPr>
          <w:rFonts w:ascii="仿宋" w:hAnsi="仿宋" w:eastAsia="仿宋" w:cs="仿宋_GB2312"/>
          <w:color w:val="000000"/>
          <w:kern w:val="0"/>
          <w:sz w:val="24"/>
          <w:lang w:val="zh-CN"/>
        </w:rPr>
      </w:pPr>
      <w:r>
        <w:rPr>
          <w:rFonts w:hint="eastAsia" w:ascii="仿宋" w:hAnsi="仿宋" w:eastAsia="仿宋" w:cs="仿宋_GB2312"/>
          <w:color w:val="000000"/>
          <w:sz w:val="24"/>
          <w:lang w:val="zh-CN"/>
        </w:rPr>
        <w:t xml:space="preserve">  11.</w:t>
      </w:r>
      <w:r>
        <w:rPr>
          <w:rFonts w:hint="eastAsia" w:ascii="仿宋" w:hAnsi="仿宋" w:eastAsia="仿宋" w:cs="仿宋_GB2312"/>
          <w:color w:val="000000"/>
          <w:sz w:val="24"/>
        </w:rPr>
        <w:t>4</w:t>
      </w:r>
      <w:r>
        <w:rPr>
          <w:rFonts w:hint="eastAsia" w:ascii="仿宋" w:hAnsi="仿宋" w:eastAsia="仿宋" w:cs="仿宋_GB2312"/>
          <w:color w:val="000000"/>
          <w:sz w:val="24"/>
          <w:lang w:val="zh-CN"/>
        </w:rPr>
        <w:t>.10</w:t>
      </w:r>
      <w:r>
        <w:rPr>
          <w:rFonts w:hint="eastAsia" w:ascii="仿宋_GB2312" w:hAnsi="仿宋" w:eastAsia="仿宋_GB2312" w:cs="仿宋_GB2312"/>
          <w:kern w:val="0"/>
          <w:sz w:val="24"/>
          <w:lang w:val="zh-CN"/>
        </w:rPr>
        <w:t>投标人为完成本项目组建的工作小组名单，每个专业人员的情况和人员数应该明确表示，明确各阶段投入人数，在提交的投标文件中安排的人员，须为公司的固定职员；每个参加项目人员的履历表主要内容包括学历、技术职称、工作特长、经验与业绩(包括从事相关项目的经验，对每一个项目有一个简要的描述，该人员参与的时间以及在项目中的责任)，资质情况等</w:t>
      </w:r>
      <w:r>
        <w:rPr>
          <w:rFonts w:hint="eastAsia" w:ascii="仿宋" w:hAnsi="仿宋" w:eastAsia="仿宋" w:cs="仿宋_GB2312"/>
          <w:color w:val="000000"/>
          <w:kern w:val="0"/>
          <w:sz w:val="24"/>
          <w:lang w:val="zh-CN"/>
        </w:rPr>
        <w:t>；</w:t>
      </w:r>
    </w:p>
    <w:p>
      <w:pPr>
        <w:tabs>
          <w:tab w:val="left" w:pos="0"/>
          <w:tab w:val="left" w:pos="840"/>
        </w:tabs>
        <w:autoSpaceDE w:val="0"/>
        <w:autoSpaceDN w:val="0"/>
        <w:spacing w:line="450" w:lineRule="exact"/>
        <w:ind w:firstLine="360" w:firstLineChars="150"/>
        <w:rPr>
          <w:rFonts w:ascii="仿宋" w:hAnsi="仿宋" w:eastAsia="仿宋" w:cs="仿宋_GB2312"/>
          <w:color w:val="000000"/>
          <w:kern w:val="0"/>
          <w:sz w:val="24"/>
          <w:lang w:val="zh-CN"/>
        </w:rPr>
      </w:pPr>
      <w:r>
        <w:rPr>
          <w:rFonts w:hint="eastAsia" w:ascii="仿宋" w:hAnsi="仿宋" w:eastAsia="仿宋" w:cs="仿宋_GB2312"/>
          <w:color w:val="000000"/>
          <w:sz w:val="24"/>
          <w:lang w:val="zh-CN"/>
        </w:rPr>
        <w:t xml:space="preserve">  11.</w:t>
      </w:r>
      <w:r>
        <w:rPr>
          <w:rFonts w:hint="eastAsia" w:ascii="仿宋" w:hAnsi="仿宋" w:eastAsia="仿宋" w:cs="仿宋_GB2312"/>
          <w:color w:val="000000"/>
          <w:sz w:val="24"/>
        </w:rPr>
        <w:t>4</w:t>
      </w:r>
      <w:r>
        <w:rPr>
          <w:rFonts w:hint="eastAsia" w:ascii="仿宋" w:hAnsi="仿宋" w:eastAsia="仿宋" w:cs="仿宋_GB2312"/>
          <w:color w:val="000000"/>
          <w:sz w:val="24"/>
          <w:lang w:val="zh-CN"/>
        </w:rPr>
        <w:t>.11</w:t>
      </w:r>
      <w:r>
        <w:rPr>
          <w:rFonts w:hint="eastAsia" w:ascii="仿宋_GB2312" w:hAnsi="仿宋" w:eastAsia="仿宋_GB2312" w:cs="仿宋_GB2312"/>
          <w:kern w:val="0"/>
          <w:sz w:val="24"/>
          <w:lang w:val="zh-CN"/>
        </w:rPr>
        <w:t>优惠条件及特殊承诺；</w:t>
      </w:r>
    </w:p>
    <w:p>
      <w:pPr>
        <w:tabs>
          <w:tab w:val="left" w:pos="0"/>
          <w:tab w:val="left" w:pos="840"/>
        </w:tabs>
        <w:autoSpaceDE w:val="0"/>
        <w:autoSpaceDN w:val="0"/>
        <w:spacing w:line="360" w:lineRule="auto"/>
        <w:ind w:firstLine="360" w:firstLineChars="150"/>
        <w:rPr>
          <w:rFonts w:ascii="仿宋" w:hAnsi="仿宋" w:eastAsia="仿宋" w:cs="仿宋_GB2312"/>
          <w:color w:val="000000"/>
          <w:kern w:val="0"/>
          <w:sz w:val="24"/>
          <w:lang w:val="zh-CN"/>
        </w:rPr>
      </w:pPr>
      <w:r>
        <w:rPr>
          <w:rFonts w:hint="eastAsia" w:ascii="仿宋" w:hAnsi="仿宋" w:eastAsia="仿宋" w:cs="仿宋_GB2312"/>
          <w:color w:val="000000"/>
          <w:sz w:val="24"/>
          <w:lang w:val="zh-CN"/>
        </w:rPr>
        <w:t xml:space="preserve">  11.</w:t>
      </w:r>
      <w:r>
        <w:rPr>
          <w:rFonts w:hint="eastAsia" w:ascii="仿宋" w:hAnsi="仿宋" w:eastAsia="仿宋" w:cs="仿宋_GB2312"/>
          <w:color w:val="000000"/>
          <w:sz w:val="24"/>
        </w:rPr>
        <w:t>4</w:t>
      </w:r>
      <w:r>
        <w:rPr>
          <w:rFonts w:hint="eastAsia" w:ascii="仿宋" w:hAnsi="仿宋" w:eastAsia="仿宋" w:cs="仿宋_GB2312"/>
          <w:color w:val="000000"/>
          <w:sz w:val="24"/>
          <w:lang w:val="zh-CN"/>
        </w:rPr>
        <w:t>.12</w:t>
      </w:r>
      <w:r>
        <w:rPr>
          <w:rFonts w:hint="eastAsia" w:ascii="仿宋_GB2312" w:hAnsi="仿宋" w:eastAsia="仿宋_GB2312" w:cs="仿宋_GB2312"/>
          <w:kern w:val="0"/>
          <w:sz w:val="24"/>
          <w:lang w:val="zh-CN"/>
        </w:rPr>
        <w:t>备品备件清单（含随机自带的备品备件和质保期后供采购人选择的备品备件及配套零部件，明细备品备件及价格，且供货价格不高于中标价格；中标货物设备应提供易损部件的备件和整机备品）；（如果有）</w:t>
      </w:r>
    </w:p>
    <w:p>
      <w:pPr>
        <w:snapToGrid w:val="0"/>
        <w:spacing w:line="360" w:lineRule="auto"/>
        <w:ind w:firstLine="360" w:firstLineChars="150"/>
        <w:rPr>
          <w:rFonts w:ascii="仿宋_GB2312" w:hAnsi="仿宋" w:eastAsia="仿宋_GB2312" w:cs="仿宋_GB2312"/>
          <w:kern w:val="0"/>
          <w:sz w:val="24"/>
          <w:lang w:val="zh-CN"/>
        </w:rPr>
      </w:pPr>
      <w:r>
        <w:rPr>
          <w:rFonts w:hint="eastAsia" w:ascii="仿宋" w:hAnsi="仿宋" w:eastAsia="仿宋" w:cs="仿宋_GB2312"/>
          <w:color w:val="000000"/>
          <w:sz w:val="24"/>
          <w:lang w:val="zh-CN"/>
        </w:rPr>
        <w:t xml:space="preserve"> </w:t>
      </w:r>
      <w:r>
        <w:rPr>
          <w:rFonts w:hint="eastAsia" w:ascii="仿宋_GB2312" w:hAnsi="仿宋" w:eastAsia="仿宋_GB2312" w:cs="仿宋_GB2312"/>
          <w:sz w:val="24"/>
          <w:lang w:val="zh-CN"/>
        </w:rPr>
        <w:t>11.</w:t>
      </w:r>
      <w:r>
        <w:rPr>
          <w:rFonts w:hint="eastAsia" w:ascii="仿宋_GB2312" w:hAnsi="仿宋" w:eastAsia="仿宋_GB2312" w:cs="仿宋_GB2312"/>
          <w:sz w:val="24"/>
        </w:rPr>
        <w:t>4</w:t>
      </w:r>
      <w:r>
        <w:rPr>
          <w:rFonts w:hint="eastAsia" w:ascii="仿宋_GB2312" w:hAnsi="仿宋" w:eastAsia="仿宋_GB2312" w:cs="仿宋_GB2312"/>
          <w:sz w:val="24"/>
          <w:lang w:val="zh-CN"/>
        </w:rPr>
        <w:t>.13</w:t>
      </w:r>
      <w:r>
        <w:rPr>
          <w:rFonts w:hint="eastAsia" w:ascii="仿宋_GB2312" w:hAnsi="仿宋" w:eastAsia="仿宋_GB2312" w:cs="仿宋_GB2312"/>
          <w:kern w:val="0"/>
          <w:sz w:val="24"/>
          <w:lang w:val="zh-CN"/>
        </w:rPr>
        <w:t>培训计划；（如果有）</w:t>
      </w:r>
    </w:p>
    <w:p>
      <w:pPr>
        <w:pStyle w:val="11"/>
        <w:spacing w:before="120" w:after="120" w:line="360" w:lineRule="auto"/>
        <w:ind w:firstLine="420" w:firstLineChars="200"/>
        <w:rPr>
          <w:rFonts w:ascii="仿宋_GB2312" w:hAnsi="仿宋" w:eastAsia="仿宋_GB2312" w:cs="仿宋_GB2312"/>
          <w:kern w:val="0"/>
          <w:lang w:val="zh-CN"/>
        </w:rPr>
      </w:pPr>
      <w:r>
        <w:rPr>
          <w:rFonts w:hint="eastAsia" w:ascii="仿宋_GB2312" w:hAnsi="仿宋" w:eastAsia="仿宋_GB2312" w:cs="仿宋_GB2312"/>
          <w:lang w:val="zh-CN"/>
        </w:rPr>
        <w:t>11.</w:t>
      </w:r>
      <w:r>
        <w:rPr>
          <w:rFonts w:hint="eastAsia" w:ascii="仿宋_GB2312" w:hAnsi="仿宋" w:eastAsia="仿宋_GB2312" w:cs="仿宋_GB2312"/>
        </w:rPr>
        <w:t>4</w:t>
      </w:r>
      <w:r>
        <w:rPr>
          <w:rFonts w:hint="eastAsia" w:ascii="仿宋_GB2312" w:hAnsi="仿宋" w:eastAsia="仿宋_GB2312" w:cs="仿宋_GB2312"/>
          <w:lang w:val="zh-CN"/>
        </w:rPr>
        <w:t>.14</w:t>
      </w:r>
      <w:r>
        <w:rPr>
          <w:rFonts w:hint="eastAsia" w:ascii="仿宋_GB2312" w:hAnsi="仿宋" w:eastAsia="仿宋_GB2312" w:cs="仿宋_GB2312"/>
          <w:kern w:val="0"/>
          <w:lang w:val="zh-CN"/>
        </w:rPr>
        <w:t>投标人认为需要的其他技术文件或说明；</w:t>
      </w:r>
    </w:p>
    <w:p>
      <w:pPr>
        <w:tabs>
          <w:tab w:val="left" w:pos="0"/>
        </w:tabs>
        <w:autoSpaceDE w:val="0"/>
        <w:autoSpaceDN w:val="0"/>
        <w:spacing w:line="360" w:lineRule="auto"/>
        <w:ind w:firstLine="360" w:firstLineChars="150"/>
        <w:rPr>
          <w:rFonts w:ascii="仿宋_GB2312" w:hAnsi="仿宋" w:eastAsia="仿宋_GB2312" w:cs="仿宋_GB2312"/>
          <w:kern w:val="0"/>
          <w:sz w:val="24"/>
          <w:lang w:val="zh-CN"/>
        </w:rPr>
      </w:pPr>
      <w:r>
        <w:rPr>
          <w:rFonts w:hint="eastAsia" w:ascii="仿宋_GB2312" w:hAnsi="仿宋" w:eastAsia="仿宋_GB2312" w:cs="仿宋_GB2312"/>
          <w:sz w:val="24"/>
          <w:lang w:val="zh-CN"/>
        </w:rPr>
        <w:t>11.</w:t>
      </w:r>
      <w:r>
        <w:rPr>
          <w:rFonts w:hint="eastAsia" w:ascii="仿宋_GB2312" w:hAnsi="仿宋" w:eastAsia="仿宋_GB2312" w:cs="仿宋_GB2312"/>
          <w:sz w:val="24"/>
        </w:rPr>
        <w:t>4</w:t>
      </w:r>
      <w:r>
        <w:rPr>
          <w:rFonts w:hint="eastAsia" w:ascii="仿宋_GB2312" w:hAnsi="仿宋" w:eastAsia="仿宋_GB2312" w:cs="仿宋_GB2312"/>
          <w:sz w:val="24"/>
          <w:lang w:val="zh-CN"/>
        </w:rPr>
        <w:t>.15</w:t>
      </w:r>
      <w:r>
        <w:rPr>
          <w:rFonts w:hint="eastAsia" w:ascii="仿宋_GB2312" w:hAnsi="仿宋" w:eastAsia="仿宋_GB2312" w:cs="仿宋_GB2312"/>
          <w:kern w:val="0"/>
          <w:sz w:val="24"/>
          <w:lang w:val="zh-CN"/>
        </w:rPr>
        <w:t>关于对招标文件商务、合同中有关条款的拒绝声明（如果有）；</w:t>
      </w:r>
    </w:p>
    <w:p>
      <w:pPr>
        <w:tabs>
          <w:tab w:val="left" w:pos="0"/>
        </w:tabs>
        <w:autoSpaceDE w:val="0"/>
        <w:autoSpaceDN w:val="0"/>
        <w:spacing w:line="360" w:lineRule="auto"/>
        <w:ind w:firstLine="360" w:firstLineChars="150"/>
        <w:rPr>
          <w:rFonts w:ascii="仿宋_GB2312" w:hAnsi="仿宋" w:eastAsia="仿宋_GB2312" w:cs="仿宋_GB2312"/>
          <w:kern w:val="0"/>
          <w:sz w:val="24"/>
          <w:lang w:val="zh-CN"/>
        </w:rPr>
      </w:pPr>
      <w:r>
        <w:rPr>
          <w:rFonts w:hint="eastAsia" w:ascii="仿宋_GB2312" w:hAnsi="仿宋" w:eastAsia="仿宋_GB2312" w:cs="仿宋_GB2312"/>
          <w:kern w:val="0"/>
          <w:sz w:val="24"/>
        </w:rPr>
        <w:t>11.4.16</w:t>
      </w:r>
      <w:r>
        <w:rPr>
          <w:rFonts w:hint="eastAsia" w:ascii="仿宋_GB2312" w:hAnsi="仿宋" w:eastAsia="仿宋_GB2312" w:cs="仿宋_GB2312"/>
          <w:kern w:val="0"/>
          <w:sz w:val="24"/>
          <w:lang w:val="zh-CN"/>
        </w:rPr>
        <w:t>政府采购供应商廉洁自律承诺书；</w:t>
      </w:r>
    </w:p>
    <w:p>
      <w:pPr>
        <w:tabs>
          <w:tab w:val="left" w:pos="0"/>
        </w:tabs>
        <w:autoSpaceDE w:val="0"/>
        <w:autoSpaceDN w:val="0"/>
        <w:spacing w:line="360" w:lineRule="auto"/>
        <w:ind w:firstLine="360" w:firstLineChars="150"/>
        <w:rPr>
          <w:rFonts w:ascii="仿宋_GB2312" w:hAnsi="仿宋" w:eastAsia="仿宋_GB2312" w:cs="仿宋_GB2312"/>
          <w:kern w:val="0"/>
          <w:sz w:val="24"/>
        </w:rPr>
      </w:pPr>
      <w:r>
        <w:rPr>
          <w:rFonts w:hint="eastAsia" w:ascii="仿宋_GB2312" w:hAnsi="仿宋" w:eastAsia="仿宋_GB2312" w:cs="仿宋_GB2312"/>
          <w:kern w:val="0"/>
          <w:sz w:val="24"/>
        </w:rPr>
        <w:t>11.4.17</w:t>
      </w:r>
      <w:r>
        <w:rPr>
          <w:rFonts w:hint="eastAsia" w:ascii="仿宋_GB2312" w:hAnsi="仿宋" w:eastAsia="仿宋_GB2312" w:cs="仿宋_GB2312"/>
          <w:kern w:val="0"/>
          <w:sz w:val="24"/>
          <w:lang w:val="zh-CN"/>
        </w:rPr>
        <w:t>廉政承诺书。</w:t>
      </w:r>
    </w:p>
    <w:p>
      <w:pPr>
        <w:spacing w:line="450" w:lineRule="exact"/>
        <w:ind w:firstLine="482" w:firstLineChars="200"/>
        <w:textAlignment w:val="auto"/>
        <w:rPr>
          <w:rFonts w:ascii="仿宋" w:hAnsi="仿宋" w:eastAsia="仿宋" w:cs="仿宋_GB2312"/>
          <w:b/>
          <w:sz w:val="24"/>
        </w:rPr>
      </w:pPr>
      <w:r>
        <w:rPr>
          <w:rFonts w:hint="eastAsia" w:ascii="仿宋" w:hAnsi="仿宋" w:eastAsia="仿宋"/>
          <w:b/>
          <w:sz w:val="24"/>
        </w:rPr>
        <w:t xml:space="preserve">  ▲</w:t>
      </w:r>
      <w:r>
        <w:rPr>
          <w:rFonts w:hint="eastAsia" w:ascii="仿宋" w:hAnsi="仿宋" w:eastAsia="仿宋" w:cs="仿宋_GB2312"/>
          <w:b/>
          <w:sz w:val="24"/>
        </w:rPr>
        <w:t>投标文件组成漏项，内容不全或内容字迹模糊辨认不清的，投标无效；</w:t>
      </w:r>
    </w:p>
    <w:p>
      <w:pPr>
        <w:spacing w:line="450" w:lineRule="exact"/>
        <w:ind w:firstLine="482" w:firstLineChars="200"/>
        <w:textAlignment w:val="auto"/>
        <w:rPr>
          <w:rFonts w:ascii="仿宋" w:hAnsi="仿宋" w:eastAsia="仿宋"/>
          <w:b/>
          <w:sz w:val="24"/>
        </w:rPr>
      </w:pPr>
      <w:r>
        <w:rPr>
          <w:rFonts w:hint="eastAsia" w:ascii="仿宋" w:hAnsi="仿宋" w:eastAsia="仿宋"/>
          <w:b/>
          <w:sz w:val="24"/>
        </w:rPr>
        <w:t xml:space="preserve">  ▲投标文件含有采购人不能接受的附加条件的，投标无效；</w:t>
      </w:r>
    </w:p>
    <w:p>
      <w:pPr>
        <w:spacing w:line="450" w:lineRule="exact"/>
        <w:ind w:firstLine="482" w:firstLineChars="200"/>
        <w:textAlignment w:val="auto"/>
        <w:rPr>
          <w:rFonts w:ascii="仿宋" w:hAnsi="仿宋" w:eastAsia="仿宋" w:cs="仿宋_GB2312"/>
          <w:b/>
          <w:sz w:val="24"/>
          <w:szCs w:val="21"/>
        </w:rPr>
      </w:pPr>
      <w:r>
        <w:rPr>
          <w:rFonts w:hint="eastAsia" w:ascii="仿宋" w:hAnsi="仿宋" w:eastAsia="仿宋"/>
          <w:b/>
          <w:sz w:val="24"/>
        </w:rPr>
        <w:t xml:space="preserve">  ▲投标人提供虚假材料投标的，投标无效。</w:t>
      </w:r>
    </w:p>
    <w:p>
      <w:pPr>
        <w:pStyle w:val="52"/>
        <w:snapToGrid w:val="0"/>
        <w:spacing w:before="0" w:line="450" w:lineRule="exact"/>
        <w:ind w:firstLine="0"/>
        <w:textAlignment w:val="auto"/>
        <w:outlineLvl w:val="0"/>
        <w:rPr>
          <w:rFonts w:ascii="仿宋" w:hAnsi="仿宋" w:eastAsia="仿宋" w:cs="仿宋"/>
          <w:b/>
          <w:szCs w:val="24"/>
        </w:rPr>
      </w:pPr>
      <w:bookmarkStart w:id="18" w:name="_Toc91899887"/>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450" w:lineRule="exact"/>
        <w:ind w:firstLine="480" w:firstLineChars="200"/>
        <w:textAlignment w:val="auto"/>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r>
        <w:rPr>
          <w:rFonts w:hint="eastAsia" w:ascii="仿宋" w:hAnsi="仿宋" w:eastAsia="仿宋" w:cs="仿宋"/>
          <w:b/>
          <w:sz w:val="24"/>
        </w:rPr>
        <w:t>▲投标文件未按规定的格式编制的，投标无效；</w:t>
      </w:r>
    </w:p>
    <w:bookmarkEnd w:id="18"/>
    <w:p>
      <w:pPr>
        <w:spacing w:line="450" w:lineRule="exact"/>
        <w:ind w:firstLine="480" w:firstLineChars="200"/>
        <w:textAlignment w:val="auto"/>
        <w:rPr>
          <w:rFonts w:ascii="仿宋" w:hAnsi="仿宋" w:eastAsia="仿宋" w:cs="仿宋"/>
          <w:kern w:val="0"/>
          <w:sz w:val="24"/>
          <w:lang w:val="zh-CN"/>
        </w:rPr>
      </w:pPr>
      <w:r>
        <w:rPr>
          <w:rFonts w:hint="eastAsia" w:ascii="仿宋" w:hAnsi="仿宋" w:eastAsia="仿宋" w:cs="仿宋"/>
          <w:sz w:val="24"/>
        </w:rPr>
        <w:t>12.2</w:t>
      </w:r>
      <w:r>
        <w:rPr>
          <w:rFonts w:hint="eastAsia" w:ascii="仿宋" w:hAnsi="仿宋" w:eastAsia="仿宋" w:cs="仿宋"/>
          <w:kern w:val="0"/>
          <w:sz w:val="24"/>
          <w:lang w:val="zh-CN"/>
        </w:rPr>
        <w:t>投标人进行电子投标应安装客户端软件—“政采云电子交易客户端”，并按照招标文件和电子交易平台的要求编制并加密投标文件。投标人未按规定加密的投标文件，电子交易平台将拒收并提示。</w:t>
      </w:r>
    </w:p>
    <w:p>
      <w:pPr>
        <w:spacing w:line="450" w:lineRule="exact"/>
        <w:ind w:firstLine="480" w:firstLineChars="200"/>
        <w:textAlignment w:val="auto"/>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450" w:lineRule="exact"/>
        <w:textAlignment w:val="auto"/>
        <w:rPr>
          <w:rFonts w:ascii="仿宋" w:hAnsi="仿宋" w:eastAsia="仿宋" w:cs="仿宋"/>
          <w:b/>
          <w:sz w:val="24"/>
        </w:rPr>
      </w:pPr>
      <w:r>
        <w:rPr>
          <w:rFonts w:hint="eastAsia" w:ascii="仿宋" w:hAnsi="仿宋" w:eastAsia="仿宋" w:cs="仿宋"/>
          <w:b/>
          <w:sz w:val="24"/>
        </w:rPr>
        <w:t>13.投标文件的签署、盖章</w:t>
      </w:r>
    </w:p>
    <w:p>
      <w:pPr>
        <w:pStyle w:val="52"/>
        <w:snapToGrid w:val="0"/>
        <w:spacing w:before="0" w:line="450" w:lineRule="exact"/>
        <w:ind w:left="0" w:firstLine="480" w:firstLineChars="200"/>
        <w:textAlignment w:val="auto"/>
        <w:rPr>
          <w:rFonts w:ascii="仿宋" w:hAnsi="仿宋" w:eastAsia="仿宋" w:cs="仿宋"/>
          <w:b/>
          <w:szCs w:val="24"/>
        </w:rPr>
      </w:pPr>
      <w:r>
        <w:rPr>
          <w:rFonts w:hint="eastAsia" w:ascii="仿宋" w:hAnsi="仿宋" w:eastAsia="仿宋" w:cs="仿宋"/>
          <w:szCs w:val="24"/>
        </w:rPr>
        <w:t>13.1投标文件按照招标文件第六部分格式要求进行签署、盖章。</w:t>
      </w:r>
      <w:r>
        <w:rPr>
          <w:rFonts w:hint="eastAsia" w:ascii="仿宋" w:hAnsi="仿宋" w:eastAsia="仿宋" w:cs="仿宋"/>
          <w:b/>
          <w:szCs w:val="24"/>
        </w:rPr>
        <w:t>投标人的投标文件未按照招标文件要求签署、盖章的，其投标无效</w:t>
      </w:r>
      <w:r>
        <w:rPr>
          <w:rFonts w:hint="eastAsia" w:ascii="仿宋" w:hAnsi="仿宋" w:eastAsia="仿宋" w:cs="仿宋"/>
          <w:szCs w:val="24"/>
        </w:rPr>
        <w:t>。</w:t>
      </w:r>
    </w:p>
    <w:p>
      <w:pPr>
        <w:pStyle w:val="52"/>
        <w:snapToGrid w:val="0"/>
        <w:spacing w:before="0" w:line="450" w:lineRule="exact"/>
        <w:ind w:left="0" w:firstLine="480" w:firstLineChars="200"/>
        <w:textAlignment w:val="auto"/>
        <w:rPr>
          <w:rFonts w:ascii="仿宋" w:hAnsi="仿宋" w:eastAsia="仿宋" w:cs="仿宋"/>
          <w:szCs w:val="24"/>
        </w:rPr>
      </w:pPr>
      <w:r>
        <w:rPr>
          <w:rFonts w:hint="eastAsia" w:ascii="仿宋" w:hAnsi="仿宋" w:eastAsia="仿宋" w:cs="仿宋"/>
          <w:bCs/>
          <w:szCs w:val="24"/>
        </w:rPr>
        <w:t>13.2为</w:t>
      </w:r>
      <w:r>
        <w:rPr>
          <w:rFonts w:hint="eastAsia" w:ascii="仿宋" w:hAnsi="仿宋" w:eastAsia="仿宋" w:cs="仿宋"/>
          <w:szCs w:val="24"/>
        </w:rPr>
        <w:t>确保网上操作合法、有效和安全，投标人应当在投标截止时间前完成在“政府采购云平台”的身份认证，确保在电子投标过程中能够对相关数据电文进行加密和使用电子签名。</w:t>
      </w:r>
    </w:p>
    <w:p>
      <w:pPr>
        <w:pStyle w:val="52"/>
        <w:spacing w:before="0" w:line="450" w:lineRule="exact"/>
        <w:ind w:left="0" w:firstLine="0"/>
        <w:textAlignment w:val="auto"/>
        <w:rPr>
          <w:rFonts w:ascii="仿宋" w:hAnsi="仿宋" w:eastAsia="仿宋" w:cs="仿宋"/>
          <w:b/>
          <w:szCs w:val="24"/>
        </w:rPr>
      </w:pPr>
      <w:r>
        <w:rPr>
          <w:rFonts w:hint="eastAsia" w:ascii="仿宋" w:hAnsi="仿宋" w:eastAsia="仿宋" w:cs="仿宋"/>
          <w:b/>
          <w:szCs w:val="24"/>
        </w:rPr>
        <w:t>14. 投标文件的提交、补充、修改、撤回</w:t>
      </w:r>
    </w:p>
    <w:p>
      <w:pPr>
        <w:pStyle w:val="52"/>
        <w:spacing w:line="450" w:lineRule="exact"/>
        <w:ind w:left="0" w:firstLine="480" w:firstLineChars="200"/>
        <w:textAlignment w:val="auto"/>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52"/>
        <w:spacing w:before="0" w:line="450" w:lineRule="exact"/>
        <w:ind w:left="0" w:firstLine="480" w:firstLineChars="200"/>
        <w:textAlignment w:val="auto"/>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52"/>
        <w:spacing w:before="0" w:line="450" w:lineRule="exact"/>
        <w:ind w:left="0" w:firstLine="480" w:firstLineChars="200"/>
        <w:textAlignment w:val="auto"/>
        <w:rPr>
          <w:rFonts w:ascii="仿宋" w:hAnsi="仿宋" w:eastAsia="仿宋" w:cs="仿宋"/>
          <w:szCs w:val="24"/>
        </w:rPr>
      </w:pPr>
      <w:r>
        <w:rPr>
          <w:rFonts w:hint="eastAsia" w:ascii="仿宋" w:hAnsi="仿宋" w:eastAsia="仿宋" w:cs="仿宋"/>
          <w:szCs w:val="24"/>
        </w:rPr>
        <w:t>14.3采购机构可以视情况延长投标文件提交的截止时间。在上述情况下，采购机构与投标人以前在投标截止期方面的全部权利、责任和义务，将适用于延长至新的投标截止期。</w:t>
      </w:r>
    </w:p>
    <w:p>
      <w:pPr>
        <w:pStyle w:val="11"/>
        <w:spacing w:before="120" w:after="120" w:line="450" w:lineRule="exact"/>
        <w:rPr>
          <w:rFonts w:ascii="仿宋" w:hAnsi="仿宋" w:eastAsia="仿宋" w:cs="仿宋"/>
          <w:b/>
        </w:rPr>
      </w:pPr>
      <w:r>
        <w:rPr>
          <w:rFonts w:hint="eastAsia" w:ascii="仿宋" w:hAnsi="仿宋" w:eastAsia="仿宋" w:cs="仿宋"/>
          <w:b/>
        </w:rPr>
        <w:t>15.备份投标文件</w:t>
      </w:r>
    </w:p>
    <w:p>
      <w:pPr>
        <w:pStyle w:val="11"/>
        <w:spacing w:before="120" w:after="120" w:line="450" w:lineRule="exact"/>
        <w:ind w:firstLine="360" w:firstLineChars="150"/>
        <w:rPr>
          <w:rFonts w:ascii="仿宋" w:hAnsi="仿宋" w:eastAsia="仿宋" w:cs="仿宋"/>
          <w:b/>
          <w:bCs/>
        </w:rPr>
      </w:pPr>
      <w:r>
        <w:rPr>
          <w:rFonts w:hint="eastAsia" w:ascii="仿宋" w:hAnsi="仿宋" w:eastAsia="仿宋" w:cs="仿宋"/>
          <w:sz w:val="24"/>
          <w:szCs w:val="24"/>
        </w:rPr>
        <w:t>15.1投标人在电子交易平台传输递交投标文件后，还可以以介质存储的数据电文形式的备份投标文件：按政采云平台项目采购-电子招投标操作指南制作备份投标文件（后缀名为.bfbs），在投标截止时间前以电子邮件形式递交至(</w:t>
      </w:r>
      <w:r>
        <w:fldChar w:fldCharType="begin"/>
      </w:r>
      <w:r>
        <w:instrText xml:space="preserve"> HYPERLINK "mailto:2990430955@qq.com" </w:instrText>
      </w:r>
      <w:r>
        <w:fldChar w:fldCharType="separate"/>
      </w:r>
      <w:r>
        <w:rPr>
          <w:rFonts w:hint="eastAsia" w:ascii="仿宋" w:hAnsi="仿宋" w:eastAsia="仿宋" w:cs="仿宋"/>
          <w:sz w:val="24"/>
          <w:szCs w:val="24"/>
        </w:rPr>
        <w:t>1487692964@qq.com</w:t>
      </w:r>
      <w:r>
        <w:rPr>
          <w:rFonts w:hint="eastAsia" w:ascii="仿宋" w:hAnsi="仿宋" w:eastAsia="仿宋" w:cs="仿宋"/>
          <w:sz w:val="24"/>
          <w:szCs w:val="24"/>
        </w:rPr>
        <w:fldChar w:fldCharType="end"/>
      </w:r>
      <w:r>
        <w:rPr>
          <w:rFonts w:hint="eastAsia" w:ascii="仿宋" w:hAnsi="仿宋" w:eastAsia="仿宋" w:cs="仿宋"/>
          <w:sz w:val="24"/>
          <w:szCs w:val="24"/>
        </w:rPr>
        <w:t>)，</w:t>
      </w:r>
      <w:r>
        <w:rPr>
          <w:rFonts w:hint="eastAsia" w:ascii="仿宋" w:hAnsi="仿宋" w:eastAsia="仿宋" w:cs="仿宋"/>
          <w:b/>
          <w:bCs/>
        </w:rPr>
        <w:t>但采购人、采购机构不强制或变相强制投标人提交备份投标文件。</w:t>
      </w:r>
    </w:p>
    <w:p>
      <w:pPr>
        <w:pStyle w:val="11"/>
        <w:spacing w:before="120" w:after="120" w:line="450" w:lineRule="exact"/>
        <w:ind w:firstLine="240" w:firstLineChars="100"/>
        <w:rPr>
          <w:rFonts w:ascii="仿宋" w:hAnsi="仿宋" w:eastAsia="仿宋" w:cs="仿宋"/>
          <w:b/>
          <w:sz w:val="24"/>
          <w:szCs w:val="24"/>
        </w:rPr>
      </w:pPr>
      <w:r>
        <w:rPr>
          <w:rFonts w:hint="eastAsia" w:ascii="仿宋" w:hAnsi="仿宋" w:eastAsia="仿宋" w:cs="仿宋"/>
          <w:bCs/>
          <w:sz w:val="24"/>
          <w:szCs w:val="24"/>
        </w:rPr>
        <w:t>15.2</w:t>
      </w:r>
      <w:r>
        <w:rPr>
          <w:rFonts w:hint="eastAsia" w:ascii="仿宋" w:hAnsi="仿宋" w:eastAsia="仿宋" w:cs="仿宋"/>
          <w:b/>
          <w:sz w:val="24"/>
          <w:szCs w:val="24"/>
        </w:rPr>
        <w:t>投标人仅提交备份投标文件，没有在电子交易平台传输递交投标文件的，投标无效。</w:t>
      </w:r>
    </w:p>
    <w:bookmarkEnd w:id="12"/>
    <w:bookmarkEnd w:id="13"/>
    <w:p>
      <w:pPr>
        <w:pStyle w:val="52"/>
        <w:spacing w:before="0" w:line="450" w:lineRule="exact"/>
        <w:ind w:left="0" w:firstLine="0"/>
        <w:textAlignment w:val="auto"/>
        <w:rPr>
          <w:rFonts w:ascii="仿宋" w:hAnsi="仿宋" w:eastAsia="仿宋" w:cs="仿宋"/>
          <w:b/>
          <w:szCs w:val="24"/>
        </w:rPr>
      </w:pPr>
      <w:r>
        <w:rPr>
          <w:rFonts w:hint="eastAsia" w:ascii="仿宋" w:hAnsi="仿宋" w:eastAsia="仿宋" w:cs="仿宋"/>
          <w:b/>
          <w:szCs w:val="24"/>
        </w:rPr>
        <w:t>16.投标文件的无效处理</w:t>
      </w:r>
    </w:p>
    <w:p>
      <w:pPr>
        <w:pStyle w:val="9"/>
        <w:spacing w:line="450" w:lineRule="exact"/>
        <w:ind w:firstLine="360" w:firstLineChars="150"/>
        <w:textAlignment w:val="auto"/>
        <w:rPr>
          <w:rFonts w:ascii="仿宋" w:hAnsi="仿宋" w:eastAsia="仿宋" w:cs="仿宋"/>
          <w:sz w:val="24"/>
        </w:rPr>
      </w:pPr>
      <w:r>
        <w:rPr>
          <w:rFonts w:hint="eastAsia" w:ascii="仿宋" w:hAnsi="仿宋" w:eastAsia="仿宋" w:cs="仿宋"/>
          <w:sz w:val="24"/>
        </w:rPr>
        <w:t>有招标文件第四部分第13项规定的情形之一的，投标无效：</w:t>
      </w:r>
    </w:p>
    <w:p>
      <w:pPr>
        <w:pStyle w:val="52"/>
        <w:spacing w:before="0" w:line="450" w:lineRule="exact"/>
        <w:ind w:left="0" w:firstLine="0"/>
        <w:textAlignment w:val="auto"/>
        <w:rPr>
          <w:rFonts w:ascii="仿宋" w:hAnsi="仿宋" w:eastAsia="仿宋" w:cs="仿宋"/>
          <w:b/>
          <w:szCs w:val="24"/>
        </w:rPr>
      </w:pPr>
      <w:r>
        <w:rPr>
          <w:rFonts w:hint="eastAsia" w:ascii="仿宋" w:hAnsi="仿宋" w:eastAsia="仿宋" w:cs="仿宋"/>
          <w:b/>
          <w:szCs w:val="24"/>
        </w:rPr>
        <w:t>17.投标有效期</w:t>
      </w:r>
    </w:p>
    <w:p>
      <w:pPr>
        <w:spacing w:line="450" w:lineRule="exact"/>
        <w:ind w:firstLine="480" w:firstLineChars="200"/>
        <w:textAlignment w:val="auto"/>
        <w:rPr>
          <w:rFonts w:ascii="仿宋" w:hAnsi="仿宋" w:eastAsia="仿宋" w:cs="仿宋"/>
          <w:b/>
          <w:sz w:val="24"/>
        </w:rPr>
      </w:pPr>
      <w:r>
        <w:rPr>
          <w:rFonts w:hint="eastAsia" w:ascii="仿宋" w:hAnsi="仿宋" w:eastAsia="仿宋" w:cs="仿宋"/>
          <w:sz w:val="24"/>
        </w:rPr>
        <w:t>17.1投标有效期为从提交投标文件的截止之日起90天。▲</w:t>
      </w:r>
      <w:r>
        <w:rPr>
          <w:rFonts w:hint="eastAsia" w:ascii="仿宋" w:hAnsi="仿宋" w:eastAsia="仿宋" w:cs="仿宋"/>
          <w:b/>
          <w:sz w:val="24"/>
        </w:rPr>
        <w:t>投标人的投标文件中承诺的投标有效期少于招标文件中载明的投标有效期的，投标无效。</w:t>
      </w:r>
    </w:p>
    <w:p>
      <w:pPr>
        <w:pStyle w:val="52"/>
        <w:spacing w:before="0" w:line="450" w:lineRule="exact"/>
        <w:ind w:left="0" w:firstLine="480" w:firstLineChars="200"/>
        <w:textAlignment w:val="auto"/>
        <w:rPr>
          <w:rFonts w:ascii="仿宋" w:hAnsi="仿宋" w:eastAsia="仿宋" w:cs="仿宋"/>
          <w:szCs w:val="24"/>
        </w:rPr>
      </w:pPr>
      <w:r>
        <w:rPr>
          <w:rFonts w:hint="eastAsia" w:ascii="仿宋" w:hAnsi="仿宋" w:eastAsia="仿宋" w:cs="仿宋"/>
          <w:szCs w:val="24"/>
        </w:rPr>
        <w:t>17.2投标文件合格投递后，自投标截止日期起，在投标有效期内有效。</w:t>
      </w:r>
    </w:p>
    <w:p>
      <w:pPr>
        <w:pStyle w:val="52"/>
        <w:spacing w:before="0" w:line="450" w:lineRule="exact"/>
        <w:ind w:left="0" w:firstLine="480" w:firstLineChars="200"/>
        <w:textAlignment w:val="auto"/>
        <w:rPr>
          <w:rFonts w:ascii="仿宋" w:hAnsi="仿宋" w:eastAsia="仿宋" w:cs="仿宋"/>
          <w:szCs w:val="24"/>
        </w:rPr>
      </w:pPr>
      <w:r>
        <w:rPr>
          <w:rFonts w:hint="eastAsia" w:ascii="仿宋" w:hAnsi="仿宋" w:eastAsia="仿宋" w:cs="仿宋"/>
          <w:szCs w:val="24"/>
        </w:rPr>
        <w:t>17.3在原定投标有效期满之前，如果出现特殊情况，采购机构可以以书面形式通知投标人延长投标有效期。投标人同意延长的，不得要求或被允许修改其投标文件，投标人拒绝延长的，其投标无效。</w:t>
      </w:r>
    </w:p>
    <w:p>
      <w:pPr>
        <w:pStyle w:val="52"/>
        <w:spacing w:before="0"/>
        <w:ind w:firstLine="1687" w:firstLineChars="600"/>
        <w:rPr>
          <w:rFonts w:ascii="仿宋" w:hAnsi="仿宋" w:eastAsia="仿宋" w:cs="仿宋"/>
          <w:b/>
          <w:sz w:val="28"/>
          <w:szCs w:val="28"/>
        </w:rPr>
      </w:pPr>
      <w:r>
        <w:rPr>
          <w:rFonts w:hint="eastAsia" w:ascii="仿宋" w:hAnsi="仿宋" w:eastAsia="仿宋" w:cs="仿宋"/>
          <w:b/>
          <w:sz w:val="28"/>
          <w:szCs w:val="28"/>
        </w:rPr>
        <w:t>四、开标</w:t>
      </w:r>
      <w:bookmarkEnd w:id="14"/>
      <w:r>
        <w:rPr>
          <w:rFonts w:hint="eastAsia" w:ascii="仿宋" w:hAnsi="仿宋" w:eastAsia="仿宋" w:cs="仿宋"/>
          <w:b/>
          <w:sz w:val="28"/>
          <w:szCs w:val="28"/>
        </w:rPr>
        <w:t>、资格审查与信用信息查询</w:t>
      </w:r>
    </w:p>
    <w:p>
      <w:pPr>
        <w:pStyle w:val="54"/>
        <w:spacing w:before="0" w:line="360" w:lineRule="auto"/>
        <w:ind w:left="0" w:firstLine="0"/>
        <w:contextualSpacing/>
        <w:rPr>
          <w:rFonts w:ascii="仿宋" w:hAnsi="仿宋" w:eastAsia="仿宋" w:cs="仿宋"/>
          <w:sz w:val="24"/>
          <w:szCs w:val="24"/>
        </w:rPr>
      </w:pPr>
      <w:r>
        <w:rPr>
          <w:rFonts w:hint="eastAsia" w:ascii="仿宋" w:hAnsi="仿宋" w:eastAsia="仿宋" w:cs="仿宋"/>
          <w:b/>
          <w:sz w:val="24"/>
          <w:szCs w:val="24"/>
        </w:rPr>
        <w:t>18.开标</w:t>
      </w:r>
      <w:r>
        <w:rPr>
          <w:rFonts w:hint="eastAsia" w:ascii="仿宋" w:hAnsi="仿宋" w:eastAsia="仿宋" w:cs="仿宋"/>
          <w:sz w:val="24"/>
          <w:szCs w:val="24"/>
        </w:rPr>
        <w:t xml:space="preserve"> </w:t>
      </w:r>
    </w:p>
    <w:p>
      <w:pPr>
        <w:pStyle w:val="54"/>
        <w:spacing w:before="0" w:line="360" w:lineRule="auto"/>
        <w:ind w:left="0" w:firstLine="480" w:firstLineChars="200"/>
        <w:contextualSpacing/>
        <w:rPr>
          <w:rFonts w:ascii="仿宋" w:hAnsi="仿宋" w:eastAsia="仿宋" w:cs="仿宋"/>
          <w:sz w:val="24"/>
          <w:szCs w:val="24"/>
        </w:rPr>
      </w:pPr>
      <w:r>
        <w:rPr>
          <w:rFonts w:hint="eastAsia" w:ascii="仿宋" w:hAnsi="仿宋" w:eastAsia="仿宋" w:cs="仿宋"/>
          <w:sz w:val="24"/>
          <w:szCs w:val="24"/>
        </w:rPr>
        <w:t>18.1 采购机构按照招标文件规定的时间通过电子交易平台组织开标，所有投标人均应当准时在线参加。投标人不足3家的，不得开标。</w:t>
      </w:r>
    </w:p>
    <w:p>
      <w:pPr>
        <w:pStyle w:val="54"/>
        <w:spacing w:before="0" w:line="360" w:lineRule="auto"/>
        <w:ind w:left="0" w:firstLine="240" w:firstLineChars="100"/>
        <w:contextualSpacing/>
        <w:rPr>
          <w:rFonts w:ascii="仿宋" w:hAnsi="仿宋" w:eastAsia="仿宋" w:cs="仿宋"/>
          <w:sz w:val="24"/>
          <w:szCs w:val="24"/>
        </w:rPr>
      </w:pPr>
      <w:r>
        <w:rPr>
          <w:rFonts w:hint="eastAsia" w:ascii="仿宋" w:hAnsi="仿宋" w:eastAsia="仿宋" w:cs="仿宋"/>
          <w:sz w:val="24"/>
          <w:szCs w:val="24"/>
        </w:rPr>
        <w:t>　18.2 开标时，电子交易平台按开标时间自动提取所有投标文件。采购机构依托电子交易平台发起开始解密指令，投标人按照平台提示和招标文件的规定在半小时内完成在线解密。</w:t>
      </w:r>
    </w:p>
    <w:p>
      <w:pPr>
        <w:pStyle w:val="54"/>
        <w:spacing w:before="0" w:line="360" w:lineRule="auto"/>
        <w:ind w:left="0" w:firstLine="240" w:firstLineChars="100"/>
        <w:contextualSpacing/>
        <w:rPr>
          <w:rFonts w:ascii="仿宋" w:hAnsi="仿宋" w:eastAsia="仿宋" w:cs="仿宋"/>
          <w:b/>
          <w:sz w:val="24"/>
          <w:szCs w:val="24"/>
        </w:rPr>
      </w:pPr>
      <w:r>
        <w:rPr>
          <w:rFonts w:hint="eastAsia" w:ascii="仿宋" w:hAnsi="仿宋" w:eastAsia="仿宋" w:cs="仿宋"/>
          <w:sz w:val="24"/>
          <w:szCs w:val="24"/>
        </w:rPr>
        <w:t xml:space="preserve">　18.3 </w:t>
      </w:r>
      <w:r>
        <w:rPr>
          <w:rFonts w:hint="eastAsia" w:ascii="仿宋" w:hAnsi="仿宋" w:eastAsia="仿宋" w:cs="仿宋"/>
          <w:b/>
          <w:sz w:val="24"/>
          <w:szCs w:val="24"/>
        </w:rPr>
        <w:t>投标文件未按时解密，投标人提供了备份投标文件的，以备份投标文件作为依据，否则视为投标文件撤回。投标文件已按时解密的，备份投标文件自动失效。</w:t>
      </w:r>
    </w:p>
    <w:p>
      <w:pPr>
        <w:spacing w:before="100" w:beforeAutospacing="1" w:after="240" w:line="360" w:lineRule="auto"/>
        <w:jc w:val="left"/>
        <w:rPr>
          <w:rFonts w:ascii="仿宋" w:hAnsi="仿宋" w:eastAsia="仿宋" w:cs="仿宋"/>
          <w:b/>
          <w:sz w:val="24"/>
        </w:rPr>
      </w:pPr>
      <w:r>
        <w:rPr>
          <w:rFonts w:hint="eastAsia" w:ascii="仿宋" w:hAnsi="仿宋" w:eastAsia="仿宋" w:cs="仿宋"/>
          <w:b/>
          <w:sz w:val="24"/>
        </w:rPr>
        <w:t>19、资格审查</w:t>
      </w:r>
    </w:p>
    <w:p>
      <w:pPr>
        <w:pStyle w:val="52"/>
        <w:spacing w:before="0"/>
        <w:ind w:left="0" w:firstLine="480" w:firstLineChars="200"/>
        <w:rPr>
          <w:rFonts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采购人或采购机构依据法律法规和招标文件的规定，对投标人的基本资格条件、特定资格条件进行审查。</w:t>
      </w:r>
    </w:p>
    <w:p>
      <w:pPr>
        <w:pStyle w:val="52"/>
        <w:spacing w:before="0"/>
        <w:ind w:left="0" w:firstLine="480" w:firstLineChars="200"/>
        <w:rPr>
          <w:rFonts w:ascii="仿宋" w:hAnsi="仿宋" w:eastAsia="仿宋" w:cs="仿宋"/>
          <w:szCs w:val="24"/>
        </w:rPr>
      </w:pPr>
      <w:r>
        <w:rPr>
          <w:rFonts w:hint="eastAsia" w:ascii="仿宋" w:hAnsi="仿宋" w:eastAsia="仿宋" w:cs="仿宋"/>
          <w:kern w:val="0"/>
          <w:szCs w:val="24"/>
        </w:rPr>
        <w:t>19.3投标人未按照招标文件要求提供与</w:t>
      </w:r>
      <w:r>
        <w:rPr>
          <w:rFonts w:hint="eastAsia" w:ascii="仿宋" w:hAnsi="仿宋" w:eastAsia="仿宋" w:cs="仿宋"/>
          <w:szCs w:val="24"/>
        </w:rPr>
        <w:t>基本资格条件、特定资格条件相应的</w:t>
      </w:r>
      <w:r>
        <w:rPr>
          <w:rFonts w:hint="eastAsia" w:ascii="仿宋" w:hAnsi="仿宋" w:eastAsia="仿宋" w:cs="仿宋"/>
          <w:kern w:val="0"/>
          <w:szCs w:val="24"/>
        </w:rPr>
        <w:t>有效资格证明材料的，视为</w:t>
      </w:r>
      <w:r>
        <w:rPr>
          <w:rFonts w:hint="eastAsia" w:ascii="仿宋" w:hAnsi="仿宋" w:eastAsia="仿宋" w:cs="仿宋"/>
          <w:szCs w:val="24"/>
        </w:rPr>
        <w:t>投标人不具备招标文件中规定的资格要求，其投标无效。</w:t>
      </w:r>
    </w:p>
    <w:p>
      <w:pPr>
        <w:pStyle w:val="52"/>
        <w:spacing w:before="0"/>
        <w:ind w:left="0" w:firstLine="480" w:firstLineChars="200"/>
        <w:rPr>
          <w:rFonts w:ascii="仿宋" w:hAnsi="仿宋" w:eastAsia="仿宋" w:cs="仿宋"/>
          <w:szCs w:val="24"/>
        </w:rPr>
      </w:pPr>
      <w:r>
        <w:rPr>
          <w:rFonts w:hint="eastAsia" w:ascii="仿宋" w:hAnsi="仿宋" w:eastAsia="仿宋" w:cs="仿宋"/>
          <w:kern w:val="0"/>
          <w:szCs w:val="24"/>
        </w:rPr>
        <w:t>19.</w:t>
      </w:r>
      <w:r>
        <w:rPr>
          <w:rFonts w:hint="eastAsia" w:ascii="仿宋" w:hAnsi="仿宋" w:eastAsia="仿宋" w:cs="仿宋"/>
          <w:szCs w:val="24"/>
        </w:rPr>
        <w:t>4对未通过资格审查的投标人，采购人或采购机构告知其未通过的原因。</w:t>
      </w:r>
    </w:p>
    <w:p>
      <w:pPr>
        <w:pStyle w:val="52"/>
        <w:spacing w:before="0"/>
        <w:ind w:left="0" w:firstLine="480" w:firstLineChars="200"/>
        <w:rPr>
          <w:rFonts w:ascii="仿宋" w:hAnsi="仿宋" w:eastAsia="仿宋" w:cs="仿宋"/>
          <w:szCs w:val="24"/>
        </w:rPr>
      </w:pPr>
      <w:r>
        <w:rPr>
          <w:rFonts w:hint="eastAsia" w:ascii="仿宋" w:hAnsi="仿宋" w:eastAsia="仿宋" w:cs="仿宋"/>
          <w:kern w:val="0"/>
          <w:szCs w:val="24"/>
        </w:rPr>
        <w:t>19.</w:t>
      </w:r>
      <w:r>
        <w:rPr>
          <w:rFonts w:hint="eastAsia" w:ascii="仿宋" w:hAnsi="仿宋" w:eastAsia="仿宋" w:cs="仿宋"/>
          <w:szCs w:val="24"/>
        </w:rPr>
        <w:t>5合格投标人不足3家的，不再评标。</w:t>
      </w:r>
    </w:p>
    <w:p>
      <w:pPr>
        <w:pStyle w:val="52"/>
        <w:spacing w:before="0"/>
        <w:ind w:left="0" w:firstLine="0"/>
        <w:rPr>
          <w:rFonts w:ascii="仿宋" w:hAnsi="仿宋" w:eastAsia="仿宋" w:cs="仿宋"/>
          <w:b/>
          <w:szCs w:val="24"/>
        </w:rPr>
      </w:pPr>
      <w:r>
        <w:rPr>
          <w:rFonts w:hint="eastAsia" w:ascii="仿宋" w:hAnsi="仿宋" w:eastAsia="仿宋" w:cs="仿宋"/>
          <w:b/>
          <w:szCs w:val="24"/>
        </w:rPr>
        <w:t>20、信用信息查询</w:t>
      </w:r>
    </w:p>
    <w:p>
      <w:pPr>
        <w:pStyle w:val="52"/>
        <w:spacing w:before="0"/>
        <w:ind w:left="0" w:firstLine="480" w:firstLineChars="200"/>
        <w:rPr>
          <w:rFonts w:ascii="仿宋" w:hAnsi="仿宋" w:eastAsia="仿宋" w:cs="仿宋"/>
          <w:kern w:val="0"/>
          <w:szCs w:val="24"/>
        </w:rPr>
      </w:pPr>
      <w:r>
        <w:rPr>
          <w:rFonts w:hint="eastAsia" w:ascii="仿宋" w:hAnsi="仿宋" w:eastAsia="仿宋" w:cs="仿宋"/>
          <w:kern w:val="0"/>
          <w:szCs w:val="24"/>
        </w:rPr>
        <w:t>20.1信用信息查询渠道及截止时间：采购机构将通过“信用中国”网站(www.creditchina.gov.cn)、中国政府采购网(www.ccgp.gov.cn)渠道查询投标人投标截止时间当天的信用记录。</w:t>
      </w:r>
    </w:p>
    <w:p>
      <w:pPr>
        <w:pStyle w:val="52"/>
        <w:spacing w:before="0"/>
        <w:ind w:left="0" w:firstLine="480" w:firstLineChars="20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52"/>
        <w:spacing w:before="0"/>
        <w:ind w:left="0" w:firstLine="480" w:firstLineChars="20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52"/>
        <w:spacing w:before="0"/>
        <w:ind w:left="0" w:firstLine="480" w:firstLineChars="200"/>
        <w:rPr>
          <w:rFonts w:ascii="仿宋" w:hAnsi="仿宋" w:eastAsia="仿宋" w:cs="仿宋"/>
          <w:szCs w:val="24"/>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szCs w:val="24"/>
        </w:rPr>
        <w:t>。</w:t>
      </w:r>
    </w:p>
    <w:p>
      <w:pPr>
        <w:pStyle w:val="52"/>
        <w:spacing w:before="0"/>
        <w:ind w:firstLine="0"/>
        <w:rPr>
          <w:rFonts w:ascii="仿宋" w:hAnsi="仿宋" w:eastAsia="仿宋" w:cs="仿宋"/>
          <w:kern w:val="0"/>
          <w:szCs w:val="24"/>
        </w:rPr>
      </w:pPr>
    </w:p>
    <w:p>
      <w:pPr>
        <w:snapToGrid w:val="0"/>
        <w:spacing w:line="360" w:lineRule="auto"/>
        <w:jc w:val="center"/>
        <w:outlineLvl w:val="0"/>
        <w:rPr>
          <w:rFonts w:ascii="仿宋" w:hAnsi="仿宋" w:eastAsia="仿宋" w:cs="仿宋"/>
          <w:b/>
          <w:sz w:val="28"/>
          <w:szCs w:val="28"/>
        </w:rPr>
      </w:pPr>
      <w:bookmarkStart w:id="19" w:name="_Hlt75236101"/>
      <w:bookmarkEnd w:id="19"/>
      <w:bookmarkStart w:id="20" w:name="_Toc91899902"/>
      <w:r>
        <w:rPr>
          <w:rFonts w:hint="eastAsia" w:ascii="仿宋" w:hAnsi="仿宋" w:eastAsia="仿宋" w:cs="仿宋"/>
          <w:b/>
          <w:sz w:val="28"/>
          <w:szCs w:val="28"/>
        </w:rPr>
        <w:t>五、评 标</w:t>
      </w:r>
      <w:bookmarkEnd w:id="20"/>
    </w:p>
    <w:p>
      <w:pPr>
        <w:spacing w:line="360" w:lineRule="auto"/>
        <w:ind w:firstLine="480" w:firstLineChars="200"/>
        <w:rPr>
          <w:rFonts w:ascii="仿宋" w:hAnsi="仿宋" w:eastAsia="仿宋" w:cs="仿宋"/>
          <w:b/>
          <w:sz w:val="24"/>
        </w:rPr>
      </w:pPr>
      <w:r>
        <w:rPr>
          <w:rFonts w:hint="eastAsia" w:ascii="仿宋" w:hAnsi="仿宋" w:eastAsia="仿宋" w:cs="仿宋"/>
          <w:sz w:val="24"/>
        </w:rPr>
        <w:t>21.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详见招标文件第四部分“评标方法及评分标准”</w:t>
      </w:r>
    </w:p>
    <w:p>
      <w:pPr>
        <w:spacing w:line="360" w:lineRule="auto"/>
        <w:rPr>
          <w:rFonts w:ascii="仿宋" w:hAnsi="仿宋" w:eastAsia="仿宋" w:cs="仿宋"/>
          <w:b/>
          <w:sz w:val="24"/>
        </w:rPr>
      </w:pPr>
    </w:p>
    <w:p>
      <w:pPr>
        <w:snapToGrid w:val="0"/>
        <w:spacing w:line="360" w:lineRule="auto"/>
        <w:jc w:val="center"/>
        <w:outlineLvl w:val="0"/>
        <w:rPr>
          <w:rFonts w:ascii="仿宋" w:hAnsi="仿宋" w:eastAsia="仿宋" w:cs="仿宋"/>
          <w:b/>
          <w:sz w:val="28"/>
          <w:szCs w:val="28"/>
        </w:rPr>
      </w:pPr>
      <w:r>
        <w:rPr>
          <w:rFonts w:hint="eastAsia" w:ascii="仿宋" w:hAnsi="仿宋" w:eastAsia="仿宋" w:cs="仿宋"/>
          <w:b/>
          <w:sz w:val="28"/>
          <w:szCs w:val="28"/>
        </w:rPr>
        <w:t>六、定 标</w:t>
      </w:r>
    </w:p>
    <w:p>
      <w:pPr>
        <w:pStyle w:val="9"/>
        <w:spacing w:line="360" w:lineRule="auto"/>
        <w:ind w:firstLine="482"/>
        <w:rPr>
          <w:rFonts w:ascii="仿宋" w:hAnsi="仿宋" w:eastAsia="仿宋" w:cs="仿宋"/>
          <w:b/>
          <w:sz w:val="24"/>
        </w:rPr>
      </w:pPr>
      <w:r>
        <w:rPr>
          <w:rFonts w:hint="eastAsia" w:ascii="仿宋" w:hAnsi="仿宋" w:eastAsia="仿宋" w:cs="仿宋"/>
          <w:b/>
          <w:sz w:val="24"/>
        </w:rPr>
        <w:t>22. 确定中标供应商</w:t>
      </w:r>
    </w:p>
    <w:p>
      <w:pPr>
        <w:pStyle w:val="52"/>
        <w:snapToGrid w:val="0"/>
        <w:spacing w:before="0"/>
        <w:ind w:left="0" w:firstLine="480" w:firstLineChars="200"/>
        <w:rPr>
          <w:rFonts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采购人将自收到评审报告之日起5个工作日内通过电子交易平台在评审报告推荐的中标候选人中按顺序确定中标供应商。</w:t>
      </w:r>
    </w:p>
    <w:p>
      <w:pPr>
        <w:pStyle w:val="52"/>
        <w:snapToGrid w:val="0"/>
        <w:spacing w:before="0"/>
        <w:ind w:left="0" w:firstLine="0"/>
        <w:rPr>
          <w:rFonts w:ascii="仿宋" w:hAnsi="仿宋" w:eastAsia="仿宋" w:cs="仿宋"/>
          <w:b/>
          <w:szCs w:val="24"/>
        </w:rPr>
      </w:pPr>
      <w:r>
        <w:rPr>
          <w:rFonts w:hint="eastAsia" w:ascii="仿宋" w:hAnsi="仿宋" w:eastAsia="仿宋" w:cs="仿宋"/>
          <w:b/>
          <w:szCs w:val="24"/>
        </w:rPr>
        <w:t>23. 中标通知与中标结果公告</w:t>
      </w:r>
    </w:p>
    <w:p>
      <w:pPr>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23.1自中标人确定之日起2个工作日内，采购机构通过电子交易平台向中标人发出中标通知书，向未中标人发出中标结果通知书，同时编制发布采购结果公告。采购机构也可以以纸质形式进行中标通知。</w:t>
      </w:r>
    </w:p>
    <w:p>
      <w:pPr>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中标公告期限以及评审专家名单，评分汇总及明细。</w:t>
      </w:r>
    </w:p>
    <w:p>
      <w:pPr>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22" w:firstLineChars="150"/>
        <w:jc w:val="center"/>
        <w:rPr>
          <w:rFonts w:ascii="仿宋" w:hAnsi="仿宋" w:eastAsia="仿宋" w:cs="仿宋"/>
          <w:b/>
          <w:sz w:val="28"/>
          <w:szCs w:val="28"/>
        </w:rPr>
      </w:pPr>
      <w:r>
        <w:rPr>
          <w:rFonts w:hint="eastAsia" w:ascii="仿宋" w:hAnsi="仿宋" w:eastAsia="仿宋" w:cs="仿宋"/>
          <w:b/>
          <w:sz w:val="28"/>
          <w:szCs w:val="28"/>
        </w:rPr>
        <w:t>七、合同授予</w:t>
      </w:r>
    </w:p>
    <w:p>
      <w:pPr>
        <w:pStyle w:val="9"/>
        <w:spacing w:line="360" w:lineRule="auto"/>
        <w:ind w:left="479" w:hanging="479" w:hangingChars="199"/>
        <w:rPr>
          <w:rFonts w:ascii="仿宋" w:hAnsi="仿宋" w:eastAsia="仿宋" w:cs="仿宋"/>
          <w:b/>
          <w:sz w:val="24"/>
        </w:rPr>
      </w:pPr>
      <w:r>
        <w:rPr>
          <w:rFonts w:hint="eastAsia" w:ascii="仿宋" w:hAnsi="仿宋" w:eastAsia="仿宋" w:cs="仿宋"/>
          <w:b/>
          <w:sz w:val="24"/>
        </w:rPr>
        <w:t xml:space="preserve">24. </w:t>
      </w:r>
      <w:r>
        <w:rPr>
          <w:rFonts w:hint="eastAsia" w:ascii="仿宋" w:hAnsi="仿宋" w:eastAsia="仿宋" w:cs="仿宋"/>
          <w:bCs/>
          <w:sz w:val="24"/>
        </w:rPr>
        <w:t>合同主要条款详见第五部分拟签订的合同文本。</w:t>
      </w:r>
    </w:p>
    <w:p>
      <w:pPr>
        <w:pStyle w:val="9"/>
        <w:spacing w:line="360" w:lineRule="auto"/>
        <w:ind w:left="479" w:hanging="479" w:hangingChars="199"/>
        <w:rPr>
          <w:rFonts w:ascii="仿宋" w:hAnsi="仿宋" w:eastAsia="仿宋" w:cs="仿宋"/>
          <w:b/>
          <w:sz w:val="24"/>
        </w:rPr>
      </w:pPr>
      <w:r>
        <w:rPr>
          <w:rFonts w:hint="eastAsia" w:ascii="仿宋" w:hAnsi="仿宋" w:eastAsia="仿宋" w:cs="仿宋"/>
          <w:b/>
          <w:sz w:val="24"/>
        </w:rPr>
        <w:t>25. 合同的签订</w:t>
      </w:r>
    </w:p>
    <w:p>
      <w:pPr>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采购人与中标人应当通过电子交易平台在中标通知书发出之日起三十日内，按照招标文件确定的事项签订政府采购合同，并在规定时间内依法发布合同公告。</w:t>
      </w:r>
    </w:p>
    <w:p>
      <w:pPr>
        <w:pStyle w:val="52"/>
        <w:snapToGrid w:val="0"/>
        <w:spacing w:before="0"/>
        <w:ind w:left="0" w:firstLine="480" w:firstLineChars="200"/>
        <w:rPr>
          <w:rFonts w:ascii="仿宋" w:hAnsi="仿宋" w:eastAsia="仿宋" w:cs="仿宋"/>
          <w:kern w:val="0"/>
          <w:szCs w:val="24"/>
        </w:rPr>
      </w:pPr>
      <w:r>
        <w:rPr>
          <w:rFonts w:hint="eastAsia" w:ascii="仿宋" w:hAnsi="仿宋" w:eastAsia="仿宋" w:cs="仿宋"/>
          <w:kern w:val="0"/>
          <w:szCs w:val="24"/>
          <w:lang w:val="zh-CN"/>
        </w:rPr>
        <w:t>2</w:t>
      </w:r>
      <w:r>
        <w:rPr>
          <w:rFonts w:hint="eastAsia" w:ascii="仿宋" w:hAnsi="仿宋" w:eastAsia="仿宋" w:cs="仿宋"/>
          <w:kern w:val="0"/>
          <w:szCs w:val="24"/>
        </w:rPr>
        <w:t>5</w:t>
      </w:r>
      <w:r>
        <w:rPr>
          <w:rFonts w:hint="eastAsia" w:ascii="仿宋" w:hAnsi="仿宋" w:eastAsia="仿宋" w:cs="仿宋"/>
          <w:kern w:val="0"/>
          <w:szCs w:val="24"/>
          <w:lang w:val="zh-CN"/>
        </w:rPr>
        <w:t>.2中标人按规定的日期、时间、地点，由法定代表人或其授权代表与采购人代表签订合同。如中标人为联合体的，由联合体成员各方法定代表人或其授权代表与采购人代表签订合同。</w:t>
      </w:r>
    </w:p>
    <w:p>
      <w:pPr>
        <w:pStyle w:val="52"/>
        <w:snapToGrid w:val="0"/>
        <w:spacing w:before="0"/>
        <w:ind w:left="0" w:firstLine="480" w:firstLineChars="200"/>
        <w:rPr>
          <w:rFonts w:ascii="仿宋" w:hAnsi="仿宋" w:eastAsia="仿宋" w:cs="仿宋"/>
          <w:szCs w:val="24"/>
        </w:rPr>
      </w:pPr>
      <w:r>
        <w:rPr>
          <w:rFonts w:hint="eastAsia" w:ascii="仿宋" w:hAnsi="仿宋" w:eastAsia="仿宋" w:cs="仿宋"/>
          <w:szCs w:val="24"/>
        </w:rPr>
        <w:t>25.3如签订合同并生效后，供应商无故拒绝或延期，除按照合同条款处理外，列入不良行为记录一次，并给予通报。</w:t>
      </w:r>
    </w:p>
    <w:p>
      <w:pPr>
        <w:pStyle w:val="52"/>
        <w:snapToGrid w:val="0"/>
        <w:spacing w:before="0"/>
        <w:ind w:left="0" w:firstLine="480" w:firstLineChars="200"/>
        <w:rPr>
          <w:rFonts w:ascii="仿宋" w:hAnsi="仿宋" w:eastAsia="仿宋" w:cs="仿宋"/>
          <w:szCs w:val="24"/>
        </w:rPr>
      </w:pPr>
      <w:r>
        <w:rPr>
          <w:rFonts w:hint="eastAsia" w:ascii="仿宋" w:hAnsi="仿宋" w:eastAsia="仿宋" w:cs="仿宋"/>
          <w:szCs w:val="24"/>
        </w:rPr>
        <w:t>25.4中标供应商拒绝与采购人签订合同的，采购人可以按照评审报告推荐的中标或者成交候选人名单排序，确定下一候选人为中标供应商，也可以重新开展政府采购活动。</w:t>
      </w:r>
    </w:p>
    <w:p>
      <w:pPr>
        <w:pStyle w:val="9"/>
        <w:spacing w:line="360" w:lineRule="auto"/>
        <w:ind w:left="479" w:hanging="479" w:hangingChars="199"/>
        <w:rPr>
          <w:rFonts w:ascii="仿宋" w:hAnsi="仿宋" w:eastAsia="仿宋" w:cs="仿宋"/>
          <w:b/>
          <w:sz w:val="24"/>
        </w:rPr>
      </w:pPr>
      <w:r>
        <w:rPr>
          <w:rFonts w:hint="eastAsia" w:ascii="仿宋" w:hAnsi="仿宋" w:eastAsia="仿宋" w:cs="仿宋"/>
          <w:b/>
          <w:sz w:val="24"/>
        </w:rPr>
        <w:t>26. 履约保证金</w:t>
      </w:r>
    </w:p>
    <w:p>
      <w:pPr>
        <w:tabs>
          <w:tab w:val="left" w:pos="0"/>
        </w:tabs>
        <w:spacing w:line="360" w:lineRule="auto"/>
        <w:ind w:firstLine="480"/>
        <w:rPr>
          <w:rFonts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。履约保证金的数额不得超过政府采购合同金额的5%。</w:t>
      </w:r>
    </w:p>
    <w:p>
      <w:pPr>
        <w:snapToGrid w:val="0"/>
        <w:spacing w:line="360" w:lineRule="auto"/>
        <w:rPr>
          <w:rFonts w:ascii="仿宋" w:hAnsi="仿宋" w:eastAsia="仿宋" w:cs="仿宋"/>
          <w:sz w:val="24"/>
        </w:rPr>
      </w:pPr>
    </w:p>
    <w:p>
      <w:pPr>
        <w:snapToGrid w:val="0"/>
        <w:spacing w:line="360" w:lineRule="auto"/>
        <w:ind w:firstLine="2508" w:firstLineChars="1045"/>
        <w:rPr>
          <w:rFonts w:ascii="仿宋" w:hAnsi="仿宋" w:eastAsia="仿宋" w:cs="仿宋"/>
          <w:b/>
          <w:sz w:val="24"/>
        </w:rPr>
      </w:pPr>
      <w:r>
        <w:rPr>
          <w:rFonts w:hint="eastAsia" w:ascii="仿宋" w:hAnsi="仿宋" w:eastAsia="仿宋" w:cs="仿宋"/>
          <w:sz w:val="24"/>
        </w:rPr>
        <w:t xml:space="preserve"> </w:t>
      </w:r>
      <w:r>
        <w:rPr>
          <w:rFonts w:hint="eastAsia" w:ascii="仿宋" w:hAnsi="仿宋" w:eastAsia="仿宋" w:cs="仿宋"/>
          <w:b/>
          <w:sz w:val="24"/>
        </w:rPr>
        <w:t>八、电子交易活动的中止</w:t>
      </w:r>
    </w:p>
    <w:p>
      <w:pPr>
        <w:pStyle w:val="52"/>
        <w:snapToGrid w:val="0"/>
        <w:spacing w:before="0"/>
        <w:ind w:left="0" w:firstLine="0"/>
        <w:rPr>
          <w:rFonts w:ascii="仿宋" w:hAnsi="仿宋" w:eastAsia="仿宋" w:cs="仿宋"/>
          <w:szCs w:val="24"/>
        </w:rPr>
      </w:pPr>
      <w:r>
        <w:rPr>
          <w:rFonts w:hint="eastAsia" w:ascii="仿宋" w:hAnsi="仿宋" w:eastAsia="仿宋" w:cs="仿宋"/>
          <w:szCs w:val="24"/>
        </w:rPr>
        <w:t>2</w:t>
      </w:r>
      <w:r>
        <w:rPr>
          <w:rFonts w:hint="eastAsia" w:ascii="仿宋" w:hAnsi="仿宋" w:eastAsia="仿宋" w:cs="仿宋"/>
          <w:b/>
          <w:szCs w:val="24"/>
        </w:rPr>
        <w:t>7. 电子交易活动的中止。</w:t>
      </w:r>
      <w:r>
        <w:rPr>
          <w:rFonts w:hint="eastAsia" w:ascii="仿宋" w:hAnsi="仿宋" w:eastAsia="仿宋" w:cs="仿宋"/>
          <w:szCs w:val="24"/>
        </w:rPr>
        <w:t>采购过程中出现以下情形，导致电子交易平台无法正常运行，或者无法保证电子交易的公平、公正和安全时，采购机构可中止电子交易活动：</w:t>
      </w:r>
    </w:p>
    <w:p>
      <w:pPr>
        <w:pStyle w:val="52"/>
        <w:snapToGrid w:val="0"/>
        <w:spacing w:before="0"/>
        <w:ind w:firstLine="480"/>
        <w:rPr>
          <w:rFonts w:ascii="仿宋" w:hAnsi="仿宋" w:eastAsia="仿宋" w:cs="仿宋"/>
          <w:szCs w:val="24"/>
        </w:rPr>
      </w:pPr>
      <w:r>
        <w:rPr>
          <w:rFonts w:hint="eastAsia" w:ascii="仿宋" w:hAnsi="仿宋" w:eastAsia="仿宋" w:cs="仿宋"/>
          <w:szCs w:val="24"/>
        </w:rPr>
        <w:t xml:space="preserve">27.1电子交易平台发生故障而无法登录访问的； </w:t>
      </w:r>
    </w:p>
    <w:p>
      <w:pPr>
        <w:pStyle w:val="52"/>
        <w:snapToGrid w:val="0"/>
        <w:spacing w:before="0"/>
        <w:ind w:firstLine="480"/>
        <w:rPr>
          <w:rFonts w:ascii="仿宋" w:hAnsi="仿宋" w:eastAsia="仿宋" w:cs="仿宋"/>
          <w:szCs w:val="24"/>
        </w:rPr>
      </w:pPr>
      <w:r>
        <w:rPr>
          <w:rFonts w:hint="eastAsia" w:ascii="仿宋" w:hAnsi="仿宋" w:eastAsia="仿宋" w:cs="仿宋"/>
          <w:szCs w:val="24"/>
        </w:rPr>
        <w:t>27.2电子交易平台应用或数据库出现错误，不能进行正常操作的；</w:t>
      </w:r>
    </w:p>
    <w:p>
      <w:pPr>
        <w:pStyle w:val="52"/>
        <w:snapToGrid w:val="0"/>
        <w:spacing w:before="0"/>
        <w:ind w:firstLine="480"/>
        <w:rPr>
          <w:rFonts w:ascii="仿宋" w:hAnsi="仿宋" w:eastAsia="仿宋" w:cs="仿宋"/>
          <w:szCs w:val="24"/>
        </w:rPr>
      </w:pPr>
      <w:r>
        <w:rPr>
          <w:rFonts w:hint="eastAsia" w:ascii="仿宋" w:hAnsi="仿宋" w:eastAsia="仿宋" w:cs="仿宋"/>
          <w:szCs w:val="24"/>
        </w:rPr>
        <w:t>27.3电子交易平台发现严重安全漏洞，有潜在泄密危险的；</w:t>
      </w:r>
    </w:p>
    <w:p>
      <w:pPr>
        <w:pStyle w:val="52"/>
        <w:snapToGrid w:val="0"/>
        <w:spacing w:before="0"/>
        <w:ind w:firstLine="480"/>
        <w:rPr>
          <w:rFonts w:ascii="仿宋" w:hAnsi="仿宋" w:eastAsia="仿宋" w:cs="仿宋"/>
          <w:szCs w:val="24"/>
        </w:rPr>
      </w:pPr>
      <w:r>
        <w:rPr>
          <w:rFonts w:hint="eastAsia" w:ascii="仿宋" w:hAnsi="仿宋" w:eastAsia="仿宋" w:cs="仿宋"/>
          <w:szCs w:val="24"/>
        </w:rPr>
        <w:t xml:space="preserve">27.4病毒发作导致不能进行正常操作的； </w:t>
      </w:r>
    </w:p>
    <w:p>
      <w:pPr>
        <w:pStyle w:val="52"/>
        <w:snapToGrid w:val="0"/>
        <w:spacing w:before="0"/>
        <w:ind w:firstLine="480"/>
        <w:rPr>
          <w:rFonts w:ascii="仿宋" w:hAnsi="仿宋" w:eastAsia="仿宋" w:cs="仿宋"/>
          <w:szCs w:val="24"/>
        </w:rPr>
      </w:pPr>
      <w:r>
        <w:rPr>
          <w:rFonts w:hint="eastAsia" w:ascii="仿宋" w:hAnsi="仿宋" w:eastAsia="仿宋" w:cs="仿宋"/>
          <w:szCs w:val="24"/>
        </w:rPr>
        <w:t>27.5其他无法保证电子交易的公平、公正和安全的情况。</w:t>
      </w:r>
    </w:p>
    <w:p>
      <w:pPr>
        <w:pStyle w:val="52"/>
        <w:numPr>
          <w:ilvl w:val="0"/>
          <w:numId w:val="3"/>
        </w:numPr>
        <w:snapToGrid w:val="0"/>
        <w:spacing w:before="0"/>
        <w:ind w:left="0" w:firstLine="0"/>
        <w:rPr>
          <w:rFonts w:ascii="仿宋" w:hAnsi="仿宋" w:eastAsia="仿宋" w:cs="仿宋"/>
          <w:szCs w:val="24"/>
        </w:rPr>
      </w:pPr>
      <w:r>
        <w:rPr>
          <w:rFonts w:hint="eastAsia" w:ascii="仿宋" w:hAnsi="仿宋" w:eastAsia="仿宋" w:cs="仿宋"/>
          <w:szCs w:val="24"/>
        </w:rPr>
        <w:t>出现以上情形，不影响采购公平、公正性的，采购组织机构可以待上述情形消除后继续组织电子交易活动，也可以决定某些环节以纸质形式进行；影响或可能影响采购公平、公正性的，应当重新采购。</w:t>
      </w:r>
    </w:p>
    <w:p>
      <w:pPr>
        <w:pStyle w:val="52"/>
        <w:snapToGrid w:val="0"/>
        <w:spacing w:before="0"/>
        <w:ind w:left="0" w:firstLine="0"/>
        <w:rPr>
          <w:rFonts w:ascii="仿宋" w:hAnsi="仿宋" w:eastAsia="仿宋" w:cs="仿宋"/>
          <w:szCs w:val="24"/>
        </w:rPr>
      </w:pPr>
    </w:p>
    <w:p>
      <w:pPr>
        <w:snapToGrid w:val="0"/>
        <w:spacing w:line="360" w:lineRule="auto"/>
        <w:ind w:left="120" w:leftChars="57" w:firstLine="361" w:firstLineChars="150"/>
        <w:jc w:val="center"/>
        <w:rPr>
          <w:rFonts w:ascii="仿宋" w:hAnsi="仿宋" w:eastAsia="仿宋" w:cs="仿宋"/>
          <w:b/>
          <w:sz w:val="24"/>
        </w:rPr>
      </w:pPr>
      <w:r>
        <w:rPr>
          <w:rFonts w:hint="eastAsia" w:ascii="仿宋" w:hAnsi="仿宋" w:eastAsia="仿宋" w:cs="仿宋"/>
          <w:b/>
          <w:sz w:val="24"/>
        </w:rPr>
        <w:t>九、验收</w:t>
      </w:r>
    </w:p>
    <w:p>
      <w:pPr>
        <w:pStyle w:val="9"/>
        <w:spacing w:line="360" w:lineRule="auto"/>
        <w:ind w:firstLine="482"/>
        <w:rPr>
          <w:rFonts w:ascii="仿宋" w:hAnsi="仿宋" w:eastAsia="仿宋" w:cs="仿宋"/>
          <w:b/>
          <w:sz w:val="24"/>
        </w:rPr>
      </w:pPr>
      <w:r>
        <w:rPr>
          <w:rFonts w:hint="eastAsia" w:ascii="仿宋" w:hAnsi="仿宋" w:eastAsia="仿宋" w:cs="仿宋"/>
          <w:b/>
          <w:sz w:val="24"/>
        </w:rPr>
        <w:t>29.验收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合同法》。供应商在履约过程中有政府采购法律法规规定的违法违规情形的，采购人应当及时报告本级财政部门。</w:t>
      </w:r>
    </w:p>
    <w:p>
      <w:pPr>
        <w:pStyle w:val="17"/>
        <w:rPr>
          <w:rFonts w:ascii="仿宋" w:hAnsi="仿宋" w:eastAsia="仿宋" w:cs="仿宋"/>
          <w:kern w:val="0"/>
          <w:sz w:val="24"/>
        </w:rPr>
      </w:pPr>
    </w:p>
    <w:p>
      <w:pPr>
        <w:pStyle w:val="14"/>
        <w:rPr>
          <w:rFonts w:ascii="仿宋" w:hAnsi="仿宋" w:eastAsia="仿宋" w:cs="仿宋"/>
          <w:kern w:val="0"/>
          <w:sz w:val="24"/>
        </w:rPr>
      </w:pPr>
    </w:p>
    <w:p>
      <w:pPr>
        <w:rPr>
          <w:rFonts w:ascii="仿宋" w:hAnsi="仿宋" w:eastAsia="仿宋" w:cs="仿宋"/>
          <w:kern w:val="0"/>
          <w:sz w:val="24"/>
        </w:rPr>
      </w:pPr>
    </w:p>
    <w:p>
      <w:pPr>
        <w:pStyle w:val="17"/>
        <w:rPr>
          <w:rFonts w:ascii="仿宋" w:hAnsi="仿宋" w:eastAsia="仿宋" w:cs="仿宋"/>
          <w:kern w:val="0"/>
          <w:sz w:val="24"/>
        </w:rPr>
      </w:pPr>
    </w:p>
    <w:p>
      <w:pPr>
        <w:pStyle w:val="14"/>
        <w:rPr>
          <w:rFonts w:ascii="仿宋" w:hAnsi="仿宋" w:eastAsia="仿宋" w:cs="仿宋"/>
          <w:kern w:val="0"/>
          <w:sz w:val="24"/>
        </w:rPr>
      </w:pPr>
    </w:p>
    <w:p>
      <w:pPr>
        <w:rPr>
          <w:rFonts w:ascii="仿宋" w:hAnsi="仿宋" w:eastAsia="仿宋" w:cs="仿宋"/>
          <w:kern w:val="0"/>
          <w:sz w:val="24"/>
        </w:rPr>
      </w:pPr>
    </w:p>
    <w:p>
      <w:pPr>
        <w:pStyle w:val="17"/>
        <w:rPr>
          <w:rFonts w:ascii="仿宋" w:hAnsi="仿宋" w:eastAsia="仿宋" w:cs="仿宋"/>
          <w:kern w:val="0"/>
          <w:sz w:val="24"/>
        </w:rPr>
      </w:pPr>
    </w:p>
    <w:p>
      <w:pPr>
        <w:pStyle w:val="14"/>
        <w:rPr>
          <w:rFonts w:ascii="仿宋" w:hAnsi="仿宋" w:eastAsia="仿宋" w:cs="仿宋"/>
          <w:kern w:val="0"/>
          <w:sz w:val="24"/>
        </w:rPr>
      </w:pPr>
    </w:p>
    <w:p>
      <w:pPr>
        <w:rPr>
          <w:rFonts w:ascii="仿宋" w:hAnsi="仿宋" w:eastAsia="仿宋" w:cs="仿宋"/>
          <w:kern w:val="0"/>
          <w:sz w:val="24"/>
        </w:rPr>
      </w:pPr>
    </w:p>
    <w:p>
      <w:pPr>
        <w:pStyle w:val="17"/>
        <w:rPr>
          <w:rFonts w:ascii="仿宋" w:hAnsi="仿宋" w:eastAsia="仿宋" w:cs="仿宋"/>
          <w:kern w:val="0"/>
          <w:sz w:val="24"/>
        </w:rPr>
      </w:pPr>
    </w:p>
    <w:p>
      <w:pPr>
        <w:pStyle w:val="17"/>
        <w:ind w:firstLine="0"/>
        <w:rPr>
          <w:rFonts w:ascii="仿宋" w:hAnsi="仿宋" w:eastAsia="仿宋" w:cs="仿宋"/>
          <w:kern w:val="0"/>
          <w:sz w:val="24"/>
        </w:rPr>
      </w:pPr>
    </w:p>
    <w:p>
      <w:pPr>
        <w:pStyle w:val="24"/>
        <w:ind w:firstLine="0"/>
        <w:rPr>
          <w:rFonts w:ascii="仿宋" w:hAnsi="仿宋" w:eastAsia="仿宋" w:cs="仿宋"/>
          <w:kern w:val="0"/>
        </w:rPr>
      </w:pPr>
    </w:p>
    <w:p>
      <w:pPr>
        <w:pStyle w:val="24"/>
        <w:ind w:firstLine="0"/>
        <w:rPr>
          <w:rFonts w:ascii="仿宋" w:hAnsi="仿宋" w:eastAsia="仿宋" w:cs="仿宋"/>
          <w:kern w:val="0"/>
        </w:rPr>
      </w:pPr>
    </w:p>
    <w:p>
      <w:pPr>
        <w:pStyle w:val="24"/>
        <w:ind w:firstLine="0"/>
        <w:rPr>
          <w:rFonts w:ascii="仿宋" w:hAnsi="仿宋" w:eastAsia="仿宋" w:cs="仿宋"/>
          <w:kern w:val="0"/>
        </w:rPr>
      </w:pPr>
    </w:p>
    <w:p>
      <w:pPr>
        <w:pStyle w:val="24"/>
        <w:ind w:firstLine="0"/>
        <w:rPr>
          <w:rFonts w:ascii="仿宋" w:hAnsi="仿宋" w:eastAsia="仿宋" w:cs="仿宋"/>
          <w:kern w:val="0"/>
        </w:rPr>
      </w:pPr>
    </w:p>
    <w:p>
      <w:pPr>
        <w:pStyle w:val="24"/>
        <w:ind w:firstLine="0"/>
        <w:rPr>
          <w:rFonts w:ascii="仿宋" w:hAnsi="仿宋" w:eastAsia="仿宋" w:cs="仿宋"/>
          <w:kern w:val="0"/>
        </w:rPr>
      </w:pPr>
    </w:p>
    <w:p>
      <w:pPr>
        <w:pStyle w:val="24"/>
        <w:ind w:firstLine="0"/>
        <w:rPr>
          <w:rFonts w:ascii="仿宋" w:hAnsi="仿宋" w:eastAsia="仿宋" w:cs="仿宋"/>
          <w:kern w:val="0"/>
        </w:rPr>
      </w:pPr>
    </w:p>
    <w:p>
      <w:pPr>
        <w:pStyle w:val="24"/>
        <w:ind w:firstLine="0"/>
        <w:rPr>
          <w:rFonts w:ascii="仿宋" w:hAnsi="仿宋" w:eastAsia="仿宋" w:cs="仿宋"/>
          <w:kern w:val="0"/>
        </w:rPr>
      </w:pPr>
    </w:p>
    <w:p>
      <w:pPr>
        <w:pStyle w:val="24"/>
        <w:ind w:firstLine="0"/>
        <w:rPr>
          <w:rFonts w:ascii="仿宋" w:hAnsi="仿宋" w:eastAsia="仿宋" w:cs="仿宋"/>
          <w:kern w:val="0"/>
        </w:rPr>
      </w:pPr>
    </w:p>
    <w:p>
      <w:pPr>
        <w:pStyle w:val="24"/>
        <w:ind w:firstLine="0"/>
        <w:rPr>
          <w:rFonts w:ascii="仿宋" w:hAnsi="仿宋" w:eastAsia="仿宋" w:cs="仿宋"/>
          <w:kern w:val="0"/>
        </w:rPr>
      </w:pPr>
    </w:p>
    <w:p>
      <w:pPr>
        <w:pStyle w:val="24"/>
        <w:ind w:firstLine="0"/>
        <w:rPr>
          <w:rFonts w:ascii="仿宋" w:hAnsi="仿宋" w:eastAsia="仿宋" w:cs="仿宋"/>
          <w:kern w:val="0"/>
        </w:rPr>
      </w:pPr>
    </w:p>
    <w:p>
      <w:pPr>
        <w:pStyle w:val="24"/>
        <w:ind w:firstLine="0"/>
        <w:rPr>
          <w:rFonts w:ascii="仿宋" w:hAnsi="仿宋" w:eastAsia="仿宋" w:cs="仿宋"/>
          <w:kern w:val="0"/>
        </w:rPr>
      </w:pPr>
    </w:p>
    <w:p>
      <w:pPr>
        <w:pStyle w:val="24"/>
        <w:ind w:firstLine="0"/>
        <w:rPr>
          <w:rFonts w:ascii="仿宋" w:hAnsi="仿宋" w:eastAsia="仿宋" w:cs="仿宋"/>
          <w:kern w:val="0"/>
        </w:rPr>
      </w:pPr>
    </w:p>
    <w:p>
      <w:pPr>
        <w:pStyle w:val="24"/>
        <w:ind w:firstLine="0"/>
        <w:rPr>
          <w:rFonts w:ascii="仿宋" w:hAnsi="仿宋" w:eastAsia="仿宋" w:cs="仿宋"/>
          <w:kern w:val="0"/>
        </w:rPr>
      </w:pPr>
    </w:p>
    <w:p>
      <w:pPr>
        <w:pStyle w:val="24"/>
        <w:ind w:firstLine="0"/>
        <w:rPr>
          <w:rFonts w:ascii="仿宋" w:hAnsi="仿宋" w:eastAsia="仿宋" w:cs="仿宋"/>
          <w:kern w:val="0"/>
        </w:rPr>
      </w:pPr>
    </w:p>
    <w:p>
      <w:pPr>
        <w:pStyle w:val="24"/>
        <w:ind w:firstLine="0"/>
        <w:rPr>
          <w:rFonts w:ascii="仿宋" w:hAnsi="仿宋" w:eastAsia="仿宋" w:cs="仿宋"/>
          <w:kern w:val="0"/>
        </w:rPr>
      </w:pPr>
    </w:p>
    <w:p>
      <w:pPr>
        <w:pStyle w:val="24"/>
        <w:ind w:firstLine="0"/>
        <w:rPr>
          <w:rFonts w:ascii="仿宋" w:hAnsi="仿宋" w:eastAsia="仿宋" w:cs="仿宋"/>
          <w:kern w:val="0"/>
        </w:rPr>
      </w:pPr>
    </w:p>
    <w:p>
      <w:pPr>
        <w:pStyle w:val="14"/>
      </w:pPr>
    </w:p>
    <w:p>
      <w:pPr>
        <w:numPr>
          <w:ilvl w:val="0"/>
          <w:numId w:val="4"/>
        </w:numPr>
        <w:snapToGrid w:val="0"/>
        <w:spacing w:line="360" w:lineRule="auto"/>
        <w:jc w:val="center"/>
        <w:rPr>
          <w:rStyle w:val="30"/>
          <w:rFonts w:hAnsi="宋体"/>
          <w:b/>
          <w:sz w:val="36"/>
          <w:szCs w:val="36"/>
        </w:rPr>
      </w:pPr>
      <w:r>
        <w:rPr>
          <w:rStyle w:val="30"/>
          <w:rFonts w:hAnsi="宋体"/>
          <w:b/>
          <w:sz w:val="36"/>
          <w:szCs w:val="36"/>
        </w:rPr>
        <w:t>采购需求</w:t>
      </w:r>
    </w:p>
    <w:p>
      <w:pPr>
        <w:numPr>
          <w:ilvl w:val="0"/>
          <w:numId w:val="5"/>
        </w:numPr>
        <w:rPr>
          <w:b/>
        </w:rPr>
      </w:pPr>
      <w:r>
        <w:rPr>
          <w:rFonts w:hint="eastAsia"/>
          <w:b/>
        </w:rPr>
        <w:t>项目概况及要求</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（一）保洁范围：</w:t>
      </w:r>
    </w:p>
    <w:p>
      <w:pPr>
        <w:snapToGrid w:val="0"/>
        <w:spacing w:line="600" w:lineRule="exact"/>
        <w:ind w:firstLine="556"/>
        <w:rPr>
          <w:rFonts w:ascii="宋体" w:hAnsi="宋体" w:cs="宋体"/>
          <w:snapToGrid w:val="0"/>
          <w:color w:val="000000"/>
          <w:kern w:val="0"/>
          <w:sz w:val="24"/>
        </w:rPr>
      </w:pPr>
      <w:r>
        <w:rPr>
          <w:rFonts w:hint="eastAsia" w:ascii="宋体" w:hAnsi="宋体" w:cs="宋体"/>
          <w:snapToGrid w:val="0"/>
          <w:color w:val="000000"/>
          <w:kern w:val="0"/>
          <w:sz w:val="24"/>
        </w:rPr>
        <w:t>2022年度青溪新城区块道路保洁服务项目：青溪新城（睦州大道、鼓山大道、珍珠大道等）道路、侧石、人行道等全方位保洁，该保洁区块道路总里程47.207公里，道路总面积1108921.52m</w:t>
      </w:r>
      <w:r>
        <w:rPr>
          <w:rFonts w:hint="eastAsia" w:ascii="宋体" w:hAnsi="宋体" w:cs="宋体"/>
          <w:snapToGrid w:val="0"/>
          <w:color w:val="000000"/>
          <w:kern w:val="0"/>
          <w:sz w:val="24"/>
          <w:vertAlign w:val="superscript"/>
        </w:rPr>
        <w:t>2</w:t>
      </w:r>
      <w:r>
        <w:rPr>
          <w:rFonts w:hint="eastAsia" w:ascii="宋体" w:hAnsi="宋体" w:cs="宋体"/>
          <w:snapToGrid w:val="0"/>
          <w:color w:val="000000"/>
          <w:kern w:val="0"/>
          <w:sz w:val="24"/>
        </w:rPr>
        <w:t xml:space="preserve"> 。其中：一类道路里程4.372公里，道路面积108722.90 m</w:t>
      </w:r>
      <w:r>
        <w:rPr>
          <w:rFonts w:hint="eastAsia" w:ascii="宋体" w:hAnsi="宋体" w:cs="宋体"/>
          <w:snapToGrid w:val="0"/>
          <w:color w:val="000000"/>
          <w:kern w:val="0"/>
          <w:sz w:val="24"/>
          <w:vertAlign w:val="superscript"/>
        </w:rPr>
        <w:t>2</w:t>
      </w:r>
      <w:r>
        <w:rPr>
          <w:rFonts w:hint="eastAsia" w:ascii="宋体" w:hAnsi="宋体" w:cs="宋体"/>
          <w:snapToGrid w:val="0"/>
          <w:color w:val="000000"/>
          <w:kern w:val="0"/>
          <w:sz w:val="24"/>
        </w:rPr>
        <w:t>；二类道路里程22.840公里，道路面积654085.75m</w:t>
      </w:r>
      <w:r>
        <w:rPr>
          <w:rFonts w:hint="eastAsia" w:ascii="宋体" w:hAnsi="宋体" w:cs="宋体"/>
          <w:snapToGrid w:val="0"/>
          <w:color w:val="000000"/>
          <w:kern w:val="0"/>
          <w:sz w:val="24"/>
          <w:vertAlign w:val="superscript"/>
        </w:rPr>
        <w:t>2</w:t>
      </w:r>
      <w:r>
        <w:rPr>
          <w:rFonts w:hint="eastAsia" w:ascii="宋体" w:hAnsi="宋体" w:cs="宋体"/>
          <w:snapToGrid w:val="0"/>
          <w:color w:val="000000"/>
          <w:kern w:val="0"/>
          <w:sz w:val="24"/>
        </w:rPr>
        <w:t>；三类道路里程19.995公里，道路面积346112.87m</w:t>
      </w:r>
      <w:r>
        <w:rPr>
          <w:rFonts w:hint="eastAsia" w:ascii="宋体" w:hAnsi="宋体" w:cs="宋体"/>
          <w:snapToGrid w:val="0"/>
          <w:color w:val="000000"/>
          <w:kern w:val="0"/>
          <w:sz w:val="24"/>
          <w:vertAlign w:val="superscript"/>
        </w:rPr>
        <w:t>2</w:t>
      </w:r>
      <w:r>
        <w:rPr>
          <w:rFonts w:hint="eastAsia" w:ascii="宋体" w:hAnsi="宋体" w:cs="宋体"/>
          <w:snapToGrid w:val="0"/>
          <w:color w:val="000000"/>
          <w:kern w:val="0"/>
          <w:sz w:val="24"/>
        </w:rPr>
        <w:t>。</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（二）保洁内容：</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1、道路及人行道人工和机械清扫、垃圾拾检。</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2、道路、人行道、交通护栏常态化人工清洗。</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3、沿街果壳箱、垃圾收集点常态化人工清洗</w:t>
      </w:r>
      <w:r>
        <w:rPr>
          <w:rFonts w:hint="eastAsia" w:ascii="宋体" w:hAnsi="宋体" w:cs="宋体"/>
          <w:snapToGrid w:val="0"/>
          <w:color w:val="000000"/>
          <w:kern w:val="0"/>
          <w:sz w:val="24"/>
        </w:rPr>
        <w:t>，果壳箱、清洁桶内壁定期</w:t>
      </w:r>
      <w:r>
        <w:rPr>
          <w:rFonts w:hint="eastAsia" w:ascii="宋体" w:hAnsi="宋体" w:cs="宋体"/>
          <w:snapToGrid w:val="0"/>
          <w:kern w:val="0"/>
          <w:sz w:val="24"/>
        </w:rPr>
        <w:t>更换清洗。</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4、道路机扫、洒水降尘常态化。</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5、道路保洁范围及等级：</w:t>
      </w:r>
    </w:p>
    <w:tbl>
      <w:tblPr>
        <w:tblStyle w:val="19"/>
        <w:tblW w:w="11500" w:type="dxa"/>
        <w:jc w:val="center"/>
        <w:tblLayout w:type="fixed"/>
        <w:tblCellMar>
          <w:top w:w="0" w:type="dxa"/>
          <w:left w:w="108" w:type="dxa"/>
          <w:bottom w:w="0" w:type="dxa"/>
          <w:right w:w="108" w:type="dxa"/>
        </w:tblCellMar>
      </w:tblPr>
      <w:tblGrid>
        <w:gridCol w:w="436"/>
        <w:gridCol w:w="1114"/>
        <w:gridCol w:w="729"/>
        <w:gridCol w:w="2378"/>
        <w:gridCol w:w="1136"/>
        <w:gridCol w:w="1334"/>
        <w:gridCol w:w="1103"/>
        <w:gridCol w:w="1093"/>
        <w:gridCol w:w="1039"/>
        <w:gridCol w:w="1138"/>
      </w:tblGrid>
      <w:tr>
        <w:tblPrEx>
          <w:tblCellMar>
            <w:top w:w="0" w:type="dxa"/>
            <w:left w:w="108" w:type="dxa"/>
            <w:bottom w:w="0" w:type="dxa"/>
            <w:right w:w="108" w:type="dxa"/>
          </w:tblCellMar>
        </w:tblPrEx>
        <w:trPr>
          <w:trHeight w:val="435" w:hRule="atLeast"/>
          <w:jc w:val="center"/>
        </w:trPr>
        <w:tc>
          <w:tcPr>
            <w:tcW w:w="43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111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道路名称</w:t>
            </w:r>
          </w:p>
        </w:tc>
        <w:tc>
          <w:tcPr>
            <w:tcW w:w="72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道路等级</w:t>
            </w:r>
          </w:p>
        </w:tc>
        <w:tc>
          <w:tcPr>
            <w:tcW w:w="237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起始点</w:t>
            </w:r>
          </w:p>
        </w:tc>
        <w:tc>
          <w:tcPr>
            <w:tcW w:w="113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长度（米）</w:t>
            </w:r>
          </w:p>
        </w:tc>
        <w:tc>
          <w:tcPr>
            <w:tcW w:w="13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机动车道面积（㎡）</w:t>
            </w:r>
          </w:p>
        </w:tc>
        <w:tc>
          <w:tcPr>
            <w:tcW w:w="110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非机动车道面积（㎡）</w:t>
            </w:r>
          </w:p>
        </w:tc>
        <w:tc>
          <w:tcPr>
            <w:tcW w:w="10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人行道面积（㎡）</w:t>
            </w:r>
          </w:p>
        </w:tc>
        <w:tc>
          <w:tcPr>
            <w:tcW w:w="103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b/>
                <w:bCs/>
                <w:color w:val="000000"/>
                <w:kern w:val="0"/>
                <w:sz w:val="18"/>
                <w:szCs w:val="18"/>
              </w:rPr>
            </w:pPr>
            <w:r>
              <w:rPr>
                <w:rFonts w:hint="eastAsia" w:ascii="宋体" w:hAnsi="宋体" w:cs="宋体"/>
                <w:b/>
                <w:bCs/>
                <w:color w:val="000000"/>
                <w:kern w:val="0"/>
                <w:sz w:val="18"/>
                <w:szCs w:val="18"/>
              </w:rPr>
              <w:t>清扫总面积（㎡）</w:t>
            </w:r>
          </w:p>
        </w:tc>
        <w:tc>
          <w:tcPr>
            <w:tcW w:w="1138"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b/>
                <w:bCs/>
                <w:color w:val="000000"/>
                <w:kern w:val="0"/>
                <w:sz w:val="18"/>
                <w:szCs w:val="18"/>
              </w:rPr>
            </w:pPr>
          </w:p>
        </w:tc>
      </w:tr>
      <w:tr>
        <w:tblPrEx>
          <w:tblCellMar>
            <w:top w:w="0" w:type="dxa"/>
            <w:left w:w="108" w:type="dxa"/>
            <w:bottom w:w="0" w:type="dxa"/>
            <w:right w:w="108" w:type="dxa"/>
          </w:tblCellMar>
        </w:tblPrEx>
        <w:trPr>
          <w:trHeight w:val="405" w:hRule="atLeast"/>
          <w:jc w:val="center"/>
        </w:trPr>
        <w:tc>
          <w:tcPr>
            <w:tcW w:w="436"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b/>
                <w:bCs/>
                <w:color w:val="000000"/>
                <w:kern w:val="0"/>
                <w:sz w:val="18"/>
                <w:szCs w:val="18"/>
              </w:rPr>
            </w:pPr>
          </w:p>
        </w:tc>
        <w:tc>
          <w:tcPr>
            <w:tcW w:w="1114"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b/>
                <w:bCs/>
                <w:color w:val="000000"/>
                <w:kern w:val="0"/>
                <w:sz w:val="18"/>
                <w:szCs w:val="18"/>
              </w:rPr>
            </w:pPr>
          </w:p>
        </w:tc>
        <w:tc>
          <w:tcPr>
            <w:tcW w:w="729"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b/>
                <w:bCs/>
                <w:color w:val="000000"/>
                <w:kern w:val="0"/>
                <w:sz w:val="18"/>
                <w:szCs w:val="18"/>
              </w:rPr>
            </w:pPr>
          </w:p>
        </w:tc>
        <w:tc>
          <w:tcPr>
            <w:tcW w:w="2378"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b/>
                <w:bCs/>
                <w:color w:val="000000"/>
                <w:kern w:val="0"/>
                <w:sz w:val="18"/>
                <w:szCs w:val="18"/>
              </w:rPr>
            </w:pPr>
          </w:p>
        </w:tc>
        <w:tc>
          <w:tcPr>
            <w:tcW w:w="1136"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b/>
                <w:bCs/>
                <w:color w:val="000000"/>
                <w:kern w:val="0"/>
                <w:sz w:val="18"/>
                <w:szCs w:val="18"/>
              </w:rPr>
            </w:pPr>
          </w:p>
        </w:tc>
        <w:tc>
          <w:tcPr>
            <w:tcW w:w="1334"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b/>
                <w:bCs/>
                <w:color w:val="000000"/>
                <w:kern w:val="0"/>
                <w:sz w:val="18"/>
                <w:szCs w:val="18"/>
              </w:rPr>
            </w:pPr>
          </w:p>
        </w:tc>
        <w:tc>
          <w:tcPr>
            <w:tcW w:w="1103"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b/>
                <w:bCs/>
                <w:color w:val="000000"/>
                <w:kern w:val="0"/>
                <w:sz w:val="18"/>
                <w:szCs w:val="18"/>
              </w:rPr>
            </w:pPr>
          </w:p>
        </w:tc>
        <w:tc>
          <w:tcPr>
            <w:tcW w:w="1093"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b/>
                <w:bCs/>
                <w:color w:val="000000"/>
                <w:kern w:val="0"/>
                <w:sz w:val="18"/>
                <w:szCs w:val="18"/>
              </w:rPr>
            </w:pPr>
          </w:p>
        </w:tc>
        <w:tc>
          <w:tcPr>
            <w:tcW w:w="1039"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b/>
                <w:bCs/>
                <w:color w:val="000000"/>
                <w:kern w:val="0"/>
                <w:sz w:val="18"/>
                <w:szCs w:val="18"/>
              </w:rPr>
            </w:pPr>
          </w:p>
        </w:tc>
        <w:tc>
          <w:tcPr>
            <w:tcW w:w="1138" w:type="dxa"/>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1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鼓山大道</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环湖北路鼓山路口至何家源村路口</w:t>
            </w:r>
          </w:p>
        </w:tc>
        <w:tc>
          <w:tcPr>
            <w:tcW w:w="11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1557</w:t>
            </w:r>
          </w:p>
        </w:tc>
        <w:tc>
          <w:tcPr>
            <w:tcW w:w="13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27220.79</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13495.75</w:t>
            </w:r>
          </w:p>
        </w:tc>
        <w:tc>
          <w:tcPr>
            <w:tcW w:w="103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40716.54</w:t>
            </w:r>
          </w:p>
        </w:tc>
        <w:tc>
          <w:tcPr>
            <w:tcW w:w="11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考虑夜班</w:t>
            </w: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1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涌金路</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鼓山大道至新城社区（涌金路435号）</w:t>
            </w:r>
          </w:p>
        </w:tc>
        <w:tc>
          <w:tcPr>
            <w:tcW w:w="11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1273.49</w:t>
            </w:r>
          </w:p>
        </w:tc>
        <w:tc>
          <w:tcPr>
            <w:tcW w:w="13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20571.92</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13255.44</w:t>
            </w:r>
          </w:p>
        </w:tc>
        <w:tc>
          <w:tcPr>
            <w:tcW w:w="103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33827.36</w:t>
            </w:r>
          </w:p>
        </w:tc>
        <w:tc>
          <w:tcPr>
            <w:tcW w:w="11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考虑夜班</w:t>
            </w: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1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丰家山路</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涌金路435号至丰家山路227号</w:t>
            </w:r>
          </w:p>
        </w:tc>
        <w:tc>
          <w:tcPr>
            <w:tcW w:w="11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719.51</w:t>
            </w:r>
          </w:p>
        </w:tc>
        <w:tc>
          <w:tcPr>
            <w:tcW w:w="13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8868.45</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10734.94</w:t>
            </w:r>
          </w:p>
        </w:tc>
        <w:tc>
          <w:tcPr>
            <w:tcW w:w="103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19603.39</w:t>
            </w:r>
          </w:p>
        </w:tc>
        <w:tc>
          <w:tcPr>
            <w:tcW w:w="11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考虑夜班</w:t>
            </w: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1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进士路</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涌金路至千岛湖大道</w:t>
            </w:r>
          </w:p>
        </w:tc>
        <w:tc>
          <w:tcPr>
            <w:tcW w:w="11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821.81</w:t>
            </w:r>
          </w:p>
        </w:tc>
        <w:tc>
          <w:tcPr>
            <w:tcW w:w="13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8540.33</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6035.28</w:t>
            </w:r>
          </w:p>
        </w:tc>
        <w:tc>
          <w:tcPr>
            <w:tcW w:w="103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14575.61</w:t>
            </w:r>
          </w:p>
        </w:tc>
        <w:tc>
          <w:tcPr>
            <w:tcW w:w="11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考虑夜班</w:t>
            </w: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nil"/>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114" w:type="dxa"/>
            <w:tcBorders>
              <w:top w:val="nil"/>
              <w:left w:val="nil"/>
              <w:bottom w:val="nil"/>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芙蓉路</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睦州大道至云山路</w:t>
            </w:r>
          </w:p>
        </w:tc>
        <w:tc>
          <w:tcPr>
            <w:tcW w:w="11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696.55</w:t>
            </w:r>
          </w:p>
        </w:tc>
        <w:tc>
          <w:tcPr>
            <w:tcW w:w="13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10290.63</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7147.02</w:t>
            </w:r>
          </w:p>
        </w:tc>
        <w:tc>
          <w:tcPr>
            <w:tcW w:w="1039" w:type="dxa"/>
            <w:tcBorders>
              <w:top w:val="nil"/>
              <w:left w:val="nil"/>
              <w:bottom w:val="nil"/>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17437.65</w:t>
            </w:r>
          </w:p>
        </w:tc>
        <w:tc>
          <w:tcPr>
            <w:tcW w:w="1138" w:type="dxa"/>
            <w:tcBorders>
              <w:top w:val="nil"/>
              <w:left w:val="nil"/>
              <w:bottom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43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11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永兴路</w:t>
            </w:r>
          </w:p>
        </w:tc>
        <w:tc>
          <w:tcPr>
            <w:tcW w:w="729"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永兴路口至天道实业</w:t>
            </w:r>
          </w:p>
        </w:tc>
        <w:tc>
          <w:tcPr>
            <w:tcW w:w="1136"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1138.65</w:t>
            </w:r>
          </w:p>
        </w:tc>
        <w:tc>
          <w:tcPr>
            <w:tcW w:w="1334"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12963.1</w:t>
            </w:r>
          </w:p>
        </w:tc>
        <w:tc>
          <w:tcPr>
            <w:tcW w:w="1103"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10044.03</w:t>
            </w:r>
          </w:p>
        </w:tc>
        <w:tc>
          <w:tcPr>
            <w:tcW w:w="103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23007.13</w:t>
            </w:r>
          </w:p>
        </w:tc>
        <w:tc>
          <w:tcPr>
            <w:tcW w:w="1138"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436"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color w:val="000000"/>
                <w:kern w:val="0"/>
                <w:sz w:val="18"/>
                <w:szCs w:val="18"/>
              </w:rPr>
            </w:pPr>
          </w:p>
        </w:tc>
        <w:tc>
          <w:tcPr>
            <w:tcW w:w="1114"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color w:val="000000"/>
                <w:kern w:val="0"/>
                <w:sz w:val="18"/>
                <w:szCs w:val="18"/>
              </w:rPr>
            </w:pPr>
          </w:p>
        </w:tc>
        <w:tc>
          <w:tcPr>
            <w:tcW w:w="729" w:type="dxa"/>
            <w:vMerge w:val="continue"/>
            <w:tcBorders>
              <w:top w:val="nil"/>
              <w:left w:val="single" w:color="auto" w:sz="4" w:space="0"/>
              <w:bottom w:val="single" w:color="000000" w:sz="4" w:space="0"/>
              <w:right w:val="single" w:color="auto" w:sz="4" w:space="0"/>
            </w:tcBorders>
            <w:vAlign w:val="center"/>
          </w:tcPr>
          <w:p>
            <w:pPr>
              <w:jc w:val="left"/>
              <w:rPr>
                <w:rFonts w:ascii="宋体" w:hAnsi="宋体" w:cs="宋体"/>
                <w:color w:val="000000"/>
                <w:kern w:val="0"/>
                <w:sz w:val="18"/>
                <w:szCs w:val="18"/>
              </w:rPr>
            </w:pP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（至嘉豪生物、至二轻一建）</w:t>
            </w:r>
          </w:p>
        </w:tc>
        <w:tc>
          <w:tcPr>
            <w:tcW w:w="1136" w:type="dxa"/>
            <w:vMerge w:val="continue"/>
            <w:tcBorders>
              <w:top w:val="nil"/>
              <w:left w:val="single" w:color="auto" w:sz="4" w:space="0"/>
              <w:bottom w:val="single" w:color="000000" w:sz="4" w:space="0"/>
              <w:right w:val="single" w:color="auto" w:sz="4" w:space="0"/>
            </w:tcBorders>
            <w:vAlign w:val="center"/>
          </w:tcPr>
          <w:p>
            <w:pPr>
              <w:jc w:val="left"/>
              <w:rPr>
                <w:rFonts w:ascii="宋体" w:hAnsi="宋体" w:cs="宋体"/>
                <w:color w:val="000000"/>
                <w:kern w:val="0"/>
                <w:sz w:val="18"/>
                <w:szCs w:val="18"/>
              </w:rPr>
            </w:pPr>
          </w:p>
        </w:tc>
        <w:tc>
          <w:tcPr>
            <w:tcW w:w="1334" w:type="dxa"/>
            <w:vMerge w:val="continue"/>
            <w:tcBorders>
              <w:top w:val="nil"/>
              <w:left w:val="single" w:color="auto" w:sz="4" w:space="0"/>
              <w:bottom w:val="single" w:color="000000" w:sz="4" w:space="0"/>
              <w:right w:val="single" w:color="auto" w:sz="4" w:space="0"/>
            </w:tcBorders>
            <w:vAlign w:val="center"/>
          </w:tcPr>
          <w:p>
            <w:pPr>
              <w:jc w:val="left"/>
              <w:rPr>
                <w:rFonts w:ascii="宋体" w:hAnsi="宋体" w:cs="宋体"/>
                <w:color w:val="000000"/>
                <w:kern w:val="0"/>
                <w:sz w:val="18"/>
                <w:szCs w:val="18"/>
              </w:rPr>
            </w:pPr>
          </w:p>
        </w:tc>
        <w:tc>
          <w:tcPr>
            <w:tcW w:w="1103" w:type="dxa"/>
            <w:vMerge w:val="continue"/>
            <w:tcBorders>
              <w:top w:val="nil"/>
              <w:left w:val="single" w:color="auto" w:sz="4" w:space="0"/>
              <w:bottom w:val="single" w:color="000000" w:sz="4" w:space="0"/>
              <w:right w:val="single" w:color="auto" w:sz="4" w:space="0"/>
            </w:tcBorders>
            <w:vAlign w:val="center"/>
          </w:tcPr>
          <w:p>
            <w:pPr>
              <w:jc w:val="left"/>
              <w:rPr>
                <w:rFonts w:ascii="宋体" w:hAnsi="宋体" w:cs="宋体"/>
                <w:color w:val="000000"/>
                <w:kern w:val="0"/>
                <w:sz w:val="18"/>
                <w:szCs w:val="18"/>
              </w:rPr>
            </w:pPr>
          </w:p>
        </w:tc>
        <w:tc>
          <w:tcPr>
            <w:tcW w:w="1093" w:type="dxa"/>
            <w:vMerge w:val="continue"/>
            <w:tcBorders>
              <w:top w:val="nil"/>
              <w:left w:val="single" w:color="auto" w:sz="4" w:space="0"/>
              <w:bottom w:val="single" w:color="000000" w:sz="4" w:space="0"/>
              <w:right w:val="single" w:color="auto" w:sz="4" w:space="0"/>
            </w:tcBorders>
            <w:vAlign w:val="center"/>
          </w:tcPr>
          <w:p>
            <w:pPr>
              <w:jc w:val="left"/>
              <w:rPr>
                <w:rFonts w:ascii="宋体" w:hAnsi="宋体" w:cs="宋体"/>
                <w:color w:val="000000"/>
                <w:kern w:val="0"/>
                <w:sz w:val="18"/>
                <w:szCs w:val="18"/>
              </w:rPr>
            </w:pPr>
          </w:p>
        </w:tc>
        <w:tc>
          <w:tcPr>
            <w:tcW w:w="1039"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color w:val="000000"/>
                <w:kern w:val="0"/>
                <w:sz w:val="18"/>
                <w:szCs w:val="18"/>
              </w:rPr>
            </w:pPr>
          </w:p>
        </w:tc>
        <w:tc>
          <w:tcPr>
            <w:tcW w:w="1138" w:type="dxa"/>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1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青溪大道</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睦州大道至珍珠大道</w:t>
            </w:r>
          </w:p>
        </w:tc>
        <w:tc>
          <w:tcPr>
            <w:tcW w:w="11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3881.16</w:t>
            </w:r>
          </w:p>
        </w:tc>
        <w:tc>
          <w:tcPr>
            <w:tcW w:w="13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73436.21</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27382.56</w:t>
            </w:r>
          </w:p>
        </w:tc>
        <w:tc>
          <w:tcPr>
            <w:tcW w:w="103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100818.77</w:t>
            </w:r>
          </w:p>
        </w:tc>
        <w:tc>
          <w:tcPr>
            <w:tcW w:w="11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1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珍珠大道</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珍珠一路南端至东南旅游码头</w:t>
            </w:r>
          </w:p>
        </w:tc>
        <w:tc>
          <w:tcPr>
            <w:tcW w:w="11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4131.57</w:t>
            </w:r>
          </w:p>
        </w:tc>
        <w:tc>
          <w:tcPr>
            <w:tcW w:w="13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74442.81</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32061.72</w:t>
            </w:r>
          </w:p>
        </w:tc>
        <w:tc>
          <w:tcPr>
            <w:tcW w:w="103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106504.53</w:t>
            </w:r>
          </w:p>
        </w:tc>
        <w:tc>
          <w:tcPr>
            <w:tcW w:w="11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1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珍珠一路</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青溪大道至珍珠大道</w:t>
            </w:r>
          </w:p>
        </w:tc>
        <w:tc>
          <w:tcPr>
            <w:tcW w:w="11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333.26</w:t>
            </w:r>
          </w:p>
        </w:tc>
        <w:tc>
          <w:tcPr>
            <w:tcW w:w="13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4683.24</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1038.14</w:t>
            </w:r>
          </w:p>
        </w:tc>
        <w:tc>
          <w:tcPr>
            <w:tcW w:w="103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5721.38</w:t>
            </w:r>
          </w:p>
        </w:tc>
        <w:tc>
          <w:tcPr>
            <w:tcW w:w="11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1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珍珠二路</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青溪大道至珍珠大道</w:t>
            </w:r>
          </w:p>
        </w:tc>
        <w:tc>
          <w:tcPr>
            <w:tcW w:w="11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299.98</w:t>
            </w:r>
          </w:p>
        </w:tc>
        <w:tc>
          <w:tcPr>
            <w:tcW w:w="13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5333.35</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1131.48</w:t>
            </w:r>
          </w:p>
        </w:tc>
        <w:tc>
          <w:tcPr>
            <w:tcW w:w="103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6464.83</w:t>
            </w:r>
          </w:p>
        </w:tc>
        <w:tc>
          <w:tcPr>
            <w:tcW w:w="11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1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珍珠三路</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青溪大道至珍珠大道</w:t>
            </w:r>
          </w:p>
        </w:tc>
        <w:tc>
          <w:tcPr>
            <w:tcW w:w="11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294.46</w:t>
            </w:r>
          </w:p>
        </w:tc>
        <w:tc>
          <w:tcPr>
            <w:tcW w:w="13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3388.12</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1900.68</w:t>
            </w:r>
          </w:p>
        </w:tc>
        <w:tc>
          <w:tcPr>
            <w:tcW w:w="103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5288.8</w:t>
            </w:r>
          </w:p>
        </w:tc>
        <w:tc>
          <w:tcPr>
            <w:tcW w:w="11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1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珍珠五路</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青溪大道至珍珠大道</w:t>
            </w:r>
          </w:p>
        </w:tc>
        <w:tc>
          <w:tcPr>
            <w:tcW w:w="11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821.81</w:t>
            </w:r>
          </w:p>
        </w:tc>
        <w:tc>
          <w:tcPr>
            <w:tcW w:w="13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11318.83</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4703.51</w:t>
            </w:r>
          </w:p>
        </w:tc>
        <w:tc>
          <w:tcPr>
            <w:tcW w:w="103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16022.34</w:t>
            </w:r>
          </w:p>
        </w:tc>
        <w:tc>
          <w:tcPr>
            <w:tcW w:w="11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1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珍珠七路</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青溪大道至珍珠大道</w:t>
            </w:r>
          </w:p>
        </w:tc>
        <w:tc>
          <w:tcPr>
            <w:tcW w:w="11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724.5</w:t>
            </w:r>
          </w:p>
        </w:tc>
        <w:tc>
          <w:tcPr>
            <w:tcW w:w="13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9351.56</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4215.06</w:t>
            </w:r>
          </w:p>
        </w:tc>
        <w:tc>
          <w:tcPr>
            <w:tcW w:w="103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13566.62</w:t>
            </w:r>
          </w:p>
        </w:tc>
        <w:tc>
          <w:tcPr>
            <w:tcW w:w="11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1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康盛路</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高速路口至天鹅山路</w:t>
            </w:r>
          </w:p>
        </w:tc>
        <w:tc>
          <w:tcPr>
            <w:tcW w:w="11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1560</w:t>
            </w:r>
          </w:p>
        </w:tc>
        <w:tc>
          <w:tcPr>
            <w:tcW w:w="13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18615.23</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12727.6</w:t>
            </w:r>
          </w:p>
        </w:tc>
        <w:tc>
          <w:tcPr>
            <w:tcW w:w="103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31342.83</w:t>
            </w:r>
          </w:p>
        </w:tc>
        <w:tc>
          <w:tcPr>
            <w:tcW w:w="11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436" w:type="dxa"/>
            <w:vMerge w:val="restart"/>
            <w:tcBorders>
              <w:top w:val="single" w:color="000000" w:sz="4" w:space="0"/>
              <w:left w:val="single" w:color="auto" w:sz="4" w:space="0"/>
              <w:bottom w:val="nil"/>
              <w:right w:val="single" w:color="auto" w:sz="4" w:space="0"/>
            </w:tcBorders>
            <w:shd w:val="clear" w:color="000000" w:fill="FFFFFF"/>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114" w:type="dxa"/>
            <w:vMerge w:val="restart"/>
            <w:tcBorders>
              <w:top w:val="single" w:color="000000" w:sz="4" w:space="0"/>
              <w:left w:val="single" w:color="auto" w:sz="4" w:space="0"/>
              <w:bottom w:val="nil"/>
              <w:right w:val="single" w:color="auto" w:sz="4" w:space="0"/>
            </w:tcBorders>
            <w:shd w:val="clear" w:color="000000" w:fill="FFFFFF"/>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进贤大道</w:t>
            </w:r>
          </w:p>
        </w:tc>
        <w:tc>
          <w:tcPr>
            <w:tcW w:w="729" w:type="dxa"/>
            <w:vMerge w:val="restart"/>
            <w:tcBorders>
              <w:top w:val="single" w:color="000000" w:sz="4" w:space="0"/>
              <w:left w:val="single" w:color="auto" w:sz="4" w:space="0"/>
              <w:bottom w:val="single" w:color="000000" w:sz="4" w:space="0"/>
              <w:right w:val="single" w:color="auto" w:sz="4" w:space="0"/>
            </w:tcBorders>
            <w:shd w:val="clear" w:color="000000" w:fill="FFFFFF"/>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378"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青溪高速出口至</w:t>
            </w:r>
          </w:p>
        </w:tc>
        <w:tc>
          <w:tcPr>
            <w:tcW w:w="1136" w:type="dxa"/>
            <w:vMerge w:val="restart"/>
            <w:tcBorders>
              <w:top w:val="single" w:color="000000" w:sz="4" w:space="0"/>
              <w:left w:val="single" w:color="auto" w:sz="4" w:space="0"/>
              <w:bottom w:val="single" w:color="000000" w:sz="4" w:space="0"/>
              <w:right w:val="single" w:color="auto" w:sz="4" w:space="0"/>
            </w:tcBorders>
            <w:shd w:val="clear" w:color="000000" w:fill="FFFFFF"/>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1784.35</w:t>
            </w:r>
          </w:p>
        </w:tc>
        <w:tc>
          <w:tcPr>
            <w:tcW w:w="1334" w:type="dxa"/>
            <w:vMerge w:val="restart"/>
            <w:tcBorders>
              <w:top w:val="single" w:color="000000" w:sz="4" w:space="0"/>
              <w:left w:val="single" w:color="auto" w:sz="4" w:space="0"/>
              <w:bottom w:val="single" w:color="000000" w:sz="4" w:space="0"/>
              <w:right w:val="single" w:color="auto" w:sz="4" w:space="0"/>
            </w:tcBorders>
            <w:shd w:val="clear" w:color="000000" w:fill="FFFFFF"/>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61976.63</w:t>
            </w:r>
          </w:p>
        </w:tc>
        <w:tc>
          <w:tcPr>
            <w:tcW w:w="1103" w:type="dxa"/>
            <w:vMerge w:val="restart"/>
            <w:tcBorders>
              <w:top w:val="single" w:color="000000" w:sz="4" w:space="0"/>
              <w:left w:val="single" w:color="auto" w:sz="4" w:space="0"/>
              <w:bottom w:val="single" w:color="000000" w:sz="4" w:space="0"/>
              <w:right w:val="single" w:color="auto" w:sz="4" w:space="0"/>
            </w:tcBorders>
            <w:shd w:val="clear" w:color="000000" w:fill="FFFFFF"/>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vMerge w:val="restart"/>
            <w:tcBorders>
              <w:top w:val="single" w:color="000000" w:sz="4" w:space="0"/>
              <w:left w:val="single" w:color="auto" w:sz="4" w:space="0"/>
              <w:bottom w:val="single" w:color="000000" w:sz="4" w:space="0"/>
              <w:right w:val="single" w:color="auto" w:sz="4" w:space="0"/>
            </w:tcBorders>
            <w:shd w:val="clear" w:color="000000" w:fill="FFFFFF"/>
            <w:vAlign w:val="center"/>
          </w:tcPr>
          <w:p>
            <w:pPr>
              <w:jc w:val="center"/>
              <w:rPr>
                <w:rFonts w:ascii="宋体" w:hAnsi="宋体" w:cs="宋体"/>
                <w:color w:val="FF0000"/>
                <w:kern w:val="0"/>
                <w:sz w:val="18"/>
                <w:szCs w:val="18"/>
              </w:rPr>
            </w:pPr>
            <w:r>
              <w:rPr>
                <w:rFonts w:hint="eastAsia" w:ascii="宋体" w:hAnsi="宋体" w:cs="宋体"/>
                <w:kern w:val="0"/>
                <w:sz w:val="18"/>
                <w:szCs w:val="18"/>
              </w:rPr>
              <w:t>9922.59</w:t>
            </w:r>
          </w:p>
        </w:tc>
        <w:tc>
          <w:tcPr>
            <w:tcW w:w="1039" w:type="dxa"/>
            <w:vMerge w:val="restart"/>
            <w:tcBorders>
              <w:top w:val="single" w:color="000000" w:sz="4" w:space="0"/>
              <w:left w:val="single" w:color="auto" w:sz="4" w:space="0"/>
              <w:bottom w:val="single" w:color="000000" w:sz="4" w:space="0"/>
              <w:right w:val="single" w:color="auto" w:sz="4" w:space="0"/>
            </w:tcBorders>
            <w:shd w:val="clear" w:color="000000" w:fill="FFFFFF"/>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71899.22</w:t>
            </w:r>
          </w:p>
        </w:tc>
        <w:tc>
          <w:tcPr>
            <w:tcW w:w="1138" w:type="dxa"/>
            <w:tcBorders>
              <w:top w:val="single" w:color="000000" w:sz="4" w:space="0"/>
              <w:left w:val="single" w:color="auto" w:sz="4" w:space="0"/>
              <w:bottom w:val="single" w:color="000000" w:sz="4" w:space="0"/>
              <w:right w:val="single" w:color="auto" w:sz="4" w:space="0"/>
            </w:tcBorders>
            <w:shd w:val="clear" w:color="000000" w:fill="FFFFFF"/>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436" w:type="dxa"/>
            <w:vMerge w:val="continue"/>
            <w:tcBorders>
              <w:top w:val="single" w:color="000000" w:sz="4" w:space="0"/>
              <w:left w:val="single" w:color="auto" w:sz="4" w:space="0"/>
              <w:bottom w:val="nil"/>
              <w:right w:val="single" w:color="auto" w:sz="4" w:space="0"/>
            </w:tcBorders>
            <w:vAlign w:val="center"/>
          </w:tcPr>
          <w:p>
            <w:pPr>
              <w:jc w:val="left"/>
              <w:rPr>
                <w:rFonts w:ascii="宋体" w:hAnsi="宋体" w:cs="宋体"/>
                <w:color w:val="000000"/>
                <w:kern w:val="0"/>
                <w:sz w:val="18"/>
                <w:szCs w:val="18"/>
              </w:rPr>
            </w:pPr>
          </w:p>
        </w:tc>
        <w:tc>
          <w:tcPr>
            <w:tcW w:w="1114" w:type="dxa"/>
            <w:vMerge w:val="continue"/>
            <w:tcBorders>
              <w:top w:val="single" w:color="000000" w:sz="4" w:space="0"/>
              <w:left w:val="single" w:color="auto" w:sz="4" w:space="0"/>
              <w:bottom w:val="nil"/>
              <w:right w:val="single" w:color="auto" w:sz="4" w:space="0"/>
            </w:tcBorders>
            <w:vAlign w:val="center"/>
          </w:tcPr>
          <w:p>
            <w:pPr>
              <w:jc w:val="left"/>
              <w:rPr>
                <w:rFonts w:ascii="宋体" w:hAnsi="宋体" w:cs="宋体"/>
                <w:color w:val="000000"/>
                <w:kern w:val="0"/>
                <w:sz w:val="18"/>
                <w:szCs w:val="18"/>
              </w:rPr>
            </w:pPr>
          </w:p>
        </w:tc>
        <w:tc>
          <w:tcPr>
            <w:tcW w:w="729" w:type="dxa"/>
            <w:vMerge w:val="continue"/>
            <w:tcBorders>
              <w:top w:val="single" w:color="000000" w:sz="4" w:space="0"/>
              <w:left w:val="single" w:color="auto" w:sz="4" w:space="0"/>
              <w:bottom w:val="single" w:color="000000" w:sz="4" w:space="0"/>
              <w:right w:val="single" w:color="auto" w:sz="4" w:space="0"/>
            </w:tcBorders>
            <w:vAlign w:val="center"/>
          </w:tcPr>
          <w:p>
            <w:pPr>
              <w:jc w:val="left"/>
              <w:rPr>
                <w:rFonts w:ascii="宋体" w:hAnsi="宋体" w:cs="宋体"/>
                <w:color w:val="000000"/>
                <w:kern w:val="0"/>
                <w:sz w:val="18"/>
                <w:szCs w:val="18"/>
              </w:rPr>
            </w:pPr>
          </w:p>
        </w:tc>
        <w:tc>
          <w:tcPr>
            <w:tcW w:w="2378"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青溪高速入口</w:t>
            </w:r>
          </w:p>
        </w:tc>
        <w:tc>
          <w:tcPr>
            <w:tcW w:w="1136" w:type="dxa"/>
            <w:vMerge w:val="continue"/>
            <w:tcBorders>
              <w:top w:val="single" w:color="000000" w:sz="4" w:space="0"/>
              <w:left w:val="single" w:color="auto" w:sz="4" w:space="0"/>
              <w:bottom w:val="single" w:color="000000" w:sz="4" w:space="0"/>
              <w:right w:val="single" w:color="auto" w:sz="4" w:space="0"/>
            </w:tcBorders>
            <w:vAlign w:val="center"/>
          </w:tcPr>
          <w:p>
            <w:pPr>
              <w:jc w:val="left"/>
              <w:rPr>
                <w:rFonts w:ascii="宋体" w:hAnsi="宋体" w:cs="宋体"/>
                <w:color w:val="000000"/>
                <w:kern w:val="0"/>
                <w:sz w:val="18"/>
                <w:szCs w:val="18"/>
              </w:rPr>
            </w:pPr>
          </w:p>
        </w:tc>
        <w:tc>
          <w:tcPr>
            <w:tcW w:w="1334" w:type="dxa"/>
            <w:vMerge w:val="continue"/>
            <w:tcBorders>
              <w:top w:val="single" w:color="000000" w:sz="4" w:space="0"/>
              <w:left w:val="single" w:color="auto" w:sz="4" w:space="0"/>
              <w:bottom w:val="single" w:color="000000" w:sz="4" w:space="0"/>
              <w:right w:val="single" w:color="auto" w:sz="4" w:space="0"/>
            </w:tcBorders>
            <w:vAlign w:val="center"/>
          </w:tcPr>
          <w:p>
            <w:pPr>
              <w:jc w:val="left"/>
              <w:rPr>
                <w:rFonts w:ascii="宋体" w:hAnsi="宋体" w:cs="宋体"/>
                <w:color w:val="000000"/>
                <w:kern w:val="0"/>
                <w:sz w:val="18"/>
                <w:szCs w:val="18"/>
              </w:rPr>
            </w:pPr>
          </w:p>
        </w:tc>
        <w:tc>
          <w:tcPr>
            <w:tcW w:w="1103" w:type="dxa"/>
            <w:vMerge w:val="continue"/>
            <w:tcBorders>
              <w:top w:val="single" w:color="000000" w:sz="4" w:space="0"/>
              <w:left w:val="single" w:color="auto" w:sz="4" w:space="0"/>
              <w:bottom w:val="single" w:color="000000" w:sz="4" w:space="0"/>
              <w:right w:val="single" w:color="auto" w:sz="4" w:space="0"/>
            </w:tcBorders>
            <w:vAlign w:val="center"/>
          </w:tcPr>
          <w:p>
            <w:pPr>
              <w:jc w:val="left"/>
              <w:rPr>
                <w:rFonts w:ascii="宋体" w:hAnsi="宋体" w:cs="宋体"/>
                <w:color w:val="000000"/>
                <w:kern w:val="0"/>
                <w:sz w:val="18"/>
                <w:szCs w:val="18"/>
              </w:rPr>
            </w:pPr>
          </w:p>
        </w:tc>
        <w:tc>
          <w:tcPr>
            <w:tcW w:w="1093" w:type="dxa"/>
            <w:vMerge w:val="continue"/>
            <w:tcBorders>
              <w:top w:val="single" w:color="000000" w:sz="4" w:space="0"/>
              <w:left w:val="single" w:color="auto" w:sz="4" w:space="0"/>
              <w:bottom w:val="single" w:color="000000" w:sz="4" w:space="0"/>
              <w:right w:val="single" w:color="auto" w:sz="4" w:space="0"/>
            </w:tcBorders>
            <w:vAlign w:val="center"/>
          </w:tcPr>
          <w:p>
            <w:pPr>
              <w:jc w:val="left"/>
              <w:rPr>
                <w:rFonts w:ascii="宋体" w:hAnsi="宋体" w:cs="宋体"/>
                <w:color w:val="FF0000"/>
                <w:kern w:val="0"/>
                <w:sz w:val="18"/>
                <w:szCs w:val="18"/>
              </w:rPr>
            </w:pPr>
          </w:p>
        </w:tc>
        <w:tc>
          <w:tcPr>
            <w:tcW w:w="1039" w:type="dxa"/>
            <w:vMerge w:val="continue"/>
            <w:tcBorders>
              <w:top w:val="single" w:color="000000" w:sz="4" w:space="0"/>
              <w:left w:val="single" w:color="auto" w:sz="4" w:space="0"/>
              <w:bottom w:val="single" w:color="000000" w:sz="4" w:space="0"/>
              <w:right w:val="single" w:color="auto" w:sz="4" w:space="0"/>
            </w:tcBorders>
            <w:vAlign w:val="center"/>
          </w:tcPr>
          <w:p>
            <w:pPr>
              <w:jc w:val="left"/>
              <w:rPr>
                <w:rFonts w:ascii="宋体" w:hAnsi="宋体" w:cs="宋体"/>
                <w:color w:val="000000"/>
                <w:kern w:val="0"/>
                <w:sz w:val="18"/>
                <w:szCs w:val="18"/>
              </w:rPr>
            </w:pPr>
          </w:p>
        </w:tc>
        <w:tc>
          <w:tcPr>
            <w:tcW w:w="1138" w:type="dxa"/>
            <w:tcBorders>
              <w:top w:val="single" w:color="000000" w:sz="4" w:space="0"/>
              <w:left w:val="single" w:color="auto" w:sz="4" w:space="0"/>
              <w:bottom w:val="single" w:color="000000" w:sz="4" w:space="0"/>
              <w:right w:val="single" w:color="auto" w:sz="4" w:space="0"/>
            </w:tcBorders>
            <w:vAlign w:val="center"/>
          </w:tcPr>
          <w:p>
            <w:pPr>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436" w:type="dxa"/>
            <w:vMerge w:val="restart"/>
            <w:tcBorders>
              <w:top w:val="single" w:color="000000" w:sz="4" w:space="0"/>
              <w:left w:val="single" w:color="auto" w:sz="4" w:space="0"/>
              <w:bottom w:val="single" w:color="000000" w:sz="4" w:space="0"/>
              <w:right w:val="single" w:color="auto" w:sz="4" w:space="0"/>
            </w:tcBorders>
            <w:shd w:val="clear" w:color="000000" w:fill="FFFFFF"/>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114" w:type="dxa"/>
            <w:vMerge w:val="restart"/>
            <w:tcBorders>
              <w:top w:val="single" w:color="000000" w:sz="4" w:space="0"/>
              <w:left w:val="single" w:color="auto" w:sz="4" w:space="0"/>
              <w:bottom w:val="single" w:color="000000" w:sz="4" w:space="0"/>
              <w:right w:val="single" w:color="auto" w:sz="4" w:space="0"/>
            </w:tcBorders>
            <w:shd w:val="clear" w:color="000000" w:fill="FFFFFF"/>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睦州大道</w:t>
            </w:r>
          </w:p>
        </w:tc>
        <w:tc>
          <w:tcPr>
            <w:tcW w:w="729"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378"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桃园口至方鼎水产</w:t>
            </w:r>
          </w:p>
        </w:tc>
        <w:tc>
          <w:tcPr>
            <w:tcW w:w="1136"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3224.72</w:t>
            </w:r>
          </w:p>
        </w:tc>
        <w:tc>
          <w:tcPr>
            <w:tcW w:w="1334"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86714.91</w:t>
            </w:r>
          </w:p>
        </w:tc>
        <w:tc>
          <w:tcPr>
            <w:tcW w:w="1103"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38864.27</w:t>
            </w:r>
          </w:p>
        </w:tc>
        <w:tc>
          <w:tcPr>
            <w:tcW w:w="1039" w:type="dxa"/>
            <w:vMerge w:val="restart"/>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125579.18</w:t>
            </w:r>
          </w:p>
        </w:tc>
        <w:tc>
          <w:tcPr>
            <w:tcW w:w="1138" w:type="dxa"/>
            <w:tcBorders>
              <w:top w:val="nil"/>
              <w:left w:val="single" w:color="auto" w:sz="4" w:space="0"/>
              <w:bottom w:val="single" w:color="000000" w:sz="4" w:space="0"/>
              <w:right w:val="single" w:color="auto" w:sz="4" w:space="0"/>
            </w:tcBorders>
            <w:shd w:val="clear" w:color="000000" w:fill="FFFFFF"/>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436" w:type="dxa"/>
            <w:vMerge w:val="continue"/>
            <w:tcBorders>
              <w:top w:val="single" w:color="000000" w:sz="4" w:space="0"/>
              <w:left w:val="single" w:color="auto" w:sz="4" w:space="0"/>
              <w:bottom w:val="single" w:color="000000" w:sz="4" w:space="0"/>
              <w:right w:val="single" w:color="auto" w:sz="4" w:space="0"/>
            </w:tcBorders>
            <w:vAlign w:val="center"/>
          </w:tcPr>
          <w:p>
            <w:pPr>
              <w:jc w:val="left"/>
              <w:rPr>
                <w:rFonts w:ascii="宋体" w:hAnsi="宋体" w:cs="宋体"/>
                <w:color w:val="000000"/>
                <w:kern w:val="0"/>
                <w:sz w:val="18"/>
                <w:szCs w:val="18"/>
              </w:rPr>
            </w:pPr>
          </w:p>
        </w:tc>
        <w:tc>
          <w:tcPr>
            <w:tcW w:w="1114" w:type="dxa"/>
            <w:vMerge w:val="continue"/>
            <w:tcBorders>
              <w:top w:val="single" w:color="000000" w:sz="4" w:space="0"/>
              <w:left w:val="single" w:color="auto" w:sz="4" w:space="0"/>
              <w:bottom w:val="single" w:color="000000" w:sz="4" w:space="0"/>
              <w:right w:val="single" w:color="auto" w:sz="4" w:space="0"/>
            </w:tcBorders>
            <w:vAlign w:val="center"/>
          </w:tcPr>
          <w:p>
            <w:pPr>
              <w:jc w:val="left"/>
              <w:rPr>
                <w:rFonts w:ascii="宋体" w:hAnsi="宋体" w:cs="宋体"/>
                <w:color w:val="000000"/>
                <w:kern w:val="0"/>
                <w:sz w:val="18"/>
                <w:szCs w:val="18"/>
              </w:rPr>
            </w:pPr>
          </w:p>
        </w:tc>
        <w:tc>
          <w:tcPr>
            <w:tcW w:w="729"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color w:val="000000"/>
                <w:kern w:val="0"/>
                <w:sz w:val="18"/>
                <w:szCs w:val="18"/>
              </w:rPr>
            </w:pPr>
          </w:p>
        </w:tc>
        <w:tc>
          <w:tcPr>
            <w:tcW w:w="2378"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睦州大道延伸段</w:t>
            </w:r>
          </w:p>
        </w:tc>
        <w:tc>
          <w:tcPr>
            <w:tcW w:w="1136"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color w:val="000000"/>
                <w:kern w:val="0"/>
                <w:sz w:val="18"/>
                <w:szCs w:val="18"/>
              </w:rPr>
            </w:pPr>
          </w:p>
        </w:tc>
        <w:tc>
          <w:tcPr>
            <w:tcW w:w="1334"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color w:val="000000"/>
                <w:kern w:val="0"/>
                <w:sz w:val="18"/>
                <w:szCs w:val="18"/>
              </w:rPr>
            </w:pPr>
          </w:p>
        </w:tc>
        <w:tc>
          <w:tcPr>
            <w:tcW w:w="1103"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color w:val="000000"/>
                <w:kern w:val="0"/>
                <w:sz w:val="18"/>
                <w:szCs w:val="18"/>
              </w:rPr>
            </w:pPr>
          </w:p>
        </w:tc>
        <w:tc>
          <w:tcPr>
            <w:tcW w:w="1093"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color w:val="000000"/>
                <w:kern w:val="0"/>
                <w:sz w:val="18"/>
                <w:szCs w:val="18"/>
              </w:rPr>
            </w:pPr>
          </w:p>
        </w:tc>
        <w:tc>
          <w:tcPr>
            <w:tcW w:w="1039" w:type="dxa"/>
            <w:vMerge w:val="continue"/>
            <w:tcBorders>
              <w:top w:val="nil"/>
              <w:left w:val="single" w:color="auto" w:sz="4" w:space="0"/>
              <w:bottom w:val="single" w:color="000000" w:sz="4" w:space="0"/>
              <w:right w:val="single" w:color="auto" w:sz="4" w:space="0"/>
            </w:tcBorders>
            <w:vAlign w:val="center"/>
          </w:tcPr>
          <w:p>
            <w:pPr>
              <w:jc w:val="left"/>
              <w:rPr>
                <w:rFonts w:ascii="宋体" w:hAnsi="宋体" w:cs="宋体"/>
                <w:color w:val="000000"/>
                <w:kern w:val="0"/>
                <w:sz w:val="18"/>
                <w:szCs w:val="18"/>
              </w:rPr>
            </w:pPr>
          </w:p>
        </w:tc>
        <w:tc>
          <w:tcPr>
            <w:tcW w:w="1138" w:type="dxa"/>
            <w:tcBorders>
              <w:top w:val="nil"/>
              <w:left w:val="single" w:color="auto" w:sz="4" w:space="0"/>
              <w:bottom w:val="single" w:color="000000" w:sz="4" w:space="0"/>
              <w:right w:val="single" w:color="auto" w:sz="4" w:space="0"/>
            </w:tcBorders>
            <w:vAlign w:val="center"/>
          </w:tcPr>
          <w:p>
            <w:pPr>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1114"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环湖北路</w:t>
            </w:r>
          </w:p>
        </w:tc>
        <w:tc>
          <w:tcPr>
            <w:tcW w:w="72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2378"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鼓山口红绿灯至桃李路口</w:t>
            </w:r>
          </w:p>
        </w:tc>
        <w:tc>
          <w:tcPr>
            <w:tcW w:w="113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3948.76</w:t>
            </w:r>
          </w:p>
        </w:tc>
        <w:tc>
          <w:tcPr>
            <w:tcW w:w="1334"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102528.81</w:t>
            </w:r>
          </w:p>
        </w:tc>
        <w:tc>
          <w:tcPr>
            <w:tcW w:w="110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27903.66</w:t>
            </w:r>
          </w:p>
        </w:tc>
        <w:tc>
          <w:tcPr>
            <w:tcW w:w="103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130432.47</w:t>
            </w:r>
          </w:p>
        </w:tc>
        <w:tc>
          <w:tcPr>
            <w:tcW w:w="1138"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11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进贤大道</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创意工坊对面支路</w:t>
            </w:r>
          </w:p>
        </w:tc>
        <w:tc>
          <w:tcPr>
            <w:tcW w:w="11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51.45</w:t>
            </w:r>
          </w:p>
        </w:tc>
        <w:tc>
          <w:tcPr>
            <w:tcW w:w="13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465.77</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518.64</w:t>
            </w:r>
          </w:p>
        </w:tc>
        <w:tc>
          <w:tcPr>
            <w:tcW w:w="1039" w:type="dxa"/>
            <w:tcBorders>
              <w:top w:val="nil"/>
              <w:left w:val="nil"/>
              <w:bottom w:val="nil"/>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984.41</w:t>
            </w:r>
          </w:p>
        </w:tc>
        <w:tc>
          <w:tcPr>
            <w:tcW w:w="1138" w:type="dxa"/>
            <w:tcBorders>
              <w:top w:val="nil"/>
              <w:left w:val="nil"/>
              <w:bottom w:val="nil"/>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不机扫和洒水</w:t>
            </w: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11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丹桂路</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天鹅山路至云山村口</w:t>
            </w:r>
          </w:p>
        </w:tc>
        <w:tc>
          <w:tcPr>
            <w:tcW w:w="11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757</w:t>
            </w:r>
          </w:p>
        </w:tc>
        <w:tc>
          <w:tcPr>
            <w:tcW w:w="13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10874.75</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6601.32</w:t>
            </w:r>
          </w:p>
        </w:tc>
        <w:tc>
          <w:tcPr>
            <w:tcW w:w="1039" w:type="dxa"/>
            <w:tcBorders>
              <w:top w:val="single" w:color="000000" w:sz="4" w:space="0"/>
              <w:left w:val="nil"/>
              <w:bottom w:val="nil"/>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17476.07</w:t>
            </w:r>
          </w:p>
        </w:tc>
        <w:tc>
          <w:tcPr>
            <w:tcW w:w="1138" w:type="dxa"/>
            <w:tcBorders>
              <w:top w:val="single" w:color="000000" w:sz="4" w:space="0"/>
              <w:left w:val="nil"/>
              <w:bottom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11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天鹅山路</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进贤大道至丹桂路</w:t>
            </w:r>
          </w:p>
        </w:tc>
        <w:tc>
          <w:tcPr>
            <w:tcW w:w="11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521.38</w:t>
            </w:r>
          </w:p>
        </w:tc>
        <w:tc>
          <w:tcPr>
            <w:tcW w:w="13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6364.64</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3990.27</w:t>
            </w:r>
          </w:p>
        </w:tc>
        <w:tc>
          <w:tcPr>
            <w:tcW w:w="1039" w:type="dxa"/>
            <w:tcBorders>
              <w:top w:val="single" w:color="000000" w:sz="4" w:space="0"/>
              <w:left w:val="nil"/>
              <w:bottom w:val="nil"/>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10354.91</w:t>
            </w:r>
          </w:p>
        </w:tc>
        <w:tc>
          <w:tcPr>
            <w:tcW w:w="1138" w:type="dxa"/>
            <w:tcBorders>
              <w:top w:val="single" w:color="000000" w:sz="4" w:space="0"/>
              <w:left w:val="nil"/>
              <w:bottom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11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坪山路</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丹桂路至淳城实业</w:t>
            </w:r>
          </w:p>
        </w:tc>
        <w:tc>
          <w:tcPr>
            <w:tcW w:w="11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981</w:t>
            </w:r>
          </w:p>
        </w:tc>
        <w:tc>
          <w:tcPr>
            <w:tcW w:w="13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13634.69</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9515.27</w:t>
            </w:r>
          </w:p>
        </w:tc>
        <w:tc>
          <w:tcPr>
            <w:tcW w:w="1039" w:type="dxa"/>
            <w:tcBorders>
              <w:top w:val="single" w:color="000000" w:sz="4" w:space="0"/>
              <w:left w:val="nil"/>
              <w:bottom w:val="nil"/>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23149.96</w:t>
            </w:r>
          </w:p>
        </w:tc>
        <w:tc>
          <w:tcPr>
            <w:tcW w:w="1138" w:type="dxa"/>
            <w:tcBorders>
              <w:top w:val="single" w:color="000000" w:sz="4" w:space="0"/>
              <w:left w:val="nil"/>
              <w:bottom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436"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1114"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云山路</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云山村口至芙蓉路</w:t>
            </w:r>
          </w:p>
        </w:tc>
        <w:tc>
          <w:tcPr>
            <w:tcW w:w="11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1057.36</w:t>
            </w:r>
          </w:p>
        </w:tc>
        <w:tc>
          <w:tcPr>
            <w:tcW w:w="13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15031.57</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9786.35</w:t>
            </w:r>
          </w:p>
        </w:tc>
        <w:tc>
          <w:tcPr>
            <w:tcW w:w="1039" w:type="dxa"/>
            <w:tcBorders>
              <w:top w:val="single" w:color="000000" w:sz="4" w:space="0"/>
              <w:left w:val="nil"/>
              <w:bottom w:val="nil"/>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24817.92</w:t>
            </w:r>
          </w:p>
        </w:tc>
        <w:tc>
          <w:tcPr>
            <w:tcW w:w="1138" w:type="dxa"/>
            <w:tcBorders>
              <w:top w:val="single" w:color="000000" w:sz="4" w:space="0"/>
              <w:left w:val="nil"/>
              <w:bottom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436" w:type="dxa"/>
            <w:vMerge w:val="continue"/>
            <w:tcBorders>
              <w:top w:val="nil"/>
              <w:left w:val="single" w:color="auto" w:sz="4" w:space="0"/>
              <w:bottom w:val="single" w:color="000000" w:sz="4" w:space="0"/>
              <w:right w:val="single" w:color="auto" w:sz="4" w:space="0"/>
            </w:tcBorders>
            <w:vAlign w:val="center"/>
          </w:tcPr>
          <w:p>
            <w:pPr>
              <w:jc w:val="left"/>
              <w:rPr>
                <w:rFonts w:ascii="宋体" w:hAnsi="宋体" w:cs="宋体"/>
                <w:color w:val="000000"/>
                <w:kern w:val="0"/>
                <w:sz w:val="18"/>
                <w:szCs w:val="18"/>
              </w:rPr>
            </w:pPr>
          </w:p>
        </w:tc>
        <w:tc>
          <w:tcPr>
            <w:tcW w:w="1114" w:type="dxa"/>
            <w:vMerge w:val="continue"/>
            <w:tcBorders>
              <w:top w:val="nil"/>
              <w:left w:val="single" w:color="auto" w:sz="4" w:space="0"/>
              <w:bottom w:val="single" w:color="000000" w:sz="4" w:space="0"/>
              <w:right w:val="single" w:color="auto" w:sz="4" w:space="0"/>
            </w:tcBorders>
            <w:vAlign w:val="center"/>
          </w:tcPr>
          <w:p>
            <w:pPr>
              <w:jc w:val="left"/>
              <w:rPr>
                <w:rFonts w:ascii="宋体" w:hAnsi="宋体" w:cs="宋体"/>
                <w:color w:val="000000"/>
                <w:kern w:val="0"/>
                <w:sz w:val="18"/>
                <w:szCs w:val="18"/>
              </w:rPr>
            </w:pP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千岛湖中等职业学校侧路</w:t>
            </w:r>
          </w:p>
        </w:tc>
        <w:tc>
          <w:tcPr>
            <w:tcW w:w="11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238.78</w:t>
            </w:r>
          </w:p>
        </w:tc>
        <w:tc>
          <w:tcPr>
            <w:tcW w:w="13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3370.72</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2525</w:t>
            </w:r>
          </w:p>
        </w:tc>
        <w:tc>
          <w:tcPr>
            <w:tcW w:w="1039" w:type="dxa"/>
            <w:tcBorders>
              <w:top w:val="single" w:color="000000" w:sz="4" w:space="0"/>
              <w:left w:val="nil"/>
              <w:bottom w:val="nil"/>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5895.72</w:t>
            </w:r>
          </w:p>
        </w:tc>
        <w:tc>
          <w:tcPr>
            <w:tcW w:w="1138" w:type="dxa"/>
            <w:tcBorders>
              <w:top w:val="single" w:color="000000" w:sz="4" w:space="0"/>
              <w:left w:val="nil"/>
              <w:bottom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11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紫荆路</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睦州大道至啤酒厂后门</w:t>
            </w:r>
          </w:p>
        </w:tc>
        <w:tc>
          <w:tcPr>
            <w:tcW w:w="11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451.91</w:t>
            </w:r>
          </w:p>
        </w:tc>
        <w:tc>
          <w:tcPr>
            <w:tcW w:w="13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4173.69</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3963</w:t>
            </w:r>
          </w:p>
        </w:tc>
        <w:tc>
          <w:tcPr>
            <w:tcW w:w="1039" w:type="dxa"/>
            <w:tcBorders>
              <w:top w:val="single" w:color="000000" w:sz="4" w:space="0"/>
              <w:left w:val="nil"/>
              <w:bottom w:val="nil"/>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8136.69</w:t>
            </w:r>
          </w:p>
        </w:tc>
        <w:tc>
          <w:tcPr>
            <w:tcW w:w="1138" w:type="dxa"/>
            <w:tcBorders>
              <w:top w:val="single" w:color="000000" w:sz="4" w:space="0"/>
              <w:left w:val="nil"/>
              <w:bottom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1114" w:type="dxa"/>
            <w:tcBorders>
              <w:top w:val="nil"/>
              <w:left w:val="nil"/>
              <w:bottom w:val="single" w:color="000000"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芙蓉路</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千岛湖中等职业学校大门口</w:t>
            </w:r>
          </w:p>
        </w:tc>
        <w:tc>
          <w:tcPr>
            <w:tcW w:w="11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258.37</w:t>
            </w:r>
          </w:p>
        </w:tc>
        <w:tc>
          <w:tcPr>
            <w:tcW w:w="13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3648.09</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3325.047</w:t>
            </w:r>
          </w:p>
        </w:tc>
        <w:tc>
          <w:tcPr>
            <w:tcW w:w="1039" w:type="dxa"/>
            <w:tcBorders>
              <w:top w:val="single" w:color="000000" w:sz="4" w:space="0"/>
              <w:left w:val="nil"/>
              <w:bottom w:val="nil"/>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6973.137</w:t>
            </w:r>
          </w:p>
        </w:tc>
        <w:tc>
          <w:tcPr>
            <w:tcW w:w="1138" w:type="dxa"/>
            <w:tcBorders>
              <w:top w:val="single" w:color="000000" w:sz="4" w:space="0"/>
              <w:left w:val="nil"/>
              <w:bottom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11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杜鹃路</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睦州大道至客运中心</w:t>
            </w:r>
          </w:p>
        </w:tc>
        <w:tc>
          <w:tcPr>
            <w:tcW w:w="11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268.56</w:t>
            </w:r>
          </w:p>
        </w:tc>
        <w:tc>
          <w:tcPr>
            <w:tcW w:w="13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3882.23</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1544.4</w:t>
            </w:r>
          </w:p>
        </w:tc>
        <w:tc>
          <w:tcPr>
            <w:tcW w:w="1039" w:type="dxa"/>
            <w:tcBorders>
              <w:top w:val="single" w:color="000000" w:sz="4" w:space="0"/>
              <w:left w:val="nil"/>
              <w:bottom w:val="nil"/>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5426.63</w:t>
            </w:r>
          </w:p>
        </w:tc>
        <w:tc>
          <w:tcPr>
            <w:tcW w:w="1138" w:type="dxa"/>
            <w:tcBorders>
              <w:top w:val="single" w:color="000000" w:sz="4" w:space="0"/>
              <w:left w:val="nil"/>
              <w:bottom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11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紫薇路</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睦州大道至宕里村</w:t>
            </w:r>
          </w:p>
        </w:tc>
        <w:tc>
          <w:tcPr>
            <w:tcW w:w="11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264.51</w:t>
            </w:r>
          </w:p>
        </w:tc>
        <w:tc>
          <w:tcPr>
            <w:tcW w:w="13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3684.22</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2644.17</w:t>
            </w:r>
          </w:p>
        </w:tc>
        <w:tc>
          <w:tcPr>
            <w:tcW w:w="1039" w:type="dxa"/>
            <w:tcBorders>
              <w:top w:val="single" w:color="000000" w:sz="4" w:space="0"/>
              <w:left w:val="nil"/>
              <w:bottom w:val="nil"/>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6328.39</w:t>
            </w:r>
          </w:p>
        </w:tc>
        <w:tc>
          <w:tcPr>
            <w:tcW w:w="1138" w:type="dxa"/>
            <w:tcBorders>
              <w:top w:val="single" w:color="000000" w:sz="4" w:space="0"/>
              <w:left w:val="nil"/>
              <w:bottom w:val="nil"/>
              <w:right w:val="single" w:color="auto" w:sz="4" w:space="0"/>
            </w:tcBorders>
            <w:shd w:val="clear" w:color="auto" w:fill="auto"/>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11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车站门前小路</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241.93</w:t>
            </w:r>
          </w:p>
        </w:tc>
        <w:tc>
          <w:tcPr>
            <w:tcW w:w="13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1967.13</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39" w:type="dxa"/>
            <w:tcBorders>
              <w:top w:val="single" w:color="000000" w:sz="4" w:space="0"/>
              <w:left w:val="nil"/>
              <w:bottom w:val="nil"/>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1967.13</w:t>
            </w:r>
          </w:p>
        </w:tc>
        <w:tc>
          <w:tcPr>
            <w:tcW w:w="1138" w:type="dxa"/>
            <w:tcBorders>
              <w:top w:val="single" w:color="000000" w:sz="4" w:space="0"/>
              <w:left w:val="nil"/>
              <w:bottom w:val="nil"/>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不机扫和洒水</w:t>
            </w: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11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牡丹路</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睦州大道至丰远工贸</w:t>
            </w:r>
          </w:p>
        </w:tc>
        <w:tc>
          <w:tcPr>
            <w:tcW w:w="1136"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709</w:t>
            </w:r>
          </w:p>
        </w:tc>
        <w:tc>
          <w:tcPr>
            <w:tcW w:w="1334"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6613.98</w:t>
            </w:r>
          </w:p>
        </w:tc>
        <w:tc>
          <w:tcPr>
            <w:tcW w:w="1103"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4870.65</w:t>
            </w:r>
          </w:p>
        </w:tc>
        <w:tc>
          <w:tcPr>
            <w:tcW w:w="103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11484.63</w:t>
            </w:r>
          </w:p>
        </w:tc>
        <w:tc>
          <w:tcPr>
            <w:tcW w:w="1138"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11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高坞蓬村前路</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睦州大道至牡丹路</w:t>
            </w:r>
          </w:p>
        </w:tc>
        <w:tc>
          <w:tcPr>
            <w:tcW w:w="1136" w:type="dxa"/>
            <w:vMerge w:val="continue"/>
            <w:tcBorders>
              <w:top w:val="nil"/>
              <w:left w:val="single" w:color="auto" w:sz="4" w:space="0"/>
              <w:bottom w:val="single" w:color="000000" w:sz="4" w:space="0"/>
              <w:right w:val="single" w:color="auto" w:sz="4" w:space="0"/>
            </w:tcBorders>
            <w:vAlign w:val="center"/>
          </w:tcPr>
          <w:p>
            <w:pPr>
              <w:jc w:val="left"/>
              <w:rPr>
                <w:rFonts w:ascii="宋体" w:hAnsi="宋体" w:cs="宋体"/>
                <w:color w:val="000000"/>
                <w:kern w:val="0"/>
                <w:sz w:val="18"/>
                <w:szCs w:val="18"/>
              </w:rPr>
            </w:pPr>
          </w:p>
        </w:tc>
        <w:tc>
          <w:tcPr>
            <w:tcW w:w="1334" w:type="dxa"/>
            <w:vMerge w:val="continue"/>
            <w:tcBorders>
              <w:top w:val="nil"/>
              <w:left w:val="single" w:color="auto" w:sz="4" w:space="0"/>
              <w:bottom w:val="single" w:color="000000" w:sz="4" w:space="0"/>
              <w:right w:val="single" w:color="auto" w:sz="4" w:space="0"/>
            </w:tcBorders>
            <w:vAlign w:val="center"/>
          </w:tcPr>
          <w:p>
            <w:pPr>
              <w:jc w:val="left"/>
              <w:rPr>
                <w:rFonts w:ascii="宋体" w:hAnsi="宋体" w:cs="宋体"/>
                <w:color w:val="000000"/>
                <w:kern w:val="0"/>
                <w:sz w:val="18"/>
                <w:szCs w:val="18"/>
              </w:rPr>
            </w:pPr>
          </w:p>
        </w:tc>
        <w:tc>
          <w:tcPr>
            <w:tcW w:w="1103" w:type="dxa"/>
            <w:vMerge w:val="continue"/>
            <w:tcBorders>
              <w:top w:val="nil"/>
              <w:left w:val="single" w:color="auto" w:sz="4" w:space="0"/>
              <w:bottom w:val="single" w:color="000000" w:sz="4" w:space="0"/>
              <w:right w:val="single" w:color="auto" w:sz="4" w:space="0"/>
            </w:tcBorders>
            <w:vAlign w:val="center"/>
          </w:tcPr>
          <w:p>
            <w:pPr>
              <w:jc w:val="left"/>
              <w:rPr>
                <w:rFonts w:ascii="宋体" w:hAnsi="宋体" w:cs="宋体"/>
                <w:color w:val="000000"/>
                <w:kern w:val="0"/>
                <w:sz w:val="18"/>
                <w:szCs w:val="18"/>
              </w:rPr>
            </w:pPr>
          </w:p>
        </w:tc>
        <w:tc>
          <w:tcPr>
            <w:tcW w:w="1093" w:type="dxa"/>
            <w:vMerge w:val="continue"/>
            <w:tcBorders>
              <w:top w:val="nil"/>
              <w:left w:val="single" w:color="auto" w:sz="4" w:space="0"/>
              <w:bottom w:val="single" w:color="000000" w:sz="4" w:space="0"/>
              <w:right w:val="single" w:color="auto" w:sz="4" w:space="0"/>
            </w:tcBorders>
            <w:vAlign w:val="center"/>
          </w:tcPr>
          <w:p>
            <w:pPr>
              <w:jc w:val="left"/>
              <w:rPr>
                <w:rFonts w:ascii="宋体" w:hAnsi="宋体" w:cs="宋体"/>
                <w:color w:val="000000"/>
                <w:kern w:val="0"/>
                <w:sz w:val="18"/>
                <w:szCs w:val="18"/>
              </w:rPr>
            </w:pPr>
          </w:p>
        </w:tc>
        <w:tc>
          <w:tcPr>
            <w:tcW w:w="1039" w:type="dxa"/>
            <w:vMerge w:val="continue"/>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color w:val="000000"/>
                <w:kern w:val="0"/>
                <w:sz w:val="18"/>
                <w:szCs w:val="18"/>
              </w:rPr>
            </w:pPr>
          </w:p>
        </w:tc>
        <w:tc>
          <w:tcPr>
            <w:tcW w:w="1138" w:type="dxa"/>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436"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1114"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华安路</w:t>
            </w:r>
          </w:p>
        </w:tc>
        <w:tc>
          <w:tcPr>
            <w:tcW w:w="729"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华安路至永泰路（华安路328号）</w:t>
            </w:r>
          </w:p>
        </w:tc>
        <w:tc>
          <w:tcPr>
            <w:tcW w:w="1136"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514.29</w:t>
            </w:r>
          </w:p>
        </w:tc>
        <w:tc>
          <w:tcPr>
            <w:tcW w:w="1334"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4706.5</w:t>
            </w:r>
          </w:p>
        </w:tc>
        <w:tc>
          <w:tcPr>
            <w:tcW w:w="1103"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3194.98</w:t>
            </w:r>
          </w:p>
        </w:tc>
        <w:tc>
          <w:tcPr>
            <w:tcW w:w="1039"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7901.48</w:t>
            </w:r>
          </w:p>
        </w:tc>
        <w:tc>
          <w:tcPr>
            <w:tcW w:w="1138" w:type="dxa"/>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不机扫和洒水</w:t>
            </w:r>
          </w:p>
        </w:tc>
      </w:tr>
      <w:tr>
        <w:tblPrEx>
          <w:tblCellMar>
            <w:top w:w="0" w:type="dxa"/>
            <w:left w:w="108" w:type="dxa"/>
            <w:bottom w:w="0" w:type="dxa"/>
            <w:right w:w="108" w:type="dxa"/>
          </w:tblCellMar>
        </w:tblPrEx>
        <w:trPr>
          <w:trHeight w:val="600" w:hRule="atLeast"/>
          <w:jc w:val="center"/>
        </w:trPr>
        <w:tc>
          <w:tcPr>
            <w:tcW w:w="436" w:type="dxa"/>
            <w:vMerge w:val="continue"/>
            <w:tcBorders>
              <w:top w:val="single" w:color="000000" w:sz="4" w:space="0"/>
              <w:left w:val="single" w:color="auto" w:sz="4" w:space="0"/>
              <w:bottom w:val="single" w:color="000000" w:sz="4" w:space="0"/>
              <w:right w:val="single" w:color="auto" w:sz="4" w:space="0"/>
            </w:tcBorders>
            <w:vAlign w:val="center"/>
          </w:tcPr>
          <w:p>
            <w:pPr>
              <w:jc w:val="left"/>
              <w:rPr>
                <w:rFonts w:ascii="宋体" w:hAnsi="宋体" w:cs="宋体"/>
                <w:color w:val="000000"/>
                <w:kern w:val="0"/>
                <w:sz w:val="18"/>
                <w:szCs w:val="18"/>
              </w:rPr>
            </w:pPr>
          </w:p>
        </w:tc>
        <w:tc>
          <w:tcPr>
            <w:tcW w:w="1114" w:type="dxa"/>
            <w:vMerge w:val="continue"/>
            <w:tcBorders>
              <w:top w:val="single" w:color="000000" w:sz="4" w:space="0"/>
              <w:left w:val="single" w:color="auto" w:sz="4" w:space="0"/>
              <w:bottom w:val="single" w:color="000000" w:sz="4" w:space="0"/>
              <w:right w:val="single" w:color="auto" w:sz="4" w:space="0"/>
            </w:tcBorders>
            <w:vAlign w:val="center"/>
          </w:tcPr>
          <w:p>
            <w:pPr>
              <w:jc w:val="left"/>
              <w:rPr>
                <w:rFonts w:ascii="宋体" w:hAnsi="宋体" w:cs="宋体"/>
                <w:color w:val="000000"/>
                <w:kern w:val="0"/>
                <w:sz w:val="18"/>
                <w:szCs w:val="18"/>
              </w:rPr>
            </w:pPr>
          </w:p>
        </w:tc>
        <w:tc>
          <w:tcPr>
            <w:tcW w:w="729" w:type="dxa"/>
            <w:vMerge w:val="continue"/>
            <w:tcBorders>
              <w:top w:val="single" w:color="000000" w:sz="4" w:space="0"/>
              <w:left w:val="single" w:color="auto" w:sz="4" w:space="0"/>
              <w:bottom w:val="single" w:color="000000" w:sz="4" w:space="0"/>
              <w:right w:val="single" w:color="auto" w:sz="4" w:space="0"/>
            </w:tcBorders>
            <w:vAlign w:val="center"/>
          </w:tcPr>
          <w:p>
            <w:pPr>
              <w:jc w:val="left"/>
              <w:rPr>
                <w:rFonts w:ascii="宋体" w:hAnsi="宋体" w:cs="宋体"/>
                <w:color w:val="000000"/>
                <w:kern w:val="0"/>
                <w:sz w:val="18"/>
                <w:szCs w:val="18"/>
              </w:rPr>
            </w:pP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含华安路153至申通快递</w:t>
            </w:r>
          </w:p>
        </w:tc>
        <w:tc>
          <w:tcPr>
            <w:tcW w:w="1136" w:type="dxa"/>
            <w:vMerge w:val="continue"/>
            <w:tcBorders>
              <w:top w:val="nil"/>
              <w:left w:val="single" w:color="auto" w:sz="4" w:space="0"/>
              <w:bottom w:val="single" w:color="000000" w:sz="4" w:space="0"/>
              <w:right w:val="single" w:color="auto" w:sz="4" w:space="0"/>
            </w:tcBorders>
            <w:vAlign w:val="center"/>
          </w:tcPr>
          <w:p>
            <w:pPr>
              <w:jc w:val="left"/>
              <w:rPr>
                <w:rFonts w:ascii="宋体" w:hAnsi="宋体" w:cs="宋体"/>
                <w:color w:val="000000"/>
                <w:kern w:val="0"/>
                <w:sz w:val="18"/>
                <w:szCs w:val="18"/>
              </w:rPr>
            </w:pPr>
          </w:p>
        </w:tc>
        <w:tc>
          <w:tcPr>
            <w:tcW w:w="1334" w:type="dxa"/>
            <w:vMerge w:val="continue"/>
            <w:tcBorders>
              <w:top w:val="nil"/>
              <w:left w:val="single" w:color="auto" w:sz="4" w:space="0"/>
              <w:bottom w:val="single" w:color="000000" w:sz="4" w:space="0"/>
              <w:right w:val="single" w:color="auto" w:sz="4" w:space="0"/>
            </w:tcBorders>
            <w:vAlign w:val="center"/>
          </w:tcPr>
          <w:p>
            <w:pPr>
              <w:jc w:val="left"/>
              <w:rPr>
                <w:rFonts w:ascii="宋体" w:hAnsi="宋体" w:cs="宋体"/>
                <w:color w:val="000000"/>
                <w:kern w:val="0"/>
                <w:sz w:val="18"/>
                <w:szCs w:val="18"/>
              </w:rPr>
            </w:pPr>
          </w:p>
        </w:tc>
        <w:tc>
          <w:tcPr>
            <w:tcW w:w="1103" w:type="dxa"/>
            <w:vMerge w:val="continue"/>
            <w:tcBorders>
              <w:top w:val="single" w:color="000000" w:sz="4" w:space="0"/>
              <w:left w:val="single" w:color="auto" w:sz="4" w:space="0"/>
              <w:bottom w:val="single" w:color="000000" w:sz="4" w:space="0"/>
              <w:right w:val="single" w:color="auto" w:sz="4" w:space="0"/>
            </w:tcBorders>
            <w:vAlign w:val="center"/>
          </w:tcPr>
          <w:p>
            <w:pPr>
              <w:jc w:val="left"/>
              <w:rPr>
                <w:rFonts w:ascii="宋体" w:hAnsi="宋体" w:cs="宋体"/>
                <w:color w:val="000000"/>
                <w:kern w:val="0"/>
                <w:sz w:val="18"/>
                <w:szCs w:val="18"/>
              </w:rPr>
            </w:pPr>
          </w:p>
        </w:tc>
        <w:tc>
          <w:tcPr>
            <w:tcW w:w="1093" w:type="dxa"/>
            <w:vMerge w:val="continue"/>
            <w:tcBorders>
              <w:top w:val="nil"/>
              <w:left w:val="single" w:color="auto" w:sz="4" w:space="0"/>
              <w:bottom w:val="single" w:color="000000" w:sz="4" w:space="0"/>
              <w:right w:val="single" w:color="auto" w:sz="4" w:space="0"/>
            </w:tcBorders>
            <w:vAlign w:val="center"/>
          </w:tcPr>
          <w:p>
            <w:pPr>
              <w:jc w:val="left"/>
              <w:rPr>
                <w:rFonts w:ascii="宋体" w:hAnsi="宋体" w:cs="宋体"/>
                <w:color w:val="000000"/>
                <w:kern w:val="0"/>
                <w:sz w:val="18"/>
                <w:szCs w:val="18"/>
              </w:rPr>
            </w:pPr>
          </w:p>
        </w:tc>
        <w:tc>
          <w:tcPr>
            <w:tcW w:w="1039" w:type="dxa"/>
            <w:vMerge w:val="continue"/>
            <w:tcBorders>
              <w:top w:val="nil"/>
              <w:left w:val="single" w:color="auto" w:sz="4" w:space="0"/>
              <w:bottom w:val="single" w:color="000000" w:sz="4" w:space="0"/>
              <w:right w:val="single" w:color="auto" w:sz="4" w:space="0"/>
            </w:tcBorders>
            <w:vAlign w:val="center"/>
          </w:tcPr>
          <w:p>
            <w:pPr>
              <w:jc w:val="left"/>
              <w:rPr>
                <w:rFonts w:ascii="宋体" w:hAnsi="宋体" w:cs="宋体"/>
                <w:color w:val="000000"/>
                <w:kern w:val="0"/>
                <w:sz w:val="18"/>
                <w:szCs w:val="18"/>
              </w:rPr>
            </w:pPr>
          </w:p>
        </w:tc>
        <w:tc>
          <w:tcPr>
            <w:tcW w:w="1138" w:type="dxa"/>
            <w:tcBorders>
              <w:top w:val="nil"/>
              <w:left w:val="single" w:color="auto" w:sz="4" w:space="0"/>
              <w:bottom w:val="single" w:color="000000" w:sz="4" w:space="0"/>
              <w:right w:val="single" w:color="auto" w:sz="4" w:space="0"/>
            </w:tcBorders>
            <w:vAlign w:val="center"/>
          </w:tcPr>
          <w:p>
            <w:pPr>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11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永和路</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雅洁支路至华安路</w:t>
            </w:r>
          </w:p>
        </w:tc>
        <w:tc>
          <w:tcPr>
            <w:tcW w:w="11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177.13</w:t>
            </w:r>
          </w:p>
        </w:tc>
        <w:tc>
          <w:tcPr>
            <w:tcW w:w="13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1610.16</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1181.41</w:t>
            </w:r>
          </w:p>
        </w:tc>
        <w:tc>
          <w:tcPr>
            <w:tcW w:w="103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2791.57</w:t>
            </w:r>
          </w:p>
        </w:tc>
        <w:tc>
          <w:tcPr>
            <w:tcW w:w="11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不机扫和洒水</w:t>
            </w: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11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永泰路</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鼓山大道至永泰路399号（立丰建设）</w:t>
            </w:r>
          </w:p>
        </w:tc>
        <w:tc>
          <w:tcPr>
            <w:tcW w:w="11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406.8</w:t>
            </w:r>
          </w:p>
        </w:tc>
        <w:tc>
          <w:tcPr>
            <w:tcW w:w="13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3653.43</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2530.22</w:t>
            </w:r>
          </w:p>
        </w:tc>
        <w:tc>
          <w:tcPr>
            <w:tcW w:w="103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6183.65</w:t>
            </w:r>
          </w:p>
        </w:tc>
        <w:tc>
          <w:tcPr>
            <w:tcW w:w="11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不机扫和洒水</w:t>
            </w: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11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永和路</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鼓山大道（何家源农居点）至永和路</w:t>
            </w:r>
          </w:p>
        </w:tc>
        <w:tc>
          <w:tcPr>
            <w:tcW w:w="11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757</w:t>
            </w:r>
          </w:p>
        </w:tc>
        <w:tc>
          <w:tcPr>
            <w:tcW w:w="13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6883.15</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4647.53</w:t>
            </w:r>
          </w:p>
        </w:tc>
        <w:tc>
          <w:tcPr>
            <w:tcW w:w="103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11530.68</w:t>
            </w:r>
          </w:p>
        </w:tc>
        <w:tc>
          <w:tcPr>
            <w:tcW w:w="11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不机扫和洒水</w:t>
            </w: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11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华盛路</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鼓山消防队至华盛路96号</w:t>
            </w:r>
          </w:p>
        </w:tc>
        <w:tc>
          <w:tcPr>
            <w:tcW w:w="11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555.74</w:t>
            </w:r>
          </w:p>
        </w:tc>
        <w:tc>
          <w:tcPr>
            <w:tcW w:w="13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5293.62</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3433.85</w:t>
            </w:r>
          </w:p>
        </w:tc>
        <w:tc>
          <w:tcPr>
            <w:tcW w:w="103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8727.47</w:t>
            </w:r>
          </w:p>
        </w:tc>
        <w:tc>
          <w:tcPr>
            <w:tcW w:w="11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11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云峰路</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东兴路至佳偌纺织</w:t>
            </w:r>
          </w:p>
        </w:tc>
        <w:tc>
          <w:tcPr>
            <w:tcW w:w="11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429.35</w:t>
            </w:r>
          </w:p>
        </w:tc>
        <w:tc>
          <w:tcPr>
            <w:tcW w:w="13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4061.83</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2848.49</w:t>
            </w:r>
          </w:p>
        </w:tc>
        <w:tc>
          <w:tcPr>
            <w:tcW w:w="103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6910.32</w:t>
            </w:r>
          </w:p>
        </w:tc>
        <w:tc>
          <w:tcPr>
            <w:tcW w:w="11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11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东兴支路</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东兴路至涌金路</w:t>
            </w:r>
          </w:p>
        </w:tc>
        <w:tc>
          <w:tcPr>
            <w:tcW w:w="11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158.51</w:t>
            </w:r>
          </w:p>
        </w:tc>
        <w:tc>
          <w:tcPr>
            <w:tcW w:w="13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1492.39</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1031.75</w:t>
            </w:r>
          </w:p>
        </w:tc>
        <w:tc>
          <w:tcPr>
            <w:tcW w:w="103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2524.14</w:t>
            </w:r>
          </w:p>
        </w:tc>
        <w:tc>
          <w:tcPr>
            <w:tcW w:w="11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11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东兴路</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红兴洗涤至华盛路</w:t>
            </w:r>
          </w:p>
        </w:tc>
        <w:tc>
          <w:tcPr>
            <w:tcW w:w="11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622.49</w:t>
            </w:r>
          </w:p>
        </w:tc>
        <w:tc>
          <w:tcPr>
            <w:tcW w:w="13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5671.49</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3882.94</w:t>
            </w:r>
          </w:p>
        </w:tc>
        <w:tc>
          <w:tcPr>
            <w:tcW w:w="103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9554.43</w:t>
            </w:r>
          </w:p>
        </w:tc>
        <w:tc>
          <w:tcPr>
            <w:tcW w:w="11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11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广华路</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涌金路至涌金路369号</w:t>
            </w:r>
          </w:p>
        </w:tc>
        <w:tc>
          <w:tcPr>
            <w:tcW w:w="11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208.24</w:t>
            </w:r>
          </w:p>
        </w:tc>
        <w:tc>
          <w:tcPr>
            <w:tcW w:w="13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1929.12</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1484.67</w:t>
            </w:r>
          </w:p>
        </w:tc>
        <w:tc>
          <w:tcPr>
            <w:tcW w:w="103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3413.79</w:t>
            </w:r>
          </w:p>
        </w:tc>
        <w:tc>
          <w:tcPr>
            <w:tcW w:w="11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39</w:t>
            </w:r>
          </w:p>
        </w:tc>
        <w:tc>
          <w:tcPr>
            <w:tcW w:w="11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青溪北路</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青溪大道至青溪大道</w:t>
            </w:r>
          </w:p>
        </w:tc>
        <w:tc>
          <w:tcPr>
            <w:tcW w:w="11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1594.63</w:t>
            </w:r>
          </w:p>
        </w:tc>
        <w:tc>
          <w:tcPr>
            <w:tcW w:w="13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20571.92</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7060.04</w:t>
            </w:r>
          </w:p>
        </w:tc>
        <w:tc>
          <w:tcPr>
            <w:tcW w:w="103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27631.96</w:t>
            </w:r>
          </w:p>
        </w:tc>
        <w:tc>
          <w:tcPr>
            <w:tcW w:w="11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11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青溪南路</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青溪大道至珍珠五路门</w:t>
            </w:r>
          </w:p>
        </w:tc>
        <w:tc>
          <w:tcPr>
            <w:tcW w:w="11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1075.42</w:t>
            </w:r>
          </w:p>
        </w:tc>
        <w:tc>
          <w:tcPr>
            <w:tcW w:w="13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12636.47</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4571.73</w:t>
            </w:r>
          </w:p>
        </w:tc>
        <w:tc>
          <w:tcPr>
            <w:tcW w:w="103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17208.2</w:t>
            </w:r>
          </w:p>
        </w:tc>
        <w:tc>
          <w:tcPr>
            <w:tcW w:w="11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41</w:t>
            </w:r>
          </w:p>
        </w:tc>
        <w:tc>
          <w:tcPr>
            <w:tcW w:w="11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珍珠四路</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青溪大道至珍珠大道</w:t>
            </w:r>
          </w:p>
        </w:tc>
        <w:tc>
          <w:tcPr>
            <w:tcW w:w="11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339.6</w:t>
            </w:r>
          </w:p>
        </w:tc>
        <w:tc>
          <w:tcPr>
            <w:tcW w:w="13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5470.52</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2183.94</w:t>
            </w:r>
          </w:p>
        </w:tc>
        <w:tc>
          <w:tcPr>
            <w:tcW w:w="103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7654.46</w:t>
            </w:r>
          </w:p>
        </w:tc>
        <w:tc>
          <w:tcPr>
            <w:tcW w:w="11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42</w:t>
            </w:r>
          </w:p>
        </w:tc>
        <w:tc>
          <w:tcPr>
            <w:tcW w:w="11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珍珠六路</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青溪大道至珍珠大道</w:t>
            </w:r>
          </w:p>
        </w:tc>
        <w:tc>
          <w:tcPr>
            <w:tcW w:w="11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656.5</w:t>
            </w:r>
          </w:p>
        </w:tc>
        <w:tc>
          <w:tcPr>
            <w:tcW w:w="13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9792.66</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3958.21</w:t>
            </w:r>
          </w:p>
        </w:tc>
        <w:tc>
          <w:tcPr>
            <w:tcW w:w="103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13750.87</w:t>
            </w:r>
          </w:p>
        </w:tc>
        <w:tc>
          <w:tcPr>
            <w:tcW w:w="11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43</w:t>
            </w:r>
          </w:p>
        </w:tc>
        <w:tc>
          <w:tcPr>
            <w:tcW w:w="11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珍珠八路</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青溪大道至青溪北路</w:t>
            </w:r>
          </w:p>
        </w:tc>
        <w:tc>
          <w:tcPr>
            <w:tcW w:w="11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229.3</w:t>
            </w:r>
          </w:p>
        </w:tc>
        <w:tc>
          <w:tcPr>
            <w:tcW w:w="13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2551.2</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1359.76</w:t>
            </w:r>
          </w:p>
        </w:tc>
        <w:tc>
          <w:tcPr>
            <w:tcW w:w="103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3910.96</w:t>
            </w:r>
          </w:p>
        </w:tc>
        <w:tc>
          <w:tcPr>
            <w:tcW w:w="11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44</w:t>
            </w:r>
          </w:p>
        </w:tc>
        <w:tc>
          <w:tcPr>
            <w:tcW w:w="11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珍珠大道交叉路口</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青溪大道至珍珠大道</w:t>
            </w:r>
          </w:p>
        </w:tc>
        <w:tc>
          <w:tcPr>
            <w:tcW w:w="11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132.8</w:t>
            </w:r>
          </w:p>
        </w:tc>
        <w:tc>
          <w:tcPr>
            <w:tcW w:w="13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1351.13</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986.46</w:t>
            </w:r>
          </w:p>
        </w:tc>
        <w:tc>
          <w:tcPr>
            <w:tcW w:w="103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2337.59</w:t>
            </w:r>
          </w:p>
        </w:tc>
        <w:tc>
          <w:tcPr>
            <w:tcW w:w="11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45</w:t>
            </w:r>
          </w:p>
        </w:tc>
        <w:tc>
          <w:tcPr>
            <w:tcW w:w="11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涌金路延伸段</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丰家山社区至永通门前</w:t>
            </w:r>
          </w:p>
        </w:tc>
        <w:tc>
          <w:tcPr>
            <w:tcW w:w="11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740</w:t>
            </w:r>
          </w:p>
        </w:tc>
        <w:tc>
          <w:tcPr>
            <w:tcW w:w="13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13438.02</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4482.65</w:t>
            </w:r>
          </w:p>
        </w:tc>
        <w:tc>
          <w:tcPr>
            <w:tcW w:w="103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17920.67</w:t>
            </w:r>
          </w:p>
        </w:tc>
        <w:tc>
          <w:tcPr>
            <w:tcW w:w="11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46</w:t>
            </w:r>
          </w:p>
        </w:tc>
        <w:tc>
          <w:tcPr>
            <w:tcW w:w="11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建兰中学配套道路</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东接建兰中学，西至建兰中学西侧路段</w:t>
            </w:r>
          </w:p>
        </w:tc>
        <w:tc>
          <w:tcPr>
            <w:tcW w:w="11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673</w:t>
            </w:r>
          </w:p>
        </w:tc>
        <w:tc>
          <w:tcPr>
            <w:tcW w:w="13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11201.08</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2280.78</w:t>
            </w:r>
          </w:p>
        </w:tc>
        <w:tc>
          <w:tcPr>
            <w:tcW w:w="103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13481.86</w:t>
            </w:r>
          </w:p>
        </w:tc>
        <w:tc>
          <w:tcPr>
            <w:tcW w:w="11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47</w:t>
            </w:r>
          </w:p>
        </w:tc>
        <w:tc>
          <w:tcPr>
            <w:tcW w:w="11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珍珠半岛变电站道路配套工程</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青溪大道至珍珠半岛变电站</w:t>
            </w:r>
          </w:p>
        </w:tc>
        <w:tc>
          <w:tcPr>
            <w:tcW w:w="11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158</w:t>
            </w:r>
          </w:p>
        </w:tc>
        <w:tc>
          <w:tcPr>
            <w:tcW w:w="13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1068.09</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106.51</w:t>
            </w:r>
          </w:p>
        </w:tc>
        <w:tc>
          <w:tcPr>
            <w:tcW w:w="103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1174.6</w:t>
            </w:r>
          </w:p>
        </w:tc>
        <w:tc>
          <w:tcPr>
            <w:tcW w:w="11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11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马路村市场路</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青溪大道至睦洲大道</w:t>
            </w:r>
          </w:p>
        </w:tc>
        <w:tc>
          <w:tcPr>
            <w:tcW w:w="11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1365</w:t>
            </w:r>
          </w:p>
        </w:tc>
        <w:tc>
          <w:tcPr>
            <w:tcW w:w="13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17862.37</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2941.12</w:t>
            </w:r>
          </w:p>
        </w:tc>
        <w:tc>
          <w:tcPr>
            <w:tcW w:w="103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20803.49</w:t>
            </w:r>
          </w:p>
        </w:tc>
        <w:tc>
          <w:tcPr>
            <w:tcW w:w="11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49</w:t>
            </w:r>
          </w:p>
        </w:tc>
        <w:tc>
          <w:tcPr>
            <w:tcW w:w="11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迎春路（经九路）</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前坞屠宰场道路</w:t>
            </w:r>
          </w:p>
        </w:tc>
        <w:tc>
          <w:tcPr>
            <w:tcW w:w="11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260</w:t>
            </w:r>
          </w:p>
        </w:tc>
        <w:tc>
          <w:tcPr>
            <w:tcW w:w="13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2616.29</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1229.8</w:t>
            </w:r>
          </w:p>
        </w:tc>
        <w:tc>
          <w:tcPr>
            <w:tcW w:w="103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3846.09</w:t>
            </w:r>
          </w:p>
        </w:tc>
        <w:tc>
          <w:tcPr>
            <w:tcW w:w="11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11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秀湖路（金基观岛至天湖甲著道路）</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桃园口至金基观岛至天湖甲著道路</w:t>
            </w:r>
          </w:p>
        </w:tc>
        <w:tc>
          <w:tcPr>
            <w:tcW w:w="11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1722</w:t>
            </w:r>
          </w:p>
        </w:tc>
        <w:tc>
          <w:tcPr>
            <w:tcW w:w="13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11612.1</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2310.16</w:t>
            </w:r>
          </w:p>
        </w:tc>
        <w:tc>
          <w:tcPr>
            <w:tcW w:w="103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13922.26</w:t>
            </w:r>
          </w:p>
        </w:tc>
        <w:tc>
          <w:tcPr>
            <w:tcW w:w="11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51</w:t>
            </w:r>
          </w:p>
        </w:tc>
        <w:tc>
          <w:tcPr>
            <w:tcW w:w="11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升华路</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华盛路至鼓山大道</w:t>
            </w:r>
          </w:p>
        </w:tc>
        <w:tc>
          <w:tcPr>
            <w:tcW w:w="11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358</w:t>
            </w:r>
          </w:p>
        </w:tc>
        <w:tc>
          <w:tcPr>
            <w:tcW w:w="13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3562.96</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1772.04</w:t>
            </w:r>
          </w:p>
        </w:tc>
        <w:tc>
          <w:tcPr>
            <w:tcW w:w="103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5335</w:t>
            </w:r>
          </w:p>
        </w:tc>
        <w:tc>
          <w:tcPr>
            <w:tcW w:w="11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0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52</w:t>
            </w:r>
          </w:p>
        </w:tc>
        <w:tc>
          <w:tcPr>
            <w:tcW w:w="111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华盛路</w:t>
            </w:r>
          </w:p>
        </w:tc>
        <w:tc>
          <w:tcPr>
            <w:tcW w:w="72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237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睦洲大道至消防队</w:t>
            </w:r>
          </w:p>
        </w:tc>
        <w:tc>
          <w:tcPr>
            <w:tcW w:w="113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1060</w:t>
            </w:r>
          </w:p>
        </w:tc>
        <w:tc>
          <w:tcPr>
            <w:tcW w:w="133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8937.55</w:t>
            </w:r>
          </w:p>
        </w:tc>
        <w:tc>
          <w:tcPr>
            <w:tcW w:w="110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5664.18</w:t>
            </w:r>
          </w:p>
        </w:tc>
        <w:tc>
          <w:tcPr>
            <w:tcW w:w="103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14601.73</w:t>
            </w:r>
          </w:p>
        </w:tc>
        <w:tc>
          <w:tcPr>
            <w:tcW w:w="11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r>
    </w:tbl>
    <w:p>
      <w:pPr>
        <w:rPr>
          <w:sz w:val="24"/>
        </w:rPr>
      </w:pPr>
      <w:r>
        <w:rPr>
          <w:rFonts w:hint="eastAsia"/>
          <w:sz w:val="24"/>
        </w:rPr>
        <w:t>3、辖区护栏  1891.44 米;</w:t>
      </w:r>
    </w:p>
    <w:p>
      <w:pPr>
        <w:rPr>
          <w:sz w:val="24"/>
        </w:rPr>
      </w:pPr>
      <w:r>
        <w:rPr>
          <w:rFonts w:hint="eastAsia"/>
          <w:sz w:val="24"/>
        </w:rPr>
        <w:t>4、合同履约期限：一年，合同到期后年度考评优秀（90分及以上）可续签一年合同。</w:t>
      </w:r>
    </w:p>
    <w:p>
      <w:pPr>
        <w:rPr>
          <w:b/>
          <w:sz w:val="24"/>
        </w:rPr>
      </w:pPr>
      <w:r>
        <w:rPr>
          <w:rFonts w:hint="eastAsia"/>
          <w:b/>
          <w:sz w:val="24"/>
        </w:rPr>
        <w:t>二、项目具体要求</w:t>
      </w:r>
    </w:p>
    <w:p>
      <w:pPr>
        <w:rPr>
          <w:sz w:val="24"/>
        </w:rPr>
      </w:pPr>
      <w:r>
        <w:rPr>
          <w:rFonts w:hint="eastAsia"/>
          <w:sz w:val="24"/>
        </w:rPr>
        <w:t>1、道路保洁相关要求</w:t>
      </w:r>
    </w:p>
    <w:p>
      <w:pPr>
        <w:rPr>
          <w:sz w:val="24"/>
        </w:rPr>
      </w:pPr>
      <w:r>
        <w:rPr>
          <w:rFonts w:hint="eastAsia"/>
          <w:sz w:val="24"/>
        </w:rPr>
        <w:t>1.1本项目各标项人员要求须符合专职人员基本岗位数量要求。</w:t>
      </w:r>
    </w:p>
    <w:p>
      <w:pPr>
        <w:rPr>
          <w:sz w:val="24"/>
        </w:rPr>
      </w:pPr>
      <w:r>
        <w:rPr>
          <w:rFonts w:hint="eastAsia"/>
          <w:sz w:val="24"/>
        </w:rPr>
        <w:t>1.1.2除项目负责人和专职保洁人员以外，供应商应根据项目保洁的实际需要配备管理人员、机械车辆驾驶人员等，所需费用应考虑在投标总价中。</w:t>
      </w:r>
    </w:p>
    <w:p>
      <w:pPr>
        <w:rPr>
          <w:sz w:val="24"/>
        </w:rPr>
      </w:pPr>
      <w:r>
        <w:rPr>
          <w:rFonts w:hint="eastAsia"/>
          <w:sz w:val="24"/>
        </w:rPr>
        <w:t>1.1.3保洁人员要求男性年龄在60周岁以下，女性年龄在55周岁以下。大型活动和节假日等应根据实际情况增派保洁人员，以确保清卫保洁质量，增派人员的费用应考虑在投标总报价中。</w:t>
      </w:r>
    </w:p>
    <w:p>
      <w:pPr>
        <w:rPr>
          <w:sz w:val="24"/>
        </w:rPr>
      </w:pPr>
      <w:r>
        <w:rPr>
          <w:rFonts w:hint="eastAsia"/>
          <w:sz w:val="24"/>
        </w:rPr>
        <w:t>1.1.4人员用工必须符合《中华人民共和国劳动民法典》等法规的相关规定，如因违法、违规并造成不良后果的，其责任由供应商自行承担。</w:t>
      </w:r>
    </w:p>
    <w:p>
      <w:pPr>
        <w:rPr>
          <w:sz w:val="24"/>
        </w:rPr>
      </w:pPr>
      <w:r>
        <w:rPr>
          <w:rFonts w:hint="eastAsia"/>
          <w:sz w:val="24"/>
        </w:rPr>
        <w:t>1.2保洁服务内容</w:t>
      </w:r>
    </w:p>
    <w:p>
      <w:pPr>
        <w:rPr>
          <w:sz w:val="24"/>
        </w:rPr>
      </w:pPr>
      <w:r>
        <w:rPr>
          <w:rFonts w:hint="eastAsia"/>
          <w:sz w:val="24"/>
        </w:rPr>
        <w:t>1.2.1道路及人行道人工和机械清扫、垃圾拾检。</w:t>
      </w:r>
    </w:p>
    <w:p>
      <w:pPr>
        <w:rPr>
          <w:sz w:val="24"/>
        </w:rPr>
      </w:pPr>
      <w:r>
        <w:rPr>
          <w:rFonts w:hint="eastAsia"/>
          <w:sz w:val="24"/>
        </w:rPr>
        <w:t>1.2.2道路、人行道、交通护栏常态化机械清扫和人工清洗。</w:t>
      </w:r>
    </w:p>
    <w:p>
      <w:pPr>
        <w:rPr>
          <w:sz w:val="24"/>
        </w:rPr>
      </w:pPr>
      <w:r>
        <w:rPr>
          <w:rFonts w:hint="eastAsia"/>
          <w:sz w:val="24"/>
        </w:rPr>
        <w:t>1.2.3道路机扫、洒水降尘常态化。</w:t>
      </w:r>
    </w:p>
    <w:p>
      <w:pPr>
        <w:rPr>
          <w:sz w:val="24"/>
        </w:rPr>
      </w:pPr>
      <w:r>
        <w:rPr>
          <w:rFonts w:hint="eastAsia"/>
          <w:sz w:val="24"/>
        </w:rPr>
        <w:t>1.2.4本项目道路所附属的果壳箱、交通隔离栏均属于本项目保洁范围。</w:t>
      </w:r>
    </w:p>
    <w:p>
      <w:pPr>
        <w:spacing w:line="360" w:lineRule="auto"/>
        <w:rPr>
          <w:sz w:val="24"/>
        </w:rPr>
      </w:pPr>
      <w:r>
        <w:rPr>
          <w:rFonts w:hint="eastAsia"/>
          <w:sz w:val="24"/>
        </w:rPr>
        <w:t xml:space="preserve">1.2.5道路保洁承包期内如有道路改建、扩建、新增人行道等情况所增加的面积，原则上纳入中标单位保洁范围，该片如全年新增道路面积≥2000平方米，以实际移交面积为准按照中标价的标准增加保洁经费，新增道路面积≤2000平方米，则不增加承包费。 </w:t>
      </w:r>
    </w:p>
    <w:p>
      <w:pPr>
        <w:rPr>
          <w:sz w:val="24"/>
        </w:rPr>
      </w:pPr>
      <w:r>
        <w:rPr>
          <w:rFonts w:hint="eastAsia"/>
          <w:sz w:val="24"/>
        </w:rPr>
        <w:t>1.3保洁基本要求</w:t>
      </w:r>
    </w:p>
    <w:p>
      <w:pPr>
        <w:spacing w:line="360" w:lineRule="auto"/>
        <w:rPr>
          <w:sz w:val="24"/>
        </w:rPr>
      </w:pPr>
      <w:r>
        <w:rPr>
          <w:rFonts w:hint="eastAsia"/>
          <w:sz w:val="24"/>
        </w:rPr>
        <w:t>1.3.1一类道路18小时保洁5：00—23:00，二类道路16小时保洁，三类道路14小时保洁。一、二类路段冬季在7：00之前必须完成头遍普扫，夏季在6点30之前完成普扫。三类路段在8：00之前完成普扫，双人路段、上班时间提早10分钟到岗的无缝制衔接方式，不得迟到早退。</w:t>
      </w:r>
    </w:p>
    <w:p>
      <w:pPr>
        <w:spacing w:line="360" w:lineRule="auto"/>
        <w:rPr>
          <w:sz w:val="24"/>
        </w:rPr>
      </w:pPr>
      <w:r>
        <w:rPr>
          <w:rFonts w:hint="eastAsia"/>
          <w:sz w:val="24"/>
        </w:rPr>
        <w:t>1.3.2道路保洁：路面及侧石保洁做到无遗留垃圾、无积水、无积泥、无沙石、无窨井眼堵塞、不得把垃圾扫至叉路口、里弄口及雨水口内，遇到喇叭口扫过头5米，不得将垃圾扫入窨井和花坛，雨停后路面污水及时清扫干净，垃圾应倾倒指定地点，不得焚烧垃圾、树枝落叶。</w:t>
      </w:r>
    </w:p>
    <w:p>
      <w:pPr>
        <w:spacing w:line="360" w:lineRule="auto"/>
        <w:rPr>
          <w:sz w:val="24"/>
        </w:rPr>
      </w:pPr>
      <w:r>
        <w:rPr>
          <w:rFonts w:hint="eastAsia"/>
          <w:sz w:val="24"/>
        </w:rPr>
        <w:t>1.3.3人行道保洁：做到人行道及树穴内无遗留垃圾及杂草杂物，无明显泥沙积沉，严禁垃圾倒入绿化带内。</w:t>
      </w:r>
    </w:p>
    <w:p>
      <w:pPr>
        <w:spacing w:line="360" w:lineRule="auto"/>
        <w:rPr>
          <w:sz w:val="24"/>
        </w:rPr>
      </w:pPr>
      <w:r>
        <w:rPr>
          <w:rFonts w:hint="eastAsia"/>
          <w:sz w:val="24"/>
        </w:rPr>
        <w:t>1.3.4保洁人员必须穿戴统一环卫反光衣帽，按时上下班坚守岗位，不得脱岗、集聚聊天超时坐岗或干与工作无关的事，严禁酒后作业，作业时面向来车方向。发现工地施工污染道路时除及时汇报外积极参与清理。</w:t>
      </w:r>
    </w:p>
    <w:p>
      <w:pPr>
        <w:spacing w:line="360" w:lineRule="auto"/>
        <w:rPr>
          <w:sz w:val="24"/>
        </w:rPr>
      </w:pPr>
      <w:r>
        <w:rPr>
          <w:rFonts w:hint="eastAsia"/>
          <w:sz w:val="24"/>
        </w:rPr>
        <w:t>1.3.5保洁质量需达到杭州市环卫行业标准化管理的各项要求，如标准化管理要求有变动则以变更后的要求为准，要确保有色污染物在道路上不超过、不超标。</w:t>
      </w:r>
    </w:p>
    <w:p>
      <w:pPr>
        <w:spacing w:line="360" w:lineRule="auto"/>
        <w:rPr>
          <w:sz w:val="24"/>
        </w:rPr>
      </w:pPr>
      <w:r>
        <w:rPr>
          <w:rFonts w:hint="eastAsia"/>
          <w:sz w:val="24"/>
        </w:rPr>
        <w:t>1.3.6沿街果壳箱每天至少擦洗一遍，保持果壳箱外观整洁干净，果壳箱内壁七天清洗一次，桶盖复原无歪斜倾倒现象，地面无污渍。按时每天对果壳箱、清洁桶、垃圾收集点进行消杀。</w:t>
      </w:r>
    </w:p>
    <w:p>
      <w:pPr>
        <w:spacing w:line="360" w:lineRule="auto"/>
        <w:rPr>
          <w:sz w:val="24"/>
        </w:rPr>
      </w:pPr>
      <w:r>
        <w:rPr>
          <w:rFonts w:hint="eastAsia"/>
          <w:sz w:val="24"/>
        </w:rPr>
        <w:t>1.3.7洒水作业：保持车容车貌车况良好。要求洒水降尘常态化，洒水（1月、2月、3月、4月、11月、12月）每天洒水1-4次，其他月份每天洒水2-6次（实际每天洒水次数按环卫所通知），做好道路洒水降尘降温工作。如遇局部道路严重污染，需临时洒水冲洗或机扫，应根据具体情况服从调配，洒水作业时要求开启警示灯或提示音，覆盖均匀，洒水路面无积水，保证路面洒水效果，发生严重污染路面时及时冲洗，洒水作业时速小于25km/h，把握洒水幅度压力，以防洒溅到行人，要求在规定取水点取水。</w:t>
      </w:r>
    </w:p>
    <w:p>
      <w:pPr>
        <w:spacing w:line="360" w:lineRule="auto"/>
        <w:rPr>
          <w:sz w:val="24"/>
        </w:rPr>
      </w:pPr>
      <w:r>
        <w:rPr>
          <w:rFonts w:hint="eastAsia"/>
          <w:sz w:val="24"/>
        </w:rPr>
        <w:t>1.3.8机扫作业：保持车容车貌车况良好。实行机扫的路段（除雨天外）每日必须出勤（一、二类道路每天至少2次，三类道路每天至少1次，特殊路段除外），并按标准化作业要求完成机扫道路四个车道（中间无绿化带的为两个车道）的普扫，不得漏扫、干扫。作业时开启警示灯或鸣放提示音，做到无漏扫干扫（气温在0℃时可以干扫）、无扬尘，清扫途中无垃圾撒落，达到车走地净作业到边，扫后路面见本色，普扫时时速小于10km/h。</w:t>
      </w:r>
    </w:p>
    <w:p>
      <w:pPr>
        <w:spacing w:line="360" w:lineRule="auto"/>
        <w:rPr>
          <w:sz w:val="24"/>
        </w:rPr>
      </w:pPr>
      <w:r>
        <w:rPr>
          <w:rFonts w:hint="eastAsia"/>
          <w:sz w:val="24"/>
        </w:rPr>
        <w:t>1.3.9道路清洗：保持车容车貌车况良好。道路清洗要做到机动车道、非机动车道、人行道，路净线明，无污渍、无大面积积水，沿街果壳箱清洁桶等环卫设施无污垢、无积尘、无污水。（一类道路15天冲洗一次，二、三类道路每月至少冲洗一次，特殊路段除外）具体作业时间根据季节变化以甲方通知为准。</w:t>
      </w:r>
    </w:p>
    <w:p>
      <w:pPr>
        <w:spacing w:line="360" w:lineRule="auto"/>
        <w:rPr>
          <w:sz w:val="24"/>
        </w:rPr>
      </w:pPr>
      <w:r>
        <w:rPr>
          <w:rFonts w:hint="eastAsia"/>
          <w:sz w:val="24"/>
        </w:rPr>
        <w:t>1.3.10重大活动或突发事件，必须服从甲方安排，及时组织力量做好清扫保洁等保障工作。1.3.11巡回保洁：保洁员配备电动巡回保洁车巡回作业。</w:t>
      </w:r>
    </w:p>
    <w:p>
      <w:pPr>
        <w:rPr>
          <w:sz w:val="24"/>
        </w:rPr>
      </w:pPr>
      <w:r>
        <w:rPr>
          <w:rFonts w:hint="eastAsia"/>
          <w:sz w:val="24"/>
        </w:rPr>
        <w:t>1.3.12应做到文明、清洁、安全和有序，最大限度地减少对环境的污染和对公众生活的影响。</w:t>
      </w:r>
    </w:p>
    <w:p>
      <w:pPr>
        <w:rPr>
          <w:sz w:val="24"/>
        </w:rPr>
      </w:pPr>
      <w:r>
        <w:rPr>
          <w:rFonts w:hint="eastAsia"/>
          <w:sz w:val="24"/>
        </w:rPr>
        <w:t>1.3.13合理安排作业计划。在清晨或深夜在居民住宅小区或周边道路进行环卫作业时，不得大声喧哗，并应注意控制机具噪音。组织机械化清扫、洒水、清洗作业应避开交通高峰时段（7：00—8：30，17：00—18：30）。</w:t>
      </w:r>
    </w:p>
    <w:p>
      <w:pPr>
        <w:rPr>
          <w:sz w:val="24"/>
        </w:rPr>
      </w:pPr>
      <w:r>
        <w:rPr>
          <w:rFonts w:hint="eastAsia"/>
          <w:sz w:val="24"/>
        </w:rPr>
        <w:t>1.3.14下雪及雪后应根据需要，及时进行路面除雪作业 ，消除路面积雪、结冰，为道路交通畅通创造良好通行条件。清雪作业以机械化清雪为主，人工清雪为辅。清理的积雪不得堆放在雨水井口，禁止向道路路面、绿化带、绿地抛撒积雪。</w:t>
      </w:r>
    </w:p>
    <w:p>
      <w:pPr>
        <w:rPr>
          <w:sz w:val="24"/>
        </w:rPr>
      </w:pPr>
      <w:r>
        <w:rPr>
          <w:rFonts w:hint="eastAsia"/>
          <w:sz w:val="24"/>
        </w:rPr>
        <w:t>1.3.15每辆环卫专用车辆应有GPS装置，如GPS装置故障后应及时报修。GPS或定位系统以及为本项目服务提供的智慧环卫等相关费用均由供应商承担，采购人不另支付任何费用。</w:t>
      </w:r>
    </w:p>
    <w:p>
      <w:pPr>
        <w:rPr>
          <w:sz w:val="24"/>
        </w:rPr>
      </w:pPr>
      <w:r>
        <w:rPr>
          <w:rFonts w:hint="eastAsia"/>
          <w:sz w:val="24"/>
        </w:rPr>
        <w:t>1.3.16人工辅助清扫、清洗机动车道、非机动车道或清洗机动车道交通隔离栏时，应在距清扫点来车方向100M处设置警示标识，使用荧光锥形筒等警示标积围护清扫保洁区域，面向来车方向清扫，注意车辆动态。</w:t>
      </w:r>
    </w:p>
    <w:p>
      <w:pPr>
        <w:rPr>
          <w:sz w:val="24"/>
        </w:rPr>
      </w:pPr>
      <w:r>
        <w:rPr>
          <w:rFonts w:hint="eastAsia"/>
          <w:sz w:val="24"/>
        </w:rPr>
        <w:t>1.3.17洗扫车、扫路车、洒水车、清洗车车尾应设置荧光标宽标识（或警示灯）。夜间作业时或雨雾天气等能见度较低的天气，必须启用警示灯光。环卫电动作业车辆、保洁车等小型作业车辆车身设置荧光条，车后部或车顶设置警示灯。</w:t>
      </w:r>
    </w:p>
    <w:p>
      <w:pPr>
        <w:rPr>
          <w:sz w:val="24"/>
        </w:rPr>
      </w:pPr>
      <w:r>
        <w:rPr>
          <w:rFonts w:hint="eastAsia"/>
          <w:sz w:val="24"/>
        </w:rPr>
        <w:t>1.3.18本项目环卫作业车辆须有固定场所停放，严禁停放在消防通道、公交车站、盲道等影响车辆和行人通行的公共通道。</w:t>
      </w:r>
    </w:p>
    <w:p>
      <w:pPr>
        <w:rPr>
          <w:sz w:val="24"/>
        </w:rPr>
      </w:pPr>
      <w:r>
        <w:rPr>
          <w:rFonts w:hint="eastAsia"/>
          <w:sz w:val="24"/>
        </w:rPr>
        <w:t>1.3.19承诺能及时提供人力、设备、技术等支持。</w:t>
      </w:r>
    </w:p>
    <w:p>
      <w:pPr>
        <w:rPr>
          <w:sz w:val="24"/>
        </w:rPr>
      </w:pPr>
      <w:r>
        <w:rPr>
          <w:rFonts w:hint="eastAsia"/>
          <w:sz w:val="24"/>
        </w:rPr>
        <w:t xml:space="preserve">1.4保洁作业规范 </w:t>
      </w:r>
    </w:p>
    <w:p>
      <w:pPr>
        <w:rPr>
          <w:sz w:val="24"/>
        </w:rPr>
      </w:pPr>
      <w:r>
        <w:rPr>
          <w:rFonts w:hint="eastAsia"/>
          <w:sz w:val="24"/>
        </w:rPr>
        <w:t>1.4.1道路普扫次数和时间</w:t>
      </w:r>
    </w:p>
    <w:p>
      <w:pPr>
        <w:rPr>
          <w:sz w:val="24"/>
        </w:rPr>
      </w:pPr>
      <w:r>
        <w:rPr>
          <w:rFonts w:hint="eastAsia"/>
          <w:sz w:val="24"/>
        </w:rPr>
        <w:t>1.4.1.1一级道路普扫作业每日不少于3次，二级道路普扫作业每日不少于2次。夏季（5月—10月）第一次普扫应在6：30前完成，春、秋、冬季（11月—次年4月）在7：00前完成；第二次普扫在13：30前完成；第三次普扫在17：00前完成。</w:t>
      </w:r>
    </w:p>
    <w:p>
      <w:pPr>
        <w:rPr>
          <w:sz w:val="24"/>
        </w:rPr>
      </w:pPr>
      <w:r>
        <w:rPr>
          <w:rFonts w:hint="eastAsia"/>
          <w:sz w:val="24"/>
        </w:rPr>
        <w:t xml:space="preserve">1.4.1.2应根据重大活动保障、落叶旺季等因素适时增加每日普扫频次。 </w:t>
      </w:r>
    </w:p>
    <w:p>
      <w:pPr>
        <w:rPr>
          <w:sz w:val="24"/>
        </w:rPr>
      </w:pPr>
      <w:r>
        <w:rPr>
          <w:rFonts w:hint="eastAsia"/>
          <w:sz w:val="24"/>
        </w:rPr>
        <w:t>1.4.2洒水（清洗）</w:t>
      </w:r>
    </w:p>
    <w:p>
      <w:pPr>
        <w:rPr>
          <w:sz w:val="24"/>
        </w:rPr>
      </w:pPr>
      <w:r>
        <w:rPr>
          <w:rFonts w:hint="eastAsia"/>
          <w:sz w:val="24"/>
        </w:rPr>
        <w:t>1.4.2.1一级、二级道路普扫作业每日不少于3次，洒水时，洒水车车速不得超过25km/h；清洗时，高压清洗车车速不得超过10km/h；机械化清扫作业时。</w:t>
      </w:r>
    </w:p>
    <w:p>
      <w:pPr>
        <w:rPr>
          <w:sz w:val="24"/>
        </w:rPr>
      </w:pPr>
      <w:r>
        <w:rPr>
          <w:rFonts w:hint="eastAsia"/>
          <w:sz w:val="24"/>
        </w:rPr>
        <w:t>1.4.2.2洒水时，应调整好洒水车水压和水幅，保持车行道全路段路面湿润。途经公交站、人行横道等人流量集中的地点应注意放慢车速，避让行人，调整启闭装置，避免将水洒到行人身人。</w:t>
      </w:r>
    </w:p>
    <w:p>
      <w:pPr>
        <w:rPr>
          <w:sz w:val="24"/>
        </w:rPr>
      </w:pPr>
      <w:r>
        <w:rPr>
          <w:rFonts w:hint="eastAsia"/>
          <w:sz w:val="24"/>
        </w:rPr>
        <w:t>1.4.2.3中、高考等重要考试期间，洒水车途经考场周边道路时应及时关闭洒水提示音乐，夏季中午时间（12时-14时）适当降低洒水提示音量。</w:t>
      </w:r>
    </w:p>
    <w:p>
      <w:pPr>
        <w:rPr>
          <w:sz w:val="24"/>
        </w:rPr>
      </w:pPr>
      <w:r>
        <w:rPr>
          <w:rFonts w:hint="eastAsia"/>
          <w:sz w:val="24"/>
        </w:rPr>
        <w:t>1.4.2.4小雨及以下雨量时，按计划保持洒水作业；中雨及以上雨量或雷阵雨期间，暂停道路洒水和清洗作业。</w:t>
      </w:r>
    </w:p>
    <w:p>
      <w:pPr>
        <w:rPr>
          <w:sz w:val="24"/>
        </w:rPr>
      </w:pPr>
      <w:r>
        <w:rPr>
          <w:rFonts w:hint="eastAsia"/>
          <w:sz w:val="24"/>
        </w:rPr>
        <w:t>1.4.2.5春秋季（3月—4月、11月—12月），每日道路洒水频次作为基准遍次，即一级道路每日4次；夏季（5月—10月），在基准频次上每日分别增加4-6次；冬季（12月—2月），在基准频次上每日分别1-2次。</w:t>
      </w:r>
    </w:p>
    <w:p>
      <w:pPr>
        <w:rPr>
          <w:sz w:val="24"/>
        </w:rPr>
      </w:pPr>
      <w:r>
        <w:rPr>
          <w:rFonts w:hint="eastAsia"/>
          <w:sz w:val="24"/>
        </w:rPr>
        <w:t>1.4.2.6气温低于2摄氏度时应停止清洗和洒水。</w:t>
      </w:r>
    </w:p>
    <w:p>
      <w:pPr>
        <w:rPr>
          <w:sz w:val="24"/>
        </w:rPr>
      </w:pPr>
      <w:r>
        <w:rPr>
          <w:rFonts w:hint="eastAsia"/>
          <w:sz w:val="24"/>
        </w:rPr>
        <w:t>1.4.2.7根据清雪作业应急保障需要，可使用洒水车、清洗车冲刷路面积雪，并使用清雪车、扫路车等专业车辆或人工辅助，及时清除路面积水、积雪。</w:t>
      </w:r>
    </w:p>
    <w:p>
      <w:pPr>
        <w:rPr>
          <w:sz w:val="24"/>
        </w:rPr>
      </w:pPr>
      <w:r>
        <w:rPr>
          <w:rFonts w:hint="eastAsia"/>
          <w:sz w:val="24"/>
        </w:rPr>
        <w:t>1.4.3机械化清扫</w:t>
      </w:r>
    </w:p>
    <w:p>
      <w:pPr>
        <w:rPr>
          <w:sz w:val="24"/>
        </w:rPr>
      </w:pPr>
      <w:r>
        <w:rPr>
          <w:rFonts w:hint="eastAsia"/>
          <w:sz w:val="24"/>
        </w:rPr>
        <w:t>1.4.3.1机械化清扫范围主要为机动车道，及便于使用机械化装备清洁机动车道的交通隔离栏。</w:t>
      </w:r>
    </w:p>
    <w:p>
      <w:pPr>
        <w:rPr>
          <w:sz w:val="24"/>
        </w:rPr>
      </w:pPr>
      <w:r>
        <w:rPr>
          <w:rFonts w:hint="eastAsia"/>
          <w:sz w:val="24"/>
        </w:rPr>
        <w:t>1.4.3.2湿扫车或洗扫车应加足水，根据路面状况调整好扫路车侧刷和吸口，喷雾洁扫无扬尘，在规定时间和路线进行机械化清扫作业。</w:t>
      </w:r>
    </w:p>
    <w:p>
      <w:pPr>
        <w:rPr>
          <w:sz w:val="24"/>
        </w:rPr>
      </w:pPr>
      <w:r>
        <w:rPr>
          <w:rFonts w:hint="eastAsia"/>
          <w:sz w:val="24"/>
        </w:rPr>
        <w:t>1.4.3.3机械化清扫作业时，扫路车或洗扫车车速不得超过10km/h。</w:t>
      </w:r>
    </w:p>
    <w:p>
      <w:pPr>
        <w:rPr>
          <w:sz w:val="24"/>
        </w:rPr>
      </w:pPr>
      <w:r>
        <w:rPr>
          <w:rFonts w:hint="eastAsia"/>
          <w:sz w:val="24"/>
        </w:rPr>
        <w:t>1.4.3.4清扫时应注意观察路面清扫质量和路面障碍情况，对机械化清扫不能清除的大件垃圾或硬物，在确保作业安全的前提下，及时下车清除。</w:t>
      </w:r>
    </w:p>
    <w:p>
      <w:pPr>
        <w:rPr>
          <w:sz w:val="24"/>
        </w:rPr>
      </w:pPr>
      <w:r>
        <w:rPr>
          <w:rFonts w:hint="eastAsia"/>
          <w:sz w:val="24"/>
        </w:rPr>
        <w:t>1.4.3.5当日清扫结束后，应在指定地点卸空机械化清扫车辆中的垃圾。</w:t>
      </w:r>
    </w:p>
    <w:p>
      <w:pPr>
        <w:rPr>
          <w:sz w:val="24"/>
        </w:rPr>
      </w:pPr>
      <w:r>
        <w:rPr>
          <w:rFonts w:hint="eastAsia"/>
          <w:sz w:val="24"/>
        </w:rPr>
        <w:t>1.4.3.6机械化清扫车辆所用的扫把丝等消耗品应根据使用状况及时更换。</w:t>
      </w:r>
    </w:p>
    <w:p>
      <w:pPr>
        <w:rPr>
          <w:sz w:val="24"/>
        </w:rPr>
      </w:pPr>
      <w:r>
        <w:rPr>
          <w:rFonts w:hint="eastAsia"/>
          <w:sz w:val="24"/>
        </w:rPr>
        <w:t>1.4.4人工普扫</w:t>
      </w:r>
    </w:p>
    <w:p>
      <w:pPr>
        <w:rPr>
          <w:sz w:val="24"/>
        </w:rPr>
      </w:pPr>
      <w:r>
        <w:rPr>
          <w:rFonts w:hint="eastAsia"/>
          <w:sz w:val="24"/>
        </w:rPr>
        <w:t>1.4.4.1清扫时，在距清扫点适当位置安全警示标识。</w:t>
      </w:r>
    </w:p>
    <w:p>
      <w:pPr>
        <w:rPr>
          <w:sz w:val="24"/>
        </w:rPr>
      </w:pPr>
      <w:r>
        <w:rPr>
          <w:rFonts w:hint="eastAsia"/>
          <w:sz w:val="24"/>
        </w:rPr>
        <w:t>1.4.5人工保洁</w:t>
      </w:r>
    </w:p>
    <w:p>
      <w:pPr>
        <w:rPr>
          <w:sz w:val="24"/>
        </w:rPr>
      </w:pPr>
      <w:r>
        <w:rPr>
          <w:rFonts w:hint="eastAsia"/>
          <w:sz w:val="24"/>
        </w:rPr>
        <w:t>1.4.5.1普扫结束后，应按照规定的责任保洁区域、保洁时间组织巡回保洁。落实责任保洁区域边界管理，保洁时应向保洁边界以外适当延伸，不留保洁盲区和空白点。</w:t>
      </w:r>
    </w:p>
    <w:p>
      <w:pPr>
        <w:rPr>
          <w:sz w:val="24"/>
        </w:rPr>
      </w:pPr>
      <w:r>
        <w:rPr>
          <w:rFonts w:hint="eastAsia"/>
          <w:sz w:val="24"/>
        </w:rPr>
        <w:t>1.4.5.2突发性环境卫生污染现场清理时，应严格按照应急处置方案进行保洁，及时消除污染物，恢复路面清洁。</w:t>
      </w:r>
    </w:p>
    <w:p>
      <w:pPr>
        <w:rPr>
          <w:sz w:val="24"/>
        </w:rPr>
      </w:pPr>
      <w:r>
        <w:rPr>
          <w:rFonts w:hint="eastAsia"/>
          <w:sz w:val="24"/>
        </w:rPr>
        <w:t>1.4.5.3环卫电动专用作业车辆应在非机动车道顺向行驶，不得超载，且行驶速度不得超过20Km/h。</w:t>
      </w:r>
    </w:p>
    <w:p>
      <w:pPr>
        <w:rPr>
          <w:sz w:val="24"/>
        </w:rPr>
      </w:pPr>
      <w:r>
        <w:rPr>
          <w:rFonts w:hint="eastAsia"/>
          <w:sz w:val="24"/>
        </w:rPr>
        <w:t>1.4.5.4保洁作业结束后，作业工具应在规定地点摆放，不得在道路路面、墙角、绿化带、绿地中存放。</w:t>
      </w:r>
    </w:p>
    <w:p>
      <w:pPr>
        <w:rPr>
          <w:sz w:val="24"/>
        </w:rPr>
      </w:pPr>
      <w:r>
        <w:rPr>
          <w:rFonts w:hint="eastAsia"/>
          <w:sz w:val="24"/>
        </w:rPr>
        <w:t>1.5保洁作业质量要求</w:t>
      </w:r>
    </w:p>
    <w:p>
      <w:pPr>
        <w:rPr>
          <w:sz w:val="24"/>
        </w:rPr>
      </w:pPr>
      <w:r>
        <w:rPr>
          <w:rFonts w:hint="eastAsia"/>
          <w:sz w:val="24"/>
        </w:rPr>
        <w:t>1.5.1清扫应做到“五无五净”。即无垃圾杂物；无积水积泥，无痰迹烟蒂，无果皮纸屑，无土石杂草；路面干净，绿化带和树圈干净，边角侧石干净，雨水井盖沟眼畅通干净，果壳箱等环卫设施干净、路面见本色。</w:t>
      </w:r>
    </w:p>
    <w:p>
      <w:pPr>
        <w:rPr>
          <w:sz w:val="24"/>
        </w:rPr>
      </w:pPr>
      <w:r>
        <w:rPr>
          <w:rFonts w:hint="eastAsia"/>
          <w:sz w:val="24"/>
        </w:rPr>
        <w:t xml:space="preserve">1.5.2其他要求：   </w:t>
      </w:r>
    </w:p>
    <w:p>
      <w:pPr>
        <w:rPr>
          <w:sz w:val="24"/>
        </w:rPr>
      </w:pPr>
      <w:r>
        <w:rPr>
          <w:rFonts w:hint="eastAsia"/>
          <w:sz w:val="24"/>
        </w:rPr>
        <w:t xml:space="preserve">（1）遇有窨井盖丢失等，承包方必须及时上报采购人。  </w:t>
      </w:r>
    </w:p>
    <w:p>
      <w:pPr>
        <w:rPr>
          <w:sz w:val="24"/>
        </w:rPr>
      </w:pPr>
      <w:r>
        <w:rPr>
          <w:rFonts w:hint="eastAsia"/>
          <w:sz w:val="24"/>
        </w:rPr>
        <w:t xml:space="preserve">（2）遇有重大活动或突发事件，及时组织力量做好清扫保洁保障工作。   </w:t>
      </w:r>
    </w:p>
    <w:p>
      <w:pPr>
        <w:rPr>
          <w:sz w:val="24"/>
        </w:rPr>
      </w:pPr>
      <w:r>
        <w:rPr>
          <w:rFonts w:hint="eastAsia"/>
          <w:sz w:val="24"/>
        </w:rPr>
        <w:t>（3）遇有重大活动以及抗台、抗雪等突发事件，必须及时组织力量做好清扫保洁等应急保障工作，按照城市管理保障应急机制要求，保证人员及时到位，并根据应急指令服从统一调配。</w:t>
      </w:r>
    </w:p>
    <w:p>
      <w:pPr>
        <w:rPr>
          <w:sz w:val="24"/>
        </w:rPr>
      </w:pPr>
      <w:r>
        <w:rPr>
          <w:rFonts w:hint="eastAsia"/>
          <w:sz w:val="24"/>
        </w:rPr>
        <w:t>1.6.管理要求</w:t>
      </w:r>
    </w:p>
    <w:p>
      <w:pPr>
        <w:rPr>
          <w:sz w:val="24"/>
        </w:rPr>
      </w:pPr>
      <w:r>
        <w:rPr>
          <w:rFonts w:hint="eastAsia"/>
          <w:sz w:val="24"/>
        </w:rPr>
        <w:t>1.6.1供应商在保洁作业中投入的机械设备、人员配置等必须与投标文件中所承诺的数量规格相符合。加强日常作业质量管理，相关计划及报告按采购人要求准时递交。</w:t>
      </w:r>
    </w:p>
    <w:p>
      <w:pPr>
        <w:rPr>
          <w:sz w:val="24"/>
        </w:rPr>
      </w:pPr>
      <w:r>
        <w:rPr>
          <w:rFonts w:hint="eastAsia"/>
          <w:sz w:val="24"/>
        </w:rPr>
        <w:t>1.6.2规范管理、文明作业、自觉接受采购人及其上级各部门领导的检查和社会监督，对出现的问题要及时整改。</w:t>
      </w:r>
    </w:p>
    <w:p>
      <w:pPr>
        <w:rPr>
          <w:sz w:val="24"/>
        </w:rPr>
      </w:pPr>
      <w:r>
        <w:rPr>
          <w:rFonts w:hint="eastAsia"/>
          <w:sz w:val="24"/>
        </w:rPr>
        <w:t>1.6.3作业时应严格遵守交通规则、遵守劳动纪律、遵守安全操作规程，作业人员须统一穿戴安全反光背心和反光帽，佩证上岗。加强日常安全生产管理，确保职工人身安全。如遇各种意外事故发生由中标单位自行负责，并依照法律法规妥善处理（事故情况应及时书面告知采购人）。</w:t>
      </w:r>
    </w:p>
    <w:p>
      <w:pPr>
        <w:rPr>
          <w:sz w:val="24"/>
        </w:rPr>
      </w:pPr>
      <w:r>
        <w:rPr>
          <w:rFonts w:hint="eastAsia"/>
          <w:sz w:val="24"/>
        </w:rPr>
        <w:t>1.6.4果壳箱应定期保养保持整洁完好无缺失，承包期间因操作或管理不善造成破损、缺失的，由供应商承担费用并负责修复或更新（果壳箱更换款式应保持原样，或经采购人同意后调整款式）。</w:t>
      </w:r>
    </w:p>
    <w:p>
      <w:pPr>
        <w:rPr>
          <w:sz w:val="24"/>
        </w:rPr>
      </w:pPr>
      <w:r>
        <w:rPr>
          <w:rFonts w:hint="eastAsia"/>
          <w:sz w:val="24"/>
        </w:rPr>
        <w:t>1.6.5专用作业车辆（含人力三轮车）符合环卫标准化管理要求，外观喷漆及规格符合采购人要求，机动、人力车辆应按时冲洗保养保持外观整洁，无抛洒滴漏、无满溢、无吊挂。</w:t>
      </w:r>
    </w:p>
    <w:p>
      <w:pPr>
        <w:rPr>
          <w:sz w:val="24"/>
        </w:rPr>
      </w:pPr>
      <w:r>
        <w:rPr>
          <w:rFonts w:hint="eastAsia"/>
          <w:sz w:val="24"/>
        </w:rPr>
        <w:t xml:space="preserve">   1.6.6垃圾应倾倒在指定的垃圾堆放场地，不得焚烧垃圾、树叶，确需垃圾二次转运的应在指定地点进行，不得直接在保洁道路上进行。</w:t>
      </w:r>
    </w:p>
    <w:p>
      <w:pPr>
        <w:rPr>
          <w:sz w:val="24"/>
        </w:rPr>
      </w:pPr>
      <w:r>
        <w:rPr>
          <w:rFonts w:hint="eastAsia"/>
          <w:sz w:val="24"/>
        </w:rPr>
        <w:t xml:space="preserve">1.6.7如遇渣土抛洒污染路面等情况，供应商应及时上报采购人，并做好照片资料，同时进行道路冲洗清理。   </w:t>
      </w:r>
    </w:p>
    <w:p>
      <w:pPr>
        <w:rPr>
          <w:sz w:val="24"/>
        </w:rPr>
      </w:pPr>
      <w:r>
        <w:rPr>
          <w:rFonts w:hint="eastAsia"/>
          <w:sz w:val="24"/>
        </w:rPr>
        <w:t>1.6.8无新闻媒体曝光，对“12345”市长公开电话和有关受理中心及信访处相关问题，处理、回复及时到位。加强管理，确保在国家、省、市、区的各项检查中不失责任分。</w:t>
      </w:r>
    </w:p>
    <w:p>
      <w:pPr>
        <w:rPr>
          <w:sz w:val="24"/>
        </w:rPr>
      </w:pPr>
      <w:r>
        <w:rPr>
          <w:rFonts w:hint="eastAsia"/>
          <w:sz w:val="24"/>
        </w:rPr>
        <w:t>2、偷倒垃圾清运要求</w:t>
      </w:r>
    </w:p>
    <w:p>
      <w:pPr>
        <w:rPr>
          <w:sz w:val="24"/>
        </w:rPr>
      </w:pPr>
      <w:r>
        <w:rPr>
          <w:rFonts w:hint="eastAsia"/>
          <w:sz w:val="24"/>
        </w:rPr>
        <w:t>2.1服务内容：主要为本项目各个标段采购人管养范围内偷倒的垃圾清运工作，垃圾运至城管局指定的区内分拣场或消纳处置场所，处置费不包含在本次招标内容中。</w:t>
      </w:r>
    </w:p>
    <w:p>
      <w:pPr>
        <w:rPr>
          <w:sz w:val="24"/>
        </w:rPr>
      </w:pPr>
      <w:r>
        <w:rPr>
          <w:rFonts w:hint="eastAsia"/>
          <w:sz w:val="24"/>
        </w:rPr>
        <w:t>2.2具体要求：</w:t>
      </w:r>
    </w:p>
    <w:p>
      <w:pPr>
        <w:rPr>
          <w:sz w:val="24"/>
        </w:rPr>
      </w:pPr>
      <w:r>
        <w:rPr>
          <w:rFonts w:hint="eastAsia"/>
          <w:sz w:val="24"/>
        </w:rPr>
        <w:t>（1）在服务期内，供应商应加强所承包范围内防止垃圾偷倒的管理工作。如在所承包范围内发生偷倒，需完成偷倒的垃圾清运工作，垃圾的装车、运输至消纳处置场，因乱倒垃圾不符合相关要求所引发的问题，由供应商承担所有责任及赔偿费用。</w:t>
      </w:r>
    </w:p>
    <w:p>
      <w:pPr>
        <w:rPr>
          <w:sz w:val="24"/>
        </w:rPr>
      </w:pPr>
      <w:r>
        <w:rPr>
          <w:rFonts w:hint="eastAsia"/>
          <w:sz w:val="24"/>
        </w:rPr>
        <w:t>（2）车辆要求：本项目所需的作业车辆应到采购单位备案。</w:t>
      </w:r>
    </w:p>
    <w:p>
      <w:r>
        <w:rPr>
          <w:rFonts w:hint="eastAsia"/>
        </w:rPr>
        <w:t>四、项目其他要求</w:t>
      </w:r>
    </w:p>
    <w:p>
      <w:pPr>
        <w:rPr>
          <w:rFonts w:ascii="宋体" w:hAnsi="宋体" w:cs="宋体"/>
          <w:b/>
          <w:sz w:val="24"/>
        </w:rPr>
      </w:pPr>
      <w:r>
        <w:rPr>
          <w:rFonts w:hint="eastAsia" w:ascii="宋体" w:hAnsi="宋体" w:cs="宋体"/>
          <w:b/>
          <w:sz w:val="24"/>
        </w:rPr>
        <w:t>4.1▲本项目需配备总质量7吨及以上车辆至少9辆（</w:t>
      </w:r>
      <w:r>
        <w:rPr>
          <w:rFonts w:hint="eastAsia" w:ascii="宋体" w:hAnsi="宋体" w:cs="宋体"/>
          <w:b/>
          <w:spacing w:val="10"/>
          <w:kern w:val="0"/>
          <w:sz w:val="24"/>
        </w:rPr>
        <w:t>其中新能源车或天然气清洁能源车不少于3辆</w:t>
      </w:r>
      <w:r>
        <w:rPr>
          <w:rFonts w:hint="eastAsia" w:ascii="宋体" w:hAnsi="宋体" w:cs="宋体"/>
          <w:b/>
          <w:sz w:val="24"/>
        </w:rPr>
        <w:t>）。投标单位须承诺中标后若更换车辆必须更换为</w:t>
      </w:r>
      <w:r>
        <w:rPr>
          <w:rFonts w:hint="eastAsia" w:ascii="宋体" w:hAnsi="宋体" w:cs="宋体"/>
          <w:b/>
          <w:spacing w:val="10"/>
          <w:kern w:val="0"/>
          <w:sz w:val="24"/>
        </w:rPr>
        <w:t>新能源车或天然气清洁能源车</w:t>
      </w:r>
      <w:r>
        <w:rPr>
          <w:rFonts w:hint="eastAsia" w:ascii="宋体" w:hAnsi="宋体" w:cs="宋体"/>
          <w:b/>
          <w:sz w:val="24"/>
        </w:rPr>
        <w:t>。同时为保证服务质量，投标单位还须承诺中标后项目成员班子和机械设备只能服务本项目。</w:t>
      </w:r>
    </w:p>
    <w:p>
      <w:pPr>
        <w:rPr>
          <w:rFonts w:ascii="宋体" w:hAnsi="宋体" w:cs="宋体"/>
          <w:b/>
          <w:sz w:val="24"/>
        </w:rPr>
      </w:pPr>
      <w:r>
        <w:rPr>
          <w:rFonts w:hint="eastAsia" w:ascii="宋体" w:hAnsi="宋体" w:cs="宋体"/>
          <w:b/>
          <w:sz w:val="24"/>
        </w:rPr>
        <w:t>4.2▲根据杭州市城市道路保洁分类管理要求，确保作业期间白班同一时段路面作业人员数量达到59名，一线清扫保洁作业人员（含保洁项目现场管理人员、驾驶员和冲洗人员，不含代班人员）总人数不得少于118人，不满足作业人员配备数量要求的，作无效标处理。</w:t>
      </w:r>
    </w:p>
    <w:p>
      <w:pPr>
        <w:spacing w:line="360" w:lineRule="auto"/>
      </w:pPr>
      <w:r>
        <w:rPr>
          <w:rFonts w:hint="eastAsia" w:ascii="宋体" w:hAnsi="宋体" w:cs="宋体"/>
          <w:snapToGrid w:val="0"/>
          <w:color w:val="000000"/>
          <w:kern w:val="0"/>
          <w:sz w:val="24"/>
        </w:rPr>
        <w:t>4.3为保障保洁人员的合法权益不受侵害，防止投标人因报价过低而引起挤占保洁人员工资现象的发生，本项目保洁人员基本工资不得低于目前淳安县环卫工人最低工资标准（人均35000元/年），且必须在淳安本地为职工缴纳社会统筹和购买意外伤害保险。在报价文件中必须列出本项目保洁人员数量、工资等详细情况。</w:t>
      </w:r>
      <w:r>
        <w:rPr>
          <w:rFonts w:hint="eastAsia" w:ascii="宋体" w:hAnsi="宋体" w:cs="宋体"/>
          <w:b/>
          <w:snapToGrid w:val="0"/>
          <w:color w:val="000000"/>
          <w:kern w:val="0"/>
          <w:sz w:val="24"/>
        </w:rPr>
        <w:t>如工资水平低于人均35000元/年，将会被认定低于市场价投标，作无效标处理。</w:t>
      </w:r>
      <w:r>
        <w:rPr>
          <w:rFonts w:hint="eastAsia" w:ascii="宋体" w:hAnsi="宋体" w:cs="宋体"/>
          <w:snapToGrid w:val="0"/>
          <w:color w:val="000000"/>
          <w:kern w:val="0"/>
          <w:sz w:val="24"/>
        </w:rPr>
        <w:t>中标单位每月人员工资发放情况必须报采购人备案，采购人将进行逐个核实，不足部分将责令其补足，否则支付费用时不足部分予以三倍扣除。</w:t>
      </w:r>
    </w:p>
    <w:p>
      <w:pPr>
        <w:spacing w:line="360" w:lineRule="auto"/>
        <w:rPr>
          <w:rFonts w:ascii="宋体" w:hAnsi="宋体" w:cs="宋体"/>
          <w:snapToGrid w:val="0"/>
          <w:color w:val="000000"/>
          <w:kern w:val="0"/>
          <w:sz w:val="24"/>
        </w:rPr>
      </w:pPr>
      <w:r>
        <w:rPr>
          <w:rFonts w:hint="eastAsia" w:ascii="宋体" w:hAnsi="宋体" w:cs="宋体"/>
          <w:snapToGrid w:val="0"/>
          <w:color w:val="000000"/>
          <w:kern w:val="0"/>
          <w:sz w:val="24"/>
        </w:rPr>
        <w:t>4.4供应商须有设备的使用权，在采购人通知后5个工作日内，将投标文件中承诺拟投入的设备行驶或运至采购人指定地点，采购人将对投标时承诺拟投入的设备(其中新能源作业车如因上牌时间紧张，可先将车辆行驶至采购人指定地点进行核验，但还应提供发票复印件、合同复印件及中标公示后20日内完成上牌的承诺书)进行核验。如车辆核验不通过或至投标截止时间止存在不符合中华人民共和国政府采购法第二十二条规定的供应商资格条件或被列入失信被执行人名单、重大税收违法案件当事人名单、政府采购严重违法失信行为记录名单的（信用信息以信用中国网站（www.creditchina.gov.cn）、中国政府采购网（www.ccgp.gov.cn）公布为准）；或存在弄虚作假行为的，采购人将有权取消其中标资格。</w:t>
      </w:r>
    </w:p>
    <w:p>
      <w:pPr>
        <w:spacing w:line="360" w:lineRule="auto"/>
        <w:rPr>
          <w:rFonts w:ascii="宋体" w:hAnsi="宋体" w:cs="宋体"/>
          <w:snapToGrid w:val="0"/>
          <w:color w:val="000000"/>
          <w:kern w:val="0"/>
          <w:sz w:val="24"/>
        </w:rPr>
      </w:pPr>
      <w:r>
        <w:rPr>
          <w:rFonts w:hint="eastAsia" w:ascii="宋体" w:hAnsi="宋体" w:cs="宋体"/>
          <w:snapToGrid w:val="0"/>
          <w:color w:val="000000"/>
          <w:kern w:val="0"/>
          <w:sz w:val="24"/>
        </w:rPr>
        <w:t>4.5供应商中标后在项目所在地应设有满足项目所需的办公场地、应急物资储备仓库、停车场，原则上场地由中标供应商自行解决，中标供应商自行解决困难的，采购人予以协调，但由于设置场地产生的所有费用、以及报批手续等均由中标供应商承担。</w:t>
      </w:r>
    </w:p>
    <w:p>
      <w:pPr>
        <w:spacing w:line="360" w:lineRule="auto"/>
        <w:rPr>
          <w:rFonts w:ascii="宋体" w:hAnsi="宋体" w:cs="宋体"/>
          <w:snapToGrid w:val="0"/>
          <w:color w:val="000000"/>
          <w:kern w:val="0"/>
          <w:sz w:val="24"/>
        </w:rPr>
      </w:pPr>
      <w:r>
        <w:rPr>
          <w:rFonts w:hint="eastAsia" w:ascii="宋体" w:hAnsi="宋体" w:cs="宋体"/>
          <w:snapToGrid w:val="0"/>
          <w:color w:val="000000"/>
          <w:kern w:val="0"/>
          <w:sz w:val="24"/>
        </w:rPr>
        <w:t>4.6如采用机械化作业，减少作业人员，但作业人员最低不少于118名（按采购文件规定的定额标准配足是保洁员128名），并在投标文件中明确增加的机械设备数量及费用，严格按规定进行操作和作业。</w:t>
      </w:r>
    </w:p>
    <w:p>
      <w:pPr>
        <w:spacing w:line="360" w:lineRule="auto"/>
        <w:rPr>
          <w:rFonts w:ascii="宋体" w:hAnsi="宋体" w:cs="宋体"/>
          <w:snapToGrid w:val="0"/>
          <w:color w:val="000000"/>
          <w:kern w:val="0"/>
          <w:sz w:val="24"/>
        </w:rPr>
      </w:pPr>
      <w:r>
        <w:rPr>
          <w:rFonts w:hint="eastAsia" w:ascii="宋体" w:hAnsi="宋体" w:cs="宋体"/>
          <w:snapToGrid w:val="0"/>
          <w:color w:val="000000"/>
          <w:kern w:val="0"/>
          <w:sz w:val="24"/>
        </w:rPr>
        <w:t>4.7投标文件中提供的各项证明文件必须真实、有效。</w:t>
      </w:r>
    </w:p>
    <w:p>
      <w:pPr>
        <w:spacing w:line="360" w:lineRule="auto"/>
        <w:rPr>
          <w:rFonts w:ascii="宋体" w:hAnsi="宋体" w:cs="宋体"/>
          <w:snapToGrid w:val="0"/>
          <w:color w:val="000000"/>
          <w:kern w:val="0"/>
          <w:sz w:val="24"/>
        </w:rPr>
      </w:pPr>
      <w:r>
        <w:rPr>
          <w:rFonts w:hint="eastAsia" w:ascii="宋体" w:hAnsi="宋体" w:cs="宋体"/>
          <w:snapToGrid w:val="0"/>
          <w:color w:val="000000"/>
          <w:kern w:val="0"/>
          <w:sz w:val="24"/>
        </w:rPr>
        <w:t>质量标准及验收标准</w:t>
      </w:r>
    </w:p>
    <w:p>
      <w:pPr>
        <w:spacing w:line="360" w:lineRule="auto"/>
        <w:rPr>
          <w:rFonts w:ascii="宋体" w:hAnsi="宋体" w:cs="宋体"/>
          <w:snapToGrid w:val="0"/>
          <w:color w:val="000000"/>
          <w:kern w:val="0"/>
          <w:sz w:val="24"/>
        </w:rPr>
      </w:pPr>
      <w:r>
        <w:rPr>
          <w:rFonts w:hint="eastAsia" w:ascii="宋体" w:hAnsi="宋体" w:cs="宋体"/>
          <w:snapToGrid w:val="0"/>
          <w:color w:val="000000"/>
          <w:kern w:val="0"/>
          <w:sz w:val="24"/>
        </w:rPr>
        <w:t>5.1《杭州市城市环境卫生作业规范》</w:t>
      </w:r>
    </w:p>
    <w:p>
      <w:pPr>
        <w:spacing w:line="360" w:lineRule="auto"/>
        <w:rPr>
          <w:rFonts w:ascii="宋体" w:hAnsi="宋体" w:cs="宋体"/>
          <w:snapToGrid w:val="0"/>
          <w:color w:val="000000"/>
          <w:kern w:val="0"/>
          <w:sz w:val="24"/>
        </w:rPr>
      </w:pPr>
      <w:r>
        <w:rPr>
          <w:rFonts w:hint="eastAsia" w:ascii="宋体" w:hAnsi="宋体" w:cs="宋体"/>
          <w:snapToGrid w:val="0"/>
          <w:color w:val="000000"/>
          <w:kern w:val="0"/>
          <w:sz w:val="24"/>
        </w:rPr>
        <w:t>5.2《关于进一步明确城市各类保洁相关要求的通知》（杭城管局</w:t>
      </w:r>
      <w:r>
        <w:rPr>
          <w:rFonts w:hint="eastAsia" w:ascii="宋体" w:hAnsi="宋体" w:cs="宋体"/>
          <w:snapToGrid w:val="0"/>
          <w:color w:val="000000"/>
          <w:kern w:val="0"/>
          <w:sz w:val="24"/>
          <w:lang w:val="zh-CN"/>
        </w:rPr>
        <w:t>〔20</w:t>
      </w:r>
      <w:r>
        <w:rPr>
          <w:rFonts w:hint="eastAsia" w:ascii="宋体" w:hAnsi="宋体" w:cs="宋体"/>
          <w:snapToGrid w:val="0"/>
          <w:color w:val="000000"/>
          <w:kern w:val="0"/>
          <w:sz w:val="24"/>
        </w:rPr>
        <w:t>20</w:t>
      </w:r>
      <w:r>
        <w:rPr>
          <w:rFonts w:hint="eastAsia" w:ascii="宋体" w:hAnsi="宋体" w:cs="宋体"/>
          <w:snapToGrid w:val="0"/>
          <w:color w:val="000000"/>
          <w:kern w:val="0"/>
          <w:sz w:val="24"/>
          <w:lang w:val="zh-CN"/>
        </w:rPr>
        <w:t>〕</w:t>
      </w:r>
      <w:r>
        <w:rPr>
          <w:rFonts w:hint="eastAsia" w:ascii="宋体" w:hAnsi="宋体" w:cs="宋体"/>
          <w:snapToGrid w:val="0"/>
          <w:color w:val="000000"/>
          <w:kern w:val="0"/>
          <w:sz w:val="24"/>
        </w:rPr>
        <w:t>49号）</w:t>
      </w:r>
    </w:p>
    <w:p>
      <w:pPr>
        <w:spacing w:line="360" w:lineRule="auto"/>
        <w:rPr>
          <w:rFonts w:ascii="宋体" w:hAnsi="宋体" w:cs="宋体"/>
          <w:snapToGrid w:val="0"/>
          <w:color w:val="000000"/>
          <w:kern w:val="0"/>
          <w:sz w:val="24"/>
        </w:rPr>
      </w:pPr>
      <w:r>
        <w:rPr>
          <w:rFonts w:hint="eastAsia" w:ascii="宋体" w:hAnsi="宋体" w:cs="宋体"/>
          <w:snapToGrid w:val="0"/>
          <w:color w:val="000000"/>
          <w:kern w:val="0"/>
          <w:sz w:val="24"/>
        </w:rPr>
        <w:t>5.3《关于印发〈杭州市环卫作业人员着装与作业行为规范〉及〈杭州市环卫作业车辆标识与作业管理规范〉的通知》（杭城管委〔2016〕130号）</w:t>
      </w:r>
    </w:p>
    <w:p>
      <w:pPr>
        <w:spacing w:line="360" w:lineRule="auto"/>
        <w:rPr>
          <w:rFonts w:ascii="宋体" w:hAnsi="宋体" w:cs="宋体"/>
          <w:snapToGrid w:val="0"/>
          <w:color w:val="000000"/>
          <w:kern w:val="0"/>
          <w:sz w:val="24"/>
        </w:rPr>
      </w:pPr>
      <w:r>
        <w:rPr>
          <w:rFonts w:hint="eastAsia" w:ascii="宋体" w:hAnsi="宋体" w:cs="宋体"/>
          <w:snapToGrid w:val="0"/>
          <w:color w:val="000000"/>
          <w:kern w:val="0"/>
          <w:sz w:val="24"/>
        </w:rPr>
        <w:t>5.3《关于印发杭州市城管委行业服装统一表示规范的通知》（杭城管委[2018]16号）</w:t>
      </w:r>
    </w:p>
    <w:p>
      <w:pPr>
        <w:spacing w:line="360" w:lineRule="auto"/>
        <w:rPr>
          <w:rFonts w:ascii="宋体" w:hAnsi="宋体" w:cs="宋体"/>
          <w:snapToGrid w:val="0"/>
          <w:color w:val="000000"/>
          <w:kern w:val="0"/>
          <w:sz w:val="24"/>
        </w:rPr>
      </w:pPr>
      <w:r>
        <w:rPr>
          <w:rFonts w:hint="eastAsia" w:ascii="宋体" w:hAnsi="宋体" w:cs="宋体"/>
          <w:snapToGrid w:val="0"/>
          <w:color w:val="000000"/>
          <w:kern w:val="0"/>
          <w:sz w:val="24"/>
        </w:rPr>
        <w:t>5.4《2021年淳安县市容环境卫生保障中心考核办法》</w:t>
      </w:r>
    </w:p>
    <w:p>
      <w:pPr>
        <w:spacing w:line="360" w:lineRule="auto"/>
        <w:rPr>
          <w:rFonts w:ascii="宋体" w:hAnsi="宋体" w:cs="宋体"/>
          <w:snapToGrid w:val="0"/>
          <w:color w:val="000000"/>
          <w:kern w:val="0"/>
          <w:sz w:val="24"/>
        </w:rPr>
      </w:pPr>
      <w:r>
        <w:rPr>
          <w:rFonts w:hint="eastAsia" w:ascii="宋体" w:hAnsi="宋体" w:cs="宋体"/>
          <w:snapToGrid w:val="0"/>
          <w:color w:val="000000"/>
          <w:kern w:val="0"/>
          <w:sz w:val="24"/>
        </w:rPr>
        <w:t>5.5《杭州市人民政府办公厅关于进一步解决环卫工人实际困难保障其合法权益的意见》（〔2008〕14号）</w:t>
      </w:r>
    </w:p>
    <w:p>
      <w:pPr>
        <w:spacing w:line="360" w:lineRule="auto"/>
        <w:rPr>
          <w:rFonts w:ascii="宋体" w:hAnsi="宋体" w:cs="宋体"/>
          <w:snapToGrid w:val="0"/>
          <w:color w:val="000000"/>
          <w:kern w:val="0"/>
          <w:sz w:val="24"/>
        </w:rPr>
      </w:pPr>
      <w:r>
        <w:rPr>
          <w:rFonts w:hint="eastAsia" w:ascii="宋体" w:hAnsi="宋体" w:cs="宋体"/>
          <w:snapToGrid w:val="0"/>
          <w:color w:val="000000"/>
          <w:kern w:val="0"/>
          <w:sz w:val="24"/>
        </w:rPr>
        <w:t>5.6《浙江省人民政府办公厅关于进一步改善环卫工人工作生活条件促进环卫事业持续发展的若干意见》（浙政办发〔2009〕190号）</w:t>
      </w:r>
    </w:p>
    <w:p>
      <w:pPr>
        <w:spacing w:line="360" w:lineRule="auto"/>
        <w:rPr>
          <w:rFonts w:ascii="宋体" w:hAnsi="宋体" w:cs="宋体"/>
          <w:snapToGrid w:val="0"/>
          <w:color w:val="000000"/>
          <w:kern w:val="0"/>
          <w:sz w:val="24"/>
        </w:rPr>
      </w:pPr>
      <w:r>
        <w:rPr>
          <w:rFonts w:hint="eastAsia" w:ascii="宋体" w:hAnsi="宋体" w:cs="宋体"/>
          <w:snapToGrid w:val="0"/>
          <w:color w:val="000000"/>
          <w:kern w:val="0"/>
          <w:sz w:val="24"/>
        </w:rPr>
        <w:t>注：如市、县相应规范标准有更新，按照最新版本执行。</w:t>
      </w:r>
    </w:p>
    <w:p>
      <w:r>
        <w:rPr>
          <w:rFonts w:hint="eastAsia"/>
        </w:rPr>
        <w:t>六、商务要求表</w:t>
      </w:r>
    </w:p>
    <w:tbl>
      <w:tblPr>
        <w:tblStyle w:val="19"/>
        <w:tblW w:w="90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57"/>
        <w:gridCol w:w="75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4"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r>
              <w:rPr>
                <w:rFonts w:hint="eastAsia"/>
              </w:rPr>
              <w:t>报价要求</w:t>
            </w:r>
          </w:p>
        </w:tc>
        <w:tc>
          <w:tcPr>
            <w:tcW w:w="7571" w:type="dxa"/>
            <w:tcBorders>
              <w:top w:val="single" w:color="auto" w:sz="4" w:space="0"/>
              <w:left w:val="single" w:color="auto" w:sz="4" w:space="0"/>
              <w:bottom w:val="single" w:color="auto" w:sz="4" w:space="0"/>
              <w:right w:val="single" w:color="auto" w:sz="4" w:space="0"/>
            </w:tcBorders>
            <w:vAlign w:val="center"/>
          </w:tcPr>
          <w:p>
            <w:r>
              <w:rPr>
                <w:rFonts w:hint="eastAsia"/>
              </w:rPr>
              <w:t>1、投标报价上限：报价不得高于项目总预算。</w:t>
            </w:r>
          </w:p>
          <w:p>
            <w:r>
              <w:rPr>
                <w:rFonts w:hint="eastAsia"/>
              </w:rPr>
              <w:t>2、人工费报价：本项目按照以人为本原则关心职工，严格遵守《中华人民共和国劳动法》及有关劳动法规，认真贯彻《浙江省人民政府办公厅关于进一步改善环卫工人工作生活条件促进环卫事业持续健康发展的若干意见》（浙政办发〔2009〕190号）和《杭州市人民政府办公厅关于进一步解决环卫工人实际困难保障其合法权益的意见》（杭政办〔2008〕14号）、关于调整企业夏季高温津贴标准的通知（浙人社发[2018]65号）、《杭州市人民政府关于调整市区最低工资标准的通知》（杭政函[2021]69号）文件精神，保障职工合法权益。如因违法、违规行为造成不良影响者，其责任由作业方自负。必须落实职工相应的劳保福利待遇，保障职工休息休假权利，岗位作业时间超过8小时的应安排人员轮班或者按照规定加班工资。以上费用考虑在投标总价中（以上文件如有更新，以行业主管部门颁布的最新文件为准）。</w:t>
            </w:r>
          </w:p>
          <w:p>
            <w:r>
              <w:rPr>
                <w:rFonts w:hint="eastAsia"/>
              </w:rPr>
              <w:t>3、设施设备费报价：拟投入本项目中的设施设备的备品备件、车辆设备保险、日常维修保养，燃油、应急物资、日常服务易耗品，如扫把（含机扫车扫把）等，以及服务过程中所产生的水费、电费等相关费用，结合企业成本列报。</w:t>
            </w:r>
          </w:p>
          <w:p>
            <w:r>
              <w:rPr>
                <w:rFonts w:hint="eastAsia"/>
              </w:rPr>
              <w:t>4、如评标委员会认为供应商的上述报价明显低于其他通过符合性审查供应商的报价，有可能影响产品质量或者不能诚信履约的，应当要求其在合理的时间内提供书面说明，必要时提交相关证明材料。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r>
              <w:rPr>
                <w:rFonts w:hint="eastAsia"/>
              </w:rPr>
              <w:t>履约保证金</w:t>
            </w:r>
          </w:p>
        </w:tc>
        <w:tc>
          <w:tcPr>
            <w:tcW w:w="7571" w:type="dxa"/>
            <w:tcBorders>
              <w:top w:val="single" w:color="auto" w:sz="4" w:space="0"/>
              <w:left w:val="single" w:color="auto" w:sz="4" w:space="0"/>
              <w:bottom w:val="single" w:color="auto" w:sz="4" w:space="0"/>
              <w:right w:val="single" w:color="auto" w:sz="4" w:space="0"/>
            </w:tcBorders>
            <w:vAlign w:val="center"/>
          </w:tcPr>
          <w:p>
            <w:r>
              <w:rPr>
                <w:rFonts w:hint="eastAsia"/>
              </w:rPr>
              <w:t>1、</w:t>
            </w:r>
            <w:r>
              <w:t>签订合同后5个工作日内，</w:t>
            </w:r>
            <w:r>
              <w:rPr>
                <w:rFonts w:hint="eastAsia"/>
              </w:rPr>
              <w:t>供应商</w:t>
            </w:r>
            <w:r>
              <w:t>须向</w:t>
            </w:r>
            <w:r>
              <w:rPr>
                <w:rFonts w:hint="eastAsia"/>
              </w:rPr>
              <w:t>采购人</w:t>
            </w:r>
            <w:r>
              <w:t>交纳</w:t>
            </w:r>
            <w:r>
              <w:rPr>
                <w:rFonts w:hint="eastAsia"/>
              </w:rPr>
              <w:t>年</w:t>
            </w:r>
            <w:r>
              <w:t>合同总额</w:t>
            </w:r>
            <w:r>
              <w:rPr>
                <w:rFonts w:hint="eastAsia"/>
              </w:rPr>
              <w:t>2.5</w:t>
            </w:r>
            <w:r>
              <w:t>约保证金。以保证</w:t>
            </w:r>
            <w:r>
              <w:rPr>
                <w:rFonts w:hint="eastAsia"/>
              </w:rPr>
              <w:t>供应商</w:t>
            </w:r>
            <w:r>
              <w:t>遵守本合同的一切条款、条件和承诺，该保证金在</w:t>
            </w:r>
            <w:r>
              <w:rPr>
                <w:rFonts w:hint="eastAsia"/>
              </w:rPr>
              <w:t>采购人</w:t>
            </w:r>
            <w:r>
              <w:t>的规定存续期间不计息</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r>
              <w:rPr>
                <w:rFonts w:hint="eastAsia"/>
              </w:rPr>
              <w:t>服务地点</w:t>
            </w:r>
          </w:p>
        </w:tc>
        <w:tc>
          <w:tcPr>
            <w:tcW w:w="7571" w:type="dxa"/>
            <w:tcBorders>
              <w:top w:val="single" w:color="auto" w:sz="4" w:space="0"/>
              <w:left w:val="single" w:color="auto" w:sz="4" w:space="0"/>
              <w:bottom w:val="single" w:color="auto" w:sz="4" w:space="0"/>
              <w:right w:val="single" w:color="auto" w:sz="4" w:space="0"/>
            </w:tcBorders>
            <w:vAlign w:val="center"/>
          </w:tcPr>
          <w:p>
            <w:r>
              <w:rPr>
                <w:rFonts w:hint="eastAsia"/>
              </w:rPr>
              <w:t>淳安县千岛湖镇。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r>
              <w:rPr>
                <w:rFonts w:hint="eastAsia"/>
              </w:rPr>
              <w:t>付款办法</w:t>
            </w:r>
          </w:p>
        </w:tc>
        <w:tc>
          <w:tcPr>
            <w:tcW w:w="7571" w:type="dxa"/>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rPr>
              <w:t>1、预付款</w:t>
            </w:r>
            <w:r>
              <w:rPr>
                <w:rFonts w:hint="eastAsia"/>
                <w:color w:val="auto"/>
              </w:rPr>
              <w:t>：在合同生效以及具备实施条件后7个工作日内支付20%。</w:t>
            </w:r>
          </w:p>
          <w:p>
            <w:r>
              <w:rPr>
                <w:rFonts w:hint="eastAsia"/>
              </w:rPr>
              <w:t>2、付款方式：根据考核结果扣除相应款项后按月支付。</w:t>
            </w:r>
          </w:p>
          <w:p>
            <w:r>
              <w:rPr>
                <w:rFonts w:hint="eastAsia"/>
              </w:rPr>
              <w:t>3、当采购数量与实际使用数量不一致时，最终结算金额按实际发生的量乘以中标综合单价进行计算（如实际需求量超过合同采购数量，须报政府采购监管部门审批后实施）。</w:t>
            </w:r>
          </w:p>
          <w:p>
            <w:r>
              <w:rPr>
                <w:rFonts w:hint="eastAsia"/>
              </w:rPr>
              <w:t>4、采购人有权在每月结算时，从应付款中扣除因供应商违反本合同所应向采购人支付的违约金以及因供应商原因致使采购人承担的第三方法律责任。</w:t>
            </w:r>
          </w:p>
          <w:p>
            <w:r>
              <w:rPr>
                <w:rFonts w:hint="eastAsia"/>
              </w:rPr>
              <w:t>5、若合同期结束时，下一轮采购还未完成，超出合同期部分的服务费按实际天数及考核结果结算。</w:t>
            </w:r>
          </w:p>
          <w:p>
            <w:r>
              <w:rPr>
                <w:rFonts w:hint="eastAsia"/>
              </w:rPr>
              <w:t>6.</w:t>
            </w:r>
            <w:r>
              <w:rPr>
                <w:rFonts w:hint="eastAsia"/>
                <w:b/>
                <w:bCs/>
              </w:rPr>
              <w:t xml:space="preserve">本次招标代理服务费由中标方承担，专家评审费用由采购方承担。 </w:t>
            </w:r>
            <w:r>
              <w:rPr>
                <w:rFonts w:hint="eastAsia" w:ascii="宋体" w:hAnsi="宋体" w:cs="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457" w:type="dxa"/>
            <w:tcBorders>
              <w:top w:val="single" w:color="auto" w:sz="4" w:space="0"/>
              <w:left w:val="single" w:color="auto" w:sz="4" w:space="0"/>
              <w:bottom w:val="single" w:color="auto" w:sz="4" w:space="0"/>
              <w:right w:val="single" w:color="auto" w:sz="4" w:space="0"/>
            </w:tcBorders>
            <w:vAlign w:val="center"/>
          </w:tcPr>
          <w:p>
            <w:r>
              <w:rPr>
                <w:rFonts w:hint="eastAsia"/>
              </w:rPr>
              <w:t>履约验收</w:t>
            </w:r>
          </w:p>
        </w:tc>
        <w:tc>
          <w:tcPr>
            <w:tcW w:w="7571" w:type="dxa"/>
            <w:tcBorders>
              <w:top w:val="single" w:color="auto" w:sz="4" w:space="0"/>
              <w:left w:val="single" w:color="auto" w:sz="4" w:space="0"/>
              <w:bottom w:val="single" w:color="auto" w:sz="4" w:space="0"/>
              <w:right w:val="single" w:color="auto" w:sz="4" w:space="0"/>
            </w:tcBorders>
            <w:vAlign w:val="center"/>
          </w:tcPr>
          <w:p>
            <w:r>
              <w:rPr>
                <w:rFonts w:hint="eastAsia"/>
              </w:rPr>
              <w:t>按《淳安县环境卫生管理考核办法》执行月度考核，每月进行履约验收。</w:t>
            </w:r>
          </w:p>
        </w:tc>
      </w:tr>
    </w:tbl>
    <w:p/>
    <w:p>
      <w:r>
        <w:rPr>
          <w:rFonts w:hint="eastAsia"/>
        </w:rPr>
        <w:t>七、考核办法</w:t>
      </w:r>
    </w:p>
    <w:p>
      <w:pPr>
        <w:spacing w:line="500" w:lineRule="exact"/>
        <w:ind w:firstLine="482" w:firstLineChars="200"/>
        <w:rPr>
          <w:rFonts w:ascii="宋体" w:hAnsi="宋体" w:cs="宋体"/>
          <w:b/>
          <w:bCs/>
          <w:sz w:val="24"/>
        </w:rPr>
      </w:pPr>
      <w:r>
        <w:rPr>
          <w:rFonts w:hint="eastAsia" w:ascii="宋体" w:hAnsi="宋体" w:cs="宋体"/>
          <w:b/>
          <w:bCs/>
          <w:sz w:val="24"/>
        </w:rPr>
        <w:t>（1）淳安县保障中心保洁作业标准及考核细则</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22"/>
        <w:gridCol w:w="1307"/>
        <w:gridCol w:w="1230"/>
        <w:gridCol w:w="3840"/>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822" w:type="dxa"/>
            <w:shd w:val="clear" w:color="auto" w:fill="FFFFFF"/>
            <w:noWrap/>
            <w:vAlign w:val="center"/>
          </w:tcPr>
          <w:p>
            <w:pPr>
              <w:jc w:val="center"/>
              <w:textAlignment w:val="center"/>
              <w:rPr>
                <w:rFonts w:ascii="宋体" w:hAnsi="宋体" w:cs="宋体"/>
                <w:b/>
                <w:color w:val="000000"/>
                <w:szCs w:val="21"/>
              </w:rPr>
            </w:pPr>
            <w:r>
              <w:rPr>
                <w:rFonts w:hint="eastAsia" w:ascii="宋体" w:hAnsi="宋体" w:cs="宋体"/>
                <w:b/>
                <w:color w:val="000000"/>
                <w:kern w:val="0"/>
                <w:szCs w:val="21"/>
              </w:rPr>
              <w:t>序号</w:t>
            </w:r>
          </w:p>
        </w:tc>
        <w:tc>
          <w:tcPr>
            <w:tcW w:w="1307" w:type="dxa"/>
            <w:shd w:val="clear" w:color="auto" w:fill="FFFFFF"/>
            <w:noWrap/>
            <w:vAlign w:val="center"/>
          </w:tcPr>
          <w:p>
            <w:pPr>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30" w:type="dxa"/>
            <w:shd w:val="clear" w:color="auto" w:fill="FFFFFF"/>
            <w:noWrap/>
            <w:vAlign w:val="center"/>
          </w:tcPr>
          <w:p>
            <w:pPr>
              <w:jc w:val="center"/>
              <w:textAlignment w:val="center"/>
              <w:rPr>
                <w:rFonts w:ascii="宋体" w:hAnsi="宋体" w:cs="宋体"/>
                <w:b/>
                <w:color w:val="000000"/>
                <w:szCs w:val="21"/>
              </w:rPr>
            </w:pPr>
            <w:r>
              <w:rPr>
                <w:rFonts w:hint="eastAsia" w:ascii="宋体" w:hAnsi="宋体" w:cs="宋体"/>
                <w:b/>
                <w:color w:val="000000"/>
                <w:kern w:val="0"/>
                <w:szCs w:val="21"/>
              </w:rPr>
              <w:t>分项</w:t>
            </w:r>
          </w:p>
        </w:tc>
        <w:tc>
          <w:tcPr>
            <w:tcW w:w="3840" w:type="dxa"/>
            <w:shd w:val="clear" w:color="auto" w:fill="FFFFFF"/>
            <w:noWrap/>
            <w:vAlign w:val="center"/>
          </w:tcPr>
          <w:p>
            <w:pPr>
              <w:jc w:val="center"/>
              <w:textAlignment w:val="center"/>
              <w:rPr>
                <w:rFonts w:ascii="宋体" w:hAnsi="宋体" w:cs="宋体"/>
                <w:b/>
                <w:color w:val="000000"/>
                <w:szCs w:val="21"/>
              </w:rPr>
            </w:pPr>
            <w:r>
              <w:rPr>
                <w:rFonts w:hint="eastAsia" w:ascii="宋体" w:hAnsi="宋体" w:cs="宋体"/>
                <w:b/>
                <w:color w:val="000000"/>
                <w:kern w:val="0"/>
                <w:szCs w:val="21"/>
              </w:rPr>
              <w:t>评分内容</w:t>
            </w:r>
          </w:p>
        </w:tc>
        <w:tc>
          <w:tcPr>
            <w:tcW w:w="2055" w:type="dxa"/>
            <w:shd w:val="clear" w:color="auto" w:fill="FFFFFF"/>
            <w:noWrap/>
            <w:vAlign w:val="center"/>
          </w:tcPr>
          <w:p>
            <w:pPr>
              <w:jc w:val="center"/>
              <w:textAlignment w:val="center"/>
              <w:rPr>
                <w:rFonts w:ascii="宋体" w:hAnsi="宋体" w:cs="宋体"/>
                <w:b/>
                <w:color w:val="000000"/>
                <w:szCs w:val="21"/>
              </w:rPr>
            </w:pPr>
            <w:r>
              <w:rPr>
                <w:rFonts w:hint="eastAsia" w:ascii="宋体" w:hAnsi="宋体" w:cs="宋体"/>
                <w:b/>
                <w:color w:val="000000"/>
                <w:kern w:val="0"/>
                <w:szCs w:val="21"/>
              </w:rPr>
              <w:t>扣分（分/处）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1307"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杂物</w:t>
            </w:r>
          </w:p>
        </w:tc>
        <w:tc>
          <w:tcPr>
            <w:tcW w:w="3840" w:type="dxa"/>
            <w:shd w:val="clear" w:color="auto" w:fill="FFFFFF"/>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人行道板间、人行道各类井盖间等缝隙有高出道板缝隙的杂草（景观道路单列）</w:t>
            </w:r>
          </w:p>
        </w:tc>
        <w:tc>
          <w:tcPr>
            <w:tcW w:w="2055"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1307"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有色垃圾</w:t>
            </w:r>
          </w:p>
        </w:tc>
        <w:tc>
          <w:tcPr>
            <w:tcW w:w="3840" w:type="dxa"/>
            <w:shd w:val="clear" w:color="auto" w:fill="FFFFFF"/>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路面垃圾（杂物）≤3个</w:t>
            </w:r>
          </w:p>
        </w:tc>
        <w:tc>
          <w:tcPr>
            <w:tcW w:w="2055"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1307"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有色垃圾</w:t>
            </w:r>
          </w:p>
        </w:tc>
        <w:tc>
          <w:tcPr>
            <w:tcW w:w="3840" w:type="dxa"/>
            <w:shd w:val="clear" w:color="auto" w:fill="FFFFFF"/>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路面垃圾（杂物）＜5个</w:t>
            </w:r>
          </w:p>
        </w:tc>
        <w:tc>
          <w:tcPr>
            <w:tcW w:w="2055"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1307"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有色垃圾</w:t>
            </w:r>
          </w:p>
        </w:tc>
        <w:tc>
          <w:tcPr>
            <w:tcW w:w="3840" w:type="dxa"/>
            <w:shd w:val="clear" w:color="auto" w:fill="FFFFFF"/>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路面垃圾（杂物）≥5个</w:t>
            </w:r>
          </w:p>
        </w:tc>
        <w:tc>
          <w:tcPr>
            <w:tcW w:w="2055"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1307"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有色垃圾</w:t>
            </w:r>
          </w:p>
        </w:tc>
        <w:tc>
          <w:tcPr>
            <w:tcW w:w="3840" w:type="dxa"/>
            <w:shd w:val="clear" w:color="auto" w:fill="FFFFFF"/>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有暴露垃圾堆（面积≥0.5㎡）</w:t>
            </w:r>
          </w:p>
        </w:tc>
        <w:tc>
          <w:tcPr>
            <w:tcW w:w="2055"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1307"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有色垃圾</w:t>
            </w:r>
          </w:p>
        </w:tc>
        <w:tc>
          <w:tcPr>
            <w:tcW w:w="3840" w:type="dxa"/>
            <w:shd w:val="clear" w:color="auto" w:fill="FFFFFF"/>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树圈有垃圾（杂物），烟蒂≧3个</w:t>
            </w:r>
          </w:p>
        </w:tc>
        <w:tc>
          <w:tcPr>
            <w:tcW w:w="2055"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1.7</w:t>
            </w:r>
          </w:p>
        </w:tc>
        <w:tc>
          <w:tcPr>
            <w:tcW w:w="1307"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有色垃圾</w:t>
            </w:r>
          </w:p>
        </w:tc>
        <w:tc>
          <w:tcPr>
            <w:tcW w:w="3840" w:type="dxa"/>
            <w:shd w:val="clear" w:color="auto" w:fill="FFFFFF"/>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道路路面烟蒂≧4个/200米，街巷路面烟蒂≧6个/200米</w:t>
            </w:r>
          </w:p>
        </w:tc>
        <w:tc>
          <w:tcPr>
            <w:tcW w:w="2055"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超过1个，扣0.1分，超过100%，扣0.7分，超过200%，扣2.1分。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1.8</w:t>
            </w:r>
          </w:p>
        </w:tc>
        <w:tc>
          <w:tcPr>
            <w:tcW w:w="1307"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有色垃圾</w:t>
            </w:r>
          </w:p>
        </w:tc>
        <w:tc>
          <w:tcPr>
            <w:tcW w:w="3840" w:type="dxa"/>
            <w:shd w:val="clear" w:color="auto" w:fill="FFFFFF"/>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道路（人行道）绿地内垃圾(杂物)≤3个（隔离栏内1米）</w:t>
            </w:r>
          </w:p>
        </w:tc>
        <w:tc>
          <w:tcPr>
            <w:tcW w:w="2055"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1.9</w:t>
            </w:r>
          </w:p>
        </w:tc>
        <w:tc>
          <w:tcPr>
            <w:tcW w:w="1307"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有色垃圾</w:t>
            </w:r>
          </w:p>
        </w:tc>
        <w:tc>
          <w:tcPr>
            <w:tcW w:w="3840" w:type="dxa"/>
            <w:shd w:val="clear" w:color="auto" w:fill="FFFFFF"/>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道路（人行道）绿地内垃圾(杂物)＜5个（隔离栏内1米）</w:t>
            </w:r>
          </w:p>
        </w:tc>
        <w:tc>
          <w:tcPr>
            <w:tcW w:w="2055"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1.10</w:t>
            </w:r>
          </w:p>
        </w:tc>
        <w:tc>
          <w:tcPr>
            <w:tcW w:w="1307"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有色垃圾</w:t>
            </w:r>
          </w:p>
        </w:tc>
        <w:tc>
          <w:tcPr>
            <w:tcW w:w="3840" w:type="dxa"/>
            <w:shd w:val="clear" w:color="auto" w:fill="FFFFFF"/>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道路（人行道）绿地内垃圾(杂物)≥5个（隔离栏内1米）</w:t>
            </w:r>
          </w:p>
        </w:tc>
        <w:tc>
          <w:tcPr>
            <w:tcW w:w="2055"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1.11</w:t>
            </w:r>
          </w:p>
        </w:tc>
        <w:tc>
          <w:tcPr>
            <w:tcW w:w="1307"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有色垃圾</w:t>
            </w:r>
          </w:p>
        </w:tc>
        <w:tc>
          <w:tcPr>
            <w:tcW w:w="3840" w:type="dxa"/>
            <w:shd w:val="clear" w:color="auto" w:fill="FFFFFF"/>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道路（人行道）绿地内有暴露垃圾堆（面积≥0.5㎡）（隔离栏内1米）</w:t>
            </w:r>
          </w:p>
        </w:tc>
        <w:tc>
          <w:tcPr>
            <w:tcW w:w="2055"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1.12</w:t>
            </w:r>
          </w:p>
        </w:tc>
        <w:tc>
          <w:tcPr>
            <w:tcW w:w="1307"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有色垃圾</w:t>
            </w:r>
          </w:p>
        </w:tc>
        <w:tc>
          <w:tcPr>
            <w:tcW w:w="3840" w:type="dxa"/>
            <w:shd w:val="clear" w:color="auto" w:fill="FFFFFF"/>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人行道板间、人行道各类井盖间等缝隙有垃圾（杂物）</w:t>
            </w:r>
          </w:p>
        </w:tc>
        <w:tc>
          <w:tcPr>
            <w:tcW w:w="2055"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1.13</w:t>
            </w:r>
          </w:p>
        </w:tc>
        <w:tc>
          <w:tcPr>
            <w:tcW w:w="1307"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应急</w:t>
            </w:r>
          </w:p>
        </w:tc>
        <w:tc>
          <w:tcPr>
            <w:tcW w:w="3840" w:type="dxa"/>
            <w:shd w:val="clear" w:color="auto" w:fill="FFFFFF"/>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清雪作业时向路面洒雪</w:t>
            </w:r>
          </w:p>
        </w:tc>
        <w:tc>
          <w:tcPr>
            <w:tcW w:w="2055"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1.14</w:t>
            </w:r>
          </w:p>
        </w:tc>
        <w:tc>
          <w:tcPr>
            <w:tcW w:w="1307"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污水污渍</w:t>
            </w:r>
          </w:p>
        </w:tc>
        <w:tc>
          <w:tcPr>
            <w:tcW w:w="3840" w:type="dxa"/>
            <w:shd w:val="clear" w:color="auto" w:fill="FFFFFF"/>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机动车道、非机动车道、人行道（含店前道路）路面油污、污渍＜1㎡㎡</w:t>
            </w:r>
          </w:p>
        </w:tc>
        <w:tc>
          <w:tcPr>
            <w:tcW w:w="2055"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1.15</w:t>
            </w:r>
          </w:p>
        </w:tc>
        <w:tc>
          <w:tcPr>
            <w:tcW w:w="1307"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污水污渍</w:t>
            </w:r>
          </w:p>
        </w:tc>
        <w:tc>
          <w:tcPr>
            <w:tcW w:w="3840" w:type="dxa"/>
            <w:shd w:val="clear" w:color="auto" w:fill="FFFFFF"/>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机动车道、非机动车道、人行道（含店前道路）路面油污、污渍≥1㎡㎡</w:t>
            </w:r>
          </w:p>
        </w:tc>
        <w:tc>
          <w:tcPr>
            <w:tcW w:w="2055"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1.16</w:t>
            </w:r>
          </w:p>
        </w:tc>
        <w:tc>
          <w:tcPr>
            <w:tcW w:w="1307"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污水污渍</w:t>
            </w:r>
          </w:p>
        </w:tc>
        <w:tc>
          <w:tcPr>
            <w:tcW w:w="3840" w:type="dxa"/>
            <w:shd w:val="clear" w:color="auto" w:fill="FFFFFF"/>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生活污水污染路面＜1㎡㎡</w:t>
            </w:r>
          </w:p>
        </w:tc>
        <w:tc>
          <w:tcPr>
            <w:tcW w:w="2055"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1.17</w:t>
            </w:r>
          </w:p>
        </w:tc>
        <w:tc>
          <w:tcPr>
            <w:tcW w:w="1307"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污水污渍</w:t>
            </w:r>
          </w:p>
        </w:tc>
        <w:tc>
          <w:tcPr>
            <w:tcW w:w="3840" w:type="dxa"/>
            <w:shd w:val="clear" w:color="auto" w:fill="FFFFFF"/>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生活污水污染路面≥1㎡㎡</w:t>
            </w:r>
          </w:p>
        </w:tc>
        <w:tc>
          <w:tcPr>
            <w:tcW w:w="2055"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1.18</w:t>
            </w:r>
          </w:p>
        </w:tc>
        <w:tc>
          <w:tcPr>
            <w:tcW w:w="1307"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普扫</w:t>
            </w:r>
          </w:p>
        </w:tc>
        <w:tc>
          <w:tcPr>
            <w:tcW w:w="3840" w:type="dxa"/>
            <w:shd w:val="clear" w:color="auto" w:fill="FFFFFF"/>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未在规定时间内完成普扫（每条）</w:t>
            </w:r>
          </w:p>
        </w:tc>
        <w:tc>
          <w:tcPr>
            <w:tcW w:w="2055"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 xml:space="preserve">1.19 </w:t>
            </w:r>
          </w:p>
        </w:tc>
        <w:tc>
          <w:tcPr>
            <w:tcW w:w="1307"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普扫</w:t>
            </w:r>
          </w:p>
        </w:tc>
        <w:tc>
          <w:tcPr>
            <w:tcW w:w="3840" w:type="dxa"/>
            <w:shd w:val="clear" w:color="auto" w:fill="FFFFFF"/>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未全路段普扫（每条）</w:t>
            </w:r>
          </w:p>
        </w:tc>
        <w:tc>
          <w:tcPr>
            <w:tcW w:w="2055"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1.20</w:t>
            </w:r>
          </w:p>
        </w:tc>
        <w:tc>
          <w:tcPr>
            <w:tcW w:w="1307"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普扫</w:t>
            </w:r>
          </w:p>
        </w:tc>
        <w:tc>
          <w:tcPr>
            <w:tcW w:w="3840" w:type="dxa"/>
            <w:shd w:val="clear" w:color="auto" w:fill="FFFFFF"/>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机扫路面应干净,清扫后垃圾未吸净而有成条或小堆</w:t>
            </w:r>
          </w:p>
        </w:tc>
        <w:tc>
          <w:tcPr>
            <w:tcW w:w="2055"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1.21</w:t>
            </w:r>
          </w:p>
        </w:tc>
        <w:tc>
          <w:tcPr>
            <w:tcW w:w="1307"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普扫</w:t>
            </w:r>
          </w:p>
        </w:tc>
        <w:tc>
          <w:tcPr>
            <w:tcW w:w="3840" w:type="dxa"/>
            <w:shd w:val="clear" w:color="auto" w:fill="FFFFFF"/>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道路、人行道（含店前道路）漏扫</w:t>
            </w:r>
          </w:p>
        </w:tc>
        <w:tc>
          <w:tcPr>
            <w:tcW w:w="2055"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1.22</w:t>
            </w:r>
          </w:p>
        </w:tc>
        <w:tc>
          <w:tcPr>
            <w:tcW w:w="1307"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普扫</w:t>
            </w:r>
          </w:p>
        </w:tc>
        <w:tc>
          <w:tcPr>
            <w:tcW w:w="3840" w:type="dxa"/>
            <w:shd w:val="clear" w:color="auto" w:fill="FFFFFF"/>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垃圾归拢、归堆未清除</w:t>
            </w:r>
          </w:p>
        </w:tc>
        <w:tc>
          <w:tcPr>
            <w:tcW w:w="2055"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1.23</w:t>
            </w:r>
          </w:p>
        </w:tc>
        <w:tc>
          <w:tcPr>
            <w:tcW w:w="1307"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普扫</w:t>
            </w:r>
          </w:p>
        </w:tc>
        <w:tc>
          <w:tcPr>
            <w:tcW w:w="3840" w:type="dxa"/>
            <w:shd w:val="clear" w:color="auto" w:fill="FFFFFF"/>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清扫保洁时将垃圾扫入窨井、雨水井、河道、绿地、沟渠</w:t>
            </w:r>
          </w:p>
        </w:tc>
        <w:tc>
          <w:tcPr>
            <w:tcW w:w="2055"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1.24</w:t>
            </w:r>
          </w:p>
        </w:tc>
        <w:tc>
          <w:tcPr>
            <w:tcW w:w="1307"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普扫</w:t>
            </w:r>
          </w:p>
        </w:tc>
        <w:tc>
          <w:tcPr>
            <w:tcW w:w="3840" w:type="dxa"/>
            <w:shd w:val="clear" w:color="auto" w:fill="FFFFFF"/>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环卫工人未使用统一的保洁工具</w:t>
            </w:r>
          </w:p>
        </w:tc>
        <w:tc>
          <w:tcPr>
            <w:tcW w:w="2055"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1.25</w:t>
            </w:r>
          </w:p>
        </w:tc>
        <w:tc>
          <w:tcPr>
            <w:tcW w:w="1307"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普扫</w:t>
            </w:r>
          </w:p>
        </w:tc>
        <w:tc>
          <w:tcPr>
            <w:tcW w:w="3840" w:type="dxa"/>
            <w:shd w:val="clear" w:color="auto" w:fill="FFFFFF"/>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将作业工具堆在绿化带等露天场所现象</w:t>
            </w:r>
          </w:p>
        </w:tc>
        <w:tc>
          <w:tcPr>
            <w:tcW w:w="2055"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1.26</w:t>
            </w:r>
          </w:p>
        </w:tc>
        <w:tc>
          <w:tcPr>
            <w:tcW w:w="1307"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普扫</w:t>
            </w:r>
          </w:p>
        </w:tc>
        <w:tc>
          <w:tcPr>
            <w:tcW w:w="3840" w:type="dxa"/>
            <w:shd w:val="clear" w:color="auto" w:fill="FFFFFF"/>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垃圾未倾倒在规定地点或焚烧垃圾、树叶</w:t>
            </w:r>
          </w:p>
        </w:tc>
        <w:tc>
          <w:tcPr>
            <w:tcW w:w="2055"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1.27</w:t>
            </w:r>
          </w:p>
        </w:tc>
        <w:tc>
          <w:tcPr>
            <w:tcW w:w="1307"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普扫</w:t>
            </w:r>
          </w:p>
        </w:tc>
        <w:tc>
          <w:tcPr>
            <w:tcW w:w="3840" w:type="dxa"/>
            <w:shd w:val="clear" w:color="auto" w:fill="FFFFFF"/>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落叶旺季（落叶景观道路除外）未及时清扫</w:t>
            </w:r>
          </w:p>
        </w:tc>
        <w:tc>
          <w:tcPr>
            <w:tcW w:w="2055"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1.28</w:t>
            </w:r>
          </w:p>
        </w:tc>
        <w:tc>
          <w:tcPr>
            <w:tcW w:w="1307"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积水</w:t>
            </w:r>
          </w:p>
        </w:tc>
        <w:tc>
          <w:tcPr>
            <w:tcW w:w="3840" w:type="dxa"/>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道路晴天积水＜3㎡</w:t>
            </w:r>
          </w:p>
        </w:tc>
        <w:tc>
          <w:tcPr>
            <w:tcW w:w="2055"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 xml:space="preserve">1.29 </w:t>
            </w:r>
          </w:p>
        </w:tc>
        <w:tc>
          <w:tcPr>
            <w:tcW w:w="1307"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积水</w:t>
            </w:r>
          </w:p>
        </w:tc>
        <w:tc>
          <w:tcPr>
            <w:tcW w:w="3840" w:type="dxa"/>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道路晴天积水≥3㎡㎡</w:t>
            </w:r>
          </w:p>
        </w:tc>
        <w:tc>
          <w:tcPr>
            <w:tcW w:w="2055"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1.30</w:t>
            </w:r>
          </w:p>
        </w:tc>
        <w:tc>
          <w:tcPr>
            <w:tcW w:w="1307"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积水</w:t>
            </w:r>
          </w:p>
        </w:tc>
        <w:tc>
          <w:tcPr>
            <w:tcW w:w="3840" w:type="dxa"/>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冬季路面积水导致路面结冰</w:t>
            </w:r>
          </w:p>
        </w:tc>
        <w:tc>
          <w:tcPr>
            <w:tcW w:w="2055"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1.31</w:t>
            </w:r>
          </w:p>
        </w:tc>
        <w:tc>
          <w:tcPr>
            <w:tcW w:w="1307"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积水</w:t>
            </w:r>
          </w:p>
        </w:tc>
        <w:tc>
          <w:tcPr>
            <w:tcW w:w="3840" w:type="dxa"/>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冬季路面积水导致路面结冰，导致有责交通事故</w:t>
            </w:r>
          </w:p>
        </w:tc>
        <w:tc>
          <w:tcPr>
            <w:tcW w:w="2055"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1.32</w:t>
            </w:r>
          </w:p>
        </w:tc>
        <w:tc>
          <w:tcPr>
            <w:tcW w:w="1307"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积尘积泥</w:t>
            </w:r>
          </w:p>
        </w:tc>
        <w:tc>
          <w:tcPr>
            <w:tcW w:w="3840" w:type="dxa"/>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雨水井沟眼积泥（嵌石）</w:t>
            </w:r>
          </w:p>
        </w:tc>
        <w:tc>
          <w:tcPr>
            <w:tcW w:w="2055"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1.33</w:t>
            </w:r>
          </w:p>
        </w:tc>
        <w:tc>
          <w:tcPr>
            <w:tcW w:w="1307"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积尘积泥</w:t>
            </w:r>
          </w:p>
        </w:tc>
        <w:tc>
          <w:tcPr>
            <w:tcW w:w="3840" w:type="dxa"/>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道路路面积尘≧8克/平方米，街巷路面积尘≧10克/平方米</w:t>
            </w:r>
          </w:p>
        </w:tc>
        <w:tc>
          <w:tcPr>
            <w:tcW w:w="2055"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超10%，扣0.4分，超过50%，扣1.4分。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1.34</w:t>
            </w:r>
          </w:p>
        </w:tc>
        <w:tc>
          <w:tcPr>
            <w:tcW w:w="1307"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积尘积泥</w:t>
            </w:r>
          </w:p>
        </w:tc>
        <w:tc>
          <w:tcPr>
            <w:tcW w:w="3840" w:type="dxa"/>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道路积泥（沙石）长度＜5米</w:t>
            </w:r>
          </w:p>
        </w:tc>
        <w:tc>
          <w:tcPr>
            <w:tcW w:w="2055"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1.35</w:t>
            </w:r>
          </w:p>
        </w:tc>
        <w:tc>
          <w:tcPr>
            <w:tcW w:w="1307"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积尘积泥</w:t>
            </w:r>
          </w:p>
        </w:tc>
        <w:tc>
          <w:tcPr>
            <w:tcW w:w="3840" w:type="dxa"/>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道路积泥（沙石）长度＜10</w:t>
            </w:r>
          </w:p>
        </w:tc>
        <w:tc>
          <w:tcPr>
            <w:tcW w:w="2055"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1.36</w:t>
            </w:r>
          </w:p>
        </w:tc>
        <w:tc>
          <w:tcPr>
            <w:tcW w:w="1307"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积尘积泥</w:t>
            </w:r>
          </w:p>
        </w:tc>
        <w:tc>
          <w:tcPr>
            <w:tcW w:w="3840" w:type="dxa"/>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道路积泥（沙石）长度＜20米</w:t>
            </w:r>
          </w:p>
        </w:tc>
        <w:tc>
          <w:tcPr>
            <w:tcW w:w="2055"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1.37</w:t>
            </w:r>
          </w:p>
        </w:tc>
        <w:tc>
          <w:tcPr>
            <w:tcW w:w="1307"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积尘积泥</w:t>
            </w:r>
          </w:p>
        </w:tc>
        <w:tc>
          <w:tcPr>
            <w:tcW w:w="3840" w:type="dxa"/>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道路积泥（沙石）长度≥20米</w:t>
            </w:r>
          </w:p>
        </w:tc>
        <w:tc>
          <w:tcPr>
            <w:tcW w:w="2055"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1.38</w:t>
            </w:r>
          </w:p>
        </w:tc>
        <w:tc>
          <w:tcPr>
            <w:tcW w:w="1307"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积尘积泥</w:t>
            </w:r>
          </w:p>
        </w:tc>
        <w:tc>
          <w:tcPr>
            <w:tcW w:w="3840" w:type="dxa"/>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道路侧石积尘、积泥≤0.2cm</w:t>
            </w:r>
          </w:p>
        </w:tc>
        <w:tc>
          <w:tcPr>
            <w:tcW w:w="2055"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 xml:space="preserve">1.39 </w:t>
            </w:r>
          </w:p>
        </w:tc>
        <w:tc>
          <w:tcPr>
            <w:tcW w:w="1307"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积尘积泥</w:t>
            </w:r>
          </w:p>
        </w:tc>
        <w:tc>
          <w:tcPr>
            <w:tcW w:w="3840" w:type="dxa"/>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0.5cm≥道路侧石积尘、积泥≥0.2cm</w:t>
            </w:r>
          </w:p>
        </w:tc>
        <w:tc>
          <w:tcPr>
            <w:tcW w:w="2055"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1.40</w:t>
            </w:r>
          </w:p>
        </w:tc>
        <w:tc>
          <w:tcPr>
            <w:tcW w:w="1307"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积尘积泥</w:t>
            </w:r>
          </w:p>
        </w:tc>
        <w:tc>
          <w:tcPr>
            <w:tcW w:w="3840" w:type="dxa"/>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道路侧石积尘、积泥≥0.5cm</w:t>
            </w:r>
          </w:p>
        </w:tc>
        <w:tc>
          <w:tcPr>
            <w:tcW w:w="2055"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1.41</w:t>
            </w:r>
          </w:p>
        </w:tc>
        <w:tc>
          <w:tcPr>
            <w:tcW w:w="1307"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积尘积泥</w:t>
            </w:r>
          </w:p>
        </w:tc>
        <w:tc>
          <w:tcPr>
            <w:tcW w:w="3840" w:type="dxa"/>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路面清洗质量不到位未见本色</w:t>
            </w:r>
          </w:p>
        </w:tc>
        <w:tc>
          <w:tcPr>
            <w:tcW w:w="2055"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1.42</w:t>
            </w:r>
          </w:p>
        </w:tc>
        <w:tc>
          <w:tcPr>
            <w:tcW w:w="1307"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环卫设施</w:t>
            </w:r>
          </w:p>
        </w:tc>
        <w:tc>
          <w:tcPr>
            <w:tcW w:w="3840" w:type="dxa"/>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果壳箱破损、垃圾桶破损没有及时上报</w:t>
            </w:r>
          </w:p>
        </w:tc>
        <w:tc>
          <w:tcPr>
            <w:tcW w:w="2055"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1.43</w:t>
            </w:r>
          </w:p>
        </w:tc>
        <w:tc>
          <w:tcPr>
            <w:tcW w:w="1307"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环卫设施</w:t>
            </w:r>
          </w:p>
        </w:tc>
        <w:tc>
          <w:tcPr>
            <w:tcW w:w="3840" w:type="dxa"/>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桶盖未盖好、圾房门敞开未关闭</w:t>
            </w:r>
          </w:p>
        </w:tc>
        <w:tc>
          <w:tcPr>
            <w:tcW w:w="2055"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1.44</w:t>
            </w:r>
          </w:p>
        </w:tc>
        <w:tc>
          <w:tcPr>
            <w:tcW w:w="1307"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环卫设施</w:t>
            </w:r>
          </w:p>
        </w:tc>
        <w:tc>
          <w:tcPr>
            <w:tcW w:w="3840" w:type="dxa"/>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垃圾桶周围地面有积存污垢，周围地面有积存污水</w:t>
            </w:r>
          </w:p>
        </w:tc>
        <w:tc>
          <w:tcPr>
            <w:tcW w:w="2055"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1.45</w:t>
            </w:r>
          </w:p>
        </w:tc>
        <w:tc>
          <w:tcPr>
            <w:tcW w:w="1307"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环卫设施</w:t>
            </w:r>
          </w:p>
        </w:tc>
        <w:tc>
          <w:tcPr>
            <w:tcW w:w="3840" w:type="dxa"/>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果壳箱(垃圾箱、桶）等垃圾收集容器清洗不到位，外观不洁有污垢</w:t>
            </w:r>
          </w:p>
        </w:tc>
        <w:tc>
          <w:tcPr>
            <w:tcW w:w="2055"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1.46</w:t>
            </w:r>
          </w:p>
        </w:tc>
        <w:tc>
          <w:tcPr>
            <w:tcW w:w="1307"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环卫设施</w:t>
            </w:r>
          </w:p>
        </w:tc>
        <w:tc>
          <w:tcPr>
            <w:tcW w:w="3840" w:type="dxa"/>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环卫作业车辆外观不洁、积尘、破损、车身油漆剥落（剥落面积大于15cm×15cm）</w:t>
            </w:r>
          </w:p>
        </w:tc>
        <w:tc>
          <w:tcPr>
            <w:tcW w:w="2055" w:type="dxa"/>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1.47</w:t>
            </w:r>
          </w:p>
        </w:tc>
        <w:tc>
          <w:tcPr>
            <w:tcW w:w="1307"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道路</w:t>
            </w:r>
          </w:p>
        </w:tc>
        <w:tc>
          <w:tcPr>
            <w:tcW w:w="1230"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环卫设施</w:t>
            </w:r>
          </w:p>
        </w:tc>
        <w:tc>
          <w:tcPr>
            <w:tcW w:w="3840" w:type="dxa"/>
            <w:shd w:val="clear" w:color="auto" w:fill="FFFFFF"/>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发生垃圾抛洒滴漏污染路面，车厢外有吊挂垃圾、扫把外露，作业时车辆压盲道等问题（每发生1次）</w:t>
            </w:r>
          </w:p>
        </w:tc>
        <w:tc>
          <w:tcPr>
            <w:tcW w:w="2055"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2.1</w:t>
            </w:r>
          </w:p>
        </w:tc>
        <w:tc>
          <w:tcPr>
            <w:tcW w:w="1307"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交通隔离设施</w:t>
            </w:r>
          </w:p>
        </w:tc>
        <w:tc>
          <w:tcPr>
            <w:tcW w:w="1230" w:type="dxa"/>
            <w:shd w:val="clear" w:color="auto" w:fill="FFFFFF"/>
            <w:noWrap/>
            <w:vAlign w:val="center"/>
          </w:tcPr>
          <w:p>
            <w:pPr>
              <w:jc w:val="center"/>
              <w:rPr>
                <w:rFonts w:ascii="宋体" w:hAnsi="宋体" w:cs="宋体"/>
                <w:color w:val="000000"/>
                <w:szCs w:val="21"/>
              </w:rPr>
            </w:pPr>
          </w:p>
        </w:tc>
        <w:tc>
          <w:tcPr>
            <w:tcW w:w="3840" w:type="dxa"/>
            <w:shd w:val="clear" w:color="auto" w:fill="FFFFFF"/>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机非隔离栏（墩）、人行护栏有污渍、积尘＜10米</w:t>
            </w:r>
          </w:p>
        </w:tc>
        <w:tc>
          <w:tcPr>
            <w:tcW w:w="2055"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2.2</w:t>
            </w:r>
          </w:p>
        </w:tc>
        <w:tc>
          <w:tcPr>
            <w:tcW w:w="1307"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交通隔离设施</w:t>
            </w:r>
          </w:p>
        </w:tc>
        <w:tc>
          <w:tcPr>
            <w:tcW w:w="1230" w:type="dxa"/>
            <w:shd w:val="clear" w:color="auto" w:fill="FFFFFF"/>
            <w:noWrap/>
            <w:vAlign w:val="center"/>
          </w:tcPr>
          <w:p>
            <w:pPr>
              <w:jc w:val="center"/>
              <w:rPr>
                <w:rFonts w:ascii="宋体" w:hAnsi="宋体" w:cs="宋体"/>
                <w:color w:val="000000"/>
                <w:szCs w:val="21"/>
              </w:rPr>
            </w:pPr>
          </w:p>
        </w:tc>
        <w:tc>
          <w:tcPr>
            <w:tcW w:w="3840" w:type="dxa"/>
            <w:shd w:val="clear" w:color="auto" w:fill="FFFFFF"/>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机非隔离栏（墩）、人行护栏有污渍、积尘≥10米</w:t>
            </w:r>
          </w:p>
        </w:tc>
        <w:tc>
          <w:tcPr>
            <w:tcW w:w="2055"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3.1</w:t>
            </w:r>
          </w:p>
        </w:tc>
        <w:tc>
          <w:tcPr>
            <w:tcW w:w="1307"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szCs w:val="21"/>
              </w:rPr>
              <w:t>机械</w:t>
            </w:r>
          </w:p>
        </w:tc>
        <w:tc>
          <w:tcPr>
            <w:tcW w:w="1230"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szCs w:val="21"/>
              </w:rPr>
              <w:t>机械作业</w:t>
            </w:r>
          </w:p>
        </w:tc>
        <w:tc>
          <w:tcPr>
            <w:tcW w:w="3840" w:type="dxa"/>
            <w:shd w:val="clear" w:color="auto" w:fill="FFFFFF"/>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扫地车作业速度控制在10公里内，洒水车作业速度控制在20公里以内，超5公里内</w:t>
            </w:r>
          </w:p>
        </w:tc>
        <w:tc>
          <w:tcPr>
            <w:tcW w:w="2055"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3.2</w:t>
            </w:r>
          </w:p>
        </w:tc>
        <w:tc>
          <w:tcPr>
            <w:tcW w:w="1307"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szCs w:val="21"/>
              </w:rPr>
              <w:t>机械</w:t>
            </w:r>
          </w:p>
        </w:tc>
        <w:tc>
          <w:tcPr>
            <w:tcW w:w="1230"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szCs w:val="21"/>
              </w:rPr>
              <w:t>机械作业</w:t>
            </w:r>
          </w:p>
        </w:tc>
        <w:tc>
          <w:tcPr>
            <w:tcW w:w="3840" w:type="dxa"/>
            <w:shd w:val="clear" w:color="auto" w:fill="FFFFFF"/>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扫地车作业速度控制在10公里内，洒水车作业速度控制在20公里以内，超5公里以上，每公里</w:t>
            </w:r>
          </w:p>
        </w:tc>
        <w:tc>
          <w:tcPr>
            <w:tcW w:w="2055"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3.3</w:t>
            </w:r>
          </w:p>
        </w:tc>
        <w:tc>
          <w:tcPr>
            <w:tcW w:w="1307"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szCs w:val="21"/>
              </w:rPr>
              <w:t>机械</w:t>
            </w:r>
          </w:p>
        </w:tc>
        <w:tc>
          <w:tcPr>
            <w:tcW w:w="1230"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szCs w:val="21"/>
              </w:rPr>
              <w:t>机械作业</w:t>
            </w:r>
          </w:p>
        </w:tc>
        <w:tc>
          <w:tcPr>
            <w:tcW w:w="3840" w:type="dxa"/>
            <w:shd w:val="clear" w:color="auto" w:fill="FFFFFF"/>
            <w:noWrap/>
            <w:vAlign w:val="center"/>
          </w:tcPr>
          <w:p>
            <w:pPr>
              <w:jc w:val="left"/>
              <w:textAlignment w:val="center"/>
              <w:rPr>
                <w:rFonts w:ascii="宋体" w:hAnsi="宋体" w:cs="宋体"/>
                <w:color w:val="000000"/>
                <w:szCs w:val="21"/>
              </w:rPr>
            </w:pPr>
            <w:r>
              <w:rPr>
                <w:rFonts w:hint="eastAsia" w:ascii="宋体" w:hAnsi="宋体" w:cs="宋体"/>
                <w:color w:val="000000"/>
                <w:kern w:val="0"/>
                <w:szCs w:val="21"/>
              </w:rPr>
              <w:t>扫地车、洒水车应在规定时间内按机械作业标准保质保量完成任务，（每条）。</w:t>
            </w:r>
          </w:p>
        </w:tc>
        <w:tc>
          <w:tcPr>
            <w:tcW w:w="2055"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22"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3.4</w:t>
            </w:r>
          </w:p>
        </w:tc>
        <w:tc>
          <w:tcPr>
            <w:tcW w:w="1307"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szCs w:val="21"/>
              </w:rPr>
              <w:t>机械</w:t>
            </w:r>
          </w:p>
        </w:tc>
        <w:tc>
          <w:tcPr>
            <w:tcW w:w="1230"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szCs w:val="21"/>
              </w:rPr>
              <w:t>机械作业</w:t>
            </w:r>
          </w:p>
        </w:tc>
        <w:tc>
          <w:tcPr>
            <w:tcW w:w="3840" w:type="dxa"/>
            <w:shd w:val="clear" w:color="auto" w:fill="FFFFFF"/>
            <w:noWrap/>
            <w:vAlign w:val="center"/>
          </w:tcPr>
          <w:p>
            <w:pPr>
              <w:jc w:val="left"/>
              <w:textAlignment w:val="center"/>
              <w:rPr>
                <w:rFonts w:ascii="宋体" w:hAnsi="宋体" w:cs="宋体"/>
                <w:color w:val="000000"/>
                <w:kern w:val="0"/>
                <w:szCs w:val="21"/>
              </w:rPr>
            </w:pPr>
            <w:r>
              <w:rPr>
                <w:rFonts w:hint="eastAsia" w:ascii="宋体" w:hAnsi="宋体" w:cs="宋体"/>
                <w:color w:val="000000"/>
                <w:kern w:val="0"/>
                <w:szCs w:val="21"/>
              </w:rPr>
              <w:t>车辆出现故障不及时调配车辆、人工补充完成规定任务的</w:t>
            </w:r>
          </w:p>
        </w:tc>
        <w:tc>
          <w:tcPr>
            <w:tcW w:w="2055"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3.5</w:t>
            </w:r>
          </w:p>
        </w:tc>
        <w:tc>
          <w:tcPr>
            <w:tcW w:w="1307"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szCs w:val="21"/>
              </w:rPr>
              <w:t>安全作业</w:t>
            </w:r>
          </w:p>
        </w:tc>
        <w:tc>
          <w:tcPr>
            <w:tcW w:w="1230" w:type="dxa"/>
            <w:shd w:val="clear" w:color="auto" w:fill="FFFFFF"/>
            <w:noWrap/>
            <w:vAlign w:val="center"/>
          </w:tcPr>
          <w:p>
            <w:pPr>
              <w:jc w:val="center"/>
              <w:textAlignment w:val="center"/>
              <w:rPr>
                <w:rFonts w:ascii="宋体" w:hAnsi="宋体" w:cs="宋体"/>
                <w:color w:val="000000"/>
                <w:szCs w:val="21"/>
              </w:rPr>
            </w:pPr>
          </w:p>
        </w:tc>
        <w:tc>
          <w:tcPr>
            <w:tcW w:w="3840" w:type="dxa"/>
            <w:shd w:val="clear" w:color="auto" w:fill="FFFFFF"/>
            <w:noWrap/>
            <w:vAlign w:val="center"/>
          </w:tcPr>
          <w:p>
            <w:pPr>
              <w:jc w:val="left"/>
              <w:textAlignment w:val="center"/>
              <w:rPr>
                <w:rFonts w:ascii="宋体" w:hAnsi="宋体" w:cs="宋体"/>
                <w:color w:val="000000"/>
                <w:kern w:val="0"/>
                <w:szCs w:val="21"/>
              </w:rPr>
            </w:pPr>
            <w:r>
              <w:rPr>
                <w:rFonts w:hint="eastAsia" w:ascii="宋体" w:hAnsi="宋体" w:cs="宋体"/>
                <w:color w:val="000000"/>
                <w:kern w:val="0"/>
                <w:szCs w:val="21"/>
              </w:rPr>
              <w:t>作业时车辆不文明作业，车辆未设置反光标识</w:t>
            </w:r>
          </w:p>
        </w:tc>
        <w:tc>
          <w:tcPr>
            <w:tcW w:w="2055"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3.6</w:t>
            </w:r>
          </w:p>
        </w:tc>
        <w:tc>
          <w:tcPr>
            <w:tcW w:w="1307"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szCs w:val="21"/>
              </w:rPr>
              <w:t>安全作业</w:t>
            </w:r>
          </w:p>
        </w:tc>
        <w:tc>
          <w:tcPr>
            <w:tcW w:w="1230" w:type="dxa"/>
            <w:shd w:val="clear" w:color="auto" w:fill="FFFFFF"/>
            <w:noWrap/>
            <w:vAlign w:val="center"/>
          </w:tcPr>
          <w:p>
            <w:pPr>
              <w:jc w:val="center"/>
              <w:textAlignment w:val="center"/>
              <w:rPr>
                <w:rFonts w:ascii="宋体" w:hAnsi="宋体" w:cs="宋体"/>
                <w:color w:val="000000"/>
                <w:szCs w:val="21"/>
              </w:rPr>
            </w:pPr>
          </w:p>
        </w:tc>
        <w:tc>
          <w:tcPr>
            <w:tcW w:w="3840" w:type="dxa"/>
            <w:shd w:val="clear" w:color="auto" w:fill="FFFFFF"/>
            <w:noWrap/>
            <w:vAlign w:val="center"/>
          </w:tcPr>
          <w:p>
            <w:pPr>
              <w:jc w:val="left"/>
              <w:textAlignment w:val="center"/>
              <w:rPr>
                <w:rFonts w:ascii="宋体" w:hAnsi="宋体" w:cs="宋体"/>
                <w:color w:val="000000"/>
                <w:kern w:val="0"/>
                <w:szCs w:val="21"/>
              </w:rPr>
            </w:pPr>
            <w:r>
              <w:rPr>
                <w:rFonts w:hint="eastAsia" w:ascii="宋体" w:hAnsi="宋体" w:cs="宋体"/>
                <w:color w:val="000000"/>
                <w:kern w:val="0"/>
                <w:szCs w:val="21"/>
              </w:rPr>
              <w:t>因作业不当，发生有责交通伤亡事故</w:t>
            </w:r>
          </w:p>
        </w:tc>
        <w:tc>
          <w:tcPr>
            <w:tcW w:w="2055"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4.1</w:t>
            </w:r>
          </w:p>
        </w:tc>
        <w:tc>
          <w:tcPr>
            <w:tcW w:w="1307"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szCs w:val="21"/>
              </w:rPr>
              <w:t>人员</w:t>
            </w:r>
          </w:p>
        </w:tc>
        <w:tc>
          <w:tcPr>
            <w:tcW w:w="1230"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szCs w:val="21"/>
              </w:rPr>
              <w:t>应急</w:t>
            </w:r>
          </w:p>
        </w:tc>
        <w:tc>
          <w:tcPr>
            <w:tcW w:w="3840" w:type="dxa"/>
            <w:shd w:val="clear" w:color="auto" w:fill="FFFFFF"/>
            <w:noWrap/>
            <w:vAlign w:val="center"/>
          </w:tcPr>
          <w:p>
            <w:pPr>
              <w:jc w:val="left"/>
              <w:textAlignment w:val="center"/>
              <w:rPr>
                <w:rFonts w:ascii="宋体" w:hAnsi="宋体" w:cs="宋体"/>
                <w:color w:val="000000"/>
                <w:kern w:val="0"/>
                <w:szCs w:val="21"/>
              </w:rPr>
            </w:pPr>
            <w:r>
              <w:rPr>
                <w:rFonts w:hint="eastAsia" w:ascii="宋体" w:hAnsi="宋体" w:cs="宋体"/>
                <w:color w:val="000000"/>
                <w:kern w:val="0"/>
                <w:szCs w:val="21"/>
              </w:rPr>
              <w:t>要求保洁公司委派管理人员上路，有情况时要求20分钟内到达事发现场</w:t>
            </w:r>
          </w:p>
        </w:tc>
        <w:tc>
          <w:tcPr>
            <w:tcW w:w="2055"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4.2</w:t>
            </w:r>
          </w:p>
        </w:tc>
        <w:tc>
          <w:tcPr>
            <w:tcW w:w="1307"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szCs w:val="21"/>
              </w:rPr>
              <w:t>人员</w:t>
            </w:r>
          </w:p>
        </w:tc>
        <w:tc>
          <w:tcPr>
            <w:tcW w:w="1230"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szCs w:val="21"/>
              </w:rPr>
              <w:t>应急</w:t>
            </w:r>
          </w:p>
        </w:tc>
        <w:tc>
          <w:tcPr>
            <w:tcW w:w="3840" w:type="dxa"/>
            <w:shd w:val="clear" w:color="auto" w:fill="FFFFFF"/>
            <w:noWrap/>
            <w:vAlign w:val="center"/>
          </w:tcPr>
          <w:p>
            <w:pPr>
              <w:jc w:val="left"/>
              <w:textAlignment w:val="center"/>
              <w:rPr>
                <w:rFonts w:ascii="宋体" w:hAnsi="宋体" w:cs="宋体"/>
                <w:color w:val="000000"/>
                <w:kern w:val="0"/>
                <w:szCs w:val="21"/>
              </w:rPr>
            </w:pPr>
            <w:r>
              <w:rPr>
                <w:rFonts w:hint="eastAsia" w:ascii="宋体" w:hAnsi="宋体" w:cs="宋体"/>
                <w:color w:val="000000"/>
                <w:kern w:val="0"/>
                <w:szCs w:val="21"/>
              </w:rPr>
              <w:t>数字环卫系统要求保洁公司配备专人负责管理，做到派发案件及时处理，处理结束后及时回复</w:t>
            </w:r>
          </w:p>
        </w:tc>
        <w:tc>
          <w:tcPr>
            <w:tcW w:w="2055"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4.3</w:t>
            </w:r>
          </w:p>
        </w:tc>
        <w:tc>
          <w:tcPr>
            <w:tcW w:w="1307"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szCs w:val="21"/>
              </w:rPr>
              <w:t>人员</w:t>
            </w:r>
          </w:p>
        </w:tc>
        <w:tc>
          <w:tcPr>
            <w:tcW w:w="1230" w:type="dxa"/>
            <w:shd w:val="clear" w:color="auto" w:fill="FFFFFF"/>
            <w:noWrap/>
            <w:vAlign w:val="center"/>
          </w:tcPr>
          <w:p>
            <w:pPr>
              <w:jc w:val="center"/>
              <w:textAlignment w:val="center"/>
              <w:rPr>
                <w:rFonts w:ascii="宋体" w:hAnsi="宋体" w:cs="宋体"/>
                <w:color w:val="000000"/>
                <w:szCs w:val="21"/>
              </w:rPr>
            </w:pPr>
          </w:p>
        </w:tc>
        <w:tc>
          <w:tcPr>
            <w:tcW w:w="3840" w:type="dxa"/>
            <w:shd w:val="clear" w:color="auto" w:fill="FFFFFF"/>
            <w:noWrap/>
            <w:vAlign w:val="center"/>
          </w:tcPr>
          <w:p>
            <w:pPr>
              <w:jc w:val="left"/>
              <w:textAlignment w:val="center"/>
              <w:rPr>
                <w:rFonts w:ascii="宋体" w:hAnsi="宋体" w:cs="宋体"/>
                <w:color w:val="000000"/>
                <w:kern w:val="0"/>
                <w:szCs w:val="21"/>
              </w:rPr>
            </w:pPr>
            <w:r>
              <w:rPr>
                <w:rFonts w:hint="eastAsia" w:ascii="宋体" w:hAnsi="宋体" w:cs="宋体"/>
                <w:color w:val="000000"/>
                <w:kern w:val="0"/>
                <w:szCs w:val="21"/>
              </w:rPr>
              <w:t>上岗必须穿反光标志工作服</w:t>
            </w:r>
          </w:p>
        </w:tc>
        <w:tc>
          <w:tcPr>
            <w:tcW w:w="2055"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5.1</w:t>
            </w:r>
          </w:p>
        </w:tc>
        <w:tc>
          <w:tcPr>
            <w:tcW w:w="1307"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szCs w:val="21"/>
              </w:rPr>
              <w:t>安全教育</w:t>
            </w:r>
          </w:p>
        </w:tc>
        <w:tc>
          <w:tcPr>
            <w:tcW w:w="1230" w:type="dxa"/>
            <w:shd w:val="clear" w:color="auto" w:fill="FFFFFF"/>
            <w:noWrap/>
            <w:vAlign w:val="center"/>
          </w:tcPr>
          <w:p>
            <w:pPr>
              <w:jc w:val="center"/>
              <w:textAlignment w:val="center"/>
              <w:rPr>
                <w:rFonts w:ascii="宋体" w:hAnsi="宋体" w:cs="宋体"/>
                <w:color w:val="000000"/>
                <w:szCs w:val="21"/>
              </w:rPr>
            </w:pPr>
          </w:p>
        </w:tc>
        <w:tc>
          <w:tcPr>
            <w:tcW w:w="3840" w:type="dxa"/>
            <w:shd w:val="clear" w:color="auto" w:fill="FFFFFF"/>
            <w:noWrap/>
            <w:vAlign w:val="center"/>
          </w:tcPr>
          <w:p>
            <w:pPr>
              <w:jc w:val="left"/>
              <w:textAlignment w:val="center"/>
              <w:rPr>
                <w:rFonts w:ascii="宋体" w:hAnsi="宋体" w:cs="宋体"/>
                <w:color w:val="000000"/>
                <w:kern w:val="0"/>
                <w:szCs w:val="21"/>
              </w:rPr>
            </w:pPr>
            <w:r>
              <w:rPr>
                <w:rFonts w:hint="eastAsia" w:ascii="宋体" w:hAnsi="宋体" w:cs="宋体"/>
                <w:color w:val="000000"/>
                <w:kern w:val="0"/>
                <w:szCs w:val="21"/>
              </w:rPr>
              <w:t>保洁员上岗前进行安全教育，有书面材料和签字记录</w:t>
            </w:r>
          </w:p>
        </w:tc>
        <w:tc>
          <w:tcPr>
            <w:tcW w:w="2055"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6.1</w:t>
            </w:r>
          </w:p>
        </w:tc>
        <w:tc>
          <w:tcPr>
            <w:tcW w:w="1307"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szCs w:val="21"/>
              </w:rPr>
              <w:t>日常管理</w:t>
            </w:r>
          </w:p>
        </w:tc>
        <w:tc>
          <w:tcPr>
            <w:tcW w:w="1230" w:type="dxa"/>
            <w:shd w:val="clear" w:color="auto" w:fill="FFFFFF"/>
            <w:noWrap/>
            <w:vAlign w:val="center"/>
          </w:tcPr>
          <w:p>
            <w:pPr>
              <w:jc w:val="center"/>
              <w:textAlignment w:val="center"/>
              <w:rPr>
                <w:rFonts w:ascii="宋体" w:hAnsi="宋体" w:cs="宋体"/>
                <w:color w:val="000000"/>
                <w:szCs w:val="21"/>
              </w:rPr>
            </w:pPr>
          </w:p>
        </w:tc>
        <w:tc>
          <w:tcPr>
            <w:tcW w:w="3840" w:type="dxa"/>
            <w:shd w:val="clear" w:color="auto" w:fill="FFFFFF"/>
            <w:noWrap/>
            <w:vAlign w:val="center"/>
          </w:tcPr>
          <w:p>
            <w:pPr>
              <w:jc w:val="left"/>
              <w:textAlignment w:val="center"/>
              <w:rPr>
                <w:rFonts w:ascii="宋体" w:hAnsi="宋体" w:cs="宋体"/>
                <w:color w:val="000000"/>
                <w:kern w:val="0"/>
                <w:szCs w:val="21"/>
              </w:rPr>
            </w:pPr>
            <w:r>
              <w:rPr>
                <w:rFonts w:hint="eastAsia" w:ascii="宋体" w:hAnsi="宋体" w:cs="宋体"/>
                <w:color w:val="000000"/>
                <w:kern w:val="0"/>
                <w:szCs w:val="21"/>
              </w:rPr>
              <w:t>未安排专职管理人员的</w:t>
            </w:r>
          </w:p>
        </w:tc>
        <w:tc>
          <w:tcPr>
            <w:tcW w:w="2055"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6.2</w:t>
            </w:r>
          </w:p>
        </w:tc>
        <w:tc>
          <w:tcPr>
            <w:tcW w:w="1307"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szCs w:val="21"/>
              </w:rPr>
              <w:t>日常管理</w:t>
            </w:r>
          </w:p>
        </w:tc>
        <w:tc>
          <w:tcPr>
            <w:tcW w:w="1230" w:type="dxa"/>
            <w:shd w:val="clear" w:color="auto" w:fill="FFFFFF"/>
            <w:noWrap/>
            <w:vAlign w:val="center"/>
          </w:tcPr>
          <w:p>
            <w:pPr>
              <w:jc w:val="center"/>
              <w:textAlignment w:val="center"/>
              <w:rPr>
                <w:rFonts w:ascii="宋体" w:hAnsi="宋体" w:cs="宋体"/>
                <w:color w:val="000000"/>
                <w:szCs w:val="21"/>
              </w:rPr>
            </w:pPr>
          </w:p>
        </w:tc>
        <w:tc>
          <w:tcPr>
            <w:tcW w:w="3840" w:type="dxa"/>
            <w:shd w:val="clear" w:color="auto" w:fill="FFFFFF"/>
            <w:noWrap/>
            <w:vAlign w:val="center"/>
          </w:tcPr>
          <w:p>
            <w:pPr>
              <w:jc w:val="left"/>
              <w:textAlignment w:val="center"/>
              <w:rPr>
                <w:rFonts w:ascii="宋体" w:hAnsi="宋体" w:cs="宋体"/>
                <w:color w:val="000000"/>
                <w:kern w:val="0"/>
                <w:szCs w:val="21"/>
              </w:rPr>
            </w:pPr>
            <w:r>
              <w:rPr>
                <w:rFonts w:hint="eastAsia" w:ascii="宋体" w:hAnsi="宋体" w:cs="宋体"/>
                <w:color w:val="000000"/>
                <w:kern w:val="0"/>
                <w:szCs w:val="21"/>
              </w:rPr>
              <w:t>未建立建全各项管理制度</w:t>
            </w:r>
          </w:p>
        </w:tc>
        <w:tc>
          <w:tcPr>
            <w:tcW w:w="2055"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822" w:type="dxa"/>
            <w:shd w:val="clear" w:color="auto" w:fill="FFFFFF"/>
            <w:noWrap/>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6.3</w:t>
            </w:r>
          </w:p>
        </w:tc>
        <w:tc>
          <w:tcPr>
            <w:tcW w:w="1307"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szCs w:val="21"/>
              </w:rPr>
              <w:t>日常管理</w:t>
            </w:r>
          </w:p>
        </w:tc>
        <w:tc>
          <w:tcPr>
            <w:tcW w:w="1230" w:type="dxa"/>
            <w:shd w:val="clear" w:color="auto" w:fill="FFFFFF"/>
            <w:noWrap/>
            <w:vAlign w:val="center"/>
          </w:tcPr>
          <w:p>
            <w:pPr>
              <w:jc w:val="center"/>
              <w:textAlignment w:val="center"/>
              <w:rPr>
                <w:rFonts w:ascii="宋体" w:hAnsi="宋体" w:cs="宋体"/>
                <w:color w:val="000000"/>
                <w:szCs w:val="21"/>
              </w:rPr>
            </w:pPr>
          </w:p>
        </w:tc>
        <w:tc>
          <w:tcPr>
            <w:tcW w:w="3840" w:type="dxa"/>
            <w:shd w:val="clear" w:color="auto" w:fill="FFFFFF"/>
            <w:noWrap/>
            <w:vAlign w:val="center"/>
          </w:tcPr>
          <w:p>
            <w:pPr>
              <w:jc w:val="left"/>
              <w:textAlignment w:val="center"/>
              <w:rPr>
                <w:rFonts w:ascii="宋体" w:hAnsi="宋体" w:cs="宋体"/>
                <w:color w:val="000000"/>
                <w:kern w:val="0"/>
                <w:szCs w:val="21"/>
              </w:rPr>
            </w:pPr>
            <w:r>
              <w:rPr>
                <w:rFonts w:hint="eastAsia" w:ascii="宋体" w:hAnsi="宋体" w:cs="宋体"/>
                <w:color w:val="000000"/>
                <w:kern w:val="0"/>
                <w:szCs w:val="21"/>
              </w:rPr>
              <w:t>未建立巡查制度的，没有巡查日报、周报</w:t>
            </w:r>
          </w:p>
        </w:tc>
        <w:tc>
          <w:tcPr>
            <w:tcW w:w="2055" w:type="dxa"/>
            <w:shd w:val="clear" w:color="auto" w:fill="FFFFFF"/>
            <w:noWrap/>
            <w:vAlign w:val="center"/>
          </w:tcPr>
          <w:p>
            <w:pPr>
              <w:jc w:val="center"/>
              <w:textAlignment w:val="center"/>
              <w:rPr>
                <w:rFonts w:ascii="宋体" w:hAnsi="宋体" w:cs="宋体"/>
                <w:color w:val="000000"/>
                <w:szCs w:val="21"/>
              </w:rPr>
            </w:pPr>
            <w:r>
              <w:rPr>
                <w:rFonts w:hint="eastAsia" w:ascii="宋体" w:hAnsi="宋体" w:cs="宋体"/>
                <w:color w:val="000000"/>
                <w:szCs w:val="21"/>
              </w:rPr>
              <w:t>1</w:t>
            </w:r>
          </w:p>
        </w:tc>
      </w:tr>
    </w:tbl>
    <w:p>
      <w:pPr>
        <w:tabs>
          <w:tab w:val="left" w:pos="1095"/>
        </w:tabs>
        <w:spacing w:line="360" w:lineRule="auto"/>
        <w:rPr>
          <w:rFonts w:ascii="宋体" w:hAnsi="宋体" w:cs="宋体"/>
          <w:sz w:val="24"/>
        </w:rPr>
      </w:pPr>
      <w:r>
        <w:rPr>
          <w:rFonts w:hint="eastAsia" w:ascii="宋体" w:hAnsi="宋体" w:cs="宋体"/>
          <w:sz w:val="24"/>
        </w:rPr>
        <w:t>备注：（对以上表格进行说明如下）</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1、县长公开电话、市民投诉事件，相关责任区域内的110联动、数字城管案件及监督管理科下达的各项任务通知处理后没有及时完成的加倍扣分。</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考核99-94分每扣除1分，当月扣除作业单位200元/分；95-90分，每扣除1分，当月扣除作业单位500元/分；89-84分，每扣除1分，当月扣除作业单位800元/分；85分以下为不合格，不合格每次扣3000元；全年累计3次扣分低于85分予以解除合同。</w:t>
      </w:r>
    </w:p>
    <w:p>
      <w:pPr>
        <w:spacing w:line="360" w:lineRule="auto"/>
        <w:ind w:firstLine="482" w:firstLineChars="200"/>
        <w:rPr>
          <w:rFonts w:ascii="宋体" w:hAnsi="宋体" w:cs="宋体"/>
          <w:b/>
          <w:snapToGrid w:val="0"/>
          <w:kern w:val="0"/>
          <w:sz w:val="24"/>
        </w:rPr>
      </w:pPr>
      <w:r>
        <w:rPr>
          <w:rFonts w:hint="eastAsia" w:ascii="宋体" w:hAnsi="宋体" w:cs="宋体"/>
          <w:b/>
          <w:snapToGrid w:val="0"/>
          <w:kern w:val="0"/>
          <w:sz w:val="24"/>
        </w:rPr>
        <w:t>（2）考核办法</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考核分为日常巡查考核与不定时抽查相结合的方式进行。</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1、考核由保障中心负责组织实施。</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2、考核分值以100%计入中标单位每月考核分数。</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3、每次考核以随机抽查形式进行考核，考核结果当天反馈。</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4、考核每星期不少于一次。</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5、考核每月分数汇总后抄送给各单位。</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6、考核时间跨度为每月1日至当月月底；</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7、考核情况以次月10日前公布；</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8、保洁作业标准及考核细则。</w:t>
      </w:r>
    </w:p>
    <w:p>
      <w:pPr>
        <w:spacing w:line="360" w:lineRule="auto"/>
        <w:ind w:firstLine="482" w:firstLineChars="200"/>
        <w:rPr>
          <w:rFonts w:ascii="宋体" w:hAnsi="宋体" w:cs="宋体"/>
          <w:b/>
          <w:snapToGrid w:val="0"/>
          <w:kern w:val="0"/>
          <w:sz w:val="24"/>
        </w:rPr>
      </w:pPr>
      <w:r>
        <w:rPr>
          <w:rFonts w:hint="eastAsia" w:ascii="宋体" w:hAnsi="宋体" w:cs="宋体"/>
          <w:b/>
          <w:snapToGrid w:val="0"/>
          <w:kern w:val="0"/>
          <w:sz w:val="24"/>
        </w:rPr>
        <w:t>（四）每月考核分数确定办法</w:t>
      </w:r>
    </w:p>
    <w:p>
      <w:pPr>
        <w:spacing w:line="360" w:lineRule="auto"/>
        <w:ind w:firstLine="480" w:firstLineChars="200"/>
        <w:rPr>
          <w:rFonts w:ascii="宋体" w:hAnsi="宋体" w:cs="宋体"/>
          <w:snapToGrid w:val="0"/>
          <w:kern w:val="0"/>
          <w:sz w:val="24"/>
        </w:rPr>
      </w:pPr>
      <w:r>
        <w:rPr>
          <w:rFonts w:hint="eastAsia" w:ascii="宋体" w:hAnsi="宋体" w:cs="宋体"/>
          <w:snapToGrid w:val="0"/>
          <w:kern w:val="0"/>
          <w:sz w:val="24"/>
        </w:rPr>
        <w:t>按照上文“三”所列考核表格项目打分，日常考核扣分计入各公司当月分值。（超出考核表格所考核事项和相关标准，参考《浙江省城市道路保洁质量标准》和《浙江省杭州市环卫保洁作业标准及考核细则》执行。本细则自2022年1月1日起实施。</w:t>
      </w:r>
    </w:p>
    <w:p>
      <w:pPr>
        <w:pStyle w:val="24"/>
        <w:rPr>
          <w:rFonts w:ascii="宋体" w:hAnsi="宋体" w:cs="宋体"/>
          <w:color w:val="000000"/>
        </w:rPr>
      </w:pPr>
    </w:p>
    <w:p>
      <w:pPr>
        <w:pStyle w:val="24"/>
      </w:pPr>
      <w:r>
        <w:rPr>
          <w:rFonts w:hint="eastAsia" w:ascii="宋体" w:hAnsi="宋体" w:cs="宋体"/>
          <w:color w:val="000000"/>
          <w:lang w:val="zh-CN"/>
        </w:rPr>
        <w:t xml:space="preserve">  </w:t>
      </w:r>
    </w:p>
    <w:p>
      <w:pPr>
        <w:pStyle w:val="9"/>
      </w:pPr>
    </w:p>
    <w:p>
      <w:pPr>
        <w:pStyle w:val="16"/>
        <w:snapToGrid w:val="0"/>
        <w:rPr>
          <w:rStyle w:val="30"/>
          <w:rFonts w:ascii="宋体" w:hAnsi="宋体"/>
          <w:szCs w:val="36"/>
        </w:rPr>
      </w:pPr>
    </w:p>
    <w:p>
      <w:pPr>
        <w:pStyle w:val="16"/>
        <w:snapToGrid w:val="0"/>
        <w:rPr>
          <w:rStyle w:val="30"/>
          <w:rFonts w:ascii="宋体" w:hAnsi="宋体"/>
          <w:szCs w:val="36"/>
        </w:rPr>
      </w:pPr>
    </w:p>
    <w:p>
      <w:pPr>
        <w:pStyle w:val="16"/>
        <w:snapToGrid w:val="0"/>
        <w:jc w:val="both"/>
        <w:rPr>
          <w:rStyle w:val="30"/>
          <w:rFonts w:ascii="宋体" w:hAnsi="宋体"/>
          <w:szCs w:val="36"/>
        </w:rPr>
      </w:pPr>
    </w:p>
    <w:p>
      <w:pPr>
        <w:pStyle w:val="16"/>
        <w:snapToGrid w:val="0"/>
        <w:rPr>
          <w:rStyle w:val="30"/>
          <w:rFonts w:ascii="宋体" w:hAnsi="宋体"/>
          <w:b w:val="0"/>
          <w:sz w:val="32"/>
          <w:szCs w:val="32"/>
        </w:rPr>
      </w:pPr>
      <w:r>
        <w:rPr>
          <w:rStyle w:val="30"/>
          <w:rFonts w:ascii="宋体" w:hAnsi="宋体"/>
          <w:szCs w:val="36"/>
        </w:rPr>
        <w:t xml:space="preserve">第四部分 </w:t>
      </w:r>
      <w:r>
        <w:rPr>
          <w:rStyle w:val="30"/>
          <w:rFonts w:ascii="宋体" w:hAnsi="宋体"/>
          <w:b w:val="0"/>
          <w:sz w:val="24"/>
          <w:szCs w:val="24"/>
        </w:rPr>
        <w:t xml:space="preserve"> </w:t>
      </w:r>
      <w:r>
        <w:rPr>
          <w:rStyle w:val="30"/>
          <w:rFonts w:ascii="宋体" w:hAnsi="宋体"/>
          <w:szCs w:val="36"/>
        </w:rPr>
        <w:t>评标办法及评分标准</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一、评标方法</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1.综合评分法。综合评分法，是指投标文件满足招标文件全部实质性要求，且按照评审因素的量化指标评审得分最高的投标人为中标候选人的评标方法。</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二、评标委员会的组成</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2.评标委员会的组成。评标委员会由采购人代表和评审专家组成，成员人数为5人以上单数，其中评审专家不少于成员总数的三分之二。</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3.评标委员会的组成人员的回避。在政府采购活动中，评标委员会的组成人员与供应商有下列利害关系之一的，应当回避：</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3.1参加采购活动前3年内与供应商存在劳动关系；</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3.2参加采购活动前3年内担任供应商的董事、监事；</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3.3参加采购活动前3年内是供应商的控股股东或者实际控制人；</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3.4与供应商的法定代表人或者负责人有夫妻、直系血亲、三代以内旁系血亲或者近姻亲关系；</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3.5与供应商有其他可能影响政府采购活动公平、公正进行的关系。</w:t>
      </w:r>
    </w:p>
    <w:p>
      <w:pPr>
        <w:autoSpaceDE w:val="0"/>
        <w:autoSpaceDN w:val="0"/>
        <w:spacing w:line="360" w:lineRule="auto"/>
        <w:rPr>
          <w:rFonts w:ascii="仿宋" w:hAnsi="仿宋" w:eastAsia="仿宋" w:cs="仿宋"/>
          <w:sz w:val="24"/>
        </w:rPr>
      </w:pPr>
      <w:r>
        <w:rPr>
          <w:rFonts w:hint="eastAsia" w:ascii="仿宋" w:hAnsi="仿宋" w:eastAsia="仿宋" w:cs="仿宋"/>
          <w:sz w:val="24"/>
        </w:rPr>
        <w:t>　三、评标委员会的职责</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4.评标委员会负责具体评标事务，并独立履行下列职责：</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4.1审查、评价投标文件是否符合招标文件的商务、技术等实质性要求；</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4.2要求投标人对投标文件有关事项作出澄清或者说明；</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4.3对投标文件进行比较和评价；</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4.4确定中标候选人名单，以及根据采购人委托直接确定中标人；</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4.5向采购人、采购机构或者有关部门报告评标中发现的违法行为；</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4.6法律、法规、规章、招标文件等规定的其它事项。</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5.评标委员会及其成员不得有下列行为：</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5.1确定参与评标至评标结束前私自接触投标人；</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5.2接受投标人提出的与投标文件不一致的澄清或者说明，《政府采购货物和服务招标投标管理办法》（财政部令第87号）本办法第五十一条规定的情形除外；</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5.3违反评标纪律发表倾向性意见或者征询采购人的倾向性意见；</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5.4对需要专业判断的主观评审因素协商评分；</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5.5在评标过程中擅离职守，影响评标程序正常进行的；</w:t>
      </w:r>
    </w:p>
    <w:p>
      <w:pPr>
        <w:autoSpaceDE w:val="0"/>
        <w:autoSpaceDN w:val="0"/>
        <w:spacing w:line="360" w:lineRule="auto"/>
        <w:ind w:firstLine="720" w:firstLineChars="300"/>
        <w:rPr>
          <w:rFonts w:ascii="仿宋" w:hAnsi="仿宋" w:eastAsia="仿宋" w:cs="仿宋"/>
          <w:sz w:val="24"/>
        </w:rPr>
      </w:pPr>
      <w:r>
        <w:rPr>
          <w:rFonts w:hint="eastAsia" w:ascii="仿宋" w:hAnsi="仿宋" w:eastAsia="仿宋" w:cs="仿宋"/>
          <w:sz w:val="24"/>
        </w:rPr>
        <w:t>5.6记录、复制或者带走任何评标资料；</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5.7其他不遵守评标纪律的行为。</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评标委员会成员有5.1-5.5行为之一的，其评审意见无效，并不得获取评审劳务报酬和报销异地评审差旅费。</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四、评审程序</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6.符合性审查。 评标委员会应当对符合资格的投标人的投标文件进行符合性审查，以确定其是否满足招标文件的实质性要求。符合投标无效情形的，投标无效。</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7.投标人澄清、说明或者补正。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8. 比较与评价。标委员会应当按照评标标准，对符合性审查合格的投标文件进行商务和技术评估，综合比较与评价。</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9. 汇总（商务技术得分情况）。评标委员会各成员应当独立对每个投标人的商务和技术文件进行评价，并汇总商务技术得分情况。</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10. 报价审核。对经商务和技术评审符合采购需求的投标人的报价的合理性、准确性等进行审查核实。</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10.1评标委员会认为投标人的报价明显低于其他通过符合性审查投标人的报价，有可能影响产品质量或者不能诚信履约的，应当要求其在评标现场合理的时间内提供书面说明，必要时提交相关证明材料。</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10.2根据财政部发布的《政府采购促进中小企业发展暂行办法》规定，对于非专门面向中小企业的项目，对小型和微型企业产品的价格给予一定的扣除，用扣除后的价格参与评审。</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10.3投标价格的修正原则。投标文件报价出现前后不一致的，按照下列规定修正：</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10.3.1投标文件中开标一览表(报价表)内容与投标文件中相应内容不一致的，以开标一览表(报价表)为准;</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10.3.2大写金额和小写金额不一致的，以大写金额为准;</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10.3.3单价金额小数点或者百分比有明显错位的，以开标一览表的总价为准，并修改单价;</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10.3.4总价金额与按单价汇总金额不一致的，以单价金额计算结果为准。</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10.3.5同时出现两种以上不一致的，按照前款规定的顺序修正。修正后的报价按照财政部第87号令 《政府采购货物和服务招标投标管理办法》第五十一条第二款的规定经投标人确认后产生约束力。</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▲投标人对根据修正原则修正后的报价不确认的，投标无效。</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11.汇总得分。评标委员会各成员应当独立对每个投标人的投标文件进行评价，并汇总每个投标人的得分。</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12.顺序排列与中标候选推荐。</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12.1评标结果按评审后得分由高到低顺序排列。得分相同的，按投标报价由低到高顺序排列。得分且投标报价相同的并列。得分最高的投标人为排名第一的中标候选人。</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12.2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13.投标无效。有下列情况之一的，投标无效：</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13.1单位负责人为同一人或者存在直接控股、管理关系的不同供应商参加同一合同项下的政府采购活动的（均无效）；</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13.2为采购项目提供整体设计、规范编制或者项目管理、监理、检测等服务的供应商再参加该采购项目的其他采购活动的； </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13.3投标人不具备招标文件中规定的资格要求的（投标人未提供有效的资格证明文件的，视为投标人不具备招标文件中规定的资格要求）；</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13.4如以联合体形式参加政府采购活动的，联合体协议不符合招标文件规定的联合体协议要求的；</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 5投标文件未按规定的格式编制的；</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13.6投标文件未按招标文件的澄清、修改的内容编制，又不符合实质性要求的；</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13.7投标文件组成漏项，内容不全或内容字迹模糊辨认不清的；</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13.8投标文件中法定代表人授权书所载内容与本项目内容有异的；</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13.9投标文件未按照招标文件要求签署、盖章的；</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13.10采购人拟采购的产品属于政府强制采购的节能产品品目清单范围的，投标人未按招标文件要求提供国家确定的认证机构出具的、处于有效期之内的节能产品认证证书的；</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13.11投标文件含有采购人不能接受的附加条件的；</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13.12投标文件中承诺的投标有效期少于招标文件中载明的投标有效期的；</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13.13投标人所投内容不符合采购需求中实质性要求的；</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13.14投标文件出现不是唯一的、有选择性投标报价的;</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13.15投标报价高于本项目采购预算或者最高限价的;</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13.16报价明显低于其他通过符合性审查投标人的报价，有可能影响产品质量或者不能诚信履约的，未能按要求提供书面说明或者提交相关证明材料，不能证明其报价合理性的;</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13.17《投标（开标）一览表》填写不完整或字迹不能辨认或有漏项的；</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13.18投标人对根据修正原则修正后的报价不确认的；</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13.19投标人提供虚假材料投标的（包括但不限于以下情节）；</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13.19.1使用伪造、变造的许可证件；</w:t>
      </w:r>
      <w:r>
        <w:rPr>
          <w:rFonts w:hint="eastAsia" w:ascii="仿宋" w:hAnsi="仿宋" w:eastAsia="仿宋" w:cs="仿宋"/>
          <w:sz w:val="24"/>
        </w:rPr>
        <w:br w:type="textWrapping"/>
      </w:r>
      <w:r>
        <w:rPr>
          <w:rFonts w:hint="eastAsia" w:ascii="仿宋" w:hAnsi="仿宋" w:eastAsia="仿宋" w:cs="仿宋"/>
          <w:sz w:val="24"/>
        </w:rPr>
        <w:t>     13.19.2提供虚假的财务状况或者业绩；</w:t>
      </w:r>
      <w:r>
        <w:rPr>
          <w:rFonts w:hint="eastAsia" w:ascii="仿宋" w:hAnsi="仿宋" w:eastAsia="仿宋" w:cs="仿宋"/>
          <w:sz w:val="24"/>
        </w:rPr>
        <w:br w:type="textWrapping"/>
      </w:r>
      <w:r>
        <w:rPr>
          <w:rFonts w:hint="eastAsia" w:ascii="仿宋" w:hAnsi="仿宋" w:eastAsia="仿宋" w:cs="仿宋"/>
          <w:sz w:val="24"/>
        </w:rPr>
        <w:t>     13.19.3提供虚假的项目负责人或者主要技术人员简历、劳动关系证明；</w:t>
      </w:r>
      <w:r>
        <w:rPr>
          <w:rFonts w:hint="eastAsia" w:ascii="仿宋" w:hAnsi="仿宋" w:eastAsia="仿宋" w:cs="仿宋"/>
          <w:sz w:val="24"/>
        </w:rPr>
        <w:br w:type="textWrapping"/>
      </w:r>
      <w:r>
        <w:rPr>
          <w:rFonts w:hint="eastAsia" w:ascii="仿宋" w:hAnsi="仿宋" w:eastAsia="仿宋" w:cs="仿宋"/>
          <w:sz w:val="24"/>
        </w:rPr>
        <w:t>     13.19.4提供虚假的信用状况；</w:t>
      </w:r>
      <w:r>
        <w:rPr>
          <w:rFonts w:hint="eastAsia" w:ascii="仿宋" w:hAnsi="仿宋" w:eastAsia="仿宋" w:cs="仿宋"/>
          <w:sz w:val="24"/>
        </w:rPr>
        <w:br w:type="textWrapping"/>
      </w:r>
      <w:r>
        <w:rPr>
          <w:rFonts w:hint="eastAsia" w:ascii="仿宋" w:hAnsi="仿宋" w:eastAsia="仿宋" w:cs="仿宋"/>
          <w:sz w:val="24"/>
        </w:rPr>
        <w:t>     13.19.5其他弄虚作假的行为。</w:t>
      </w:r>
      <w:r>
        <w:rPr>
          <w:rFonts w:hint="eastAsia" w:ascii="仿宋" w:hAnsi="仿宋" w:eastAsia="仿宋" w:cs="仿宋"/>
          <w:sz w:val="24"/>
        </w:rPr>
        <w:br w:type="textWrapping"/>
      </w:r>
      <w:r>
        <w:rPr>
          <w:rFonts w:hint="eastAsia" w:ascii="仿宋" w:hAnsi="仿宋" w:eastAsia="仿宋" w:cs="仿宋"/>
          <w:sz w:val="24"/>
        </w:rPr>
        <w:t xml:space="preserve">    13.20投标人有恶意串通、妨碍其他投标人的竞争行为、损害采购人或者其他投标人的合法权益情形的；有下列情形之一的，属于或视为恶意串通，其投标无效：</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13.20.1供应商直接或者间接从采购人或者采购机构处获得其他供应商的相关情况并修改其投标文件或者响应文件；</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13.20.2供应商按照采购人或者采购机构的授意撤换、修改投标文件或者响应文件；</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13.20.3供应商之间协商报价、技术方案等投标文件或者响应文件的实质性内容；</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13.20.4属于同一集团、协会、商会等组织成员的供应商按照该组织要求协同参加政府采购活动；</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13.20.5供应商之间事先约定由某一特定供应商中标、成交；</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13.20.6供应商之间商定部分供应商放弃参加政府采购活动或者放弃中标、成交；</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13.20.7供应商与采购人或者采购机构之间、供应商相互之间，为谋求特定供应商中标、成交或者排斥其他供应商的其他串通行为。</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13.20.8不同投标人的投标文件由同一单位或者个人编制；</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13.20.9不同投标人委托同一单位或者个人办理投标事宜；</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13.20.10不同投标人的投标文件载明的项目管理成员或者联系人员为同一人；</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13.20.11不同投标人的投标文件异常一致或者投标报价呈规律性差异；</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13.20.12不同投标人的投标文件相互混装；</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13.21投标人仅提交备份投标文件，没有在电子交易平台传输递交投标文件的，投标无效；</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13.22法律、法规、规章（适用本市县的）及省级以上规范性文件（适用本市县的）规定的其他无效情形。</w:t>
      </w:r>
    </w:p>
    <w:p>
      <w:pPr>
        <w:spacing w:line="360" w:lineRule="auto"/>
        <w:ind w:firstLine="240" w:firstLineChars="100"/>
        <w:rPr>
          <w:rFonts w:ascii="仿宋" w:hAnsi="仿宋" w:eastAsia="仿宋" w:cs="仿宋"/>
          <w:sz w:val="24"/>
        </w:rPr>
      </w:pPr>
    </w:p>
    <w:p>
      <w:pPr>
        <w:snapToGrid w:val="0"/>
        <w:spacing w:line="360" w:lineRule="auto"/>
        <w:ind w:left="120" w:leftChars="57" w:firstLine="422" w:firstLineChars="150"/>
        <w:jc w:val="center"/>
        <w:rPr>
          <w:rFonts w:ascii="仿宋" w:hAnsi="仿宋" w:eastAsia="仿宋" w:cs="仿宋"/>
          <w:b/>
          <w:sz w:val="28"/>
          <w:szCs w:val="28"/>
        </w:rPr>
      </w:pPr>
      <w:r>
        <w:rPr>
          <w:rFonts w:hint="eastAsia" w:ascii="仿宋" w:hAnsi="仿宋" w:eastAsia="仿宋" w:cs="仿宋"/>
          <w:b/>
          <w:sz w:val="28"/>
          <w:szCs w:val="28"/>
        </w:rPr>
        <w:t xml:space="preserve">五、评标报告。 </w:t>
      </w:r>
    </w:p>
    <w:p>
      <w:pPr>
        <w:pStyle w:val="52"/>
        <w:spacing w:before="0"/>
        <w:ind w:left="0" w:firstLine="0"/>
        <w:rPr>
          <w:rFonts w:ascii="仿宋" w:hAnsi="仿宋" w:eastAsia="仿宋" w:cs="仿宋"/>
          <w:szCs w:val="24"/>
        </w:rPr>
      </w:pPr>
      <w:r>
        <w:rPr>
          <w:rFonts w:hint="eastAsia" w:ascii="仿宋" w:hAnsi="仿宋" w:eastAsia="仿宋" w:cs="仿宋"/>
          <w:b/>
          <w:szCs w:val="24"/>
        </w:rPr>
        <w:t>14. 评标报告与推荐中标候选人。</w:t>
      </w:r>
      <w:r>
        <w:rPr>
          <w:rFonts w:hint="eastAsia" w:ascii="仿宋" w:hAnsi="仿宋" w:eastAsia="仿宋" w:cs="仿宋"/>
          <w:szCs w:val="24"/>
        </w:rPr>
        <w:t>评标委员会根据原始评标记录和评标结果编写评标报告，并通过电子交易平台向采购人、采购机构提交。</w:t>
      </w:r>
    </w:p>
    <w:p>
      <w:pPr>
        <w:spacing w:before="100" w:beforeAutospacing="1" w:after="100" w:afterAutospacing="1" w:line="360" w:lineRule="auto"/>
        <w:jc w:val="left"/>
        <w:rPr>
          <w:rFonts w:ascii="仿宋" w:hAnsi="仿宋" w:eastAsia="仿宋" w:cs="仿宋"/>
          <w:kern w:val="0"/>
          <w:sz w:val="24"/>
        </w:rPr>
      </w:pPr>
      <w:r>
        <w:rPr>
          <w:rFonts w:hint="eastAsia" w:ascii="仿宋" w:hAnsi="仿宋" w:eastAsia="仿宋" w:cs="仿宋"/>
          <w:b/>
          <w:sz w:val="24"/>
        </w:rPr>
        <w:t>15. 评标争议事项处理。</w:t>
      </w:r>
      <w:r>
        <w:rPr>
          <w:rFonts w:hint="eastAsia" w:ascii="仿宋" w:hAnsi="仿宋" w:eastAsia="仿宋" w:cs="仿宋"/>
          <w:sz w:val="24"/>
        </w:rPr>
        <w:t>评标委员会成员对需要共同认定的事项存在争议的，应当按照少数服从多数的原则作出结论。持不同意见的评标委员会成员应当在评标报告上签署不同意见及理由，否则视为同意评标报告。</w:t>
      </w:r>
    </w:p>
    <w:p>
      <w:pPr>
        <w:spacing w:before="100" w:beforeAutospacing="1" w:after="100" w:afterAutospacing="1" w:line="360" w:lineRule="auto"/>
        <w:jc w:val="center"/>
        <w:rPr>
          <w:rFonts w:ascii="仿宋" w:hAnsi="仿宋" w:eastAsia="仿宋" w:cs="仿宋"/>
          <w:b/>
          <w:sz w:val="28"/>
          <w:szCs w:val="28"/>
        </w:rPr>
      </w:pPr>
      <w:r>
        <w:rPr>
          <w:rFonts w:hint="eastAsia" w:ascii="仿宋" w:hAnsi="仿宋" w:eastAsia="仿宋" w:cs="仿宋"/>
          <w:b/>
          <w:sz w:val="28"/>
          <w:szCs w:val="28"/>
        </w:rPr>
        <w:t>六、 废标</w:t>
      </w:r>
    </w:p>
    <w:p>
      <w:pPr>
        <w:pStyle w:val="9"/>
        <w:snapToGrid w:val="0"/>
        <w:spacing w:line="360" w:lineRule="auto"/>
        <w:ind w:firstLine="482"/>
        <w:rPr>
          <w:rFonts w:ascii="仿宋" w:hAnsi="仿宋" w:eastAsia="仿宋" w:cs="仿宋"/>
          <w:sz w:val="24"/>
        </w:rPr>
      </w:pPr>
      <w:r>
        <w:rPr>
          <w:rFonts w:hint="eastAsia" w:ascii="仿宋" w:hAnsi="仿宋" w:eastAsia="仿宋" w:cs="仿宋"/>
          <w:b/>
          <w:sz w:val="24"/>
        </w:rPr>
        <w:t>16.废标。</w:t>
      </w:r>
      <w:r>
        <w:rPr>
          <w:rFonts w:hint="eastAsia" w:ascii="仿宋" w:hAnsi="仿宋" w:eastAsia="仿宋" w:cs="仿宋"/>
          <w:sz w:val="24"/>
        </w:rPr>
        <w:t>根据《中华人民共和国政府采购法》第三十六条之规定，在采购中，出现下列情形之一的，应予废标：</w:t>
      </w:r>
    </w:p>
    <w:p>
      <w:pPr>
        <w:pStyle w:val="9"/>
        <w:snapToGrid w:val="0"/>
        <w:spacing w:line="360" w:lineRule="auto"/>
        <w:ind w:firstLine="480"/>
        <w:rPr>
          <w:rFonts w:ascii="仿宋" w:hAnsi="仿宋" w:eastAsia="仿宋" w:cs="仿宋"/>
          <w:sz w:val="24"/>
        </w:rPr>
      </w:pPr>
      <w:r>
        <w:rPr>
          <w:rFonts w:hint="eastAsia" w:ascii="仿宋" w:hAnsi="仿宋" w:eastAsia="仿宋" w:cs="仿宋"/>
          <w:sz w:val="24"/>
        </w:rPr>
        <w:t>16.1符合专业条件的供应商或者对招标文件作实质响应的供应商不足3家的；</w:t>
      </w:r>
    </w:p>
    <w:p>
      <w:pPr>
        <w:pStyle w:val="9"/>
        <w:snapToGrid w:val="0"/>
        <w:spacing w:line="360" w:lineRule="auto"/>
        <w:ind w:firstLine="480"/>
        <w:rPr>
          <w:rFonts w:ascii="仿宋" w:hAnsi="仿宋" w:eastAsia="仿宋" w:cs="仿宋"/>
          <w:sz w:val="24"/>
        </w:rPr>
      </w:pPr>
      <w:r>
        <w:rPr>
          <w:rFonts w:hint="eastAsia" w:ascii="仿宋" w:hAnsi="仿宋" w:eastAsia="仿宋" w:cs="仿宋"/>
          <w:sz w:val="24"/>
        </w:rPr>
        <w:t>16.2出现影响采购公正的违法、违规行为的；</w:t>
      </w:r>
    </w:p>
    <w:p>
      <w:pPr>
        <w:pStyle w:val="9"/>
        <w:snapToGrid w:val="0"/>
        <w:spacing w:line="360" w:lineRule="auto"/>
        <w:ind w:firstLine="480"/>
        <w:rPr>
          <w:rFonts w:ascii="仿宋" w:hAnsi="仿宋" w:eastAsia="仿宋" w:cs="仿宋"/>
          <w:sz w:val="24"/>
        </w:rPr>
      </w:pPr>
      <w:r>
        <w:rPr>
          <w:rFonts w:hint="eastAsia" w:ascii="仿宋" w:hAnsi="仿宋" w:eastAsia="仿宋" w:cs="仿宋"/>
          <w:sz w:val="24"/>
        </w:rPr>
        <w:t>16.3投标人的报价均超过了最高限价，采购人不能支付的；</w:t>
      </w:r>
    </w:p>
    <w:p>
      <w:pPr>
        <w:pStyle w:val="9"/>
        <w:snapToGrid w:val="0"/>
        <w:spacing w:line="360" w:lineRule="auto"/>
        <w:ind w:firstLine="480"/>
        <w:rPr>
          <w:rFonts w:ascii="仿宋" w:hAnsi="仿宋" w:eastAsia="仿宋" w:cs="仿宋"/>
          <w:sz w:val="24"/>
        </w:rPr>
      </w:pPr>
      <w:r>
        <w:rPr>
          <w:rFonts w:hint="eastAsia" w:ascii="仿宋" w:hAnsi="仿宋" w:eastAsia="仿宋" w:cs="仿宋"/>
          <w:sz w:val="24"/>
        </w:rPr>
        <w:t>16.4因重大变故，采购任务取消的。</w:t>
      </w:r>
    </w:p>
    <w:p>
      <w:pPr>
        <w:pStyle w:val="9"/>
        <w:snapToGrid w:val="0"/>
        <w:spacing w:line="360" w:lineRule="auto"/>
        <w:ind w:firstLine="480"/>
        <w:rPr>
          <w:rFonts w:ascii="仿宋" w:hAnsi="仿宋" w:eastAsia="仿宋" w:cs="仿宋"/>
          <w:sz w:val="24"/>
        </w:rPr>
      </w:pPr>
      <w:r>
        <w:rPr>
          <w:rFonts w:hint="eastAsia" w:ascii="仿宋" w:hAnsi="仿宋" w:eastAsia="仿宋" w:cs="仿宋"/>
          <w:sz w:val="24"/>
        </w:rPr>
        <w:t>废标后，采购机构应当将废标理由通知所有投标人。</w:t>
      </w:r>
    </w:p>
    <w:p>
      <w:pPr>
        <w:pStyle w:val="9"/>
        <w:snapToGrid w:val="0"/>
        <w:spacing w:line="360" w:lineRule="auto"/>
        <w:rPr>
          <w:rFonts w:ascii="仿宋" w:hAnsi="仿宋" w:eastAsia="仿宋" w:cs="仿宋"/>
          <w:szCs w:val="28"/>
        </w:rPr>
      </w:pPr>
    </w:p>
    <w:p>
      <w:pPr>
        <w:snapToGrid w:val="0"/>
        <w:spacing w:line="360" w:lineRule="auto"/>
        <w:ind w:left="120" w:leftChars="57" w:firstLine="422" w:firstLineChars="150"/>
        <w:jc w:val="center"/>
        <w:rPr>
          <w:rFonts w:ascii="仿宋" w:hAnsi="仿宋" w:eastAsia="仿宋" w:cs="仿宋"/>
          <w:b/>
          <w:sz w:val="28"/>
          <w:szCs w:val="28"/>
        </w:rPr>
      </w:pPr>
      <w:r>
        <w:rPr>
          <w:rFonts w:hint="eastAsia" w:ascii="仿宋" w:hAnsi="仿宋" w:eastAsia="仿宋" w:cs="仿宋"/>
          <w:b/>
          <w:sz w:val="28"/>
          <w:szCs w:val="28"/>
        </w:rPr>
        <w:t>七、 重新组织采购</w:t>
      </w:r>
    </w:p>
    <w:p>
      <w:pPr>
        <w:pStyle w:val="9"/>
        <w:snapToGrid w:val="0"/>
        <w:spacing w:line="360" w:lineRule="auto"/>
        <w:ind w:firstLine="482"/>
        <w:rPr>
          <w:rFonts w:ascii="仿宋" w:hAnsi="仿宋" w:eastAsia="仿宋" w:cs="仿宋"/>
          <w:sz w:val="24"/>
        </w:rPr>
      </w:pPr>
      <w:r>
        <w:rPr>
          <w:rFonts w:hint="eastAsia" w:ascii="仿宋" w:hAnsi="仿宋" w:eastAsia="仿宋" w:cs="仿宋"/>
          <w:b/>
          <w:sz w:val="24"/>
        </w:rPr>
        <w:t>17.修改招标文件，重新组织采购活动。</w:t>
      </w:r>
      <w:r>
        <w:rPr>
          <w:rFonts w:hint="eastAsia" w:ascii="仿宋" w:hAnsi="仿宋" w:eastAsia="仿宋" w:cs="仿宋"/>
          <w:sz w:val="24"/>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9"/>
        <w:snapToGrid w:val="0"/>
        <w:spacing w:line="360" w:lineRule="auto"/>
        <w:ind w:firstLine="482"/>
        <w:rPr>
          <w:rFonts w:ascii="仿宋" w:hAnsi="仿宋" w:eastAsia="仿宋" w:cs="仿宋"/>
          <w:sz w:val="24"/>
        </w:rPr>
      </w:pPr>
      <w:r>
        <w:rPr>
          <w:rFonts w:hint="eastAsia" w:ascii="仿宋" w:hAnsi="仿宋" w:eastAsia="仿宋" w:cs="仿宋"/>
          <w:b/>
          <w:bCs/>
          <w:sz w:val="24"/>
        </w:rPr>
        <w:t>18.重新开展采购。</w:t>
      </w:r>
      <w:r>
        <w:rPr>
          <w:rFonts w:hint="eastAsia" w:ascii="仿宋" w:hAnsi="仿宋" w:eastAsia="仿宋" w:cs="仿宋"/>
          <w:sz w:val="24"/>
        </w:rPr>
        <w:t>有政府采购法第七十一条、第七十二条规定的违法行为之一，影响或者可能影响中标、成交结果的，依照下列规定处理：</w:t>
      </w:r>
    </w:p>
    <w:p>
      <w:pPr>
        <w:pStyle w:val="9"/>
        <w:snapToGrid w:val="0"/>
        <w:spacing w:line="360" w:lineRule="auto"/>
        <w:ind w:firstLine="480"/>
        <w:rPr>
          <w:rFonts w:ascii="仿宋" w:hAnsi="仿宋" w:eastAsia="仿宋" w:cs="仿宋"/>
          <w:sz w:val="24"/>
        </w:rPr>
      </w:pPr>
      <w:r>
        <w:rPr>
          <w:rFonts w:hint="eastAsia" w:ascii="仿宋" w:hAnsi="仿宋" w:eastAsia="仿宋" w:cs="仿宋"/>
          <w:sz w:val="24"/>
        </w:rPr>
        <w:t>18.1未确定中标或者成交供应商的，终止本次政府采购活动，重新开展政府采购活动。</w:t>
      </w:r>
    </w:p>
    <w:p>
      <w:pPr>
        <w:pStyle w:val="9"/>
        <w:snapToGrid w:val="0"/>
        <w:spacing w:line="360" w:lineRule="auto"/>
        <w:ind w:firstLine="480"/>
        <w:rPr>
          <w:rFonts w:ascii="仿宋" w:hAnsi="仿宋" w:eastAsia="仿宋" w:cs="仿宋"/>
          <w:sz w:val="24"/>
        </w:rPr>
      </w:pPr>
      <w:r>
        <w:rPr>
          <w:rFonts w:hint="eastAsia" w:ascii="仿宋" w:hAnsi="仿宋" w:eastAsia="仿宋" w:cs="仿宋"/>
          <w:sz w:val="24"/>
        </w:rPr>
        <w:t>18.2已确定中标或者成交供应商但尚未签订政府采购合同的，中标或者成交结果无效，从合格的中标或者成交候选人中另行确定中标或者成交供应商；没有合格的中标或者成交候选人的，重新开展政府采购活动。</w:t>
      </w:r>
    </w:p>
    <w:p>
      <w:pPr>
        <w:pStyle w:val="9"/>
        <w:snapToGrid w:val="0"/>
        <w:spacing w:line="360" w:lineRule="auto"/>
        <w:ind w:firstLine="480"/>
        <w:rPr>
          <w:rFonts w:ascii="仿宋" w:hAnsi="仿宋" w:eastAsia="仿宋" w:cs="仿宋"/>
          <w:sz w:val="24"/>
        </w:rPr>
      </w:pPr>
      <w:r>
        <w:rPr>
          <w:rFonts w:hint="eastAsia" w:ascii="仿宋" w:hAnsi="仿宋" w:eastAsia="仿宋" w:cs="仿宋"/>
          <w:sz w:val="24"/>
        </w:rPr>
        <w:t>18.3政府采购合同已签订但尚未履行的，撤销合同，从合格的中标或者成交候选人中另行确定中标或者成交供应商；没有合格的中标或者成交候选人的，重新开展政府采购活动。</w:t>
      </w:r>
    </w:p>
    <w:p>
      <w:pPr>
        <w:pStyle w:val="9"/>
        <w:snapToGrid w:val="0"/>
        <w:spacing w:line="360" w:lineRule="auto"/>
        <w:ind w:firstLine="480"/>
        <w:rPr>
          <w:rFonts w:ascii="仿宋" w:hAnsi="仿宋" w:eastAsia="仿宋" w:cs="仿宋"/>
          <w:sz w:val="24"/>
        </w:rPr>
      </w:pPr>
      <w:r>
        <w:rPr>
          <w:rFonts w:hint="eastAsia" w:ascii="仿宋" w:hAnsi="仿宋" w:eastAsia="仿宋" w:cs="仿宋"/>
          <w:sz w:val="24"/>
        </w:rPr>
        <w:t>18.4政府采购合同已经履行，给采购人、供应商造成损失的，由责任人承担赔偿责任。</w:t>
      </w:r>
    </w:p>
    <w:p>
      <w:pPr>
        <w:pStyle w:val="9"/>
        <w:snapToGrid w:val="0"/>
        <w:spacing w:line="360" w:lineRule="auto"/>
        <w:ind w:firstLine="480"/>
        <w:rPr>
          <w:rFonts w:ascii="仿宋" w:hAnsi="仿宋" w:eastAsia="仿宋" w:cs="仿宋"/>
          <w:sz w:val="24"/>
        </w:rPr>
      </w:pPr>
      <w:r>
        <w:rPr>
          <w:rFonts w:hint="eastAsia" w:ascii="仿宋" w:hAnsi="仿宋" w:eastAsia="仿宋" w:cs="仿宋"/>
          <w:sz w:val="24"/>
        </w:rPr>
        <w:t>18.5政府采购当事人有其他违反政府采购法或者本条例规定的行为，经改正后仍然影响或者可能影响中标、成交结果或者依法被认定为中标、成交无效的，依照18.1-18.4规定处理。</w:t>
      </w:r>
    </w:p>
    <w:p>
      <w:pPr>
        <w:snapToGrid w:val="0"/>
        <w:spacing w:line="360" w:lineRule="auto"/>
        <w:ind w:left="120" w:leftChars="57" w:firstLine="422" w:firstLineChars="150"/>
        <w:jc w:val="center"/>
        <w:rPr>
          <w:rFonts w:ascii="仿宋" w:hAnsi="仿宋" w:eastAsia="仿宋" w:cs="仿宋"/>
          <w:b/>
          <w:sz w:val="28"/>
          <w:szCs w:val="28"/>
        </w:rPr>
      </w:pPr>
      <w:r>
        <w:rPr>
          <w:rFonts w:hint="eastAsia" w:ascii="仿宋" w:hAnsi="仿宋" w:eastAsia="仿宋" w:cs="仿宋"/>
          <w:b/>
          <w:sz w:val="28"/>
          <w:szCs w:val="28"/>
        </w:rPr>
        <w:t>八、评审过程的保密与录像</w:t>
      </w:r>
    </w:p>
    <w:p>
      <w:pPr>
        <w:spacing w:line="360" w:lineRule="auto"/>
        <w:ind w:firstLine="482" w:firstLineChars="200"/>
        <w:rPr>
          <w:rFonts w:ascii="仿宋" w:hAnsi="仿宋" w:eastAsia="仿宋" w:cs="仿宋"/>
          <w:sz w:val="24"/>
        </w:rPr>
      </w:pPr>
      <w:r>
        <w:rPr>
          <w:rFonts w:hint="eastAsia" w:ascii="仿宋" w:hAnsi="仿宋" w:eastAsia="仿宋" w:cs="仿宋"/>
          <w:b/>
          <w:sz w:val="24"/>
        </w:rPr>
        <w:t>19.保密。</w:t>
      </w:r>
      <w:r>
        <w:rPr>
          <w:rFonts w:hint="eastAsia" w:ascii="仿宋" w:hAnsi="仿宋" w:eastAsia="仿宋" w:cs="仿宋"/>
          <w:sz w:val="24"/>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spacing w:line="360" w:lineRule="auto"/>
        <w:ind w:firstLine="482" w:firstLineChars="200"/>
        <w:rPr>
          <w:rFonts w:ascii="仿宋" w:hAnsi="仿宋" w:eastAsia="仿宋" w:cs="仿宋"/>
          <w:sz w:val="24"/>
        </w:rPr>
      </w:pPr>
      <w:r>
        <w:rPr>
          <w:rFonts w:hint="eastAsia" w:ascii="仿宋" w:hAnsi="仿宋" w:eastAsia="仿宋" w:cs="仿宋"/>
          <w:b/>
          <w:sz w:val="24"/>
        </w:rPr>
        <w:t>20.录音录像。</w:t>
      </w:r>
      <w:r>
        <w:rPr>
          <w:rFonts w:hint="eastAsia" w:ascii="仿宋" w:hAnsi="仿宋" w:eastAsia="仿宋" w:cs="仿宋"/>
          <w:sz w:val="24"/>
        </w:rPr>
        <w:t>采购机构对评审工作现场进行全过程录音录像，录音录像资料作为采购项目文件随其他文件一并存档。</w:t>
      </w:r>
    </w:p>
    <w:p>
      <w:pPr>
        <w:snapToGrid w:val="0"/>
        <w:spacing w:line="360" w:lineRule="auto"/>
        <w:ind w:left="120" w:leftChars="57" w:firstLine="361" w:firstLineChars="150"/>
        <w:jc w:val="center"/>
        <w:rPr>
          <w:rFonts w:ascii="仿宋" w:hAnsi="仿宋" w:eastAsia="仿宋" w:cs="仿宋"/>
          <w:b/>
          <w:sz w:val="24"/>
        </w:rPr>
      </w:pPr>
    </w:p>
    <w:p>
      <w:pPr>
        <w:snapToGrid w:val="0"/>
        <w:spacing w:line="360" w:lineRule="auto"/>
        <w:ind w:left="120" w:leftChars="57" w:firstLine="422" w:firstLineChars="150"/>
        <w:jc w:val="center"/>
        <w:rPr>
          <w:rFonts w:ascii="仿宋" w:hAnsi="仿宋" w:eastAsia="仿宋" w:cs="仿宋"/>
          <w:b/>
          <w:sz w:val="28"/>
          <w:szCs w:val="28"/>
        </w:rPr>
      </w:pPr>
    </w:p>
    <w:p>
      <w:pPr>
        <w:snapToGrid w:val="0"/>
        <w:spacing w:line="360" w:lineRule="auto"/>
        <w:ind w:left="120" w:leftChars="57" w:firstLine="422" w:firstLineChars="150"/>
        <w:jc w:val="center"/>
        <w:rPr>
          <w:rFonts w:ascii="仿宋" w:hAnsi="仿宋" w:eastAsia="仿宋" w:cs="仿宋"/>
          <w:b/>
          <w:sz w:val="28"/>
          <w:szCs w:val="28"/>
        </w:rPr>
      </w:pPr>
      <w:r>
        <w:rPr>
          <w:rFonts w:hint="eastAsia" w:ascii="仿宋" w:hAnsi="仿宋" w:eastAsia="仿宋" w:cs="仿宋"/>
          <w:b/>
          <w:sz w:val="28"/>
          <w:szCs w:val="28"/>
        </w:rPr>
        <w:t>九、具体评标标准</w:t>
      </w:r>
    </w:p>
    <w:p>
      <w:pPr>
        <w:autoSpaceDE w:val="0"/>
        <w:autoSpaceDN w:val="0"/>
        <w:spacing w:line="360" w:lineRule="auto"/>
        <w:ind w:firstLine="482" w:firstLineChars="200"/>
        <w:rPr>
          <w:rFonts w:ascii="仿宋" w:hAnsi="仿宋" w:eastAsia="仿宋" w:cs="仿宋"/>
          <w:bCs/>
          <w:sz w:val="24"/>
        </w:rPr>
      </w:pPr>
      <w:r>
        <w:rPr>
          <w:rFonts w:hint="eastAsia" w:ascii="仿宋" w:hAnsi="仿宋" w:eastAsia="仿宋" w:cs="仿宋"/>
          <w:b/>
          <w:sz w:val="24"/>
        </w:rPr>
        <w:t>1、本项目采用综合评分法</w:t>
      </w:r>
      <w:r>
        <w:rPr>
          <w:rFonts w:hint="eastAsia" w:ascii="仿宋" w:hAnsi="仿宋" w:eastAsia="仿宋" w:cs="仿宋"/>
          <w:sz w:val="24"/>
        </w:rPr>
        <w:t>，评标委员会将对各投标人的投标报价、投标人提供的资信与商务部分、技术部分等方面进行综合评审，评标委员会各成员应当独立对每个有效投标人的投标文件进行评价、打分。经统计，得出各投标人的最终评审分,按最终评审分由高到低顺序排列。得分相同的，按投标报</w:t>
      </w:r>
      <w:r>
        <w:rPr>
          <w:rFonts w:hint="eastAsia" w:ascii="仿宋" w:hAnsi="仿宋" w:eastAsia="仿宋" w:cs="仿宋"/>
          <w:bCs/>
          <w:sz w:val="24"/>
        </w:rPr>
        <w:t xml:space="preserve">价由低到高顺序排列。得分且投标报价相同的，按技术指标优劣顺序排列，并形成评标意见。 </w:t>
      </w:r>
    </w:p>
    <w:p>
      <w:pPr>
        <w:spacing w:line="360" w:lineRule="auto"/>
        <w:ind w:left="105" w:leftChars="50" w:firstLine="427" w:firstLineChars="178"/>
        <w:rPr>
          <w:rFonts w:ascii="仿宋" w:hAnsi="仿宋" w:eastAsia="仿宋" w:cs="仿宋"/>
          <w:bCs/>
          <w:sz w:val="24"/>
        </w:rPr>
      </w:pPr>
      <w:r>
        <w:rPr>
          <w:rFonts w:hint="eastAsia" w:ascii="仿宋" w:hAnsi="仿宋" w:eastAsia="仿宋" w:cs="仿宋"/>
          <w:sz w:val="24"/>
        </w:rPr>
        <w:t>各投标人的综合得分为：投标价格得分+</w:t>
      </w:r>
      <w:r>
        <w:rPr>
          <w:rFonts w:hint="eastAsia" w:ascii="仿宋" w:hAnsi="仿宋" w:eastAsia="仿宋" w:cs="仿宋"/>
          <w:bCs/>
          <w:sz w:val="24"/>
        </w:rPr>
        <w:t>技术部分</w:t>
      </w:r>
      <w:r>
        <w:rPr>
          <w:rFonts w:hint="eastAsia" w:ascii="仿宋" w:hAnsi="仿宋" w:eastAsia="仿宋" w:cs="仿宋"/>
          <w:sz w:val="24"/>
        </w:rPr>
        <w:t>得分+资信与商务部分得分之和，总和为</w:t>
      </w:r>
      <w:r>
        <w:rPr>
          <w:rFonts w:hint="eastAsia" w:ascii="仿宋" w:hAnsi="仿宋" w:eastAsia="仿宋" w:cs="仿宋"/>
          <w:sz w:val="24"/>
          <w:u w:val="single"/>
        </w:rPr>
        <w:t>100</w:t>
      </w:r>
      <w:r>
        <w:rPr>
          <w:rFonts w:hint="eastAsia" w:ascii="仿宋" w:hAnsi="仿宋" w:eastAsia="仿宋" w:cs="仿宋"/>
          <w:sz w:val="24"/>
        </w:rPr>
        <w:t>分，其中：投标价格得分</w:t>
      </w:r>
      <w:r>
        <w:rPr>
          <w:rFonts w:hint="eastAsia" w:ascii="仿宋" w:hAnsi="仿宋" w:eastAsia="仿宋" w:cs="仿宋"/>
          <w:sz w:val="24"/>
          <w:u w:val="single"/>
        </w:rPr>
        <w:t xml:space="preserve">10 </w:t>
      </w:r>
      <w:r>
        <w:rPr>
          <w:rFonts w:hint="eastAsia" w:ascii="仿宋" w:hAnsi="仿宋" w:eastAsia="仿宋" w:cs="仿宋"/>
          <w:sz w:val="24"/>
        </w:rPr>
        <w:t>分，</w:t>
      </w:r>
      <w:r>
        <w:rPr>
          <w:rFonts w:hint="eastAsia" w:ascii="仿宋" w:hAnsi="仿宋" w:eastAsia="仿宋" w:cs="仿宋"/>
          <w:bCs/>
          <w:sz w:val="24"/>
        </w:rPr>
        <w:t>技术和资信与商务得分</w:t>
      </w:r>
      <w:r>
        <w:rPr>
          <w:rFonts w:hint="eastAsia" w:ascii="仿宋" w:hAnsi="仿宋" w:eastAsia="仿宋" w:cs="仿宋"/>
          <w:sz w:val="24"/>
          <w:u w:val="single"/>
        </w:rPr>
        <w:t xml:space="preserve"> 90</w:t>
      </w:r>
      <w:r>
        <w:rPr>
          <w:rFonts w:hint="eastAsia" w:ascii="仿宋" w:hAnsi="仿宋" w:eastAsia="仿宋" w:cs="仿宋"/>
          <w:sz w:val="24"/>
        </w:rPr>
        <w:t>分。</w:t>
      </w:r>
    </w:p>
    <w:p>
      <w:pPr>
        <w:spacing w:beforeLines="50" w:afterLines="50" w:line="360" w:lineRule="auto"/>
        <w:ind w:firstLine="420"/>
        <w:rPr>
          <w:rFonts w:ascii="仿宋" w:hAnsi="仿宋" w:eastAsia="仿宋" w:cs="仿宋"/>
          <w:sz w:val="24"/>
        </w:rPr>
      </w:pPr>
      <w:r>
        <w:rPr>
          <w:rFonts w:hint="eastAsia" w:ascii="仿宋" w:hAnsi="仿宋" w:eastAsia="仿宋" w:cs="仿宋"/>
          <w:b/>
          <w:bCs/>
        </w:rPr>
        <w:t>2、</w:t>
      </w:r>
      <w:r>
        <w:rPr>
          <w:rFonts w:hint="eastAsia" w:ascii="仿宋" w:hAnsi="仿宋" w:eastAsia="仿宋" w:cs="仿宋"/>
          <w:b/>
          <w:sz w:val="24"/>
        </w:rPr>
        <w:t>各投标人的技术和服务方案、投标人资信与商务部分得分为：评标委员会各成员评分的算术平均值。各投标人的投标价格得分按投标价格评分公式由采购机构计算，评标委员会审核。</w:t>
      </w:r>
    </w:p>
    <w:p>
      <w:pPr>
        <w:pStyle w:val="11"/>
        <w:numPr>
          <w:ilvl w:val="0"/>
          <w:numId w:val="6"/>
        </w:numPr>
        <w:snapToGrid w:val="0"/>
        <w:spacing w:line="360" w:lineRule="auto"/>
        <w:ind w:firstLine="482" w:firstLineChars="200"/>
        <w:rPr>
          <w:rFonts w:ascii="仿宋" w:hAnsi="仿宋" w:eastAsia="仿宋" w:cs="仿宋"/>
          <w:b/>
          <w:sz w:val="24"/>
          <w:szCs w:val="24"/>
          <w:lang w:val="zh-CN"/>
        </w:rPr>
      </w:pPr>
      <w:r>
        <w:rPr>
          <w:rFonts w:hint="eastAsia" w:ascii="仿宋" w:hAnsi="仿宋" w:eastAsia="仿宋" w:cs="仿宋"/>
          <w:b/>
          <w:sz w:val="24"/>
          <w:szCs w:val="24"/>
          <w:lang w:val="zh-CN"/>
        </w:rPr>
        <w:t>评审内容及标准</w:t>
      </w:r>
      <w:bookmarkStart w:id="21" w:name="评分标准"/>
      <w:bookmarkEnd w:id="21"/>
    </w:p>
    <w:p>
      <w:pPr>
        <w:snapToGrid w:val="0"/>
        <w:spacing w:line="360" w:lineRule="auto"/>
        <w:ind w:firstLine="482" w:firstLineChars="200"/>
        <w:rPr>
          <w:rStyle w:val="30"/>
        </w:rPr>
      </w:pPr>
      <w:r>
        <w:rPr>
          <w:rStyle w:val="30"/>
          <w:rFonts w:ascii="宋体" w:hAnsi="宋体" w:cs="宋体"/>
          <w:b/>
          <w:bCs/>
          <w:sz w:val="24"/>
        </w:rPr>
        <w:t xml:space="preserve">▲ 资信技术方案（B= </w:t>
      </w:r>
      <w:r>
        <w:rPr>
          <w:rStyle w:val="30"/>
          <w:rFonts w:hint="eastAsia" w:ascii="宋体" w:hAnsi="宋体" w:cs="宋体"/>
          <w:b/>
          <w:bCs/>
          <w:sz w:val="24"/>
        </w:rPr>
        <w:t>90</w:t>
      </w:r>
      <w:r>
        <w:rPr>
          <w:rStyle w:val="30"/>
          <w:rFonts w:ascii="宋体" w:hAnsi="宋体" w:cs="宋体"/>
          <w:b/>
          <w:bCs/>
          <w:sz w:val="24"/>
        </w:rPr>
        <w:t>分）：</w:t>
      </w:r>
    </w:p>
    <w:tbl>
      <w:tblPr>
        <w:tblStyle w:val="19"/>
        <w:tblW w:w="5416" w:type="pct"/>
        <w:jc w:val="center"/>
        <w:tblLayout w:type="fixed"/>
        <w:tblCellMar>
          <w:top w:w="0" w:type="dxa"/>
          <w:left w:w="108" w:type="dxa"/>
          <w:bottom w:w="0" w:type="dxa"/>
          <w:right w:w="108" w:type="dxa"/>
        </w:tblCellMar>
      </w:tblPr>
      <w:tblGrid>
        <w:gridCol w:w="1924"/>
        <w:gridCol w:w="1116"/>
        <w:gridCol w:w="7019"/>
      </w:tblGrid>
      <w:tr>
        <w:tblPrEx>
          <w:tblCellMar>
            <w:top w:w="0" w:type="dxa"/>
            <w:left w:w="108" w:type="dxa"/>
            <w:bottom w:w="0" w:type="dxa"/>
            <w:right w:w="108" w:type="dxa"/>
          </w:tblCellMar>
        </w:tblPrEx>
        <w:trPr>
          <w:trHeight w:val="1905" w:hRule="atLeast"/>
          <w:jc w:val="center"/>
        </w:trPr>
        <w:tc>
          <w:tcPr>
            <w:tcW w:w="956"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pStyle w:val="63"/>
              <w:rPr>
                <w:rFonts w:hint="default" w:ascii="宋体" w:hAnsi="宋体"/>
                <w:szCs w:val="21"/>
              </w:rPr>
            </w:pPr>
            <w:r>
              <w:rPr>
                <w:rFonts w:ascii="宋体" w:hAnsi="宋体"/>
                <w:szCs w:val="21"/>
              </w:rPr>
              <w:t>企业综合实力（20分）</w:t>
            </w: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3"/>
              <w:rPr>
                <w:rFonts w:hint="default" w:ascii="宋体" w:hAnsi="宋体"/>
                <w:szCs w:val="21"/>
              </w:rPr>
            </w:pPr>
            <w:r>
              <w:rPr>
                <w:rFonts w:ascii="宋体" w:hAnsi="宋体"/>
                <w:szCs w:val="21"/>
              </w:rPr>
              <w:t>4</w:t>
            </w:r>
          </w:p>
        </w:tc>
        <w:tc>
          <w:tcPr>
            <w:tcW w:w="3488"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63"/>
              <w:jc w:val="left"/>
              <w:rPr>
                <w:rFonts w:hint="default" w:ascii="宋体" w:hAnsi="宋体"/>
                <w:szCs w:val="21"/>
              </w:rPr>
            </w:pPr>
            <w:r>
              <w:rPr>
                <w:rFonts w:ascii="宋体" w:hAnsi="宋体"/>
                <w:szCs w:val="21"/>
              </w:rPr>
              <w:t>体系认证（4分）</w:t>
            </w:r>
            <w:r>
              <w:rPr>
                <w:rFonts w:ascii="宋体" w:hAnsi="宋体"/>
                <w:szCs w:val="21"/>
              </w:rPr>
              <w:tab/>
            </w:r>
          </w:p>
          <w:p>
            <w:pPr>
              <w:pStyle w:val="63"/>
              <w:jc w:val="left"/>
              <w:rPr>
                <w:rFonts w:hint="default" w:ascii="宋体" w:hAnsi="宋体"/>
                <w:szCs w:val="21"/>
              </w:rPr>
            </w:pPr>
            <w:r>
              <w:rPr>
                <w:rFonts w:ascii="宋体" w:hAnsi="宋体"/>
                <w:szCs w:val="21"/>
              </w:rPr>
              <w:t>投标人具有IS09001质量体系认证得1分；</w:t>
            </w:r>
          </w:p>
          <w:p>
            <w:pPr>
              <w:pStyle w:val="63"/>
              <w:jc w:val="left"/>
              <w:rPr>
                <w:rFonts w:hint="default" w:ascii="宋体" w:hAnsi="宋体"/>
                <w:szCs w:val="21"/>
              </w:rPr>
            </w:pPr>
            <w:r>
              <w:rPr>
                <w:rFonts w:ascii="宋体" w:hAnsi="宋体"/>
                <w:szCs w:val="21"/>
              </w:rPr>
              <w:t>投标人具有IS014001环境管理体系认证得1分；</w:t>
            </w:r>
          </w:p>
          <w:p>
            <w:pPr>
              <w:pStyle w:val="63"/>
              <w:jc w:val="left"/>
              <w:rPr>
                <w:rFonts w:hint="default" w:ascii="宋体" w:hAnsi="宋体"/>
                <w:szCs w:val="21"/>
              </w:rPr>
            </w:pPr>
            <w:r>
              <w:rPr>
                <w:rFonts w:ascii="宋体" w:hAnsi="宋体"/>
                <w:szCs w:val="21"/>
              </w:rPr>
              <w:t>投标人具有0HSAS18001或IS045001职业健康安全管理体系认证得1分；</w:t>
            </w:r>
          </w:p>
          <w:p>
            <w:pPr>
              <w:pStyle w:val="63"/>
              <w:jc w:val="left"/>
              <w:rPr>
                <w:rFonts w:hint="default" w:ascii="宋体" w:hAnsi="宋体"/>
                <w:szCs w:val="21"/>
              </w:rPr>
            </w:pPr>
            <w:r>
              <w:rPr>
                <w:rFonts w:ascii="宋体" w:hAnsi="宋体"/>
                <w:szCs w:val="21"/>
              </w:rPr>
              <w:t>投标人具有社会责任管理体系认证得1分。</w:t>
            </w:r>
          </w:p>
          <w:p>
            <w:pPr>
              <w:pStyle w:val="63"/>
              <w:jc w:val="left"/>
              <w:rPr>
                <w:rFonts w:hint="default" w:ascii="宋体" w:hAnsi="宋体"/>
                <w:szCs w:val="21"/>
              </w:rPr>
            </w:pPr>
            <w:r>
              <w:rPr>
                <w:rFonts w:ascii="宋体" w:hAnsi="宋体"/>
                <w:b/>
                <w:bCs/>
                <w:szCs w:val="21"/>
              </w:rPr>
              <w:t>（须提供有效期内证书复印件，不提供不得分。）</w:t>
            </w:r>
          </w:p>
        </w:tc>
      </w:tr>
      <w:tr>
        <w:tblPrEx>
          <w:tblCellMar>
            <w:top w:w="0" w:type="dxa"/>
            <w:left w:w="108" w:type="dxa"/>
            <w:bottom w:w="0" w:type="dxa"/>
            <w:right w:w="108" w:type="dxa"/>
          </w:tblCellMar>
        </w:tblPrEx>
        <w:trPr>
          <w:trHeight w:val="1636" w:hRule="atLeast"/>
          <w:jc w:val="center"/>
        </w:trPr>
        <w:tc>
          <w:tcPr>
            <w:tcW w:w="956"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pPr>
              <w:pStyle w:val="63"/>
              <w:rPr>
                <w:rFonts w:hint="default" w:ascii="宋体" w:hAnsi="宋体"/>
                <w:szCs w:val="21"/>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3"/>
              <w:rPr>
                <w:rFonts w:hint="default" w:ascii="宋体" w:hAnsi="宋体"/>
                <w:szCs w:val="21"/>
              </w:rPr>
            </w:pPr>
            <w:r>
              <w:rPr>
                <w:rFonts w:ascii="宋体" w:hAnsi="宋体"/>
                <w:szCs w:val="21"/>
              </w:rPr>
              <w:t>5</w:t>
            </w:r>
          </w:p>
        </w:tc>
        <w:tc>
          <w:tcPr>
            <w:tcW w:w="3488"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63"/>
              <w:jc w:val="left"/>
              <w:rPr>
                <w:rFonts w:hint="default" w:ascii="宋体" w:hAnsi="宋体"/>
                <w:szCs w:val="21"/>
              </w:rPr>
            </w:pPr>
            <w:r>
              <w:rPr>
                <w:rFonts w:ascii="宋体" w:hAnsi="宋体"/>
                <w:szCs w:val="21"/>
              </w:rPr>
              <w:t>企业荣誉（5分）</w:t>
            </w:r>
          </w:p>
          <w:p>
            <w:pPr>
              <w:pStyle w:val="63"/>
              <w:jc w:val="left"/>
              <w:rPr>
                <w:rFonts w:hint="default" w:ascii="宋体" w:hAnsi="宋体"/>
                <w:szCs w:val="21"/>
              </w:rPr>
            </w:pPr>
            <w:r>
              <w:rPr>
                <w:rFonts w:ascii="宋体" w:hAnsi="宋体"/>
                <w:szCs w:val="21"/>
              </w:rPr>
              <w:t>1、投标人自2019年1月1日以来获得区县及以上人民政府颁发的荣誉或奖项的每项得1分，最高得3分；</w:t>
            </w:r>
          </w:p>
          <w:p>
            <w:pPr>
              <w:pStyle w:val="63"/>
              <w:jc w:val="left"/>
              <w:rPr>
                <w:rFonts w:hint="default" w:ascii="宋体" w:hAnsi="宋体"/>
                <w:szCs w:val="21"/>
              </w:rPr>
            </w:pPr>
            <w:r>
              <w:rPr>
                <w:rFonts w:ascii="宋体" w:hAnsi="宋体"/>
                <w:szCs w:val="21"/>
              </w:rPr>
              <w:t>2、投标人自2019年1月1日以来获得区县及以上人民政府相关职能部门颁发的荣誉或奖项的每项得0.5分，最高的2分。</w:t>
            </w:r>
          </w:p>
          <w:p>
            <w:pPr>
              <w:pStyle w:val="63"/>
              <w:jc w:val="left"/>
              <w:rPr>
                <w:rFonts w:hint="default" w:ascii="宋体" w:hAnsi="宋体"/>
                <w:szCs w:val="21"/>
              </w:rPr>
            </w:pPr>
            <w:r>
              <w:rPr>
                <w:rFonts w:ascii="宋体" w:hAnsi="宋体"/>
                <w:b/>
                <w:bCs/>
                <w:szCs w:val="21"/>
              </w:rPr>
              <w:t>（须提供相关证明材料复印件，否则不得分）</w:t>
            </w:r>
          </w:p>
        </w:tc>
      </w:tr>
      <w:tr>
        <w:tblPrEx>
          <w:tblCellMar>
            <w:top w:w="0" w:type="dxa"/>
            <w:left w:w="108" w:type="dxa"/>
            <w:bottom w:w="0" w:type="dxa"/>
            <w:right w:w="108" w:type="dxa"/>
          </w:tblCellMar>
        </w:tblPrEx>
        <w:trPr>
          <w:trHeight w:val="940" w:hRule="atLeast"/>
          <w:jc w:val="center"/>
        </w:trPr>
        <w:tc>
          <w:tcPr>
            <w:tcW w:w="956"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pPr>
              <w:pStyle w:val="63"/>
              <w:rPr>
                <w:rFonts w:hint="default" w:ascii="宋体" w:hAnsi="宋体"/>
                <w:szCs w:val="21"/>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3"/>
              <w:rPr>
                <w:rFonts w:hint="default" w:ascii="宋体" w:hAnsi="宋体"/>
                <w:szCs w:val="21"/>
              </w:rPr>
            </w:pPr>
            <w:r>
              <w:rPr>
                <w:rFonts w:ascii="宋体" w:hAnsi="宋体"/>
                <w:szCs w:val="21"/>
              </w:rPr>
              <w:t>2</w:t>
            </w:r>
          </w:p>
        </w:tc>
        <w:tc>
          <w:tcPr>
            <w:tcW w:w="3488"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ind w:firstLine="0"/>
              <w:rPr>
                <w:rFonts w:ascii="宋体" w:hAnsi="宋体" w:cs="宋体"/>
                <w:snapToGrid w:val="0"/>
                <w:szCs w:val="21"/>
              </w:rPr>
            </w:pPr>
            <w:r>
              <w:rPr>
                <w:rFonts w:hint="eastAsia" w:ascii="宋体" w:hAnsi="宋体" w:cs="宋体"/>
                <w:kern w:val="0"/>
                <w:szCs w:val="21"/>
              </w:rPr>
              <w:t>承诺中标合同签订后1个月之内配备有规范固定的办公场所，得1分。承诺中标合同签订后1个月之内配备有规范固定及相应车辆规模的环卫机具停放场所，得1分。</w:t>
            </w:r>
            <w:r>
              <w:rPr>
                <w:rFonts w:hint="eastAsia" w:ascii="宋体" w:hAnsi="宋体" w:cs="宋体"/>
                <w:b/>
                <w:bCs/>
                <w:szCs w:val="21"/>
              </w:rPr>
              <w:t>（提供相应承诺书，未提供不得分）</w:t>
            </w:r>
            <w:r>
              <w:rPr>
                <w:rFonts w:hint="eastAsia" w:ascii="宋体" w:hAnsi="宋体" w:cs="宋体"/>
                <w:szCs w:val="21"/>
              </w:rPr>
              <w:t>。</w:t>
            </w:r>
          </w:p>
        </w:tc>
      </w:tr>
      <w:tr>
        <w:tblPrEx>
          <w:tblCellMar>
            <w:top w:w="0" w:type="dxa"/>
            <w:left w:w="108" w:type="dxa"/>
            <w:bottom w:w="0" w:type="dxa"/>
            <w:right w:w="108" w:type="dxa"/>
          </w:tblCellMar>
        </w:tblPrEx>
        <w:trPr>
          <w:trHeight w:val="1366" w:hRule="atLeast"/>
          <w:jc w:val="center"/>
        </w:trPr>
        <w:tc>
          <w:tcPr>
            <w:tcW w:w="956"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pPr>
              <w:pStyle w:val="63"/>
              <w:rPr>
                <w:rFonts w:hint="default" w:ascii="宋体" w:hAnsi="宋体"/>
                <w:szCs w:val="21"/>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3"/>
              <w:rPr>
                <w:rFonts w:hint="default" w:ascii="宋体" w:hAnsi="宋体"/>
                <w:szCs w:val="21"/>
              </w:rPr>
            </w:pPr>
            <w:r>
              <w:rPr>
                <w:rFonts w:ascii="宋体" w:hAnsi="宋体"/>
                <w:szCs w:val="21"/>
              </w:rPr>
              <w:t>2</w:t>
            </w:r>
          </w:p>
        </w:tc>
        <w:tc>
          <w:tcPr>
            <w:tcW w:w="3488"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numPr>
                <w:ilvl w:val="0"/>
                <w:numId w:val="7"/>
              </w:numPr>
              <w:ind w:firstLine="0"/>
              <w:rPr>
                <w:rFonts w:ascii="宋体" w:hAnsi="宋体" w:cs="宋体"/>
                <w:kern w:val="0"/>
                <w:szCs w:val="21"/>
              </w:rPr>
            </w:pPr>
            <w:r>
              <w:rPr>
                <w:rFonts w:hint="eastAsia" w:ascii="宋体" w:hAnsi="宋体" w:cs="宋体"/>
                <w:kern w:val="0"/>
                <w:szCs w:val="21"/>
              </w:rPr>
              <w:t>党建工会活动：企业建立有工会或党组织的得1分；(提供证明材料的原件扫描件或复印件，未提供不得分）</w:t>
            </w:r>
          </w:p>
          <w:p>
            <w:pPr>
              <w:pStyle w:val="5"/>
              <w:numPr>
                <w:ilvl w:val="0"/>
                <w:numId w:val="7"/>
              </w:numPr>
              <w:ind w:firstLine="0"/>
              <w:rPr>
                <w:rFonts w:ascii="宋体" w:hAnsi="宋体" w:cs="宋体"/>
                <w:kern w:val="0"/>
                <w:szCs w:val="21"/>
              </w:rPr>
            </w:pPr>
            <w:r>
              <w:rPr>
                <w:rFonts w:hint="eastAsia" w:ascii="宋体" w:hAnsi="宋体" w:cs="宋体"/>
                <w:kern w:val="0"/>
                <w:szCs w:val="21"/>
              </w:rPr>
              <w:t>承诺中标后3个月内在本标段内按标准建立至少一个城管驿站，并投入自有资金正常运行的得1分。</w:t>
            </w:r>
            <w:r>
              <w:rPr>
                <w:rFonts w:hint="eastAsia" w:ascii="宋体" w:hAnsi="宋体" w:cs="宋体"/>
                <w:b/>
                <w:bCs/>
                <w:szCs w:val="21"/>
              </w:rPr>
              <w:t>（提供相应承诺书，未提供不得分，</w:t>
            </w:r>
            <w:r>
              <w:rPr>
                <w:rFonts w:hint="eastAsia" w:cs="宋体"/>
                <w:b/>
                <w:bCs/>
                <w:szCs w:val="21"/>
                <w:lang w:val="zh-CN"/>
              </w:rPr>
              <w:t>格式自拟。</w:t>
            </w:r>
            <w:r>
              <w:rPr>
                <w:rFonts w:hint="eastAsia" w:ascii="宋体" w:hAnsi="宋体" w:cs="宋体"/>
                <w:b/>
                <w:bCs/>
                <w:szCs w:val="21"/>
              </w:rPr>
              <w:t>）</w:t>
            </w:r>
          </w:p>
        </w:tc>
      </w:tr>
      <w:tr>
        <w:tblPrEx>
          <w:tblCellMar>
            <w:top w:w="0" w:type="dxa"/>
            <w:left w:w="108" w:type="dxa"/>
            <w:bottom w:w="0" w:type="dxa"/>
            <w:right w:w="108" w:type="dxa"/>
          </w:tblCellMar>
        </w:tblPrEx>
        <w:trPr>
          <w:trHeight w:val="940" w:hRule="atLeast"/>
          <w:jc w:val="center"/>
        </w:trPr>
        <w:tc>
          <w:tcPr>
            <w:tcW w:w="956"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pPr>
              <w:pStyle w:val="63"/>
              <w:rPr>
                <w:rFonts w:hint="default" w:ascii="宋体" w:hAnsi="宋体"/>
                <w:szCs w:val="21"/>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3"/>
              <w:rPr>
                <w:rFonts w:hint="default" w:ascii="宋体" w:hAnsi="宋体"/>
                <w:szCs w:val="21"/>
              </w:rPr>
            </w:pPr>
            <w:r>
              <w:rPr>
                <w:rFonts w:ascii="宋体" w:hAnsi="宋体"/>
                <w:szCs w:val="21"/>
              </w:rPr>
              <w:t>3</w:t>
            </w:r>
          </w:p>
        </w:tc>
        <w:tc>
          <w:tcPr>
            <w:tcW w:w="3488"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ind w:firstLine="0"/>
              <w:rPr>
                <w:rFonts w:ascii="宋体" w:hAnsi="宋体" w:cs="宋体"/>
                <w:szCs w:val="21"/>
              </w:rPr>
            </w:pPr>
            <w:r>
              <w:rPr>
                <w:rFonts w:hint="eastAsia" w:ascii="宋体" w:hAnsi="宋体" w:cs="宋体"/>
                <w:kern w:val="0"/>
                <w:szCs w:val="21"/>
              </w:rPr>
              <w:t>是否具有较强的服务本地能力，以及较强的专业技术队伍，能提供快速的服务响应，以对采购人的便利性，接到采购人任务及时完成服务等。（0-3分）</w:t>
            </w:r>
          </w:p>
        </w:tc>
      </w:tr>
      <w:tr>
        <w:tblPrEx>
          <w:tblCellMar>
            <w:top w:w="0" w:type="dxa"/>
            <w:left w:w="108" w:type="dxa"/>
            <w:bottom w:w="0" w:type="dxa"/>
            <w:right w:w="108" w:type="dxa"/>
          </w:tblCellMar>
        </w:tblPrEx>
        <w:trPr>
          <w:trHeight w:val="1366" w:hRule="atLeast"/>
          <w:jc w:val="center"/>
        </w:trPr>
        <w:tc>
          <w:tcPr>
            <w:tcW w:w="956"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pPr>
              <w:pStyle w:val="63"/>
              <w:rPr>
                <w:rFonts w:hint="default" w:ascii="宋体" w:hAnsi="宋体"/>
                <w:szCs w:val="21"/>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3"/>
              <w:rPr>
                <w:rFonts w:hint="default" w:ascii="宋体" w:hAnsi="宋体"/>
                <w:szCs w:val="21"/>
              </w:rPr>
            </w:pPr>
            <w:r>
              <w:rPr>
                <w:rFonts w:ascii="宋体" w:hAnsi="宋体"/>
                <w:szCs w:val="21"/>
              </w:rPr>
              <w:t>4</w:t>
            </w:r>
          </w:p>
        </w:tc>
        <w:tc>
          <w:tcPr>
            <w:tcW w:w="3488" w:type="pct"/>
            <w:tcBorders>
              <w:top w:val="single" w:color="000000" w:sz="8" w:space="0"/>
              <w:left w:val="single" w:color="000000" w:sz="8" w:space="0"/>
              <w:bottom w:val="single" w:color="000000" w:sz="8" w:space="0"/>
              <w:right w:val="single" w:color="000000" w:sz="8" w:space="0"/>
            </w:tcBorders>
            <w:shd w:val="clear" w:color="auto" w:fill="auto"/>
            <w:vAlign w:val="center"/>
          </w:tcPr>
          <w:p>
            <w:pPr>
              <w:numPr>
                <w:ilvl w:val="0"/>
                <w:numId w:val="8"/>
              </w:numPr>
              <w:rPr>
                <w:rFonts w:ascii="宋体" w:hAnsi="宋体" w:cs="宋体"/>
                <w:b/>
                <w:bCs/>
                <w:szCs w:val="21"/>
              </w:rPr>
            </w:pPr>
            <w:r>
              <w:rPr>
                <w:rFonts w:hint="eastAsia" w:ascii="宋体" w:hAnsi="宋体" w:cs="宋体"/>
                <w:szCs w:val="21"/>
              </w:rPr>
              <w:t>投标人有运用智能环卫平台进行管理，得1分</w:t>
            </w:r>
            <w:r>
              <w:rPr>
                <w:rFonts w:hint="eastAsia" w:ascii="宋体" w:hAnsi="宋体" w:cs="宋体"/>
                <w:b/>
                <w:bCs/>
                <w:szCs w:val="21"/>
              </w:rPr>
              <w:t>；（提供运用智能环卫管理项目业主单位的相关证明的原件扫描件或复印件，未提供不得分，自证无效）。</w:t>
            </w:r>
          </w:p>
          <w:p>
            <w:pPr>
              <w:numPr>
                <w:ilvl w:val="0"/>
                <w:numId w:val="8"/>
              </w:numPr>
              <w:rPr>
                <w:rFonts w:ascii="宋体" w:hAnsi="宋体" w:cs="宋体"/>
                <w:szCs w:val="21"/>
              </w:rPr>
            </w:pPr>
            <w:r>
              <w:rPr>
                <w:rFonts w:hint="eastAsia" w:ascii="宋体" w:hAnsi="宋体" w:cs="宋体"/>
                <w:szCs w:val="21"/>
              </w:rPr>
              <w:t>制定人员管理、设施管理、环卫事件管理，投标人提出智慧环卫实施方案，每项得1分，最高得3</w:t>
            </w:r>
            <w:r>
              <w:rPr>
                <w:rFonts w:hint="eastAsia" w:ascii="宋体" w:hAnsi="宋体" w:cs="宋体"/>
                <w:snapToGrid w:val="0"/>
                <w:kern w:val="0"/>
                <w:szCs w:val="21"/>
              </w:rPr>
              <w:t>分。</w:t>
            </w:r>
          </w:p>
        </w:tc>
      </w:tr>
      <w:tr>
        <w:tblPrEx>
          <w:tblCellMar>
            <w:top w:w="0" w:type="dxa"/>
            <w:left w:w="108" w:type="dxa"/>
            <w:bottom w:w="0" w:type="dxa"/>
            <w:right w:w="108" w:type="dxa"/>
          </w:tblCellMar>
        </w:tblPrEx>
        <w:trPr>
          <w:trHeight w:val="1366" w:hRule="atLeast"/>
          <w:jc w:val="center"/>
        </w:trPr>
        <w:tc>
          <w:tcPr>
            <w:tcW w:w="956" w:type="pct"/>
            <w:tcBorders>
              <w:top w:val="single" w:color="auto" w:sz="4" w:space="0"/>
              <w:left w:val="single" w:color="000000" w:sz="8" w:space="0"/>
              <w:bottom w:val="single" w:color="auto" w:sz="4" w:space="0"/>
              <w:right w:val="single" w:color="000000" w:sz="8" w:space="0"/>
            </w:tcBorders>
            <w:shd w:val="clear" w:color="auto" w:fill="auto"/>
            <w:noWrap/>
            <w:vAlign w:val="center"/>
          </w:tcPr>
          <w:p>
            <w:pPr>
              <w:pStyle w:val="63"/>
              <w:rPr>
                <w:rFonts w:hint="default" w:ascii="宋体" w:hAnsi="宋体"/>
                <w:szCs w:val="21"/>
              </w:rPr>
            </w:pPr>
            <w:r>
              <w:rPr>
                <w:rFonts w:ascii="宋体" w:hAnsi="宋体"/>
                <w:szCs w:val="21"/>
              </w:rPr>
              <w:t>投标人同类项目成功案例（1分）</w:t>
            </w: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3"/>
              <w:rPr>
                <w:rFonts w:hint="default" w:ascii="宋体" w:hAnsi="宋体"/>
                <w:szCs w:val="21"/>
              </w:rPr>
            </w:pPr>
            <w:r>
              <w:rPr>
                <w:rFonts w:ascii="宋体" w:hAnsi="宋体"/>
                <w:szCs w:val="21"/>
              </w:rPr>
              <w:t>1</w:t>
            </w:r>
          </w:p>
        </w:tc>
        <w:tc>
          <w:tcPr>
            <w:tcW w:w="3488" w:type="pct"/>
            <w:tcBorders>
              <w:top w:val="single" w:color="000000" w:sz="8" w:space="0"/>
              <w:left w:val="single" w:color="000000" w:sz="8" w:space="0"/>
              <w:bottom w:val="single" w:color="000000" w:sz="8" w:space="0"/>
              <w:right w:val="single" w:color="000000" w:sz="8" w:space="0"/>
            </w:tcBorders>
            <w:shd w:val="clear" w:color="auto" w:fill="auto"/>
            <w:vAlign w:val="bottom"/>
          </w:tcPr>
          <w:p>
            <w:pPr>
              <w:pStyle w:val="63"/>
              <w:jc w:val="left"/>
              <w:rPr>
                <w:rFonts w:hint="default" w:ascii="宋体" w:hAnsi="宋体"/>
                <w:szCs w:val="21"/>
              </w:rPr>
            </w:pPr>
            <w:r>
              <w:rPr>
                <w:rFonts w:ascii="宋体" w:hAnsi="宋体"/>
                <w:szCs w:val="21"/>
              </w:rPr>
              <w:t>投标人自2019年1月1日以来（以签订合同时间为准）具有同类项目成功业绩的得1分。</w:t>
            </w:r>
          </w:p>
          <w:p>
            <w:pPr>
              <w:pStyle w:val="63"/>
              <w:jc w:val="left"/>
              <w:rPr>
                <w:rFonts w:hint="default" w:ascii="宋体" w:hAnsi="宋体"/>
                <w:szCs w:val="21"/>
              </w:rPr>
            </w:pPr>
            <w:r>
              <w:rPr>
                <w:rFonts w:ascii="宋体" w:hAnsi="宋体"/>
                <w:b/>
                <w:bCs/>
                <w:szCs w:val="21"/>
              </w:rPr>
              <w:t>（须提供合同复印件及验收报告复印件，二者缺一不得分）</w:t>
            </w:r>
          </w:p>
        </w:tc>
      </w:tr>
      <w:tr>
        <w:tblPrEx>
          <w:tblCellMar>
            <w:top w:w="0" w:type="dxa"/>
            <w:left w:w="108" w:type="dxa"/>
            <w:bottom w:w="0" w:type="dxa"/>
            <w:right w:w="108" w:type="dxa"/>
          </w:tblCellMar>
        </w:tblPrEx>
        <w:trPr>
          <w:trHeight w:val="2174" w:hRule="atLeast"/>
          <w:jc w:val="center"/>
        </w:trPr>
        <w:tc>
          <w:tcPr>
            <w:tcW w:w="956" w:type="pct"/>
            <w:vMerge w:val="restart"/>
            <w:tcBorders>
              <w:top w:val="single" w:color="auto" w:sz="4" w:space="0"/>
              <w:left w:val="single" w:color="000000" w:sz="8" w:space="0"/>
              <w:right w:val="single" w:color="000000" w:sz="8" w:space="0"/>
            </w:tcBorders>
            <w:shd w:val="clear" w:color="auto" w:fill="auto"/>
            <w:noWrap/>
            <w:vAlign w:val="center"/>
          </w:tcPr>
          <w:p>
            <w:pPr>
              <w:pStyle w:val="63"/>
              <w:rPr>
                <w:rFonts w:hint="default" w:ascii="宋体" w:hAnsi="宋体"/>
                <w:szCs w:val="21"/>
              </w:rPr>
            </w:pPr>
            <w:r>
              <w:rPr>
                <w:rFonts w:ascii="宋体" w:hAnsi="宋体"/>
                <w:szCs w:val="21"/>
              </w:rPr>
              <w:t>本项目管理方案（55分）</w:t>
            </w: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3"/>
              <w:rPr>
                <w:rFonts w:hint="default" w:ascii="宋体" w:hAnsi="宋体"/>
                <w:szCs w:val="21"/>
              </w:rPr>
            </w:pPr>
            <w:r>
              <w:rPr>
                <w:rFonts w:ascii="宋体" w:hAnsi="宋体"/>
                <w:szCs w:val="21"/>
              </w:rPr>
              <w:t>8</w:t>
            </w:r>
          </w:p>
        </w:tc>
        <w:tc>
          <w:tcPr>
            <w:tcW w:w="3488"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snapToGrid w:val="0"/>
                <w:kern w:val="0"/>
                <w:szCs w:val="21"/>
              </w:rPr>
            </w:pPr>
            <w:r>
              <w:rPr>
                <w:rFonts w:hint="eastAsia" w:ascii="宋体" w:hAnsi="宋体" w:cs="宋体"/>
                <w:snapToGrid w:val="0"/>
                <w:kern w:val="0"/>
                <w:szCs w:val="21"/>
              </w:rPr>
              <w:t>保洁作业方案（8分）</w:t>
            </w:r>
          </w:p>
          <w:p>
            <w:pPr>
              <w:rPr>
                <w:rFonts w:ascii="宋体" w:hAnsi="宋体" w:cs="宋体"/>
                <w:snapToGrid w:val="0"/>
                <w:kern w:val="0"/>
                <w:szCs w:val="21"/>
              </w:rPr>
            </w:pPr>
            <w:r>
              <w:rPr>
                <w:rFonts w:hint="eastAsia" w:ascii="宋体" w:hAnsi="宋体" w:cs="宋体"/>
                <w:snapToGrid w:val="0"/>
                <w:kern w:val="0"/>
                <w:szCs w:val="21"/>
              </w:rPr>
              <w:t>（1）保洁方案切合本招标项目预定要求，针对性、操作性强，</w:t>
            </w:r>
            <w:r>
              <w:rPr>
                <w:rFonts w:hint="eastAsia" w:ascii="宋体" w:hAnsi="宋体" w:cs="宋体"/>
                <w:szCs w:val="21"/>
              </w:rPr>
              <w:t>必须根据各路段道路级别、作业面积、作业标准列出详细的人员安排计划表，包括作业人员数量、管理人员数量等,计划安排科学合理（0-5分）。</w:t>
            </w:r>
          </w:p>
          <w:p>
            <w:pPr>
              <w:rPr>
                <w:rFonts w:ascii="宋体" w:hAnsi="宋体" w:cs="宋体"/>
                <w:snapToGrid w:val="0"/>
                <w:kern w:val="0"/>
                <w:szCs w:val="21"/>
              </w:rPr>
            </w:pPr>
            <w:r>
              <w:rPr>
                <w:rFonts w:hint="eastAsia" w:ascii="宋体" w:hAnsi="宋体" w:cs="宋体"/>
                <w:snapToGrid w:val="0"/>
                <w:kern w:val="0"/>
                <w:szCs w:val="21"/>
              </w:rPr>
              <w:t>（2）突破传统运作模式，保洁管理、作业措施有创新，使用的设施设备有创新的（0-3分）。</w:t>
            </w:r>
          </w:p>
          <w:p>
            <w:pPr>
              <w:pStyle w:val="63"/>
              <w:jc w:val="left"/>
              <w:rPr>
                <w:rFonts w:hint="default" w:ascii="宋体" w:hAnsi="宋体"/>
                <w:szCs w:val="21"/>
              </w:rPr>
            </w:pPr>
            <w:r>
              <w:rPr>
                <w:rFonts w:ascii="宋体" w:hAnsi="宋体"/>
                <w:snapToGrid w:val="0"/>
                <w:szCs w:val="21"/>
              </w:rPr>
              <w:t>以上两小项由评标专家进行打分。</w:t>
            </w:r>
          </w:p>
        </w:tc>
      </w:tr>
      <w:tr>
        <w:tblPrEx>
          <w:tblCellMar>
            <w:top w:w="0" w:type="dxa"/>
            <w:left w:w="108" w:type="dxa"/>
            <w:bottom w:w="0" w:type="dxa"/>
            <w:right w:w="108" w:type="dxa"/>
          </w:tblCellMar>
        </w:tblPrEx>
        <w:trPr>
          <w:trHeight w:val="5676" w:hRule="atLeast"/>
          <w:jc w:val="center"/>
        </w:trPr>
        <w:tc>
          <w:tcPr>
            <w:tcW w:w="956" w:type="pct"/>
            <w:vMerge w:val="continue"/>
            <w:tcBorders>
              <w:left w:val="single" w:color="000000" w:sz="8" w:space="0"/>
              <w:right w:val="single" w:color="000000" w:sz="8" w:space="0"/>
            </w:tcBorders>
            <w:shd w:val="clear" w:color="auto" w:fill="auto"/>
            <w:noWrap/>
            <w:vAlign w:val="center"/>
          </w:tcPr>
          <w:p>
            <w:pPr>
              <w:pStyle w:val="63"/>
              <w:rPr>
                <w:rFonts w:hint="default" w:ascii="宋体" w:hAnsi="宋体"/>
                <w:szCs w:val="21"/>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3"/>
              <w:rPr>
                <w:rFonts w:hint="default" w:ascii="宋体" w:hAnsi="宋体"/>
                <w:szCs w:val="21"/>
              </w:rPr>
            </w:pPr>
            <w:r>
              <w:rPr>
                <w:rFonts w:ascii="宋体" w:hAnsi="宋体"/>
                <w:szCs w:val="21"/>
              </w:rPr>
              <w:t>14</w:t>
            </w:r>
          </w:p>
        </w:tc>
        <w:tc>
          <w:tcPr>
            <w:tcW w:w="3488"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szCs w:val="21"/>
              </w:rPr>
            </w:pPr>
            <w:r>
              <w:rPr>
                <w:rFonts w:hint="eastAsia" w:ascii="宋体" w:hAnsi="宋体" w:cs="宋体"/>
                <w:szCs w:val="21"/>
              </w:rPr>
              <w:t>内部管理制度（14分）</w:t>
            </w:r>
          </w:p>
          <w:p>
            <w:pPr>
              <w:rPr>
                <w:rFonts w:ascii="宋体" w:hAnsi="宋体" w:cs="宋体"/>
                <w:snapToGrid w:val="0"/>
                <w:kern w:val="0"/>
                <w:szCs w:val="21"/>
              </w:rPr>
            </w:pPr>
            <w:r>
              <w:rPr>
                <w:rFonts w:hint="eastAsia" w:ascii="宋体" w:hAnsi="宋体" w:cs="宋体"/>
                <w:snapToGrid w:val="0"/>
                <w:kern w:val="0"/>
                <w:szCs w:val="21"/>
              </w:rPr>
              <w:t>以下内容评标委员会根据各项制度制定的完整性、合理性、可操作性等，进行横向比较打分。</w:t>
            </w:r>
          </w:p>
          <w:p>
            <w:pPr>
              <w:rPr>
                <w:rFonts w:ascii="宋体" w:hAnsi="宋体" w:cs="宋体"/>
                <w:snapToGrid w:val="0"/>
                <w:kern w:val="0"/>
                <w:szCs w:val="21"/>
              </w:rPr>
            </w:pPr>
            <w:r>
              <w:rPr>
                <w:rFonts w:hint="eastAsia" w:ascii="宋体" w:hAnsi="宋体" w:cs="宋体"/>
                <w:snapToGrid w:val="0"/>
                <w:kern w:val="0"/>
                <w:szCs w:val="21"/>
              </w:rPr>
              <w:t>①财务管理（1分）。制定企业财务管理制度的得1分，未制定的该项不得分。</w:t>
            </w:r>
          </w:p>
          <w:p>
            <w:pPr>
              <w:rPr>
                <w:rFonts w:ascii="宋体" w:hAnsi="宋体" w:cs="宋体"/>
                <w:snapToGrid w:val="0"/>
                <w:kern w:val="0"/>
                <w:szCs w:val="21"/>
              </w:rPr>
            </w:pPr>
            <w:r>
              <w:rPr>
                <w:rFonts w:hint="eastAsia" w:ascii="宋体" w:hAnsi="宋体" w:cs="宋体"/>
                <w:snapToGrid w:val="0"/>
                <w:kern w:val="0"/>
                <w:szCs w:val="21"/>
              </w:rPr>
              <w:t>②员工管理（4分）。</w:t>
            </w:r>
          </w:p>
          <w:p>
            <w:pPr>
              <w:rPr>
                <w:rFonts w:ascii="宋体" w:hAnsi="宋体" w:cs="宋体"/>
                <w:snapToGrid w:val="0"/>
                <w:kern w:val="0"/>
                <w:szCs w:val="21"/>
              </w:rPr>
            </w:pPr>
            <w:r>
              <w:rPr>
                <w:rFonts w:hint="eastAsia" w:ascii="宋体" w:hAnsi="宋体" w:cs="宋体"/>
                <w:snapToGrid w:val="0"/>
                <w:kern w:val="0"/>
                <w:szCs w:val="21"/>
              </w:rPr>
              <w:t>a、员工管理制度健全，承诺为本项目全部环卫人员缴纳意外保险、符合要求的人员需缴纳社会保险，最高得2分。</w:t>
            </w:r>
          </w:p>
          <w:p>
            <w:pPr>
              <w:rPr>
                <w:rFonts w:ascii="宋体" w:hAnsi="宋体" w:cs="宋体"/>
                <w:snapToGrid w:val="0"/>
                <w:kern w:val="0"/>
                <w:szCs w:val="21"/>
              </w:rPr>
            </w:pPr>
            <w:r>
              <w:rPr>
                <w:rFonts w:hint="eastAsia" w:ascii="宋体" w:hAnsi="宋体" w:cs="宋体"/>
                <w:snapToGrid w:val="0"/>
                <w:kern w:val="0"/>
                <w:szCs w:val="21"/>
              </w:rPr>
              <w:t>b、近三年内未发生过因职工合法权益未得到保障而出现群体性</w:t>
            </w:r>
            <w:r>
              <w:rPr>
                <w:rFonts w:hint="eastAsia" w:ascii="宋体" w:hAnsi="宋体" w:cs="宋体"/>
                <w:snapToGrid w:val="0"/>
                <w:kern w:val="0"/>
                <w:szCs w:val="21"/>
                <w:lang w:eastAsia="zh-CN"/>
              </w:rPr>
              <w:t>信访</w:t>
            </w:r>
            <w:bookmarkStart w:id="30" w:name="_GoBack"/>
            <w:bookmarkEnd w:id="30"/>
            <w:r>
              <w:rPr>
                <w:rFonts w:hint="eastAsia" w:ascii="宋体" w:hAnsi="宋体" w:cs="宋体"/>
                <w:snapToGrid w:val="0"/>
                <w:kern w:val="0"/>
                <w:szCs w:val="21"/>
              </w:rPr>
              <w:t>的得2分，发生过的不得分。（需提供承诺书及行业主管部门的相关证明文件）。</w:t>
            </w:r>
          </w:p>
          <w:p>
            <w:pPr>
              <w:rPr>
                <w:rFonts w:ascii="宋体" w:hAnsi="宋体" w:cs="宋体"/>
                <w:snapToGrid w:val="0"/>
                <w:kern w:val="0"/>
                <w:szCs w:val="21"/>
              </w:rPr>
            </w:pPr>
            <w:r>
              <w:rPr>
                <w:rFonts w:hint="eastAsia" w:ascii="宋体" w:hAnsi="宋体" w:cs="宋体"/>
                <w:snapToGrid w:val="0"/>
                <w:kern w:val="0"/>
                <w:szCs w:val="21"/>
              </w:rPr>
              <w:t>③安全生产管理（9分）。</w:t>
            </w:r>
          </w:p>
          <w:p>
            <w:pPr>
              <w:rPr>
                <w:rFonts w:ascii="宋体" w:hAnsi="宋体" w:cs="宋体"/>
                <w:snapToGrid w:val="0"/>
                <w:kern w:val="0"/>
                <w:szCs w:val="21"/>
              </w:rPr>
            </w:pPr>
            <w:r>
              <w:rPr>
                <w:rFonts w:hint="eastAsia" w:ascii="宋体" w:hAnsi="宋体" w:cs="宋体"/>
                <w:snapToGrid w:val="0"/>
                <w:kern w:val="0"/>
                <w:szCs w:val="21"/>
              </w:rPr>
              <w:t>a、制订安全生产制度的，得1-2分，未制订或未能提供的，该项不得分。</w:t>
            </w:r>
          </w:p>
          <w:p>
            <w:pPr>
              <w:rPr>
                <w:rFonts w:ascii="宋体" w:hAnsi="宋体" w:cs="宋体"/>
                <w:snapToGrid w:val="0"/>
                <w:kern w:val="0"/>
                <w:szCs w:val="21"/>
              </w:rPr>
            </w:pPr>
            <w:r>
              <w:rPr>
                <w:rFonts w:hint="eastAsia" w:ascii="宋体" w:hAnsi="宋体" w:cs="宋体"/>
                <w:snapToGrid w:val="0"/>
                <w:kern w:val="0"/>
                <w:szCs w:val="21"/>
              </w:rPr>
              <w:t>b、定期开展安全生产培训，记录完整的，得1-2分，未定期开展培训或无记录的，该项不得分。</w:t>
            </w:r>
          </w:p>
          <w:p>
            <w:pPr>
              <w:jc w:val="left"/>
              <w:rPr>
                <w:rFonts w:ascii="宋体" w:hAnsi="宋体" w:cs="宋体"/>
                <w:snapToGrid w:val="0"/>
                <w:kern w:val="0"/>
                <w:szCs w:val="21"/>
              </w:rPr>
            </w:pPr>
            <w:r>
              <w:rPr>
                <w:rFonts w:hint="eastAsia" w:ascii="宋体" w:hAnsi="宋体" w:cs="宋体"/>
                <w:snapToGrid w:val="0"/>
                <w:kern w:val="0"/>
                <w:szCs w:val="21"/>
              </w:rPr>
              <w:t>c、有专职安全员的，得2分，无专职安全员的，该项不得分(提供安全员证书复印件)。</w:t>
            </w:r>
          </w:p>
          <w:p>
            <w:pPr>
              <w:pStyle w:val="63"/>
              <w:jc w:val="left"/>
              <w:rPr>
                <w:rFonts w:hint="default" w:ascii="宋体" w:hAnsi="宋体"/>
                <w:szCs w:val="21"/>
              </w:rPr>
            </w:pPr>
            <w:r>
              <w:rPr>
                <w:rFonts w:ascii="宋体" w:hAnsi="宋体"/>
                <w:snapToGrid w:val="0"/>
                <w:szCs w:val="21"/>
              </w:rPr>
              <w:t>d、近三年内未发生过有责安全生产事故造成人员死亡事件的得3分，发生过的不得分。</w:t>
            </w:r>
            <w:r>
              <w:rPr>
                <w:rFonts w:ascii="宋体" w:hAnsi="宋体"/>
                <w:b/>
                <w:bCs/>
                <w:snapToGrid w:val="0"/>
                <w:szCs w:val="21"/>
              </w:rPr>
              <w:t>（需提供承诺书及行业主管部门的相关证明文件，不提供不得分）</w:t>
            </w:r>
            <w:r>
              <w:rPr>
                <w:rFonts w:ascii="宋体" w:hAnsi="宋体"/>
                <w:snapToGrid w:val="0"/>
                <w:szCs w:val="21"/>
              </w:rPr>
              <w:t>。</w:t>
            </w:r>
          </w:p>
        </w:tc>
      </w:tr>
      <w:tr>
        <w:tblPrEx>
          <w:tblCellMar>
            <w:top w:w="0" w:type="dxa"/>
            <w:left w:w="108" w:type="dxa"/>
            <w:bottom w:w="0" w:type="dxa"/>
            <w:right w:w="108" w:type="dxa"/>
          </w:tblCellMar>
        </w:tblPrEx>
        <w:trPr>
          <w:trHeight w:val="1613" w:hRule="atLeast"/>
          <w:jc w:val="center"/>
        </w:trPr>
        <w:tc>
          <w:tcPr>
            <w:tcW w:w="956" w:type="pct"/>
            <w:vMerge w:val="continue"/>
            <w:tcBorders>
              <w:left w:val="single" w:color="000000" w:sz="8" w:space="0"/>
              <w:right w:val="single" w:color="000000" w:sz="8" w:space="0"/>
            </w:tcBorders>
            <w:shd w:val="clear" w:color="auto" w:fill="auto"/>
            <w:noWrap/>
            <w:vAlign w:val="center"/>
          </w:tcPr>
          <w:p>
            <w:pPr>
              <w:pStyle w:val="63"/>
              <w:rPr>
                <w:rFonts w:hint="default" w:ascii="宋体" w:hAnsi="宋体"/>
                <w:szCs w:val="21"/>
              </w:rPr>
            </w:pPr>
          </w:p>
        </w:tc>
        <w:tc>
          <w:tcPr>
            <w:tcW w:w="554" w:type="pct"/>
            <w:tcBorders>
              <w:top w:val="single" w:color="000000" w:sz="8" w:space="0"/>
              <w:left w:val="single" w:color="000000" w:sz="8" w:space="0"/>
              <w:right w:val="single" w:color="000000" w:sz="8" w:space="0"/>
            </w:tcBorders>
            <w:shd w:val="clear" w:color="auto" w:fill="auto"/>
            <w:noWrap/>
            <w:vAlign w:val="center"/>
          </w:tcPr>
          <w:p>
            <w:pPr>
              <w:pStyle w:val="63"/>
              <w:rPr>
                <w:rFonts w:hint="default" w:ascii="宋体" w:hAnsi="宋体"/>
                <w:szCs w:val="21"/>
              </w:rPr>
            </w:pPr>
            <w:r>
              <w:rPr>
                <w:rFonts w:ascii="宋体" w:hAnsi="宋体"/>
                <w:szCs w:val="21"/>
              </w:rPr>
              <w:t>10</w:t>
            </w:r>
          </w:p>
        </w:tc>
        <w:tc>
          <w:tcPr>
            <w:tcW w:w="3488" w:type="pct"/>
            <w:tcBorders>
              <w:top w:val="single" w:color="000000" w:sz="8" w:space="0"/>
              <w:left w:val="single" w:color="000000" w:sz="8" w:space="0"/>
              <w:right w:val="single" w:color="000000" w:sz="8" w:space="0"/>
            </w:tcBorders>
            <w:shd w:val="clear" w:color="auto" w:fill="auto"/>
            <w:vAlign w:val="center"/>
          </w:tcPr>
          <w:p>
            <w:pPr>
              <w:pStyle w:val="63"/>
              <w:jc w:val="left"/>
              <w:rPr>
                <w:rFonts w:hint="default" w:ascii="宋体" w:hAnsi="宋体"/>
                <w:szCs w:val="21"/>
              </w:rPr>
            </w:pPr>
            <w:r>
              <w:rPr>
                <w:rFonts w:ascii="宋体" w:hAnsi="宋体"/>
                <w:szCs w:val="21"/>
              </w:rPr>
              <w:t>1、质量管理体系完善，制订内部考核制度，有完善的组织机构体系负责对本项目进行质量监管。（0-5分）</w:t>
            </w:r>
          </w:p>
          <w:p>
            <w:pPr>
              <w:pStyle w:val="63"/>
              <w:jc w:val="left"/>
              <w:rPr>
                <w:rFonts w:hint="default" w:ascii="宋体" w:hAnsi="宋体"/>
                <w:snapToGrid w:val="0"/>
                <w:szCs w:val="21"/>
              </w:rPr>
            </w:pPr>
            <w:r>
              <w:rPr>
                <w:rFonts w:ascii="宋体" w:hAnsi="宋体"/>
                <w:szCs w:val="21"/>
              </w:rPr>
              <w:t>2、组织管理体系完善，项目主管、班组长等管理人员配备到位，项目管理事项明确，符合相关企业管理规范要求。（0-5分）</w:t>
            </w:r>
          </w:p>
        </w:tc>
      </w:tr>
      <w:tr>
        <w:tblPrEx>
          <w:tblCellMar>
            <w:top w:w="0" w:type="dxa"/>
            <w:left w:w="108" w:type="dxa"/>
            <w:bottom w:w="0" w:type="dxa"/>
            <w:right w:w="108" w:type="dxa"/>
          </w:tblCellMar>
        </w:tblPrEx>
        <w:trPr>
          <w:trHeight w:val="907" w:hRule="atLeast"/>
          <w:jc w:val="center"/>
        </w:trPr>
        <w:tc>
          <w:tcPr>
            <w:tcW w:w="956" w:type="pct"/>
            <w:vMerge w:val="continue"/>
            <w:tcBorders>
              <w:left w:val="single" w:color="000000" w:sz="8" w:space="0"/>
              <w:right w:val="single" w:color="000000" w:sz="8" w:space="0"/>
            </w:tcBorders>
            <w:shd w:val="clear" w:color="auto" w:fill="auto"/>
            <w:noWrap/>
            <w:vAlign w:val="center"/>
          </w:tcPr>
          <w:p>
            <w:pPr>
              <w:pStyle w:val="63"/>
              <w:rPr>
                <w:rFonts w:hint="default" w:ascii="宋体" w:hAnsi="宋体"/>
                <w:szCs w:val="21"/>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3"/>
              <w:rPr>
                <w:rFonts w:hint="default" w:ascii="宋体" w:hAnsi="宋体"/>
                <w:szCs w:val="21"/>
              </w:rPr>
            </w:pPr>
            <w:r>
              <w:rPr>
                <w:rFonts w:ascii="宋体" w:hAnsi="宋体"/>
                <w:szCs w:val="21"/>
              </w:rPr>
              <w:t>4</w:t>
            </w:r>
          </w:p>
        </w:tc>
        <w:tc>
          <w:tcPr>
            <w:tcW w:w="3488" w:type="pct"/>
            <w:tcBorders>
              <w:top w:val="single" w:color="000000" w:sz="8" w:space="0"/>
              <w:left w:val="single" w:color="000000" w:sz="8" w:space="0"/>
              <w:bottom w:val="single" w:color="000000" w:sz="8" w:space="0"/>
              <w:right w:val="single" w:color="000000" w:sz="8" w:space="0"/>
            </w:tcBorders>
            <w:shd w:val="clear" w:color="auto" w:fill="auto"/>
          </w:tcPr>
          <w:p>
            <w:pPr>
              <w:pStyle w:val="63"/>
              <w:jc w:val="left"/>
              <w:rPr>
                <w:rFonts w:hint="default" w:ascii="宋体" w:hAnsi="宋体"/>
                <w:szCs w:val="21"/>
              </w:rPr>
            </w:pPr>
            <w:r>
              <w:rPr>
                <w:rFonts w:ascii="宋体" w:hAnsi="宋体"/>
                <w:szCs w:val="21"/>
              </w:rPr>
              <w:t>有人员储备的可行的详细方案、稳定员工队伍的举措，有应对人员临时换岗调整、节假日员工请假、休息等情况的具体的人员补充措施，方案具有完整性、合理性、可行性、针对性。（0-4分）</w:t>
            </w:r>
          </w:p>
        </w:tc>
      </w:tr>
      <w:tr>
        <w:tblPrEx>
          <w:tblCellMar>
            <w:top w:w="0" w:type="dxa"/>
            <w:left w:w="108" w:type="dxa"/>
            <w:bottom w:w="0" w:type="dxa"/>
            <w:right w:w="108" w:type="dxa"/>
          </w:tblCellMar>
        </w:tblPrEx>
        <w:trPr>
          <w:trHeight w:val="1636" w:hRule="atLeast"/>
          <w:jc w:val="center"/>
        </w:trPr>
        <w:tc>
          <w:tcPr>
            <w:tcW w:w="956" w:type="pct"/>
            <w:vMerge w:val="continue"/>
            <w:tcBorders>
              <w:left w:val="single" w:color="000000" w:sz="8" w:space="0"/>
              <w:right w:val="single" w:color="000000" w:sz="8" w:space="0"/>
            </w:tcBorders>
            <w:shd w:val="clear" w:color="auto" w:fill="auto"/>
            <w:noWrap/>
            <w:vAlign w:val="center"/>
          </w:tcPr>
          <w:p>
            <w:pPr>
              <w:pStyle w:val="63"/>
              <w:rPr>
                <w:rFonts w:hint="default" w:ascii="宋体" w:hAnsi="宋体"/>
                <w:szCs w:val="21"/>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3"/>
              <w:rPr>
                <w:rFonts w:hint="default" w:ascii="宋体" w:hAnsi="宋体"/>
                <w:snapToGrid w:val="0"/>
                <w:szCs w:val="21"/>
              </w:rPr>
            </w:pPr>
            <w:r>
              <w:rPr>
                <w:rFonts w:ascii="宋体" w:hAnsi="宋体"/>
                <w:szCs w:val="21"/>
              </w:rPr>
              <w:t>2</w:t>
            </w:r>
          </w:p>
        </w:tc>
        <w:tc>
          <w:tcPr>
            <w:tcW w:w="3488" w:type="pct"/>
            <w:tcBorders>
              <w:top w:val="single" w:color="000000" w:sz="8" w:space="0"/>
              <w:left w:val="single" w:color="000000" w:sz="8" w:space="0"/>
              <w:bottom w:val="single" w:color="000000" w:sz="8" w:space="0"/>
              <w:right w:val="single" w:color="000000" w:sz="8" w:space="0"/>
            </w:tcBorders>
            <w:shd w:val="clear" w:color="auto" w:fill="auto"/>
          </w:tcPr>
          <w:p>
            <w:pPr>
              <w:pStyle w:val="63"/>
              <w:jc w:val="left"/>
              <w:rPr>
                <w:rFonts w:hint="default" w:ascii="宋体" w:hAnsi="宋体"/>
                <w:snapToGrid w:val="0"/>
                <w:szCs w:val="21"/>
              </w:rPr>
            </w:pPr>
            <w:r>
              <w:rPr>
                <w:rFonts w:ascii="宋体" w:hAnsi="宋体"/>
                <w:szCs w:val="21"/>
              </w:rPr>
              <w:t>本项目拟派项目负责人具有专科及以上学历的得1分，具有从业经验的得1分。</w:t>
            </w:r>
            <w:r>
              <w:rPr>
                <w:rFonts w:ascii="宋体" w:hAnsi="宋体"/>
                <w:b/>
                <w:bCs/>
                <w:szCs w:val="21"/>
              </w:rPr>
              <w:t>（学历的提供学历证书原件扫描件或复印件；从业经验的提供在环卫企业工作所缴纳社保证明原件扫描件或复印件，可累计。除提供上述资料外，还须提供拟派项目负责人在投标人企业缴纳社保的证明材料原件扫描件或复印件，否则不得分）</w:t>
            </w:r>
          </w:p>
        </w:tc>
      </w:tr>
      <w:tr>
        <w:tblPrEx>
          <w:tblCellMar>
            <w:top w:w="0" w:type="dxa"/>
            <w:left w:w="108" w:type="dxa"/>
            <w:bottom w:w="0" w:type="dxa"/>
            <w:right w:w="108" w:type="dxa"/>
          </w:tblCellMar>
        </w:tblPrEx>
        <w:trPr>
          <w:trHeight w:val="638" w:hRule="atLeast"/>
          <w:jc w:val="center"/>
        </w:trPr>
        <w:tc>
          <w:tcPr>
            <w:tcW w:w="956" w:type="pct"/>
            <w:vMerge w:val="continue"/>
            <w:tcBorders>
              <w:left w:val="single" w:color="000000" w:sz="8" w:space="0"/>
              <w:right w:val="single" w:color="000000" w:sz="8" w:space="0"/>
            </w:tcBorders>
            <w:shd w:val="clear" w:color="auto" w:fill="auto"/>
            <w:noWrap/>
            <w:vAlign w:val="center"/>
          </w:tcPr>
          <w:p>
            <w:pPr>
              <w:pStyle w:val="63"/>
              <w:rPr>
                <w:rFonts w:hint="default" w:ascii="宋体" w:hAnsi="宋体"/>
                <w:szCs w:val="21"/>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3"/>
              <w:rPr>
                <w:rFonts w:hint="default" w:ascii="宋体" w:hAnsi="宋体"/>
                <w:snapToGrid w:val="0"/>
                <w:szCs w:val="21"/>
              </w:rPr>
            </w:pPr>
            <w:r>
              <w:rPr>
                <w:rFonts w:ascii="宋体" w:hAnsi="宋体"/>
                <w:szCs w:val="21"/>
              </w:rPr>
              <w:t>5</w:t>
            </w:r>
          </w:p>
        </w:tc>
        <w:tc>
          <w:tcPr>
            <w:tcW w:w="3488" w:type="pct"/>
            <w:tcBorders>
              <w:top w:val="single" w:color="000000" w:sz="8" w:space="0"/>
              <w:left w:val="single" w:color="000000" w:sz="8" w:space="0"/>
              <w:bottom w:val="single" w:color="000000" w:sz="8" w:space="0"/>
              <w:right w:val="single" w:color="000000" w:sz="8" w:space="0"/>
            </w:tcBorders>
            <w:shd w:val="clear" w:color="auto" w:fill="auto"/>
          </w:tcPr>
          <w:p>
            <w:pPr>
              <w:pStyle w:val="63"/>
              <w:jc w:val="left"/>
              <w:rPr>
                <w:rFonts w:hint="default" w:ascii="宋体" w:hAnsi="宋体"/>
                <w:snapToGrid w:val="0"/>
                <w:szCs w:val="21"/>
              </w:rPr>
            </w:pPr>
            <w:r>
              <w:rPr>
                <w:rFonts w:ascii="宋体" w:hAnsi="宋体"/>
                <w:szCs w:val="21"/>
              </w:rPr>
              <w:t>根据投标人拟投入的机具设备计划表，必须列各路段作业机具的数量、种类、型号等进行打分。（0-5分）</w:t>
            </w:r>
          </w:p>
        </w:tc>
      </w:tr>
      <w:tr>
        <w:tblPrEx>
          <w:tblCellMar>
            <w:top w:w="0" w:type="dxa"/>
            <w:left w:w="108" w:type="dxa"/>
            <w:bottom w:w="0" w:type="dxa"/>
            <w:right w:w="108" w:type="dxa"/>
          </w:tblCellMar>
        </w:tblPrEx>
        <w:trPr>
          <w:trHeight w:val="3521" w:hRule="atLeast"/>
          <w:jc w:val="center"/>
        </w:trPr>
        <w:tc>
          <w:tcPr>
            <w:tcW w:w="956" w:type="pct"/>
            <w:vMerge w:val="continue"/>
            <w:tcBorders>
              <w:left w:val="single" w:color="000000" w:sz="8" w:space="0"/>
              <w:bottom w:val="single" w:color="auto" w:sz="4" w:space="0"/>
              <w:right w:val="single" w:color="000000" w:sz="8" w:space="0"/>
            </w:tcBorders>
            <w:shd w:val="clear" w:color="auto" w:fill="auto"/>
            <w:noWrap/>
            <w:vAlign w:val="center"/>
          </w:tcPr>
          <w:p>
            <w:pPr>
              <w:pStyle w:val="63"/>
              <w:rPr>
                <w:rFonts w:hint="default" w:ascii="宋体" w:hAnsi="宋体"/>
                <w:szCs w:val="21"/>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3"/>
              <w:rPr>
                <w:rFonts w:hint="default" w:ascii="宋体" w:hAnsi="宋体"/>
                <w:snapToGrid w:val="0"/>
                <w:szCs w:val="21"/>
              </w:rPr>
            </w:pPr>
            <w:r>
              <w:rPr>
                <w:rFonts w:ascii="宋体" w:hAnsi="宋体"/>
                <w:szCs w:val="21"/>
              </w:rPr>
              <w:t>12</w:t>
            </w:r>
          </w:p>
        </w:tc>
        <w:tc>
          <w:tcPr>
            <w:tcW w:w="3488" w:type="pct"/>
            <w:tcBorders>
              <w:top w:val="single" w:color="000000" w:sz="8" w:space="0"/>
              <w:left w:val="single" w:color="000000" w:sz="8" w:space="0"/>
              <w:bottom w:val="single" w:color="000000" w:sz="8" w:space="0"/>
              <w:right w:val="single" w:color="000000" w:sz="8" w:space="0"/>
            </w:tcBorders>
            <w:shd w:val="clear" w:color="auto" w:fill="auto"/>
            <w:vAlign w:val="bottom"/>
          </w:tcPr>
          <w:p>
            <w:pPr>
              <w:pStyle w:val="9"/>
              <w:spacing w:line="240" w:lineRule="auto"/>
              <w:ind w:firstLine="0" w:firstLineChars="0"/>
              <w:rPr>
                <w:rFonts w:cs="宋体"/>
                <w:snapToGrid w:val="0"/>
                <w:spacing w:val="10"/>
                <w:sz w:val="21"/>
                <w:szCs w:val="21"/>
              </w:rPr>
            </w:pPr>
            <w:r>
              <w:rPr>
                <w:rFonts w:hint="eastAsia" w:cs="宋体"/>
                <w:snapToGrid w:val="0"/>
                <w:spacing w:val="10"/>
                <w:sz w:val="21"/>
                <w:szCs w:val="21"/>
              </w:rPr>
              <w:t>本项目需配置总质量7吨（含）以上的车辆至少9辆（其中新能源车或天然气清洁能源车不少于3辆），新能源车或天然气清洁能源车指的是①洒水车/清洗车②机械扫地车/扫路车③三合一洗扫车/洗扫车三类车型。</w:t>
            </w:r>
          </w:p>
          <w:p>
            <w:pPr>
              <w:pStyle w:val="9"/>
              <w:numPr>
                <w:ilvl w:val="0"/>
                <w:numId w:val="9"/>
              </w:numPr>
              <w:spacing w:line="240" w:lineRule="auto"/>
              <w:ind w:firstLine="0" w:firstLineChars="0"/>
              <w:rPr>
                <w:rFonts w:cs="宋体"/>
                <w:snapToGrid w:val="0"/>
                <w:spacing w:val="10"/>
                <w:sz w:val="21"/>
                <w:szCs w:val="21"/>
              </w:rPr>
            </w:pPr>
            <w:r>
              <w:rPr>
                <w:rFonts w:hint="eastAsia" w:cs="宋体"/>
                <w:snapToGrid w:val="0"/>
                <w:spacing w:val="10"/>
                <w:sz w:val="21"/>
                <w:szCs w:val="21"/>
              </w:rPr>
              <w:t>拟投入车辆设备中新能源车或天然气清洁能源车达到3辆的得6分；车辆类别不限制，</w:t>
            </w:r>
            <w:r>
              <w:rPr>
                <w:rFonts w:hint="eastAsia" w:cs="宋体"/>
                <w:b/>
                <w:snapToGrid w:val="0"/>
                <w:spacing w:val="10"/>
                <w:sz w:val="21"/>
                <w:szCs w:val="21"/>
              </w:rPr>
              <w:t>不足3辆作无效标</w:t>
            </w:r>
            <w:r>
              <w:rPr>
                <w:rFonts w:hint="eastAsia" w:cs="宋体"/>
                <w:snapToGrid w:val="0"/>
                <w:spacing w:val="10"/>
                <w:sz w:val="21"/>
                <w:szCs w:val="21"/>
              </w:rPr>
              <w:t>。</w:t>
            </w:r>
          </w:p>
          <w:p>
            <w:pPr>
              <w:pStyle w:val="9"/>
              <w:numPr>
                <w:ilvl w:val="0"/>
                <w:numId w:val="9"/>
              </w:numPr>
              <w:spacing w:line="240" w:lineRule="auto"/>
              <w:ind w:firstLine="0" w:firstLineChars="0"/>
              <w:rPr>
                <w:rFonts w:cs="宋体"/>
                <w:snapToGrid w:val="0"/>
                <w:spacing w:val="10"/>
                <w:sz w:val="21"/>
                <w:szCs w:val="21"/>
              </w:rPr>
            </w:pPr>
            <w:r>
              <w:rPr>
                <w:rFonts w:hint="eastAsia" w:cs="宋体"/>
                <w:snapToGrid w:val="0"/>
                <w:spacing w:val="10"/>
                <w:sz w:val="21"/>
                <w:szCs w:val="21"/>
              </w:rPr>
              <w:t>拟投入的其他车辆达到6辆的得6分；车辆类别不限制，每少一辆扣2分，扣完为止。（新能源车或天然气清洁能源车超过3辆的，超出车辆可计入其他车辆）。</w:t>
            </w:r>
          </w:p>
          <w:p>
            <w:pPr>
              <w:pStyle w:val="9"/>
              <w:spacing w:line="240" w:lineRule="auto"/>
              <w:ind w:firstLine="0" w:firstLineChars="0"/>
              <w:rPr>
                <w:rFonts w:cs="宋体"/>
                <w:snapToGrid w:val="0"/>
                <w:spacing w:val="10"/>
                <w:sz w:val="21"/>
                <w:szCs w:val="21"/>
              </w:rPr>
            </w:pPr>
            <w:r>
              <w:rPr>
                <w:rFonts w:hint="eastAsia" w:cs="宋体"/>
                <w:snapToGrid w:val="0"/>
                <w:spacing w:val="10"/>
                <w:sz w:val="21"/>
                <w:szCs w:val="21"/>
              </w:rPr>
              <w:t>注：</w:t>
            </w:r>
            <w:r>
              <w:rPr>
                <w:rFonts w:hint="eastAsia" w:cs="宋体"/>
                <w:b/>
                <w:bCs/>
                <w:snapToGrid w:val="0"/>
                <w:spacing w:val="10"/>
                <w:sz w:val="21"/>
                <w:szCs w:val="21"/>
              </w:rPr>
              <w:t>以上车辆自有的须提供投标人的车辆行驶证复印件、购车发票复印件及登记证复印件，三者缺一不得分；如为</w:t>
            </w:r>
            <w:r>
              <w:rPr>
                <w:rFonts w:hint="eastAsia" w:cs="宋体"/>
                <w:b/>
                <w:bCs/>
                <w:spacing w:val="10"/>
                <w:sz w:val="21"/>
                <w:szCs w:val="21"/>
              </w:rPr>
              <w:t>租赁的须提供租赁合同复印件及租赁合同发票复印件，二者缺一不得分；如为临时车牌车辆须提供购车发票，不提供不得分。）</w:t>
            </w:r>
          </w:p>
        </w:tc>
      </w:tr>
      <w:tr>
        <w:tblPrEx>
          <w:tblCellMar>
            <w:top w:w="0" w:type="dxa"/>
            <w:left w:w="108" w:type="dxa"/>
            <w:bottom w:w="0" w:type="dxa"/>
            <w:right w:w="108" w:type="dxa"/>
          </w:tblCellMar>
        </w:tblPrEx>
        <w:trPr>
          <w:trHeight w:val="1097" w:hRule="atLeast"/>
          <w:jc w:val="center"/>
        </w:trPr>
        <w:tc>
          <w:tcPr>
            <w:tcW w:w="956"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pStyle w:val="63"/>
              <w:rPr>
                <w:rFonts w:hint="default" w:ascii="宋体" w:hAnsi="宋体"/>
                <w:szCs w:val="21"/>
              </w:rPr>
            </w:pPr>
            <w:r>
              <w:rPr>
                <w:rFonts w:ascii="宋体" w:hAnsi="宋体"/>
                <w:szCs w:val="21"/>
              </w:rPr>
              <w:t>应急处置方案（14分）</w:t>
            </w: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3"/>
              <w:rPr>
                <w:rFonts w:hint="default" w:ascii="宋体" w:hAnsi="宋体"/>
                <w:snapToGrid w:val="0"/>
                <w:szCs w:val="21"/>
              </w:rPr>
            </w:pPr>
            <w:r>
              <w:rPr>
                <w:rFonts w:ascii="宋体" w:hAnsi="宋体"/>
                <w:szCs w:val="21"/>
              </w:rPr>
              <w:t>5</w:t>
            </w:r>
          </w:p>
        </w:tc>
        <w:tc>
          <w:tcPr>
            <w:tcW w:w="3488" w:type="pct"/>
            <w:tcBorders>
              <w:top w:val="single" w:color="000000" w:sz="8" w:space="0"/>
              <w:left w:val="single" w:color="000000" w:sz="8" w:space="0"/>
              <w:bottom w:val="single" w:color="000000" w:sz="8" w:space="0"/>
              <w:right w:val="single" w:color="000000" w:sz="8" w:space="0"/>
            </w:tcBorders>
            <w:shd w:val="clear" w:color="auto" w:fill="auto"/>
          </w:tcPr>
          <w:p>
            <w:pPr>
              <w:pStyle w:val="63"/>
              <w:jc w:val="left"/>
              <w:rPr>
                <w:rFonts w:hint="default" w:ascii="宋体" w:hAnsi="宋体"/>
                <w:snapToGrid w:val="0"/>
                <w:szCs w:val="21"/>
              </w:rPr>
            </w:pPr>
            <w:r>
              <w:rPr>
                <w:rFonts w:ascii="宋体" w:hAnsi="宋体"/>
                <w:szCs w:val="21"/>
              </w:rPr>
              <w:t>提供应急处置方案，包含不限于以下5项内容：极端天气（防汛抗台、防雪抗冻）应急方案、重大疫情期间执行方案、发生恶性事故应急方案、重大活动应急方案、节日应急方案，根据方案的完整性、合理性、针对性进行评审、打分。（0-5分）</w:t>
            </w:r>
          </w:p>
        </w:tc>
      </w:tr>
      <w:tr>
        <w:tblPrEx>
          <w:tblCellMar>
            <w:top w:w="0" w:type="dxa"/>
            <w:left w:w="108" w:type="dxa"/>
            <w:bottom w:w="0" w:type="dxa"/>
            <w:right w:w="108" w:type="dxa"/>
          </w:tblCellMar>
        </w:tblPrEx>
        <w:trPr>
          <w:trHeight w:val="940" w:hRule="atLeast"/>
          <w:jc w:val="center"/>
        </w:trPr>
        <w:tc>
          <w:tcPr>
            <w:tcW w:w="956"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pPr>
              <w:pStyle w:val="63"/>
              <w:rPr>
                <w:rFonts w:hint="default" w:ascii="宋体" w:hAnsi="宋体"/>
                <w:szCs w:val="21"/>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3"/>
              <w:rPr>
                <w:rFonts w:hint="default" w:ascii="宋体" w:hAnsi="宋体"/>
                <w:snapToGrid w:val="0"/>
                <w:szCs w:val="21"/>
              </w:rPr>
            </w:pPr>
            <w:r>
              <w:rPr>
                <w:rFonts w:ascii="宋体" w:hAnsi="宋体"/>
                <w:szCs w:val="21"/>
              </w:rPr>
              <w:t>5</w:t>
            </w:r>
          </w:p>
        </w:tc>
        <w:tc>
          <w:tcPr>
            <w:tcW w:w="3488" w:type="pct"/>
            <w:tcBorders>
              <w:top w:val="single" w:color="000000" w:sz="8" w:space="0"/>
              <w:left w:val="single" w:color="000000" w:sz="8" w:space="0"/>
              <w:bottom w:val="single" w:color="000000" w:sz="8" w:space="0"/>
              <w:right w:val="single" w:color="000000" w:sz="8" w:space="0"/>
            </w:tcBorders>
            <w:shd w:val="clear" w:color="auto" w:fill="auto"/>
          </w:tcPr>
          <w:p>
            <w:pPr>
              <w:pStyle w:val="63"/>
              <w:jc w:val="left"/>
              <w:rPr>
                <w:rFonts w:hint="default" w:ascii="宋体" w:hAnsi="宋体"/>
                <w:snapToGrid w:val="0"/>
                <w:szCs w:val="21"/>
              </w:rPr>
            </w:pPr>
            <w:r>
              <w:rPr>
                <w:rFonts w:ascii="宋体" w:hAnsi="宋体"/>
                <w:szCs w:val="21"/>
              </w:rPr>
              <w:t>根据紧急任务或事故处理等应急保障响应能力：应急机构、应急人员、应急车辆设备、应急物资储备、应急响应时间及保障能力方案的完整性、可行性打。（0-5分）</w:t>
            </w:r>
          </w:p>
        </w:tc>
      </w:tr>
      <w:tr>
        <w:tblPrEx>
          <w:tblCellMar>
            <w:top w:w="0" w:type="dxa"/>
            <w:left w:w="108" w:type="dxa"/>
            <w:bottom w:w="0" w:type="dxa"/>
            <w:right w:w="108" w:type="dxa"/>
          </w:tblCellMar>
        </w:tblPrEx>
        <w:trPr>
          <w:trHeight w:val="940" w:hRule="atLeast"/>
          <w:jc w:val="center"/>
        </w:trPr>
        <w:tc>
          <w:tcPr>
            <w:tcW w:w="956"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pPr>
              <w:adjustRightInd w:val="0"/>
              <w:snapToGrid w:val="0"/>
              <w:jc w:val="center"/>
              <w:rPr>
                <w:rFonts w:ascii="宋体" w:hAnsi="宋体" w:cs="宋体"/>
                <w:snapToGrid w:val="0"/>
                <w:color w:val="000000"/>
                <w:szCs w:val="21"/>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pStyle w:val="64"/>
              <w:snapToGrid w:val="0"/>
              <w:jc w:val="center"/>
              <w:rPr>
                <w:rFonts w:ascii="宋体" w:hAnsi="宋体" w:cs="宋体"/>
                <w:snapToGrid w:val="0"/>
                <w:sz w:val="21"/>
                <w:szCs w:val="21"/>
              </w:rPr>
            </w:pPr>
            <w:r>
              <w:rPr>
                <w:rFonts w:hint="eastAsia" w:ascii="宋体" w:hAnsi="宋体" w:cs="宋体"/>
                <w:sz w:val="21"/>
                <w:szCs w:val="21"/>
              </w:rPr>
              <w:t>4</w:t>
            </w:r>
          </w:p>
        </w:tc>
        <w:tc>
          <w:tcPr>
            <w:tcW w:w="3488" w:type="pc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snapToGrid w:val="0"/>
                <w:szCs w:val="21"/>
              </w:rPr>
            </w:pPr>
            <w:r>
              <w:rPr>
                <w:rFonts w:hint="eastAsia" w:ascii="宋体" w:hAnsi="宋体" w:cs="宋体"/>
                <w:szCs w:val="21"/>
              </w:rPr>
              <w:t>公开投诉电话、“数字城管”采集和群众信访、投诉处理件及110联动处理等应对方案,根据方案的及时性、可行性进行评分。（0-4分）</w:t>
            </w:r>
          </w:p>
        </w:tc>
      </w:tr>
    </w:tbl>
    <w:p>
      <w:pPr>
        <w:pStyle w:val="11"/>
        <w:snapToGrid w:val="0"/>
        <w:spacing w:line="460" w:lineRule="exact"/>
        <w:ind w:firstLine="422" w:firstLineChars="200"/>
        <w:rPr>
          <w:rFonts w:ascii="仿宋" w:hAnsi="仿宋" w:eastAsia="仿宋" w:cs="仿宋"/>
          <w:b/>
          <w:bCs/>
        </w:rPr>
      </w:pPr>
      <w:r>
        <w:rPr>
          <w:rFonts w:hint="eastAsia" w:ascii="仿宋" w:hAnsi="仿宋" w:eastAsia="仿宋" w:cs="仿宋"/>
          <w:b/>
          <w:bCs/>
        </w:rPr>
        <w:t>4、分值的计算</w:t>
      </w:r>
    </w:p>
    <w:p>
      <w:pPr>
        <w:spacing w:beforeLines="50" w:afterLines="50" w:line="460" w:lineRule="exact"/>
        <w:ind w:firstLine="420"/>
        <w:rPr>
          <w:rFonts w:ascii="仿宋" w:hAnsi="仿宋" w:eastAsia="仿宋" w:cs="仿宋"/>
          <w:sz w:val="24"/>
        </w:rPr>
      </w:pPr>
      <w:r>
        <w:rPr>
          <w:rFonts w:hint="eastAsia" w:ascii="仿宋" w:hAnsi="仿宋" w:eastAsia="仿宋" w:cs="仿宋"/>
          <w:bCs/>
          <w:sz w:val="24"/>
        </w:rPr>
        <w:t>报价得分=（基准价/报价）×价格权值×100(精确到小数点后二位，由采购</w:t>
      </w:r>
      <w:r>
        <w:rPr>
          <w:rFonts w:hint="eastAsia" w:ascii="仿宋" w:hAnsi="仿宋" w:eastAsia="仿宋" w:cs="仿宋"/>
          <w:sz w:val="24"/>
          <w:lang w:val="zh-CN"/>
        </w:rPr>
        <w:t>机构当场统一计算)</w:t>
      </w:r>
    </w:p>
    <w:p>
      <w:pPr>
        <w:spacing w:beforeLines="50" w:afterLines="50" w:line="460" w:lineRule="exact"/>
        <w:ind w:firstLine="420"/>
        <w:rPr>
          <w:rFonts w:ascii="仿宋" w:hAnsi="仿宋" w:eastAsia="仿宋" w:cs="仿宋"/>
          <w:sz w:val="24"/>
        </w:rPr>
      </w:pPr>
      <w:r>
        <w:rPr>
          <w:rFonts w:hint="eastAsia" w:ascii="仿宋" w:hAnsi="仿宋" w:eastAsia="仿宋" w:cs="仿宋"/>
          <w:sz w:val="24"/>
        </w:rPr>
        <w:t>技术、资信、商务及其他分按照评审小组成员的独立评分结果汇总后的算术平均分计算，计算公式为：</w:t>
      </w:r>
    </w:p>
    <w:p>
      <w:pPr>
        <w:spacing w:beforeLines="50" w:afterLines="50" w:line="460" w:lineRule="exact"/>
        <w:ind w:firstLine="420"/>
        <w:rPr>
          <w:rFonts w:ascii="仿宋" w:hAnsi="仿宋" w:eastAsia="仿宋" w:cs="仿宋"/>
          <w:sz w:val="24"/>
        </w:rPr>
      </w:pPr>
      <w:r>
        <w:rPr>
          <w:rFonts w:hint="eastAsia" w:ascii="仿宋" w:hAnsi="仿宋" w:eastAsia="仿宋" w:cs="仿宋"/>
          <w:sz w:val="24"/>
        </w:rPr>
        <w:t>技术、资信商务及其他分=评审小组所有成员评分合计数/评审小组成员组成人数</w:t>
      </w:r>
    </w:p>
    <w:p>
      <w:pPr>
        <w:spacing w:beforeLines="50" w:afterLines="50" w:line="460" w:lineRule="exact"/>
        <w:ind w:firstLine="420"/>
        <w:rPr>
          <w:rFonts w:ascii="仿宋" w:hAnsi="仿宋" w:eastAsia="仿宋" w:cs="仿宋"/>
          <w:sz w:val="24"/>
        </w:rPr>
      </w:pPr>
      <w:r>
        <w:rPr>
          <w:rFonts w:hint="eastAsia" w:ascii="仿宋" w:hAnsi="仿宋" w:eastAsia="仿宋" w:cs="仿宋"/>
          <w:sz w:val="24"/>
        </w:rPr>
        <w:t>各投标人综合得分=投标价格分+(技术+资信商务及其他分)</w:t>
      </w:r>
    </w:p>
    <w:p>
      <w:pPr>
        <w:pStyle w:val="18"/>
        <w:ind w:left="0" w:leftChars="0" w:firstLineChars="0"/>
        <w:rPr>
          <w:rFonts w:ascii="仿宋" w:hAnsi="仿宋" w:eastAsia="仿宋" w:cs="仿宋"/>
          <w:sz w:val="24"/>
        </w:rPr>
      </w:pPr>
    </w:p>
    <w:p>
      <w:pPr>
        <w:spacing w:line="360" w:lineRule="auto"/>
        <w:jc w:val="center"/>
        <w:rPr>
          <w:rFonts w:ascii="仿宋" w:hAnsi="仿宋" w:eastAsia="仿宋" w:cs="仿宋"/>
          <w:b/>
          <w:sz w:val="36"/>
        </w:rPr>
      </w:pPr>
      <w:r>
        <w:rPr>
          <w:rStyle w:val="30"/>
          <w:rFonts w:hAnsi="宋体"/>
          <w:b/>
          <w:sz w:val="32"/>
          <w:szCs w:val="32"/>
        </w:rPr>
        <w:br w:type="page"/>
      </w:r>
      <w:r>
        <w:rPr>
          <w:rFonts w:hint="eastAsia" w:ascii="仿宋" w:hAnsi="仿宋" w:eastAsia="仿宋" w:cs="仿宋"/>
          <w:b/>
          <w:sz w:val="36"/>
          <w:szCs w:val="36"/>
        </w:rPr>
        <w:t>第五部分  拟签订的合同文本</w:t>
      </w:r>
    </w:p>
    <w:p>
      <w:pPr>
        <w:pStyle w:val="11"/>
        <w:snapToGrid w:val="0"/>
        <w:spacing w:line="500" w:lineRule="exact"/>
        <w:jc w:val="center"/>
        <w:rPr>
          <w:rFonts w:ascii="仿宋" w:hAnsi="仿宋" w:eastAsia="仿宋" w:cs="仿宋"/>
          <w:b/>
          <w:bCs/>
          <w:sz w:val="30"/>
          <w:szCs w:val="30"/>
        </w:rPr>
      </w:pPr>
      <w:r>
        <w:rPr>
          <w:rFonts w:hint="eastAsia" w:ascii="仿宋" w:hAnsi="仿宋" w:eastAsia="仿宋" w:cs="仿宋"/>
          <w:b/>
          <w:bCs/>
          <w:sz w:val="30"/>
          <w:szCs w:val="30"/>
        </w:rPr>
        <w:t>（本合同为合同样稿，最终稿由双方协商后确定）</w:t>
      </w:r>
    </w:p>
    <w:p>
      <w:pPr>
        <w:pStyle w:val="11"/>
        <w:snapToGrid w:val="0"/>
        <w:spacing w:line="500" w:lineRule="exact"/>
        <w:jc w:val="center"/>
      </w:pPr>
      <w:r>
        <w:rPr>
          <w:rFonts w:hint="eastAsia" w:ascii="仿宋" w:hAnsi="仿宋" w:eastAsia="仿宋" w:cs="仿宋"/>
          <w:b/>
          <w:bCs/>
          <w:sz w:val="28"/>
          <w:szCs w:val="28"/>
        </w:rPr>
        <w:t>合同编号：</w:t>
      </w:r>
    </w:p>
    <w:p>
      <w:pPr>
        <w:snapToGrid w:val="0"/>
        <w:spacing w:line="360" w:lineRule="auto"/>
        <w:ind w:firstLine="480"/>
        <w:rPr>
          <w:rFonts w:ascii="仿宋" w:hAnsi="仿宋" w:eastAsia="仿宋" w:cs="仿宋"/>
          <w:b/>
          <w:bCs/>
          <w:sz w:val="24"/>
          <w:szCs w:val="28"/>
        </w:rPr>
      </w:pPr>
    </w:p>
    <w:p>
      <w:pPr>
        <w:pStyle w:val="11"/>
        <w:spacing w:line="360" w:lineRule="auto"/>
        <w:ind w:firstLine="480"/>
        <w:rPr>
          <w:rFonts w:ascii="仿宋" w:hAnsi="仿宋" w:eastAsia="仿宋" w:cs="仿宋"/>
          <w:sz w:val="24"/>
          <w:szCs w:val="24"/>
        </w:rPr>
      </w:pPr>
    </w:p>
    <w:p>
      <w:pPr>
        <w:pStyle w:val="11"/>
        <w:snapToGrid w:val="0"/>
        <w:spacing w:before="120" w:after="120" w:line="500" w:lineRule="exact"/>
        <w:rPr>
          <w:rFonts w:cs="宋体"/>
          <w:b/>
          <w:bCs/>
          <w:color w:val="000000"/>
          <w:sz w:val="28"/>
          <w:szCs w:val="28"/>
        </w:rPr>
      </w:pPr>
      <w:r>
        <w:rPr>
          <w:rFonts w:hint="eastAsia" w:cs="宋体"/>
          <w:b/>
          <w:bCs/>
          <w:color w:val="000000"/>
          <w:sz w:val="28"/>
          <w:szCs w:val="28"/>
        </w:rPr>
        <w:t>甲  方（使用方）：</w:t>
      </w:r>
    </w:p>
    <w:p>
      <w:pPr>
        <w:pStyle w:val="11"/>
        <w:snapToGrid w:val="0"/>
        <w:spacing w:before="120" w:after="120" w:line="500" w:lineRule="exact"/>
        <w:rPr>
          <w:rFonts w:cs="宋体"/>
          <w:b/>
          <w:bCs/>
          <w:color w:val="000000"/>
          <w:sz w:val="28"/>
          <w:szCs w:val="28"/>
        </w:rPr>
      </w:pPr>
      <w:r>
        <w:rPr>
          <w:rFonts w:hint="eastAsia" w:cs="宋体"/>
          <w:b/>
          <w:bCs/>
          <w:color w:val="000000"/>
          <w:sz w:val="28"/>
          <w:szCs w:val="28"/>
        </w:rPr>
        <w:t>乙  方（供应商）:</w:t>
      </w:r>
    </w:p>
    <w:p>
      <w:pPr>
        <w:pStyle w:val="11"/>
        <w:snapToGrid w:val="0"/>
        <w:spacing w:before="120" w:after="120" w:line="360" w:lineRule="auto"/>
        <w:ind w:firstLine="540" w:firstLineChars="225"/>
        <w:rPr>
          <w:rFonts w:cs="宋体"/>
          <w:color w:val="000000"/>
          <w:kern w:val="0"/>
          <w:sz w:val="24"/>
          <w:szCs w:val="24"/>
        </w:rPr>
      </w:pPr>
      <w:r>
        <w:rPr>
          <w:rFonts w:hint="eastAsia" w:cs="宋体"/>
          <w:color w:val="000000"/>
          <w:kern w:val="0"/>
          <w:sz w:val="24"/>
          <w:szCs w:val="24"/>
        </w:rPr>
        <w:t>根据《中华人民共和国政府采购法》、《中华人民共和国合同法》的规定，经公开招标，确定乙方为</w:t>
      </w:r>
      <w:r>
        <w:rPr>
          <w:rFonts w:hint="eastAsia" w:cs="宋体"/>
          <w:color w:val="000000"/>
          <w:kern w:val="0"/>
          <w:sz w:val="24"/>
          <w:szCs w:val="24"/>
          <w:u w:val="single"/>
        </w:rPr>
        <w:t xml:space="preserve">                </w:t>
      </w:r>
      <w:r>
        <w:rPr>
          <w:rFonts w:hint="eastAsia" w:cs="宋体"/>
          <w:color w:val="000000"/>
          <w:kern w:val="0"/>
          <w:sz w:val="24"/>
          <w:szCs w:val="24"/>
        </w:rPr>
        <w:t xml:space="preserve"> 公开招标的中标单位。按照招标文件和投标结果，为明确双方的权利和义务，经甲乙双方协商达成合同如下：</w:t>
      </w:r>
    </w:p>
    <w:p>
      <w:pPr>
        <w:pStyle w:val="11"/>
        <w:snapToGrid w:val="0"/>
        <w:spacing w:before="120" w:after="120" w:line="360" w:lineRule="auto"/>
        <w:ind w:firstLine="371" w:firstLineChars="176"/>
        <w:rPr>
          <w:rFonts w:cs="宋体"/>
          <w:color w:val="000000"/>
        </w:rPr>
      </w:pPr>
      <w:r>
        <w:rPr>
          <w:rFonts w:hint="eastAsia" w:cs="宋体"/>
          <w:b/>
          <w:bCs/>
          <w:color w:val="000000"/>
        </w:rPr>
        <w:t>第一条：设备内容、数量、价款</w:t>
      </w:r>
    </w:p>
    <w:tbl>
      <w:tblPr>
        <w:tblStyle w:val="19"/>
        <w:tblW w:w="9767" w:type="dxa"/>
        <w:tblInd w:w="2"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068"/>
        <w:gridCol w:w="3616"/>
        <w:gridCol w:w="845"/>
        <w:gridCol w:w="1014"/>
        <w:gridCol w:w="1612"/>
        <w:gridCol w:w="161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1068" w:type="dxa"/>
            <w:tcBorders>
              <w:top w:val="single" w:color="auto" w:sz="4" w:space="0"/>
              <w:left w:val="single" w:color="auto" w:sz="4" w:space="0"/>
              <w:bottom w:val="nil"/>
              <w:right w:val="single" w:color="auto" w:sz="4" w:space="0"/>
            </w:tcBorders>
            <w:vAlign w:val="center"/>
          </w:tcPr>
          <w:p>
            <w:pPr>
              <w:snapToGrid w:val="0"/>
              <w:spacing w:line="240" w:lineRule="atLeast"/>
              <w:jc w:val="center"/>
              <w:rPr>
                <w:rFonts w:ascii="宋体" w:hAnsi="宋体" w:cs="宋体"/>
                <w:b/>
                <w:bCs/>
                <w:color w:val="000000"/>
                <w:sz w:val="28"/>
                <w:szCs w:val="28"/>
              </w:rPr>
            </w:pPr>
            <w:r>
              <w:rPr>
                <w:rFonts w:hint="eastAsia" w:ascii="宋体" w:hAnsi="宋体" w:cs="宋体"/>
                <w:b/>
                <w:bCs/>
                <w:color w:val="000000"/>
                <w:sz w:val="28"/>
                <w:szCs w:val="28"/>
              </w:rPr>
              <w:t>序号</w:t>
            </w:r>
          </w:p>
        </w:tc>
        <w:tc>
          <w:tcPr>
            <w:tcW w:w="3616" w:type="dxa"/>
            <w:tcBorders>
              <w:top w:val="single" w:color="auto" w:sz="4" w:space="0"/>
              <w:left w:val="single" w:color="auto" w:sz="4" w:space="0"/>
              <w:bottom w:val="nil"/>
              <w:right w:val="single" w:color="auto" w:sz="4" w:space="0"/>
            </w:tcBorders>
            <w:vAlign w:val="center"/>
          </w:tcPr>
          <w:p>
            <w:pPr>
              <w:snapToGrid w:val="0"/>
              <w:spacing w:line="240" w:lineRule="atLeast"/>
              <w:jc w:val="center"/>
              <w:rPr>
                <w:rFonts w:ascii="宋体" w:hAnsi="宋体" w:cs="宋体"/>
                <w:b/>
                <w:bCs/>
                <w:color w:val="000000"/>
                <w:sz w:val="28"/>
                <w:szCs w:val="28"/>
              </w:rPr>
            </w:pPr>
            <w:r>
              <w:rPr>
                <w:rFonts w:hint="eastAsia" w:ascii="宋体" w:hAnsi="宋体" w:cs="宋体"/>
                <w:b/>
                <w:bCs/>
                <w:color w:val="000000"/>
                <w:sz w:val="28"/>
                <w:szCs w:val="28"/>
              </w:rPr>
              <w:t>项目名称</w:t>
            </w:r>
          </w:p>
        </w:tc>
        <w:tc>
          <w:tcPr>
            <w:tcW w:w="845" w:type="dxa"/>
            <w:tcBorders>
              <w:top w:val="single" w:color="auto" w:sz="4" w:space="0"/>
              <w:left w:val="single" w:color="auto" w:sz="4" w:space="0"/>
              <w:bottom w:val="nil"/>
              <w:right w:val="single" w:color="auto" w:sz="4" w:space="0"/>
            </w:tcBorders>
            <w:vAlign w:val="center"/>
          </w:tcPr>
          <w:p>
            <w:pPr>
              <w:snapToGrid w:val="0"/>
              <w:spacing w:line="240" w:lineRule="atLeast"/>
              <w:jc w:val="center"/>
              <w:rPr>
                <w:rFonts w:ascii="宋体" w:hAnsi="宋体" w:cs="宋体"/>
                <w:b/>
                <w:bCs/>
                <w:color w:val="000000"/>
                <w:sz w:val="28"/>
                <w:szCs w:val="28"/>
              </w:rPr>
            </w:pPr>
            <w:r>
              <w:rPr>
                <w:rFonts w:hint="eastAsia" w:ascii="宋体" w:hAnsi="宋体" w:cs="宋体"/>
                <w:b/>
                <w:bCs/>
                <w:color w:val="000000"/>
                <w:sz w:val="28"/>
                <w:szCs w:val="28"/>
              </w:rPr>
              <w:t>单位</w:t>
            </w:r>
          </w:p>
        </w:tc>
        <w:tc>
          <w:tcPr>
            <w:tcW w:w="1014" w:type="dxa"/>
            <w:tcBorders>
              <w:top w:val="single" w:color="auto" w:sz="4" w:space="0"/>
              <w:left w:val="single" w:color="auto" w:sz="4" w:space="0"/>
              <w:bottom w:val="nil"/>
              <w:right w:val="single" w:color="auto" w:sz="4" w:space="0"/>
            </w:tcBorders>
            <w:vAlign w:val="center"/>
          </w:tcPr>
          <w:p>
            <w:pPr>
              <w:snapToGrid w:val="0"/>
              <w:spacing w:line="240" w:lineRule="atLeast"/>
              <w:jc w:val="center"/>
              <w:rPr>
                <w:rFonts w:ascii="宋体" w:hAnsi="宋体" w:cs="宋体"/>
                <w:b/>
                <w:bCs/>
                <w:color w:val="000000"/>
                <w:sz w:val="28"/>
                <w:szCs w:val="28"/>
              </w:rPr>
            </w:pPr>
            <w:r>
              <w:rPr>
                <w:rFonts w:hint="eastAsia" w:ascii="宋体" w:hAnsi="宋体" w:cs="宋体"/>
                <w:b/>
                <w:bCs/>
                <w:color w:val="000000"/>
                <w:sz w:val="28"/>
                <w:szCs w:val="28"/>
              </w:rPr>
              <w:t>数量</w:t>
            </w:r>
          </w:p>
        </w:tc>
        <w:tc>
          <w:tcPr>
            <w:tcW w:w="1612" w:type="dxa"/>
            <w:tcBorders>
              <w:top w:val="single" w:color="auto" w:sz="4" w:space="0"/>
              <w:left w:val="single" w:color="auto" w:sz="4" w:space="0"/>
              <w:bottom w:val="nil"/>
              <w:right w:val="single" w:color="auto" w:sz="4" w:space="0"/>
            </w:tcBorders>
            <w:vAlign w:val="center"/>
          </w:tcPr>
          <w:p>
            <w:pPr>
              <w:snapToGrid w:val="0"/>
              <w:spacing w:line="240" w:lineRule="atLeast"/>
              <w:jc w:val="center"/>
              <w:rPr>
                <w:rFonts w:ascii="宋体" w:hAnsi="宋体" w:cs="宋体"/>
                <w:b/>
                <w:bCs/>
                <w:color w:val="000000"/>
                <w:sz w:val="28"/>
                <w:szCs w:val="28"/>
              </w:rPr>
            </w:pPr>
            <w:r>
              <w:rPr>
                <w:rFonts w:hint="eastAsia" w:ascii="宋体" w:hAnsi="宋体" w:cs="宋体"/>
                <w:b/>
                <w:bCs/>
                <w:color w:val="000000"/>
                <w:sz w:val="28"/>
                <w:szCs w:val="28"/>
              </w:rPr>
              <w:t>单价（元）</w:t>
            </w:r>
          </w:p>
        </w:tc>
        <w:tc>
          <w:tcPr>
            <w:tcW w:w="1612" w:type="dxa"/>
            <w:tcBorders>
              <w:top w:val="single" w:color="auto" w:sz="4" w:space="0"/>
              <w:left w:val="single" w:color="auto" w:sz="4" w:space="0"/>
              <w:bottom w:val="nil"/>
              <w:right w:val="single" w:color="auto" w:sz="4" w:space="0"/>
            </w:tcBorders>
            <w:vAlign w:val="center"/>
          </w:tcPr>
          <w:p>
            <w:pPr>
              <w:snapToGrid w:val="0"/>
              <w:spacing w:line="240" w:lineRule="atLeast"/>
              <w:jc w:val="center"/>
              <w:rPr>
                <w:rFonts w:ascii="宋体" w:hAnsi="宋体" w:cs="宋体"/>
                <w:b/>
                <w:bCs/>
                <w:color w:val="000000"/>
                <w:sz w:val="28"/>
                <w:szCs w:val="28"/>
              </w:rPr>
            </w:pPr>
            <w:r>
              <w:rPr>
                <w:rFonts w:hint="eastAsia" w:ascii="宋体" w:hAnsi="宋体" w:cs="宋体"/>
                <w:b/>
                <w:bCs/>
                <w:color w:val="000000"/>
                <w:sz w:val="28"/>
                <w:szCs w:val="2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068" w:type="dxa"/>
            <w:vAlign w:val="center"/>
          </w:tcPr>
          <w:p>
            <w:pPr>
              <w:adjustRightInd w:val="0"/>
              <w:snapToGrid w:val="0"/>
              <w:spacing w:line="240" w:lineRule="atLeast"/>
              <w:ind w:firstLine="280" w:firstLineChars="100"/>
              <w:rPr>
                <w:rFonts w:ascii="宋体" w:hAnsi="宋体" w:cs="宋体"/>
                <w:color w:val="000000"/>
                <w:sz w:val="28"/>
                <w:szCs w:val="28"/>
              </w:rPr>
            </w:pPr>
            <w:r>
              <w:rPr>
                <w:rFonts w:hint="eastAsia" w:ascii="宋体" w:hAnsi="宋体" w:cs="宋体"/>
                <w:color w:val="000000"/>
                <w:sz w:val="28"/>
                <w:szCs w:val="28"/>
              </w:rPr>
              <w:t>1</w:t>
            </w:r>
          </w:p>
        </w:tc>
        <w:tc>
          <w:tcPr>
            <w:tcW w:w="3616" w:type="dxa"/>
            <w:vAlign w:val="center"/>
          </w:tcPr>
          <w:p>
            <w:pPr>
              <w:ind w:left="722" w:leftChars="144" w:hanging="420" w:hangingChars="200"/>
            </w:pPr>
          </w:p>
        </w:tc>
        <w:tc>
          <w:tcPr>
            <w:tcW w:w="845" w:type="dxa"/>
            <w:vAlign w:val="center"/>
          </w:tcPr>
          <w:p>
            <w:pPr>
              <w:adjustRightInd w:val="0"/>
              <w:snapToGrid w:val="0"/>
              <w:spacing w:line="240" w:lineRule="atLeast"/>
              <w:rPr>
                <w:rFonts w:ascii="宋体" w:hAnsi="宋体" w:cs="宋体"/>
                <w:color w:val="000000"/>
                <w:sz w:val="28"/>
                <w:szCs w:val="28"/>
              </w:rPr>
            </w:pPr>
          </w:p>
        </w:tc>
        <w:tc>
          <w:tcPr>
            <w:tcW w:w="1014" w:type="dxa"/>
            <w:vAlign w:val="center"/>
          </w:tcPr>
          <w:p>
            <w:pPr>
              <w:adjustRightInd w:val="0"/>
              <w:snapToGrid w:val="0"/>
              <w:spacing w:line="240" w:lineRule="atLeast"/>
              <w:rPr>
                <w:rFonts w:ascii="宋体" w:hAnsi="宋体" w:cs="宋体"/>
                <w:color w:val="000000"/>
                <w:sz w:val="28"/>
                <w:szCs w:val="28"/>
              </w:rPr>
            </w:pPr>
          </w:p>
        </w:tc>
        <w:tc>
          <w:tcPr>
            <w:tcW w:w="1612" w:type="dxa"/>
            <w:vAlign w:val="center"/>
          </w:tcPr>
          <w:p>
            <w:pPr>
              <w:adjustRightInd w:val="0"/>
              <w:snapToGrid w:val="0"/>
              <w:spacing w:line="240" w:lineRule="atLeast"/>
              <w:rPr>
                <w:rFonts w:ascii="宋体" w:hAnsi="宋体" w:cs="宋体"/>
                <w:color w:val="000000"/>
                <w:sz w:val="28"/>
                <w:szCs w:val="28"/>
              </w:rPr>
            </w:pPr>
          </w:p>
        </w:tc>
        <w:tc>
          <w:tcPr>
            <w:tcW w:w="1612" w:type="dxa"/>
            <w:vAlign w:val="center"/>
          </w:tcPr>
          <w:p>
            <w:pPr>
              <w:adjustRightInd w:val="0"/>
              <w:snapToGrid w:val="0"/>
              <w:spacing w:line="240" w:lineRule="atLeast"/>
              <w:ind w:firstLine="840" w:firstLineChars="300"/>
              <w:rPr>
                <w:rFonts w:ascii="宋体" w:hAnsi="宋体" w:cs="宋体"/>
                <w:color w:val="000000"/>
                <w:sz w:val="28"/>
                <w:szCs w:val="28"/>
              </w:rPr>
            </w:pPr>
          </w:p>
        </w:tc>
      </w:tr>
    </w:tbl>
    <w:p>
      <w:pPr>
        <w:tabs>
          <w:tab w:val="left" w:pos="5500"/>
        </w:tabs>
        <w:autoSpaceDE w:val="0"/>
        <w:adjustRightInd w:val="0"/>
        <w:spacing w:line="360" w:lineRule="auto"/>
        <w:ind w:firstLine="480"/>
        <w:jc w:val="left"/>
        <w:rPr>
          <w:rFonts w:ascii="宋体" w:hAnsi="宋体" w:cs="宋体"/>
          <w:color w:val="000000"/>
          <w:kern w:val="0"/>
          <w:sz w:val="24"/>
        </w:rPr>
      </w:pPr>
      <w:r>
        <w:rPr>
          <w:rFonts w:hint="eastAsia" w:ascii="宋体" w:hAnsi="宋体" w:cs="宋体"/>
          <w:color w:val="000000"/>
          <w:kern w:val="0"/>
          <w:sz w:val="24"/>
        </w:rPr>
        <w:t>包括所有技术资料、人员费用</w:t>
      </w:r>
      <w:r>
        <w:rPr>
          <w:rFonts w:hint="eastAsia" w:ascii="宋体" w:hAnsi="宋体" w:cs="宋体"/>
          <w:color w:val="000000"/>
          <w:kern w:val="0"/>
          <w:sz w:val="24"/>
          <w:lang w:val="en-GB"/>
        </w:rPr>
        <w:t>、</w:t>
      </w:r>
      <w:r>
        <w:rPr>
          <w:rFonts w:hint="eastAsia" w:ascii="宋体" w:hAnsi="宋体" w:cs="宋体"/>
          <w:color w:val="000000"/>
          <w:kern w:val="0"/>
          <w:sz w:val="24"/>
        </w:rPr>
        <w:t>管理费用</w:t>
      </w:r>
      <w:r>
        <w:rPr>
          <w:rFonts w:hint="eastAsia" w:ascii="宋体" w:hAnsi="宋体" w:cs="宋体"/>
          <w:color w:val="000000"/>
          <w:kern w:val="0"/>
          <w:sz w:val="24"/>
          <w:lang w:val="en-GB"/>
        </w:rPr>
        <w:t>、</w:t>
      </w:r>
      <w:r>
        <w:rPr>
          <w:rFonts w:hint="eastAsia" w:ascii="宋体" w:hAnsi="宋体" w:cs="宋体"/>
          <w:color w:val="000000"/>
          <w:kern w:val="0"/>
          <w:sz w:val="24"/>
        </w:rPr>
        <w:t>保险、税费等（包含合同中明示或暗示的所有一般风险、责任和义务等所产生的费用）一切费用。所有相关费用应包含在投标总价中, 投标总价在合同执行过程中是固定不变的，不得以任何理由予以变更。</w:t>
      </w:r>
    </w:p>
    <w:p>
      <w:pPr>
        <w:tabs>
          <w:tab w:val="left" w:pos="5500"/>
        </w:tabs>
        <w:autoSpaceDE w:val="0"/>
        <w:adjustRightInd w:val="0"/>
        <w:spacing w:line="360" w:lineRule="auto"/>
        <w:ind w:firstLine="424" w:firstLineChars="176"/>
        <w:jc w:val="left"/>
        <w:rPr>
          <w:rFonts w:ascii="宋体" w:hAnsi="宋体" w:cs="宋体"/>
          <w:b/>
          <w:bCs/>
          <w:color w:val="000000"/>
          <w:kern w:val="0"/>
          <w:sz w:val="24"/>
        </w:rPr>
      </w:pPr>
      <w:r>
        <w:rPr>
          <w:rFonts w:hint="eastAsia" w:ascii="宋体" w:hAnsi="宋体" w:cs="宋体"/>
          <w:b/>
          <w:bCs/>
          <w:color w:val="000000"/>
          <w:kern w:val="0"/>
          <w:sz w:val="24"/>
        </w:rPr>
        <w:t>第二条：设备要求</w:t>
      </w:r>
    </w:p>
    <w:p>
      <w:pPr>
        <w:spacing w:line="452" w:lineRule="exact"/>
        <w:ind w:firstLine="482" w:firstLineChars="200"/>
        <w:rPr>
          <w:rFonts w:ascii="宋体" w:hAnsi="宋体" w:cs="宋体"/>
          <w:b/>
          <w:bCs/>
          <w:color w:val="000000"/>
          <w:kern w:val="0"/>
          <w:sz w:val="24"/>
        </w:rPr>
      </w:pPr>
      <w:r>
        <w:rPr>
          <w:rFonts w:hint="eastAsia" w:ascii="宋体" w:hAnsi="宋体" w:cs="宋体"/>
          <w:b/>
          <w:bCs/>
          <w:color w:val="000000"/>
          <w:kern w:val="0"/>
          <w:sz w:val="24"/>
        </w:rPr>
        <w:t>第三条：付款方式：</w:t>
      </w:r>
    </w:p>
    <w:p>
      <w:pPr>
        <w:pStyle w:val="25"/>
      </w:pPr>
    </w:p>
    <w:p>
      <w:pPr>
        <w:spacing w:line="360" w:lineRule="auto"/>
        <w:ind w:firstLine="424" w:firstLineChars="176"/>
        <w:rPr>
          <w:rFonts w:ascii="宋体" w:hAnsi="宋体" w:cs="宋体"/>
          <w:b/>
          <w:bCs/>
          <w:color w:val="000000"/>
          <w:sz w:val="24"/>
        </w:rPr>
      </w:pPr>
      <w:r>
        <w:rPr>
          <w:rFonts w:hint="eastAsia" w:ascii="宋体" w:hAnsi="宋体" w:cs="宋体"/>
          <w:b/>
          <w:bCs/>
          <w:color w:val="000000"/>
          <w:sz w:val="24"/>
        </w:rPr>
        <w:t>第四条：服务保证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乙方应保证按照招标内容及要求进行服务，严格按照相关法律法规。</w:t>
      </w:r>
    </w:p>
    <w:p>
      <w:pPr>
        <w:spacing w:line="360" w:lineRule="auto"/>
        <w:ind w:firstLine="424" w:firstLineChars="176"/>
        <w:rPr>
          <w:rFonts w:ascii="宋体" w:hAnsi="宋体" w:cs="宋体"/>
          <w:b/>
          <w:bCs/>
          <w:color w:val="000000"/>
          <w:sz w:val="24"/>
        </w:rPr>
      </w:pPr>
      <w:r>
        <w:rPr>
          <w:rFonts w:hint="eastAsia" w:ascii="宋体" w:hAnsi="宋体" w:cs="宋体"/>
          <w:b/>
          <w:bCs/>
          <w:color w:val="000000"/>
          <w:sz w:val="24"/>
        </w:rPr>
        <w:t>第五条：惩罚办法</w:t>
      </w:r>
    </w:p>
    <w:p>
      <w:pPr>
        <w:adjustRightInd w:val="0"/>
        <w:snapToGrid w:val="0"/>
        <w:spacing w:line="360" w:lineRule="auto"/>
        <w:ind w:firstLine="510"/>
        <w:rPr>
          <w:rFonts w:ascii="宋体" w:hAnsi="宋体" w:cs="宋体"/>
          <w:color w:val="000000"/>
          <w:sz w:val="24"/>
        </w:rPr>
      </w:pPr>
      <w:r>
        <w:rPr>
          <w:rFonts w:hint="eastAsia" w:ascii="宋体" w:hAnsi="宋体" w:cs="宋体"/>
          <w:color w:val="000000"/>
          <w:sz w:val="24"/>
        </w:rPr>
        <w:t>一旦发现虚假数据，采购人有权终止合同，并按已支付费用的双倍进行经济处罚。</w:t>
      </w:r>
    </w:p>
    <w:p>
      <w:pPr>
        <w:spacing w:line="360" w:lineRule="auto"/>
        <w:ind w:firstLine="424" w:firstLineChars="176"/>
        <w:rPr>
          <w:rFonts w:ascii="宋体" w:hAnsi="宋体" w:cs="宋体"/>
          <w:b/>
          <w:bCs/>
          <w:color w:val="000000"/>
          <w:sz w:val="24"/>
        </w:rPr>
      </w:pPr>
      <w:r>
        <w:rPr>
          <w:rFonts w:hint="eastAsia" w:ascii="宋体" w:hAnsi="宋体" w:cs="宋体"/>
          <w:b/>
          <w:bCs/>
          <w:color w:val="000000"/>
          <w:sz w:val="24"/>
        </w:rPr>
        <w:t>第六条：乙方的责任与义务</w:t>
      </w:r>
    </w:p>
    <w:p>
      <w:pPr>
        <w:spacing w:line="360" w:lineRule="auto"/>
        <w:ind w:firstLine="480" w:firstLineChars="200"/>
        <w:rPr>
          <w:rFonts w:ascii="宋体" w:hAnsi="宋体" w:cs="宋体"/>
          <w:color w:val="000000"/>
          <w:sz w:val="24"/>
        </w:rPr>
      </w:pPr>
      <w:r>
        <w:rPr>
          <w:rFonts w:hint="eastAsia" w:ascii="宋体" w:hAnsi="宋体" w:cs="宋体"/>
          <w:color w:val="000000"/>
          <w:sz w:val="24"/>
        </w:rPr>
        <w:t>1、根据投标文件的承诺向甲方委派项目负责人、技术负责人和专业技术人员。</w:t>
      </w:r>
    </w:p>
    <w:p>
      <w:pPr>
        <w:spacing w:line="360" w:lineRule="auto"/>
        <w:ind w:firstLine="480" w:firstLineChars="200"/>
        <w:rPr>
          <w:rFonts w:ascii="宋体" w:hAnsi="宋体" w:cs="宋体"/>
          <w:color w:val="000000"/>
          <w:sz w:val="24"/>
        </w:rPr>
      </w:pPr>
      <w:r>
        <w:rPr>
          <w:rFonts w:hint="eastAsia" w:ascii="宋体" w:hAnsi="宋体" w:cs="宋体"/>
          <w:color w:val="000000"/>
          <w:sz w:val="24"/>
        </w:rPr>
        <w:t>2、在履行本合同义务的期间，应运用合理的技能，认真、勤奋的工作。</w:t>
      </w:r>
    </w:p>
    <w:p>
      <w:pPr>
        <w:spacing w:line="360" w:lineRule="auto"/>
        <w:ind w:firstLine="480" w:firstLineChars="200"/>
        <w:rPr>
          <w:rFonts w:ascii="宋体" w:hAnsi="宋体" w:cs="宋体"/>
          <w:color w:val="000000"/>
          <w:sz w:val="24"/>
        </w:rPr>
      </w:pPr>
      <w:r>
        <w:rPr>
          <w:rFonts w:hint="eastAsia" w:ascii="宋体" w:hAnsi="宋体" w:cs="宋体"/>
          <w:color w:val="000000"/>
          <w:sz w:val="24"/>
        </w:rPr>
        <w:t>3、在本合同期内或合同终止后，未征得甲方同意，不得泄露与本项目、本合同有关的技术、资料等。</w:t>
      </w:r>
    </w:p>
    <w:p>
      <w:pPr>
        <w:spacing w:line="360" w:lineRule="auto"/>
        <w:ind w:firstLine="480" w:firstLineChars="200"/>
        <w:rPr>
          <w:rFonts w:ascii="宋体" w:hAnsi="宋体" w:cs="宋体"/>
          <w:color w:val="000000"/>
          <w:sz w:val="24"/>
        </w:rPr>
      </w:pPr>
      <w:r>
        <w:rPr>
          <w:rFonts w:hint="eastAsia" w:ascii="宋体" w:hAnsi="宋体" w:cs="宋体"/>
          <w:color w:val="000000"/>
          <w:sz w:val="24"/>
        </w:rPr>
        <w:t>4、负责本项目运行维保，负责处理好与其它项目实施单位的协调。</w:t>
      </w:r>
    </w:p>
    <w:p>
      <w:pPr>
        <w:spacing w:line="360" w:lineRule="auto"/>
        <w:ind w:firstLine="424" w:firstLineChars="176"/>
        <w:rPr>
          <w:rFonts w:ascii="宋体" w:hAnsi="宋体" w:cs="宋体"/>
          <w:b/>
          <w:bCs/>
          <w:color w:val="000000"/>
          <w:sz w:val="24"/>
        </w:rPr>
      </w:pPr>
      <w:r>
        <w:rPr>
          <w:rFonts w:hint="eastAsia" w:ascii="宋体" w:hAnsi="宋体" w:cs="宋体"/>
          <w:b/>
          <w:bCs/>
          <w:color w:val="000000"/>
          <w:sz w:val="24"/>
        </w:rPr>
        <w:t>第七条：甲方的责任与义务</w:t>
      </w:r>
    </w:p>
    <w:p>
      <w:pPr>
        <w:spacing w:line="360" w:lineRule="auto"/>
        <w:ind w:firstLine="480" w:firstLineChars="200"/>
        <w:rPr>
          <w:rFonts w:ascii="宋体" w:hAnsi="宋体" w:cs="宋体"/>
          <w:color w:val="000000"/>
          <w:sz w:val="24"/>
        </w:rPr>
      </w:pPr>
      <w:r>
        <w:rPr>
          <w:rFonts w:hint="eastAsia" w:ascii="宋体" w:hAnsi="宋体" w:cs="宋体"/>
          <w:color w:val="000000"/>
          <w:sz w:val="24"/>
        </w:rPr>
        <w:t>1、应当主要负责项目运维的所有外部关系的联系与协调，为乙方工作提供良好的外部条件。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2、应当按合同专用条款双方约定的内容和时间，向乙方提供与项目运维有关资料。</w:t>
      </w:r>
    </w:p>
    <w:p>
      <w:pPr>
        <w:spacing w:line="360" w:lineRule="auto"/>
        <w:ind w:firstLine="480" w:firstLineChars="200"/>
        <w:rPr>
          <w:rFonts w:ascii="宋体" w:hAnsi="宋体" w:cs="宋体"/>
          <w:color w:val="000000"/>
          <w:sz w:val="24"/>
        </w:rPr>
      </w:pPr>
      <w:r>
        <w:rPr>
          <w:rFonts w:hint="eastAsia" w:ascii="宋体" w:hAnsi="宋体" w:cs="宋体"/>
          <w:color w:val="000000"/>
          <w:sz w:val="24"/>
        </w:rPr>
        <w:t>3、应当按合同专用条款预定的时间就乙方书面提交并要求做出决定的一切事宜做出书面决定。</w:t>
      </w:r>
    </w:p>
    <w:p>
      <w:pPr>
        <w:spacing w:line="360" w:lineRule="auto"/>
        <w:ind w:firstLine="480" w:firstLineChars="200"/>
        <w:rPr>
          <w:rFonts w:ascii="宋体" w:hAnsi="宋体" w:cs="宋体"/>
          <w:color w:val="000000"/>
          <w:sz w:val="24"/>
        </w:rPr>
      </w:pPr>
      <w:r>
        <w:rPr>
          <w:rFonts w:hint="eastAsia" w:ascii="宋体" w:hAnsi="宋体" w:cs="宋体"/>
          <w:color w:val="000000"/>
          <w:sz w:val="24"/>
        </w:rPr>
        <w:t>4、 应授权一名熟悉本项目情况、能迅速做出决定的项目代表，负责与乙方联系，更换代表，要提前通知乙方。</w:t>
      </w:r>
    </w:p>
    <w:p>
      <w:pPr>
        <w:spacing w:line="360" w:lineRule="auto"/>
        <w:ind w:firstLine="480" w:firstLineChars="200"/>
        <w:rPr>
          <w:rFonts w:ascii="宋体" w:hAnsi="宋体" w:cs="宋体"/>
          <w:color w:val="000000"/>
          <w:sz w:val="24"/>
        </w:rPr>
      </w:pPr>
      <w:r>
        <w:rPr>
          <w:rFonts w:hint="eastAsia" w:ascii="宋体" w:hAnsi="宋体" w:cs="宋体"/>
          <w:color w:val="000000"/>
          <w:sz w:val="24"/>
        </w:rPr>
        <w:t>5、有与乙方订立补充合同的签订权。</w:t>
      </w:r>
    </w:p>
    <w:p>
      <w:pPr>
        <w:spacing w:line="360" w:lineRule="auto"/>
        <w:ind w:firstLine="480" w:firstLineChars="200"/>
        <w:rPr>
          <w:rFonts w:ascii="宋体" w:hAnsi="宋体" w:cs="宋体"/>
          <w:color w:val="000000"/>
          <w:sz w:val="24"/>
        </w:rPr>
      </w:pPr>
      <w:r>
        <w:rPr>
          <w:rFonts w:hint="eastAsia" w:ascii="宋体" w:hAnsi="宋体" w:cs="宋体"/>
          <w:color w:val="000000"/>
          <w:sz w:val="24"/>
        </w:rPr>
        <w:t>6、有权要求乙方提交工作进度报告及专项报告等。</w:t>
      </w:r>
    </w:p>
    <w:p>
      <w:pPr>
        <w:spacing w:line="360" w:lineRule="auto"/>
        <w:ind w:firstLine="426" w:firstLineChars="177"/>
        <w:rPr>
          <w:rFonts w:ascii="宋体" w:hAnsi="宋体" w:cs="宋体"/>
          <w:b/>
          <w:bCs/>
          <w:color w:val="000000"/>
          <w:sz w:val="24"/>
        </w:rPr>
      </w:pPr>
      <w:r>
        <w:rPr>
          <w:rFonts w:hint="eastAsia" w:ascii="宋体" w:hAnsi="宋体" w:cs="宋体"/>
          <w:b/>
          <w:bCs/>
          <w:color w:val="000000"/>
          <w:sz w:val="24"/>
        </w:rPr>
        <w:t>第八条：违约处理</w:t>
      </w:r>
    </w:p>
    <w:p>
      <w:pPr>
        <w:spacing w:line="360" w:lineRule="auto"/>
        <w:ind w:firstLine="480" w:firstLineChars="200"/>
        <w:rPr>
          <w:rFonts w:ascii="宋体" w:hAnsi="宋体" w:cs="宋体"/>
          <w:color w:val="000000"/>
          <w:sz w:val="24"/>
        </w:rPr>
      </w:pPr>
      <w:r>
        <w:rPr>
          <w:rFonts w:hint="eastAsia" w:ascii="宋体" w:hAnsi="宋体" w:cs="宋体"/>
          <w:color w:val="000000"/>
          <w:sz w:val="24"/>
        </w:rPr>
        <w:t>甲乙双方应当履行合同约定的义务，如有违反，须承担相应的违约责任。</w:t>
      </w:r>
    </w:p>
    <w:p>
      <w:pPr>
        <w:snapToGrid w:val="0"/>
        <w:spacing w:line="360" w:lineRule="auto"/>
        <w:ind w:firstLine="240" w:firstLineChars="100"/>
        <w:outlineLvl w:val="0"/>
        <w:rPr>
          <w:rFonts w:ascii="宋体" w:hAnsi="宋体" w:cs="宋体"/>
          <w:color w:val="000000"/>
          <w:sz w:val="24"/>
        </w:rPr>
      </w:pPr>
      <w:r>
        <w:rPr>
          <w:rFonts w:hint="eastAsia" w:ascii="宋体" w:hAnsi="宋体" w:cs="宋体"/>
          <w:color w:val="000000"/>
          <w:sz w:val="24"/>
        </w:rPr>
        <w:t xml:space="preserve">  未经甲方同意，乙方不得在任何时期擅自更换投标文件中规定的项目负责人和技术负责人，同时必须确保项目技术人员的数量和水平与投标文件一致，否则甲方有权放弃或终止合同，并没收履约保证金。</w:t>
      </w:r>
    </w:p>
    <w:p>
      <w:pPr>
        <w:spacing w:line="360" w:lineRule="auto"/>
        <w:ind w:firstLine="424" w:firstLineChars="176"/>
        <w:rPr>
          <w:rFonts w:ascii="宋体" w:hAnsi="宋体" w:cs="宋体"/>
          <w:b/>
          <w:bCs/>
          <w:color w:val="000000"/>
          <w:sz w:val="24"/>
        </w:rPr>
      </w:pPr>
      <w:r>
        <w:rPr>
          <w:rFonts w:hint="eastAsia" w:ascii="宋体" w:hAnsi="宋体" w:cs="宋体"/>
          <w:b/>
          <w:bCs/>
          <w:color w:val="000000"/>
          <w:sz w:val="24"/>
        </w:rPr>
        <w:t>第九条： 合同生效</w:t>
      </w:r>
    </w:p>
    <w:p>
      <w:pPr>
        <w:spacing w:line="360" w:lineRule="auto"/>
        <w:ind w:firstLine="480" w:firstLineChars="200"/>
        <w:rPr>
          <w:rFonts w:ascii="宋体" w:hAnsi="宋体" w:cs="宋体"/>
          <w:color w:val="000000"/>
          <w:sz w:val="24"/>
        </w:rPr>
      </w:pPr>
      <w:r>
        <w:rPr>
          <w:rFonts w:hint="eastAsia" w:ascii="宋体" w:hAnsi="宋体" w:cs="宋体"/>
          <w:color w:val="000000"/>
          <w:sz w:val="24"/>
        </w:rPr>
        <w:t>1、本次招标文件（招标编号：）、招标文件及评审过程中形成的文字资料、询标纪要均作为本合同的组成部分，具有同等效力。</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2、前述文件内容如与本合同发生冲突，以本合同为准，本合同没有约定的，前述文件作为补充和解释。        </w:t>
      </w:r>
    </w:p>
    <w:p>
      <w:pPr>
        <w:spacing w:line="360" w:lineRule="auto"/>
        <w:ind w:firstLine="480" w:firstLineChars="200"/>
        <w:rPr>
          <w:rFonts w:ascii="宋体" w:hAnsi="宋体" w:cs="宋体"/>
          <w:color w:val="000000"/>
          <w:sz w:val="24"/>
        </w:rPr>
      </w:pPr>
      <w:r>
        <w:rPr>
          <w:rFonts w:hint="eastAsia" w:ascii="宋体" w:hAnsi="宋体" w:cs="宋体"/>
          <w:color w:val="000000"/>
          <w:sz w:val="24"/>
        </w:rPr>
        <w:t>3、本合同经甲乙双方法定代表人或其委托人签字并加盖双方公章后生效。</w:t>
      </w:r>
    </w:p>
    <w:p>
      <w:pPr>
        <w:spacing w:line="360" w:lineRule="auto"/>
        <w:ind w:firstLine="480" w:firstLineChars="200"/>
        <w:rPr>
          <w:rFonts w:ascii="宋体" w:hAnsi="宋体" w:cs="宋体"/>
          <w:color w:val="000000"/>
          <w:sz w:val="24"/>
        </w:rPr>
      </w:pPr>
      <w:r>
        <w:rPr>
          <w:rFonts w:hint="eastAsia" w:ascii="宋体" w:hAnsi="宋体" w:cs="宋体"/>
          <w:color w:val="000000"/>
          <w:sz w:val="24"/>
        </w:rPr>
        <w:t>4、本合同一式五份，甲方、乙方各执二份，代理有限公司执一份。</w:t>
      </w:r>
    </w:p>
    <w:p>
      <w:pPr>
        <w:pStyle w:val="11"/>
        <w:spacing w:before="120" w:after="120" w:line="360" w:lineRule="auto"/>
        <w:ind w:firstLine="371" w:firstLineChars="176"/>
        <w:rPr>
          <w:rFonts w:cs="宋体"/>
          <w:b/>
          <w:bCs/>
          <w:color w:val="000000"/>
        </w:rPr>
      </w:pPr>
      <w:r>
        <w:rPr>
          <w:rFonts w:hint="eastAsia" w:cs="宋体"/>
          <w:b/>
          <w:bCs/>
          <w:color w:val="000000"/>
        </w:rPr>
        <w:t>第十条：合同修改</w:t>
      </w:r>
    </w:p>
    <w:p>
      <w:pPr>
        <w:pStyle w:val="11"/>
        <w:spacing w:before="120" w:after="120" w:line="360" w:lineRule="auto"/>
        <w:ind w:firstLine="480" w:firstLineChars="200"/>
        <w:rPr>
          <w:rFonts w:cs="宋体"/>
          <w:color w:val="000000"/>
          <w:sz w:val="24"/>
          <w:szCs w:val="24"/>
        </w:rPr>
      </w:pPr>
      <w:r>
        <w:rPr>
          <w:rFonts w:hint="eastAsia" w:cs="宋体"/>
          <w:color w:val="000000"/>
          <w:sz w:val="24"/>
          <w:szCs w:val="24"/>
        </w:rPr>
        <w:t>1、合同履行期内甲乙双方均不得随意变更或解除合同。合同若有未尽事宜，需经双方共同协商，订立补充协议，并报政府采购办备案，补充协议与本合同有同等法律效力。</w:t>
      </w:r>
    </w:p>
    <w:p>
      <w:pPr>
        <w:spacing w:line="360" w:lineRule="auto"/>
        <w:ind w:firstLine="480" w:firstLineChars="200"/>
        <w:rPr>
          <w:rFonts w:ascii="宋体" w:hAnsi="宋体" w:cs="宋体"/>
          <w:color w:val="000000"/>
          <w:sz w:val="24"/>
        </w:rPr>
      </w:pPr>
      <w:r>
        <w:rPr>
          <w:rFonts w:hint="eastAsia" w:ascii="宋体" w:hAnsi="宋体" w:cs="宋体"/>
          <w:color w:val="000000"/>
          <w:sz w:val="24"/>
        </w:rPr>
        <w:t>2、当事人一方要求变更或解除合同时，应当提前30天通知对方，因变更或解除合同使一方遭受损失的，除依法可以免除责任的外，应由责任方负责赔偿。变更或解除合同的通知或协议应当采取书面形式，协议未达成之前，原合同仍然有效。</w:t>
      </w:r>
    </w:p>
    <w:p>
      <w:pPr>
        <w:spacing w:line="360" w:lineRule="auto"/>
        <w:ind w:firstLine="424" w:firstLineChars="176"/>
        <w:rPr>
          <w:rFonts w:ascii="宋体" w:hAnsi="宋体" w:cs="宋体"/>
          <w:b/>
          <w:bCs/>
          <w:color w:val="000000"/>
          <w:sz w:val="24"/>
        </w:rPr>
      </w:pPr>
      <w:r>
        <w:rPr>
          <w:rFonts w:hint="eastAsia" w:ascii="宋体" w:hAnsi="宋体" w:cs="宋体"/>
          <w:b/>
          <w:bCs/>
          <w:color w:val="000000"/>
          <w:sz w:val="24"/>
        </w:rPr>
        <w:t>第十一条：不可抗力</w:t>
      </w:r>
    </w:p>
    <w:p>
      <w:pPr>
        <w:spacing w:line="360" w:lineRule="auto"/>
        <w:ind w:firstLine="480" w:firstLineChars="200"/>
        <w:rPr>
          <w:rFonts w:ascii="宋体" w:hAnsi="宋体" w:cs="宋体"/>
          <w:color w:val="000000"/>
          <w:sz w:val="24"/>
        </w:rPr>
      </w:pPr>
      <w:r>
        <w:rPr>
          <w:rFonts w:hint="eastAsia" w:ascii="宋体" w:hAnsi="宋体" w:cs="宋体"/>
          <w:color w:val="000000"/>
          <w:sz w:val="24"/>
        </w:rPr>
        <w:t>1、不可抗力事故系指甲乙双方在缔结合同时所不能预见的，并且它的发生及其后果无法避免和无法克服的事故。</w:t>
      </w:r>
    </w:p>
    <w:p>
      <w:pPr>
        <w:spacing w:line="360" w:lineRule="auto"/>
        <w:ind w:firstLine="480" w:firstLineChars="200"/>
        <w:rPr>
          <w:rFonts w:ascii="宋体" w:hAnsi="宋体" w:cs="宋体"/>
          <w:color w:val="000000"/>
          <w:sz w:val="24"/>
        </w:rPr>
      </w:pPr>
      <w:r>
        <w:rPr>
          <w:rFonts w:hint="eastAsia" w:ascii="宋体" w:hAnsi="宋体" w:cs="宋体"/>
          <w:color w:val="000000"/>
          <w:sz w:val="24"/>
        </w:rPr>
        <w:t>2、签约双方任一方由于不可抗力事故的影响而不能执行合同时，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snapToGrid w:val="0"/>
        <w:spacing w:line="360" w:lineRule="auto"/>
        <w:ind w:firstLine="424" w:firstLineChars="176"/>
        <w:rPr>
          <w:rFonts w:ascii="宋体" w:hAnsi="宋体" w:cs="宋体"/>
          <w:b/>
          <w:bCs/>
          <w:color w:val="000000"/>
          <w:sz w:val="24"/>
        </w:rPr>
      </w:pPr>
      <w:r>
        <w:rPr>
          <w:rFonts w:hint="eastAsia" w:ascii="宋体" w:hAnsi="宋体" w:cs="宋体"/>
          <w:b/>
          <w:bCs/>
          <w:color w:val="000000"/>
          <w:sz w:val="24"/>
        </w:rPr>
        <w:t>第十二条：争议及仲裁</w:t>
      </w:r>
    </w:p>
    <w:p>
      <w:pPr>
        <w:pStyle w:val="11"/>
        <w:spacing w:before="120" w:after="120" w:line="360" w:lineRule="auto"/>
        <w:ind w:firstLine="480" w:firstLineChars="200"/>
        <w:rPr>
          <w:rFonts w:cs="宋体"/>
          <w:color w:val="000000"/>
          <w:sz w:val="24"/>
          <w:szCs w:val="24"/>
        </w:rPr>
      </w:pPr>
      <w:r>
        <w:rPr>
          <w:rFonts w:hint="eastAsia" w:cs="宋体"/>
          <w:color w:val="000000"/>
          <w:sz w:val="24"/>
          <w:szCs w:val="24"/>
        </w:rPr>
        <w:t>1、在本合同履行过程中发生争议，双方应当协商解决。双方不愿协商、调解解决或者协商、调解不成的，可按有关规定向相关部门提起仲裁。</w:t>
      </w:r>
    </w:p>
    <w:p>
      <w:pPr>
        <w:pStyle w:val="11"/>
        <w:spacing w:before="120" w:after="120" w:line="360" w:lineRule="auto"/>
        <w:ind w:firstLine="480" w:firstLineChars="200"/>
        <w:rPr>
          <w:rFonts w:cs="宋体"/>
          <w:color w:val="000000"/>
          <w:sz w:val="24"/>
          <w:szCs w:val="24"/>
        </w:rPr>
      </w:pPr>
      <w:r>
        <w:rPr>
          <w:rFonts w:hint="eastAsia" w:cs="宋体"/>
          <w:color w:val="000000"/>
          <w:sz w:val="24"/>
          <w:szCs w:val="24"/>
        </w:rPr>
        <w:t>2、在仲裁期间，除正在进行仲裁的部分外，本合同其他部分应继续执行。</w:t>
      </w:r>
    </w:p>
    <w:p>
      <w:pPr>
        <w:pStyle w:val="11"/>
        <w:spacing w:before="120" w:after="120" w:line="360" w:lineRule="auto"/>
        <w:ind w:firstLine="371" w:firstLineChars="176"/>
        <w:rPr>
          <w:rFonts w:cs="宋体"/>
          <w:b/>
          <w:bCs/>
          <w:color w:val="000000"/>
        </w:rPr>
      </w:pPr>
      <w:r>
        <w:rPr>
          <w:rFonts w:hint="eastAsia" w:cs="宋体"/>
          <w:b/>
          <w:bCs/>
          <w:color w:val="000000"/>
        </w:rPr>
        <w:t>第十三条： 其他</w:t>
      </w:r>
    </w:p>
    <w:p>
      <w:pPr>
        <w:pStyle w:val="11"/>
        <w:spacing w:before="120" w:after="120" w:line="360" w:lineRule="auto"/>
        <w:ind w:firstLine="480" w:firstLineChars="200"/>
        <w:rPr>
          <w:rFonts w:cs="宋体"/>
          <w:color w:val="000000"/>
          <w:sz w:val="24"/>
          <w:szCs w:val="24"/>
        </w:rPr>
      </w:pPr>
      <w:r>
        <w:rPr>
          <w:rFonts w:hint="eastAsia" w:cs="宋体"/>
          <w:color w:val="000000"/>
          <w:sz w:val="24"/>
          <w:szCs w:val="24"/>
        </w:rPr>
        <w:t>1、未经过甲方的书面同意，乙方不得转让其应履行的合同项下的义务，和将部分合同项下的义务分包给其他单位完成。</w:t>
      </w:r>
    </w:p>
    <w:p>
      <w:pPr>
        <w:pStyle w:val="11"/>
        <w:spacing w:before="120" w:after="120" w:line="360" w:lineRule="auto"/>
        <w:ind w:firstLine="480" w:firstLineChars="200"/>
        <w:rPr>
          <w:rFonts w:cs="宋体"/>
          <w:color w:val="000000"/>
          <w:sz w:val="24"/>
          <w:szCs w:val="24"/>
        </w:rPr>
      </w:pPr>
      <w:r>
        <w:rPr>
          <w:rFonts w:hint="eastAsia" w:cs="宋体"/>
          <w:color w:val="000000"/>
          <w:sz w:val="24"/>
          <w:szCs w:val="24"/>
        </w:rPr>
        <w:t>2、乙方不得参与可能与合同规定的与甲方的利益相冲突的任何活动。</w:t>
      </w:r>
    </w:p>
    <w:p>
      <w:pPr>
        <w:pStyle w:val="11"/>
        <w:spacing w:before="120" w:after="120" w:line="360" w:lineRule="auto"/>
        <w:ind w:firstLine="480" w:firstLineChars="200"/>
        <w:rPr>
          <w:rFonts w:cs="宋体"/>
          <w:color w:val="000000"/>
          <w:sz w:val="24"/>
          <w:szCs w:val="24"/>
        </w:rPr>
      </w:pPr>
      <w:r>
        <w:rPr>
          <w:rFonts w:hint="eastAsia" w:cs="宋体"/>
          <w:color w:val="000000"/>
          <w:sz w:val="24"/>
          <w:szCs w:val="24"/>
        </w:rPr>
        <w:t>3、乙方人员在甲方场地工作时，应遵守甲方相关规章、制度。</w:t>
      </w:r>
    </w:p>
    <w:p>
      <w:pPr>
        <w:pStyle w:val="11"/>
        <w:spacing w:before="120" w:after="120" w:line="360" w:lineRule="auto"/>
        <w:ind w:firstLine="480" w:firstLineChars="200"/>
        <w:rPr>
          <w:rFonts w:cs="宋体"/>
          <w:color w:val="000000"/>
          <w:sz w:val="24"/>
          <w:szCs w:val="24"/>
        </w:rPr>
      </w:pPr>
      <w:r>
        <w:rPr>
          <w:rFonts w:hint="eastAsia" w:cs="宋体"/>
          <w:color w:val="000000"/>
          <w:sz w:val="24"/>
          <w:szCs w:val="24"/>
        </w:rPr>
        <w:t>4、本合同任何一方给另一方的通知，都应以书面或传真的形式发送，而另一方应以书面形式确认并发送到对方明确的地址。</w:t>
      </w:r>
    </w:p>
    <w:p>
      <w:pPr>
        <w:pStyle w:val="11"/>
        <w:spacing w:before="120" w:after="120" w:line="360" w:lineRule="auto"/>
        <w:ind w:firstLine="480" w:firstLineChars="200"/>
        <w:rPr>
          <w:rFonts w:cs="宋体"/>
          <w:color w:val="000000"/>
          <w:sz w:val="24"/>
          <w:szCs w:val="24"/>
        </w:rPr>
      </w:pPr>
      <w:r>
        <w:rPr>
          <w:rFonts w:hint="eastAsia" w:cs="宋体"/>
          <w:color w:val="000000"/>
          <w:sz w:val="24"/>
          <w:szCs w:val="24"/>
        </w:rPr>
        <w:t>5、适用法律：本合同应按照中华人民共和国的法律进行解释。</w:t>
      </w:r>
    </w:p>
    <w:p>
      <w:pPr>
        <w:pStyle w:val="11"/>
        <w:snapToGrid w:val="0"/>
        <w:spacing w:before="120" w:after="120" w:line="360" w:lineRule="auto"/>
        <w:ind w:firstLine="371" w:firstLineChars="176"/>
        <w:rPr>
          <w:rFonts w:cs="宋体"/>
          <w:b/>
          <w:bCs/>
          <w:color w:val="000000"/>
        </w:rPr>
      </w:pPr>
      <w:r>
        <w:rPr>
          <w:rFonts w:hint="eastAsia" w:cs="宋体"/>
          <w:b/>
          <w:bCs/>
          <w:color w:val="000000"/>
        </w:rPr>
        <w:t>第十四条：未尽事宜</w:t>
      </w:r>
    </w:p>
    <w:p>
      <w:pPr>
        <w:pStyle w:val="11"/>
        <w:spacing w:before="120" w:after="120" w:line="360" w:lineRule="auto"/>
        <w:ind w:firstLine="480" w:firstLineChars="200"/>
        <w:rPr>
          <w:rFonts w:cs="宋体"/>
          <w:color w:val="000000"/>
          <w:sz w:val="24"/>
          <w:szCs w:val="24"/>
        </w:rPr>
      </w:pPr>
      <w:r>
        <w:rPr>
          <w:rFonts w:hint="eastAsia" w:cs="宋体"/>
          <w:color w:val="000000"/>
          <w:sz w:val="24"/>
          <w:szCs w:val="24"/>
        </w:rPr>
        <w:t xml:space="preserve">  未尽事宜，双方协商解决。</w:t>
      </w:r>
    </w:p>
    <w:p>
      <w:pPr>
        <w:pStyle w:val="11"/>
        <w:spacing w:before="120" w:after="120" w:line="360" w:lineRule="auto"/>
        <w:ind w:firstLine="480" w:firstLineChars="200"/>
        <w:rPr>
          <w:rFonts w:cs="宋体"/>
          <w:color w:val="000000"/>
          <w:sz w:val="24"/>
          <w:szCs w:val="24"/>
        </w:rPr>
      </w:pPr>
      <w:r>
        <w:rPr>
          <w:rFonts w:hint="eastAsia" w:cs="宋体"/>
          <w:color w:val="000000"/>
          <w:sz w:val="24"/>
          <w:szCs w:val="24"/>
        </w:rPr>
        <w:t>甲方（盖章）：                       乙方（盖章）：</w:t>
      </w:r>
    </w:p>
    <w:p>
      <w:pPr>
        <w:pStyle w:val="11"/>
        <w:spacing w:before="120" w:after="120" w:line="360" w:lineRule="auto"/>
        <w:ind w:firstLine="480" w:firstLineChars="200"/>
        <w:rPr>
          <w:rFonts w:cs="宋体"/>
          <w:color w:val="000000"/>
          <w:sz w:val="24"/>
          <w:szCs w:val="24"/>
        </w:rPr>
      </w:pPr>
      <w:r>
        <w:rPr>
          <w:rFonts w:hint="eastAsia" w:cs="宋体"/>
          <w:color w:val="000000"/>
          <w:sz w:val="24"/>
          <w:szCs w:val="24"/>
        </w:rPr>
        <w:t>法定代表人或受委托人  （签字）       法定代表人或受委托人（签字）</w:t>
      </w:r>
    </w:p>
    <w:p>
      <w:pPr>
        <w:pStyle w:val="11"/>
        <w:spacing w:before="120" w:after="120" w:line="360" w:lineRule="auto"/>
        <w:ind w:firstLine="480" w:firstLineChars="200"/>
        <w:rPr>
          <w:rFonts w:cs="宋体"/>
          <w:color w:val="000000"/>
          <w:sz w:val="24"/>
          <w:szCs w:val="24"/>
        </w:rPr>
      </w:pPr>
      <w:r>
        <w:rPr>
          <w:rFonts w:hint="eastAsia" w:cs="宋体"/>
          <w:color w:val="000000"/>
          <w:sz w:val="24"/>
          <w:szCs w:val="24"/>
        </w:rPr>
        <w:t>地址：                               地址：</w:t>
      </w:r>
    </w:p>
    <w:p>
      <w:pPr>
        <w:pStyle w:val="11"/>
        <w:spacing w:before="120" w:after="120" w:line="360" w:lineRule="auto"/>
        <w:ind w:firstLine="480" w:firstLineChars="200"/>
        <w:rPr>
          <w:rFonts w:cs="宋体"/>
          <w:color w:val="000000"/>
          <w:sz w:val="24"/>
          <w:szCs w:val="24"/>
        </w:rPr>
      </w:pPr>
      <w:r>
        <w:rPr>
          <w:rFonts w:hint="eastAsia" w:cs="宋体"/>
          <w:color w:val="000000"/>
          <w:sz w:val="24"/>
          <w:szCs w:val="24"/>
        </w:rPr>
        <w:t>邮编：                               邮编：</w:t>
      </w:r>
    </w:p>
    <w:p>
      <w:pPr>
        <w:pStyle w:val="11"/>
        <w:spacing w:before="120" w:after="120" w:line="360" w:lineRule="auto"/>
        <w:ind w:firstLine="480" w:firstLineChars="200"/>
        <w:rPr>
          <w:rFonts w:cs="宋体"/>
          <w:color w:val="000000"/>
          <w:sz w:val="24"/>
          <w:szCs w:val="24"/>
        </w:rPr>
      </w:pPr>
      <w:r>
        <w:rPr>
          <w:rFonts w:hint="eastAsia" w:cs="宋体"/>
          <w:color w:val="000000"/>
          <w:sz w:val="24"/>
          <w:szCs w:val="24"/>
        </w:rPr>
        <w:t>电话：                               电话：</w:t>
      </w:r>
    </w:p>
    <w:p>
      <w:pPr>
        <w:pStyle w:val="11"/>
        <w:spacing w:before="120" w:after="120" w:line="360" w:lineRule="auto"/>
        <w:ind w:firstLine="480" w:firstLineChars="200"/>
        <w:rPr>
          <w:rFonts w:cs="宋体"/>
          <w:color w:val="000000"/>
          <w:sz w:val="24"/>
          <w:szCs w:val="24"/>
        </w:rPr>
      </w:pPr>
      <w:r>
        <w:rPr>
          <w:rFonts w:hint="eastAsia" w:cs="宋体"/>
          <w:color w:val="000000"/>
          <w:sz w:val="24"/>
          <w:szCs w:val="24"/>
        </w:rPr>
        <w:t>传真：                               传真：</w:t>
      </w:r>
    </w:p>
    <w:p>
      <w:pPr>
        <w:pStyle w:val="11"/>
        <w:spacing w:before="120" w:after="120" w:line="360" w:lineRule="auto"/>
        <w:ind w:firstLine="480" w:firstLineChars="200"/>
        <w:rPr>
          <w:rFonts w:cs="宋体"/>
          <w:color w:val="000000"/>
          <w:sz w:val="24"/>
          <w:szCs w:val="24"/>
        </w:rPr>
      </w:pPr>
      <w:r>
        <w:rPr>
          <w:rFonts w:hint="eastAsia" w:cs="宋体"/>
          <w:color w:val="000000"/>
          <w:sz w:val="24"/>
          <w:szCs w:val="24"/>
        </w:rPr>
        <w:t xml:space="preserve">                                     开户银行：</w:t>
      </w:r>
    </w:p>
    <w:p>
      <w:pPr>
        <w:pStyle w:val="11"/>
        <w:spacing w:before="120" w:after="120" w:line="360" w:lineRule="auto"/>
        <w:ind w:firstLine="480" w:firstLineChars="200"/>
        <w:rPr>
          <w:rFonts w:cs="宋体"/>
          <w:color w:val="000000"/>
          <w:sz w:val="24"/>
          <w:szCs w:val="24"/>
        </w:rPr>
      </w:pPr>
      <w:r>
        <w:rPr>
          <w:rFonts w:hint="eastAsia" w:cs="宋体"/>
          <w:color w:val="000000"/>
          <w:sz w:val="24"/>
          <w:szCs w:val="24"/>
        </w:rPr>
        <w:t xml:space="preserve">                                     银行账号</w:t>
      </w:r>
    </w:p>
    <w:p>
      <w:pPr>
        <w:pStyle w:val="11"/>
        <w:spacing w:before="120" w:after="120" w:line="360" w:lineRule="auto"/>
        <w:ind w:firstLine="480" w:firstLineChars="200"/>
        <w:rPr>
          <w:rFonts w:cs="宋体"/>
          <w:color w:val="000000"/>
          <w:sz w:val="24"/>
          <w:szCs w:val="24"/>
        </w:rPr>
      </w:pPr>
      <w:r>
        <w:rPr>
          <w:rFonts w:hint="eastAsia" w:cs="宋体"/>
          <w:color w:val="000000"/>
          <w:sz w:val="24"/>
          <w:szCs w:val="24"/>
        </w:rPr>
        <w:t>签约时间：2022年  月  日</w:t>
      </w:r>
    </w:p>
    <w:p>
      <w:pPr>
        <w:pStyle w:val="11"/>
        <w:spacing w:before="120" w:after="120" w:line="360" w:lineRule="auto"/>
        <w:ind w:firstLine="480" w:firstLineChars="200"/>
        <w:rPr>
          <w:rFonts w:cs="宋体"/>
          <w:color w:val="000000"/>
          <w:sz w:val="24"/>
          <w:szCs w:val="24"/>
        </w:rPr>
      </w:pPr>
      <w:r>
        <w:rPr>
          <w:rFonts w:hint="eastAsia" w:cs="宋体"/>
          <w:color w:val="000000"/>
          <w:sz w:val="24"/>
          <w:szCs w:val="24"/>
        </w:rPr>
        <w:t xml:space="preserve">   签约地点： </w:t>
      </w:r>
    </w:p>
    <w:p>
      <w:pPr>
        <w:spacing w:line="360" w:lineRule="auto"/>
        <w:ind w:left="720" w:firstLine="723" w:firstLineChars="200"/>
        <w:outlineLvl w:val="0"/>
        <w:rPr>
          <w:rFonts w:ascii="仿宋" w:hAnsi="仿宋" w:eastAsia="仿宋" w:cs="仿宋_GB2312"/>
          <w:b/>
          <w:sz w:val="36"/>
          <w:szCs w:val="36"/>
        </w:rPr>
      </w:pPr>
    </w:p>
    <w:p>
      <w:pPr>
        <w:snapToGrid w:val="0"/>
        <w:spacing w:line="360" w:lineRule="auto"/>
        <w:ind w:firstLine="480" w:firstLineChars="200"/>
        <w:rPr>
          <w:rFonts w:ascii="仿宋" w:hAnsi="仿宋" w:eastAsia="仿宋"/>
          <w:color w:val="000000"/>
          <w:sz w:val="24"/>
        </w:rPr>
      </w:pPr>
    </w:p>
    <w:p>
      <w:pPr>
        <w:snapToGrid w:val="0"/>
        <w:spacing w:line="360" w:lineRule="auto"/>
        <w:ind w:firstLine="480" w:firstLineChars="200"/>
        <w:rPr>
          <w:rFonts w:ascii="仿宋" w:hAnsi="仿宋" w:eastAsia="仿宋"/>
          <w:color w:val="000000"/>
          <w:sz w:val="24"/>
        </w:rPr>
      </w:pPr>
    </w:p>
    <w:p>
      <w:pPr>
        <w:snapToGrid w:val="0"/>
        <w:spacing w:line="360" w:lineRule="auto"/>
        <w:ind w:firstLine="480" w:firstLineChars="200"/>
        <w:rPr>
          <w:rFonts w:ascii="仿宋" w:hAnsi="仿宋" w:eastAsia="仿宋"/>
          <w:color w:val="000000"/>
          <w:sz w:val="24"/>
        </w:rPr>
      </w:pPr>
    </w:p>
    <w:p>
      <w:pPr>
        <w:rPr>
          <w:rFonts w:ascii="仿宋" w:hAnsi="仿宋" w:eastAsia="仿宋" w:cs="仿宋"/>
          <w:sz w:val="24"/>
        </w:rPr>
      </w:pPr>
    </w:p>
    <w:p>
      <w:pPr>
        <w:pStyle w:val="58"/>
        <w:spacing w:before="120"/>
      </w:pPr>
    </w:p>
    <w:p>
      <w:pPr>
        <w:spacing w:line="360" w:lineRule="auto"/>
        <w:jc w:val="right"/>
        <w:rPr>
          <w:rFonts w:ascii="仿宋" w:hAnsi="仿宋" w:eastAsia="仿宋" w:cs="仿宋"/>
          <w:sz w:val="24"/>
        </w:rPr>
      </w:pPr>
    </w:p>
    <w:p>
      <w:pPr>
        <w:pStyle w:val="57"/>
        <w:spacing w:before="156" w:after="156"/>
        <w:ind w:firstLine="482"/>
        <w:rPr>
          <w:rFonts w:ascii="仿宋" w:hAnsi="仿宋" w:eastAsia="仿宋" w:cs="仿宋"/>
          <w:sz w:val="24"/>
          <w:szCs w:val="24"/>
        </w:rPr>
      </w:pPr>
      <w:r>
        <w:rPr>
          <w:rFonts w:hint="eastAsia" w:ascii="仿宋" w:hAnsi="仿宋" w:eastAsia="仿宋" w:cs="仿宋"/>
          <w:sz w:val="24"/>
          <w:szCs w:val="24"/>
        </w:rPr>
        <w:t>★此仅为合同书样本，中标单位需根据实际情况和采购人签订相应的合同！</w:t>
      </w:r>
    </w:p>
    <w:p>
      <w:pPr>
        <w:pStyle w:val="57"/>
        <w:spacing w:before="156" w:after="156"/>
        <w:ind w:firstLine="482"/>
        <w:rPr>
          <w:rFonts w:ascii="仿宋" w:hAnsi="仿宋" w:eastAsia="仿宋" w:cs="仿宋"/>
          <w:sz w:val="24"/>
          <w:szCs w:val="24"/>
        </w:rPr>
      </w:pPr>
    </w:p>
    <w:p>
      <w:pPr>
        <w:rPr>
          <w:rFonts w:ascii="仿宋" w:hAnsi="仿宋" w:eastAsia="仿宋" w:cs="仿宋"/>
          <w:sz w:val="24"/>
        </w:rPr>
      </w:pPr>
    </w:p>
    <w:p>
      <w:pPr>
        <w:pStyle w:val="17"/>
        <w:rPr>
          <w:rFonts w:ascii="仿宋" w:hAnsi="仿宋" w:eastAsia="仿宋" w:cs="仿宋"/>
          <w:sz w:val="24"/>
          <w:szCs w:val="24"/>
        </w:rPr>
      </w:pPr>
    </w:p>
    <w:p>
      <w:pPr>
        <w:pStyle w:val="14"/>
        <w:rPr>
          <w:rFonts w:ascii="仿宋" w:hAnsi="仿宋" w:eastAsia="仿宋" w:cs="仿宋"/>
          <w:sz w:val="24"/>
        </w:rPr>
      </w:pPr>
    </w:p>
    <w:p>
      <w:pPr>
        <w:rPr>
          <w:rFonts w:ascii="仿宋" w:hAnsi="仿宋" w:eastAsia="仿宋" w:cs="仿宋"/>
          <w:sz w:val="24"/>
        </w:rPr>
      </w:pPr>
    </w:p>
    <w:p>
      <w:pPr>
        <w:pStyle w:val="17"/>
        <w:rPr>
          <w:rFonts w:ascii="仿宋" w:hAnsi="仿宋" w:eastAsia="仿宋" w:cs="仿宋"/>
          <w:sz w:val="24"/>
          <w:szCs w:val="24"/>
        </w:rPr>
      </w:pPr>
    </w:p>
    <w:p>
      <w:pPr>
        <w:pStyle w:val="14"/>
        <w:rPr>
          <w:rFonts w:ascii="仿宋" w:hAnsi="仿宋" w:eastAsia="仿宋" w:cs="仿宋"/>
          <w:sz w:val="24"/>
        </w:rPr>
      </w:pPr>
    </w:p>
    <w:p>
      <w:pPr>
        <w:rPr>
          <w:rFonts w:ascii="仿宋" w:hAnsi="仿宋" w:eastAsia="仿宋" w:cs="仿宋"/>
          <w:sz w:val="24"/>
        </w:rPr>
      </w:pPr>
    </w:p>
    <w:p>
      <w:pPr>
        <w:pStyle w:val="17"/>
        <w:rPr>
          <w:rFonts w:ascii="仿宋" w:hAnsi="仿宋" w:eastAsia="仿宋" w:cs="仿宋"/>
          <w:sz w:val="24"/>
          <w:szCs w:val="24"/>
        </w:rPr>
      </w:pPr>
    </w:p>
    <w:p>
      <w:pPr>
        <w:pStyle w:val="14"/>
        <w:rPr>
          <w:rFonts w:ascii="仿宋" w:hAnsi="仿宋" w:eastAsia="仿宋" w:cs="仿宋"/>
          <w:sz w:val="24"/>
        </w:rPr>
      </w:pPr>
    </w:p>
    <w:p>
      <w:pPr>
        <w:rPr>
          <w:rFonts w:ascii="仿宋" w:hAnsi="仿宋" w:eastAsia="仿宋" w:cs="仿宋"/>
          <w:sz w:val="24"/>
        </w:rPr>
      </w:pPr>
    </w:p>
    <w:p>
      <w:pPr>
        <w:pStyle w:val="17"/>
        <w:rPr>
          <w:rFonts w:ascii="仿宋" w:hAnsi="仿宋" w:eastAsia="仿宋" w:cs="仿宋"/>
          <w:sz w:val="24"/>
          <w:szCs w:val="24"/>
        </w:rPr>
      </w:pPr>
    </w:p>
    <w:p>
      <w:pPr>
        <w:pStyle w:val="14"/>
        <w:rPr>
          <w:rFonts w:ascii="仿宋" w:hAnsi="仿宋" w:eastAsia="仿宋" w:cs="仿宋"/>
          <w:sz w:val="24"/>
        </w:rPr>
      </w:pPr>
    </w:p>
    <w:p>
      <w:pPr>
        <w:rPr>
          <w:rFonts w:ascii="仿宋" w:hAnsi="仿宋" w:eastAsia="仿宋" w:cs="仿宋"/>
          <w:sz w:val="24"/>
        </w:rPr>
      </w:pPr>
    </w:p>
    <w:p>
      <w:pPr>
        <w:pStyle w:val="17"/>
        <w:rPr>
          <w:rFonts w:ascii="仿宋" w:hAnsi="仿宋" w:eastAsia="仿宋" w:cs="仿宋"/>
          <w:sz w:val="24"/>
          <w:szCs w:val="24"/>
        </w:rPr>
      </w:pPr>
    </w:p>
    <w:p>
      <w:pPr>
        <w:pStyle w:val="14"/>
        <w:rPr>
          <w:rFonts w:ascii="仿宋" w:hAnsi="仿宋" w:eastAsia="仿宋" w:cs="仿宋"/>
          <w:sz w:val="24"/>
        </w:rPr>
      </w:pPr>
    </w:p>
    <w:p>
      <w:pPr>
        <w:rPr>
          <w:rFonts w:ascii="仿宋" w:hAnsi="仿宋" w:eastAsia="仿宋" w:cs="仿宋"/>
          <w:sz w:val="24"/>
        </w:rPr>
      </w:pPr>
    </w:p>
    <w:p>
      <w:pPr>
        <w:pStyle w:val="17"/>
        <w:rPr>
          <w:rFonts w:ascii="仿宋" w:hAnsi="仿宋" w:eastAsia="仿宋" w:cs="仿宋"/>
          <w:sz w:val="24"/>
          <w:szCs w:val="24"/>
        </w:rPr>
      </w:pPr>
    </w:p>
    <w:p>
      <w:pPr>
        <w:pStyle w:val="14"/>
      </w:pPr>
    </w:p>
    <w:p>
      <w:pPr>
        <w:rPr>
          <w:rStyle w:val="30"/>
          <w:rFonts w:ascii="宋体" w:hAnsi="宋体"/>
          <w:b/>
          <w:sz w:val="32"/>
          <w:szCs w:val="32"/>
        </w:rPr>
      </w:pPr>
    </w:p>
    <w:p>
      <w:pPr>
        <w:snapToGrid w:val="0"/>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第六部分应提交的有关格式范例</w:t>
      </w:r>
    </w:p>
    <w:p>
      <w:pPr>
        <w:spacing w:line="360" w:lineRule="auto"/>
        <w:ind w:firstLine="480"/>
        <w:rPr>
          <w:rFonts w:ascii="仿宋" w:hAnsi="仿宋" w:eastAsia="仿宋" w:cs="仿宋"/>
          <w:sz w:val="24"/>
        </w:rPr>
      </w:pPr>
      <w:r>
        <w:rPr>
          <w:rFonts w:hint="eastAsia" w:ascii="仿宋" w:hAnsi="仿宋" w:eastAsia="仿宋" w:cs="仿宋"/>
          <w:sz w:val="24"/>
        </w:rPr>
        <w:t>投标人按照以下格式编制投标文件。</w:t>
      </w:r>
    </w:p>
    <w:p>
      <w:pPr>
        <w:spacing w:line="360" w:lineRule="auto"/>
        <w:jc w:val="center"/>
        <w:rPr>
          <w:rFonts w:ascii="仿宋" w:hAnsi="仿宋" w:eastAsia="仿宋" w:cs="仿宋"/>
          <w:sz w:val="36"/>
          <w:szCs w:val="36"/>
          <w:lang w:val="zh-CN"/>
        </w:rPr>
      </w:pPr>
    </w:p>
    <w:p>
      <w:pPr>
        <w:spacing w:line="360" w:lineRule="auto"/>
        <w:jc w:val="center"/>
      </w:pPr>
      <w:r>
        <w:rPr>
          <w:rFonts w:hint="eastAsia" w:ascii="仿宋" w:hAnsi="仿宋" w:eastAsia="仿宋" w:cs="仿宋"/>
          <w:sz w:val="36"/>
          <w:szCs w:val="36"/>
          <w:lang w:val="zh-CN"/>
        </w:rPr>
        <w:t>▲</w:t>
      </w:r>
      <w:r>
        <w:rPr>
          <w:rFonts w:hint="eastAsia" w:ascii="仿宋" w:hAnsi="仿宋" w:eastAsia="仿宋" w:cs="仿宋"/>
          <w:b/>
          <w:kern w:val="0"/>
          <w:sz w:val="36"/>
          <w:szCs w:val="36"/>
        </w:rPr>
        <w:t>资格文件部分</w:t>
      </w:r>
    </w:p>
    <w:p>
      <w:pPr>
        <w:spacing w:line="360" w:lineRule="auto"/>
        <w:jc w:val="center"/>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rPr>
          <w:rFonts w:ascii="仿宋" w:hAnsi="仿宋" w:eastAsia="仿宋" w:cs="仿宋"/>
          <w:b/>
          <w:kern w:val="0"/>
          <w:sz w:val="36"/>
          <w:szCs w:val="36"/>
        </w:rPr>
      </w:pPr>
    </w:p>
    <w:p>
      <w:pPr>
        <w:spacing w:line="360" w:lineRule="auto"/>
        <w:jc w:val="center"/>
        <w:outlineLvl w:val="0"/>
        <w:rPr>
          <w:rFonts w:ascii="仿宋" w:hAnsi="仿宋" w:eastAsia="仿宋" w:cs="仿宋"/>
          <w:b/>
          <w:kern w:val="0"/>
          <w:sz w:val="24"/>
        </w:rPr>
      </w:pPr>
    </w:p>
    <w:p>
      <w:pPr>
        <w:snapToGrid w:val="0"/>
        <w:spacing w:line="360" w:lineRule="auto"/>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1</w:t>
      </w:r>
      <w:r>
        <w:rPr>
          <w:rFonts w:hint="eastAsia" w:ascii="仿宋" w:hAnsi="仿宋" w:eastAsia="仿宋" w:cs="仿宋"/>
          <w:kern w:val="0"/>
          <w:sz w:val="24"/>
        </w:rPr>
        <w:t>）</w:t>
      </w:r>
      <w:r>
        <w:rPr>
          <w:rFonts w:hint="eastAsia" w:ascii="仿宋" w:hAnsi="仿宋" w:eastAsia="仿宋" w:cs="仿宋"/>
          <w:sz w:val="24"/>
        </w:rPr>
        <w:t>营业执照</w:t>
      </w:r>
      <w:r>
        <w:rPr>
          <w:rFonts w:ascii="仿宋" w:hAnsi="仿宋" w:eastAsia="仿宋" w:cs="仿宋"/>
          <w:sz w:val="24"/>
        </w:rPr>
        <w:t>(</w:t>
      </w:r>
      <w:r>
        <w:rPr>
          <w:rFonts w:hint="eastAsia" w:ascii="仿宋" w:hAnsi="仿宋" w:eastAsia="仿宋" w:cs="仿宋"/>
          <w:sz w:val="24"/>
        </w:rPr>
        <w:t>或事业法人登记证或其他工商等登记证明材料</w:t>
      </w:r>
      <w:r>
        <w:rPr>
          <w:rFonts w:ascii="仿宋" w:hAnsi="仿宋" w:eastAsia="仿宋" w:cs="仿宋"/>
          <w:sz w:val="24"/>
        </w:rPr>
        <w:t>)</w:t>
      </w:r>
      <w:r>
        <w:rPr>
          <w:rFonts w:hint="eastAsia" w:ascii="仿宋" w:hAnsi="仿宋" w:eastAsia="仿宋" w:cs="仿宋"/>
          <w:sz w:val="24"/>
        </w:rPr>
        <w:t>复印件（投标人为自然人的，须提供</w:t>
      </w:r>
      <w:r>
        <w:rPr>
          <w:rFonts w:hint="eastAsia" w:ascii="仿宋" w:hAnsi="仿宋" w:eastAsia="仿宋" w:cs="仿宋"/>
          <w:kern w:val="0"/>
          <w:sz w:val="24"/>
        </w:rPr>
        <w:t>自然人的身份证明</w:t>
      </w:r>
      <w:r>
        <w:rPr>
          <w:rFonts w:hint="eastAsia" w:ascii="仿宋" w:hAnsi="仿宋" w:eastAsia="仿宋" w:cs="仿宋"/>
          <w:sz w:val="24"/>
        </w:rPr>
        <w:t>）</w:t>
      </w:r>
      <w:r>
        <w:rPr>
          <w:rFonts w:hint="eastAsia" w:ascii="仿宋" w:hAnsi="仿宋" w:eastAsia="仿宋" w:cs="仿宋"/>
          <w:kern w:val="0"/>
          <w:sz w:val="24"/>
        </w:rPr>
        <w:t>………………………………………………（页码）</w:t>
      </w:r>
    </w:p>
    <w:p>
      <w:pPr>
        <w:snapToGrid w:val="0"/>
        <w:spacing w:line="360" w:lineRule="auto"/>
        <w:rPr>
          <w:rFonts w:ascii="仿宋" w:hAnsi="仿宋" w:eastAsia="仿宋" w:cs="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）法人授权书………………………………………………………………（页码）</w:t>
      </w:r>
    </w:p>
    <w:p>
      <w:pPr>
        <w:snapToGrid w:val="0"/>
        <w:spacing w:line="360" w:lineRule="auto"/>
        <w:rPr>
          <w:rFonts w:ascii="仿宋" w:hAnsi="仿宋" w:eastAsia="仿宋" w:cs="仿宋"/>
          <w:sz w:val="24"/>
        </w:rPr>
      </w:pP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）授权代表的身份证（复印件）………………………………………………（页码）</w:t>
      </w:r>
    </w:p>
    <w:p>
      <w:pPr>
        <w:snapToGrid w:val="0"/>
        <w:spacing w:line="360" w:lineRule="auto"/>
        <w:rPr>
          <w:rFonts w:ascii="仿宋" w:hAnsi="仿宋" w:eastAsia="仿宋" w:cs="仿宋"/>
          <w:sz w:val="24"/>
        </w:rPr>
      </w:pPr>
      <w:r>
        <w:rPr>
          <w:rFonts w:hint="eastAsia" w:ascii="仿宋" w:hAnsi="仿宋" w:eastAsia="仿宋" w:cs="仿宋"/>
          <w:kern w:val="0"/>
          <w:sz w:val="24"/>
        </w:rPr>
        <w:t>（</w:t>
      </w:r>
      <w:r>
        <w:rPr>
          <w:rFonts w:ascii="仿宋" w:hAnsi="仿宋" w:eastAsia="仿宋" w:cs="仿宋"/>
          <w:kern w:val="0"/>
          <w:sz w:val="24"/>
        </w:rPr>
        <w:t>4</w:t>
      </w:r>
      <w:r>
        <w:rPr>
          <w:rFonts w:hint="eastAsia" w:ascii="仿宋" w:hAnsi="仿宋" w:eastAsia="仿宋" w:cs="仿宋"/>
          <w:kern w:val="0"/>
          <w:sz w:val="24"/>
        </w:rPr>
        <w:t>）</w:t>
      </w:r>
      <w:r>
        <w:rPr>
          <w:rFonts w:hint="eastAsia" w:ascii="仿宋" w:hAnsi="仿宋" w:eastAsia="仿宋" w:cs="仿宋"/>
          <w:sz w:val="24"/>
        </w:rPr>
        <w:t>符合参与政府采购活动的资格条件并且没有税收缴纳、社会保障等方面的失信记录的承诺函…………………………………………………………………………（页码）</w:t>
      </w:r>
    </w:p>
    <w:p>
      <w:pPr>
        <w:snapToGrid w:val="0"/>
        <w:spacing w:line="360" w:lineRule="auto"/>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5</w:t>
      </w:r>
      <w:r>
        <w:rPr>
          <w:rFonts w:hint="eastAsia" w:ascii="仿宋" w:hAnsi="仿宋" w:eastAsia="仿宋" w:cs="仿宋"/>
          <w:kern w:val="0"/>
          <w:sz w:val="24"/>
        </w:rPr>
        <w:t>）具有履行合同所必需的设备和专业技术能力的承诺函……………………（页码）</w:t>
      </w:r>
    </w:p>
    <w:p>
      <w:pPr>
        <w:snapToGrid w:val="0"/>
        <w:spacing w:line="360" w:lineRule="auto"/>
        <w:rPr>
          <w:rFonts w:ascii="仿宋" w:hAnsi="仿宋" w:eastAsia="仿宋" w:cs="仿宋"/>
          <w:kern w:val="0"/>
          <w:sz w:val="24"/>
        </w:rPr>
      </w:pPr>
      <w:r>
        <w:rPr>
          <w:rFonts w:hint="eastAsia" w:ascii="仿宋" w:hAnsi="仿宋" w:eastAsia="仿宋" w:cs="仿宋"/>
          <w:sz w:val="24"/>
        </w:rPr>
        <w:t>（</w:t>
      </w:r>
      <w:r>
        <w:rPr>
          <w:rFonts w:ascii="仿宋" w:hAnsi="仿宋" w:eastAsia="仿宋" w:cs="仿宋"/>
          <w:sz w:val="24"/>
        </w:rPr>
        <w:t>6</w:t>
      </w:r>
      <w:r>
        <w:rPr>
          <w:rFonts w:hint="eastAsia" w:ascii="仿宋" w:hAnsi="仿宋" w:eastAsia="仿宋" w:cs="仿宋"/>
          <w:sz w:val="24"/>
        </w:rPr>
        <w:t>）参加政府采购活动前三年内，在经营活动中没有重大违法记录的声明</w:t>
      </w:r>
      <w:r>
        <w:rPr>
          <w:rFonts w:hint="eastAsia" w:ascii="仿宋" w:hAnsi="仿宋" w:eastAsia="仿宋" w:cs="仿宋"/>
          <w:kern w:val="0"/>
          <w:sz w:val="24"/>
        </w:rPr>
        <w:t>（页码）</w:t>
      </w:r>
    </w:p>
    <w:p>
      <w:pPr>
        <w:snapToGrid w:val="0"/>
        <w:spacing w:line="360" w:lineRule="auto"/>
        <w:rPr>
          <w:rFonts w:ascii="仿宋" w:hAnsi="仿宋" w:eastAsia="仿宋" w:cs="仿宋"/>
          <w:kern w:val="0"/>
          <w:sz w:val="24"/>
        </w:rPr>
      </w:pPr>
      <w:r>
        <w:rPr>
          <w:rFonts w:hint="eastAsia" w:ascii="仿宋" w:hAnsi="仿宋" w:eastAsia="仿宋" w:cs="仿宋"/>
          <w:sz w:val="24"/>
        </w:rPr>
        <w:t>（</w:t>
      </w:r>
      <w:r>
        <w:rPr>
          <w:rFonts w:ascii="仿宋" w:hAnsi="仿宋" w:eastAsia="仿宋" w:cs="仿宋"/>
          <w:sz w:val="24"/>
        </w:rPr>
        <w:t>7</w:t>
      </w:r>
      <w:r>
        <w:rPr>
          <w:rFonts w:hint="eastAsia" w:ascii="仿宋" w:hAnsi="仿宋" w:eastAsia="仿宋" w:cs="仿宋"/>
          <w:sz w:val="24"/>
        </w:rPr>
        <w:t>）具有良好商业信誉特别声明</w:t>
      </w:r>
      <w:r>
        <w:rPr>
          <w:rFonts w:hint="eastAsia" w:ascii="仿宋" w:hAnsi="仿宋" w:eastAsia="仿宋" w:cs="仿宋"/>
          <w:kern w:val="0"/>
          <w:sz w:val="24"/>
        </w:rPr>
        <w:t>…………………………………………………（页码）</w:t>
      </w:r>
    </w:p>
    <w:p>
      <w:pPr>
        <w:snapToGrid w:val="0"/>
        <w:spacing w:line="360" w:lineRule="auto"/>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8</w:t>
      </w:r>
      <w:r>
        <w:rPr>
          <w:rFonts w:hint="eastAsia" w:ascii="仿宋" w:hAnsi="仿宋" w:eastAsia="仿宋" w:cs="仿宋"/>
          <w:kern w:val="0"/>
          <w:sz w:val="24"/>
        </w:rPr>
        <w:t>）</w:t>
      </w:r>
      <w:r>
        <w:rPr>
          <w:rFonts w:hint="eastAsia" w:ascii="仿宋" w:hAnsi="仿宋" w:eastAsia="仿宋" w:cs="仿宋"/>
          <w:sz w:val="24"/>
        </w:rPr>
        <w:t>符合特定资格条件（如果项目要求）的有关证明材料（复印件）</w:t>
      </w:r>
      <w:r>
        <w:rPr>
          <w:rFonts w:hint="eastAsia" w:ascii="仿宋" w:hAnsi="仿宋" w:eastAsia="仿宋" w:cs="仿宋"/>
          <w:kern w:val="0"/>
          <w:sz w:val="24"/>
        </w:rPr>
        <w:t>………（页码）</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rPr>
        <w:t>（</w:t>
      </w:r>
      <w:r>
        <w:rPr>
          <w:rFonts w:ascii="仿宋" w:hAnsi="仿宋" w:eastAsia="仿宋" w:cs="仿宋_GB2312"/>
          <w:kern w:val="0"/>
          <w:sz w:val="24"/>
        </w:rPr>
        <w:t>9</w:t>
      </w:r>
      <w:r>
        <w:rPr>
          <w:rFonts w:hint="eastAsia" w:ascii="仿宋" w:hAnsi="仿宋" w:eastAsia="仿宋" w:cs="仿宋_GB2312"/>
          <w:kern w:val="0"/>
          <w:sz w:val="24"/>
        </w:rPr>
        <w:t>）</w:t>
      </w:r>
      <w:r>
        <w:rPr>
          <w:rFonts w:hint="eastAsia" w:ascii="仿宋" w:hAnsi="仿宋" w:eastAsia="仿宋" w:cs="仿宋_GB2312"/>
          <w:sz w:val="24"/>
        </w:rPr>
        <w:t>以联合体形式投标的，提供联合体协议；本项目不接受联合体投标或者投标人不以联合体形式投标的，则不需要提供</w:t>
      </w:r>
      <w:r>
        <w:rPr>
          <w:rFonts w:hint="eastAsia" w:ascii="仿宋" w:hAnsi="仿宋" w:eastAsia="仿宋" w:cs="仿宋_GB2312"/>
          <w:kern w:val="0"/>
          <w:sz w:val="24"/>
        </w:rPr>
        <w:t>……………………………………………（页码）</w:t>
      </w:r>
    </w:p>
    <w:p>
      <w:pPr>
        <w:spacing w:line="360" w:lineRule="auto"/>
        <w:outlineLvl w:val="0"/>
        <w:rPr>
          <w:rFonts w:ascii="仿宋" w:hAnsi="仿宋" w:eastAsia="仿宋" w:cs="仿宋"/>
          <w:kern w:val="0"/>
          <w:sz w:val="24"/>
        </w:rPr>
      </w:pPr>
      <w:r>
        <w:rPr>
          <w:rFonts w:hint="eastAsia" w:ascii="仿宋" w:hAnsi="仿宋" w:eastAsia="仿宋" w:cs="仿宋"/>
          <w:kern w:val="0"/>
          <w:sz w:val="24"/>
        </w:rPr>
        <w:t>（10）中小企业声明函………………………………………………</w:t>
      </w:r>
      <w:r>
        <w:rPr>
          <w:rFonts w:hint="eastAsia" w:ascii="仿宋" w:hAnsi="仿宋" w:eastAsia="仿宋" w:cs="仿宋_GB2312"/>
          <w:color w:val="000000"/>
          <w:kern w:val="0"/>
          <w:sz w:val="24"/>
        </w:rPr>
        <w:t>………………</w:t>
      </w:r>
      <w:r>
        <w:rPr>
          <w:rFonts w:hint="eastAsia" w:ascii="仿宋" w:hAnsi="仿宋" w:eastAsia="仿宋" w:cs="仿宋"/>
          <w:kern w:val="0"/>
          <w:sz w:val="24"/>
        </w:rPr>
        <w:t>（页码）</w:t>
      </w:r>
    </w:p>
    <w:p>
      <w:pPr>
        <w:spacing w:line="360" w:lineRule="auto"/>
        <w:ind w:firstLine="480"/>
        <w:rPr>
          <w:rFonts w:ascii="仿宋_GB2312;仿宋" w:hAnsi="仿宋_GB2312;仿宋" w:eastAsia="仿宋_GB2312;仿宋" w:cs="仿宋_GB2312;仿宋"/>
          <w:kern w:val="0"/>
          <w:sz w:val="24"/>
        </w:rPr>
      </w:pPr>
    </w:p>
    <w:p>
      <w:pPr>
        <w:snapToGrid w:val="0"/>
        <w:spacing w:line="360" w:lineRule="auto"/>
        <w:ind w:right="1444"/>
        <w:rPr>
          <w:rStyle w:val="30"/>
          <w:rFonts w:ascii="宋体" w:hAnsi="宋体"/>
          <w:b/>
          <w:lang w:val="zh-CN"/>
        </w:rPr>
      </w:pPr>
      <w:r>
        <w:br w:type="page"/>
      </w:r>
    </w:p>
    <w:p>
      <w:pPr>
        <w:snapToGrid w:val="0"/>
        <w:spacing w:line="360" w:lineRule="auto"/>
        <w:rPr>
          <w:rFonts w:ascii="仿宋" w:hAnsi="仿宋" w:eastAsia="仿宋" w:cs="仿宋"/>
          <w:b/>
          <w:sz w:val="28"/>
          <w:szCs w:val="28"/>
        </w:rPr>
      </w:pPr>
      <w:r>
        <w:rPr>
          <w:rFonts w:hint="eastAsia" w:ascii="仿宋" w:hAnsi="仿宋" w:eastAsia="仿宋" w:cs="仿宋"/>
          <w:b/>
          <w:kern w:val="0"/>
          <w:sz w:val="28"/>
          <w:szCs w:val="28"/>
          <w:lang w:val="zh-CN"/>
        </w:rPr>
        <w:t>一、</w:t>
      </w:r>
      <w:r>
        <w:rPr>
          <w:rFonts w:hint="eastAsia" w:ascii="仿宋" w:hAnsi="仿宋" w:eastAsia="仿宋" w:cs="仿宋"/>
          <w:b/>
          <w:sz w:val="28"/>
          <w:szCs w:val="28"/>
        </w:rPr>
        <w:t>营业执照或事业法人登记证证明材料（复印件）、税务缴纳证明文件（复印件）、社保缴纳证明文件（复印件）</w:t>
      </w:r>
    </w:p>
    <w:p>
      <w:pPr>
        <w:spacing w:line="360" w:lineRule="auto"/>
        <w:jc w:val="center"/>
        <w:rPr>
          <w:rFonts w:ascii="仿宋" w:hAnsi="仿宋" w:eastAsia="仿宋" w:cs="仿宋"/>
          <w:b/>
          <w:sz w:val="24"/>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b/>
          <w:sz w:val="24"/>
        </w:rPr>
      </w:pPr>
      <w:r>
        <w:rPr>
          <w:rFonts w:hint="eastAsia" w:ascii="仿宋" w:hAnsi="仿宋" w:eastAsia="仿宋" w:cs="仿宋"/>
          <w:kern w:val="0"/>
          <w:sz w:val="24"/>
          <w:lang w:val="zh-CN"/>
        </w:rPr>
        <w:t xml:space="preserve">                   日期：  年  月</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snapToGrid w:val="0"/>
        <w:spacing w:line="360" w:lineRule="auto"/>
        <w:jc w:val="center"/>
        <w:rPr>
          <w:rFonts w:ascii="仿宋" w:hAnsi="仿宋" w:eastAsia="仿宋" w:cs="仿宋"/>
          <w:b/>
          <w:kern w:val="0"/>
          <w:sz w:val="30"/>
          <w:szCs w:val="30"/>
          <w:lang w:val="zh-CN"/>
        </w:rPr>
      </w:pPr>
      <w:r>
        <w:rPr>
          <w:rFonts w:hint="eastAsia" w:ascii="仿宋" w:hAnsi="仿宋" w:eastAsia="仿宋" w:cs="仿宋"/>
          <w:b/>
          <w:kern w:val="0"/>
          <w:sz w:val="30"/>
          <w:szCs w:val="30"/>
          <w:lang w:val="zh-CN"/>
        </w:rPr>
        <w:t>二、法人授权书</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淳安县市容环境卫生保障中心</w:t>
      </w:r>
      <w:r>
        <w:rPr>
          <w:rFonts w:hint="eastAsia" w:ascii="仿宋" w:hAnsi="仿宋" w:eastAsia="仿宋" w:cs="仿宋"/>
          <w:sz w:val="24"/>
        </w:rPr>
        <w:t>、淳安县建设工程招标代理有限公司</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lang w:val="zh-CN"/>
        </w:rPr>
        <w:t>兹委派我公司</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先生/女士(其在本公司的职务是：</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 xml:space="preserve"> ，联系电话：</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传真：</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)，代表我公司全权处理</w:t>
      </w:r>
      <w:r>
        <w:rPr>
          <w:rFonts w:hint="eastAsia" w:ascii="仿宋" w:hAnsi="仿宋" w:eastAsia="仿宋" w:cs="仿宋"/>
          <w:kern w:val="0"/>
          <w:sz w:val="24"/>
          <w:u w:val="single"/>
          <w:lang w:val="zh-CN"/>
        </w:rPr>
        <w:t>2022年度青溪新城区块道路保洁服务采购项目【招标编号：</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】政府采购投标的一切事项，若中标则全权代表本公司签订相关合同，并负责处理合同履行等事宜。</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本授权书有效期：自   年 月  日起至  年  月  日止。</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特此告知。</w:t>
      </w:r>
    </w:p>
    <w:p>
      <w:pPr>
        <w:pStyle w:val="58"/>
        <w:spacing w:before="120" w:line="360" w:lineRule="auto"/>
        <w:rPr>
          <w:rFonts w:ascii="仿宋" w:hAnsi="仿宋" w:eastAsia="仿宋" w:cs="仿宋"/>
        </w:rPr>
      </w:pP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jc w:val="center"/>
        <w:rPr>
          <w:rFonts w:ascii="仿宋" w:hAnsi="仿宋" w:eastAsia="仿宋" w:cs="仿宋"/>
          <w:b/>
          <w:kern w:val="0"/>
          <w:sz w:val="24"/>
          <w:lang w:val="zh-CN"/>
        </w:rPr>
      </w:pPr>
    </w:p>
    <w:p>
      <w:pPr>
        <w:snapToGrid w:val="0"/>
        <w:spacing w:line="360" w:lineRule="auto"/>
        <w:rPr>
          <w:rFonts w:ascii="仿宋" w:hAnsi="仿宋" w:eastAsia="仿宋" w:cs="仿宋"/>
          <w:b/>
          <w:bCs/>
          <w:sz w:val="24"/>
        </w:rPr>
      </w:pPr>
    </w:p>
    <w:p>
      <w:pPr>
        <w:autoSpaceDE w:val="0"/>
        <w:autoSpaceDN w:val="0"/>
        <w:spacing w:line="360" w:lineRule="auto"/>
        <w:jc w:val="center"/>
        <w:rPr>
          <w:rFonts w:ascii="仿宋" w:hAnsi="仿宋" w:eastAsia="仿宋" w:cs="仿宋"/>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三、</w:t>
      </w:r>
      <w:r>
        <w:rPr>
          <w:rFonts w:hint="eastAsia" w:ascii="仿宋" w:hAnsi="仿宋" w:eastAsia="仿宋" w:cs="仿宋"/>
          <w:b/>
          <w:sz w:val="28"/>
          <w:szCs w:val="28"/>
        </w:rPr>
        <w:t>授权代表的身份证（复印件）</w:t>
      </w:r>
    </w:p>
    <w:p>
      <w:pPr>
        <w:pStyle w:val="59"/>
        <w:spacing w:line="360" w:lineRule="auto"/>
        <w:rPr>
          <w:rFonts w:ascii="仿宋" w:hAnsi="仿宋" w:eastAsia="仿宋" w:cs="仿宋"/>
          <w:bCs/>
          <w:sz w:val="24"/>
          <w:szCs w:val="24"/>
        </w:rPr>
      </w:pPr>
      <w:r>
        <w:rPr>
          <w:rFonts w:hint="eastAsia" w:ascii="仿宋" w:hAnsi="仿宋" w:eastAsia="仿宋" w:cs="仿宋"/>
          <w:bCs/>
          <w:sz w:val="24"/>
          <w:szCs w:val="24"/>
        </w:rPr>
        <w:t>身份证件扫描件：</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59"/>
              <w:spacing w:line="360" w:lineRule="auto"/>
              <w:rPr>
                <w:rFonts w:ascii="仿宋" w:hAnsi="仿宋" w:eastAsia="仿宋" w:cs="仿宋"/>
                <w:bCs/>
                <w:sz w:val="24"/>
                <w:szCs w:val="24"/>
              </w:rPr>
            </w:pPr>
            <w:r>
              <w:rPr>
                <w:rFonts w:hint="eastAsia" w:ascii="仿宋" w:hAnsi="仿宋" w:eastAsia="仿宋" w:cs="仿宋"/>
                <w:bCs/>
                <w:sz w:val="24"/>
                <w:szCs w:val="24"/>
              </w:rPr>
              <w:t>正面：                                 反面：</w:t>
            </w:r>
          </w:p>
          <w:p>
            <w:pPr>
              <w:pStyle w:val="59"/>
              <w:spacing w:line="360" w:lineRule="auto"/>
              <w:rPr>
                <w:rFonts w:ascii="仿宋" w:hAnsi="仿宋" w:eastAsia="仿宋" w:cs="仿宋"/>
                <w:bCs/>
                <w:sz w:val="24"/>
                <w:szCs w:val="24"/>
              </w:rPr>
            </w:pPr>
          </w:p>
        </w:tc>
      </w:tr>
    </w:tbl>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w:t>
      </w:r>
    </w:p>
    <w:p>
      <w:pPr>
        <w:spacing w:line="360" w:lineRule="auto"/>
        <w:jc w:val="center"/>
        <w:rPr>
          <w:rFonts w:ascii="仿宋" w:hAnsi="仿宋" w:eastAsia="仿宋" w:cs="仿宋"/>
          <w:kern w:val="0"/>
          <w:sz w:val="24"/>
          <w:lang w:val="zh-CN"/>
        </w:rPr>
      </w:pPr>
    </w:p>
    <w:p>
      <w:pPr>
        <w:spacing w:line="360" w:lineRule="auto"/>
        <w:jc w:val="center"/>
        <w:rPr>
          <w:rFonts w:ascii="仿宋" w:hAnsi="仿宋" w:eastAsia="仿宋" w:cs="仿宋"/>
          <w:b/>
          <w:sz w:val="24"/>
        </w:rPr>
      </w:pPr>
    </w:p>
    <w:p>
      <w:pPr>
        <w:pStyle w:val="58"/>
        <w:spacing w:before="120" w:line="360" w:lineRule="auto"/>
        <w:rPr>
          <w:rFonts w:ascii="仿宋" w:hAnsi="仿宋" w:eastAsia="仿宋" w:cs="仿宋"/>
        </w:rPr>
      </w:pPr>
    </w:p>
    <w:p>
      <w:pPr>
        <w:snapToGrid w:val="0"/>
        <w:spacing w:line="360" w:lineRule="auto"/>
        <w:ind w:right="480"/>
        <w:jc w:val="center"/>
        <w:rPr>
          <w:rFonts w:ascii="仿宋" w:hAnsi="仿宋" w:eastAsia="仿宋" w:cs="仿宋"/>
          <w:b/>
          <w:sz w:val="28"/>
          <w:szCs w:val="28"/>
        </w:rPr>
      </w:pPr>
      <w:r>
        <w:rPr>
          <w:rFonts w:hint="eastAsia" w:ascii="仿宋" w:hAnsi="仿宋" w:eastAsia="仿宋" w:cs="仿宋"/>
          <w:b/>
          <w:sz w:val="28"/>
          <w:szCs w:val="28"/>
        </w:rPr>
        <w:t>四、符合参与政府采购活动的资格条件并且没有税收缴纳、社会保障等方面的失信记录的承诺函</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淳安县市容环境卫生保障中心</w:t>
      </w:r>
      <w:r>
        <w:rPr>
          <w:rFonts w:hint="eastAsia" w:ascii="仿宋" w:hAnsi="仿宋" w:eastAsia="仿宋" w:cs="仿宋"/>
          <w:sz w:val="24"/>
        </w:rPr>
        <w:t>、淳安县建设工程招标代理有限公司</w:t>
      </w:r>
      <w:r>
        <w:rPr>
          <w:rFonts w:hint="eastAsia" w:ascii="仿宋" w:hAnsi="仿宋" w:eastAsia="仿宋" w:cs="仿宋"/>
          <w:kern w:val="0"/>
          <w:sz w:val="24"/>
          <w:lang w:val="zh-CN"/>
        </w:rPr>
        <w:t>：</w:t>
      </w:r>
    </w:p>
    <w:p>
      <w:pPr>
        <w:spacing w:line="360" w:lineRule="auto"/>
        <w:ind w:firstLine="480" w:firstLineChars="200"/>
        <w:rPr>
          <w:rFonts w:ascii="仿宋_GB2312" w:hAnsi="仿宋" w:eastAsia="仿宋_GB2312" w:cs="仿宋_GB2312"/>
          <w:b/>
          <w:sz w:val="30"/>
          <w:szCs w:val="30"/>
        </w:rPr>
      </w:pPr>
      <w:r>
        <w:rPr>
          <w:rFonts w:hint="eastAsia" w:ascii="仿宋_GB2312" w:hAnsi="仿宋" w:eastAsia="仿宋_GB2312" w:cs="仿宋_GB2312"/>
          <w:sz w:val="24"/>
        </w:rPr>
        <w:t>我方郑重承诺，我方符合参与</w:t>
      </w:r>
      <w:r>
        <w:rPr>
          <w:rFonts w:hint="eastAsia" w:ascii="仿宋" w:hAnsi="仿宋" w:eastAsia="仿宋" w:cs="仿宋"/>
          <w:kern w:val="0"/>
          <w:sz w:val="24"/>
          <w:u w:val="single"/>
          <w:lang w:val="zh-CN"/>
        </w:rPr>
        <w:t>2022年度青溪新城区块道路保洁服务采购项目</w:t>
      </w:r>
      <w:r>
        <w:rPr>
          <w:rFonts w:hint="eastAsia" w:ascii="仿宋" w:hAnsi="仿宋" w:eastAsia="仿宋" w:cs="仿宋"/>
          <w:sz w:val="24"/>
          <w:u w:val="single"/>
        </w:rPr>
        <w:t>【招标编号：</w:t>
      </w:r>
      <w:r>
        <w:rPr>
          <w:rFonts w:hint="eastAsia" w:ascii="仿宋" w:hAnsi="仿宋" w:eastAsia="仿宋" w:cs="仿宋"/>
          <w:sz w:val="24"/>
        </w:rPr>
        <w:t>】</w:t>
      </w:r>
      <w:r>
        <w:rPr>
          <w:rFonts w:hint="eastAsia" w:ascii="仿宋_GB2312" w:hAnsi="仿宋" w:eastAsia="仿宋_GB2312" w:cs="仿宋_GB2312"/>
          <w:sz w:val="24"/>
        </w:rPr>
        <w:t>政府采购活动的资格条件并且没有税收缴纳、社会保障等方面的失信记录。</w:t>
      </w:r>
    </w:p>
    <w:p>
      <w:pPr>
        <w:spacing w:line="360" w:lineRule="auto"/>
        <w:rPr>
          <w:rFonts w:ascii="仿宋" w:hAnsi="仿宋" w:eastAsia="仿宋" w:cs="仿宋"/>
          <w:b/>
          <w:sz w:val="24"/>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投标人名称</w:t>
      </w:r>
      <w:r>
        <w:rPr>
          <w:rFonts w:ascii="仿宋" w:hAnsi="仿宋" w:eastAsia="仿宋" w:cs="仿宋"/>
          <w:kern w:val="0"/>
          <w:sz w:val="24"/>
          <w:lang w:val="zh-CN"/>
        </w:rPr>
        <w:t>(</w:t>
      </w:r>
      <w:r>
        <w:rPr>
          <w:rFonts w:hint="eastAsia" w:ascii="仿宋" w:hAnsi="仿宋" w:eastAsia="仿宋" w:cs="仿宋"/>
          <w:kern w:val="0"/>
          <w:sz w:val="24"/>
          <w:lang w:val="zh-CN"/>
        </w:rPr>
        <w:t>电子签名</w:t>
      </w:r>
      <w:r>
        <w:rPr>
          <w:rFonts w:ascii="仿宋" w:hAnsi="仿宋" w:eastAsia="仿宋" w:cs="仿宋"/>
          <w:kern w:val="0"/>
          <w:sz w:val="24"/>
          <w:lang w:val="zh-CN"/>
        </w:rPr>
        <w:t>)</w:t>
      </w:r>
      <w:r>
        <w:rPr>
          <w:rFonts w:hint="eastAsia" w:ascii="仿宋" w:hAnsi="仿宋" w:eastAsia="仿宋" w:cs="仿宋"/>
          <w:kern w:val="0"/>
          <w:sz w:val="24"/>
          <w:lang w:val="zh-CN"/>
        </w:rPr>
        <w:t>：</w:t>
      </w:r>
    </w:p>
    <w:p>
      <w:pPr>
        <w:snapToGrid w:val="0"/>
        <w:spacing w:line="360" w:lineRule="auto"/>
        <w:ind w:firstLine="576"/>
        <w:jc w:val="center"/>
        <w:rPr>
          <w:rFonts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日</w:t>
      </w:r>
    </w:p>
    <w:p>
      <w:pPr>
        <w:spacing w:line="360" w:lineRule="auto"/>
        <w:rPr>
          <w:rFonts w:ascii="仿宋" w:hAnsi="仿宋" w:eastAsia="仿宋" w:cs="仿宋"/>
          <w:b/>
          <w:sz w:val="24"/>
        </w:rPr>
      </w:pPr>
    </w:p>
    <w:p>
      <w:pPr>
        <w:pStyle w:val="2"/>
      </w:pPr>
    </w:p>
    <w:p>
      <w:pPr>
        <w:snapToGrid w:val="0"/>
        <w:spacing w:line="360" w:lineRule="auto"/>
        <w:ind w:right="480"/>
        <w:jc w:val="center"/>
        <w:rPr>
          <w:rFonts w:ascii="仿宋" w:hAnsi="仿宋" w:eastAsia="仿宋" w:cs="仿宋"/>
          <w:b/>
          <w:kern w:val="0"/>
          <w:sz w:val="30"/>
          <w:szCs w:val="30"/>
        </w:rPr>
      </w:pPr>
      <w:r>
        <w:rPr>
          <w:rFonts w:hint="eastAsia" w:ascii="仿宋" w:hAnsi="仿宋" w:eastAsia="仿宋" w:cs="仿宋"/>
          <w:b/>
          <w:kern w:val="0"/>
          <w:sz w:val="30"/>
          <w:szCs w:val="30"/>
        </w:rPr>
        <w:t>五、具有履行合同所必需的设备和专业技术能力的承诺函</w:t>
      </w:r>
    </w:p>
    <w:p>
      <w:pPr>
        <w:snapToGrid w:val="0"/>
        <w:spacing w:line="360" w:lineRule="auto"/>
        <w:rPr>
          <w:rFonts w:ascii="仿宋" w:hAnsi="仿宋" w:eastAsia="仿宋" w:cs="仿宋"/>
          <w:sz w:val="24"/>
        </w:rPr>
      </w:pPr>
      <w:r>
        <w:rPr>
          <w:rFonts w:hint="eastAsia" w:ascii="仿宋" w:hAnsi="仿宋" w:eastAsia="仿宋" w:cs="仿宋"/>
          <w:kern w:val="0"/>
          <w:sz w:val="24"/>
          <w:lang w:val="zh-CN"/>
        </w:rPr>
        <w:t>淳安县市容环境卫生保障中心</w:t>
      </w:r>
      <w:r>
        <w:rPr>
          <w:rFonts w:hint="eastAsia" w:ascii="仿宋" w:hAnsi="仿宋" w:eastAsia="仿宋" w:cs="仿宋"/>
          <w:sz w:val="24"/>
        </w:rPr>
        <w:t>、淳安县建设工程招标代理有限公司：</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我方郑重承诺，我方具有履行</w:t>
      </w:r>
      <w:r>
        <w:rPr>
          <w:rFonts w:hint="eastAsia" w:ascii="仿宋" w:hAnsi="仿宋" w:eastAsia="仿宋" w:cs="仿宋"/>
          <w:kern w:val="0"/>
          <w:sz w:val="24"/>
          <w:u w:val="single"/>
          <w:lang w:val="zh-CN"/>
        </w:rPr>
        <w:t>2022年度青溪新城区块道路保洁服务采购项目</w:t>
      </w:r>
      <w:r>
        <w:rPr>
          <w:rFonts w:hint="eastAsia" w:ascii="仿宋" w:hAnsi="仿宋" w:eastAsia="仿宋" w:cs="仿宋"/>
          <w:sz w:val="24"/>
          <w:u w:val="single"/>
        </w:rPr>
        <w:t xml:space="preserve">【招标编号：            </w:t>
      </w:r>
      <w:r>
        <w:rPr>
          <w:rFonts w:hint="eastAsia" w:ascii="仿宋" w:hAnsi="仿宋" w:eastAsia="仿宋" w:cs="仿宋"/>
          <w:sz w:val="24"/>
        </w:rPr>
        <w:t>】合同所必需的设备和专业技术能力。如中标，我方将保证合同顺利履行。</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040" w:firstLineChars="2100"/>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center"/>
        <w:rPr>
          <w:rFonts w:ascii="仿宋" w:hAnsi="仿宋" w:eastAsia="仿宋" w:cs="仿宋"/>
          <w:b/>
          <w:kern w:val="0"/>
          <w:sz w:val="24"/>
        </w:rPr>
      </w:pPr>
    </w:p>
    <w:p>
      <w:pPr>
        <w:pStyle w:val="58"/>
        <w:spacing w:before="120" w:line="360" w:lineRule="auto"/>
        <w:rPr>
          <w:rFonts w:ascii="仿宋" w:hAnsi="仿宋" w:eastAsia="仿宋" w:cs="仿宋"/>
          <w:b/>
        </w:rPr>
      </w:pPr>
    </w:p>
    <w:p>
      <w:pPr>
        <w:pStyle w:val="58"/>
        <w:spacing w:before="120" w:line="360" w:lineRule="auto"/>
        <w:rPr>
          <w:rFonts w:ascii="仿宋" w:hAnsi="仿宋" w:eastAsia="仿宋" w:cs="仿宋"/>
          <w:b/>
        </w:rPr>
      </w:pPr>
    </w:p>
    <w:p>
      <w:pPr>
        <w:spacing w:line="360" w:lineRule="auto"/>
        <w:jc w:val="center"/>
        <w:rPr>
          <w:rFonts w:ascii="仿宋" w:hAnsi="仿宋" w:eastAsia="仿宋" w:cs="仿宋"/>
          <w:b/>
          <w:kern w:val="0"/>
          <w:sz w:val="24"/>
        </w:rPr>
      </w:pPr>
      <w:r>
        <w:rPr>
          <w:rFonts w:hint="eastAsia" w:ascii="仿宋" w:hAnsi="仿宋" w:eastAsia="仿宋" w:cs="仿宋"/>
          <w:b/>
          <w:kern w:val="0"/>
          <w:sz w:val="30"/>
          <w:szCs w:val="30"/>
        </w:rPr>
        <w:t>六、参加政府采购活动前三年内，在经营活动中没有重大违法记录的声明</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淳安县市容环境卫生保障中心</w:t>
      </w:r>
      <w:r>
        <w:rPr>
          <w:rFonts w:hint="eastAsia" w:ascii="仿宋" w:hAnsi="仿宋" w:eastAsia="仿宋" w:cs="仿宋"/>
          <w:sz w:val="24"/>
        </w:rPr>
        <w:t>、淳安县建设工程招标代理有限公司：</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sz w:val="24"/>
        </w:rPr>
        <w:t>声明投标截止时间前三年，在</w:t>
      </w:r>
      <w:r>
        <w:rPr>
          <w:rFonts w:hint="eastAsia" w:ascii="仿宋" w:hAnsi="仿宋" w:eastAsia="仿宋" w:cs="仿宋"/>
          <w:kern w:val="0"/>
          <w:sz w:val="24"/>
        </w:rPr>
        <w:t>经营活动中</w:t>
      </w:r>
      <w:r>
        <w:rPr>
          <w:rFonts w:hint="eastAsia" w:ascii="仿宋" w:hAnsi="仿宋" w:eastAsia="仿宋" w:cs="仿宋"/>
          <w:sz w:val="24"/>
        </w:rPr>
        <w:t xml:space="preserve">没有重大违法记录。 </w:t>
      </w:r>
    </w:p>
    <w:p>
      <w:pPr>
        <w:spacing w:line="360" w:lineRule="auto"/>
        <w:ind w:firstLine="480" w:firstLineChars="200"/>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firstLine="5160" w:firstLineChars="2150"/>
        <w:rPr>
          <w:rFonts w:ascii="仿宋" w:hAnsi="仿宋" w:eastAsia="仿宋" w:cs="仿宋"/>
          <w:kern w:val="0"/>
          <w:sz w:val="24"/>
          <w:lang w:val="zh-CN"/>
        </w:rPr>
      </w:pPr>
    </w:p>
    <w:p>
      <w:pPr>
        <w:snapToGrid w:val="0"/>
        <w:spacing w:line="360" w:lineRule="auto"/>
        <w:ind w:firstLine="5160" w:firstLineChars="2150"/>
        <w:rPr>
          <w:rFonts w:ascii="仿宋" w:hAnsi="仿宋" w:eastAsia="仿宋" w:cs="仿宋"/>
          <w:kern w:val="0"/>
          <w:sz w:val="24"/>
          <w:lang w:val="zh-CN"/>
        </w:rPr>
      </w:pPr>
    </w:p>
    <w:p>
      <w:pPr>
        <w:snapToGrid w:val="0"/>
        <w:spacing w:line="360" w:lineRule="auto"/>
        <w:ind w:firstLine="5160" w:firstLineChars="2150"/>
        <w:rPr>
          <w:rFonts w:ascii="仿宋" w:hAnsi="仿宋" w:eastAsia="仿宋" w:cs="仿宋"/>
          <w:kern w:val="0"/>
          <w:sz w:val="24"/>
          <w:lang w:val="zh-CN"/>
        </w:rPr>
      </w:pPr>
    </w:p>
    <w:p>
      <w:pPr>
        <w:snapToGrid w:val="0"/>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br w:type="page"/>
      </w:r>
    </w:p>
    <w:p>
      <w:pPr>
        <w:snapToGrid w:val="0"/>
        <w:spacing w:line="360" w:lineRule="auto"/>
        <w:jc w:val="center"/>
        <w:rPr>
          <w:rFonts w:ascii="仿宋" w:hAnsi="仿宋" w:eastAsia="仿宋" w:cs="仿宋"/>
          <w:b/>
          <w:kern w:val="0"/>
          <w:sz w:val="30"/>
          <w:szCs w:val="30"/>
        </w:rPr>
      </w:pPr>
      <w:r>
        <w:rPr>
          <w:rFonts w:hint="eastAsia" w:ascii="仿宋" w:hAnsi="仿宋" w:eastAsia="仿宋" w:cs="仿宋"/>
          <w:b/>
          <w:kern w:val="0"/>
          <w:sz w:val="30"/>
          <w:szCs w:val="30"/>
        </w:rPr>
        <w:t>七、具有良好商业信誉特别声明</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淳安县市容环境卫生保障中心</w:t>
      </w:r>
      <w:r>
        <w:rPr>
          <w:rFonts w:hint="eastAsia" w:ascii="仿宋" w:hAnsi="仿宋" w:eastAsia="仿宋" w:cs="仿宋"/>
          <w:sz w:val="24"/>
        </w:rPr>
        <w:t>、淳安县建设工程招标代理有限公司：</w:t>
      </w:r>
      <w:r>
        <w:rPr>
          <w:rFonts w:hint="eastAsia" w:ascii="仿宋" w:hAnsi="仿宋" w:eastAsia="仿宋" w:cs="仿宋"/>
          <w:kern w:val="0"/>
          <w:sz w:val="24"/>
          <w:lang w:val="zh-CN"/>
        </w:rPr>
        <w:t>：</w:t>
      </w:r>
    </w:p>
    <w:p>
      <w:pPr>
        <w:snapToGrid w:val="0"/>
        <w:spacing w:line="360" w:lineRule="auto"/>
        <w:ind w:firstLine="480"/>
        <w:rPr>
          <w:rFonts w:ascii="仿宋" w:hAnsi="仿宋" w:eastAsia="仿宋" w:cs="仿宋"/>
          <w:kern w:val="0"/>
          <w:sz w:val="24"/>
          <w:lang w:val="zh-CN"/>
        </w:rPr>
      </w:pPr>
      <w:r>
        <w:rPr>
          <w:rFonts w:hint="eastAsia" w:ascii="仿宋" w:hAnsi="仿宋" w:eastAsia="仿宋" w:cs="仿宋"/>
          <w:sz w:val="24"/>
        </w:rPr>
        <w:t>截至投标截止时间，我方具有良好的商业信誉，不存在下列情形（包括但不限于）。否则，我方将承担在资格审查时不被通过的后果。</w:t>
      </w:r>
    </w:p>
    <w:p>
      <w:pPr>
        <w:pStyle w:val="52"/>
        <w:spacing w:before="0"/>
        <w:ind w:left="0" w:firstLine="480" w:firstLineChars="200"/>
        <w:rPr>
          <w:rFonts w:ascii="仿宋" w:hAnsi="仿宋" w:eastAsia="仿宋" w:cs="仿宋"/>
          <w:szCs w:val="24"/>
        </w:rPr>
      </w:pPr>
      <w:r>
        <w:rPr>
          <w:rFonts w:hint="eastAsia" w:ascii="仿宋" w:hAnsi="仿宋" w:eastAsia="仿宋" w:cs="仿宋"/>
          <w:szCs w:val="24"/>
        </w:rPr>
        <w:t>1</w:t>
      </w:r>
      <w:r>
        <w:rPr>
          <w:rFonts w:hint="eastAsia" w:ascii="仿宋" w:hAnsi="仿宋" w:eastAsia="仿宋" w:cs="仿宋"/>
          <w:b/>
          <w:szCs w:val="24"/>
        </w:rPr>
        <w:t>、</w:t>
      </w:r>
      <w:r>
        <w:rPr>
          <w:rFonts w:hint="eastAsia" w:ascii="仿宋" w:hAnsi="仿宋" w:eastAsia="仿宋" w:cs="仿宋"/>
          <w:szCs w:val="24"/>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2、截至投标截止时间，因违反《浙江省政府采购供应商注册及诚信管理暂行办法》而被列入‘黑名单’，在处罚有效期内。 </w:t>
      </w:r>
    </w:p>
    <w:p>
      <w:pPr>
        <w:tabs>
          <w:tab w:val="left" w:pos="540"/>
        </w:tabs>
        <w:snapToGrid w:val="0"/>
        <w:spacing w:line="360" w:lineRule="auto"/>
        <w:ind w:firstLine="510"/>
        <w:rPr>
          <w:rFonts w:ascii="仿宋" w:hAnsi="仿宋" w:eastAsia="仿宋" w:cs="仿宋"/>
          <w:sz w:val="24"/>
        </w:rPr>
      </w:pPr>
    </w:p>
    <w:p>
      <w:pPr>
        <w:snapToGrid w:val="0"/>
        <w:spacing w:line="360" w:lineRule="auto"/>
        <w:ind w:firstLine="4680" w:firstLineChars="195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8"/>
          <w:szCs w:val="28"/>
        </w:rPr>
      </w:pPr>
    </w:p>
    <w:p>
      <w:pPr>
        <w:spacing w:line="360" w:lineRule="auto"/>
        <w:jc w:val="center"/>
        <w:rPr>
          <w:rFonts w:ascii="仿宋" w:hAnsi="仿宋" w:eastAsia="仿宋" w:cs="仿宋"/>
          <w:b/>
          <w:sz w:val="30"/>
          <w:szCs w:val="30"/>
        </w:rPr>
      </w:pPr>
      <w:r>
        <w:rPr>
          <w:rFonts w:hint="eastAsia" w:ascii="仿宋" w:hAnsi="仿宋" w:eastAsia="仿宋" w:cs="仿宋"/>
          <w:b/>
          <w:sz w:val="30"/>
          <w:szCs w:val="30"/>
        </w:rPr>
        <w:t>八、特定资格条件要求的资质文件（复印件）</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（由投标人根据招标公告合格的投标人应具备的特定资格要求编制；如果本项目没有设置特定资格条件，则不需要提供）</w:t>
      </w:r>
    </w:p>
    <w:p>
      <w:pPr>
        <w:spacing w:line="360" w:lineRule="auto"/>
        <w:ind w:firstLine="480" w:firstLineChars="200"/>
        <w:jc w:val="left"/>
        <w:rPr>
          <w:rFonts w:ascii="仿宋" w:hAnsi="仿宋" w:eastAsia="仿宋" w:cs="仿宋"/>
          <w:sz w:val="24"/>
        </w:rPr>
      </w:pPr>
    </w:p>
    <w:p>
      <w:pPr>
        <w:pStyle w:val="24"/>
        <w:spacing w:line="360" w:lineRule="auto"/>
        <w:ind w:firstLine="0"/>
        <w:rPr>
          <w:rFonts w:ascii="仿宋" w:hAnsi="仿宋" w:eastAsia="仿宋" w:cs="仿宋"/>
          <w:kern w:val="0"/>
          <w:lang w:val="zh-CN"/>
        </w:rPr>
      </w:pPr>
    </w:p>
    <w:p>
      <w:pPr>
        <w:pStyle w:val="24"/>
        <w:spacing w:line="360" w:lineRule="auto"/>
        <w:rPr>
          <w:rFonts w:ascii="仿宋" w:hAnsi="仿宋" w:eastAsia="仿宋" w:cs="仿宋"/>
          <w:kern w:val="0"/>
          <w:lang w:val="zh-CN"/>
        </w:rPr>
      </w:pPr>
    </w:p>
    <w:p>
      <w:pPr>
        <w:snapToGrid w:val="0"/>
        <w:spacing w:before="50" w:after="50" w:line="360" w:lineRule="auto"/>
        <w:jc w:val="center"/>
        <w:rPr>
          <w:rFonts w:ascii="仿宋" w:hAnsi="仿宋" w:eastAsia="仿宋" w:cs="仿宋_GB2312"/>
          <w:b/>
          <w:color w:val="000000"/>
          <w:sz w:val="30"/>
          <w:szCs w:val="30"/>
        </w:rPr>
      </w:pPr>
      <w:r>
        <w:rPr>
          <w:rFonts w:hint="eastAsia" w:ascii="仿宋" w:hAnsi="仿宋" w:eastAsia="仿宋" w:cs="仿宋"/>
          <w:sz w:val="32"/>
          <w:szCs w:val="32"/>
        </w:rPr>
        <w:br w:type="page"/>
      </w:r>
      <w:r>
        <w:rPr>
          <w:rFonts w:hint="eastAsia" w:ascii="仿宋" w:hAnsi="仿宋" w:eastAsia="仿宋" w:cs="仿宋_GB2312"/>
          <w:b/>
          <w:color w:val="000000"/>
          <w:sz w:val="32"/>
          <w:szCs w:val="32"/>
        </w:rPr>
        <w:t>九</w:t>
      </w:r>
      <w:r>
        <w:rPr>
          <w:rFonts w:hint="eastAsia" w:ascii="仿宋" w:hAnsi="仿宋" w:eastAsia="仿宋" w:cs="仿宋_GB2312"/>
          <w:b/>
          <w:color w:val="000000"/>
          <w:sz w:val="30"/>
          <w:szCs w:val="30"/>
        </w:rPr>
        <w:t>、联合体协议</w:t>
      </w:r>
    </w:p>
    <w:p>
      <w:pPr>
        <w:spacing w:line="360" w:lineRule="auto"/>
        <w:ind w:firstLine="480" w:firstLineChars="200"/>
        <w:jc w:val="left"/>
        <w:rPr>
          <w:rFonts w:ascii="仿宋" w:hAnsi="仿宋" w:eastAsia="仿宋" w:cs="仿宋_GB2312"/>
          <w:color w:val="000000"/>
          <w:sz w:val="24"/>
        </w:rPr>
      </w:pPr>
      <w:r>
        <w:rPr>
          <w:rFonts w:hint="eastAsia" w:ascii="仿宋" w:hAnsi="仿宋" w:eastAsia="仿宋" w:cs="仿宋_GB2312"/>
          <w:color w:val="000000"/>
          <w:sz w:val="24"/>
        </w:rPr>
        <w:t>（以联合体形式投标的，提供联合体协议；本项目不接受联合体投标或者投标人不以联合体形式投标的，则不需要提供）</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甲方：</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乙方：</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各方经协商一致，决定组成一个联合体，以一个投标人的身份就</w:t>
      </w:r>
      <w:r>
        <w:rPr>
          <w:rFonts w:hint="eastAsia" w:ascii="仿宋" w:hAnsi="仿宋" w:eastAsia="仿宋" w:cs="仿宋"/>
          <w:kern w:val="0"/>
          <w:sz w:val="24"/>
          <w:u w:val="single"/>
          <w:lang w:val="zh-CN"/>
        </w:rPr>
        <w:t>淳安县城镇社区建设专项规划编制采购项目</w:t>
      </w:r>
      <w:r>
        <w:rPr>
          <w:rFonts w:hint="eastAsia" w:ascii="仿宋" w:hAnsi="仿宋" w:eastAsia="仿宋" w:cs="仿宋_GB2312"/>
          <w:color w:val="000000"/>
          <w:sz w:val="24"/>
        </w:rPr>
        <w:t>【招标编号：</w:t>
      </w:r>
      <w:r>
        <w:rPr>
          <w:rFonts w:hint="eastAsia" w:ascii="仿宋" w:hAnsi="仿宋" w:eastAsia="仿宋" w:cs="仿宋_GB2312"/>
          <w:color w:val="000000"/>
          <w:sz w:val="24"/>
          <w:u w:val="single"/>
        </w:rPr>
        <w:t xml:space="preserve">                </w:t>
      </w:r>
      <w:r>
        <w:rPr>
          <w:rFonts w:hint="eastAsia" w:ascii="仿宋" w:hAnsi="仿宋" w:eastAsia="仿宋" w:cs="仿宋_GB2312"/>
          <w:color w:val="000000"/>
          <w:sz w:val="24"/>
        </w:rPr>
        <w:t>】</w:t>
      </w:r>
      <w:r>
        <w:rPr>
          <w:rFonts w:hint="eastAsia" w:ascii="仿宋" w:hAnsi="仿宋" w:eastAsia="仿宋" w:cs="仿宋_GB2312"/>
          <w:color w:val="000000"/>
          <w:kern w:val="0"/>
          <w:sz w:val="24"/>
          <w:lang w:val="zh-CN"/>
        </w:rPr>
        <w:t xml:space="preserve">共同投标。 </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一、各方一致决定，</w:t>
      </w:r>
      <w:r>
        <w:rPr>
          <w:rFonts w:hint="eastAsia" w:ascii="仿宋" w:hAnsi="仿宋" w:eastAsia="仿宋" w:cs="Arial"/>
          <w:color w:val="000000"/>
          <w:sz w:val="24"/>
        </w:rPr>
        <w:t>指定方牵头人，代表所有联合体成员负责投标和合同实施阶段的主办、协调工作</w:t>
      </w:r>
      <w:r>
        <w:rPr>
          <w:rFonts w:hint="eastAsia" w:ascii="仿宋" w:hAnsi="仿宋" w:eastAsia="仿宋" w:cs="仿宋_GB2312"/>
          <w:color w:val="000000"/>
          <w:kern w:val="0"/>
          <w:sz w:val="24"/>
          <w:lang w:val="zh-CN"/>
        </w:rPr>
        <w:t>。</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二、</w:t>
      </w:r>
      <w:r>
        <w:rPr>
          <w:rFonts w:hint="eastAsia" w:ascii="仿宋" w:hAnsi="仿宋" w:eastAsia="仿宋" w:cs="Arial"/>
          <w:color w:val="000000"/>
          <w:sz w:val="24"/>
        </w:rPr>
        <w:t>所有联合体成员各方签署授权书，授权书载明的</w:t>
      </w:r>
      <w:r>
        <w:rPr>
          <w:rFonts w:hint="eastAsia" w:ascii="仿宋" w:hAnsi="仿宋" w:eastAsia="仿宋" w:cs="仿宋_GB2312"/>
          <w:color w:val="000000"/>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三、本次联合投标中，分工如下：甲方承担的工作和义务为：；乙方承担的工作和义务为： ；……</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四、如果中标，</w:t>
      </w:r>
      <w:r>
        <w:rPr>
          <w:rFonts w:hint="eastAsia" w:ascii="仿宋" w:hAnsi="仿宋" w:eastAsia="仿宋"/>
          <w:color w:val="000000"/>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五、有关本次联合投标的其他事宜：</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3、本协议提交采购人、采购机构后，联合体各方不得以任何形式对上述内容进行修改或撤销。</w:t>
      </w:r>
    </w:p>
    <w:p>
      <w:pPr>
        <w:snapToGrid w:val="0"/>
        <w:spacing w:line="360" w:lineRule="auto"/>
        <w:ind w:firstLine="576"/>
        <w:rPr>
          <w:rFonts w:ascii="仿宋" w:hAnsi="仿宋" w:eastAsia="仿宋" w:cs="仿宋_GB2312"/>
          <w:color w:val="000000"/>
          <w:kern w:val="0"/>
          <w:sz w:val="24"/>
          <w:lang w:val="zh-CN"/>
        </w:rPr>
      </w:pPr>
    </w:p>
    <w:p>
      <w:pPr>
        <w:snapToGrid w:val="0"/>
        <w:spacing w:line="360" w:lineRule="auto"/>
        <w:ind w:firstLine="576"/>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甲方单位：       （电子签名）          乙方单位：       （电子签名）</w:t>
      </w:r>
    </w:p>
    <w:p>
      <w:pPr>
        <w:spacing w:line="360" w:lineRule="auto"/>
        <w:ind w:firstLine="480" w:firstLineChars="200"/>
        <w:jc w:val="left"/>
        <w:rPr>
          <w:rFonts w:ascii="仿宋" w:hAnsi="仿宋" w:eastAsia="仿宋" w:cs="仿宋_GB2312"/>
          <w:color w:val="000000"/>
          <w:sz w:val="24"/>
        </w:rPr>
      </w:pPr>
      <w:r>
        <w:rPr>
          <w:rFonts w:hint="eastAsia" w:ascii="仿宋" w:hAnsi="仿宋" w:eastAsia="仿宋" w:cs="仿宋_GB2312"/>
          <w:color w:val="000000"/>
          <w:kern w:val="0"/>
          <w:sz w:val="24"/>
          <w:lang w:val="zh-CN"/>
        </w:rPr>
        <w:t>日期：    年   月   日                  日期：    年   月   日</w:t>
      </w:r>
    </w:p>
    <w:p>
      <w:pPr>
        <w:snapToGrid w:val="0"/>
        <w:spacing w:line="360" w:lineRule="auto"/>
        <w:ind w:firstLine="3614" w:firstLineChars="1000"/>
        <w:rPr>
          <w:rFonts w:ascii="仿宋" w:hAnsi="仿宋" w:eastAsia="仿宋" w:cs="仿宋_GB2312"/>
          <w:b/>
          <w:color w:val="000000"/>
          <w:kern w:val="0"/>
          <w:sz w:val="36"/>
          <w:szCs w:val="36"/>
        </w:rPr>
      </w:pPr>
    </w:p>
    <w:p>
      <w:pPr>
        <w:pStyle w:val="61"/>
        <w:keepNext w:val="0"/>
        <w:pageBreakBefore w:val="0"/>
        <w:tabs>
          <w:tab w:val="clear" w:pos="785"/>
        </w:tabs>
        <w:snapToGrid w:val="0"/>
        <w:spacing w:before="120" w:after="120"/>
        <w:ind w:firstLine="2424" w:firstLineChars="805"/>
        <w:jc w:val="both"/>
        <w:outlineLvl w:val="9"/>
        <w:rPr>
          <w:rFonts w:ascii="仿宋" w:hAnsi="仿宋" w:eastAsia="仿宋" w:cs="仿宋"/>
          <w:kern w:val="2"/>
          <w:sz w:val="30"/>
          <w:szCs w:val="30"/>
        </w:rPr>
      </w:pPr>
      <w:r>
        <w:rPr>
          <w:rFonts w:hint="eastAsia" w:ascii="仿宋" w:hAnsi="仿宋" w:eastAsia="仿宋" w:cs="仿宋"/>
          <w:kern w:val="2"/>
          <w:sz w:val="30"/>
          <w:szCs w:val="30"/>
        </w:rPr>
        <w:t>十、中小企业声明函</w:t>
      </w: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color w:val="auto"/>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color w:val="auto"/>
          <w:sz w:val="24"/>
          <w:u w:val="single"/>
        </w:rPr>
        <w:t>（其他未列明行业）</w:t>
      </w:r>
      <w:r>
        <w:rPr>
          <w:rFonts w:hint="eastAsia" w:ascii="仿宋" w:hAnsi="仿宋" w:eastAsia="仿宋" w:cs="仿宋"/>
          <w:color w:val="auto"/>
          <w:sz w:val="24"/>
        </w:rPr>
        <w:t xml:space="preserve"> ；承建（承接）企业为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color w:val="auto"/>
          <w:sz w:val="24"/>
        </w:rPr>
        <w:t>2.</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，属于 </w:t>
      </w:r>
      <w:r>
        <w:rPr>
          <w:rFonts w:hint="eastAsia" w:ascii="仿宋" w:hAnsi="仿宋" w:eastAsia="仿宋" w:cs="仿宋"/>
          <w:color w:val="auto"/>
          <w:sz w:val="24"/>
          <w:u w:val="single"/>
        </w:rPr>
        <w:t>（其他未列明行业）</w:t>
      </w:r>
      <w:r>
        <w:rPr>
          <w:rFonts w:hint="eastAsia" w:ascii="仿宋" w:hAnsi="仿宋" w:eastAsia="仿宋" w:cs="仿宋"/>
          <w:color w:val="auto"/>
          <w:sz w:val="24"/>
        </w:rPr>
        <w:t xml:space="preserve"> ；</w:t>
      </w:r>
      <w:r>
        <w:rPr>
          <w:rFonts w:hint="eastAsia" w:ascii="仿宋" w:hAnsi="仿宋" w:eastAsia="仿宋" w:cs="仿宋"/>
          <w:sz w:val="24"/>
        </w:rPr>
        <w:t xml:space="preserve">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pPr>
        <w:pStyle w:val="8"/>
      </w:pP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napToGrid w:val="0"/>
        <w:spacing w:line="360" w:lineRule="auto"/>
        <w:jc w:val="left"/>
        <w:rPr>
          <w:rFonts w:ascii="宋体" w:hAnsi="宋体" w:cs="宋体"/>
          <w:b/>
        </w:rPr>
      </w:pPr>
    </w:p>
    <w:p>
      <w:pPr>
        <w:pStyle w:val="18"/>
        <w:ind w:firstLine="420"/>
        <w:rPr>
          <w:rFonts w:ascii="仿宋" w:hAnsi="仿宋" w:eastAsia="仿宋" w:cs="宋体"/>
        </w:rPr>
      </w:pPr>
    </w:p>
    <w:p>
      <w:pPr>
        <w:snapToGrid w:val="0"/>
        <w:spacing w:line="360" w:lineRule="auto"/>
        <w:ind w:firstLine="2168" w:firstLineChars="900"/>
        <w:jc w:val="left"/>
        <w:rPr>
          <w:rFonts w:ascii="仿宋" w:hAnsi="仿宋" w:eastAsia="仿宋" w:cs="仿宋"/>
          <w:b/>
          <w:bCs/>
          <w:sz w:val="24"/>
        </w:rPr>
      </w:pPr>
    </w:p>
    <w:p>
      <w:pPr>
        <w:pStyle w:val="2"/>
        <w:tabs>
          <w:tab w:val="left" w:pos="432"/>
        </w:tabs>
      </w:pPr>
    </w:p>
    <w:p/>
    <w:p>
      <w:pPr>
        <w:snapToGrid w:val="0"/>
        <w:spacing w:line="360" w:lineRule="auto"/>
        <w:ind w:right="1444"/>
        <w:rPr>
          <w:rStyle w:val="30"/>
          <w:rFonts w:ascii="宋体" w:hAnsi="宋体"/>
          <w:b/>
          <w:lang w:val="zh-CN"/>
        </w:rPr>
      </w:pPr>
    </w:p>
    <w:p>
      <w:pPr>
        <w:pStyle w:val="2"/>
        <w:rPr>
          <w:lang w:val="zh-CN"/>
        </w:rPr>
      </w:pPr>
    </w:p>
    <w:p>
      <w:pPr>
        <w:spacing w:line="360" w:lineRule="auto"/>
        <w:ind w:firstLine="480"/>
        <w:rPr>
          <w:rFonts w:ascii="仿宋" w:hAnsi="仿宋" w:eastAsia="仿宋" w:cs="仿宋"/>
          <w:b/>
          <w:sz w:val="32"/>
          <w:szCs w:val="32"/>
        </w:rPr>
      </w:pPr>
    </w:p>
    <w:p>
      <w:pPr>
        <w:snapToGrid w:val="0"/>
        <w:spacing w:line="360" w:lineRule="auto"/>
        <w:jc w:val="center"/>
      </w:pPr>
      <w:r>
        <w:rPr>
          <w:rFonts w:hint="eastAsia" w:ascii="仿宋" w:hAnsi="仿宋" w:eastAsia="仿宋" w:cs="仿宋"/>
          <w:sz w:val="36"/>
          <w:szCs w:val="36"/>
          <w:lang w:val="zh-CN"/>
        </w:rPr>
        <w:t>▲</w:t>
      </w:r>
      <w:r>
        <w:rPr>
          <w:rFonts w:hint="eastAsia" w:ascii="仿宋" w:hAnsi="仿宋" w:eastAsia="仿宋" w:cs="仿宋"/>
          <w:b/>
          <w:kern w:val="0"/>
          <w:sz w:val="36"/>
          <w:szCs w:val="36"/>
        </w:rPr>
        <w:t>报价文件部分</w:t>
      </w:r>
    </w:p>
    <w:p>
      <w:pPr>
        <w:spacing w:line="360" w:lineRule="auto"/>
        <w:jc w:val="center"/>
        <w:rPr>
          <w:rFonts w:ascii="仿宋" w:hAnsi="仿宋" w:eastAsia="仿宋" w:cs="仿宋"/>
          <w:b/>
          <w:kern w:val="0"/>
          <w:sz w:val="24"/>
          <w:szCs w:val="36"/>
        </w:rPr>
      </w:pPr>
    </w:p>
    <w:p>
      <w:pPr>
        <w:spacing w:line="360" w:lineRule="auto"/>
        <w:jc w:val="center"/>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1</w:t>
      </w:r>
      <w:r>
        <w:rPr>
          <w:rFonts w:hint="eastAsia" w:ascii="仿宋" w:hAnsi="仿宋" w:eastAsia="仿宋" w:cs="仿宋"/>
          <w:kern w:val="0"/>
          <w:sz w:val="24"/>
        </w:rPr>
        <w:t>）投标响应函……………………………………………………（页码）</w:t>
      </w:r>
    </w:p>
    <w:p>
      <w:pPr>
        <w:spacing w:line="360" w:lineRule="auto"/>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2</w:t>
      </w:r>
      <w:r>
        <w:rPr>
          <w:rFonts w:hint="eastAsia" w:ascii="仿宋" w:hAnsi="仿宋" w:eastAsia="仿宋" w:cs="仿宋"/>
          <w:kern w:val="0"/>
          <w:sz w:val="24"/>
        </w:rPr>
        <w:t>）投标（开标）一览表…………………………………………（页码）</w:t>
      </w:r>
    </w:p>
    <w:p>
      <w:pPr>
        <w:pStyle w:val="17"/>
        <w:rPr>
          <w:rFonts w:ascii="仿宋" w:hAnsi="仿宋" w:eastAsia="仿宋" w:cs="仿宋_GB2312"/>
          <w:kern w:val="0"/>
          <w:sz w:val="24"/>
        </w:rPr>
      </w:pPr>
    </w:p>
    <w:p>
      <w:pPr>
        <w:pStyle w:val="14"/>
        <w:rPr>
          <w:rFonts w:ascii="仿宋" w:hAnsi="仿宋" w:eastAsia="仿宋" w:cs="仿宋_GB2312"/>
          <w:kern w:val="0"/>
          <w:sz w:val="24"/>
        </w:rPr>
      </w:pPr>
    </w:p>
    <w:p>
      <w:pPr>
        <w:rPr>
          <w:rFonts w:ascii="仿宋" w:hAnsi="仿宋" w:eastAsia="仿宋" w:cs="仿宋_GB2312"/>
          <w:kern w:val="0"/>
          <w:sz w:val="24"/>
        </w:rPr>
      </w:pPr>
    </w:p>
    <w:p>
      <w:pPr>
        <w:pStyle w:val="17"/>
        <w:rPr>
          <w:rFonts w:ascii="仿宋" w:hAnsi="仿宋" w:eastAsia="仿宋" w:cs="仿宋_GB2312"/>
          <w:kern w:val="0"/>
          <w:sz w:val="24"/>
        </w:rPr>
      </w:pPr>
    </w:p>
    <w:p>
      <w:pPr>
        <w:pStyle w:val="14"/>
        <w:rPr>
          <w:rFonts w:ascii="仿宋" w:hAnsi="仿宋" w:eastAsia="仿宋" w:cs="仿宋_GB2312"/>
          <w:kern w:val="0"/>
          <w:sz w:val="24"/>
        </w:rPr>
      </w:pPr>
    </w:p>
    <w:p>
      <w:pPr>
        <w:rPr>
          <w:rFonts w:ascii="仿宋" w:hAnsi="仿宋" w:eastAsia="仿宋" w:cs="仿宋_GB2312"/>
          <w:kern w:val="0"/>
          <w:sz w:val="24"/>
        </w:rPr>
      </w:pPr>
    </w:p>
    <w:p>
      <w:pPr>
        <w:pStyle w:val="17"/>
        <w:rPr>
          <w:rFonts w:ascii="仿宋" w:hAnsi="仿宋" w:eastAsia="仿宋" w:cs="仿宋_GB2312"/>
          <w:kern w:val="0"/>
          <w:sz w:val="24"/>
        </w:rPr>
      </w:pPr>
    </w:p>
    <w:p>
      <w:pPr>
        <w:pStyle w:val="14"/>
        <w:rPr>
          <w:rFonts w:ascii="仿宋" w:hAnsi="仿宋" w:eastAsia="仿宋" w:cs="仿宋_GB2312"/>
          <w:kern w:val="0"/>
          <w:sz w:val="24"/>
        </w:rPr>
      </w:pPr>
    </w:p>
    <w:p>
      <w:pPr>
        <w:rPr>
          <w:rFonts w:ascii="仿宋" w:hAnsi="仿宋" w:eastAsia="仿宋" w:cs="仿宋_GB2312"/>
          <w:kern w:val="0"/>
          <w:sz w:val="24"/>
        </w:rPr>
      </w:pPr>
    </w:p>
    <w:p>
      <w:pPr>
        <w:pStyle w:val="17"/>
        <w:rPr>
          <w:rFonts w:ascii="仿宋" w:hAnsi="仿宋" w:eastAsia="仿宋" w:cs="仿宋_GB2312"/>
          <w:kern w:val="0"/>
          <w:sz w:val="24"/>
        </w:rPr>
      </w:pPr>
    </w:p>
    <w:p>
      <w:pPr>
        <w:pStyle w:val="14"/>
        <w:rPr>
          <w:rFonts w:ascii="仿宋" w:hAnsi="仿宋" w:eastAsia="仿宋" w:cs="仿宋_GB2312"/>
          <w:kern w:val="0"/>
          <w:sz w:val="24"/>
        </w:rPr>
      </w:pPr>
    </w:p>
    <w:p>
      <w:pPr>
        <w:rPr>
          <w:rFonts w:ascii="仿宋" w:hAnsi="仿宋" w:eastAsia="仿宋" w:cs="仿宋_GB2312"/>
          <w:kern w:val="0"/>
          <w:sz w:val="24"/>
        </w:rPr>
      </w:pPr>
    </w:p>
    <w:p>
      <w:pPr>
        <w:pStyle w:val="17"/>
        <w:rPr>
          <w:rFonts w:ascii="仿宋" w:hAnsi="仿宋" w:eastAsia="仿宋" w:cs="仿宋_GB2312"/>
          <w:kern w:val="0"/>
          <w:sz w:val="24"/>
        </w:rPr>
      </w:pPr>
    </w:p>
    <w:p>
      <w:pPr>
        <w:pStyle w:val="14"/>
        <w:rPr>
          <w:rFonts w:ascii="仿宋" w:hAnsi="仿宋" w:eastAsia="仿宋" w:cs="仿宋_GB2312"/>
          <w:kern w:val="0"/>
          <w:sz w:val="24"/>
        </w:rPr>
      </w:pPr>
    </w:p>
    <w:p>
      <w:pPr>
        <w:rPr>
          <w:rFonts w:ascii="仿宋" w:hAnsi="仿宋" w:eastAsia="仿宋" w:cs="仿宋_GB2312"/>
          <w:kern w:val="0"/>
          <w:sz w:val="24"/>
        </w:rPr>
      </w:pPr>
    </w:p>
    <w:p>
      <w:pPr>
        <w:pStyle w:val="17"/>
        <w:rPr>
          <w:rFonts w:ascii="仿宋" w:hAnsi="仿宋" w:eastAsia="仿宋" w:cs="仿宋_GB2312"/>
          <w:kern w:val="0"/>
          <w:sz w:val="24"/>
        </w:rPr>
      </w:pPr>
    </w:p>
    <w:p>
      <w:pPr>
        <w:pStyle w:val="14"/>
        <w:rPr>
          <w:rFonts w:ascii="仿宋" w:hAnsi="仿宋" w:eastAsia="仿宋" w:cs="仿宋_GB2312"/>
          <w:kern w:val="0"/>
          <w:sz w:val="24"/>
        </w:rPr>
      </w:pPr>
    </w:p>
    <w:p>
      <w:pPr>
        <w:rPr>
          <w:rFonts w:ascii="仿宋" w:hAnsi="仿宋" w:eastAsia="仿宋" w:cs="仿宋_GB2312"/>
          <w:kern w:val="0"/>
          <w:sz w:val="24"/>
        </w:rPr>
      </w:pPr>
    </w:p>
    <w:p>
      <w:pPr>
        <w:pStyle w:val="17"/>
        <w:rPr>
          <w:rFonts w:ascii="仿宋" w:hAnsi="仿宋" w:eastAsia="仿宋" w:cs="仿宋_GB2312"/>
          <w:kern w:val="0"/>
          <w:sz w:val="24"/>
        </w:rPr>
      </w:pPr>
    </w:p>
    <w:p>
      <w:pPr>
        <w:pStyle w:val="14"/>
        <w:rPr>
          <w:rFonts w:ascii="仿宋" w:hAnsi="仿宋" w:eastAsia="仿宋" w:cs="仿宋_GB2312"/>
          <w:kern w:val="0"/>
          <w:sz w:val="24"/>
        </w:rPr>
      </w:pPr>
    </w:p>
    <w:p>
      <w:pPr>
        <w:rPr>
          <w:rFonts w:ascii="仿宋" w:hAnsi="仿宋" w:eastAsia="仿宋" w:cs="仿宋_GB2312"/>
          <w:kern w:val="0"/>
          <w:sz w:val="24"/>
        </w:rPr>
      </w:pPr>
    </w:p>
    <w:p>
      <w:pPr>
        <w:pStyle w:val="2"/>
      </w:pPr>
    </w:p>
    <w:p>
      <w:pPr>
        <w:pStyle w:val="17"/>
        <w:rPr>
          <w:rFonts w:ascii="仿宋" w:hAnsi="仿宋" w:eastAsia="仿宋" w:cs="仿宋_GB2312"/>
          <w:kern w:val="0"/>
          <w:sz w:val="24"/>
        </w:rPr>
      </w:pPr>
    </w:p>
    <w:p>
      <w:pPr>
        <w:pStyle w:val="14"/>
        <w:rPr>
          <w:rFonts w:ascii="仿宋" w:hAnsi="仿宋" w:eastAsia="仿宋" w:cs="仿宋_GB2312"/>
          <w:kern w:val="0"/>
          <w:sz w:val="24"/>
        </w:rPr>
      </w:pPr>
    </w:p>
    <w:p>
      <w:pPr>
        <w:rPr>
          <w:rFonts w:ascii="仿宋" w:hAnsi="仿宋" w:eastAsia="仿宋" w:cs="仿宋_GB2312"/>
          <w:kern w:val="0"/>
          <w:sz w:val="24"/>
        </w:rPr>
      </w:pPr>
    </w:p>
    <w:p>
      <w:pPr>
        <w:pStyle w:val="17"/>
        <w:rPr>
          <w:rFonts w:ascii="仿宋" w:hAnsi="仿宋" w:eastAsia="仿宋" w:cs="仿宋_GB2312"/>
          <w:kern w:val="0"/>
          <w:sz w:val="24"/>
        </w:rPr>
      </w:pPr>
    </w:p>
    <w:p>
      <w:pPr>
        <w:pStyle w:val="14"/>
        <w:rPr>
          <w:rFonts w:ascii="仿宋" w:hAnsi="仿宋" w:eastAsia="仿宋" w:cs="仿宋_GB2312"/>
          <w:kern w:val="0"/>
          <w:sz w:val="24"/>
        </w:rPr>
      </w:pPr>
    </w:p>
    <w:p>
      <w:pPr>
        <w:rPr>
          <w:rFonts w:ascii="仿宋" w:hAnsi="仿宋" w:eastAsia="仿宋" w:cs="仿宋_GB2312"/>
          <w:kern w:val="0"/>
          <w:sz w:val="24"/>
        </w:rPr>
      </w:pPr>
    </w:p>
    <w:p>
      <w:pPr>
        <w:pStyle w:val="17"/>
        <w:rPr>
          <w:rFonts w:ascii="仿宋" w:hAnsi="仿宋" w:eastAsia="仿宋" w:cs="仿宋_GB2312"/>
          <w:kern w:val="0"/>
          <w:sz w:val="24"/>
        </w:rPr>
      </w:pPr>
    </w:p>
    <w:p>
      <w:pPr>
        <w:rPr>
          <w:rFonts w:ascii="仿宋" w:hAnsi="仿宋" w:eastAsia="仿宋" w:cs="仿宋_GB2312"/>
          <w:kern w:val="0"/>
          <w:sz w:val="24"/>
        </w:rPr>
      </w:pPr>
    </w:p>
    <w:p>
      <w:pPr>
        <w:pStyle w:val="2"/>
      </w:pPr>
    </w:p>
    <w:p>
      <w:pPr>
        <w:pStyle w:val="14"/>
        <w:rPr>
          <w:rFonts w:ascii="仿宋" w:hAnsi="仿宋" w:eastAsia="仿宋" w:cs="仿宋_GB2312"/>
          <w:kern w:val="0"/>
          <w:sz w:val="24"/>
        </w:rPr>
      </w:pPr>
    </w:p>
    <w:p>
      <w:pPr>
        <w:pStyle w:val="58"/>
        <w:spacing w:before="120" w:line="360" w:lineRule="auto"/>
        <w:jc w:val="center"/>
        <w:rPr>
          <w:rFonts w:ascii="仿宋" w:hAnsi="仿宋" w:eastAsia="仿宋" w:cs="仿宋"/>
          <w:b/>
          <w:sz w:val="28"/>
          <w:szCs w:val="28"/>
        </w:rPr>
      </w:pPr>
      <w:r>
        <w:rPr>
          <w:rFonts w:hint="eastAsia" w:ascii="仿宋" w:hAnsi="仿宋" w:eastAsia="仿宋" w:cs="仿宋"/>
          <w:b/>
          <w:sz w:val="28"/>
          <w:szCs w:val="28"/>
        </w:rPr>
        <w:t>一、投标响应函</w:t>
      </w:r>
    </w:p>
    <w:p>
      <w:pPr>
        <w:snapToGrid w:val="0"/>
        <w:spacing w:line="360" w:lineRule="auto"/>
        <w:rPr>
          <w:rFonts w:ascii="仿宋" w:hAnsi="仿宋" w:eastAsia="仿宋" w:cs="仿宋"/>
          <w:sz w:val="24"/>
        </w:rPr>
      </w:pPr>
      <w:r>
        <w:rPr>
          <w:rFonts w:hint="eastAsia" w:ascii="仿宋" w:hAnsi="仿宋" w:eastAsia="仿宋" w:cs="仿宋"/>
          <w:kern w:val="0"/>
          <w:sz w:val="24"/>
          <w:lang w:val="zh-CN"/>
        </w:rPr>
        <w:t>淳安县市容环境卫生保障中心</w:t>
      </w:r>
      <w:r>
        <w:rPr>
          <w:rFonts w:hint="eastAsia" w:ascii="仿宋" w:hAnsi="仿宋" w:eastAsia="仿宋" w:cs="仿宋"/>
          <w:sz w:val="24"/>
        </w:rPr>
        <w:t>、淳安县建设工程招标代理有限公司：</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(投标人全称)授权</w:t>
      </w:r>
      <w:r>
        <w:rPr>
          <w:rFonts w:hint="eastAsia" w:ascii="仿宋" w:hAnsi="仿宋" w:eastAsia="仿宋" w:cs="仿宋"/>
          <w:kern w:val="0"/>
          <w:sz w:val="24"/>
          <w:u w:val="single"/>
          <w:lang w:val="zh-CN"/>
        </w:rPr>
        <w:t xml:space="preserve">                    </w:t>
      </w:r>
      <w:r>
        <w:rPr>
          <w:rFonts w:hint="eastAsia" w:ascii="仿宋" w:hAnsi="仿宋" w:eastAsia="仿宋" w:cs="仿宋"/>
          <w:sz w:val="24"/>
        </w:rPr>
        <w:t>(全权代表姓名)</w:t>
      </w:r>
      <w:r>
        <w:rPr>
          <w:rFonts w:hint="eastAsia" w:ascii="仿宋" w:hAnsi="仿宋" w:eastAsia="仿宋" w:cs="仿宋"/>
          <w:kern w:val="0"/>
          <w:sz w:val="24"/>
          <w:u w:val="single"/>
          <w:lang w:val="zh-CN"/>
        </w:rPr>
        <w:t xml:space="preserve">              </w:t>
      </w:r>
      <w:r>
        <w:rPr>
          <w:rFonts w:hint="eastAsia" w:ascii="仿宋" w:hAnsi="仿宋" w:eastAsia="仿宋" w:cs="仿宋"/>
          <w:sz w:val="24"/>
        </w:rPr>
        <w:t>(职务、职称)为全权代表，参加贵方组织的</w:t>
      </w:r>
      <w:r>
        <w:rPr>
          <w:rFonts w:hint="eastAsia" w:ascii="仿宋" w:hAnsi="仿宋" w:eastAsia="仿宋" w:cs="仿宋"/>
          <w:kern w:val="0"/>
          <w:sz w:val="24"/>
          <w:u w:val="single"/>
          <w:lang w:val="zh-CN"/>
        </w:rPr>
        <w:t>2022年度青溪新城区块道路保洁服务采购项目</w:t>
      </w:r>
      <w:r>
        <w:rPr>
          <w:rFonts w:hint="eastAsia" w:ascii="仿宋" w:hAnsi="仿宋" w:eastAsia="仿宋" w:cs="仿宋"/>
          <w:sz w:val="24"/>
          <w:u w:val="single"/>
        </w:rPr>
        <w:t xml:space="preserve">【招标编号：                </w:t>
      </w:r>
      <w:r>
        <w:rPr>
          <w:rFonts w:hint="eastAsia" w:ascii="仿宋" w:hAnsi="仿宋" w:eastAsia="仿宋" w:cs="仿宋"/>
          <w:sz w:val="24"/>
        </w:rPr>
        <w:t>】招标的有关活动，并对此项目进行投标。为此：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1、我方同意在投标人</w:t>
      </w:r>
      <w:r>
        <w:rPr>
          <w:rFonts w:hint="eastAsia" w:ascii="仿宋" w:hAnsi="仿宋" w:eastAsia="仿宋" w:cs="仿宋"/>
          <w:kern w:val="44"/>
          <w:sz w:val="24"/>
        </w:rPr>
        <w:t>投标人须知</w:t>
      </w:r>
      <w:r>
        <w:rPr>
          <w:rFonts w:hint="eastAsia" w:ascii="仿宋" w:hAnsi="仿宋" w:eastAsia="仿宋" w:cs="仿宋"/>
          <w:sz w:val="24"/>
        </w:rPr>
        <w:t>规定的开标日期起遵守本投标文件中的承诺且在投标有效期满之前均具有约束力。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2、我方承诺已经具备《中华人民共和国政府采购法》中规定的参加政府采购活动的供应商应当具备的条件：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(2)遵守国家法律、行政法规，具有良好的信誉和商业道德；</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(3)具有履行合同的能力和良好的履行合同记录；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(4)良好的资金、财务状况；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(5)产品及生产所需装备符合中国政府规定的相应技术标准和环保标准；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(6)没有违反政府采购法规、政策的记录；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(7)没有发生重大经济纠纷和走私犯罪记录。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3、我方中标后拟在中标后将</w:t>
      </w:r>
      <w:r>
        <w:rPr>
          <w:rFonts w:hint="eastAsia" w:ascii="仿宋" w:hAnsi="仿宋" w:eastAsia="仿宋" w:cs="仿宋"/>
          <w:sz w:val="24"/>
          <w:u w:val="single"/>
        </w:rPr>
        <w:t xml:space="preserve">           </w:t>
      </w:r>
      <w:r>
        <w:rPr>
          <w:rFonts w:hint="eastAsia" w:ascii="仿宋" w:hAnsi="仿宋" w:eastAsia="仿宋" w:cs="仿宋"/>
          <w:sz w:val="24"/>
        </w:rPr>
        <w:t>工作分包，分包承担主体是</w:t>
      </w:r>
      <w:r>
        <w:rPr>
          <w:rFonts w:hint="eastAsia" w:ascii="仿宋" w:hAnsi="仿宋" w:eastAsia="仿宋" w:cs="仿宋"/>
          <w:sz w:val="24"/>
          <w:u w:val="single"/>
        </w:rPr>
        <w:t xml:space="preserve">                 </w:t>
      </w:r>
      <w:r>
        <w:rPr>
          <w:rFonts w:hint="eastAsia" w:ascii="仿宋" w:hAnsi="仿宋" w:eastAsia="仿宋" w:cs="仿宋"/>
          <w:sz w:val="24"/>
        </w:rPr>
        <w:t>，我方承诺分包承担主体具备相应资质条件</w:t>
      </w:r>
      <w:r>
        <w:rPr>
          <w:rFonts w:hint="eastAsia" w:ascii="仿宋" w:hAnsi="仿宋" w:eastAsia="仿宋" w:cs="仿宋"/>
          <w:sz w:val="24"/>
          <w:u w:val="single"/>
        </w:rPr>
        <w:t xml:space="preserve">           </w:t>
      </w:r>
      <w:r>
        <w:rPr>
          <w:rFonts w:hint="eastAsia" w:ascii="仿宋" w:hAnsi="仿宋" w:eastAsia="仿宋" w:cs="仿宋"/>
          <w:sz w:val="24"/>
        </w:rPr>
        <w:t>，且不再次分包。（不再将工作进行分包或本项目不允许分包的，下划线处填写“/”。）</w:t>
      </w:r>
    </w:p>
    <w:p>
      <w:pPr>
        <w:pStyle w:val="11"/>
        <w:snapToGrid w:val="0"/>
        <w:spacing w:before="120" w:after="120" w:line="360" w:lineRule="auto"/>
        <w:ind w:firstLine="420" w:firstLineChars="200"/>
        <w:rPr>
          <w:rFonts w:ascii="仿宋" w:hAnsi="仿宋" w:eastAsia="仿宋" w:cs="仿宋"/>
        </w:rPr>
      </w:pPr>
      <w:r>
        <w:rPr>
          <w:rFonts w:hint="eastAsia" w:ascii="仿宋" w:hAnsi="仿宋" w:eastAsia="仿宋" w:cs="仿宋"/>
        </w:rPr>
        <w:t>4、提供</w:t>
      </w:r>
      <w:r>
        <w:rPr>
          <w:rFonts w:hint="eastAsia" w:ascii="仿宋" w:hAnsi="仿宋" w:eastAsia="仿宋" w:cs="仿宋"/>
          <w:kern w:val="44"/>
        </w:rPr>
        <w:t>投标人须知</w:t>
      </w:r>
      <w:r>
        <w:rPr>
          <w:rFonts w:hint="eastAsia" w:ascii="仿宋" w:hAnsi="仿宋" w:eastAsia="仿宋" w:cs="仿宋"/>
        </w:rPr>
        <w:t>规定的全部投标文件</w:t>
      </w:r>
      <w:r>
        <w:rPr>
          <w:rFonts w:hint="eastAsia" w:ascii="仿宋" w:hAnsi="仿宋" w:eastAsia="仿宋" w:cs="仿宋"/>
          <w:kern w:val="44"/>
        </w:rPr>
        <w:t>。</w:t>
      </w:r>
      <w:r>
        <w:rPr>
          <w:rFonts w:hint="eastAsia" w:ascii="仿宋" w:hAnsi="仿宋" w:eastAsia="仿宋" w:cs="仿宋"/>
        </w:rPr>
        <w:t>具体内容为：</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(1)投标(开标)一览表；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(2)投标</w:t>
      </w:r>
      <w:r>
        <w:rPr>
          <w:rFonts w:hint="eastAsia" w:ascii="仿宋" w:hAnsi="仿宋" w:eastAsia="仿宋" w:cs="仿宋"/>
          <w:kern w:val="0"/>
          <w:sz w:val="24"/>
          <w:lang w:val="zh-CN"/>
        </w:rPr>
        <w:t>技术文件和</w:t>
      </w:r>
      <w:r>
        <w:rPr>
          <w:rFonts w:hint="eastAsia" w:ascii="仿宋" w:hAnsi="仿宋" w:eastAsia="仿宋" w:cs="仿宋"/>
          <w:sz w:val="24"/>
          <w:lang w:val="zh-CN"/>
        </w:rPr>
        <w:t>商务文件</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w:t>
      </w:r>
      <w:r>
        <w:rPr>
          <w:rFonts w:hint="eastAsia" w:ascii="仿宋" w:hAnsi="仿宋" w:eastAsia="仿宋" w:cs="仿宋"/>
          <w:kern w:val="44"/>
          <w:sz w:val="24"/>
        </w:rPr>
        <w:t>投标人须知</w:t>
      </w:r>
      <w:r>
        <w:rPr>
          <w:rFonts w:hint="eastAsia" w:ascii="仿宋" w:hAnsi="仿宋" w:eastAsia="仿宋" w:cs="仿宋"/>
          <w:sz w:val="24"/>
        </w:rPr>
        <w:t>要求投标人提交的全部文件；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(4)按招标文件要求提供和交付的货物和服务的投标报价详见投标(开标)一览表；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(5)保证忠实地执行双方所签订的合同，并承担合同规定的责任和义务；</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(6)保证遵守招标文件中的其他有关规定。</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天，不少于招标文件中载明的投标有效期（从提交投标文件的截止之日起90天）。</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6、我方完全理解贵方不一定要接受最低价的投标。</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7、我方愿意向贵方提供任何与该项投标有关的数据、情况和技术资料。若贵方需要，我方愿意提供我方作出的一切承诺的证明材料。</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8、我方已详细审核全部招标文件，包括招标文件修改书(如果有)、参考资料及有关附件，确认无误。</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a)提供虚假材料谋取中标、成交的；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b)采取不正当手段诋毁、排挤其他供应商的；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c)与采购人、其它供应商或者采购机构恶意串通的；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d)向采购人、采购机构行贿或者提供其他不正当利益的；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e)在招标采购过程中与采购人进行协商谈判的；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f)拒绝有关部门监督检查或提供虚假情况的。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供应商有前款第a)至e)项情形之一的，中标、成交无效。</w:t>
      </w:r>
    </w:p>
    <w:p>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ascii="仿宋" w:hAnsi="仿宋" w:eastAsia="仿宋" w:cs="仿宋"/>
          <w:kern w:val="0"/>
          <w:sz w:val="24"/>
          <w:u w:val="single"/>
          <w:lang w:val="zh-CN"/>
        </w:rPr>
      </w:pPr>
    </w:p>
    <w:p>
      <w:pPr>
        <w:snapToGrid w:val="0"/>
        <w:spacing w:line="360" w:lineRule="auto"/>
        <w:ind w:left="420" w:leftChars="200"/>
        <w:rPr>
          <w:rFonts w:ascii="仿宋" w:hAnsi="仿宋" w:eastAsia="仿宋" w:cs="仿宋"/>
          <w:kern w:val="0"/>
          <w:sz w:val="24"/>
        </w:rPr>
      </w:pPr>
      <w:r>
        <w:rPr>
          <w:rFonts w:hint="eastAsia" w:ascii="仿宋" w:hAnsi="仿宋" w:eastAsia="仿宋" w:cs="仿宋"/>
          <w:kern w:val="0"/>
          <w:sz w:val="24"/>
          <w:lang w:val="zh-CN"/>
        </w:rPr>
        <w:t>联系人：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联系电话：</w:t>
      </w:r>
      <w:r>
        <w:rPr>
          <w:rFonts w:hint="eastAsia" w:ascii="仿宋" w:hAnsi="仿宋" w:eastAsia="仿宋" w:cs="仿宋"/>
          <w:kern w:val="0"/>
          <w:sz w:val="24"/>
        </w:rPr>
        <w:t>__________________</w:t>
      </w:r>
      <w:r>
        <w:rPr>
          <w:rFonts w:hint="eastAsia" w:ascii="仿宋" w:hAnsi="仿宋" w:eastAsia="仿宋" w:cs="仿宋"/>
          <w:kern w:val="0"/>
          <w:sz w:val="24"/>
          <w:u w:val="single"/>
          <w:lang w:val="zh-CN"/>
        </w:rPr>
        <w:t xml:space="preserve">               </w:t>
      </w:r>
    </w:p>
    <w:p>
      <w:pPr>
        <w:snapToGrid w:val="0"/>
        <w:spacing w:line="360" w:lineRule="auto"/>
        <w:ind w:left="420" w:leftChars="200"/>
        <w:rPr>
          <w:rFonts w:ascii="仿宋" w:hAnsi="仿宋" w:eastAsia="仿宋" w:cs="仿宋"/>
          <w:kern w:val="0"/>
          <w:sz w:val="24"/>
        </w:rPr>
      </w:pPr>
      <w:r>
        <w:rPr>
          <w:rFonts w:hint="eastAsia" w:ascii="仿宋" w:hAnsi="仿宋" w:eastAsia="仿宋" w:cs="仿宋"/>
          <w:kern w:val="0"/>
          <w:sz w:val="24"/>
          <w:lang w:val="zh-CN"/>
        </w:rPr>
        <w:t>联系地址：</w:t>
      </w:r>
      <w:r>
        <w:rPr>
          <w:rFonts w:hint="eastAsia" w:ascii="仿宋" w:hAnsi="仿宋" w:eastAsia="仿宋" w:cs="仿宋"/>
          <w:kern w:val="0"/>
          <w:sz w:val="24"/>
        </w:rPr>
        <w:t>_____________________________________________________</w:t>
      </w:r>
      <w:r>
        <w:rPr>
          <w:rFonts w:hint="eastAsia" w:ascii="仿宋" w:hAnsi="仿宋" w:eastAsia="仿宋" w:cs="仿宋"/>
          <w:kern w:val="0"/>
          <w:sz w:val="24"/>
          <w:u w:val="single"/>
          <w:lang w:val="zh-CN"/>
        </w:rPr>
        <w:t xml:space="preserve">                                                    </w:t>
      </w:r>
    </w:p>
    <w:p>
      <w:pPr>
        <w:snapToGrid w:val="0"/>
        <w:spacing w:line="360" w:lineRule="auto"/>
        <w:ind w:left="420" w:leftChars="200"/>
        <w:rPr>
          <w:rFonts w:ascii="仿宋" w:hAnsi="仿宋" w:eastAsia="仿宋" w:cs="仿宋"/>
          <w:kern w:val="0"/>
          <w:sz w:val="24"/>
        </w:rPr>
      </w:pPr>
      <w:r>
        <w:rPr>
          <w:rFonts w:hint="eastAsia" w:ascii="仿宋" w:hAnsi="仿宋" w:eastAsia="仿宋" w:cs="仿宋"/>
          <w:kern w:val="0"/>
          <w:sz w:val="24"/>
          <w:lang w:val="zh-CN"/>
        </w:rPr>
        <w:t>邮政编码：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传真号码：</w:t>
      </w:r>
      <w:r>
        <w:rPr>
          <w:rFonts w:hint="eastAsia" w:ascii="仿宋" w:hAnsi="仿宋" w:eastAsia="仿宋" w:cs="仿宋"/>
          <w:kern w:val="0"/>
          <w:sz w:val="24"/>
        </w:rPr>
        <w:t>______________________</w:t>
      </w:r>
      <w:r>
        <w:rPr>
          <w:rFonts w:hint="eastAsia" w:ascii="仿宋" w:hAnsi="仿宋" w:eastAsia="仿宋" w:cs="仿宋"/>
          <w:kern w:val="0"/>
          <w:sz w:val="24"/>
          <w:u w:val="single"/>
          <w:lang w:val="zh-CN"/>
        </w:rPr>
        <w:t xml:space="preserve">                     </w:t>
      </w:r>
    </w:p>
    <w:p>
      <w:pPr>
        <w:snapToGrid w:val="0"/>
        <w:spacing w:line="360" w:lineRule="auto"/>
        <w:rPr>
          <w:rFonts w:ascii="仿宋" w:hAnsi="仿宋" w:eastAsia="仿宋" w:cs="仿宋"/>
          <w:sz w:val="24"/>
        </w:rPr>
      </w:pPr>
      <w:r>
        <w:rPr>
          <w:rFonts w:hint="eastAsia" w:ascii="仿宋" w:hAnsi="仿宋" w:eastAsia="仿宋" w:cs="仿宋"/>
          <w:b/>
          <w:kern w:val="0"/>
          <w:sz w:val="24"/>
          <w:lang w:val="zh-CN"/>
        </w:rPr>
        <w:t>注：未按照本投标响应函要求填报的将被视为非实质性响应投标，从而可能导致该投标被拒绝。</w:t>
      </w:r>
    </w:p>
    <w:p>
      <w:pPr>
        <w:pStyle w:val="61"/>
        <w:keepNext w:val="0"/>
        <w:pageBreakBefore w:val="0"/>
        <w:tabs>
          <w:tab w:val="clear" w:pos="785"/>
        </w:tabs>
        <w:snapToGrid w:val="0"/>
        <w:spacing w:before="120" w:after="120"/>
        <w:ind w:firstLine="643"/>
        <w:outlineLvl w:val="9"/>
        <w:rPr>
          <w:rFonts w:ascii="仿宋" w:hAnsi="仿宋" w:eastAsia="仿宋" w:cs="仿宋"/>
          <w:kern w:val="2"/>
          <w:sz w:val="24"/>
          <w:szCs w:val="24"/>
        </w:rPr>
      </w:pPr>
    </w:p>
    <w:p>
      <w:pPr>
        <w:pStyle w:val="61"/>
        <w:keepNext w:val="0"/>
        <w:pageBreakBefore w:val="0"/>
        <w:tabs>
          <w:tab w:val="clear" w:pos="785"/>
        </w:tabs>
        <w:snapToGrid w:val="0"/>
        <w:spacing w:before="120" w:after="120"/>
        <w:ind w:firstLine="643"/>
        <w:outlineLvl w:val="9"/>
        <w:rPr>
          <w:rFonts w:ascii="仿宋" w:hAnsi="仿宋" w:eastAsia="仿宋" w:cs="仿宋"/>
          <w:kern w:val="2"/>
          <w:sz w:val="24"/>
          <w:szCs w:val="24"/>
        </w:rPr>
        <w:sectPr>
          <w:headerReference r:id="rId6" w:type="first"/>
          <w:footerReference r:id="rId9" w:type="first"/>
          <w:headerReference r:id="rId4" w:type="default"/>
          <w:footerReference r:id="rId7" w:type="default"/>
          <w:headerReference r:id="rId5" w:type="even"/>
          <w:footerReference r:id="rId8" w:type="even"/>
          <w:pgSz w:w="11906" w:h="16838"/>
          <w:pgMar w:top="1247" w:right="1418" w:bottom="1276" w:left="1418" w:header="851" w:footer="992" w:gutter="0"/>
          <w:cols w:space="720" w:num="1"/>
          <w:titlePg/>
          <w:docGrid w:linePitch="312" w:charSpace="0"/>
        </w:sectPr>
      </w:pPr>
    </w:p>
    <w:p>
      <w:pPr>
        <w:pStyle w:val="47"/>
        <w:tabs>
          <w:tab w:val="right" w:leader="dot" w:pos="8734"/>
        </w:tabs>
        <w:snapToGrid w:val="0"/>
        <w:spacing w:before="120" w:after="120"/>
        <w:ind w:firstLine="643"/>
        <w:rPr>
          <w:rStyle w:val="30"/>
          <w:rFonts w:ascii="宋体" w:hAnsi="宋体" w:cs="宋体"/>
          <w:b w:val="0"/>
          <w:bCs/>
          <w:kern w:val="0"/>
          <w:szCs w:val="36"/>
          <w:lang w:val="zh-CN"/>
        </w:rPr>
      </w:pPr>
      <w:r>
        <w:rPr>
          <w:rStyle w:val="30"/>
          <w:rFonts w:ascii="宋体" w:hAnsi="宋体" w:cs="宋体"/>
          <w:b w:val="0"/>
          <w:bCs/>
          <w:kern w:val="0"/>
          <w:szCs w:val="36"/>
          <w:lang w:val="zh-CN"/>
        </w:rPr>
        <w:t>投标（开标）一览表</w:t>
      </w:r>
    </w:p>
    <w:p>
      <w:pPr>
        <w:snapToGrid w:val="0"/>
        <w:spacing w:line="360" w:lineRule="auto"/>
        <w:rPr>
          <w:rStyle w:val="30"/>
          <w:rFonts w:ascii="宋体" w:hAnsi="宋体"/>
          <w:sz w:val="24"/>
        </w:rPr>
      </w:pPr>
      <w:r>
        <w:rPr>
          <w:rStyle w:val="30"/>
          <w:rFonts w:ascii="宋体" w:hAnsi="宋体"/>
          <w:sz w:val="24"/>
        </w:rPr>
        <w:t>致：</w:t>
      </w:r>
      <w:r>
        <w:rPr>
          <w:rStyle w:val="30"/>
          <w:rFonts w:ascii="宋体" w:hAnsi="宋体"/>
          <w:sz w:val="24"/>
          <w:u w:val="single" w:color="000000"/>
        </w:rPr>
        <w:t>（采购人名称）</w:t>
      </w:r>
    </w:p>
    <w:p>
      <w:pPr>
        <w:snapToGrid w:val="0"/>
        <w:spacing w:line="360" w:lineRule="auto"/>
        <w:ind w:firstLine="482"/>
        <w:rPr>
          <w:rStyle w:val="30"/>
          <w:rFonts w:ascii="宋体" w:hAnsi="宋体"/>
          <w:kern w:val="0"/>
          <w:sz w:val="24"/>
          <w:lang w:val="zh-CN"/>
        </w:rPr>
      </w:pPr>
      <w:r>
        <w:rPr>
          <w:rStyle w:val="30"/>
          <w:rFonts w:ascii="宋体" w:hAnsi="宋体"/>
          <w:kern w:val="0"/>
          <w:sz w:val="24"/>
          <w:lang w:val="zh-CN"/>
        </w:rPr>
        <w:t>按你方采购文件要求，我们，本投标文件签字方，谨此向你方发出要约如下：如你方接受本投标，我方承诺按照如下投标(开标)一览表的价格完成</w:t>
      </w:r>
      <w:r>
        <w:rPr>
          <w:rStyle w:val="30"/>
          <w:rFonts w:ascii="宋体" w:hAnsi="宋体"/>
          <w:sz w:val="24"/>
          <w:u w:val="single" w:color="000000"/>
        </w:rPr>
        <w:t xml:space="preserve">  项目名称、项目编号        </w:t>
      </w:r>
      <w:r>
        <w:rPr>
          <w:rStyle w:val="30"/>
          <w:rFonts w:ascii="宋体" w:hAnsi="宋体"/>
          <w:sz w:val="24"/>
        </w:rPr>
        <w:t>的实施</w:t>
      </w:r>
      <w:r>
        <w:rPr>
          <w:rStyle w:val="30"/>
          <w:rFonts w:ascii="宋体" w:hAnsi="宋体"/>
          <w:kern w:val="0"/>
          <w:sz w:val="24"/>
          <w:lang w:val="zh-CN"/>
        </w:rPr>
        <w:t>。</w:t>
      </w:r>
    </w:p>
    <w:p>
      <w:pPr>
        <w:snapToGrid w:val="0"/>
        <w:spacing w:line="360" w:lineRule="auto"/>
        <w:ind w:firstLine="480"/>
        <w:rPr>
          <w:rStyle w:val="30"/>
          <w:rFonts w:ascii="宋体" w:hAnsi="宋体"/>
          <w:sz w:val="24"/>
        </w:rPr>
      </w:pPr>
      <w:r>
        <w:rPr>
          <w:rStyle w:val="30"/>
          <w:rFonts w:ascii="宋体" w:hAnsi="宋体"/>
          <w:sz w:val="24"/>
        </w:rPr>
        <w:t xml:space="preserve">                                                             单位：元</w:t>
      </w:r>
    </w:p>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投标(开标)一览表(单位均为人民币元)</w:t>
      </w:r>
    </w:p>
    <w:tbl>
      <w:tblPr>
        <w:tblStyle w:val="19"/>
        <w:tblW w:w="15234" w:type="dxa"/>
        <w:tblInd w:w="-6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95"/>
        <w:gridCol w:w="1590"/>
        <w:gridCol w:w="2955"/>
        <w:gridCol w:w="1020"/>
        <w:gridCol w:w="2323"/>
        <w:gridCol w:w="2157"/>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675"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395"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590" w:type="dxa"/>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tc>
        <w:tc>
          <w:tcPr>
            <w:tcW w:w="2955"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规格型号（或具体服务）</w:t>
            </w:r>
          </w:p>
        </w:tc>
        <w:tc>
          <w:tcPr>
            <w:tcW w:w="1020"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2323"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单价</w:t>
            </w:r>
          </w:p>
        </w:tc>
        <w:tc>
          <w:tcPr>
            <w:tcW w:w="2157"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总价</w:t>
            </w:r>
          </w:p>
        </w:tc>
        <w:tc>
          <w:tcPr>
            <w:tcW w:w="3119" w:type="dxa"/>
            <w:vAlign w:val="center"/>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服务要求（年限）</w:t>
            </w:r>
          </w:p>
          <w:p>
            <w:pPr>
              <w:spacing w:line="360"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5" w:type="dxa"/>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395" w:type="dxa"/>
            <w:vAlign w:val="center"/>
          </w:tcPr>
          <w:p>
            <w:pPr>
              <w:snapToGrid w:val="0"/>
              <w:spacing w:line="360" w:lineRule="auto"/>
              <w:jc w:val="center"/>
              <w:rPr>
                <w:rFonts w:ascii="仿宋" w:hAnsi="仿宋" w:eastAsia="仿宋" w:cs="仿宋"/>
                <w:sz w:val="24"/>
              </w:rPr>
            </w:pPr>
          </w:p>
        </w:tc>
        <w:tc>
          <w:tcPr>
            <w:tcW w:w="1590" w:type="dxa"/>
            <w:vAlign w:val="center"/>
          </w:tcPr>
          <w:p>
            <w:pPr>
              <w:snapToGrid w:val="0"/>
              <w:spacing w:line="360" w:lineRule="auto"/>
              <w:jc w:val="center"/>
              <w:rPr>
                <w:rFonts w:ascii="仿宋" w:hAnsi="仿宋" w:eastAsia="仿宋" w:cs="仿宋"/>
                <w:sz w:val="24"/>
              </w:rPr>
            </w:pPr>
          </w:p>
        </w:tc>
        <w:tc>
          <w:tcPr>
            <w:tcW w:w="2955" w:type="dxa"/>
            <w:vAlign w:val="center"/>
          </w:tcPr>
          <w:p>
            <w:pPr>
              <w:snapToGrid w:val="0"/>
              <w:spacing w:line="360" w:lineRule="auto"/>
              <w:jc w:val="center"/>
              <w:rPr>
                <w:rFonts w:ascii="仿宋" w:hAnsi="仿宋" w:eastAsia="仿宋" w:cs="仿宋"/>
                <w:sz w:val="24"/>
              </w:rPr>
            </w:pPr>
          </w:p>
        </w:tc>
        <w:tc>
          <w:tcPr>
            <w:tcW w:w="1020" w:type="dxa"/>
            <w:vAlign w:val="center"/>
          </w:tcPr>
          <w:p>
            <w:pPr>
              <w:snapToGrid w:val="0"/>
              <w:spacing w:line="360" w:lineRule="auto"/>
              <w:jc w:val="center"/>
              <w:rPr>
                <w:rFonts w:ascii="仿宋" w:hAnsi="仿宋" w:eastAsia="仿宋" w:cs="仿宋"/>
                <w:sz w:val="24"/>
              </w:rPr>
            </w:pPr>
          </w:p>
        </w:tc>
        <w:tc>
          <w:tcPr>
            <w:tcW w:w="2323" w:type="dxa"/>
            <w:vAlign w:val="center"/>
          </w:tcPr>
          <w:p>
            <w:pPr>
              <w:spacing w:line="360" w:lineRule="auto"/>
              <w:jc w:val="center"/>
              <w:rPr>
                <w:rFonts w:ascii="仿宋" w:hAnsi="仿宋" w:eastAsia="仿宋" w:cs="仿宋"/>
                <w:sz w:val="24"/>
              </w:rPr>
            </w:pPr>
          </w:p>
        </w:tc>
        <w:tc>
          <w:tcPr>
            <w:tcW w:w="2157"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r>
              <w:rPr>
                <w:rFonts w:hint="eastAsia" w:ascii="仿宋" w:hAnsi="仿宋" w:eastAsia="仿宋" w:cs="仿宋"/>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5" w:type="dxa"/>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395" w:type="dxa"/>
            <w:vAlign w:val="center"/>
          </w:tcPr>
          <w:p>
            <w:pPr>
              <w:snapToGrid w:val="0"/>
              <w:spacing w:line="360" w:lineRule="auto"/>
              <w:jc w:val="center"/>
              <w:rPr>
                <w:rFonts w:ascii="仿宋" w:hAnsi="仿宋" w:eastAsia="仿宋" w:cs="仿宋"/>
                <w:sz w:val="24"/>
              </w:rPr>
            </w:pPr>
          </w:p>
        </w:tc>
        <w:tc>
          <w:tcPr>
            <w:tcW w:w="1590" w:type="dxa"/>
            <w:vAlign w:val="center"/>
          </w:tcPr>
          <w:p>
            <w:pPr>
              <w:snapToGrid w:val="0"/>
              <w:spacing w:line="360" w:lineRule="auto"/>
              <w:jc w:val="center"/>
              <w:rPr>
                <w:rFonts w:ascii="仿宋" w:hAnsi="仿宋" w:eastAsia="仿宋" w:cs="仿宋"/>
                <w:sz w:val="24"/>
              </w:rPr>
            </w:pPr>
          </w:p>
        </w:tc>
        <w:tc>
          <w:tcPr>
            <w:tcW w:w="2955" w:type="dxa"/>
            <w:vAlign w:val="center"/>
          </w:tcPr>
          <w:p>
            <w:pPr>
              <w:snapToGrid w:val="0"/>
              <w:spacing w:line="360" w:lineRule="auto"/>
              <w:jc w:val="center"/>
              <w:rPr>
                <w:rFonts w:ascii="仿宋" w:hAnsi="仿宋" w:eastAsia="仿宋" w:cs="仿宋"/>
                <w:sz w:val="24"/>
              </w:rPr>
            </w:pPr>
          </w:p>
        </w:tc>
        <w:tc>
          <w:tcPr>
            <w:tcW w:w="1020" w:type="dxa"/>
            <w:vAlign w:val="center"/>
          </w:tcPr>
          <w:p>
            <w:pPr>
              <w:snapToGrid w:val="0"/>
              <w:spacing w:line="360" w:lineRule="auto"/>
              <w:jc w:val="center"/>
              <w:rPr>
                <w:rFonts w:ascii="仿宋" w:hAnsi="仿宋" w:eastAsia="仿宋" w:cs="仿宋"/>
                <w:sz w:val="24"/>
              </w:rPr>
            </w:pPr>
          </w:p>
        </w:tc>
        <w:tc>
          <w:tcPr>
            <w:tcW w:w="2323" w:type="dxa"/>
            <w:vAlign w:val="center"/>
          </w:tcPr>
          <w:p>
            <w:pPr>
              <w:spacing w:line="360" w:lineRule="auto"/>
              <w:jc w:val="center"/>
              <w:rPr>
                <w:rFonts w:ascii="仿宋" w:hAnsi="仿宋" w:eastAsia="仿宋" w:cs="仿宋"/>
                <w:sz w:val="24"/>
              </w:rPr>
            </w:pPr>
          </w:p>
        </w:tc>
        <w:tc>
          <w:tcPr>
            <w:tcW w:w="2157"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r>
              <w:rPr>
                <w:rFonts w:hint="eastAsia" w:ascii="仿宋" w:hAnsi="仿宋" w:eastAsia="仿宋" w:cs="仿宋"/>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5" w:type="dxa"/>
            <w:vAlign w:val="center"/>
          </w:tcPr>
          <w:p>
            <w:pPr>
              <w:spacing w:line="360" w:lineRule="auto"/>
              <w:jc w:val="center"/>
              <w:rPr>
                <w:rFonts w:ascii="仿宋" w:hAnsi="仿宋" w:eastAsia="仿宋" w:cs="仿宋"/>
                <w:sz w:val="24"/>
              </w:rPr>
            </w:pPr>
            <w:r>
              <w:rPr>
                <w:rFonts w:hint="eastAsia" w:ascii="仿宋" w:hAnsi="仿宋" w:eastAsia="仿宋" w:cs="仿宋"/>
                <w:sz w:val="24"/>
              </w:rPr>
              <w:t>3</w:t>
            </w:r>
          </w:p>
        </w:tc>
        <w:tc>
          <w:tcPr>
            <w:tcW w:w="1395" w:type="dxa"/>
            <w:vAlign w:val="center"/>
          </w:tcPr>
          <w:p>
            <w:pPr>
              <w:snapToGrid w:val="0"/>
              <w:spacing w:line="360" w:lineRule="auto"/>
              <w:jc w:val="center"/>
              <w:rPr>
                <w:rFonts w:ascii="仿宋" w:hAnsi="仿宋" w:eastAsia="仿宋" w:cs="仿宋"/>
                <w:sz w:val="24"/>
              </w:rPr>
            </w:pPr>
          </w:p>
        </w:tc>
        <w:tc>
          <w:tcPr>
            <w:tcW w:w="1590" w:type="dxa"/>
            <w:vAlign w:val="center"/>
          </w:tcPr>
          <w:p>
            <w:pPr>
              <w:snapToGrid w:val="0"/>
              <w:spacing w:line="360" w:lineRule="auto"/>
              <w:jc w:val="center"/>
              <w:rPr>
                <w:rFonts w:ascii="仿宋" w:hAnsi="仿宋" w:eastAsia="仿宋" w:cs="仿宋"/>
                <w:sz w:val="24"/>
              </w:rPr>
            </w:pPr>
          </w:p>
        </w:tc>
        <w:tc>
          <w:tcPr>
            <w:tcW w:w="2955" w:type="dxa"/>
            <w:vAlign w:val="center"/>
          </w:tcPr>
          <w:p>
            <w:pPr>
              <w:snapToGrid w:val="0"/>
              <w:spacing w:line="360" w:lineRule="auto"/>
              <w:jc w:val="center"/>
              <w:rPr>
                <w:rFonts w:ascii="仿宋" w:hAnsi="仿宋" w:eastAsia="仿宋" w:cs="仿宋"/>
                <w:sz w:val="24"/>
              </w:rPr>
            </w:pPr>
          </w:p>
        </w:tc>
        <w:tc>
          <w:tcPr>
            <w:tcW w:w="1020" w:type="dxa"/>
            <w:vAlign w:val="center"/>
          </w:tcPr>
          <w:p>
            <w:pPr>
              <w:snapToGrid w:val="0"/>
              <w:spacing w:line="360" w:lineRule="auto"/>
              <w:jc w:val="center"/>
              <w:rPr>
                <w:rFonts w:ascii="仿宋" w:hAnsi="仿宋" w:eastAsia="仿宋" w:cs="仿宋"/>
                <w:sz w:val="24"/>
              </w:rPr>
            </w:pPr>
          </w:p>
        </w:tc>
        <w:tc>
          <w:tcPr>
            <w:tcW w:w="2323" w:type="dxa"/>
            <w:vAlign w:val="center"/>
          </w:tcPr>
          <w:p>
            <w:pPr>
              <w:spacing w:line="360" w:lineRule="auto"/>
              <w:jc w:val="center"/>
              <w:rPr>
                <w:rFonts w:ascii="仿宋" w:hAnsi="仿宋" w:eastAsia="仿宋" w:cs="仿宋"/>
                <w:sz w:val="24"/>
              </w:rPr>
            </w:pPr>
          </w:p>
        </w:tc>
        <w:tc>
          <w:tcPr>
            <w:tcW w:w="2157"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r>
              <w:rPr>
                <w:rFonts w:hint="eastAsia" w:ascii="仿宋" w:hAnsi="仿宋" w:eastAsia="仿宋" w:cs="仿宋"/>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5" w:type="dxa"/>
            <w:vAlign w:val="center"/>
          </w:tcPr>
          <w:p>
            <w:pPr>
              <w:spacing w:line="360" w:lineRule="auto"/>
              <w:jc w:val="center"/>
              <w:rPr>
                <w:rFonts w:ascii="仿宋" w:hAnsi="仿宋" w:eastAsia="仿宋" w:cs="仿宋"/>
                <w:sz w:val="24"/>
              </w:rPr>
            </w:pPr>
            <w:r>
              <w:rPr>
                <w:rFonts w:hint="eastAsia" w:ascii="仿宋" w:hAnsi="仿宋" w:eastAsia="仿宋" w:cs="仿宋"/>
                <w:sz w:val="24"/>
              </w:rPr>
              <w:t>4</w:t>
            </w:r>
          </w:p>
        </w:tc>
        <w:tc>
          <w:tcPr>
            <w:tcW w:w="1395" w:type="dxa"/>
            <w:vAlign w:val="center"/>
          </w:tcPr>
          <w:p>
            <w:pPr>
              <w:snapToGrid w:val="0"/>
              <w:spacing w:line="360" w:lineRule="auto"/>
              <w:jc w:val="center"/>
              <w:rPr>
                <w:rFonts w:ascii="仿宋" w:hAnsi="仿宋" w:eastAsia="仿宋" w:cs="仿宋"/>
                <w:sz w:val="24"/>
              </w:rPr>
            </w:pPr>
          </w:p>
        </w:tc>
        <w:tc>
          <w:tcPr>
            <w:tcW w:w="1590" w:type="dxa"/>
            <w:vAlign w:val="center"/>
          </w:tcPr>
          <w:p>
            <w:pPr>
              <w:snapToGrid w:val="0"/>
              <w:spacing w:line="360" w:lineRule="auto"/>
              <w:jc w:val="center"/>
              <w:rPr>
                <w:rFonts w:ascii="仿宋" w:hAnsi="仿宋" w:eastAsia="仿宋" w:cs="仿宋"/>
                <w:sz w:val="24"/>
              </w:rPr>
            </w:pPr>
          </w:p>
        </w:tc>
        <w:tc>
          <w:tcPr>
            <w:tcW w:w="2955" w:type="dxa"/>
            <w:vAlign w:val="center"/>
          </w:tcPr>
          <w:p>
            <w:pPr>
              <w:snapToGrid w:val="0"/>
              <w:spacing w:line="360" w:lineRule="auto"/>
              <w:jc w:val="center"/>
              <w:rPr>
                <w:rFonts w:ascii="仿宋" w:hAnsi="仿宋" w:eastAsia="仿宋" w:cs="仿宋"/>
                <w:sz w:val="24"/>
              </w:rPr>
            </w:pPr>
          </w:p>
        </w:tc>
        <w:tc>
          <w:tcPr>
            <w:tcW w:w="1020" w:type="dxa"/>
            <w:vAlign w:val="center"/>
          </w:tcPr>
          <w:p>
            <w:pPr>
              <w:snapToGrid w:val="0"/>
              <w:spacing w:line="360" w:lineRule="auto"/>
              <w:jc w:val="center"/>
              <w:rPr>
                <w:rFonts w:ascii="仿宋" w:hAnsi="仿宋" w:eastAsia="仿宋" w:cs="仿宋"/>
                <w:sz w:val="24"/>
              </w:rPr>
            </w:pPr>
          </w:p>
        </w:tc>
        <w:tc>
          <w:tcPr>
            <w:tcW w:w="2323" w:type="dxa"/>
            <w:vAlign w:val="center"/>
          </w:tcPr>
          <w:p>
            <w:pPr>
              <w:spacing w:line="360" w:lineRule="auto"/>
              <w:jc w:val="center"/>
              <w:rPr>
                <w:rFonts w:ascii="仿宋" w:hAnsi="仿宋" w:eastAsia="仿宋" w:cs="仿宋"/>
                <w:sz w:val="24"/>
              </w:rPr>
            </w:pPr>
          </w:p>
        </w:tc>
        <w:tc>
          <w:tcPr>
            <w:tcW w:w="2157"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r>
              <w:rPr>
                <w:rFonts w:hint="eastAsia" w:ascii="仿宋" w:hAnsi="仿宋" w:eastAsia="仿宋" w:cs="仿宋"/>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75" w:type="dxa"/>
            <w:vAlign w:val="center"/>
          </w:tcPr>
          <w:p>
            <w:pPr>
              <w:spacing w:line="360" w:lineRule="auto"/>
              <w:jc w:val="center"/>
              <w:rPr>
                <w:rFonts w:ascii="仿宋" w:hAnsi="仿宋" w:eastAsia="仿宋" w:cs="仿宋"/>
                <w:sz w:val="24"/>
              </w:rPr>
            </w:pPr>
            <w:r>
              <w:rPr>
                <w:rFonts w:hint="eastAsia" w:ascii="仿宋" w:hAnsi="仿宋" w:eastAsia="仿宋" w:cs="仿宋"/>
                <w:sz w:val="24"/>
              </w:rPr>
              <w:t>5</w:t>
            </w:r>
          </w:p>
        </w:tc>
        <w:tc>
          <w:tcPr>
            <w:tcW w:w="1395"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w:t>
            </w:r>
          </w:p>
        </w:tc>
        <w:tc>
          <w:tcPr>
            <w:tcW w:w="1590" w:type="dxa"/>
            <w:vAlign w:val="center"/>
          </w:tcPr>
          <w:p>
            <w:pPr>
              <w:snapToGrid w:val="0"/>
              <w:spacing w:line="360" w:lineRule="auto"/>
              <w:jc w:val="center"/>
              <w:rPr>
                <w:rFonts w:ascii="仿宋" w:hAnsi="仿宋" w:eastAsia="仿宋" w:cs="仿宋"/>
                <w:sz w:val="24"/>
              </w:rPr>
            </w:pPr>
          </w:p>
        </w:tc>
        <w:tc>
          <w:tcPr>
            <w:tcW w:w="2955" w:type="dxa"/>
            <w:vAlign w:val="center"/>
          </w:tcPr>
          <w:p>
            <w:pPr>
              <w:snapToGrid w:val="0"/>
              <w:spacing w:line="360" w:lineRule="auto"/>
              <w:jc w:val="center"/>
              <w:rPr>
                <w:rFonts w:ascii="仿宋" w:hAnsi="仿宋" w:eastAsia="仿宋" w:cs="仿宋"/>
                <w:sz w:val="24"/>
              </w:rPr>
            </w:pPr>
          </w:p>
        </w:tc>
        <w:tc>
          <w:tcPr>
            <w:tcW w:w="1020" w:type="dxa"/>
            <w:vAlign w:val="center"/>
          </w:tcPr>
          <w:p>
            <w:pPr>
              <w:snapToGrid w:val="0"/>
              <w:spacing w:line="360" w:lineRule="auto"/>
              <w:jc w:val="center"/>
              <w:rPr>
                <w:rFonts w:ascii="仿宋" w:hAnsi="仿宋" w:eastAsia="仿宋" w:cs="仿宋"/>
                <w:sz w:val="24"/>
              </w:rPr>
            </w:pPr>
          </w:p>
        </w:tc>
        <w:tc>
          <w:tcPr>
            <w:tcW w:w="2323" w:type="dxa"/>
            <w:vAlign w:val="center"/>
          </w:tcPr>
          <w:p>
            <w:pPr>
              <w:spacing w:line="360" w:lineRule="auto"/>
              <w:jc w:val="center"/>
              <w:rPr>
                <w:rFonts w:ascii="仿宋" w:hAnsi="仿宋" w:eastAsia="仿宋" w:cs="仿宋"/>
                <w:sz w:val="24"/>
              </w:rPr>
            </w:pPr>
          </w:p>
        </w:tc>
        <w:tc>
          <w:tcPr>
            <w:tcW w:w="2157"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r>
              <w:rPr>
                <w:rFonts w:hint="eastAsia" w:ascii="仿宋" w:hAnsi="仿宋" w:eastAsia="仿宋" w:cs="仿宋"/>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615" w:type="dxa"/>
            <w:gridSpan w:val="4"/>
            <w:vAlign w:val="center"/>
          </w:tcPr>
          <w:p>
            <w:pPr>
              <w:spacing w:line="360" w:lineRule="auto"/>
              <w:jc w:val="center"/>
              <w:rPr>
                <w:rFonts w:ascii="仿宋" w:hAnsi="仿宋" w:eastAsia="仿宋" w:cs="仿宋"/>
                <w:b/>
                <w:sz w:val="24"/>
              </w:rPr>
            </w:pPr>
            <w:r>
              <w:rPr>
                <w:rFonts w:hint="eastAsia" w:ascii="仿宋" w:hAnsi="仿宋" w:eastAsia="仿宋" w:cs="仿宋"/>
                <w:b/>
                <w:sz w:val="24"/>
              </w:rPr>
              <w:t>投标报价（小写）</w:t>
            </w:r>
          </w:p>
        </w:tc>
        <w:tc>
          <w:tcPr>
            <w:tcW w:w="8619" w:type="dxa"/>
            <w:gridSpan w:val="4"/>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615" w:type="dxa"/>
            <w:gridSpan w:val="4"/>
            <w:vAlign w:val="center"/>
          </w:tcPr>
          <w:p>
            <w:pPr>
              <w:spacing w:line="360" w:lineRule="auto"/>
              <w:jc w:val="center"/>
              <w:rPr>
                <w:rFonts w:ascii="仿宋" w:hAnsi="仿宋" w:eastAsia="仿宋" w:cs="仿宋"/>
                <w:b/>
                <w:sz w:val="24"/>
              </w:rPr>
            </w:pPr>
            <w:r>
              <w:rPr>
                <w:rFonts w:hint="eastAsia" w:ascii="仿宋" w:hAnsi="仿宋" w:eastAsia="仿宋" w:cs="仿宋"/>
                <w:b/>
                <w:sz w:val="24"/>
              </w:rPr>
              <w:t>投标报价（大写）</w:t>
            </w:r>
          </w:p>
        </w:tc>
        <w:tc>
          <w:tcPr>
            <w:tcW w:w="8619" w:type="dxa"/>
            <w:gridSpan w:val="4"/>
            <w:vAlign w:val="center"/>
          </w:tcPr>
          <w:p>
            <w:pPr>
              <w:spacing w:line="360" w:lineRule="auto"/>
              <w:jc w:val="center"/>
              <w:rPr>
                <w:rFonts w:ascii="仿宋" w:hAnsi="仿宋" w:eastAsia="仿宋" w:cs="仿宋"/>
                <w:sz w:val="24"/>
              </w:rPr>
            </w:pPr>
          </w:p>
        </w:tc>
      </w:tr>
    </w:tbl>
    <w:p>
      <w:pPr>
        <w:snapToGrid w:val="0"/>
        <w:spacing w:line="276" w:lineRule="auto"/>
        <w:jc w:val="left"/>
        <w:rPr>
          <w:rStyle w:val="30"/>
          <w:rFonts w:ascii="宋体" w:hAnsi="宋体"/>
          <w:szCs w:val="21"/>
        </w:rPr>
      </w:pPr>
    </w:p>
    <w:p>
      <w:pPr>
        <w:snapToGrid w:val="0"/>
        <w:spacing w:line="276" w:lineRule="auto"/>
        <w:jc w:val="left"/>
        <w:rPr>
          <w:rStyle w:val="30"/>
          <w:rFonts w:ascii="宋体" w:hAnsi="宋体"/>
          <w:szCs w:val="21"/>
        </w:rPr>
      </w:pPr>
    </w:p>
    <w:p>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1、投标人需按本表格式填写，不得自行更改。</w:t>
      </w:r>
    </w:p>
    <w:p>
      <w:pPr>
        <w:snapToGrid w:val="0"/>
        <w:spacing w:line="360" w:lineRule="auto"/>
        <w:ind w:left="480"/>
        <w:rPr>
          <w:rFonts w:ascii="仿宋" w:hAnsi="仿宋" w:eastAsia="仿宋" w:cs="仿宋"/>
          <w:kern w:val="0"/>
          <w:sz w:val="24"/>
          <w:lang w:val="zh-CN"/>
        </w:rPr>
      </w:pPr>
      <w:r>
        <w:rPr>
          <w:rFonts w:hint="eastAsia" w:ascii="仿宋" w:hAnsi="仿宋" w:eastAsia="仿宋" w:cs="仿宋"/>
          <w:kern w:val="0"/>
          <w:sz w:val="24"/>
          <w:lang w:val="zh-CN"/>
        </w:rPr>
        <w:t>2、有关本项目实施所涉及的一切费用（详见前附表）均计入报价。</w:t>
      </w:r>
      <w:r>
        <w:rPr>
          <w:rFonts w:hint="eastAsia" w:ascii="仿宋_GB2312" w:hAnsi="仿宋" w:eastAsia="仿宋_GB2312"/>
          <w:b/>
          <w:sz w:val="24"/>
        </w:rPr>
        <w:t>▲</w:t>
      </w:r>
      <w:r>
        <w:rPr>
          <w:rFonts w:hint="eastAsia" w:ascii="仿宋" w:hAnsi="仿宋" w:eastAsia="仿宋" w:cs="仿宋_GB2312"/>
          <w:b/>
          <w:color w:val="000000"/>
          <w:kern w:val="0"/>
          <w:sz w:val="24"/>
          <w:lang w:val="zh-CN"/>
        </w:rPr>
        <w:t>采购人将以合同形式有偿取得货物或服务，不接受投标人给予的赠品、回扣或者与采购无关的其他商品、服务</w:t>
      </w:r>
      <w:r>
        <w:rPr>
          <w:rFonts w:hint="eastAsia" w:ascii="仿宋" w:hAnsi="仿宋" w:eastAsia="仿宋" w:cs="仿宋_GB2312"/>
          <w:color w:val="000000"/>
          <w:kern w:val="0"/>
          <w:sz w:val="24"/>
          <w:lang w:val="zh-CN"/>
        </w:rPr>
        <w:t>，</w:t>
      </w:r>
      <w:r>
        <w:rPr>
          <w:rFonts w:hint="eastAsia" w:ascii="仿宋" w:hAnsi="仿宋" w:eastAsia="仿宋" w:cs="仿宋_GB2312"/>
          <w:b/>
          <w:color w:val="000000"/>
          <w:kern w:val="0"/>
          <w:sz w:val="24"/>
          <w:lang w:val="zh-CN"/>
        </w:rPr>
        <w:t>各项明细费用请按实填写（不得出现“0元”“免费赠送”等形式的无偿报价）</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4、特别提示：采购机构将对项目名称和项目编号，中标供应商名称、地址和中标金额，主要中标标的的名称、规格型号、数量、单价、服务要求等予以公示。</w:t>
      </w:r>
    </w:p>
    <w:p>
      <w:pPr>
        <w:snapToGrid w:val="0"/>
        <w:spacing w:line="360" w:lineRule="auto"/>
        <w:rPr>
          <w:rStyle w:val="30"/>
          <w:rFonts w:ascii="宋体" w:hAnsi="宋体"/>
          <w:sz w:val="24"/>
        </w:rPr>
      </w:pPr>
    </w:p>
    <w:p>
      <w:pPr>
        <w:snapToGrid w:val="0"/>
        <w:spacing w:line="360" w:lineRule="auto"/>
        <w:ind w:firstLine="3600" w:firstLineChars="1500"/>
        <w:rPr>
          <w:rStyle w:val="30"/>
          <w:rFonts w:ascii="宋体" w:hAnsi="宋体"/>
          <w:sz w:val="24"/>
        </w:rPr>
      </w:pPr>
      <w:r>
        <w:rPr>
          <w:rStyle w:val="30"/>
          <w:rFonts w:ascii="宋体" w:hAnsi="宋体"/>
          <w:sz w:val="24"/>
        </w:rPr>
        <w:t xml:space="preserve">供应商名称（电子签名）：                          </w:t>
      </w:r>
    </w:p>
    <w:p>
      <w:pPr>
        <w:snapToGrid w:val="0"/>
        <w:spacing w:line="360" w:lineRule="auto"/>
        <w:jc w:val="center"/>
        <w:rPr>
          <w:rStyle w:val="30"/>
          <w:rFonts w:ascii="宋体" w:hAnsi="宋体"/>
          <w:sz w:val="24"/>
        </w:rPr>
      </w:pPr>
      <w:r>
        <w:rPr>
          <w:rStyle w:val="30"/>
          <w:rFonts w:ascii="宋体" w:hAnsi="宋体"/>
          <w:sz w:val="24"/>
        </w:rPr>
        <w:t xml:space="preserve">     日期：  年   月   日</w:t>
      </w:r>
    </w:p>
    <w:p>
      <w:pPr>
        <w:snapToGrid w:val="0"/>
        <w:spacing w:before="120" w:after="50"/>
        <w:jc w:val="center"/>
        <w:rPr>
          <w:rFonts w:ascii="仿宋" w:hAnsi="仿宋" w:eastAsia="仿宋" w:cs="仿宋"/>
          <w:sz w:val="24"/>
        </w:rPr>
        <w:sectPr>
          <w:pgSz w:w="16838" w:h="11906" w:orient="landscape"/>
          <w:pgMar w:top="1418" w:right="1247" w:bottom="1418" w:left="1276" w:header="851" w:footer="992" w:gutter="0"/>
          <w:cols w:space="720" w:num="1"/>
          <w:titlePg/>
          <w:docGrid w:linePitch="312" w:charSpace="0"/>
        </w:sectPr>
      </w:pPr>
      <w:r>
        <w:rPr>
          <w:rStyle w:val="30"/>
          <w:rFonts w:ascii="宋体" w:hAnsi="宋体"/>
          <w:spacing w:val="20"/>
          <w:sz w:val="24"/>
          <w:u w:val="single"/>
        </w:rPr>
        <w:br w:type="page"/>
      </w:r>
    </w:p>
    <w:p>
      <w:pPr>
        <w:pStyle w:val="43"/>
        <w:tabs>
          <w:tab w:val="left" w:pos="1656"/>
        </w:tabs>
        <w:spacing w:line="360" w:lineRule="auto"/>
        <w:rPr>
          <w:rStyle w:val="30"/>
          <w:rFonts w:ascii="宋体" w:hAnsi="宋体" w:cs="宋体"/>
          <w:b w:val="0"/>
        </w:rPr>
      </w:pPr>
    </w:p>
    <w:p>
      <w:pPr>
        <w:spacing w:line="360" w:lineRule="auto"/>
        <w:jc w:val="center"/>
        <w:outlineLvl w:val="0"/>
        <w:rPr>
          <w:rFonts w:ascii="仿宋" w:hAnsi="仿宋" w:eastAsia="仿宋" w:cs="仿宋"/>
          <w:b/>
          <w:kern w:val="0"/>
          <w:sz w:val="30"/>
          <w:szCs w:val="30"/>
        </w:rPr>
      </w:pPr>
      <w:r>
        <w:rPr>
          <w:rFonts w:hint="eastAsia" w:ascii="仿宋" w:hAnsi="仿宋" w:eastAsia="仿宋" w:cs="仿宋"/>
          <w:b/>
          <w:kern w:val="0"/>
          <w:sz w:val="30"/>
          <w:szCs w:val="30"/>
        </w:rPr>
        <w:t>商务技术文件部分</w:t>
      </w:r>
    </w:p>
    <w:p>
      <w:pPr>
        <w:spacing w:line="360" w:lineRule="auto"/>
        <w:ind w:firstLine="480" w:firstLineChars="200"/>
        <w:rPr>
          <w:rFonts w:ascii="仿宋" w:hAnsi="仿宋" w:eastAsia="仿宋" w:cs="仿宋"/>
          <w:kern w:val="0"/>
          <w:sz w:val="24"/>
          <w:lang w:val="zh-CN"/>
        </w:rPr>
      </w:pPr>
    </w:p>
    <w:p>
      <w:pPr>
        <w:spacing w:line="360" w:lineRule="auto"/>
        <w:ind w:firstLine="560" w:firstLineChars="200"/>
        <w:jc w:val="center"/>
        <w:rPr>
          <w:rFonts w:ascii="仿宋" w:hAnsi="仿宋" w:eastAsia="仿宋" w:cs="仿宋"/>
          <w:kern w:val="0"/>
          <w:sz w:val="28"/>
          <w:szCs w:val="28"/>
          <w:lang w:val="zh-CN"/>
        </w:rPr>
      </w:pPr>
      <w:r>
        <w:rPr>
          <w:rFonts w:hint="eastAsia" w:ascii="仿宋" w:hAnsi="仿宋" w:eastAsia="仿宋" w:cs="仿宋"/>
          <w:kern w:val="0"/>
          <w:sz w:val="28"/>
          <w:szCs w:val="28"/>
          <w:lang w:val="zh-CN"/>
        </w:rPr>
        <w:t>目录</w:t>
      </w:r>
    </w:p>
    <w:p>
      <w:pPr>
        <w:pStyle w:val="53"/>
        <w:spacing w:line="360" w:lineRule="auto"/>
        <w:ind w:firstLine="480"/>
        <w:rPr>
          <w:rFonts w:ascii="仿宋" w:eastAsia="仿宋" w:cs="仿宋_GB2312"/>
        </w:rPr>
      </w:pPr>
      <w:r>
        <w:rPr>
          <w:rFonts w:hint="eastAsia" w:ascii="仿宋" w:eastAsia="仿宋" w:cs="仿宋_GB2312"/>
        </w:rPr>
        <w:t>（1）营业执照(或事业法人登记证或其他工商等登记证明材料)复印件（投标人为 然人的，提供自然人的身份证明）………………………………………………（页码）</w:t>
      </w:r>
    </w:p>
    <w:p>
      <w:pPr>
        <w:pStyle w:val="53"/>
        <w:spacing w:line="360" w:lineRule="auto"/>
        <w:rPr>
          <w:rFonts w:ascii="仿宋" w:eastAsia="仿宋" w:cs="仿宋_GB2312"/>
        </w:rPr>
      </w:pPr>
      <w:r>
        <w:rPr>
          <w:rFonts w:hint="eastAsia" w:ascii="仿宋" w:eastAsia="仿宋" w:cs="仿宋_GB2312"/>
        </w:rPr>
        <w:t xml:space="preserve">    （2）联合体协议</w:t>
      </w:r>
      <w:r>
        <w:rPr>
          <w:rFonts w:hint="eastAsia" w:ascii="仿宋" w:eastAsia="仿宋" w:cs="仿宋_GB2312"/>
          <w:lang w:val="zh-CN"/>
        </w:rPr>
        <w:t>… ………………………</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p>
    <w:p>
      <w:pPr>
        <w:pStyle w:val="53"/>
        <w:spacing w:line="360" w:lineRule="auto"/>
        <w:rPr>
          <w:rFonts w:ascii="仿宋" w:eastAsia="仿宋" w:cs="仿宋_GB2312"/>
        </w:rPr>
      </w:pPr>
      <w:r>
        <w:rPr>
          <w:rFonts w:hint="eastAsia" w:ascii="仿宋" w:eastAsia="仿宋" w:cs="仿宋_GB2312"/>
        </w:rPr>
        <w:t xml:space="preserve">    （3）资信文件复印件（如果要求提供） …………………………………（页码）</w:t>
      </w:r>
    </w:p>
    <w:p>
      <w:pPr>
        <w:pStyle w:val="53"/>
        <w:spacing w:line="360" w:lineRule="auto"/>
        <w:rPr>
          <w:rFonts w:ascii="仿宋" w:eastAsia="仿宋" w:cs="仿宋_GB2312"/>
        </w:rPr>
      </w:pPr>
      <w:r>
        <w:rPr>
          <w:rFonts w:hint="eastAsia" w:ascii="仿宋" w:eastAsia="仿宋" w:cs="仿宋_GB2312"/>
        </w:rPr>
        <w:t xml:space="preserve">    （4）</w:t>
      </w:r>
      <w:r>
        <w:rPr>
          <w:rFonts w:hint="eastAsia" w:ascii="仿宋" w:eastAsia="仿宋" w:cs="仿宋_GB2312"/>
          <w:lang w:val="zh-CN"/>
        </w:rPr>
        <w:t>主要业绩证明… ………………</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p>
    <w:p>
      <w:pPr>
        <w:pStyle w:val="53"/>
        <w:spacing w:line="360" w:lineRule="auto"/>
        <w:rPr>
          <w:rFonts w:ascii="仿宋" w:eastAsia="仿宋" w:cs="仿宋_GB2312"/>
        </w:rPr>
      </w:pPr>
      <w:bookmarkStart w:id="22" w:name="OLE_LINK7"/>
      <w:bookmarkStart w:id="23" w:name="OLE_LINK6"/>
      <w:bookmarkStart w:id="24" w:name="OLE_LINK5"/>
      <w:r>
        <w:rPr>
          <w:rFonts w:hint="eastAsia" w:ascii="仿宋" w:eastAsia="仿宋" w:cs="仿宋_GB2312"/>
        </w:rPr>
        <w:t xml:space="preserve">    （5）其他商务文件或说明</w:t>
      </w:r>
      <w:r>
        <w:rPr>
          <w:rFonts w:hint="eastAsia" w:ascii="仿宋" w:eastAsia="仿宋" w:cs="仿宋_GB2312"/>
          <w:lang w:val="zh-CN"/>
        </w:rPr>
        <w:t xml:space="preserve"> …………</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22"/>
      <w:bookmarkEnd w:id="23"/>
    </w:p>
    <w:bookmarkEnd w:id="24"/>
    <w:p>
      <w:pPr>
        <w:spacing w:line="360" w:lineRule="auto"/>
        <w:ind w:firstLine="480" w:firstLineChars="200"/>
        <w:outlineLvl w:val="0"/>
        <w:rPr>
          <w:rFonts w:ascii="仿宋_GB2312" w:hAnsi="仿宋" w:eastAsia="仿宋_GB2312" w:cs="仿宋_GB2312"/>
          <w:kern w:val="0"/>
          <w:sz w:val="24"/>
        </w:rPr>
      </w:pPr>
      <w:r>
        <w:rPr>
          <w:rFonts w:hint="eastAsia" w:ascii="仿宋_GB2312" w:hAnsi="仿宋" w:eastAsia="仿宋_GB2312" w:cs="仿宋_GB2312"/>
          <w:kern w:val="0"/>
          <w:sz w:val="24"/>
        </w:rPr>
        <w:t>（6）技术解决方案…………………………………………………………（页码）</w:t>
      </w:r>
    </w:p>
    <w:p>
      <w:pPr>
        <w:spacing w:line="360" w:lineRule="auto"/>
        <w:ind w:firstLine="480" w:firstLineChars="200"/>
        <w:outlineLvl w:val="0"/>
        <w:rPr>
          <w:rFonts w:ascii="仿宋_GB2312" w:hAnsi="仿宋" w:eastAsia="仿宋_GB2312" w:cs="仿宋_GB2312"/>
          <w:kern w:val="0"/>
          <w:sz w:val="24"/>
        </w:rPr>
      </w:pPr>
      <w:r>
        <w:rPr>
          <w:rFonts w:hint="eastAsia" w:ascii="仿宋_GB2312" w:hAnsi="仿宋" w:eastAsia="仿宋_GB2312" w:cs="仿宋_GB2312"/>
          <w:kern w:val="0"/>
          <w:sz w:val="24"/>
        </w:rPr>
        <w:t>（7）技术偏离说明表………………………………………………………（页码）</w:t>
      </w:r>
    </w:p>
    <w:p>
      <w:pPr>
        <w:spacing w:line="360" w:lineRule="auto"/>
        <w:ind w:firstLine="480" w:firstLineChars="200"/>
        <w:outlineLvl w:val="0"/>
        <w:rPr>
          <w:rFonts w:ascii="仿宋_GB2312" w:hAnsi="仿宋" w:eastAsia="仿宋_GB2312" w:cs="仿宋_GB2312"/>
          <w:kern w:val="0"/>
          <w:sz w:val="24"/>
        </w:rPr>
      </w:pPr>
      <w:r>
        <w:rPr>
          <w:rFonts w:hint="eastAsia" w:ascii="仿宋_GB2312" w:hAnsi="仿宋" w:eastAsia="仿宋_GB2312" w:cs="仿宋_GB2312"/>
          <w:kern w:val="0"/>
          <w:sz w:val="24"/>
        </w:rPr>
        <w:t>（8）组织实施方案…………………………………………………………（页码）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（9）售后服务方案…………………………………………………………（页码）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（10）项目小组人员名单……………………………………………………（页码）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（11）</w:t>
      </w:r>
      <w:r>
        <w:rPr>
          <w:rFonts w:hint="eastAsia" w:ascii="仿宋_GB2312" w:hAnsi="仿宋" w:eastAsia="仿宋_GB2312" w:cs="仿宋_GB2312"/>
          <w:kern w:val="0"/>
          <w:sz w:val="24"/>
          <w:lang w:val="zh-CN"/>
        </w:rPr>
        <w:t>优惠条件及特殊承诺…………………………………………</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（12）</w:t>
      </w:r>
      <w:r>
        <w:rPr>
          <w:rFonts w:hint="eastAsia" w:ascii="仿宋_GB2312" w:hAnsi="仿宋" w:eastAsia="仿宋_GB2312" w:cs="仿宋_GB2312"/>
          <w:kern w:val="0"/>
          <w:sz w:val="24"/>
          <w:lang w:val="zh-CN"/>
        </w:rPr>
        <w:t>备品备件及供选择的配套零部件清单……………………</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（13）</w:t>
      </w:r>
      <w:r>
        <w:rPr>
          <w:rFonts w:hint="eastAsia" w:ascii="仿宋_GB2312" w:hAnsi="仿宋" w:eastAsia="仿宋_GB2312" w:cs="仿宋_GB2312"/>
          <w:kern w:val="0"/>
          <w:sz w:val="24"/>
          <w:lang w:val="zh-CN"/>
        </w:rPr>
        <w:t>培训计划………………………………………………………</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b/>
          <w:bCs/>
          <w:sz w:val="24"/>
        </w:rPr>
      </w:pPr>
      <w:r>
        <w:rPr>
          <w:rFonts w:hint="eastAsia" w:ascii="仿宋_GB2312" w:hAnsi="仿宋" w:eastAsia="仿宋_GB2312" w:cs="仿宋_GB2312"/>
          <w:kern w:val="0"/>
          <w:sz w:val="24"/>
        </w:rPr>
        <w:t>（14）</w:t>
      </w:r>
      <w:r>
        <w:rPr>
          <w:rFonts w:hint="eastAsia" w:ascii="仿宋_GB2312" w:hAnsi="仿宋" w:eastAsia="仿宋_GB2312" w:cs="仿宋_GB2312"/>
          <w:kern w:val="0"/>
          <w:sz w:val="24"/>
          <w:lang w:val="zh-CN"/>
        </w:rPr>
        <w:t>认为需要的其他技术文件或说明……………………………</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rPr>
        <w:t>（页码）</w:t>
      </w:r>
    </w:p>
    <w:p>
      <w:pPr>
        <w:spacing w:line="360" w:lineRule="auto"/>
        <w:ind w:firstLine="480" w:firstLineChars="200"/>
        <w:rPr>
          <w:rFonts w:ascii="仿宋_GB2312" w:hAnsi="仿宋" w:eastAsia="仿宋_GB2312" w:cs="仿宋_GB2312"/>
          <w:kern w:val="0"/>
          <w:sz w:val="24"/>
        </w:rPr>
      </w:pPr>
      <w:r>
        <w:rPr>
          <w:rFonts w:hint="eastAsia" w:ascii="仿宋_GB2312" w:hAnsi="仿宋" w:eastAsia="仿宋_GB2312" w:cs="仿宋_GB2312"/>
          <w:kern w:val="0"/>
          <w:sz w:val="24"/>
        </w:rPr>
        <w:t>（15）</w:t>
      </w:r>
      <w:r>
        <w:rPr>
          <w:rFonts w:hint="eastAsia" w:ascii="仿宋_GB2312" w:hAnsi="仿宋" w:eastAsia="仿宋_GB2312" w:cs="仿宋_GB2312"/>
          <w:kern w:val="0"/>
          <w:sz w:val="24"/>
          <w:lang w:val="zh-CN"/>
        </w:rPr>
        <w:t>关于对招标文件中商务、合同有关条款的拒绝声明………</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rPr>
        <w:t>（页码）</w:t>
      </w:r>
    </w:p>
    <w:p>
      <w:pPr>
        <w:tabs>
          <w:tab w:val="left" w:pos="0"/>
        </w:tabs>
        <w:autoSpaceDE w:val="0"/>
        <w:autoSpaceDN w:val="0"/>
        <w:spacing w:line="360"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rPr>
        <w:t>（16）</w:t>
      </w:r>
      <w:r>
        <w:rPr>
          <w:rFonts w:hint="eastAsia" w:ascii="仿宋_GB2312" w:hAnsi="仿宋" w:eastAsia="仿宋_GB2312" w:cs="仿宋_GB2312"/>
          <w:kern w:val="0"/>
          <w:sz w:val="24"/>
          <w:lang w:val="zh-CN"/>
        </w:rPr>
        <w:t>政府采购供应商廉洁自律承诺书……………………………………</w:t>
      </w:r>
      <w:r>
        <w:rPr>
          <w:rFonts w:hint="eastAsia" w:ascii="仿宋_GB2312" w:hAnsi="仿宋" w:eastAsia="仿宋_GB2312" w:cs="仿宋_GB2312"/>
          <w:kern w:val="0"/>
          <w:sz w:val="24"/>
        </w:rPr>
        <w:t>（页码）</w:t>
      </w:r>
    </w:p>
    <w:p>
      <w:pPr>
        <w:tabs>
          <w:tab w:val="left" w:pos="0"/>
        </w:tabs>
        <w:autoSpaceDE w:val="0"/>
        <w:autoSpaceDN w:val="0"/>
        <w:spacing w:line="360" w:lineRule="auto"/>
        <w:ind w:firstLine="480" w:firstLineChars="200"/>
        <w:rPr>
          <w:rFonts w:ascii="Arial" w:hAnsi="Arial" w:eastAsia="黑体" w:cs="Arial"/>
          <w:snapToGrid w:val="0"/>
          <w:kern w:val="0"/>
          <w:szCs w:val="21"/>
        </w:rPr>
      </w:pPr>
      <w:r>
        <w:rPr>
          <w:rFonts w:hint="eastAsia" w:ascii="仿宋_GB2312" w:hAnsi="仿宋" w:eastAsia="仿宋_GB2312" w:cs="仿宋_GB2312"/>
          <w:kern w:val="0"/>
          <w:sz w:val="24"/>
        </w:rPr>
        <w:t>（17）</w:t>
      </w:r>
      <w:r>
        <w:rPr>
          <w:rFonts w:hint="eastAsia" w:ascii="仿宋_GB2312" w:hAnsi="仿宋" w:eastAsia="仿宋_GB2312" w:cs="仿宋_GB2312"/>
          <w:kern w:val="0"/>
          <w:sz w:val="24"/>
          <w:lang w:val="zh-CN"/>
        </w:rPr>
        <w:t>廉政承诺书……………………………………………………………</w:t>
      </w:r>
      <w:r>
        <w:rPr>
          <w:rFonts w:hint="eastAsia" w:ascii="仿宋_GB2312" w:hAnsi="仿宋" w:eastAsia="仿宋_GB2312" w:cs="仿宋_GB2312"/>
          <w:kern w:val="0"/>
          <w:sz w:val="24"/>
        </w:rPr>
        <w:t>（页码）</w:t>
      </w:r>
    </w:p>
    <w:p>
      <w:pPr>
        <w:pStyle w:val="18"/>
        <w:ind w:firstLine="420"/>
        <w:rPr>
          <w:lang w:val="zh-CN"/>
        </w:rPr>
      </w:pPr>
    </w:p>
    <w:p>
      <w:pPr>
        <w:spacing w:line="360" w:lineRule="auto"/>
        <w:rPr>
          <w:rFonts w:ascii="仿宋" w:hAnsi="仿宋" w:eastAsia="仿宋" w:cs="仿宋_GB2312"/>
          <w:b/>
          <w:bCs/>
          <w:sz w:val="24"/>
        </w:rPr>
      </w:pPr>
      <w:r>
        <w:rPr>
          <w:rFonts w:hint="eastAsia" w:ascii="仿宋" w:hAnsi="仿宋" w:eastAsia="仿宋" w:cs="仿宋_GB2312"/>
          <w:b/>
          <w:bCs/>
          <w:sz w:val="24"/>
        </w:rPr>
        <w:t>注：以上目录是基本格式要求，各投标人可根据自身情况进一步细化。</w:t>
      </w:r>
    </w:p>
    <w:p>
      <w:pPr>
        <w:snapToGrid w:val="0"/>
        <w:spacing w:line="360" w:lineRule="auto"/>
        <w:jc w:val="center"/>
        <w:rPr>
          <w:rFonts w:ascii="仿宋" w:hAnsi="仿宋" w:eastAsia="仿宋" w:cs="仿宋_GB2312"/>
          <w:b/>
          <w:kern w:val="0"/>
          <w:sz w:val="32"/>
          <w:szCs w:val="32"/>
          <w:lang w:val="zh-CN"/>
        </w:rPr>
      </w:pPr>
    </w:p>
    <w:p>
      <w:pPr>
        <w:snapToGrid w:val="0"/>
        <w:spacing w:line="360" w:lineRule="auto"/>
        <w:jc w:val="center"/>
        <w:rPr>
          <w:rFonts w:ascii="仿宋" w:hAnsi="仿宋" w:eastAsia="仿宋" w:cs="仿宋"/>
          <w:b/>
          <w:kern w:val="0"/>
          <w:sz w:val="24"/>
          <w:lang w:val="zh-CN"/>
        </w:rPr>
      </w:pPr>
      <w:r>
        <w:rPr>
          <w:rFonts w:ascii="仿宋" w:hAnsi="仿宋" w:eastAsia="仿宋" w:cs="仿宋"/>
          <w:b/>
          <w:kern w:val="0"/>
          <w:sz w:val="24"/>
          <w:lang w:val="zh-CN"/>
        </w:rPr>
        <w:br w:type="page"/>
      </w:r>
    </w:p>
    <w:p>
      <w:pPr>
        <w:snapToGrid w:val="0"/>
        <w:spacing w:line="360" w:lineRule="auto"/>
        <w:rPr>
          <w:rFonts w:ascii="仿宋" w:hAnsi="仿宋" w:eastAsia="仿宋" w:cs="仿宋"/>
          <w:b/>
          <w:kern w:val="0"/>
          <w:sz w:val="30"/>
          <w:szCs w:val="30"/>
          <w:lang w:val="zh-CN"/>
        </w:rPr>
      </w:pPr>
    </w:p>
    <w:p>
      <w:pPr>
        <w:spacing w:line="360" w:lineRule="auto"/>
        <w:jc w:val="center"/>
        <w:rPr>
          <w:rFonts w:ascii="仿宋" w:hAnsi="仿宋" w:eastAsia="仿宋" w:cs="仿宋"/>
          <w:b/>
          <w:sz w:val="30"/>
          <w:szCs w:val="30"/>
        </w:rPr>
      </w:pPr>
      <w:r>
        <w:rPr>
          <w:rFonts w:hint="eastAsia" w:ascii="仿宋" w:hAnsi="仿宋" w:eastAsia="仿宋" w:cs="仿宋"/>
          <w:b/>
          <w:kern w:val="0"/>
          <w:sz w:val="30"/>
          <w:szCs w:val="30"/>
          <w:lang w:val="zh-CN"/>
        </w:rPr>
        <w:t>一、</w:t>
      </w:r>
      <w:r>
        <w:rPr>
          <w:rFonts w:hint="eastAsia" w:ascii="仿宋" w:hAnsi="仿宋" w:eastAsia="仿宋" w:cs="仿宋"/>
          <w:b/>
          <w:sz w:val="30"/>
          <w:szCs w:val="30"/>
        </w:rPr>
        <w:t>营业执照(或事业法人登记证或其他工商等登记证明材料)复印件（投标人为自然人的，提供自然人的身份证明）</w:t>
      </w:r>
    </w:p>
    <w:p>
      <w:pPr>
        <w:snapToGrid w:val="0"/>
        <w:spacing w:line="360" w:lineRule="auto"/>
        <w:jc w:val="center"/>
        <w:rPr>
          <w:rFonts w:ascii="仿宋" w:hAnsi="仿宋" w:eastAsia="仿宋" w:cs="仿宋"/>
          <w:b/>
          <w:kern w:val="0"/>
          <w:sz w:val="30"/>
          <w:szCs w:val="30"/>
          <w:lang w:val="zh-CN"/>
        </w:rPr>
      </w:pPr>
    </w:p>
    <w:p>
      <w:pPr>
        <w:snapToGrid w:val="0"/>
        <w:spacing w:line="360" w:lineRule="auto"/>
        <w:rPr>
          <w:rFonts w:ascii="仿宋" w:hAnsi="仿宋" w:eastAsia="仿宋" w:cs="仿宋"/>
          <w:b/>
          <w:kern w:val="0"/>
          <w:sz w:val="24"/>
          <w:lang w:val="zh-CN"/>
        </w:rPr>
      </w:pPr>
    </w:p>
    <w:p>
      <w:pPr>
        <w:snapToGrid w:val="0"/>
        <w:spacing w:line="360" w:lineRule="auto"/>
        <w:ind w:firstLine="1446" w:firstLineChars="600"/>
        <w:rPr>
          <w:rFonts w:ascii="仿宋" w:hAnsi="仿宋" w:eastAsia="仿宋" w:cs="仿宋"/>
          <w:b/>
          <w:kern w:val="0"/>
          <w:sz w:val="24"/>
          <w:lang w:val="zh-CN"/>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投标人名称(电子签名)：                              </w:t>
      </w:r>
    </w:p>
    <w:p>
      <w:pPr>
        <w:snapToGrid w:val="0"/>
        <w:spacing w:line="360" w:lineRule="auto"/>
        <w:ind w:firstLine="1440" w:firstLineChars="600"/>
        <w:rPr>
          <w:rFonts w:ascii="仿宋" w:hAnsi="仿宋" w:eastAsia="仿宋" w:cs="仿宋"/>
          <w:b/>
          <w:kern w:val="0"/>
          <w:sz w:val="24"/>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w:t>
      </w:r>
      <w:r>
        <w:rPr>
          <w:rFonts w:hint="eastAsia" w:ascii="仿宋" w:hAnsi="仿宋" w:eastAsia="仿宋" w:cs="仿宋"/>
          <w:kern w:val="0"/>
          <w:sz w:val="24"/>
          <w:lang w:val="zh-CN"/>
        </w:rPr>
        <w:t xml:space="preserve">  年 </w:t>
      </w:r>
      <w:r>
        <w:rPr>
          <w:rFonts w:hint="eastAsia" w:ascii="仿宋" w:hAnsi="仿宋" w:eastAsia="仿宋" w:cs="仿宋"/>
          <w:kern w:val="0"/>
          <w:sz w:val="24"/>
        </w:rPr>
        <w:t xml:space="preserve">  </w:t>
      </w:r>
      <w:r>
        <w:rPr>
          <w:rFonts w:hint="eastAsia" w:ascii="仿宋" w:hAnsi="仿宋" w:eastAsia="仿宋" w:cs="仿宋"/>
          <w:kern w:val="0"/>
          <w:sz w:val="24"/>
          <w:lang w:val="zh-CN"/>
        </w:rPr>
        <w:t xml:space="preserve"> 月</w:t>
      </w:r>
      <w:r>
        <w:rPr>
          <w:rFonts w:hint="eastAsia" w:ascii="仿宋" w:hAnsi="仿宋" w:eastAsia="仿宋" w:cs="仿宋"/>
          <w:kern w:val="0"/>
          <w:sz w:val="24"/>
        </w:rPr>
        <w:t xml:space="preserve">   日</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w:t>
      </w:r>
    </w:p>
    <w:p>
      <w:pPr>
        <w:pStyle w:val="18"/>
        <w:ind w:firstLine="420"/>
        <w:rPr>
          <w:lang w:val="zh-CN"/>
        </w:rPr>
      </w:pPr>
      <w:r>
        <w:rPr>
          <w:lang w:val="zh-CN"/>
        </w:rPr>
        <w:br w:type="page"/>
      </w:r>
    </w:p>
    <w:p>
      <w:pPr>
        <w:snapToGrid w:val="0"/>
        <w:spacing w:before="50" w:after="50" w:line="360" w:lineRule="auto"/>
        <w:jc w:val="center"/>
        <w:rPr>
          <w:rFonts w:ascii="仿宋" w:hAnsi="仿宋" w:eastAsia="仿宋" w:cs="仿宋"/>
          <w:b/>
          <w:sz w:val="28"/>
          <w:szCs w:val="28"/>
        </w:rPr>
      </w:pPr>
      <w:r>
        <w:rPr>
          <w:rFonts w:hint="eastAsia" w:ascii="仿宋" w:hAnsi="仿宋" w:eastAsia="仿宋" w:cs="仿宋"/>
          <w:b/>
          <w:sz w:val="28"/>
          <w:szCs w:val="28"/>
        </w:rPr>
        <w:t>二、联合体协议</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甲方：</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乙方：</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各方经协商一致，决定组成一个联合体，以一个投标人的身份就</w:t>
      </w:r>
      <w:r>
        <w:rPr>
          <w:rFonts w:hint="eastAsia" w:ascii="仿宋" w:hAnsi="仿宋" w:eastAsia="仿宋" w:cs="仿宋"/>
          <w:kern w:val="0"/>
          <w:sz w:val="24"/>
        </w:rPr>
        <w:t xml:space="preserve"> 淳安县建设工程招标代理有限公司</w:t>
      </w:r>
      <w:r>
        <w:rPr>
          <w:rFonts w:hint="eastAsia" w:ascii="仿宋" w:hAnsi="仿宋" w:eastAsia="仿宋" w:cs="仿宋"/>
          <w:kern w:val="0"/>
          <w:sz w:val="24"/>
          <w:lang w:val="zh-CN"/>
        </w:rPr>
        <w:t>组织实施的</w:t>
      </w:r>
      <w:r>
        <w:rPr>
          <w:rFonts w:hint="eastAsia" w:ascii="仿宋" w:hAnsi="仿宋" w:eastAsia="仿宋" w:cs="仿宋"/>
          <w:kern w:val="0"/>
          <w:sz w:val="24"/>
          <w:u w:val="single"/>
          <w:lang w:val="zh-CN"/>
        </w:rPr>
        <w:t>2022年度青溪新城区块道路保洁服务采购项目 【招标编号：</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】共同投标。</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sz w:val="24"/>
        </w:rPr>
        <w:t>指定</w:t>
      </w:r>
      <w:r>
        <w:rPr>
          <w:rFonts w:hint="eastAsia" w:ascii="仿宋" w:hAnsi="仿宋" w:eastAsia="仿宋" w:cs="仿宋"/>
          <w:sz w:val="24"/>
          <w:u w:val="single"/>
        </w:rPr>
        <w:t xml:space="preserve">     </w:t>
      </w:r>
      <w:r>
        <w:rPr>
          <w:rFonts w:hint="eastAsia" w:ascii="仿宋" w:hAnsi="仿宋" w:eastAsia="仿宋" w:cs="仿宋"/>
          <w:sz w:val="24"/>
        </w:rPr>
        <w:t>方牵头人，代表所有联合体成员负责投标和合同实施阶段的主办、协调工作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所有联合体成员各方法定代表人签署授权书，授权书载明的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三、本次联合投标中，分工如下：甲方承担的工作和义务为：</w:t>
      </w:r>
      <w:r>
        <w:rPr>
          <w:rFonts w:hint="eastAsia" w:ascii="仿宋" w:hAnsi="仿宋" w:eastAsia="仿宋" w:cs="仿宋"/>
          <w:sz w:val="24"/>
          <w:u w:val="single"/>
        </w:rPr>
        <w:t xml:space="preserve">             </w:t>
      </w:r>
      <w:r>
        <w:rPr>
          <w:rFonts w:hint="eastAsia" w:ascii="仿宋" w:hAnsi="仿宋" w:eastAsia="仿宋" w:cs="仿宋"/>
          <w:kern w:val="0"/>
          <w:sz w:val="24"/>
          <w:lang w:val="zh-CN"/>
        </w:rPr>
        <w:t>；乙方承担的工作和义务为：</w:t>
      </w:r>
      <w:r>
        <w:rPr>
          <w:rFonts w:hint="eastAsia" w:ascii="仿宋" w:hAnsi="仿宋" w:eastAsia="仿宋" w:cs="仿宋"/>
          <w:sz w:val="24"/>
          <w:u w:val="single"/>
        </w:rPr>
        <w:t xml:space="preserve">            </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甲方单位：            （公章）          乙方单位：          （公章）</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日期：    年   月   日                  日期：    年   月   日</w:t>
      </w:r>
    </w:p>
    <w:p>
      <w:pPr>
        <w:snapToGrid w:val="0"/>
        <w:spacing w:line="360" w:lineRule="auto"/>
        <w:ind w:right="480"/>
        <w:jc w:val="center"/>
        <w:rPr>
          <w:rFonts w:ascii="仿宋" w:hAnsi="仿宋" w:eastAsia="仿宋" w:cs="仿宋"/>
          <w:b/>
          <w:kern w:val="0"/>
          <w:sz w:val="24"/>
          <w:lang w:val="zh-CN"/>
        </w:rPr>
        <w:sectPr>
          <w:pgSz w:w="11906" w:h="16838"/>
          <w:pgMar w:top="1247" w:right="1418" w:bottom="1276" w:left="1418" w:header="851" w:footer="992" w:gutter="0"/>
          <w:cols w:space="720" w:num="1"/>
          <w:titlePg/>
          <w:docGrid w:linePitch="312" w:charSpace="0"/>
        </w:sectPr>
      </w:pPr>
    </w:p>
    <w:p>
      <w:pPr>
        <w:spacing w:line="360" w:lineRule="auto"/>
        <w:jc w:val="center"/>
        <w:rPr>
          <w:rFonts w:ascii="仿宋" w:hAnsi="仿宋" w:eastAsia="仿宋" w:cs="仿宋"/>
          <w:b/>
          <w:sz w:val="30"/>
          <w:szCs w:val="30"/>
        </w:rPr>
      </w:pPr>
    </w:p>
    <w:p>
      <w:pPr>
        <w:spacing w:line="360" w:lineRule="auto"/>
        <w:jc w:val="center"/>
        <w:rPr>
          <w:rFonts w:ascii="仿宋" w:hAnsi="仿宋" w:eastAsia="仿宋" w:cs="仿宋"/>
          <w:b/>
          <w:sz w:val="30"/>
          <w:szCs w:val="30"/>
        </w:rPr>
      </w:pPr>
      <w:r>
        <w:rPr>
          <w:rFonts w:hint="eastAsia" w:ascii="仿宋" w:hAnsi="仿宋" w:eastAsia="仿宋" w:cs="仿宋"/>
          <w:b/>
          <w:sz w:val="30"/>
          <w:szCs w:val="30"/>
        </w:rPr>
        <w:t>三、资信文件复印件（如果要求提供）</w:t>
      </w:r>
    </w:p>
    <w:p>
      <w:pPr>
        <w:spacing w:line="360" w:lineRule="auto"/>
        <w:jc w:val="center"/>
        <w:rPr>
          <w:rFonts w:ascii="仿宋" w:hAnsi="仿宋" w:eastAsia="仿宋" w:cs="仿宋"/>
          <w:sz w:val="30"/>
          <w:szCs w:val="30"/>
        </w:rPr>
      </w:pPr>
      <w:r>
        <w:rPr>
          <w:rFonts w:hint="eastAsia" w:ascii="仿宋" w:hAnsi="仿宋" w:eastAsia="仿宋" w:cs="仿宋"/>
          <w:sz w:val="28"/>
          <w:szCs w:val="28"/>
        </w:rPr>
        <w:t>（由投标人根据采购需求及招标文件要求编制）</w:t>
      </w:r>
    </w:p>
    <w:p>
      <w:pPr>
        <w:spacing w:line="360" w:lineRule="auto"/>
        <w:jc w:val="center"/>
        <w:rPr>
          <w:rFonts w:ascii="仿宋" w:hAnsi="仿宋" w:eastAsia="仿宋" w:cs="仿宋"/>
          <w:b/>
          <w:bCs/>
          <w:sz w:val="24"/>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b/>
          <w:bCs/>
          <w:sz w:val="24"/>
        </w:rPr>
      </w:pPr>
      <w:r>
        <w:rPr>
          <w:rFonts w:hint="eastAsia" w:ascii="仿宋" w:hAnsi="仿宋" w:eastAsia="仿宋" w:cs="仿宋"/>
          <w:kern w:val="0"/>
          <w:sz w:val="24"/>
          <w:lang w:val="zh-CN"/>
        </w:rPr>
        <w:t xml:space="preserve">                   日期： </w:t>
      </w:r>
      <w:r>
        <w:rPr>
          <w:rFonts w:hint="eastAsia" w:ascii="仿宋" w:hAnsi="仿宋" w:eastAsia="仿宋" w:cs="仿宋"/>
          <w:kern w:val="0"/>
          <w:sz w:val="24"/>
        </w:rPr>
        <w:t xml:space="preserve"> </w:t>
      </w:r>
      <w:r>
        <w:rPr>
          <w:rFonts w:hint="eastAsia" w:ascii="仿宋" w:hAnsi="仿宋" w:eastAsia="仿宋" w:cs="仿宋"/>
          <w:kern w:val="0"/>
          <w:sz w:val="24"/>
          <w:lang w:val="zh-CN"/>
        </w:rPr>
        <w:t xml:space="preserve"> 年  </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日</w:t>
      </w:r>
    </w:p>
    <w:p>
      <w:pPr>
        <w:spacing w:line="360" w:lineRule="auto"/>
        <w:jc w:val="center"/>
        <w:rPr>
          <w:rFonts w:ascii="仿宋" w:hAnsi="仿宋" w:eastAsia="仿宋" w:cs="仿宋"/>
          <w:b/>
          <w:bCs/>
          <w:sz w:val="24"/>
        </w:rPr>
      </w:pPr>
    </w:p>
    <w:p>
      <w:pPr>
        <w:pStyle w:val="18"/>
        <w:ind w:firstLine="643"/>
        <w:rPr>
          <w:rFonts w:ascii="仿宋_GB2312" w:eastAsia="仿宋_GB2312"/>
          <w:b/>
          <w:sz w:val="32"/>
          <w:szCs w:val="32"/>
        </w:rPr>
      </w:pPr>
    </w:p>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四、</w:t>
      </w:r>
      <w:r>
        <w:rPr>
          <w:rFonts w:hint="eastAsia" w:ascii="仿宋" w:hAnsi="仿宋" w:eastAsia="仿宋" w:cs="仿宋"/>
          <w:b/>
          <w:kern w:val="0"/>
          <w:sz w:val="28"/>
          <w:szCs w:val="28"/>
          <w:lang w:val="zh-CN"/>
        </w:rPr>
        <w:t>主要业绩证明</w:t>
      </w:r>
    </w:p>
    <w:p>
      <w:pPr>
        <w:autoSpaceDE w:val="0"/>
        <w:autoSpaceDN w:val="0"/>
        <w:spacing w:line="360" w:lineRule="auto"/>
        <w:ind w:firstLine="120"/>
        <w:rPr>
          <w:rFonts w:ascii="仿宋_GB2312" w:hAnsi="仿宋" w:eastAsia="仿宋_GB2312" w:cs="仿宋_GB2312"/>
          <w:b/>
          <w:sz w:val="24"/>
        </w:rPr>
      </w:pPr>
      <w:r>
        <w:rPr>
          <w:rFonts w:hint="eastAsia" w:ascii="仿宋_GB2312" w:hAnsi="仿宋" w:eastAsia="仿宋_GB2312" w:cs="仿宋_GB2312"/>
          <w:b/>
          <w:sz w:val="24"/>
        </w:rPr>
        <w:t>附表 :相关项目建设业绩一览表</w:t>
      </w:r>
    </w:p>
    <w:tbl>
      <w:tblPr>
        <w:tblStyle w:val="19"/>
        <w:tblW w:w="0" w:type="auto"/>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投资</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rPr>
          <w:trHeight w:val="93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bl>
    <w:p>
      <w:pPr>
        <w:pStyle w:val="18"/>
        <w:ind w:firstLine="482"/>
        <w:rPr>
          <w:rFonts w:ascii="仿宋_GB2312" w:hAnsi="仿宋" w:eastAsia="仿宋_GB2312" w:cs="仿宋_GB2312"/>
          <w:b/>
          <w:sz w:val="24"/>
        </w:rPr>
      </w:pPr>
      <w:r>
        <w:rPr>
          <w:rFonts w:hint="eastAsia" w:ascii="仿宋_GB2312" w:hAnsi="仿宋" w:eastAsia="仿宋_GB2312" w:cs="仿宋_GB2312"/>
          <w:b/>
          <w:sz w:val="24"/>
        </w:rPr>
        <w:t>注：投标人可按上述的格式自行编制，须随表提交相应的合同复印件和用户单位验收证明并注明所在投标人商务技术文件页码。</w:t>
      </w:r>
    </w:p>
    <w:p>
      <w:pPr>
        <w:pStyle w:val="18"/>
        <w:ind w:firstLine="482"/>
        <w:rPr>
          <w:rFonts w:ascii="仿宋_GB2312" w:hAnsi="仿宋" w:eastAsia="仿宋_GB2312" w:cs="仿宋_GB2312"/>
          <w:b/>
          <w:sz w:val="24"/>
        </w:rPr>
      </w:pPr>
    </w:p>
    <w:p>
      <w:pPr>
        <w:autoSpaceDE w:val="0"/>
        <w:autoSpaceDN w:val="0"/>
        <w:spacing w:line="360" w:lineRule="auto"/>
        <w:ind w:firstLine="4560" w:firstLineChars="1900"/>
        <w:rPr>
          <w:rFonts w:ascii="仿宋" w:hAnsi="仿宋" w:eastAsia="仿宋" w:cs="仿宋"/>
          <w:kern w:val="0"/>
          <w:sz w:val="24"/>
        </w:rPr>
      </w:pPr>
      <w:r>
        <w:rPr>
          <w:rFonts w:hint="eastAsia" w:ascii="仿宋" w:hAnsi="仿宋" w:eastAsia="仿宋" w:cs="仿宋"/>
          <w:kern w:val="0"/>
          <w:sz w:val="24"/>
        </w:rPr>
        <w:t>投标人名称（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autoSpaceDE w:val="0"/>
        <w:autoSpaceDN w:val="0"/>
        <w:spacing w:line="360" w:lineRule="auto"/>
        <w:rPr>
          <w:rFonts w:ascii="仿宋" w:hAnsi="仿宋" w:eastAsia="仿宋" w:cs="仿宋"/>
          <w:kern w:val="0"/>
          <w:sz w:val="24"/>
        </w:rPr>
      </w:pPr>
      <w:r>
        <w:rPr>
          <w:rFonts w:hint="eastAsia" w:ascii="仿宋" w:hAnsi="仿宋" w:eastAsia="仿宋" w:cs="仿宋"/>
          <w:kern w:val="0"/>
          <w:sz w:val="24"/>
        </w:rPr>
        <w:t xml:space="preserve">                                       日期：   年   月   日</w:t>
      </w:r>
    </w:p>
    <w:p>
      <w:pPr>
        <w:spacing w:line="360" w:lineRule="auto"/>
        <w:rPr>
          <w:rFonts w:ascii="仿宋" w:hAnsi="仿宋" w:eastAsia="仿宋" w:cs="仿宋"/>
          <w:kern w:val="0"/>
          <w:sz w:val="24"/>
        </w:rPr>
      </w:pPr>
    </w:p>
    <w:p>
      <w:pPr>
        <w:pStyle w:val="26"/>
        <w:rPr>
          <w:rFonts w:ascii="仿宋" w:hAnsi="仿宋" w:eastAsia="仿宋" w:cs="仿宋"/>
          <w:kern w:val="0"/>
          <w:sz w:val="24"/>
        </w:rPr>
      </w:pPr>
    </w:p>
    <w:p>
      <w:pPr>
        <w:pStyle w:val="8"/>
        <w:rPr>
          <w:rFonts w:ascii="仿宋" w:hAnsi="仿宋" w:eastAsia="仿宋" w:cs="仿宋"/>
          <w:kern w:val="0"/>
          <w:sz w:val="24"/>
        </w:rPr>
      </w:pPr>
    </w:p>
    <w:p>
      <w:pPr>
        <w:pStyle w:val="8"/>
        <w:rPr>
          <w:rFonts w:ascii="仿宋" w:hAnsi="仿宋" w:eastAsia="仿宋" w:cs="仿宋"/>
          <w:kern w:val="0"/>
          <w:sz w:val="24"/>
        </w:rPr>
      </w:pPr>
    </w:p>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五、</w:t>
      </w:r>
      <w:bookmarkStart w:id="25" w:name="OLE_LINK17"/>
      <w:bookmarkStart w:id="26" w:name="OLE_LINK16"/>
      <w:r>
        <w:rPr>
          <w:rFonts w:hint="eastAsia" w:ascii="仿宋" w:hAnsi="仿宋" w:eastAsia="仿宋" w:cs="仿宋"/>
          <w:b/>
          <w:bCs/>
          <w:sz w:val="28"/>
          <w:szCs w:val="28"/>
        </w:rPr>
        <w:t>其他商务文件或说明</w:t>
      </w:r>
    </w:p>
    <w:p>
      <w:pPr>
        <w:spacing w:line="360" w:lineRule="auto"/>
        <w:jc w:val="center"/>
        <w:rPr>
          <w:rFonts w:ascii="仿宋" w:hAnsi="仿宋" w:eastAsia="仿宋" w:cs="仿宋"/>
          <w:sz w:val="24"/>
        </w:rPr>
      </w:pPr>
      <w:r>
        <w:rPr>
          <w:rFonts w:hint="eastAsia" w:ascii="仿宋" w:hAnsi="仿宋" w:eastAsia="仿宋" w:cs="仿宋"/>
          <w:sz w:val="24"/>
        </w:rPr>
        <w:t>（</w:t>
      </w:r>
      <w:bookmarkStart w:id="27" w:name="OLE_LINK10"/>
      <w:bookmarkStart w:id="28" w:name="OLE_LINK11"/>
      <w:r>
        <w:rPr>
          <w:rFonts w:hint="eastAsia" w:ascii="仿宋" w:hAnsi="仿宋" w:eastAsia="仿宋" w:cs="仿宋"/>
          <w:sz w:val="24"/>
        </w:rPr>
        <w:t>其他商务文件或说明由投标人根据采购需求自行编制</w:t>
      </w:r>
      <w:bookmarkEnd w:id="27"/>
      <w:bookmarkEnd w:id="28"/>
      <w:r>
        <w:rPr>
          <w:rFonts w:hint="eastAsia" w:ascii="仿宋" w:hAnsi="仿宋" w:eastAsia="仿宋" w:cs="仿宋"/>
          <w:sz w:val="24"/>
        </w:rPr>
        <w:t>）</w:t>
      </w:r>
    </w:p>
    <w:bookmarkEnd w:id="25"/>
    <w:bookmarkEnd w:id="26"/>
    <w:p>
      <w:pPr>
        <w:spacing w:line="360" w:lineRule="auto"/>
        <w:jc w:val="center"/>
        <w:rPr>
          <w:rFonts w:ascii="仿宋" w:hAnsi="仿宋" w:eastAsia="仿宋" w:cs="仿宋"/>
          <w:sz w:val="24"/>
        </w:rPr>
      </w:pPr>
    </w:p>
    <w:p>
      <w:pPr>
        <w:autoSpaceDE w:val="0"/>
        <w:autoSpaceDN w:val="0"/>
        <w:spacing w:line="360" w:lineRule="auto"/>
        <w:ind w:firstLine="4800" w:firstLineChars="2000"/>
        <w:rPr>
          <w:rFonts w:ascii="仿宋" w:hAnsi="仿宋" w:eastAsia="仿宋" w:cs="仿宋"/>
          <w:kern w:val="0"/>
          <w:sz w:val="24"/>
        </w:rPr>
      </w:pPr>
      <w:r>
        <w:rPr>
          <w:rFonts w:hint="eastAsia" w:ascii="仿宋" w:hAnsi="仿宋" w:eastAsia="仿宋" w:cs="仿宋"/>
          <w:kern w:val="0"/>
          <w:sz w:val="24"/>
          <w:lang w:val="zh-CN"/>
        </w:rPr>
        <w:t xml:space="preserve">投标人名称（电子签名）：      </w:t>
      </w:r>
    </w:p>
    <w:p>
      <w:pPr>
        <w:autoSpaceDE w:val="0"/>
        <w:autoSpaceDN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rPr>
          <w:rFonts w:ascii="仿宋" w:hAnsi="仿宋" w:eastAsia="仿宋" w:cs="仿宋"/>
          <w:kern w:val="0"/>
          <w:sz w:val="24"/>
          <w:lang w:val="zh-CN"/>
        </w:rPr>
      </w:pPr>
    </w:p>
    <w:p>
      <w:pPr>
        <w:autoSpaceDE w:val="0"/>
        <w:autoSpaceDN w:val="0"/>
        <w:spacing w:line="360" w:lineRule="auto"/>
        <w:rPr>
          <w:rFonts w:ascii="仿宋" w:hAnsi="仿宋" w:eastAsia="仿宋" w:cs="仿宋"/>
          <w:kern w:val="0"/>
          <w:sz w:val="24"/>
          <w:lang w:val="zh-CN"/>
        </w:rPr>
      </w:pPr>
    </w:p>
    <w:p>
      <w:pPr>
        <w:spacing w:line="360" w:lineRule="auto"/>
        <w:jc w:val="center"/>
        <w:rPr>
          <w:rFonts w:ascii="仿宋" w:hAnsi="仿宋" w:eastAsia="仿宋" w:cs="仿宋"/>
          <w:b/>
          <w:bCs/>
          <w:sz w:val="28"/>
          <w:szCs w:val="28"/>
        </w:rPr>
      </w:pPr>
      <w:r>
        <w:rPr>
          <w:rFonts w:hint="eastAsia" w:ascii="仿宋" w:hAnsi="仿宋" w:eastAsia="仿宋" w:cs="仿宋"/>
          <w:b/>
          <w:sz w:val="28"/>
          <w:szCs w:val="28"/>
        </w:rPr>
        <w:t>六</w:t>
      </w:r>
      <w:r>
        <w:rPr>
          <w:rFonts w:hint="eastAsia" w:ascii="仿宋" w:hAnsi="仿宋" w:eastAsia="仿宋" w:cs="仿宋"/>
          <w:b/>
          <w:bCs/>
          <w:sz w:val="28"/>
          <w:szCs w:val="28"/>
        </w:rPr>
        <w:t>、技术解决方案</w:t>
      </w:r>
    </w:p>
    <w:p>
      <w:pPr>
        <w:spacing w:line="360" w:lineRule="auto"/>
        <w:jc w:val="center"/>
        <w:rPr>
          <w:rFonts w:ascii="仿宋" w:hAnsi="仿宋" w:eastAsia="仿宋" w:cs="仿宋"/>
          <w:sz w:val="24"/>
        </w:rPr>
      </w:pPr>
      <w:r>
        <w:rPr>
          <w:rFonts w:hint="eastAsia" w:ascii="仿宋" w:hAnsi="仿宋" w:eastAsia="仿宋" w:cs="仿宋"/>
          <w:sz w:val="24"/>
        </w:rPr>
        <w:t>（由投标人根据采购需求及招标文件要求编制）</w:t>
      </w:r>
    </w:p>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（一）投标产品规格配置清单</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531"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设备名称</w:t>
            </w:r>
          </w:p>
        </w:tc>
        <w:tc>
          <w:tcPr>
            <w:tcW w:w="216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投标品牌及型号</w:t>
            </w:r>
          </w:p>
        </w:tc>
        <w:tc>
          <w:tcPr>
            <w:tcW w:w="234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规格配置详细说明</w:t>
            </w:r>
          </w:p>
        </w:tc>
        <w:tc>
          <w:tcPr>
            <w:tcW w:w="1080"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数量</w:t>
            </w:r>
          </w:p>
        </w:tc>
        <w:tc>
          <w:tcPr>
            <w:tcW w:w="1332" w:type="dxa"/>
            <w:vAlign w:val="center"/>
          </w:tcPr>
          <w:p>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p>
        </w:tc>
        <w:tc>
          <w:tcPr>
            <w:tcW w:w="1531" w:type="dxa"/>
            <w:vAlign w:val="center"/>
          </w:tcPr>
          <w:p>
            <w:pPr>
              <w:snapToGrid w:val="0"/>
              <w:spacing w:line="360" w:lineRule="auto"/>
              <w:jc w:val="center"/>
              <w:rPr>
                <w:rFonts w:ascii="仿宋_GB2312" w:hAnsi="仿宋" w:eastAsia="仿宋_GB2312" w:cs="仿宋_GB2312"/>
                <w:sz w:val="24"/>
              </w:rPr>
            </w:pPr>
          </w:p>
        </w:tc>
        <w:tc>
          <w:tcPr>
            <w:tcW w:w="2160" w:type="dxa"/>
            <w:vAlign w:val="center"/>
          </w:tcPr>
          <w:p>
            <w:pPr>
              <w:snapToGrid w:val="0"/>
              <w:spacing w:line="360" w:lineRule="auto"/>
              <w:jc w:val="center"/>
              <w:rPr>
                <w:rFonts w:ascii="仿宋_GB2312" w:hAnsi="仿宋" w:eastAsia="仿宋_GB2312" w:cs="仿宋_GB2312"/>
                <w:sz w:val="24"/>
              </w:rPr>
            </w:pPr>
          </w:p>
        </w:tc>
        <w:tc>
          <w:tcPr>
            <w:tcW w:w="2340" w:type="dxa"/>
            <w:vAlign w:val="center"/>
          </w:tcPr>
          <w:p>
            <w:pPr>
              <w:spacing w:line="360" w:lineRule="auto"/>
              <w:jc w:val="center"/>
              <w:rPr>
                <w:rFonts w:ascii="仿宋_GB2312" w:hAnsi="仿宋" w:eastAsia="仿宋_GB2312" w:cs="仿宋_GB2312"/>
                <w:sz w:val="24"/>
              </w:rPr>
            </w:pPr>
          </w:p>
        </w:tc>
        <w:tc>
          <w:tcPr>
            <w:tcW w:w="1080" w:type="dxa"/>
            <w:vAlign w:val="center"/>
          </w:tcPr>
          <w:p>
            <w:pPr>
              <w:spacing w:line="360" w:lineRule="auto"/>
              <w:jc w:val="center"/>
              <w:rPr>
                <w:rFonts w:ascii="仿宋_GB2312" w:hAnsi="仿宋" w:eastAsia="仿宋_GB2312" w:cs="仿宋_GB2312"/>
                <w:sz w:val="24"/>
              </w:rPr>
            </w:pPr>
          </w:p>
        </w:tc>
        <w:tc>
          <w:tcPr>
            <w:tcW w:w="1332"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1531" w:type="dxa"/>
            <w:vAlign w:val="center"/>
          </w:tcPr>
          <w:p>
            <w:pPr>
              <w:snapToGrid w:val="0"/>
              <w:spacing w:line="360" w:lineRule="auto"/>
              <w:jc w:val="center"/>
              <w:rPr>
                <w:rFonts w:ascii="仿宋_GB2312" w:hAnsi="仿宋" w:eastAsia="仿宋_GB2312" w:cs="仿宋_GB2312"/>
                <w:sz w:val="24"/>
              </w:rPr>
            </w:pPr>
          </w:p>
        </w:tc>
        <w:tc>
          <w:tcPr>
            <w:tcW w:w="2160" w:type="dxa"/>
            <w:vAlign w:val="center"/>
          </w:tcPr>
          <w:p>
            <w:pPr>
              <w:snapToGrid w:val="0"/>
              <w:spacing w:line="360" w:lineRule="auto"/>
              <w:jc w:val="center"/>
              <w:rPr>
                <w:rFonts w:ascii="仿宋_GB2312" w:hAnsi="仿宋" w:eastAsia="仿宋_GB2312" w:cs="仿宋_GB2312"/>
                <w:sz w:val="24"/>
              </w:rPr>
            </w:pPr>
          </w:p>
        </w:tc>
        <w:tc>
          <w:tcPr>
            <w:tcW w:w="2340" w:type="dxa"/>
            <w:vAlign w:val="center"/>
          </w:tcPr>
          <w:p>
            <w:pPr>
              <w:spacing w:line="360" w:lineRule="auto"/>
              <w:jc w:val="center"/>
              <w:rPr>
                <w:rFonts w:ascii="仿宋_GB2312" w:hAnsi="仿宋" w:eastAsia="仿宋_GB2312" w:cs="仿宋_GB2312"/>
                <w:sz w:val="24"/>
              </w:rPr>
            </w:pPr>
          </w:p>
        </w:tc>
        <w:tc>
          <w:tcPr>
            <w:tcW w:w="1080" w:type="dxa"/>
            <w:vAlign w:val="center"/>
          </w:tcPr>
          <w:p>
            <w:pPr>
              <w:spacing w:line="360" w:lineRule="auto"/>
              <w:jc w:val="center"/>
              <w:rPr>
                <w:rFonts w:ascii="仿宋_GB2312" w:hAnsi="仿宋" w:eastAsia="仿宋_GB2312" w:cs="仿宋_GB2312"/>
                <w:sz w:val="24"/>
              </w:rPr>
            </w:pPr>
          </w:p>
        </w:tc>
        <w:tc>
          <w:tcPr>
            <w:tcW w:w="1332" w:type="dxa"/>
            <w:vAlign w:val="center"/>
          </w:tcPr>
          <w:p>
            <w:pPr>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w:t>
            </w:r>
          </w:p>
        </w:tc>
        <w:tc>
          <w:tcPr>
            <w:tcW w:w="1531" w:type="dxa"/>
            <w:vAlign w:val="center"/>
          </w:tcPr>
          <w:p>
            <w:pPr>
              <w:snapToGrid w:val="0"/>
              <w:spacing w:line="360" w:lineRule="auto"/>
              <w:jc w:val="center"/>
              <w:rPr>
                <w:rFonts w:ascii="仿宋_GB2312" w:hAnsi="仿宋" w:eastAsia="仿宋_GB2312" w:cs="仿宋_GB2312"/>
                <w:sz w:val="24"/>
              </w:rPr>
            </w:pPr>
          </w:p>
        </w:tc>
        <w:tc>
          <w:tcPr>
            <w:tcW w:w="2160" w:type="dxa"/>
            <w:vAlign w:val="center"/>
          </w:tcPr>
          <w:p>
            <w:pPr>
              <w:snapToGrid w:val="0"/>
              <w:spacing w:line="360" w:lineRule="auto"/>
              <w:jc w:val="center"/>
              <w:rPr>
                <w:rFonts w:ascii="仿宋_GB2312" w:hAnsi="仿宋" w:eastAsia="仿宋_GB2312" w:cs="仿宋_GB2312"/>
                <w:sz w:val="24"/>
              </w:rPr>
            </w:pPr>
          </w:p>
        </w:tc>
        <w:tc>
          <w:tcPr>
            <w:tcW w:w="2340" w:type="dxa"/>
            <w:vAlign w:val="center"/>
          </w:tcPr>
          <w:p>
            <w:pPr>
              <w:spacing w:line="360" w:lineRule="auto"/>
              <w:jc w:val="center"/>
              <w:rPr>
                <w:rFonts w:ascii="仿宋_GB2312" w:hAnsi="仿宋" w:eastAsia="仿宋_GB2312" w:cs="仿宋_GB2312"/>
                <w:sz w:val="24"/>
              </w:rPr>
            </w:pPr>
          </w:p>
        </w:tc>
        <w:tc>
          <w:tcPr>
            <w:tcW w:w="1080" w:type="dxa"/>
            <w:vAlign w:val="center"/>
          </w:tcPr>
          <w:p>
            <w:pPr>
              <w:spacing w:line="360" w:lineRule="auto"/>
              <w:jc w:val="center"/>
              <w:rPr>
                <w:rFonts w:ascii="仿宋_GB2312" w:hAnsi="仿宋" w:eastAsia="仿宋_GB2312" w:cs="仿宋_GB2312"/>
                <w:sz w:val="24"/>
              </w:rPr>
            </w:pPr>
          </w:p>
        </w:tc>
        <w:tc>
          <w:tcPr>
            <w:tcW w:w="1332" w:type="dxa"/>
            <w:vAlign w:val="center"/>
          </w:tcPr>
          <w:p>
            <w:pPr>
              <w:spacing w:line="360" w:lineRule="auto"/>
              <w:jc w:val="center"/>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b/>
          <w:kern w:val="0"/>
          <w:sz w:val="28"/>
          <w:szCs w:val="28"/>
        </w:rPr>
      </w:pPr>
      <w:r>
        <w:rPr>
          <w:rFonts w:hint="eastAsia" w:ascii="仿宋_GB2312" w:hAnsi="仿宋" w:eastAsia="仿宋_GB2312" w:cs="仿宋_GB2312"/>
          <w:b/>
          <w:sz w:val="24"/>
        </w:rPr>
        <w:t>注：如果本项目涉及硬件设备采购，须在技术文件中提供此配置清单</w:t>
      </w:r>
      <w:r>
        <w:rPr>
          <w:rFonts w:hint="eastAsia" w:ascii="仿宋_GB2312" w:hAnsi="仿宋" w:eastAsia="仿宋_GB2312" w:cs="仿宋_GB2312"/>
          <w:b/>
          <w:sz w:val="28"/>
          <w:szCs w:val="28"/>
        </w:rPr>
        <w:t>。</w:t>
      </w:r>
    </w:p>
    <w:p>
      <w:pPr>
        <w:tabs>
          <w:tab w:val="left" w:pos="2790"/>
          <w:tab w:val="center" w:pos="3835"/>
          <w:tab w:val="left" w:pos="4230"/>
          <w:tab w:val="left" w:pos="4695"/>
        </w:tabs>
        <w:autoSpaceDE w:val="0"/>
        <w:autoSpaceDN w:val="0"/>
        <w:spacing w:line="360" w:lineRule="auto"/>
        <w:ind w:right="1400"/>
        <w:jc w:val="left"/>
        <w:outlineLvl w:val="1"/>
        <w:rPr>
          <w:rFonts w:ascii="仿宋_GB2312" w:hAnsi="仿宋" w:eastAsia="仿宋_GB2312" w:cs="仿宋_GB2312"/>
          <w:b/>
          <w:bCs/>
          <w:kern w:val="0"/>
          <w:sz w:val="24"/>
          <w:lang w:val="zh-CN"/>
        </w:rPr>
      </w:pPr>
      <w:r>
        <w:rPr>
          <w:rFonts w:hint="eastAsia" w:ascii="仿宋_GB2312" w:hAnsi="仿宋" w:eastAsia="仿宋_GB2312" w:cs="仿宋_GB2312"/>
          <w:b/>
          <w:bCs/>
          <w:kern w:val="0"/>
          <w:sz w:val="24"/>
          <w:lang w:val="zh-CN"/>
        </w:rPr>
        <w:tab/>
      </w:r>
      <w:r>
        <w:rPr>
          <w:rFonts w:hint="eastAsia" w:ascii="仿宋_GB2312" w:hAnsi="仿宋" w:eastAsia="仿宋_GB2312" w:cs="仿宋_GB2312"/>
          <w:b/>
          <w:bCs/>
          <w:kern w:val="0"/>
          <w:sz w:val="24"/>
          <w:lang w:val="zh-CN"/>
        </w:rPr>
        <w:tab/>
      </w:r>
      <w:r>
        <w:rPr>
          <w:rFonts w:hint="eastAsia" w:ascii="仿宋_GB2312" w:hAnsi="仿宋" w:eastAsia="仿宋_GB2312" w:cs="仿宋_GB2312"/>
          <w:b/>
          <w:bCs/>
          <w:kern w:val="0"/>
          <w:sz w:val="24"/>
          <w:lang w:val="zh-CN"/>
        </w:rPr>
        <w:t xml:space="preserve">                        </w:t>
      </w:r>
    </w:p>
    <w:p>
      <w:pPr>
        <w:spacing w:line="360" w:lineRule="auto"/>
        <w:ind w:firstLine="2276" w:firstLineChars="900"/>
        <w:jc w:val="left"/>
        <w:rPr>
          <w:rFonts w:ascii="仿宋_GB2312" w:hAnsi="仿宋" w:eastAsia="仿宋_GB2312"/>
          <w:b/>
          <w:spacing w:val="6"/>
          <w:sz w:val="24"/>
        </w:rPr>
      </w:pPr>
      <w:r>
        <w:rPr>
          <w:rFonts w:hint="eastAsia" w:ascii="仿宋_GB2312" w:hAnsi="仿宋" w:eastAsia="仿宋_GB2312"/>
          <w:b/>
          <w:spacing w:val="6"/>
          <w:sz w:val="24"/>
        </w:rPr>
        <w:t>（二）节能产品认证证书复印件（电子签名）</w:t>
      </w:r>
    </w:p>
    <w:p>
      <w:pPr>
        <w:spacing w:line="360" w:lineRule="auto"/>
        <w:ind w:firstLine="1012" w:firstLineChars="400"/>
        <w:jc w:val="left"/>
        <w:rPr>
          <w:rFonts w:ascii="仿宋_GB2312" w:hAnsi="仿宋" w:eastAsia="仿宋_GB2312"/>
          <w:b/>
          <w:spacing w:val="6"/>
          <w:sz w:val="24"/>
        </w:rPr>
      </w:pPr>
    </w:p>
    <w:p>
      <w:pPr>
        <w:spacing w:line="360" w:lineRule="auto"/>
        <w:rPr>
          <w:rFonts w:ascii="仿宋_GB2312" w:hAnsi="仿宋" w:eastAsia="仿宋_GB2312"/>
          <w:b/>
          <w:bCs/>
          <w:sz w:val="24"/>
        </w:rPr>
      </w:pPr>
      <w:r>
        <w:rPr>
          <w:rFonts w:hint="eastAsia" w:ascii="仿宋_GB2312" w:hAnsi="仿宋" w:eastAsia="仿宋_GB2312"/>
          <w:b/>
          <w:bCs/>
          <w:sz w:val="24"/>
        </w:rPr>
        <w:t xml:space="preserve"> </w:t>
      </w:r>
    </w:p>
    <w:p>
      <w:pPr>
        <w:spacing w:line="360" w:lineRule="auto"/>
        <w:ind w:firstLine="2024" w:firstLineChars="800"/>
        <w:jc w:val="left"/>
        <w:rPr>
          <w:rFonts w:ascii="仿宋_GB2312" w:hAnsi="仿宋" w:eastAsia="仿宋_GB2312"/>
          <w:b/>
          <w:spacing w:val="6"/>
          <w:sz w:val="24"/>
        </w:rPr>
      </w:pPr>
      <w:r>
        <w:rPr>
          <w:rFonts w:hint="eastAsia" w:ascii="仿宋_GB2312" w:hAnsi="仿宋" w:eastAsia="仿宋_GB2312"/>
          <w:b/>
          <w:spacing w:val="6"/>
          <w:sz w:val="24"/>
        </w:rPr>
        <w:t>（三）环境标志产品认证证书复印件（电子签名）</w:t>
      </w:r>
    </w:p>
    <w:p>
      <w:pPr>
        <w:autoSpaceDE w:val="0"/>
        <w:autoSpaceDN w:val="0"/>
        <w:spacing w:line="360" w:lineRule="auto"/>
        <w:ind w:firstLine="4560" w:firstLineChars="1900"/>
        <w:rPr>
          <w:rFonts w:ascii="仿宋_GB2312" w:hAnsi="仿宋" w:eastAsia="仿宋_GB2312"/>
          <w:kern w:val="0"/>
          <w:sz w:val="24"/>
        </w:rPr>
      </w:pPr>
    </w:p>
    <w:p>
      <w:pPr>
        <w:autoSpaceDE w:val="0"/>
        <w:autoSpaceDN w:val="0"/>
        <w:spacing w:line="360" w:lineRule="auto"/>
        <w:ind w:firstLine="4560" w:firstLineChars="1900"/>
        <w:rPr>
          <w:rFonts w:ascii="仿宋" w:hAnsi="仿宋" w:eastAsia="仿宋" w:cs="仿宋"/>
          <w:kern w:val="0"/>
          <w:sz w:val="24"/>
        </w:rPr>
      </w:pPr>
    </w:p>
    <w:p>
      <w:pPr>
        <w:autoSpaceDE w:val="0"/>
        <w:autoSpaceDN w:val="0"/>
        <w:spacing w:line="360" w:lineRule="auto"/>
        <w:ind w:firstLine="4560" w:firstLineChars="1900"/>
        <w:rPr>
          <w:rFonts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lang w:val="zh-CN"/>
        </w:rPr>
        <w:t>电子签名</w:t>
      </w:r>
      <w:r>
        <w:rPr>
          <w:rFonts w:hint="eastAsia" w:ascii="仿宋" w:hAnsi="仿宋" w:eastAsia="仿宋" w:cs="仿宋"/>
          <w:kern w:val="0"/>
          <w:sz w:val="24"/>
        </w:rPr>
        <w:t xml:space="preserve">）：                       </w:t>
      </w:r>
    </w:p>
    <w:p>
      <w:pPr>
        <w:autoSpaceDE w:val="0"/>
        <w:autoSpaceDN w:val="0"/>
        <w:spacing w:line="360" w:lineRule="auto"/>
        <w:rPr>
          <w:rFonts w:ascii="仿宋" w:hAnsi="仿宋" w:eastAsia="仿宋" w:cs="仿宋"/>
          <w:kern w:val="0"/>
          <w:sz w:val="24"/>
        </w:rPr>
      </w:pPr>
      <w:r>
        <w:rPr>
          <w:rFonts w:hint="eastAsia" w:ascii="仿宋" w:hAnsi="仿宋" w:eastAsia="仿宋" w:cs="仿宋"/>
          <w:kern w:val="0"/>
          <w:sz w:val="24"/>
        </w:rPr>
        <w:t xml:space="preserve">                                      日期：    年   月   日</w:t>
      </w:r>
    </w:p>
    <w:p>
      <w:pPr>
        <w:spacing w:line="360" w:lineRule="auto"/>
        <w:jc w:val="center"/>
        <w:rPr>
          <w:rFonts w:ascii="仿宋" w:hAnsi="仿宋" w:eastAsia="仿宋" w:cs="仿宋"/>
          <w:b/>
          <w:bCs/>
          <w:sz w:val="28"/>
          <w:szCs w:val="28"/>
        </w:rPr>
      </w:pPr>
      <w:r>
        <w:rPr>
          <w:rFonts w:hint="eastAsia" w:ascii="仿宋" w:hAnsi="仿宋" w:eastAsia="仿宋" w:cs="仿宋"/>
          <w:b/>
          <w:bCs/>
          <w:sz w:val="24"/>
        </w:rPr>
        <w:br w:type="page"/>
      </w:r>
      <w:r>
        <w:rPr>
          <w:rFonts w:hint="eastAsia" w:ascii="仿宋" w:hAnsi="仿宋" w:eastAsia="仿宋" w:cs="仿宋"/>
          <w:b/>
          <w:bCs/>
          <w:sz w:val="28"/>
          <w:szCs w:val="28"/>
        </w:rPr>
        <w:t>七、技术偏离说明表</w:t>
      </w:r>
    </w:p>
    <w:tbl>
      <w:tblPr>
        <w:tblStyle w:val="1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名称</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采购要求</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投标响应</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偏离</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z w:val="24"/>
              </w:rPr>
            </w:pPr>
          </w:p>
        </w:tc>
      </w:tr>
    </w:tbl>
    <w:p>
      <w:pPr>
        <w:autoSpaceDE w:val="0"/>
        <w:autoSpaceDN w:val="0"/>
        <w:spacing w:line="360" w:lineRule="auto"/>
        <w:ind w:firstLine="5040" w:firstLineChars="2100"/>
        <w:rPr>
          <w:rFonts w:ascii="仿宋" w:hAnsi="仿宋" w:eastAsia="仿宋" w:cs="仿宋"/>
          <w:kern w:val="0"/>
          <w:sz w:val="24"/>
          <w:lang w:val="zh-CN"/>
        </w:rPr>
      </w:pPr>
    </w:p>
    <w:p>
      <w:pPr>
        <w:autoSpaceDE w:val="0"/>
        <w:autoSpaceDN w:val="0"/>
        <w:spacing w:line="360" w:lineRule="auto"/>
        <w:ind w:firstLine="5040" w:firstLineChars="2100"/>
        <w:rPr>
          <w:rFonts w:ascii="仿宋" w:hAnsi="仿宋" w:eastAsia="仿宋" w:cs="仿宋"/>
          <w:kern w:val="0"/>
          <w:sz w:val="24"/>
        </w:rPr>
      </w:pPr>
      <w:r>
        <w:rPr>
          <w:rFonts w:hint="eastAsia" w:ascii="仿宋" w:hAnsi="仿宋" w:eastAsia="仿宋" w:cs="仿宋"/>
          <w:kern w:val="0"/>
          <w:sz w:val="24"/>
          <w:lang w:val="zh-CN"/>
        </w:rPr>
        <w:t xml:space="preserve">投标人名称（电子签名）：      </w:t>
      </w:r>
    </w:p>
    <w:p>
      <w:pPr>
        <w:autoSpaceDE w:val="0"/>
        <w:autoSpaceDN w:val="0"/>
        <w:spacing w:line="360" w:lineRule="auto"/>
        <w:rPr>
          <w:rFonts w:ascii="仿宋" w:hAnsi="仿宋" w:eastAsia="仿宋" w:cs="仿宋"/>
          <w:b/>
          <w:sz w:val="24"/>
        </w:rPr>
      </w:pPr>
      <w:r>
        <w:rPr>
          <w:rFonts w:hint="eastAsia" w:ascii="仿宋" w:hAnsi="仿宋" w:eastAsia="仿宋" w:cs="仿宋"/>
          <w:kern w:val="0"/>
          <w:sz w:val="24"/>
          <w:lang w:val="zh-CN"/>
        </w:rPr>
        <w:t xml:space="preserve">                                          日期：  年  月   日                        </w:t>
      </w:r>
    </w:p>
    <w:p>
      <w:pPr>
        <w:tabs>
          <w:tab w:val="left" w:pos="2790"/>
          <w:tab w:val="left" w:pos="4230"/>
        </w:tabs>
        <w:autoSpaceDE w:val="0"/>
        <w:autoSpaceDN w:val="0"/>
        <w:spacing w:line="360" w:lineRule="auto"/>
        <w:ind w:right="1400"/>
        <w:jc w:val="center"/>
        <w:outlineLvl w:val="1"/>
        <w:rPr>
          <w:rFonts w:ascii="仿宋" w:hAnsi="仿宋" w:eastAsia="仿宋" w:cs="仿宋"/>
          <w:b/>
          <w:bCs/>
          <w:kern w:val="0"/>
          <w:sz w:val="24"/>
          <w:lang w:val="zh-CN"/>
        </w:rPr>
      </w:pPr>
      <w:r>
        <w:rPr>
          <w:rFonts w:hint="eastAsia" w:ascii="仿宋" w:hAnsi="仿宋" w:eastAsia="仿宋" w:cs="仿宋"/>
          <w:b/>
          <w:bCs/>
          <w:kern w:val="0"/>
          <w:sz w:val="24"/>
          <w:lang w:val="zh-CN"/>
        </w:rPr>
        <w:t xml:space="preserve"> </w:t>
      </w:r>
    </w:p>
    <w:p>
      <w:pPr>
        <w:tabs>
          <w:tab w:val="left" w:pos="2790"/>
          <w:tab w:val="left" w:pos="4230"/>
        </w:tabs>
        <w:autoSpaceDE w:val="0"/>
        <w:autoSpaceDN w:val="0"/>
        <w:spacing w:line="360" w:lineRule="auto"/>
        <w:ind w:right="1400"/>
        <w:jc w:val="center"/>
        <w:outlineLvl w:val="1"/>
        <w:rPr>
          <w:rFonts w:ascii="仿宋" w:hAnsi="仿宋" w:eastAsia="仿宋" w:cs="仿宋"/>
          <w:b/>
          <w:bCs/>
          <w:kern w:val="0"/>
          <w:sz w:val="28"/>
          <w:szCs w:val="28"/>
          <w:lang w:val="zh-CN"/>
        </w:rPr>
      </w:pPr>
      <w:r>
        <w:rPr>
          <w:rFonts w:hint="eastAsia" w:ascii="仿宋" w:hAnsi="仿宋" w:eastAsia="仿宋" w:cs="仿宋"/>
          <w:b/>
          <w:bCs/>
          <w:kern w:val="0"/>
          <w:sz w:val="28"/>
          <w:szCs w:val="28"/>
          <w:lang w:val="zh-CN"/>
        </w:rPr>
        <w:t>八、组织实施方案</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（由投标人根据采购需求及招标文件要求编制）</w:t>
      </w:r>
    </w:p>
    <w:p>
      <w:pPr>
        <w:tabs>
          <w:tab w:val="left" w:pos="2790"/>
          <w:tab w:val="left" w:pos="4230"/>
        </w:tabs>
        <w:autoSpaceDE w:val="0"/>
        <w:autoSpaceDN w:val="0"/>
        <w:spacing w:line="360" w:lineRule="auto"/>
        <w:ind w:right="1400"/>
        <w:outlineLvl w:val="1"/>
        <w:rPr>
          <w:rFonts w:ascii="仿宋_GB2312" w:hAnsi="仿宋" w:eastAsia="仿宋_GB2312" w:cs="仿宋_GB2312"/>
          <w:b/>
          <w:bCs/>
          <w:kern w:val="0"/>
          <w:sz w:val="24"/>
          <w:lang w:val="zh-CN"/>
        </w:rPr>
      </w:pPr>
      <w:r>
        <w:rPr>
          <w:rFonts w:hint="eastAsia" w:ascii="仿宋_GB2312" w:hAnsi="仿宋" w:eastAsia="仿宋_GB2312" w:cs="仿宋_GB2312"/>
          <w:b/>
          <w:bCs/>
          <w:kern w:val="0"/>
          <w:sz w:val="24"/>
          <w:lang w:val="zh-CN"/>
        </w:rPr>
        <w:t>附表:项目实施进度计划表</w:t>
      </w:r>
      <w:r>
        <w:rPr>
          <w:rFonts w:hint="eastAsia" w:ascii="仿宋_GB2312" w:hAnsi="仿宋" w:eastAsia="仿宋_GB2312" w:cs="仿宋_GB2312"/>
          <w:b/>
          <w:sz w:val="24"/>
        </w:rPr>
        <w:t xml:space="preserve">(以生效日算起) </w:t>
      </w:r>
    </w:p>
    <w:tbl>
      <w:tblPr>
        <w:tblStyle w:val="19"/>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vAlign w:val="center"/>
          </w:tcPr>
          <w:p>
            <w:pPr>
              <w:spacing w:line="360" w:lineRule="auto"/>
              <w:rPr>
                <w:rFonts w:ascii="仿宋_GB2312" w:hAnsi="仿宋" w:eastAsia="仿宋_GB2312" w:cs="仿宋_GB2312"/>
                <w:sz w:val="24"/>
              </w:rPr>
            </w:pPr>
            <w:r>
              <w:pict>
                <v:group id="_x0000_s1027" o:spid="_x0000_s1027" o:spt="203" style="position:absolute;left:0pt;margin-left:-5.15pt;margin-top:0pt;height:93pt;width:58.9pt;z-index:251663360;mso-width-relative:page;mso-height-relative:page;" coordsize="1178,1860203"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v:line id="__TH_L2" o:spid="_x0000_s1026" o:spt="20" style="position:absolute;left:0;top:0;height:1860;width:1178;"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path arrowok="t"/>
                    <v:fill focussize="0,0"/>
                    <v:stroke weight="0.5pt"/>
                    <v:imagedata o:title=""/>
                    <o:lock v:ext="edit"/>
                  </v:line>
                  <v:shape id="__TH_B113" o:spid="_x0000_s1030"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path/>
                    <v:fill on="f" focussize="0,0"/>
                    <v:stroke on="f" joinstyle="miter"/>
                    <v:imagedata o:title=""/>
                    <o:lock v:ext="edit"/>
                    <v:textbox inset="0mm,0mm,0mm,0mm">
                      <w:txbxContent>
                        <w:p>
                          <w:pPr>
                            <w:snapToGrid w:val="0"/>
                          </w:pPr>
                          <w:r>
                            <w:rPr>
                              <w:rFonts w:hint="eastAsia"/>
                            </w:rPr>
                            <w:t>工</w:t>
                          </w:r>
                        </w:p>
                      </w:txbxContent>
                    </v:textbox>
                  </v:shape>
                  <v:shape id="__TH_B124" o:spid="_x0000_s1029"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path/>
                    <v:fill on="f" focussize="0,0"/>
                    <v:stroke on="f" joinstyle="miter"/>
                    <v:imagedata o:title=""/>
                    <o:lock v:ext="edit"/>
                    <v:textbox inset="0mm,0mm,0mm,0mm">
                      <w:txbxContent>
                        <w:p>
                          <w:pPr>
                            <w:snapToGrid w:val="0"/>
                          </w:pPr>
                          <w:r>
                            <w:rPr>
                              <w:rFonts w:hint="eastAsia"/>
                            </w:rPr>
                            <w:t>作</w:t>
                          </w:r>
                        </w:p>
                      </w:txbxContent>
                    </v:textbox>
                  </v:shape>
                  <v:shape id="__TH_B135" o:spid="_x0000_s1028"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path/>
                    <v:fill on="f" focussize="0,0"/>
                    <v:stroke on="f" joinstyle="miter"/>
                    <v:imagedata o:title=""/>
                    <o:lock v:ext="edit"/>
                    <v:textbox inset="0mm,0mm,0mm,0mm">
                      <w:txbxContent>
                        <w:p>
                          <w:pPr>
                            <w:snapToGrid w:val="0"/>
                          </w:pPr>
                          <w:r>
                            <w:rPr>
                              <w:rFonts w:hint="eastAsia"/>
                            </w:rPr>
                            <w:t>日</w:t>
                          </w:r>
                        </w:p>
                      </w:txbxContent>
                    </v:textbox>
                  </v:shape>
                </v:group>
              </w:pict>
            </w:r>
          </w:p>
          <w:p>
            <w:pPr>
              <w:spacing w:line="360" w:lineRule="auto"/>
              <w:rPr>
                <w:rFonts w:ascii="仿宋_GB2312" w:hAnsi="仿宋" w:eastAsia="仿宋_GB2312" w:cs="仿宋_GB2312"/>
                <w:sz w:val="24"/>
              </w:rPr>
            </w:pPr>
          </w:p>
          <w:p>
            <w:pPr>
              <w:spacing w:line="360" w:lineRule="auto"/>
              <w:rPr>
                <w:rFonts w:ascii="仿宋_GB2312" w:hAnsi="仿宋" w:eastAsia="仿宋_GB2312" w:cs="仿宋_GB2312"/>
                <w:sz w:val="24"/>
              </w:rPr>
            </w:pPr>
          </w:p>
          <w:p>
            <w:pPr>
              <w:spacing w:line="360" w:lineRule="auto"/>
              <w:rPr>
                <w:rFonts w:ascii="仿宋_GB2312" w:hAnsi="仿宋" w:eastAsia="仿宋_GB2312" w:cs="仿宋_GB2312"/>
                <w:sz w:val="24"/>
              </w:rPr>
            </w:pPr>
            <w:r>
              <w:rPr>
                <w:rFonts w:hint="eastAsia" w:ascii="仿宋_GB2312" w:hAnsi="仿宋" w:eastAsia="仿宋_GB2312" w:cs="仿宋_GB2312"/>
                <w:sz w:val="24"/>
              </w:rPr>
              <w:t>内容</w:t>
            </w:r>
          </w:p>
        </w:tc>
        <w:tc>
          <w:tcPr>
            <w:tcW w:w="552"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w:t>
            </w:r>
          </w:p>
        </w:tc>
        <w:tc>
          <w:tcPr>
            <w:tcW w:w="552"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2</w:t>
            </w:r>
          </w:p>
        </w:tc>
        <w:tc>
          <w:tcPr>
            <w:tcW w:w="552"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3</w:t>
            </w:r>
          </w:p>
        </w:tc>
        <w:tc>
          <w:tcPr>
            <w:tcW w:w="552"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4</w:t>
            </w:r>
          </w:p>
        </w:tc>
        <w:tc>
          <w:tcPr>
            <w:tcW w:w="552"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5</w:t>
            </w:r>
          </w:p>
        </w:tc>
        <w:tc>
          <w:tcPr>
            <w:tcW w:w="552"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6</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7</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8</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9</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10</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11</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12</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13</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14</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15</w:t>
            </w:r>
          </w:p>
        </w:tc>
        <w:tc>
          <w:tcPr>
            <w:tcW w:w="553" w:type="dxa"/>
            <w:vAlign w:val="center"/>
          </w:tcPr>
          <w:p>
            <w:pPr>
              <w:spacing w:line="360" w:lineRule="auto"/>
              <w:rPr>
                <w:rFonts w:ascii="仿宋_GB2312" w:hAnsi="仿宋" w:eastAsia="仿宋_GB2312" w:cs="仿宋_GB2312"/>
                <w:sz w:val="24"/>
              </w:rPr>
            </w:pPr>
            <w:r>
              <w:rPr>
                <w:rFonts w:hint="eastAsia" w:ascii="仿宋_GB2312" w:hAnsi="仿宋"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2"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c>
          <w:tcPr>
            <w:tcW w:w="553" w:type="dxa"/>
          </w:tcPr>
          <w:p>
            <w:pPr>
              <w:spacing w:line="360" w:lineRule="auto"/>
              <w:rPr>
                <w:rFonts w:ascii="仿宋_GB2312" w:hAnsi="仿宋" w:eastAsia="仿宋_GB2312" w:cs="仿宋_GB2312"/>
                <w:sz w:val="24"/>
              </w:rPr>
            </w:pPr>
          </w:p>
        </w:tc>
      </w:tr>
    </w:tbl>
    <w:p>
      <w:pPr>
        <w:tabs>
          <w:tab w:val="left" w:pos="2790"/>
          <w:tab w:val="left" w:pos="4230"/>
        </w:tabs>
        <w:autoSpaceDE w:val="0"/>
        <w:autoSpaceDN w:val="0"/>
        <w:spacing w:line="360" w:lineRule="auto"/>
        <w:ind w:right="1400"/>
        <w:outlineLvl w:val="1"/>
        <w:rPr>
          <w:rFonts w:ascii="仿宋" w:hAnsi="仿宋" w:eastAsia="仿宋" w:cs="仿宋"/>
          <w:b/>
          <w:bCs/>
          <w:kern w:val="0"/>
          <w:sz w:val="24"/>
          <w:lang w:val="zh-CN"/>
        </w:rPr>
      </w:pPr>
      <w:r>
        <w:rPr>
          <w:rFonts w:hint="eastAsia" w:ascii="仿宋_GB2312" w:hAnsi="仿宋" w:eastAsia="仿宋_GB2312" w:cs="仿宋_GB2312"/>
          <w:b/>
          <w:sz w:val="24"/>
        </w:rPr>
        <w:t>注：投标人可按上述时间表的格式自行编制切合实际的具体时间表。</w:t>
      </w:r>
    </w:p>
    <w:p>
      <w:pPr>
        <w:autoSpaceDE w:val="0"/>
        <w:autoSpaceDN w:val="0"/>
        <w:spacing w:line="360" w:lineRule="auto"/>
        <w:ind w:firstLine="4440" w:firstLineChars="1850"/>
        <w:rPr>
          <w:rFonts w:ascii="仿宋" w:hAnsi="仿宋" w:eastAsia="仿宋" w:cs="仿宋"/>
          <w:kern w:val="0"/>
          <w:sz w:val="24"/>
        </w:rPr>
      </w:pPr>
      <w:r>
        <w:rPr>
          <w:rFonts w:hint="eastAsia" w:ascii="仿宋" w:hAnsi="仿宋" w:eastAsia="仿宋" w:cs="仿宋"/>
          <w:kern w:val="0"/>
          <w:sz w:val="24"/>
        </w:rPr>
        <w:t>投标人名称（</w:t>
      </w:r>
      <w:r>
        <w:rPr>
          <w:rFonts w:hint="eastAsia" w:ascii="仿宋" w:hAnsi="仿宋" w:eastAsia="仿宋" w:cs="仿宋"/>
          <w:kern w:val="0"/>
          <w:sz w:val="24"/>
          <w:lang w:val="zh-CN"/>
        </w:rPr>
        <w:t>电子签名</w:t>
      </w:r>
      <w:r>
        <w:rPr>
          <w:rFonts w:hint="eastAsia" w:ascii="仿宋" w:hAnsi="仿宋" w:eastAsia="仿宋" w:cs="仿宋"/>
          <w:kern w:val="0"/>
          <w:sz w:val="24"/>
        </w:rPr>
        <w:t>）：</w:t>
      </w:r>
    </w:p>
    <w:p>
      <w:pPr>
        <w:autoSpaceDE w:val="0"/>
        <w:autoSpaceDN w:val="0"/>
        <w:spacing w:line="360" w:lineRule="auto"/>
        <w:rPr>
          <w:rFonts w:ascii="仿宋" w:hAnsi="仿宋" w:eastAsia="仿宋" w:cs="仿宋"/>
          <w:b/>
          <w:bCs/>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日期：  年  月   日</w:t>
      </w: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pPr>
    </w:p>
    <w:p>
      <w:pPr>
        <w:spacing w:line="360" w:lineRule="auto"/>
        <w:jc w:val="center"/>
        <w:rPr>
          <w:rFonts w:ascii="仿宋_GB2312" w:hAnsi="仿宋" w:eastAsia="仿宋_GB2312" w:cs="仿宋_GB2312"/>
          <w:b/>
          <w:bCs/>
          <w:sz w:val="28"/>
          <w:szCs w:val="28"/>
        </w:rPr>
      </w:pPr>
      <w:r>
        <w:rPr>
          <w:rFonts w:hint="eastAsia" w:ascii="仿宋_GB2312" w:hAnsi="仿宋" w:eastAsia="仿宋_GB2312" w:cs="仿宋_GB2312"/>
          <w:b/>
          <w:bCs/>
          <w:sz w:val="28"/>
          <w:szCs w:val="28"/>
        </w:rPr>
        <w:t>九、售后服务方案</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（由投标人根据采购需求及招标文件要求编制）</w:t>
      </w:r>
    </w:p>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附表A:售后服务机构情况表</w:t>
      </w:r>
      <w:r>
        <w:rPr>
          <w:rFonts w:hint="eastAsia" w:ascii="仿宋_GB2312" w:hAnsi="仿宋" w:eastAsia="仿宋_GB2312" w:cs="仿宋_GB2312"/>
          <w:sz w:val="24"/>
        </w:rPr>
        <w:t>（按此格式自制）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2340"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机构名称</w:t>
            </w:r>
          </w:p>
        </w:tc>
        <w:tc>
          <w:tcPr>
            <w:tcW w:w="1095"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机构性质</w:t>
            </w:r>
          </w:p>
        </w:tc>
        <w:tc>
          <w:tcPr>
            <w:tcW w:w="1245"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注册地址</w:t>
            </w:r>
          </w:p>
        </w:tc>
        <w:tc>
          <w:tcPr>
            <w:tcW w:w="1980"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服务技术人员数量</w:t>
            </w:r>
          </w:p>
        </w:tc>
        <w:tc>
          <w:tcPr>
            <w:tcW w:w="1260" w:type="dxa"/>
          </w:tcPr>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_GB2312" w:hAnsi="仿宋" w:eastAsia="仿宋_GB2312" w:cs="仿宋_GB2312"/>
                <w:sz w:val="24"/>
              </w:rPr>
            </w:pPr>
          </w:p>
        </w:tc>
        <w:tc>
          <w:tcPr>
            <w:tcW w:w="2340" w:type="dxa"/>
          </w:tcPr>
          <w:p>
            <w:pPr>
              <w:autoSpaceDE w:val="0"/>
              <w:autoSpaceDN w:val="0"/>
              <w:spacing w:line="360" w:lineRule="auto"/>
              <w:jc w:val="center"/>
              <w:rPr>
                <w:rFonts w:ascii="仿宋_GB2312" w:hAnsi="仿宋" w:eastAsia="仿宋_GB2312" w:cs="仿宋_GB2312"/>
                <w:sz w:val="24"/>
              </w:rPr>
            </w:pPr>
          </w:p>
        </w:tc>
        <w:tc>
          <w:tcPr>
            <w:tcW w:w="1095" w:type="dxa"/>
          </w:tcPr>
          <w:p>
            <w:pPr>
              <w:autoSpaceDE w:val="0"/>
              <w:autoSpaceDN w:val="0"/>
              <w:spacing w:line="360" w:lineRule="auto"/>
              <w:jc w:val="center"/>
              <w:rPr>
                <w:rFonts w:ascii="仿宋_GB2312" w:hAnsi="仿宋" w:eastAsia="仿宋_GB2312" w:cs="仿宋_GB2312"/>
                <w:sz w:val="24"/>
              </w:rPr>
            </w:pPr>
          </w:p>
        </w:tc>
        <w:tc>
          <w:tcPr>
            <w:tcW w:w="1245" w:type="dxa"/>
          </w:tcPr>
          <w:p>
            <w:pPr>
              <w:autoSpaceDE w:val="0"/>
              <w:autoSpaceDN w:val="0"/>
              <w:spacing w:line="360" w:lineRule="auto"/>
              <w:jc w:val="center"/>
              <w:rPr>
                <w:rFonts w:ascii="仿宋_GB2312" w:hAnsi="仿宋" w:eastAsia="仿宋_GB2312" w:cs="仿宋_GB2312"/>
                <w:sz w:val="24"/>
              </w:rPr>
            </w:pPr>
          </w:p>
        </w:tc>
        <w:tc>
          <w:tcPr>
            <w:tcW w:w="1980" w:type="dxa"/>
          </w:tcPr>
          <w:p>
            <w:pPr>
              <w:autoSpaceDE w:val="0"/>
              <w:autoSpaceDN w:val="0"/>
              <w:spacing w:line="360" w:lineRule="auto"/>
              <w:jc w:val="center"/>
              <w:rPr>
                <w:rFonts w:ascii="仿宋_GB2312" w:hAnsi="仿宋" w:eastAsia="仿宋_GB2312" w:cs="仿宋_GB2312"/>
                <w:sz w:val="24"/>
              </w:rPr>
            </w:pPr>
          </w:p>
        </w:tc>
        <w:tc>
          <w:tcPr>
            <w:tcW w:w="1260" w:type="dxa"/>
          </w:tcPr>
          <w:p>
            <w:pPr>
              <w:autoSpaceDE w:val="0"/>
              <w:autoSpaceDN w:val="0"/>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autoSpaceDE w:val="0"/>
              <w:autoSpaceDN w:val="0"/>
              <w:spacing w:line="360" w:lineRule="auto"/>
              <w:jc w:val="center"/>
              <w:rPr>
                <w:rFonts w:ascii="仿宋_GB2312" w:hAnsi="仿宋" w:eastAsia="仿宋_GB2312" w:cs="仿宋_GB2312"/>
                <w:sz w:val="24"/>
              </w:rPr>
            </w:pPr>
          </w:p>
        </w:tc>
        <w:tc>
          <w:tcPr>
            <w:tcW w:w="2340" w:type="dxa"/>
          </w:tcPr>
          <w:p>
            <w:pPr>
              <w:autoSpaceDE w:val="0"/>
              <w:autoSpaceDN w:val="0"/>
              <w:spacing w:line="360" w:lineRule="auto"/>
              <w:jc w:val="center"/>
              <w:rPr>
                <w:rFonts w:ascii="仿宋_GB2312" w:hAnsi="仿宋" w:eastAsia="仿宋_GB2312" w:cs="仿宋_GB2312"/>
                <w:sz w:val="24"/>
              </w:rPr>
            </w:pPr>
          </w:p>
        </w:tc>
        <w:tc>
          <w:tcPr>
            <w:tcW w:w="1095" w:type="dxa"/>
          </w:tcPr>
          <w:p>
            <w:pPr>
              <w:autoSpaceDE w:val="0"/>
              <w:autoSpaceDN w:val="0"/>
              <w:spacing w:line="360" w:lineRule="auto"/>
              <w:jc w:val="center"/>
              <w:rPr>
                <w:rFonts w:ascii="仿宋_GB2312" w:hAnsi="仿宋" w:eastAsia="仿宋_GB2312" w:cs="仿宋_GB2312"/>
                <w:sz w:val="24"/>
              </w:rPr>
            </w:pPr>
          </w:p>
        </w:tc>
        <w:tc>
          <w:tcPr>
            <w:tcW w:w="1245" w:type="dxa"/>
          </w:tcPr>
          <w:p>
            <w:pPr>
              <w:autoSpaceDE w:val="0"/>
              <w:autoSpaceDN w:val="0"/>
              <w:spacing w:line="360" w:lineRule="auto"/>
              <w:jc w:val="center"/>
              <w:rPr>
                <w:rFonts w:ascii="仿宋_GB2312" w:hAnsi="仿宋" w:eastAsia="仿宋_GB2312" w:cs="仿宋_GB2312"/>
                <w:sz w:val="24"/>
              </w:rPr>
            </w:pPr>
          </w:p>
        </w:tc>
        <w:tc>
          <w:tcPr>
            <w:tcW w:w="1980" w:type="dxa"/>
          </w:tcPr>
          <w:p>
            <w:pPr>
              <w:autoSpaceDE w:val="0"/>
              <w:autoSpaceDN w:val="0"/>
              <w:spacing w:line="360" w:lineRule="auto"/>
              <w:jc w:val="center"/>
              <w:rPr>
                <w:rFonts w:ascii="仿宋_GB2312" w:hAnsi="仿宋" w:eastAsia="仿宋_GB2312" w:cs="仿宋_GB2312"/>
                <w:sz w:val="24"/>
              </w:rPr>
            </w:pPr>
          </w:p>
        </w:tc>
        <w:tc>
          <w:tcPr>
            <w:tcW w:w="1260" w:type="dxa"/>
          </w:tcPr>
          <w:p>
            <w:pPr>
              <w:autoSpaceDE w:val="0"/>
              <w:autoSpaceDN w:val="0"/>
              <w:spacing w:line="360" w:lineRule="auto"/>
              <w:jc w:val="center"/>
              <w:rPr>
                <w:rFonts w:ascii="仿宋_GB2312" w:hAnsi="仿宋"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autoSpaceDE w:val="0"/>
              <w:autoSpaceDN w:val="0"/>
              <w:spacing w:line="360" w:lineRule="auto"/>
              <w:jc w:val="center"/>
              <w:rPr>
                <w:rFonts w:ascii="仿宋_GB2312" w:hAnsi="仿宋" w:eastAsia="仿宋_GB2312" w:cs="仿宋_GB2312"/>
                <w:sz w:val="24"/>
              </w:rPr>
            </w:pPr>
          </w:p>
        </w:tc>
        <w:tc>
          <w:tcPr>
            <w:tcW w:w="2340" w:type="dxa"/>
          </w:tcPr>
          <w:p>
            <w:pPr>
              <w:autoSpaceDE w:val="0"/>
              <w:autoSpaceDN w:val="0"/>
              <w:spacing w:line="360" w:lineRule="auto"/>
              <w:jc w:val="center"/>
              <w:rPr>
                <w:rFonts w:ascii="仿宋_GB2312" w:hAnsi="仿宋" w:eastAsia="仿宋_GB2312" w:cs="仿宋_GB2312"/>
                <w:sz w:val="24"/>
              </w:rPr>
            </w:pPr>
          </w:p>
        </w:tc>
        <w:tc>
          <w:tcPr>
            <w:tcW w:w="1095" w:type="dxa"/>
          </w:tcPr>
          <w:p>
            <w:pPr>
              <w:autoSpaceDE w:val="0"/>
              <w:autoSpaceDN w:val="0"/>
              <w:spacing w:line="360" w:lineRule="auto"/>
              <w:jc w:val="center"/>
              <w:rPr>
                <w:rFonts w:ascii="仿宋_GB2312" w:hAnsi="仿宋" w:eastAsia="仿宋_GB2312" w:cs="仿宋_GB2312"/>
                <w:sz w:val="24"/>
              </w:rPr>
            </w:pPr>
          </w:p>
        </w:tc>
        <w:tc>
          <w:tcPr>
            <w:tcW w:w="1245" w:type="dxa"/>
          </w:tcPr>
          <w:p>
            <w:pPr>
              <w:autoSpaceDE w:val="0"/>
              <w:autoSpaceDN w:val="0"/>
              <w:spacing w:line="360" w:lineRule="auto"/>
              <w:jc w:val="center"/>
              <w:rPr>
                <w:rFonts w:ascii="仿宋_GB2312" w:hAnsi="仿宋" w:eastAsia="仿宋_GB2312" w:cs="仿宋_GB2312"/>
                <w:sz w:val="24"/>
              </w:rPr>
            </w:pPr>
          </w:p>
        </w:tc>
        <w:tc>
          <w:tcPr>
            <w:tcW w:w="1980" w:type="dxa"/>
          </w:tcPr>
          <w:p>
            <w:pPr>
              <w:autoSpaceDE w:val="0"/>
              <w:autoSpaceDN w:val="0"/>
              <w:spacing w:line="360" w:lineRule="auto"/>
              <w:jc w:val="center"/>
              <w:rPr>
                <w:rFonts w:ascii="仿宋_GB2312" w:hAnsi="仿宋" w:eastAsia="仿宋_GB2312" w:cs="仿宋_GB2312"/>
                <w:sz w:val="24"/>
              </w:rPr>
            </w:pPr>
          </w:p>
        </w:tc>
        <w:tc>
          <w:tcPr>
            <w:tcW w:w="1260" w:type="dxa"/>
          </w:tcPr>
          <w:p>
            <w:pPr>
              <w:autoSpaceDE w:val="0"/>
              <w:autoSpaceDN w:val="0"/>
              <w:spacing w:line="360" w:lineRule="auto"/>
              <w:jc w:val="center"/>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注：关于项目涉及的所有售后服务机构均在本表注明，包括投标人本单位和符合条件的第三方服务机构；</w:t>
      </w:r>
    </w:p>
    <w:p>
      <w:pPr>
        <w:autoSpaceDE w:val="0"/>
        <w:autoSpaceDN w:val="0"/>
        <w:spacing w:line="360" w:lineRule="auto"/>
        <w:rPr>
          <w:rFonts w:ascii="仿宋_GB2312" w:hAnsi="仿宋" w:eastAsia="仿宋_GB2312" w:cs="仿宋_GB2312"/>
          <w:kern w:val="0"/>
          <w:sz w:val="24"/>
        </w:rPr>
      </w:pP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b/>
          <w:kern w:val="0"/>
          <w:sz w:val="24"/>
        </w:rPr>
        <w:t>附表B：售后服务人员情况表</w:t>
      </w:r>
      <w:r>
        <w:rPr>
          <w:rFonts w:hint="eastAsia" w:ascii="仿宋_GB2312" w:hAnsi="仿宋" w:eastAsia="仿宋_GB2312" w:cs="仿宋_GB2312"/>
          <w:sz w:val="24"/>
        </w:rPr>
        <w:t>（按此格式自制）</w:t>
      </w:r>
    </w:p>
    <w:tbl>
      <w:tblPr>
        <w:tblStyle w:val="19"/>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序号</w:t>
            </w:r>
          </w:p>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kern w:val="0"/>
          <w:sz w:val="24"/>
        </w:rPr>
      </w:pP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b/>
          <w:bCs/>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autoSpaceDE w:val="0"/>
        <w:autoSpaceDN w:val="0"/>
        <w:spacing w:line="360" w:lineRule="auto"/>
        <w:jc w:val="center"/>
        <w:rPr>
          <w:rFonts w:ascii="仿宋_GB2312" w:hAnsi="仿宋" w:eastAsia="仿宋_GB2312" w:cs="仿宋_GB2312"/>
          <w:b/>
          <w:bCs/>
          <w:sz w:val="28"/>
          <w:szCs w:val="28"/>
        </w:rPr>
      </w:pPr>
      <w:r>
        <w:rPr>
          <w:rFonts w:hint="eastAsia" w:ascii="仿宋" w:hAnsi="仿宋" w:eastAsia="仿宋" w:cs="仿宋"/>
          <w:sz w:val="24"/>
        </w:rPr>
        <w:br w:type="page"/>
      </w:r>
      <w:r>
        <w:rPr>
          <w:rFonts w:hint="eastAsia" w:ascii="仿宋_GB2312" w:hAnsi="仿宋" w:eastAsia="仿宋_GB2312" w:cs="仿宋_GB2312"/>
          <w:b/>
          <w:bCs/>
          <w:sz w:val="28"/>
          <w:szCs w:val="28"/>
        </w:rPr>
        <w:t>十、项目小组人员名单</w:t>
      </w:r>
    </w:p>
    <w:p>
      <w:pPr>
        <w:spacing w:line="360" w:lineRule="auto"/>
        <w:jc w:val="center"/>
        <w:rPr>
          <w:rFonts w:ascii="仿宋_GB2312" w:hAnsi="仿宋" w:eastAsia="仿宋_GB2312" w:cs="仿宋_GB2312"/>
          <w:b/>
          <w:bCs/>
          <w:sz w:val="24"/>
        </w:rPr>
      </w:pPr>
      <w:r>
        <w:rPr>
          <w:rFonts w:hint="eastAsia" w:ascii="仿宋_GB2312" w:hAnsi="仿宋" w:eastAsia="仿宋_GB2312" w:cs="仿宋_GB2312"/>
          <w:sz w:val="24"/>
        </w:rPr>
        <w:t>（由投标人根据采购需求及招标文件要求编制）</w:t>
      </w:r>
    </w:p>
    <w:p>
      <w:pPr>
        <w:keepNext/>
        <w:autoSpaceDE w:val="0"/>
        <w:autoSpaceDN w:val="0"/>
        <w:spacing w:line="360" w:lineRule="auto"/>
        <w:ind w:firstLine="477"/>
        <w:rPr>
          <w:rFonts w:ascii="仿宋_GB2312" w:hAnsi="仿宋" w:eastAsia="仿宋_GB2312" w:cs="仿宋_GB2312"/>
          <w:b/>
          <w:sz w:val="24"/>
        </w:rPr>
      </w:pPr>
      <w:r>
        <w:rPr>
          <w:rFonts w:hint="eastAsia" w:ascii="仿宋_GB2312" w:hAnsi="仿宋" w:eastAsia="仿宋_GB2312" w:cs="仿宋_GB2312"/>
          <w:b/>
          <w:sz w:val="24"/>
        </w:rPr>
        <w:t>附表A:本项目的项目经理情况表</w:t>
      </w:r>
    </w:p>
    <w:tbl>
      <w:tblPr>
        <w:tblStyle w:val="19"/>
        <w:tblW w:w="0" w:type="auto"/>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sz w:val="24"/>
              </w:rPr>
              <w:t>投标截止时间前三年业绩及承担的主要工作情况，曾担任项目经理的项目应列明细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_GB2312" w:hAnsi="仿宋" w:eastAsia="仿宋_GB2312"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p>
        </w:tc>
      </w:tr>
    </w:tbl>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注：须随表提交相应的证书复印件并注明所在投标技术文件页码。</w:t>
      </w:r>
    </w:p>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附表B:本项目的项目小组人员情况表</w:t>
      </w:r>
      <w:r>
        <w:rPr>
          <w:rFonts w:hint="eastAsia" w:ascii="仿宋_GB2312" w:hAnsi="仿宋" w:eastAsia="仿宋_GB2312" w:cs="仿宋_GB2312"/>
          <w:sz w:val="24"/>
        </w:rPr>
        <w:t>（按此格式自制）</w:t>
      </w:r>
    </w:p>
    <w:tbl>
      <w:tblPr>
        <w:tblStyle w:val="19"/>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学历</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专业</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职称</w:t>
            </w:r>
          </w:p>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_GB2312" w:hAnsi="仿宋" w:eastAsia="仿宋_GB2312" w:cs="仿宋_GB2312"/>
                <w:sz w:val="24"/>
              </w:rPr>
            </w:pPr>
          </w:p>
        </w:tc>
      </w:tr>
    </w:tbl>
    <w:p>
      <w:pPr>
        <w:spacing w:line="360" w:lineRule="auto"/>
        <w:rPr>
          <w:rFonts w:ascii="仿宋_GB2312" w:hAnsi="仿宋" w:eastAsia="仿宋_GB2312" w:cs="仿宋_GB2312"/>
          <w:b/>
          <w:bCs/>
          <w:sz w:val="24"/>
        </w:rPr>
      </w:pPr>
      <w:r>
        <w:rPr>
          <w:rFonts w:hint="eastAsia" w:ascii="仿宋_GB2312" w:hAnsi="仿宋" w:eastAsia="仿宋_GB2312" w:cs="仿宋_GB2312"/>
          <w:b/>
          <w:sz w:val="24"/>
        </w:rPr>
        <w:t>注：投标人可按上述的格式自行编制，须随表提交相应的证书复印件并注明所在投标技术文件页码。</w:t>
      </w:r>
    </w:p>
    <w:p>
      <w:pPr>
        <w:spacing w:line="360" w:lineRule="auto"/>
        <w:rPr>
          <w:rFonts w:ascii="仿宋_GB2312" w:hAnsi="仿宋" w:eastAsia="仿宋_GB2312" w:cs="仿宋_GB2312"/>
          <w:b/>
          <w:bCs/>
          <w:sz w:val="24"/>
        </w:rPr>
      </w:pPr>
      <w:r>
        <w:rPr>
          <w:rFonts w:hint="eastAsia" w:ascii="仿宋_GB2312" w:hAnsi="仿宋" w:eastAsia="仿宋_GB2312" w:cs="仿宋_GB2312"/>
          <w:b/>
          <w:sz w:val="24"/>
        </w:rPr>
        <w:t>附表C:本项目的项目经理和小组人员近3个月交纳社保记录情况表</w:t>
      </w:r>
      <w:r>
        <w:rPr>
          <w:rFonts w:hint="eastAsia" w:ascii="仿宋_GB2312" w:hAnsi="仿宋" w:eastAsia="仿宋_GB2312" w:cs="仿宋_GB2312"/>
          <w:sz w:val="24"/>
        </w:rPr>
        <w:t>（以社保局缴纳凭证作附件）</w:t>
      </w: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pacing w:line="360" w:lineRule="auto"/>
        <w:jc w:val="center"/>
        <w:rPr>
          <w:rFonts w:ascii="仿宋" w:hAnsi="仿宋" w:eastAsia="仿宋" w:cs="仿宋"/>
          <w:b/>
          <w:bCs/>
          <w:sz w:val="24"/>
        </w:rPr>
      </w:pPr>
    </w:p>
    <w:p>
      <w:pPr>
        <w:spacing w:line="360" w:lineRule="auto"/>
        <w:rPr>
          <w:rFonts w:ascii="仿宋" w:hAnsi="仿宋" w:eastAsia="仿宋" w:cs="仿宋"/>
          <w:b/>
          <w:bCs/>
          <w:sz w:val="24"/>
        </w:rPr>
      </w:pPr>
    </w:p>
    <w:p>
      <w:pPr>
        <w:pStyle w:val="26"/>
        <w:rPr>
          <w:rFonts w:ascii="仿宋" w:hAnsi="仿宋" w:eastAsia="仿宋" w:cs="仿宋"/>
          <w:b/>
          <w:bCs/>
          <w:sz w:val="24"/>
        </w:rPr>
      </w:pPr>
    </w:p>
    <w:p>
      <w:pPr>
        <w:spacing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bCs/>
          <w:sz w:val="28"/>
          <w:szCs w:val="28"/>
        </w:rPr>
        <w:t>十一、</w:t>
      </w:r>
      <w:r>
        <w:rPr>
          <w:rFonts w:hint="eastAsia" w:ascii="仿宋_GB2312" w:hAnsi="仿宋" w:eastAsia="仿宋_GB2312" w:cs="仿宋_GB2312"/>
          <w:b/>
          <w:kern w:val="0"/>
          <w:sz w:val="28"/>
          <w:szCs w:val="28"/>
          <w:lang w:val="zh-CN"/>
        </w:rPr>
        <w:t>优惠条件及特殊承诺</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jc w:val="center"/>
        <w:rPr>
          <w:rFonts w:ascii="仿宋_GB2312" w:hAnsi="仿宋" w:eastAsia="仿宋_GB2312" w:cs="仿宋_GB2312"/>
          <w:sz w:val="18"/>
          <w:szCs w:val="18"/>
        </w:rPr>
      </w:pP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b/>
          <w:bCs/>
          <w:sz w:val="18"/>
          <w:szCs w:val="18"/>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pacing w:line="360" w:lineRule="auto"/>
        <w:jc w:val="center"/>
        <w:rPr>
          <w:rFonts w:ascii="仿宋_GB2312" w:hAnsi="仿宋" w:eastAsia="仿宋_GB2312" w:cs="仿宋_GB2312"/>
          <w:b/>
          <w:kern w:val="0"/>
          <w:sz w:val="28"/>
          <w:szCs w:val="28"/>
          <w:lang w:val="zh-CN"/>
        </w:rPr>
      </w:pPr>
      <w:r>
        <w:rPr>
          <w:rFonts w:hint="eastAsia" w:ascii="仿宋_GB2312" w:hAnsi="仿宋" w:eastAsia="仿宋_GB2312" w:cs="仿宋_GB2312"/>
          <w:b/>
          <w:bCs/>
          <w:sz w:val="28"/>
          <w:szCs w:val="28"/>
        </w:rPr>
        <w:t>十二、</w:t>
      </w:r>
      <w:r>
        <w:rPr>
          <w:rFonts w:hint="eastAsia" w:ascii="仿宋_GB2312" w:hAnsi="仿宋" w:eastAsia="仿宋_GB2312" w:cs="仿宋_GB2312"/>
          <w:b/>
          <w:kern w:val="0"/>
          <w:sz w:val="28"/>
          <w:szCs w:val="28"/>
          <w:lang w:val="zh-CN"/>
        </w:rPr>
        <w:t>备品备件及供选择的配套零部件清单</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autoSpaceDE w:val="0"/>
        <w:autoSpaceDN w:val="0"/>
        <w:spacing w:line="360" w:lineRule="auto"/>
        <w:ind w:firstLine="4440" w:firstLineChars="1850"/>
        <w:rPr>
          <w:rFonts w:ascii="仿宋_GB2312" w:hAnsi="仿宋" w:eastAsia="仿宋_GB2312" w:cs="仿宋_GB2312"/>
          <w:kern w:val="0"/>
          <w:sz w:val="24"/>
        </w:rPr>
      </w:pPr>
    </w:p>
    <w:p>
      <w:pPr>
        <w:autoSpaceDE w:val="0"/>
        <w:autoSpaceDN w:val="0"/>
        <w:spacing w:line="360" w:lineRule="auto"/>
        <w:ind w:firstLine="4440" w:firstLineChars="1850"/>
        <w:rPr>
          <w:rFonts w:ascii="仿宋_GB2312" w:hAnsi="仿宋" w:eastAsia="仿宋_GB2312" w:cs="仿宋_GB2312"/>
          <w:kern w:val="0"/>
          <w:sz w:val="24"/>
        </w:rPr>
      </w:pPr>
      <w:r>
        <w:rPr>
          <w:rFonts w:hint="eastAsia" w:ascii="仿宋_GB2312" w:hAnsi="仿宋" w:eastAsia="仿宋_GB2312" w:cs="仿宋_GB2312"/>
          <w:kern w:val="0"/>
          <w:sz w:val="24"/>
        </w:rPr>
        <w:t>投标人名称（电子签名）：</w:t>
      </w:r>
    </w:p>
    <w:p>
      <w:pPr>
        <w:autoSpaceDE w:val="0"/>
        <w:autoSpaceDN w:val="0"/>
        <w:spacing w:line="360" w:lineRule="auto"/>
        <w:rPr>
          <w:rFonts w:ascii="仿宋_GB2312" w:hAnsi="仿宋" w:eastAsia="仿宋_GB2312" w:cs="仿宋_GB2312"/>
          <w:b/>
          <w:bCs/>
          <w:sz w:val="18"/>
          <w:szCs w:val="18"/>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pacing w:line="360" w:lineRule="auto"/>
        <w:jc w:val="center"/>
        <w:rPr>
          <w:rFonts w:ascii="仿宋_GB2312" w:hAnsi="仿宋" w:eastAsia="仿宋_GB2312" w:cs="仿宋_GB2312"/>
          <w:b/>
          <w:kern w:val="0"/>
          <w:sz w:val="28"/>
          <w:szCs w:val="28"/>
          <w:lang w:val="zh-CN"/>
        </w:rPr>
      </w:pPr>
      <w:r>
        <w:rPr>
          <w:rFonts w:hint="eastAsia" w:ascii="仿宋_GB2312" w:hAnsi="仿宋" w:eastAsia="仿宋_GB2312" w:cs="仿宋_GB2312"/>
          <w:b/>
          <w:bCs/>
          <w:sz w:val="28"/>
          <w:szCs w:val="28"/>
        </w:rPr>
        <w:t>十三、</w:t>
      </w:r>
      <w:r>
        <w:rPr>
          <w:rFonts w:hint="eastAsia" w:ascii="仿宋_GB2312" w:hAnsi="仿宋" w:eastAsia="仿宋_GB2312" w:cs="仿宋_GB2312"/>
          <w:b/>
          <w:kern w:val="0"/>
          <w:sz w:val="28"/>
          <w:szCs w:val="28"/>
          <w:lang w:val="zh-CN"/>
        </w:rPr>
        <w:t>培训计划</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keepNext/>
        <w:autoSpaceDE w:val="0"/>
        <w:autoSpaceDN w:val="0"/>
        <w:spacing w:line="360" w:lineRule="auto"/>
        <w:ind w:firstLine="477"/>
        <w:jc w:val="left"/>
        <w:rPr>
          <w:rFonts w:ascii="仿宋_GB2312" w:hAnsi="仿宋" w:eastAsia="仿宋_GB2312" w:cs="仿宋_GB2312"/>
          <w:b/>
          <w:sz w:val="24"/>
        </w:rPr>
      </w:pPr>
      <w:r>
        <w:rPr>
          <w:rFonts w:hint="eastAsia" w:ascii="仿宋_GB2312" w:hAnsi="仿宋" w:eastAsia="仿宋_GB2312" w:cs="仿宋_GB2312"/>
          <w:b/>
          <w:sz w:val="24"/>
        </w:rPr>
        <w:t>附表: 培训日程及费用</w:t>
      </w:r>
    </w:p>
    <w:tbl>
      <w:tblPr>
        <w:tblStyle w:val="19"/>
        <w:tblW w:w="0" w:type="auto"/>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pPr>
              <w:tabs>
                <w:tab w:val="center" w:pos="1690"/>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pPr>
              <w:tabs>
                <w:tab w:val="center" w:pos="595"/>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提供的资料</w:t>
            </w:r>
          </w:p>
        </w:tc>
        <w:tc>
          <w:tcPr>
            <w:tcW w:w="930"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持续时间</w:t>
            </w:r>
          </w:p>
        </w:tc>
        <w:tc>
          <w:tcPr>
            <w:tcW w:w="953" w:type="dxa"/>
            <w:tcBorders>
              <w:top w:val="single" w:color="auto" w:sz="6" w:space="0"/>
              <w:left w:val="single" w:color="auto" w:sz="6" w:space="0"/>
              <w:bottom w:val="nil"/>
              <w:right w:val="nil"/>
            </w:tcBorders>
            <w:shd w:val="pct10" w:color="auto" w:fill="auto"/>
            <w:vAlign w:val="center"/>
          </w:tcPr>
          <w:p>
            <w:pPr>
              <w:tabs>
                <w:tab w:val="center" w:pos="1028"/>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授课教师</w:t>
            </w:r>
          </w:p>
        </w:tc>
        <w:tc>
          <w:tcPr>
            <w:tcW w:w="997" w:type="dxa"/>
            <w:tcBorders>
              <w:top w:val="single" w:color="auto" w:sz="6" w:space="0"/>
              <w:left w:val="single" w:color="auto" w:sz="6" w:space="0"/>
              <w:bottom w:val="nil"/>
              <w:right w:val="nil"/>
            </w:tcBorders>
            <w:shd w:val="pct10" w:color="auto" w:fill="auto"/>
            <w:vAlign w:val="center"/>
          </w:tcPr>
          <w:p>
            <w:pPr>
              <w:tabs>
                <w:tab w:val="center" w:pos="595"/>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培训对象</w:t>
            </w:r>
          </w:p>
        </w:tc>
        <w:tc>
          <w:tcPr>
            <w:tcW w:w="1440" w:type="dxa"/>
            <w:tcBorders>
              <w:top w:val="single" w:color="auto" w:sz="6" w:space="0"/>
              <w:left w:val="single" w:color="auto" w:sz="6" w:space="0"/>
              <w:bottom w:val="nil"/>
              <w:right w:val="nil"/>
            </w:tcBorders>
            <w:shd w:val="pct10" w:color="auto" w:fill="auto"/>
            <w:vAlign w:val="center"/>
          </w:tcPr>
          <w:p>
            <w:pPr>
              <w:tabs>
                <w:tab w:val="center" w:pos="520"/>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pPr>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课程费用</w:t>
            </w:r>
          </w:p>
        </w:tc>
      </w:tr>
      <w:tr>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 w:eastAsia="仿宋_GB2312" w:cs="仿宋_GB2312"/>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 w:eastAsia="仿宋_GB2312" w:cs="仿宋_GB2312"/>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ascii="仿宋_GB2312" w:hAnsi="仿宋" w:eastAsia="仿宋_GB2312" w:cs="仿宋_GB2312"/>
                <w:sz w:val="24"/>
              </w:rPr>
            </w:pPr>
          </w:p>
        </w:tc>
        <w:tc>
          <w:tcPr>
            <w:tcW w:w="1440"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 w:eastAsia="仿宋_GB2312" w:cs="仿宋_GB2312"/>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ascii="仿宋_GB2312" w:hAnsi="仿宋" w:eastAsia="仿宋_GB2312" w:cs="仿宋_GB2312"/>
                <w:sz w:val="24"/>
              </w:rPr>
            </w:pPr>
          </w:p>
        </w:tc>
      </w:tr>
      <w:tr>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tcPr>
          <w:p>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 w:eastAsia="仿宋_GB2312" w:cs="仿宋_GB2312"/>
                <w:sz w:val="24"/>
              </w:rPr>
            </w:pPr>
          </w:p>
        </w:tc>
        <w:tc>
          <w:tcPr>
            <w:tcW w:w="1254" w:type="dxa"/>
            <w:tcBorders>
              <w:top w:val="single" w:color="auto" w:sz="6" w:space="0"/>
              <w:left w:val="single" w:color="auto" w:sz="6" w:space="0"/>
              <w:bottom w:val="nil"/>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30" w:type="dxa"/>
            <w:tcBorders>
              <w:top w:val="single" w:color="auto" w:sz="6" w:space="0"/>
              <w:left w:val="single" w:color="auto" w:sz="6" w:space="0"/>
              <w:bottom w:val="nil"/>
              <w:right w:val="nil"/>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53" w:type="dxa"/>
            <w:tcBorders>
              <w:top w:val="single" w:color="auto" w:sz="6" w:space="0"/>
              <w:left w:val="single" w:color="auto" w:sz="6" w:space="0"/>
              <w:bottom w:val="nil"/>
              <w:right w:val="nil"/>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 w:eastAsia="仿宋_GB2312" w:cs="仿宋_GB2312"/>
                <w:sz w:val="24"/>
              </w:rPr>
            </w:pPr>
          </w:p>
        </w:tc>
        <w:tc>
          <w:tcPr>
            <w:tcW w:w="997" w:type="dxa"/>
            <w:tcBorders>
              <w:top w:val="single" w:color="auto" w:sz="6" w:space="0"/>
              <w:left w:val="single" w:color="auto" w:sz="6" w:space="0"/>
              <w:bottom w:val="nil"/>
              <w:right w:val="nil"/>
            </w:tcBorders>
          </w:tcPr>
          <w:p>
            <w:pPr>
              <w:tabs>
                <w:tab w:val="left" w:pos="440"/>
                <w:tab w:val="left" w:pos="1154"/>
                <w:tab w:val="left" w:pos="1936"/>
                <w:tab w:val="left" w:pos="2368"/>
              </w:tabs>
              <w:suppressAutoHyphens/>
              <w:autoSpaceDE w:val="0"/>
              <w:autoSpaceDN w:val="0"/>
              <w:spacing w:line="360" w:lineRule="auto"/>
              <w:rPr>
                <w:rFonts w:ascii="仿宋_GB2312" w:hAnsi="仿宋" w:eastAsia="仿宋_GB2312" w:cs="仿宋_GB2312"/>
                <w:sz w:val="24"/>
              </w:rPr>
            </w:pPr>
          </w:p>
        </w:tc>
        <w:tc>
          <w:tcPr>
            <w:tcW w:w="1440" w:type="dxa"/>
            <w:tcBorders>
              <w:top w:val="single" w:color="auto" w:sz="6" w:space="0"/>
              <w:left w:val="single" w:color="auto" w:sz="6" w:space="0"/>
              <w:bottom w:val="nil"/>
              <w:right w:val="nil"/>
            </w:tcBorders>
          </w:tcPr>
          <w:p>
            <w:pPr>
              <w:tabs>
                <w:tab w:val="left" w:pos="7"/>
              </w:tabs>
              <w:suppressAutoHyphens/>
              <w:autoSpaceDE w:val="0"/>
              <w:autoSpaceDN w:val="0"/>
              <w:spacing w:line="360" w:lineRule="auto"/>
              <w:rPr>
                <w:rFonts w:ascii="仿宋_GB2312" w:hAnsi="仿宋" w:eastAsia="仿宋_GB2312" w:cs="仿宋_GB2312"/>
                <w:sz w:val="24"/>
              </w:rPr>
            </w:pPr>
          </w:p>
        </w:tc>
        <w:tc>
          <w:tcPr>
            <w:tcW w:w="1620" w:type="dxa"/>
            <w:tcBorders>
              <w:top w:val="single" w:color="auto" w:sz="6" w:space="0"/>
              <w:left w:val="single" w:color="auto" w:sz="6" w:space="0"/>
              <w:bottom w:val="nil"/>
              <w:right w:val="single" w:color="auto" w:sz="6" w:space="0"/>
            </w:tcBorders>
          </w:tcPr>
          <w:p>
            <w:pPr>
              <w:suppressAutoHyphens/>
              <w:autoSpaceDE w:val="0"/>
              <w:autoSpaceDN w:val="0"/>
              <w:spacing w:line="360" w:lineRule="auto"/>
              <w:rPr>
                <w:rFonts w:ascii="仿宋_GB2312" w:hAnsi="仿宋" w:eastAsia="仿宋_GB2312" w:cs="仿宋_GB2312"/>
                <w:sz w:val="24"/>
              </w:rPr>
            </w:pPr>
          </w:p>
        </w:tc>
      </w:tr>
      <w:tr>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费用总计</w:t>
            </w:r>
          </w:p>
        </w:tc>
        <w:tc>
          <w:tcPr>
            <w:tcW w:w="1254"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30" w:type="dxa"/>
            <w:tcBorders>
              <w:top w:val="single" w:color="auto" w:sz="6" w:space="0"/>
              <w:left w:val="single" w:color="auto" w:sz="6" w:space="0"/>
              <w:bottom w:val="single" w:color="auto" w:sz="6" w:space="0"/>
              <w:right w:val="single" w:color="auto" w:sz="6" w:space="0"/>
            </w:tcBorders>
          </w:tcPr>
          <w:p>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sz w:val="24"/>
              </w:rPr>
            </w:pPr>
          </w:p>
        </w:tc>
        <w:tc>
          <w:tcPr>
            <w:tcW w:w="953" w:type="dxa"/>
            <w:tcBorders>
              <w:top w:val="single" w:color="auto" w:sz="6" w:space="0"/>
              <w:left w:val="single" w:color="auto" w:sz="6" w:space="0"/>
              <w:bottom w:val="single" w:color="auto" w:sz="6" w:space="0"/>
              <w:right w:val="single" w:color="auto" w:sz="6" w:space="0"/>
            </w:tcBorders>
          </w:tcPr>
          <w:p>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 w:eastAsia="仿宋_GB2312" w:cs="仿宋_GB2312"/>
                <w:sz w:val="24"/>
              </w:rPr>
            </w:pPr>
          </w:p>
        </w:tc>
        <w:tc>
          <w:tcPr>
            <w:tcW w:w="997" w:type="dxa"/>
            <w:tcBorders>
              <w:top w:val="single" w:color="auto" w:sz="6" w:space="0"/>
              <w:left w:val="single" w:color="auto" w:sz="6" w:space="0"/>
              <w:bottom w:val="single" w:color="auto" w:sz="6" w:space="0"/>
              <w:right w:val="single" w:color="auto" w:sz="6" w:space="0"/>
            </w:tcBorders>
          </w:tcPr>
          <w:p>
            <w:pPr>
              <w:tabs>
                <w:tab w:val="left" w:pos="440"/>
                <w:tab w:val="left" w:pos="1154"/>
                <w:tab w:val="left" w:pos="1936"/>
                <w:tab w:val="left" w:pos="2368"/>
              </w:tabs>
              <w:suppressAutoHyphens/>
              <w:autoSpaceDE w:val="0"/>
              <w:autoSpaceDN w:val="0"/>
              <w:spacing w:line="360" w:lineRule="auto"/>
              <w:rPr>
                <w:rFonts w:ascii="仿宋_GB2312" w:hAnsi="仿宋" w:eastAsia="仿宋_GB2312" w:cs="仿宋_GB2312"/>
                <w:sz w:val="24"/>
              </w:rPr>
            </w:pPr>
          </w:p>
        </w:tc>
        <w:tc>
          <w:tcPr>
            <w:tcW w:w="1440" w:type="dxa"/>
            <w:tcBorders>
              <w:top w:val="single" w:color="auto" w:sz="6" w:space="0"/>
              <w:left w:val="single" w:color="auto" w:sz="6" w:space="0"/>
              <w:bottom w:val="single" w:color="auto" w:sz="6" w:space="0"/>
              <w:right w:val="single" w:color="auto" w:sz="6" w:space="0"/>
            </w:tcBorders>
          </w:tcPr>
          <w:p>
            <w:pPr>
              <w:tabs>
                <w:tab w:val="left" w:pos="7"/>
              </w:tabs>
              <w:suppressAutoHyphens/>
              <w:autoSpaceDE w:val="0"/>
              <w:autoSpaceDN w:val="0"/>
              <w:spacing w:line="360" w:lineRule="auto"/>
              <w:rPr>
                <w:rFonts w:ascii="仿宋_GB2312" w:hAnsi="仿宋" w:eastAsia="仿宋_GB2312" w:cs="仿宋_GB2312"/>
                <w:sz w:val="24"/>
              </w:rPr>
            </w:pPr>
          </w:p>
        </w:tc>
        <w:tc>
          <w:tcPr>
            <w:tcW w:w="1620" w:type="dxa"/>
            <w:tcBorders>
              <w:top w:val="single" w:color="auto" w:sz="6" w:space="0"/>
              <w:left w:val="single" w:color="auto" w:sz="6" w:space="0"/>
              <w:bottom w:val="single" w:color="auto" w:sz="6" w:space="0"/>
              <w:right w:val="single" w:color="auto" w:sz="6" w:space="0"/>
            </w:tcBorders>
          </w:tcPr>
          <w:p>
            <w:pPr>
              <w:suppressAutoHyphens/>
              <w:autoSpaceDE w:val="0"/>
              <w:autoSpaceDN w:val="0"/>
              <w:spacing w:line="360" w:lineRule="auto"/>
              <w:rPr>
                <w:rFonts w:ascii="仿宋_GB2312" w:hAnsi="仿宋" w:eastAsia="仿宋_GB2312" w:cs="仿宋_GB2312"/>
                <w:sz w:val="24"/>
              </w:rPr>
            </w:pPr>
          </w:p>
        </w:tc>
      </w:tr>
    </w:tbl>
    <w:p>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sz w:val="24"/>
        </w:rPr>
        <w:t>注解:A</w:t>
      </w:r>
      <w:r>
        <w:rPr>
          <w:rFonts w:hint="eastAsia" w:ascii="仿宋_GB2312" w:hAnsi="仿宋" w:eastAsia="仿宋_GB2312" w:cs="仿宋_GB2312"/>
          <w:sz w:val="24"/>
        </w:rPr>
        <w:tab/>
      </w:r>
      <w:r>
        <w:rPr>
          <w:rFonts w:hint="eastAsia" w:ascii="仿宋_GB2312" w:hAnsi="仿宋" w:eastAsia="仿宋_GB2312" w:cs="仿宋_GB2312"/>
          <w:sz w:val="24"/>
        </w:rPr>
        <w:t>课程清单按时间顺序排列，并提供以下详细资料：</w:t>
      </w:r>
    </w:p>
    <w:p>
      <w:pPr>
        <w:numPr>
          <w:ilvl w:val="0"/>
          <w:numId w:val="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hAnsi="仿宋" w:eastAsia="仿宋_GB2312" w:cs="仿宋_GB2312"/>
          <w:sz w:val="24"/>
        </w:rPr>
      </w:pPr>
      <w:r>
        <w:rPr>
          <w:rFonts w:hint="eastAsia" w:ascii="仿宋_GB2312" w:hAnsi="仿宋" w:eastAsia="仿宋_GB2312" w:cs="仿宋_GB2312"/>
          <w:sz w:val="24"/>
        </w:rPr>
        <w:t>课程概要</w:t>
      </w:r>
    </w:p>
    <w:p>
      <w:pPr>
        <w:numPr>
          <w:ilvl w:val="0"/>
          <w:numId w:val="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hAnsi="仿宋" w:eastAsia="仿宋_GB2312" w:cs="仿宋_GB2312"/>
          <w:sz w:val="24"/>
        </w:rPr>
      </w:pPr>
      <w:r>
        <w:rPr>
          <w:rFonts w:hint="eastAsia" w:ascii="仿宋_GB2312" w:hAnsi="仿宋" w:eastAsia="仿宋_GB2312" w:cs="仿宋_GB2312"/>
          <w:sz w:val="24"/>
        </w:rPr>
        <w:t>课程目的</w:t>
      </w:r>
    </w:p>
    <w:p>
      <w:pPr>
        <w:numPr>
          <w:ilvl w:val="0"/>
          <w:numId w:val="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hAnsi="仿宋" w:eastAsia="仿宋_GB2312" w:cs="仿宋_GB2312"/>
          <w:sz w:val="24"/>
        </w:rPr>
      </w:pPr>
      <w:r>
        <w:rPr>
          <w:rFonts w:hint="eastAsia" w:ascii="仿宋_GB2312" w:hAnsi="仿宋" w:eastAsia="仿宋_GB2312" w:cs="仿宋_GB2312"/>
          <w:sz w:val="24"/>
        </w:rPr>
        <w:t>教学方式</w:t>
      </w:r>
    </w:p>
    <w:p>
      <w:pPr>
        <w:numPr>
          <w:ilvl w:val="0"/>
          <w:numId w:val="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hAnsi="仿宋" w:eastAsia="仿宋_GB2312" w:cs="仿宋_GB2312"/>
          <w:sz w:val="24"/>
        </w:rPr>
      </w:pPr>
      <w:r>
        <w:rPr>
          <w:rFonts w:hint="eastAsia" w:ascii="仿宋_GB2312" w:hAnsi="仿宋" w:eastAsia="仿宋_GB2312" w:cs="仿宋_GB2312"/>
          <w:sz w:val="24"/>
        </w:rPr>
        <w:t>先决条件</w:t>
      </w:r>
    </w:p>
    <w:p>
      <w:pPr>
        <w:numPr>
          <w:ilvl w:val="0"/>
          <w:numId w:val="2"/>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1069"/>
        <w:rPr>
          <w:rFonts w:ascii="仿宋_GB2312" w:hAnsi="仿宋" w:eastAsia="仿宋_GB2312" w:cs="仿宋_GB2312"/>
          <w:sz w:val="24"/>
        </w:rPr>
      </w:pPr>
      <w:r>
        <w:rPr>
          <w:rFonts w:hint="eastAsia" w:ascii="仿宋_GB2312" w:hAnsi="仿宋" w:eastAsia="仿宋_GB2312" w:cs="仿宋_GB2312"/>
          <w:sz w:val="24"/>
        </w:rPr>
        <w:t>教材目录</w:t>
      </w:r>
    </w:p>
    <w:p>
      <w:pPr>
        <w:autoSpaceDE w:val="0"/>
        <w:autoSpaceDN w:val="0"/>
        <w:spacing w:line="360" w:lineRule="auto"/>
        <w:rPr>
          <w:rFonts w:ascii="仿宋_GB2312" w:hAnsi="仿宋" w:eastAsia="仿宋_GB2312" w:cs="仿宋_GB2312"/>
          <w:sz w:val="24"/>
        </w:rPr>
      </w:pPr>
      <w:r>
        <w:rPr>
          <w:rFonts w:hint="eastAsia" w:ascii="仿宋_GB2312" w:hAnsi="仿宋" w:eastAsia="仿宋_GB2312" w:cs="仿宋_GB2312"/>
          <w:sz w:val="24"/>
        </w:rPr>
        <w:t>B  按照附表A提供授课教师的简历</w:t>
      </w:r>
    </w:p>
    <w:p>
      <w:pPr>
        <w:autoSpaceDE w:val="0"/>
        <w:autoSpaceDN w:val="0"/>
        <w:spacing w:line="360" w:lineRule="auto"/>
        <w:rPr>
          <w:rFonts w:ascii="仿宋_GB2312" w:hAnsi="仿宋" w:eastAsia="仿宋_GB2312" w:cs="仿宋_GB2312"/>
          <w:b/>
          <w:sz w:val="24"/>
        </w:rPr>
      </w:pPr>
      <w:r>
        <w:rPr>
          <w:rFonts w:hint="eastAsia" w:ascii="仿宋_GB2312" w:hAnsi="仿宋" w:eastAsia="仿宋_GB2312" w:cs="仿宋_GB2312"/>
          <w:b/>
          <w:sz w:val="24"/>
        </w:rPr>
        <w:t>注：须随表提交相应的证书复印件并注明所在投标技术文件页码。</w:t>
      </w:r>
    </w:p>
    <w:p>
      <w:pPr>
        <w:autoSpaceDE w:val="0"/>
        <w:autoSpaceDN w:val="0"/>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kern w:val="0"/>
          <w:sz w:val="24"/>
        </w:rPr>
        <w:t xml:space="preserve">投标人名称（电子签名）：                       </w:t>
      </w:r>
    </w:p>
    <w:p>
      <w:pPr>
        <w:autoSpaceDE w:val="0"/>
        <w:autoSpaceDN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pStyle w:val="58"/>
        <w:spacing w:before="120"/>
        <w:rPr>
          <w:rFonts w:ascii="仿宋" w:hAnsi="仿宋" w:eastAsia="仿宋" w:cs="仿宋"/>
        </w:rPr>
      </w:pPr>
    </w:p>
    <w:p>
      <w:pPr>
        <w:spacing w:line="360" w:lineRule="auto"/>
        <w:jc w:val="center"/>
        <w:rPr>
          <w:rFonts w:ascii="仿宋_GB2312" w:hAnsi="仿宋" w:eastAsia="仿宋_GB2312" w:cs="仿宋_GB2312"/>
          <w:b/>
          <w:bCs/>
          <w:sz w:val="28"/>
          <w:szCs w:val="28"/>
        </w:rPr>
      </w:pPr>
      <w:r>
        <w:rPr>
          <w:rFonts w:hint="eastAsia" w:ascii="仿宋_GB2312" w:hAnsi="仿宋" w:eastAsia="仿宋_GB2312" w:cs="仿宋_GB2312"/>
          <w:b/>
          <w:bCs/>
          <w:sz w:val="28"/>
          <w:szCs w:val="28"/>
        </w:rPr>
        <w:t>十四、认为需要的其他技术文件或说明</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jc w:val="center"/>
        <w:rPr>
          <w:rFonts w:ascii="仿宋_GB2312" w:hAnsi="仿宋" w:eastAsia="仿宋_GB2312" w:cs="仿宋_GB2312"/>
          <w:sz w:val="24"/>
        </w:rPr>
      </w:pPr>
    </w:p>
    <w:p>
      <w:pPr>
        <w:autoSpaceDE w:val="0"/>
        <w:autoSpaceDN w:val="0"/>
        <w:spacing w:line="360" w:lineRule="auto"/>
        <w:ind w:firstLine="4800" w:firstLineChars="2000"/>
        <w:rPr>
          <w:rFonts w:ascii="仿宋_GB2312" w:hAnsi="仿宋" w:eastAsia="仿宋_GB2312" w:cs="仿宋_GB2312"/>
          <w:sz w:val="24"/>
        </w:rPr>
      </w:pPr>
      <w:r>
        <w:rPr>
          <w:rFonts w:hint="eastAsia" w:ascii="仿宋_GB2312" w:hAnsi="仿宋" w:eastAsia="仿宋_GB2312" w:cs="仿宋_GB2312"/>
          <w:kern w:val="0"/>
          <w:sz w:val="24"/>
        </w:rPr>
        <w:t xml:space="preserve">投标人名称（电子签名）：                       </w:t>
      </w:r>
    </w:p>
    <w:p>
      <w:pPr>
        <w:autoSpaceDE w:val="0"/>
        <w:autoSpaceDN w:val="0"/>
        <w:spacing w:line="360" w:lineRule="auto"/>
        <w:rPr>
          <w:rFonts w:ascii="仿宋_GB2312" w:hAnsi="仿宋" w:eastAsia="仿宋_GB2312" w:cs="仿宋_GB2312"/>
          <w:b/>
          <w:bCs/>
          <w:sz w:val="30"/>
          <w:szCs w:val="30"/>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  年  月   日</w:t>
      </w:r>
    </w:p>
    <w:p>
      <w:pPr>
        <w:spacing w:line="360" w:lineRule="auto"/>
        <w:jc w:val="center"/>
        <w:rPr>
          <w:rFonts w:ascii="仿宋_GB2312" w:hAnsi="仿宋" w:eastAsia="仿宋_GB2312" w:cs="仿宋_GB2312"/>
          <w:b/>
          <w:bCs/>
          <w:sz w:val="30"/>
          <w:szCs w:val="30"/>
        </w:rPr>
      </w:pPr>
    </w:p>
    <w:p>
      <w:pPr>
        <w:spacing w:line="360" w:lineRule="auto"/>
        <w:jc w:val="center"/>
        <w:rPr>
          <w:rFonts w:ascii="仿宋_GB2312" w:hAnsi="仿宋" w:eastAsia="仿宋_GB2312" w:cs="仿宋_GB2312"/>
          <w:b/>
          <w:kern w:val="0"/>
          <w:sz w:val="28"/>
          <w:szCs w:val="28"/>
          <w:lang w:val="zh-CN"/>
        </w:rPr>
      </w:pPr>
      <w:r>
        <w:rPr>
          <w:rFonts w:hint="eastAsia" w:ascii="仿宋_GB2312" w:hAnsi="仿宋" w:eastAsia="仿宋_GB2312" w:cs="仿宋_GB2312"/>
          <w:b/>
          <w:bCs/>
          <w:sz w:val="28"/>
          <w:szCs w:val="28"/>
        </w:rPr>
        <w:t>十五、关于</w:t>
      </w:r>
      <w:r>
        <w:rPr>
          <w:rFonts w:hint="eastAsia" w:ascii="仿宋_GB2312" w:hAnsi="仿宋" w:eastAsia="仿宋_GB2312" w:cs="仿宋_GB2312"/>
          <w:b/>
          <w:kern w:val="0"/>
          <w:sz w:val="28"/>
          <w:szCs w:val="28"/>
          <w:lang w:val="zh-CN"/>
        </w:rPr>
        <w:t>对招标文件中有关商务、合同条款的拒绝声明</w:t>
      </w:r>
    </w:p>
    <w:p>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（由投标人根据采购需求自行编制）</w:t>
      </w:r>
    </w:p>
    <w:p>
      <w:pPr>
        <w:spacing w:line="360" w:lineRule="auto"/>
        <w:rPr>
          <w:rFonts w:ascii="仿宋_GB2312" w:hAnsi="仿宋" w:eastAsia="仿宋_GB2312" w:cs="仿宋_GB2312"/>
          <w:sz w:val="24"/>
        </w:rPr>
      </w:pPr>
    </w:p>
    <w:p>
      <w:pPr>
        <w:autoSpaceDE w:val="0"/>
        <w:autoSpaceDN w:val="0"/>
        <w:spacing w:line="360" w:lineRule="auto"/>
        <w:ind w:firstLine="5040" w:firstLineChars="2100"/>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投标人名称（电子签名）：      </w:t>
      </w:r>
    </w:p>
    <w:p>
      <w:pPr>
        <w:autoSpaceDE w:val="0"/>
        <w:autoSpaceDN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 xml:space="preserve">  日期：  年  月   日</w:t>
      </w:r>
    </w:p>
    <w:p>
      <w:pPr>
        <w:tabs>
          <w:tab w:val="left" w:pos="0"/>
        </w:tabs>
        <w:autoSpaceDE w:val="0"/>
        <w:autoSpaceDN w:val="0"/>
        <w:spacing w:line="360" w:lineRule="auto"/>
        <w:ind w:firstLine="2108" w:firstLineChars="700"/>
        <w:rPr>
          <w:rFonts w:ascii="仿宋_GB2312" w:hAnsi="仿宋" w:eastAsia="仿宋_GB2312" w:cs="仿宋_GB2312"/>
          <w:b/>
          <w:bCs/>
          <w:sz w:val="30"/>
          <w:szCs w:val="30"/>
        </w:rPr>
      </w:pPr>
    </w:p>
    <w:p>
      <w:pPr>
        <w:tabs>
          <w:tab w:val="left" w:pos="0"/>
        </w:tabs>
        <w:autoSpaceDE w:val="0"/>
        <w:autoSpaceDN w:val="0"/>
        <w:spacing w:line="360" w:lineRule="auto"/>
        <w:ind w:firstLine="2108" w:firstLineChars="700"/>
        <w:rPr>
          <w:rFonts w:ascii="仿宋_GB2312" w:hAnsi="仿宋" w:eastAsia="仿宋_GB2312" w:cs="仿宋_GB2312"/>
          <w:b/>
          <w:bCs/>
          <w:sz w:val="30"/>
          <w:szCs w:val="30"/>
        </w:rPr>
      </w:pPr>
      <w:r>
        <w:rPr>
          <w:rFonts w:hint="eastAsia" w:ascii="仿宋_GB2312" w:hAnsi="仿宋" w:eastAsia="仿宋_GB2312" w:cs="仿宋_GB2312"/>
          <w:b/>
          <w:bCs/>
          <w:sz w:val="30"/>
          <w:szCs w:val="30"/>
        </w:rPr>
        <w:t>十六、政府采购供应商廉洁自律承诺书</w:t>
      </w:r>
    </w:p>
    <w:p>
      <w:pPr>
        <w:spacing w:line="360" w:lineRule="auto"/>
        <w:jc w:val="center"/>
        <w:rPr>
          <w:rFonts w:ascii="仿宋_GB2312" w:hAnsi="仿宋" w:eastAsia="仿宋_GB2312" w:cs="仿宋_GB2312"/>
          <w:sz w:val="24"/>
        </w:rPr>
      </w:pPr>
      <w:r>
        <w:rPr>
          <w:rFonts w:hint="eastAsia" w:ascii="宋体" w:hAnsi="宋体" w:cs="宋体"/>
          <w:sz w:val="24"/>
        </w:rPr>
        <w:t> </w:t>
      </w:r>
    </w:p>
    <w:p>
      <w:pPr>
        <w:snapToGrid w:val="0"/>
        <w:spacing w:line="360" w:lineRule="auto"/>
        <w:rPr>
          <w:rFonts w:ascii="仿宋" w:hAnsi="仿宋" w:eastAsia="仿宋" w:cs="仿宋"/>
          <w:kern w:val="0"/>
          <w:sz w:val="24"/>
        </w:rPr>
      </w:pPr>
      <w:r>
        <w:rPr>
          <w:rFonts w:hint="eastAsia" w:ascii="仿宋" w:hAnsi="仿宋" w:eastAsia="仿宋" w:cs="仿宋"/>
          <w:sz w:val="24"/>
        </w:rPr>
        <w:t>淳安县市容环境卫生保障中心、 淳安县建设工程招标代理有限公司</w:t>
      </w:r>
      <w:r>
        <w:rPr>
          <w:rFonts w:hint="eastAsia" w:ascii="仿宋" w:hAnsi="仿宋" w:eastAsia="仿宋" w:cs="仿宋"/>
          <w:kern w:val="0"/>
          <w:sz w:val="24"/>
          <w:lang w:val="zh-CN"/>
        </w:rPr>
        <w:t>：</w:t>
      </w:r>
    </w:p>
    <w:p>
      <w:pPr>
        <w:spacing w:line="360" w:lineRule="auto"/>
        <w:ind w:firstLine="480" w:firstLineChars="200"/>
        <w:jc w:val="left"/>
        <w:rPr>
          <w:rFonts w:ascii="仿宋_GB2312" w:hAnsi="仿宋" w:eastAsia="仿宋_GB2312" w:cs="仿宋_GB2312"/>
          <w:sz w:val="24"/>
        </w:rPr>
      </w:pPr>
      <w:r>
        <w:rPr>
          <w:rFonts w:hint="eastAsia" w:ascii="仿宋_GB2312" w:hAnsi="仿宋" w:eastAsia="仿宋_GB2312" w:cs="仿宋_GB2312"/>
          <w:sz w:val="24"/>
        </w:rPr>
        <w:t>本单位合法参加</w:t>
      </w:r>
      <w:r>
        <w:rPr>
          <w:rFonts w:hint="eastAsia" w:ascii="仿宋_GB2312" w:hAnsi="仿宋" w:eastAsia="仿宋_GB2312" w:cs="仿宋_GB2312"/>
          <w:sz w:val="24"/>
          <w:u w:val="single"/>
        </w:rPr>
        <w:t xml:space="preserve"> </w:t>
      </w:r>
      <w:r>
        <w:rPr>
          <w:rFonts w:hint="eastAsia" w:ascii="宋体" w:hAnsi="宋体" w:cs="宋体"/>
          <w:sz w:val="24"/>
          <w:u w:val="single"/>
        </w:rPr>
        <w:t>               </w:t>
      </w:r>
      <w:r>
        <w:rPr>
          <w:rFonts w:hint="eastAsia" w:ascii="仿宋_GB2312" w:hAnsi="仿宋" w:eastAsia="仿宋_GB2312" w:cs="仿宋_GB2312"/>
          <w:sz w:val="24"/>
        </w:rPr>
        <w:t>项目（编号：</w:t>
      </w:r>
      <w:r>
        <w:rPr>
          <w:rFonts w:hint="eastAsia" w:ascii="仿宋_GB2312" w:hAnsi="仿宋" w:eastAsia="仿宋_GB2312" w:cs="仿宋_GB2312"/>
          <w:sz w:val="24"/>
          <w:u w:val="single"/>
        </w:rPr>
        <w:t xml:space="preserve"> </w:t>
      </w:r>
      <w:r>
        <w:rPr>
          <w:rFonts w:hint="eastAsia" w:ascii="宋体" w:hAnsi="宋体" w:cs="宋体"/>
          <w:sz w:val="24"/>
          <w:u w:val="single"/>
        </w:rPr>
        <w:t>       </w:t>
      </w:r>
      <w:r>
        <w:rPr>
          <w:rFonts w:hint="eastAsia" w:ascii="仿宋_GB2312" w:hAnsi="仿宋" w:eastAsia="仿宋_GB2312" w:cs="仿宋_GB2312"/>
          <w:sz w:val="24"/>
          <w:u w:val="single"/>
        </w:rPr>
        <w:t>）</w:t>
      </w:r>
      <w:r>
        <w:rPr>
          <w:rFonts w:hint="eastAsia" w:ascii="仿宋_GB2312" w:hAnsi="仿宋" w:eastAsia="仿宋_GB2312" w:cs="仿宋_GB2312"/>
          <w:sz w:val="24"/>
        </w:rPr>
        <w:t>政府采购活动，就有关廉洁自律和公平竞争事项郑重声明如下：</w:t>
      </w:r>
    </w:p>
    <w:p>
      <w:pPr>
        <w:spacing w:line="360" w:lineRule="auto"/>
        <w:jc w:val="left"/>
        <w:rPr>
          <w:rFonts w:ascii="仿宋_GB2312" w:hAnsi="仿宋" w:eastAsia="仿宋_GB2312" w:cs="仿宋_GB2312"/>
          <w:sz w:val="24"/>
        </w:rPr>
      </w:pPr>
      <w:r>
        <w:rPr>
          <w:rFonts w:hint="eastAsia" w:ascii="仿宋_GB2312" w:hAnsi="仿宋" w:eastAsia="仿宋_GB2312" w:cs="仿宋_GB2312"/>
          <w:sz w:val="24"/>
        </w:rPr>
        <w:t>一、本单位与采购人之间不存在利害关系，不存在行贿、串通等违法行为。</w:t>
      </w:r>
    </w:p>
    <w:p>
      <w:pPr>
        <w:spacing w:line="360" w:lineRule="auto"/>
        <w:jc w:val="left"/>
        <w:rPr>
          <w:rFonts w:ascii="仿宋_GB2312" w:hAnsi="仿宋" w:eastAsia="仿宋_GB2312" w:cs="仿宋_GB2312"/>
          <w:sz w:val="24"/>
        </w:rPr>
      </w:pPr>
      <w:r>
        <w:rPr>
          <w:rFonts w:hint="eastAsia" w:ascii="仿宋_GB2312" w:hAnsi="仿宋" w:eastAsia="仿宋_GB2312" w:cs="仿宋_GB2312"/>
          <w:sz w:val="24"/>
        </w:rPr>
        <w:t>二、本单位与其他当事人之间不存在直接控股、管理关系等情况，不存在法定的不允许投标情形，不存在行贿、串通等违法行为。</w:t>
      </w:r>
    </w:p>
    <w:p>
      <w:pPr>
        <w:spacing w:line="360" w:lineRule="auto"/>
        <w:jc w:val="left"/>
        <w:rPr>
          <w:rFonts w:ascii="仿宋_GB2312" w:hAnsi="仿宋" w:eastAsia="仿宋_GB2312" w:cs="仿宋_GB2312"/>
          <w:sz w:val="24"/>
        </w:rPr>
      </w:pPr>
      <w:r>
        <w:rPr>
          <w:rFonts w:hint="eastAsia" w:ascii="仿宋_GB2312" w:hAnsi="仿宋" w:eastAsia="仿宋_GB2312" w:cs="仿宋_GB2312"/>
          <w:sz w:val="24"/>
        </w:rPr>
        <w:t>三、本单位清楚知道并严格遵守政府采购法律法规、政策文件和相关纪律。</w:t>
      </w:r>
    </w:p>
    <w:p>
      <w:pPr>
        <w:pStyle w:val="18"/>
        <w:ind w:firstLine="480"/>
        <w:rPr>
          <w:rFonts w:ascii="仿宋_GB2312" w:hAnsi="仿宋" w:eastAsia="仿宋_GB2312" w:cs="仿宋_GB2312"/>
          <w:sz w:val="24"/>
        </w:rPr>
      </w:pPr>
    </w:p>
    <w:p>
      <w:pPr>
        <w:pStyle w:val="18"/>
        <w:ind w:firstLine="480"/>
        <w:rPr>
          <w:rFonts w:ascii="仿宋_GB2312" w:hAnsi="仿宋" w:eastAsia="仿宋_GB2312" w:cs="仿宋_GB2312"/>
          <w:sz w:val="24"/>
        </w:rPr>
      </w:pPr>
    </w:p>
    <w:p>
      <w:pPr>
        <w:autoSpaceDE w:val="0"/>
        <w:autoSpaceDN w:val="0"/>
        <w:spacing w:line="360" w:lineRule="auto"/>
        <w:ind w:firstLine="5040" w:firstLineChars="2100"/>
        <w:jc w:val="left"/>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投标人名称（电子签名）：</w:t>
      </w:r>
    </w:p>
    <w:p>
      <w:pPr>
        <w:autoSpaceDE w:val="0"/>
        <w:autoSpaceDN w:val="0"/>
        <w:spacing w:line="360" w:lineRule="auto"/>
        <w:ind w:right="960"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pPr>
        <w:tabs>
          <w:tab w:val="left" w:pos="0"/>
        </w:tabs>
        <w:autoSpaceDE w:val="0"/>
        <w:autoSpaceDN w:val="0"/>
        <w:spacing w:line="360" w:lineRule="auto"/>
        <w:ind w:firstLine="2409" w:firstLineChars="800"/>
        <w:rPr>
          <w:rFonts w:ascii="仿宋_GB2312" w:hAnsi="仿宋" w:eastAsia="仿宋_GB2312" w:cs="仿宋_GB2312"/>
          <w:b/>
          <w:bCs/>
          <w:sz w:val="30"/>
          <w:szCs w:val="30"/>
        </w:rPr>
      </w:pPr>
    </w:p>
    <w:p>
      <w:pPr>
        <w:tabs>
          <w:tab w:val="left" w:pos="0"/>
        </w:tabs>
        <w:autoSpaceDE w:val="0"/>
        <w:autoSpaceDN w:val="0"/>
        <w:spacing w:line="360" w:lineRule="auto"/>
        <w:ind w:firstLine="2409" w:firstLineChars="800"/>
        <w:rPr>
          <w:rFonts w:ascii="仿宋_GB2312" w:hAnsi="仿宋" w:eastAsia="仿宋_GB2312" w:cs="仿宋_GB2312"/>
          <w:b/>
          <w:bCs/>
          <w:sz w:val="30"/>
          <w:szCs w:val="30"/>
        </w:rPr>
      </w:pPr>
    </w:p>
    <w:p>
      <w:pPr>
        <w:tabs>
          <w:tab w:val="left" w:pos="0"/>
        </w:tabs>
        <w:autoSpaceDE w:val="0"/>
        <w:autoSpaceDN w:val="0"/>
        <w:spacing w:line="360" w:lineRule="auto"/>
        <w:ind w:firstLine="2409" w:firstLineChars="800"/>
        <w:rPr>
          <w:rFonts w:ascii="仿宋_GB2312" w:hAnsi="仿宋" w:eastAsia="仿宋_GB2312" w:cs="仿宋_GB2312"/>
          <w:b/>
          <w:bCs/>
          <w:sz w:val="30"/>
          <w:szCs w:val="30"/>
        </w:rPr>
      </w:pPr>
    </w:p>
    <w:p>
      <w:pPr>
        <w:tabs>
          <w:tab w:val="left" w:pos="0"/>
        </w:tabs>
        <w:autoSpaceDE w:val="0"/>
        <w:autoSpaceDN w:val="0"/>
        <w:spacing w:line="360" w:lineRule="auto"/>
        <w:jc w:val="center"/>
        <w:rPr>
          <w:rFonts w:ascii="仿宋_GB2312" w:hAnsi="仿宋" w:eastAsia="仿宋_GB2312" w:cs="仿宋_GB2312"/>
          <w:b/>
          <w:bCs/>
          <w:sz w:val="30"/>
          <w:szCs w:val="30"/>
        </w:rPr>
      </w:pPr>
      <w:r>
        <w:rPr>
          <w:rFonts w:hint="eastAsia" w:ascii="仿宋_GB2312" w:hAnsi="仿宋" w:eastAsia="仿宋_GB2312" w:cs="仿宋_GB2312"/>
          <w:b/>
          <w:bCs/>
          <w:sz w:val="30"/>
          <w:szCs w:val="30"/>
        </w:rPr>
        <w:t>十七、廉政承诺书</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sz w:val="24"/>
        </w:rPr>
        <w:t>（</w:t>
      </w:r>
      <w:r>
        <w:rPr>
          <w:rFonts w:hint="eastAsia" w:ascii="仿宋_GB2312" w:hAnsi="仿宋_GB2312" w:eastAsia="仿宋_GB2312" w:cs="仿宋_GB2312"/>
          <w:sz w:val="24"/>
          <w:u w:val="single"/>
        </w:rPr>
        <w:t>单位名称</w:t>
      </w:r>
      <w:r>
        <w:rPr>
          <w:rFonts w:hint="eastAsia" w:ascii="仿宋_GB2312" w:hAnsi="仿宋_GB2312" w:eastAsia="仿宋_GB2312" w:cs="仿宋_GB2312"/>
          <w:sz w:val="24"/>
        </w:rPr>
        <w:t>）</w:t>
      </w:r>
      <w:r>
        <w:rPr>
          <w:rFonts w:hint="eastAsia"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电子签名</w:t>
      </w:r>
      <w:r>
        <w:rPr>
          <w:rFonts w:hint="eastAsia" w:ascii="仿宋_GB2312" w:hAnsi="仿宋_GB2312" w:eastAsia="仿宋_GB2312" w:cs="仿宋_GB2312"/>
          <w:kern w:val="0"/>
          <w:sz w:val="24"/>
          <w:lang w:val="zh-CN"/>
        </w:rPr>
        <w:t xml:space="preserve">）：                </w:t>
      </w:r>
    </w:p>
    <w:p>
      <w:pPr>
        <w:spacing w:line="360" w:lineRule="auto"/>
        <w:ind w:left="5280" w:hanging="5280" w:hangingChars="2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法定代表人或其授权代表（签字）：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 xml:space="preserve">   年   月   日</w:t>
      </w:r>
    </w:p>
    <w:p>
      <w:pPr>
        <w:pStyle w:val="18"/>
        <w:ind w:firstLine="420"/>
        <w:rPr>
          <w:lang w:val="zh-CN"/>
        </w:rPr>
      </w:pPr>
    </w:p>
    <w:p>
      <w:pPr>
        <w:autoSpaceDE w:val="0"/>
        <w:autoSpaceDN w:val="0"/>
        <w:spacing w:line="360" w:lineRule="auto"/>
        <w:ind w:firstLine="120"/>
        <w:rPr>
          <w:rFonts w:ascii="仿宋" w:hAnsi="仿宋" w:eastAsia="仿宋" w:cs="仿宋"/>
          <w:sz w:val="24"/>
        </w:rPr>
      </w:pPr>
      <w:r>
        <w:rPr>
          <w:rFonts w:hint="eastAsia" w:ascii="仿宋" w:hAnsi="仿宋" w:eastAsia="仿宋" w:cs="仿宋"/>
          <w:sz w:val="24"/>
        </w:rPr>
        <w:br w:type="page"/>
      </w:r>
    </w:p>
    <w:p>
      <w:pPr>
        <w:pStyle w:val="58"/>
        <w:spacing w:before="120"/>
        <w:rPr>
          <w:rFonts w:ascii="仿宋" w:hAnsi="仿宋" w:eastAsia="仿宋" w:cs="仿宋"/>
        </w:rPr>
      </w:pPr>
    </w:p>
    <w:p>
      <w:pPr>
        <w:tabs>
          <w:tab w:val="left" w:pos="8085"/>
        </w:tabs>
        <w:spacing w:line="360" w:lineRule="auto"/>
        <w:ind w:firstLine="1285" w:firstLineChars="400"/>
        <w:jc w:val="left"/>
        <w:rPr>
          <w:rFonts w:ascii="仿宋" w:hAnsi="仿宋" w:eastAsia="仿宋" w:cs="仿宋_GB2312"/>
          <w:b/>
          <w:sz w:val="32"/>
          <w:szCs w:val="32"/>
        </w:rPr>
      </w:pPr>
      <w:r>
        <w:rPr>
          <w:rFonts w:hint="eastAsia" w:ascii="仿宋" w:hAnsi="仿宋" w:eastAsia="仿宋" w:cs="仿宋_GB2312"/>
          <w:b/>
          <w:sz w:val="32"/>
          <w:szCs w:val="32"/>
        </w:rPr>
        <w:t>政府采购支持中小企业信用融资相关事项通知</w:t>
      </w:r>
    </w:p>
    <w:p>
      <w:pPr>
        <w:spacing w:line="360" w:lineRule="auto"/>
        <w:jc w:val="center"/>
        <w:rPr>
          <w:rFonts w:ascii="仿宋" w:hAnsi="仿宋" w:eastAsia="仿宋" w:cs="仿宋"/>
          <w:b/>
          <w:bCs/>
          <w:sz w:val="24"/>
        </w:rPr>
      </w:pPr>
    </w:p>
    <w:p>
      <w:pPr>
        <w:pStyle w:val="18"/>
        <w:spacing w:line="600" w:lineRule="exact"/>
        <w:ind w:firstLine="480"/>
        <w:rPr>
          <w:rFonts w:ascii="仿宋" w:hAnsi="仿宋" w:eastAsia="仿宋" w:cs="仿宋_GB2312"/>
          <w:sz w:val="24"/>
          <w:lang w:val="zh-CN"/>
        </w:rPr>
        <w:sectPr>
          <w:pgSz w:w="11906" w:h="16838"/>
          <w:pgMar w:top="1247" w:right="1418" w:bottom="1276" w:left="1418" w:header="851" w:footer="992" w:gutter="0"/>
          <w:cols w:space="720" w:num="1"/>
          <w:titlePg/>
          <w:docGrid w:linePitch="312" w:charSpace="0"/>
        </w:sectPr>
      </w:pPr>
      <w:r>
        <w:rPr>
          <w:rFonts w:hint="eastAsia" w:ascii="仿宋" w:hAnsi="仿宋" w:eastAsia="仿宋" w:cs="仿宋_GB2312"/>
          <w:sz w:val="24"/>
          <w:lang w:val="zh-CN"/>
        </w:rPr>
        <w:t xml:space="preserve">    为支持和促进中小企业发展，进一步发挥政府采购政策功能，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采购单位签订的政府采购合同适用于政府采购贷款政策，简称“政采贷”。</w:t>
      </w:r>
    </w:p>
    <w:p>
      <w:pPr>
        <w:pStyle w:val="2"/>
        <w:keepNext w:val="0"/>
        <w:keepLines w:val="0"/>
        <w:pageBreakBefore/>
        <w:spacing w:before="100" w:beforeAutospacing="1" w:after="100" w:afterAutospacing="1" w:line="360" w:lineRule="auto"/>
        <w:ind w:left="1290" w:firstLine="3012" w:firstLineChars="1000"/>
        <w:rPr>
          <w:rFonts w:ascii="仿宋" w:hAnsi="仿宋" w:eastAsia="仿宋" w:cs="仿宋"/>
          <w:sz w:val="30"/>
          <w:szCs w:val="30"/>
        </w:rPr>
      </w:pPr>
      <w:bookmarkStart w:id="29" w:name="_Toc465665161"/>
      <w:r>
        <w:rPr>
          <w:rFonts w:hint="eastAsia" w:ascii="仿宋" w:hAnsi="仿宋" w:eastAsia="仿宋" w:cs="仿宋"/>
          <w:sz w:val="30"/>
          <w:szCs w:val="30"/>
        </w:rPr>
        <w:t>附  件</w:t>
      </w:r>
      <w:bookmarkEnd w:id="29"/>
    </w:p>
    <w:p>
      <w:pPr>
        <w:spacing w:line="360" w:lineRule="auto"/>
        <w:rPr>
          <w:rFonts w:ascii="仿宋" w:hAnsi="仿宋" w:eastAsia="仿宋" w:cs="仿宋"/>
          <w:b/>
          <w:spacing w:val="6"/>
          <w:sz w:val="24"/>
        </w:rPr>
      </w:pPr>
      <w:r>
        <w:rPr>
          <w:rFonts w:hint="eastAsia" w:ascii="仿宋" w:hAnsi="仿宋" w:eastAsia="仿宋" w:cs="仿宋"/>
          <w:b/>
          <w:spacing w:val="6"/>
          <w:sz w:val="24"/>
        </w:rPr>
        <w:t>附件1：</w:t>
      </w:r>
    </w:p>
    <w:p>
      <w:pPr>
        <w:spacing w:line="360" w:lineRule="auto"/>
        <w:jc w:val="center"/>
        <w:rPr>
          <w:rFonts w:ascii="仿宋" w:hAnsi="仿宋" w:eastAsia="仿宋" w:cs="仿宋"/>
          <w:b/>
          <w:spacing w:val="6"/>
          <w:sz w:val="28"/>
          <w:szCs w:val="28"/>
        </w:rPr>
      </w:pPr>
      <w:r>
        <w:rPr>
          <w:rFonts w:hint="eastAsia" w:ascii="仿宋" w:hAnsi="仿宋" w:eastAsia="仿宋" w:cs="仿宋"/>
          <w:b/>
          <w:spacing w:val="6"/>
          <w:sz w:val="28"/>
          <w:szCs w:val="28"/>
        </w:rPr>
        <w:t>残疾人福利性单位声明函</w:t>
      </w:r>
    </w:p>
    <w:p>
      <w:pPr>
        <w:spacing w:line="360" w:lineRule="auto"/>
        <w:rPr>
          <w:rFonts w:ascii="仿宋" w:hAnsi="仿宋" w:eastAsia="仿宋" w:cs="仿宋"/>
          <w:b/>
          <w:spacing w:val="6"/>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单位名称（</w:t>
      </w:r>
      <w:r>
        <w:rPr>
          <w:rFonts w:hint="eastAsia" w:ascii="仿宋" w:hAnsi="仿宋" w:eastAsia="仿宋" w:cs="仿宋"/>
          <w:kern w:val="0"/>
          <w:sz w:val="24"/>
          <w:lang w:val="zh-CN"/>
        </w:rPr>
        <w:t>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ascii="仿宋" w:hAnsi="仿宋" w:eastAsia="仿宋" w:cs="仿宋"/>
          <w:b/>
          <w:sz w:val="24"/>
        </w:rPr>
        <w:br w:type="page"/>
      </w:r>
    </w:p>
    <w:p>
      <w:pPr>
        <w:spacing w:line="360" w:lineRule="auto"/>
        <w:jc w:val="left"/>
        <w:rPr>
          <w:rFonts w:ascii="仿宋" w:hAnsi="仿宋" w:eastAsia="仿宋" w:cs="仿宋"/>
          <w:b/>
          <w:spacing w:val="6"/>
          <w:sz w:val="24"/>
        </w:rPr>
      </w:pPr>
      <w:r>
        <w:rPr>
          <w:rFonts w:hint="eastAsia" w:ascii="仿宋" w:hAnsi="仿宋" w:eastAsia="仿宋" w:cs="仿宋"/>
          <w:b/>
          <w:spacing w:val="6"/>
          <w:sz w:val="24"/>
        </w:rPr>
        <w:t>附件2：质疑函范本及制作说明</w:t>
      </w:r>
    </w:p>
    <w:p>
      <w:pPr>
        <w:spacing w:line="360" w:lineRule="auto"/>
        <w:jc w:val="center"/>
        <w:rPr>
          <w:rFonts w:ascii="仿宋" w:hAnsi="仿宋" w:eastAsia="仿宋" w:cs="仿宋"/>
          <w:b/>
          <w:spacing w:val="6"/>
          <w:sz w:val="28"/>
          <w:szCs w:val="28"/>
        </w:rPr>
      </w:pPr>
      <w:r>
        <w:rPr>
          <w:rFonts w:hint="eastAsia" w:ascii="仿宋" w:hAnsi="仿宋" w:eastAsia="仿宋" w:cs="仿宋"/>
          <w:b/>
          <w:spacing w:val="6"/>
          <w:sz w:val="28"/>
          <w:szCs w:val="28"/>
        </w:rPr>
        <w:t>质疑函范本</w:t>
      </w:r>
    </w:p>
    <w:p>
      <w:pPr>
        <w:snapToGrid w:val="0"/>
        <w:spacing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jc w:val="center"/>
        <w:rPr>
          <w:rFonts w:ascii="仿宋" w:hAnsi="仿宋" w:eastAsia="仿宋" w:cs="仿宋"/>
          <w:b/>
          <w:bCs/>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质疑函制作说明：</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spacing w:line="360" w:lineRule="auto"/>
        <w:ind w:firstLine="480" w:firstLineChars="200"/>
        <w:jc w:val="left"/>
        <w:rPr>
          <w:rFonts w:ascii="仿宋" w:hAnsi="仿宋" w:eastAsia="仿宋" w:cs="仿宋"/>
          <w:sz w:val="24"/>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spacing w:line="360" w:lineRule="auto"/>
        <w:jc w:val="center"/>
        <w:rPr>
          <w:rFonts w:ascii="仿宋" w:hAnsi="仿宋" w:eastAsia="仿宋" w:cs="仿宋"/>
          <w:b/>
          <w:spacing w:val="6"/>
          <w:sz w:val="24"/>
        </w:rPr>
      </w:pPr>
    </w:p>
    <w:p>
      <w:pPr>
        <w:pStyle w:val="26"/>
        <w:rPr>
          <w:rFonts w:ascii="仿宋" w:hAnsi="仿宋" w:eastAsia="仿宋" w:cs="仿宋"/>
          <w:b/>
          <w:spacing w:val="6"/>
          <w:sz w:val="24"/>
        </w:rPr>
      </w:pPr>
    </w:p>
    <w:p>
      <w:pPr>
        <w:pStyle w:val="8"/>
        <w:rPr>
          <w:rFonts w:ascii="仿宋" w:hAnsi="仿宋" w:eastAsia="仿宋" w:cs="仿宋"/>
          <w:b/>
          <w:spacing w:val="6"/>
          <w:sz w:val="24"/>
        </w:rPr>
      </w:pPr>
    </w:p>
    <w:p>
      <w:pPr>
        <w:pStyle w:val="8"/>
        <w:rPr>
          <w:rFonts w:ascii="仿宋" w:hAnsi="仿宋" w:eastAsia="仿宋" w:cs="仿宋"/>
          <w:b/>
          <w:spacing w:val="6"/>
          <w:sz w:val="24"/>
        </w:rPr>
      </w:pPr>
    </w:p>
    <w:p>
      <w:pPr>
        <w:spacing w:line="360" w:lineRule="auto"/>
        <w:jc w:val="left"/>
        <w:rPr>
          <w:rFonts w:ascii="仿宋" w:hAnsi="仿宋" w:eastAsia="仿宋" w:cs="仿宋"/>
          <w:b/>
          <w:sz w:val="24"/>
        </w:rPr>
      </w:pPr>
      <w:r>
        <w:rPr>
          <w:rFonts w:hint="eastAsia" w:ascii="仿宋" w:hAnsi="仿宋" w:eastAsia="仿宋" w:cs="仿宋"/>
          <w:b/>
          <w:spacing w:val="6"/>
          <w:sz w:val="24"/>
        </w:rPr>
        <w:t>附件3：投诉书范本及制作说明</w:t>
      </w:r>
    </w:p>
    <w:p>
      <w:pPr>
        <w:spacing w:line="360" w:lineRule="auto"/>
        <w:jc w:val="center"/>
        <w:rPr>
          <w:rFonts w:ascii="仿宋" w:hAnsi="仿宋" w:eastAsia="仿宋" w:cs="仿宋"/>
          <w:b/>
          <w:spacing w:val="6"/>
          <w:sz w:val="28"/>
          <w:szCs w:val="28"/>
        </w:rPr>
      </w:pPr>
      <w:r>
        <w:rPr>
          <w:rFonts w:hint="eastAsia" w:ascii="仿宋" w:hAnsi="仿宋" w:eastAsia="仿宋" w:cs="仿宋"/>
          <w:b/>
          <w:spacing w:val="6"/>
          <w:sz w:val="28"/>
          <w:szCs w:val="28"/>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ascii="仿宋" w:hAnsi="仿宋" w:eastAsia="仿宋" w:cs="仿宋"/>
          <w:sz w:val="24"/>
          <w:u w:val="single"/>
        </w:rPr>
      </w:pP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
    <w:sectPr>
      <w:headerReference r:id="rId11" w:type="first"/>
      <w:footerReference r:id="rId13" w:type="first"/>
      <w:headerReference r:id="rId10" w:type="default"/>
      <w:footerReference r:id="rId12" w:type="default"/>
      <w:pgSz w:w="11906" w:h="16838"/>
      <w:pgMar w:top="1701" w:right="1417" w:bottom="1417" w:left="1417" w:header="851" w:footer="850" w:gutter="0"/>
      <w:cols w:space="425" w:num="1"/>
      <w:titlePg/>
      <w:docGrid w:type="lines" w:linePitch="36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SimSun">
    <w:altName w:val="宋体"/>
    <w:panose1 w:val="00000000000000000000"/>
    <w:charset w:val="86"/>
    <w:family w:val="roman"/>
    <w:pitch w:val="default"/>
    <w:sig w:usb0="00000000" w:usb1="00000000" w:usb2="00000010" w:usb3="00000000" w:csb0="00040000" w:csb1="00000000"/>
  </w:font>
  <w:font w:name="黑体;SimHei">
    <w:altName w:val="宋体"/>
    <w:panose1 w:val="00000000000000000000"/>
    <w:charset w:val="86"/>
    <w:family w:val="roma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仿宋">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55" o:spid="_x0000_s2055"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pict>
        <v:shape id="_x0000_s2053" o:spid="_x0000_s2053"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joinstyle="miter"/>
          <v:imagedata o:title=""/>
          <o:lock v:ext="edit"/>
          <v:textbox inset="0mm,0mm,0mm,0mm" style="mso-fit-shape-to-text:t;">
            <w:txbxContent>
              <w:p>
                <w:pPr>
                  <w:pStyle w:val="12"/>
                </w:pP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23</w:t>
                </w:r>
                <w:r>
                  <w:rPr>
                    <w:rFonts w:hint="eastAsia" w:ascii="楷体" w:hAnsi="楷体" w:eastAsia="楷体" w:cs="楷体"/>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2"/>
      </w:rPr>
    </w:pPr>
    <w:r>
      <w:fldChar w:fldCharType="begin"/>
    </w:r>
    <w:r>
      <w:rPr>
        <w:rStyle w:val="22"/>
      </w:rPr>
      <w:instrText xml:space="preserve">PAGE  </w:instrText>
    </w:r>
    <w:r>
      <w:fldChar w:fldCharType="end"/>
    </w:r>
  </w:p>
  <w:p>
    <w:pPr>
      <w:pStyle w:val="12"/>
      <w:ind w:right="360"/>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pict>
        <v:shape id="_x0000_s2054" o:spid="_x0000_s2054"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joinstyle="miter"/>
          <v:imagedata o:title=""/>
          <o:lock v:ext="edit"/>
          <v:textbox inset="0mm,0mm,0mm,0mm" style="mso-fit-shape-to-text:t;">
            <w:txbxContent>
              <w:p>
                <w:pPr>
                  <w:pStyle w:val="12"/>
                </w:pPr>
                <w:r>
                  <w:rPr>
                    <w:rFonts w:hint="eastAsia" w:ascii="楷体" w:hAnsi="楷体" w:eastAsia="楷体" w:cs="楷体"/>
                  </w:rPr>
                  <w:fldChar w:fldCharType="begin"/>
                </w:r>
                <w:r>
                  <w:rPr>
                    <w:rFonts w:hint="eastAsia" w:ascii="楷体" w:hAnsi="楷体" w:eastAsia="楷体" w:cs="楷体"/>
                  </w:rPr>
                  <w:instrText xml:space="preserve"> PAGE  \* MERGEFORMAT </w:instrText>
                </w:r>
                <w:r>
                  <w:rPr>
                    <w:rFonts w:hint="eastAsia" w:ascii="楷体" w:hAnsi="楷体" w:eastAsia="楷体" w:cs="楷体"/>
                  </w:rPr>
                  <w:fldChar w:fldCharType="separate"/>
                </w:r>
                <w:r>
                  <w:rPr>
                    <w:rFonts w:ascii="楷体" w:hAnsi="楷体" w:eastAsia="楷体" w:cs="楷体"/>
                  </w:rPr>
                  <w:t>64</w:t>
                </w:r>
                <w:r>
                  <w:rPr>
                    <w:rFonts w:hint="eastAsia" w:ascii="楷体" w:hAnsi="楷体" w:eastAsia="楷体" w:cs="楷体"/>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Style w:val="30"/>
        <w:sz w:val="15"/>
      </w:rPr>
    </w:pPr>
    <w:r>
      <w:pict>
        <v:shape id="_x0000_s2050" o:spid="_x0000_s2050"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4M8c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V2iJI5bnPj5x/fzz9/nX98I&#10;+lCgPkCNeY8BM9Nw4wdcm9kP6My8BxVt/iIjgnHEOl3klUMiIj9aLVerCkMCY/MF8dnT8xAh3Ulv&#10;STYaGnF+RVZ+vIc0ps4puZrzt9qYMkPj/nIgZvaw3PvYY7bSsBsmQjvfnpBPj6NvqMNNp8R8dKgs&#10;9pdmI87GbjYOIep9V9Yo14Pw4ZCwidJbrjDCToVxZoXdtF95KZ7fS9bTP7X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TgzxyQEAAJsDAAAOAAAAAAAAAAEAIAAAAB4BAABkcnMvZTJvRG9j&#10;LnhtbFBLBQYAAAAABgAGAFkBAABZBQAAAAA=&#1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78</w:t>
                </w:r>
                <w:r>
                  <w:fldChar w:fldCharType="end"/>
                </w:r>
              </w:p>
            </w:txbxContent>
          </v:textbox>
        </v:shape>
      </w:pict>
    </w:r>
    <w:r>
      <w:rPr>
        <w:rStyle w:val="30"/>
      </w:rPr>
      <w:pict>
        <v:shape id="_x0000_s2049" o:spid="_x0000_s2049"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mk9kDS&#10;AAAABQEAAA8AAAAAAAAAAQAgAAAAIgAAAGRycy9kb3ducmV2LnhtbFBLAQIUABQAAAAIAIdO4kBE&#10;WH79tAEAAHUDAAAOAAAAAAAAAAEAIAAAACEBAABkcnMvZTJvRG9jLnhtbFBLBQYAAAAABgAGAFkB&#10;AABHBQAAAAA=&#10;">
          <v:path/>
          <v:fill on="f" focussize="0,0"/>
          <v:stroke on="f" joinstyle="miter"/>
          <v:imagedata o:title=""/>
          <o:lock v:ext="edit"/>
          <v:textbox inset="0mm,0mm,0mm,0mm">
            <w:txbxContent>
              <w:p>
                <w:pPr>
                  <w:pStyle w:val="12"/>
                  <w:rPr>
                    <w:rStyle w:val="30"/>
                  </w:rPr>
                </w:pPr>
              </w:p>
              <w:p>
                <w:pPr>
                  <w:rPr>
                    <w:rStyle w:val="30"/>
                  </w:rPr>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30"/>
        <w:rFonts w:ascii="仿宋_GB2312" w:eastAsia="仿宋_GB2312"/>
      </w:rPr>
    </w:pPr>
    <w:r>
      <w:pict>
        <v:shape id="_x0000_s2052" o:spid="_x0000_s2052"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73</w:t>
                </w:r>
                <w:r>
                  <w:fldChar w:fldCharType="end"/>
                </w:r>
              </w:p>
            </w:txbxContent>
          </v:textbox>
        </v:shape>
      </w:pict>
    </w:r>
    <w:r>
      <w:rPr>
        <w:rStyle w:val="30"/>
      </w:rPr>
      <w:pict>
        <v:shape id="_x0000_s2051" o:spid="_x0000_s2051"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aT2QNIA&#10;AAAFAQAADwAAAAAAAAABACAAAAAiAAAAZHJzL2Rvd25yZXYueG1sUEsBAhQAFAAAAAgAh07iQBwV&#10;RkuzAQAAcwMAAA4AAAAAAAAAAQAgAAAAIQEAAGRycy9lMm9Eb2MueG1sUEsFBgAAAAAGAAYAWQEA&#10;AEYFAAAAAA==&#10;">
          <v:path/>
          <v:fill on="f" focussize="0,0"/>
          <v:stroke on="f" joinstyle="miter"/>
          <v:imagedata o:title=""/>
          <o:lock v:ext="edit"/>
          <v:textbox inset="0mm,0mm,0mm,0mm">
            <w:txbxContent>
              <w:p>
                <w:pPr>
                  <w:pStyle w:val="12"/>
                  <w:rPr>
                    <w:rStyle w:val="30"/>
                  </w:rPr>
                </w:pPr>
              </w:p>
              <w:p>
                <w:pPr>
                  <w:rPr>
                    <w:rStyle w:val="30"/>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rPr>
        <w:rFonts w:ascii="仿宋_GB2312"/>
        <w:b/>
        <w:i/>
        <w:u w:val="single"/>
      </w:rPr>
    </w:pPr>
    <w:r>
      <w:t></w:t>
    </w:r>
  </w:p>
  <w:p>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tabs>
        <w:tab w:val="clear" w:pos="4153"/>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000000" w:sz="0" w:space="1"/>
      </w:pBdr>
      <w:rPr>
        <w:rStyle w:val="3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000000" w:sz="0" w:space="1"/>
      </w:pBdr>
      <w:rPr>
        <w:rStyle w:val="30"/>
      </w:rPr>
    </w:pPr>
    <w:r>
      <w:rPr>
        <w:rStyle w:val="3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E9F41"/>
    <w:multiLevelType w:val="singleLevel"/>
    <w:tmpl w:val="8CFE9F41"/>
    <w:lvl w:ilvl="0" w:tentative="0">
      <w:start w:val="3"/>
      <w:numFmt w:val="chineseCounting"/>
      <w:suff w:val="space"/>
      <w:lvlText w:val="第%1部分"/>
      <w:lvlJc w:val="left"/>
      <w:pPr>
        <w:widowControl/>
        <w:textAlignment w:val="baseline"/>
      </w:pPr>
    </w:lvl>
  </w:abstractNum>
  <w:abstractNum w:abstractNumId="1">
    <w:nsid w:val="97E7AF51"/>
    <w:multiLevelType w:val="singleLevel"/>
    <w:tmpl w:val="97E7AF51"/>
    <w:lvl w:ilvl="0" w:tentative="0">
      <w:start w:val="28"/>
      <w:numFmt w:val="decimal"/>
      <w:lvlText w:val="%1."/>
      <w:lvlJc w:val="left"/>
      <w:pPr>
        <w:tabs>
          <w:tab w:val="left" w:pos="312"/>
        </w:tabs>
      </w:pPr>
    </w:lvl>
  </w:abstractNum>
  <w:abstractNum w:abstractNumId="2">
    <w:nsid w:val="C3ADAA6B"/>
    <w:multiLevelType w:val="singleLevel"/>
    <w:tmpl w:val="C3ADAA6B"/>
    <w:lvl w:ilvl="0" w:tentative="0">
      <w:start w:val="1"/>
      <w:numFmt w:val="decimal"/>
      <w:suff w:val="nothing"/>
      <w:lvlText w:val="%1、"/>
      <w:lvlJc w:val="left"/>
    </w:lvl>
  </w:abstractNum>
  <w:abstractNum w:abstractNumId="3">
    <w:nsid w:val="DD4D708A"/>
    <w:multiLevelType w:val="singleLevel"/>
    <w:tmpl w:val="DD4D708A"/>
    <w:lvl w:ilvl="0" w:tentative="0">
      <w:start w:val="1"/>
      <w:numFmt w:val="chineseCounting"/>
      <w:suff w:val="nothing"/>
      <w:lvlText w:val="%1、"/>
      <w:lvlJc w:val="left"/>
      <w:rPr>
        <w:rFonts w:hint="eastAsia"/>
      </w:rPr>
    </w:lvl>
  </w:abstractNum>
  <w:abstractNum w:abstractNumId="4">
    <w:nsid w:val="EABFB6DD"/>
    <w:multiLevelType w:val="singleLevel"/>
    <w:tmpl w:val="EABFB6DD"/>
    <w:lvl w:ilvl="0" w:tentative="0">
      <w:start w:val="3"/>
      <w:numFmt w:val="chineseCounting"/>
      <w:suff w:val="space"/>
      <w:lvlText w:val="第%1部分"/>
      <w:lvlJc w:val="left"/>
      <w:pPr>
        <w:widowControl/>
        <w:textAlignment w:val="baseline"/>
      </w:pPr>
    </w:lvl>
  </w:abstractNum>
  <w:abstractNum w:abstractNumId="5">
    <w:nsid w:val="00000007"/>
    <w:multiLevelType w:val="multilevel"/>
    <w:tmpl w:val="00000007"/>
    <w:lvl w:ilvl="0" w:tentative="0">
      <w:start w:val="1"/>
      <w:numFmt w:val="bullet"/>
      <w:lvlText w:val=""/>
      <w:lvlJc w:val="left"/>
      <w:pPr>
        <w:widowControl/>
        <w:tabs>
          <w:tab w:val="left" w:pos="840"/>
        </w:tabs>
        <w:ind w:left="840" w:hanging="420"/>
        <w:textAlignment w:val="baseline"/>
      </w:pPr>
      <w:rPr>
        <w:rFonts w:ascii="Wingdings" w:hAnsi="Wingdings"/>
      </w:rPr>
    </w:lvl>
    <w:lvl w:ilvl="1" w:tentative="0">
      <w:start w:val="1"/>
      <w:numFmt w:val="bullet"/>
      <w:lvlText w:val=""/>
      <w:lvlJc w:val="left"/>
      <w:pPr>
        <w:widowControl/>
        <w:tabs>
          <w:tab w:val="left" w:pos="1260"/>
        </w:tabs>
        <w:ind w:left="1260" w:hanging="420"/>
        <w:textAlignment w:val="baseline"/>
      </w:pPr>
      <w:rPr>
        <w:rFonts w:ascii="Wingdings" w:hAnsi="Wingdings"/>
      </w:rPr>
    </w:lvl>
    <w:lvl w:ilvl="2" w:tentative="0">
      <w:start w:val="1"/>
      <w:numFmt w:val="bullet"/>
      <w:lvlText w:val=""/>
      <w:lvlJc w:val="left"/>
      <w:pPr>
        <w:widowControl/>
        <w:tabs>
          <w:tab w:val="left" w:pos="1680"/>
        </w:tabs>
        <w:ind w:left="1680" w:hanging="420"/>
        <w:textAlignment w:val="baseline"/>
      </w:pPr>
      <w:rPr>
        <w:rFonts w:ascii="Wingdings" w:hAnsi="Wingdings"/>
      </w:rPr>
    </w:lvl>
    <w:lvl w:ilvl="3" w:tentative="0">
      <w:start w:val="1"/>
      <w:numFmt w:val="bullet"/>
      <w:lvlText w:val=""/>
      <w:lvlJc w:val="left"/>
      <w:pPr>
        <w:widowControl/>
        <w:tabs>
          <w:tab w:val="left" w:pos="2100"/>
        </w:tabs>
        <w:ind w:left="2100" w:hanging="420"/>
        <w:textAlignment w:val="baseline"/>
      </w:pPr>
      <w:rPr>
        <w:rFonts w:ascii="Wingdings" w:hAnsi="Wingdings"/>
      </w:rPr>
    </w:lvl>
    <w:lvl w:ilvl="4" w:tentative="0">
      <w:start w:val="1"/>
      <w:numFmt w:val="bullet"/>
      <w:lvlText w:val=""/>
      <w:lvlJc w:val="left"/>
      <w:pPr>
        <w:widowControl/>
        <w:tabs>
          <w:tab w:val="left" w:pos="2520"/>
        </w:tabs>
        <w:ind w:left="2520" w:hanging="420"/>
        <w:textAlignment w:val="baseline"/>
      </w:pPr>
      <w:rPr>
        <w:rFonts w:ascii="Wingdings" w:hAnsi="Wingdings"/>
      </w:rPr>
    </w:lvl>
    <w:lvl w:ilvl="5" w:tentative="0">
      <w:start w:val="1"/>
      <w:numFmt w:val="bullet"/>
      <w:lvlText w:val=""/>
      <w:lvlJc w:val="left"/>
      <w:pPr>
        <w:widowControl/>
        <w:tabs>
          <w:tab w:val="left" w:pos="2940"/>
        </w:tabs>
        <w:ind w:left="2940" w:hanging="420"/>
        <w:textAlignment w:val="baseline"/>
      </w:pPr>
      <w:rPr>
        <w:rFonts w:ascii="Wingdings" w:hAnsi="Wingdings"/>
      </w:rPr>
    </w:lvl>
    <w:lvl w:ilvl="6" w:tentative="0">
      <w:start w:val="1"/>
      <w:numFmt w:val="bullet"/>
      <w:lvlText w:val=""/>
      <w:lvlJc w:val="left"/>
      <w:pPr>
        <w:widowControl/>
        <w:tabs>
          <w:tab w:val="left" w:pos="3360"/>
        </w:tabs>
        <w:ind w:left="3360" w:hanging="420"/>
        <w:textAlignment w:val="baseline"/>
      </w:pPr>
      <w:rPr>
        <w:rFonts w:ascii="Wingdings" w:hAnsi="Wingdings"/>
      </w:rPr>
    </w:lvl>
    <w:lvl w:ilvl="7" w:tentative="0">
      <w:start w:val="1"/>
      <w:numFmt w:val="bullet"/>
      <w:lvlText w:val=""/>
      <w:lvlJc w:val="left"/>
      <w:pPr>
        <w:widowControl/>
        <w:tabs>
          <w:tab w:val="left" w:pos="3780"/>
        </w:tabs>
        <w:ind w:left="3780" w:hanging="420"/>
        <w:textAlignment w:val="baseline"/>
      </w:pPr>
      <w:rPr>
        <w:rFonts w:ascii="Wingdings" w:hAnsi="Wingdings"/>
      </w:rPr>
    </w:lvl>
    <w:lvl w:ilvl="8" w:tentative="0">
      <w:start w:val="1"/>
      <w:numFmt w:val="bullet"/>
      <w:lvlText w:val=""/>
      <w:lvlJc w:val="left"/>
      <w:pPr>
        <w:widowControl/>
        <w:tabs>
          <w:tab w:val="left" w:pos="4200"/>
        </w:tabs>
        <w:ind w:left="4200" w:hanging="420"/>
        <w:textAlignment w:val="baseline"/>
      </w:pPr>
      <w:rPr>
        <w:rFonts w:ascii="Wingdings" w:hAnsi="Wingdings"/>
      </w:rPr>
    </w:lvl>
  </w:abstractNum>
  <w:abstractNum w:abstractNumId="6">
    <w:nsid w:val="53861F46"/>
    <w:multiLevelType w:val="singleLevel"/>
    <w:tmpl w:val="53861F46"/>
    <w:lvl w:ilvl="0" w:tentative="0">
      <w:start w:val="3"/>
      <w:numFmt w:val="decimal"/>
      <w:suff w:val="nothing"/>
      <w:lvlText w:val="%1、"/>
      <w:lvlJc w:val="left"/>
    </w:lvl>
  </w:abstractNum>
  <w:abstractNum w:abstractNumId="7">
    <w:nsid w:val="641B3C18"/>
    <w:multiLevelType w:val="singleLevel"/>
    <w:tmpl w:val="641B3C18"/>
    <w:lvl w:ilvl="0" w:tentative="0">
      <w:start w:val="1"/>
      <w:numFmt w:val="decimal"/>
      <w:suff w:val="nothing"/>
      <w:lvlText w:val="%1、"/>
      <w:lvlJc w:val="left"/>
    </w:lvl>
  </w:abstractNum>
  <w:abstractNum w:abstractNumId="8">
    <w:nsid w:val="7D623BBE"/>
    <w:multiLevelType w:val="singleLevel"/>
    <w:tmpl w:val="7D623BBE"/>
    <w:lvl w:ilvl="0" w:tentative="0">
      <w:start w:val="1"/>
      <w:numFmt w:val="decimal"/>
      <w:suff w:val="nothing"/>
      <w:lvlText w:val="%1、"/>
      <w:lvlJc w:val="left"/>
    </w:lvl>
  </w:abstractNum>
  <w:num w:numId="1">
    <w:abstractNumId w:val="4"/>
  </w:num>
  <w:num w:numId="2">
    <w:abstractNumId w:val="5"/>
  </w:num>
  <w:num w:numId="3">
    <w:abstractNumId w:val="1"/>
  </w:num>
  <w:num w:numId="4">
    <w:abstractNumId w:val="0"/>
  </w:num>
  <w:num w:numId="5">
    <w:abstractNumId w:val="3"/>
  </w:num>
  <w:num w:numId="6">
    <w:abstractNumId w:val="6"/>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7BF45091"/>
    <w:rsid w:val="000E3684"/>
    <w:rsid w:val="00263C5F"/>
    <w:rsid w:val="002A55C9"/>
    <w:rsid w:val="0038637B"/>
    <w:rsid w:val="0048607B"/>
    <w:rsid w:val="004D63C7"/>
    <w:rsid w:val="006B779E"/>
    <w:rsid w:val="0076431F"/>
    <w:rsid w:val="00833827"/>
    <w:rsid w:val="008B2D4D"/>
    <w:rsid w:val="00C96AB6"/>
    <w:rsid w:val="00D11741"/>
    <w:rsid w:val="00D857AD"/>
    <w:rsid w:val="00F7577F"/>
    <w:rsid w:val="00FB46F2"/>
    <w:rsid w:val="012A32CD"/>
    <w:rsid w:val="01920364"/>
    <w:rsid w:val="027C273E"/>
    <w:rsid w:val="02CB0DB6"/>
    <w:rsid w:val="033B4E87"/>
    <w:rsid w:val="0438160E"/>
    <w:rsid w:val="04762137"/>
    <w:rsid w:val="047F63EF"/>
    <w:rsid w:val="04EB1E31"/>
    <w:rsid w:val="05642E99"/>
    <w:rsid w:val="05820656"/>
    <w:rsid w:val="060E0DE8"/>
    <w:rsid w:val="073E5C43"/>
    <w:rsid w:val="08340ACA"/>
    <w:rsid w:val="08E334B6"/>
    <w:rsid w:val="094D7484"/>
    <w:rsid w:val="0AA463A7"/>
    <w:rsid w:val="0B325009"/>
    <w:rsid w:val="0C882A07"/>
    <w:rsid w:val="0CA4472B"/>
    <w:rsid w:val="0CA75583"/>
    <w:rsid w:val="0CC96934"/>
    <w:rsid w:val="0CE206FE"/>
    <w:rsid w:val="0DC57CC8"/>
    <w:rsid w:val="0DD44BC3"/>
    <w:rsid w:val="0DDB7AC4"/>
    <w:rsid w:val="0DF41CD4"/>
    <w:rsid w:val="0DF90060"/>
    <w:rsid w:val="0EBB1499"/>
    <w:rsid w:val="0ED62346"/>
    <w:rsid w:val="0FC43ABE"/>
    <w:rsid w:val="0FF90A2D"/>
    <w:rsid w:val="100F5D37"/>
    <w:rsid w:val="10AC13D9"/>
    <w:rsid w:val="10C66700"/>
    <w:rsid w:val="10CA5CE4"/>
    <w:rsid w:val="10CB1262"/>
    <w:rsid w:val="110E3E23"/>
    <w:rsid w:val="118B5473"/>
    <w:rsid w:val="11C6188A"/>
    <w:rsid w:val="12884486"/>
    <w:rsid w:val="132859D5"/>
    <w:rsid w:val="13356C81"/>
    <w:rsid w:val="134539FA"/>
    <w:rsid w:val="13B862C8"/>
    <w:rsid w:val="13DA4490"/>
    <w:rsid w:val="13F3047E"/>
    <w:rsid w:val="147534D7"/>
    <w:rsid w:val="14AD03AF"/>
    <w:rsid w:val="14B95E54"/>
    <w:rsid w:val="150B1055"/>
    <w:rsid w:val="15267261"/>
    <w:rsid w:val="15B42ABF"/>
    <w:rsid w:val="16934A1A"/>
    <w:rsid w:val="177D7E6A"/>
    <w:rsid w:val="19137AFC"/>
    <w:rsid w:val="1949525A"/>
    <w:rsid w:val="198D5E43"/>
    <w:rsid w:val="1A49095B"/>
    <w:rsid w:val="1A7F08BD"/>
    <w:rsid w:val="1ACE2356"/>
    <w:rsid w:val="1C193765"/>
    <w:rsid w:val="1C4E4B79"/>
    <w:rsid w:val="1CF42232"/>
    <w:rsid w:val="1D266050"/>
    <w:rsid w:val="1D3F7112"/>
    <w:rsid w:val="1D607114"/>
    <w:rsid w:val="1DC73870"/>
    <w:rsid w:val="1DC833AF"/>
    <w:rsid w:val="1DE5269D"/>
    <w:rsid w:val="1E391C28"/>
    <w:rsid w:val="1F0E209B"/>
    <w:rsid w:val="1F4C5B16"/>
    <w:rsid w:val="1F8F51C5"/>
    <w:rsid w:val="1FDA0C02"/>
    <w:rsid w:val="206A29A3"/>
    <w:rsid w:val="20B85E99"/>
    <w:rsid w:val="20E06E5E"/>
    <w:rsid w:val="21202A2B"/>
    <w:rsid w:val="237F6883"/>
    <w:rsid w:val="24596B04"/>
    <w:rsid w:val="24BA6C76"/>
    <w:rsid w:val="25A72EBF"/>
    <w:rsid w:val="26AB41B9"/>
    <w:rsid w:val="26F44529"/>
    <w:rsid w:val="27006A08"/>
    <w:rsid w:val="2714544A"/>
    <w:rsid w:val="272C59D1"/>
    <w:rsid w:val="279C2BD8"/>
    <w:rsid w:val="29D312AD"/>
    <w:rsid w:val="29DF31D2"/>
    <w:rsid w:val="2A362D43"/>
    <w:rsid w:val="2A984617"/>
    <w:rsid w:val="2B87197F"/>
    <w:rsid w:val="2BEA7F35"/>
    <w:rsid w:val="2C8D1500"/>
    <w:rsid w:val="2CA32018"/>
    <w:rsid w:val="2D10238C"/>
    <w:rsid w:val="2EA119DB"/>
    <w:rsid w:val="30462597"/>
    <w:rsid w:val="3054419A"/>
    <w:rsid w:val="309D1D38"/>
    <w:rsid w:val="31690313"/>
    <w:rsid w:val="33830196"/>
    <w:rsid w:val="342C1CC1"/>
    <w:rsid w:val="356A0652"/>
    <w:rsid w:val="360C62D3"/>
    <w:rsid w:val="362353CB"/>
    <w:rsid w:val="3637743B"/>
    <w:rsid w:val="365E2CB0"/>
    <w:rsid w:val="3728418B"/>
    <w:rsid w:val="37F40FB0"/>
    <w:rsid w:val="386B29AF"/>
    <w:rsid w:val="38962237"/>
    <w:rsid w:val="38D868FD"/>
    <w:rsid w:val="3A015A23"/>
    <w:rsid w:val="3B1D16A6"/>
    <w:rsid w:val="3CC33F8F"/>
    <w:rsid w:val="3CCE76C0"/>
    <w:rsid w:val="3E115423"/>
    <w:rsid w:val="3E1A1A93"/>
    <w:rsid w:val="3E29254D"/>
    <w:rsid w:val="3E6B006F"/>
    <w:rsid w:val="3F0F23EB"/>
    <w:rsid w:val="3F104B62"/>
    <w:rsid w:val="3F1E0E25"/>
    <w:rsid w:val="401629D7"/>
    <w:rsid w:val="404448BC"/>
    <w:rsid w:val="41A13207"/>
    <w:rsid w:val="41DF4464"/>
    <w:rsid w:val="41E21A9C"/>
    <w:rsid w:val="41F3318B"/>
    <w:rsid w:val="42F2213C"/>
    <w:rsid w:val="430C29A1"/>
    <w:rsid w:val="430F4345"/>
    <w:rsid w:val="43316763"/>
    <w:rsid w:val="43602FBC"/>
    <w:rsid w:val="4489323C"/>
    <w:rsid w:val="44A73A14"/>
    <w:rsid w:val="44E603DF"/>
    <w:rsid w:val="455C78E1"/>
    <w:rsid w:val="45DA367A"/>
    <w:rsid w:val="47CF2A5D"/>
    <w:rsid w:val="47DC0551"/>
    <w:rsid w:val="48116B56"/>
    <w:rsid w:val="485F6737"/>
    <w:rsid w:val="489647E2"/>
    <w:rsid w:val="48BD07B5"/>
    <w:rsid w:val="48F567EB"/>
    <w:rsid w:val="490C7F41"/>
    <w:rsid w:val="49B22DA7"/>
    <w:rsid w:val="49D56585"/>
    <w:rsid w:val="4A0D3F70"/>
    <w:rsid w:val="4ABE526B"/>
    <w:rsid w:val="4BB47B19"/>
    <w:rsid w:val="4C180CCA"/>
    <w:rsid w:val="4C303F46"/>
    <w:rsid w:val="4CAF7971"/>
    <w:rsid w:val="4CDC2F12"/>
    <w:rsid w:val="4D377112"/>
    <w:rsid w:val="4EF804EA"/>
    <w:rsid w:val="4FCD4523"/>
    <w:rsid w:val="4FF046C3"/>
    <w:rsid w:val="508D173F"/>
    <w:rsid w:val="51F1391D"/>
    <w:rsid w:val="52E14928"/>
    <w:rsid w:val="539D0A99"/>
    <w:rsid w:val="53B33001"/>
    <w:rsid w:val="54445C19"/>
    <w:rsid w:val="54CE5F21"/>
    <w:rsid w:val="550E59D3"/>
    <w:rsid w:val="55D1679A"/>
    <w:rsid w:val="55DC0FEC"/>
    <w:rsid w:val="57661B35"/>
    <w:rsid w:val="585F0A5A"/>
    <w:rsid w:val="589F0489"/>
    <w:rsid w:val="5979193D"/>
    <w:rsid w:val="5A2B6CB3"/>
    <w:rsid w:val="5B873AA1"/>
    <w:rsid w:val="5BB20FA0"/>
    <w:rsid w:val="5BBA23F7"/>
    <w:rsid w:val="5ED30179"/>
    <w:rsid w:val="5F4E4A2B"/>
    <w:rsid w:val="5FBC45CC"/>
    <w:rsid w:val="60462F06"/>
    <w:rsid w:val="60CF47E8"/>
    <w:rsid w:val="6283706E"/>
    <w:rsid w:val="63B04BB3"/>
    <w:rsid w:val="63C707C7"/>
    <w:rsid w:val="65DF7C3D"/>
    <w:rsid w:val="663421B8"/>
    <w:rsid w:val="687A1118"/>
    <w:rsid w:val="68817BAC"/>
    <w:rsid w:val="68F37C56"/>
    <w:rsid w:val="69A37442"/>
    <w:rsid w:val="6AB06526"/>
    <w:rsid w:val="6D2C3B0F"/>
    <w:rsid w:val="6FC645FC"/>
    <w:rsid w:val="70DC1201"/>
    <w:rsid w:val="70E64A50"/>
    <w:rsid w:val="71E46EDD"/>
    <w:rsid w:val="71EC5C16"/>
    <w:rsid w:val="725473D5"/>
    <w:rsid w:val="74FA5C9D"/>
    <w:rsid w:val="76733A47"/>
    <w:rsid w:val="76D146C1"/>
    <w:rsid w:val="778E3F73"/>
    <w:rsid w:val="78050D95"/>
    <w:rsid w:val="78E112AF"/>
    <w:rsid w:val="791D167E"/>
    <w:rsid w:val="795568AA"/>
    <w:rsid w:val="79584959"/>
    <w:rsid w:val="79E5618A"/>
    <w:rsid w:val="7A546839"/>
    <w:rsid w:val="7B5F2C31"/>
    <w:rsid w:val="7B842294"/>
    <w:rsid w:val="7BBE3F28"/>
    <w:rsid w:val="7BF45091"/>
    <w:rsid w:val="7C6A42BF"/>
    <w:rsid w:val="7D366D5F"/>
    <w:rsid w:val="7DB9274A"/>
    <w:rsid w:val="7DB93844"/>
    <w:rsid w:val="7E1F3253"/>
    <w:rsid w:val="7E9640E7"/>
    <w:rsid w:val="7F0925B5"/>
    <w:rsid w:val="7F114635"/>
    <w:rsid w:val="7F193906"/>
    <w:rsid w:val="7F632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heme="minorBidi"/>
      <w:kern w:val="2"/>
      <w:sz w:val="21"/>
      <w:szCs w:val="24"/>
      <w:lang w:val="en-US" w:eastAsia="zh-CN" w:bidi="ar-SA"/>
    </w:rPr>
  </w:style>
  <w:style w:type="paragraph" w:styleId="2">
    <w:name w:val="heading 1"/>
    <w:basedOn w:val="1"/>
    <w:next w:val="1"/>
    <w:link w:val="28"/>
    <w:qFormat/>
    <w:uiPriority w:val="0"/>
    <w:pPr>
      <w:keepNext/>
      <w:keepLines/>
      <w:spacing w:line="576" w:lineRule="auto"/>
      <w:outlineLvl w:val="0"/>
    </w:pPr>
    <w:rPr>
      <w:b/>
      <w:kern w:val="44"/>
      <w:sz w:val="32"/>
    </w:rPr>
  </w:style>
  <w:style w:type="paragraph" w:styleId="3">
    <w:name w:val="heading 2"/>
    <w:basedOn w:val="1"/>
    <w:next w:val="1"/>
    <w:semiHidden/>
    <w:unhideWhenUsed/>
    <w:qFormat/>
    <w:uiPriority w:val="0"/>
    <w:pPr>
      <w:keepNext/>
      <w:keepLines/>
      <w:tabs>
        <w:tab w:val="left" w:pos="706"/>
      </w:tabs>
      <w:outlineLvl w:val="1"/>
    </w:pPr>
    <w:rPr>
      <w:rFonts w:ascii="宋体" w:hAnsi="宋体" w:cs="Arial"/>
      <w:b/>
      <w:bCs/>
      <w:sz w:val="28"/>
      <w:szCs w:val="32"/>
    </w:rPr>
  </w:style>
  <w:style w:type="paragraph" w:styleId="4">
    <w:name w:val="heading 3"/>
    <w:basedOn w:val="1"/>
    <w:next w:val="1"/>
    <w:link w:val="29"/>
    <w:semiHidden/>
    <w:unhideWhenUsed/>
    <w:qFormat/>
    <w:uiPriority w:val="0"/>
    <w:pPr>
      <w:keepNext/>
      <w:keepLines/>
      <w:spacing w:before="260" w:after="260" w:line="413" w:lineRule="auto"/>
      <w:outlineLvl w:val="2"/>
    </w:pPr>
    <w:rPr>
      <w:rFonts w:ascii="宋体" w:hAnsi="宋体"/>
      <w:b/>
      <w:sz w:val="28"/>
    </w:rPr>
  </w:style>
  <w:style w:type="character" w:default="1" w:styleId="20">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caption"/>
    <w:basedOn w:val="1"/>
    <w:next w:val="1"/>
    <w:qFormat/>
    <w:uiPriority w:val="0"/>
    <w:pPr>
      <w:spacing w:before="152" w:after="160" w:line="360" w:lineRule="auto"/>
    </w:pPr>
    <w:rPr>
      <w:rFonts w:ascii="Arial" w:hAnsi="Arial" w:eastAsia="黑体"/>
      <w:sz w:val="20"/>
      <w:szCs w:val="20"/>
    </w:rPr>
  </w:style>
  <w:style w:type="paragraph" w:styleId="7">
    <w:name w:val="annotation text"/>
    <w:basedOn w:val="1"/>
    <w:qFormat/>
    <w:uiPriority w:val="0"/>
    <w:pPr>
      <w:jc w:val="left"/>
    </w:pPr>
  </w:style>
  <w:style w:type="paragraph" w:styleId="8">
    <w:name w:val="Body Text"/>
    <w:basedOn w:val="1"/>
    <w:next w:val="1"/>
    <w:qFormat/>
    <w:uiPriority w:val="0"/>
  </w:style>
  <w:style w:type="paragraph" w:styleId="9">
    <w:name w:val="Body Text Indent"/>
    <w:basedOn w:val="1"/>
    <w:next w:val="10"/>
    <w:qFormat/>
    <w:uiPriority w:val="0"/>
    <w:pPr>
      <w:spacing w:line="440" w:lineRule="exact"/>
      <w:ind w:firstLine="560" w:firstLineChars="200"/>
    </w:pPr>
    <w:rPr>
      <w:rFonts w:ascii="宋体" w:hAnsi="宋体"/>
      <w:kern w:val="0"/>
      <w:sz w:val="28"/>
    </w:rPr>
  </w:style>
  <w:style w:type="paragraph" w:styleId="10">
    <w:name w:val="envelope return"/>
    <w:basedOn w:val="1"/>
    <w:qFormat/>
    <w:uiPriority w:val="0"/>
    <w:pPr>
      <w:snapToGrid w:val="0"/>
    </w:pPr>
    <w:rPr>
      <w:rFonts w:ascii="Arial" w:hAnsi="Arial" w:cs="Arial"/>
      <w:sz w:val="24"/>
    </w:rPr>
  </w:style>
  <w:style w:type="paragraph" w:styleId="11">
    <w:name w:val="Plain Text"/>
    <w:basedOn w:val="1"/>
    <w:next w:val="1"/>
    <w:qFormat/>
    <w:uiPriority w:val="0"/>
    <w:pPr>
      <w:widowControl w:val="0"/>
      <w:textAlignment w:val="auto"/>
    </w:pPr>
    <w:rPr>
      <w:rFonts w:ascii="宋体" w:hAnsi="宋体" w:cs="Arial"/>
      <w:szCs w:val="21"/>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4">
    <w:name w:val="toc 6"/>
    <w:basedOn w:val="1"/>
    <w:next w:val="1"/>
    <w:qFormat/>
    <w:uiPriority w:val="0"/>
    <w:pPr>
      <w:ind w:left="2100" w:leftChars="1000"/>
    </w:pPr>
  </w:style>
  <w:style w:type="paragraph" w:styleId="15">
    <w:name w:val="Body Text 2"/>
    <w:basedOn w:val="1"/>
    <w:qFormat/>
    <w:uiPriority w:val="0"/>
    <w:pPr>
      <w:spacing w:line="480" w:lineRule="auto"/>
    </w:pPr>
  </w:style>
  <w:style w:type="paragraph" w:styleId="16">
    <w:name w:val="Title"/>
    <w:basedOn w:val="1"/>
    <w:qFormat/>
    <w:uiPriority w:val="0"/>
    <w:pPr>
      <w:spacing w:line="360" w:lineRule="auto"/>
      <w:jc w:val="center"/>
    </w:pPr>
    <w:rPr>
      <w:b/>
      <w:kern w:val="0"/>
      <w:sz w:val="36"/>
      <w:szCs w:val="20"/>
      <w:lang w:val="en-GB"/>
    </w:rPr>
  </w:style>
  <w:style w:type="paragraph" w:styleId="17">
    <w:name w:val="Body Text First Indent"/>
    <w:basedOn w:val="8"/>
    <w:next w:val="1"/>
    <w:qFormat/>
    <w:uiPriority w:val="0"/>
    <w:pPr>
      <w:ind w:firstLine="420"/>
    </w:pPr>
    <w:rPr>
      <w:rFonts w:ascii="Times New Roman" w:hAnsi="Times New Roman"/>
      <w:szCs w:val="20"/>
    </w:rPr>
  </w:style>
  <w:style w:type="paragraph" w:styleId="18">
    <w:name w:val="Body Text First Indent 2"/>
    <w:basedOn w:val="9"/>
    <w:next w:val="17"/>
    <w:qFormat/>
    <w:uiPriority w:val="0"/>
    <w:pPr>
      <w:spacing w:after="120" w:line="240" w:lineRule="auto"/>
      <w:ind w:left="420" w:leftChars="200" w:firstLine="0"/>
    </w:pPr>
    <w:rPr>
      <w:rFonts w:ascii="Times New Roman" w:hAnsi="Times New Roman"/>
      <w:sz w:val="21"/>
      <w:szCs w:val="21"/>
    </w:rPr>
  </w:style>
  <w:style w:type="character" w:styleId="21">
    <w:name w:val="Strong"/>
    <w:qFormat/>
    <w:uiPriority w:val="0"/>
    <w:rPr>
      <w:rFonts w:cs="Calibri"/>
      <w:b/>
      <w:bCs/>
    </w:rPr>
  </w:style>
  <w:style w:type="character" w:styleId="22">
    <w:name w:val="page number"/>
    <w:basedOn w:val="20"/>
    <w:qFormat/>
    <w:uiPriority w:val="0"/>
  </w:style>
  <w:style w:type="character" w:styleId="23">
    <w:name w:val="Hyperlink"/>
    <w:qFormat/>
    <w:uiPriority w:val="0"/>
    <w:rPr>
      <w:color w:val="0000FF"/>
      <w:u w:val="single"/>
    </w:rPr>
  </w:style>
  <w:style w:type="paragraph" w:customStyle="1" w:styleId="24">
    <w:name w:val="DAS正文"/>
    <w:basedOn w:val="1"/>
    <w:qFormat/>
    <w:uiPriority w:val="0"/>
    <w:pPr>
      <w:ind w:right="181" w:firstLine="480"/>
    </w:pPr>
    <w:rPr>
      <w:rFonts w:ascii="Verdana" w:hAnsi="Verdana"/>
      <w:sz w:val="24"/>
    </w:rPr>
  </w:style>
  <w:style w:type="paragraph" w:customStyle="1" w:styleId="25">
    <w:name w:val="_Style 3"/>
    <w:basedOn w:val="1"/>
    <w:qFormat/>
    <w:uiPriority w:val="0"/>
    <w:pPr>
      <w:ind w:firstLine="420" w:firstLineChars="200"/>
    </w:pPr>
    <w:rPr>
      <w:rFonts w:ascii="Times New Roman" w:hAnsi="Times New Roman"/>
    </w:rPr>
  </w:style>
  <w:style w:type="paragraph" w:customStyle="1" w:styleId="26">
    <w:name w:val="表格文字"/>
    <w:basedOn w:val="1"/>
    <w:next w:val="8"/>
    <w:qFormat/>
    <w:uiPriority w:val="0"/>
  </w:style>
  <w:style w:type="paragraph" w:customStyle="1" w:styleId="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8">
    <w:name w:val="标题 1 Char"/>
    <w:link w:val="2"/>
    <w:qFormat/>
    <w:uiPriority w:val="0"/>
    <w:rPr>
      <w:rFonts w:eastAsia="宋体"/>
      <w:b/>
      <w:kern w:val="44"/>
      <w:sz w:val="32"/>
    </w:rPr>
  </w:style>
  <w:style w:type="character" w:customStyle="1" w:styleId="29">
    <w:name w:val="标题 3 Char"/>
    <w:link w:val="4"/>
    <w:qFormat/>
    <w:uiPriority w:val="0"/>
    <w:rPr>
      <w:rFonts w:ascii="宋体" w:hAnsi="宋体" w:eastAsia="宋体"/>
      <w:b/>
      <w:sz w:val="28"/>
    </w:rPr>
  </w:style>
  <w:style w:type="character" w:customStyle="1" w:styleId="30">
    <w:name w:val="NormalCharacter"/>
    <w:semiHidden/>
    <w:qFormat/>
    <w:uiPriority w:val="0"/>
  </w:style>
  <w:style w:type="paragraph" w:customStyle="1" w:styleId="31">
    <w:name w:val="PlainText"/>
    <w:basedOn w:val="1"/>
    <w:qFormat/>
    <w:uiPriority w:val="0"/>
    <w:rPr>
      <w:rFonts w:ascii="宋体" w:hAnsi="Courier New"/>
      <w:szCs w:val="20"/>
    </w:rPr>
  </w:style>
  <w:style w:type="paragraph" w:customStyle="1" w:styleId="32">
    <w:name w:val="HtmlNormal"/>
    <w:basedOn w:val="1"/>
    <w:qFormat/>
    <w:uiPriority w:val="0"/>
    <w:pPr>
      <w:spacing w:before="100" w:beforeAutospacing="1" w:after="100" w:afterAutospacing="1"/>
      <w:jc w:val="left"/>
    </w:pPr>
    <w:rPr>
      <w:rFonts w:ascii="宋体" w:hAnsi="宋体"/>
      <w:color w:val="000000"/>
      <w:kern w:val="0"/>
      <w:sz w:val="24"/>
    </w:rPr>
  </w:style>
  <w:style w:type="paragraph" w:customStyle="1" w:styleId="33">
    <w:name w:val="BodyTextIndent"/>
    <w:basedOn w:val="1"/>
    <w:next w:val="34"/>
    <w:qFormat/>
    <w:uiPriority w:val="0"/>
    <w:pPr>
      <w:spacing w:line="480" w:lineRule="exact"/>
      <w:ind w:firstLine="480" w:firstLineChars="200"/>
    </w:pPr>
    <w:rPr>
      <w:rFonts w:ascii="宋体" w:hAnsi="宋体"/>
      <w:sz w:val="24"/>
    </w:rPr>
  </w:style>
  <w:style w:type="paragraph" w:customStyle="1" w:styleId="34">
    <w:name w:val="EnvelopeReturn"/>
    <w:basedOn w:val="1"/>
    <w:qFormat/>
    <w:uiPriority w:val="0"/>
    <w:pPr>
      <w:snapToGrid w:val="0"/>
    </w:pPr>
    <w:rPr>
      <w:rFonts w:ascii="Arial" w:hAnsi="Arial"/>
    </w:rPr>
  </w:style>
  <w:style w:type="paragraph" w:customStyle="1" w:styleId="35">
    <w:name w:val="NormalIndent"/>
    <w:basedOn w:val="1"/>
    <w:next w:val="33"/>
    <w:qFormat/>
    <w:uiPriority w:val="0"/>
    <w:pPr>
      <w:snapToGrid w:val="0"/>
      <w:spacing w:line="480" w:lineRule="exact"/>
      <w:ind w:firstLine="567"/>
    </w:pPr>
    <w:rPr>
      <w:rFonts w:ascii="宋体"/>
      <w:color w:val="000000"/>
      <w:kern w:val="28"/>
      <w:sz w:val="28"/>
      <w:szCs w:val="20"/>
    </w:rPr>
  </w:style>
  <w:style w:type="paragraph" w:customStyle="1" w:styleId="36">
    <w:name w:val="UserStyle_14"/>
    <w:basedOn w:val="1"/>
    <w:qFormat/>
    <w:uiPriority w:val="0"/>
    <w:pPr>
      <w:spacing w:before="156" w:line="360" w:lineRule="auto"/>
      <w:ind w:firstLine="510" w:firstLineChars="200"/>
    </w:pPr>
    <w:rPr>
      <w:sz w:val="24"/>
      <w:szCs w:val="20"/>
    </w:rPr>
  </w:style>
  <w:style w:type="paragraph" w:customStyle="1" w:styleId="37">
    <w:name w:val="BodyText"/>
    <w:basedOn w:val="1"/>
    <w:next w:val="38"/>
    <w:qFormat/>
    <w:uiPriority w:val="0"/>
    <w:pPr>
      <w:spacing w:after="120"/>
    </w:pPr>
  </w:style>
  <w:style w:type="paragraph" w:customStyle="1" w:styleId="38">
    <w:name w:val="BodyText1I"/>
    <w:basedOn w:val="37"/>
    <w:next w:val="39"/>
    <w:qFormat/>
    <w:uiPriority w:val="0"/>
    <w:pPr>
      <w:ind w:firstLine="420" w:firstLineChars="100"/>
    </w:pPr>
    <w:rPr>
      <w:rFonts w:ascii="Times New Roman"/>
    </w:rPr>
  </w:style>
  <w:style w:type="paragraph" w:customStyle="1" w:styleId="39">
    <w:name w:val="TOC6"/>
    <w:basedOn w:val="1"/>
    <w:next w:val="1"/>
    <w:qFormat/>
    <w:uiPriority w:val="0"/>
    <w:pPr>
      <w:ind w:left="1050"/>
      <w:jc w:val="left"/>
    </w:pPr>
    <w:rPr>
      <w:szCs w:val="21"/>
    </w:rPr>
  </w:style>
  <w:style w:type="paragraph" w:customStyle="1" w:styleId="40">
    <w:name w:val="UserStyle_31"/>
    <w:qFormat/>
    <w:uiPriority w:val="0"/>
    <w:pPr>
      <w:spacing w:before="156" w:line="360" w:lineRule="atLeast"/>
      <w:ind w:left="567" w:firstLine="510"/>
      <w:jc w:val="both"/>
      <w:textAlignment w:val="baseline"/>
    </w:pPr>
    <w:rPr>
      <w:rFonts w:ascii="Calibri" w:hAnsi="Calibri" w:eastAsia="宋体" w:cstheme="minorBidi"/>
      <w:lang w:val="en-US" w:eastAsia="zh-CN" w:bidi="ar-SA"/>
    </w:rPr>
  </w:style>
  <w:style w:type="paragraph" w:customStyle="1" w:styleId="41">
    <w:name w:val="UserStyle_32"/>
    <w:basedOn w:val="1"/>
    <w:next w:val="33"/>
    <w:qFormat/>
    <w:uiPriority w:val="0"/>
    <w:pPr>
      <w:snapToGrid w:val="0"/>
      <w:spacing w:after="120" w:line="360" w:lineRule="auto"/>
      <w:ind w:left="420" w:leftChars="200" w:firstLine="480" w:firstLineChars="200"/>
    </w:pPr>
    <w:rPr>
      <w:sz w:val="24"/>
      <w:szCs w:val="21"/>
    </w:rPr>
  </w:style>
  <w:style w:type="paragraph" w:customStyle="1" w:styleId="42">
    <w:name w:val="UserStyle_30"/>
    <w:basedOn w:val="1"/>
    <w:next w:val="1"/>
    <w:qFormat/>
    <w:uiPriority w:val="0"/>
    <w:pPr>
      <w:spacing w:line="360" w:lineRule="auto"/>
    </w:pPr>
    <w:rPr>
      <w:rFonts w:ascii="仿宋_GB2312" w:eastAsia="仿宋_GB2312"/>
      <w:sz w:val="24"/>
      <w:szCs w:val="20"/>
    </w:rPr>
  </w:style>
  <w:style w:type="paragraph" w:customStyle="1" w:styleId="43">
    <w:name w:val="Heading1"/>
    <w:basedOn w:val="1"/>
    <w:next w:val="1"/>
    <w:qFormat/>
    <w:uiPriority w:val="0"/>
    <w:pPr>
      <w:keepNext/>
      <w:keepLines/>
      <w:spacing w:before="340" w:after="330" w:line="578" w:lineRule="auto"/>
    </w:pPr>
    <w:rPr>
      <w:rFonts w:cs="Calibri"/>
      <w:b/>
      <w:bCs/>
      <w:kern w:val="44"/>
      <w:sz w:val="44"/>
      <w:szCs w:val="44"/>
    </w:rPr>
  </w:style>
  <w:style w:type="paragraph" w:customStyle="1" w:styleId="44">
    <w:name w:val="UserStyle_29"/>
    <w:basedOn w:val="45"/>
    <w:qFormat/>
    <w:uiPriority w:val="0"/>
    <w:rPr>
      <w:rFonts w:ascii="宋体" w:hAnsi="Courier New"/>
      <w:szCs w:val="21"/>
    </w:rPr>
  </w:style>
  <w:style w:type="paragraph" w:customStyle="1" w:styleId="45">
    <w:name w:val="UserStyle_25"/>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46">
    <w:name w:val="UserStyle_20"/>
    <w:basedOn w:val="1"/>
    <w:next w:val="37"/>
    <w:qFormat/>
    <w:uiPriority w:val="0"/>
    <w:pPr>
      <w:spacing w:line="420" w:lineRule="atLeast"/>
      <w:jc w:val="left"/>
    </w:pPr>
    <w:rPr>
      <w:rFonts w:ascii="Times New Roman" w:hAnsi="Times New Roman"/>
      <w:color w:val="000000"/>
    </w:rPr>
  </w:style>
  <w:style w:type="paragraph" w:customStyle="1" w:styleId="47">
    <w:name w:val="UserStyle_28"/>
    <w:basedOn w:val="1"/>
    <w:qFormat/>
    <w:uiPriority w:val="0"/>
    <w:pPr>
      <w:keepNext/>
      <w:pageBreakBefore/>
      <w:tabs>
        <w:tab w:val="left" w:pos="720"/>
      </w:tabs>
      <w:spacing w:line="360" w:lineRule="auto"/>
      <w:jc w:val="center"/>
    </w:pPr>
    <w:rPr>
      <w:rFonts w:eastAsia="黑体"/>
      <w:b/>
      <w:kern w:val="44"/>
      <w:sz w:val="36"/>
      <w:szCs w:val="20"/>
    </w:rPr>
  </w:style>
  <w:style w:type="paragraph" w:customStyle="1" w:styleId="48">
    <w:name w:val="179"/>
    <w:basedOn w:val="1"/>
    <w:qFormat/>
    <w:uiPriority w:val="0"/>
    <w:pPr>
      <w:ind w:firstLine="420" w:firstLineChars="200"/>
    </w:pPr>
    <w:rPr>
      <w:rFonts w:ascii="Times New Roman" w:hAnsi="Times New Roman"/>
    </w:rPr>
  </w:style>
  <w:style w:type="character" w:customStyle="1" w:styleId="49">
    <w:name w:val="PageNumber"/>
    <w:qFormat/>
    <w:uiPriority w:val="0"/>
  </w:style>
  <w:style w:type="paragraph" w:customStyle="1" w:styleId="50">
    <w:name w:val="S4-L15"/>
    <w:basedOn w:val="1"/>
    <w:qFormat/>
    <w:uiPriority w:val="0"/>
    <w:pPr>
      <w:spacing w:after="120" w:line="360" w:lineRule="auto"/>
      <w:ind w:left="720" w:firstLine="392"/>
    </w:pPr>
    <w:rPr>
      <w:szCs w:val="21"/>
      <w:lang w:val="fr-FR"/>
    </w:rPr>
  </w:style>
  <w:style w:type="paragraph" w:customStyle="1" w:styleId="51">
    <w:name w:val="trs_editor"/>
    <w:basedOn w:val="1"/>
    <w:qFormat/>
    <w:uiPriority w:val="0"/>
    <w:pPr>
      <w:spacing w:before="100" w:beforeAutospacing="1" w:after="100" w:afterAutospacing="1"/>
      <w:jc w:val="left"/>
    </w:pPr>
    <w:rPr>
      <w:rFonts w:ascii="宋体" w:hAnsi="宋体" w:cs="宋体"/>
      <w:kern w:val="0"/>
      <w:sz w:val="24"/>
    </w:rPr>
  </w:style>
  <w:style w:type="paragraph" w:customStyle="1" w:styleId="52">
    <w:name w:val="正文2"/>
    <w:basedOn w:val="1"/>
    <w:qFormat/>
    <w:uiPriority w:val="0"/>
    <w:pPr>
      <w:spacing w:before="156" w:line="360" w:lineRule="auto"/>
      <w:ind w:left="567" w:firstLine="510"/>
    </w:pPr>
    <w:rPr>
      <w:sz w:val="24"/>
      <w:szCs w:val="20"/>
    </w:rPr>
  </w:style>
  <w:style w:type="paragraph" w:customStyle="1" w:styleId="53">
    <w:name w:val="样式5"/>
    <w:basedOn w:val="1"/>
    <w:qFormat/>
    <w:uiPriority w:val="0"/>
    <w:pPr>
      <w:spacing w:before="30" w:after="30"/>
    </w:pPr>
    <w:rPr>
      <w:rFonts w:ascii="黑体" w:hAnsi="宋体" w:eastAsia="黑体"/>
      <w:sz w:val="24"/>
      <w:szCs w:val="20"/>
    </w:rPr>
  </w:style>
  <w:style w:type="paragraph" w:customStyle="1" w:styleId="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55">
    <w:name w:val="标题 1 Char Char"/>
    <w:qFormat/>
    <w:uiPriority w:val="99"/>
    <w:rPr>
      <w:rFonts w:eastAsia="宋体;SimSun"/>
      <w:b/>
      <w:spacing w:val="-2"/>
      <w:sz w:val="24"/>
      <w:lang w:val="en-US" w:eastAsia="zh-CN"/>
    </w:rPr>
  </w:style>
  <w:style w:type="paragraph" w:customStyle="1" w:styleId="56">
    <w:name w:val="标题样式"/>
    <w:basedOn w:val="1"/>
    <w:next w:val="1"/>
    <w:qFormat/>
    <w:uiPriority w:val="99"/>
    <w:pPr>
      <w:overflowPunct w:val="0"/>
      <w:autoSpaceDE w:val="0"/>
      <w:jc w:val="center"/>
    </w:pPr>
    <w:rPr>
      <w:b/>
      <w:sz w:val="24"/>
      <w:lang w:val="en-GB"/>
    </w:rPr>
  </w:style>
  <w:style w:type="paragraph" w:customStyle="1" w:styleId="57">
    <w:name w:val="1册标题1"/>
    <w:basedOn w:val="1"/>
    <w:next w:val="1"/>
    <w:qFormat/>
    <w:uiPriority w:val="99"/>
    <w:pPr>
      <w:spacing w:beforeLines="65" w:afterLines="65" w:line="300" w:lineRule="auto"/>
      <w:jc w:val="center"/>
      <w:outlineLvl w:val="0"/>
    </w:pPr>
    <w:rPr>
      <w:rFonts w:ascii="Arial" w:hAnsi="Arial" w:eastAsia="黑体;SimHei" w:cs="Arial"/>
      <w:b/>
      <w:bCs/>
      <w:sz w:val="48"/>
      <w:szCs w:val="20"/>
    </w:rPr>
  </w:style>
  <w:style w:type="paragraph" w:customStyle="1" w:styleId="58">
    <w:name w:val="章正文"/>
    <w:basedOn w:val="1"/>
    <w:qFormat/>
    <w:uiPriority w:val="0"/>
    <w:pPr>
      <w:spacing w:beforeLines="50" w:after="120" w:line="300" w:lineRule="auto"/>
      <w:ind w:firstLine="480"/>
    </w:pPr>
    <w:rPr>
      <w:rFonts w:ascii="Helvetica" w:hAnsi="Helvetica"/>
      <w:kern w:val="0"/>
      <w:sz w:val="24"/>
    </w:rPr>
  </w:style>
  <w:style w:type="paragraph" w:customStyle="1" w:styleId="59">
    <w:name w:val="纯文本_0_0"/>
    <w:basedOn w:val="60"/>
    <w:qFormat/>
    <w:uiPriority w:val="0"/>
    <w:rPr>
      <w:rFonts w:ascii="宋体" w:hAnsi="Courier New"/>
      <w:szCs w:val="21"/>
    </w:rPr>
  </w:style>
  <w:style w:type="paragraph" w:customStyle="1" w:styleId="6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部分1"/>
    <w:basedOn w:val="1"/>
    <w:qFormat/>
    <w:uiPriority w:val="0"/>
    <w:pPr>
      <w:keepNext/>
      <w:pageBreakBefore/>
      <w:tabs>
        <w:tab w:val="left" w:pos="785"/>
      </w:tabs>
      <w:spacing w:line="360" w:lineRule="auto"/>
      <w:jc w:val="center"/>
      <w:outlineLvl w:val="0"/>
    </w:pPr>
    <w:rPr>
      <w:rFonts w:eastAsia="黑体"/>
      <w:b/>
      <w:kern w:val="44"/>
      <w:sz w:val="36"/>
      <w:szCs w:val="20"/>
    </w:rPr>
  </w:style>
  <w:style w:type="character" w:customStyle="1" w:styleId="62">
    <w:name w:val="Internet 链接"/>
    <w:qFormat/>
    <w:uiPriority w:val="99"/>
    <w:rPr>
      <w:rFonts w:ascii="Arial" w:hAnsi="Arial" w:eastAsia="黑体;SimHei"/>
      <w:color w:val="000000"/>
      <w:kern w:val="0"/>
      <w:sz w:val="18"/>
      <w:u w:val="none"/>
    </w:rPr>
  </w:style>
  <w:style w:type="paragraph" w:customStyle="1" w:styleId="63">
    <w:name w:val="表格"/>
    <w:basedOn w:val="1"/>
    <w:qFormat/>
    <w:uiPriority w:val="0"/>
    <w:pPr>
      <w:snapToGrid w:val="0"/>
      <w:jc w:val="center"/>
    </w:pPr>
    <w:rPr>
      <w:rFonts w:hint="eastAsia" w:cs="宋体"/>
      <w:spacing w:val="10"/>
      <w:kern w:val="0"/>
    </w:rPr>
  </w:style>
  <w:style w:type="paragraph" w:customStyle="1" w:styleId="64">
    <w:name w:val="默认段落字体 Para Char Char Char Char Char Char Char Char Char1 Char Char Char Char"/>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5"/>
    <customShpInfo spid="_x0000_s2053"/>
    <customShpInfo spid="_x0000_s2054"/>
    <customShpInfo spid="_x0000_s2050"/>
    <customShpInfo spid="_x0000_s2049"/>
    <customShpInfo spid="_x0000_s2052"/>
    <customShpInfo spid="_x0000_s2051"/>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41170</Words>
  <Characters>44994</Characters>
  <Lines>379</Lines>
  <Paragraphs>106</Paragraphs>
  <TotalTime>143</TotalTime>
  <ScaleCrop>false</ScaleCrop>
  <LinksUpToDate>false</LinksUpToDate>
  <CharactersWithSpaces>50191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2021-11-25T06:19:00Z</dcterms:created>
  <dc:creator>落似童贞往生笑</dc:creator>
  <cp:lastModifiedBy>Administrator</cp:lastModifiedBy>
  <cp:lastPrinted>2022-03-28T09:18:00Z</cp:lastPrinted>
  <dcterms:modified xsi:type="dcterms:W3CDTF">2022-03-29T04:55:41Z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89C2BCC9DA4441DEA351686E21A46AFC</vt:lpwstr>
  </property>
</Properties>
</file>