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70E3459B">
      <w:pPr>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2025年淳安县农家书屋图书</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HZYS[2025]034GK</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淳安县图书馆</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杭州永盛联合会计师事务所（普通合伙）</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十九</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2025年淳安县农家书屋图书</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10</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HZYS[2025]034GK</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2025年淳安县农家书屋图书</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708000</w:t>
      </w:r>
      <w:r>
        <w:rPr>
          <w:rFonts w:hint="eastAsia" w:ascii="宋体" w:hAnsi="宋体" w:cs="宋体"/>
          <w:color w:val="auto"/>
          <w:sz w:val="24"/>
          <w:highlight w:val="none"/>
        </w:rPr>
        <w:t>.00</w:t>
      </w:r>
    </w:p>
    <w:p w14:paraId="664174EC">
      <w:pPr>
        <w:spacing w:line="360" w:lineRule="auto"/>
        <w:ind w:firstLine="482" w:firstLineChars="200"/>
        <w:rPr>
          <w:rFonts w:hint="eastAsia" w:hAnsi="宋体" w:cs="宋体"/>
          <w:bCs/>
          <w:snapToGrid/>
          <w:color w:val="auto"/>
          <w:kern w:val="2"/>
          <w:sz w:val="24"/>
          <w:szCs w:val="24"/>
          <w:highlight w:val="none"/>
          <w:lang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708000</w:t>
      </w:r>
      <w:r>
        <w:rPr>
          <w:rFonts w:hint="eastAsia" w:ascii="宋体" w:hAnsi="宋体" w:cs="宋体"/>
          <w:color w:val="auto"/>
          <w:sz w:val="24"/>
          <w:highlight w:val="none"/>
          <w:lang w:eastAsia="zh-CN"/>
        </w:rPr>
        <w:t>.00（</w:t>
      </w:r>
      <w:r>
        <w:rPr>
          <w:rFonts w:hint="eastAsia" w:ascii="宋体" w:hAnsi="宋体" w:cs="宋体"/>
          <w:b/>
          <w:bCs/>
          <w:color w:val="auto"/>
          <w:sz w:val="24"/>
          <w:highlight w:val="none"/>
        </w:rPr>
        <w:t>报价折扣要求在85%及以下，否则为无效报价</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5B41C99A">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lang w:eastAsia="zh-CN"/>
        </w:rPr>
        <w:t>采购需求：2025年淳安县农家书屋图书主要内容：</w:t>
      </w:r>
      <w:r>
        <w:rPr>
          <w:rFonts w:hint="eastAsia" w:hAnsi="宋体" w:cs="宋体"/>
          <w:bCs/>
          <w:color w:val="auto"/>
          <w:sz w:val="24"/>
          <w:highlight w:val="none"/>
        </w:rPr>
        <w:t>送书下乡,</w:t>
      </w:r>
      <w:r>
        <w:rPr>
          <w:rFonts w:hint="eastAsia" w:hAnsi="宋体" w:cs="宋体"/>
          <w:color w:val="auto"/>
          <w:sz w:val="24"/>
          <w:highlight w:val="none"/>
        </w:rPr>
        <w:t>包括</w:t>
      </w:r>
      <w:r>
        <w:rPr>
          <w:rFonts w:hint="eastAsia" w:hAnsi="宋体" w:cs="宋体"/>
          <w:bCs/>
          <w:snapToGrid/>
          <w:color w:val="auto"/>
          <w:kern w:val="2"/>
          <w:sz w:val="24"/>
          <w:szCs w:val="24"/>
          <w:highlight w:val="none"/>
          <w:lang w:eastAsia="zh-CN"/>
        </w:rPr>
        <w:t>纸质图书的供货、编目、加工、包装、运输、验收、上架以及质保期内的售后服务等。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szCs w:val="24"/>
          <w:highlight w:val="none"/>
        </w:rPr>
        <w:t>本项目所需图书，供货商必须在202</w:t>
      </w:r>
      <w:r>
        <w:rPr>
          <w:rFonts w:hint="eastAsia" w:ascii="宋体" w:hAnsi="宋体" w:cs="宋体"/>
          <w:bCs/>
          <w:szCs w:val="24"/>
          <w:highlight w:val="none"/>
          <w:lang w:val="en-US" w:eastAsia="zh-CN"/>
        </w:rPr>
        <w:t>5</w:t>
      </w:r>
      <w:r>
        <w:rPr>
          <w:rFonts w:hint="eastAsia" w:ascii="宋体" w:hAnsi="宋体" w:cs="宋体"/>
          <w:bCs/>
          <w:szCs w:val="24"/>
          <w:highlight w:val="none"/>
        </w:rPr>
        <w:t>年10月31日前按招标人要求编目、配送到位</w:t>
      </w:r>
      <w:r>
        <w:rPr>
          <w:rFonts w:hint="eastAsia" w:ascii="宋体" w:hAnsi="宋体" w:cs="宋体"/>
          <w:highlight w:val="none"/>
        </w:rPr>
        <w:t>。</w:t>
      </w:r>
    </w:p>
    <w:p w14:paraId="43F20924">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淳安县图书馆</w:t>
      </w:r>
      <w:r>
        <w:rPr>
          <w:rFonts w:hint="eastAsia" w:ascii="宋体" w:hAnsi="宋体" w:cs="宋体"/>
          <w:color w:val="auto"/>
          <w:sz w:val="24"/>
          <w:highlight w:val="none"/>
        </w:rPr>
        <w:t xml:space="preserve"> </w:t>
      </w:r>
    </w:p>
    <w:p w14:paraId="76B055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址：浙江省杭州市淳安县千岛湖镇珍珠一路111号淳安县图书馆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项目联系人（询问）：余荣娜  </w:t>
      </w:r>
    </w:p>
    <w:p w14:paraId="052071A3">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bCs/>
          <w:color w:val="auto"/>
          <w:sz w:val="24"/>
          <w:highlight w:val="none"/>
        </w:rPr>
        <w:t>0571-64820030</w:t>
      </w:r>
      <w:r>
        <w:rPr>
          <w:rFonts w:hint="eastAsia" w:ascii="宋体" w:hAnsi="宋体" w:cs="宋体"/>
          <w:color w:val="auto"/>
          <w:sz w:val="24"/>
          <w:highlight w:val="none"/>
        </w:rPr>
        <w:t xml:space="preserve">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质疑联系人：项俊欣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质疑联系方式：0571-64823367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杭州永盛联合会计师事务所（普通合伙）</w:t>
      </w:r>
    </w:p>
    <w:p w14:paraId="62C7685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Style w:val="965"/>
          <w:rFonts w:ascii="宋体" w:hAnsi="宋体" w:eastAsia="宋体" w:cs="宋体"/>
          <w:b w:val="0"/>
          <w:bCs/>
          <w:color w:val="auto"/>
          <w:sz w:val="24"/>
          <w:highlight w:val="none"/>
          <w:lang w:eastAsia="zh-CN"/>
        </w:rPr>
        <w:t>浙江省杭州市淳安县千岛湖镇新安大街41号综合大楼三楼30</w:t>
      </w:r>
      <w:r>
        <w:rPr>
          <w:rStyle w:val="965"/>
          <w:rFonts w:hint="eastAsia" w:ascii="宋体" w:hAnsi="宋体" w:eastAsia="宋体" w:cs="宋体"/>
          <w:b w:val="0"/>
          <w:bCs/>
          <w:color w:val="auto"/>
          <w:sz w:val="24"/>
          <w:highlight w:val="none"/>
          <w:lang w:val="en-US" w:eastAsia="zh-CN"/>
        </w:rPr>
        <w:t>3</w:t>
      </w:r>
      <w:r>
        <w:rPr>
          <w:rStyle w:val="965"/>
          <w:rFonts w:ascii="宋体" w:hAnsi="宋体" w:eastAsia="宋体" w:cs="宋体"/>
          <w:b w:val="0"/>
          <w:bCs/>
          <w:color w:val="auto"/>
          <w:sz w:val="24"/>
          <w:highlight w:val="none"/>
          <w:lang w:eastAsia="zh-CN"/>
        </w:rPr>
        <w:t>室</w:t>
      </w:r>
    </w:p>
    <w:p w14:paraId="4CF3C8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1E4C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项目联系人（询问）：方勇玲 </w:t>
      </w:r>
    </w:p>
    <w:p w14:paraId="2CB4E5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项目联系方式（询问）：18358591219</w:t>
      </w:r>
    </w:p>
    <w:p w14:paraId="0824AA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质疑联系人：钱宏 </w:t>
      </w:r>
    </w:p>
    <w:p w14:paraId="72A35F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质疑联系方式：0571-64819846</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淳安县财政局</w:t>
      </w:r>
      <w:r>
        <w:rPr>
          <w:rFonts w:hint="eastAsia" w:ascii="宋体" w:hAnsi="宋体" w:cs="宋体"/>
          <w:color w:val="auto"/>
          <w:sz w:val="24"/>
          <w:highlight w:val="none"/>
        </w:rPr>
        <w:t xml:space="preserve">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政策咨询电话：方先生、余先生，0571-89602058、0571-89600783政府采购监管部门工作人员</w:t>
      </w: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5"/>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2025年农家书屋图书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2025年淳安县农家书屋图书</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批发业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994D902">
            <w:pPr>
              <w:pStyle w:val="5"/>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p>
          <w:p w14:paraId="78473E85">
            <w:pPr>
              <w:numPr>
                <w:ilvl w:val="0"/>
                <w:numId w:val="0"/>
              </w:numPr>
              <w:snapToGrid w:val="0"/>
              <w:spacing w:line="46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中小企业划型标准详见</w:t>
            </w:r>
            <w:r>
              <w:rPr>
                <w:rFonts w:hint="eastAsia" w:ascii="宋体" w:hAnsi="宋体" w:cs="宋体"/>
                <w:b/>
                <w:bCs/>
                <w:color w:val="auto"/>
                <w:kern w:val="0"/>
                <w:sz w:val="24"/>
                <w:highlight w:val="none"/>
                <w:lang w:val="en-US" w:eastAsia="zh-CN"/>
              </w:rPr>
              <w:t>下表：</w:t>
            </w:r>
          </w:p>
          <w:tbl>
            <w:tblPr>
              <w:tblStyle w:val="6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43"/>
              <w:gridCol w:w="680"/>
              <w:gridCol w:w="750"/>
              <w:gridCol w:w="993"/>
              <w:gridCol w:w="880"/>
              <w:gridCol w:w="727"/>
            </w:tblGrid>
            <w:tr w14:paraId="14EC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706" w:type="pct"/>
                  <w:noWrap w:val="0"/>
                  <w:vAlign w:val="center"/>
                </w:tcPr>
                <w:p w14:paraId="2CE3B02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948" w:type="pct"/>
                  <w:noWrap w:val="0"/>
                  <w:vAlign w:val="center"/>
                </w:tcPr>
                <w:p w14:paraId="7DFB964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564" w:type="pct"/>
                  <w:noWrap w:val="0"/>
                  <w:vAlign w:val="center"/>
                </w:tcPr>
                <w:p w14:paraId="6CA3B2F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622" w:type="pct"/>
                  <w:noWrap w:val="0"/>
                  <w:vAlign w:val="center"/>
                </w:tcPr>
                <w:p w14:paraId="6A006FA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824" w:type="pct"/>
                  <w:noWrap w:val="0"/>
                  <w:vAlign w:val="center"/>
                </w:tcPr>
                <w:p w14:paraId="325F82C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730" w:type="pct"/>
                  <w:noWrap w:val="0"/>
                  <w:vAlign w:val="center"/>
                </w:tcPr>
                <w:p w14:paraId="01D01F2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603" w:type="pct"/>
                  <w:noWrap w:val="0"/>
                  <w:vAlign w:val="center"/>
                </w:tcPr>
                <w:p w14:paraId="4E072FE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84C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851" w:type="dxa"/>
                  <w:vMerge w:val="restart"/>
                  <w:noWrap w:val="0"/>
                  <w:vAlign w:val="center"/>
                </w:tcPr>
                <w:p w14:paraId="0BA94FA5">
                  <w:pPr>
                    <w:widowControl/>
                    <w:spacing w:line="240" w:lineRule="exact"/>
                    <w:jc w:val="left"/>
                    <w:rPr>
                      <w:rFonts w:hint="eastAsia" w:ascii="宋体" w:hAnsi="宋体" w:cs="宋体"/>
                      <w:b/>
                      <w:bCs/>
                      <w:color w:val="auto"/>
                      <w:kern w:val="0"/>
                      <w:sz w:val="18"/>
                      <w:szCs w:val="21"/>
                      <w:highlight w:val="none"/>
                    </w:rPr>
                  </w:pPr>
                  <w:r>
                    <w:rPr>
                      <w:rFonts w:hint="eastAsia" w:ascii="宋体" w:hAnsi="宋体" w:cs="宋体"/>
                      <w:color w:val="auto"/>
                      <w:kern w:val="0"/>
                      <w:sz w:val="18"/>
                      <w:szCs w:val="18"/>
                      <w:highlight w:val="none"/>
                    </w:rPr>
                    <w:t>批发业</w:t>
                  </w:r>
                </w:p>
              </w:tc>
              <w:tc>
                <w:tcPr>
                  <w:tcW w:w="1143" w:type="dxa"/>
                  <w:noWrap w:val="0"/>
                  <w:vAlign w:val="center"/>
                </w:tcPr>
                <w:p w14:paraId="2A58B7D4">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从业人员(X)</w:t>
                  </w:r>
                </w:p>
              </w:tc>
              <w:tc>
                <w:tcPr>
                  <w:tcW w:w="680" w:type="dxa"/>
                  <w:noWrap w:val="0"/>
                  <w:vAlign w:val="center"/>
                </w:tcPr>
                <w:p w14:paraId="3AC63DF1">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人</w:t>
                  </w:r>
                </w:p>
              </w:tc>
              <w:tc>
                <w:tcPr>
                  <w:tcW w:w="750" w:type="dxa"/>
                  <w:noWrap w:val="0"/>
                  <w:vAlign w:val="center"/>
                </w:tcPr>
                <w:p w14:paraId="4F51103F">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X≥200</w:t>
                  </w:r>
                </w:p>
              </w:tc>
              <w:tc>
                <w:tcPr>
                  <w:tcW w:w="993" w:type="dxa"/>
                  <w:noWrap w:val="0"/>
                  <w:vAlign w:val="center"/>
                </w:tcPr>
                <w:p w14:paraId="5EED2AAD">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20≤X＜200</w:t>
                  </w:r>
                </w:p>
              </w:tc>
              <w:tc>
                <w:tcPr>
                  <w:tcW w:w="880" w:type="dxa"/>
                  <w:noWrap w:val="0"/>
                  <w:vAlign w:val="center"/>
                </w:tcPr>
                <w:p w14:paraId="224F8876">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727" w:type="dxa"/>
                  <w:noWrap w:val="0"/>
                  <w:vAlign w:val="center"/>
                </w:tcPr>
                <w:p w14:paraId="25EC7DA8">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X＜5</w:t>
                  </w:r>
                </w:p>
              </w:tc>
            </w:tr>
            <w:tr w14:paraId="0ACB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851" w:type="dxa"/>
                  <w:vMerge w:val="continue"/>
                  <w:noWrap w:val="0"/>
                  <w:vAlign w:val="center"/>
                </w:tcPr>
                <w:p w14:paraId="7D21C2CB">
                  <w:pPr>
                    <w:widowControl/>
                    <w:jc w:val="left"/>
                    <w:rPr>
                      <w:rFonts w:hint="eastAsia" w:ascii="宋体" w:hAnsi="宋体" w:cs="宋体"/>
                      <w:color w:val="auto"/>
                      <w:kern w:val="0"/>
                      <w:sz w:val="18"/>
                      <w:szCs w:val="18"/>
                      <w:highlight w:val="none"/>
                    </w:rPr>
                  </w:pPr>
                </w:p>
              </w:tc>
              <w:tc>
                <w:tcPr>
                  <w:tcW w:w="1143" w:type="dxa"/>
                  <w:noWrap w:val="0"/>
                  <w:vAlign w:val="center"/>
                </w:tcPr>
                <w:p w14:paraId="33F3C3CC">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680" w:type="dxa"/>
                  <w:noWrap w:val="0"/>
                  <w:vAlign w:val="center"/>
                </w:tcPr>
                <w:p w14:paraId="68C14DE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750" w:type="dxa"/>
                  <w:noWrap w:val="0"/>
                  <w:vAlign w:val="center"/>
                </w:tcPr>
                <w:p w14:paraId="123E49C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993" w:type="dxa"/>
                  <w:noWrap w:val="0"/>
                  <w:vAlign w:val="center"/>
                </w:tcPr>
                <w:p w14:paraId="3FC04D1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880" w:type="dxa"/>
                  <w:noWrap w:val="0"/>
                  <w:vAlign w:val="center"/>
                </w:tcPr>
                <w:p w14:paraId="035129D6">
                  <w:pPr>
                    <w:widowControl/>
                    <w:ind w:left="-1" w:leftChars="-1" w:hanging="1" w:firstLineChars="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727" w:type="dxa"/>
                  <w:noWrap w:val="0"/>
                  <w:vAlign w:val="center"/>
                </w:tcPr>
                <w:p w14:paraId="2053129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bl>
          <w:p w14:paraId="7CAAD93E">
            <w:pPr>
              <w:rPr>
                <w:rFonts w:hint="eastAsia"/>
                <w:color w:val="auto"/>
                <w:highlight w:val="none"/>
                <w:lang w:val="en-US" w:eastAsia="zh-CN"/>
              </w:rPr>
            </w:pPr>
            <w:r>
              <w:rPr>
                <w:rFonts w:hint="eastAsia" w:ascii="宋体" w:hAnsi="宋体" w:eastAsia="宋体" w:cs="宋体"/>
                <w:b/>
                <w:bCs/>
                <w:color w:val="auto"/>
                <w:sz w:val="18"/>
                <w:szCs w:val="18"/>
                <w:highlight w:val="none"/>
              </w:rPr>
              <w:t>注：大型、中型和小型企业须同时满足所列指标的下限，</w:t>
            </w:r>
            <w:r>
              <w:rPr>
                <w:rFonts w:hint="eastAsia" w:ascii="宋体" w:hAnsi="宋体" w:eastAsia="宋体" w:cs="宋体"/>
                <w:b/>
                <w:bCs/>
                <w:color w:val="auto"/>
                <w:sz w:val="18"/>
                <w:szCs w:val="18"/>
                <w:highlight w:val="none"/>
                <w:u w:val="single"/>
              </w:rPr>
              <w:t>否则下划一档</w:t>
            </w:r>
            <w:r>
              <w:rPr>
                <w:rFonts w:hint="eastAsia" w:ascii="宋体" w:hAnsi="宋体" w:eastAsia="宋体" w:cs="宋体"/>
                <w:b/>
                <w:bCs/>
                <w:color w:val="auto"/>
                <w:sz w:val="18"/>
                <w:szCs w:val="18"/>
                <w:highlight w:val="none"/>
              </w:rPr>
              <w:t>；微型企业只须满足所列指标中的一项即可。</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提醒：验收时检测费用由中标人承担，包含在投标总价中。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61" w:hRule="atLeast"/>
          <w:tblHeader/>
        </w:trPr>
        <w:tc>
          <w:tcPr>
            <w:tcW w:w="629" w:type="dxa"/>
            <w:tcBorders>
              <w:top w:val="single" w:color="auto" w:sz="4" w:space="0"/>
              <w:left w:val="single" w:color="000000" w:sz="8" w:space="0"/>
              <w:right w:val="single" w:color="000000" w:sz="2" w:space="0"/>
            </w:tcBorders>
            <w:vAlign w:val="center"/>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浙江省杭州市淳安县千岛湖镇新安大街41号三楼</w:t>
            </w:r>
            <w:r>
              <w:rPr>
                <w:rFonts w:hint="eastAsia" w:hAnsi="宋体" w:cs="宋体"/>
                <w:color w:val="auto"/>
                <w:sz w:val="24"/>
                <w:highlight w:val="none"/>
                <w:u w:val="single"/>
                <w:lang w:val="en-US" w:eastAsia="zh-CN"/>
              </w:rPr>
              <w:t>303室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方勇玲，18358591219</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1家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b/>
                <w:color w:val="auto"/>
                <w:sz w:val="24"/>
                <w:highlight w:val="none"/>
              </w:rPr>
              <w:t>投标总报价应含采购服务费，本项目的招标代理服务费由</w:t>
            </w:r>
            <w:r>
              <w:rPr>
                <w:rFonts w:hint="eastAsia" w:ascii="宋体" w:hAnsi="宋体" w:cs="宋体"/>
                <w:b/>
                <w:color w:val="auto"/>
                <w:sz w:val="24"/>
                <w:highlight w:val="none"/>
                <w:lang w:val="en-US" w:eastAsia="zh-CN"/>
              </w:rPr>
              <w:t>成交人</w:t>
            </w:r>
            <w:r>
              <w:rPr>
                <w:rFonts w:hint="eastAsia" w:ascii="宋体" w:hAnsi="宋体" w:cs="宋体"/>
                <w:b/>
                <w:color w:val="auto"/>
                <w:sz w:val="24"/>
                <w:highlight w:val="none"/>
              </w:rPr>
              <w:t>一次性向采购代理机构支付。本项目的招标代理服务费</w:t>
            </w:r>
            <w:r>
              <w:rPr>
                <w:rFonts w:hint="eastAsia" w:ascii="宋体" w:hAnsi="宋体" w:cs="宋体"/>
                <w:b/>
                <w:color w:val="auto"/>
                <w:sz w:val="24"/>
                <w:highlight w:val="none"/>
                <w:lang w:eastAsia="zh-CN"/>
              </w:rPr>
              <w:t>（按预算价）</w:t>
            </w:r>
            <w:r>
              <w:rPr>
                <w:rFonts w:hint="eastAsia" w:ascii="宋体" w:hAnsi="宋体" w:cs="宋体"/>
                <w:b/>
                <w:color w:val="auto"/>
                <w:sz w:val="24"/>
                <w:highlight w:val="none"/>
              </w:rPr>
              <w:t>根据发改价格[2011]534号文《关于降低部分建设项目收费标准规范收费行为等有关问题的通知》的收费标准收取</w:t>
            </w:r>
            <w:r>
              <w:rPr>
                <w:rFonts w:hint="eastAsia" w:ascii="宋体" w:hAnsi="宋体" w:cs="宋体"/>
                <w:b/>
                <w:color w:val="auto"/>
                <w:sz w:val="24"/>
                <w:highlight w:val="none"/>
                <w:lang w:eastAsia="zh-CN"/>
              </w:rPr>
              <w:t>（详见附表</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bCs/>
                <w:color w:val="auto"/>
                <w:sz w:val="24"/>
                <w:highlight w:val="none"/>
              </w:rPr>
              <w:t>。</w:t>
            </w:r>
            <w:r>
              <w:rPr>
                <w:rFonts w:hint="eastAsia" w:ascii="宋体" w:hAnsi="宋体" w:cs="宋体"/>
                <w:snapToGrid w:val="0"/>
                <w:color w:val="auto"/>
                <w:kern w:val="28"/>
                <w:sz w:val="24"/>
                <w:highlight w:val="none"/>
              </w:rPr>
              <w:t>专家评审费</w:t>
            </w:r>
            <w:bookmarkStart w:id="15" w:name="fwzh"/>
            <w:r>
              <w:rPr>
                <w:rFonts w:hint="eastAsia" w:ascii="宋体" w:hAnsi="宋体" w:cs="宋体"/>
                <w:snapToGrid w:val="0"/>
                <w:color w:val="auto"/>
                <w:kern w:val="28"/>
                <w:sz w:val="24"/>
                <w:highlight w:val="none"/>
              </w:rPr>
              <w:t>按《淳财监督〔2020〕623号</w:t>
            </w:r>
            <w:bookmarkEnd w:id="15"/>
            <w:r>
              <w:rPr>
                <w:rFonts w:hint="eastAsia" w:ascii="宋体" w:hAnsi="宋体" w:cs="宋体"/>
                <w:snapToGrid w:val="0"/>
                <w:color w:val="auto"/>
                <w:kern w:val="28"/>
                <w:sz w:val="24"/>
                <w:highlight w:val="none"/>
              </w:rPr>
              <w:t>》规定的标准由采购人支付。</w:t>
            </w:r>
          </w:p>
        </w:tc>
      </w:tr>
      <w:tr w14:paraId="04C34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8A9B18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42C665A4">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备注</w:t>
            </w:r>
          </w:p>
        </w:tc>
        <w:tc>
          <w:tcPr>
            <w:tcW w:w="6095" w:type="dxa"/>
            <w:tcBorders>
              <w:top w:val="single" w:color="000000" w:sz="8" w:space="0"/>
              <w:left w:val="single" w:color="auto" w:sz="4" w:space="0"/>
              <w:bottom w:val="single" w:color="auto" w:sz="4" w:space="0"/>
              <w:right w:val="single" w:color="auto" w:sz="4" w:space="0"/>
            </w:tcBorders>
            <w:vAlign w:val="center"/>
          </w:tcPr>
          <w:p w14:paraId="42B4DEE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中标人中标后须提供给采购代理机构两份加盖公章的纸质投标文件（一正一副，副本是正本的复印件，与电子投标文件一致，如不一致，以电子投标文件为准）。</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5"/>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4714665"/>
      <w:bookmarkEnd w:id="20"/>
      <w:bookmarkStart w:id="21" w:name="_Hlt75236101"/>
      <w:bookmarkEnd w:id="21"/>
      <w:bookmarkStart w:id="22" w:name="_Hlt68072990"/>
      <w:bookmarkEnd w:id="22"/>
      <w:bookmarkStart w:id="23" w:name="_Hlt75236290"/>
      <w:bookmarkEnd w:id="23"/>
      <w:bookmarkStart w:id="24" w:name="_Hlt68072998"/>
      <w:bookmarkEnd w:id="24"/>
      <w:bookmarkStart w:id="25" w:name="_Hlt74730295"/>
      <w:bookmarkEnd w:id="25"/>
      <w:bookmarkStart w:id="26" w:name="_Hlt68057669"/>
      <w:bookmarkEnd w:id="26"/>
      <w:bookmarkStart w:id="27" w:name="_Hlt74707468"/>
      <w:bookmarkEnd w:id="27"/>
      <w:bookmarkStart w:id="28" w:name="_Hlt74729768"/>
      <w:bookmarkEnd w:id="28"/>
      <w:bookmarkStart w:id="29" w:name="_Hlt68073093"/>
      <w:bookmarkEnd w:id="29"/>
      <w:bookmarkStart w:id="30" w:name="_Hlt75236011"/>
      <w:bookmarkEnd w:id="30"/>
      <w:bookmarkStart w:id="31" w:name="_Hlt68403820"/>
      <w:bookmarkEnd w:id="31"/>
    </w:p>
    <w:p w14:paraId="6708D7E0">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14:paraId="35ED874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一、项目概述</w:t>
      </w:r>
      <w:bookmarkStart w:id="33" w:name="_Toc28372"/>
    </w:p>
    <w:bookmarkEnd w:id="33"/>
    <w:p w14:paraId="0A80CEC0">
      <w:pPr>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本项目为淳安县图书馆</w:t>
      </w:r>
      <w:r>
        <w:rPr>
          <w:rFonts w:hint="eastAsia" w:ascii="宋体" w:hAnsi="宋体" w:cs="宋体"/>
          <w:color w:val="auto"/>
          <w:sz w:val="24"/>
          <w:highlight w:val="none"/>
          <w:lang w:eastAsia="zh-CN"/>
        </w:rPr>
        <w:t>2025年农家书屋图书</w:t>
      </w:r>
      <w:r>
        <w:rPr>
          <w:rFonts w:hint="eastAsia" w:ascii="宋体" w:hAnsi="宋体" w:cs="宋体"/>
          <w:color w:val="auto"/>
          <w:sz w:val="24"/>
          <w:highlight w:val="none"/>
        </w:rPr>
        <w:t>采购，内容包括纸质图书的供货、编目、加工、包装、运输、验收、上架以及质保期内的售后服务等。招标需求中未提到，但在实际采购过程中需要的各种设备、材料、政策性文件规定及合同包含的所有风险、责任等各项费用均应计入本次报价。</w:t>
      </w:r>
    </w:p>
    <w:p w14:paraId="6895D34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二、项目需求</w:t>
      </w:r>
    </w:p>
    <w:p w14:paraId="3B2109F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（一）采购内容：</w:t>
      </w:r>
    </w:p>
    <w:p w14:paraId="149A3C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1、淳安县图书馆</w:t>
      </w:r>
      <w:r>
        <w:rPr>
          <w:rFonts w:hint="eastAsia" w:ascii="宋体" w:hAnsi="宋体" w:cs="宋体"/>
          <w:color w:val="auto"/>
          <w:sz w:val="24"/>
          <w:highlight w:val="none"/>
          <w:lang w:eastAsia="zh-CN"/>
        </w:rPr>
        <w:t>2025年农家书屋图书</w:t>
      </w:r>
      <w:r>
        <w:rPr>
          <w:rFonts w:hint="eastAsia" w:ascii="宋体" w:hAnsi="宋体" w:cs="宋体"/>
          <w:color w:val="auto"/>
          <w:sz w:val="24"/>
          <w:highlight w:val="none"/>
        </w:rPr>
        <w:t>，本次采购预算金额为</w:t>
      </w:r>
      <w:r>
        <w:rPr>
          <w:rFonts w:hint="eastAsia" w:ascii="宋体" w:hAnsi="宋体" w:cs="宋体"/>
          <w:color w:val="auto"/>
          <w:sz w:val="24"/>
          <w:highlight w:val="none"/>
          <w:lang w:val="en-US" w:eastAsia="zh-CN"/>
        </w:rPr>
        <w:t>柒拾万捌仟</w:t>
      </w:r>
      <w:r>
        <w:rPr>
          <w:rFonts w:hint="eastAsia" w:ascii="宋体" w:hAnsi="宋体" w:cs="宋体"/>
          <w:color w:val="auto"/>
          <w:sz w:val="24"/>
          <w:highlight w:val="none"/>
        </w:rPr>
        <w:t>元整（¥</w:t>
      </w:r>
      <w:r>
        <w:rPr>
          <w:rFonts w:hint="eastAsia" w:ascii="宋体" w:hAnsi="宋体" w:cs="宋体"/>
          <w:color w:val="auto"/>
          <w:sz w:val="24"/>
          <w:highlight w:val="none"/>
          <w:lang w:val="en-US" w:eastAsia="zh-CN"/>
        </w:rPr>
        <w:t>708</w:t>
      </w:r>
      <w:r>
        <w:rPr>
          <w:rFonts w:hint="eastAsia" w:ascii="宋体" w:hAnsi="宋体" w:cs="宋体"/>
          <w:color w:val="auto"/>
          <w:sz w:val="24"/>
          <w:highlight w:val="none"/>
        </w:rPr>
        <w:t>000.00）。提供全新正版合法合格图书1批，合同</w:t>
      </w:r>
      <w:r>
        <w:rPr>
          <w:rFonts w:hint="eastAsia" w:ascii="宋体" w:hAnsi="宋体" w:cs="宋体"/>
          <w:color w:val="auto"/>
          <w:sz w:val="24"/>
          <w:highlight w:val="none"/>
          <w:lang w:eastAsia="zh-CN"/>
        </w:rPr>
        <w:t>签订</w:t>
      </w:r>
      <w:r>
        <w:rPr>
          <w:rFonts w:hint="eastAsia" w:ascii="宋体" w:hAnsi="宋体" w:cs="宋体"/>
          <w:color w:val="auto"/>
          <w:sz w:val="24"/>
          <w:highlight w:val="none"/>
        </w:rPr>
        <w:t>后按招标人要求分批交货至招标人指定位置。</w:t>
      </w:r>
    </w:p>
    <w:p w14:paraId="4A8C8E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2、为了满足图书馆的技术、服务以及图书质量要求，投标人的</w:t>
      </w:r>
      <w:r>
        <w:rPr>
          <w:rFonts w:hint="eastAsia" w:ascii="宋体" w:hAnsi="宋体" w:cs="宋体"/>
          <w:b/>
          <w:bCs/>
          <w:color w:val="auto"/>
          <w:sz w:val="24"/>
          <w:highlight w:val="none"/>
        </w:rPr>
        <w:t>报价折扣要求在85%及以下，否则为无效报价</w:t>
      </w:r>
      <w:r>
        <w:rPr>
          <w:rFonts w:hint="eastAsia" w:ascii="宋体" w:hAnsi="宋体" w:cs="宋体"/>
          <w:color w:val="auto"/>
          <w:sz w:val="24"/>
          <w:highlight w:val="none"/>
        </w:rPr>
        <w:t>。</w:t>
      </w:r>
    </w:p>
    <w:p w14:paraId="5141F550">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3、最终结算价按实际供货数量*货物封面标价*中标折扣计算，但总价不超过</w:t>
      </w:r>
      <w:r>
        <w:rPr>
          <w:rFonts w:hint="eastAsia" w:ascii="宋体" w:hAnsi="宋体" w:cs="宋体"/>
          <w:b/>
          <w:bCs/>
          <w:color w:val="auto"/>
          <w:sz w:val="24"/>
          <w:highlight w:val="none"/>
          <w:lang w:val="en-US" w:eastAsia="zh-CN"/>
        </w:rPr>
        <w:t>70.8</w:t>
      </w:r>
      <w:r>
        <w:rPr>
          <w:rFonts w:hint="eastAsia" w:ascii="宋体" w:hAnsi="宋体" w:cs="宋体"/>
          <w:b/>
          <w:bCs/>
          <w:color w:val="auto"/>
          <w:sz w:val="24"/>
          <w:highlight w:val="none"/>
        </w:rPr>
        <w:t>万元。</w:t>
      </w:r>
    </w:p>
    <w:p w14:paraId="4A24236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（二）技术需求：</w:t>
      </w:r>
    </w:p>
    <w:p w14:paraId="2BC2EB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1、投标人应符合国家有关法律、法规及行业标准，经营的图书品种丰富，来源渠道较广，与全国多家图书出版单位有供货关系，保障图书品种采购范围。</w:t>
      </w:r>
    </w:p>
    <w:p w14:paraId="461F9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具备提供新书征订目录和机读编目数据的能力，能提供现货采购场所。提供的征订目录需符合公共图书馆长期、持续的藏书建设要求；机读编目数据需符合招标人图书集成管理系统的格式和运行要求，并能在招标人系统无障碍使用；现场采购需开放性，经营性，品种丰富。</w:t>
      </w:r>
    </w:p>
    <w:p w14:paraId="33BCB3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3、投标人应有取得杭州市图书馆联合编目中心上岗资格的数据加工专业人员，并在近年来有为杭州地区公共图书馆供应图书并加工的经历。</w:t>
      </w:r>
    </w:p>
    <w:p w14:paraId="44E39554">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4、投标人应具备现货供应的条件以及现货采选场所。能满足招标人的订购书目的要求以及一些重点时效性图书和临时性采购任务的要求。应具备为招标人预定图书进行查重能力，并能提供连续出版，多卷图书的后续出版资料。</w:t>
      </w:r>
    </w:p>
    <w:p w14:paraId="40C902C3">
      <w:pPr>
        <w:pStyle w:val="131"/>
        <w:adjustRightInd/>
        <w:snapToGrid w:val="0"/>
        <w:spacing w:before="0"/>
        <w:ind w:firstLine="482"/>
        <w:rPr>
          <w:rFonts w:ascii="宋体" w:hAnsi="宋体" w:cs="宋体"/>
          <w:bCs/>
          <w:snapToGrid w:val="0"/>
          <w:color w:val="auto"/>
          <w:kern w:val="28"/>
          <w:szCs w:val="24"/>
          <w:highlight w:val="none"/>
        </w:rPr>
      </w:pPr>
      <w:r>
        <w:rPr>
          <w:rFonts w:hint="eastAsia" w:ascii="宋体" w:hAnsi="宋体" w:cs="宋体"/>
          <w:b/>
          <w:color w:val="auto"/>
          <w:szCs w:val="24"/>
          <w:highlight w:val="none"/>
        </w:rPr>
        <w:t>▲</w:t>
      </w:r>
      <w:r>
        <w:rPr>
          <w:rFonts w:hint="eastAsia" w:ascii="宋体" w:hAnsi="宋体" w:cs="宋体"/>
          <w:color w:val="auto"/>
          <w:szCs w:val="24"/>
          <w:highlight w:val="none"/>
        </w:rPr>
        <w:t>5、</w:t>
      </w:r>
      <w:r>
        <w:rPr>
          <w:rFonts w:hint="eastAsia" w:ascii="宋体" w:hAnsi="宋体" w:cs="宋体"/>
          <w:bCs/>
          <w:snapToGrid w:val="0"/>
          <w:color w:val="auto"/>
          <w:kern w:val="28"/>
          <w:szCs w:val="24"/>
          <w:highlight w:val="none"/>
        </w:rPr>
        <w:t>根据浙文旅政法【2020】6号和杭文广旅游局【2020】38号的要求，投标人</w:t>
      </w:r>
      <w:r>
        <w:rPr>
          <w:rFonts w:hint="eastAsia" w:ascii="宋体" w:hAnsi="宋体" w:cs="宋体"/>
          <w:b/>
          <w:bCs w:val="0"/>
          <w:snapToGrid w:val="0"/>
          <w:color w:val="auto"/>
          <w:kern w:val="28"/>
          <w:szCs w:val="24"/>
          <w:highlight w:val="none"/>
        </w:rPr>
        <w:t>中标后</w:t>
      </w:r>
      <w:r>
        <w:rPr>
          <w:rFonts w:hint="eastAsia" w:ascii="宋体" w:hAnsi="宋体" w:cs="宋体"/>
          <w:bCs/>
          <w:snapToGrid w:val="0"/>
          <w:color w:val="auto"/>
          <w:kern w:val="28"/>
          <w:szCs w:val="24"/>
          <w:highlight w:val="none"/>
        </w:rPr>
        <w:t>，必须提供杭州地区公共图书馆“一键借阅服务”。“一键借阅服务”相关要求，（1）能实时提供现有书目接口，方便读者在线选书借阅；（2）在淳安县境内能提供不少于300平方米的现货采选场所，方便读者线下选书借阅；（3）提供图书同城配送服务并做到次日到达；（4）能提供现时图书编目，图书编目符合杭州图书馆编目要求；（5）开展“一键借阅服务”所需设备、场地、人员及产生的费用由中标人承担。中标公示结束后30天内不能提供“一键借阅服务”的，视为放弃中标资格，由排名次之的中标候选供应商替补，以此类推。</w:t>
      </w:r>
      <w:r>
        <w:rPr>
          <w:rFonts w:hint="eastAsia" w:ascii="宋体" w:hAnsi="宋体" w:cs="宋体"/>
          <w:b/>
          <w:bCs w:val="0"/>
          <w:snapToGrid w:val="0"/>
          <w:color w:val="auto"/>
          <w:kern w:val="28"/>
          <w:szCs w:val="24"/>
          <w:highlight w:val="none"/>
          <w:lang w:val="en-US" w:eastAsia="zh-CN"/>
        </w:rPr>
        <w:t>以上内容在投标文件中均</w:t>
      </w:r>
      <w:r>
        <w:rPr>
          <w:rFonts w:hint="eastAsia" w:ascii="宋体" w:hAnsi="宋体" w:cs="宋体"/>
          <w:b/>
          <w:bCs w:val="0"/>
          <w:snapToGrid w:val="0"/>
          <w:color w:val="auto"/>
          <w:kern w:val="28"/>
          <w:szCs w:val="24"/>
          <w:highlight w:val="none"/>
        </w:rPr>
        <w:t>提供相关承诺函（格式自拟）</w:t>
      </w:r>
      <w:r>
        <w:rPr>
          <w:rFonts w:hint="eastAsia" w:ascii="宋体" w:hAnsi="宋体" w:cs="宋体"/>
          <w:b/>
          <w:bCs w:val="0"/>
          <w:snapToGrid w:val="0"/>
          <w:color w:val="auto"/>
          <w:kern w:val="28"/>
          <w:szCs w:val="24"/>
          <w:highlight w:val="none"/>
          <w:lang w:eastAsia="zh-CN"/>
        </w:rPr>
        <w:t>，不提供作无效标处理</w:t>
      </w:r>
      <w:r>
        <w:rPr>
          <w:rFonts w:hint="eastAsia" w:ascii="宋体" w:hAnsi="宋体" w:cs="宋体"/>
          <w:bCs/>
          <w:snapToGrid w:val="0"/>
          <w:color w:val="auto"/>
          <w:kern w:val="28"/>
          <w:szCs w:val="24"/>
          <w:highlight w:val="none"/>
        </w:rPr>
        <w:t>。</w:t>
      </w:r>
    </w:p>
    <w:p w14:paraId="0A7A8DA2">
      <w:pPr>
        <w:spacing w:line="360" w:lineRule="auto"/>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中标后，</w:t>
      </w:r>
      <w:r>
        <w:rPr>
          <w:rFonts w:hint="eastAsia" w:ascii="宋体" w:hAnsi="宋体" w:eastAsia="宋体" w:cs="宋体"/>
          <w:b w:val="0"/>
          <w:bCs/>
          <w:color w:val="auto"/>
          <w:sz w:val="24"/>
          <w:szCs w:val="24"/>
          <w:highlight w:val="none"/>
        </w:rPr>
        <w:t>一键借阅”线下推广你选我买图书采购服务要求</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（1）能提供服务团队，深入街道、社区、企业、学校等采购人指定的地点，现场开展一键借阅你选我买活动，活动次数不少于</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场。（2）能提供开展现场活动必要的物料，如海报、横幅、打卡牌、小礼品等。</w:t>
      </w:r>
    </w:p>
    <w:p w14:paraId="26341A6F">
      <w:pPr>
        <w:pStyle w:val="131"/>
        <w:adjustRightInd/>
        <w:snapToGrid w:val="0"/>
        <w:spacing w:before="0"/>
        <w:ind w:firstLine="482"/>
        <w:rPr>
          <w:rFonts w:ascii="宋体" w:hAnsi="宋体" w:cs="宋体"/>
          <w:bCs/>
          <w:snapToGrid w:val="0"/>
          <w:color w:val="auto"/>
          <w:kern w:val="28"/>
          <w:szCs w:val="24"/>
          <w:highlight w:val="none"/>
        </w:rPr>
      </w:pPr>
      <w:r>
        <w:rPr>
          <w:rFonts w:hint="eastAsia" w:ascii="宋体" w:hAnsi="宋体" w:cs="宋体"/>
          <w:b/>
          <w:color w:val="auto"/>
          <w:szCs w:val="24"/>
          <w:highlight w:val="none"/>
        </w:rPr>
        <w:t>▲</w:t>
      </w:r>
      <w:r>
        <w:rPr>
          <w:rFonts w:hint="eastAsia" w:ascii="宋体" w:hAnsi="宋体" w:cs="宋体"/>
          <w:bCs/>
          <w:snapToGrid w:val="0"/>
          <w:color w:val="auto"/>
          <w:kern w:val="28"/>
          <w:szCs w:val="24"/>
          <w:highlight w:val="none"/>
        </w:rPr>
        <w:t>6、投标人</w:t>
      </w:r>
      <w:r>
        <w:rPr>
          <w:rFonts w:hint="eastAsia" w:ascii="宋体" w:hAnsi="宋体" w:cs="宋体"/>
          <w:b/>
          <w:bCs w:val="0"/>
          <w:snapToGrid w:val="0"/>
          <w:color w:val="auto"/>
          <w:kern w:val="28"/>
          <w:szCs w:val="24"/>
          <w:highlight w:val="none"/>
        </w:rPr>
        <w:t>中标后</w:t>
      </w:r>
      <w:r>
        <w:rPr>
          <w:rFonts w:hint="eastAsia" w:ascii="宋体" w:hAnsi="宋体" w:cs="宋体"/>
          <w:bCs/>
          <w:snapToGrid w:val="0"/>
          <w:color w:val="auto"/>
          <w:kern w:val="28"/>
          <w:szCs w:val="24"/>
          <w:highlight w:val="none"/>
        </w:rPr>
        <w:t>，所提供的图书和音像制品必须由专人专车负责运送到采购人指定地点，并经接收方签字确认，否则不予验收。</w:t>
      </w:r>
      <w:r>
        <w:rPr>
          <w:rFonts w:hint="eastAsia" w:ascii="宋体" w:hAnsi="宋体" w:cs="宋体"/>
          <w:b/>
          <w:bCs w:val="0"/>
          <w:snapToGrid w:val="0"/>
          <w:color w:val="auto"/>
          <w:kern w:val="28"/>
          <w:szCs w:val="24"/>
          <w:highlight w:val="none"/>
          <w:lang w:val="en-US" w:eastAsia="zh-CN"/>
        </w:rPr>
        <w:t>以上内容在投标文件中均</w:t>
      </w:r>
      <w:r>
        <w:rPr>
          <w:rFonts w:hint="eastAsia" w:ascii="宋体" w:hAnsi="宋体" w:cs="宋体"/>
          <w:b/>
          <w:bCs w:val="0"/>
          <w:snapToGrid w:val="0"/>
          <w:color w:val="auto"/>
          <w:kern w:val="28"/>
          <w:szCs w:val="24"/>
          <w:highlight w:val="none"/>
        </w:rPr>
        <w:t>提供相关承诺函（格式自拟）</w:t>
      </w:r>
      <w:r>
        <w:rPr>
          <w:rFonts w:hint="eastAsia" w:ascii="宋体" w:hAnsi="宋体" w:cs="宋体"/>
          <w:b/>
          <w:bCs w:val="0"/>
          <w:snapToGrid w:val="0"/>
          <w:color w:val="auto"/>
          <w:kern w:val="28"/>
          <w:szCs w:val="24"/>
          <w:highlight w:val="none"/>
          <w:lang w:eastAsia="zh-CN"/>
        </w:rPr>
        <w:t>，不提供作无效标处理</w:t>
      </w:r>
      <w:r>
        <w:rPr>
          <w:rFonts w:hint="eastAsia" w:ascii="宋体" w:hAnsi="宋体" w:cs="宋体"/>
          <w:bCs/>
          <w:snapToGrid w:val="0"/>
          <w:color w:val="auto"/>
          <w:kern w:val="28"/>
          <w:szCs w:val="24"/>
          <w:highlight w:val="none"/>
        </w:rPr>
        <w:t>。</w:t>
      </w:r>
    </w:p>
    <w:p w14:paraId="4F9DC29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（三）图书质量要求：</w:t>
      </w:r>
    </w:p>
    <w:p w14:paraId="4DA6E0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1、投标人需保证所提供的图书为</w:t>
      </w:r>
      <w:r>
        <w:rPr>
          <w:rFonts w:hint="eastAsia" w:ascii="宋体" w:hAnsi="宋体" w:cs="宋体"/>
          <w:color w:val="auto"/>
          <w:sz w:val="24"/>
          <w:highlight w:val="none"/>
          <w:lang w:val="en-US" w:eastAsia="zh-CN"/>
        </w:rPr>
        <w:t>近两</w:t>
      </w:r>
      <w:r>
        <w:rPr>
          <w:rFonts w:hint="eastAsia" w:ascii="宋体" w:hAnsi="宋体" w:cs="宋体"/>
          <w:color w:val="auto"/>
          <w:sz w:val="24"/>
          <w:highlight w:val="none"/>
        </w:rPr>
        <w:t>年出版的全新正版合法合格图书，不存在污损、图文不清、缺页、倒装、缺少附件等质量问题。</w:t>
      </w:r>
    </w:p>
    <w:p w14:paraId="62725B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投标人供应的图书中，应不含有色情、暴力、恐怖等不健康内容，应剔除小开本、活页、线装等不适合图书馆流通的书。要求每册图书不少于48页。不允许用库存书、下架、质次价高的劣质图书，不允许盗版图书，一经发现立即取消供货资格，并承担法律责任。 </w:t>
      </w:r>
    </w:p>
    <w:p w14:paraId="27BDE9B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图书印刷质量及装订执行标准：</w:t>
      </w:r>
    </w:p>
    <w:p w14:paraId="54AB4817">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（1）《中华人民共和国产品质量法》及新闻出版总署公布的《图书质量管理规定》标准；</w:t>
      </w:r>
    </w:p>
    <w:p w14:paraId="06C924B8">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（2）CY/T 5-1999 平版印刷品质量要求及检验方法；</w:t>
      </w:r>
    </w:p>
    <w:p w14:paraId="06174B90">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（3）CY/T 27-1999 装订质量要求及检验方法精装；</w:t>
      </w:r>
    </w:p>
    <w:p w14:paraId="7D1DCE12">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（4）CY/T 28-1999 装订质量要求及检验方法平装。</w:t>
      </w:r>
    </w:p>
    <w:p w14:paraId="1DBCD6B6">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（5）CY/T 29-1999 装订质量要求及检验方法。</w:t>
      </w:r>
    </w:p>
    <w:p w14:paraId="646C9920">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（6）封面印刷：</w:t>
      </w:r>
    </w:p>
    <w:p w14:paraId="29F3CF58">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套印准确，字图、点、线印迹清楚，不花、不毛、不糊，实地版墨色均匀，无回胶印，背面不脏。</w:t>
      </w:r>
    </w:p>
    <w:p w14:paraId="1CEA8E9A">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（7）插图印刷：</w:t>
      </w:r>
    </w:p>
    <w:p w14:paraId="5EC64AD2">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①套印准确，层次分明，轮廓实，电分制版无浮雕印；</w:t>
      </w:r>
    </w:p>
    <w:p w14:paraId="5656436F">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②网点清晰饱满，小点不秃，大点光洁不糊，质感好；</w:t>
      </w:r>
    </w:p>
    <w:p w14:paraId="1E046AAA">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③墨色均匀厚实，色彩鲜有光泽，肤色正，接版准确，色调深浅一致；</w:t>
      </w:r>
    </w:p>
    <w:p w14:paraId="7E9D46D2">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（8）正文印刷：</w:t>
      </w:r>
    </w:p>
    <w:p w14:paraId="02BEEE62">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①压力：压力适度，全书前后轻重一致；</w:t>
      </w:r>
    </w:p>
    <w:p w14:paraId="5F85D026">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②墨色：全书前后墨色一致，浓淡适度；</w:t>
      </w:r>
    </w:p>
    <w:p w14:paraId="19C7384D">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③套印：版面端正，正反套印准确；</w:t>
      </w:r>
    </w:p>
    <w:p w14:paraId="37EB5924">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④文字：文字、标点清晰，笔锋挺秀，无缺笔断划，标题黑实不花，小字不糊不瞎；</w:t>
      </w:r>
    </w:p>
    <w:p w14:paraId="5D895E74">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⑤其它：书面无脏污、破损，无钉花、野墨；</w:t>
      </w:r>
    </w:p>
    <w:p w14:paraId="71C3AE56">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（9）装订：</w:t>
      </w:r>
    </w:p>
    <w:p w14:paraId="47B3DC5F">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①开本尺寸符合设计要求，套书规格一致，成品裁切方正，无明显刀花，无连接页、折角、破头；</w:t>
      </w:r>
    </w:p>
    <w:p w14:paraId="6FD335FC">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②书背平整，无空背、起泡、明显皱折，书脊字居中，封面齐色，边框要色正；</w:t>
      </w:r>
    </w:p>
    <w:p w14:paraId="440621E2">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③全书页码折正，书面平服，无皱折(八字折等)；</w:t>
      </w:r>
    </w:p>
    <w:p w14:paraId="7AFB7328">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④骑马钉、平钉的钉脚不翘，无断丝、凸肚，钉距匀称，坚实牢固易翻不脱页；</w:t>
      </w:r>
    </w:p>
    <w:p w14:paraId="223F9F5A">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⑤其它：书页整洁，无赃污、破页、野胶。</w:t>
      </w:r>
    </w:p>
    <w:p w14:paraId="763D016D">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、投标的所有图书均要求为正版发行，出版手续齐全，无知识产权、版权纠纷。</w:t>
      </w:r>
    </w:p>
    <w:p w14:paraId="71393647">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、采购人将随机抽样对供货图书进行ISBN号的检测，经验收后，一旦发现盗版图书，将上报相关监督管理部门并给予</w:t>
      </w:r>
      <w:r>
        <w:rPr>
          <w:rFonts w:hint="eastAsia" w:ascii="宋体" w:hAnsi="宋体" w:cs="宋体"/>
          <w:color w:val="auto"/>
          <w:sz w:val="24"/>
          <w:szCs w:val="24"/>
          <w:highlight w:val="none"/>
          <w:lang w:val="en-US" w:eastAsia="zh-CN"/>
        </w:rPr>
        <w:t>解除合同的处罚</w:t>
      </w:r>
      <w:r>
        <w:rPr>
          <w:rFonts w:hint="eastAsia" w:ascii="宋体" w:hAnsi="宋体" w:eastAsia="宋体" w:cs="宋体"/>
          <w:color w:val="auto"/>
          <w:sz w:val="24"/>
          <w:szCs w:val="24"/>
          <w:highlight w:val="none"/>
        </w:rPr>
        <w:t>。</w:t>
      </w:r>
    </w:p>
    <w:p w14:paraId="7BA8FD6E">
      <w:pPr>
        <w:tabs>
          <w:tab w:val="left" w:pos="0"/>
        </w:tabs>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、所提供的图书目录，全国百佳图书出版单位图书目录占比</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以上。</w:t>
      </w:r>
    </w:p>
    <w:p w14:paraId="676145C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（四）服务要求：</w:t>
      </w:r>
    </w:p>
    <w:p w14:paraId="1BA1AE1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1、提供图书征订目录。</w:t>
      </w:r>
    </w:p>
    <w:p w14:paraId="48B131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sz w:val="24"/>
          <w:highlight w:val="none"/>
        </w:rPr>
        <w:t>以现场采购为主，订单采购为辅。按照</w:t>
      </w:r>
      <w:r>
        <w:rPr>
          <w:rFonts w:hint="eastAsia" w:ascii="宋体" w:hAnsi="宋体" w:cs="宋体"/>
          <w:sz w:val="24"/>
          <w:highlight w:val="none"/>
          <w:lang w:eastAsia="zh-CN"/>
        </w:rPr>
        <w:t>招标人</w:t>
      </w:r>
      <w:r>
        <w:rPr>
          <w:rFonts w:hint="eastAsia" w:ascii="宋体" w:hAnsi="宋体" w:cs="宋体"/>
          <w:sz w:val="24"/>
          <w:highlight w:val="none"/>
        </w:rPr>
        <w:t>要求，安排</w:t>
      </w:r>
      <w:r>
        <w:rPr>
          <w:rFonts w:hint="eastAsia" w:ascii="宋体" w:hAnsi="宋体" w:cs="宋体"/>
          <w:sz w:val="24"/>
          <w:highlight w:val="none"/>
          <w:lang w:eastAsia="zh-CN"/>
        </w:rPr>
        <w:t>招标人</w:t>
      </w:r>
      <w:r>
        <w:rPr>
          <w:rFonts w:hint="eastAsia" w:ascii="宋体" w:hAnsi="宋体" w:cs="宋体"/>
          <w:sz w:val="24"/>
          <w:highlight w:val="none"/>
        </w:rPr>
        <w:t>分批次参加图书现采活动，须品种丰富，畅销图书为主且为近两年出版的全新图书。订单采购需按照</w:t>
      </w:r>
      <w:r>
        <w:rPr>
          <w:rFonts w:hint="eastAsia" w:ascii="宋体" w:hAnsi="宋体" w:cs="宋体"/>
          <w:sz w:val="24"/>
          <w:highlight w:val="none"/>
          <w:lang w:eastAsia="zh-CN"/>
        </w:rPr>
        <w:t>招标人</w:t>
      </w:r>
      <w:r>
        <w:rPr>
          <w:rFonts w:hint="eastAsia" w:ascii="宋体" w:hAnsi="宋体" w:cs="宋体"/>
          <w:sz w:val="24"/>
          <w:highlight w:val="none"/>
        </w:rPr>
        <w:t>要求提供新书目录，且新书和畅销书的覆盖率达到80%，并按照中图分类法排序，内容应包括征订号、ISBN号、书名、著者、出版社、出版时间、单价、页码、尺寸等</w:t>
      </w:r>
      <w:r>
        <w:rPr>
          <w:rFonts w:hint="eastAsia" w:ascii="宋体" w:hAnsi="宋体" w:cs="宋体"/>
          <w:color w:val="auto"/>
          <w:sz w:val="24"/>
          <w:highlight w:val="none"/>
        </w:rPr>
        <w:t>。</w:t>
      </w:r>
      <w:r>
        <w:rPr>
          <w:rFonts w:hint="eastAsia" w:ascii="宋体" w:hAnsi="宋体" w:cs="宋体"/>
          <w:sz w:val="24"/>
          <w:highlight w:val="none"/>
        </w:rPr>
        <w:t>能满足不同乡镇的特殊图书需求采购要求。</w:t>
      </w:r>
    </w:p>
    <w:p w14:paraId="389DD57F">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b/>
          <w:bCs/>
          <w:color w:val="auto"/>
          <w:highlight w:val="none"/>
          <w:lang w:val="en-US" w:eastAsia="zh-CN"/>
        </w:rPr>
      </w:pPr>
      <w:r>
        <w:rPr>
          <w:rFonts w:hint="eastAsia" w:ascii="宋体" w:hAnsi="宋体" w:cs="宋体"/>
          <w:b/>
          <w:color w:val="auto"/>
          <w:szCs w:val="24"/>
          <w:highlight w:val="none"/>
        </w:rPr>
        <w:t>▲</w:t>
      </w:r>
      <w:r>
        <w:rPr>
          <w:rFonts w:hint="eastAsia"/>
          <w:b/>
          <w:bCs/>
          <w:color w:val="auto"/>
          <w:highlight w:val="none"/>
          <w:lang w:val="en-US" w:eastAsia="zh-CN"/>
        </w:rPr>
        <w:t>必须提供2025年新书畅销书必须占目录的80%及以上，否则不予验收，</w:t>
      </w:r>
      <w:r>
        <w:rPr>
          <w:rFonts w:hint="eastAsia" w:ascii="宋体" w:hAnsi="宋体" w:cs="宋体"/>
          <w:b/>
          <w:bCs w:val="0"/>
          <w:snapToGrid w:val="0"/>
          <w:color w:val="auto"/>
          <w:kern w:val="28"/>
          <w:szCs w:val="24"/>
          <w:highlight w:val="none"/>
          <w:lang w:val="en-US" w:eastAsia="zh-CN"/>
        </w:rPr>
        <w:t>以上内容在投标文件中均</w:t>
      </w:r>
      <w:r>
        <w:rPr>
          <w:rFonts w:hint="eastAsia" w:ascii="宋体" w:hAnsi="宋体" w:cs="宋体"/>
          <w:b/>
          <w:bCs w:val="0"/>
          <w:snapToGrid w:val="0"/>
          <w:color w:val="auto"/>
          <w:kern w:val="28"/>
          <w:szCs w:val="24"/>
          <w:highlight w:val="none"/>
        </w:rPr>
        <w:t>提供相关承诺函（格式自拟）</w:t>
      </w:r>
      <w:r>
        <w:rPr>
          <w:rFonts w:hint="eastAsia" w:ascii="宋体" w:hAnsi="宋体" w:cs="宋体"/>
          <w:b/>
          <w:bCs w:val="0"/>
          <w:snapToGrid w:val="0"/>
          <w:color w:val="auto"/>
          <w:kern w:val="28"/>
          <w:szCs w:val="24"/>
          <w:highlight w:val="none"/>
          <w:lang w:eastAsia="zh-CN"/>
        </w:rPr>
        <w:t>，不提供作无效标处理</w:t>
      </w:r>
      <w:r>
        <w:rPr>
          <w:rFonts w:hint="eastAsia"/>
          <w:b/>
          <w:bCs/>
          <w:color w:val="auto"/>
          <w:highlight w:val="none"/>
          <w:lang w:val="en-US" w:eastAsia="zh-CN"/>
        </w:rPr>
        <w:t>。</w:t>
      </w:r>
    </w:p>
    <w:p w14:paraId="66FF5D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（2）要求提供与新书目录相对应的Marc数据，且应符合杭州图书馆联合编目中心的规范数据要求，能在招标人系统内无障碍使用。</w:t>
      </w:r>
    </w:p>
    <w:p w14:paraId="76AAC3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（3）对于招标人提出的特定需求订单要能在2天内提供备选目录。                                                                                                                                                                                                                                                                                                                                                                                                                                                                                                                                 </w:t>
      </w:r>
    </w:p>
    <w:p w14:paraId="492C43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2、图书订单反应能力</w:t>
      </w:r>
    </w:p>
    <w:p w14:paraId="43A0EF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（1）对于招标人提供的图书订单要能及时汇总反馈，并能在确认后的7日内做好图书查重并安排采购。</w:t>
      </w:r>
    </w:p>
    <w:p w14:paraId="38BE1A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（2）投标人在收到招标人确认订单后，要求现货15天、期货30天到货，且每个订单到货率不低于95%。</w:t>
      </w:r>
    </w:p>
    <w:p w14:paraId="764B60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（3）时效性较强图书和临时性采购图书，要求7日内到货。</w:t>
      </w:r>
    </w:p>
    <w:p w14:paraId="54747D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对于以上所有在要求到货时间内不能到货的图书，投标人必须列出清单，并说明原因向招标人反馈，招标人有权根据实际情况改换投标人或者继续征订。若连续两个批次不能供货的数量达到10%或者全年到书率低于98%，招标人有权终止供货资格，投标人需承担损失和法律责任。</w:t>
      </w:r>
    </w:p>
    <w:p w14:paraId="29D198D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3、图书编目加工能力。</w:t>
      </w:r>
    </w:p>
    <w:p w14:paraId="64D0CA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须派驻专业编目人员到招标人指定地点提供图书的全加工服务，加工进度和质量须按照招标人要求。内容包括：盖馆藏章、加贴RFID芯片、条码、编目、附件加工、加贴书标、书标保护膜以及电子标签转换等）。RFID芯片须按招标人要求免费提供。</w:t>
      </w:r>
      <w:r>
        <w:rPr>
          <w:rFonts w:hint="eastAsia" w:ascii="宋体" w:hAnsi="宋体"/>
          <w:color w:val="auto"/>
          <w:kern w:val="0"/>
          <w:sz w:val="24"/>
          <w:highlight w:val="none"/>
        </w:rPr>
        <w:t>馆员工作站具有RFID芯片数据实时上传图创服务器的能力。</w:t>
      </w:r>
    </w:p>
    <w:p w14:paraId="2298C3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（2）投标人派驻的编目加工人员，需取得杭州市图书馆联合编目中心的上岗资格，并且一年内更换不得超过二人次，同时按招标人要求进行必须的编目培训、学习。</w:t>
      </w:r>
    </w:p>
    <w:p w14:paraId="78A9D6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（3）投标人中标后必须在淳安县千岛湖镇建立固定的图书编目加工场所且建议面积不小于50平方米，以便于招标人进行现场指导和检查。</w:t>
      </w:r>
    </w:p>
    <w:p w14:paraId="71304B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（4）在编目加工中所产生的劳务费、住宿费、工料费、设备费、培训费等一切费用均由投标人承担。</w:t>
      </w:r>
    </w:p>
    <w:p w14:paraId="7DD7FA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4、图书包装与运送。</w:t>
      </w:r>
    </w:p>
    <w:p w14:paraId="1A6CBB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（1）投标人应采用符合防湿防破要求的包装纸按照招标人要求（如分类别、复本等）对图书进行包装，并保证图书安全运输到达招标人指定的地点</w:t>
      </w:r>
      <w:r>
        <w:rPr>
          <w:rFonts w:hint="eastAsia" w:ascii="宋体" w:hAnsi="宋体" w:cs="宋体"/>
          <w:b/>
          <w:sz w:val="24"/>
          <w:highlight w:val="none"/>
        </w:rPr>
        <w:t>（包括淳安县23个乡镇综合文化站或图书分馆所在地）</w:t>
      </w:r>
      <w:r>
        <w:rPr>
          <w:rFonts w:hint="eastAsia" w:ascii="宋体" w:hAnsi="宋体" w:cs="宋体"/>
          <w:color w:val="auto"/>
          <w:sz w:val="24"/>
          <w:highlight w:val="none"/>
        </w:rPr>
        <w:t xml:space="preserve">，所产生的费用由投标人承担。 </w:t>
      </w:r>
    </w:p>
    <w:p w14:paraId="0F963D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需按照订单批次进行图书配送，需随书提供分包清单和该批图书的汇总清单（加盖投标人公章）一式三份，内容应包括包号、ISBN、书名、出版社、单价、复本数、码洋、并汇总册数、种数和码洋。分包清单一包一单，附于包内，汇总清单要求以包装号为序。</w:t>
      </w:r>
    </w:p>
    <w:p w14:paraId="26C2CA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（3）在图书发送的前一天，投标人需电话通知招标人，以便招标人准备接货。在图书到达招标人指定地点前所发生的不可预见的风险均由投标人负责。                                                                                                                                                                                                                                                                                                                                                                                                                                                                                                                                                                                                                                                                                                                                                                                                                                                                                                                                                                                                                                                                                                                                                                                                                                                               </w:t>
      </w:r>
    </w:p>
    <w:p w14:paraId="004151D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5、图书验收和售后。</w:t>
      </w:r>
    </w:p>
    <w:p w14:paraId="112841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（1）招标人在投标人送货到达指定地点后30个工作日内组织验收完毕。若验收时发现有质量问题以及和订单不符合的图书，一律无条件换货和退货。退换货所产生的所有费用由投标人承担。</w:t>
      </w:r>
    </w:p>
    <w:p w14:paraId="73D1F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（2）若在图书使用过程中，发现编目加工数据有误，投标人须无条件修正。如误差率达到5%，招标人有权终止供货资格。</w:t>
      </w:r>
    </w:p>
    <w:p w14:paraId="6DA7FE1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要求：由中标人按批次配送，招标人按批次验收，每个批次里提供随包单、整批清单、包件汇总单，清单上提供册数，定价，书名，书号等，招标人按包件清单验收（包件上提供包头标签，注明配送批次，册数，包件号及类别），且对图书的外观和数量进行核查，是否有破损、污渍或数量不足等情况，并提供验收报告。如招标人接到验收通知后一星期内无异议，作验收合格结论；招标人如对中标人的质量有异议，应在验收之日起七天内提出书面异议。</w:t>
      </w:r>
    </w:p>
    <w:p w14:paraId="33FDB55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6、采购方式为书目预定、现场选购和需求采购三种。现场采购为不定时采购，需求采购则按读者需求灵活采购。</w:t>
      </w:r>
    </w:p>
    <w:p w14:paraId="52C411DE">
      <w:pPr>
        <w:spacing w:line="360" w:lineRule="auto"/>
        <w:ind w:firstLine="482" w:firstLineChars="200"/>
        <w:rPr>
          <w:color w:val="auto"/>
          <w:highlight w:val="none"/>
        </w:rPr>
      </w:pPr>
      <w:r>
        <w:rPr>
          <w:rFonts w:hint="eastAsia" w:ascii="宋体" w:hAnsi="宋体" w:cs="宋体"/>
          <w:b/>
          <w:bCs/>
          <w:color w:val="auto"/>
          <w:sz w:val="24"/>
          <w:highlight w:val="none"/>
          <w:lang w:val="en-US" w:eastAsia="zh-CN"/>
        </w:rPr>
        <w:t>7、</w:t>
      </w:r>
      <w:r>
        <w:rPr>
          <w:rFonts w:hint="eastAsia" w:ascii="宋体" w:hAnsi="宋体" w:eastAsia="宋体" w:cs="宋体"/>
          <w:color w:val="auto"/>
          <w:sz w:val="24"/>
          <w:szCs w:val="24"/>
          <w:highlight w:val="none"/>
          <w:lang w:val="en-US" w:eastAsia="zh-CN"/>
        </w:rPr>
        <w:t>中标后图书馆不定期组织“你选书·我买单”活动，多家企业和读者须进行现场选书，投标人须承诺中标后在图书馆举办活动时在本地租赁场地，带样书及相关营业人员配合活动。</w:t>
      </w:r>
    </w:p>
    <w:p w14:paraId="75516653">
      <w:pPr>
        <w:spacing w:line="360" w:lineRule="auto"/>
        <w:rPr>
          <w:rFonts w:ascii="宋体" w:hAnsi="宋体" w:cs="宋体"/>
          <w:b/>
          <w:color w:val="auto"/>
          <w:sz w:val="24"/>
          <w:highlight w:val="none"/>
        </w:rPr>
      </w:pPr>
      <w:r>
        <w:rPr>
          <w:rFonts w:hint="eastAsia" w:ascii="宋体" w:hAnsi="宋体" w:cs="宋体"/>
          <w:b/>
          <w:color w:val="auto"/>
          <w:sz w:val="24"/>
          <w:highlight w:val="none"/>
        </w:rPr>
        <w:t>三、支付方式</w:t>
      </w:r>
    </w:p>
    <w:p w14:paraId="0C473E2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合同后，预付合同价款的50%，其余款采购人按照图书采购批次结算货款。采购人以图书定价×中标折扣作为计算书款的依据，在供应商按照合同规定将图书编目配送到指定地点、并验收合格后按照有关规定付款。若验收后发现书款与发货单不符的，采购人及时通知供货商派员到验收地核算，供应商接到通知之日不能及时派员核算的，以采购人验收的实际数额结算。</w:t>
      </w:r>
    </w:p>
    <w:p w14:paraId="2C41559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四、违约赔偿</w:t>
      </w:r>
    </w:p>
    <w:p w14:paraId="1CDA9E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（1）若出现印刷质量问题图书达到10%以上，投标人必须支付图书总码洋10倍罚金，并中止供货合同。</w:t>
      </w:r>
    </w:p>
    <w:p w14:paraId="10816B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（2）若供货周期超出规定时间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个月，则视为逾期交货。投标人必须支付该批图书码洋的1%作为违约金，逾期交货3次以上视为严重违约，招标人有权终止合同。</w:t>
      </w:r>
    </w:p>
    <w:p w14:paraId="4C489302">
      <w:pPr>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（3）若在每个订单下达后的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个月内，不能完成图书编目加工任务的，投标人需按照【未完成册数×</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元】的赔偿金支付给招标人。若在指定时间内完成加工的，但是编目加工不合格率达到5%以上的，投标人必须按照【不合格册数×</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元】的赔偿金支付给招标人。若在订单下达后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个月内不能完成编目加工任务，招标人有权终止合同。</w:t>
      </w:r>
    </w:p>
    <w:p w14:paraId="790884E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五、供货期限</w:t>
      </w:r>
    </w:p>
    <w:p w14:paraId="35905D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本项目所需图书，供货商必须在202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年10月31日前按招标人要求编目、配送到位。</w:t>
      </w:r>
    </w:p>
    <w:p w14:paraId="35D7436F">
      <w:pPr>
        <w:spacing w:line="360" w:lineRule="auto"/>
        <w:ind w:firstLine="181" w:firstLineChars="50"/>
        <w:rPr>
          <w:rFonts w:ascii="宋体" w:hAnsi="宋体" w:cs="宋体"/>
          <w:b/>
          <w:color w:val="auto"/>
          <w:sz w:val="36"/>
          <w:szCs w:val="36"/>
          <w:highlight w:val="none"/>
        </w:rPr>
      </w:pPr>
    </w:p>
    <w:p w14:paraId="57F5FC30">
      <w:pPr>
        <w:spacing w:line="360" w:lineRule="auto"/>
        <w:rPr>
          <w:rFonts w:ascii="宋体" w:hAnsi="宋体" w:cs="宋体"/>
          <w:color w:val="auto"/>
          <w:sz w:val="24"/>
          <w:highlight w:val="none"/>
        </w:rPr>
      </w:pPr>
    </w:p>
    <w:p w14:paraId="2897A4D1">
      <w:pPr>
        <w:spacing w:line="360" w:lineRule="auto"/>
        <w:jc w:val="center"/>
        <w:outlineLvl w:val="0"/>
        <w:rPr>
          <w:rFonts w:hint="eastAsia" w:ascii="宋体" w:hAnsi="宋体" w:cs="宋体"/>
          <w:b/>
          <w:color w:val="auto"/>
          <w:sz w:val="36"/>
          <w:szCs w:val="36"/>
          <w:highlight w:val="none"/>
        </w:rPr>
      </w:pPr>
    </w:p>
    <w:p w14:paraId="41F5D01F">
      <w:pPr>
        <w:spacing w:line="360" w:lineRule="auto"/>
        <w:jc w:val="center"/>
        <w:outlineLvl w:val="0"/>
        <w:rPr>
          <w:rFonts w:hint="eastAsia" w:ascii="宋体" w:hAnsi="宋体" w:cs="宋体"/>
          <w:b/>
          <w:color w:val="auto"/>
          <w:sz w:val="36"/>
          <w:szCs w:val="36"/>
          <w:highlight w:val="none"/>
        </w:rPr>
      </w:pPr>
    </w:p>
    <w:p w14:paraId="2B62981A">
      <w:pPr>
        <w:spacing w:line="360" w:lineRule="auto"/>
        <w:jc w:val="center"/>
        <w:outlineLvl w:val="0"/>
        <w:rPr>
          <w:rFonts w:hint="eastAsia" w:ascii="宋体" w:hAnsi="宋体" w:cs="宋体"/>
          <w:b/>
          <w:color w:val="auto"/>
          <w:sz w:val="36"/>
          <w:szCs w:val="36"/>
          <w:highlight w:val="none"/>
        </w:rPr>
      </w:pPr>
    </w:p>
    <w:p w14:paraId="1D5F88B5">
      <w:pPr>
        <w:spacing w:line="360" w:lineRule="auto"/>
        <w:jc w:val="center"/>
        <w:outlineLvl w:val="0"/>
        <w:rPr>
          <w:rFonts w:hint="eastAsia" w:ascii="宋体" w:hAnsi="宋体" w:cs="宋体"/>
          <w:b/>
          <w:color w:val="auto"/>
          <w:sz w:val="36"/>
          <w:szCs w:val="36"/>
          <w:highlight w:val="none"/>
        </w:rPr>
      </w:pPr>
    </w:p>
    <w:p w14:paraId="1F33426E">
      <w:pPr>
        <w:spacing w:line="360" w:lineRule="auto"/>
        <w:jc w:val="center"/>
        <w:outlineLvl w:val="0"/>
        <w:rPr>
          <w:rFonts w:hint="eastAsia" w:ascii="宋体" w:hAnsi="宋体" w:cs="宋体"/>
          <w:b/>
          <w:color w:val="auto"/>
          <w:sz w:val="36"/>
          <w:szCs w:val="36"/>
          <w:highlight w:val="none"/>
        </w:rPr>
      </w:pPr>
    </w:p>
    <w:p w14:paraId="54D0A4DD">
      <w:pPr>
        <w:spacing w:line="360" w:lineRule="auto"/>
        <w:jc w:val="center"/>
        <w:outlineLvl w:val="0"/>
        <w:rPr>
          <w:rFonts w:hint="eastAsia" w:ascii="宋体" w:hAnsi="宋体" w:cs="宋体"/>
          <w:b/>
          <w:color w:val="auto"/>
          <w:sz w:val="36"/>
          <w:szCs w:val="36"/>
          <w:highlight w:val="none"/>
        </w:rPr>
      </w:pPr>
    </w:p>
    <w:p w14:paraId="01C73021">
      <w:pPr>
        <w:spacing w:line="360" w:lineRule="auto"/>
        <w:jc w:val="center"/>
        <w:outlineLvl w:val="0"/>
        <w:rPr>
          <w:rFonts w:hint="eastAsia" w:ascii="宋体" w:hAnsi="宋体" w:cs="宋体"/>
          <w:b/>
          <w:color w:val="auto"/>
          <w:sz w:val="36"/>
          <w:szCs w:val="36"/>
          <w:highlight w:val="none"/>
        </w:rPr>
      </w:pPr>
    </w:p>
    <w:p w14:paraId="7875E284">
      <w:pPr>
        <w:spacing w:line="360" w:lineRule="auto"/>
        <w:jc w:val="center"/>
        <w:outlineLvl w:val="0"/>
        <w:rPr>
          <w:rFonts w:hint="eastAsia" w:ascii="宋体" w:hAnsi="宋体" w:cs="宋体"/>
          <w:b/>
          <w:color w:val="auto"/>
          <w:sz w:val="36"/>
          <w:szCs w:val="36"/>
          <w:highlight w:val="none"/>
        </w:rPr>
      </w:pPr>
    </w:p>
    <w:p w14:paraId="4D61E123">
      <w:pPr>
        <w:spacing w:line="360" w:lineRule="auto"/>
        <w:jc w:val="center"/>
        <w:outlineLvl w:val="0"/>
        <w:rPr>
          <w:rFonts w:hint="eastAsia" w:ascii="宋体" w:hAnsi="宋体" w:cs="宋体"/>
          <w:b/>
          <w:color w:val="auto"/>
          <w:sz w:val="36"/>
          <w:szCs w:val="36"/>
          <w:highlight w:val="none"/>
        </w:rPr>
      </w:pPr>
    </w:p>
    <w:p w14:paraId="5D24D6A6">
      <w:pPr>
        <w:spacing w:line="360" w:lineRule="auto"/>
        <w:jc w:val="center"/>
        <w:outlineLvl w:val="0"/>
        <w:rPr>
          <w:rFonts w:hint="eastAsia" w:ascii="宋体" w:hAnsi="宋体" w:cs="宋体"/>
          <w:b/>
          <w:color w:val="auto"/>
          <w:sz w:val="36"/>
          <w:szCs w:val="36"/>
          <w:highlight w:val="none"/>
        </w:rPr>
      </w:pPr>
    </w:p>
    <w:p w14:paraId="446CAC2F">
      <w:pPr>
        <w:spacing w:line="360" w:lineRule="auto"/>
        <w:jc w:val="center"/>
        <w:outlineLvl w:val="0"/>
        <w:rPr>
          <w:rFonts w:hint="eastAsia" w:ascii="宋体" w:hAnsi="宋体" w:cs="宋体"/>
          <w:b/>
          <w:color w:val="auto"/>
          <w:sz w:val="36"/>
          <w:szCs w:val="36"/>
          <w:highlight w:val="none"/>
        </w:rPr>
      </w:pPr>
    </w:p>
    <w:p w14:paraId="01F7C94B">
      <w:pPr>
        <w:spacing w:line="360" w:lineRule="auto"/>
        <w:jc w:val="center"/>
        <w:outlineLvl w:val="0"/>
        <w:rPr>
          <w:rFonts w:hint="eastAsia" w:ascii="宋体" w:hAnsi="宋体" w:cs="宋体"/>
          <w:b/>
          <w:color w:val="auto"/>
          <w:sz w:val="36"/>
          <w:szCs w:val="36"/>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4" w:name="_Toc184313301"/>
      <w:bookmarkEnd w:id="34"/>
      <w:bookmarkStart w:id="35" w:name="_Toc184314443"/>
      <w:bookmarkEnd w:id="35"/>
      <w:bookmarkStart w:id="36" w:name="_Toc184312120"/>
      <w:bookmarkEnd w:id="36"/>
      <w:bookmarkStart w:id="37" w:name="_Toc184313253"/>
      <w:bookmarkEnd w:id="37"/>
      <w:bookmarkStart w:id="38" w:name="_Toc184314477"/>
      <w:bookmarkEnd w:id="38"/>
      <w:bookmarkStart w:id="39" w:name="_Toc184308079"/>
      <w:bookmarkEnd w:id="39"/>
      <w:bookmarkStart w:id="40" w:name="_Toc184313268"/>
      <w:bookmarkEnd w:id="40"/>
      <w:bookmarkStart w:id="41" w:name="_Toc184312136"/>
      <w:bookmarkEnd w:id="41"/>
      <w:bookmarkStart w:id="42" w:name="_Toc184312072"/>
      <w:bookmarkEnd w:id="42"/>
      <w:bookmarkStart w:id="43" w:name="_Toc184314454"/>
      <w:bookmarkEnd w:id="43"/>
      <w:bookmarkStart w:id="44" w:name="_Toc184313272"/>
      <w:bookmarkEnd w:id="44"/>
      <w:bookmarkStart w:id="45" w:name="_Toc184314429"/>
      <w:bookmarkEnd w:id="45"/>
      <w:bookmarkStart w:id="46" w:name="_Toc184313287"/>
      <w:bookmarkEnd w:id="46"/>
      <w:bookmarkStart w:id="47" w:name="_Toc184308101"/>
      <w:bookmarkEnd w:id="47"/>
      <w:bookmarkStart w:id="48" w:name="_Toc184312118"/>
      <w:bookmarkEnd w:id="48"/>
      <w:bookmarkStart w:id="49" w:name="_Toc184310302"/>
      <w:bookmarkEnd w:id="49"/>
      <w:bookmarkStart w:id="50" w:name="_Toc184312115"/>
      <w:bookmarkEnd w:id="50"/>
      <w:bookmarkStart w:id="51" w:name="_Toc184310336"/>
      <w:bookmarkEnd w:id="51"/>
      <w:bookmarkStart w:id="52" w:name="_Toc184313260"/>
      <w:bookmarkEnd w:id="52"/>
      <w:bookmarkStart w:id="53" w:name="_Toc184308089"/>
      <w:bookmarkEnd w:id="53"/>
      <w:bookmarkStart w:id="54" w:name="_Toc184314453"/>
      <w:bookmarkEnd w:id="54"/>
      <w:bookmarkStart w:id="55" w:name="_Toc184308072"/>
      <w:bookmarkEnd w:id="55"/>
      <w:bookmarkStart w:id="56" w:name="_Toc184313303"/>
      <w:bookmarkEnd w:id="56"/>
      <w:bookmarkStart w:id="57" w:name="_Toc184312070"/>
      <w:bookmarkEnd w:id="57"/>
      <w:bookmarkStart w:id="58" w:name="_Toc184312122"/>
      <w:bookmarkEnd w:id="58"/>
      <w:bookmarkStart w:id="59" w:name="_Toc184310298"/>
      <w:bookmarkEnd w:id="59"/>
      <w:bookmarkStart w:id="60" w:name="_Toc184314471"/>
      <w:bookmarkEnd w:id="60"/>
      <w:bookmarkStart w:id="61" w:name="_Toc184314428"/>
      <w:bookmarkEnd w:id="61"/>
      <w:bookmarkStart w:id="62" w:name="_Toc184312112"/>
      <w:bookmarkEnd w:id="62"/>
      <w:bookmarkStart w:id="63" w:name="_Toc184314442"/>
      <w:bookmarkEnd w:id="63"/>
      <w:bookmarkStart w:id="64" w:name="_Toc184314431"/>
      <w:bookmarkEnd w:id="64"/>
      <w:bookmarkStart w:id="65" w:name="_Toc184308061"/>
      <w:bookmarkEnd w:id="65"/>
      <w:bookmarkStart w:id="66" w:name="_Toc184314413"/>
      <w:bookmarkEnd w:id="66"/>
      <w:bookmarkStart w:id="67" w:name="_Toc184308096"/>
      <w:bookmarkEnd w:id="67"/>
      <w:bookmarkStart w:id="68" w:name="_Toc184314423"/>
      <w:bookmarkEnd w:id="68"/>
      <w:bookmarkStart w:id="69" w:name="_Toc184310331"/>
      <w:bookmarkEnd w:id="69"/>
      <w:bookmarkStart w:id="70" w:name="_Toc184312085"/>
      <w:bookmarkEnd w:id="70"/>
      <w:bookmarkStart w:id="71" w:name="_Toc184310273"/>
      <w:bookmarkEnd w:id="71"/>
      <w:bookmarkStart w:id="72" w:name="_Toc184313310"/>
      <w:bookmarkEnd w:id="72"/>
      <w:bookmarkStart w:id="73" w:name="_Toc184310307"/>
      <w:bookmarkEnd w:id="73"/>
      <w:bookmarkStart w:id="74" w:name="_Toc184312130"/>
      <w:bookmarkEnd w:id="74"/>
      <w:bookmarkStart w:id="75" w:name="_Toc184308071"/>
      <w:bookmarkEnd w:id="75"/>
      <w:bookmarkStart w:id="76" w:name="_Toc184310338"/>
      <w:bookmarkEnd w:id="76"/>
      <w:bookmarkStart w:id="77" w:name="_Toc184308056"/>
      <w:bookmarkEnd w:id="77"/>
      <w:bookmarkStart w:id="78" w:name="_Toc184313246"/>
      <w:bookmarkEnd w:id="78"/>
      <w:bookmarkStart w:id="79" w:name="_Toc184314448"/>
      <w:bookmarkEnd w:id="79"/>
      <w:bookmarkStart w:id="80" w:name="_Toc184313250"/>
      <w:bookmarkEnd w:id="80"/>
      <w:bookmarkStart w:id="81" w:name="_Toc184313288"/>
      <w:bookmarkEnd w:id="81"/>
      <w:bookmarkStart w:id="82" w:name="_Toc184312089"/>
      <w:bookmarkEnd w:id="82"/>
      <w:bookmarkStart w:id="83" w:name="_Toc184314450"/>
      <w:bookmarkEnd w:id="83"/>
      <w:bookmarkStart w:id="84" w:name="_Toc184314452"/>
      <w:bookmarkEnd w:id="84"/>
      <w:bookmarkStart w:id="85" w:name="_Toc184314470"/>
      <w:bookmarkEnd w:id="85"/>
      <w:bookmarkStart w:id="86" w:name="_Toc184313266"/>
      <w:bookmarkEnd w:id="86"/>
      <w:bookmarkStart w:id="87" w:name="_Toc184308085"/>
      <w:bookmarkEnd w:id="87"/>
      <w:bookmarkStart w:id="88" w:name="_Toc184313240"/>
      <w:bookmarkEnd w:id="88"/>
      <w:bookmarkStart w:id="89" w:name="_Toc184310297"/>
      <w:bookmarkEnd w:id="89"/>
      <w:bookmarkStart w:id="90" w:name="_Toc184314481"/>
      <w:bookmarkEnd w:id="90"/>
      <w:bookmarkStart w:id="91" w:name="_Toc184313284"/>
      <w:bookmarkEnd w:id="91"/>
      <w:bookmarkStart w:id="92" w:name="_Toc184314436"/>
      <w:bookmarkEnd w:id="92"/>
      <w:bookmarkStart w:id="93" w:name="_Toc184314468"/>
      <w:bookmarkEnd w:id="93"/>
      <w:bookmarkStart w:id="94" w:name="_Toc184308036"/>
      <w:bookmarkEnd w:id="94"/>
      <w:bookmarkStart w:id="95" w:name="_Toc184308095"/>
      <w:bookmarkEnd w:id="95"/>
      <w:bookmarkStart w:id="96" w:name="_Toc184308076"/>
      <w:bookmarkEnd w:id="96"/>
      <w:bookmarkStart w:id="97" w:name="_Toc184312094"/>
      <w:bookmarkEnd w:id="97"/>
      <w:bookmarkStart w:id="98" w:name="_Toc184310344"/>
      <w:bookmarkEnd w:id="98"/>
      <w:bookmarkStart w:id="99" w:name="_Toc184313245"/>
      <w:bookmarkEnd w:id="99"/>
      <w:bookmarkStart w:id="100" w:name="_Toc184313306"/>
      <w:bookmarkEnd w:id="100"/>
      <w:bookmarkStart w:id="101" w:name="_Toc184314446"/>
      <w:bookmarkEnd w:id="101"/>
      <w:bookmarkStart w:id="102" w:name="_Toc184308054"/>
      <w:bookmarkEnd w:id="102"/>
      <w:bookmarkStart w:id="103" w:name="_Toc184308070"/>
      <w:bookmarkEnd w:id="103"/>
      <w:bookmarkStart w:id="104" w:name="_Toc184314425"/>
      <w:bookmarkEnd w:id="104"/>
      <w:bookmarkStart w:id="105" w:name="_Toc184312133"/>
      <w:bookmarkEnd w:id="105"/>
      <w:bookmarkStart w:id="106" w:name="_Toc184312095"/>
      <w:bookmarkEnd w:id="106"/>
      <w:bookmarkStart w:id="107" w:name="_Toc184312123"/>
      <w:bookmarkEnd w:id="107"/>
      <w:bookmarkStart w:id="108" w:name="_Toc184312075"/>
      <w:bookmarkEnd w:id="108"/>
      <w:bookmarkStart w:id="109" w:name="_Toc184308082"/>
      <w:bookmarkEnd w:id="109"/>
      <w:bookmarkStart w:id="110" w:name="_Toc184314472"/>
      <w:bookmarkEnd w:id="110"/>
      <w:bookmarkStart w:id="111" w:name="_Toc184314418"/>
      <w:bookmarkEnd w:id="111"/>
      <w:bookmarkStart w:id="112" w:name="_Toc184308078"/>
      <w:bookmarkEnd w:id="112"/>
      <w:bookmarkStart w:id="113" w:name="_Toc184313247"/>
      <w:bookmarkEnd w:id="113"/>
      <w:bookmarkStart w:id="114" w:name="_Toc184314451"/>
      <w:bookmarkEnd w:id="114"/>
      <w:bookmarkStart w:id="115" w:name="_Toc184313281"/>
      <w:bookmarkEnd w:id="115"/>
      <w:bookmarkStart w:id="116" w:name="_Toc184312086"/>
      <w:bookmarkEnd w:id="116"/>
      <w:bookmarkStart w:id="117" w:name="_Toc184312131"/>
      <w:bookmarkEnd w:id="117"/>
      <w:bookmarkStart w:id="118" w:name="_Toc184313275"/>
      <w:bookmarkEnd w:id="118"/>
      <w:bookmarkStart w:id="119" w:name="_Toc184308068"/>
      <w:bookmarkEnd w:id="119"/>
      <w:bookmarkStart w:id="120" w:name="_Toc184314445"/>
      <w:bookmarkEnd w:id="120"/>
      <w:bookmarkStart w:id="121" w:name="_Toc184312099"/>
      <w:bookmarkEnd w:id="121"/>
      <w:bookmarkStart w:id="122" w:name="_Toc184308088"/>
      <w:bookmarkEnd w:id="122"/>
      <w:bookmarkStart w:id="123" w:name="_Toc184313252"/>
      <w:bookmarkEnd w:id="123"/>
      <w:bookmarkStart w:id="124" w:name="_Toc184310311"/>
      <w:bookmarkEnd w:id="124"/>
      <w:bookmarkStart w:id="125" w:name="_Toc184308069"/>
      <w:bookmarkEnd w:id="125"/>
      <w:bookmarkStart w:id="126" w:name="_Toc184312069"/>
      <w:bookmarkEnd w:id="126"/>
      <w:bookmarkStart w:id="127" w:name="_Toc184310341"/>
      <w:bookmarkEnd w:id="127"/>
      <w:bookmarkStart w:id="128" w:name="_Toc184310324"/>
      <w:bookmarkEnd w:id="128"/>
      <w:bookmarkStart w:id="129" w:name="_Toc184308077"/>
      <w:bookmarkEnd w:id="129"/>
      <w:bookmarkStart w:id="130" w:name="_Toc184313238"/>
      <w:bookmarkEnd w:id="130"/>
      <w:bookmarkStart w:id="131" w:name="_Toc184314475"/>
      <w:bookmarkEnd w:id="131"/>
      <w:bookmarkStart w:id="132" w:name="_Toc184313276"/>
      <w:bookmarkEnd w:id="132"/>
      <w:bookmarkStart w:id="133" w:name="_Toc184308080"/>
      <w:bookmarkEnd w:id="133"/>
      <w:bookmarkStart w:id="134" w:name="_Toc184313265"/>
      <w:bookmarkEnd w:id="134"/>
      <w:bookmarkStart w:id="135" w:name="_Toc184308103"/>
      <w:bookmarkEnd w:id="135"/>
      <w:bookmarkStart w:id="136" w:name="_Toc184308106"/>
      <w:bookmarkEnd w:id="136"/>
      <w:bookmarkStart w:id="137" w:name="_Toc184312097"/>
      <w:bookmarkEnd w:id="137"/>
      <w:bookmarkStart w:id="138" w:name="_Toc184312078"/>
      <w:bookmarkEnd w:id="138"/>
      <w:bookmarkStart w:id="139" w:name="_Toc184314433"/>
      <w:bookmarkEnd w:id="139"/>
      <w:bookmarkStart w:id="140" w:name="_Toc184312082"/>
      <w:bookmarkEnd w:id="140"/>
      <w:bookmarkStart w:id="141" w:name="_Toc184314482"/>
      <w:bookmarkEnd w:id="141"/>
      <w:bookmarkStart w:id="142" w:name="_Toc184314415"/>
      <w:bookmarkEnd w:id="142"/>
      <w:bookmarkStart w:id="143" w:name="_Toc184314424"/>
      <w:bookmarkEnd w:id="143"/>
      <w:bookmarkStart w:id="144" w:name="_Toc184310337"/>
      <w:bookmarkEnd w:id="144"/>
      <w:bookmarkStart w:id="145" w:name="_Toc184312104"/>
      <w:bookmarkEnd w:id="145"/>
      <w:bookmarkStart w:id="146" w:name="_Toc184314430"/>
      <w:bookmarkEnd w:id="146"/>
      <w:bookmarkStart w:id="147" w:name="_Toc184313279"/>
      <w:bookmarkEnd w:id="147"/>
      <w:bookmarkStart w:id="148" w:name="_Toc184313290"/>
      <w:bookmarkEnd w:id="148"/>
      <w:bookmarkStart w:id="149" w:name="_Toc184310342"/>
      <w:bookmarkEnd w:id="149"/>
      <w:bookmarkStart w:id="150" w:name="_Toc184314422"/>
      <w:bookmarkEnd w:id="150"/>
      <w:bookmarkStart w:id="151" w:name="_Toc184310296"/>
      <w:bookmarkEnd w:id="151"/>
      <w:bookmarkStart w:id="152" w:name="_Toc184310284"/>
      <w:bookmarkEnd w:id="152"/>
      <w:bookmarkStart w:id="153" w:name="_Toc184310314"/>
      <w:bookmarkEnd w:id="153"/>
      <w:bookmarkStart w:id="154" w:name="_Toc184312087"/>
      <w:bookmarkEnd w:id="154"/>
      <w:bookmarkStart w:id="155" w:name="_Toc184310282"/>
      <w:bookmarkEnd w:id="155"/>
      <w:bookmarkStart w:id="156" w:name="_Toc184314473"/>
      <w:bookmarkEnd w:id="156"/>
      <w:bookmarkStart w:id="157" w:name="_Toc184312126"/>
      <w:bookmarkEnd w:id="157"/>
      <w:bookmarkStart w:id="158" w:name="_Toc184313296"/>
      <w:bookmarkEnd w:id="158"/>
      <w:bookmarkStart w:id="159" w:name="_Toc184308074"/>
      <w:bookmarkEnd w:id="159"/>
      <w:bookmarkStart w:id="160" w:name="_Toc184314440"/>
      <w:bookmarkEnd w:id="160"/>
      <w:bookmarkStart w:id="161" w:name="_Toc184310286"/>
      <w:bookmarkEnd w:id="161"/>
      <w:bookmarkStart w:id="162" w:name="_Toc184308051"/>
      <w:bookmarkEnd w:id="162"/>
      <w:bookmarkStart w:id="163" w:name="_Toc184312125"/>
      <w:bookmarkEnd w:id="163"/>
      <w:bookmarkStart w:id="164" w:name="_Toc184308097"/>
      <w:bookmarkEnd w:id="164"/>
      <w:bookmarkStart w:id="165" w:name="_Toc184308040"/>
      <w:bookmarkEnd w:id="165"/>
      <w:bookmarkStart w:id="166" w:name="_Toc184314417"/>
      <w:bookmarkEnd w:id="166"/>
      <w:bookmarkStart w:id="167" w:name="_Toc184310305"/>
      <w:bookmarkEnd w:id="167"/>
      <w:bookmarkStart w:id="168" w:name="_Toc184313269"/>
      <w:bookmarkEnd w:id="168"/>
      <w:bookmarkStart w:id="169" w:name="_Toc184310343"/>
      <w:bookmarkEnd w:id="169"/>
      <w:bookmarkStart w:id="170" w:name="_Toc184314435"/>
      <w:bookmarkEnd w:id="170"/>
      <w:bookmarkStart w:id="171" w:name="_Toc184314466"/>
      <w:bookmarkEnd w:id="171"/>
      <w:bookmarkStart w:id="172" w:name="_Toc184312103"/>
      <w:bookmarkEnd w:id="172"/>
      <w:bookmarkStart w:id="173" w:name="_Toc184310287"/>
      <w:bookmarkEnd w:id="173"/>
      <w:bookmarkStart w:id="174" w:name="_Toc184310340"/>
      <w:bookmarkEnd w:id="174"/>
      <w:bookmarkStart w:id="175" w:name="_Toc184308053"/>
      <w:bookmarkEnd w:id="175"/>
      <w:bookmarkStart w:id="176" w:name="_Toc184314432"/>
      <w:bookmarkEnd w:id="176"/>
      <w:bookmarkStart w:id="177" w:name="_Toc184310332"/>
      <w:bookmarkEnd w:id="177"/>
      <w:bookmarkStart w:id="178" w:name="_Toc184312139"/>
      <w:bookmarkEnd w:id="178"/>
      <w:bookmarkStart w:id="179" w:name="_Toc184314447"/>
      <w:bookmarkEnd w:id="179"/>
      <w:bookmarkStart w:id="180" w:name="_Toc184312119"/>
      <w:bookmarkEnd w:id="180"/>
      <w:bookmarkStart w:id="181" w:name="_Toc184310335"/>
      <w:bookmarkEnd w:id="181"/>
      <w:bookmarkStart w:id="182" w:name="_Toc184314460"/>
      <w:bookmarkEnd w:id="182"/>
      <w:bookmarkStart w:id="183" w:name="_Toc184313261"/>
      <w:bookmarkEnd w:id="183"/>
      <w:bookmarkStart w:id="184" w:name="_Toc184308041"/>
      <w:bookmarkEnd w:id="184"/>
      <w:bookmarkStart w:id="185" w:name="_Toc184312091"/>
      <w:bookmarkEnd w:id="185"/>
      <w:bookmarkStart w:id="186" w:name="_Toc184310323"/>
      <w:bookmarkEnd w:id="186"/>
      <w:bookmarkStart w:id="187" w:name="_Toc184308066"/>
      <w:bookmarkEnd w:id="187"/>
      <w:bookmarkStart w:id="188" w:name="_Toc184308081"/>
      <w:bookmarkEnd w:id="188"/>
      <w:bookmarkStart w:id="189" w:name="_Toc184308105"/>
      <w:bookmarkEnd w:id="189"/>
      <w:bookmarkStart w:id="190" w:name="_Toc184313242"/>
      <w:bookmarkEnd w:id="190"/>
      <w:bookmarkStart w:id="191" w:name="_Toc184310279"/>
      <w:bookmarkEnd w:id="191"/>
      <w:bookmarkStart w:id="192" w:name="_Toc184310329"/>
      <w:bookmarkEnd w:id="192"/>
      <w:bookmarkStart w:id="193" w:name="_Toc184313291"/>
      <w:bookmarkEnd w:id="193"/>
      <w:bookmarkStart w:id="194" w:name="_Toc184314467"/>
      <w:bookmarkEnd w:id="194"/>
      <w:bookmarkStart w:id="195" w:name="_Toc184308046"/>
      <w:bookmarkEnd w:id="195"/>
      <w:bookmarkStart w:id="196" w:name="_Toc184310299"/>
      <w:bookmarkEnd w:id="196"/>
      <w:bookmarkStart w:id="197" w:name="_Toc184314410"/>
      <w:bookmarkEnd w:id="197"/>
      <w:bookmarkStart w:id="198" w:name="_Toc184310312"/>
      <w:bookmarkEnd w:id="198"/>
      <w:bookmarkStart w:id="199" w:name="_Toc184310316"/>
      <w:bookmarkEnd w:id="199"/>
      <w:bookmarkStart w:id="200" w:name="_Toc184314478"/>
      <w:bookmarkEnd w:id="200"/>
      <w:bookmarkStart w:id="201" w:name="_Toc184308038"/>
      <w:bookmarkEnd w:id="201"/>
      <w:bookmarkStart w:id="202" w:name="_Toc184313299"/>
      <w:bookmarkEnd w:id="202"/>
      <w:bookmarkStart w:id="203" w:name="_Toc184313262"/>
      <w:bookmarkEnd w:id="203"/>
      <w:bookmarkStart w:id="204" w:name="_Toc184313282"/>
      <w:bookmarkEnd w:id="204"/>
      <w:bookmarkStart w:id="205" w:name="_Toc184314411"/>
      <w:bookmarkEnd w:id="205"/>
      <w:bookmarkStart w:id="206" w:name="_Toc184314463"/>
      <w:bookmarkEnd w:id="206"/>
      <w:bookmarkStart w:id="207" w:name="_Toc184312093"/>
      <w:bookmarkEnd w:id="207"/>
      <w:bookmarkStart w:id="208" w:name="_Toc184310317"/>
      <w:bookmarkEnd w:id="208"/>
      <w:bookmarkStart w:id="209" w:name="_Toc184310319"/>
      <w:bookmarkEnd w:id="209"/>
      <w:bookmarkStart w:id="210" w:name="_Toc184308045"/>
      <w:bookmarkEnd w:id="210"/>
      <w:bookmarkStart w:id="211" w:name="_Toc184308052"/>
      <w:bookmarkEnd w:id="211"/>
      <w:bookmarkStart w:id="212" w:name="_Toc184313243"/>
      <w:bookmarkEnd w:id="212"/>
      <w:bookmarkStart w:id="213" w:name="_Toc184308102"/>
      <w:bookmarkEnd w:id="213"/>
      <w:bookmarkStart w:id="214" w:name="_Toc184310294"/>
      <w:bookmarkEnd w:id="214"/>
      <w:bookmarkStart w:id="215" w:name="_Toc184312083"/>
      <w:bookmarkEnd w:id="215"/>
      <w:bookmarkStart w:id="216" w:name="_Toc184312114"/>
      <w:bookmarkEnd w:id="216"/>
      <w:bookmarkStart w:id="217" w:name="_Toc184310304"/>
      <w:bookmarkEnd w:id="217"/>
      <w:bookmarkStart w:id="218" w:name="_Toc184310310"/>
      <w:bookmarkEnd w:id="218"/>
      <w:bookmarkStart w:id="219" w:name="_Toc184313280"/>
      <w:bookmarkEnd w:id="219"/>
      <w:bookmarkStart w:id="220" w:name="_Toc184313251"/>
      <w:bookmarkEnd w:id="220"/>
      <w:bookmarkStart w:id="221" w:name="_Toc184313278"/>
      <w:bookmarkEnd w:id="221"/>
      <w:bookmarkStart w:id="222" w:name="_Toc184310303"/>
      <w:bookmarkEnd w:id="222"/>
      <w:bookmarkStart w:id="223" w:name="_Toc184314456"/>
      <w:bookmarkEnd w:id="223"/>
      <w:bookmarkStart w:id="224" w:name="_Toc184310334"/>
      <w:bookmarkEnd w:id="224"/>
      <w:bookmarkStart w:id="225" w:name="_Toc184308093"/>
      <w:bookmarkEnd w:id="225"/>
      <w:bookmarkStart w:id="226" w:name="_Toc184313273"/>
      <w:bookmarkEnd w:id="226"/>
      <w:bookmarkStart w:id="227" w:name="_Toc184313277"/>
      <w:bookmarkEnd w:id="227"/>
      <w:bookmarkStart w:id="228" w:name="_Toc184312106"/>
      <w:bookmarkEnd w:id="228"/>
      <w:bookmarkStart w:id="229" w:name="_Toc184313294"/>
      <w:bookmarkEnd w:id="229"/>
      <w:bookmarkStart w:id="230" w:name="_Toc184313264"/>
      <w:bookmarkEnd w:id="230"/>
      <w:bookmarkStart w:id="231" w:name="_Toc184310278"/>
      <w:bookmarkEnd w:id="231"/>
      <w:bookmarkStart w:id="232" w:name="_Toc184310322"/>
      <w:bookmarkEnd w:id="232"/>
      <w:bookmarkStart w:id="233" w:name="_Toc184308090"/>
      <w:bookmarkEnd w:id="233"/>
      <w:bookmarkStart w:id="234" w:name="_Toc184312121"/>
      <w:bookmarkEnd w:id="234"/>
      <w:bookmarkStart w:id="235" w:name="_Toc184313292"/>
      <w:bookmarkEnd w:id="235"/>
      <w:bookmarkStart w:id="236" w:name="_Toc184312068"/>
      <w:bookmarkEnd w:id="236"/>
      <w:bookmarkStart w:id="237" w:name="_Toc184308107"/>
      <w:bookmarkEnd w:id="237"/>
      <w:bookmarkStart w:id="238" w:name="_Toc184308042"/>
      <w:bookmarkEnd w:id="238"/>
      <w:bookmarkStart w:id="239" w:name="_Toc184314480"/>
      <w:bookmarkEnd w:id="239"/>
      <w:bookmarkStart w:id="240" w:name="_Toc184313293"/>
      <w:bookmarkEnd w:id="240"/>
      <w:bookmarkStart w:id="241" w:name="_Toc184312102"/>
      <w:bookmarkEnd w:id="241"/>
      <w:bookmarkStart w:id="242" w:name="_Toc184314439"/>
      <w:bookmarkEnd w:id="242"/>
      <w:bookmarkStart w:id="243" w:name="_Toc184310321"/>
      <w:bookmarkEnd w:id="243"/>
      <w:bookmarkStart w:id="244" w:name="_Toc184312117"/>
      <w:bookmarkEnd w:id="244"/>
      <w:bookmarkStart w:id="245" w:name="_Toc184313244"/>
      <w:bookmarkEnd w:id="245"/>
      <w:bookmarkStart w:id="246" w:name="_Toc184314419"/>
      <w:bookmarkEnd w:id="246"/>
      <w:bookmarkStart w:id="247" w:name="_Toc184308059"/>
      <w:bookmarkEnd w:id="247"/>
      <w:bookmarkStart w:id="248" w:name="_Toc184314421"/>
      <w:bookmarkEnd w:id="248"/>
      <w:bookmarkStart w:id="249" w:name="_Toc184308060"/>
      <w:bookmarkEnd w:id="249"/>
      <w:bookmarkStart w:id="250" w:name="_Toc184313249"/>
      <w:bookmarkEnd w:id="250"/>
      <w:bookmarkStart w:id="251" w:name="_Toc184310320"/>
      <w:bookmarkEnd w:id="251"/>
      <w:bookmarkStart w:id="252" w:name="_Toc184308094"/>
      <w:bookmarkEnd w:id="252"/>
      <w:bookmarkStart w:id="253" w:name="_Toc184308084"/>
      <w:bookmarkEnd w:id="253"/>
      <w:bookmarkStart w:id="254" w:name="_Toc184310275"/>
      <w:bookmarkEnd w:id="254"/>
      <w:bookmarkStart w:id="255" w:name="_Toc184314464"/>
      <w:bookmarkEnd w:id="255"/>
      <w:bookmarkStart w:id="256" w:name="_Toc184308055"/>
      <w:bookmarkEnd w:id="256"/>
      <w:bookmarkStart w:id="257" w:name="_Toc184312129"/>
      <w:bookmarkEnd w:id="257"/>
      <w:bookmarkStart w:id="258" w:name="_Toc184313254"/>
      <w:bookmarkEnd w:id="258"/>
      <w:bookmarkStart w:id="259" w:name="_Toc184313257"/>
      <w:bookmarkEnd w:id="259"/>
      <w:bookmarkStart w:id="260" w:name="_Toc184308083"/>
      <w:bookmarkEnd w:id="260"/>
      <w:bookmarkStart w:id="261" w:name="_Toc184313309"/>
      <w:bookmarkEnd w:id="261"/>
      <w:bookmarkStart w:id="262" w:name="_Toc184310325"/>
      <w:bookmarkEnd w:id="262"/>
      <w:bookmarkStart w:id="263" w:name="_Toc184313285"/>
      <w:bookmarkEnd w:id="263"/>
      <w:bookmarkStart w:id="264" w:name="_Toc184312113"/>
      <w:bookmarkEnd w:id="264"/>
      <w:bookmarkStart w:id="265" w:name="_Toc184313302"/>
      <w:bookmarkEnd w:id="265"/>
      <w:bookmarkStart w:id="266" w:name="_Toc184313255"/>
      <w:bookmarkEnd w:id="266"/>
      <w:bookmarkStart w:id="267" w:name="_Toc184314441"/>
      <w:bookmarkEnd w:id="267"/>
      <w:bookmarkStart w:id="268" w:name="_Toc184310276"/>
      <w:bookmarkEnd w:id="268"/>
      <w:bookmarkStart w:id="269" w:name="_Toc184314455"/>
      <w:bookmarkEnd w:id="269"/>
      <w:bookmarkStart w:id="270" w:name="_Toc184308047"/>
      <w:bookmarkEnd w:id="270"/>
      <w:bookmarkStart w:id="271" w:name="_Toc184310295"/>
      <w:bookmarkEnd w:id="271"/>
      <w:bookmarkStart w:id="272" w:name="_Toc184313239"/>
      <w:bookmarkEnd w:id="272"/>
      <w:bookmarkStart w:id="273" w:name="_Toc184314444"/>
      <w:bookmarkEnd w:id="273"/>
      <w:bookmarkStart w:id="274" w:name="_Toc184310280"/>
      <w:bookmarkEnd w:id="274"/>
      <w:bookmarkStart w:id="275" w:name="_Toc184312128"/>
      <w:bookmarkEnd w:id="275"/>
      <w:bookmarkStart w:id="276" w:name="_Toc184313241"/>
      <w:bookmarkEnd w:id="276"/>
      <w:bookmarkStart w:id="277" w:name="_Toc184312137"/>
      <w:bookmarkEnd w:id="277"/>
      <w:bookmarkStart w:id="278" w:name="_Toc184313256"/>
      <w:bookmarkEnd w:id="278"/>
      <w:bookmarkStart w:id="279" w:name="_Toc184313295"/>
      <w:bookmarkEnd w:id="279"/>
      <w:bookmarkStart w:id="280" w:name="_Toc184312101"/>
      <w:bookmarkEnd w:id="280"/>
      <w:bookmarkStart w:id="281" w:name="_Toc184314469"/>
      <w:bookmarkEnd w:id="281"/>
      <w:bookmarkStart w:id="282" w:name="_Toc184312110"/>
      <w:bookmarkEnd w:id="282"/>
      <w:bookmarkStart w:id="283" w:name="_Toc184308065"/>
      <w:bookmarkEnd w:id="283"/>
      <w:bookmarkStart w:id="284" w:name="_Toc184314476"/>
      <w:bookmarkEnd w:id="284"/>
      <w:bookmarkStart w:id="285" w:name="_Toc184312124"/>
      <w:bookmarkEnd w:id="285"/>
      <w:bookmarkStart w:id="286" w:name="_Toc184310272"/>
      <w:bookmarkEnd w:id="286"/>
      <w:bookmarkStart w:id="287" w:name="_Toc184313305"/>
      <w:bookmarkEnd w:id="287"/>
      <w:bookmarkStart w:id="288" w:name="_Toc184308043"/>
      <w:bookmarkEnd w:id="288"/>
      <w:bookmarkStart w:id="289" w:name="_Toc184308044"/>
      <w:bookmarkEnd w:id="289"/>
      <w:bookmarkStart w:id="290" w:name="_Toc184312116"/>
      <w:bookmarkEnd w:id="290"/>
      <w:bookmarkStart w:id="291" w:name="_Toc184314414"/>
      <w:bookmarkEnd w:id="291"/>
      <w:bookmarkStart w:id="292" w:name="_Toc184313289"/>
      <w:bookmarkEnd w:id="292"/>
      <w:bookmarkStart w:id="293" w:name="_Toc184310301"/>
      <w:bookmarkEnd w:id="293"/>
      <w:bookmarkStart w:id="294" w:name="_Toc184313283"/>
      <w:bookmarkEnd w:id="294"/>
      <w:bookmarkStart w:id="295" w:name="_Toc184314465"/>
      <w:bookmarkEnd w:id="295"/>
      <w:bookmarkStart w:id="296" w:name="_Toc184313267"/>
      <w:bookmarkEnd w:id="296"/>
      <w:bookmarkStart w:id="297" w:name="_Toc184308087"/>
      <w:bookmarkEnd w:id="297"/>
      <w:bookmarkStart w:id="298" w:name="_Toc184310292"/>
      <w:bookmarkEnd w:id="298"/>
      <w:bookmarkStart w:id="299" w:name="_Toc184312111"/>
      <w:bookmarkEnd w:id="299"/>
      <w:bookmarkStart w:id="300" w:name="_Toc184310291"/>
      <w:bookmarkEnd w:id="300"/>
      <w:bookmarkStart w:id="301" w:name="_Toc184313300"/>
      <w:bookmarkEnd w:id="301"/>
      <w:bookmarkStart w:id="302" w:name="_Toc184313307"/>
      <w:bookmarkEnd w:id="302"/>
      <w:bookmarkStart w:id="303" w:name="_Toc184312105"/>
      <w:bookmarkEnd w:id="303"/>
      <w:bookmarkStart w:id="304" w:name="_Toc184312084"/>
      <w:bookmarkEnd w:id="304"/>
      <w:bookmarkStart w:id="305" w:name="_Toc184313270"/>
      <w:bookmarkEnd w:id="305"/>
      <w:bookmarkStart w:id="306" w:name="_Toc184310288"/>
      <w:bookmarkEnd w:id="306"/>
      <w:bookmarkStart w:id="307" w:name="_Toc184310328"/>
      <w:bookmarkEnd w:id="307"/>
      <w:bookmarkStart w:id="308" w:name="_Toc184308086"/>
      <w:bookmarkEnd w:id="308"/>
      <w:bookmarkStart w:id="309" w:name="_Toc184310308"/>
      <w:bookmarkEnd w:id="309"/>
      <w:bookmarkStart w:id="310" w:name="_Toc184312109"/>
      <w:bookmarkEnd w:id="310"/>
      <w:bookmarkStart w:id="311" w:name="_Toc184310300"/>
      <w:bookmarkEnd w:id="311"/>
      <w:bookmarkStart w:id="312" w:name="_Toc184313258"/>
      <w:bookmarkEnd w:id="312"/>
      <w:bookmarkStart w:id="313" w:name="_Toc184314461"/>
      <w:bookmarkEnd w:id="313"/>
      <w:bookmarkStart w:id="314" w:name="_Toc184313298"/>
      <w:bookmarkEnd w:id="314"/>
      <w:bookmarkStart w:id="315" w:name="_Toc184314479"/>
      <w:bookmarkEnd w:id="315"/>
      <w:bookmarkStart w:id="316" w:name="_Toc184312076"/>
      <w:bookmarkEnd w:id="316"/>
      <w:bookmarkStart w:id="317" w:name="_Toc184312077"/>
      <w:bookmarkEnd w:id="317"/>
      <w:bookmarkStart w:id="318" w:name="_Toc184308058"/>
      <w:bookmarkEnd w:id="318"/>
      <w:bookmarkStart w:id="319" w:name="_Toc184310313"/>
      <w:bookmarkEnd w:id="319"/>
      <w:bookmarkStart w:id="320" w:name="_Toc184312074"/>
      <w:bookmarkEnd w:id="320"/>
      <w:bookmarkStart w:id="321" w:name="_Toc184312127"/>
      <w:bookmarkEnd w:id="321"/>
      <w:bookmarkStart w:id="322" w:name="_Toc184308091"/>
      <w:bookmarkEnd w:id="322"/>
      <w:bookmarkStart w:id="323" w:name="_Toc184310326"/>
      <w:bookmarkEnd w:id="323"/>
      <w:bookmarkStart w:id="324" w:name="_Toc184314427"/>
      <w:bookmarkEnd w:id="324"/>
      <w:bookmarkStart w:id="325" w:name="_Toc184312098"/>
      <w:bookmarkEnd w:id="325"/>
      <w:bookmarkStart w:id="326" w:name="_Toc184308049"/>
      <w:bookmarkEnd w:id="326"/>
      <w:bookmarkStart w:id="327" w:name="_Toc184312132"/>
      <w:bookmarkEnd w:id="327"/>
      <w:bookmarkStart w:id="328" w:name="_Toc184314434"/>
      <w:bookmarkEnd w:id="328"/>
      <w:bookmarkStart w:id="329" w:name="_Toc184312071"/>
      <w:bookmarkEnd w:id="329"/>
      <w:bookmarkStart w:id="330" w:name="_Toc184308057"/>
      <w:bookmarkEnd w:id="330"/>
      <w:bookmarkStart w:id="331" w:name="_Toc184312134"/>
      <w:bookmarkEnd w:id="331"/>
      <w:bookmarkStart w:id="332" w:name="_Toc184308092"/>
      <w:bookmarkEnd w:id="332"/>
      <w:bookmarkStart w:id="333" w:name="_Toc184312096"/>
      <w:bookmarkEnd w:id="333"/>
      <w:bookmarkStart w:id="334" w:name="_Toc184310318"/>
      <w:bookmarkEnd w:id="334"/>
      <w:bookmarkStart w:id="335" w:name="_Toc184310327"/>
      <w:bookmarkEnd w:id="335"/>
      <w:bookmarkStart w:id="336" w:name="_Toc184308050"/>
      <w:bookmarkEnd w:id="336"/>
      <w:bookmarkStart w:id="337" w:name="_Toc184310309"/>
      <w:bookmarkEnd w:id="337"/>
      <w:bookmarkStart w:id="338" w:name="_Toc184313263"/>
      <w:bookmarkEnd w:id="338"/>
      <w:bookmarkStart w:id="339" w:name="_Toc184310289"/>
      <w:bookmarkEnd w:id="339"/>
      <w:bookmarkStart w:id="340" w:name="_Toc184314420"/>
      <w:bookmarkEnd w:id="340"/>
      <w:bookmarkStart w:id="341" w:name="_Toc184308100"/>
      <w:bookmarkEnd w:id="341"/>
      <w:bookmarkStart w:id="342" w:name="_Toc184313304"/>
      <w:bookmarkEnd w:id="342"/>
      <w:bookmarkStart w:id="343" w:name="_Toc184314474"/>
      <w:bookmarkEnd w:id="343"/>
      <w:bookmarkStart w:id="344" w:name="_Toc184310315"/>
      <w:bookmarkEnd w:id="344"/>
      <w:bookmarkStart w:id="345" w:name="_Toc184312080"/>
      <w:bookmarkEnd w:id="345"/>
      <w:bookmarkStart w:id="346" w:name="_Toc184314458"/>
      <w:bookmarkEnd w:id="346"/>
      <w:bookmarkStart w:id="347" w:name="_Toc184308062"/>
      <w:bookmarkEnd w:id="347"/>
      <w:bookmarkStart w:id="348" w:name="_Toc184312088"/>
      <w:bookmarkEnd w:id="348"/>
      <w:bookmarkStart w:id="349" w:name="_Toc184314416"/>
      <w:bookmarkEnd w:id="349"/>
      <w:bookmarkStart w:id="350" w:name="_Toc184308104"/>
      <w:bookmarkEnd w:id="350"/>
      <w:bookmarkStart w:id="351" w:name="_Toc184312079"/>
      <w:bookmarkEnd w:id="351"/>
      <w:bookmarkStart w:id="352" w:name="_Toc184310274"/>
      <w:bookmarkEnd w:id="352"/>
      <w:bookmarkStart w:id="353" w:name="_Toc184312135"/>
      <w:bookmarkEnd w:id="353"/>
      <w:bookmarkStart w:id="354" w:name="_Toc184308099"/>
      <w:bookmarkEnd w:id="354"/>
      <w:bookmarkStart w:id="355" w:name="_Toc184308098"/>
      <w:bookmarkEnd w:id="355"/>
      <w:bookmarkStart w:id="356" w:name="_Toc184313259"/>
      <w:bookmarkEnd w:id="356"/>
      <w:bookmarkStart w:id="357" w:name="_Toc184308039"/>
      <w:bookmarkEnd w:id="357"/>
      <w:bookmarkStart w:id="358" w:name="_Toc184312100"/>
      <w:bookmarkEnd w:id="358"/>
      <w:bookmarkStart w:id="359" w:name="_Toc184312067"/>
      <w:bookmarkEnd w:id="359"/>
      <w:bookmarkStart w:id="360" w:name="_Toc184312092"/>
      <w:bookmarkEnd w:id="360"/>
      <w:bookmarkStart w:id="361" w:name="_Toc184314438"/>
      <w:bookmarkEnd w:id="361"/>
      <w:bookmarkStart w:id="362" w:name="_Toc184310306"/>
      <w:bookmarkEnd w:id="362"/>
      <w:bookmarkStart w:id="363" w:name="_Toc184314459"/>
      <w:bookmarkEnd w:id="363"/>
      <w:bookmarkStart w:id="364" w:name="_Toc184314426"/>
      <w:bookmarkEnd w:id="364"/>
      <w:bookmarkStart w:id="365" w:name="_Toc184313248"/>
      <w:bookmarkEnd w:id="365"/>
      <w:bookmarkStart w:id="366" w:name="_Toc184310277"/>
      <w:bookmarkEnd w:id="366"/>
      <w:bookmarkStart w:id="367" w:name="_Toc184308063"/>
      <w:bookmarkEnd w:id="367"/>
      <w:bookmarkStart w:id="368" w:name="_Toc184310283"/>
      <w:bookmarkEnd w:id="368"/>
      <w:bookmarkStart w:id="369" w:name="_Toc184313308"/>
      <w:bookmarkEnd w:id="369"/>
      <w:bookmarkStart w:id="370" w:name="_Toc184308067"/>
      <w:bookmarkEnd w:id="370"/>
      <w:bookmarkStart w:id="371" w:name="_Toc184310333"/>
      <w:bookmarkEnd w:id="371"/>
      <w:bookmarkStart w:id="372" w:name="_Toc184310339"/>
      <w:bookmarkEnd w:id="372"/>
      <w:bookmarkStart w:id="373" w:name="_Toc184310330"/>
      <w:bookmarkEnd w:id="373"/>
      <w:bookmarkStart w:id="374" w:name="_Toc184313286"/>
      <w:bookmarkEnd w:id="374"/>
      <w:bookmarkStart w:id="375" w:name="_Toc184312138"/>
      <w:bookmarkEnd w:id="375"/>
      <w:bookmarkStart w:id="376" w:name="_Toc184308073"/>
      <w:bookmarkEnd w:id="376"/>
      <w:bookmarkStart w:id="377" w:name="_Toc184310293"/>
      <w:bookmarkEnd w:id="377"/>
      <w:bookmarkStart w:id="378" w:name="_Toc184314412"/>
      <w:bookmarkEnd w:id="378"/>
      <w:bookmarkStart w:id="379" w:name="_Toc184313297"/>
      <w:bookmarkEnd w:id="379"/>
      <w:bookmarkStart w:id="380" w:name="_Toc184310290"/>
      <w:bookmarkEnd w:id="380"/>
      <w:bookmarkStart w:id="381" w:name="_Toc184312107"/>
      <w:bookmarkEnd w:id="381"/>
      <w:bookmarkStart w:id="382" w:name="_Toc184310285"/>
      <w:bookmarkEnd w:id="382"/>
      <w:bookmarkStart w:id="383" w:name="_Toc184313271"/>
      <w:bookmarkEnd w:id="383"/>
      <w:bookmarkStart w:id="384" w:name="_Toc184308064"/>
      <w:bookmarkEnd w:id="384"/>
      <w:bookmarkStart w:id="385" w:name="_Toc184314462"/>
      <w:bookmarkEnd w:id="385"/>
      <w:bookmarkStart w:id="386" w:name="_Toc184312108"/>
      <w:bookmarkEnd w:id="386"/>
      <w:bookmarkStart w:id="387" w:name="_Toc184312073"/>
      <w:bookmarkEnd w:id="387"/>
      <w:bookmarkStart w:id="388" w:name="_Toc184314457"/>
      <w:bookmarkEnd w:id="388"/>
      <w:bookmarkStart w:id="389" w:name="_Toc184312090"/>
      <w:bookmarkEnd w:id="389"/>
      <w:bookmarkStart w:id="390" w:name="_Toc184308075"/>
      <w:bookmarkEnd w:id="390"/>
      <w:bookmarkStart w:id="391" w:name="_Toc184314449"/>
      <w:bookmarkEnd w:id="391"/>
      <w:bookmarkStart w:id="392" w:name="_Toc184313274"/>
      <w:bookmarkEnd w:id="392"/>
      <w:bookmarkStart w:id="393" w:name="_Toc184314437"/>
      <w:bookmarkEnd w:id="393"/>
      <w:bookmarkStart w:id="394" w:name="_Toc184308108"/>
      <w:bookmarkEnd w:id="394"/>
      <w:bookmarkStart w:id="395" w:name="_Toc184312081"/>
      <w:bookmarkEnd w:id="395"/>
      <w:bookmarkStart w:id="396" w:name="_Toc184310281"/>
      <w:bookmarkEnd w:id="396"/>
      <w:bookmarkStart w:id="397" w:name="_Toc184308037"/>
      <w:bookmarkEnd w:id="397"/>
      <w:bookmarkStart w:id="398" w:name="_Toc184308048"/>
      <w:bookmarkEnd w:id="398"/>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644"/>
        <w:gridCol w:w="530"/>
        <w:gridCol w:w="1040"/>
        <w:gridCol w:w="1827"/>
      </w:tblGrid>
      <w:tr w14:paraId="1909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1A96F0D7">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4644" w:type="dxa"/>
            <w:vAlign w:val="center"/>
          </w:tcPr>
          <w:p w14:paraId="1C0B18A7">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评标标准</w:t>
            </w:r>
          </w:p>
        </w:tc>
        <w:tc>
          <w:tcPr>
            <w:tcW w:w="530" w:type="dxa"/>
            <w:vAlign w:val="center"/>
          </w:tcPr>
          <w:p w14:paraId="4558793E">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权重</w:t>
            </w:r>
          </w:p>
        </w:tc>
        <w:tc>
          <w:tcPr>
            <w:tcW w:w="1040" w:type="dxa"/>
            <w:vAlign w:val="center"/>
          </w:tcPr>
          <w:p w14:paraId="7C39692F">
            <w:pPr>
              <w:keepNext w:val="0"/>
              <w:keepLines w:val="0"/>
              <w:pageBreakBefore w:val="0"/>
              <w:kinsoku/>
              <w:wordWrap/>
              <w:overflowPunct/>
              <w:topLinePunct w:val="0"/>
              <w:bidi w:val="0"/>
              <w:snapToGrid w:val="0"/>
              <w:spacing w:line="240" w:lineRule="auto"/>
              <w:jc w:val="center"/>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主观分/客观分属性</w:t>
            </w:r>
          </w:p>
        </w:tc>
        <w:tc>
          <w:tcPr>
            <w:tcW w:w="1827" w:type="dxa"/>
          </w:tcPr>
          <w:p w14:paraId="75A54B95">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bCs/>
                <w:color w:val="auto"/>
                <w:sz w:val="21"/>
                <w:szCs w:val="21"/>
                <w:highlight w:val="none"/>
              </w:rPr>
              <w:t>投标文件中评标标准相应的商务技术资料目录*</w:t>
            </w:r>
          </w:p>
        </w:tc>
      </w:tr>
      <w:tr w14:paraId="4E0E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454" w:type="dxa"/>
            <w:vAlign w:val="center"/>
          </w:tcPr>
          <w:p w14:paraId="37177F58">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644" w:type="dxa"/>
            <w:vAlign w:val="center"/>
          </w:tcPr>
          <w:p w14:paraId="0787B166">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质量控制措施：图书采购中保障图书质量方案（可行性、合理性、完整性和连续性等），最高</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5780811D">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①内容可行、合理、完整和连续性强得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2368C8EB">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②内容较可行、较合理、较完整和较连续得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23CE57DE">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③内容可行</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、合理</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、完整</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和连续</w:t>
            </w:r>
            <w:r>
              <w:rPr>
                <w:rFonts w:hint="eastAsia" w:ascii="宋体" w:hAnsi="宋体" w:cs="宋体"/>
                <w:color w:val="auto"/>
                <w:sz w:val="21"/>
                <w:szCs w:val="21"/>
                <w:highlight w:val="none"/>
                <w:lang w:val="en-US" w:eastAsia="zh-CN"/>
              </w:rPr>
              <w:t>性尚可</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7F92D0E3">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④内容简单欠可行、欠合理、欠完整得1分；</w:t>
            </w:r>
          </w:p>
          <w:p w14:paraId="4B3E15D8">
            <w:pPr>
              <w:pStyle w:val="2"/>
              <w:keepNext w:val="0"/>
              <w:keepLines w:val="0"/>
              <w:pageBreakBefore w:val="0"/>
              <w:kinsoku/>
              <w:wordWrap/>
              <w:overflowPunct/>
              <w:topLinePunct w:val="0"/>
              <w:bidi w:val="0"/>
              <w:spacing w:line="240" w:lineRule="auto"/>
              <w:textAlignment w:val="auto"/>
              <w:rPr>
                <w:sz w:val="21"/>
                <w:szCs w:val="21"/>
                <w:highlight w:val="none"/>
              </w:rPr>
            </w:pPr>
            <w:r>
              <w:rPr>
                <w:rFonts w:hint="eastAsia" w:ascii="宋体" w:hAnsi="宋体" w:cs="宋体"/>
                <w:color w:val="auto"/>
                <w:sz w:val="21"/>
                <w:szCs w:val="21"/>
                <w:highlight w:val="none"/>
              </w:rPr>
              <w:t>⑤不满足需求或未提供的不得分。</w:t>
            </w:r>
          </w:p>
        </w:tc>
        <w:tc>
          <w:tcPr>
            <w:tcW w:w="530" w:type="dxa"/>
            <w:vAlign w:val="center"/>
          </w:tcPr>
          <w:p w14:paraId="5FEE01F8">
            <w:pPr>
              <w:keepNext w:val="0"/>
              <w:keepLines w:val="0"/>
              <w:pageBreakBefore w:val="0"/>
              <w:kinsoku/>
              <w:wordWrap/>
              <w:overflowPunct/>
              <w:topLinePunct w:val="0"/>
              <w:bidi w:val="0"/>
              <w:spacing w:line="240" w:lineRule="auto"/>
              <w:jc w:val="center"/>
              <w:textAlignment w:val="auto"/>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040" w:type="dxa"/>
            <w:vAlign w:val="center"/>
          </w:tcPr>
          <w:p w14:paraId="06950257">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Align w:val="center"/>
          </w:tcPr>
          <w:p w14:paraId="049D6A6F">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质量控制措施</w:t>
            </w:r>
          </w:p>
        </w:tc>
      </w:tr>
      <w:tr w14:paraId="288A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4A09B3FA">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644" w:type="dxa"/>
            <w:vAlign w:val="center"/>
          </w:tcPr>
          <w:p w14:paraId="7F9755E8">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图书质量：承诺所供图书为正式出版物、附件齐全无破损得1分；能提供“全国百佳图书出版单位”业务联系证明得2分。（提供相关证明材料扫描件，未提供者不得分）</w:t>
            </w:r>
          </w:p>
        </w:tc>
        <w:tc>
          <w:tcPr>
            <w:tcW w:w="530" w:type="dxa"/>
            <w:vAlign w:val="center"/>
          </w:tcPr>
          <w:p w14:paraId="21A1B701">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040" w:type="dxa"/>
            <w:vAlign w:val="center"/>
          </w:tcPr>
          <w:p w14:paraId="21F91286">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客观</w:t>
            </w:r>
          </w:p>
        </w:tc>
        <w:tc>
          <w:tcPr>
            <w:tcW w:w="1827" w:type="dxa"/>
            <w:vAlign w:val="center"/>
          </w:tcPr>
          <w:p w14:paraId="7D3F0097">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图书质量</w:t>
            </w:r>
          </w:p>
        </w:tc>
      </w:tr>
      <w:tr w14:paraId="42D6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restart"/>
            <w:vAlign w:val="center"/>
          </w:tcPr>
          <w:p w14:paraId="2D757A32">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644" w:type="dxa"/>
            <w:vAlign w:val="center"/>
          </w:tcPr>
          <w:p w14:paraId="781102CF">
            <w:pPr>
              <w:keepNext w:val="0"/>
              <w:keepLines w:val="0"/>
              <w:pageBreakBefore w:val="0"/>
              <w:kinsoku/>
              <w:wordWrap/>
              <w:overflowPunct/>
              <w:topLinePunct w:val="0"/>
              <w:bidi w:val="0"/>
              <w:spacing w:line="240" w:lineRule="auto"/>
              <w:jc w:val="left"/>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采购能力：①具备地方文献的采购能力</w:t>
            </w:r>
            <w:r>
              <w:rPr>
                <w:rFonts w:hint="eastAsia" w:ascii="宋体" w:hAnsi="宋体" w:cs="宋体"/>
                <w:color w:val="auto"/>
                <w:sz w:val="21"/>
                <w:szCs w:val="21"/>
                <w:highlight w:val="none"/>
                <w:lang w:val="en-US" w:eastAsia="zh-CN"/>
              </w:rPr>
              <w:t>最高</w:t>
            </w:r>
            <w:r>
              <w:rPr>
                <w:rFonts w:hint="eastAsia" w:ascii="宋体" w:hAnsi="宋体" w:cs="宋体"/>
                <w:color w:val="auto"/>
                <w:sz w:val="21"/>
                <w:szCs w:val="21"/>
                <w:highlight w:val="none"/>
              </w:rPr>
              <w:t>1分，具备对自定较窄主题的采购能力</w:t>
            </w:r>
            <w:r>
              <w:rPr>
                <w:rFonts w:hint="eastAsia" w:ascii="宋体" w:hAnsi="宋体" w:cs="宋体"/>
                <w:color w:val="auto"/>
                <w:sz w:val="21"/>
                <w:szCs w:val="21"/>
                <w:highlight w:val="none"/>
                <w:lang w:val="en-US" w:eastAsia="zh-CN"/>
              </w:rPr>
              <w:t>最高</w:t>
            </w:r>
            <w:r>
              <w:rPr>
                <w:rFonts w:hint="eastAsia" w:ascii="宋体" w:hAnsi="宋体" w:cs="宋体"/>
                <w:color w:val="auto"/>
                <w:sz w:val="21"/>
                <w:szCs w:val="21"/>
                <w:highlight w:val="none"/>
              </w:rPr>
              <w:t>1分。</w:t>
            </w:r>
          </w:p>
          <w:p w14:paraId="4DD151A8">
            <w:pPr>
              <w:keepNext w:val="0"/>
              <w:keepLines w:val="0"/>
              <w:pageBreakBefore w:val="0"/>
              <w:kinsoku/>
              <w:wordWrap/>
              <w:overflowPunct/>
              <w:topLinePunct w:val="0"/>
              <w:bidi w:val="0"/>
              <w:spacing w:line="240" w:lineRule="auto"/>
              <w:jc w:val="left"/>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②图书现采场所开放性、经营性以及便利性等，最高1分。（提供相关证明材料扫描件，不提供不得分）。</w:t>
            </w:r>
          </w:p>
          <w:p w14:paraId="021D0F19">
            <w:pPr>
              <w:keepNext w:val="0"/>
              <w:keepLines w:val="0"/>
              <w:pageBreakBefore w:val="0"/>
              <w:kinsoku/>
              <w:wordWrap/>
              <w:overflowPunct/>
              <w:topLinePunct w:val="0"/>
              <w:bidi w:val="0"/>
              <w:spacing w:line="240" w:lineRule="auto"/>
              <w:jc w:val="left"/>
              <w:textAlignment w:val="auto"/>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③提供图书现采活动方案，最高3分。（提供原有现场采购的图片、人员配备等证明材料等）</w:t>
            </w:r>
            <w:r>
              <w:rPr>
                <w:rFonts w:hint="eastAsia" w:ascii="宋体" w:hAnsi="宋体" w:cs="宋体"/>
                <w:color w:val="auto"/>
                <w:sz w:val="21"/>
                <w:szCs w:val="21"/>
                <w:highlight w:val="none"/>
                <w:lang w:eastAsia="zh-CN"/>
              </w:rPr>
              <w:t>：</w:t>
            </w:r>
          </w:p>
          <w:p w14:paraId="664A7B0D">
            <w:pPr>
              <w:keepNext w:val="0"/>
              <w:keepLines w:val="0"/>
              <w:pageBreakBefore w:val="0"/>
              <w:numPr>
                <w:ilvl w:val="0"/>
                <w:numId w:val="1"/>
              </w:numPr>
              <w:kinsoku/>
              <w:wordWrap/>
              <w:overflowPunct/>
              <w:topLinePunct w:val="0"/>
              <w:bidi w:val="0"/>
              <w:spacing w:line="240" w:lineRule="auto"/>
              <w:jc w:val="left"/>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活动方案合理可行，有操作性得3分；</w:t>
            </w:r>
          </w:p>
          <w:p w14:paraId="1FEFF7DD">
            <w:pPr>
              <w:keepNext w:val="0"/>
              <w:keepLines w:val="0"/>
              <w:pageBreakBefore w:val="0"/>
              <w:numPr>
                <w:ilvl w:val="0"/>
                <w:numId w:val="1"/>
              </w:numPr>
              <w:kinsoku/>
              <w:wordWrap/>
              <w:overflowPunct/>
              <w:topLinePunct w:val="0"/>
              <w:bidi w:val="0"/>
              <w:spacing w:line="240" w:lineRule="auto"/>
              <w:jc w:val="left"/>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活动方案欠合理可行，欠操作性得2分；</w:t>
            </w:r>
          </w:p>
          <w:p w14:paraId="6A03CD35">
            <w:pPr>
              <w:keepNext w:val="0"/>
              <w:keepLines w:val="0"/>
              <w:pageBreakBefore w:val="0"/>
              <w:numPr>
                <w:ilvl w:val="0"/>
                <w:numId w:val="1"/>
              </w:numPr>
              <w:kinsoku/>
              <w:wordWrap/>
              <w:overflowPunct/>
              <w:topLinePunct w:val="0"/>
              <w:bidi w:val="0"/>
              <w:spacing w:line="240" w:lineRule="auto"/>
              <w:jc w:val="left"/>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内容简单不合理可行、无操作性得1分；</w:t>
            </w:r>
          </w:p>
          <w:p w14:paraId="2EDD2311">
            <w:pPr>
              <w:keepNext w:val="0"/>
              <w:keepLines w:val="0"/>
              <w:pageBreakBefore w:val="0"/>
              <w:numPr>
                <w:ilvl w:val="0"/>
                <w:numId w:val="1"/>
              </w:numPr>
              <w:kinsoku/>
              <w:wordWrap/>
              <w:overflowPunct/>
              <w:topLinePunct w:val="0"/>
              <w:bidi w:val="0"/>
              <w:spacing w:line="240" w:lineRule="auto"/>
              <w:jc w:val="left"/>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不满足需求或未提供的不得分。</w:t>
            </w:r>
          </w:p>
        </w:tc>
        <w:tc>
          <w:tcPr>
            <w:tcW w:w="530" w:type="dxa"/>
            <w:vAlign w:val="center"/>
          </w:tcPr>
          <w:p w14:paraId="05DAF72A">
            <w:pPr>
              <w:keepNext w:val="0"/>
              <w:keepLines w:val="0"/>
              <w:pageBreakBefore w:val="0"/>
              <w:kinsoku/>
              <w:wordWrap/>
              <w:overflowPunct/>
              <w:topLinePunct w:val="0"/>
              <w:bidi w:val="0"/>
              <w:spacing w:line="240" w:lineRule="auto"/>
              <w:jc w:val="center"/>
              <w:textAlignment w:val="auto"/>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040" w:type="dxa"/>
            <w:vAlign w:val="center"/>
          </w:tcPr>
          <w:p w14:paraId="21B65664">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Merge w:val="restart"/>
            <w:vAlign w:val="center"/>
          </w:tcPr>
          <w:p w14:paraId="123A67EB">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采购能力</w:t>
            </w:r>
          </w:p>
        </w:tc>
      </w:tr>
      <w:tr w14:paraId="0D81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14:paraId="3080C047">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 w:val="21"/>
                <w:szCs w:val="21"/>
                <w:highlight w:val="none"/>
              </w:rPr>
            </w:pPr>
          </w:p>
        </w:tc>
        <w:tc>
          <w:tcPr>
            <w:tcW w:w="4644" w:type="dxa"/>
            <w:vAlign w:val="center"/>
          </w:tcPr>
          <w:p w14:paraId="5BCFB355">
            <w:pPr>
              <w:keepNext w:val="0"/>
              <w:keepLines w:val="0"/>
              <w:pageBreakBefore w:val="0"/>
              <w:kinsoku/>
              <w:wordWrap/>
              <w:overflowPunct/>
              <w:topLinePunct w:val="0"/>
              <w:bidi w:val="0"/>
              <w:spacing w:line="240" w:lineRule="auto"/>
              <w:jc w:val="left"/>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④投标人已具备提供本地</w:t>
            </w:r>
            <w:r>
              <w:rPr>
                <w:rFonts w:hint="eastAsia" w:ascii="宋体" w:hAnsi="宋体" w:cs="宋体"/>
                <w:bCs/>
                <w:snapToGrid w:val="0"/>
                <w:color w:val="auto"/>
                <w:kern w:val="28"/>
                <w:sz w:val="21"/>
                <w:szCs w:val="21"/>
                <w:highlight w:val="none"/>
              </w:rPr>
              <w:t>“一键借阅服务”能力的得5分</w:t>
            </w:r>
            <w:r>
              <w:rPr>
                <w:rFonts w:hint="eastAsia" w:ascii="宋体" w:hAnsi="宋体" w:cs="宋体"/>
                <w:bCs/>
                <w:snapToGrid w:val="0"/>
                <w:color w:val="auto"/>
                <w:kern w:val="28"/>
                <w:sz w:val="21"/>
                <w:szCs w:val="21"/>
                <w:highlight w:val="none"/>
                <w:lang w:eastAsia="zh-CN"/>
              </w:rPr>
              <w:t>（</w:t>
            </w:r>
            <w:r>
              <w:rPr>
                <w:rFonts w:hint="eastAsia" w:ascii="宋体" w:hAnsi="宋体" w:cs="宋体"/>
                <w:color w:val="auto"/>
                <w:sz w:val="21"/>
                <w:szCs w:val="21"/>
                <w:highlight w:val="none"/>
              </w:rPr>
              <w:t>需提供满足</w:t>
            </w:r>
            <w:r>
              <w:rPr>
                <w:rFonts w:hint="eastAsia" w:ascii="宋体" w:hAnsi="宋体" w:cs="宋体"/>
                <w:bCs/>
                <w:snapToGrid w:val="0"/>
                <w:color w:val="auto"/>
                <w:kern w:val="28"/>
                <w:sz w:val="21"/>
                <w:szCs w:val="21"/>
                <w:highlight w:val="none"/>
              </w:rPr>
              <w:t>“一键借阅服务”的证明材料</w:t>
            </w:r>
            <w:r>
              <w:rPr>
                <w:rFonts w:hint="eastAsia" w:ascii="宋体" w:hAnsi="宋体" w:cs="宋体"/>
                <w:bCs/>
                <w:snapToGrid w:val="0"/>
                <w:color w:val="auto"/>
                <w:kern w:val="28"/>
                <w:sz w:val="21"/>
                <w:szCs w:val="21"/>
                <w:highlight w:val="none"/>
                <w:lang w:eastAsia="zh-CN"/>
              </w:rPr>
              <w:t>）</w:t>
            </w:r>
            <w:r>
              <w:rPr>
                <w:rFonts w:hint="eastAsia" w:ascii="宋体" w:hAnsi="宋体" w:cs="宋体"/>
                <w:bCs/>
                <w:snapToGrid w:val="0"/>
                <w:color w:val="auto"/>
                <w:kern w:val="28"/>
                <w:sz w:val="21"/>
                <w:szCs w:val="21"/>
                <w:highlight w:val="none"/>
              </w:rPr>
              <w:t>，投标人承诺中标后30天内在本地建立“一键借阅服务”体系的得5分</w:t>
            </w:r>
            <w:r>
              <w:rPr>
                <w:rFonts w:hint="eastAsia" w:ascii="宋体" w:hAnsi="宋体" w:cs="宋体"/>
                <w:bCs/>
                <w:snapToGrid w:val="0"/>
                <w:color w:val="auto"/>
                <w:kern w:val="28"/>
                <w:sz w:val="21"/>
                <w:szCs w:val="21"/>
                <w:highlight w:val="none"/>
                <w:lang w:eastAsia="zh-CN"/>
              </w:rPr>
              <w:t>，提供承诺函（格式自拟）</w:t>
            </w:r>
            <w:r>
              <w:rPr>
                <w:rFonts w:hint="eastAsia" w:ascii="宋体" w:hAnsi="宋体" w:cs="宋体"/>
                <w:bCs/>
                <w:snapToGrid w:val="0"/>
                <w:color w:val="auto"/>
                <w:kern w:val="28"/>
                <w:sz w:val="21"/>
                <w:szCs w:val="21"/>
                <w:highlight w:val="none"/>
              </w:rPr>
              <w:t>。</w:t>
            </w:r>
          </w:p>
        </w:tc>
        <w:tc>
          <w:tcPr>
            <w:tcW w:w="530" w:type="dxa"/>
            <w:vAlign w:val="center"/>
          </w:tcPr>
          <w:p w14:paraId="7DD343FC">
            <w:pPr>
              <w:keepNext w:val="0"/>
              <w:keepLines w:val="0"/>
              <w:pageBreakBefore w:val="0"/>
              <w:kinsoku/>
              <w:wordWrap/>
              <w:overflowPunct/>
              <w:topLinePunct w:val="0"/>
              <w:bidi w:val="0"/>
              <w:spacing w:line="24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40" w:type="dxa"/>
            <w:vAlign w:val="center"/>
          </w:tcPr>
          <w:p w14:paraId="7774255D">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客观</w:t>
            </w:r>
          </w:p>
        </w:tc>
        <w:tc>
          <w:tcPr>
            <w:tcW w:w="1827" w:type="dxa"/>
            <w:vMerge w:val="continue"/>
            <w:vAlign w:val="center"/>
          </w:tcPr>
          <w:p w14:paraId="421D3ED5">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 w:val="21"/>
                <w:szCs w:val="21"/>
                <w:highlight w:val="none"/>
              </w:rPr>
            </w:pPr>
          </w:p>
        </w:tc>
      </w:tr>
      <w:tr w14:paraId="785F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restart"/>
            <w:vAlign w:val="center"/>
          </w:tcPr>
          <w:p w14:paraId="4774E646">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644" w:type="dxa"/>
          </w:tcPr>
          <w:p w14:paraId="25969EF2">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图书编目能力：</w:t>
            </w:r>
          </w:p>
          <w:p w14:paraId="3EC1F2E6">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①采访书目是否完整准确，书目信息覆盖面是否达90%以上，提供的信息是否时效性强，对预订图书的查重能力体现等方面。最高1分。</w:t>
            </w:r>
          </w:p>
          <w:p w14:paraId="13BB6FB9">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②编目、加工质量保障方案合理可行性等，最高2分</w:t>
            </w:r>
            <w:r>
              <w:rPr>
                <w:rFonts w:hint="eastAsia" w:ascii="宋体" w:hAnsi="宋体" w:cs="宋体"/>
                <w:color w:val="auto"/>
                <w:sz w:val="21"/>
                <w:szCs w:val="21"/>
                <w:highlight w:val="none"/>
                <w:lang w:eastAsia="zh-CN"/>
              </w:rPr>
              <w:t>：</w:t>
            </w:r>
          </w:p>
          <w:p w14:paraId="125FFD49">
            <w:pPr>
              <w:keepNext w:val="0"/>
              <w:keepLines w:val="0"/>
              <w:pageBreakBefore w:val="0"/>
              <w:numPr>
                <w:ilvl w:val="0"/>
                <w:numId w:val="2"/>
              </w:numPr>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保障方案合理可行，有操作性得2分；</w:t>
            </w:r>
          </w:p>
          <w:p w14:paraId="1384E6EC">
            <w:pPr>
              <w:keepNext w:val="0"/>
              <w:keepLines w:val="0"/>
              <w:pageBreakBefore w:val="0"/>
              <w:numPr>
                <w:ilvl w:val="0"/>
                <w:numId w:val="2"/>
              </w:numPr>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保障方案欠合理可行，欠操作性得1分；</w:t>
            </w:r>
          </w:p>
          <w:p w14:paraId="3AA1D76C">
            <w:pPr>
              <w:keepNext w:val="0"/>
              <w:keepLines w:val="0"/>
              <w:pageBreakBefore w:val="0"/>
              <w:numPr>
                <w:ilvl w:val="0"/>
                <w:numId w:val="2"/>
              </w:numPr>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不满足需求或未提供的不得分。</w:t>
            </w:r>
          </w:p>
          <w:p w14:paraId="3EDBEFA7">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③编目积压问题解决方案的合理可行性、可操作性等，最高1分（提供具有图书编目加工能力的证明材料）。</w:t>
            </w:r>
          </w:p>
        </w:tc>
        <w:tc>
          <w:tcPr>
            <w:tcW w:w="530" w:type="dxa"/>
            <w:vAlign w:val="center"/>
          </w:tcPr>
          <w:p w14:paraId="6B6CAA74">
            <w:pPr>
              <w:keepNext w:val="0"/>
              <w:keepLines w:val="0"/>
              <w:pageBreakBefore w:val="0"/>
              <w:kinsoku/>
              <w:wordWrap/>
              <w:overflowPunct/>
              <w:topLinePunct w:val="0"/>
              <w:bidi w:val="0"/>
              <w:spacing w:line="240" w:lineRule="auto"/>
              <w:jc w:val="center"/>
              <w:textAlignment w:val="auto"/>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040" w:type="dxa"/>
            <w:vAlign w:val="center"/>
          </w:tcPr>
          <w:p w14:paraId="0AC5799E">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Merge w:val="restart"/>
            <w:vAlign w:val="center"/>
          </w:tcPr>
          <w:p w14:paraId="707BAADA">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图书编目能力</w:t>
            </w:r>
          </w:p>
        </w:tc>
      </w:tr>
      <w:tr w14:paraId="41AB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vAlign w:val="center"/>
          </w:tcPr>
          <w:p w14:paraId="4D8B5621">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 w:val="21"/>
                <w:szCs w:val="21"/>
                <w:highlight w:val="none"/>
              </w:rPr>
            </w:pPr>
          </w:p>
        </w:tc>
        <w:tc>
          <w:tcPr>
            <w:tcW w:w="4644" w:type="dxa"/>
          </w:tcPr>
          <w:p w14:paraId="2DC5A386">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④投标人在本地已建立固定的编目加工场所且面积符合招标要求的得3分（需提供房产证复印件及房屋租赁合同复印件，自有房产只需提供房产证复印件），承诺中标后建立固定编目加工场所且面积符合招标要求的得3分</w:t>
            </w:r>
            <w:r>
              <w:rPr>
                <w:rFonts w:hint="eastAsia" w:ascii="宋体" w:hAnsi="宋体" w:cs="宋体"/>
                <w:color w:val="auto"/>
                <w:sz w:val="21"/>
                <w:szCs w:val="21"/>
                <w:highlight w:val="none"/>
                <w:lang w:eastAsia="zh-CN"/>
              </w:rPr>
              <w:t>，</w:t>
            </w:r>
            <w:r>
              <w:rPr>
                <w:rFonts w:hint="eastAsia" w:ascii="宋体" w:hAnsi="宋体" w:cs="宋体"/>
                <w:bCs/>
                <w:snapToGrid w:val="0"/>
                <w:color w:val="auto"/>
                <w:kern w:val="28"/>
                <w:sz w:val="21"/>
                <w:szCs w:val="21"/>
                <w:highlight w:val="none"/>
                <w:lang w:eastAsia="zh-CN"/>
              </w:rPr>
              <w:t>提供承诺函（格式自拟）</w:t>
            </w:r>
            <w:r>
              <w:rPr>
                <w:rFonts w:hint="eastAsia" w:ascii="宋体" w:hAnsi="宋体" w:cs="宋体"/>
                <w:color w:val="auto"/>
                <w:sz w:val="21"/>
                <w:szCs w:val="21"/>
                <w:highlight w:val="none"/>
              </w:rPr>
              <w:t>。</w:t>
            </w:r>
          </w:p>
          <w:p w14:paraId="19F77D11">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⑤编目加工人员，是否按照招标人要求进行加工得1分； 具有图书馆联合编目中心上岗资格的每个得1分，最高2分（提供上岗资格证书复印件及在本单位近三个月</w:t>
            </w:r>
            <w:r>
              <w:rPr>
                <w:rFonts w:hint="eastAsia" w:ascii="宋体" w:hAnsi="宋体" w:cs="宋体"/>
                <w:color w:val="auto"/>
                <w:sz w:val="21"/>
                <w:szCs w:val="21"/>
                <w:highlight w:val="none"/>
                <w:lang w:eastAsia="zh-CN"/>
              </w:rPr>
              <w:t>中任意一个月</w:t>
            </w:r>
            <w:r>
              <w:rPr>
                <w:rFonts w:hint="eastAsia" w:ascii="宋体" w:hAnsi="宋体" w:cs="宋体"/>
                <w:color w:val="auto"/>
                <w:sz w:val="21"/>
                <w:szCs w:val="21"/>
                <w:highlight w:val="none"/>
              </w:rPr>
              <w:t>社保证明复印件加盖公章）</w:t>
            </w:r>
            <w:r>
              <w:rPr>
                <w:rFonts w:hint="eastAsia" w:ascii="宋体" w:hAnsi="宋体" w:cs="宋体"/>
                <w:color w:val="auto"/>
                <w:sz w:val="21"/>
                <w:szCs w:val="21"/>
                <w:highlight w:val="none"/>
                <w:lang w:eastAsia="zh-CN"/>
              </w:rPr>
              <w:t>，本项最高</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w:t>
            </w:r>
          </w:p>
          <w:p w14:paraId="1E1FA5C4">
            <w:pPr>
              <w:pStyle w:val="2"/>
              <w:keepNext w:val="0"/>
              <w:keepLines w:val="0"/>
              <w:pageBreakBefore w:val="0"/>
              <w:kinsoku/>
              <w:wordWrap/>
              <w:overflowPunct/>
              <w:topLinePunct w:val="0"/>
              <w:bidi w:val="0"/>
              <w:spacing w:line="240" w:lineRule="auto"/>
              <w:textAlignment w:val="auto"/>
              <w:rPr>
                <w:rFonts w:hint="eastAsia"/>
                <w:sz w:val="21"/>
                <w:szCs w:val="21"/>
                <w:highlight w:val="none"/>
              </w:rPr>
            </w:pPr>
            <w:r>
              <w:rPr>
                <w:rFonts w:hint="eastAsia" w:ascii="宋体" w:hAnsi="宋体" w:cs="宋体"/>
                <w:color w:val="auto"/>
                <w:sz w:val="21"/>
                <w:szCs w:val="21"/>
                <w:highlight w:val="none"/>
              </w:rPr>
              <w:t>⑥馆员工作站具有RFID芯片数据实时上传图创服务器的能力得2分。（提供相关证明）</w:t>
            </w:r>
          </w:p>
        </w:tc>
        <w:tc>
          <w:tcPr>
            <w:tcW w:w="530" w:type="dxa"/>
            <w:vAlign w:val="center"/>
          </w:tcPr>
          <w:p w14:paraId="2F3D4775">
            <w:pPr>
              <w:keepNext w:val="0"/>
              <w:keepLines w:val="0"/>
              <w:pageBreakBefore w:val="0"/>
              <w:kinsoku/>
              <w:wordWrap/>
              <w:overflowPunct/>
              <w:topLinePunct w:val="0"/>
              <w:bidi w:val="0"/>
              <w:spacing w:line="24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40" w:type="dxa"/>
            <w:vAlign w:val="center"/>
          </w:tcPr>
          <w:p w14:paraId="752618AC">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客观</w:t>
            </w:r>
          </w:p>
        </w:tc>
        <w:tc>
          <w:tcPr>
            <w:tcW w:w="1827" w:type="dxa"/>
            <w:vMerge w:val="continue"/>
            <w:vAlign w:val="center"/>
          </w:tcPr>
          <w:p w14:paraId="18732AF7">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 w:val="21"/>
                <w:szCs w:val="21"/>
                <w:highlight w:val="none"/>
              </w:rPr>
            </w:pPr>
          </w:p>
        </w:tc>
      </w:tr>
      <w:tr w14:paraId="2CC1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1E3C8683">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644" w:type="dxa"/>
          </w:tcPr>
          <w:p w14:paraId="0F47321A">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图书包装配送：配送方案和措施科学有效、合理可行的，到馆图书的包装是否按照招标人要求进行包装</w:t>
            </w:r>
            <w:r>
              <w:rPr>
                <w:rFonts w:hint="eastAsia" w:ascii="宋体" w:hAnsi="宋体" w:cs="宋体"/>
                <w:color w:val="auto"/>
                <w:sz w:val="21"/>
                <w:szCs w:val="21"/>
                <w:highlight w:val="none"/>
                <w:lang w:val="en-US" w:eastAsia="zh-CN"/>
              </w:rPr>
              <w:t>最高</w:t>
            </w:r>
            <w:r>
              <w:rPr>
                <w:rFonts w:hint="eastAsia" w:ascii="宋体" w:hAnsi="宋体" w:cs="宋体"/>
                <w:color w:val="auto"/>
                <w:sz w:val="21"/>
                <w:szCs w:val="21"/>
                <w:highlight w:val="none"/>
              </w:rPr>
              <w:t>1分，是否符合运输和方便装卸的要求</w:t>
            </w:r>
            <w:r>
              <w:rPr>
                <w:rFonts w:hint="eastAsia" w:ascii="宋体" w:hAnsi="宋体" w:cs="宋体"/>
                <w:color w:val="auto"/>
                <w:sz w:val="21"/>
                <w:szCs w:val="21"/>
                <w:highlight w:val="none"/>
                <w:lang w:val="en-US" w:eastAsia="zh-CN"/>
              </w:rPr>
              <w:t>最高</w:t>
            </w:r>
            <w:r>
              <w:rPr>
                <w:rFonts w:hint="eastAsia" w:ascii="宋体" w:hAnsi="宋体" w:cs="宋体"/>
                <w:color w:val="auto"/>
                <w:sz w:val="21"/>
                <w:szCs w:val="21"/>
                <w:highlight w:val="none"/>
              </w:rPr>
              <w:t>1分，是否及时运送，是否搬运到指定位置</w:t>
            </w:r>
            <w:r>
              <w:rPr>
                <w:rFonts w:hint="eastAsia" w:ascii="宋体" w:hAnsi="宋体" w:cs="宋体"/>
                <w:color w:val="auto"/>
                <w:sz w:val="21"/>
                <w:szCs w:val="21"/>
                <w:highlight w:val="none"/>
                <w:lang w:val="en-US" w:eastAsia="zh-CN"/>
              </w:rPr>
              <w:t>最高</w:t>
            </w:r>
            <w:r>
              <w:rPr>
                <w:rFonts w:hint="eastAsia" w:ascii="宋体" w:hAnsi="宋体" w:cs="宋体"/>
                <w:color w:val="auto"/>
                <w:sz w:val="21"/>
                <w:szCs w:val="21"/>
                <w:highlight w:val="none"/>
              </w:rPr>
              <w:t>1分。</w:t>
            </w:r>
          </w:p>
        </w:tc>
        <w:tc>
          <w:tcPr>
            <w:tcW w:w="530" w:type="dxa"/>
            <w:vAlign w:val="center"/>
          </w:tcPr>
          <w:p w14:paraId="60558AFF">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040" w:type="dxa"/>
            <w:vAlign w:val="center"/>
          </w:tcPr>
          <w:p w14:paraId="2FFA2FCF">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Align w:val="center"/>
          </w:tcPr>
          <w:p w14:paraId="42BD12B6">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图书包装配送</w:t>
            </w:r>
          </w:p>
        </w:tc>
      </w:tr>
      <w:tr w14:paraId="24CE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708BC8BF">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644" w:type="dxa"/>
            <w:shd w:val="clear" w:color="auto" w:fill="auto"/>
            <w:vAlign w:val="top"/>
          </w:tcPr>
          <w:p w14:paraId="12C77976">
            <w:pPr>
              <w:rPr>
                <w:rFonts w:ascii="宋体" w:hAnsi="宋体" w:cs="宋体"/>
                <w:color w:val="auto"/>
                <w:sz w:val="21"/>
                <w:szCs w:val="21"/>
                <w:highlight w:val="none"/>
              </w:rPr>
            </w:pPr>
            <w:r>
              <w:rPr>
                <w:rFonts w:hint="eastAsia" w:ascii="宋体" w:hAnsi="宋体" w:cs="宋体"/>
                <w:color w:val="auto"/>
                <w:sz w:val="21"/>
                <w:szCs w:val="21"/>
                <w:highlight w:val="none"/>
              </w:rPr>
              <w:t>网站建设：投标人有一定规模的电子商务网站，能满足招标人网上查询、订购图书的需求。根据其网站建设情况酌情打分（品类丰富程度、更新时效性），最高</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77217EE3">
            <w:pPr>
              <w:rPr>
                <w:rFonts w:ascii="宋体" w:hAnsi="宋体" w:cs="宋体"/>
                <w:color w:val="auto"/>
                <w:sz w:val="21"/>
                <w:szCs w:val="21"/>
                <w:highlight w:val="none"/>
              </w:rPr>
            </w:pPr>
            <w:r>
              <w:rPr>
                <w:rFonts w:hint="eastAsia" w:ascii="宋体" w:hAnsi="宋体" w:cs="宋体"/>
                <w:color w:val="auto"/>
                <w:sz w:val="21"/>
                <w:szCs w:val="21"/>
                <w:highlight w:val="none"/>
              </w:rPr>
              <w:t>①网站功能完善，时效性强得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02AC2FBF">
            <w:pPr>
              <w:rPr>
                <w:rFonts w:ascii="宋体" w:hAnsi="宋体" w:cs="宋体"/>
                <w:color w:val="auto"/>
                <w:sz w:val="21"/>
                <w:szCs w:val="21"/>
                <w:highlight w:val="none"/>
              </w:rPr>
            </w:pPr>
            <w:r>
              <w:rPr>
                <w:rFonts w:hint="eastAsia" w:ascii="宋体" w:hAnsi="宋体" w:cs="宋体"/>
                <w:color w:val="auto"/>
                <w:sz w:val="21"/>
                <w:szCs w:val="21"/>
                <w:highlight w:val="none"/>
              </w:rPr>
              <w:t>②网站功能不够完善，时效性欠缺得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14:paraId="7EEC3F28">
            <w:pPr>
              <w:rPr>
                <w:rFonts w:ascii="宋体" w:hAnsi="宋体" w:cs="宋体"/>
                <w:color w:val="auto"/>
                <w:sz w:val="21"/>
                <w:szCs w:val="21"/>
                <w:highlight w:val="none"/>
              </w:rPr>
            </w:pPr>
            <w:r>
              <w:rPr>
                <w:rFonts w:hint="eastAsia" w:ascii="宋体" w:hAnsi="宋体" w:cs="宋体"/>
                <w:color w:val="auto"/>
                <w:sz w:val="21"/>
                <w:szCs w:val="21"/>
                <w:highlight w:val="none"/>
              </w:rPr>
              <w:t>③网站功能缺失，内容欠缺，时效性差得1分；</w:t>
            </w:r>
          </w:p>
          <w:p w14:paraId="45F15C4C">
            <w:pPr>
              <w:rPr>
                <w:rFonts w:hint="eastAsia" w:ascii="宋体" w:hAnsi="宋体" w:cs="宋体"/>
                <w:color w:val="auto"/>
                <w:sz w:val="21"/>
                <w:szCs w:val="21"/>
                <w:highlight w:val="none"/>
              </w:rPr>
            </w:pPr>
            <w:r>
              <w:rPr>
                <w:rFonts w:hint="eastAsia" w:ascii="宋体" w:hAnsi="宋体" w:cs="宋体"/>
                <w:color w:val="auto"/>
                <w:sz w:val="21"/>
                <w:szCs w:val="21"/>
                <w:highlight w:val="none"/>
              </w:rPr>
              <w:t>④不满足需求或未提供的不得分。（须提供相关网页截图、网址、测试账号）；</w:t>
            </w:r>
          </w:p>
          <w:p w14:paraId="2CB01292">
            <w:pPr>
              <w:rPr>
                <w:rFonts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⑤无网上真实订购记录或经查实为空壳网站，得 0分。</w:t>
            </w:r>
          </w:p>
        </w:tc>
        <w:tc>
          <w:tcPr>
            <w:tcW w:w="530" w:type="dxa"/>
            <w:vAlign w:val="center"/>
          </w:tcPr>
          <w:p w14:paraId="662786F7">
            <w:pPr>
              <w:keepNext w:val="0"/>
              <w:keepLines w:val="0"/>
              <w:pageBreakBefore w:val="0"/>
              <w:kinsoku/>
              <w:wordWrap/>
              <w:overflowPunct/>
              <w:topLinePunct w:val="0"/>
              <w:bidi w:val="0"/>
              <w:spacing w:line="240" w:lineRule="auto"/>
              <w:jc w:val="center"/>
              <w:textAlignment w:val="auto"/>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040" w:type="dxa"/>
            <w:vAlign w:val="center"/>
          </w:tcPr>
          <w:p w14:paraId="31127A2C">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Align w:val="center"/>
          </w:tcPr>
          <w:p w14:paraId="632F44DB">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网站建设</w:t>
            </w:r>
          </w:p>
        </w:tc>
      </w:tr>
      <w:tr w14:paraId="53F8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0A6E7EFC">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4644" w:type="dxa"/>
            <w:shd w:val="clear" w:color="auto" w:fill="auto"/>
            <w:vAlign w:val="top"/>
          </w:tcPr>
          <w:p w14:paraId="6BDA936F">
            <w:pPr>
              <w:rPr>
                <w:rFonts w:ascii="宋体" w:hAnsi="宋体" w:cs="宋体"/>
                <w:color w:val="auto"/>
                <w:sz w:val="21"/>
                <w:szCs w:val="21"/>
                <w:highlight w:val="none"/>
              </w:rPr>
            </w:pPr>
            <w:r>
              <w:rPr>
                <w:rFonts w:hint="eastAsia" w:ascii="宋体" w:hAnsi="宋体" w:cs="宋体"/>
                <w:color w:val="auto"/>
                <w:sz w:val="21"/>
                <w:szCs w:val="21"/>
                <w:highlight w:val="none"/>
              </w:rPr>
              <w:t>对订单调整要求的反应能力：对已订图书因情况变化，招标人要求减少订数或要求取消订购的反应能力及时性、可行性、可操作性等，最高</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5C23683B">
            <w:pPr>
              <w:rPr>
                <w:rFonts w:ascii="宋体" w:hAnsi="宋体" w:cs="宋体"/>
                <w:color w:val="auto"/>
                <w:sz w:val="21"/>
                <w:szCs w:val="21"/>
                <w:highlight w:val="none"/>
              </w:rPr>
            </w:pPr>
            <w:r>
              <w:rPr>
                <w:rFonts w:hint="eastAsia" w:ascii="宋体" w:hAnsi="宋体" w:cs="宋体"/>
                <w:color w:val="auto"/>
                <w:sz w:val="21"/>
                <w:szCs w:val="21"/>
                <w:highlight w:val="none"/>
              </w:rPr>
              <w:t>①内容合理完整，反应及时得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2AC490BA">
            <w:pPr>
              <w:rPr>
                <w:rFonts w:ascii="宋体" w:hAnsi="宋体" w:cs="宋体"/>
                <w:color w:val="auto"/>
                <w:sz w:val="21"/>
                <w:szCs w:val="21"/>
                <w:highlight w:val="none"/>
              </w:rPr>
            </w:pPr>
            <w:r>
              <w:rPr>
                <w:rFonts w:hint="eastAsia" w:ascii="宋体" w:hAnsi="宋体" w:cs="宋体"/>
                <w:color w:val="auto"/>
                <w:sz w:val="21"/>
                <w:szCs w:val="21"/>
                <w:highlight w:val="none"/>
              </w:rPr>
              <w:t>②内容较合理完整，反应欠及时得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14:paraId="25276217">
            <w:pPr>
              <w:rPr>
                <w:rFonts w:ascii="宋体" w:hAnsi="宋体" w:cs="宋体"/>
                <w:color w:val="auto"/>
                <w:sz w:val="21"/>
                <w:szCs w:val="21"/>
                <w:highlight w:val="none"/>
              </w:rPr>
            </w:pPr>
            <w:r>
              <w:rPr>
                <w:rFonts w:hint="eastAsia" w:ascii="宋体" w:hAnsi="宋体" w:cs="宋体"/>
                <w:color w:val="auto"/>
                <w:sz w:val="21"/>
                <w:szCs w:val="21"/>
                <w:highlight w:val="none"/>
              </w:rPr>
              <w:t>③内容简单不合理完整、反应不太及时得1分；</w:t>
            </w:r>
          </w:p>
          <w:p w14:paraId="5A8DF5EF">
            <w:pPr>
              <w:rPr>
                <w:rFonts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rPr>
              <w:t>④不满足需求或未提供的不得分。</w:t>
            </w:r>
          </w:p>
        </w:tc>
        <w:tc>
          <w:tcPr>
            <w:tcW w:w="530" w:type="dxa"/>
            <w:vAlign w:val="center"/>
          </w:tcPr>
          <w:p w14:paraId="2EC591E1">
            <w:pPr>
              <w:keepNext w:val="0"/>
              <w:keepLines w:val="0"/>
              <w:pageBreakBefore w:val="0"/>
              <w:kinsoku/>
              <w:wordWrap/>
              <w:overflowPunct/>
              <w:topLinePunct w:val="0"/>
              <w:bidi w:val="0"/>
              <w:spacing w:line="240" w:lineRule="auto"/>
              <w:jc w:val="center"/>
              <w:textAlignment w:val="auto"/>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040" w:type="dxa"/>
            <w:vAlign w:val="center"/>
          </w:tcPr>
          <w:p w14:paraId="33DB2F6E">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Align w:val="center"/>
          </w:tcPr>
          <w:p w14:paraId="4C3CED0D">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对订单调整要求的反应能力</w:t>
            </w:r>
          </w:p>
        </w:tc>
      </w:tr>
      <w:tr w14:paraId="6096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7AA709E3">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4644" w:type="dxa"/>
          </w:tcPr>
          <w:p w14:paraId="2EC3222B">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对未能采购图书订单的处理能力：对招标人已经预订，但因到货、出版推迟等不能及时到货的图书，或取消出版的图书信息处理能力可行性、可操作性等，最高5分。</w:t>
            </w:r>
          </w:p>
          <w:p w14:paraId="34C747A9">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①内容可行、合理、完整和可操作性强得5分；</w:t>
            </w:r>
          </w:p>
          <w:p w14:paraId="3D498022">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②内容可行</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、合理</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、完整</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和可操作性</w:t>
            </w:r>
            <w:r>
              <w:rPr>
                <w:rFonts w:hint="eastAsia" w:ascii="宋体" w:hAnsi="宋体" w:cs="宋体"/>
                <w:color w:val="auto"/>
                <w:sz w:val="21"/>
                <w:szCs w:val="21"/>
                <w:highlight w:val="none"/>
                <w:lang w:val="en-US" w:eastAsia="zh-CN"/>
              </w:rPr>
              <w:t>较</w:t>
            </w:r>
            <w:r>
              <w:rPr>
                <w:rFonts w:hint="eastAsia" w:ascii="宋体" w:hAnsi="宋体" w:cs="宋体"/>
                <w:color w:val="auto"/>
                <w:sz w:val="21"/>
                <w:szCs w:val="21"/>
                <w:highlight w:val="none"/>
              </w:rPr>
              <w:t>强得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5B32F09F">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③内容可行</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、合理</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、完整</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和操作性</w:t>
            </w:r>
            <w:r>
              <w:rPr>
                <w:rFonts w:hint="eastAsia" w:ascii="宋体" w:hAnsi="宋体" w:cs="宋体"/>
                <w:color w:val="auto"/>
                <w:sz w:val="21"/>
                <w:szCs w:val="21"/>
                <w:highlight w:val="none"/>
                <w:lang w:val="en-US" w:eastAsia="zh-CN"/>
              </w:rPr>
              <w:t>尚可</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1C6641FC">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④内容可行</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、合理</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、完整</w:t>
            </w:r>
            <w:r>
              <w:rPr>
                <w:rFonts w:hint="eastAsia" w:ascii="宋体" w:hAnsi="宋体" w:cs="宋体"/>
                <w:color w:val="auto"/>
                <w:sz w:val="21"/>
                <w:szCs w:val="21"/>
                <w:highlight w:val="none"/>
                <w:lang w:val="en-US" w:eastAsia="zh-CN"/>
              </w:rPr>
              <w:t>性</w:t>
            </w:r>
            <w:r>
              <w:rPr>
                <w:rFonts w:hint="eastAsia" w:ascii="宋体" w:hAnsi="宋体" w:cs="宋体"/>
                <w:color w:val="auto"/>
                <w:sz w:val="21"/>
                <w:szCs w:val="21"/>
                <w:highlight w:val="none"/>
              </w:rPr>
              <w:t>和操作性一般得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1DB10B7C">
            <w:pPr>
              <w:pStyle w:val="2"/>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⑤内容简单欠可行、欠合理、欠完整得1分；</w:t>
            </w:r>
          </w:p>
          <w:p w14:paraId="6DEC9557">
            <w:pPr>
              <w:pStyle w:val="3"/>
              <w:keepNext w:val="0"/>
              <w:keepLines w:val="0"/>
              <w:pageBreakBefore w:val="0"/>
              <w:kinsoku/>
              <w:wordWrap/>
              <w:overflowPunct/>
              <w:topLinePunct w:val="0"/>
              <w:bidi w:val="0"/>
              <w:spacing w:line="240" w:lineRule="auto"/>
              <w:ind w:left="0" w:leftChars="0" w:firstLine="0" w:firstLineChars="0"/>
              <w:textAlignment w:val="auto"/>
              <w:rPr>
                <w:sz w:val="21"/>
                <w:szCs w:val="21"/>
                <w:highlight w:val="none"/>
              </w:rPr>
            </w:pPr>
            <w:r>
              <w:rPr>
                <w:rFonts w:hint="eastAsia"/>
                <w:sz w:val="21"/>
                <w:szCs w:val="21"/>
                <w:highlight w:val="none"/>
              </w:rPr>
              <w:t>⑥</w:t>
            </w:r>
            <w:r>
              <w:rPr>
                <w:rFonts w:hint="eastAsia" w:ascii="宋体" w:hAnsi="宋体" w:cs="宋体"/>
                <w:color w:val="auto"/>
                <w:sz w:val="21"/>
                <w:szCs w:val="21"/>
                <w:highlight w:val="none"/>
              </w:rPr>
              <w:t>不满足需求或未提供的不得分。</w:t>
            </w:r>
          </w:p>
        </w:tc>
        <w:tc>
          <w:tcPr>
            <w:tcW w:w="530" w:type="dxa"/>
            <w:vAlign w:val="center"/>
          </w:tcPr>
          <w:p w14:paraId="1EF2D03E">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040" w:type="dxa"/>
            <w:vAlign w:val="center"/>
          </w:tcPr>
          <w:p w14:paraId="0BBD0913">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Align w:val="center"/>
          </w:tcPr>
          <w:p w14:paraId="12C8FF1C">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对未能采购图书订单的处理能力</w:t>
            </w:r>
          </w:p>
        </w:tc>
      </w:tr>
      <w:tr w14:paraId="5F84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14458B72">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4644" w:type="dxa"/>
          </w:tcPr>
          <w:p w14:paraId="541969E5">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退书的处理：投标人解决质量问题情况，如有质量问题（错订、破损、缺页、污损）、与馆藏不符、与预订不符等原因是否无条件退换，处理能力及时性、可行性、可操作性等。最高5分。</w:t>
            </w:r>
          </w:p>
          <w:p w14:paraId="4CAE1DF3">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①内容合理完整可行，处理及时得5分；</w:t>
            </w:r>
          </w:p>
          <w:p w14:paraId="75AC74B0">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②内容</w:t>
            </w:r>
            <w:r>
              <w:rPr>
                <w:rFonts w:hint="eastAsia" w:ascii="宋体" w:hAnsi="宋体" w:cs="宋体"/>
                <w:color w:val="auto"/>
                <w:sz w:val="21"/>
                <w:szCs w:val="21"/>
                <w:highlight w:val="none"/>
                <w:lang w:val="en-US" w:eastAsia="zh-CN"/>
              </w:rPr>
              <w:t>较</w:t>
            </w:r>
            <w:r>
              <w:rPr>
                <w:rFonts w:hint="eastAsia" w:ascii="宋体" w:hAnsi="宋体" w:cs="宋体"/>
                <w:color w:val="auto"/>
                <w:sz w:val="21"/>
                <w:szCs w:val="21"/>
                <w:highlight w:val="none"/>
              </w:rPr>
              <w:t>合理完整可行，处理</w:t>
            </w:r>
            <w:r>
              <w:rPr>
                <w:rFonts w:hint="eastAsia" w:ascii="宋体" w:hAnsi="宋体" w:cs="宋体"/>
                <w:color w:val="auto"/>
                <w:sz w:val="21"/>
                <w:szCs w:val="21"/>
                <w:highlight w:val="none"/>
                <w:lang w:val="en-US" w:eastAsia="zh-CN"/>
              </w:rPr>
              <w:t>较</w:t>
            </w:r>
            <w:r>
              <w:rPr>
                <w:rFonts w:hint="eastAsia" w:ascii="宋体" w:hAnsi="宋体" w:cs="宋体"/>
                <w:color w:val="auto"/>
                <w:sz w:val="21"/>
                <w:szCs w:val="21"/>
                <w:highlight w:val="none"/>
              </w:rPr>
              <w:t>及时得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3B2B8C03">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③内容较合理完整，操作性</w:t>
            </w:r>
            <w:r>
              <w:rPr>
                <w:rFonts w:hint="eastAsia" w:ascii="宋体" w:hAnsi="宋体" w:cs="宋体"/>
                <w:color w:val="auto"/>
                <w:sz w:val="21"/>
                <w:szCs w:val="21"/>
                <w:highlight w:val="none"/>
                <w:lang w:val="en-US" w:eastAsia="zh-CN"/>
              </w:rPr>
              <w:t>尚可</w:t>
            </w:r>
            <w:r>
              <w:rPr>
                <w:rFonts w:hint="eastAsia" w:ascii="宋体" w:hAnsi="宋体" w:cs="宋体"/>
                <w:color w:val="auto"/>
                <w:sz w:val="21"/>
                <w:szCs w:val="21"/>
                <w:highlight w:val="none"/>
              </w:rPr>
              <w:t>，处理</w:t>
            </w:r>
            <w:r>
              <w:rPr>
                <w:rFonts w:hint="eastAsia" w:ascii="宋体" w:hAnsi="宋体" w:cs="宋体"/>
                <w:color w:val="auto"/>
                <w:sz w:val="21"/>
                <w:szCs w:val="21"/>
                <w:highlight w:val="none"/>
                <w:lang w:val="en-US" w:eastAsia="zh-CN"/>
              </w:rPr>
              <w:t>尚可</w:t>
            </w:r>
            <w:r>
              <w:rPr>
                <w:rFonts w:hint="eastAsia" w:ascii="宋体" w:hAnsi="宋体" w:cs="宋体"/>
                <w:color w:val="auto"/>
                <w:sz w:val="21"/>
                <w:szCs w:val="21"/>
                <w:highlight w:val="none"/>
              </w:rPr>
              <w:t>及时得3分；</w:t>
            </w:r>
          </w:p>
          <w:p w14:paraId="23E7D7B2">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④内容简单不</w:t>
            </w:r>
            <w:r>
              <w:rPr>
                <w:rFonts w:hint="eastAsia" w:ascii="宋体" w:hAnsi="宋体" w:cs="宋体"/>
                <w:color w:val="auto"/>
                <w:sz w:val="21"/>
                <w:szCs w:val="21"/>
                <w:highlight w:val="none"/>
                <w:lang w:val="en-US" w:eastAsia="zh-CN"/>
              </w:rPr>
              <w:t>够</w:t>
            </w:r>
            <w:r>
              <w:rPr>
                <w:rFonts w:hint="eastAsia" w:ascii="宋体" w:hAnsi="宋体" w:cs="宋体"/>
                <w:color w:val="auto"/>
                <w:sz w:val="21"/>
                <w:szCs w:val="21"/>
                <w:highlight w:val="none"/>
              </w:rPr>
              <w:t>合理完整、处理</w:t>
            </w:r>
            <w:r>
              <w:rPr>
                <w:rFonts w:hint="eastAsia" w:ascii="宋体" w:hAnsi="宋体" w:cs="宋体"/>
                <w:color w:val="auto"/>
                <w:sz w:val="21"/>
                <w:szCs w:val="21"/>
                <w:highlight w:val="none"/>
                <w:lang w:val="en-US" w:eastAsia="zh-CN"/>
              </w:rPr>
              <w:t>不够</w:t>
            </w:r>
            <w:r>
              <w:rPr>
                <w:rFonts w:hint="eastAsia" w:ascii="宋体" w:hAnsi="宋体" w:cs="宋体"/>
                <w:color w:val="auto"/>
                <w:sz w:val="21"/>
                <w:szCs w:val="21"/>
                <w:highlight w:val="none"/>
              </w:rPr>
              <w:t>及时得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14:paraId="3EF646B0">
            <w:pPr>
              <w:pStyle w:val="2"/>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⑤内容简单不合理完整、处理不太及时得1分；</w:t>
            </w:r>
          </w:p>
          <w:p w14:paraId="09487313">
            <w:pPr>
              <w:pStyle w:val="3"/>
              <w:keepNext w:val="0"/>
              <w:keepLines w:val="0"/>
              <w:pageBreakBefore w:val="0"/>
              <w:kinsoku/>
              <w:wordWrap/>
              <w:overflowPunct/>
              <w:topLinePunct w:val="0"/>
              <w:bidi w:val="0"/>
              <w:spacing w:line="240" w:lineRule="auto"/>
              <w:ind w:left="0" w:leftChars="0" w:firstLine="0" w:firstLineChars="0"/>
              <w:textAlignment w:val="auto"/>
              <w:rPr>
                <w:sz w:val="21"/>
                <w:szCs w:val="21"/>
                <w:highlight w:val="none"/>
              </w:rPr>
            </w:pPr>
            <w:r>
              <w:rPr>
                <w:rFonts w:hint="eastAsia"/>
                <w:sz w:val="21"/>
                <w:szCs w:val="21"/>
                <w:highlight w:val="none"/>
              </w:rPr>
              <w:t>⑥</w:t>
            </w:r>
            <w:r>
              <w:rPr>
                <w:rFonts w:hint="eastAsia" w:ascii="宋体" w:hAnsi="宋体" w:cs="宋体"/>
                <w:color w:val="auto"/>
                <w:sz w:val="21"/>
                <w:szCs w:val="21"/>
                <w:highlight w:val="none"/>
              </w:rPr>
              <w:t>不满足需求或未提供的不得分。</w:t>
            </w:r>
          </w:p>
        </w:tc>
        <w:tc>
          <w:tcPr>
            <w:tcW w:w="530" w:type="dxa"/>
            <w:vAlign w:val="center"/>
          </w:tcPr>
          <w:p w14:paraId="6C484B65">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040" w:type="dxa"/>
            <w:vAlign w:val="center"/>
          </w:tcPr>
          <w:p w14:paraId="338757A7">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Align w:val="center"/>
          </w:tcPr>
          <w:p w14:paraId="3CE12A09">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退书的处理</w:t>
            </w:r>
          </w:p>
        </w:tc>
      </w:tr>
      <w:tr w14:paraId="2AED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303EB1C7">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4644" w:type="dxa"/>
          </w:tcPr>
          <w:p w14:paraId="43E386B5">
            <w:pPr>
              <w:keepNext w:val="0"/>
              <w:keepLines w:val="0"/>
              <w:pageBreakBefore w:val="0"/>
              <w:widowControl w:val="0"/>
              <w:kinsoku/>
              <w:wordWrap/>
              <w:overflowPunct/>
              <w:topLinePunct w:val="0"/>
              <w:bidi w:val="0"/>
              <w:adjustRightInd w:val="0"/>
              <w:snapToGrid/>
              <w:spacing w:line="240" w:lineRule="auto"/>
              <w:textAlignment w:val="auto"/>
              <w:rPr>
                <w:color w:val="auto"/>
                <w:sz w:val="21"/>
                <w:szCs w:val="21"/>
                <w:highlight w:val="none"/>
              </w:rPr>
            </w:pPr>
            <w:r>
              <w:rPr>
                <w:rFonts w:hint="eastAsia"/>
                <w:color w:val="auto"/>
                <w:sz w:val="21"/>
                <w:szCs w:val="21"/>
                <w:highlight w:val="none"/>
              </w:rPr>
              <w:t>信息服务能力：投标人规范新书征订书目数据和机读编目数据及对预订的图书进行查处能力的情况，最高5分。</w:t>
            </w:r>
          </w:p>
          <w:p w14:paraId="73571AE2">
            <w:pPr>
              <w:keepNext w:val="0"/>
              <w:keepLines w:val="0"/>
              <w:pageBreakBefore w:val="0"/>
              <w:widowControl w:val="0"/>
              <w:kinsoku/>
              <w:wordWrap/>
              <w:overflowPunct/>
              <w:topLinePunct w:val="0"/>
              <w:bidi w:val="0"/>
              <w:adjustRightInd w:val="0"/>
              <w:snapToGrid/>
              <w:spacing w:line="240" w:lineRule="auto"/>
              <w:textAlignment w:val="auto"/>
              <w:rPr>
                <w:color w:val="auto"/>
                <w:sz w:val="21"/>
                <w:szCs w:val="21"/>
                <w:highlight w:val="none"/>
              </w:rPr>
            </w:pPr>
            <w:r>
              <w:rPr>
                <w:rFonts w:hint="eastAsia" w:ascii="宋体" w:hAnsi="宋体" w:cs="宋体"/>
                <w:color w:val="auto"/>
                <w:sz w:val="21"/>
                <w:szCs w:val="21"/>
                <w:highlight w:val="none"/>
              </w:rPr>
              <w:t>①内容合理完整可行，处理</w:t>
            </w:r>
            <w:r>
              <w:rPr>
                <w:rFonts w:hint="eastAsia"/>
                <w:color w:val="auto"/>
                <w:sz w:val="21"/>
                <w:szCs w:val="21"/>
                <w:highlight w:val="none"/>
              </w:rPr>
              <w:t>操作合理得5分；</w:t>
            </w:r>
          </w:p>
          <w:p w14:paraId="081AC8A4">
            <w:pPr>
              <w:keepNext w:val="0"/>
              <w:keepLines w:val="0"/>
              <w:pageBreakBefore w:val="0"/>
              <w:widowControl w:val="0"/>
              <w:kinsoku/>
              <w:wordWrap/>
              <w:overflowPunct/>
              <w:topLinePunct w:val="0"/>
              <w:bidi w:val="0"/>
              <w:adjustRightInd w:val="0"/>
              <w:snapToGrid/>
              <w:spacing w:line="240" w:lineRule="auto"/>
              <w:textAlignment w:val="auto"/>
              <w:rPr>
                <w:color w:val="auto"/>
                <w:sz w:val="21"/>
                <w:szCs w:val="21"/>
                <w:highlight w:val="none"/>
              </w:rPr>
            </w:pPr>
            <w:r>
              <w:rPr>
                <w:rFonts w:hint="eastAsia"/>
                <w:color w:val="auto"/>
                <w:sz w:val="21"/>
                <w:szCs w:val="21"/>
                <w:highlight w:val="none"/>
              </w:rPr>
              <w:t>②</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val="en-US" w:eastAsia="zh-CN"/>
              </w:rPr>
              <w:t>较</w:t>
            </w:r>
            <w:r>
              <w:rPr>
                <w:rFonts w:hint="eastAsia" w:ascii="宋体" w:hAnsi="宋体" w:cs="宋体"/>
                <w:color w:val="auto"/>
                <w:sz w:val="21"/>
                <w:szCs w:val="21"/>
                <w:highlight w:val="none"/>
              </w:rPr>
              <w:t>合理完整可行，处理</w:t>
            </w:r>
            <w:r>
              <w:rPr>
                <w:rFonts w:hint="eastAsia"/>
                <w:color w:val="auto"/>
                <w:sz w:val="21"/>
                <w:szCs w:val="21"/>
                <w:highlight w:val="none"/>
              </w:rPr>
              <w:t>操作</w:t>
            </w:r>
            <w:r>
              <w:rPr>
                <w:rFonts w:hint="eastAsia" w:ascii="宋体" w:hAnsi="宋体" w:cs="宋体"/>
                <w:color w:val="auto"/>
                <w:sz w:val="21"/>
                <w:szCs w:val="21"/>
                <w:highlight w:val="none"/>
                <w:lang w:val="en-US" w:eastAsia="zh-CN"/>
              </w:rPr>
              <w:t>较</w:t>
            </w:r>
            <w:r>
              <w:rPr>
                <w:rFonts w:hint="eastAsia"/>
                <w:color w:val="auto"/>
                <w:sz w:val="21"/>
                <w:szCs w:val="21"/>
                <w:highlight w:val="none"/>
              </w:rPr>
              <w:t>合理得</w:t>
            </w:r>
            <w:r>
              <w:rPr>
                <w:rFonts w:hint="eastAsia"/>
                <w:color w:val="auto"/>
                <w:sz w:val="21"/>
                <w:szCs w:val="21"/>
                <w:highlight w:val="none"/>
                <w:lang w:val="en-US" w:eastAsia="zh-CN"/>
              </w:rPr>
              <w:t>4</w:t>
            </w:r>
            <w:r>
              <w:rPr>
                <w:rFonts w:hint="eastAsia"/>
                <w:color w:val="auto"/>
                <w:sz w:val="21"/>
                <w:szCs w:val="21"/>
                <w:highlight w:val="none"/>
              </w:rPr>
              <w:t>分；</w:t>
            </w:r>
          </w:p>
          <w:p w14:paraId="72B4EE1F">
            <w:pPr>
              <w:keepNext w:val="0"/>
              <w:keepLines w:val="0"/>
              <w:pageBreakBefore w:val="0"/>
              <w:widowControl w:val="0"/>
              <w:kinsoku/>
              <w:wordWrap/>
              <w:overflowPunct/>
              <w:topLinePunct w:val="0"/>
              <w:bidi w:val="0"/>
              <w:adjustRightInd w:val="0"/>
              <w:snapToGrid/>
              <w:spacing w:line="240" w:lineRule="auto"/>
              <w:textAlignment w:val="auto"/>
              <w:rPr>
                <w:color w:val="auto"/>
                <w:sz w:val="21"/>
                <w:szCs w:val="21"/>
                <w:highlight w:val="none"/>
              </w:rPr>
            </w:pPr>
            <w:r>
              <w:rPr>
                <w:rFonts w:hint="eastAsia"/>
                <w:color w:val="auto"/>
                <w:sz w:val="21"/>
                <w:szCs w:val="21"/>
                <w:highlight w:val="none"/>
              </w:rPr>
              <w:t>③内容较合理完整，操作性欠佳得3分；</w:t>
            </w:r>
          </w:p>
          <w:p w14:paraId="1AD22A52">
            <w:pPr>
              <w:keepNext w:val="0"/>
              <w:keepLines w:val="0"/>
              <w:pageBreakBefore w:val="0"/>
              <w:widowControl w:val="0"/>
              <w:kinsoku/>
              <w:wordWrap/>
              <w:overflowPunct/>
              <w:topLinePunct w:val="0"/>
              <w:bidi w:val="0"/>
              <w:adjustRightInd w:val="0"/>
              <w:snapToGrid/>
              <w:spacing w:line="240" w:lineRule="auto"/>
              <w:textAlignment w:val="auto"/>
              <w:rPr>
                <w:rFonts w:hint="eastAsia"/>
                <w:color w:val="auto"/>
                <w:sz w:val="21"/>
                <w:szCs w:val="21"/>
                <w:highlight w:val="none"/>
              </w:rPr>
            </w:pPr>
            <w:r>
              <w:rPr>
                <w:rFonts w:hint="eastAsia"/>
                <w:color w:val="auto"/>
                <w:sz w:val="21"/>
                <w:szCs w:val="21"/>
                <w:highlight w:val="none"/>
              </w:rPr>
              <w:t>④内容合理完整</w:t>
            </w:r>
            <w:r>
              <w:rPr>
                <w:rFonts w:hint="eastAsia"/>
                <w:color w:val="auto"/>
                <w:sz w:val="21"/>
                <w:szCs w:val="21"/>
                <w:highlight w:val="none"/>
                <w:lang w:val="en-US" w:eastAsia="zh-CN"/>
              </w:rPr>
              <w:t>性尚可</w:t>
            </w:r>
            <w:r>
              <w:rPr>
                <w:rFonts w:hint="eastAsia"/>
                <w:color w:val="auto"/>
                <w:sz w:val="21"/>
                <w:szCs w:val="21"/>
                <w:highlight w:val="none"/>
              </w:rPr>
              <w:t>，操作性</w:t>
            </w:r>
            <w:r>
              <w:rPr>
                <w:rFonts w:hint="eastAsia"/>
                <w:color w:val="auto"/>
                <w:sz w:val="21"/>
                <w:szCs w:val="21"/>
                <w:highlight w:val="none"/>
                <w:lang w:val="en-US" w:eastAsia="zh-CN"/>
              </w:rPr>
              <w:t>不够</w:t>
            </w:r>
            <w:r>
              <w:rPr>
                <w:rFonts w:hint="eastAsia"/>
                <w:color w:val="auto"/>
                <w:sz w:val="21"/>
                <w:szCs w:val="21"/>
                <w:highlight w:val="none"/>
              </w:rPr>
              <w:t>得</w:t>
            </w:r>
            <w:r>
              <w:rPr>
                <w:rFonts w:hint="eastAsia"/>
                <w:color w:val="auto"/>
                <w:sz w:val="21"/>
                <w:szCs w:val="21"/>
                <w:highlight w:val="none"/>
                <w:lang w:val="en-US" w:eastAsia="zh-CN"/>
              </w:rPr>
              <w:t>2</w:t>
            </w:r>
            <w:r>
              <w:rPr>
                <w:rFonts w:hint="eastAsia"/>
                <w:color w:val="auto"/>
                <w:sz w:val="21"/>
                <w:szCs w:val="21"/>
                <w:highlight w:val="none"/>
              </w:rPr>
              <w:t>分；</w:t>
            </w:r>
          </w:p>
          <w:p w14:paraId="46AA0923">
            <w:pPr>
              <w:pStyle w:val="2"/>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⑤</w:t>
            </w:r>
            <w:r>
              <w:rPr>
                <w:rFonts w:hint="eastAsia"/>
                <w:color w:val="auto"/>
                <w:sz w:val="21"/>
                <w:szCs w:val="21"/>
                <w:highlight w:val="none"/>
              </w:rPr>
              <w:t>内容简单不够完整，操作不合理得1分；</w:t>
            </w:r>
          </w:p>
          <w:p w14:paraId="5AAE0768">
            <w:pPr>
              <w:pStyle w:val="3"/>
              <w:keepNext w:val="0"/>
              <w:keepLines w:val="0"/>
              <w:pageBreakBefore w:val="0"/>
              <w:widowControl w:val="0"/>
              <w:kinsoku/>
              <w:wordWrap/>
              <w:overflowPunct/>
              <w:topLinePunct w:val="0"/>
              <w:bidi w:val="0"/>
              <w:adjustRightInd w:val="0"/>
              <w:snapToGrid/>
              <w:spacing w:line="240" w:lineRule="auto"/>
              <w:ind w:left="0" w:leftChars="0" w:firstLine="0" w:firstLineChars="0"/>
              <w:textAlignment w:val="auto"/>
              <w:rPr>
                <w:sz w:val="21"/>
                <w:szCs w:val="21"/>
                <w:highlight w:val="none"/>
              </w:rPr>
            </w:pPr>
            <w:r>
              <w:rPr>
                <w:rFonts w:hint="eastAsia"/>
                <w:sz w:val="21"/>
                <w:szCs w:val="21"/>
                <w:highlight w:val="none"/>
              </w:rPr>
              <w:t>⑥</w:t>
            </w:r>
            <w:r>
              <w:rPr>
                <w:rFonts w:hint="eastAsia"/>
                <w:color w:val="auto"/>
                <w:sz w:val="21"/>
                <w:szCs w:val="21"/>
                <w:highlight w:val="none"/>
              </w:rPr>
              <w:t>不满足需求或未提供的不得分。</w:t>
            </w:r>
          </w:p>
        </w:tc>
        <w:tc>
          <w:tcPr>
            <w:tcW w:w="530" w:type="dxa"/>
            <w:vAlign w:val="center"/>
          </w:tcPr>
          <w:p w14:paraId="38437315">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040" w:type="dxa"/>
            <w:vAlign w:val="center"/>
          </w:tcPr>
          <w:p w14:paraId="5F8E738D">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Align w:val="center"/>
          </w:tcPr>
          <w:p w14:paraId="234CC38E">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信息服务能力</w:t>
            </w:r>
          </w:p>
        </w:tc>
      </w:tr>
      <w:tr w14:paraId="76E7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454" w:type="dxa"/>
            <w:vAlign w:val="center"/>
          </w:tcPr>
          <w:p w14:paraId="26108DD3">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4644" w:type="dxa"/>
          </w:tcPr>
          <w:p w14:paraId="49808866">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特色</w:t>
            </w:r>
            <w:r>
              <w:rPr>
                <w:rFonts w:hint="eastAsia" w:ascii="宋体" w:hAnsi="宋体" w:cs="宋体"/>
                <w:color w:val="auto"/>
                <w:sz w:val="21"/>
                <w:szCs w:val="21"/>
                <w:highlight w:val="none"/>
                <w:lang w:eastAsia="zh-CN"/>
              </w:rPr>
              <w:t>（拓展）</w:t>
            </w:r>
            <w:r>
              <w:rPr>
                <w:rFonts w:hint="eastAsia" w:ascii="宋体" w:hAnsi="宋体" w:cs="宋体"/>
                <w:color w:val="auto"/>
                <w:sz w:val="21"/>
                <w:szCs w:val="21"/>
                <w:highlight w:val="none"/>
              </w:rPr>
              <w:t>服务</w:t>
            </w:r>
            <w:r>
              <w:rPr>
                <w:rFonts w:hint="eastAsia" w:ascii="宋体" w:hAnsi="宋体" w:cs="宋体"/>
                <w:color w:val="auto"/>
                <w:sz w:val="21"/>
                <w:szCs w:val="21"/>
                <w:highlight w:val="none"/>
                <w:lang w:eastAsia="zh-CN"/>
              </w:rPr>
              <w:t>能力</w:t>
            </w:r>
            <w:r>
              <w:rPr>
                <w:rFonts w:hint="eastAsia" w:ascii="宋体" w:hAnsi="宋体" w:cs="宋体"/>
                <w:color w:val="auto"/>
                <w:sz w:val="21"/>
                <w:szCs w:val="21"/>
                <w:highlight w:val="none"/>
              </w:rPr>
              <w:t>：是否能配合业主进行本地化公益活动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现场开放荐购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线</w:t>
            </w:r>
            <w:r>
              <w:rPr>
                <w:rFonts w:hint="eastAsia" w:ascii="宋体" w:hAnsi="宋体" w:eastAsia="宋体" w:cs="宋体"/>
                <w:color w:val="auto"/>
                <w:sz w:val="21"/>
                <w:szCs w:val="21"/>
                <w:highlight w:val="none"/>
              </w:rPr>
              <w:t>下或线上挑书活动</w:t>
            </w:r>
            <w:r>
              <w:rPr>
                <w:rFonts w:hint="eastAsia" w:ascii="黑体" w:hAnsi="黑体" w:eastAsia="黑体" w:cs="Cambria Math"/>
                <w:color w:val="auto"/>
                <w:sz w:val="21"/>
                <w:szCs w:val="21"/>
                <w:highlight w:val="none"/>
              </w:rPr>
              <w:t>等</w:t>
            </w:r>
            <w:r>
              <w:rPr>
                <w:rFonts w:hint="eastAsia" w:ascii="宋体" w:hAnsi="宋体" w:cs="宋体"/>
                <w:color w:val="auto"/>
                <w:sz w:val="21"/>
                <w:szCs w:val="21"/>
                <w:highlight w:val="none"/>
              </w:rPr>
              <w:t>，提供初步活动方案等其他特色、优惠服务，最高5分。</w:t>
            </w:r>
          </w:p>
          <w:p w14:paraId="197EF928">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①活动方案合理可行，有特色得5分；</w:t>
            </w:r>
          </w:p>
          <w:p w14:paraId="43FA6719">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②活动方案</w:t>
            </w:r>
            <w:r>
              <w:rPr>
                <w:rFonts w:hint="eastAsia" w:ascii="宋体" w:hAnsi="宋体" w:cs="宋体"/>
                <w:color w:val="auto"/>
                <w:sz w:val="21"/>
                <w:szCs w:val="21"/>
                <w:highlight w:val="none"/>
                <w:lang w:val="en-US" w:eastAsia="zh-CN"/>
              </w:rPr>
              <w:t>较</w:t>
            </w:r>
            <w:r>
              <w:rPr>
                <w:rFonts w:hint="eastAsia" w:ascii="宋体" w:hAnsi="宋体" w:cs="宋体"/>
                <w:color w:val="auto"/>
                <w:sz w:val="21"/>
                <w:szCs w:val="21"/>
                <w:highlight w:val="none"/>
              </w:rPr>
              <w:t>合理可行，</w:t>
            </w:r>
            <w:r>
              <w:rPr>
                <w:rFonts w:hint="eastAsia" w:ascii="宋体" w:hAnsi="宋体" w:cs="宋体"/>
                <w:color w:val="auto"/>
                <w:sz w:val="21"/>
                <w:szCs w:val="21"/>
                <w:highlight w:val="none"/>
                <w:lang w:val="en-US" w:eastAsia="zh-CN"/>
              </w:rPr>
              <w:t>较</w:t>
            </w:r>
            <w:r>
              <w:rPr>
                <w:rFonts w:hint="eastAsia" w:ascii="宋体" w:hAnsi="宋体" w:cs="宋体"/>
                <w:color w:val="auto"/>
                <w:sz w:val="21"/>
                <w:szCs w:val="21"/>
                <w:highlight w:val="none"/>
              </w:rPr>
              <w:t>特色得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23173C78">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③活动方案</w:t>
            </w:r>
            <w:r>
              <w:rPr>
                <w:rFonts w:hint="eastAsia" w:ascii="宋体" w:hAnsi="宋体" w:cs="宋体"/>
                <w:color w:val="auto"/>
                <w:sz w:val="21"/>
                <w:szCs w:val="21"/>
                <w:highlight w:val="none"/>
                <w:lang w:val="en-US" w:eastAsia="zh-CN"/>
              </w:rPr>
              <w:t>尚可</w:t>
            </w:r>
            <w:r>
              <w:rPr>
                <w:rFonts w:hint="eastAsia" w:ascii="宋体" w:hAnsi="宋体" w:cs="宋体"/>
                <w:color w:val="auto"/>
                <w:sz w:val="21"/>
                <w:szCs w:val="21"/>
                <w:highlight w:val="none"/>
              </w:rPr>
              <w:t>合理可行，</w:t>
            </w:r>
            <w:r>
              <w:rPr>
                <w:rFonts w:hint="eastAsia" w:ascii="宋体" w:hAnsi="宋体" w:cs="宋体"/>
                <w:color w:val="auto"/>
                <w:sz w:val="21"/>
                <w:szCs w:val="21"/>
                <w:highlight w:val="none"/>
                <w:lang w:val="en-US" w:eastAsia="zh-CN"/>
              </w:rPr>
              <w:t>欠</w:t>
            </w:r>
            <w:r>
              <w:rPr>
                <w:rFonts w:hint="eastAsia" w:ascii="宋体" w:hAnsi="宋体" w:cs="宋体"/>
                <w:color w:val="auto"/>
                <w:sz w:val="21"/>
                <w:szCs w:val="21"/>
                <w:highlight w:val="none"/>
              </w:rPr>
              <w:t>特色得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0F364F71">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④活动方案</w:t>
            </w:r>
            <w:r>
              <w:rPr>
                <w:rFonts w:hint="eastAsia" w:ascii="宋体" w:hAnsi="宋体" w:cs="宋体"/>
                <w:color w:val="auto"/>
                <w:sz w:val="21"/>
                <w:szCs w:val="21"/>
                <w:highlight w:val="none"/>
                <w:lang w:val="en-US" w:eastAsia="zh-CN"/>
              </w:rPr>
              <w:t>不够</w:t>
            </w:r>
            <w:r>
              <w:rPr>
                <w:rFonts w:hint="eastAsia" w:ascii="宋体" w:hAnsi="宋体" w:cs="宋体"/>
                <w:color w:val="auto"/>
                <w:sz w:val="21"/>
                <w:szCs w:val="21"/>
                <w:highlight w:val="none"/>
              </w:rPr>
              <w:t>合理可行，</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特色得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13C6CCC3">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⑤内容简单不合理可行、无特色得1分；</w:t>
            </w:r>
          </w:p>
          <w:p w14:paraId="723CA273">
            <w:pPr>
              <w:pStyle w:val="2"/>
              <w:keepNext w:val="0"/>
              <w:keepLines w:val="0"/>
              <w:pageBreakBefore w:val="0"/>
              <w:widowControl w:val="0"/>
              <w:kinsoku/>
              <w:wordWrap/>
              <w:overflowPunct/>
              <w:topLinePunct w:val="0"/>
              <w:bidi w:val="0"/>
              <w:adjustRightInd w:val="0"/>
              <w:snapToGrid/>
              <w:spacing w:line="240" w:lineRule="auto"/>
              <w:textAlignment w:val="auto"/>
              <w:rPr>
                <w:sz w:val="21"/>
                <w:szCs w:val="21"/>
                <w:highlight w:val="none"/>
              </w:rPr>
            </w:pPr>
            <w:r>
              <w:rPr>
                <w:rFonts w:hint="eastAsia"/>
                <w:sz w:val="21"/>
                <w:szCs w:val="21"/>
                <w:highlight w:val="none"/>
              </w:rPr>
              <w:t>⑥</w:t>
            </w:r>
            <w:r>
              <w:rPr>
                <w:rFonts w:hint="eastAsia" w:ascii="宋体" w:hAnsi="宋体" w:cs="宋体"/>
                <w:color w:val="auto"/>
                <w:sz w:val="21"/>
                <w:szCs w:val="21"/>
                <w:highlight w:val="none"/>
              </w:rPr>
              <w:t>不满足需求或未提供的不得分。</w:t>
            </w:r>
          </w:p>
        </w:tc>
        <w:tc>
          <w:tcPr>
            <w:tcW w:w="530" w:type="dxa"/>
            <w:vAlign w:val="center"/>
          </w:tcPr>
          <w:p w14:paraId="55CA8623">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040" w:type="dxa"/>
            <w:vAlign w:val="center"/>
          </w:tcPr>
          <w:p w14:paraId="14C0AD27">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Align w:val="center"/>
          </w:tcPr>
          <w:p w14:paraId="325B14D9">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特色</w:t>
            </w:r>
            <w:r>
              <w:rPr>
                <w:rFonts w:hint="eastAsia" w:ascii="宋体" w:hAnsi="宋体" w:cs="宋体"/>
                <w:color w:val="auto"/>
                <w:sz w:val="21"/>
                <w:szCs w:val="21"/>
                <w:highlight w:val="none"/>
                <w:lang w:eastAsia="zh-CN"/>
              </w:rPr>
              <w:t>（拓展）</w:t>
            </w:r>
            <w:r>
              <w:rPr>
                <w:rFonts w:hint="eastAsia" w:ascii="宋体" w:hAnsi="宋体" w:cs="宋体"/>
                <w:color w:val="auto"/>
                <w:sz w:val="21"/>
                <w:szCs w:val="21"/>
                <w:highlight w:val="none"/>
              </w:rPr>
              <w:t>服务</w:t>
            </w:r>
            <w:r>
              <w:rPr>
                <w:rFonts w:hint="eastAsia" w:ascii="宋体" w:hAnsi="宋体" w:cs="宋体"/>
                <w:color w:val="auto"/>
                <w:sz w:val="21"/>
                <w:szCs w:val="21"/>
                <w:highlight w:val="none"/>
                <w:lang w:eastAsia="zh-CN"/>
              </w:rPr>
              <w:t>能力</w:t>
            </w:r>
          </w:p>
        </w:tc>
      </w:tr>
      <w:tr w14:paraId="6A74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6EE98A69">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4644" w:type="dxa"/>
          </w:tcPr>
          <w:p w14:paraId="45C7A5CB">
            <w:pPr>
              <w:keepNext w:val="0"/>
              <w:keepLines w:val="0"/>
              <w:pageBreakBefore w:val="0"/>
              <w:widowControl w:val="0"/>
              <w:kinsoku/>
              <w:wordWrap/>
              <w:overflowPunct/>
              <w:topLinePunct w:val="0"/>
              <w:bidi w:val="0"/>
              <w:adjustRightInd w:val="0"/>
              <w:snapToGrid/>
              <w:spacing w:line="240"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综合实力：投标人的综合实力、荣誉、信用等情况，最高1分。提供相关证明材料。</w:t>
            </w:r>
          </w:p>
        </w:tc>
        <w:tc>
          <w:tcPr>
            <w:tcW w:w="530" w:type="dxa"/>
            <w:vAlign w:val="center"/>
          </w:tcPr>
          <w:p w14:paraId="437A43CE">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40" w:type="dxa"/>
            <w:vAlign w:val="center"/>
          </w:tcPr>
          <w:p w14:paraId="2D58B1CF">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主观</w:t>
            </w:r>
          </w:p>
        </w:tc>
        <w:tc>
          <w:tcPr>
            <w:tcW w:w="1827" w:type="dxa"/>
            <w:vAlign w:val="center"/>
          </w:tcPr>
          <w:p w14:paraId="1B814C38">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综合实力</w:t>
            </w:r>
          </w:p>
        </w:tc>
      </w:tr>
      <w:tr w14:paraId="2484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6F9BD779">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4644" w:type="dxa"/>
          </w:tcPr>
          <w:p w14:paraId="63579739">
            <w:pPr>
              <w:keepNext w:val="0"/>
              <w:keepLines w:val="0"/>
              <w:pageBreakBefore w:val="0"/>
              <w:kinsoku/>
              <w:wordWrap/>
              <w:overflowPunct/>
              <w:topLinePunct w:val="0"/>
              <w:bidi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服务本项目需有固定车辆及固定运输人员配备，缺少不得分:车辆须为投标人自有车辆或固定租赁车辆,且车辆行驶证户主不得为自然人。注：提供车辆行驶证（投标人名下）或车辆租赁合同及租赁费支付凭证（提供出租方车辆行驶证），以及运输人员驾驶证及近三个月</w:t>
            </w:r>
            <w:r>
              <w:rPr>
                <w:rFonts w:hint="eastAsia" w:ascii="宋体" w:hAnsi="宋体" w:cs="宋体"/>
                <w:color w:val="auto"/>
                <w:sz w:val="21"/>
                <w:szCs w:val="21"/>
                <w:highlight w:val="none"/>
                <w:lang w:eastAsia="zh-CN"/>
              </w:rPr>
              <w:t>中任意一个月</w:t>
            </w:r>
            <w:r>
              <w:rPr>
                <w:rFonts w:hint="eastAsia" w:ascii="宋体" w:hAnsi="宋体" w:cs="宋体"/>
                <w:color w:val="auto"/>
                <w:sz w:val="21"/>
                <w:szCs w:val="21"/>
                <w:highlight w:val="none"/>
              </w:rPr>
              <w:t>社保证明材料复印件。</w:t>
            </w:r>
          </w:p>
        </w:tc>
        <w:tc>
          <w:tcPr>
            <w:tcW w:w="530" w:type="dxa"/>
            <w:vAlign w:val="center"/>
          </w:tcPr>
          <w:p w14:paraId="17E38D67">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040" w:type="dxa"/>
            <w:vAlign w:val="center"/>
          </w:tcPr>
          <w:p w14:paraId="154535D8">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客观</w:t>
            </w:r>
          </w:p>
        </w:tc>
        <w:tc>
          <w:tcPr>
            <w:tcW w:w="1827" w:type="dxa"/>
            <w:vAlign w:val="center"/>
          </w:tcPr>
          <w:p w14:paraId="5E69202C">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车辆</w:t>
            </w:r>
          </w:p>
        </w:tc>
      </w:tr>
      <w:tr w14:paraId="2871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0DF2938D">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4644" w:type="dxa"/>
          </w:tcPr>
          <w:p w14:paraId="427D598E">
            <w:pPr>
              <w:keepNext w:val="0"/>
              <w:keepLines w:val="0"/>
              <w:pageBreakBefore w:val="0"/>
              <w:kinsoku/>
              <w:wordWrap/>
              <w:overflowPunct/>
              <w:topLinePunct w:val="0"/>
              <w:bidi w:val="0"/>
              <w:spacing w:line="240"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类似业绩：投标人提供自202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年1月1日以来图书馆采购成功案例，每提供一个得1分，最高得3分。（提供合同复印件和验收</w:t>
            </w:r>
            <w:r>
              <w:rPr>
                <w:rFonts w:hint="eastAsia" w:ascii="宋体" w:hAnsi="宋体" w:cs="宋体"/>
                <w:color w:val="auto"/>
                <w:sz w:val="21"/>
                <w:szCs w:val="21"/>
                <w:highlight w:val="none"/>
                <w:lang w:eastAsia="zh-CN"/>
              </w:rPr>
              <w:t>合格</w:t>
            </w:r>
            <w:r>
              <w:rPr>
                <w:rFonts w:hint="eastAsia" w:ascii="宋体" w:hAnsi="宋体" w:cs="宋体"/>
                <w:color w:val="auto"/>
                <w:sz w:val="21"/>
                <w:szCs w:val="21"/>
                <w:highlight w:val="none"/>
              </w:rPr>
              <w:t>证明复印件，缺一不可）</w:t>
            </w:r>
          </w:p>
        </w:tc>
        <w:tc>
          <w:tcPr>
            <w:tcW w:w="530" w:type="dxa"/>
            <w:vAlign w:val="center"/>
          </w:tcPr>
          <w:p w14:paraId="24EE9CB1">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040" w:type="dxa"/>
            <w:vAlign w:val="center"/>
          </w:tcPr>
          <w:p w14:paraId="2D2E6D5A">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客观</w:t>
            </w:r>
          </w:p>
        </w:tc>
        <w:tc>
          <w:tcPr>
            <w:tcW w:w="1827" w:type="dxa"/>
            <w:vAlign w:val="center"/>
          </w:tcPr>
          <w:p w14:paraId="3DE1EBBD">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类似业绩</w:t>
            </w:r>
          </w:p>
        </w:tc>
      </w:tr>
      <w:tr w14:paraId="6914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51AEF0BE">
            <w:pPr>
              <w:keepNext w:val="0"/>
              <w:keepLines w:val="0"/>
              <w:pageBreakBefore w:val="0"/>
              <w:kinsoku/>
              <w:wordWrap/>
              <w:overflowPunct/>
              <w:topLinePunct w:val="0"/>
              <w:bidi w:val="0"/>
              <w:spacing w:line="240" w:lineRule="auto"/>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4644" w:type="dxa"/>
          </w:tcPr>
          <w:p w14:paraId="606D1F88">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售后服务要求：供应商应提供本地化服务，对采购人提出的服务要求应在0.5小时内到达采购人项目所在地，满足要求得3分；在1小时内到达采购人项目所在地，满足要求得2分；在2小时内到达采购人项目所在地，满足要求得1分。以上均需提供书面承诺函及相关证明材料，不满足要求不得分。</w:t>
            </w:r>
          </w:p>
        </w:tc>
        <w:tc>
          <w:tcPr>
            <w:tcW w:w="530" w:type="dxa"/>
            <w:vAlign w:val="center"/>
          </w:tcPr>
          <w:p w14:paraId="6047B9D4">
            <w:pPr>
              <w:keepNext w:val="0"/>
              <w:keepLines w:val="0"/>
              <w:pageBreakBefore w:val="0"/>
              <w:kinsoku/>
              <w:wordWrap/>
              <w:overflowPunct/>
              <w:topLinePunct w:val="0"/>
              <w:bidi w:val="0"/>
              <w:spacing w:line="24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40" w:type="dxa"/>
            <w:vAlign w:val="center"/>
          </w:tcPr>
          <w:p w14:paraId="6C7D7098">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客观</w:t>
            </w:r>
          </w:p>
        </w:tc>
        <w:tc>
          <w:tcPr>
            <w:tcW w:w="1827" w:type="dxa"/>
            <w:vAlign w:val="center"/>
          </w:tcPr>
          <w:p w14:paraId="69A1729A">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售后服务要求</w:t>
            </w:r>
          </w:p>
        </w:tc>
      </w:tr>
      <w:tr w14:paraId="6E4F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14:paraId="3211824F">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p>
        </w:tc>
        <w:tc>
          <w:tcPr>
            <w:tcW w:w="4644" w:type="dxa"/>
          </w:tcPr>
          <w:p w14:paraId="408CD759">
            <w:pPr>
              <w:keepNext w:val="0"/>
              <w:keepLines w:val="0"/>
              <w:pageBreakBefore w:val="0"/>
              <w:kinsoku/>
              <w:wordWrap/>
              <w:overflowPunct/>
              <w:topLinePunct w:val="0"/>
              <w:bidi w:val="0"/>
              <w:spacing w:line="240" w:lineRule="auto"/>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有效投标报价的最低价</w:t>
            </w:r>
            <w:r>
              <w:rPr>
                <w:rStyle w:val="965"/>
                <w:rFonts w:hint="default" w:ascii="宋体" w:hAnsi="宋体" w:eastAsia="宋体" w:cs="宋体"/>
                <w:b w:val="0"/>
                <w:color w:val="auto"/>
                <w:sz w:val="21"/>
                <w:szCs w:val="21"/>
                <w:highlight w:val="none"/>
              </w:rPr>
              <w:t>（折扣）</w:t>
            </w:r>
            <w:r>
              <w:rPr>
                <w:rFonts w:hint="eastAsia" w:ascii="宋体" w:hAnsi="宋体" w:cs="宋体"/>
                <w:color w:val="auto"/>
                <w:sz w:val="21"/>
                <w:szCs w:val="21"/>
                <w:highlight w:val="none"/>
              </w:rPr>
              <w:t>作为评标基准价，其最低报价为满分；按［投标报价得分=（评标基准价</w:t>
            </w:r>
            <w:r>
              <w:rPr>
                <w:rStyle w:val="965"/>
                <w:rFonts w:hint="default" w:ascii="宋体" w:hAnsi="宋体" w:eastAsia="宋体" w:cs="宋体"/>
                <w:b w:val="0"/>
                <w:color w:val="auto"/>
                <w:sz w:val="21"/>
                <w:szCs w:val="21"/>
                <w:highlight w:val="none"/>
              </w:rPr>
              <w:t>（折扣）</w:t>
            </w:r>
            <w:r>
              <w:rPr>
                <w:rFonts w:hint="eastAsia" w:ascii="宋体" w:hAnsi="宋体" w:cs="宋体"/>
                <w:color w:val="auto"/>
                <w:sz w:val="21"/>
                <w:szCs w:val="21"/>
                <w:highlight w:val="none"/>
              </w:rPr>
              <w:t>/投标报价</w:t>
            </w:r>
            <w:r>
              <w:rPr>
                <w:rStyle w:val="965"/>
                <w:rFonts w:hint="default" w:ascii="宋体" w:hAnsi="宋体" w:eastAsia="宋体" w:cs="宋体"/>
                <w:b w:val="0"/>
                <w:color w:val="auto"/>
                <w:sz w:val="21"/>
                <w:szCs w:val="21"/>
                <w:highlight w:val="none"/>
              </w:rPr>
              <w:t>（折扣）</w:t>
            </w:r>
            <w:r>
              <w:rPr>
                <w:rFonts w:hint="eastAsia" w:ascii="宋体" w:hAnsi="宋体" w:cs="宋体"/>
                <w:color w:val="auto"/>
                <w:sz w:val="21"/>
                <w:szCs w:val="21"/>
                <w:highlight w:val="none"/>
              </w:rPr>
              <w:t>）*30］的计算公式计算。</w:t>
            </w:r>
            <w:r>
              <w:rPr>
                <w:rStyle w:val="965"/>
                <w:rFonts w:hint="default" w:ascii="宋体" w:hAnsi="宋体" w:eastAsia="宋体" w:cs="宋体"/>
                <w:b w:val="0"/>
                <w:color w:val="auto"/>
                <w:sz w:val="21"/>
                <w:szCs w:val="21"/>
                <w:highlight w:val="none"/>
              </w:rPr>
              <w:t>（所有书类必须为统一折扣，折扣＞85%的为无效报价）</w:t>
            </w:r>
          </w:p>
          <w:p w14:paraId="0619D2D9">
            <w:pPr>
              <w:keepNext w:val="0"/>
              <w:keepLines w:val="0"/>
              <w:pageBreakBefore w:val="0"/>
              <w:widowControl/>
              <w:shd w:val="clear" w:color="auto" w:fill="FFFFFF"/>
              <w:kinsoku/>
              <w:wordWrap/>
              <w:overflowPunct/>
              <w:topLinePunct w:val="0"/>
              <w:bidi w:val="0"/>
              <w:adjustRightInd/>
              <w:spacing w:line="240" w:lineRule="auto"/>
              <w:ind w:firstLine="42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评标过程中，不得去掉报价中的最高报价和最低报价。</w:t>
            </w:r>
          </w:p>
          <w:p w14:paraId="2BB08405">
            <w:pPr>
              <w:keepNext w:val="0"/>
              <w:keepLines w:val="0"/>
              <w:pageBreakBefore w:val="0"/>
              <w:widowControl/>
              <w:shd w:val="clear" w:color="auto" w:fill="FFFFFF"/>
              <w:kinsoku/>
              <w:wordWrap/>
              <w:overflowPunct/>
              <w:topLinePunct w:val="0"/>
              <w:bidi w:val="0"/>
              <w:adjustRightInd/>
              <w:spacing w:line="240" w:lineRule="auto"/>
              <w:ind w:firstLine="42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%的扣除，用扣除后的价格参加评审。</w:t>
            </w:r>
          </w:p>
        </w:tc>
        <w:tc>
          <w:tcPr>
            <w:tcW w:w="530" w:type="dxa"/>
            <w:vAlign w:val="center"/>
          </w:tcPr>
          <w:p w14:paraId="120EA722">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30</w:t>
            </w:r>
          </w:p>
        </w:tc>
        <w:tc>
          <w:tcPr>
            <w:tcW w:w="1040" w:type="dxa"/>
            <w:vAlign w:val="center"/>
          </w:tcPr>
          <w:p w14:paraId="45F9D59B">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p>
        </w:tc>
        <w:tc>
          <w:tcPr>
            <w:tcW w:w="1827" w:type="dxa"/>
            <w:vAlign w:val="center"/>
          </w:tcPr>
          <w:p w14:paraId="7EC564E8">
            <w:pPr>
              <w:keepNext w:val="0"/>
              <w:keepLines w:val="0"/>
              <w:pageBreakBefore w:val="0"/>
              <w:kinsoku/>
              <w:wordWrap/>
              <w:overflowPunct/>
              <w:topLinePunct w:val="0"/>
              <w:bidi w:val="0"/>
              <w:spacing w:line="24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w:t>
            </w:r>
          </w:p>
        </w:tc>
      </w:tr>
    </w:tbl>
    <w:p w14:paraId="69B45852">
      <w:pPr>
        <w:snapToGrid w:val="0"/>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出版社的供货证明材料可提供电子文档并在投标截止时间前以电子邮件形式加密上传至邮箱515847321@qq.com或放入U盘或光盘等移动存储中采用邮寄方式，并另附纸注明投标人名称、联系人及联系电话送至浙江省杭州市淳安县千岛湖镇新安大街41号三楼</w:t>
      </w:r>
      <w:r>
        <w:rPr>
          <w:rFonts w:hint="eastAsia" w:ascii="宋体" w:hAnsi="宋体" w:cs="宋体"/>
          <w:color w:val="auto"/>
          <w:sz w:val="24"/>
          <w:highlight w:val="none"/>
          <w:lang w:val="en-US" w:eastAsia="zh-CN"/>
        </w:rPr>
        <w:t>303室</w:t>
      </w:r>
      <w:r>
        <w:rPr>
          <w:rFonts w:hint="eastAsia" w:ascii="宋体" w:hAnsi="宋体" w:cs="宋体"/>
          <w:color w:val="auto"/>
          <w:sz w:val="24"/>
          <w:highlight w:val="none"/>
        </w:rPr>
        <w:t>，联系人：方勇玲，联系电话：18358591219。</w:t>
      </w: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4723A345">
      <w:pPr>
        <w:spacing w:line="360" w:lineRule="auto"/>
        <w:outlineLvl w:val="0"/>
        <w:rPr>
          <w:rFonts w:ascii="宋体" w:hAnsi="宋体" w:cs="宋体"/>
          <w:b/>
          <w:color w:val="auto"/>
          <w:sz w:val="36"/>
          <w:szCs w:val="36"/>
          <w:highlight w:val="none"/>
        </w:rPr>
      </w:pPr>
      <w:bookmarkStart w:id="399" w:name="第五部分"/>
      <w:bookmarkStart w:id="400" w:name="_Toc86217003"/>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228BD76C">
      <w:pPr>
        <w:pStyle w:val="34"/>
        <w:snapToGrid w:val="0"/>
        <w:spacing w:line="360" w:lineRule="auto"/>
        <w:ind w:right="480"/>
        <w:jc w:val="center"/>
        <w:rPr>
          <w:rFonts w:hAnsi="宋体"/>
          <w:b/>
          <w:bCs/>
          <w:color w:val="auto"/>
          <w:sz w:val="32"/>
          <w:szCs w:val="28"/>
          <w:highlight w:val="none"/>
        </w:rPr>
      </w:pPr>
      <w:r>
        <w:rPr>
          <w:rFonts w:hint="eastAsia" w:hAnsi="宋体"/>
          <w:b/>
          <w:bCs/>
          <w:color w:val="auto"/>
          <w:sz w:val="36"/>
          <w:szCs w:val="32"/>
          <w:highlight w:val="none"/>
        </w:rPr>
        <w:t xml:space="preserve">采 购 </w:t>
      </w:r>
      <w:r>
        <w:rPr>
          <w:rFonts w:hAnsi="宋体"/>
          <w:b/>
          <w:bCs/>
          <w:color w:val="auto"/>
          <w:sz w:val="36"/>
          <w:szCs w:val="32"/>
          <w:highlight w:val="none"/>
        </w:rPr>
        <w:t>合</w:t>
      </w:r>
      <w:r>
        <w:rPr>
          <w:rFonts w:hint="eastAsia" w:hAnsi="宋体"/>
          <w:b/>
          <w:bCs/>
          <w:color w:val="auto"/>
          <w:sz w:val="36"/>
          <w:szCs w:val="32"/>
          <w:highlight w:val="none"/>
        </w:rPr>
        <w:t xml:space="preserve"> </w:t>
      </w:r>
      <w:r>
        <w:rPr>
          <w:rFonts w:hAnsi="宋体"/>
          <w:b/>
          <w:bCs/>
          <w:color w:val="auto"/>
          <w:sz w:val="36"/>
          <w:szCs w:val="32"/>
          <w:highlight w:val="none"/>
        </w:rPr>
        <w:t>同</w:t>
      </w:r>
    </w:p>
    <w:p w14:paraId="4EFF10DC">
      <w:pPr>
        <w:widowControl/>
        <w:jc w:val="left"/>
        <w:rPr>
          <w:rFonts w:hAnsi="宋体"/>
          <w:b/>
          <w:bCs/>
          <w:color w:val="auto"/>
          <w:sz w:val="28"/>
          <w:szCs w:val="28"/>
          <w:highlight w:val="none"/>
        </w:rPr>
      </w:pPr>
    </w:p>
    <w:p w14:paraId="4DC40ACF">
      <w:pPr>
        <w:widowControl/>
        <w:jc w:val="left"/>
        <w:rPr>
          <w:rFonts w:hAnsi="宋体"/>
          <w:b/>
          <w:bCs/>
          <w:color w:val="auto"/>
          <w:sz w:val="28"/>
          <w:szCs w:val="28"/>
          <w:highlight w:val="none"/>
        </w:rPr>
      </w:pPr>
    </w:p>
    <w:p w14:paraId="0043E318">
      <w:pPr>
        <w:widowControl/>
        <w:ind w:firstLine="281" w:firstLineChars="100"/>
        <w:jc w:val="left"/>
        <w:rPr>
          <w:rFonts w:hAnsi="宋体"/>
          <w:b/>
          <w:bCs/>
          <w:color w:val="auto"/>
          <w:sz w:val="28"/>
          <w:szCs w:val="28"/>
          <w:highlight w:val="none"/>
        </w:rPr>
      </w:pPr>
      <w:r>
        <w:rPr>
          <w:rFonts w:hint="eastAsia" w:hAnsi="宋体"/>
          <w:b/>
          <w:bCs/>
          <w:color w:val="auto"/>
          <w:sz w:val="28"/>
          <w:szCs w:val="28"/>
          <w:highlight w:val="none"/>
        </w:rPr>
        <w:t>合</w:t>
      </w:r>
      <w:r>
        <w:rPr>
          <w:rFonts w:hAnsi="宋体"/>
          <w:b/>
          <w:bCs/>
          <w:color w:val="auto"/>
          <w:sz w:val="28"/>
          <w:szCs w:val="28"/>
          <w:highlight w:val="none"/>
        </w:rPr>
        <w:t>同编号</w:t>
      </w:r>
      <w:r>
        <w:rPr>
          <w:rFonts w:hint="eastAsia" w:hAnsi="宋体"/>
          <w:b/>
          <w:bCs/>
          <w:color w:val="auto"/>
          <w:sz w:val="28"/>
          <w:szCs w:val="28"/>
          <w:highlight w:val="none"/>
        </w:rPr>
        <w:t xml:space="preserve">： </w:t>
      </w:r>
      <w:r>
        <w:rPr>
          <w:rFonts w:hint="eastAsia" w:asciiTheme="minorEastAsia" w:hAnsiTheme="minorEastAsia" w:eastAsiaTheme="minorEastAsia"/>
          <w:b/>
          <w:bCs/>
          <w:color w:val="auto"/>
          <w:sz w:val="28"/>
          <w:szCs w:val="28"/>
          <w:highlight w:val="none"/>
          <w:u w:val="single"/>
        </w:rPr>
        <w:t xml:space="preserve">           </w:t>
      </w:r>
    </w:p>
    <w:p w14:paraId="3AD942F7">
      <w:pPr>
        <w:widowControl/>
        <w:ind w:firstLine="281" w:firstLineChars="100"/>
        <w:jc w:val="left"/>
        <w:rPr>
          <w:rFonts w:hint="eastAsia" w:hAnsi="宋体"/>
          <w:b/>
          <w:bCs/>
          <w:color w:val="auto"/>
          <w:sz w:val="28"/>
          <w:szCs w:val="28"/>
          <w:highlight w:val="none"/>
        </w:rPr>
      </w:pPr>
    </w:p>
    <w:p w14:paraId="0026C153">
      <w:pPr>
        <w:widowControl/>
        <w:ind w:firstLine="281" w:firstLineChars="100"/>
        <w:jc w:val="left"/>
        <w:rPr>
          <w:rFonts w:hint="eastAsia" w:hAnsi="宋体"/>
          <w:b/>
          <w:bCs/>
          <w:color w:val="auto"/>
          <w:sz w:val="28"/>
          <w:szCs w:val="28"/>
          <w:highlight w:val="none"/>
        </w:rPr>
      </w:pPr>
    </w:p>
    <w:p w14:paraId="69AC588A">
      <w:pPr>
        <w:widowControl/>
        <w:spacing w:line="720" w:lineRule="auto"/>
        <w:ind w:firstLine="281" w:firstLineChars="100"/>
        <w:jc w:val="left"/>
        <w:rPr>
          <w:rFonts w:hint="eastAsia" w:asciiTheme="minorEastAsia" w:hAnsiTheme="minorEastAsia" w:eastAsiaTheme="minorEastAsia"/>
          <w:b/>
          <w:bCs/>
          <w:color w:val="auto"/>
          <w:sz w:val="28"/>
          <w:szCs w:val="28"/>
          <w:highlight w:val="none"/>
          <w:u w:val="single"/>
        </w:rPr>
      </w:pPr>
      <w:r>
        <w:rPr>
          <w:rFonts w:hint="eastAsia" w:hAnsi="宋体"/>
          <w:b/>
          <w:bCs/>
          <w:color w:val="auto"/>
          <w:sz w:val="28"/>
          <w:szCs w:val="28"/>
          <w:highlight w:val="none"/>
        </w:rPr>
        <w:t>项</w:t>
      </w:r>
      <w:r>
        <w:rPr>
          <w:rFonts w:hAnsi="宋体"/>
          <w:b/>
          <w:bCs/>
          <w:color w:val="auto"/>
          <w:sz w:val="28"/>
          <w:szCs w:val="28"/>
          <w:highlight w:val="none"/>
        </w:rPr>
        <w:t>目</w:t>
      </w:r>
      <w:r>
        <w:rPr>
          <w:rFonts w:hint="eastAsia" w:hAnsi="宋体"/>
          <w:b/>
          <w:bCs/>
          <w:color w:val="auto"/>
          <w:sz w:val="28"/>
          <w:szCs w:val="28"/>
          <w:highlight w:val="none"/>
        </w:rPr>
        <w:t>名称：</w:t>
      </w:r>
      <w:r>
        <w:rPr>
          <w:rFonts w:hint="eastAsia" w:asciiTheme="minorEastAsia" w:hAnsiTheme="minorEastAsia" w:eastAsiaTheme="minorEastAsia"/>
          <w:b/>
          <w:bCs/>
          <w:color w:val="auto"/>
          <w:sz w:val="28"/>
          <w:szCs w:val="28"/>
          <w:highlight w:val="none"/>
          <w:u w:val="single"/>
          <w:lang w:val="en-US" w:eastAsia="zh-CN"/>
        </w:rPr>
        <w:t xml:space="preserve">                                               </w:t>
      </w:r>
    </w:p>
    <w:p w14:paraId="7D531CBF">
      <w:pPr>
        <w:widowControl/>
        <w:ind w:firstLine="422" w:firstLineChars="150"/>
        <w:jc w:val="left"/>
        <w:rPr>
          <w:rFonts w:hAnsi="宋体"/>
          <w:b/>
          <w:bCs/>
          <w:color w:val="auto"/>
          <w:sz w:val="28"/>
          <w:szCs w:val="28"/>
          <w:highlight w:val="none"/>
        </w:rPr>
      </w:pPr>
    </w:p>
    <w:p w14:paraId="39AE7971">
      <w:pPr>
        <w:widowControl/>
        <w:spacing w:line="720" w:lineRule="auto"/>
        <w:ind w:firstLine="281" w:firstLineChars="100"/>
        <w:jc w:val="left"/>
        <w:rPr>
          <w:rFonts w:hAnsi="宋体"/>
          <w:b/>
          <w:bCs/>
          <w:color w:val="auto"/>
          <w:sz w:val="28"/>
          <w:szCs w:val="28"/>
          <w:highlight w:val="none"/>
        </w:rPr>
      </w:pPr>
      <w:r>
        <w:rPr>
          <w:rFonts w:hint="eastAsia" w:hAnsi="宋体"/>
          <w:b/>
          <w:bCs/>
          <w:color w:val="auto"/>
          <w:sz w:val="28"/>
          <w:szCs w:val="28"/>
          <w:highlight w:val="none"/>
        </w:rPr>
        <w:t>甲方：</w:t>
      </w:r>
      <w:r>
        <w:rPr>
          <w:rFonts w:hint="eastAsia" w:asciiTheme="minorEastAsia" w:hAnsiTheme="minorEastAsia" w:eastAsiaTheme="minorEastAsia"/>
          <w:b/>
          <w:bCs/>
          <w:color w:val="auto"/>
          <w:sz w:val="28"/>
          <w:szCs w:val="28"/>
          <w:highlight w:val="none"/>
          <w:u w:val="single"/>
        </w:rPr>
        <w:t xml:space="preserve">           </w:t>
      </w:r>
      <w:r>
        <w:rPr>
          <w:rFonts w:hint="eastAsia" w:asciiTheme="minorEastAsia" w:hAnsiTheme="minorEastAsia" w:eastAsiaTheme="minorEastAsia"/>
          <w:b/>
          <w:bCs/>
          <w:color w:val="auto"/>
          <w:sz w:val="28"/>
          <w:szCs w:val="28"/>
          <w:highlight w:val="none"/>
          <w:u w:val="single"/>
          <w:lang w:val="en-US" w:eastAsia="zh-CN"/>
        </w:rPr>
        <w:t xml:space="preserve">                            </w:t>
      </w:r>
      <w:r>
        <w:rPr>
          <w:rFonts w:hint="eastAsia" w:asciiTheme="minorEastAsia" w:hAnsiTheme="minorEastAsia" w:eastAsiaTheme="minorEastAsia"/>
          <w:b/>
          <w:bCs/>
          <w:color w:val="auto"/>
          <w:sz w:val="28"/>
          <w:szCs w:val="28"/>
          <w:highlight w:val="none"/>
          <w:u w:val="single"/>
        </w:rPr>
        <w:t xml:space="preserve">            </w:t>
      </w:r>
    </w:p>
    <w:p w14:paraId="2C2B985B">
      <w:pPr>
        <w:widowControl/>
        <w:spacing w:line="720" w:lineRule="auto"/>
        <w:ind w:firstLine="281" w:firstLineChars="100"/>
        <w:jc w:val="left"/>
        <w:rPr>
          <w:rFonts w:hint="eastAsia" w:asciiTheme="minorEastAsia" w:hAnsiTheme="minorEastAsia" w:eastAsiaTheme="minorEastAsia"/>
          <w:b/>
          <w:bCs/>
          <w:color w:val="auto"/>
          <w:sz w:val="28"/>
          <w:szCs w:val="28"/>
          <w:highlight w:val="none"/>
          <w:u w:val="single"/>
        </w:rPr>
      </w:pPr>
      <w:r>
        <w:rPr>
          <w:rFonts w:hint="eastAsia" w:hAnsi="宋体"/>
          <w:b/>
          <w:bCs/>
          <w:color w:val="auto"/>
          <w:sz w:val="28"/>
          <w:szCs w:val="28"/>
          <w:highlight w:val="none"/>
        </w:rPr>
        <w:t>乙方：</w:t>
      </w:r>
      <w:r>
        <w:rPr>
          <w:rFonts w:hint="eastAsia" w:asciiTheme="minorEastAsia" w:hAnsiTheme="minorEastAsia" w:eastAsiaTheme="minorEastAsia"/>
          <w:b/>
          <w:bCs/>
          <w:color w:val="auto"/>
          <w:sz w:val="28"/>
          <w:szCs w:val="28"/>
          <w:highlight w:val="none"/>
          <w:u w:val="single"/>
        </w:rPr>
        <w:t xml:space="preserve">       </w:t>
      </w:r>
      <w:r>
        <w:rPr>
          <w:rFonts w:hint="eastAsia" w:asciiTheme="minorEastAsia" w:hAnsiTheme="minorEastAsia" w:eastAsiaTheme="minorEastAsia"/>
          <w:b/>
          <w:bCs/>
          <w:color w:val="auto"/>
          <w:sz w:val="28"/>
          <w:szCs w:val="28"/>
          <w:highlight w:val="none"/>
          <w:u w:val="single"/>
          <w:lang w:val="en-US" w:eastAsia="zh-CN"/>
        </w:rPr>
        <w:t xml:space="preserve">                                          </w:t>
      </w:r>
      <w:r>
        <w:rPr>
          <w:rFonts w:hint="eastAsia" w:asciiTheme="minorEastAsia" w:hAnsiTheme="minorEastAsia" w:eastAsiaTheme="minorEastAsia"/>
          <w:b/>
          <w:bCs/>
          <w:color w:val="auto"/>
          <w:sz w:val="28"/>
          <w:szCs w:val="28"/>
          <w:highlight w:val="none"/>
          <w:u w:val="single"/>
        </w:rPr>
        <w:t xml:space="preserve">  </w:t>
      </w:r>
    </w:p>
    <w:p w14:paraId="21289DB4">
      <w:pPr>
        <w:widowControl/>
        <w:spacing w:line="720" w:lineRule="auto"/>
        <w:ind w:firstLine="281" w:firstLineChars="100"/>
        <w:jc w:val="left"/>
        <w:rPr>
          <w:rFonts w:hAnsi="宋体"/>
          <w:b/>
          <w:bCs/>
          <w:color w:val="auto"/>
          <w:sz w:val="28"/>
          <w:szCs w:val="28"/>
          <w:highlight w:val="none"/>
        </w:rPr>
      </w:pPr>
      <w:r>
        <w:rPr>
          <w:rFonts w:hint="eastAsia" w:hAnsi="宋体"/>
          <w:b/>
          <w:bCs/>
          <w:color w:val="auto"/>
          <w:sz w:val="28"/>
          <w:szCs w:val="28"/>
          <w:highlight w:val="none"/>
        </w:rPr>
        <w:t>签订</w:t>
      </w:r>
      <w:r>
        <w:rPr>
          <w:rFonts w:hAnsi="宋体"/>
          <w:b/>
          <w:bCs/>
          <w:color w:val="auto"/>
          <w:sz w:val="28"/>
          <w:szCs w:val="28"/>
          <w:highlight w:val="none"/>
        </w:rPr>
        <w:t>地</w:t>
      </w:r>
      <w:r>
        <w:rPr>
          <w:rFonts w:hint="eastAsia" w:hAnsi="宋体"/>
          <w:b/>
          <w:bCs/>
          <w:color w:val="auto"/>
          <w:sz w:val="28"/>
          <w:szCs w:val="28"/>
          <w:highlight w:val="none"/>
        </w:rPr>
        <w:t>：</w:t>
      </w:r>
      <w:r>
        <w:rPr>
          <w:rFonts w:hint="eastAsia" w:asciiTheme="minorEastAsia" w:hAnsiTheme="minorEastAsia" w:eastAsiaTheme="minorEastAsia"/>
          <w:b/>
          <w:bCs/>
          <w:color w:val="auto"/>
          <w:sz w:val="28"/>
          <w:szCs w:val="28"/>
          <w:highlight w:val="none"/>
          <w:u w:val="single"/>
        </w:rPr>
        <w:t xml:space="preserve">     </w:t>
      </w:r>
      <w:r>
        <w:rPr>
          <w:rFonts w:hint="eastAsia" w:asciiTheme="minorEastAsia" w:hAnsiTheme="minorEastAsia" w:eastAsiaTheme="minorEastAsia"/>
          <w:b/>
          <w:bCs/>
          <w:color w:val="auto"/>
          <w:sz w:val="28"/>
          <w:szCs w:val="28"/>
          <w:highlight w:val="none"/>
          <w:u w:val="single"/>
          <w:lang w:val="en-US" w:eastAsia="zh-CN"/>
        </w:rPr>
        <w:t xml:space="preserve">                            </w:t>
      </w:r>
      <w:r>
        <w:rPr>
          <w:rFonts w:hint="eastAsia" w:asciiTheme="minorEastAsia" w:hAnsiTheme="minorEastAsia" w:eastAsiaTheme="minorEastAsia"/>
          <w:b/>
          <w:bCs/>
          <w:color w:val="auto"/>
          <w:sz w:val="28"/>
          <w:szCs w:val="28"/>
          <w:highlight w:val="none"/>
          <w:u w:val="single"/>
        </w:rPr>
        <w:t xml:space="preserve">     </w:t>
      </w:r>
      <w:r>
        <w:rPr>
          <w:rFonts w:hint="eastAsia" w:asciiTheme="minorEastAsia" w:hAnsiTheme="minorEastAsia" w:eastAsiaTheme="minorEastAsia"/>
          <w:b/>
          <w:bCs/>
          <w:color w:val="auto"/>
          <w:sz w:val="28"/>
          <w:szCs w:val="28"/>
          <w:highlight w:val="none"/>
          <w:u w:val="single"/>
          <w:lang w:val="en-US" w:eastAsia="zh-CN"/>
        </w:rPr>
        <w:t xml:space="preserve">  </w:t>
      </w:r>
      <w:r>
        <w:rPr>
          <w:rFonts w:hint="eastAsia" w:asciiTheme="minorEastAsia" w:hAnsiTheme="minorEastAsia" w:eastAsiaTheme="minorEastAsia"/>
          <w:b/>
          <w:bCs/>
          <w:color w:val="auto"/>
          <w:sz w:val="28"/>
          <w:szCs w:val="28"/>
          <w:highlight w:val="none"/>
          <w:u w:val="single"/>
        </w:rPr>
        <w:t xml:space="preserve">         </w:t>
      </w:r>
    </w:p>
    <w:p w14:paraId="6A1F623C">
      <w:pPr>
        <w:widowControl/>
        <w:ind w:firstLine="984" w:firstLineChars="350"/>
        <w:jc w:val="left"/>
        <w:rPr>
          <w:rFonts w:hAnsi="宋体"/>
          <w:b/>
          <w:bCs/>
          <w:color w:val="auto"/>
          <w:sz w:val="28"/>
          <w:szCs w:val="28"/>
          <w:highlight w:val="none"/>
        </w:rPr>
      </w:pPr>
    </w:p>
    <w:p w14:paraId="40E93854">
      <w:pPr>
        <w:widowControl/>
        <w:ind w:firstLine="984" w:firstLineChars="350"/>
        <w:jc w:val="left"/>
        <w:rPr>
          <w:rFonts w:hAnsi="宋体"/>
          <w:b/>
          <w:bCs/>
          <w:color w:val="auto"/>
          <w:sz w:val="28"/>
          <w:szCs w:val="28"/>
          <w:highlight w:val="none"/>
        </w:rPr>
      </w:pPr>
    </w:p>
    <w:p w14:paraId="0A252639">
      <w:pPr>
        <w:widowControl/>
        <w:ind w:firstLine="1546" w:firstLineChars="550"/>
        <w:jc w:val="left"/>
        <w:rPr>
          <w:rFonts w:hAnsi="宋体"/>
          <w:b/>
          <w:bCs/>
          <w:color w:val="auto"/>
          <w:sz w:val="28"/>
          <w:szCs w:val="28"/>
          <w:highlight w:val="none"/>
        </w:rPr>
      </w:pPr>
      <w:r>
        <w:rPr>
          <w:rFonts w:hint="eastAsia" w:hAnsi="宋体"/>
          <w:b/>
          <w:bCs/>
          <w:color w:val="auto"/>
          <w:sz w:val="28"/>
          <w:szCs w:val="28"/>
          <w:highlight w:val="none"/>
        </w:rPr>
        <w:t>签</w:t>
      </w:r>
      <w:r>
        <w:rPr>
          <w:rFonts w:hAnsi="宋体"/>
          <w:b/>
          <w:bCs/>
          <w:color w:val="auto"/>
          <w:sz w:val="28"/>
          <w:szCs w:val="28"/>
          <w:highlight w:val="none"/>
        </w:rPr>
        <w:t>订日期</w:t>
      </w:r>
      <w:r>
        <w:rPr>
          <w:rFonts w:hint="eastAsia" w:hAnsi="宋体"/>
          <w:b/>
          <w:bCs/>
          <w:color w:val="auto"/>
          <w:sz w:val="28"/>
          <w:szCs w:val="28"/>
          <w:highlight w:val="none"/>
        </w:rPr>
        <w:t xml:space="preserve">： </w:t>
      </w:r>
      <w:r>
        <w:rPr>
          <w:rFonts w:hAnsi="宋体"/>
          <w:b/>
          <w:bCs/>
          <w:color w:val="auto"/>
          <w:sz w:val="28"/>
          <w:szCs w:val="28"/>
          <w:highlight w:val="none"/>
        </w:rPr>
        <w:t xml:space="preserve">      </w:t>
      </w:r>
      <w:r>
        <w:rPr>
          <w:rFonts w:hint="eastAsia" w:hAnsi="宋体"/>
          <w:b/>
          <w:bCs/>
          <w:color w:val="auto"/>
          <w:sz w:val="28"/>
          <w:szCs w:val="28"/>
          <w:highlight w:val="none"/>
        </w:rPr>
        <w:t>年      月</w:t>
      </w:r>
      <w:r>
        <w:rPr>
          <w:rFonts w:hAnsi="宋体"/>
          <w:b/>
          <w:bCs/>
          <w:color w:val="auto"/>
          <w:sz w:val="28"/>
          <w:szCs w:val="28"/>
          <w:highlight w:val="none"/>
        </w:rPr>
        <w:t xml:space="preserve">      </w:t>
      </w:r>
      <w:r>
        <w:rPr>
          <w:rFonts w:hint="eastAsia" w:hAnsi="宋体"/>
          <w:b/>
          <w:bCs/>
          <w:color w:val="auto"/>
          <w:sz w:val="28"/>
          <w:szCs w:val="28"/>
          <w:highlight w:val="none"/>
        </w:rPr>
        <w:t>日</w:t>
      </w:r>
    </w:p>
    <w:p w14:paraId="499093E7">
      <w:pPr>
        <w:widowControl/>
        <w:jc w:val="left"/>
        <w:rPr>
          <w:rFonts w:hAnsi="宋体"/>
          <w:b/>
          <w:bCs/>
          <w:color w:val="auto"/>
          <w:sz w:val="28"/>
          <w:szCs w:val="28"/>
          <w:highlight w:val="none"/>
        </w:rPr>
      </w:pPr>
      <w:r>
        <w:rPr>
          <w:rFonts w:hAnsi="宋体"/>
          <w:b/>
          <w:bCs/>
          <w:color w:val="auto"/>
          <w:sz w:val="28"/>
          <w:szCs w:val="28"/>
          <w:highlight w:val="none"/>
        </w:rPr>
        <w:br w:type="page"/>
      </w:r>
    </w:p>
    <w:p w14:paraId="093F98E9">
      <w:pPr>
        <w:pStyle w:val="34"/>
        <w:snapToGrid w:val="0"/>
        <w:spacing w:line="360" w:lineRule="auto"/>
        <w:ind w:right="480"/>
        <w:jc w:val="center"/>
        <w:rPr>
          <w:rFonts w:hAnsi="宋体"/>
          <w:b/>
          <w:bCs/>
          <w:color w:val="auto"/>
          <w:sz w:val="32"/>
          <w:szCs w:val="28"/>
          <w:highlight w:val="none"/>
        </w:rPr>
      </w:pPr>
      <w:r>
        <w:rPr>
          <w:rFonts w:hint="eastAsia"/>
          <w:color w:val="auto"/>
          <w:highlight w:val="none"/>
        </w:rPr>
        <w:t xml:space="preserve">           </w:t>
      </w:r>
      <w:r>
        <w:rPr>
          <w:rFonts w:hint="eastAsia"/>
          <w:color w:val="auto"/>
          <w:sz w:val="20"/>
          <w:highlight w:val="none"/>
        </w:rPr>
        <w:t xml:space="preserve"> </w:t>
      </w:r>
      <w:r>
        <w:rPr>
          <w:rFonts w:hint="eastAsia" w:hAnsi="宋体"/>
          <w:b/>
          <w:bCs/>
          <w:color w:val="auto"/>
          <w:sz w:val="32"/>
          <w:szCs w:val="32"/>
          <w:highlight w:val="none"/>
        </w:rPr>
        <w:t>采购</w:t>
      </w:r>
      <w:r>
        <w:rPr>
          <w:rFonts w:hAnsi="宋体"/>
          <w:b/>
          <w:bCs/>
          <w:color w:val="auto"/>
          <w:sz w:val="32"/>
          <w:szCs w:val="32"/>
          <w:highlight w:val="none"/>
        </w:rPr>
        <w:t>合同</w:t>
      </w:r>
    </w:p>
    <w:p w14:paraId="7EE22D6F">
      <w:pPr>
        <w:pStyle w:val="34"/>
        <w:spacing w:line="360" w:lineRule="auto"/>
        <w:ind w:firstLine="480" w:firstLineChars="200"/>
        <w:rPr>
          <w:rFonts w:hint="eastAsia"/>
          <w:color w:val="auto"/>
          <w:sz w:val="24"/>
          <w:highlight w:val="none"/>
        </w:rPr>
      </w:pPr>
      <w:r>
        <w:rPr>
          <w:color w:val="auto"/>
          <w:sz w:val="24"/>
          <w:highlight w:val="none"/>
        </w:rPr>
        <w:t>甲方：淳安县图书馆</w:t>
      </w:r>
    </w:p>
    <w:p w14:paraId="6AE38E09">
      <w:pPr>
        <w:pStyle w:val="34"/>
        <w:spacing w:line="360" w:lineRule="auto"/>
        <w:ind w:firstLine="480" w:firstLineChars="200"/>
        <w:rPr>
          <w:rFonts w:hint="eastAsia"/>
          <w:color w:val="auto"/>
          <w:sz w:val="24"/>
          <w:highlight w:val="none"/>
        </w:rPr>
      </w:pPr>
      <w:r>
        <w:rPr>
          <w:rFonts w:hint="eastAsia"/>
          <w:color w:val="auto"/>
          <w:sz w:val="24"/>
          <w:highlight w:val="none"/>
        </w:rPr>
        <w:t>乙方：</w:t>
      </w:r>
    </w:p>
    <w:p w14:paraId="5A82AF68">
      <w:pPr>
        <w:pStyle w:val="34"/>
        <w:spacing w:line="360" w:lineRule="auto"/>
        <w:rPr>
          <w:color w:val="auto"/>
          <w:sz w:val="24"/>
          <w:highlight w:val="none"/>
        </w:rPr>
      </w:pPr>
    </w:p>
    <w:p w14:paraId="0463B329">
      <w:pPr>
        <w:spacing w:line="360" w:lineRule="auto"/>
        <w:rPr>
          <w:rFonts w:ascii="宋体"/>
          <w:color w:val="auto"/>
          <w:sz w:val="24"/>
          <w:szCs w:val="24"/>
          <w:highlight w:val="none"/>
          <w:lang w:val="zh-CN"/>
        </w:rPr>
      </w:pPr>
      <w:r>
        <w:rPr>
          <w:rFonts w:hint="eastAsia" w:hAnsi="宋体"/>
          <w:b/>
          <w:color w:val="auto"/>
          <w:highlight w:val="none"/>
        </w:rPr>
        <w:t xml:space="preserve">  </w:t>
      </w:r>
      <w:r>
        <w:rPr>
          <w:rFonts w:hint="eastAsia" w:ascii="宋体"/>
          <w:color w:val="auto"/>
          <w:sz w:val="24"/>
          <w:szCs w:val="24"/>
          <w:highlight w:val="none"/>
          <w:lang w:val="zh-CN"/>
        </w:rPr>
        <w:t xml:space="preserve"> </w:t>
      </w:r>
      <w:r>
        <w:rPr>
          <w:rFonts w:ascii="宋体"/>
          <w:color w:val="auto"/>
          <w:sz w:val="24"/>
          <w:szCs w:val="24"/>
          <w:highlight w:val="none"/>
          <w:lang w:val="zh-CN"/>
        </w:rPr>
        <w:t xml:space="preserve"> </w:t>
      </w:r>
      <w:r>
        <w:rPr>
          <w:rFonts w:hint="eastAsia" w:ascii="宋体"/>
          <w:color w:val="auto"/>
          <w:sz w:val="24"/>
          <w:szCs w:val="24"/>
          <w:highlight w:val="none"/>
          <w:lang w:val="zh-CN"/>
        </w:rPr>
        <w:t>根据《中华人民共和国政府采购法》、《中华人民共和国民法典》的规定，经公开招标，确定乙方为</w:t>
      </w:r>
      <w:r>
        <w:rPr>
          <w:rFonts w:hint="eastAsia" w:ascii="宋体"/>
          <w:color w:val="auto"/>
          <w:sz w:val="24"/>
          <w:szCs w:val="24"/>
          <w:highlight w:val="none"/>
          <w:lang w:eastAsia="zh-CN"/>
        </w:rPr>
        <w:t>2025年淳安县农家书屋图书</w:t>
      </w:r>
      <w:r>
        <w:rPr>
          <w:rFonts w:hint="eastAsia" w:ascii="宋体"/>
          <w:color w:val="auto"/>
          <w:sz w:val="24"/>
          <w:szCs w:val="24"/>
          <w:highlight w:val="none"/>
          <w:lang w:val="zh-CN"/>
        </w:rPr>
        <w:t>公开招标项目的中标单位。本合同以《</w:t>
      </w:r>
      <w:r>
        <w:rPr>
          <w:rFonts w:hint="eastAsia" w:ascii="宋体"/>
          <w:color w:val="auto"/>
          <w:sz w:val="24"/>
          <w:szCs w:val="24"/>
          <w:highlight w:val="none"/>
          <w:lang w:eastAsia="zh-CN"/>
        </w:rPr>
        <w:t>2025年淳安县农家书屋图书</w:t>
      </w:r>
      <w:r>
        <w:rPr>
          <w:rFonts w:hint="eastAsia" w:ascii="宋体"/>
          <w:color w:val="auto"/>
          <w:sz w:val="24"/>
          <w:szCs w:val="24"/>
          <w:highlight w:val="none"/>
          <w:lang w:val="zh-CN"/>
        </w:rPr>
        <w:t>（</w:t>
      </w:r>
      <w:r>
        <w:rPr>
          <w:rFonts w:hint="eastAsia" w:ascii="宋体"/>
          <w:color w:val="auto"/>
          <w:sz w:val="24"/>
          <w:szCs w:val="24"/>
          <w:highlight w:val="none"/>
          <w:u w:val="single"/>
          <w:lang w:val="zh-CN"/>
        </w:rPr>
        <w:t>招标编号：</w:t>
      </w:r>
      <w:r>
        <w:rPr>
          <w:rFonts w:hint="eastAsia" w:hAnsi="宋体" w:cs="宋体"/>
          <w:color w:val="auto"/>
          <w:sz w:val="24"/>
          <w:szCs w:val="24"/>
          <w:highlight w:val="none"/>
          <w:u w:val="single"/>
          <w:lang w:eastAsia="zh-CN" w:bidi="ar"/>
        </w:rPr>
        <w:t>HZYS[2025]034GK</w:t>
      </w:r>
      <w:r>
        <w:rPr>
          <w:rFonts w:hint="eastAsia" w:ascii="宋体"/>
          <w:color w:val="auto"/>
          <w:sz w:val="24"/>
          <w:szCs w:val="24"/>
          <w:highlight w:val="none"/>
          <w:lang w:val="zh-CN"/>
        </w:rPr>
        <w:t>）》的投标书为基础制订；甲方的技术和服务要求、乙方的技术和服务承诺，与本协议一起构成本次图书资料采购整体文件，具有法律效力。</w:t>
      </w:r>
    </w:p>
    <w:p w14:paraId="325812AB">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第一条    项目名称及金额</w:t>
      </w:r>
    </w:p>
    <w:p w14:paraId="3EBE778F">
      <w:pPr>
        <w:tabs>
          <w:tab w:val="left" w:pos="1455"/>
        </w:tabs>
        <w:autoSpaceDE w:val="0"/>
        <w:autoSpaceDN w:val="0"/>
        <w:adjustRightInd w:val="0"/>
        <w:spacing w:line="360" w:lineRule="auto"/>
        <w:ind w:firstLine="480" w:firstLineChars="200"/>
        <w:rPr>
          <w:rFonts w:hint="eastAsia" w:ascii="宋体" w:eastAsia="宋体"/>
          <w:color w:val="auto"/>
          <w:sz w:val="24"/>
          <w:szCs w:val="24"/>
          <w:highlight w:val="none"/>
          <w:lang w:val="zh-CN" w:eastAsia="zh-CN"/>
        </w:rPr>
      </w:pPr>
      <w:r>
        <w:rPr>
          <w:rFonts w:hint="eastAsia" w:ascii="宋体" w:hAnsi="宋体" w:cs="Arial"/>
          <w:color w:val="auto"/>
          <w:sz w:val="24"/>
          <w:highlight w:val="none"/>
        </w:rPr>
        <w:t>1、</w:t>
      </w:r>
      <w:r>
        <w:rPr>
          <w:rFonts w:ascii="宋体" w:hAnsi="宋体" w:cs="Arial"/>
          <w:color w:val="auto"/>
          <w:sz w:val="24"/>
          <w:highlight w:val="none"/>
        </w:rPr>
        <w:t>项目名称：</w:t>
      </w:r>
      <w:r>
        <w:rPr>
          <w:rFonts w:hint="eastAsia" w:ascii="宋体"/>
          <w:color w:val="auto"/>
          <w:sz w:val="24"/>
          <w:szCs w:val="24"/>
          <w:highlight w:val="none"/>
          <w:lang w:eastAsia="zh-CN"/>
        </w:rPr>
        <w:t>2025年淳安县农家书屋图书</w:t>
      </w:r>
    </w:p>
    <w:p w14:paraId="19126A17">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2、采购金额：</w:t>
      </w:r>
      <w:r>
        <w:rPr>
          <w:rFonts w:hint="eastAsia" w:ascii="宋体" w:hAnsi="宋体"/>
          <w:bCs/>
          <w:color w:val="auto"/>
          <w:sz w:val="24"/>
          <w:highlight w:val="none"/>
        </w:rPr>
        <w:t>人民币</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元整（</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元）</w:t>
      </w:r>
    </w:p>
    <w:p w14:paraId="6F8C16D7">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第二条     图书采购方式</w:t>
      </w:r>
      <w:r>
        <w:rPr>
          <w:rFonts w:hint="eastAsia" w:ascii="宋体" w:hAnsi="宋体" w:cs="Arial"/>
          <w:color w:val="auto"/>
          <w:sz w:val="24"/>
          <w:highlight w:val="none"/>
        </w:rPr>
        <w:tab/>
      </w:r>
    </w:p>
    <w:p w14:paraId="7B7F285C">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1、订单采购：乙方在最大范围内为甲方征集新书出版、发行信息，提高采购效率（样书送取运输及其费用由乙方承担）。乙方提供的自编采访书目数据、现货书目数据（要求能提供电子书目）、现货样书品种均应符合招标文件中的规定。</w:t>
      </w:r>
    </w:p>
    <w:p w14:paraId="154A4AAB">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2、专题采购：乙方配合甲方做好专题图书的采购，以满足甲方馆藏的特殊需求。</w:t>
      </w:r>
    </w:p>
    <w:p w14:paraId="46BCC291">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3、现场采购：乙方应根据甲方要求，不定期安排甲方参加图书现采活动、参加各类书市及订货会。</w:t>
      </w:r>
    </w:p>
    <w:p w14:paraId="0291F15B">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4、其它方式：随时进行图书增订、补订等工作。</w:t>
      </w:r>
    </w:p>
    <w:p w14:paraId="130A4EE7">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第三条     图书数据</w:t>
      </w:r>
    </w:p>
    <w:p w14:paraId="51A03967">
      <w:pPr>
        <w:tabs>
          <w:tab w:val="left" w:pos="1455"/>
        </w:tabs>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乙方根据甲方要求，为甲方所购图书免费配送符合标准的MARC数据，另附对应的Excel格式书目文件，在每次送书前三天交给图书馆。</w:t>
      </w:r>
    </w:p>
    <w:p w14:paraId="72CFAB2E">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第四条     供书时间</w:t>
      </w:r>
    </w:p>
    <w:p w14:paraId="25A61557">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乙方收到甲方所确认的书目订单后，乙方应及时对甲方所报的图书订单汇总、查重，安排采购。图书按照甲方预定批次进行配送，自订单发出之日起现采图书供货时间不超过15天，期货不超过30天，时效性较强的图书要保证到馆时间不超过一周，每批次到馆率不低于95%。其它采购一般在30个工作日内送货到图书馆。</w:t>
      </w:r>
    </w:p>
    <w:p w14:paraId="4DAA3A9F">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第五条     送书方式</w:t>
      </w:r>
    </w:p>
    <w:p w14:paraId="11D58B14">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 xml:space="preserve">乙方根据甲方要求的图书复本量配书，图书须按甲方要求发往甲方指定的地点，由乙方承担运输费用。 </w:t>
      </w:r>
    </w:p>
    <w:p w14:paraId="5A24D0B9">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第六条     图书质量</w:t>
      </w:r>
    </w:p>
    <w:p w14:paraId="12F25D91">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1</w:t>
      </w:r>
      <w:r>
        <w:rPr>
          <w:rFonts w:hint="eastAsia" w:hAnsi="宋体"/>
          <w:color w:val="auto"/>
          <w:sz w:val="24"/>
          <w:highlight w:val="none"/>
          <w:lang w:val="zh-CN"/>
        </w:rPr>
        <w:t>、</w:t>
      </w:r>
      <w:r>
        <w:rPr>
          <w:rFonts w:hint="eastAsia" w:ascii="宋体" w:hAnsi="宋体"/>
          <w:color w:val="auto"/>
          <w:sz w:val="24"/>
          <w:highlight w:val="none"/>
          <w:lang w:val="zh-CN"/>
        </w:rPr>
        <w:t xml:space="preserve">乙方须严格遵守国家有关出版物发行管理规定，不配发盗版或盗印的出版物；对盗版图书甲方有权拒绝验收，乙方须无条件接受退货。 </w:t>
      </w:r>
    </w:p>
    <w:p w14:paraId="3D05F3DE">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w:t>
      </w:r>
      <w:r>
        <w:rPr>
          <w:rFonts w:hint="eastAsia" w:hAnsi="宋体"/>
          <w:color w:val="auto"/>
          <w:sz w:val="24"/>
          <w:highlight w:val="none"/>
          <w:lang w:val="zh-CN"/>
        </w:rPr>
        <w:t>、</w:t>
      </w:r>
      <w:r>
        <w:rPr>
          <w:rFonts w:hint="eastAsia" w:ascii="宋体" w:hAnsi="宋体"/>
          <w:color w:val="auto"/>
          <w:sz w:val="24"/>
          <w:highlight w:val="none"/>
          <w:lang w:val="zh-CN"/>
        </w:rPr>
        <w:t>乙方保证图书的外观质量，如有缺页、倒装、污损等质量问题，由乙方负责免费更换或退货。</w:t>
      </w:r>
    </w:p>
    <w:p w14:paraId="4A132BA4">
      <w:pPr>
        <w:tabs>
          <w:tab w:val="left" w:pos="1455"/>
        </w:tabs>
        <w:autoSpaceDE w:val="0"/>
        <w:autoSpaceDN w:val="0"/>
        <w:adjustRightInd w:val="0"/>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3</w:t>
      </w:r>
      <w:r>
        <w:rPr>
          <w:rFonts w:hint="eastAsia" w:hAnsi="宋体"/>
          <w:color w:val="auto"/>
          <w:sz w:val="24"/>
          <w:highlight w:val="none"/>
          <w:lang w:val="zh-CN"/>
        </w:rPr>
        <w:t>、</w:t>
      </w:r>
      <w:r>
        <w:rPr>
          <w:rFonts w:hint="eastAsia" w:ascii="宋体" w:hAnsi="宋体"/>
          <w:color w:val="auto"/>
          <w:sz w:val="24"/>
          <w:highlight w:val="none"/>
          <w:lang w:val="zh-CN"/>
        </w:rPr>
        <w:t>乙方提供的到货图书品种和数量与甲方订货单不符时，乙方必须无条件接受退货。</w:t>
      </w:r>
    </w:p>
    <w:p w14:paraId="6DEA9C8B">
      <w:pPr>
        <w:tabs>
          <w:tab w:val="left" w:pos="1455"/>
        </w:tabs>
        <w:autoSpaceDE w:val="0"/>
        <w:autoSpaceDN w:val="0"/>
        <w:adjustRightInd w:val="0"/>
        <w:spacing w:line="360" w:lineRule="auto"/>
        <w:ind w:firstLine="480" w:firstLineChars="200"/>
        <w:rPr>
          <w:rFonts w:hint="default" w:eastAsia="宋体"/>
          <w:color w:val="auto"/>
          <w:highlight w:val="none"/>
          <w:lang w:val="en-US" w:eastAsia="zh-CN"/>
        </w:rPr>
      </w:pPr>
      <w:r>
        <w:rPr>
          <w:rFonts w:hint="eastAsia" w:ascii="宋体" w:hAnsi="宋体"/>
          <w:color w:val="auto"/>
          <w:sz w:val="24"/>
          <w:highlight w:val="none"/>
          <w:lang w:val="en-US" w:eastAsia="zh-CN"/>
        </w:rPr>
        <w:t>4、</w:t>
      </w:r>
      <w:r>
        <w:rPr>
          <w:rFonts w:hint="eastAsia" w:ascii="宋体" w:hAnsi="宋体" w:eastAsia="宋体" w:cs="宋体"/>
          <w:color w:val="auto"/>
          <w:sz w:val="24"/>
          <w:szCs w:val="24"/>
          <w:highlight w:val="none"/>
        </w:rPr>
        <w:t>图书印刷质量及装订执行标准</w:t>
      </w:r>
      <w:r>
        <w:rPr>
          <w:rFonts w:hint="eastAsia" w:ascii="宋体" w:hAnsi="宋体" w:cs="宋体"/>
          <w:color w:val="auto"/>
          <w:sz w:val="24"/>
          <w:szCs w:val="24"/>
          <w:highlight w:val="none"/>
          <w:lang w:val="en-US" w:eastAsia="zh-CN"/>
        </w:rPr>
        <w:t>满足招标需求。</w:t>
      </w:r>
    </w:p>
    <w:p w14:paraId="5D2A6DD8">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第七条    图书加工要求</w:t>
      </w:r>
    </w:p>
    <w:p w14:paraId="1DC56988">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按甲方要求免费提供图书全加工服务。内容包括：盖馆藏章、加贴RFID芯片、条码、编目、附件加工、加贴书标、书标保护膜以及电子标签转换等。RFID芯片须按甲方要求的提供。</w:t>
      </w:r>
    </w:p>
    <w:p w14:paraId="530659F5">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第八条    验收和结算方式</w:t>
      </w:r>
    </w:p>
    <w:p w14:paraId="22C266FF">
      <w:pPr>
        <w:pStyle w:val="34"/>
        <w:snapToGrid w:val="0"/>
        <w:spacing w:line="360" w:lineRule="auto"/>
        <w:ind w:firstLine="480" w:firstLineChars="200"/>
        <w:rPr>
          <w:rFonts w:hAnsi="宋体"/>
          <w:color w:val="auto"/>
          <w:sz w:val="24"/>
          <w:highlight w:val="none"/>
          <w:lang w:val="zh-CN"/>
        </w:rPr>
      </w:pPr>
      <w:r>
        <w:rPr>
          <w:rFonts w:hint="eastAsia" w:hAnsi="宋体"/>
          <w:color w:val="auto"/>
          <w:sz w:val="24"/>
          <w:highlight w:val="none"/>
          <w:lang w:val="zh-CN"/>
        </w:rPr>
        <w:t>1、甲方对乙方送交的图书依据招标文件上的要求标准进行验收。验收不合格的不予接收。</w:t>
      </w:r>
    </w:p>
    <w:p w14:paraId="4860E3FA">
      <w:pPr>
        <w:pStyle w:val="34"/>
        <w:snapToGrid w:val="0"/>
        <w:spacing w:line="360" w:lineRule="auto"/>
        <w:ind w:firstLine="480" w:firstLineChars="200"/>
        <w:rPr>
          <w:rFonts w:hAnsi="宋体"/>
          <w:bCs/>
          <w:color w:val="auto"/>
          <w:sz w:val="24"/>
          <w:szCs w:val="24"/>
          <w:highlight w:val="none"/>
        </w:rPr>
      </w:pPr>
      <w:r>
        <w:rPr>
          <w:rFonts w:hint="eastAsia" w:hAnsi="宋体"/>
          <w:color w:val="auto"/>
          <w:sz w:val="24"/>
          <w:highlight w:val="none"/>
          <w:lang w:val="zh-CN"/>
        </w:rPr>
        <w:t>2、图书验收无误后，甲方根据政府采购相关规定，以图书定价为依据，按照投标折扣率（</w:t>
      </w:r>
      <w:r>
        <w:rPr>
          <w:rFonts w:hint="eastAsia" w:hAnsi="宋体"/>
          <w:color w:val="auto"/>
          <w:sz w:val="24"/>
          <w:highlight w:val="none"/>
          <w:u w:val="single"/>
          <w:lang w:val="en-US" w:eastAsia="zh-CN"/>
        </w:rPr>
        <w:t xml:space="preserve"> </w:t>
      </w:r>
      <w:r>
        <w:rPr>
          <w:rFonts w:hint="eastAsia" w:hAnsi="宋体"/>
          <w:color w:val="auto"/>
          <w:sz w:val="24"/>
          <w:highlight w:val="none"/>
          <w:u w:val="single"/>
          <w:lang w:val="zh-CN"/>
        </w:rPr>
        <w:t xml:space="preserve"> </w:t>
      </w:r>
      <w:r>
        <w:rPr>
          <w:rFonts w:hint="eastAsia" w:hAnsi="宋体"/>
          <w:color w:val="auto"/>
          <w:sz w:val="24"/>
          <w:highlight w:val="none"/>
          <w:u w:val="single"/>
          <w:lang w:val="en-US" w:eastAsia="zh-CN"/>
        </w:rPr>
        <w:t xml:space="preserve"> </w:t>
      </w:r>
      <w:r>
        <w:rPr>
          <w:rFonts w:hint="eastAsia" w:hAnsi="宋体"/>
          <w:color w:val="auto"/>
          <w:sz w:val="24"/>
          <w:highlight w:val="none"/>
          <w:u w:val="single"/>
          <w:lang w:val="zh-CN"/>
        </w:rPr>
        <w:t>%</w:t>
      </w:r>
      <w:r>
        <w:rPr>
          <w:rFonts w:hint="eastAsia" w:hAnsi="宋体"/>
          <w:color w:val="auto"/>
          <w:sz w:val="24"/>
          <w:highlight w:val="none"/>
          <w:lang w:val="zh-CN"/>
        </w:rPr>
        <w:t>）计算书款，图书总价为</w:t>
      </w:r>
      <w:r>
        <w:rPr>
          <w:rFonts w:hint="eastAsia" w:hAnsi="宋体"/>
          <w:color w:val="auto"/>
          <w:sz w:val="24"/>
          <w:highlight w:val="none"/>
          <w:u w:val="single"/>
          <w:lang w:val="en-US" w:eastAsia="zh-CN"/>
        </w:rPr>
        <w:t xml:space="preserve">   </w:t>
      </w:r>
      <w:r>
        <w:rPr>
          <w:rFonts w:hint="eastAsia" w:hAnsi="宋体"/>
          <w:color w:val="auto"/>
          <w:sz w:val="24"/>
          <w:highlight w:val="none"/>
        </w:rPr>
        <w:t>元。</w:t>
      </w:r>
      <w:r>
        <w:rPr>
          <w:rFonts w:hint="eastAsia" w:hAnsi="宋体"/>
          <w:bCs/>
          <w:color w:val="auto"/>
          <w:sz w:val="24"/>
          <w:szCs w:val="24"/>
          <w:highlight w:val="none"/>
        </w:rPr>
        <w:t xml:space="preserve"> 结算方式：按图书批次分期结算。</w:t>
      </w:r>
    </w:p>
    <w:p w14:paraId="422760C8">
      <w:pPr>
        <w:widowControl/>
        <w:adjustRightInd w:val="0"/>
        <w:snapToGrid w:val="0"/>
        <w:spacing w:line="440" w:lineRule="atLeast"/>
        <w:ind w:right="60" w:firstLine="540" w:firstLineChars="225"/>
        <w:jc w:val="left"/>
        <w:rPr>
          <w:rFonts w:ascii="宋体"/>
          <w:color w:val="auto"/>
          <w:sz w:val="24"/>
          <w:szCs w:val="24"/>
          <w:highlight w:val="none"/>
          <w:lang w:val="zh-CN"/>
        </w:rPr>
      </w:pPr>
      <w:r>
        <w:rPr>
          <w:rFonts w:hint="eastAsia" w:ascii="宋体" w:hAnsi="宋体"/>
          <w:color w:val="auto"/>
          <w:sz w:val="24"/>
          <w:szCs w:val="24"/>
          <w:highlight w:val="none"/>
        </w:rPr>
        <w:t>3</w:t>
      </w:r>
      <w:r>
        <w:rPr>
          <w:rFonts w:hint="eastAsia" w:ascii="宋体" w:hAnsi="宋体"/>
          <w:color w:val="auto"/>
          <w:sz w:val="24"/>
          <w:szCs w:val="24"/>
          <w:highlight w:val="none"/>
          <w:lang w:val="zh-CN"/>
        </w:rPr>
        <w:t>、如</w:t>
      </w:r>
      <w:r>
        <w:rPr>
          <w:rFonts w:hint="eastAsia" w:ascii="宋体"/>
          <w:color w:val="auto"/>
          <w:sz w:val="24"/>
          <w:szCs w:val="24"/>
          <w:highlight w:val="none"/>
          <w:lang w:val="zh-CN"/>
        </w:rPr>
        <w:t>乙方的服务达不到</w:t>
      </w:r>
      <w:r>
        <w:rPr>
          <w:rFonts w:hint="eastAsia" w:hAnsi="宋体"/>
          <w:color w:val="auto"/>
          <w:sz w:val="24"/>
          <w:highlight w:val="none"/>
          <w:lang w:val="zh-CN"/>
        </w:rPr>
        <w:t>甲方的要求，甲方有权向</w:t>
      </w:r>
      <w:r>
        <w:rPr>
          <w:rFonts w:hint="eastAsia" w:ascii="宋体"/>
          <w:color w:val="auto"/>
          <w:sz w:val="24"/>
          <w:szCs w:val="24"/>
          <w:highlight w:val="none"/>
          <w:lang w:val="zh-CN"/>
        </w:rPr>
        <w:t>乙方提出赔偿要求，赔偿为合同总金额的5%，赔偿金从未支付的图书费用中扣除。如金额不足乙方</w:t>
      </w:r>
      <w:r>
        <w:rPr>
          <w:rFonts w:hint="eastAsia" w:hAnsi="宋体"/>
          <w:color w:val="auto"/>
          <w:sz w:val="24"/>
          <w:highlight w:val="none"/>
          <w:lang w:val="zh-CN"/>
        </w:rPr>
        <w:t>应将赔偿金额补足</w:t>
      </w:r>
      <w:r>
        <w:rPr>
          <w:rFonts w:hint="eastAsia" w:ascii="宋体"/>
          <w:color w:val="auto"/>
          <w:sz w:val="24"/>
          <w:szCs w:val="24"/>
          <w:highlight w:val="none"/>
          <w:lang w:val="zh-CN"/>
        </w:rPr>
        <w:t>。</w:t>
      </w:r>
    </w:p>
    <w:p w14:paraId="249DA92D">
      <w:pPr>
        <w:widowControl/>
        <w:adjustRightInd w:val="0"/>
        <w:snapToGrid w:val="0"/>
        <w:spacing w:line="440" w:lineRule="atLeast"/>
        <w:ind w:right="60" w:firstLine="540" w:firstLineChars="225"/>
        <w:jc w:val="left"/>
        <w:rPr>
          <w:rFonts w:asciiTheme="minorEastAsia" w:hAnsiTheme="minorEastAsia" w:eastAsiaTheme="minorEastAsia"/>
          <w:b/>
          <w:color w:val="auto"/>
          <w:sz w:val="24"/>
          <w:szCs w:val="24"/>
          <w:highlight w:val="none"/>
          <w:lang w:val="zh-CN"/>
        </w:rPr>
      </w:pPr>
      <w:r>
        <w:rPr>
          <w:rFonts w:hint="eastAsia" w:ascii="宋体"/>
          <w:color w:val="auto"/>
          <w:sz w:val="24"/>
          <w:szCs w:val="24"/>
          <w:highlight w:val="none"/>
          <w:lang w:val="zh-CN"/>
        </w:rPr>
        <w:t>4、</w:t>
      </w:r>
      <w:r>
        <w:rPr>
          <w:rStyle w:val="70"/>
          <w:rFonts w:hint="eastAsia" w:asciiTheme="minorEastAsia" w:hAnsiTheme="minorEastAsia" w:eastAsiaTheme="minorEastAsia"/>
          <w:b w:val="0"/>
          <w:color w:val="auto"/>
          <w:sz w:val="24"/>
          <w:szCs w:val="24"/>
          <w:highlight w:val="none"/>
        </w:rPr>
        <w:t>如因国家税制改革引发增值税税率变化，本合同应适用调整后最新税率，合同原约定的价格不因税率变化而改变。</w:t>
      </w:r>
    </w:p>
    <w:p w14:paraId="6D90212E">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第九条      图书包装、发运及运输</w:t>
      </w:r>
    </w:p>
    <w:p w14:paraId="44D532E6">
      <w:pPr>
        <w:tabs>
          <w:tab w:val="left" w:pos="1455"/>
        </w:tabs>
        <w:autoSpaceDE w:val="0"/>
        <w:autoSpaceDN w:val="0"/>
        <w:adjustRightInd w:val="0"/>
        <w:spacing w:line="360" w:lineRule="auto"/>
        <w:ind w:firstLine="480" w:firstLineChars="200"/>
        <w:rPr>
          <w:rFonts w:ascii="宋体" w:hAnsi="宋体" w:cs="Arial"/>
          <w:color w:val="auto"/>
          <w:sz w:val="24"/>
          <w:highlight w:val="none"/>
        </w:rPr>
      </w:pPr>
      <w:r>
        <w:rPr>
          <w:rFonts w:hint="eastAsia" w:ascii="宋体" w:hAnsi="宋体"/>
          <w:color w:val="auto"/>
          <w:sz w:val="24"/>
          <w:highlight w:val="none"/>
          <w:lang w:val="zh-CN"/>
        </w:rPr>
        <w:t>1、乙方应在图书发运前对其进行满足运输距离、防湿和防破装卸要求的包装，同时满足甲方包装要求，并按批次及时送交到甲方指定地点。否则，运输途中出现的意外甲方不承担任何责任，相关损失由乙方自行承担。</w:t>
      </w:r>
    </w:p>
    <w:p w14:paraId="533A0A8A">
      <w:pPr>
        <w:widowControl/>
        <w:spacing w:before="60" w:after="60" w:line="360" w:lineRule="auto"/>
        <w:ind w:right="60" w:firstLine="540" w:firstLineChars="225"/>
        <w:jc w:val="left"/>
        <w:rPr>
          <w:rFonts w:ascii="宋体" w:hAnsi="宋体"/>
          <w:color w:val="auto"/>
          <w:sz w:val="24"/>
          <w:highlight w:val="none"/>
        </w:rPr>
      </w:pPr>
      <w:r>
        <w:rPr>
          <w:rFonts w:hint="eastAsia" w:ascii="宋体" w:hAnsi="宋体"/>
          <w:color w:val="auto"/>
          <w:sz w:val="24"/>
          <w:highlight w:val="none"/>
        </w:rPr>
        <w:t>2、发货清单一式叁份，并加盖公章。清单应包括：订单号、包号、书号、书名、出版社、单价、册数，每包的种、册、码洋的小计。壹份附于包装货件内，一包一单；另外贰份要求以包装号为序，统计该批次图书的总种数、总册数及总金额。</w:t>
      </w:r>
    </w:p>
    <w:p w14:paraId="40A00D7A">
      <w:pPr>
        <w:widowControl/>
        <w:spacing w:before="60" w:after="60" w:line="360" w:lineRule="auto"/>
        <w:ind w:right="60" w:firstLine="540" w:firstLineChars="225"/>
        <w:jc w:val="left"/>
        <w:rPr>
          <w:rFonts w:ascii="宋体" w:hAnsi="宋体"/>
          <w:color w:val="auto"/>
          <w:sz w:val="24"/>
          <w:highlight w:val="none"/>
        </w:rPr>
      </w:pPr>
      <w:r>
        <w:rPr>
          <w:rFonts w:hint="eastAsia" w:ascii="宋体" w:hAnsi="宋体"/>
          <w:color w:val="auto"/>
          <w:sz w:val="24"/>
          <w:highlight w:val="none"/>
        </w:rPr>
        <w:t>3、乙方在图书发运前的一天（如发运地非本地，则应在发运手续办理后的24小时内），用电话、信函或传真通知甲方，以便甲方准备接货。因乙方通知延误所造成的所有风险由乙方自行承担。</w:t>
      </w:r>
    </w:p>
    <w:p w14:paraId="3954AE83">
      <w:pPr>
        <w:widowControl/>
        <w:spacing w:before="60" w:after="60" w:line="360" w:lineRule="auto"/>
        <w:ind w:right="60" w:firstLine="540" w:firstLineChars="225"/>
        <w:jc w:val="left"/>
        <w:rPr>
          <w:rFonts w:ascii="宋体" w:hAnsi="宋体"/>
          <w:color w:val="auto"/>
          <w:sz w:val="24"/>
          <w:highlight w:val="none"/>
        </w:rPr>
      </w:pPr>
      <w:r>
        <w:rPr>
          <w:rFonts w:hint="eastAsia" w:ascii="宋体" w:hAnsi="宋体"/>
          <w:color w:val="auto"/>
          <w:sz w:val="24"/>
          <w:highlight w:val="none"/>
        </w:rPr>
        <w:t>4、图书在到达甲方指定地点前发生的不可预见的风险均由乙方自行承担。</w:t>
      </w:r>
    </w:p>
    <w:p w14:paraId="153DFC74">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第十条    服务承诺   </w:t>
      </w:r>
    </w:p>
    <w:p w14:paraId="03019724">
      <w:pPr>
        <w:tabs>
          <w:tab w:val="left" w:pos="1260"/>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1、乙方应按招标文件的规定，满足甲方提出的所有技术要求和服务要求。</w:t>
      </w:r>
    </w:p>
    <w:p w14:paraId="6B1C22B8">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ascii="宋体" w:hAnsi="宋体"/>
          <w:color w:val="auto"/>
          <w:sz w:val="24"/>
          <w:highlight w:val="none"/>
          <w:lang w:val="zh-CN"/>
        </w:rPr>
        <w:t>2</w:t>
      </w:r>
      <w:r>
        <w:rPr>
          <w:rFonts w:hint="eastAsia" w:ascii="宋体" w:hAnsi="宋体"/>
          <w:color w:val="auto"/>
          <w:sz w:val="24"/>
          <w:highlight w:val="none"/>
          <w:lang w:val="zh-CN"/>
        </w:rPr>
        <w:t>、除响应甲方招标文件的要求外，乙方还应承诺其它超值服务和优惠措施。</w:t>
      </w:r>
    </w:p>
    <w:p w14:paraId="70A2BC5E">
      <w:pPr>
        <w:spacing w:line="360" w:lineRule="auto"/>
        <w:ind w:firstLine="480"/>
        <w:rPr>
          <w:rFonts w:hint="eastAsia"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3、</w:t>
      </w:r>
      <w:r>
        <w:rPr>
          <w:rFonts w:hint="eastAsia" w:ascii="宋体" w:hAnsi="宋体" w:eastAsia="宋体" w:cs="宋体"/>
          <w:b w:val="0"/>
          <w:bCs/>
          <w:color w:val="auto"/>
          <w:sz w:val="24"/>
          <w:szCs w:val="24"/>
          <w:highlight w:val="none"/>
        </w:rPr>
        <w:t>一键借阅”线下推广你选我买图书采购服务</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现场开展一键借阅你选我买活动，活动次数</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场</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提供开展现场活动必要的物料，如海报、横幅、打卡牌、小礼品等。</w:t>
      </w:r>
    </w:p>
    <w:p w14:paraId="0588C4CF">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第十一条    乙方的违约责任</w:t>
      </w:r>
    </w:p>
    <w:p w14:paraId="16544586">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1、乙方</w:t>
      </w:r>
      <w:r>
        <w:rPr>
          <w:rFonts w:hint="eastAsia" w:ascii="宋体" w:hAnsi="宋体"/>
          <w:color w:val="auto"/>
          <w:sz w:val="24"/>
          <w:highlight w:val="none"/>
        </w:rPr>
        <w:t>如没有能力按甲方要求履行</w:t>
      </w:r>
      <w:r>
        <w:rPr>
          <w:rFonts w:hint="eastAsia" w:ascii="宋体" w:hAnsi="宋体"/>
          <w:color w:val="auto"/>
          <w:sz w:val="24"/>
          <w:highlight w:val="none"/>
          <w:lang w:val="zh-CN"/>
        </w:rPr>
        <w:t>全加工服务</w:t>
      </w:r>
      <w:r>
        <w:rPr>
          <w:rFonts w:hint="eastAsia" w:ascii="宋体" w:hAnsi="宋体"/>
          <w:color w:val="auto"/>
          <w:sz w:val="24"/>
          <w:highlight w:val="none"/>
        </w:rPr>
        <w:t>的，甲方有权单方面中止合同。</w:t>
      </w:r>
    </w:p>
    <w:p w14:paraId="5EE66B01">
      <w:pPr>
        <w:tabs>
          <w:tab w:val="left" w:pos="1455"/>
        </w:tabs>
        <w:autoSpaceDE w:val="0"/>
        <w:autoSpaceDN w:val="0"/>
        <w:adjustRightInd w:val="0"/>
        <w:spacing w:line="48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2、产品错发到货地点或收货人的，乙方应负责将货物运交协议规定的到货地点或接货人，相关费用及因到货延误而给甲方造成的损失由乙方承担。</w:t>
      </w:r>
    </w:p>
    <w:p w14:paraId="7CA98D00">
      <w:pPr>
        <w:pStyle w:val="34"/>
        <w:snapToGrid w:val="0"/>
        <w:spacing w:line="480" w:lineRule="exact"/>
        <w:ind w:firstLine="410" w:firstLineChars="171"/>
        <w:rPr>
          <w:rFonts w:hAnsi="宋体"/>
          <w:color w:val="auto"/>
          <w:kern w:val="0"/>
          <w:sz w:val="24"/>
          <w:szCs w:val="24"/>
          <w:highlight w:val="none"/>
        </w:rPr>
      </w:pPr>
      <w:r>
        <w:rPr>
          <w:rFonts w:hint="eastAsia" w:hAnsi="宋体"/>
          <w:color w:val="auto"/>
          <w:sz w:val="24"/>
          <w:szCs w:val="24"/>
          <w:highlight w:val="none"/>
        </w:rPr>
        <w:t>3、</w:t>
      </w:r>
      <w:r>
        <w:rPr>
          <w:rFonts w:hint="eastAsia" w:hAnsi="宋体"/>
          <w:color w:val="auto"/>
          <w:kern w:val="0"/>
          <w:sz w:val="24"/>
          <w:szCs w:val="24"/>
          <w:highlight w:val="none"/>
        </w:rPr>
        <w:t xml:space="preserve"> 若不能按时供货的图书种数或册数超过订单订购数的10%即可认定乙方不具备供货条件，采购人可以提出终止供货的要求，乙方必须接受，终止供货所造成的损失由乙方承担。为尽可能消除因乙方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乙方承担。</w:t>
      </w:r>
    </w:p>
    <w:p w14:paraId="28995D15">
      <w:pPr>
        <w:pStyle w:val="34"/>
        <w:snapToGrid w:val="0"/>
        <w:spacing w:line="480" w:lineRule="exact"/>
        <w:ind w:firstLine="410" w:firstLineChars="171"/>
        <w:rPr>
          <w:rFonts w:hAnsi="宋体"/>
          <w:color w:val="auto"/>
          <w:kern w:val="0"/>
          <w:sz w:val="24"/>
          <w:szCs w:val="24"/>
          <w:highlight w:val="none"/>
        </w:rPr>
      </w:pPr>
      <w:r>
        <w:rPr>
          <w:rFonts w:hint="eastAsia" w:hAnsi="宋体"/>
          <w:color w:val="auto"/>
          <w:kern w:val="0"/>
          <w:sz w:val="24"/>
          <w:szCs w:val="24"/>
          <w:highlight w:val="none"/>
        </w:rPr>
        <w:t>4、若验收时发现有污染、图文不清、缺页、倒装、缺附件等不合格的图书，以及与订单不符的图书，一律予以退换，退换费用由乙方承担。</w:t>
      </w:r>
    </w:p>
    <w:p w14:paraId="1067CDC3">
      <w:pPr>
        <w:pStyle w:val="34"/>
        <w:snapToGrid w:val="0"/>
        <w:spacing w:line="480" w:lineRule="exact"/>
        <w:ind w:firstLine="410" w:firstLineChars="171"/>
        <w:rPr>
          <w:rFonts w:hAnsi="宋体"/>
          <w:color w:val="auto"/>
          <w:sz w:val="24"/>
          <w:szCs w:val="24"/>
          <w:highlight w:val="none"/>
        </w:rPr>
      </w:pPr>
      <w:r>
        <w:rPr>
          <w:rFonts w:hint="eastAsia" w:hAnsi="宋体"/>
          <w:color w:val="auto"/>
          <w:kern w:val="0"/>
          <w:sz w:val="24"/>
          <w:szCs w:val="24"/>
          <w:highlight w:val="none"/>
        </w:rPr>
        <w:t>5、</w:t>
      </w:r>
      <w:r>
        <w:rPr>
          <w:rFonts w:hint="eastAsia" w:hAnsi="宋体"/>
          <w:color w:val="auto"/>
          <w:sz w:val="24"/>
          <w:szCs w:val="24"/>
          <w:highlight w:val="none"/>
        </w:rPr>
        <w:t>发生如下情况，在合同期满时扣除相应货款：未按采购人要求完成编目加工任务的，以未完成的册数为单位计算，按照</w:t>
      </w:r>
      <w:r>
        <w:rPr>
          <w:rFonts w:hint="eastAsia" w:hAnsi="宋体"/>
          <w:color w:val="auto"/>
          <w:sz w:val="24"/>
          <w:szCs w:val="24"/>
          <w:highlight w:val="none"/>
          <w:lang w:val="en-US" w:eastAsia="zh-CN"/>
        </w:rPr>
        <w:t>1</w:t>
      </w:r>
      <w:r>
        <w:rPr>
          <w:rFonts w:hint="eastAsia" w:hAnsi="宋体"/>
          <w:color w:val="auto"/>
          <w:sz w:val="24"/>
          <w:szCs w:val="24"/>
          <w:highlight w:val="none"/>
        </w:rPr>
        <w:t>元/册扣除；编目不合格，以不合格册数为单位计算，按照</w:t>
      </w:r>
      <w:r>
        <w:rPr>
          <w:rFonts w:hint="eastAsia" w:hAnsi="宋体"/>
          <w:color w:val="auto"/>
          <w:sz w:val="24"/>
          <w:szCs w:val="24"/>
          <w:highlight w:val="none"/>
          <w:lang w:val="en-US" w:eastAsia="zh-CN"/>
        </w:rPr>
        <w:t>1</w:t>
      </w:r>
      <w:r>
        <w:rPr>
          <w:rFonts w:hint="eastAsia" w:hAnsi="宋体"/>
          <w:color w:val="auto"/>
          <w:sz w:val="24"/>
          <w:szCs w:val="24"/>
          <w:highlight w:val="none"/>
        </w:rPr>
        <w:t>元/册扣除；未能在指定时间内完成加工任务的，扣除全部货款(未完成部分的)。</w:t>
      </w:r>
    </w:p>
    <w:p w14:paraId="787A0279">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第十二条    甲方的违约责任</w:t>
      </w:r>
    </w:p>
    <w:p w14:paraId="5D1638CC">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1、甲方违反协议拒绝收货或验货的，承担由此给乙方造成的损失和运输部门的相关费用。</w:t>
      </w:r>
    </w:p>
    <w:p w14:paraId="1EBED05A">
      <w:pPr>
        <w:tabs>
          <w:tab w:val="left" w:pos="1455"/>
        </w:tabs>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2、甲方错填到货地点或收货人，承担因此给乙方造成的损失。</w:t>
      </w:r>
    </w:p>
    <w:p w14:paraId="149B8DA4">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第十三条  售后服务</w:t>
      </w:r>
    </w:p>
    <w:p w14:paraId="6B4DB7E0">
      <w:pPr>
        <w:spacing w:line="360" w:lineRule="auto"/>
        <w:ind w:firstLine="480"/>
        <w:rPr>
          <w:rFonts w:ascii="宋体" w:hAnsi="宋体" w:cs="Arial"/>
          <w:color w:val="auto"/>
          <w:sz w:val="24"/>
          <w:highlight w:val="none"/>
        </w:rPr>
      </w:pPr>
      <w:r>
        <w:rPr>
          <w:rFonts w:ascii="宋体" w:hAnsi="宋体" w:cs="Arial"/>
          <w:color w:val="auto"/>
          <w:sz w:val="24"/>
          <w:highlight w:val="none"/>
        </w:rPr>
        <w:t>一旦产品发生问题，乙方在接到通知之时起</w:t>
      </w:r>
      <w:r>
        <w:rPr>
          <w:rFonts w:hint="eastAsia" w:ascii="宋体" w:hAnsi="宋体" w:cs="宋体"/>
          <w:color w:val="auto"/>
          <w:sz w:val="24"/>
          <w:highlight w:val="none"/>
          <w:u w:val="single"/>
        </w:rPr>
        <w:t>4</w:t>
      </w:r>
      <w:r>
        <w:rPr>
          <w:rFonts w:ascii="宋体" w:hAnsi="宋体" w:cs="Arial"/>
          <w:color w:val="auto"/>
          <w:sz w:val="24"/>
          <w:highlight w:val="none"/>
        </w:rPr>
        <w:t>小时内赶赴现场处理问题。一般问题</w:t>
      </w:r>
      <w:r>
        <w:rPr>
          <w:rFonts w:hint="eastAsia" w:ascii="宋体" w:hAnsi="宋体" w:cs="宋体"/>
          <w:color w:val="auto"/>
          <w:sz w:val="24"/>
          <w:highlight w:val="none"/>
          <w:u w:val="single"/>
        </w:rPr>
        <w:t>12</w:t>
      </w:r>
      <w:r>
        <w:rPr>
          <w:rFonts w:ascii="宋体" w:hAnsi="宋体" w:cs="Arial"/>
          <w:color w:val="auto"/>
          <w:sz w:val="24"/>
          <w:highlight w:val="none"/>
        </w:rPr>
        <w:t>小时内解决，重大问题</w:t>
      </w:r>
      <w:r>
        <w:rPr>
          <w:rFonts w:hint="eastAsia" w:ascii="宋体" w:hAnsi="宋体" w:cs="宋体"/>
          <w:color w:val="auto"/>
          <w:sz w:val="24"/>
          <w:highlight w:val="none"/>
          <w:u w:val="single"/>
        </w:rPr>
        <w:t>48</w:t>
      </w:r>
      <w:r>
        <w:rPr>
          <w:rFonts w:ascii="宋体" w:hAnsi="宋体" w:cs="Arial"/>
          <w:color w:val="auto"/>
          <w:sz w:val="24"/>
          <w:highlight w:val="none"/>
        </w:rPr>
        <w:t>小时内解决。</w:t>
      </w:r>
    </w:p>
    <w:p w14:paraId="6598EA08">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第十四条  不可抗力</w:t>
      </w:r>
    </w:p>
    <w:p w14:paraId="461875A6">
      <w:pPr>
        <w:pStyle w:val="25"/>
        <w:spacing w:line="360" w:lineRule="auto"/>
        <w:rPr>
          <w:rFonts w:cs="Arial"/>
          <w:color w:val="auto"/>
          <w:highlight w:val="none"/>
        </w:rPr>
      </w:pPr>
      <w:r>
        <w:rPr>
          <w:rFonts w:cs="Arial"/>
          <w:color w:val="auto"/>
          <w:highlight w:val="none"/>
        </w:rPr>
        <w:t>不可抗力是指《中华人民共和国合同法》所列举的不可抗力。不可抗力一旦发生，证明文件由法律规定部门签署，并由甲、乙双方协商合同逾期履行和继续履行的方法，在此情况下，任何一方不能要求损失赔偿。</w:t>
      </w:r>
    </w:p>
    <w:p w14:paraId="084351F5">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第十五条  争议的解决</w:t>
      </w:r>
    </w:p>
    <w:p w14:paraId="4DEE08E9">
      <w:pPr>
        <w:tabs>
          <w:tab w:val="left" w:pos="1455"/>
        </w:tabs>
        <w:autoSpaceDE w:val="0"/>
        <w:autoSpaceDN w:val="0"/>
        <w:adjustRightInd w:val="0"/>
        <w:spacing w:line="360" w:lineRule="auto"/>
        <w:ind w:firstLine="480" w:firstLineChars="200"/>
        <w:rPr>
          <w:rFonts w:ascii="宋体" w:hAnsi="宋体" w:cs="Arial"/>
          <w:color w:val="auto"/>
          <w:sz w:val="24"/>
          <w:highlight w:val="none"/>
        </w:rPr>
      </w:pPr>
      <w:r>
        <w:rPr>
          <w:rFonts w:hint="eastAsia" w:ascii="宋体" w:hAnsi="宋体"/>
          <w:color w:val="auto"/>
          <w:sz w:val="24"/>
          <w:highlight w:val="none"/>
          <w:lang w:val="zh-CN"/>
        </w:rPr>
        <w:t>如因履行本协议发生争议时，双方应首先协商解决。协商不成时，任何一方均</w:t>
      </w:r>
      <w:r>
        <w:rPr>
          <w:rFonts w:hint="eastAsia" w:ascii="宋体" w:hAnsi="宋体" w:cs="Arial"/>
          <w:color w:val="auto"/>
          <w:sz w:val="24"/>
          <w:highlight w:val="none"/>
        </w:rPr>
        <w:t>可向协议签订地的人民法院提起诉讼，通过法律程序予以解决。</w:t>
      </w:r>
    </w:p>
    <w:p w14:paraId="09979715">
      <w:pPr>
        <w:tabs>
          <w:tab w:val="left" w:pos="1455"/>
        </w:tabs>
        <w:autoSpaceDE w:val="0"/>
        <w:autoSpaceDN w:val="0"/>
        <w:adjustRightInd w:val="0"/>
        <w:spacing w:line="480" w:lineRule="auto"/>
        <w:ind w:firstLine="480" w:firstLineChars="200"/>
        <w:rPr>
          <w:rFonts w:ascii="宋体" w:hAnsi="宋体" w:cs="Arial"/>
          <w:color w:val="auto"/>
          <w:sz w:val="24"/>
          <w:highlight w:val="none"/>
        </w:rPr>
      </w:pPr>
      <w:r>
        <w:rPr>
          <w:rFonts w:hint="eastAsia" w:ascii="宋体" w:hAnsi="宋体" w:cs="Arial"/>
          <w:color w:val="auto"/>
          <w:sz w:val="24"/>
          <w:highlight w:val="none"/>
        </w:rPr>
        <w:t>第十六条  合同生效及其他</w:t>
      </w:r>
    </w:p>
    <w:p w14:paraId="682379CF">
      <w:pPr>
        <w:pStyle w:val="34"/>
        <w:snapToGrid w:val="0"/>
        <w:spacing w:line="480" w:lineRule="exact"/>
        <w:ind w:firstLine="410" w:firstLineChars="171"/>
        <w:rPr>
          <w:rFonts w:hAnsi="宋体"/>
          <w:color w:val="auto"/>
          <w:sz w:val="24"/>
          <w:szCs w:val="24"/>
          <w:highlight w:val="none"/>
        </w:rPr>
      </w:pPr>
      <w:r>
        <w:rPr>
          <w:rFonts w:hint="eastAsia" w:hAnsi="宋体"/>
          <w:color w:val="auto"/>
          <w:sz w:val="24"/>
          <w:szCs w:val="24"/>
          <w:highlight w:val="none"/>
        </w:rPr>
        <w:t>1、本合同于签订之日起生效，有效期截止为</w:t>
      </w:r>
      <w:r>
        <w:rPr>
          <w:rFonts w:hint="eastAsia" w:hAnsi="宋体"/>
          <w:color w:val="auto"/>
          <w:sz w:val="24"/>
          <w:szCs w:val="24"/>
          <w:highlight w:val="none"/>
          <w:u w:val="single"/>
        </w:rPr>
        <w:t>20</w:t>
      </w:r>
      <w:r>
        <w:rPr>
          <w:rFonts w:hAnsi="宋体"/>
          <w:color w:val="auto"/>
          <w:sz w:val="24"/>
          <w:szCs w:val="24"/>
          <w:highlight w:val="none"/>
          <w:u w:val="single"/>
        </w:rPr>
        <w:t>2</w:t>
      </w:r>
      <w:r>
        <w:rPr>
          <w:rFonts w:hint="eastAsia" w:hAnsi="宋体"/>
          <w:color w:val="auto"/>
          <w:sz w:val="24"/>
          <w:szCs w:val="24"/>
          <w:highlight w:val="none"/>
          <w:u w:val="single"/>
          <w:lang w:val="en-US" w:eastAsia="zh-CN"/>
        </w:rPr>
        <w:t>5</w:t>
      </w:r>
      <w:r>
        <w:rPr>
          <w:rFonts w:hint="eastAsia" w:hAnsi="宋体"/>
          <w:color w:val="auto"/>
          <w:sz w:val="24"/>
          <w:szCs w:val="24"/>
          <w:highlight w:val="none"/>
          <w:u w:val="single"/>
        </w:rPr>
        <w:t>年12月31日</w:t>
      </w:r>
      <w:r>
        <w:rPr>
          <w:rFonts w:hint="eastAsia" w:hAnsi="宋体"/>
          <w:color w:val="auto"/>
          <w:sz w:val="24"/>
          <w:szCs w:val="24"/>
          <w:highlight w:val="none"/>
        </w:rPr>
        <w:t>。</w:t>
      </w:r>
    </w:p>
    <w:p w14:paraId="3C528D2D">
      <w:pPr>
        <w:pStyle w:val="34"/>
        <w:snapToGrid w:val="0"/>
        <w:spacing w:line="480" w:lineRule="exact"/>
        <w:ind w:firstLine="410" w:firstLineChars="171"/>
        <w:rPr>
          <w:rFonts w:hAnsi="宋体"/>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本合同一式</w:t>
      </w:r>
      <w:r>
        <w:rPr>
          <w:rFonts w:hint="eastAsia" w:hAnsi="宋体"/>
          <w:color w:val="auto"/>
          <w:sz w:val="24"/>
          <w:szCs w:val="24"/>
          <w:highlight w:val="none"/>
          <w:u w:val="single"/>
        </w:rPr>
        <w:t>五</w:t>
      </w:r>
      <w:r>
        <w:rPr>
          <w:rFonts w:hAnsi="宋体"/>
          <w:color w:val="auto"/>
          <w:sz w:val="24"/>
          <w:szCs w:val="24"/>
          <w:highlight w:val="none"/>
        </w:rPr>
        <w:t>份，甲方执</w:t>
      </w:r>
      <w:r>
        <w:rPr>
          <w:rFonts w:hint="eastAsia" w:hAnsi="宋体"/>
          <w:color w:val="auto"/>
          <w:sz w:val="24"/>
          <w:szCs w:val="24"/>
          <w:highlight w:val="none"/>
          <w:u w:val="single"/>
        </w:rPr>
        <w:t>二</w:t>
      </w:r>
      <w:r>
        <w:rPr>
          <w:rFonts w:hAnsi="宋体"/>
          <w:color w:val="auto"/>
          <w:sz w:val="24"/>
          <w:szCs w:val="24"/>
          <w:highlight w:val="none"/>
        </w:rPr>
        <w:t>份、乙方执</w:t>
      </w:r>
      <w:r>
        <w:rPr>
          <w:rFonts w:hint="eastAsia" w:hAnsi="宋体"/>
          <w:color w:val="auto"/>
          <w:sz w:val="24"/>
          <w:szCs w:val="24"/>
          <w:highlight w:val="none"/>
          <w:u w:val="single"/>
        </w:rPr>
        <w:t>二</w:t>
      </w:r>
      <w:r>
        <w:rPr>
          <w:rFonts w:hAnsi="宋体"/>
          <w:color w:val="auto"/>
          <w:sz w:val="24"/>
          <w:szCs w:val="24"/>
          <w:highlight w:val="none"/>
        </w:rPr>
        <w:t>份、采购代理机构执</w:t>
      </w:r>
      <w:r>
        <w:rPr>
          <w:rFonts w:hint="eastAsia" w:hAnsi="宋体"/>
          <w:color w:val="auto"/>
          <w:sz w:val="24"/>
          <w:szCs w:val="24"/>
          <w:highlight w:val="none"/>
          <w:u w:val="single"/>
        </w:rPr>
        <w:t>一</w:t>
      </w:r>
      <w:r>
        <w:rPr>
          <w:rFonts w:hAnsi="宋体"/>
          <w:color w:val="auto"/>
          <w:sz w:val="24"/>
          <w:szCs w:val="24"/>
          <w:highlight w:val="none"/>
        </w:rPr>
        <w:t>份</w:t>
      </w:r>
      <w:r>
        <w:rPr>
          <w:rFonts w:hint="eastAsia" w:hAnsi="宋体"/>
          <w:color w:val="auto"/>
          <w:sz w:val="24"/>
          <w:szCs w:val="24"/>
          <w:highlight w:val="none"/>
        </w:rPr>
        <w:t>，并具有同等法律效力</w:t>
      </w:r>
      <w:r>
        <w:rPr>
          <w:rFonts w:hAnsi="宋体"/>
          <w:color w:val="auto"/>
          <w:sz w:val="24"/>
          <w:szCs w:val="24"/>
          <w:highlight w:val="none"/>
        </w:rPr>
        <w:t>。</w:t>
      </w:r>
      <w:r>
        <w:rPr>
          <w:rFonts w:hint="eastAsia" w:hAnsi="宋体"/>
          <w:color w:val="auto"/>
          <w:sz w:val="24"/>
          <w:szCs w:val="24"/>
          <w:highlight w:val="none"/>
        </w:rPr>
        <w:t>本合同经甲乙双方法定代表人或委托代理人签字并加盖公章后生效。</w:t>
      </w:r>
    </w:p>
    <w:p w14:paraId="2ADC426D">
      <w:pPr>
        <w:pStyle w:val="34"/>
        <w:snapToGrid w:val="0"/>
        <w:spacing w:line="480" w:lineRule="exact"/>
        <w:ind w:firstLine="410" w:firstLineChars="171"/>
        <w:rPr>
          <w:rFonts w:hAnsi="宋体"/>
          <w:color w:val="auto"/>
          <w:sz w:val="24"/>
          <w:szCs w:val="24"/>
          <w:highlight w:val="none"/>
        </w:rPr>
      </w:pPr>
      <w:r>
        <w:rPr>
          <w:rFonts w:hint="eastAsia" w:hAnsi="宋体"/>
          <w:color w:val="auto"/>
          <w:sz w:val="24"/>
          <w:szCs w:val="24"/>
          <w:highlight w:val="none"/>
        </w:rPr>
        <w:t>3、本合同未尽事宜，经双方商议可续签补充协议。该补充协议与本合同具有相同法律效力，但该补充协议的内容不能实质性修改招标文件的主要条款。</w:t>
      </w:r>
    </w:p>
    <w:p w14:paraId="6DB1C9DD">
      <w:pPr>
        <w:pStyle w:val="34"/>
        <w:snapToGrid w:val="0"/>
        <w:spacing w:line="480" w:lineRule="exact"/>
        <w:ind w:firstLine="410" w:firstLineChars="171"/>
        <w:rPr>
          <w:rFonts w:hAnsi="宋体"/>
          <w:color w:val="auto"/>
          <w:sz w:val="24"/>
          <w:szCs w:val="24"/>
          <w:highlight w:val="none"/>
        </w:rPr>
      </w:pPr>
      <w:r>
        <w:rPr>
          <w:rFonts w:hint="eastAsia" w:hAnsi="宋体"/>
          <w:color w:val="auto"/>
          <w:sz w:val="24"/>
          <w:szCs w:val="24"/>
          <w:highlight w:val="none"/>
        </w:rPr>
        <w:t>4、本合同未涉及的部分以招标文件（</w:t>
      </w:r>
      <w:r>
        <w:rPr>
          <w:rFonts w:hAnsi="宋体"/>
          <w:color w:val="auto"/>
          <w:sz w:val="24"/>
          <w:szCs w:val="24"/>
          <w:highlight w:val="none"/>
          <w:u w:val="single"/>
        </w:rPr>
        <w:t>编号：</w:t>
      </w:r>
      <w:r>
        <w:rPr>
          <w:rFonts w:hint="eastAsia" w:hAnsi="宋体" w:cs="宋体"/>
          <w:color w:val="auto"/>
          <w:sz w:val="24"/>
          <w:szCs w:val="24"/>
          <w:highlight w:val="none"/>
          <w:u w:val="single"/>
          <w:lang w:eastAsia="zh-CN" w:bidi="ar"/>
        </w:rPr>
        <w:t>HZYS[2025]034GK</w:t>
      </w:r>
      <w:r>
        <w:rPr>
          <w:rFonts w:hint="eastAsia" w:hAnsi="宋体"/>
          <w:color w:val="auto"/>
          <w:sz w:val="24"/>
          <w:szCs w:val="24"/>
          <w:highlight w:val="none"/>
          <w:u w:val="single"/>
        </w:rPr>
        <w:t>）</w:t>
      </w:r>
      <w:r>
        <w:rPr>
          <w:rFonts w:hint="eastAsia" w:hAnsi="宋体"/>
          <w:color w:val="auto"/>
          <w:sz w:val="24"/>
          <w:szCs w:val="24"/>
          <w:highlight w:val="none"/>
        </w:rPr>
        <w:t>(包括补充更正，如有)为准，上述招标文件与乙方针对本项目投标文件及记录是本合同的附件，与本合同具有同等法律效力，但附件与主合同的规定不一致时，以主合同为准。</w:t>
      </w:r>
    </w:p>
    <w:p w14:paraId="188ACAA7">
      <w:pPr>
        <w:pStyle w:val="34"/>
        <w:snapToGrid w:val="0"/>
        <w:spacing w:line="480" w:lineRule="exact"/>
        <w:ind w:firstLine="410" w:firstLineChars="171"/>
        <w:rPr>
          <w:rFonts w:hAnsi="宋体"/>
          <w:color w:val="auto"/>
          <w:sz w:val="24"/>
          <w:szCs w:val="24"/>
          <w:highlight w:val="none"/>
        </w:rPr>
      </w:pPr>
      <w:r>
        <w:rPr>
          <w:rFonts w:hint="eastAsia" w:hAnsi="宋体"/>
          <w:color w:val="auto"/>
          <w:sz w:val="24"/>
          <w:szCs w:val="24"/>
          <w:highlight w:val="none"/>
        </w:rPr>
        <w:t>5、适用法律：本合同应按照中华人民共和国的法律进行解释。</w:t>
      </w:r>
    </w:p>
    <w:p w14:paraId="6F390D0C">
      <w:pPr>
        <w:pStyle w:val="34"/>
        <w:snapToGrid w:val="0"/>
        <w:spacing w:line="480" w:lineRule="exact"/>
        <w:ind w:firstLine="410" w:firstLineChars="171"/>
        <w:rPr>
          <w:rFonts w:hAnsi="宋体"/>
          <w:color w:val="auto"/>
          <w:sz w:val="24"/>
          <w:szCs w:val="24"/>
          <w:highlight w:val="none"/>
        </w:rPr>
      </w:pPr>
    </w:p>
    <w:p w14:paraId="18D3309B">
      <w:pPr>
        <w:spacing w:line="360" w:lineRule="auto"/>
        <w:rPr>
          <w:rFonts w:ascii="宋体" w:hAnsi="宋体" w:cs="Arial"/>
          <w:color w:val="auto"/>
          <w:sz w:val="24"/>
          <w:highlight w:val="none"/>
        </w:rPr>
      </w:pPr>
      <w:r>
        <w:rPr>
          <w:rFonts w:ascii="宋体" w:hAnsi="宋体" w:cs="Arial"/>
          <w:color w:val="auto"/>
          <w:sz w:val="24"/>
          <w:highlight w:val="none"/>
        </w:rPr>
        <w:t xml:space="preserve">甲方（盖章）：                       乙方（盖章）：        </w:t>
      </w:r>
    </w:p>
    <w:p w14:paraId="0BEF42C6">
      <w:pPr>
        <w:spacing w:line="360" w:lineRule="auto"/>
        <w:rPr>
          <w:rFonts w:ascii="宋体" w:hAnsi="宋体" w:cs="Arial"/>
          <w:color w:val="auto"/>
          <w:sz w:val="24"/>
          <w:highlight w:val="none"/>
        </w:rPr>
      </w:pPr>
      <w:r>
        <w:rPr>
          <w:rFonts w:ascii="宋体" w:hAnsi="宋体" w:cs="Arial"/>
          <w:color w:val="auto"/>
          <w:sz w:val="24"/>
          <w:highlight w:val="none"/>
        </w:rPr>
        <w:t xml:space="preserve">法定代表人：                         法定代表人：                   </w:t>
      </w:r>
    </w:p>
    <w:p w14:paraId="306EA502">
      <w:pPr>
        <w:spacing w:line="360" w:lineRule="auto"/>
        <w:rPr>
          <w:rFonts w:ascii="宋体" w:hAnsi="宋体" w:cs="Arial"/>
          <w:color w:val="auto"/>
          <w:sz w:val="24"/>
          <w:highlight w:val="none"/>
        </w:rPr>
      </w:pPr>
      <w:r>
        <w:rPr>
          <w:rFonts w:ascii="宋体" w:hAnsi="宋体" w:cs="Arial"/>
          <w:color w:val="auto"/>
          <w:sz w:val="24"/>
          <w:highlight w:val="none"/>
        </w:rPr>
        <w:t xml:space="preserve">或受委托人（签字）：                 或受委托人（签字）：                  </w:t>
      </w:r>
    </w:p>
    <w:p w14:paraId="65AAAA32">
      <w:pPr>
        <w:spacing w:line="360" w:lineRule="auto"/>
        <w:rPr>
          <w:rFonts w:ascii="宋体" w:hAnsi="宋体" w:cs="Arial"/>
          <w:color w:val="auto"/>
          <w:sz w:val="24"/>
          <w:highlight w:val="none"/>
        </w:rPr>
      </w:pPr>
      <w:r>
        <w:rPr>
          <w:rFonts w:ascii="宋体" w:hAnsi="宋体" w:cs="Arial"/>
          <w:color w:val="auto"/>
          <w:sz w:val="24"/>
          <w:highlight w:val="none"/>
        </w:rPr>
        <w:t>地址：</w:t>
      </w:r>
      <w:r>
        <w:rPr>
          <w:rFonts w:hint="eastAsia" w:ascii="宋体" w:hAnsi="宋体" w:cs="Arial"/>
          <w:color w:val="auto"/>
          <w:sz w:val="24"/>
          <w:highlight w:val="none"/>
          <w:lang w:val="en-US" w:eastAsia="zh-CN"/>
        </w:rPr>
        <w:t xml:space="preserve">                              </w:t>
      </w:r>
      <w:r>
        <w:rPr>
          <w:rFonts w:ascii="宋体" w:hAnsi="宋体" w:cs="宋体"/>
          <w:color w:val="auto"/>
          <w:kern w:val="0"/>
          <w:sz w:val="24"/>
          <w:szCs w:val="24"/>
          <w:highlight w:val="none"/>
        </w:rPr>
        <w:t xml:space="preserve"> </w:t>
      </w:r>
      <w:r>
        <w:rPr>
          <w:rFonts w:hint="eastAsia" w:ascii="宋体" w:hAnsi="宋体" w:cs="Arial"/>
          <w:color w:val="auto"/>
          <w:sz w:val="24"/>
          <w:highlight w:val="none"/>
        </w:rPr>
        <w:t>地</w:t>
      </w:r>
      <w:r>
        <w:rPr>
          <w:rFonts w:ascii="宋体" w:hAnsi="宋体" w:cs="Arial"/>
          <w:color w:val="auto"/>
          <w:sz w:val="24"/>
          <w:highlight w:val="none"/>
        </w:rPr>
        <w:t>址：</w:t>
      </w:r>
    </w:p>
    <w:p w14:paraId="2C50D407">
      <w:pPr>
        <w:spacing w:line="360" w:lineRule="auto"/>
        <w:rPr>
          <w:rFonts w:ascii="宋体" w:hAnsi="宋体" w:cs="Arial"/>
          <w:color w:val="auto"/>
          <w:sz w:val="24"/>
          <w:highlight w:val="none"/>
        </w:rPr>
      </w:pPr>
      <w:r>
        <w:rPr>
          <w:rFonts w:ascii="宋体" w:hAnsi="宋体" w:cs="Arial"/>
          <w:color w:val="auto"/>
          <w:sz w:val="24"/>
          <w:highlight w:val="none"/>
        </w:rPr>
        <w:t xml:space="preserve">电话：                    </w:t>
      </w:r>
      <w:r>
        <w:rPr>
          <w:rFonts w:hint="eastAsia" w:ascii="宋体" w:hAnsi="宋体" w:cs="Arial"/>
          <w:color w:val="auto"/>
          <w:sz w:val="24"/>
          <w:highlight w:val="none"/>
        </w:rPr>
        <w:t xml:space="preserve"> </w:t>
      </w:r>
      <w:r>
        <w:rPr>
          <w:rFonts w:hint="eastAsia" w:ascii="宋体" w:hAnsi="宋体" w:cs="Arial"/>
          <w:color w:val="auto"/>
          <w:sz w:val="24"/>
          <w:highlight w:val="none"/>
          <w:lang w:val="en-US" w:eastAsia="zh-CN"/>
        </w:rPr>
        <w:t xml:space="preserve">          </w:t>
      </w:r>
      <w:r>
        <w:rPr>
          <w:rFonts w:ascii="宋体" w:hAnsi="宋体" w:cs="Arial"/>
          <w:color w:val="auto"/>
          <w:sz w:val="24"/>
          <w:highlight w:val="none"/>
        </w:rPr>
        <w:t>电话：</w:t>
      </w:r>
    </w:p>
    <w:p w14:paraId="5E32EE52">
      <w:pPr>
        <w:spacing w:line="360" w:lineRule="auto"/>
        <w:rPr>
          <w:rFonts w:ascii="宋体" w:hAnsi="宋体" w:cs="Arial"/>
          <w:color w:val="auto"/>
          <w:sz w:val="24"/>
          <w:highlight w:val="none"/>
        </w:rPr>
      </w:pPr>
      <w:r>
        <w:rPr>
          <w:rFonts w:ascii="宋体" w:hAnsi="宋体" w:cs="Arial"/>
          <w:color w:val="auto"/>
          <w:sz w:val="24"/>
          <w:highlight w:val="none"/>
        </w:rPr>
        <w:t>开户银行：</w:t>
      </w:r>
      <w:r>
        <w:rPr>
          <w:rFonts w:hint="eastAsia" w:ascii="宋体" w:hAnsi="宋体" w:cs="Arial"/>
          <w:color w:val="auto"/>
          <w:sz w:val="24"/>
          <w:highlight w:val="none"/>
        </w:rPr>
        <w:t xml:space="preserve">   </w:t>
      </w:r>
      <w:r>
        <w:rPr>
          <w:rFonts w:ascii="宋体" w:hAnsi="宋体" w:cs="Arial"/>
          <w:color w:val="auto"/>
          <w:sz w:val="24"/>
          <w:highlight w:val="none"/>
        </w:rPr>
        <w:t xml:space="preserve">    </w:t>
      </w:r>
      <w:r>
        <w:rPr>
          <w:rFonts w:hint="eastAsia" w:ascii="宋体" w:hAnsi="宋体" w:cs="Arial"/>
          <w:color w:val="auto"/>
          <w:sz w:val="24"/>
          <w:highlight w:val="none"/>
        </w:rPr>
        <w:t xml:space="preserve">    </w:t>
      </w:r>
      <w:r>
        <w:rPr>
          <w:rFonts w:hint="eastAsia" w:ascii="宋体" w:hAnsi="宋体" w:cs="Arial"/>
          <w:color w:val="auto"/>
          <w:sz w:val="24"/>
          <w:highlight w:val="none"/>
          <w:lang w:val="en-US" w:eastAsia="zh-CN"/>
        </w:rPr>
        <w:t xml:space="preserve">                </w:t>
      </w:r>
      <w:r>
        <w:rPr>
          <w:rFonts w:ascii="宋体" w:hAnsi="宋体" w:cs="Arial"/>
          <w:color w:val="auto"/>
          <w:sz w:val="24"/>
          <w:highlight w:val="none"/>
        </w:rPr>
        <w:t>开户银行：</w:t>
      </w:r>
    </w:p>
    <w:p w14:paraId="1E2C39CC">
      <w:pPr>
        <w:spacing w:line="360" w:lineRule="auto"/>
        <w:rPr>
          <w:rFonts w:ascii="宋体" w:hAnsi="宋体" w:cs="Arial"/>
          <w:color w:val="auto"/>
          <w:sz w:val="24"/>
          <w:highlight w:val="none"/>
        </w:rPr>
      </w:pPr>
      <w:r>
        <w:rPr>
          <w:rFonts w:hint="eastAsia" w:ascii="宋体" w:hAnsi="宋体" w:cs="Arial"/>
          <w:color w:val="auto"/>
          <w:sz w:val="24"/>
          <w:highlight w:val="none"/>
          <w:lang w:eastAsia="zh-CN"/>
        </w:rPr>
        <w:t>账</w:t>
      </w:r>
      <w:r>
        <w:rPr>
          <w:rFonts w:ascii="宋体" w:hAnsi="宋体" w:cs="Arial"/>
          <w:color w:val="auto"/>
          <w:sz w:val="24"/>
          <w:highlight w:val="none"/>
        </w:rPr>
        <w:t>号：</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Arial"/>
          <w:color w:val="auto"/>
          <w:sz w:val="24"/>
          <w:highlight w:val="none"/>
          <w:lang w:eastAsia="zh-CN"/>
        </w:rPr>
        <w:t>账</w:t>
      </w:r>
      <w:r>
        <w:rPr>
          <w:rFonts w:ascii="宋体" w:hAnsi="宋体" w:cs="Arial"/>
          <w:color w:val="auto"/>
          <w:sz w:val="24"/>
          <w:highlight w:val="none"/>
        </w:rPr>
        <w:t>号：</w:t>
      </w:r>
    </w:p>
    <w:p w14:paraId="4CA426A6">
      <w:pPr>
        <w:spacing w:line="420" w:lineRule="exact"/>
        <w:rPr>
          <w:rFonts w:ascii="宋体" w:hAnsi="宋体" w:cs="Arial"/>
          <w:color w:val="auto"/>
          <w:sz w:val="24"/>
          <w:highlight w:val="none"/>
        </w:rPr>
      </w:pPr>
      <w:r>
        <w:rPr>
          <w:rFonts w:hint="eastAsia" w:ascii="宋体" w:hAnsi="宋体" w:cs="Arial"/>
          <w:color w:val="auto"/>
          <w:sz w:val="24"/>
          <w:highlight w:val="none"/>
        </w:rPr>
        <w:t xml:space="preserve">                       </w:t>
      </w:r>
    </w:p>
    <w:p w14:paraId="5C9B139D">
      <w:pPr>
        <w:spacing w:line="420" w:lineRule="exact"/>
        <w:rPr>
          <w:rFonts w:ascii="宋体" w:hAnsi="宋体" w:cs="Arial"/>
          <w:color w:val="auto"/>
          <w:sz w:val="24"/>
          <w:highlight w:val="none"/>
        </w:rPr>
      </w:pPr>
      <w:r>
        <w:rPr>
          <w:rFonts w:ascii="宋体" w:hAnsi="宋体" w:cs="Arial"/>
          <w:color w:val="auto"/>
          <w:sz w:val="24"/>
          <w:highlight w:val="none"/>
        </w:rPr>
        <w:t xml:space="preserve">                                           </w:t>
      </w:r>
    </w:p>
    <w:p w14:paraId="6B861ED8">
      <w:pPr>
        <w:spacing w:line="420" w:lineRule="exact"/>
        <w:jc w:val="both"/>
        <w:rPr>
          <w:rFonts w:ascii="宋体" w:hAnsi="宋体" w:cs="Arial"/>
          <w:color w:val="auto"/>
          <w:sz w:val="24"/>
          <w:highlight w:val="none"/>
        </w:rPr>
      </w:pPr>
      <w:r>
        <w:rPr>
          <w:rFonts w:ascii="宋体" w:hAnsi="宋体" w:cs="Arial"/>
          <w:color w:val="auto"/>
          <w:sz w:val="24"/>
          <w:highlight w:val="none"/>
        </w:rPr>
        <w:t xml:space="preserve"> 年 </w:t>
      </w:r>
      <w:r>
        <w:rPr>
          <w:rFonts w:hint="eastAsia" w:ascii="宋体" w:hAnsi="宋体" w:cs="Arial"/>
          <w:color w:val="auto"/>
          <w:sz w:val="24"/>
          <w:highlight w:val="none"/>
        </w:rPr>
        <w:t xml:space="preserve"> </w:t>
      </w:r>
      <w:r>
        <w:rPr>
          <w:rFonts w:ascii="宋体" w:hAnsi="宋体" w:cs="Arial"/>
          <w:color w:val="auto"/>
          <w:sz w:val="24"/>
          <w:highlight w:val="none"/>
        </w:rPr>
        <w:t xml:space="preserve">  月    日                      年 </w:t>
      </w:r>
      <w:r>
        <w:rPr>
          <w:rFonts w:hint="eastAsia" w:ascii="宋体" w:hAnsi="宋体" w:cs="Arial"/>
          <w:color w:val="auto"/>
          <w:sz w:val="24"/>
          <w:highlight w:val="none"/>
        </w:rPr>
        <w:t xml:space="preserve"> </w:t>
      </w:r>
      <w:r>
        <w:rPr>
          <w:rFonts w:ascii="宋体" w:hAnsi="宋体" w:cs="Arial"/>
          <w:color w:val="auto"/>
          <w:sz w:val="24"/>
          <w:highlight w:val="none"/>
        </w:rPr>
        <w:t xml:space="preserve">  月    日</w:t>
      </w:r>
    </w:p>
    <w:p w14:paraId="346E416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08B40679">
      <w:pPr>
        <w:pStyle w:val="79"/>
        <w:rPr>
          <w:color w:val="auto"/>
          <w:highlight w:val="none"/>
        </w:rPr>
      </w:pPr>
    </w:p>
    <w:p w14:paraId="0D68F122">
      <w:pPr>
        <w:pStyle w:val="79"/>
        <w:rPr>
          <w:color w:val="auto"/>
          <w:highlight w:val="none"/>
        </w:rPr>
      </w:pPr>
    </w:p>
    <w:p w14:paraId="35BF575A">
      <w:pPr>
        <w:pStyle w:val="79"/>
        <w:rPr>
          <w:color w:val="auto"/>
          <w:highlight w:val="none"/>
        </w:rPr>
      </w:pPr>
    </w:p>
    <w:p w14:paraId="54BE5923">
      <w:pPr>
        <w:pStyle w:val="79"/>
        <w:rPr>
          <w:color w:val="auto"/>
          <w:highlight w:val="none"/>
        </w:rPr>
      </w:pPr>
    </w:p>
    <w:p w14:paraId="4F62E193">
      <w:pPr>
        <w:pStyle w:val="79"/>
        <w:rPr>
          <w:color w:val="auto"/>
          <w:highlight w:val="none"/>
        </w:rPr>
      </w:pPr>
    </w:p>
    <w:p w14:paraId="1309078D">
      <w:pPr>
        <w:pStyle w:val="79"/>
        <w:rPr>
          <w:color w:val="auto"/>
          <w:highlight w:val="none"/>
        </w:rPr>
      </w:pPr>
    </w:p>
    <w:p w14:paraId="7F006CFA">
      <w:pPr>
        <w:pStyle w:val="79"/>
        <w:rPr>
          <w:color w:val="auto"/>
          <w:highlight w:val="none"/>
        </w:rPr>
      </w:pPr>
    </w:p>
    <w:p w14:paraId="245CF149">
      <w:pPr>
        <w:pStyle w:val="79"/>
        <w:rPr>
          <w:color w:val="auto"/>
          <w:highlight w:val="none"/>
        </w:rPr>
      </w:pPr>
    </w:p>
    <w:p w14:paraId="4F96615E">
      <w:pPr>
        <w:pStyle w:val="79"/>
        <w:rPr>
          <w:color w:val="auto"/>
          <w:highlight w:val="none"/>
        </w:rPr>
      </w:pPr>
    </w:p>
    <w:p w14:paraId="312B4377">
      <w:pPr>
        <w:pStyle w:val="79"/>
        <w:rPr>
          <w:color w:val="auto"/>
          <w:highlight w:val="none"/>
        </w:rPr>
      </w:pPr>
    </w:p>
    <w:p w14:paraId="3F503DC6">
      <w:pPr>
        <w:pStyle w:val="79"/>
        <w:rPr>
          <w:color w:val="auto"/>
          <w:highlight w:val="none"/>
        </w:rPr>
      </w:pPr>
    </w:p>
    <w:p w14:paraId="166FC82B">
      <w:pPr>
        <w:pStyle w:val="79"/>
        <w:rPr>
          <w:color w:val="auto"/>
          <w:highlight w:val="none"/>
        </w:rPr>
      </w:pPr>
    </w:p>
    <w:p w14:paraId="26B1637D">
      <w:pPr>
        <w:pStyle w:val="79"/>
        <w:rPr>
          <w:color w:val="auto"/>
          <w:highlight w:val="none"/>
        </w:rPr>
      </w:pPr>
    </w:p>
    <w:p w14:paraId="7A6DD981">
      <w:pPr>
        <w:pStyle w:val="79"/>
        <w:rPr>
          <w:color w:val="auto"/>
          <w:highlight w:val="none"/>
        </w:rPr>
      </w:pPr>
    </w:p>
    <w:p w14:paraId="3012439D">
      <w:pPr>
        <w:pStyle w:val="79"/>
        <w:rPr>
          <w:color w:val="auto"/>
          <w:highlight w:val="none"/>
        </w:rPr>
      </w:pPr>
    </w:p>
    <w:p w14:paraId="3E2AE45F">
      <w:pPr>
        <w:pStyle w:val="79"/>
        <w:rPr>
          <w:color w:val="auto"/>
          <w:highlight w:val="none"/>
        </w:rPr>
      </w:pPr>
    </w:p>
    <w:p w14:paraId="2B2B6933">
      <w:pPr>
        <w:pStyle w:val="79"/>
        <w:rPr>
          <w:color w:val="auto"/>
          <w:highlight w:val="none"/>
        </w:rPr>
      </w:pPr>
    </w:p>
    <w:p w14:paraId="202CBC68">
      <w:pPr>
        <w:pStyle w:val="79"/>
        <w:rPr>
          <w:color w:val="auto"/>
          <w:highlight w:val="none"/>
        </w:rPr>
      </w:pPr>
    </w:p>
    <w:p w14:paraId="4ED2D5C5">
      <w:pPr>
        <w:pStyle w:val="79"/>
        <w:rPr>
          <w:color w:val="auto"/>
          <w:highlight w:val="none"/>
        </w:rPr>
      </w:pPr>
    </w:p>
    <w:p w14:paraId="27D2CBCE">
      <w:pPr>
        <w:pStyle w:val="79"/>
        <w:rPr>
          <w:color w:val="auto"/>
          <w:highlight w:val="none"/>
        </w:rPr>
      </w:pPr>
    </w:p>
    <w:p w14:paraId="62B3895B">
      <w:pPr>
        <w:pStyle w:val="79"/>
        <w:rPr>
          <w:color w:val="auto"/>
          <w:highlight w:val="none"/>
        </w:rPr>
      </w:pPr>
    </w:p>
    <w:p w14:paraId="602197E6">
      <w:pPr>
        <w:pStyle w:val="79"/>
        <w:rPr>
          <w:color w:val="auto"/>
          <w:highlight w:val="none"/>
        </w:rPr>
      </w:pPr>
    </w:p>
    <w:p w14:paraId="67A3BF02">
      <w:pPr>
        <w:pStyle w:val="79"/>
        <w:rPr>
          <w:color w:val="auto"/>
          <w:highlight w:val="none"/>
        </w:rPr>
      </w:pPr>
    </w:p>
    <w:p w14:paraId="5CE54D72">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淳安县图书馆</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2025年淳安县农家书屋图书</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HZYS[2025]034GK</w:t>
      </w:r>
      <w:r>
        <w:rPr>
          <w:rFonts w:hint="eastAsia" w:ascii="宋体" w:hAnsi="宋体" w:cs="宋体"/>
          <w:color w:val="auto"/>
          <w:sz w:val="24"/>
          <w:highlight w:val="none"/>
        </w:rPr>
        <w:t>】政府采购活动，郑重承诺：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2EC1D479">
      <w:pPr>
        <w:widowControl/>
        <w:spacing w:line="360" w:lineRule="auto"/>
        <w:ind w:firstLine="643" w:firstLineChars="200"/>
        <w:jc w:val="center"/>
        <w:rPr>
          <w:rFonts w:hint="eastAsia" w:ascii="宋体" w:hAnsi="宋体" w:cs="宋体"/>
          <w:b/>
          <w:color w:val="auto"/>
          <w:kern w:val="0"/>
          <w:sz w:val="32"/>
          <w:szCs w:val="32"/>
          <w:highlight w:val="none"/>
        </w:rPr>
      </w:pPr>
    </w:p>
    <w:p w14:paraId="27625097">
      <w:pPr>
        <w:widowControl/>
        <w:spacing w:line="360" w:lineRule="auto"/>
        <w:ind w:firstLine="643" w:firstLineChars="200"/>
        <w:jc w:val="center"/>
        <w:rPr>
          <w:rFonts w:hint="eastAsia"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5"/>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71F37158">
      <w:pPr>
        <w:snapToGrid w:val="0"/>
        <w:spacing w:line="360" w:lineRule="auto"/>
        <w:ind w:firstLine="3855" w:firstLineChars="1200"/>
        <w:outlineLvl w:val="0"/>
        <w:rPr>
          <w:rFonts w:hint="eastAsia" w:ascii="宋体" w:hAnsi="宋体" w:cs="宋体"/>
          <w:b/>
          <w:color w:val="auto"/>
          <w:kern w:val="0"/>
          <w:sz w:val="32"/>
          <w:szCs w:val="32"/>
          <w:highlight w:val="none"/>
        </w:rPr>
      </w:pPr>
    </w:p>
    <w:p w14:paraId="1FEC6923">
      <w:pPr>
        <w:snapToGrid w:val="0"/>
        <w:spacing w:line="360" w:lineRule="auto"/>
        <w:ind w:firstLine="3855" w:firstLineChars="1200"/>
        <w:outlineLvl w:val="0"/>
        <w:rPr>
          <w:rFonts w:hint="eastAsia" w:ascii="宋体" w:hAnsi="宋体" w:cs="宋体"/>
          <w:b/>
          <w:color w:val="auto"/>
          <w:kern w:val="0"/>
          <w:sz w:val="32"/>
          <w:szCs w:val="32"/>
          <w:highlight w:val="none"/>
        </w:rPr>
      </w:pPr>
    </w:p>
    <w:p w14:paraId="159D7CB0">
      <w:pPr>
        <w:snapToGrid w:val="0"/>
        <w:spacing w:line="360" w:lineRule="auto"/>
        <w:ind w:firstLine="3855" w:firstLineChars="1200"/>
        <w:outlineLvl w:val="0"/>
        <w:rPr>
          <w:rFonts w:hint="eastAsia"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淳安县图书馆</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2025年淳安县农家书屋图书</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HZYS[2025]034GK</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填写具体天数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0F9E6A06">
      <w:pPr>
        <w:pStyle w:val="5"/>
        <w:rPr>
          <w:rFonts w:ascii="宋体" w:hAnsi="宋体" w:cs="宋体"/>
          <w:b/>
          <w:color w:val="auto"/>
          <w:kern w:val="0"/>
          <w:sz w:val="32"/>
          <w:szCs w:val="32"/>
          <w:highlight w:val="none"/>
        </w:rPr>
      </w:pPr>
    </w:p>
    <w:p w14:paraId="18690D4C">
      <w:pPr>
        <w:rPr>
          <w:rFonts w:ascii="宋体" w:hAnsi="宋体" w:cs="宋体"/>
          <w:b/>
          <w:color w:val="auto"/>
          <w:kern w:val="0"/>
          <w:sz w:val="32"/>
          <w:szCs w:val="32"/>
          <w:highlight w:val="none"/>
        </w:rPr>
      </w:pPr>
    </w:p>
    <w:p w14:paraId="0CF08961">
      <w:pPr>
        <w:pStyle w:val="5"/>
        <w:rPr>
          <w:rFonts w:ascii="宋体" w:hAnsi="宋体" w:cs="宋体"/>
          <w:b/>
          <w:color w:val="auto"/>
          <w:kern w:val="0"/>
          <w:sz w:val="32"/>
          <w:szCs w:val="32"/>
          <w:highlight w:val="none"/>
        </w:rPr>
      </w:pPr>
    </w:p>
    <w:p w14:paraId="5D89502C">
      <w:pPr>
        <w:rPr>
          <w:rFonts w:ascii="宋体" w:hAnsi="宋体" w:cs="宋体"/>
          <w:b/>
          <w:color w:val="auto"/>
          <w:kern w:val="0"/>
          <w:sz w:val="32"/>
          <w:szCs w:val="32"/>
          <w:highlight w:val="none"/>
        </w:rPr>
      </w:pPr>
    </w:p>
    <w:p w14:paraId="563FD206">
      <w:pPr>
        <w:pStyle w:val="5"/>
        <w:rPr>
          <w:rFonts w:ascii="宋体" w:hAnsi="宋体" w:cs="宋体"/>
          <w:b/>
          <w:color w:val="auto"/>
          <w:kern w:val="0"/>
          <w:sz w:val="32"/>
          <w:szCs w:val="32"/>
          <w:highlight w:val="none"/>
        </w:rPr>
      </w:pPr>
    </w:p>
    <w:p w14:paraId="1D13969D">
      <w:pPr>
        <w:rPr>
          <w:rFonts w:ascii="宋体" w:hAnsi="宋体" w:cs="宋体"/>
          <w:b/>
          <w:color w:val="auto"/>
          <w:kern w:val="0"/>
          <w:sz w:val="32"/>
          <w:szCs w:val="32"/>
          <w:highlight w:val="none"/>
        </w:rPr>
      </w:pPr>
    </w:p>
    <w:p w14:paraId="31D04B4A">
      <w:pPr>
        <w:pStyle w:val="5"/>
        <w:rPr>
          <w:color w:val="auto"/>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淳安县图书馆</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2025年淳安县农家书屋图书</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HZYS[2025]034GK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淳安县图书馆</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2025年淳安县农家书屋图书</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HZYS[2025]034GK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1"/>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5"/>
        <w:rPr>
          <w:color w:val="auto"/>
          <w:highlight w:val="none"/>
          <w:lang w:val="en-US"/>
        </w:rPr>
      </w:pPr>
    </w:p>
    <w:p w14:paraId="30874314">
      <w:pPr>
        <w:rPr>
          <w:color w:val="auto"/>
          <w:highlight w:val="none"/>
        </w:rPr>
      </w:pPr>
    </w:p>
    <w:p w14:paraId="07890F6E">
      <w:pPr>
        <w:pStyle w:val="5"/>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69012C4E">
      <w:pPr>
        <w:jc w:val="center"/>
        <w:rPr>
          <w:rFonts w:hint="eastAsia" w:ascii="宋体" w:hAnsi="宋体" w:cs="宋体"/>
          <w:b/>
          <w:color w:val="auto"/>
          <w:kern w:val="0"/>
          <w:sz w:val="32"/>
          <w:szCs w:val="32"/>
          <w:highlight w:val="none"/>
        </w:rPr>
      </w:pPr>
    </w:p>
    <w:p w14:paraId="007D11DB">
      <w:pPr>
        <w:jc w:val="center"/>
        <w:rPr>
          <w:rFonts w:hint="eastAsia"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淳安县图书馆</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淳安县图书馆</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2025年淳安县农家书屋图书</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HZYS[2025]034GK</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单位</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559" w:type="dxa"/>
            <w:vAlign w:val="center"/>
          </w:tcPr>
          <w:p w14:paraId="53C4C125">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w:t>
            </w: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p>
        </w:tc>
        <w:tc>
          <w:tcPr>
            <w:tcW w:w="1417" w:type="dxa"/>
            <w:vAlign w:val="center"/>
          </w:tcPr>
          <w:p w14:paraId="4D01A4E2">
            <w:pPr>
              <w:snapToGrid w:val="0"/>
              <w:spacing w:line="360" w:lineRule="auto"/>
              <w:jc w:val="center"/>
              <w:rPr>
                <w:rFonts w:ascii="宋体" w:hAnsi="宋体" w:cs="宋体"/>
                <w:color w:val="auto"/>
                <w:sz w:val="24"/>
                <w:highlight w:val="none"/>
              </w:rPr>
            </w:pP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投标折扣（%）</w:t>
            </w:r>
          </w:p>
        </w:tc>
        <w:tc>
          <w:tcPr>
            <w:tcW w:w="7655" w:type="dxa"/>
            <w:gridSpan w:val="4"/>
            <w:vAlign w:val="center"/>
          </w:tcPr>
          <w:p w14:paraId="0D875286">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0DFE94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r>
        <w:rPr>
          <w:rFonts w:hint="eastAsia" w:ascii="宋体" w:hAnsi="宋体" w:cs="宋体"/>
          <w:b/>
          <w:bCs/>
          <w:color w:val="auto"/>
          <w:sz w:val="24"/>
          <w:highlight w:val="none"/>
        </w:rPr>
        <w:t>报价折扣要求在85%及以下，否则为无效报价</w:t>
      </w:r>
      <w:r>
        <w:rPr>
          <w:rFonts w:hint="eastAsia" w:ascii="宋体" w:hAnsi="宋体" w:cs="宋体"/>
          <w:color w:val="auto"/>
          <w:sz w:val="24"/>
          <w:highlight w:val="none"/>
        </w:rPr>
        <w:t>。</w:t>
      </w:r>
    </w:p>
    <w:p w14:paraId="2CDA9ECD">
      <w:pPr>
        <w:spacing w:line="360" w:lineRule="auto"/>
        <w:ind w:left="-2" w:leftChars="-1" w:firstLine="480" w:firstLineChars="200"/>
        <w:rPr>
          <w:rFonts w:ascii="宋体" w:hAnsi="宋体" w:cs="宋体"/>
          <w:color w:val="auto"/>
          <w:kern w:val="0"/>
          <w:sz w:val="24"/>
          <w:highlight w:val="none"/>
          <w:lang w:val="zh-CN"/>
        </w:rPr>
      </w:pP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29D2DA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1904D71">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5、报价如填写明细，格式自拟。</w:t>
      </w:r>
    </w:p>
    <w:p w14:paraId="484799C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6、特别说明：供应商报价低于项目预算50%的，应当在报价文件中详细阐述不影响服务质量或者诚信履约的具体原因，否则为无效报价。</w:t>
      </w:r>
    </w:p>
    <w:p w14:paraId="57AEAF9F">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2" w:name="_Hlk101259491"/>
      <w:r>
        <w:rPr>
          <w:rFonts w:hint="eastAsia" w:ascii="宋体" w:hAnsi="宋体" w:eastAsia="宋体" w:cs="宋体"/>
          <w:color w:val="auto"/>
          <w:sz w:val="32"/>
          <w:szCs w:val="32"/>
          <w:highlight w:val="none"/>
        </w:rPr>
        <w:t>（如果有）</w:t>
      </w:r>
      <w:bookmarkEnd w:id="402"/>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3" w:name="_Toc465665161"/>
      <w:r>
        <w:rPr>
          <w:rFonts w:hint="eastAsia" w:ascii="宋体" w:hAnsi="宋体" w:cs="宋体"/>
          <w:color w:val="auto"/>
          <w:highlight w:val="none"/>
        </w:rPr>
        <w:t>附件</w:t>
      </w:r>
      <w:bookmarkEnd w:id="403"/>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4" w:name="OLE_LINK14"/>
      <w:bookmarkStart w:id="405" w:name="OLE_LINK13"/>
      <w:r>
        <w:rPr>
          <w:rFonts w:hint="eastAsia" w:ascii="宋体" w:hAnsi="宋体" w:cs="宋体"/>
          <w:b/>
          <w:color w:val="auto"/>
          <w:spacing w:val="6"/>
          <w:sz w:val="32"/>
          <w:szCs w:val="32"/>
          <w:highlight w:val="none"/>
        </w:rPr>
        <w:t>残疾人福利性单位声明函</w:t>
      </w:r>
    </w:p>
    <w:bookmarkEnd w:id="404"/>
    <w:bookmarkEnd w:id="405"/>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淳安县图书馆</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2025年淳安县农家书屋图书</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75F97B02">
      <w:pPr>
        <w:spacing w:line="360" w:lineRule="auto"/>
        <w:jc w:val="left"/>
        <w:rPr>
          <w:rFonts w:hint="eastAsia" w:ascii="宋体" w:hAnsi="宋体" w:cs="宋体"/>
          <w:b/>
          <w:color w:val="auto"/>
          <w:spacing w:val="6"/>
          <w:sz w:val="32"/>
          <w:szCs w:val="32"/>
          <w:highlight w:val="none"/>
        </w:rPr>
      </w:pPr>
    </w:p>
    <w:p w14:paraId="7F1C8444">
      <w:pPr>
        <w:spacing w:line="360" w:lineRule="auto"/>
        <w:jc w:val="left"/>
        <w:rPr>
          <w:rFonts w:hint="eastAsia" w:ascii="宋体" w:hAnsi="宋体" w:cs="宋体"/>
          <w:b/>
          <w:color w:val="auto"/>
          <w:spacing w:val="6"/>
          <w:sz w:val="32"/>
          <w:szCs w:val="32"/>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32A5201">
      <w:pPr>
        <w:spacing w:line="360" w:lineRule="auto"/>
        <w:rPr>
          <w:rFonts w:hint="eastAsia" w:ascii="宋体" w:hAnsi="宋体" w:cs="宋体"/>
          <w:b/>
          <w:color w:val="auto"/>
          <w:sz w:val="24"/>
          <w:highlight w:val="none"/>
        </w:rPr>
      </w:pPr>
    </w:p>
    <w:p w14:paraId="523703DA">
      <w:pPr>
        <w:spacing w:line="360" w:lineRule="auto"/>
        <w:rPr>
          <w:rFonts w:hint="eastAsia" w:ascii="宋体" w:hAnsi="宋体" w:cs="宋体"/>
          <w:b/>
          <w:color w:val="auto"/>
          <w:sz w:val="24"/>
          <w:highlight w:val="none"/>
        </w:rPr>
      </w:pPr>
    </w:p>
    <w:p w14:paraId="67FEA684">
      <w:pPr>
        <w:spacing w:line="360" w:lineRule="auto"/>
        <w:rPr>
          <w:rFonts w:hint="eastAsia" w:ascii="宋体" w:hAnsi="宋体" w:cs="宋体"/>
          <w:b/>
          <w:color w:val="auto"/>
          <w:sz w:val="24"/>
          <w:highlight w:val="none"/>
        </w:rPr>
      </w:pP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37E485C1">
      <w:pPr>
        <w:spacing w:line="360" w:lineRule="auto"/>
        <w:jc w:val="left"/>
        <w:rPr>
          <w:rFonts w:hint="eastAsia" w:ascii="宋体" w:hAnsi="宋体" w:cs="宋体"/>
          <w:b/>
          <w:color w:val="auto"/>
          <w:spacing w:val="6"/>
          <w:sz w:val="32"/>
          <w:szCs w:val="32"/>
          <w:highlight w:val="none"/>
        </w:rPr>
      </w:pPr>
    </w:p>
    <w:p w14:paraId="24555BB1">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35F890">
      <w:pPr>
        <w:autoSpaceDE w:val="0"/>
        <w:autoSpaceDN w:val="0"/>
        <w:jc w:val="center"/>
        <w:rPr>
          <w:rFonts w:hint="eastAsia" w:ascii="宋体" w:hAnsi="宋体" w:cs="宋体"/>
          <w:b/>
          <w:color w:val="auto"/>
          <w:spacing w:val="6"/>
          <w:sz w:val="32"/>
          <w:szCs w:val="32"/>
          <w:highlight w:val="none"/>
        </w:rPr>
      </w:pPr>
    </w:p>
    <w:p w14:paraId="19B9D54A">
      <w:pPr>
        <w:autoSpaceDE w:val="0"/>
        <w:autoSpaceDN w:val="0"/>
        <w:jc w:val="center"/>
        <w:rPr>
          <w:rFonts w:hint="eastAsia" w:ascii="宋体" w:hAnsi="宋体" w:cs="宋体"/>
          <w:b/>
          <w:color w:val="auto"/>
          <w:spacing w:val="6"/>
          <w:sz w:val="32"/>
          <w:szCs w:val="32"/>
          <w:highlight w:val="none"/>
        </w:rPr>
      </w:pPr>
    </w:p>
    <w:p w14:paraId="4616B0AB">
      <w:pPr>
        <w:autoSpaceDE w:val="0"/>
        <w:autoSpaceDN w:val="0"/>
        <w:jc w:val="center"/>
        <w:rPr>
          <w:rFonts w:hint="eastAsia" w:ascii="宋体" w:hAnsi="宋体" w:cs="宋体"/>
          <w:b/>
          <w:color w:val="auto"/>
          <w:spacing w:val="6"/>
          <w:sz w:val="32"/>
          <w:szCs w:val="32"/>
          <w:highlight w:val="none"/>
        </w:rPr>
      </w:pPr>
    </w:p>
    <w:p w14:paraId="70AA461F">
      <w:pPr>
        <w:autoSpaceDE w:val="0"/>
        <w:autoSpaceDN w:val="0"/>
        <w:jc w:val="center"/>
        <w:rPr>
          <w:rFonts w:hint="eastAsia" w:ascii="宋体" w:hAnsi="宋体" w:cs="宋体"/>
          <w:b/>
          <w:color w:val="auto"/>
          <w:spacing w:val="6"/>
          <w:sz w:val="32"/>
          <w:szCs w:val="32"/>
          <w:highlight w:val="none"/>
        </w:rPr>
      </w:pPr>
    </w:p>
    <w:p w14:paraId="121019D8">
      <w:pPr>
        <w:autoSpaceDE w:val="0"/>
        <w:autoSpaceDN w:val="0"/>
        <w:jc w:val="center"/>
        <w:rPr>
          <w:rFonts w:hint="eastAsia" w:ascii="宋体" w:hAnsi="宋体" w:cs="宋体"/>
          <w:b/>
          <w:color w:val="auto"/>
          <w:spacing w:val="6"/>
          <w:sz w:val="32"/>
          <w:szCs w:val="32"/>
          <w:highlight w:val="none"/>
        </w:rPr>
      </w:pPr>
    </w:p>
    <w:p w14:paraId="317CF024">
      <w:pPr>
        <w:autoSpaceDE w:val="0"/>
        <w:autoSpaceDN w:val="0"/>
        <w:jc w:val="center"/>
        <w:rPr>
          <w:rFonts w:hint="eastAsia" w:ascii="宋体" w:hAnsi="宋体" w:cs="宋体"/>
          <w:b/>
          <w:color w:val="auto"/>
          <w:spacing w:val="6"/>
          <w:sz w:val="32"/>
          <w:szCs w:val="32"/>
          <w:highlight w:val="none"/>
        </w:rPr>
      </w:pPr>
    </w:p>
    <w:p w14:paraId="0A048590">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淳安县图书馆</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杭州永盛联合会计师事务所（普通合伙）</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2025年淳安县农家书屋图书</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HZYS[2025]034GK</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4327947B">
      <w:pPr>
        <w:pStyle w:val="5"/>
        <w:rPr>
          <w:rFonts w:ascii="宋体" w:hAnsi="宋体" w:cs="宋体"/>
          <w:b/>
          <w:color w:val="auto"/>
          <w:spacing w:val="6"/>
          <w:sz w:val="32"/>
          <w:szCs w:val="32"/>
          <w:highlight w:val="none"/>
        </w:rPr>
      </w:pPr>
    </w:p>
    <w:p w14:paraId="59562290">
      <w:pPr>
        <w:rPr>
          <w:rFonts w:ascii="宋体" w:hAnsi="宋体" w:cs="宋体"/>
          <w:b/>
          <w:color w:val="auto"/>
          <w:spacing w:val="6"/>
          <w:sz w:val="32"/>
          <w:szCs w:val="32"/>
          <w:highlight w:val="none"/>
        </w:rPr>
      </w:pPr>
    </w:p>
    <w:p w14:paraId="36753B45">
      <w:pPr>
        <w:pStyle w:val="5"/>
        <w:rPr>
          <w:color w:val="auto"/>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2025年淳安县农家书屋图书</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HZYS[2025]034GK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0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6"/>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0C1F0924">
      <w:pPr>
        <w:pStyle w:val="5"/>
        <w:rPr>
          <w:rFonts w:ascii="宋体" w:hAnsi="宋体" w:cs="宋体"/>
          <w:b/>
          <w:color w:val="auto"/>
          <w:spacing w:val="6"/>
          <w:sz w:val="32"/>
          <w:szCs w:val="32"/>
          <w:highlight w:val="none"/>
        </w:rPr>
      </w:pPr>
    </w:p>
    <w:p w14:paraId="3A51299E">
      <w:pPr>
        <w:rPr>
          <w:rFonts w:ascii="宋体" w:hAnsi="宋体" w:cs="宋体"/>
          <w:b/>
          <w:color w:val="auto"/>
          <w:spacing w:val="6"/>
          <w:sz w:val="32"/>
          <w:szCs w:val="32"/>
          <w:highlight w:val="none"/>
        </w:rPr>
      </w:pPr>
    </w:p>
    <w:p w14:paraId="1F8A8113">
      <w:pPr>
        <w:pStyle w:val="5"/>
        <w:rPr>
          <w:rFonts w:ascii="宋体" w:hAnsi="宋体" w:cs="宋体"/>
          <w:b/>
          <w:color w:val="auto"/>
          <w:spacing w:val="6"/>
          <w:sz w:val="32"/>
          <w:szCs w:val="32"/>
          <w:highlight w:val="none"/>
        </w:rPr>
      </w:pPr>
    </w:p>
    <w:p w14:paraId="794C175B">
      <w:pPr>
        <w:pStyle w:val="5"/>
        <w:ind w:left="0" w:leftChars="0" w:firstLine="0" w:firstLineChars="0"/>
        <w:rPr>
          <w:color w:val="auto"/>
          <w:highlight w:val="none"/>
        </w:rPr>
      </w:pPr>
    </w:p>
    <w:p w14:paraId="5D8F09DB">
      <w:pPr>
        <w:autoSpaceDE w:val="0"/>
        <w:autoSpaceDN w:val="0"/>
        <w:jc w:val="center"/>
        <w:rPr>
          <w:rFonts w:ascii="宋体" w:hAnsi="宋体" w:cs="宋体"/>
          <w:b/>
          <w:color w:val="auto"/>
          <w:spacing w:val="6"/>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2025年淳安县农家书屋图书</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HZYS[2025]034GK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7"/>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3FE11D3F">
      <w:pPr>
        <w:pStyle w:val="5"/>
        <w:rPr>
          <w:rFonts w:ascii="宋体" w:hAnsi="宋体" w:cs="宋体"/>
          <w:b/>
          <w:color w:val="auto"/>
          <w:spacing w:val="6"/>
          <w:sz w:val="32"/>
          <w:szCs w:val="32"/>
          <w:highlight w:val="none"/>
        </w:rPr>
      </w:pPr>
    </w:p>
    <w:p w14:paraId="67D66E59">
      <w:pPr>
        <w:rPr>
          <w:rFonts w:ascii="宋体" w:hAnsi="宋体" w:cs="宋体"/>
          <w:b/>
          <w:color w:val="auto"/>
          <w:spacing w:val="6"/>
          <w:sz w:val="32"/>
          <w:szCs w:val="32"/>
          <w:highlight w:val="none"/>
        </w:rPr>
      </w:pPr>
    </w:p>
    <w:p w14:paraId="2FF8CBE0">
      <w:pPr>
        <w:pStyle w:val="5"/>
        <w:rPr>
          <w:rFonts w:ascii="宋体" w:hAnsi="宋体" w:cs="宋体"/>
          <w:b/>
          <w:color w:val="auto"/>
          <w:spacing w:val="6"/>
          <w:sz w:val="32"/>
          <w:szCs w:val="32"/>
          <w:highlight w:val="none"/>
        </w:rPr>
      </w:pPr>
    </w:p>
    <w:p w14:paraId="5BDF0804">
      <w:pPr>
        <w:rPr>
          <w:rFonts w:ascii="宋体" w:hAnsi="宋体" w:cs="宋体"/>
          <w:b/>
          <w:color w:val="auto"/>
          <w:spacing w:val="6"/>
          <w:sz w:val="32"/>
          <w:szCs w:val="32"/>
          <w:highlight w:val="none"/>
        </w:rPr>
      </w:pPr>
    </w:p>
    <w:p w14:paraId="1CA9891B">
      <w:pPr>
        <w:pStyle w:val="5"/>
        <w:rPr>
          <w:rFonts w:ascii="宋体" w:hAnsi="宋体" w:cs="宋体"/>
          <w:b/>
          <w:color w:val="auto"/>
          <w:spacing w:val="6"/>
          <w:sz w:val="32"/>
          <w:szCs w:val="32"/>
          <w:highlight w:val="none"/>
        </w:rPr>
      </w:pPr>
    </w:p>
    <w:p w14:paraId="017C1552">
      <w:pPr>
        <w:rPr>
          <w:color w:val="auto"/>
          <w:highlight w:val="none"/>
        </w:rPr>
      </w:pPr>
    </w:p>
    <w:p w14:paraId="00FEFF03">
      <w:pPr>
        <w:autoSpaceDE w:val="0"/>
        <w:autoSpaceDN w:val="0"/>
        <w:jc w:val="center"/>
        <w:rPr>
          <w:rFonts w:ascii="宋体" w:hAnsi="宋体" w:cs="宋体"/>
          <w:b/>
          <w:color w:val="auto"/>
          <w:spacing w:val="6"/>
          <w:sz w:val="32"/>
          <w:szCs w:val="32"/>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2025年淳安县农家书屋图书</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433AD2DE">
      <w:pPr>
        <w:widowControl/>
        <w:adjustRightInd/>
        <w:spacing w:line="330" w:lineRule="atLeast"/>
        <w:jc w:val="center"/>
        <w:rPr>
          <w:rFonts w:hint="eastAsia" w:ascii="方正小标宋_GBK" w:hAnsi="宋体" w:eastAsia="方正小标宋_GBK" w:cs="宋体"/>
          <w:color w:val="auto"/>
          <w:kern w:val="0"/>
          <w:sz w:val="36"/>
          <w:szCs w:val="32"/>
          <w:highlight w:val="none"/>
        </w:rPr>
      </w:pPr>
    </w:p>
    <w:p w14:paraId="20F790A7">
      <w:pPr>
        <w:widowControl/>
        <w:adjustRightInd/>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注意：所有正版图书的出版商都是小型、微型企业须逐项填写“相关企业的具体情况”，即出版商情况。但所有正版图书如果有一个出版商是非小微企业则不用提供中小企业声明函。内容不是逐项填写的不</w:t>
      </w:r>
      <w:r>
        <w:rPr>
          <w:rFonts w:hint="eastAsia" w:ascii="方正小标宋_GBK" w:hAnsi="宋体" w:eastAsia="方正小标宋_GBK" w:cs="宋体"/>
          <w:color w:val="auto"/>
          <w:kern w:val="0"/>
          <w:sz w:val="36"/>
          <w:szCs w:val="32"/>
          <w:highlight w:val="none"/>
          <w:lang w:eastAsia="zh-CN"/>
        </w:rPr>
        <w:t>享受价格扣除</w:t>
      </w:r>
      <w:bookmarkStart w:id="413" w:name="_GoBack"/>
      <w:bookmarkEnd w:id="413"/>
      <w:r>
        <w:rPr>
          <w:rFonts w:hint="eastAsia" w:ascii="方正小标宋_GBK" w:hAnsi="宋体" w:eastAsia="方正小标宋_GBK" w:cs="宋体"/>
          <w:color w:val="auto"/>
          <w:kern w:val="0"/>
          <w:sz w:val="36"/>
          <w:szCs w:val="32"/>
          <w:highlight w:val="none"/>
        </w:rPr>
        <w:t>。</w:t>
      </w:r>
    </w:p>
    <w:p w14:paraId="6909CDB5">
      <w:pPr>
        <w:widowControl/>
        <w:adjustRightInd/>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2"/>
        <w:tblW w:w="45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609"/>
        <w:gridCol w:w="956"/>
        <w:gridCol w:w="1055"/>
        <w:gridCol w:w="1397"/>
        <w:gridCol w:w="1238"/>
        <w:gridCol w:w="1023"/>
      </w:tblGrid>
      <w:tr w14:paraId="50DC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706" w:type="pct"/>
            <w:noWrap w:val="0"/>
            <w:vAlign w:val="center"/>
          </w:tcPr>
          <w:p w14:paraId="0136F14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949" w:type="pct"/>
            <w:noWrap w:val="0"/>
            <w:vAlign w:val="center"/>
          </w:tcPr>
          <w:p w14:paraId="3DAD434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563" w:type="pct"/>
            <w:noWrap w:val="0"/>
            <w:vAlign w:val="center"/>
          </w:tcPr>
          <w:p w14:paraId="1BB2C8B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622" w:type="pct"/>
            <w:noWrap w:val="0"/>
            <w:vAlign w:val="center"/>
          </w:tcPr>
          <w:p w14:paraId="6ED8C74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824" w:type="pct"/>
            <w:noWrap w:val="0"/>
            <w:vAlign w:val="center"/>
          </w:tcPr>
          <w:p w14:paraId="68EDA20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730" w:type="pct"/>
            <w:noWrap w:val="0"/>
            <w:vAlign w:val="center"/>
          </w:tcPr>
          <w:p w14:paraId="06A7347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603" w:type="pct"/>
            <w:noWrap w:val="0"/>
            <w:vAlign w:val="center"/>
          </w:tcPr>
          <w:p w14:paraId="241DE72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115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198" w:type="dxa"/>
            <w:vMerge w:val="restart"/>
            <w:noWrap w:val="0"/>
            <w:vAlign w:val="center"/>
          </w:tcPr>
          <w:p w14:paraId="4689E8C4">
            <w:pPr>
              <w:widowControl/>
              <w:spacing w:line="240" w:lineRule="exact"/>
              <w:jc w:val="left"/>
              <w:rPr>
                <w:rFonts w:hint="eastAsia" w:ascii="宋体" w:hAnsi="宋体" w:cs="宋体"/>
                <w:b/>
                <w:bCs/>
                <w:color w:val="auto"/>
                <w:kern w:val="0"/>
                <w:sz w:val="18"/>
                <w:szCs w:val="21"/>
                <w:highlight w:val="none"/>
              </w:rPr>
            </w:pPr>
            <w:r>
              <w:rPr>
                <w:rFonts w:hint="eastAsia" w:ascii="宋体" w:hAnsi="宋体" w:cs="宋体"/>
                <w:color w:val="auto"/>
                <w:kern w:val="0"/>
                <w:sz w:val="18"/>
                <w:szCs w:val="18"/>
                <w:highlight w:val="none"/>
              </w:rPr>
              <w:t>批发业</w:t>
            </w:r>
          </w:p>
        </w:tc>
        <w:tc>
          <w:tcPr>
            <w:tcW w:w="1609" w:type="dxa"/>
            <w:noWrap w:val="0"/>
            <w:vAlign w:val="center"/>
          </w:tcPr>
          <w:p w14:paraId="4D5C5988">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从业人员(X)</w:t>
            </w:r>
          </w:p>
        </w:tc>
        <w:tc>
          <w:tcPr>
            <w:tcW w:w="956" w:type="dxa"/>
            <w:noWrap w:val="0"/>
            <w:vAlign w:val="center"/>
          </w:tcPr>
          <w:p w14:paraId="0A6093C4">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人</w:t>
            </w:r>
          </w:p>
        </w:tc>
        <w:tc>
          <w:tcPr>
            <w:tcW w:w="1055" w:type="dxa"/>
            <w:noWrap w:val="0"/>
            <w:vAlign w:val="center"/>
          </w:tcPr>
          <w:p w14:paraId="17EEE4BB">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X≥200</w:t>
            </w:r>
          </w:p>
        </w:tc>
        <w:tc>
          <w:tcPr>
            <w:tcW w:w="1397" w:type="dxa"/>
            <w:noWrap w:val="0"/>
            <w:vAlign w:val="center"/>
          </w:tcPr>
          <w:p w14:paraId="00EC0BC9">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20≤X＜200</w:t>
            </w:r>
          </w:p>
        </w:tc>
        <w:tc>
          <w:tcPr>
            <w:tcW w:w="1238" w:type="dxa"/>
            <w:noWrap w:val="0"/>
            <w:vAlign w:val="center"/>
          </w:tcPr>
          <w:p w14:paraId="2C6D52B3">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1023" w:type="dxa"/>
            <w:noWrap w:val="0"/>
            <w:vAlign w:val="center"/>
          </w:tcPr>
          <w:p w14:paraId="5EC94D72">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X＜5</w:t>
            </w:r>
          </w:p>
        </w:tc>
      </w:tr>
      <w:tr w14:paraId="240D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98" w:type="dxa"/>
            <w:vMerge w:val="continue"/>
            <w:noWrap w:val="0"/>
            <w:vAlign w:val="center"/>
          </w:tcPr>
          <w:p w14:paraId="7AE2D93F">
            <w:pPr>
              <w:widowControl/>
              <w:jc w:val="left"/>
              <w:rPr>
                <w:rFonts w:hint="eastAsia" w:ascii="宋体" w:hAnsi="宋体" w:cs="宋体"/>
                <w:color w:val="auto"/>
                <w:kern w:val="0"/>
                <w:sz w:val="18"/>
                <w:szCs w:val="18"/>
                <w:highlight w:val="none"/>
              </w:rPr>
            </w:pPr>
          </w:p>
        </w:tc>
        <w:tc>
          <w:tcPr>
            <w:tcW w:w="1609" w:type="dxa"/>
            <w:noWrap w:val="0"/>
            <w:vAlign w:val="center"/>
          </w:tcPr>
          <w:p w14:paraId="0E478173">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56" w:type="dxa"/>
            <w:noWrap w:val="0"/>
            <w:vAlign w:val="center"/>
          </w:tcPr>
          <w:p w14:paraId="0DF8CF3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55" w:type="dxa"/>
            <w:noWrap w:val="0"/>
            <w:vAlign w:val="center"/>
          </w:tcPr>
          <w:p w14:paraId="33B1521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397" w:type="dxa"/>
            <w:noWrap w:val="0"/>
            <w:vAlign w:val="center"/>
          </w:tcPr>
          <w:p w14:paraId="4E8EC4B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238" w:type="dxa"/>
            <w:noWrap w:val="0"/>
            <w:vAlign w:val="center"/>
          </w:tcPr>
          <w:p w14:paraId="0EF49310">
            <w:pPr>
              <w:widowControl/>
              <w:ind w:left="-1" w:leftChars="-1" w:hanging="1" w:firstLineChars="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23" w:type="dxa"/>
            <w:noWrap w:val="0"/>
            <w:vAlign w:val="center"/>
          </w:tcPr>
          <w:p w14:paraId="70A50D4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bl>
    <w:p w14:paraId="093833DE">
      <w:pPr>
        <w:spacing w:line="360" w:lineRule="auto"/>
        <w:jc w:val="center"/>
        <w:rPr>
          <w:rFonts w:ascii="宋体" w:hAnsi="宋体" w:cs="宋体"/>
          <w:b/>
          <w:color w:val="auto"/>
          <w:sz w:val="32"/>
          <w:szCs w:val="32"/>
          <w:highlight w:val="none"/>
        </w:rPr>
      </w:pPr>
    </w:p>
    <w:p w14:paraId="357B675D">
      <w:pPr>
        <w:pStyle w:val="25"/>
        <w:rPr>
          <w:rFonts w:ascii="宋体" w:hAnsi="宋体" w:cs="宋体"/>
          <w:b/>
          <w:color w:val="auto"/>
          <w:sz w:val="32"/>
          <w:szCs w:val="32"/>
          <w:highlight w:val="none"/>
        </w:rPr>
      </w:pPr>
      <w:r>
        <w:rPr>
          <w:rFonts w:hint="eastAsia" w:ascii="宋体" w:hAnsi="宋体" w:eastAsia="宋体" w:cs="宋体"/>
          <w:b/>
          <w:bCs/>
          <w:color w:val="auto"/>
          <w:sz w:val="24"/>
          <w:szCs w:val="24"/>
          <w:highlight w:val="none"/>
        </w:rPr>
        <w:t>注：大型、中型和小型企业须同时满足所列指标的下限，</w:t>
      </w:r>
      <w:r>
        <w:rPr>
          <w:rFonts w:hint="eastAsia" w:ascii="宋体" w:hAnsi="宋体" w:eastAsia="宋体" w:cs="宋体"/>
          <w:b/>
          <w:bCs/>
          <w:color w:val="auto"/>
          <w:sz w:val="24"/>
          <w:szCs w:val="24"/>
          <w:highlight w:val="none"/>
          <w:u w:val="single"/>
        </w:rPr>
        <w:t>否则下划一档</w:t>
      </w:r>
      <w:r>
        <w:rPr>
          <w:rFonts w:hint="eastAsia" w:ascii="宋体" w:hAnsi="宋体" w:eastAsia="宋体" w:cs="宋体"/>
          <w:b/>
          <w:bCs/>
          <w:color w:val="auto"/>
          <w:sz w:val="24"/>
          <w:szCs w:val="24"/>
          <w:highlight w:val="none"/>
        </w:rPr>
        <w:t>；微型企业只须满足所列指标中的一项即可</w:t>
      </w:r>
      <w:r>
        <w:rPr>
          <w:rFonts w:hint="eastAsia" w:ascii="宋体" w:hAnsi="宋体" w:eastAsia="宋体" w:cs="宋体"/>
          <w:color w:val="auto"/>
          <w:sz w:val="18"/>
          <w:szCs w:val="18"/>
          <w:highlight w:val="none"/>
        </w:rPr>
        <w:t>。</w:t>
      </w:r>
    </w:p>
    <w:p w14:paraId="49E7C3A7">
      <w:pPr>
        <w:pStyle w:val="26"/>
        <w:rPr>
          <w:rFonts w:ascii="宋体" w:hAnsi="宋体" w:cs="宋体"/>
          <w:b/>
          <w:color w:val="auto"/>
          <w:sz w:val="32"/>
          <w:szCs w:val="32"/>
          <w:highlight w:val="none"/>
        </w:rPr>
      </w:pPr>
    </w:p>
    <w:p w14:paraId="6D749C1C">
      <w:pPr>
        <w:pStyle w:val="26"/>
        <w:rPr>
          <w:rFonts w:ascii="宋体" w:hAnsi="宋体" w:cs="宋体"/>
          <w:b/>
          <w:color w:val="auto"/>
          <w:sz w:val="32"/>
          <w:szCs w:val="32"/>
          <w:highlight w:val="none"/>
        </w:rPr>
      </w:pPr>
    </w:p>
    <w:p w14:paraId="23B27A22">
      <w:pPr>
        <w:pStyle w:val="26"/>
        <w:rPr>
          <w:rFonts w:ascii="宋体" w:hAnsi="宋体" w:cs="宋体"/>
          <w:b/>
          <w:color w:val="auto"/>
          <w:sz w:val="32"/>
          <w:szCs w:val="32"/>
          <w:highlight w:val="none"/>
        </w:rPr>
      </w:pPr>
    </w:p>
    <w:p w14:paraId="0B27D674">
      <w:pPr>
        <w:pStyle w:val="26"/>
        <w:rPr>
          <w:rFonts w:ascii="宋体" w:hAnsi="宋体" w:cs="宋体"/>
          <w:b/>
          <w:color w:val="auto"/>
          <w:sz w:val="32"/>
          <w:szCs w:val="32"/>
          <w:highlight w:val="none"/>
        </w:rPr>
      </w:pPr>
    </w:p>
    <w:p w14:paraId="4DC0B6B4">
      <w:pPr>
        <w:pStyle w:val="26"/>
        <w:rPr>
          <w:rFonts w:ascii="宋体" w:hAnsi="宋体" w:cs="宋体"/>
          <w:b/>
          <w:color w:val="auto"/>
          <w:sz w:val="32"/>
          <w:szCs w:val="32"/>
          <w:highlight w:val="none"/>
        </w:rPr>
      </w:pPr>
    </w:p>
    <w:p w14:paraId="1FD84B9A">
      <w:pPr>
        <w:pStyle w:val="26"/>
        <w:rPr>
          <w:rFonts w:ascii="宋体" w:hAnsi="宋体" w:cs="宋体"/>
          <w:b/>
          <w:color w:val="auto"/>
          <w:sz w:val="32"/>
          <w:szCs w:val="32"/>
          <w:highlight w:val="none"/>
        </w:rPr>
      </w:pPr>
    </w:p>
    <w:p w14:paraId="6E0D0063">
      <w:pPr>
        <w:pStyle w:val="26"/>
        <w:rPr>
          <w:rFonts w:ascii="宋体" w:hAnsi="宋体" w:cs="宋体"/>
          <w:b/>
          <w:color w:val="auto"/>
          <w:sz w:val="32"/>
          <w:szCs w:val="32"/>
          <w:highlight w:val="none"/>
        </w:rPr>
      </w:pPr>
    </w:p>
    <w:p w14:paraId="0CD98773">
      <w:pPr>
        <w:pStyle w:val="26"/>
        <w:rPr>
          <w:rFonts w:ascii="宋体" w:hAnsi="宋体" w:cs="宋体"/>
          <w:b/>
          <w:color w:val="auto"/>
          <w:sz w:val="32"/>
          <w:szCs w:val="32"/>
          <w:highlight w:val="none"/>
        </w:rPr>
      </w:pPr>
    </w:p>
    <w:p w14:paraId="25F9708C">
      <w:pPr>
        <w:pStyle w:val="26"/>
        <w:rPr>
          <w:rFonts w:ascii="宋体" w:hAnsi="宋体" w:cs="宋体"/>
          <w:b/>
          <w:color w:val="auto"/>
          <w:sz w:val="32"/>
          <w:szCs w:val="32"/>
          <w:highlight w:val="none"/>
        </w:rPr>
      </w:pPr>
    </w:p>
    <w:p w14:paraId="50A3ADA4">
      <w:pPr>
        <w:pStyle w:val="26"/>
        <w:rPr>
          <w:rFonts w:ascii="宋体" w:hAnsi="宋体" w:cs="宋体"/>
          <w:b/>
          <w:color w:val="auto"/>
          <w:sz w:val="32"/>
          <w:szCs w:val="32"/>
          <w:highlight w:val="none"/>
        </w:rPr>
      </w:pPr>
    </w:p>
    <w:p w14:paraId="7532A73E">
      <w:pPr>
        <w:pStyle w:val="26"/>
        <w:rPr>
          <w:rFonts w:ascii="宋体" w:hAnsi="宋体" w:cs="宋体"/>
          <w:b/>
          <w:color w:val="auto"/>
          <w:sz w:val="32"/>
          <w:szCs w:val="32"/>
          <w:highlight w:val="none"/>
        </w:rPr>
      </w:pPr>
    </w:p>
    <w:p w14:paraId="546CBA84">
      <w:pPr>
        <w:pStyle w:val="26"/>
        <w:rPr>
          <w:rFonts w:ascii="宋体" w:hAnsi="宋体" w:cs="宋体"/>
          <w:b/>
          <w:color w:val="auto"/>
          <w:sz w:val="32"/>
          <w:szCs w:val="32"/>
          <w:highlight w:val="none"/>
        </w:rPr>
      </w:pPr>
    </w:p>
    <w:p w14:paraId="58B08344">
      <w:pPr>
        <w:pStyle w:val="26"/>
        <w:rPr>
          <w:rFonts w:ascii="宋体" w:hAnsi="宋体" w:cs="宋体"/>
          <w:b/>
          <w:color w:val="auto"/>
          <w:sz w:val="32"/>
          <w:szCs w:val="32"/>
          <w:highlight w:val="none"/>
        </w:rPr>
      </w:pPr>
    </w:p>
    <w:p w14:paraId="3C1BBB77">
      <w:pPr>
        <w:pStyle w:val="26"/>
        <w:rPr>
          <w:rFonts w:ascii="宋体" w:hAnsi="宋体" w:cs="宋体"/>
          <w:b/>
          <w:color w:val="auto"/>
          <w:sz w:val="32"/>
          <w:szCs w:val="32"/>
          <w:highlight w:val="none"/>
        </w:rPr>
      </w:pPr>
    </w:p>
    <w:p w14:paraId="1A2D1F7C">
      <w:pPr>
        <w:pStyle w:val="26"/>
        <w:rPr>
          <w:rFonts w:ascii="宋体" w:hAnsi="宋体" w:cs="宋体"/>
          <w:b/>
          <w:color w:val="auto"/>
          <w:sz w:val="32"/>
          <w:szCs w:val="32"/>
          <w:highlight w:val="none"/>
        </w:rPr>
      </w:pPr>
    </w:p>
    <w:p w14:paraId="76572EAF">
      <w:pPr>
        <w:pStyle w:val="26"/>
        <w:rPr>
          <w:rFonts w:ascii="宋体" w:hAnsi="宋体" w:cs="宋体"/>
          <w:b/>
          <w:color w:val="auto"/>
          <w:sz w:val="32"/>
          <w:szCs w:val="32"/>
          <w:highlight w:val="none"/>
        </w:rPr>
      </w:pPr>
    </w:p>
    <w:p w14:paraId="1A695C2C">
      <w:pPr>
        <w:pStyle w:val="26"/>
        <w:rPr>
          <w:rFonts w:ascii="宋体" w:hAnsi="宋体" w:cs="宋体"/>
          <w:b/>
          <w:color w:val="auto"/>
          <w:sz w:val="32"/>
          <w:szCs w:val="32"/>
          <w:highlight w:val="none"/>
        </w:rPr>
      </w:pPr>
    </w:p>
    <w:p w14:paraId="2D8AEA52">
      <w:pPr>
        <w:pStyle w:val="26"/>
        <w:rPr>
          <w:rFonts w:ascii="宋体" w:hAnsi="宋体" w:cs="宋体"/>
          <w:b/>
          <w:color w:val="auto"/>
          <w:sz w:val="32"/>
          <w:szCs w:val="32"/>
          <w:highlight w:val="none"/>
        </w:rPr>
      </w:pPr>
    </w:p>
    <w:p w14:paraId="27D39474">
      <w:pPr>
        <w:pStyle w:val="26"/>
        <w:rPr>
          <w:rFonts w:ascii="宋体" w:hAnsi="宋体" w:cs="宋体"/>
          <w:b/>
          <w:color w:val="auto"/>
          <w:sz w:val="32"/>
          <w:szCs w:val="32"/>
          <w:highlight w:val="none"/>
        </w:rPr>
      </w:pPr>
    </w:p>
    <w:p w14:paraId="2A076EEC">
      <w:pPr>
        <w:pStyle w:val="26"/>
        <w:rPr>
          <w:rFonts w:ascii="宋体" w:hAnsi="宋体" w:cs="宋体"/>
          <w:b/>
          <w:color w:val="auto"/>
          <w:sz w:val="32"/>
          <w:szCs w:val="32"/>
          <w:highlight w:val="none"/>
        </w:rPr>
      </w:pPr>
    </w:p>
    <w:p w14:paraId="2B31B1E2">
      <w:pPr>
        <w:rPr>
          <w:rFonts w:hint="eastAsia" w:ascii="宋体" w:hAnsi="宋体" w:cs="宋体"/>
          <w:b/>
          <w:color w:val="auto"/>
          <w:spacing w:val="6"/>
          <w:sz w:val="24"/>
          <w:highlight w:val="none"/>
        </w:rPr>
      </w:pPr>
    </w:p>
    <w:p w14:paraId="1BA0AFDB">
      <w:pPr>
        <w:rPr>
          <w:rFonts w:ascii="宋体" w:hAnsi="宋体" w:cs="宋体"/>
          <w:color w:val="auto"/>
          <w:sz w:val="24"/>
          <w:highlight w:val="none"/>
        </w:rPr>
      </w:pPr>
      <w:r>
        <w:rPr>
          <w:rFonts w:hint="eastAsia" w:ascii="宋体" w:hAnsi="宋体" w:cs="宋体"/>
          <w:b/>
          <w:color w:val="auto"/>
          <w:spacing w:val="6"/>
          <w:sz w:val="24"/>
          <w:highlight w:val="none"/>
        </w:rPr>
        <w:t>附表1：</w:t>
      </w:r>
      <w:r>
        <w:rPr>
          <w:rFonts w:hint="eastAsia" w:ascii="宋体" w:hAnsi="宋体" w:cs="宋体"/>
          <w:color w:val="auto"/>
          <w:sz w:val="24"/>
          <w:highlight w:val="none"/>
        </w:rPr>
        <w:t>发改价格[2011]534号文《关于降低部分建设项目收费标准规范收费行为等有关问题的通知》</w:t>
      </w:r>
      <w:bookmarkStart w:id="408" w:name="_Toc532896436"/>
      <w:r>
        <w:rPr>
          <w:rFonts w:hint="eastAsia" w:ascii="宋体" w:hAnsi="宋体" w:cs="宋体"/>
          <w:color w:val="auto"/>
          <w:sz w:val="24"/>
          <w:highlight w:val="none"/>
        </w:rPr>
        <w:t>收费标准</w:t>
      </w:r>
      <w:bookmarkEnd w:id="408"/>
      <w:r>
        <w:rPr>
          <w:rFonts w:hint="eastAsia" w:ascii="宋体" w:hAnsi="宋体" w:cs="宋体"/>
          <w:color w:val="auto"/>
          <w:sz w:val="24"/>
          <w:highlight w:val="none"/>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55F7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3AFB33EE">
            <w:pPr>
              <w:ind w:firstLine="211"/>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17145</wp:posOffset>
                      </wp:positionV>
                      <wp:extent cx="1521460" cy="1668780"/>
                      <wp:effectExtent l="3810" t="3175" r="17780" b="4445"/>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1.4pt;width:119.8pt;z-index:251662336;mso-width-relative:page;mso-height-relative:page;" filled="f" stroked="t" coordsize="21600,21600" o:gfxdata="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xKO9gAAAAIAQAADwAAAAAAAAABACAAAAAiAAAAZHJzL2Rvd25y&#10;ZXYueG1sUEsBAhQAFAAAAAgAh07iQL4Bgfj+AQAA5wMAAA4AAAAAAAAAAQAgAAAAJwEAAGRycy9l&#10;Mm9Eb2MueG1sUEsFBgAAAAAGAAYAWQEAAJcFAAAAAA==&#10;">
                      <v:fill on="f" focussize="0,0"/>
                      <v:stroke color="#457BBA" joinstyle="round"/>
                      <v:imagedata o:title=""/>
                      <o:lock v:ext="edit" aspectratio="f"/>
                    </v:line>
                  </w:pict>
                </mc:Fallback>
              </mc:AlternateContent>
            </w:r>
          </w:p>
          <w:p w14:paraId="5C68F079">
            <w:pPr>
              <w:ind w:firstLine="1004"/>
              <w:rPr>
                <w:rFonts w:ascii="宋体" w:hAnsi="宋体" w:cs="宋体"/>
                <w:color w:val="auto"/>
                <w:highlight w:val="none"/>
              </w:rPr>
            </w:pPr>
            <w:r>
              <w:rPr>
                <w:rFonts w:hint="eastAsia" w:ascii="宋体" w:hAnsi="宋体" w:cs="宋体"/>
                <w:color w:val="auto"/>
                <w:highlight w:val="none"/>
              </w:rPr>
              <w:t>　　　</w:t>
            </w:r>
          </w:p>
          <w:p w14:paraId="486BE4F0">
            <w:pPr>
              <w:ind w:firstLine="840" w:firstLineChars="400"/>
              <w:rPr>
                <w:rFonts w:ascii="宋体" w:hAnsi="宋体" w:cs="宋体"/>
                <w:color w:val="auto"/>
                <w:highlight w:val="none"/>
              </w:rPr>
            </w:pPr>
            <w:r>
              <w:rPr>
                <w:rFonts w:hint="eastAsia" w:ascii="宋体" w:hAnsi="宋体" w:cs="宋体"/>
                <w:color w:val="auto"/>
                <w:highlight w:val="none"/>
              </w:rPr>
              <w:t>服务类型</w:t>
            </w:r>
          </w:p>
          <w:p w14:paraId="04455161">
            <w:pPr>
              <w:ind w:firstLine="1295" w:firstLineChars="617"/>
              <w:rPr>
                <w:rFonts w:ascii="宋体" w:hAnsi="宋体" w:cs="宋体"/>
                <w:color w:val="auto"/>
                <w:highlight w:val="none"/>
              </w:rPr>
            </w:pPr>
          </w:p>
          <w:p w14:paraId="7CEC41F4">
            <w:pPr>
              <w:ind w:firstLine="1295" w:firstLineChars="617"/>
              <w:rPr>
                <w:rFonts w:ascii="宋体" w:hAnsi="宋体" w:cs="宋体"/>
                <w:color w:val="auto"/>
                <w:highlight w:val="none"/>
              </w:rPr>
            </w:pPr>
          </w:p>
          <w:p w14:paraId="28406BB4">
            <w:pPr>
              <w:ind w:firstLine="630" w:firstLineChars="300"/>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137160</wp:posOffset>
                      </wp:positionV>
                      <wp:extent cx="1532890" cy="683895"/>
                      <wp:effectExtent l="1905" t="4445" r="8255" b="16510"/>
                      <wp:wrapNone/>
                      <wp:docPr id="1" name="直接连接符 1"/>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0.8pt;height:53.85pt;width:120.7pt;z-index:251661312;mso-width-relative:page;mso-height-relative:page;" filled="f" stroked="t" coordsize="21600,21600" o:gfxdata="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QYyb2AAAAAkBAAAPAAAAAAAAAAEAIAAAACIAAABkcnMvZG93&#10;bnJldi54bWxQSwECFAAUAAAACACHTuJAttHytQACAADmAwAADgAAAAAAAAABACAAAAAnAQAAZHJz&#10;L2Uyb0RvYy54bWxQSwUGAAAAAAYABgBZAQAAmQUAAAAA&#10;">
                      <v:fill on="f" focussize="0,0"/>
                      <v:stroke color="#457BBA" joinstyle="round"/>
                      <v:imagedata o:title=""/>
                      <o:lock v:ext="edit" aspectratio="f"/>
                    </v:line>
                  </w:pict>
                </mc:Fallback>
              </mc:AlternateContent>
            </w:r>
            <w:r>
              <w:rPr>
                <w:rFonts w:hint="eastAsia" w:ascii="宋体" w:hAnsi="宋体" w:cs="宋体"/>
                <w:color w:val="auto"/>
                <w:highlight w:val="none"/>
              </w:rPr>
              <w:t>费率</w:t>
            </w:r>
          </w:p>
          <w:p w14:paraId="0BAD51F9">
            <w:pPr>
              <w:ind w:firstLine="1054"/>
              <w:rPr>
                <w:rFonts w:ascii="宋体" w:hAnsi="宋体" w:cs="宋体"/>
                <w:color w:val="auto"/>
                <w:highlight w:val="none"/>
              </w:rPr>
            </w:pPr>
            <w:r>
              <w:rPr>
                <w:rFonts w:hint="eastAsia" w:ascii="宋体" w:hAnsi="宋体" w:cs="宋体"/>
                <w:color w:val="auto"/>
                <w:highlight w:val="none"/>
              </w:rPr>
              <w:t>　　　</w:t>
            </w:r>
          </w:p>
          <w:p w14:paraId="5930190C">
            <w:pPr>
              <w:ind w:firstLine="1054"/>
              <w:rPr>
                <w:rFonts w:ascii="宋体" w:hAnsi="宋体" w:cs="宋体"/>
                <w:color w:val="auto"/>
                <w:highlight w:val="none"/>
              </w:rPr>
            </w:pPr>
            <w:r>
              <w:rPr>
                <w:rFonts w:hint="eastAsia" w:ascii="宋体" w:hAnsi="宋体" w:cs="宋体"/>
                <w:color w:val="auto"/>
                <w:highlight w:val="none"/>
              </w:rPr>
              <w:t>　　　　</w:t>
            </w:r>
          </w:p>
          <w:p w14:paraId="52A8AD67">
            <w:pPr>
              <w:rPr>
                <w:rFonts w:ascii="宋体" w:hAnsi="宋体" w:cs="宋体"/>
                <w:color w:val="auto"/>
                <w:highlight w:val="none"/>
              </w:rPr>
            </w:pPr>
            <w:r>
              <w:rPr>
                <w:rFonts w:hint="eastAsia" w:ascii="宋体" w:hAnsi="宋体" w:cs="宋体"/>
                <w:color w:val="auto"/>
                <w:highlight w:val="none"/>
              </w:rPr>
              <w:t xml:space="preserve">中标金额（万元） </w:t>
            </w:r>
          </w:p>
        </w:tc>
        <w:tc>
          <w:tcPr>
            <w:tcW w:w="1980" w:type="dxa"/>
            <w:vAlign w:val="center"/>
          </w:tcPr>
          <w:p w14:paraId="0299012C">
            <w:pPr>
              <w:jc w:val="center"/>
              <w:rPr>
                <w:rFonts w:ascii="宋体" w:hAnsi="宋体" w:cs="宋体"/>
                <w:color w:val="auto"/>
                <w:highlight w:val="none"/>
              </w:rPr>
            </w:pPr>
            <w:r>
              <w:rPr>
                <w:rFonts w:hint="eastAsia" w:ascii="宋体" w:hAnsi="宋体" w:cs="宋体"/>
                <w:color w:val="auto"/>
                <w:highlight w:val="none"/>
              </w:rPr>
              <w:t>货物招标</w:t>
            </w:r>
          </w:p>
        </w:tc>
        <w:tc>
          <w:tcPr>
            <w:tcW w:w="1980" w:type="dxa"/>
            <w:vAlign w:val="center"/>
          </w:tcPr>
          <w:p w14:paraId="04751056">
            <w:pPr>
              <w:jc w:val="center"/>
              <w:rPr>
                <w:rFonts w:ascii="宋体" w:hAnsi="宋体" w:cs="宋体"/>
                <w:color w:val="auto"/>
                <w:highlight w:val="none"/>
              </w:rPr>
            </w:pPr>
            <w:r>
              <w:rPr>
                <w:rFonts w:hint="eastAsia" w:ascii="宋体" w:hAnsi="宋体" w:cs="宋体"/>
                <w:color w:val="auto"/>
                <w:highlight w:val="none"/>
              </w:rPr>
              <w:t>服务招标</w:t>
            </w:r>
          </w:p>
        </w:tc>
        <w:tc>
          <w:tcPr>
            <w:tcW w:w="1980" w:type="dxa"/>
            <w:vAlign w:val="center"/>
          </w:tcPr>
          <w:p w14:paraId="094276E1">
            <w:pPr>
              <w:jc w:val="center"/>
              <w:rPr>
                <w:rFonts w:ascii="宋体" w:hAnsi="宋体" w:cs="宋体"/>
                <w:color w:val="auto"/>
                <w:highlight w:val="none"/>
              </w:rPr>
            </w:pPr>
            <w:r>
              <w:rPr>
                <w:rFonts w:hint="eastAsia" w:ascii="宋体" w:hAnsi="宋体" w:cs="宋体"/>
                <w:color w:val="auto"/>
                <w:highlight w:val="none"/>
              </w:rPr>
              <w:t>工程招标</w:t>
            </w:r>
          </w:p>
        </w:tc>
      </w:tr>
      <w:tr w14:paraId="509F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B2E68F5">
            <w:pPr>
              <w:jc w:val="center"/>
              <w:rPr>
                <w:rFonts w:ascii="宋体" w:hAnsi="宋体" w:cs="宋体"/>
                <w:color w:val="auto"/>
                <w:highlight w:val="none"/>
              </w:rPr>
            </w:pPr>
            <w:r>
              <w:rPr>
                <w:rFonts w:hint="eastAsia" w:ascii="宋体" w:hAnsi="宋体" w:cs="宋体"/>
                <w:color w:val="auto"/>
                <w:highlight w:val="none"/>
              </w:rPr>
              <w:t>100以下</w:t>
            </w:r>
          </w:p>
        </w:tc>
        <w:tc>
          <w:tcPr>
            <w:tcW w:w="1980" w:type="dxa"/>
          </w:tcPr>
          <w:p w14:paraId="71DEAFB5">
            <w:pPr>
              <w:jc w:val="center"/>
              <w:rPr>
                <w:rFonts w:ascii="宋体" w:hAnsi="宋体" w:cs="宋体"/>
                <w:color w:val="auto"/>
                <w:highlight w:val="none"/>
              </w:rPr>
            </w:pPr>
            <w:r>
              <w:rPr>
                <w:rFonts w:hint="eastAsia" w:ascii="宋体" w:hAnsi="宋体" w:cs="宋体"/>
                <w:color w:val="auto"/>
                <w:highlight w:val="none"/>
              </w:rPr>
              <w:t>1.5%</w:t>
            </w:r>
          </w:p>
        </w:tc>
        <w:tc>
          <w:tcPr>
            <w:tcW w:w="1980" w:type="dxa"/>
          </w:tcPr>
          <w:p w14:paraId="1D564FA8">
            <w:pPr>
              <w:jc w:val="center"/>
              <w:rPr>
                <w:rFonts w:ascii="宋体" w:hAnsi="宋体" w:cs="宋体"/>
                <w:color w:val="auto"/>
                <w:highlight w:val="none"/>
              </w:rPr>
            </w:pPr>
            <w:r>
              <w:rPr>
                <w:rFonts w:hint="eastAsia" w:ascii="宋体" w:hAnsi="宋体" w:cs="宋体"/>
                <w:color w:val="auto"/>
                <w:highlight w:val="none"/>
              </w:rPr>
              <w:t>1.5%</w:t>
            </w:r>
          </w:p>
        </w:tc>
        <w:tc>
          <w:tcPr>
            <w:tcW w:w="1980" w:type="dxa"/>
          </w:tcPr>
          <w:p w14:paraId="3AA9AC5E">
            <w:pPr>
              <w:jc w:val="center"/>
              <w:rPr>
                <w:rFonts w:ascii="宋体" w:hAnsi="宋体" w:cs="宋体"/>
                <w:color w:val="auto"/>
                <w:highlight w:val="none"/>
              </w:rPr>
            </w:pPr>
            <w:r>
              <w:rPr>
                <w:rFonts w:hint="eastAsia" w:ascii="宋体" w:hAnsi="宋体" w:cs="宋体"/>
                <w:color w:val="auto"/>
                <w:highlight w:val="none"/>
              </w:rPr>
              <w:t>1.0%</w:t>
            </w:r>
          </w:p>
        </w:tc>
      </w:tr>
      <w:tr w14:paraId="0434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0D4A938">
            <w:pPr>
              <w:jc w:val="center"/>
              <w:rPr>
                <w:rFonts w:ascii="宋体" w:hAnsi="宋体" w:cs="宋体"/>
                <w:color w:val="auto"/>
                <w:highlight w:val="none"/>
              </w:rPr>
            </w:pPr>
            <w:r>
              <w:rPr>
                <w:rFonts w:hint="eastAsia" w:ascii="宋体" w:hAnsi="宋体" w:cs="宋体"/>
                <w:color w:val="auto"/>
                <w:highlight w:val="none"/>
              </w:rPr>
              <w:t>100-500</w:t>
            </w:r>
          </w:p>
        </w:tc>
        <w:tc>
          <w:tcPr>
            <w:tcW w:w="1980" w:type="dxa"/>
          </w:tcPr>
          <w:p w14:paraId="470EF076">
            <w:pPr>
              <w:jc w:val="center"/>
              <w:rPr>
                <w:rFonts w:ascii="宋体" w:hAnsi="宋体" w:cs="宋体"/>
                <w:color w:val="auto"/>
                <w:highlight w:val="none"/>
              </w:rPr>
            </w:pPr>
            <w:r>
              <w:rPr>
                <w:rFonts w:hint="eastAsia" w:ascii="宋体" w:hAnsi="宋体" w:cs="宋体"/>
                <w:color w:val="auto"/>
                <w:highlight w:val="none"/>
              </w:rPr>
              <w:t>1.1%</w:t>
            </w:r>
          </w:p>
        </w:tc>
        <w:tc>
          <w:tcPr>
            <w:tcW w:w="1980" w:type="dxa"/>
          </w:tcPr>
          <w:p w14:paraId="6D15AC92">
            <w:pPr>
              <w:jc w:val="center"/>
              <w:rPr>
                <w:rFonts w:ascii="宋体" w:hAnsi="宋体" w:cs="宋体"/>
                <w:color w:val="auto"/>
                <w:highlight w:val="none"/>
              </w:rPr>
            </w:pPr>
            <w:r>
              <w:rPr>
                <w:rFonts w:hint="eastAsia" w:ascii="宋体" w:hAnsi="宋体" w:cs="宋体"/>
                <w:color w:val="auto"/>
                <w:highlight w:val="none"/>
              </w:rPr>
              <w:t>0.8%</w:t>
            </w:r>
          </w:p>
        </w:tc>
        <w:tc>
          <w:tcPr>
            <w:tcW w:w="1980" w:type="dxa"/>
          </w:tcPr>
          <w:p w14:paraId="20D2B9BD">
            <w:pPr>
              <w:jc w:val="center"/>
              <w:rPr>
                <w:rFonts w:ascii="宋体" w:hAnsi="宋体" w:cs="宋体"/>
                <w:color w:val="auto"/>
                <w:highlight w:val="none"/>
              </w:rPr>
            </w:pPr>
            <w:r>
              <w:rPr>
                <w:rFonts w:hint="eastAsia" w:ascii="宋体" w:hAnsi="宋体" w:cs="宋体"/>
                <w:color w:val="auto"/>
                <w:highlight w:val="none"/>
              </w:rPr>
              <w:t>0.7%</w:t>
            </w:r>
          </w:p>
        </w:tc>
      </w:tr>
      <w:tr w14:paraId="61AA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86D8438">
            <w:pPr>
              <w:jc w:val="center"/>
              <w:rPr>
                <w:rFonts w:ascii="宋体" w:hAnsi="宋体" w:cs="宋体"/>
                <w:color w:val="auto"/>
                <w:highlight w:val="none"/>
              </w:rPr>
            </w:pPr>
            <w:r>
              <w:rPr>
                <w:rFonts w:hint="eastAsia" w:ascii="宋体" w:hAnsi="宋体" w:cs="宋体"/>
                <w:color w:val="auto"/>
                <w:highlight w:val="none"/>
              </w:rPr>
              <w:t>500-1000</w:t>
            </w:r>
          </w:p>
        </w:tc>
        <w:tc>
          <w:tcPr>
            <w:tcW w:w="1980" w:type="dxa"/>
          </w:tcPr>
          <w:p w14:paraId="7F89C4EA">
            <w:pPr>
              <w:jc w:val="center"/>
              <w:rPr>
                <w:rFonts w:ascii="宋体" w:hAnsi="宋体" w:cs="宋体"/>
                <w:color w:val="auto"/>
                <w:highlight w:val="none"/>
              </w:rPr>
            </w:pPr>
            <w:r>
              <w:rPr>
                <w:rFonts w:hint="eastAsia" w:ascii="宋体" w:hAnsi="宋体" w:cs="宋体"/>
                <w:color w:val="auto"/>
                <w:highlight w:val="none"/>
              </w:rPr>
              <w:t>0.8%</w:t>
            </w:r>
          </w:p>
        </w:tc>
        <w:tc>
          <w:tcPr>
            <w:tcW w:w="1980" w:type="dxa"/>
          </w:tcPr>
          <w:p w14:paraId="18479B91">
            <w:pPr>
              <w:jc w:val="center"/>
              <w:rPr>
                <w:rFonts w:ascii="宋体" w:hAnsi="宋体" w:cs="宋体"/>
                <w:color w:val="auto"/>
                <w:highlight w:val="none"/>
              </w:rPr>
            </w:pPr>
            <w:r>
              <w:rPr>
                <w:rFonts w:hint="eastAsia" w:ascii="宋体" w:hAnsi="宋体" w:cs="宋体"/>
                <w:color w:val="auto"/>
                <w:highlight w:val="none"/>
              </w:rPr>
              <w:t>0.45%</w:t>
            </w:r>
          </w:p>
        </w:tc>
        <w:tc>
          <w:tcPr>
            <w:tcW w:w="1980" w:type="dxa"/>
          </w:tcPr>
          <w:p w14:paraId="696D6162">
            <w:pPr>
              <w:jc w:val="center"/>
              <w:rPr>
                <w:rFonts w:ascii="宋体" w:hAnsi="宋体" w:cs="宋体"/>
                <w:color w:val="auto"/>
                <w:highlight w:val="none"/>
              </w:rPr>
            </w:pPr>
            <w:r>
              <w:rPr>
                <w:rFonts w:hint="eastAsia" w:ascii="宋体" w:hAnsi="宋体" w:cs="宋体"/>
                <w:color w:val="auto"/>
                <w:highlight w:val="none"/>
              </w:rPr>
              <w:t>0.55%</w:t>
            </w:r>
          </w:p>
        </w:tc>
      </w:tr>
      <w:tr w14:paraId="0B3E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CB5069E">
            <w:pPr>
              <w:jc w:val="center"/>
              <w:rPr>
                <w:rFonts w:ascii="宋体" w:hAnsi="宋体" w:cs="宋体"/>
                <w:color w:val="auto"/>
                <w:highlight w:val="none"/>
              </w:rPr>
            </w:pPr>
            <w:r>
              <w:rPr>
                <w:rFonts w:hint="eastAsia" w:ascii="宋体" w:hAnsi="宋体" w:cs="宋体"/>
                <w:color w:val="auto"/>
                <w:highlight w:val="none"/>
              </w:rPr>
              <w:t>1000-5000</w:t>
            </w:r>
          </w:p>
        </w:tc>
        <w:tc>
          <w:tcPr>
            <w:tcW w:w="1980" w:type="dxa"/>
          </w:tcPr>
          <w:p w14:paraId="49FE37DE">
            <w:pPr>
              <w:jc w:val="center"/>
              <w:rPr>
                <w:rFonts w:ascii="宋体" w:hAnsi="宋体" w:cs="宋体"/>
                <w:color w:val="auto"/>
                <w:highlight w:val="none"/>
              </w:rPr>
            </w:pPr>
            <w:r>
              <w:rPr>
                <w:rFonts w:hint="eastAsia" w:ascii="宋体" w:hAnsi="宋体" w:cs="宋体"/>
                <w:color w:val="auto"/>
                <w:highlight w:val="none"/>
              </w:rPr>
              <w:t>0.5%</w:t>
            </w:r>
          </w:p>
        </w:tc>
        <w:tc>
          <w:tcPr>
            <w:tcW w:w="1980" w:type="dxa"/>
          </w:tcPr>
          <w:p w14:paraId="102DAA96">
            <w:pPr>
              <w:jc w:val="center"/>
              <w:rPr>
                <w:rFonts w:ascii="宋体" w:hAnsi="宋体" w:cs="宋体"/>
                <w:color w:val="auto"/>
                <w:highlight w:val="none"/>
              </w:rPr>
            </w:pPr>
            <w:r>
              <w:rPr>
                <w:rFonts w:hint="eastAsia" w:ascii="宋体" w:hAnsi="宋体" w:cs="宋体"/>
                <w:color w:val="auto"/>
                <w:highlight w:val="none"/>
              </w:rPr>
              <w:t>0.25%</w:t>
            </w:r>
          </w:p>
        </w:tc>
        <w:tc>
          <w:tcPr>
            <w:tcW w:w="1980" w:type="dxa"/>
          </w:tcPr>
          <w:p w14:paraId="54523166">
            <w:pPr>
              <w:jc w:val="center"/>
              <w:rPr>
                <w:rFonts w:ascii="宋体" w:hAnsi="宋体" w:cs="宋体"/>
                <w:color w:val="auto"/>
                <w:highlight w:val="none"/>
              </w:rPr>
            </w:pPr>
            <w:r>
              <w:rPr>
                <w:rFonts w:hint="eastAsia" w:ascii="宋体" w:hAnsi="宋体" w:cs="宋体"/>
                <w:color w:val="auto"/>
                <w:highlight w:val="none"/>
              </w:rPr>
              <w:t>0.35%</w:t>
            </w:r>
          </w:p>
        </w:tc>
      </w:tr>
      <w:tr w14:paraId="4549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B5125FF">
            <w:pPr>
              <w:jc w:val="center"/>
              <w:rPr>
                <w:rFonts w:ascii="宋体" w:hAnsi="宋体" w:cs="宋体"/>
                <w:color w:val="auto"/>
                <w:highlight w:val="none"/>
              </w:rPr>
            </w:pPr>
            <w:r>
              <w:rPr>
                <w:rFonts w:hint="eastAsia" w:ascii="宋体" w:hAnsi="宋体" w:cs="宋体"/>
                <w:color w:val="auto"/>
                <w:highlight w:val="none"/>
              </w:rPr>
              <w:t>5000-10000</w:t>
            </w:r>
          </w:p>
        </w:tc>
        <w:tc>
          <w:tcPr>
            <w:tcW w:w="1980" w:type="dxa"/>
          </w:tcPr>
          <w:p w14:paraId="33D3612B">
            <w:pPr>
              <w:jc w:val="center"/>
              <w:rPr>
                <w:rFonts w:ascii="宋体" w:hAnsi="宋体" w:cs="宋体"/>
                <w:color w:val="auto"/>
                <w:highlight w:val="none"/>
              </w:rPr>
            </w:pPr>
            <w:r>
              <w:rPr>
                <w:rFonts w:hint="eastAsia" w:ascii="宋体" w:hAnsi="宋体" w:cs="宋体"/>
                <w:color w:val="auto"/>
                <w:highlight w:val="none"/>
              </w:rPr>
              <w:t>0.25%</w:t>
            </w:r>
          </w:p>
        </w:tc>
        <w:tc>
          <w:tcPr>
            <w:tcW w:w="1980" w:type="dxa"/>
          </w:tcPr>
          <w:p w14:paraId="698A6561">
            <w:pPr>
              <w:jc w:val="center"/>
              <w:rPr>
                <w:rFonts w:ascii="宋体" w:hAnsi="宋体" w:cs="宋体"/>
                <w:color w:val="auto"/>
                <w:highlight w:val="none"/>
              </w:rPr>
            </w:pPr>
            <w:r>
              <w:rPr>
                <w:rFonts w:hint="eastAsia" w:ascii="宋体" w:hAnsi="宋体" w:cs="宋体"/>
                <w:color w:val="auto"/>
                <w:highlight w:val="none"/>
              </w:rPr>
              <w:t>0.1%</w:t>
            </w:r>
          </w:p>
        </w:tc>
        <w:tc>
          <w:tcPr>
            <w:tcW w:w="1980" w:type="dxa"/>
          </w:tcPr>
          <w:p w14:paraId="77761149">
            <w:pPr>
              <w:jc w:val="center"/>
              <w:rPr>
                <w:rFonts w:ascii="宋体" w:hAnsi="宋体" w:cs="宋体"/>
                <w:color w:val="auto"/>
                <w:highlight w:val="none"/>
              </w:rPr>
            </w:pPr>
            <w:r>
              <w:rPr>
                <w:rFonts w:hint="eastAsia" w:ascii="宋体" w:hAnsi="宋体" w:cs="宋体"/>
                <w:color w:val="auto"/>
                <w:highlight w:val="none"/>
              </w:rPr>
              <w:t>0.2%</w:t>
            </w:r>
          </w:p>
        </w:tc>
      </w:tr>
      <w:tr w14:paraId="1B56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07C1471">
            <w:pPr>
              <w:jc w:val="center"/>
              <w:rPr>
                <w:rFonts w:ascii="宋体" w:hAnsi="宋体" w:cs="宋体"/>
                <w:color w:val="auto"/>
                <w:highlight w:val="none"/>
              </w:rPr>
            </w:pPr>
            <w:r>
              <w:rPr>
                <w:rFonts w:hint="eastAsia" w:ascii="宋体" w:hAnsi="宋体" w:cs="宋体"/>
                <w:color w:val="auto"/>
                <w:highlight w:val="none"/>
              </w:rPr>
              <w:t>10000-50000</w:t>
            </w:r>
          </w:p>
        </w:tc>
        <w:tc>
          <w:tcPr>
            <w:tcW w:w="1980" w:type="dxa"/>
          </w:tcPr>
          <w:p w14:paraId="324BBB7E">
            <w:pPr>
              <w:jc w:val="center"/>
              <w:rPr>
                <w:rFonts w:ascii="宋体" w:hAnsi="宋体" w:cs="宋体"/>
                <w:color w:val="auto"/>
                <w:highlight w:val="none"/>
              </w:rPr>
            </w:pPr>
            <w:r>
              <w:rPr>
                <w:rFonts w:hint="eastAsia" w:ascii="宋体" w:hAnsi="宋体" w:cs="宋体"/>
                <w:color w:val="auto"/>
                <w:highlight w:val="none"/>
              </w:rPr>
              <w:t>0.05%</w:t>
            </w:r>
          </w:p>
        </w:tc>
        <w:tc>
          <w:tcPr>
            <w:tcW w:w="1980" w:type="dxa"/>
          </w:tcPr>
          <w:p w14:paraId="6952B518">
            <w:pPr>
              <w:jc w:val="center"/>
              <w:rPr>
                <w:rFonts w:ascii="宋体" w:hAnsi="宋体" w:cs="宋体"/>
                <w:color w:val="auto"/>
                <w:highlight w:val="none"/>
              </w:rPr>
            </w:pPr>
            <w:r>
              <w:rPr>
                <w:rFonts w:hint="eastAsia" w:ascii="宋体" w:hAnsi="宋体" w:cs="宋体"/>
                <w:color w:val="auto"/>
                <w:highlight w:val="none"/>
              </w:rPr>
              <w:t>0.05%</w:t>
            </w:r>
          </w:p>
        </w:tc>
        <w:tc>
          <w:tcPr>
            <w:tcW w:w="1980" w:type="dxa"/>
          </w:tcPr>
          <w:p w14:paraId="2391DF67">
            <w:pPr>
              <w:jc w:val="center"/>
              <w:rPr>
                <w:rFonts w:ascii="宋体" w:hAnsi="宋体" w:cs="宋体"/>
                <w:color w:val="auto"/>
                <w:highlight w:val="none"/>
              </w:rPr>
            </w:pPr>
            <w:r>
              <w:rPr>
                <w:rFonts w:hint="eastAsia" w:ascii="宋体" w:hAnsi="宋体" w:cs="宋体"/>
                <w:color w:val="auto"/>
                <w:highlight w:val="none"/>
              </w:rPr>
              <w:t>0.05%</w:t>
            </w:r>
          </w:p>
        </w:tc>
      </w:tr>
      <w:tr w14:paraId="7DF4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6B034B7">
            <w:pPr>
              <w:jc w:val="center"/>
              <w:rPr>
                <w:rFonts w:ascii="宋体" w:hAnsi="宋体" w:cs="宋体"/>
                <w:color w:val="auto"/>
                <w:highlight w:val="none"/>
              </w:rPr>
            </w:pPr>
            <w:r>
              <w:rPr>
                <w:rFonts w:hint="eastAsia" w:ascii="宋体" w:hAnsi="宋体" w:cs="宋体"/>
                <w:color w:val="auto"/>
                <w:highlight w:val="none"/>
              </w:rPr>
              <w:t>50000-100000</w:t>
            </w:r>
          </w:p>
        </w:tc>
        <w:tc>
          <w:tcPr>
            <w:tcW w:w="1980" w:type="dxa"/>
          </w:tcPr>
          <w:p w14:paraId="125AD89F">
            <w:pPr>
              <w:jc w:val="center"/>
              <w:rPr>
                <w:rFonts w:ascii="宋体" w:hAnsi="宋体" w:cs="宋体"/>
                <w:color w:val="auto"/>
                <w:highlight w:val="none"/>
              </w:rPr>
            </w:pPr>
            <w:r>
              <w:rPr>
                <w:rFonts w:hint="eastAsia" w:ascii="宋体" w:hAnsi="宋体" w:cs="宋体"/>
                <w:color w:val="auto"/>
                <w:highlight w:val="none"/>
              </w:rPr>
              <w:t>0.035%</w:t>
            </w:r>
          </w:p>
        </w:tc>
        <w:tc>
          <w:tcPr>
            <w:tcW w:w="1980" w:type="dxa"/>
          </w:tcPr>
          <w:p w14:paraId="79EBDB1B">
            <w:pPr>
              <w:jc w:val="center"/>
              <w:rPr>
                <w:rFonts w:ascii="宋体" w:hAnsi="宋体" w:cs="宋体"/>
                <w:color w:val="auto"/>
                <w:highlight w:val="none"/>
              </w:rPr>
            </w:pPr>
            <w:r>
              <w:rPr>
                <w:rFonts w:hint="eastAsia" w:ascii="宋体" w:hAnsi="宋体" w:cs="宋体"/>
                <w:color w:val="auto"/>
                <w:highlight w:val="none"/>
              </w:rPr>
              <w:t>0.035%</w:t>
            </w:r>
          </w:p>
        </w:tc>
        <w:tc>
          <w:tcPr>
            <w:tcW w:w="1980" w:type="dxa"/>
          </w:tcPr>
          <w:p w14:paraId="73832193">
            <w:pPr>
              <w:jc w:val="center"/>
              <w:rPr>
                <w:rFonts w:ascii="宋体" w:hAnsi="宋体" w:cs="宋体"/>
                <w:color w:val="auto"/>
                <w:highlight w:val="none"/>
              </w:rPr>
            </w:pPr>
            <w:r>
              <w:rPr>
                <w:rFonts w:hint="eastAsia" w:ascii="宋体" w:hAnsi="宋体" w:cs="宋体"/>
                <w:color w:val="auto"/>
                <w:highlight w:val="none"/>
              </w:rPr>
              <w:t>0.035%</w:t>
            </w:r>
          </w:p>
        </w:tc>
      </w:tr>
      <w:tr w14:paraId="541C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CDFEB8E">
            <w:pPr>
              <w:jc w:val="center"/>
              <w:rPr>
                <w:rFonts w:ascii="宋体" w:hAnsi="宋体" w:cs="宋体"/>
                <w:color w:val="auto"/>
                <w:highlight w:val="none"/>
              </w:rPr>
            </w:pPr>
            <w:r>
              <w:rPr>
                <w:rFonts w:hint="eastAsia" w:ascii="宋体" w:hAnsi="宋体" w:cs="宋体"/>
                <w:color w:val="auto"/>
                <w:highlight w:val="none"/>
              </w:rPr>
              <w:t>100000-500000</w:t>
            </w:r>
          </w:p>
        </w:tc>
        <w:tc>
          <w:tcPr>
            <w:tcW w:w="1980" w:type="dxa"/>
          </w:tcPr>
          <w:p w14:paraId="6B1164DB">
            <w:pPr>
              <w:jc w:val="center"/>
              <w:rPr>
                <w:rFonts w:ascii="宋体" w:hAnsi="宋体" w:cs="宋体"/>
                <w:color w:val="auto"/>
                <w:highlight w:val="none"/>
              </w:rPr>
            </w:pPr>
            <w:r>
              <w:rPr>
                <w:rFonts w:hint="eastAsia" w:ascii="宋体" w:hAnsi="宋体" w:cs="宋体"/>
                <w:color w:val="auto"/>
                <w:highlight w:val="none"/>
              </w:rPr>
              <w:t>0.008%</w:t>
            </w:r>
          </w:p>
        </w:tc>
        <w:tc>
          <w:tcPr>
            <w:tcW w:w="1980" w:type="dxa"/>
          </w:tcPr>
          <w:p w14:paraId="3A22BA23">
            <w:pPr>
              <w:jc w:val="center"/>
              <w:rPr>
                <w:rFonts w:ascii="宋体" w:hAnsi="宋体" w:cs="宋体"/>
                <w:color w:val="auto"/>
                <w:highlight w:val="none"/>
              </w:rPr>
            </w:pPr>
            <w:r>
              <w:rPr>
                <w:rFonts w:hint="eastAsia" w:ascii="宋体" w:hAnsi="宋体" w:cs="宋体"/>
                <w:color w:val="auto"/>
                <w:highlight w:val="none"/>
              </w:rPr>
              <w:t>0.008%</w:t>
            </w:r>
          </w:p>
        </w:tc>
        <w:tc>
          <w:tcPr>
            <w:tcW w:w="1980" w:type="dxa"/>
          </w:tcPr>
          <w:p w14:paraId="2467538D">
            <w:pPr>
              <w:jc w:val="center"/>
              <w:rPr>
                <w:rFonts w:ascii="宋体" w:hAnsi="宋体" w:cs="宋体"/>
                <w:color w:val="auto"/>
                <w:highlight w:val="none"/>
              </w:rPr>
            </w:pPr>
            <w:r>
              <w:rPr>
                <w:rFonts w:hint="eastAsia" w:ascii="宋体" w:hAnsi="宋体" w:cs="宋体"/>
                <w:color w:val="auto"/>
                <w:highlight w:val="none"/>
              </w:rPr>
              <w:t>0.008%</w:t>
            </w:r>
          </w:p>
        </w:tc>
      </w:tr>
      <w:tr w14:paraId="6AF9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8EECAC5">
            <w:pPr>
              <w:jc w:val="center"/>
              <w:rPr>
                <w:rFonts w:ascii="宋体" w:hAnsi="宋体" w:cs="宋体"/>
                <w:color w:val="auto"/>
                <w:highlight w:val="none"/>
              </w:rPr>
            </w:pPr>
            <w:r>
              <w:rPr>
                <w:rFonts w:hint="eastAsia" w:ascii="宋体" w:hAnsi="宋体" w:cs="宋体"/>
                <w:color w:val="auto"/>
                <w:highlight w:val="none"/>
              </w:rPr>
              <w:t>500000-1000000</w:t>
            </w:r>
          </w:p>
        </w:tc>
        <w:tc>
          <w:tcPr>
            <w:tcW w:w="1980" w:type="dxa"/>
          </w:tcPr>
          <w:p w14:paraId="3D8CA5C3">
            <w:pPr>
              <w:jc w:val="center"/>
              <w:rPr>
                <w:rFonts w:ascii="宋体" w:hAnsi="宋体" w:cs="宋体"/>
                <w:color w:val="auto"/>
                <w:highlight w:val="none"/>
              </w:rPr>
            </w:pPr>
            <w:r>
              <w:rPr>
                <w:rFonts w:hint="eastAsia" w:ascii="宋体" w:hAnsi="宋体" w:cs="宋体"/>
                <w:color w:val="auto"/>
                <w:highlight w:val="none"/>
              </w:rPr>
              <w:t>0.006%</w:t>
            </w:r>
          </w:p>
        </w:tc>
        <w:tc>
          <w:tcPr>
            <w:tcW w:w="1980" w:type="dxa"/>
          </w:tcPr>
          <w:p w14:paraId="7FF48CA0">
            <w:pPr>
              <w:jc w:val="center"/>
              <w:rPr>
                <w:rFonts w:ascii="宋体" w:hAnsi="宋体" w:cs="宋体"/>
                <w:color w:val="auto"/>
                <w:highlight w:val="none"/>
              </w:rPr>
            </w:pPr>
            <w:r>
              <w:rPr>
                <w:rFonts w:hint="eastAsia" w:ascii="宋体" w:hAnsi="宋体" w:cs="宋体"/>
                <w:color w:val="auto"/>
                <w:highlight w:val="none"/>
              </w:rPr>
              <w:t>0.006%</w:t>
            </w:r>
          </w:p>
        </w:tc>
        <w:tc>
          <w:tcPr>
            <w:tcW w:w="1980" w:type="dxa"/>
          </w:tcPr>
          <w:p w14:paraId="68F58E65">
            <w:pPr>
              <w:jc w:val="center"/>
              <w:rPr>
                <w:rFonts w:ascii="宋体" w:hAnsi="宋体" w:cs="宋体"/>
                <w:color w:val="auto"/>
                <w:highlight w:val="none"/>
              </w:rPr>
            </w:pPr>
            <w:r>
              <w:rPr>
                <w:rFonts w:hint="eastAsia" w:ascii="宋体" w:hAnsi="宋体" w:cs="宋体"/>
                <w:color w:val="auto"/>
                <w:highlight w:val="none"/>
              </w:rPr>
              <w:t>0.006%</w:t>
            </w:r>
          </w:p>
        </w:tc>
      </w:tr>
      <w:tr w14:paraId="1301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4072FDC">
            <w:pPr>
              <w:jc w:val="center"/>
              <w:rPr>
                <w:rFonts w:ascii="宋体" w:hAnsi="宋体" w:cs="宋体"/>
                <w:color w:val="auto"/>
                <w:highlight w:val="none"/>
              </w:rPr>
            </w:pPr>
            <w:r>
              <w:rPr>
                <w:rFonts w:hint="eastAsia" w:ascii="宋体" w:hAnsi="宋体" w:cs="宋体"/>
                <w:color w:val="auto"/>
                <w:highlight w:val="none"/>
              </w:rPr>
              <w:t>1000000以上</w:t>
            </w:r>
          </w:p>
        </w:tc>
        <w:tc>
          <w:tcPr>
            <w:tcW w:w="1980" w:type="dxa"/>
          </w:tcPr>
          <w:p w14:paraId="221F640E">
            <w:pPr>
              <w:jc w:val="center"/>
              <w:rPr>
                <w:rFonts w:ascii="宋体" w:hAnsi="宋体" w:cs="宋体"/>
                <w:color w:val="auto"/>
                <w:highlight w:val="none"/>
              </w:rPr>
            </w:pPr>
            <w:r>
              <w:rPr>
                <w:rFonts w:hint="eastAsia" w:ascii="宋体" w:hAnsi="宋体" w:cs="宋体"/>
                <w:color w:val="auto"/>
                <w:highlight w:val="none"/>
              </w:rPr>
              <w:t>0.004%</w:t>
            </w:r>
          </w:p>
        </w:tc>
        <w:tc>
          <w:tcPr>
            <w:tcW w:w="1980" w:type="dxa"/>
          </w:tcPr>
          <w:p w14:paraId="1287BAC8">
            <w:pPr>
              <w:jc w:val="center"/>
              <w:rPr>
                <w:rFonts w:ascii="宋体" w:hAnsi="宋体" w:cs="宋体"/>
                <w:color w:val="auto"/>
                <w:highlight w:val="none"/>
              </w:rPr>
            </w:pPr>
            <w:r>
              <w:rPr>
                <w:rFonts w:hint="eastAsia" w:ascii="宋体" w:hAnsi="宋体" w:cs="宋体"/>
                <w:color w:val="auto"/>
                <w:highlight w:val="none"/>
              </w:rPr>
              <w:t>0.004%</w:t>
            </w:r>
          </w:p>
        </w:tc>
        <w:tc>
          <w:tcPr>
            <w:tcW w:w="1980" w:type="dxa"/>
          </w:tcPr>
          <w:p w14:paraId="31AA55B1">
            <w:pPr>
              <w:jc w:val="center"/>
              <w:rPr>
                <w:rFonts w:ascii="宋体" w:hAnsi="宋体" w:cs="宋体"/>
                <w:color w:val="auto"/>
                <w:highlight w:val="none"/>
              </w:rPr>
            </w:pPr>
            <w:r>
              <w:rPr>
                <w:rFonts w:hint="eastAsia" w:ascii="宋体" w:hAnsi="宋体" w:cs="宋体"/>
                <w:color w:val="auto"/>
                <w:highlight w:val="none"/>
              </w:rPr>
              <w:t>0.004%</w:t>
            </w:r>
          </w:p>
        </w:tc>
      </w:tr>
    </w:tbl>
    <w:p w14:paraId="7CED0B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注：收费标准低于2000元的按2000元收取。</w:t>
      </w:r>
    </w:p>
    <w:p w14:paraId="6324D9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例：一项货物采购项目，中标金额6000万元，收费如下：</w:t>
      </w:r>
    </w:p>
    <w:p w14:paraId="795B60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100万元×1.5％＝1.5万元</w:t>
      </w:r>
    </w:p>
    <w:p w14:paraId="0DA90E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（500-100）万元×1.1％＝4.4万元</w:t>
      </w:r>
    </w:p>
    <w:p w14:paraId="1245D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（1000-500）万元×0.8％=4万元</w:t>
      </w:r>
    </w:p>
    <w:p w14:paraId="3E9CE3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（5000-1000）万元×0.5％=20万元</w:t>
      </w:r>
    </w:p>
    <w:p w14:paraId="423DDB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（6000-5000）万元×0.25％=2.5万元</w:t>
      </w:r>
    </w:p>
    <w:p w14:paraId="0A939E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合计收费＝1.5+4.4+4+20+2.5＝32.4万元</w:t>
      </w:r>
    </w:p>
    <w:p w14:paraId="4EF65345">
      <w:pPr>
        <w:rPr>
          <w:color w:val="auto"/>
          <w:highlight w:val="none"/>
        </w:rPr>
      </w:pPr>
    </w:p>
    <w:p w14:paraId="43FEE5EB">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2"/>
      </w:rPr>
    </w:pPr>
    <w:r>
      <w:fldChar w:fldCharType="begin"/>
    </w:r>
    <w:r>
      <w:rPr>
        <w:rStyle w:val="72"/>
      </w:rPr>
      <w:instrText xml:space="preserve">PAGE  </w:instrText>
    </w:r>
    <w:r>
      <w:fldChar w:fldCharType="end"/>
    </w:r>
  </w:p>
  <w:p w14:paraId="6C3E18D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9" w:name="_Toc131845147"/>
    <w:bookmarkStart w:id="410" w:name="_Toc36110187"/>
    <w:bookmarkStart w:id="411" w:name="_Toc164085800"/>
    <w:bookmarkStart w:id="412" w:name="_Toc91899912"/>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2"/>
      </w:rPr>
    </w:pPr>
    <w:r>
      <w:fldChar w:fldCharType="begin"/>
    </w:r>
    <w:r>
      <w:rPr>
        <w:rStyle w:val="72"/>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rFonts w:hint="eastAsia"/>
      </w:rPr>
      <w:t xml:space="preserve">             </w:t>
    </w:r>
    <w:r>
      <w:t>杭州市政府采购公开招标文件</w:t>
    </w:r>
  </w:p>
  <w:p w14:paraId="04A4D0B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2"/>
    </w:pPr>
    <w:r>
      <w:t></w:t>
    </w:r>
    <w:r>
      <w:rPr>
        <w:rFonts w:hint="eastAsia"/>
      </w:rPr>
      <w:t xml:space="preserve">         </w:t>
    </w:r>
  </w:p>
  <w:p w14:paraId="7A5C9F0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2"/>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2"/>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EBEE578A"/>
    <w:multiLevelType w:val="singleLevel"/>
    <w:tmpl w:val="EBEE578A"/>
    <w:lvl w:ilvl="0" w:tentative="0">
      <w:start w:val="1"/>
      <w:numFmt w:val="decimal"/>
      <w:suff w:val="nothing"/>
      <w:lvlText w:val="%1）"/>
      <w:lvlJc w:val="left"/>
    </w:lvl>
  </w:abstractNum>
  <w:abstractNum w:abstractNumId="2">
    <w:nsid w:val="2D67A175"/>
    <w:multiLevelType w:val="singleLevel"/>
    <w:tmpl w:val="2D67A17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D2B9F"/>
    <w:rsid w:val="066F1CF3"/>
    <w:rsid w:val="06871610"/>
    <w:rsid w:val="06930BB8"/>
    <w:rsid w:val="06960E36"/>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12790"/>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0D790E"/>
    <w:rsid w:val="0E5604B2"/>
    <w:rsid w:val="0E6D5D79"/>
    <w:rsid w:val="0E9D0089"/>
    <w:rsid w:val="0EA474D2"/>
    <w:rsid w:val="0EB803EE"/>
    <w:rsid w:val="0EF94D4B"/>
    <w:rsid w:val="0F4958DC"/>
    <w:rsid w:val="0F515DF7"/>
    <w:rsid w:val="0F596BA8"/>
    <w:rsid w:val="0F6248D2"/>
    <w:rsid w:val="0F693536"/>
    <w:rsid w:val="0F6D42A0"/>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616B3D"/>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94A7E"/>
    <w:rsid w:val="17D349C1"/>
    <w:rsid w:val="18244F26"/>
    <w:rsid w:val="1830729E"/>
    <w:rsid w:val="1852128A"/>
    <w:rsid w:val="1870062C"/>
    <w:rsid w:val="18817102"/>
    <w:rsid w:val="18830A15"/>
    <w:rsid w:val="18852B28"/>
    <w:rsid w:val="188B5321"/>
    <w:rsid w:val="19932372"/>
    <w:rsid w:val="199B27AF"/>
    <w:rsid w:val="19A20DD5"/>
    <w:rsid w:val="19AE03F1"/>
    <w:rsid w:val="1A071A03"/>
    <w:rsid w:val="1A1F16AE"/>
    <w:rsid w:val="1A3B5C77"/>
    <w:rsid w:val="1A6B1B55"/>
    <w:rsid w:val="1A984BAD"/>
    <w:rsid w:val="1AB8220E"/>
    <w:rsid w:val="1AE4166C"/>
    <w:rsid w:val="1AF06CFB"/>
    <w:rsid w:val="1AF11B8D"/>
    <w:rsid w:val="1AF90E4F"/>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F16CD7"/>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16373"/>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6148CF"/>
    <w:rsid w:val="288A6E59"/>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6D57A6"/>
    <w:rsid w:val="2B7807EE"/>
    <w:rsid w:val="2BA50BF7"/>
    <w:rsid w:val="2BBF00EC"/>
    <w:rsid w:val="2BC37CFD"/>
    <w:rsid w:val="2BD5237F"/>
    <w:rsid w:val="2BE536CE"/>
    <w:rsid w:val="2BE758D9"/>
    <w:rsid w:val="2BF346BB"/>
    <w:rsid w:val="2C09049E"/>
    <w:rsid w:val="2C0A653C"/>
    <w:rsid w:val="2C191F85"/>
    <w:rsid w:val="2CAC7FCF"/>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A6157F"/>
    <w:rsid w:val="30D04860"/>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06F51"/>
    <w:rsid w:val="340D2360"/>
    <w:rsid w:val="3410665D"/>
    <w:rsid w:val="34211214"/>
    <w:rsid w:val="342E63AB"/>
    <w:rsid w:val="34706BA3"/>
    <w:rsid w:val="349407A9"/>
    <w:rsid w:val="34950E68"/>
    <w:rsid w:val="34986E94"/>
    <w:rsid w:val="34AF62C9"/>
    <w:rsid w:val="34CB4388"/>
    <w:rsid w:val="34FA6E12"/>
    <w:rsid w:val="354D7158"/>
    <w:rsid w:val="358D5588"/>
    <w:rsid w:val="363A3B40"/>
    <w:rsid w:val="365302AE"/>
    <w:rsid w:val="36607A0A"/>
    <w:rsid w:val="366E227C"/>
    <w:rsid w:val="366F2E0D"/>
    <w:rsid w:val="367B6A5C"/>
    <w:rsid w:val="36985DB9"/>
    <w:rsid w:val="36A74ADA"/>
    <w:rsid w:val="36AD60D5"/>
    <w:rsid w:val="36B224F9"/>
    <w:rsid w:val="36EC0CC9"/>
    <w:rsid w:val="37202102"/>
    <w:rsid w:val="373F410B"/>
    <w:rsid w:val="37EE7094"/>
    <w:rsid w:val="38296C89"/>
    <w:rsid w:val="383002EB"/>
    <w:rsid w:val="38586797"/>
    <w:rsid w:val="385D15DF"/>
    <w:rsid w:val="38BC0149"/>
    <w:rsid w:val="38D87D1C"/>
    <w:rsid w:val="39315F48"/>
    <w:rsid w:val="39636459"/>
    <w:rsid w:val="396B7F6C"/>
    <w:rsid w:val="39B417A9"/>
    <w:rsid w:val="39F350B4"/>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04FD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36F05"/>
    <w:rsid w:val="56471638"/>
    <w:rsid w:val="566B6D1E"/>
    <w:rsid w:val="57032A2C"/>
    <w:rsid w:val="570F5219"/>
    <w:rsid w:val="573123E1"/>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BA94767"/>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286E93"/>
    <w:rsid w:val="5F3A3602"/>
    <w:rsid w:val="5F3F9AF8"/>
    <w:rsid w:val="5F45733B"/>
    <w:rsid w:val="5F6277C6"/>
    <w:rsid w:val="5F6D0B1D"/>
    <w:rsid w:val="5F8D0B82"/>
    <w:rsid w:val="5F942D1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9D5DF7"/>
    <w:rsid w:val="62F40B65"/>
    <w:rsid w:val="62FC2CFE"/>
    <w:rsid w:val="63024505"/>
    <w:rsid w:val="63350F24"/>
    <w:rsid w:val="635600A5"/>
    <w:rsid w:val="635B1DB5"/>
    <w:rsid w:val="63711FED"/>
    <w:rsid w:val="63880DDC"/>
    <w:rsid w:val="638D750D"/>
    <w:rsid w:val="63AC6CC0"/>
    <w:rsid w:val="63F1515C"/>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80048"/>
    <w:rsid w:val="672F3F24"/>
    <w:rsid w:val="673E055F"/>
    <w:rsid w:val="67551CE3"/>
    <w:rsid w:val="67A22552"/>
    <w:rsid w:val="67B22DCC"/>
    <w:rsid w:val="67BE71AA"/>
    <w:rsid w:val="67D90273"/>
    <w:rsid w:val="67DE5875"/>
    <w:rsid w:val="67E55852"/>
    <w:rsid w:val="67EB1AB4"/>
    <w:rsid w:val="67FA1285"/>
    <w:rsid w:val="68551F4F"/>
    <w:rsid w:val="686949EA"/>
    <w:rsid w:val="687C10C9"/>
    <w:rsid w:val="68840C16"/>
    <w:rsid w:val="68876EFB"/>
    <w:rsid w:val="68884654"/>
    <w:rsid w:val="689F444F"/>
    <w:rsid w:val="68B96DBB"/>
    <w:rsid w:val="68CA2805"/>
    <w:rsid w:val="68E937A3"/>
    <w:rsid w:val="68EC0DB0"/>
    <w:rsid w:val="693E15D3"/>
    <w:rsid w:val="69627681"/>
    <w:rsid w:val="6977531D"/>
    <w:rsid w:val="69CC2BFF"/>
    <w:rsid w:val="69FD55B8"/>
    <w:rsid w:val="6A0B1C62"/>
    <w:rsid w:val="6A2406C8"/>
    <w:rsid w:val="6ADE0BD1"/>
    <w:rsid w:val="6AE96859"/>
    <w:rsid w:val="6B147746"/>
    <w:rsid w:val="6B24787C"/>
    <w:rsid w:val="6B573233"/>
    <w:rsid w:val="6B5B6274"/>
    <w:rsid w:val="6B824366"/>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0357BE"/>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03946"/>
    <w:rsid w:val="725923E4"/>
    <w:rsid w:val="72864BF7"/>
    <w:rsid w:val="729023FC"/>
    <w:rsid w:val="730A21B9"/>
    <w:rsid w:val="73C0646E"/>
    <w:rsid w:val="74135214"/>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5FA2D4B"/>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A5D9F"/>
    <w:rsid w:val="79F850CE"/>
    <w:rsid w:val="79FD443C"/>
    <w:rsid w:val="7A1D1975"/>
    <w:rsid w:val="7A3E5150"/>
    <w:rsid w:val="7A4670D6"/>
    <w:rsid w:val="7A534B63"/>
    <w:rsid w:val="7A615382"/>
    <w:rsid w:val="7A67303B"/>
    <w:rsid w:val="7AAB1D04"/>
    <w:rsid w:val="7ABA4368"/>
    <w:rsid w:val="7AD05746"/>
    <w:rsid w:val="7B0433A1"/>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00E3A"/>
    <w:rsid w:val="7D491C6C"/>
    <w:rsid w:val="7D5429C0"/>
    <w:rsid w:val="7D6E6D43"/>
    <w:rsid w:val="7DB57A34"/>
    <w:rsid w:val="7DD86F60"/>
    <w:rsid w:val="7DE60973"/>
    <w:rsid w:val="7DEF0916"/>
    <w:rsid w:val="7E0061FD"/>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1"/>
    <w:qFormat/>
    <w:uiPriority w:val="0"/>
    <w:pPr>
      <w:ind w:firstLine="420"/>
    </w:pPr>
    <w:rPr>
      <w:rFonts w:hAnsi="Calibri" w:cs="Times New Roman"/>
      <w:snapToGrid/>
      <w:szCs w:val="20"/>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link w:val="12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rPr>
      <w:rFonts w:hint="eastAsia"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16375</Words>
  <Characters>17581</Characters>
  <Lines>279</Lines>
  <Paragraphs>78</Paragraphs>
  <TotalTime>1</TotalTime>
  <ScaleCrop>false</ScaleCrop>
  <LinksUpToDate>false</LinksUpToDate>
  <CharactersWithSpaces>18095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Administrator</cp:lastModifiedBy>
  <cp:lastPrinted>2025-06-18T06:37:00Z</cp:lastPrinted>
  <dcterms:modified xsi:type="dcterms:W3CDTF">2025-06-19T00:33:15Z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eyJoZGlkIjoiYjNhZGY2ZWVmNGIxMDAzYjZiNmU4MTQyZWM5MDIxMTYifQ==</vt:lpwstr>
  </property>
</Properties>
</file>