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4"/>
        <w:ind w:firstLine="480"/>
        <w:rPr>
          <w:rFonts w:ascii="宋体" w:hAnsi="宋体" w:eastAsia="宋体" w:cs="宋体"/>
          <w:color w:val="auto"/>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adjustRightInd/>
        <w:spacing w:line="360" w:lineRule="auto"/>
        <w:jc w:val="center"/>
        <w:rPr>
          <w:rFonts w:ascii="宋体" w:hAnsi="宋体" w:cs="宋体"/>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淳安县公安局交通警察大队</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交通事故隐患即时治理采购项目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招标文件</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编号:YSGL[2023]001GK</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淳安县公安局交通警察大队</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永盛联合(杭州)项目管理有限公司</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二〇二三年</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十七</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Style w:val="964"/>
          <w:rFonts w:hint="eastAsia" w:ascii="宋体" w:hAnsi="宋体" w:eastAsia="宋体" w:cs="宋体"/>
          <w:b w:val="0"/>
          <w:color w:val="auto"/>
          <w:kern w:val="0"/>
          <w:sz w:val="24"/>
          <w:szCs w:val="32"/>
          <w:u w:val="single"/>
        </w:rPr>
        <w:t>淳安县公安局交通警察大队交通事故隐患即时治理采购项目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"https://www.zcygov.cn/）获取（下载）招标文件，并于2022年12月%20%20日9点30分00秒" </w:instrText>
      </w:r>
      <w:r>
        <w:rPr>
          <w:color w:val="auto"/>
        </w:rPr>
        <w:fldChar w:fldCharType="separate"/>
      </w:r>
      <w:r>
        <w:rPr>
          <w:rStyle w:val="77"/>
          <w:rFonts w:hint="eastAsia" w:ascii="宋体" w:hAnsi="宋体" w:eastAsia="宋体" w:cs="宋体"/>
          <w:snapToGrid/>
          <w:color w:val="auto"/>
          <w:kern w:val="2"/>
          <w:sz w:val="24"/>
        </w:rPr>
        <w:t>https://www.zcygov.cn/）获取（下载）招标文件，并于2023年</w:t>
      </w:r>
      <w:r>
        <w:rPr>
          <w:rStyle w:val="77"/>
          <w:rFonts w:hint="eastAsia" w:ascii="宋体" w:hAnsi="宋体" w:cs="宋体"/>
          <w:snapToGrid/>
          <w:color w:val="auto"/>
          <w:kern w:val="2"/>
          <w:sz w:val="24"/>
          <w:lang w:val="en-US" w:eastAsia="zh-CN"/>
        </w:rPr>
        <w:t>3</w:t>
      </w:r>
      <w:r>
        <w:rPr>
          <w:rStyle w:val="77"/>
          <w:rFonts w:hint="eastAsia" w:ascii="宋体" w:hAnsi="宋体" w:eastAsia="宋体" w:cs="宋体"/>
          <w:snapToGrid/>
          <w:color w:val="auto"/>
          <w:kern w:val="2"/>
          <w:sz w:val="24"/>
        </w:rPr>
        <w:t>月</w:t>
      </w:r>
      <w:r>
        <w:rPr>
          <w:rStyle w:val="77"/>
          <w:rFonts w:hint="eastAsia" w:ascii="宋体" w:hAnsi="宋体" w:cs="宋体"/>
          <w:snapToGrid/>
          <w:color w:val="auto"/>
          <w:kern w:val="2"/>
          <w:sz w:val="24"/>
          <w:lang w:val="en-US" w:eastAsia="zh-CN"/>
        </w:rPr>
        <w:t>10</w:t>
      </w:r>
      <w:r>
        <w:rPr>
          <w:rStyle w:val="77"/>
          <w:rFonts w:hint="eastAsia" w:ascii="宋体" w:hAnsi="宋体" w:eastAsia="宋体" w:cs="宋体"/>
          <w:snapToGrid/>
          <w:color w:val="auto"/>
          <w:kern w:val="2"/>
          <w:sz w:val="24"/>
        </w:rPr>
        <w:t>日9点00分</w:t>
      </w:r>
      <w:r>
        <w:rPr>
          <w:rStyle w:val="77"/>
          <w:rFonts w:hint="eastAsia" w:ascii="宋体" w:hAnsi="宋体" w:eastAsia="宋体" w:cs="宋体"/>
          <w:bCs/>
          <w:snapToGrid/>
          <w:color w:val="auto"/>
          <w:kern w:val="2"/>
          <w:sz w:val="24"/>
        </w:rPr>
        <w:t>00秒</w:t>
      </w:r>
      <w:r>
        <w:rPr>
          <w:rStyle w:val="77"/>
          <w:rFonts w:hint="eastAsia" w:ascii="宋体" w:hAnsi="宋体" w:eastAsia="宋体" w:cs="宋体"/>
          <w:bCs/>
          <w:snapToGrid/>
          <w:color w:val="auto"/>
          <w:kern w:val="2"/>
          <w:sz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b/>
          <w:color w:val="auto"/>
          <w:sz w:val="24"/>
        </w:rPr>
        <w:t>项目编号：</w:t>
      </w:r>
      <w:r>
        <w:rPr>
          <w:rStyle w:val="964"/>
          <w:rFonts w:hint="eastAsia" w:ascii="宋体" w:hAnsi="宋体" w:eastAsia="宋体" w:cs="宋体"/>
          <w:b w:val="0"/>
          <w:color w:val="auto"/>
          <w:kern w:val="0"/>
          <w:sz w:val="24"/>
          <w:szCs w:val="32"/>
        </w:rPr>
        <w:t>YSGL[2023]001GK</w:t>
      </w:r>
    </w:p>
    <w:p>
      <w:pPr>
        <w:spacing w:line="360" w:lineRule="auto"/>
        <w:rPr>
          <w:rFonts w:ascii="宋体" w:hAnsi="宋体" w:cs="宋体"/>
          <w:color w:val="auto"/>
          <w:sz w:val="24"/>
        </w:rPr>
      </w:pPr>
      <w:r>
        <w:rPr>
          <w:rFonts w:hint="eastAsia" w:ascii="宋体" w:hAnsi="宋体" w:cs="宋体"/>
          <w:b/>
          <w:color w:val="auto"/>
          <w:sz w:val="24"/>
        </w:rPr>
        <w:t>项目名称：</w:t>
      </w:r>
      <w:r>
        <w:rPr>
          <w:rStyle w:val="964"/>
          <w:rFonts w:hint="eastAsia" w:ascii="宋体" w:hAnsi="宋体" w:eastAsia="宋体" w:cs="宋体"/>
          <w:b w:val="0"/>
          <w:color w:val="auto"/>
          <w:kern w:val="0"/>
          <w:sz w:val="24"/>
          <w:szCs w:val="32"/>
        </w:rPr>
        <w:t>淳安县公安局交通警察大队交通事故隐患即时治理采购项目</w:t>
      </w:r>
    </w:p>
    <w:p>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Cs/>
          <w:color w:val="auto"/>
          <w:sz w:val="24"/>
        </w:rPr>
        <w:t>1000000元</w:t>
      </w:r>
    </w:p>
    <w:p>
      <w:pPr>
        <w:spacing w:line="360" w:lineRule="auto"/>
        <w:rPr>
          <w:rFonts w:ascii="宋体" w:hAnsi="宋体" w:cs="宋体"/>
          <w:color w:val="auto"/>
          <w:sz w:val="24"/>
        </w:rPr>
      </w:pPr>
      <w:r>
        <w:rPr>
          <w:rFonts w:hint="eastAsia" w:ascii="宋体" w:hAnsi="宋体" w:cs="宋体"/>
          <w:b/>
          <w:color w:val="auto"/>
          <w:sz w:val="24"/>
        </w:rPr>
        <w:t>最高限价（元）：</w:t>
      </w:r>
      <w:r>
        <w:rPr>
          <w:rFonts w:hint="eastAsia" w:ascii="宋体" w:hAnsi="宋体" w:cs="宋体"/>
          <w:bCs/>
          <w:color w:val="auto"/>
          <w:sz w:val="24"/>
        </w:rPr>
        <w:t>1000000元</w:t>
      </w:r>
    </w:p>
    <w:p>
      <w:pPr>
        <w:pStyle w:val="6"/>
        <w:spacing w:line="360" w:lineRule="auto"/>
        <w:ind w:firstLine="0"/>
        <w:rPr>
          <w:rFonts w:hAnsi="宋体" w:cs="宋体"/>
          <w:bCs/>
          <w:color w:val="auto"/>
          <w:kern w:val="2"/>
          <w:sz w:val="24"/>
          <w:szCs w:val="24"/>
        </w:rPr>
      </w:pPr>
      <w:r>
        <w:rPr>
          <w:rFonts w:hint="eastAsia" w:hAnsi="宋体" w:cs="宋体"/>
          <w:b/>
          <w:color w:val="auto"/>
          <w:sz w:val="24"/>
        </w:rPr>
        <w:t>采购需求：</w:t>
      </w:r>
      <w:r>
        <w:rPr>
          <w:rStyle w:val="964"/>
          <w:rFonts w:hint="eastAsia" w:ascii="宋体" w:hAnsi="宋体" w:eastAsia="宋体" w:cs="宋体"/>
          <w:b w:val="0"/>
          <w:bCs/>
          <w:color w:val="auto"/>
          <w:kern w:val="0"/>
          <w:sz w:val="24"/>
        </w:rPr>
        <w:t>淳安县公安局交通警察大队交通事故隐患即时治理</w:t>
      </w:r>
      <w:r>
        <w:rPr>
          <w:rFonts w:hint="eastAsia" w:hAnsi="宋体" w:cs="宋体"/>
          <w:bCs/>
          <w:snapToGrid/>
          <w:color w:val="auto"/>
          <w:kern w:val="2"/>
          <w:sz w:val="24"/>
          <w:szCs w:val="24"/>
        </w:rPr>
        <w:t>主要内容：详见招标文件第三部分采购需求。</w:t>
      </w:r>
    </w:p>
    <w:p>
      <w:pPr>
        <w:snapToGrid w:val="0"/>
        <w:spacing w:line="360" w:lineRule="auto"/>
        <w:rPr>
          <w:rFonts w:ascii="宋体" w:hAnsi="宋体" w:cs="宋体"/>
          <w:color w:val="auto"/>
          <w:sz w:val="24"/>
        </w:rPr>
      </w:pPr>
      <w:r>
        <w:rPr>
          <w:rFonts w:hint="eastAsia" w:ascii="宋体" w:hAnsi="宋体" w:cs="宋体"/>
          <w:b/>
          <w:color w:val="auto"/>
          <w:sz w:val="24"/>
        </w:rPr>
        <w:t>服务期限</w:t>
      </w:r>
      <w:r>
        <w:rPr>
          <w:rFonts w:hint="eastAsia" w:ascii="宋体" w:hAnsi="宋体" w:cs="宋体"/>
          <w:b/>
          <w:color w:val="auto"/>
        </w:rPr>
        <w:t>：</w:t>
      </w:r>
      <w:r>
        <w:rPr>
          <w:rStyle w:val="964"/>
          <w:rFonts w:hint="eastAsia" w:ascii="宋体" w:hAnsi="宋体" w:eastAsia="宋体" w:cs="宋体"/>
          <w:b w:val="0"/>
          <w:snapToGrid w:val="0"/>
          <w:color w:val="auto"/>
          <w:kern w:val="0"/>
          <w:sz w:val="24"/>
        </w:rPr>
        <w:t>壹年（以合同签订时间这准）。</w:t>
      </w:r>
    </w:p>
    <w:p>
      <w:pPr>
        <w:snapToGrid w:val="0"/>
        <w:spacing w:line="360" w:lineRule="auto"/>
        <w:rPr>
          <w:rFonts w:ascii="宋体" w:hAnsi="宋体" w:cs="宋体"/>
          <w:color w:val="auto"/>
          <w:sz w:val="24"/>
        </w:rPr>
      </w:pPr>
      <w:r>
        <w:rPr>
          <w:rFonts w:hint="eastAsia" w:ascii="宋体" w:hAnsi="宋体" w:cs="宋体"/>
          <w:b/>
          <w:color w:val="auto"/>
          <w:sz w:val="24"/>
        </w:rPr>
        <w:t>采购方式</w:t>
      </w:r>
      <w:r>
        <w:rPr>
          <w:rFonts w:hint="eastAsia" w:ascii="宋体" w:hAnsi="宋体" w:cs="宋体"/>
          <w:b/>
          <w:color w:val="auto"/>
        </w:rPr>
        <w:t>：</w:t>
      </w:r>
      <w:r>
        <w:rPr>
          <w:rFonts w:hint="eastAsia" w:ascii="宋体" w:hAnsi="宋体" w:cs="宋体"/>
          <w:color w:val="auto"/>
          <w:sz w:val="24"/>
        </w:rPr>
        <w:t>公开招标</w:t>
      </w:r>
    </w:p>
    <w:p>
      <w:pPr>
        <w:pStyle w:val="6"/>
        <w:spacing w:line="360" w:lineRule="auto"/>
        <w:ind w:firstLine="0"/>
        <w:rPr>
          <w:rFonts w:hAnsi="宋体" w:cs="宋体"/>
          <w:b/>
          <w:color w:val="auto"/>
          <w:sz w:val="24"/>
        </w:rPr>
      </w:pPr>
      <w:r>
        <w:rPr>
          <w:rFonts w:hint="eastAsia" w:hAnsi="宋体" w:cs="宋体"/>
          <w:b/>
          <w:color w:val="auto"/>
          <w:sz w:val="24"/>
        </w:rPr>
        <w:t>本项目接受联合体投标：</w:t>
      </w:r>
      <w:r>
        <w:rPr>
          <w:rFonts w:hint="eastAsia" w:hAnsi="宋体" w:cs="宋体"/>
          <w:color w:val="auto"/>
          <w:kern w:val="0"/>
          <w:sz w:val="24"/>
        </w:rPr>
        <w:sym w:font="Wingdings" w:char="00A8"/>
      </w:r>
      <w:r>
        <w:rPr>
          <w:rFonts w:hint="eastAsia" w:hAnsi="宋体" w:cs="宋体"/>
          <w:b/>
          <w:color w:val="auto"/>
          <w:sz w:val="24"/>
        </w:rPr>
        <w:t>是，</w:t>
      </w:r>
      <w:r>
        <w:rPr>
          <w:rFonts w:hint="eastAsia" w:hAnsi="宋体" w:cs="宋体"/>
          <w:color w:val="auto"/>
          <w:kern w:val="0"/>
          <w:sz w:val="24"/>
          <w:szCs w:val="24"/>
        </w:rPr>
        <w:sym w:font="Wingdings" w:char="00FE"/>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rPr>
          <w:rFonts w:ascii="宋体" w:hAnsi="宋体" w:cs="宋体"/>
          <w:color w:val="auto"/>
        </w:rPr>
      </w:pPr>
      <w:r>
        <w:rPr>
          <w:rFonts w:hint="eastAsia" w:ascii="宋体" w:hAnsi="宋体" w:cs="宋体"/>
          <w:color w:val="auto"/>
          <w:sz w:val="24"/>
        </w:rPr>
        <w:t>2.以联合体形式投标的，提供联合协议(本项目不接受联合体投标或者投标人不以联合体形式投标的，则不需要提供)；</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3.落实政府采购政策需满足的资格要求：☐</w:t>
      </w:r>
      <w:r>
        <w:rPr>
          <w:rFonts w:hint="eastAsia" w:ascii="宋体" w:hAnsi="宋体" w:cs="宋体"/>
          <w:color w:val="auto"/>
          <w:kern w:val="0"/>
          <w:sz w:val="24"/>
        </w:rPr>
        <w:t>无</w:t>
      </w:r>
      <w:sdt>
        <w:sdtPr>
          <w:rPr>
            <w:rFonts w:hint="eastAsia" w:ascii="宋体" w:hAnsi="宋体" w:cs="宋体"/>
            <w:color w:val="auto"/>
            <w:kern w:val="0"/>
            <w:sz w:val="24"/>
          </w:rPr>
          <w:id w:val="931358"/>
        </w:sdtPr>
        <w:sdtEndPr>
          <w:rPr>
            <w:rFonts w:hint="eastAsia" w:ascii="宋体" w:hAnsi="宋体" w:cs="宋体"/>
            <w:color w:val="auto"/>
            <w:kern w:val="0"/>
            <w:sz w:val="24"/>
          </w:rPr>
        </w:sdtEndPr>
        <w:sdtContent>
          <w:sdt>
            <w:sdtPr>
              <w:rPr>
                <w:rFonts w:hint="eastAsia" w:ascii="宋体" w:hAnsi="宋体" w:cs="宋体"/>
                <w:color w:val="auto"/>
                <w:kern w:val="0"/>
                <w:sz w:val="24"/>
              </w:rPr>
              <w:id w:val="931360"/>
            </w:sdtPr>
            <w:sdtEndPr>
              <w:rPr>
                <w:rFonts w:hint="eastAsia" w:ascii="宋体" w:hAnsi="宋体" w:cs="宋体"/>
                <w:color w:val="auto"/>
                <w:kern w:val="0"/>
                <w:sz w:val="24"/>
              </w:rPr>
            </w:sdtEndPr>
            <w:sdtContent>
              <w:r>
                <w:rPr>
                  <w:rFonts w:hint="eastAsia" w:ascii="宋体" w:hAnsi="宋体" w:cs="宋体"/>
                  <w:color w:val="auto"/>
                  <w:kern w:val="0"/>
                  <w:sz w:val="24"/>
                </w:rPr>
                <w:t xml:space="preserve">  </w:t>
              </w:r>
              <w:r>
                <w:rPr>
                  <w:rFonts w:hint="eastAsia" w:ascii="宋体" w:hAnsi="宋体" w:cs="宋体"/>
                  <w:color w:val="auto"/>
                  <w:kern w:val="0"/>
                  <w:sz w:val="24"/>
                </w:rPr>
                <w:sym w:font="Wingdings" w:char="F0FE"/>
              </w:r>
            </w:sdtContent>
          </w:sdt>
        </w:sdtContent>
      </w:sdt>
      <w:r>
        <w:rPr>
          <w:rFonts w:hint="eastAsia" w:ascii="宋体" w:hAnsi="宋体" w:cs="宋体"/>
          <w:color w:val="auto"/>
          <w:kern w:val="0"/>
          <w:sz w:val="24"/>
        </w:rPr>
        <w:t>有</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22272357"/>
        </w:sdtPr>
        <w:sdtEndPr>
          <w:rPr>
            <w:rFonts w:hint="eastAsia" w:ascii="宋体" w:hAnsi="宋体" w:cs="宋体"/>
            <w:color w:val="auto"/>
            <w:kern w:val="0"/>
            <w:sz w:val="24"/>
          </w:rPr>
        </w:sdtEndPr>
        <w:sdtContent>
          <w:sdt>
            <w:sdtPr>
              <w:rPr>
                <w:rFonts w:hint="eastAsia" w:ascii="宋体" w:hAnsi="宋体" w:cs="宋体"/>
                <w:color w:val="auto"/>
                <w:kern w:val="0"/>
                <w:sz w:val="24"/>
              </w:rPr>
              <w:id w:val="28457953"/>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28457952"/>
        </w:sdtPr>
        <w:sdtEndPr>
          <w:rPr>
            <w:rFonts w:hint="eastAsia" w:ascii="宋体" w:hAnsi="宋体" w:cs="宋体"/>
            <w:color w:val="auto"/>
            <w:kern w:val="0"/>
            <w:sz w:val="24"/>
          </w:rPr>
        </w:sdtEndPr>
        <w:sdtContent>
          <w:sdt>
            <w:sdtPr>
              <w:rPr>
                <w:rFonts w:hint="eastAsia" w:ascii="宋体" w:hAnsi="宋体" w:cs="宋体"/>
                <w:color w:val="auto"/>
                <w:kern w:val="0"/>
                <w:sz w:val="24"/>
              </w:rPr>
              <w:id w:val="931359"/>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sdtContent>
      </w:sdt>
      <w:r>
        <w:rPr>
          <w:rFonts w:hint="eastAsia" w:ascii="宋体" w:hAnsi="宋体" w:cs="宋体"/>
          <w:color w:val="auto"/>
          <w:sz w:val="24"/>
        </w:rPr>
        <w:t>服务全部由符合政策要求的中小企业承接，提供中小企业声明函；</w:t>
      </w:r>
    </w:p>
    <w:p>
      <w:pPr>
        <w:spacing w:line="360" w:lineRule="auto"/>
        <w:ind w:firstLine="480" w:firstLineChars="200"/>
        <w:rPr>
          <w:rFonts w:ascii="宋体" w:hAnsi="宋体" w:cs="宋体"/>
          <w:snapToGrid w:val="0"/>
          <w:color w:val="auto"/>
          <w:kern w:val="28"/>
          <w:sz w:val="24"/>
          <w:szCs w:val="20"/>
        </w:rPr>
      </w:pPr>
      <w:r>
        <w:rPr>
          <w:rFonts w:hint="eastAsia" w:ascii="宋体" w:hAnsi="宋体" w:cs="宋体"/>
          <w:snapToGrid w:val="0"/>
          <w:color w:val="auto"/>
          <w:kern w:val="28"/>
          <w:sz w:val="24"/>
          <w:szCs w:val="20"/>
        </w:rPr>
        <w:t>☐要求以联合体形式参加，提供联合协议和中小企业声明函，联合协议中中小企业合同金额应当达到</w:t>
      </w:r>
      <w:r>
        <w:rPr>
          <w:rFonts w:hint="eastAsia" w:ascii="宋体" w:hAnsi="宋体" w:cs="宋体"/>
          <w:snapToGrid w:val="0"/>
          <w:color w:val="auto"/>
          <w:kern w:val="28"/>
          <w:sz w:val="24"/>
          <w:szCs w:val="20"/>
          <w:u w:val="single"/>
        </w:rPr>
        <w:t xml:space="preserve">   </w:t>
      </w:r>
      <w:r>
        <w:rPr>
          <w:rFonts w:hint="eastAsia" w:ascii="宋体" w:hAnsi="宋体" w:cs="宋体"/>
          <w:snapToGrid w:val="0"/>
          <w:color w:val="auto"/>
          <w:kern w:val="28"/>
          <w:sz w:val="24"/>
          <w:szCs w:val="20"/>
        </w:rPr>
        <w:t>%，小微企业合同金额应当达到</w:t>
      </w:r>
      <w:r>
        <w:rPr>
          <w:rFonts w:hint="eastAsia" w:ascii="宋体" w:hAnsi="宋体" w:cs="宋体"/>
          <w:snapToGrid w:val="0"/>
          <w:color w:val="auto"/>
          <w:kern w:val="28"/>
          <w:sz w:val="24"/>
          <w:szCs w:val="20"/>
          <w:u w:val="single"/>
        </w:rPr>
        <w:t xml:space="preserve">   </w:t>
      </w:r>
      <w:r>
        <w:rPr>
          <w:rFonts w:hint="eastAsia" w:ascii="宋体" w:hAnsi="宋体" w:cs="宋体"/>
          <w:snapToGrid w:val="0"/>
          <w:color w:val="auto"/>
          <w:kern w:val="28"/>
          <w:sz w:val="24"/>
          <w:szCs w:val="20"/>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宋体" w:hAnsi="宋体" w:cs="宋体"/>
          <w:snapToGrid w:val="0"/>
          <w:color w:val="auto"/>
          <w:kern w:val="28"/>
          <w:sz w:val="24"/>
          <w:szCs w:val="20"/>
        </w:rPr>
      </w:pPr>
      <w:r>
        <w:rPr>
          <w:rFonts w:hint="eastAsia" w:ascii="宋体" w:hAnsi="宋体" w:cs="宋体"/>
          <w:snapToGrid w:val="0"/>
          <w:color w:val="auto"/>
          <w:kern w:val="28"/>
          <w:sz w:val="24"/>
          <w:szCs w:val="20"/>
        </w:rPr>
        <w:t>☐要求合同分包，提供分包意向协议和中小企业声明函，分包意向协议中中小企业合同金额应当达到达到</w:t>
      </w:r>
      <w:r>
        <w:rPr>
          <w:rFonts w:hint="eastAsia" w:ascii="宋体" w:hAnsi="宋体" w:cs="宋体"/>
          <w:snapToGrid w:val="0"/>
          <w:color w:val="auto"/>
          <w:kern w:val="28"/>
          <w:sz w:val="24"/>
          <w:szCs w:val="20"/>
          <w:u w:val="single"/>
        </w:rPr>
        <w:t xml:space="preserve">   </w:t>
      </w:r>
      <w:r>
        <w:rPr>
          <w:rFonts w:hint="eastAsia" w:ascii="宋体" w:hAnsi="宋体" w:cs="宋体"/>
          <w:snapToGrid w:val="0"/>
          <w:color w:val="auto"/>
          <w:kern w:val="28"/>
          <w:sz w:val="24"/>
          <w:szCs w:val="20"/>
        </w:rPr>
        <w:t>% ，小微企业合同金额应当达到</w:t>
      </w:r>
      <w:r>
        <w:rPr>
          <w:rFonts w:hint="eastAsia" w:ascii="宋体" w:hAnsi="宋体" w:cs="宋体"/>
          <w:snapToGrid w:val="0"/>
          <w:color w:val="auto"/>
          <w:kern w:val="28"/>
          <w:sz w:val="24"/>
          <w:szCs w:val="20"/>
          <w:u w:val="single"/>
        </w:rPr>
        <w:t xml:space="preserve">   </w:t>
      </w:r>
      <w:r>
        <w:rPr>
          <w:rFonts w:hint="eastAsia" w:ascii="宋体" w:hAnsi="宋体" w:cs="宋体"/>
          <w:snapToGrid w:val="0"/>
          <w:color w:val="auto"/>
          <w:kern w:val="28"/>
          <w:sz w:val="24"/>
          <w:szCs w:val="20"/>
        </w:rPr>
        <w:t>% ;如果供应商本身提供所有标的均由中小企业制造、承建或承接，视同符合了资格条件，无需再向中小企业分包，无需提供分包意向协议；</w:t>
      </w:r>
    </w:p>
    <w:p>
      <w:pPr>
        <w:spacing w:line="360" w:lineRule="auto"/>
        <w:ind w:firstLine="480" w:firstLineChars="200"/>
        <w:rPr>
          <w:rFonts w:ascii="宋体" w:hAnsi="宋体" w:cs="宋体"/>
          <w:color w:val="auto"/>
          <w:sz w:val="24"/>
        </w:rPr>
      </w:pPr>
      <w:r>
        <w:rPr>
          <w:rFonts w:hint="eastAsia" w:ascii="宋体" w:hAnsi="宋体" w:cs="宋体"/>
          <w:color w:val="auto"/>
          <w:sz w:val="24"/>
        </w:rPr>
        <w:t>4.本项目的特定资格要求：</w:t>
      </w:r>
      <w:r>
        <w:rPr>
          <w:rFonts w:hint="eastAsia" w:ascii="宋体" w:hAnsi="宋体" w:cs="宋体"/>
          <w:bCs/>
          <w:color w:val="auto"/>
          <w:sz w:val="24"/>
        </w:rPr>
        <w:t>无。</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2023年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2023年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日9点00分</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2023年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日9点00分</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pPr>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⑪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Style w:val="964"/>
          <w:rFonts w:ascii="宋体" w:hAnsi="宋体" w:eastAsia="宋体" w:cs="宋体"/>
          <w:b w:val="0"/>
          <w:bCs/>
          <w:color w:val="auto"/>
          <w:sz w:val="24"/>
          <w:szCs w:val="32"/>
        </w:rPr>
      </w:pPr>
      <w:r>
        <w:rPr>
          <w:rFonts w:hint="eastAsia" w:ascii="宋体" w:hAnsi="宋体" w:cs="宋体"/>
          <w:color w:val="auto"/>
          <w:sz w:val="24"/>
        </w:rPr>
        <w:t xml:space="preserve">    名   </w:t>
      </w:r>
      <w:r>
        <w:rPr>
          <w:rStyle w:val="964"/>
          <w:rFonts w:hint="eastAsia" w:ascii="宋体" w:hAnsi="宋体" w:eastAsia="宋体" w:cs="宋体"/>
          <w:b w:val="0"/>
          <w:bCs/>
          <w:color w:val="auto"/>
          <w:sz w:val="24"/>
          <w:szCs w:val="32"/>
        </w:rPr>
        <w:t>称：淳安县公安局交通警察大队</w:t>
      </w:r>
    </w:p>
    <w:p>
      <w:pPr>
        <w:spacing w:line="360" w:lineRule="auto"/>
        <w:ind w:firstLine="360" w:firstLineChars="150"/>
        <w:rPr>
          <w:rStyle w:val="964"/>
          <w:rFonts w:ascii="宋体" w:hAnsi="宋体" w:eastAsia="宋体" w:cs="宋体"/>
          <w:b w:val="0"/>
          <w:bCs/>
          <w:color w:val="auto"/>
          <w:sz w:val="24"/>
          <w:szCs w:val="32"/>
        </w:rPr>
      </w:pPr>
      <w:r>
        <w:rPr>
          <w:rStyle w:val="964"/>
          <w:rFonts w:hint="eastAsia" w:ascii="宋体" w:hAnsi="宋体" w:eastAsia="宋体" w:cs="宋体"/>
          <w:b w:val="0"/>
          <w:bCs/>
          <w:color w:val="auto"/>
          <w:sz w:val="24"/>
          <w:szCs w:val="32"/>
        </w:rPr>
        <w:t xml:space="preserve"> 地   址：浙江省杭州市淳安县千岛湖镇新安东路739号</w:t>
      </w:r>
    </w:p>
    <w:p>
      <w:pPr>
        <w:spacing w:line="360" w:lineRule="auto"/>
        <w:ind w:firstLine="480" w:firstLineChars="200"/>
        <w:rPr>
          <w:rStyle w:val="964"/>
          <w:rFonts w:ascii="宋体" w:hAnsi="宋体" w:eastAsia="宋体" w:cs="宋体"/>
          <w:b w:val="0"/>
          <w:bCs/>
          <w:color w:val="auto"/>
          <w:sz w:val="24"/>
          <w:szCs w:val="32"/>
        </w:rPr>
      </w:pPr>
      <w:r>
        <w:rPr>
          <w:rStyle w:val="964"/>
          <w:rFonts w:hint="eastAsia" w:ascii="宋体" w:hAnsi="宋体" w:eastAsia="宋体" w:cs="宋体"/>
          <w:b w:val="0"/>
          <w:bCs/>
          <w:color w:val="auto"/>
          <w:sz w:val="24"/>
          <w:szCs w:val="32"/>
        </w:rPr>
        <w:t>传    真： /</w:t>
      </w:r>
    </w:p>
    <w:p>
      <w:pPr>
        <w:spacing w:line="360" w:lineRule="auto"/>
        <w:ind w:firstLine="480" w:firstLineChars="200"/>
        <w:rPr>
          <w:rStyle w:val="964"/>
          <w:rFonts w:ascii="宋体" w:hAnsi="宋体" w:eastAsia="宋体" w:cs="宋体"/>
          <w:b w:val="0"/>
          <w:bCs/>
          <w:color w:val="auto"/>
          <w:sz w:val="24"/>
          <w:szCs w:val="32"/>
        </w:rPr>
      </w:pPr>
      <w:r>
        <w:rPr>
          <w:rStyle w:val="964"/>
          <w:rFonts w:hint="eastAsia" w:ascii="宋体" w:hAnsi="宋体" w:eastAsia="宋体" w:cs="宋体"/>
          <w:b w:val="0"/>
          <w:bCs/>
          <w:color w:val="auto"/>
          <w:sz w:val="24"/>
          <w:szCs w:val="32"/>
        </w:rPr>
        <w:t>项目联系人（询问）：程建设</w:t>
      </w:r>
    </w:p>
    <w:p>
      <w:pPr>
        <w:spacing w:line="360" w:lineRule="auto"/>
        <w:ind w:firstLine="465"/>
        <w:rPr>
          <w:rStyle w:val="964"/>
          <w:rFonts w:ascii="宋体" w:hAnsi="宋体" w:eastAsia="宋体" w:cs="宋体"/>
          <w:bCs/>
          <w:color w:val="auto"/>
          <w:sz w:val="24"/>
          <w:szCs w:val="32"/>
        </w:rPr>
      </w:pPr>
      <w:r>
        <w:rPr>
          <w:rStyle w:val="964"/>
          <w:rFonts w:hint="eastAsia" w:ascii="宋体" w:hAnsi="宋体" w:eastAsia="宋体" w:cs="宋体"/>
          <w:b w:val="0"/>
          <w:bCs/>
          <w:color w:val="auto"/>
          <w:sz w:val="24"/>
          <w:szCs w:val="32"/>
        </w:rPr>
        <w:t xml:space="preserve">项目联系方式（询问）：0571-64881620 </w:t>
      </w:r>
    </w:p>
    <w:p>
      <w:pPr>
        <w:spacing w:line="360" w:lineRule="auto"/>
        <w:rPr>
          <w:rStyle w:val="964"/>
          <w:rFonts w:ascii="宋体" w:hAnsi="宋体" w:eastAsia="宋体" w:cs="宋体"/>
          <w:b w:val="0"/>
          <w:bCs/>
          <w:color w:val="auto"/>
          <w:sz w:val="24"/>
          <w:szCs w:val="32"/>
        </w:rPr>
      </w:pPr>
      <w:r>
        <w:rPr>
          <w:rStyle w:val="964"/>
          <w:rFonts w:hint="eastAsia" w:ascii="宋体" w:hAnsi="宋体" w:eastAsia="宋体" w:cs="宋体"/>
          <w:b w:val="0"/>
          <w:bCs/>
          <w:color w:val="auto"/>
          <w:sz w:val="24"/>
          <w:szCs w:val="32"/>
        </w:rPr>
        <w:t xml:space="preserve">    质疑联系人：洪春贤</w:t>
      </w:r>
    </w:p>
    <w:p>
      <w:pPr>
        <w:spacing w:line="360" w:lineRule="auto"/>
        <w:ind w:firstLine="465"/>
        <w:rPr>
          <w:rStyle w:val="964"/>
          <w:rFonts w:ascii="宋体" w:hAnsi="宋体" w:eastAsia="宋体" w:cs="宋体"/>
          <w:b w:val="0"/>
          <w:bCs/>
          <w:color w:val="auto"/>
          <w:sz w:val="24"/>
          <w:szCs w:val="32"/>
        </w:rPr>
      </w:pPr>
      <w:r>
        <w:rPr>
          <w:rStyle w:val="964"/>
          <w:rFonts w:hint="eastAsia" w:ascii="宋体" w:hAnsi="宋体" w:eastAsia="宋体" w:cs="宋体"/>
          <w:b w:val="0"/>
          <w:bCs/>
          <w:color w:val="auto"/>
          <w:sz w:val="24"/>
          <w:szCs w:val="32"/>
        </w:rPr>
        <w:t>质疑联系方式：0571-64881606</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w:t>
      </w:r>
      <w:r>
        <w:rPr>
          <w:rStyle w:val="964"/>
          <w:rFonts w:hint="eastAsia" w:ascii="宋体" w:hAnsi="宋体" w:eastAsia="宋体" w:cs="宋体"/>
          <w:b w:val="0"/>
          <w:bCs/>
          <w:color w:val="auto"/>
          <w:sz w:val="24"/>
          <w:szCs w:val="32"/>
        </w:rPr>
        <w:t>永盛联合(杭州)项目管理有限公司</w:t>
      </w:r>
    </w:p>
    <w:p>
      <w:pPr>
        <w:spacing w:line="360" w:lineRule="auto"/>
        <w:ind w:firstLine="480"/>
        <w:rPr>
          <w:rFonts w:ascii="宋体" w:hAnsi="宋体" w:cs="宋体"/>
          <w:color w:val="auto"/>
          <w:sz w:val="24"/>
        </w:rPr>
      </w:pPr>
      <w:r>
        <w:rPr>
          <w:rFonts w:hint="eastAsia" w:ascii="宋体" w:hAnsi="宋体" w:cs="宋体"/>
          <w:color w:val="auto"/>
          <w:sz w:val="24"/>
        </w:rPr>
        <w:t>地    址：</w:t>
      </w:r>
      <w:r>
        <w:rPr>
          <w:rStyle w:val="964"/>
          <w:rFonts w:hint="eastAsia" w:ascii="宋体" w:hAnsi="宋体" w:eastAsia="宋体" w:cs="宋体"/>
          <w:b w:val="0"/>
          <w:bCs/>
          <w:color w:val="auto"/>
          <w:sz w:val="24"/>
          <w:szCs w:val="32"/>
        </w:rPr>
        <w:t>浙江省杭州市淳安县千岛湖镇环湖北路375号行政服务中心三楼328室</w:t>
      </w:r>
    </w:p>
    <w:p>
      <w:pPr>
        <w:spacing w:line="360" w:lineRule="auto"/>
        <w:rPr>
          <w:rFonts w:ascii="宋体" w:hAnsi="宋体" w:cs="宋体"/>
          <w:color w:val="auto"/>
          <w:sz w:val="24"/>
        </w:rPr>
      </w:pPr>
      <w:r>
        <w:rPr>
          <w:rFonts w:hint="eastAsia" w:ascii="宋体" w:hAnsi="宋体" w:cs="宋体"/>
          <w:color w:val="auto"/>
          <w:sz w:val="24"/>
        </w:rPr>
        <w:t xml:space="preserve">    传    真：0571-64827338             </w:t>
      </w:r>
    </w:p>
    <w:p>
      <w:pPr>
        <w:spacing w:line="360" w:lineRule="auto"/>
        <w:rPr>
          <w:rFonts w:ascii="宋体" w:hAnsi="宋体" w:cs="宋体"/>
          <w:color w:val="auto"/>
          <w:sz w:val="24"/>
        </w:rPr>
      </w:pPr>
      <w:r>
        <w:rPr>
          <w:rFonts w:hint="eastAsia" w:ascii="宋体" w:hAnsi="宋体" w:cs="宋体"/>
          <w:color w:val="auto"/>
          <w:sz w:val="24"/>
        </w:rPr>
        <w:t xml:space="preserve">    项目联系人（询问）：徐建平</w:t>
      </w:r>
    </w:p>
    <w:p>
      <w:pPr>
        <w:spacing w:line="360" w:lineRule="auto"/>
        <w:rPr>
          <w:rFonts w:ascii="宋体" w:hAnsi="宋体" w:cs="宋体"/>
          <w:color w:val="auto"/>
          <w:sz w:val="24"/>
        </w:rPr>
      </w:pPr>
      <w:r>
        <w:rPr>
          <w:rFonts w:hint="eastAsia" w:ascii="宋体" w:hAnsi="宋体" w:cs="宋体"/>
          <w:color w:val="auto"/>
          <w:sz w:val="24"/>
        </w:rPr>
        <w:t xml:space="preserve">    项目联系方式（询问）：13429119044</w:t>
      </w:r>
    </w:p>
    <w:p>
      <w:pPr>
        <w:spacing w:line="360" w:lineRule="auto"/>
        <w:rPr>
          <w:rFonts w:ascii="宋体" w:hAnsi="宋体" w:cs="宋体"/>
          <w:color w:val="auto"/>
          <w:sz w:val="24"/>
        </w:rPr>
      </w:pPr>
      <w:r>
        <w:rPr>
          <w:rFonts w:hint="eastAsia" w:ascii="宋体" w:hAnsi="宋体" w:cs="宋体"/>
          <w:color w:val="auto"/>
          <w:sz w:val="24"/>
        </w:rPr>
        <w:t xml:space="preserve">    质疑联系人：章慧芬</w:t>
      </w:r>
    </w:p>
    <w:p>
      <w:pPr>
        <w:spacing w:line="360" w:lineRule="auto"/>
        <w:rPr>
          <w:rFonts w:ascii="宋体" w:hAnsi="宋体" w:cs="宋体"/>
          <w:color w:val="auto"/>
          <w:sz w:val="24"/>
        </w:rPr>
      </w:pPr>
      <w:r>
        <w:rPr>
          <w:rFonts w:hint="eastAsia" w:ascii="宋体" w:hAnsi="宋体" w:cs="宋体"/>
          <w:color w:val="auto"/>
          <w:sz w:val="24"/>
        </w:rPr>
        <w:t xml:space="preserve">    质疑联系方式：0571-64819846</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称：淳安县财政局</w:t>
      </w:r>
    </w:p>
    <w:p>
      <w:pPr>
        <w:spacing w:line="360" w:lineRule="auto"/>
        <w:rPr>
          <w:rFonts w:ascii="宋体" w:hAnsi="宋体" w:cs="宋体"/>
          <w:color w:val="auto"/>
          <w:sz w:val="24"/>
        </w:rPr>
      </w:pPr>
      <w:r>
        <w:rPr>
          <w:rFonts w:hint="eastAsia" w:ascii="宋体" w:hAnsi="宋体" w:cs="宋体"/>
          <w:color w:val="auto"/>
          <w:sz w:val="24"/>
        </w:rPr>
        <w:t xml:space="preserve">    地    址：浙江省杭州市淳安县千岛湖镇环湖北路695号</w:t>
      </w:r>
    </w:p>
    <w:p>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联系人：方建宏</w:t>
      </w:r>
    </w:p>
    <w:p>
      <w:pPr>
        <w:spacing w:line="360" w:lineRule="auto"/>
        <w:ind w:firstLine="480" w:firstLineChars="200"/>
        <w:rPr>
          <w:rFonts w:ascii="宋体" w:hAnsi="宋体" w:cs="宋体"/>
          <w:color w:val="auto"/>
          <w:sz w:val="24"/>
        </w:rPr>
      </w:pPr>
      <w:r>
        <w:rPr>
          <w:rFonts w:hint="eastAsia" w:ascii="宋体" w:hAnsi="宋体" w:cs="宋体"/>
          <w:color w:val="auto"/>
          <w:sz w:val="24"/>
        </w:rPr>
        <w:t>监督投诉电话：0571-64818305</w:t>
      </w:r>
    </w:p>
    <w:p>
      <w:pPr>
        <w:spacing w:line="360" w:lineRule="auto"/>
        <w:ind w:firstLine="360" w:firstLineChars="15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lang w:val="en-US" w:eastAsia="zh-CN"/>
        </w:rPr>
        <w:t>95763</w:t>
      </w:r>
      <w:r>
        <w:rPr>
          <w:rFonts w:hint="eastAsia" w:ascii="宋体" w:hAnsi="宋体" w:eastAsia="宋体" w:cs="宋体"/>
          <w:color w:val="auto"/>
          <w:sz w:val="24"/>
        </w:rPr>
        <w:t>获</w:t>
      </w:r>
      <w:r>
        <w:rPr>
          <w:rFonts w:hint="eastAsia" w:ascii="宋体" w:hAnsi="宋体" w:cs="宋体"/>
          <w:color w:val="auto"/>
          <w:sz w:val="24"/>
        </w:rPr>
        <w:t>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adjustRightInd/>
        <w:spacing w:line="360" w:lineRule="auto"/>
        <w:ind w:firstLine="2891" w:firstLineChars="800"/>
        <w:outlineLvl w:val="0"/>
        <w:rPr>
          <w:rFonts w:ascii="宋体" w:hAnsi="宋体" w:cs="宋体"/>
          <w:b/>
          <w:color w:val="auto"/>
          <w:sz w:val="36"/>
          <w:szCs w:val="20"/>
        </w:rPr>
      </w:pPr>
      <w:r>
        <w:rPr>
          <w:rFonts w:hint="eastAsia" w:ascii="宋体" w:hAnsi="宋体" w:cs="宋体"/>
          <w:b/>
          <w:color w:val="auto"/>
          <w:sz w:val="36"/>
          <w:szCs w:val="20"/>
        </w:rPr>
        <w:br w:type="page"/>
      </w: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0"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color w:val="auto"/>
                <w:sz w:val="24"/>
              </w:rPr>
              <w:t>开标一览表（报价表）是报价的唯一载体</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提醒：验收时检测费用由中标人承担，包含在投标总价中。</w:t>
            </w:r>
          </w:p>
          <w:p>
            <w:pPr>
              <w:snapToGrid w:val="0"/>
              <w:spacing w:line="360" w:lineRule="auto"/>
              <w:jc w:val="left"/>
              <w:rPr>
                <w:rFonts w:ascii="宋体" w:hAnsi="宋体" w:cs="宋体"/>
                <w:b/>
                <w:color w:val="auto"/>
                <w:kern w:val="0"/>
                <w:sz w:val="24"/>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vAlign w:val="center"/>
          </w:tcPr>
          <w:p>
            <w:pPr>
              <w:spacing w:line="360" w:lineRule="auto"/>
              <w:rPr>
                <w:rFonts w:ascii="宋体" w:hAnsi="宋体" w:cs="宋体"/>
                <w:color w:val="auto"/>
                <w:sz w:val="24"/>
              </w:rPr>
            </w:pPr>
            <w:r>
              <w:rPr>
                <w:rFonts w:hint="eastAsia" w:ascii="宋体" w:hAnsi="宋体" w:cs="宋体"/>
                <w:color w:val="auto"/>
                <w:kern w:val="0"/>
                <w:sz w:val="24"/>
              </w:rPr>
              <w:t>☐ A</w:t>
            </w:r>
            <w:r>
              <w:rPr>
                <w:rFonts w:hint="eastAsia" w:ascii="宋体" w:hAnsi="宋体" w:cs="宋体"/>
                <w:color w:val="auto"/>
                <w:sz w:val="24"/>
              </w:rPr>
              <w:t>同意将非主体、非关键性的</w:t>
            </w:r>
            <w:r>
              <w:rPr>
                <w:rFonts w:hint="eastAsia" w:ascii="宋体" w:hAnsi="宋体" w:cs="宋体"/>
                <w:b/>
                <w:color w:val="auto"/>
                <w:sz w:val="24"/>
                <w:u w:val="single"/>
              </w:rPr>
              <w:t xml:space="preserve"> / </w:t>
            </w:r>
            <w:r>
              <w:rPr>
                <w:rFonts w:hint="eastAsia" w:ascii="宋体" w:hAnsi="宋体" w:cs="宋体"/>
                <w:color w:val="auto"/>
                <w:sz w:val="24"/>
              </w:rPr>
              <w:t>工作分包。</w:t>
            </w:r>
          </w:p>
          <w:p>
            <w:pPr>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rPr>
              <w:t xml:space="preserve"> 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vMerge w:val="restart"/>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pPr>
              <w:snapToGrid w:val="0"/>
              <w:spacing w:line="360" w:lineRule="auto"/>
              <w:jc w:val="center"/>
              <w:rPr>
                <w:rFonts w:ascii="宋体" w:hAnsi="宋体" w:cs="宋体"/>
                <w:color w:val="auto"/>
                <w:sz w:val="24"/>
              </w:rPr>
            </w:pPr>
          </w:p>
        </w:tc>
        <w:tc>
          <w:tcPr>
            <w:tcW w:w="1843" w:type="dxa"/>
            <w:vMerge w:val="continue"/>
            <w:vAlign w:val="center"/>
          </w:tcPr>
          <w:p>
            <w:pPr>
              <w:snapToGrid w:val="0"/>
              <w:spacing w:line="360" w:lineRule="auto"/>
              <w:jc w:val="center"/>
              <w:rPr>
                <w:rFonts w:ascii="宋体" w:hAnsi="宋体" w:cs="宋体"/>
                <w:b/>
                <w:color w:val="auto"/>
                <w:sz w:val="24"/>
              </w:rPr>
            </w:pPr>
          </w:p>
        </w:tc>
        <w:tc>
          <w:tcPr>
            <w:tcW w:w="6095" w:type="dxa"/>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vAlign w:val="center"/>
          </w:tcPr>
          <w:p>
            <w:pPr>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r>
              <w:rPr>
                <w:rFonts w:hint="eastAsia" w:ascii="宋体" w:hAnsi="宋体" w:cs="宋体"/>
                <w:color w:val="auto"/>
                <w:kern w:val="0"/>
                <w:sz w:val="24"/>
              </w:rPr>
              <w:t>☐B组织，</w:t>
            </w:r>
            <w:r>
              <w:rPr>
                <w:rFonts w:hint="eastAsia" w:ascii="宋体" w:hAnsi="宋体" w:cs="宋体"/>
                <w:color w:val="auto"/>
                <w:sz w:val="24"/>
              </w:rPr>
              <w:t>时间：,地点：，联系人：，联系方式：</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vAlign w:val="center"/>
          </w:tcPr>
          <w:p>
            <w:pPr>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r>
              <w:rPr>
                <w:rFonts w:hint="eastAsia" w:ascii="宋体" w:hAnsi="宋体" w:cs="宋体"/>
                <w:color w:val="auto"/>
                <w:kern w:val="0"/>
                <w:sz w:val="24"/>
              </w:rPr>
              <w:t>☐B要求提供，</w:t>
            </w:r>
          </w:p>
          <w:p>
            <w:pPr>
              <w:spacing w:line="360" w:lineRule="auto"/>
              <w:rPr>
                <w:rFonts w:ascii="宋体" w:hAnsi="宋体" w:cs="宋体"/>
                <w:color w:val="auto"/>
                <w:kern w:val="0"/>
                <w:sz w:val="24"/>
                <w:u w:val="single"/>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r>
              <w:rPr>
                <w:rFonts w:hint="eastAsia" w:ascii="宋体" w:hAnsi="宋体" w:cs="宋体"/>
                <w:color w:val="auto"/>
                <w:kern w:val="0"/>
                <w:sz w:val="24"/>
              </w:rPr>
              <w:sym w:font="Wingdings" w:char="F0FE"/>
            </w:r>
            <w:r>
              <w:rPr>
                <w:rFonts w:hint="eastAsia" w:ascii="宋体" w:hAnsi="宋体" w:cs="宋体"/>
                <w:color w:val="auto"/>
                <w:kern w:val="0"/>
                <w:sz w:val="24"/>
              </w:rPr>
              <w:t>否； ☐是，检测机构的要求</w:t>
            </w:r>
            <w:r>
              <w:rPr>
                <w:rFonts w:hint="eastAsia" w:ascii="宋体" w:hAnsi="宋体" w:cs="宋体"/>
                <w:color w:val="auto"/>
                <w:sz w:val="24"/>
              </w:rPr>
              <w:t>：  ；检测内容：    。</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kern w:val="0"/>
                <w:sz w:val="24"/>
              </w:rPr>
              <w:t>；地点</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；联系人</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rPr>
              <w:t>。请投标人在上述时间内提供样品。超过截止时间的，采购人或采购代理机构将不予接收，并将清场并封闭样品现场。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vAlign w:val="center"/>
          </w:tcPr>
          <w:p>
            <w:pPr>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vAlign w:val="center"/>
          </w:tcPr>
          <w:p>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pPr>
              <w:spacing w:line="360" w:lineRule="auto"/>
              <w:rPr>
                <w:rFonts w:ascii="宋体" w:hAnsi="宋体" w:cs="宋体"/>
                <w:color w:val="auto"/>
              </w:rPr>
            </w:pPr>
            <w:r>
              <w:rPr>
                <w:rFonts w:hint="eastAsia" w:ascii="宋体" w:hAnsi="宋体" w:cs="宋体"/>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vAlign w:val="center"/>
          </w:tcPr>
          <w:p>
            <w:pPr>
              <w:spacing w:line="360" w:lineRule="auto"/>
              <w:rPr>
                <w:rFonts w:ascii="宋体" w:hAnsi="宋体" w:cs="宋体"/>
                <w:color w:val="auto"/>
                <w:kern w:val="0"/>
                <w:sz w:val="24"/>
              </w:rPr>
            </w:pPr>
            <w:r>
              <w:rPr>
                <w:rFonts w:hint="eastAsia" w:ascii="宋体" w:hAnsi="宋体" w:cs="宋体"/>
                <w:color w:val="auto"/>
                <w:kern w:val="0"/>
                <w:sz w:val="24"/>
              </w:rPr>
              <w:t>☐A</w:t>
            </w:r>
            <w:r>
              <w:rPr>
                <w:rFonts w:hint="eastAsia" w:ascii="宋体" w:hAnsi="宋体" w:cs="宋体"/>
                <w:color w:val="auto"/>
                <w:sz w:val="24"/>
              </w:rPr>
              <w:t>货物类，单一产品或</w:t>
            </w:r>
            <w:r>
              <w:rPr>
                <w:rFonts w:hint="eastAsia" w:ascii="宋体" w:hAnsi="宋体" w:cs="宋体"/>
                <w:color w:val="auto"/>
                <w:kern w:val="0"/>
                <w:sz w:val="24"/>
              </w:rPr>
              <w:t>核心产品为：。</w:t>
            </w:r>
          </w:p>
          <w:p>
            <w:pPr>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rPr>
              <w:t>B</w:t>
            </w: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采购标的对应的中小企业划分标准所属行业</w:t>
            </w:r>
          </w:p>
        </w:tc>
        <w:tc>
          <w:tcPr>
            <w:tcW w:w="6095" w:type="dxa"/>
            <w:vAlign w:val="center"/>
          </w:tcPr>
          <w:p>
            <w:pPr>
              <w:snapToGrid w:val="0"/>
              <w:spacing w:line="360" w:lineRule="auto"/>
              <w:rPr>
                <w:rFonts w:ascii="宋体" w:hAnsi="宋体" w:cs="宋体"/>
                <w:color w:val="auto"/>
              </w:rPr>
            </w:pPr>
            <w:r>
              <w:rPr>
                <w:rFonts w:hint="eastAsia" w:ascii="宋体" w:hAnsi="宋体" w:cs="宋体"/>
                <w:color w:val="auto"/>
                <w:kern w:val="0"/>
                <w:sz w:val="24"/>
              </w:rPr>
              <w:t>（1）标的名称：</w:t>
            </w:r>
            <w:r>
              <w:rPr>
                <w:rFonts w:hint="eastAsia" w:ascii="宋体" w:hAnsi="宋体" w:cs="宋体"/>
                <w:color w:val="auto"/>
                <w:kern w:val="0"/>
                <w:sz w:val="24"/>
                <w:u w:val="single"/>
              </w:rPr>
              <w:t>交通事故隐患即时治理服务</w:t>
            </w:r>
            <w:r>
              <w:rPr>
                <w:rFonts w:hint="eastAsia" w:ascii="宋体" w:hAnsi="宋体" w:cs="宋体"/>
                <w:color w:val="auto"/>
                <w:kern w:val="0"/>
                <w:sz w:val="24"/>
              </w:rPr>
              <w:t>，属于</w:t>
            </w:r>
            <w:r>
              <w:rPr>
                <w:rFonts w:hint="eastAsia" w:ascii="宋体" w:hAnsi="宋体" w:cs="宋体"/>
                <w:color w:val="auto"/>
                <w:kern w:val="0"/>
                <w:sz w:val="24"/>
                <w:u w:val="single"/>
              </w:rPr>
              <w:t>其他未列明行业</w:t>
            </w:r>
            <w:r>
              <w:rPr>
                <w:rFonts w:hint="eastAsia" w:ascii="宋体" w:hAnsi="宋体" w:cs="宋体"/>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vMerge w:val="restart"/>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vAlign w:val="center"/>
          </w:tcPr>
          <w:p>
            <w:pPr>
              <w:spacing w:line="360" w:lineRule="auto"/>
              <w:ind w:firstLine="480" w:firstLineChars="200"/>
              <w:jc w:val="left"/>
              <w:rPr>
                <w:rFonts w:ascii="宋体" w:hAnsi="宋体" w:cs="宋体"/>
                <w:color w:val="auto"/>
                <w:sz w:val="24"/>
              </w:rPr>
            </w:pPr>
            <w:r>
              <w:rPr>
                <w:rFonts w:hint="eastAsia" w:ascii="宋体" w:hAnsi="宋体" w:cs="宋体"/>
                <w:snapToGrid w:val="0"/>
                <w:color w:val="auto"/>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center"/>
          </w:tcPr>
          <w:p>
            <w:pPr>
              <w:spacing w:line="360" w:lineRule="auto"/>
              <w:ind w:firstLine="420" w:firstLineChars="200"/>
              <w:jc w:val="center"/>
              <w:rPr>
                <w:rFonts w:ascii="宋体" w:hAnsi="宋体" w:cs="宋体"/>
                <w:color w:val="auto"/>
              </w:rPr>
            </w:pPr>
          </w:p>
        </w:tc>
        <w:tc>
          <w:tcPr>
            <w:tcW w:w="1843" w:type="dxa"/>
            <w:vMerge w:val="continue"/>
            <w:vAlign w:val="center"/>
          </w:tcPr>
          <w:p>
            <w:pPr>
              <w:spacing w:line="360" w:lineRule="auto"/>
              <w:ind w:firstLine="420" w:firstLineChars="200"/>
              <w:rPr>
                <w:rFonts w:ascii="宋体" w:hAnsi="宋体" w:cs="宋体"/>
                <w:color w:val="auto"/>
              </w:rPr>
            </w:pPr>
          </w:p>
        </w:tc>
        <w:tc>
          <w:tcPr>
            <w:tcW w:w="6095" w:type="dxa"/>
            <w:vAlign w:val="center"/>
          </w:tcPr>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vAlign w:val="center"/>
          </w:tcPr>
          <w:p>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浙江省杭州市淳安县千岛湖镇永盛联合(杭州)项目管理有限公司</w:t>
            </w:r>
            <w:r>
              <w:rPr>
                <w:rFonts w:hint="eastAsia" w:hAnsi="宋体" w:cs="宋体"/>
                <w:color w:val="auto"/>
                <w:kern w:val="28"/>
                <w:sz w:val="24"/>
                <w:szCs w:val="24"/>
              </w:rPr>
              <w:t>；备份投标文件签收人员联系电话：</w:t>
            </w:r>
            <w:r>
              <w:rPr>
                <w:rFonts w:hint="eastAsia" w:hAnsi="宋体" w:cs="宋体"/>
                <w:color w:val="auto"/>
                <w:sz w:val="24"/>
                <w:u w:val="single"/>
              </w:rPr>
              <w:t>徐建平、13429119044</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采购服务费</w:t>
            </w:r>
          </w:p>
        </w:tc>
        <w:tc>
          <w:tcPr>
            <w:tcW w:w="6095" w:type="dxa"/>
            <w:vAlign w:val="center"/>
          </w:tcPr>
          <w:p>
            <w:pPr>
              <w:spacing w:line="360" w:lineRule="auto"/>
              <w:rPr>
                <w:rFonts w:ascii="宋体" w:hAnsi="宋体" w:cs="宋体"/>
                <w:snapToGrid w:val="0"/>
                <w:color w:val="auto"/>
                <w:kern w:val="28"/>
                <w:sz w:val="24"/>
              </w:rPr>
            </w:pPr>
            <w:r>
              <w:rPr>
                <w:rFonts w:hint="eastAsia" w:ascii="宋体" w:hAnsi="宋体" w:cs="宋体"/>
                <w:b/>
                <w:color w:val="auto"/>
                <w:sz w:val="24"/>
              </w:rPr>
              <w:t>投标总报价应含采购服务费，本项目的招标代理服务费</w:t>
            </w:r>
            <w:r>
              <w:rPr>
                <w:rFonts w:hint="eastAsia" w:ascii="宋体" w:hAnsi="宋体" w:cs="宋体"/>
                <w:b/>
                <w:color w:val="auto"/>
                <w:sz w:val="24"/>
                <w:lang w:eastAsia="zh-CN"/>
              </w:rPr>
              <w:t>￥</w:t>
            </w:r>
            <w:r>
              <w:rPr>
                <w:rFonts w:hint="eastAsia" w:ascii="宋体" w:hAnsi="宋体" w:cs="宋体"/>
                <w:b/>
                <w:color w:val="auto"/>
                <w:sz w:val="24"/>
              </w:rPr>
              <w:t>15000元由中标人一次性向采购代理机构支付。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特别说明</w:t>
            </w:r>
          </w:p>
        </w:tc>
        <w:tc>
          <w:tcPr>
            <w:tcW w:w="6095" w:type="dxa"/>
            <w:vAlign w:val="center"/>
          </w:tcPr>
          <w:p>
            <w:pPr>
              <w:spacing w:line="360" w:lineRule="auto"/>
              <w:rPr>
                <w:rFonts w:ascii="宋体" w:hAnsi="宋体" w:cs="宋体"/>
                <w:b/>
                <w:bCs/>
                <w:snapToGrid w:val="0"/>
                <w:color w:val="auto"/>
                <w:kern w:val="28"/>
                <w:sz w:val="24"/>
              </w:rPr>
            </w:pPr>
            <w:r>
              <w:rPr>
                <w:rFonts w:hint="eastAsia" w:ascii="宋体" w:hAnsi="宋体" w:cs="宋体"/>
                <w:b/>
                <w:color w:val="auto"/>
                <w:sz w:val="24"/>
              </w:rPr>
              <w:t>中标人中标后须提供给采购代理机构两份加盖公章并签字的纸质投标文件（一正一副，副本是正本的复印件，与电子投标文件一致，如不一致，以电子投标文件为准）。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restart"/>
            <w:vAlign w:val="center"/>
          </w:tcPr>
          <w:p>
            <w:pPr>
              <w:snapToGrid w:val="0"/>
              <w:spacing w:line="360" w:lineRule="auto"/>
              <w:jc w:val="center"/>
              <w:rPr>
                <w:rFonts w:ascii="宋体" w:hAnsi="宋体" w:cs="宋体"/>
                <w:color w:val="auto"/>
                <w:sz w:val="24"/>
              </w:rPr>
            </w:pPr>
            <w:bookmarkStart w:id="11" w:name="_Toc164416483"/>
            <w:bookmarkStart w:id="12" w:name="第三部分"/>
            <w:r>
              <w:rPr>
                <w:rFonts w:hint="eastAsia" w:ascii="宋体" w:hAnsi="宋体" w:cs="宋体"/>
                <w:color w:val="auto"/>
                <w:sz w:val="24"/>
              </w:rPr>
              <w:t>15</w:t>
            </w:r>
          </w:p>
        </w:tc>
        <w:tc>
          <w:tcPr>
            <w:tcW w:w="1843" w:type="dxa"/>
            <w:vMerge w:val="restart"/>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联合体或分包特别说明</w:t>
            </w:r>
          </w:p>
        </w:tc>
        <w:tc>
          <w:tcPr>
            <w:tcW w:w="6095" w:type="dxa"/>
            <w:vAlign w:val="center"/>
          </w:tcPr>
          <w:p>
            <w:pPr>
              <w:spacing w:line="360" w:lineRule="auto"/>
              <w:rPr>
                <w:rFonts w:ascii="宋体" w:hAnsi="宋体" w:cs="宋体"/>
                <w:b/>
                <w:color w:val="auto"/>
                <w:sz w:val="24"/>
              </w:rPr>
            </w:pPr>
            <w:r>
              <w:rPr>
                <w:rFonts w:hint="eastAsia" w:ascii="宋体" w:hAnsi="宋体" w:cs="宋体"/>
                <w:color w:val="auto"/>
                <w:kern w:val="0"/>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continue"/>
            <w:vAlign w:val="center"/>
          </w:tcPr>
          <w:p>
            <w:pPr>
              <w:snapToGrid w:val="0"/>
              <w:spacing w:line="360" w:lineRule="auto"/>
              <w:jc w:val="center"/>
              <w:rPr>
                <w:rFonts w:ascii="宋体" w:hAnsi="宋体" w:cs="宋体"/>
                <w:color w:val="auto"/>
                <w:sz w:val="24"/>
              </w:rPr>
            </w:pPr>
          </w:p>
        </w:tc>
        <w:tc>
          <w:tcPr>
            <w:tcW w:w="1843" w:type="dxa"/>
            <w:vMerge w:val="continue"/>
            <w:vAlign w:val="center"/>
          </w:tcPr>
          <w:p>
            <w:pPr>
              <w:snapToGrid w:val="0"/>
              <w:spacing w:line="360" w:lineRule="auto"/>
              <w:jc w:val="center"/>
              <w:rPr>
                <w:rFonts w:ascii="宋体" w:hAnsi="宋体" w:cs="宋体"/>
                <w:b/>
                <w:color w:val="auto"/>
                <w:sz w:val="24"/>
              </w:rPr>
            </w:pPr>
          </w:p>
        </w:tc>
        <w:tc>
          <w:tcPr>
            <w:tcW w:w="6095" w:type="dxa"/>
            <w:vAlign w:val="center"/>
          </w:tcPr>
          <w:p>
            <w:pPr>
              <w:spacing w:line="360" w:lineRule="auto"/>
              <w:rPr>
                <w:rFonts w:ascii="宋体" w:hAnsi="宋体" w:cs="宋体"/>
                <w:color w:val="auto"/>
                <w:kern w:val="0"/>
                <w:sz w:val="24"/>
              </w:rPr>
            </w:pPr>
            <w:r>
              <w:rPr>
                <w:rFonts w:hint="eastAsia" w:ascii="宋体" w:hAnsi="宋体" w:cs="宋体"/>
                <w:color w:val="auto"/>
                <w:kern w:val="0"/>
                <w:sz w:val="24"/>
              </w:rPr>
              <w:sym w:font="Wingdings" w:char="00A8"/>
            </w:r>
            <w:r>
              <w:rPr>
                <w:rFonts w:hint="eastAsia" w:ascii="宋体" w:hAnsi="宋体" w:cs="宋体"/>
                <w:color w:val="auto"/>
                <w:kern w:val="0"/>
                <w:sz w:val="24"/>
              </w:rPr>
              <w:t>联合体投标的，联合体各方均需按招标文件第四部分评标标准要求提供资信证明文件，否则视为不符合相关要求。</w:t>
            </w:r>
          </w:p>
          <w:p>
            <w:pPr>
              <w:spacing w:line="360" w:lineRule="auto"/>
              <w:rPr>
                <w:rFonts w:ascii="宋体" w:hAnsi="宋体" w:cs="宋体"/>
                <w:b/>
                <w:color w:val="auto"/>
                <w:sz w:val="24"/>
              </w:rPr>
            </w:pPr>
            <w:r>
              <w:rPr>
                <w:rFonts w:hint="eastAsia" w:ascii="宋体" w:hAnsi="宋体" w:cs="宋体"/>
                <w:color w:val="auto"/>
                <w:kern w:val="0"/>
                <w:sz w:val="24"/>
              </w:rPr>
              <w:sym w:font="Wingdings" w:char="00A8"/>
            </w:r>
            <w:r>
              <w:rPr>
                <w:rFonts w:hint="eastAsia" w:ascii="宋体" w:hAnsi="宋体" w:cs="宋体"/>
                <w:color w:val="auto"/>
                <w:kern w:val="0"/>
                <w:sz w:val="24"/>
              </w:rPr>
              <w:t>联合体投标的，联合体中有一方或者联合体成员根据分工按招标文件第四部分评标标准要求提供资信证明文件的，视为符合了相关要求。</w:t>
            </w:r>
          </w:p>
        </w:tc>
      </w:tr>
      <w:bookmarkEnd w:id="10"/>
    </w:tbl>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系指实质性要求条款，“★”系产品采购项目中单一产品或核心产品，“</w:t>
      </w:r>
      <w:r>
        <w:rPr>
          <w:rFonts w:hint="eastAsia" w:ascii="宋体" w:hAnsi="宋体" w:cs="宋体"/>
          <w:color w:val="auto"/>
          <w:kern w:val="0"/>
          <w:sz w:val="24"/>
        </w:rPr>
        <w:sym w:font="Wingdings" w:char="F0FE"/>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在货物采购项目中，投标人提供的货物既有中小企业制造货物，也有大型企业制造货物的，不享受中小企业扶持政策。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3.3.4符合《关于促进残疾人就业政府采购政策的通知》（财库〔2017〕141号）规定的条件并提供《残疾人福利性单位声明函》（附件1）的残疾人福利性单位视同中小企业；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中小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snapToGrid w:val="0"/>
          <w:color w:val="auto"/>
          <w:kern w:val="28"/>
          <w:sz w:val="24"/>
        </w:rPr>
      </w:pPr>
      <w:r>
        <w:rPr>
          <w:rFonts w:hint="eastAsia" w:ascii="宋体" w:hAnsi="宋体" w:cs="宋体"/>
          <w:color w:val="auto"/>
          <w:sz w:val="24"/>
        </w:rPr>
        <w:t>3.5中小企业信用融资：</w:t>
      </w:r>
      <w:r>
        <w:rPr>
          <w:rFonts w:hint="eastAsia" w:ascii="宋体" w:hAnsi="宋体" w:cs="宋体"/>
          <w:snapToGrid w:val="0"/>
          <w:color w:val="auto"/>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p>
      <w:pPr>
        <w:spacing w:line="360" w:lineRule="auto"/>
        <w:ind w:firstLine="480" w:firstLineChars="200"/>
        <w:rPr>
          <w:rFonts w:ascii="宋体" w:hAnsi="宋体" w:cs="宋体"/>
          <w:color w:val="auto"/>
          <w:sz w:val="24"/>
        </w:rPr>
      </w:pPr>
      <w:r>
        <w:rPr>
          <w:rFonts w:hint="eastAsia" w:ascii="宋体" w:hAnsi="宋体" w:cs="宋体"/>
          <w:color w:val="auto"/>
          <w:sz w:val="24"/>
        </w:rPr>
        <w:t>3.6平等对待内外资企业和符合条件的破产重整企业</w:t>
      </w:r>
    </w:p>
    <w:p>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pPr>
        <w:spacing w:line="360" w:lineRule="auto"/>
        <w:ind w:firstLine="482" w:firstLineChars="200"/>
        <w:rPr>
          <w:rFonts w:ascii="宋体" w:hAnsi="宋体" w:cs="宋体"/>
          <w:b/>
          <w:color w:val="auto"/>
          <w:sz w:val="24"/>
        </w:rPr>
      </w:pPr>
      <w:r>
        <w:rPr>
          <w:rFonts w:hint="eastAsia" w:ascii="宋体" w:hAnsi="宋体" w:cs="宋体"/>
          <w:b/>
          <w:color w:val="auto"/>
          <w:sz w:val="24"/>
        </w:rPr>
        <w:t>4. 询问、质疑、投诉</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4.1供应商询问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4.2供应商质疑</w:t>
      </w:r>
    </w:p>
    <w:p>
      <w:pPr>
        <w:pStyle w:val="34"/>
        <w:spacing w:line="360" w:lineRule="auto"/>
        <w:ind w:firstLine="480" w:firstLineChars="200"/>
        <w:rPr>
          <w:rFonts w:hAnsi="宋体" w:cs="宋体"/>
          <w:color w:val="auto"/>
          <w:sz w:val="24"/>
        </w:rPr>
      </w:pPr>
      <w:r>
        <w:rPr>
          <w:rFonts w:hint="eastAsia" w:hAnsi="宋体" w:cs="宋体"/>
          <w:color w:val="auto"/>
          <w:kern w:val="0"/>
          <w:sz w:val="24"/>
          <w:lang w:val="zh-CN"/>
        </w:rPr>
        <w:t>4.2</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rPr>
      </w:pPr>
      <w:r>
        <w:rPr>
          <w:rFonts w:hint="eastAsia" w:hAnsi="宋体" w:cs="宋体"/>
          <w:color w:val="auto"/>
          <w:kern w:val="0"/>
          <w:sz w:val="24"/>
          <w:lang w:val="zh-CN"/>
        </w:rPr>
        <w:t>4.2</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color w:val="auto"/>
          <w:kern w:val="2"/>
          <w:sz w:val="24"/>
        </w:rPr>
      </w:pPr>
      <w:r>
        <w:rPr>
          <w:rFonts w:hint="eastAsia" w:hAnsi="宋体" w:cs="宋体"/>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Ansi="宋体" w:cs="宋体"/>
          <w:color w:val="auto"/>
          <w:sz w:val="24"/>
        </w:rPr>
      </w:pPr>
      <w:r>
        <w:rPr>
          <w:rFonts w:hint="eastAsia" w:hAnsi="宋体" w:cs="宋体"/>
          <w:color w:val="auto"/>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宋体"/>
          <w:color w:val="auto"/>
          <w:sz w:val="24"/>
        </w:rPr>
      </w:pPr>
      <w:r>
        <w:rPr>
          <w:rFonts w:hint="eastAsia" w:hAnsi="宋体" w:cs="宋体"/>
          <w:color w:val="auto"/>
          <w:sz w:val="24"/>
        </w:rPr>
        <w:t>4.2.2.3对采购结果提出质疑的，质疑期限自采购结果公告期限届满之日起计算。</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4.2.3</w:t>
      </w:r>
      <w:r>
        <w:rPr>
          <w:rFonts w:hint="eastAsia" w:hAnsi="宋体" w:cs="宋体"/>
          <w:color w:val="auto"/>
          <w:sz w:val="24"/>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4.2.3.1供应商的姓名或者名称、地址、邮编、联系人及联系电话；</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4.2.3.2质疑项目的名称、编号；</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4.2.3.3具体、明确的质疑事项和与质疑事项相关的请求；</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4.2.3.4事实依据；</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4.2.3.5必要的法律依据；</w:t>
      </w:r>
    </w:p>
    <w:p>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4.2.3.6提出质疑的日期。</w:t>
      </w:r>
    </w:p>
    <w:p>
      <w:pPr>
        <w:pStyle w:val="890"/>
        <w:shd w:val="clear" w:color="auto" w:fill="FFFFFF"/>
        <w:snapToGrid w:val="0"/>
        <w:spacing w:before="0" w:beforeAutospacing="0"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质疑函范本及制作说明详见附件2。对同一采购程序环节的质疑，供应商须在法定质疑期内一次性提出。</w:t>
      </w:r>
    </w:p>
    <w:p>
      <w:pPr>
        <w:pStyle w:val="890"/>
        <w:shd w:val="clear" w:color="auto" w:fill="FFFFFF"/>
        <w:snapToGrid w:val="0"/>
        <w:spacing w:after="240" w:afterAutospacing="0" w:line="360" w:lineRule="auto"/>
        <w:ind w:firstLine="400"/>
        <w:contextualSpacing/>
        <w:rPr>
          <w:color w:val="auto"/>
        </w:rPr>
      </w:pPr>
      <w:r>
        <w:rPr>
          <w:rFonts w:hint="eastAsia"/>
          <w:color w:val="auto"/>
          <w:lang w:val="zh-CN"/>
        </w:rPr>
        <w:t>4.2</w:t>
      </w:r>
      <w:r>
        <w:rPr>
          <w:rFonts w:hint="eastAsia"/>
          <w:color w:val="auto"/>
        </w:rPr>
        <w:t>.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color w:val="auto"/>
        </w:rPr>
      </w:pPr>
      <w:r>
        <w:rPr>
          <w:rFonts w:hint="eastAsia"/>
          <w:color w:val="auto"/>
          <w:lang w:val="zh-CN"/>
        </w:rPr>
        <w:t>4.2</w:t>
      </w:r>
      <w:r>
        <w:rPr>
          <w:rFonts w:hint="eastAsia"/>
          <w:color w:val="auto"/>
        </w:rPr>
        <w:t>.5询问或者质疑事项可能影响采购结果的，采购人应当暂停签订合同，已经签订合同的，应当中止履行合同。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4.3供应商投诉</w:t>
      </w:r>
    </w:p>
    <w:p>
      <w:pPr>
        <w:pStyle w:val="890"/>
        <w:shd w:val="clear" w:color="auto" w:fill="FFFFFF"/>
        <w:snapToGrid w:val="0"/>
        <w:spacing w:after="240" w:afterAutospacing="0" w:line="360" w:lineRule="auto"/>
        <w:ind w:firstLine="400"/>
        <w:contextualSpacing/>
        <w:rPr>
          <w:color w:val="auto"/>
        </w:rPr>
      </w:pPr>
      <w:r>
        <w:rPr>
          <w:rFonts w:hint="eastAsia"/>
          <w:color w:val="auto"/>
        </w:rPr>
        <w:t>4.3.1质疑供应商对采购人、采购代理机构的答复不满意或者采购人、采购代理机构未在规定的时间内作出答复的，可以在答复期满后十五个工作日内向同级政府采购监督管理部门提出投诉。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color w:val="auto"/>
        </w:rPr>
      </w:pPr>
      <w:r>
        <w:rPr>
          <w:rFonts w:hint="eastAsia"/>
          <w:color w:val="auto"/>
        </w:rPr>
        <w:t>4.3.</w:t>
      </w:r>
      <w:r>
        <w:rPr>
          <w:rFonts w:hint="eastAsia"/>
          <w:color w:val="auto"/>
          <w:lang w:val="zh-CN"/>
        </w:rPr>
        <w:t>2</w:t>
      </w:r>
      <w:r>
        <w:rPr>
          <w:rFonts w:hint="eastAsia"/>
          <w:color w:val="auto"/>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color w:val="auto"/>
        </w:rPr>
      </w:pPr>
      <w:r>
        <w:rPr>
          <w:rFonts w:hint="eastAsia"/>
          <w:color w:val="auto"/>
        </w:rPr>
        <w:t>4.3.3供应商投诉应当有明确的请求和必要的证明材料。</w:t>
      </w:r>
    </w:p>
    <w:p>
      <w:pPr>
        <w:pStyle w:val="890"/>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890"/>
        <w:shd w:val="clear" w:color="auto" w:fill="FFFFFF"/>
        <w:snapToGrid w:val="0"/>
        <w:spacing w:after="240" w:afterAutospacing="0" w:line="360" w:lineRule="auto"/>
        <w:ind w:firstLine="480"/>
        <w:contextualSpacing/>
        <w:rPr>
          <w:color w:val="auto"/>
        </w:rPr>
      </w:pPr>
      <w:r>
        <w:rPr>
          <w:rFonts w:hint="eastAsia"/>
          <w:color w:val="auto"/>
        </w:rPr>
        <w:t>4.4在线质疑、投诉。</w:t>
      </w:r>
    </w:p>
    <w:p>
      <w:pPr>
        <w:pStyle w:val="890"/>
        <w:shd w:val="clear" w:color="auto" w:fill="FFFFFF"/>
        <w:snapToGrid w:val="0"/>
        <w:spacing w:after="240" w:afterAutospacing="0" w:line="360" w:lineRule="auto"/>
        <w:ind w:firstLine="48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57"/>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57"/>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jc w:val="center"/>
        <w:rPr>
          <w:rFonts w:hAnsi="宋体" w:cs="宋体"/>
          <w:b/>
          <w:color w:val="auto"/>
          <w:sz w:val="30"/>
          <w:szCs w:val="20"/>
        </w:rPr>
      </w:pPr>
      <w:r>
        <w:rPr>
          <w:rFonts w:hint="eastAsia" w:hAnsi="宋体" w:cs="宋体"/>
          <w:b/>
          <w:color w:val="auto"/>
          <w:sz w:val="30"/>
          <w:szCs w:val="20"/>
        </w:rPr>
        <w:t>三、投标</w:t>
      </w:r>
    </w:p>
    <w:p>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rPr>
      </w:pPr>
      <w:r>
        <w:rPr>
          <w:rFonts w:hint="eastAsia" w:hAnsi="宋体" w:cs="宋体"/>
          <w:b/>
          <w:color w:val="auto"/>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11.1.2联合授权书（如果有)；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11.1.3落实政府采购政策需满足的资格要求：中小企业声明函；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11.1.4本项目的特定资格要求（如果有)。</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11.2.3联合协议和联合授权书（如果有）；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11.2.4分包意向协议（如果有）；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11.2.5符合性审查资料；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11.2.6评标标准相应的商务技术资料；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11.2.7商务技术偏离表；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57"/>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57"/>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57"/>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57"/>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57"/>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57"/>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7"/>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7"/>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color w:val="auto"/>
          <w:sz w:val="24"/>
          <w:szCs w:val="24"/>
        </w:rPr>
      </w:pPr>
      <w:r>
        <w:rPr>
          <w:rFonts w:hint="eastAsia" w:hAnsi="宋体" w:cs="宋体"/>
          <w:b/>
          <w:color w:val="auto"/>
          <w:sz w:val="24"/>
          <w:szCs w:val="24"/>
        </w:rPr>
        <w:t>15.备份投标文件</w:t>
      </w:r>
    </w:p>
    <w:p>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15.1投标人在电子交易平台传输递交投标文件后，还可以在投标截止时间前直接提交或者以快递方式递交备份投标文件1份，</w:t>
      </w:r>
      <w:r>
        <w:rPr>
          <w:rFonts w:hint="eastAsia" w:hAnsi="宋体" w:cs="宋体"/>
          <w:b/>
          <w:color w:val="auto"/>
          <w:sz w:val="24"/>
          <w:szCs w:val="24"/>
        </w:rPr>
        <w:t>但采购人、采购代理机构不强制或变相强制投标人提交备份投标文件。未按规定提供相应的备份投标文件，造成项目开评标活动无法进行下去的，投标无效。</w:t>
      </w:r>
    </w:p>
    <w:p>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DVD光盘等介质</w:t>
      </w:r>
      <w:r>
        <w:rPr>
          <w:rFonts w:hint="eastAsia" w:hAnsi="宋体" w:cs="宋体"/>
          <w:color w:val="auto"/>
          <w:sz w:val="24"/>
          <w:szCs w:val="24"/>
        </w:rPr>
        <w:t>中。备份投标文件应当密封包装并在包装上加盖公章并注明投标项目名称，投标人名称。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15.5投标人仅提交备份投标文件，没有在电子交易平台传输递交投标文件的，投标无效。</w:t>
      </w:r>
    </w:p>
    <w:p>
      <w:pPr>
        <w:pStyle w:val="157"/>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7"/>
        <w:spacing w:line="360" w:lineRule="auto"/>
        <w:ind w:firstLine="360" w:firstLineChars="150"/>
        <w:rPr>
          <w:rFonts w:cs="宋体"/>
          <w:color w:val="auto"/>
          <w:szCs w:val="21"/>
        </w:rPr>
      </w:pPr>
      <w:r>
        <w:rPr>
          <w:rFonts w:hint="eastAsia" w:cs="宋体"/>
          <w:color w:val="auto"/>
          <w:szCs w:val="21"/>
        </w:rPr>
        <w:t>有招标文件第四部分</w:t>
      </w:r>
      <w:r>
        <w:rPr>
          <w:rFonts w:hint="eastAsia" w:cs="宋体"/>
          <w:color w:val="auto"/>
        </w:rPr>
        <w:t>第4.2项规定</w:t>
      </w:r>
      <w:r>
        <w:rPr>
          <w:rFonts w:hint="eastAsia" w:cs="宋体"/>
          <w:color w:val="auto"/>
          <w:szCs w:val="21"/>
        </w:rPr>
        <w:t>的情形之一的，投标无效：</w:t>
      </w:r>
    </w:p>
    <w:p>
      <w:pPr>
        <w:pStyle w:val="157"/>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57"/>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57"/>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57"/>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8"/>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p>
    <w:p>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pStyle w:val="157"/>
        <w:spacing w:before="0"/>
        <w:ind w:firstLine="480"/>
        <w:rPr>
          <w:rFonts w:ascii="宋体" w:hAnsi="宋体" w:cs="宋体"/>
          <w:color w:val="auto"/>
          <w:kern w:val="0"/>
          <w:szCs w:val="24"/>
        </w:rPr>
      </w:pPr>
      <w:r>
        <w:rPr>
          <w:rFonts w:hint="eastAsia" w:ascii="宋体" w:hAnsi="宋体" w:cs="宋体"/>
          <w:color w:val="auto"/>
          <w:kern w:val="0"/>
          <w:szCs w:val="24"/>
        </w:rPr>
        <w:t>19.1开标后，采购人或采购代理机构将依法对投标人的资格进行审查。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19.2</w:t>
      </w:r>
      <w:r>
        <w:rPr>
          <w:rFonts w:hint="eastAsia" w:ascii="宋体" w:hAnsi="宋体" w:cs="宋体"/>
          <w:color w:val="auto"/>
          <w:sz w:val="24"/>
        </w:rPr>
        <w:t>采购人或采购代理机构依据法律法规和招标文件的规定，对投标人的基本资格条件、特定资格条件进行审查。</w:t>
      </w:r>
    </w:p>
    <w:p>
      <w:pPr>
        <w:pStyle w:val="157"/>
        <w:spacing w:before="0"/>
        <w:ind w:firstLine="480"/>
        <w:rPr>
          <w:rFonts w:ascii="宋体" w:hAnsi="宋体" w:cs="宋体"/>
          <w:color w:val="auto"/>
        </w:rPr>
      </w:pPr>
      <w:r>
        <w:rPr>
          <w:rFonts w:hint="eastAsia" w:ascii="宋体" w:hAnsi="宋体" w:cs="宋体"/>
          <w:color w:val="auto"/>
          <w:kern w:val="0"/>
          <w:szCs w:val="24"/>
        </w:rPr>
        <w:t>19.3投标人未按照招标文件要求提供与</w:t>
      </w:r>
      <w:r>
        <w:rPr>
          <w:rFonts w:hint="eastAsia" w:ascii="宋体" w:hAnsi="宋体" w:cs="宋体"/>
          <w:color w:val="auto"/>
        </w:rPr>
        <w:t>基本资格条件、特定资格条件相应的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57"/>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4对未通过资格审查的投标人，采购人或采购代理机构告知其未通过的原因。</w:t>
      </w:r>
    </w:p>
    <w:p>
      <w:pPr>
        <w:pStyle w:val="157"/>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5合格投标人不足3家的，不再评标。</w:t>
      </w:r>
    </w:p>
    <w:p>
      <w:pPr>
        <w:pStyle w:val="157"/>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57"/>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20.1信用信息查询渠道及截止时间：采购代理机构将通过“信用中国”网站(www.creditchina.gov.cn)、中国政府采购网(www.ccgp.gov.cn)渠道查询投标人投标截止时间当天的信用记录。</w:t>
      </w:r>
    </w:p>
    <w:p>
      <w:pPr>
        <w:pStyle w:val="157"/>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57"/>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20.3信用信息的使用规则：经查询列入失信被执行人名单、重大税收违法失信主体、政府采购严重违法失信行为记录名单的投标人将被拒绝参与政府采购活动。</w:t>
      </w: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7"/>
        <w:spacing w:line="360" w:lineRule="auto"/>
        <w:ind w:left="479" w:hanging="479" w:hangingChars="199"/>
        <w:rPr>
          <w:rFonts w:cs="宋体"/>
          <w:b/>
          <w:color w:val="auto"/>
        </w:rPr>
      </w:pPr>
      <w:r>
        <w:rPr>
          <w:rFonts w:hint="eastAsia" w:cs="宋体"/>
          <w:b/>
          <w:color w:val="auto"/>
        </w:rPr>
        <w:t>22. 确定中标供应商</w:t>
      </w:r>
    </w:p>
    <w:p>
      <w:pPr>
        <w:pStyle w:val="157"/>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57"/>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7"/>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7"/>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采购人与中标人应当通过电子交易平台在中标通知书发出之日起十个工作日内，按照招标文件确定的事项签订政府采购合同，并在合同签订之日起2个工作日内依法发布合同公告。</w:t>
      </w:r>
    </w:p>
    <w:p>
      <w:pPr>
        <w:pStyle w:val="157"/>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w:t>
      </w:r>
    </w:p>
    <w:p>
      <w:pPr>
        <w:pStyle w:val="157"/>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57"/>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57"/>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7"/>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szCs w:val="20"/>
        </w:rPr>
      </w:pPr>
      <w:r>
        <w:rPr>
          <w:rFonts w:hint="eastAsia" w:ascii="宋体" w:hAnsi="宋体" w:cs="宋体"/>
          <w:color w:val="auto"/>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宋体" w:hAnsi="宋体" w:cs="宋体"/>
          <w:b/>
          <w:color w:val="auto"/>
          <w:sz w:val="24"/>
        </w:rPr>
        <w:t>采购人不得拒收履约保函。</w:t>
      </w:r>
    </w:p>
    <w:p>
      <w:pPr>
        <w:pStyle w:val="4"/>
        <w:ind w:left="0" w:firstLine="480" w:firstLineChars="200"/>
        <w:rPr>
          <w:rFonts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pPr>
        <w:pStyle w:val="157"/>
        <w:snapToGrid w:val="0"/>
        <w:spacing w:before="0"/>
        <w:ind w:firstLine="0" w:firstLineChars="0"/>
        <w:rPr>
          <w:rFonts w:ascii="宋体" w:hAnsi="宋体" w:cs="宋体"/>
          <w:color w:val="auto"/>
        </w:rPr>
      </w:pPr>
      <w:r>
        <w:rPr>
          <w:rFonts w:hint="eastAsia" w:ascii="宋体" w:hAnsi="宋体" w:cs="宋体"/>
          <w:color w:val="auto"/>
        </w:rPr>
        <w:t>2</w:t>
      </w:r>
      <w:r>
        <w:rPr>
          <w:rFonts w:hint="eastAsia" w:ascii="宋体" w:hAnsi="宋体" w:cs="宋体"/>
          <w:b/>
          <w:color w:val="auto"/>
          <w:szCs w:val="24"/>
        </w:rPr>
        <w:t>7.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57"/>
        <w:snapToGrid w:val="0"/>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pPr>
        <w:pStyle w:val="157"/>
        <w:snapToGrid w:val="0"/>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pPr>
        <w:pStyle w:val="157"/>
        <w:snapToGrid w:val="0"/>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pPr>
        <w:pStyle w:val="157"/>
        <w:snapToGrid w:val="0"/>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pPr>
        <w:pStyle w:val="157"/>
        <w:snapToGrid w:val="0"/>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pPr>
        <w:pStyle w:val="157"/>
        <w:snapToGrid w:val="0"/>
        <w:spacing w:before="0"/>
        <w:ind w:firstLine="0" w:firstLineChars="0"/>
        <w:rPr>
          <w:rFonts w:ascii="宋体" w:hAnsi="宋体" w:cs="宋体"/>
          <w:color w:val="auto"/>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7"/>
        <w:spacing w:line="360" w:lineRule="auto"/>
        <w:ind w:firstLine="0" w:firstLineChars="0"/>
        <w:rPr>
          <w:rFonts w:cs="宋体"/>
          <w:b/>
          <w:color w:val="auto"/>
        </w:rPr>
      </w:pPr>
      <w:r>
        <w:rPr>
          <w:rFonts w:hint="eastAsia" w:cs="宋体"/>
          <w:b/>
          <w:color w:val="auto"/>
        </w:rPr>
        <w:t>29.验收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4729768"/>
      <w:bookmarkEnd w:id="15"/>
      <w:bookmarkStart w:id="16" w:name="_Hlt68057669"/>
      <w:bookmarkEnd w:id="16"/>
      <w:bookmarkStart w:id="17" w:name="_Hlt74714665"/>
      <w:bookmarkEnd w:id="17"/>
      <w:bookmarkStart w:id="18" w:name="_Hlt68072990"/>
      <w:bookmarkEnd w:id="18"/>
      <w:bookmarkStart w:id="19" w:name="_Hlt68073093"/>
      <w:bookmarkEnd w:id="19"/>
      <w:bookmarkStart w:id="20" w:name="_Hlt75236011"/>
      <w:bookmarkEnd w:id="20"/>
      <w:bookmarkStart w:id="21" w:name="_Hlt68072998"/>
      <w:bookmarkEnd w:id="21"/>
      <w:bookmarkStart w:id="22" w:name="_Hlt68403820"/>
      <w:bookmarkEnd w:id="22"/>
      <w:bookmarkStart w:id="23" w:name="_Hlt75236101"/>
      <w:bookmarkEnd w:id="23"/>
      <w:bookmarkStart w:id="24" w:name="_Hlt75236290"/>
      <w:bookmarkEnd w:id="24"/>
      <w:bookmarkStart w:id="25" w:name="_Hlt74730295"/>
      <w:bookmarkEnd w:id="25"/>
    </w:p>
    <w:bookmarkEnd w:id="11"/>
    <w:bookmarkEnd w:id="12"/>
    <w:p>
      <w:pPr>
        <w:spacing w:line="360" w:lineRule="auto"/>
        <w:jc w:val="center"/>
        <w:outlineLvl w:val="0"/>
        <w:rPr>
          <w:rFonts w:ascii="宋体" w:hAnsi="宋体" w:cs="宋体"/>
          <w:b/>
          <w:color w:val="auto"/>
          <w:sz w:val="36"/>
          <w:szCs w:val="36"/>
        </w:rPr>
      </w:pPr>
      <w:bookmarkStart w:id="26" w:name="第四部分"/>
      <w:r>
        <w:rPr>
          <w:rFonts w:hint="eastAsia" w:ascii="宋体" w:hAnsi="宋体" w:cs="宋体"/>
          <w:b/>
          <w:color w:val="auto"/>
          <w:sz w:val="36"/>
          <w:szCs w:val="36"/>
        </w:rPr>
        <w:t>第三部分   采购需求</w:t>
      </w:r>
    </w:p>
    <w:p>
      <w:pPr>
        <w:spacing w:line="360" w:lineRule="auto"/>
        <w:rPr>
          <w:rFonts w:ascii="宋体" w:hAnsi="宋体" w:cs="宋体"/>
          <w:b/>
          <w:color w:val="auto"/>
          <w:sz w:val="24"/>
        </w:rPr>
      </w:pPr>
      <w:r>
        <w:rPr>
          <w:rFonts w:hint="eastAsia" w:ascii="宋体" w:hAnsi="宋体" w:cs="宋体"/>
          <w:b/>
          <w:color w:val="auto"/>
          <w:sz w:val="24"/>
        </w:rPr>
        <w:t>一、服务范围</w:t>
      </w:r>
    </w:p>
    <w:p>
      <w:pPr>
        <w:spacing w:line="360" w:lineRule="auto"/>
        <w:ind w:firstLine="360" w:firstLineChars="150"/>
        <w:rPr>
          <w:rFonts w:ascii="宋体" w:hAnsi="宋体" w:cs="宋体"/>
          <w:color w:val="auto"/>
          <w:sz w:val="24"/>
        </w:rPr>
      </w:pPr>
      <w:r>
        <w:rPr>
          <w:rFonts w:hint="eastAsia" w:ascii="宋体" w:hAnsi="宋体" w:cs="宋体"/>
          <w:color w:val="auto"/>
          <w:sz w:val="24"/>
        </w:rPr>
        <w:t>1、配合采购人对所辖道路具有安全隐患的交通设施进行巡查、对故障设施的记录、按实向采购人上报故障设施报表。</w:t>
      </w:r>
    </w:p>
    <w:p>
      <w:pPr>
        <w:spacing w:line="360" w:lineRule="auto"/>
        <w:ind w:firstLine="360" w:firstLineChars="150"/>
        <w:rPr>
          <w:rFonts w:ascii="宋体" w:hAnsi="宋体" w:cs="宋体"/>
          <w:color w:val="auto"/>
          <w:sz w:val="24"/>
        </w:rPr>
      </w:pPr>
      <w:r>
        <w:rPr>
          <w:rFonts w:hint="eastAsia" w:ascii="宋体" w:hAnsi="宋体" w:cs="宋体"/>
          <w:color w:val="auto"/>
          <w:sz w:val="24"/>
        </w:rPr>
        <w:t>2、接采购人通知后按时完成故障设施的更换、新增设备的安装、可修复设备的维修及复原，基础工程的施工，并对更换下来的故障设施进行回收。</w:t>
      </w:r>
    </w:p>
    <w:p>
      <w:pPr>
        <w:spacing w:line="360" w:lineRule="auto"/>
        <w:rPr>
          <w:rFonts w:ascii="宋体" w:hAnsi="宋体" w:cs="宋体"/>
          <w:b/>
          <w:color w:val="auto"/>
          <w:sz w:val="24"/>
        </w:rPr>
      </w:pPr>
      <w:r>
        <w:rPr>
          <w:rFonts w:hint="eastAsia" w:ascii="宋体" w:hAnsi="宋体" w:cs="宋体"/>
          <w:b/>
          <w:color w:val="auto"/>
          <w:sz w:val="24"/>
        </w:rPr>
        <w:t>二、服务要求</w:t>
      </w:r>
    </w:p>
    <w:p>
      <w:pPr>
        <w:spacing w:line="360" w:lineRule="auto"/>
        <w:ind w:firstLine="360" w:firstLineChars="150"/>
        <w:rPr>
          <w:rFonts w:ascii="宋体" w:hAnsi="宋体" w:cs="宋体"/>
          <w:color w:val="auto"/>
          <w:sz w:val="24"/>
        </w:rPr>
      </w:pPr>
      <w:r>
        <w:rPr>
          <w:rFonts w:hint="eastAsia" w:ascii="宋体" w:hAnsi="宋体" w:cs="宋体"/>
          <w:color w:val="auto"/>
          <w:sz w:val="24"/>
        </w:rPr>
        <w:t>1、故障设施的更换、新增设备的安装、可修复设备的维修及复原要求：</w:t>
      </w:r>
    </w:p>
    <w:p>
      <w:pPr>
        <w:spacing w:line="360" w:lineRule="auto"/>
        <w:ind w:firstLine="360" w:firstLineChars="15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1 \* GB3</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s="宋体"/>
          <w:color w:val="auto"/>
          <w:sz w:val="24"/>
        </w:rPr>
        <w:t>作业过程中重新安装的设备质保期至少为验收合格并办理正式移交使用手续后壹年。</w:t>
      </w:r>
    </w:p>
    <w:p>
      <w:pPr>
        <w:spacing w:line="360" w:lineRule="auto"/>
        <w:ind w:firstLine="360" w:firstLineChars="15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2 \* GB3</w:instrText>
      </w:r>
      <w:r>
        <w:rPr>
          <w:rFonts w:hint="eastAsia" w:ascii="宋体" w:hAnsi="宋体" w:cs="宋体"/>
          <w:color w:val="auto"/>
          <w:sz w:val="24"/>
        </w:rPr>
        <w:fldChar w:fldCharType="separate"/>
      </w:r>
      <w:r>
        <w:rPr>
          <w:rFonts w:hint="eastAsia" w:ascii="宋体" w:hAnsi="宋体" w:cs="宋体"/>
          <w:color w:val="auto"/>
          <w:sz w:val="24"/>
        </w:rPr>
        <w:t>②</w:t>
      </w:r>
      <w:r>
        <w:rPr>
          <w:rFonts w:hint="eastAsia" w:ascii="宋体" w:hAnsi="宋体" w:cs="宋体"/>
          <w:color w:val="auto"/>
          <w:sz w:val="24"/>
        </w:rPr>
        <w:fldChar w:fldCharType="end"/>
      </w:r>
      <w:r>
        <w:rPr>
          <w:rFonts w:hint="eastAsia" w:ascii="宋体" w:hAnsi="宋体" w:cs="宋体"/>
          <w:color w:val="auto"/>
          <w:sz w:val="24"/>
        </w:rPr>
        <w:t>交货及安装地点：故障设备所在地及采购人指定地点。</w:t>
      </w:r>
    </w:p>
    <w:p>
      <w:pPr>
        <w:spacing w:line="360" w:lineRule="auto"/>
        <w:ind w:firstLine="360" w:firstLineChars="15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3 \* GB3</w:instrText>
      </w:r>
      <w:r>
        <w:rPr>
          <w:rFonts w:hint="eastAsia" w:ascii="宋体" w:hAnsi="宋体" w:cs="宋体"/>
          <w:color w:val="auto"/>
          <w:sz w:val="24"/>
        </w:rPr>
        <w:fldChar w:fldCharType="separate"/>
      </w:r>
      <w:r>
        <w:rPr>
          <w:rFonts w:hint="eastAsia" w:ascii="宋体" w:hAnsi="宋体" w:cs="宋体"/>
          <w:color w:val="auto"/>
          <w:sz w:val="24"/>
        </w:rPr>
        <w:t>③</w:t>
      </w:r>
      <w:r>
        <w:rPr>
          <w:rFonts w:hint="eastAsia" w:ascii="宋体" w:hAnsi="宋体" w:cs="宋体"/>
          <w:color w:val="auto"/>
          <w:sz w:val="24"/>
        </w:rPr>
        <w:fldChar w:fldCharType="end"/>
      </w:r>
      <w:r>
        <w:rPr>
          <w:rFonts w:hint="eastAsia" w:ascii="宋体" w:hAnsi="宋体" w:cs="宋体"/>
          <w:color w:val="auto"/>
          <w:sz w:val="24"/>
        </w:rPr>
        <w:t>要求中标人在接到采购人的电话后1小时内响应,遇重大隐患影响交通安全的接交警大队通知后2小时以内到场，一般隐患48小时内修复，更换在3个工作日内完成,在设备质量保证期内出现的质量问题,中标人需负责包修、包退、包换。</w:t>
      </w:r>
    </w:p>
    <w:p>
      <w:pPr>
        <w:spacing w:line="360" w:lineRule="auto"/>
        <w:rPr>
          <w:rFonts w:ascii="宋体" w:hAnsi="宋体" w:cs="宋体"/>
          <w:b/>
          <w:color w:val="auto"/>
          <w:sz w:val="24"/>
        </w:rPr>
      </w:pPr>
      <w:r>
        <w:rPr>
          <w:rFonts w:hint="eastAsia" w:ascii="宋体" w:hAnsi="宋体" w:cs="宋体"/>
          <w:b/>
          <w:color w:val="auto"/>
          <w:sz w:val="24"/>
        </w:rPr>
        <w:t>三、人员保障要求</w:t>
      </w:r>
    </w:p>
    <w:p>
      <w:pPr>
        <w:spacing w:line="360" w:lineRule="auto"/>
        <w:ind w:firstLine="360" w:firstLineChars="150"/>
        <w:rPr>
          <w:rFonts w:ascii="宋体" w:hAnsi="宋体" w:cs="宋体"/>
          <w:color w:val="auto"/>
          <w:sz w:val="24"/>
        </w:rPr>
      </w:pPr>
      <w:r>
        <w:rPr>
          <w:rFonts w:hint="eastAsia" w:ascii="宋体" w:hAnsi="宋体" w:cs="宋体"/>
          <w:color w:val="auto"/>
          <w:sz w:val="24"/>
        </w:rPr>
        <w:t>1、供应商须在投标文件中提供拟派常驻本项目的工作人员名单；</w:t>
      </w:r>
    </w:p>
    <w:p>
      <w:pPr>
        <w:spacing w:line="360" w:lineRule="auto"/>
        <w:ind w:firstLine="360" w:firstLineChars="150"/>
        <w:rPr>
          <w:rFonts w:ascii="宋体" w:hAnsi="宋体" w:cs="宋体"/>
          <w:color w:val="auto"/>
          <w:sz w:val="24"/>
        </w:rPr>
      </w:pPr>
      <w:r>
        <w:rPr>
          <w:rFonts w:hint="eastAsia" w:ascii="宋体" w:hAnsi="宋体" w:cs="宋体"/>
          <w:color w:val="auto"/>
          <w:sz w:val="24"/>
        </w:rPr>
        <w:t>2、供应商须在投标文件中提供拟投入到本项目所需的机械、车辆设备（提供相关证明材料）；</w:t>
      </w:r>
    </w:p>
    <w:p>
      <w:pPr>
        <w:spacing w:line="360" w:lineRule="auto"/>
        <w:ind w:firstLine="360" w:firstLineChars="150"/>
        <w:rPr>
          <w:rFonts w:ascii="宋体" w:hAnsi="宋体" w:cs="宋体"/>
          <w:color w:val="auto"/>
          <w:sz w:val="24"/>
        </w:rPr>
      </w:pPr>
      <w:r>
        <w:rPr>
          <w:rFonts w:hint="eastAsia" w:ascii="宋体" w:hAnsi="宋体" w:cs="宋体"/>
          <w:color w:val="auto"/>
          <w:sz w:val="24"/>
        </w:rPr>
        <w:t>3、中标人必须与员工签订书面劳动合同；</w:t>
      </w:r>
    </w:p>
    <w:p>
      <w:pPr>
        <w:spacing w:line="360" w:lineRule="auto"/>
        <w:ind w:firstLine="360" w:firstLineChars="150"/>
        <w:rPr>
          <w:rFonts w:ascii="宋体" w:hAnsi="宋体" w:cs="宋体"/>
          <w:color w:val="auto"/>
          <w:sz w:val="24"/>
        </w:rPr>
      </w:pPr>
      <w:r>
        <w:rPr>
          <w:rFonts w:hint="eastAsia" w:ascii="宋体" w:hAnsi="宋体" w:cs="宋体"/>
          <w:color w:val="auto"/>
          <w:sz w:val="24"/>
        </w:rPr>
        <w:t>4、中标人必须为全体作业员工购买社会和人身意外保险、公众责任保险费等其他保险，必须重视安全生产工作，确保全年不出安全生产责任事故。如发生安全生产责任事故或公众安全事故（含交通事故），一切责任及损失由中标供应商承担；</w:t>
      </w:r>
    </w:p>
    <w:p>
      <w:pPr>
        <w:spacing w:line="360" w:lineRule="auto"/>
        <w:ind w:firstLine="480" w:firstLineChars="200"/>
        <w:rPr>
          <w:rFonts w:ascii="宋体" w:hAnsi="宋体" w:cs="宋体"/>
          <w:color w:val="auto"/>
          <w:sz w:val="24"/>
        </w:rPr>
      </w:pPr>
      <w:r>
        <w:rPr>
          <w:rFonts w:hint="eastAsia" w:ascii="宋体" w:hAnsi="宋体" w:cs="宋体"/>
          <w:color w:val="auto"/>
          <w:sz w:val="24"/>
        </w:rPr>
        <w:t>5、必须执行《劳动合同法》有关员工保障的其他规定。</w:t>
      </w:r>
    </w:p>
    <w:p>
      <w:pPr>
        <w:spacing w:line="360" w:lineRule="auto"/>
        <w:rPr>
          <w:rFonts w:ascii="宋体" w:hAnsi="宋体" w:cs="宋体"/>
          <w:b/>
          <w:color w:val="auto"/>
          <w:sz w:val="24"/>
        </w:rPr>
      </w:pPr>
      <w:r>
        <w:rPr>
          <w:rFonts w:hint="eastAsia" w:ascii="宋体" w:hAnsi="宋体" w:cs="宋体"/>
          <w:b/>
          <w:color w:val="auto"/>
          <w:sz w:val="24"/>
        </w:rPr>
        <w:t>四、控制单价</w:t>
      </w:r>
    </w:p>
    <w:p>
      <w:pPr>
        <w:spacing w:line="360" w:lineRule="auto"/>
        <w:ind w:firstLine="240" w:firstLineChars="100"/>
        <w:rPr>
          <w:rFonts w:ascii="宋体" w:hAnsi="宋体" w:cs="宋体"/>
          <w:snapToGrid w:val="0"/>
          <w:color w:val="auto"/>
          <w:kern w:val="0"/>
          <w:sz w:val="24"/>
        </w:rPr>
      </w:pPr>
      <w:r>
        <w:rPr>
          <w:rFonts w:hint="eastAsia" w:ascii="宋体" w:hAnsi="宋体" w:cs="宋体"/>
          <w:color w:val="auto"/>
          <w:sz w:val="24"/>
        </w:rPr>
        <w:t>（一）标志标线</w:t>
      </w:r>
    </w:p>
    <w:tbl>
      <w:tblPr>
        <w:tblStyle w:val="63"/>
        <w:tblW w:w="8673" w:type="dxa"/>
        <w:tblInd w:w="0" w:type="dxa"/>
        <w:tblLayout w:type="autofit"/>
        <w:tblCellMar>
          <w:top w:w="0" w:type="dxa"/>
          <w:left w:w="108" w:type="dxa"/>
          <w:bottom w:w="0" w:type="dxa"/>
          <w:right w:w="108" w:type="dxa"/>
        </w:tblCellMar>
      </w:tblPr>
      <w:tblGrid>
        <w:gridCol w:w="672"/>
        <w:gridCol w:w="2362"/>
        <w:gridCol w:w="3700"/>
        <w:gridCol w:w="866"/>
        <w:gridCol w:w="1073"/>
      </w:tblGrid>
      <w:tr>
        <w:tblPrEx>
          <w:tblCellMar>
            <w:top w:w="0" w:type="dxa"/>
            <w:left w:w="108" w:type="dxa"/>
            <w:bottom w:w="0" w:type="dxa"/>
            <w:right w:w="108" w:type="dxa"/>
          </w:tblCellMar>
        </w:tblPrEx>
        <w:trPr>
          <w:trHeight w:val="642" w:hRule="atLeast"/>
        </w:trPr>
        <w:tc>
          <w:tcPr>
            <w:tcW w:w="672" w:type="dxa"/>
            <w:tcBorders>
              <w:top w:val="single" w:color="auto" w:sz="4" w:space="0"/>
              <w:left w:val="single" w:color="auto" w:sz="4" w:space="0"/>
              <w:bottom w:val="single" w:color="auto" w:sz="4" w:space="0"/>
              <w:right w:val="single" w:color="auto" w:sz="4" w:space="0"/>
            </w:tcBorders>
            <w:vAlign w:val="center"/>
          </w:tcPr>
          <w:p>
            <w:pPr>
              <w:pStyle w:val="484"/>
              <w:spacing w:line="360" w:lineRule="auto"/>
              <w:jc w:val="center"/>
              <w:rPr>
                <w:rFonts w:ascii="宋体" w:hAnsi="宋体" w:cs="宋体"/>
                <w:color w:val="auto"/>
                <w:sz w:val="21"/>
                <w:szCs w:val="21"/>
              </w:rPr>
            </w:pPr>
            <w:r>
              <w:rPr>
                <w:rFonts w:hint="eastAsia" w:ascii="宋体" w:hAnsi="宋体" w:cs="宋体"/>
                <w:color w:val="auto"/>
                <w:sz w:val="21"/>
                <w:szCs w:val="21"/>
              </w:rPr>
              <w:t>序号</w:t>
            </w:r>
          </w:p>
        </w:tc>
        <w:tc>
          <w:tcPr>
            <w:tcW w:w="2362" w:type="dxa"/>
            <w:tcBorders>
              <w:top w:val="single" w:color="auto" w:sz="4" w:space="0"/>
              <w:left w:val="nil"/>
              <w:bottom w:val="single" w:color="auto" w:sz="4" w:space="0"/>
              <w:right w:val="single" w:color="auto" w:sz="4" w:space="0"/>
            </w:tcBorders>
            <w:vAlign w:val="center"/>
          </w:tcPr>
          <w:p>
            <w:pPr>
              <w:pStyle w:val="484"/>
              <w:spacing w:line="360" w:lineRule="auto"/>
              <w:jc w:val="center"/>
              <w:rPr>
                <w:rFonts w:ascii="宋体" w:hAnsi="宋体" w:cs="宋体"/>
                <w:color w:val="auto"/>
                <w:sz w:val="21"/>
                <w:szCs w:val="21"/>
              </w:rPr>
            </w:pPr>
            <w:r>
              <w:rPr>
                <w:rFonts w:hint="eastAsia" w:ascii="宋体" w:hAnsi="宋体" w:cs="宋体"/>
                <w:color w:val="auto"/>
                <w:sz w:val="21"/>
                <w:szCs w:val="21"/>
              </w:rPr>
              <w:t>品名</w:t>
            </w:r>
          </w:p>
        </w:tc>
        <w:tc>
          <w:tcPr>
            <w:tcW w:w="3700" w:type="dxa"/>
            <w:tcBorders>
              <w:top w:val="single" w:color="auto" w:sz="4" w:space="0"/>
              <w:left w:val="nil"/>
              <w:bottom w:val="single" w:color="auto" w:sz="4" w:space="0"/>
              <w:right w:val="single" w:color="auto" w:sz="4" w:space="0"/>
            </w:tcBorders>
            <w:vAlign w:val="center"/>
          </w:tcPr>
          <w:p>
            <w:pPr>
              <w:pStyle w:val="484"/>
              <w:spacing w:line="360" w:lineRule="auto"/>
              <w:jc w:val="center"/>
              <w:rPr>
                <w:rFonts w:ascii="宋体" w:hAnsi="宋体" w:cs="宋体"/>
                <w:color w:val="auto"/>
                <w:sz w:val="21"/>
                <w:szCs w:val="21"/>
              </w:rPr>
            </w:pPr>
            <w:r>
              <w:rPr>
                <w:rFonts w:hint="eastAsia" w:ascii="宋体" w:hAnsi="宋体" w:cs="宋体"/>
                <w:color w:val="auto"/>
                <w:sz w:val="21"/>
                <w:szCs w:val="21"/>
              </w:rPr>
              <w:t>规格、型号</w:t>
            </w:r>
          </w:p>
        </w:tc>
        <w:tc>
          <w:tcPr>
            <w:tcW w:w="866" w:type="dxa"/>
            <w:tcBorders>
              <w:top w:val="single" w:color="auto" w:sz="4" w:space="0"/>
              <w:left w:val="nil"/>
              <w:bottom w:val="single" w:color="auto" w:sz="4" w:space="0"/>
              <w:right w:val="single" w:color="auto" w:sz="4" w:space="0"/>
            </w:tcBorders>
            <w:vAlign w:val="center"/>
          </w:tcPr>
          <w:p>
            <w:pPr>
              <w:pStyle w:val="484"/>
              <w:spacing w:line="360" w:lineRule="auto"/>
              <w:jc w:val="center"/>
              <w:rPr>
                <w:rFonts w:ascii="宋体" w:hAnsi="宋体" w:cs="宋体"/>
                <w:color w:val="auto"/>
                <w:sz w:val="21"/>
                <w:szCs w:val="21"/>
              </w:rPr>
            </w:pPr>
            <w:r>
              <w:rPr>
                <w:rFonts w:hint="eastAsia" w:ascii="宋体" w:hAnsi="宋体" w:cs="宋体"/>
                <w:color w:val="auto"/>
                <w:sz w:val="21"/>
                <w:szCs w:val="21"/>
              </w:rPr>
              <w:t>单位</w:t>
            </w:r>
          </w:p>
        </w:tc>
        <w:tc>
          <w:tcPr>
            <w:tcW w:w="1073" w:type="dxa"/>
            <w:tcBorders>
              <w:top w:val="single" w:color="auto" w:sz="4" w:space="0"/>
              <w:left w:val="nil"/>
              <w:bottom w:val="single" w:color="auto" w:sz="4" w:space="0"/>
              <w:right w:val="single" w:color="auto" w:sz="4" w:space="0"/>
            </w:tcBorders>
            <w:vAlign w:val="center"/>
          </w:tcPr>
          <w:p>
            <w:pPr>
              <w:pStyle w:val="484"/>
              <w:spacing w:line="360" w:lineRule="auto"/>
              <w:jc w:val="center"/>
              <w:rPr>
                <w:rFonts w:ascii="宋体" w:hAnsi="宋体" w:cs="宋体"/>
                <w:color w:val="auto"/>
                <w:sz w:val="21"/>
                <w:szCs w:val="21"/>
              </w:rPr>
            </w:pPr>
            <w:r>
              <w:rPr>
                <w:rFonts w:hint="eastAsia" w:ascii="宋体" w:hAnsi="宋体" w:cs="宋体"/>
                <w:color w:val="auto"/>
                <w:sz w:val="21"/>
                <w:szCs w:val="21"/>
              </w:rPr>
              <w:t>控制单价（元）</w:t>
            </w:r>
          </w:p>
        </w:tc>
      </w:tr>
      <w:tr>
        <w:tblPrEx>
          <w:tblCellMar>
            <w:top w:w="0" w:type="dxa"/>
            <w:left w:w="108" w:type="dxa"/>
            <w:bottom w:w="0" w:type="dxa"/>
            <w:right w:w="108" w:type="dxa"/>
          </w:tblCellMar>
        </w:tblPrEx>
        <w:trPr>
          <w:trHeight w:val="285" w:hRule="atLeast"/>
        </w:trPr>
        <w:tc>
          <w:tcPr>
            <w:tcW w:w="8673" w:type="dxa"/>
            <w:gridSpan w:val="5"/>
            <w:tcBorders>
              <w:top w:val="single" w:color="auto" w:sz="4" w:space="0"/>
              <w:left w:val="single" w:color="auto" w:sz="4" w:space="0"/>
              <w:bottom w:val="single" w:color="auto" w:sz="4" w:space="0"/>
              <w:right w:val="single" w:color="auto" w:sz="4" w:space="0"/>
            </w:tcBorders>
            <w:vAlign w:val="center"/>
          </w:tcPr>
          <w:p>
            <w:pPr>
              <w:pStyle w:val="484"/>
              <w:spacing w:line="360" w:lineRule="auto"/>
              <w:jc w:val="center"/>
              <w:rPr>
                <w:rFonts w:ascii="宋体" w:hAnsi="宋体" w:cs="宋体"/>
                <w:color w:val="auto"/>
                <w:sz w:val="21"/>
                <w:szCs w:val="21"/>
              </w:rPr>
            </w:pPr>
            <w:r>
              <w:rPr>
                <w:rFonts w:hint="eastAsia" w:ascii="宋体" w:hAnsi="宋体" w:cs="宋体"/>
                <w:color w:val="auto"/>
                <w:sz w:val="21"/>
                <w:szCs w:val="21"/>
              </w:rPr>
              <w:t>一、道路标线、除线（含工时费，按照实际施画平方计算）</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热熔标线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热熔型反光标线(厚度2.0mm)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热熔标线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热熔型反光标线停车位2000*6000</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热熔标线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热熔型反光标线停车位2500*6000</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114</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热熔标线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热熔350高亮反光型标线</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90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5</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交通标线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常温型标线（冷漆厚度0.5mm）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12</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交通标线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彩色防滑标线</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150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7</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交通标线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振荡标线</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145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交通标线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限时停车位</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9</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交通标线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停车位</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88</w:t>
            </w:r>
          </w:p>
        </w:tc>
      </w:tr>
      <w:tr>
        <w:tblPrEx>
          <w:tblCellMar>
            <w:top w:w="0" w:type="dxa"/>
            <w:left w:w="108" w:type="dxa"/>
            <w:bottom w:w="0" w:type="dxa"/>
            <w:right w:w="108" w:type="dxa"/>
          </w:tblCellMar>
        </w:tblPrEx>
        <w:trPr>
          <w:trHeight w:val="90"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10</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交通标线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自行车图案</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120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11</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交通标线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文字（车让人等文字）</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1个字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12</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除热熔标线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高压水枪冲洗</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13</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改涂标线</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普通设备</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15</w:t>
            </w:r>
          </w:p>
        </w:tc>
      </w:tr>
      <w:tr>
        <w:tblPrEx>
          <w:tblCellMar>
            <w:top w:w="0" w:type="dxa"/>
            <w:left w:w="108" w:type="dxa"/>
            <w:bottom w:w="0" w:type="dxa"/>
            <w:right w:w="108" w:type="dxa"/>
          </w:tblCellMar>
        </w:tblPrEx>
        <w:trPr>
          <w:trHeight w:val="285" w:hRule="atLeast"/>
        </w:trPr>
        <w:tc>
          <w:tcPr>
            <w:tcW w:w="8673" w:type="dxa"/>
            <w:gridSpan w:val="5"/>
            <w:tcBorders>
              <w:top w:val="single" w:color="auto" w:sz="4" w:space="0"/>
              <w:left w:val="single" w:color="auto" w:sz="4" w:space="0"/>
              <w:bottom w:val="single" w:color="auto" w:sz="4" w:space="0"/>
              <w:right w:val="single" w:color="auto" w:sz="4" w:space="0"/>
            </w:tcBorders>
            <w:vAlign w:val="center"/>
          </w:tcPr>
          <w:p>
            <w:pPr>
              <w:pStyle w:val="484"/>
              <w:spacing w:line="360" w:lineRule="auto"/>
              <w:jc w:val="center"/>
              <w:rPr>
                <w:rFonts w:ascii="宋体" w:hAnsi="宋体" w:cs="宋体"/>
                <w:color w:val="auto"/>
                <w:sz w:val="21"/>
                <w:szCs w:val="21"/>
              </w:rPr>
            </w:pPr>
            <w:r>
              <w:rPr>
                <w:rFonts w:hint="eastAsia" w:ascii="宋体" w:hAnsi="宋体" w:cs="宋体"/>
                <w:color w:val="auto"/>
                <w:sz w:val="21"/>
                <w:szCs w:val="21"/>
              </w:rPr>
              <w:t>二、指路标志牌、标志牌杆件（含工时费）</w:t>
            </w:r>
          </w:p>
        </w:tc>
      </w:tr>
      <w:tr>
        <w:tblPrEx>
          <w:tblCellMar>
            <w:top w:w="0" w:type="dxa"/>
            <w:left w:w="108" w:type="dxa"/>
            <w:bottom w:w="0" w:type="dxa"/>
            <w:right w:w="108" w:type="dxa"/>
          </w:tblCellMar>
        </w:tblPrEx>
        <w:trPr>
          <w:trHeight w:val="510"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分道牌、指路牌</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按实际要求制作，高强级反光膜，铝板厚度2.5mm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600</w:t>
            </w:r>
          </w:p>
        </w:tc>
      </w:tr>
      <w:tr>
        <w:tblPrEx>
          <w:tblCellMar>
            <w:top w:w="0" w:type="dxa"/>
            <w:left w:w="108" w:type="dxa"/>
            <w:bottom w:w="0" w:type="dxa"/>
            <w:right w:w="108" w:type="dxa"/>
          </w:tblCellMar>
        </w:tblPrEx>
        <w:trPr>
          <w:trHeight w:val="510"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高强级反光膜</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版面更换（含老版面清除、新版面贴膜及安装）</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禁令标志</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∅1000mm×2.5mm(高强级）</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380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禁令标志</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∅800mm×2mm（高强级）</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350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5</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禁令标志</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∅800mm×2mm（高强级）八角形</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380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警告标志</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△900mm×2mm（高强级）</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7</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警告标志</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△1100mm×2.5mm（高强级）</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380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警告标志</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△700mm×2mm（高强级、荧光）</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350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9</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其他规格</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1000mm×1000mm×2mm(高强级）</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10</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其他规格</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1000mm×1000mm×2.5mm(高强级）</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650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11</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临时喷绘告示牌</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1000mm×1000mm （含木架）</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130</w:t>
            </w:r>
          </w:p>
        </w:tc>
      </w:tr>
      <w:tr>
        <w:tblPrEx>
          <w:tblCellMar>
            <w:top w:w="0" w:type="dxa"/>
            <w:left w:w="108" w:type="dxa"/>
            <w:bottom w:w="0" w:type="dxa"/>
            <w:right w:w="108" w:type="dxa"/>
          </w:tblCellMar>
        </w:tblPrEx>
        <w:trPr>
          <w:trHeight w:val="510"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12</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框架式杆件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立杆￠325mm*9600mm*10mm，横臂；∅168×8mm×6800m+∅140×8mm×5800mm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32000</w:t>
            </w:r>
          </w:p>
        </w:tc>
      </w:tr>
      <w:tr>
        <w:tblPrEx>
          <w:tblCellMar>
            <w:top w:w="0" w:type="dxa"/>
            <w:left w:w="108" w:type="dxa"/>
            <w:bottom w:w="0" w:type="dxa"/>
            <w:right w:w="108" w:type="dxa"/>
          </w:tblCellMar>
        </w:tblPrEx>
        <w:trPr>
          <w:trHeight w:val="253" w:hRule="atLeast"/>
        </w:trPr>
        <w:tc>
          <w:tcPr>
            <w:tcW w:w="672" w:type="dxa"/>
            <w:tcBorders>
              <w:top w:val="single" w:color="auto" w:sz="4" w:space="0"/>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13</w:t>
            </w:r>
          </w:p>
        </w:tc>
        <w:tc>
          <w:tcPr>
            <w:tcW w:w="2362"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框架式杆件</w:t>
            </w:r>
          </w:p>
        </w:tc>
        <w:tc>
          <w:tcPr>
            <w:tcW w:w="3700"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立杆￠273mm×10mm×7800mm,横臂；∅168×8mm×5800m+∅140×8mm×4800mm</w:t>
            </w:r>
          </w:p>
        </w:tc>
        <w:tc>
          <w:tcPr>
            <w:tcW w:w="866"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26500</w:t>
            </w:r>
          </w:p>
        </w:tc>
      </w:tr>
      <w:tr>
        <w:tblPrEx>
          <w:tblCellMar>
            <w:top w:w="0" w:type="dxa"/>
            <w:left w:w="108" w:type="dxa"/>
            <w:bottom w:w="0" w:type="dxa"/>
            <w:right w:w="108" w:type="dxa"/>
          </w:tblCellMar>
        </w:tblPrEx>
        <w:trPr>
          <w:trHeight w:val="160"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14</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杆件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立杆￠273mm×10mm×7800mm,横臂；2*∅140×8mm×5800mm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22500</w:t>
            </w:r>
          </w:p>
        </w:tc>
      </w:tr>
      <w:tr>
        <w:tblPrEx>
          <w:tblCellMar>
            <w:top w:w="0" w:type="dxa"/>
            <w:left w:w="108" w:type="dxa"/>
            <w:bottom w:w="0" w:type="dxa"/>
            <w:right w:w="108" w:type="dxa"/>
          </w:tblCellMar>
        </w:tblPrEx>
        <w:trPr>
          <w:trHeight w:val="510"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15</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杆件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立柱∅219mm×8mm×7500mm,横臂：∅140mm×6mm×4500mm×2根</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14000</w:t>
            </w:r>
          </w:p>
        </w:tc>
      </w:tr>
      <w:tr>
        <w:tblPrEx>
          <w:tblCellMar>
            <w:top w:w="0" w:type="dxa"/>
            <w:left w:w="108" w:type="dxa"/>
            <w:bottom w:w="0" w:type="dxa"/>
            <w:right w:w="108" w:type="dxa"/>
          </w:tblCellMar>
        </w:tblPrEx>
        <w:trPr>
          <w:trHeight w:val="510"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16</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杆件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立柱∅165mm×6mm×7000mm,横臂：∅114mm×6mm×4000mm×2根</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6100</w:t>
            </w:r>
          </w:p>
        </w:tc>
      </w:tr>
      <w:tr>
        <w:tblPrEx>
          <w:tblCellMar>
            <w:top w:w="0" w:type="dxa"/>
            <w:left w:w="108" w:type="dxa"/>
            <w:bottom w:w="0" w:type="dxa"/>
            <w:right w:w="108" w:type="dxa"/>
          </w:tblCellMar>
        </w:tblPrEx>
        <w:trPr>
          <w:trHeight w:val="510" w:hRule="atLeast"/>
        </w:trPr>
        <w:tc>
          <w:tcPr>
            <w:tcW w:w="672" w:type="dxa"/>
            <w:tcBorders>
              <w:top w:val="single" w:color="auto" w:sz="4" w:space="0"/>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17</w:t>
            </w:r>
          </w:p>
        </w:tc>
        <w:tc>
          <w:tcPr>
            <w:tcW w:w="2362"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杆件</w:t>
            </w:r>
          </w:p>
        </w:tc>
        <w:tc>
          <w:tcPr>
            <w:tcW w:w="3700"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立柱∅159mm×6mm×7000mm，横臂∅89mm×6mm×1根</w:t>
            </w:r>
          </w:p>
        </w:tc>
        <w:tc>
          <w:tcPr>
            <w:tcW w:w="866"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6300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18</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杆件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立柱：∅89mm×3mm×3500mm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450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19</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杆件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立柱：∅89mm×3mm×4000mm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480</w:t>
            </w:r>
          </w:p>
        </w:tc>
      </w:tr>
      <w:tr>
        <w:tblPrEx>
          <w:tblCellMar>
            <w:top w:w="0" w:type="dxa"/>
            <w:left w:w="108" w:type="dxa"/>
            <w:bottom w:w="0" w:type="dxa"/>
            <w:right w:w="108" w:type="dxa"/>
          </w:tblCellMar>
        </w:tblPrEx>
        <w:trPr>
          <w:trHeight w:val="285" w:hRule="atLeast"/>
        </w:trPr>
        <w:tc>
          <w:tcPr>
            <w:tcW w:w="8673" w:type="dxa"/>
            <w:gridSpan w:val="5"/>
            <w:tcBorders>
              <w:top w:val="single" w:color="auto" w:sz="4" w:space="0"/>
              <w:left w:val="single" w:color="auto" w:sz="4" w:space="0"/>
              <w:bottom w:val="single" w:color="auto" w:sz="4" w:space="0"/>
              <w:right w:val="single" w:color="auto" w:sz="4" w:space="0"/>
            </w:tcBorders>
            <w:vAlign w:val="center"/>
          </w:tcPr>
          <w:p>
            <w:pPr>
              <w:pStyle w:val="484"/>
              <w:spacing w:line="360" w:lineRule="auto"/>
              <w:jc w:val="center"/>
              <w:rPr>
                <w:rFonts w:ascii="宋体" w:hAnsi="宋体" w:cs="宋体"/>
                <w:color w:val="auto"/>
                <w:sz w:val="21"/>
                <w:szCs w:val="21"/>
              </w:rPr>
            </w:pPr>
            <w:r>
              <w:rPr>
                <w:rFonts w:hint="eastAsia" w:ascii="宋体" w:hAnsi="宋体" w:cs="宋体"/>
                <w:color w:val="auto"/>
                <w:sz w:val="21"/>
                <w:szCs w:val="21"/>
              </w:rPr>
              <w:t>三、其他交安设施（含工时费）</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弹性分道体（压不倒）</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TPU材质(荧光红)</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75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警示柱</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∅89mm×4mm×1200mm（钢质）</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130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警示柱</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∅114mm×4mm×1200mm（钢质）</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155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警示柱</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∅140mm×4.5mm×1200mm（钢质）</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190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5</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橡胶警示柱</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∅80mm×H800mm橡胶材质</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1根</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反光镜</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∅800</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375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7</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反光镜</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∅1000mm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475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9</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太阳能警示柱</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∅140mm顶端发光</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320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10</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太阳能人行横道提示牌</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双面800mm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1600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11</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太阳能爆闪灯</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双色爆闪排灯（1000mm×300mm×200mm)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1盏</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1800</w:t>
            </w:r>
          </w:p>
        </w:tc>
      </w:tr>
      <w:tr>
        <w:tblPrEx>
          <w:tblCellMar>
            <w:top w:w="0" w:type="dxa"/>
            <w:left w:w="108" w:type="dxa"/>
            <w:bottom w:w="0" w:type="dxa"/>
            <w:right w:w="108" w:type="dxa"/>
          </w:tblCellMar>
        </w:tblPrEx>
        <w:trPr>
          <w:trHeight w:val="510"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12</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黄闪灯</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太阳能</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1450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13</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导向灯</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太阳能、双面发光</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1盏</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2600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14</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导向灯</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太阳能、单面发光</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1盏</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2550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15</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灌胶道钉</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太阳能</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68</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16</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铝道钉</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太阳能</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80</w:t>
            </w:r>
          </w:p>
        </w:tc>
      </w:tr>
      <w:tr>
        <w:tblPrEx>
          <w:tblCellMar>
            <w:top w:w="0" w:type="dxa"/>
            <w:left w:w="108" w:type="dxa"/>
            <w:bottom w:w="0" w:type="dxa"/>
            <w:right w:w="108" w:type="dxa"/>
          </w:tblCellMar>
        </w:tblPrEx>
        <w:trPr>
          <w:trHeight w:val="285" w:hRule="atLeast"/>
        </w:trPr>
        <w:tc>
          <w:tcPr>
            <w:tcW w:w="672" w:type="dxa"/>
            <w:tcBorders>
              <w:top w:val="single" w:color="auto" w:sz="4" w:space="0"/>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17</w:t>
            </w:r>
          </w:p>
        </w:tc>
        <w:tc>
          <w:tcPr>
            <w:tcW w:w="2362"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铝道钉</w:t>
            </w:r>
          </w:p>
        </w:tc>
        <w:tc>
          <w:tcPr>
            <w:tcW w:w="3700"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双面发光</w:t>
            </w:r>
          </w:p>
        </w:tc>
        <w:tc>
          <w:tcPr>
            <w:tcW w:w="866"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1只</w:t>
            </w:r>
          </w:p>
        </w:tc>
        <w:tc>
          <w:tcPr>
            <w:tcW w:w="1073"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36</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18</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橡胶减速带</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L500mm×W350mm×H50mm/PC</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1米</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160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19</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道路隔离护栏片（高）</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2900mm*700mm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1片</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270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20</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护栏立柱（含连接杆配件）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高700mm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1根</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75</w:t>
            </w:r>
          </w:p>
        </w:tc>
      </w:tr>
      <w:tr>
        <w:tblPrEx>
          <w:tblCellMar>
            <w:top w:w="0" w:type="dxa"/>
            <w:left w:w="108" w:type="dxa"/>
            <w:bottom w:w="0" w:type="dxa"/>
            <w:right w:w="108" w:type="dxa"/>
          </w:tblCellMar>
        </w:tblPrEx>
        <w:trPr>
          <w:trHeight w:val="285" w:hRule="atLeast"/>
        </w:trPr>
        <w:tc>
          <w:tcPr>
            <w:tcW w:w="672" w:type="dxa"/>
            <w:tcBorders>
              <w:top w:val="single" w:color="auto" w:sz="4" w:space="0"/>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21</w:t>
            </w:r>
          </w:p>
        </w:tc>
        <w:tc>
          <w:tcPr>
            <w:tcW w:w="2362"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塑料护栏底座（含固定螺丝配件）</w:t>
            </w:r>
          </w:p>
        </w:tc>
        <w:tc>
          <w:tcPr>
            <w:tcW w:w="3700"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300mm*400mm*200mm</w:t>
            </w:r>
          </w:p>
        </w:tc>
        <w:tc>
          <w:tcPr>
            <w:tcW w:w="866"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1个</w:t>
            </w:r>
          </w:p>
        </w:tc>
        <w:tc>
          <w:tcPr>
            <w:tcW w:w="1073"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65</w:t>
            </w:r>
          </w:p>
        </w:tc>
      </w:tr>
      <w:tr>
        <w:tblPrEx>
          <w:tblCellMar>
            <w:top w:w="0" w:type="dxa"/>
            <w:left w:w="108" w:type="dxa"/>
            <w:bottom w:w="0" w:type="dxa"/>
            <w:right w:w="108" w:type="dxa"/>
          </w:tblCellMar>
        </w:tblPrEx>
        <w:trPr>
          <w:trHeight w:val="423"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22</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道路隔离护栏片（高）</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2900mm*900mm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1片</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330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23</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护栏立柱（含连接杆配件）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高900mm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1根</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24</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道路隔离护栏片（高）</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2900mm*1100mm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1片</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360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25</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护栏立柱（含连接杆配件）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高1100mm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1根</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27</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道路隔离护栏片（法兰式）</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2900mm*700mm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1片</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330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28</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护栏立柱（法兰式，含连接杆、固定螺丝配件配件）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高700mm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1根</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75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29</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道路隔离护栏</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DL-06广告板</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1米</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220</w:t>
            </w:r>
          </w:p>
        </w:tc>
      </w:tr>
      <w:tr>
        <w:tblPrEx>
          <w:tblCellMar>
            <w:top w:w="0" w:type="dxa"/>
            <w:left w:w="108" w:type="dxa"/>
            <w:bottom w:w="0" w:type="dxa"/>
            <w:right w:w="108" w:type="dxa"/>
          </w:tblCellMar>
        </w:tblPrEx>
        <w:trPr>
          <w:trHeight w:val="285" w:hRule="atLeast"/>
        </w:trPr>
        <w:tc>
          <w:tcPr>
            <w:tcW w:w="672" w:type="dxa"/>
            <w:tcBorders>
              <w:top w:val="single" w:color="auto" w:sz="4" w:space="0"/>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30</w:t>
            </w:r>
          </w:p>
        </w:tc>
        <w:tc>
          <w:tcPr>
            <w:tcW w:w="2362"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道路隔离护栏</w:t>
            </w:r>
          </w:p>
        </w:tc>
        <w:tc>
          <w:tcPr>
            <w:tcW w:w="3700"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花箱护栏</w:t>
            </w:r>
          </w:p>
        </w:tc>
        <w:tc>
          <w:tcPr>
            <w:tcW w:w="866"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1米</w:t>
            </w:r>
          </w:p>
        </w:tc>
        <w:tc>
          <w:tcPr>
            <w:tcW w:w="1073"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550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31</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隔离栅（含立柱等配件）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锌钢，高度1米</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1米</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150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32</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伸缩护栏</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可移动（1200mm高）</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1米</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33</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防撞桶（滚塑）</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∅600mm×H600mm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34</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防撞桶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∅400mm×H700mm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220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35</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测速箱</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不锈钢定制</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1350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36</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反光锥桶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70cm红白橡胶反光路锥</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90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37</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反光锥桶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60cm红白橡胶反光路锥</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75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38</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反光锥桶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50cm红白橡胶反光路锥</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39</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锥桶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伸缩锥桶</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180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40</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基础施工（含预埋件）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400 mm *400 mm *500 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500</w:t>
            </w:r>
          </w:p>
        </w:tc>
      </w:tr>
      <w:tr>
        <w:tblPrEx>
          <w:tblCellMar>
            <w:top w:w="0" w:type="dxa"/>
            <w:left w:w="108" w:type="dxa"/>
            <w:bottom w:w="0" w:type="dxa"/>
            <w:right w:w="108" w:type="dxa"/>
          </w:tblCellMar>
        </w:tblPrEx>
        <w:trPr>
          <w:trHeight w:val="285" w:hRule="atLeast"/>
        </w:trPr>
        <w:tc>
          <w:tcPr>
            <w:tcW w:w="672" w:type="dxa"/>
            <w:tcBorders>
              <w:top w:val="single" w:color="auto" w:sz="4" w:space="0"/>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41</w:t>
            </w:r>
          </w:p>
        </w:tc>
        <w:tc>
          <w:tcPr>
            <w:tcW w:w="2362"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基础施工（含预埋件）</w:t>
            </w:r>
          </w:p>
        </w:tc>
        <w:tc>
          <w:tcPr>
            <w:tcW w:w="3700"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500 mm *500 mm *600 mm</w:t>
            </w:r>
          </w:p>
        </w:tc>
        <w:tc>
          <w:tcPr>
            <w:tcW w:w="866"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700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42</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基础施工（含预埋件）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800 mm *800 mm *1000 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1200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43</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基础施工（含预埋件）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1000mm*1000 mm *1200mm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2200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44</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基础施工（含预埋件）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1200 mm *1200 mm *1500 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4000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45</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基础施工（含预埋件）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1400 mm *1400 mm *1600 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6500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46</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基础施工（含预埋件）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1600mm*1600mm*1800mm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11000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47</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基础施工（含预埋件）</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1800mm*1800mm*2500mm</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16000</w:t>
            </w:r>
          </w:p>
        </w:tc>
      </w:tr>
      <w:tr>
        <w:tblPrEx>
          <w:tblCellMar>
            <w:top w:w="0" w:type="dxa"/>
            <w:left w:w="108" w:type="dxa"/>
            <w:bottom w:w="0" w:type="dxa"/>
            <w:right w:w="108" w:type="dxa"/>
          </w:tblCellMar>
        </w:tblPrEx>
        <w:trPr>
          <w:trHeight w:val="285" w:hRule="atLeast"/>
        </w:trPr>
        <w:tc>
          <w:tcPr>
            <w:tcW w:w="8673" w:type="dxa"/>
            <w:gridSpan w:val="5"/>
            <w:tcBorders>
              <w:top w:val="single" w:color="auto" w:sz="4" w:space="0"/>
              <w:left w:val="single" w:color="auto" w:sz="4" w:space="0"/>
              <w:bottom w:val="single" w:color="auto" w:sz="4" w:space="0"/>
              <w:right w:val="single" w:color="auto" w:sz="4" w:space="0"/>
            </w:tcBorders>
            <w:vAlign w:val="center"/>
          </w:tcPr>
          <w:p>
            <w:pPr>
              <w:pStyle w:val="484"/>
              <w:spacing w:line="360" w:lineRule="auto"/>
              <w:jc w:val="center"/>
              <w:rPr>
                <w:rFonts w:ascii="宋体" w:hAnsi="宋体" w:cs="宋体"/>
                <w:color w:val="auto"/>
                <w:sz w:val="21"/>
                <w:szCs w:val="21"/>
              </w:rPr>
            </w:pPr>
            <w:r>
              <w:rPr>
                <w:rFonts w:hint="eastAsia" w:ascii="宋体" w:hAnsi="宋体" w:cs="宋体"/>
                <w:color w:val="auto"/>
                <w:sz w:val="21"/>
                <w:szCs w:val="21"/>
              </w:rPr>
              <w:t>四、其他</w:t>
            </w:r>
          </w:p>
        </w:tc>
      </w:tr>
      <w:tr>
        <w:tblPrEx>
          <w:tblCellMar>
            <w:top w:w="0" w:type="dxa"/>
            <w:left w:w="108" w:type="dxa"/>
            <w:bottom w:w="0" w:type="dxa"/>
            <w:right w:w="108" w:type="dxa"/>
          </w:tblCellMar>
        </w:tblPrEx>
        <w:trPr>
          <w:trHeight w:val="285" w:hRule="atLeast"/>
        </w:trPr>
        <w:tc>
          <w:tcPr>
            <w:tcW w:w="672" w:type="dxa"/>
            <w:tcBorders>
              <w:top w:val="single" w:color="auto" w:sz="4" w:space="0"/>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w:t>
            </w:r>
          </w:p>
        </w:tc>
        <w:tc>
          <w:tcPr>
            <w:tcW w:w="2362"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标牌清洗</w:t>
            </w:r>
          </w:p>
        </w:tc>
        <w:tc>
          <w:tcPr>
            <w:tcW w:w="3700"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标志牌不洁，清洗</w:t>
            </w:r>
          </w:p>
        </w:tc>
        <w:tc>
          <w:tcPr>
            <w:tcW w:w="866"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1项</w:t>
            </w:r>
          </w:p>
        </w:tc>
        <w:tc>
          <w:tcPr>
            <w:tcW w:w="1073"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刷油漆（哑光）</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杆件锈蚀</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1项</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杂物乱堆</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清理</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1项</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50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监控杆盖板缺失</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含盖板</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1项</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5</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护栏立柱顶盖缺失</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含盖板</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护栏轮廓标</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含轮廓标</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1只</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7</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绿化修剪</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1处</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100</w:t>
            </w:r>
          </w:p>
        </w:tc>
      </w:tr>
      <w:tr>
        <w:tblPrEx>
          <w:tblCellMar>
            <w:top w:w="0" w:type="dxa"/>
            <w:left w:w="108" w:type="dxa"/>
            <w:bottom w:w="0" w:type="dxa"/>
            <w:right w:w="108" w:type="dxa"/>
          </w:tblCellMar>
        </w:tblPrEx>
        <w:trPr>
          <w:trHeight w:val="285" w:hRule="atLeast"/>
        </w:trPr>
        <w:tc>
          <w:tcPr>
            <w:tcW w:w="8673" w:type="dxa"/>
            <w:gridSpan w:val="5"/>
            <w:tcBorders>
              <w:top w:val="single" w:color="auto" w:sz="4" w:space="0"/>
              <w:left w:val="single" w:color="auto" w:sz="4" w:space="0"/>
              <w:bottom w:val="single" w:color="auto" w:sz="4" w:space="0"/>
              <w:right w:val="single" w:color="auto" w:sz="4" w:space="0"/>
            </w:tcBorders>
            <w:vAlign w:val="center"/>
          </w:tcPr>
          <w:p>
            <w:pPr>
              <w:pStyle w:val="484"/>
              <w:spacing w:line="360" w:lineRule="auto"/>
              <w:ind w:firstLine="2730" w:firstLineChars="1300"/>
              <w:rPr>
                <w:rFonts w:ascii="宋体" w:hAnsi="宋体" w:cs="宋体"/>
                <w:color w:val="auto"/>
                <w:sz w:val="21"/>
                <w:szCs w:val="21"/>
              </w:rPr>
            </w:pPr>
            <w:r>
              <w:rPr>
                <w:rFonts w:hint="eastAsia" w:ascii="宋体" w:hAnsi="宋体" w:cs="宋体"/>
                <w:color w:val="auto"/>
                <w:sz w:val="21"/>
                <w:szCs w:val="21"/>
              </w:rPr>
              <w:t>五、普通交通设施摆放等</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2</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钢制护栏更换、摆正</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包含运输费、人工费、护栏底座固定螺丝、连接杆等小型配件</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1米</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16</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伸缩护栏</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包含运输费，人工费</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1米</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18</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4</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各类标牌摆放</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包含运输费，人工费</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1块</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30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5</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小型杆件（标牌等）拆除、移位</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包含运输费、人工费、抱箍</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1处</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杆件拆除</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各类大型杆件拆除（事故）人工费</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1趟</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500</w:t>
            </w:r>
          </w:p>
        </w:tc>
      </w:tr>
      <w:tr>
        <w:tblPrEx>
          <w:tblCellMar>
            <w:top w:w="0" w:type="dxa"/>
            <w:left w:w="108" w:type="dxa"/>
            <w:bottom w:w="0" w:type="dxa"/>
            <w:right w:w="108" w:type="dxa"/>
          </w:tblCellMar>
        </w:tblPrEx>
        <w:trPr>
          <w:trHeight w:val="285" w:hRule="atLeast"/>
        </w:trPr>
        <w:tc>
          <w:tcPr>
            <w:tcW w:w="672" w:type="dxa"/>
            <w:tcBorders>
              <w:top w:val="single" w:color="auto" w:sz="4" w:space="0"/>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7</w:t>
            </w:r>
          </w:p>
        </w:tc>
        <w:tc>
          <w:tcPr>
            <w:tcW w:w="2362"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货车</w:t>
            </w:r>
          </w:p>
        </w:tc>
        <w:tc>
          <w:tcPr>
            <w:tcW w:w="3700"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货车运输费</w:t>
            </w:r>
          </w:p>
        </w:tc>
        <w:tc>
          <w:tcPr>
            <w:tcW w:w="866"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1趟</w:t>
            </w:r>
          </w:p>
        </w:tc>
        <w:tc>
          <w:tcPr>
            <w:tcW w:w="1073" w:type="dxa"/>
            <w:tcBorders>
              <w:top w:val="single" w:color="auto" w:sz="4" w:space="0"/>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600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8</w:t>
            </w:r>
          </w:p>
        </w:tc>
        <w:tc>
          <w:tcPr>
            <w:tcW w:w="2362"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吊机</w:t>
            </w:r>
          </w:p>
        </w:tc>
        <w:tc>
          <w:tcPr>
            <w:tcW w:w="3700"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吊机吊装费</w:t>
            </w:r>
          </w:p>
        </w:tc>
        <w:tc>
          <w:tcPr>
            <w:tcW w:w="866"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1趟</w:t>
            </w:r>
          </w:p>
        </w:tc>
        <w:tc>
          <w:tcPr>
            <w:tcW w:w="1073" w:type="dxa"/>
            <w:tcBorders>
              <w:top w:val="nil"/>
              <w:left w:val="nil"/>
              <w:bottom w:val="single" w:color="auto" w:sz="4" w:space="0"/>
              <w:right w:val="single" w:color="auto" w:sz="4" w:space="0"/>
            </w:tcBorders>
            <w:vAlign w:val="center"/>
          </w:tcPr>
          <w:p>
            <w:pPr>
              <w:pStyle w:val="484"/>
              <w:spacing w:line="360" w:lineRule="auto"/>
              <w:rPr>
                <w:rFonts w:ascii="宋体" w:hAnsi="宋体" w:cs="宋体"/>
                <w:color w:val="auto"/>
                <w:sz w:val="21"/>
                <w:szCs w:val="21"/>
              </w:rPr>
            </w:pPr>
            <w:r>
              <w:rPr>
                <w:rFonts w:hint="eastAsia" w:ascii="宋体" w:hAnsi="宋体" w:cs="宋体"/>
                <w:color w:val="auto"/>
                <w:sz w:val="21"/>
                <w:szCs w:val="21"/>
              </w:rPr>
              <w:t>600</w:t>
            </w:r>
          </w:p>
        </w:tc>
      </w:tr>
    </w:tbl>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（二）智能监控、信号灯、电子警察等维护采购</w:t>
      </w:r>
    </w:p>
    <w:tbl>
      <w:tblPr>
        <w:tblStyle w:val="63"/>
        <w:tblW w:w="9421" w:type="dxa"/>
        <w:jc w:val="center"/>
        <w:tblLayout w:type="fixed"/>
        <w:tblCellMar>
          <w:top w:w="0" w:type="dxa"/>
          <w:left w:w="108" w:type="dxa"/>
          <w:bottom w:w="0" w:type="dxa"/>
          <w:right w:w="108" w:type="dxa"/>
        </w:tblCellMar>
      </w:tblPr>
      <w:tblGrid>
        <w:gridCol w:w="709"/>
        <w:gridCol w:w="1985"/>
        <w:gridCol w:w="992"/>
        <w:gridCol w:w="1276"/>
        <w:gridCol w:w="4459"/>
      </w:tblGrid>
      <w:tr>
        <w:tblPrEx>
          <w:tblCellMar>
            <w:top w:w="0" w:type="dxa"/>
            <w:left w:w="108" w:type="dxa"/>
            <w:bottom w:w="0" w:type="dxa"/>
            <w:right w:w="108" w:type="dxa"/>
          </w:tblCellMar>
        </w:tblPrEx>
        <w:trPr>
          <w:trHeight w:val="30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序号</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设备名称</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单位</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控制单价</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技术参数</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日常维护</w:t>
            </w:r>
          </w:p>
        </w:tc>
      </w:tr>
      <w:tr>
        <w:tblPrEx>
          <w:tblCellMar>
            <w:top w:w="0" w:type="dxa"/>
            <w:left w:w="108" w:type="dxa"/>
            <w:bottom w:w="0" w:type="dxa"/>
            <w:right w:w="108" w:type="dxa"/>
          </w:tblCellMar>
        </w:tblPrEx>
        <w:trPr>
          <w:trHeight w:val="38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闯红灯抓拍系统维护</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方向/月</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143</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基本人工费及统包材料费（统包材料费包括摄像机、终端服务器、红灯信转换器正常损坏且可返厂维修并不影响正常使用的）</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信号灯维护</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点/月</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480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基本人工费及统包材料费（统包材料费包括信号机主板、主机、电源、变压器正常损坏且可返厂维修并不影响正常使用的）</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卡口抓拍系统维护</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方向/月</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基本人工费及统包材料费（统包材料费包括摄像机、终端服务器、红灯信转换器正常损坏且可返厂维修并不影响正常使用的）</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逆向/禁左抓拍系统维护</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方向/月</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基本人工费及统包材料费（统包材料费包括摄像机、终端服务器、红灯信转换器正常损坏且可返厂维修并不影响正常使用的）</w:t>
            </w:r>
          </w:p>
        </w:tc>
      </w:tr>
      <w:tr>
        <w:tblPrEx>
          <w:tblCellMar>
            <w:top w:w="0" w:type="dxa"/>
            <w:left w:w="108" w:type="dxa"/>
            <w:bottom w:w="0" w:type="dxa"/>
            <w:right w:w="108" w:type="dxa"/>
          </w:tblCellMar>
        </w:tblPrEx>
        <w:trPr>
          <w:trHeight w:val="38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行人过街信号灯维护</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点/月</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300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基本人工费及统包材料费（统包材料费包括设备正常损坏且可返厂维修并不影响正常使用的）</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礼让行人抓拍系统维护</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方向/月</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基本人工费及统包材料费（统包材料费包括球形摄像机、终端服务器正常损坏且可返厂维修并不影响正常使用的</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监控系统维护</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点/月</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45</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基本人工费及统包材料费（统包材料费包括球形摄像机、终端服务器正常损坏且可返厂维修并不影响正常使用的</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交通诱导系统维护</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点/月</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420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基本人工费及统包材料费（统包材料费包括球形摄像机、终端服务器正常损坏且可返厂维修并不影响正常使用的，同时包含中心平台维护</w:t>
            </w:r>
          </w:p>
        </w:tc>
      </w:tr>
      <w:tr>
        <w:tblPrEx>
          <w:tblCellMar>
            <w:top w:w="0" w:type="dxa"/>
            <w:left w:w="108" w:type="dxa"/>
            <w:bottom w:w="0" w:type="dxa"/>
            <w:right w:w="108" w:type="dxa"/>
          </w:tblCellMar>
        </w:tblPrEx>
        <w:trPr>
          <w:trHeight w:val="30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9</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光缆租赁</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点/月</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150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VPN</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10</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第三方检测</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点</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具有计量认证、检验资格许可的省级及以上专业检测机构</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更新建设设备清单</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一 交通信号灯控制系统</w:t>
            </w:r>
          </w:p>
        </w:tc>
      </w:tr>
      <w:tr>
        <w:tblPrEx>
          <w:tblCellMar>
            <w:top w:w="0" w:type="dxa"/>
            <w:left w:w="108" w:type="dxa"/>
            <w:bottom w:w="0" w:type="dxa"/>
            <w:right w:w="108" w:type="dxa"/>
          </w:tblCellMar>
        </w:tblPrEx>
        <w:trPr>
          <w:trHeight w:val="76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控制器</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37800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网络型协调式控制器,基于车辆状况监测基础上的单路口感应控制，最多64路车灯，16路人行灯输出，可定义16种相位，8种周期循环，可定义160个时间段和4种日期类型，支持相位内灯组迟起，早闭，相位间灯组持续，支持NTCIP协议。能与intellimetic区域优化软件相组合，实现集中协调区域优化控制功能。</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信号灯控制板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3499</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电器控制柜</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2380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755*400*1320不锈钢</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机动车信号灯</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2330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LED400，带后9秒倒计时</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待转区显示屏</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3740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2600mm×400mm铝合金进口管</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302人行横道灯</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1420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LED300,带倒计时功能（两联）</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303人行信号灯</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1800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LED300,带倒计时功能（三联）</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非机动车道灯</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1460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LED300（三联）</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9</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行人申请过街信号灯</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对</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48600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PLSQ-2</w:t>
            </w:r>
          </w:p>
        </w:tc>
      </w:tr>
      <w:tr>
        <w:tblPrEx>
          <w:tblCellMar>
            <w:top w:w="0" w:type="dxa"/>
            <w:left w:w="108" w:type="dxa"/>
            <w:bottom w:w="0" w:type="dxa"/>
            <w:right w:w="108" w:type="dxa"/>
          </w:tblCellMar>
        </w:tblPrEx>
        <w:trPr>
          <w:trHeight w:val="30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10</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一体化人行横道灯</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8010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双人+单8+固定文字</w:t>
            </w:r>
          </w:p>
        </w:tc>
      </w:tr>
      <w:tr>
        <w:tblPrEx>
          <w:tblCellMar>
            <w:top w:w="0" w:type="dxa"/>
            <w:left w:w="108" w:type="dxa"/>
            <w:bottom w:w="0" w:type="dxa"/>
            <w:right w:w="108" w:type="dxa"/>
          </w:tblCellMar>
        </w:tblPrEx>
        <w:trPr>
          <w:trHeight w:val="133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临时信号灯（手推式）</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9100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  电气参数：额定电压：DC12V;额定功率：平均功耗≤20W;太阳能电池：50W；蓄电池容量：17AH*6；阴雨天连续工作：约15天。2、  光源参数：发光强度：≥4000cd/㎡；色度：R628nm，Y590 nm，G505nm ；可视角度：≥300 光源寿命：≥10万小时；可视距离：≥500m。3、环境参数：防护等级：≥IP53 ；耐温：－40℃～+75℃；环境湿度：10%～95%。4、  外形尺寸：灯盘：Φ300mm；高度：2150-2850mm。5、  上联三色左转箭头灯、下联三色箭头或三色满屏</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信号灯灯板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380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LED400</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倒计时控制器</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365</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LED400，触发型</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通信式倒计时器</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只</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730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LED400，触发型,485控制</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人行灯灯板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180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LED300</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可变分道牌</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4320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1200*1000，2个状态变换</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二 智慧斑马线</w:t>
            </w:r>
          </w:p>
        </w:tc>
      </w:tr>
      <w:tr>
        <w:tblPrEx>
          <w:tblCellMar>
            <w:top w:w="0" w:type="dxa"/>
            <w:left w:w="108" w:type="dxa"/>
            <w:bottom w:w="0" w:type="dxa"/>
            <w:right w:w="108" w:type="dxa"/>
          </w:tblCellMar>
        </w:tblPrEx>
        <w:trPr>
          <w:trHeight w:val="95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智慧控制主机</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6880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工作电压：220±20% VAC市电；功率：空载&lt;1W；负载≤100W；输出电压：24±10% VDC；输出电流：5A/每路，总电流≤8A；输出路数：10路；输入检测：5路220V光耦；控制方式：可定制，每路闪烁；信号灯跟随等模式；工作温度-40~+85℃；相对湿度≤93%；保存环境0~50℃，40~60%RH；防护等级：IP54；重量：≤15KG；非RoHS；</w:t>
            </w:r>
          </w:p>
        </w:tc>
      </w:tr>
      <w:tr>
        <w:tblPrEx>
          <w:tblCellMar>
            <w:top w:w="0" w:type="dxa"/>
            <w:left w:w="108" w:type="dxa"/>
            <w:bottom w:w="0" w:type="dxa"/>
            <w:right w:w="108" w:type="dxa"/>
          </w:tblCellMar>
        </w:tblPrEx>
        <w:trPr>
          <w:trHeight w:val="279"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智慧斑马线灯砖（地埋）</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1860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LED地灯，尺寸420*400*80，底板采用热镀锌，面板采用不锈钢，显示颜色为黄色闪烁，最大承载力为100吨，抗拉强度220MPa，摩擦系数为0.6，耐腐蚀12H，防水级别IP68，工作电压为DC12V/24V（可选配），功率为5-20W，工作温度-20~75℃（更宽温度可定制），使用寿命约50000小时</w:t>
            </w:r>
          </w:p>
        </w:tc>
      </w:tr>
      <w:tr>
        <w:tblPrEx>
          <w:tblCellMar>
            <w:top w:w="0" w:type="dxa"/>
            <w:left w:w="108" w:type="dxa"/>
            <w:bottom w:w="0" w:type="dxa"/>
            <w:right w:w="108" w:type="dxa"/>
          </w:tblCellMar>
        </w:tblPrEx>
        <w:trPr>
          <w:trHeight w:val="57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雷达激光立柱</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支</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6360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控制方式：光控/雷达/激光，发射频率24Ghz，测距0.1~30m,测距分辨率0.01m，水平波瓣78deg，垂直波瓣23deg，工作电压：5V/12v,功耗500mW，存储温度：-40~85℃，工作温度：-20~75℃</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立柱 带语言声</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支</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730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带语言声</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立柱 带语言声及带文字</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支</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1280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带语言声及带文字</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高温导线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19股镀锡氟套线</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导线开挖槽</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90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100mm*100mm,包含路面修复</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路面切割开挖</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处</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910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400mm*400mm*150mm,包含沥青浇筑、混凝土填充</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三 电子警察系统</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交通灯信号检测器</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1995</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信号灯检测器：工业级嵌入式微控制器，可接入16路220V/AC红绿灯信号；1个RS232串口，用于系统升级；4个RS485接口。</w:t>
            </w: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终端一体机1</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5500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2个RS232接口，4个RS485接口，2个USB2.0接口，1路音频输入接口，1路音频输出接口，1个eSATA接口，1个VGA接口，4个标清BNC模拟输入接口，嵌入式Linux，WEB页面，可接入车道数≤12车道</w:t>
            </w:r>
          </w:p>
        </w:tc>
      </w:tr>
      <w:tr>
        <w:tblPrEx>
          <w:tblCellMar>
            <w:top w:w="0" w:type="dxa"/>
            <w:left w:w="108" w:type="dxa"/>
            <w:bottom w:w="0" w:type="dxa"/>
            <w:right w:w="108" w:type="dxa"/>
          </w:tblCellMar>
        </w:tblPrEx>
        <w:trPr>
          <w:trHeight w:val="31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终端一体机2</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8750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支持12路IPC接入；有反向卡口需要图片六合一时，只能接入8路；双网卡，内置16个100M以太网接口及2个1000M网络接口、1个1000M独立SFP光纤接口；支持2路HD-TVI输入；支持VGA输出、HDMI输出、CVBS输出；4个RS485、2个RS232、2个USB2.0、4路报警输入\报警输出、1个eSATA接口；电源:DC12V；</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企业级磁盘</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2T,7200转</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企业级磁盘</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1500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4T, 7200转</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路口软件</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15</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定制</w:t>
            </w:r>
          </w:p>
        </w:tc>
      </w:tr>
      <w:tr>
        <w:tblPrEx>
          <w:tblCellMar>
            <w:top w:w="0" w:type="dxa"/>
            <w:left w:w="108" w:type="dxa"/>
            <w:bottom w:w="0" w:type="dxa"/>
            <w:right w:w="108" w:type="dxa"/>
          </w:tblCellMar>
        </w:tblPrEx>
        <w:trPr>
          <w:trHeight w:val="114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硬盘录像机</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3500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硬件规格：2U标准机架式；2个HDMI，2个VGA,HDMI+VGA组内同源；8盘位，可满配6TB硬盘 ；2个千兆网口；2个USB2.0接口、1个USB3.0接口；1个eSATA接口；报警IO：16进4路；软件性能：输入带宽：80M；8路H.264、H.265混合接入；最大支持8×1080P解码；支持H.265、H.264解码；Smart 2.0/整机热备/ANR/智能检索/智能回放/车牌检索/人脸检索/热度图/客流量统计/分时段回放/超高倍速回放/双系统备份</w:t>
            </w:r>
          </w:p>
        </w:tc>
      </w:tr>
      <w:tr>
        <w:tblPrEx>
          <w:tblCellMar>
            <w:top w:w="0" w:type="dxa"/>
            <w:left w:w="108" w:type="dxa"/>
            <w:bottom w:w="0" w:type="dxa"/>
            <w:right w:w="108" w:type="dxa"/>
          </w:tblCellMar>
        </w:tblPrEx>
        <w:trPr>
          <w:trHeight w:val="114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硬盘录像机</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3500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硬件规格：2U标准机架式；2个HDMI，2个VGA,HDMI+VGA组内同源；8盘位，可满配6TB硬盘 ；2个千兆网口；2个USB2.0接口、1个USB3.0接口；1个eSATA接口；报警IO：16进4路；软件性能：输入带宽：80M；16路H.264、H.265混合接入；最大支持8×1080P解码；支持H.265、H.264解码；Smart 2.0/整机热备/ANR/智能检索/智能回放/车牌检索/人脸检索/热度图/客流量统计/分时段回放/超高倍速回放/双系统备份</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9</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落地控制箱</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3580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600mm*500mm*1100mm,不锈钢基础</w:t>
            </w:r>
          </w:p>
        </w:tc>
      </w:tr>
      <w:tr>
        <w:tblPrEx>
          <w:tblCellMar>
            <w:top w:w="0" w:type="dxa"/>
            <w:left w:w="108" w:type="dxa"/>
            <w:bottom w:w="0" w:type="dxa"/>
            <w:right w:w="108" w:type="dxa"/>
          </w:tblCellMar>
        </w:tblPrEx>
        <w:trPr>
          <w:trHeight w:val="30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10</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抱杆箱</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380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400mm*300mm*200mm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安装配件</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360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定制</w:t>
            </w:r>
          </w:p>
        </w:tc>
      </w:tr>
      <w:tr>
        <w:tblPrEx>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摄像机（900万，含镜头）</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10000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像素：900万；传感器类型：1"全局曝光GMOS；最小照度：0.1Lux@(F1.2,AGC ON)；快门：1/25秒至1/100,000秒；镜头接口类型：C/CS 接口；自动光圈：DC驱动,支持P-iris控制(定制)；视频压缩标准：H.264/H.265；压缩输出码率：32 Kbps~16M bps；图像格式：JPEG，质量可设；最大图像尺寸：4096*2160；帧率：25fps(4096*2160)；通讯接口：3个RS-485接口,1个RS-232接口；2个RJ45 10M/100M/1000M自适应以太网口；触发输入：4路外部触发输入；工作温度和湿度：-30℃~70℃,湿度小于90%(无凝结)；电源供应：DC12V±10%</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高清镜头</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光学百万像素8mm-25mm，接口类型：C接口；镜头光圈：F1.4-C；像面尺寸：Φ11.2mm（2/3"）；水平视场角：2/3" 38.7°3/4" 48.6°；手动光圈</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频闪灯</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1280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16颗，暖光，光源类型：原装进口大功率LED，单车道环境补光；LED灯珠数量：16颗；发光角度：10°；最佳补光距离：16米-25米</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防护罩</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450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4718K，IP65，定制</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网络视频防雷</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只</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135</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2合1，SP-NP-2/24V</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17</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电源避雷器</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个</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160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Frd-20/2p，Td230</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18</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光纤收发器</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对</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950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1口百兆光纤收发器工业导轨式接收机;光口：1个百兆光口，距离25公里，FC口，单模单纤;电口：1个百兆网口；安装方式：工业导轨式；</w:t>
            </w:r>
          </w:p>
        </w:tc>
      </w:tr>
      <w:tr>
        <w:tblPrEx>
          <w:tblCellMar>
            <w:top w:w="0" w:type="dxa"/>
            <w:left w:w="108" w:type="dxa"/>
            <w:bottom w:w="0" w:type="dxa"/>
            <w:right w:w="108" w:type="dxa"/>
          </w:tblCellMar>
        </w:tblPrEx>
        <w:trPr>
          <w:trHeight w:val="30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19</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数据传输器1</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135</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5口，百兆</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20</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数据传输器2</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770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8口，千兆</w:t>
            </w:r>
          </w:p>
        </w:tc>
      </w:tr>
      <w:tr>
        <w:tblPrEx>
          <w:tblCellMar>
            <w:top w:w="0" w:type="dxa"/>
            <w:left w:w="108" w:type="dxa"/>
            <w:bottom w:w="0" w:type="dxa"/>
            <w:right w:w="108" w:type="dxa"/>
          </w:tblCellMar>
        </w:tblPrEx>
        <w:trPr>
          <w:trHeight w:val="30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21</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电源适配器</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220V转12V</w:t>
            </w:r>
          </w:p>
        </w:tc>
      </w:tr>
      <w:tr>
        <w:tblPrEx>
          <w:tblCellMar>
            <w:top w:w="0" w:type="dxa"/>
            <w:left w:w="108" w:type="dxa"/>
            <w:bottom w:w="0" w:type="dxa"/>
            <w:right w:w="108" w:type="dxa"/>
          </w:tblCellMar>
        </w:tblPrEx>
        <w:trPr>
          <w:trHeight w:val="76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终端一体机主板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3760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三代终端服务器，高性能ARM Cortex A9数字媒体处理器，双网卡，内置16个100M以太网接口及2个1000M网络接口、1个1000M独立SFP光纤接口；支持2路HD-TVI输入；支持VGA输出、HDMI输出、CVBS输出；4个RS485、2个RS232、2个USB2.0、4路报警输入\报警输出、1个eSATA接口</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高清摄像机主板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2900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含通讯接口：3个RS-485接口,1个RS-232接口；2个RJ45 10M/100M/1000M自适应以太网口</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四 行人闯红灯抓拍系统</w:t>
            </w:r>
          </w:p>
        </w:tc>
      </w:tr>
      <w:tr>
        <w:tblPrEx>
          <w:tblCellMar>
            <w:top w:w="0" w:type="dxa"/>
            <w:left w:w="108" w:type="dxa"/>
            <w:bottom w:w="0" w:type="dxa"/>
            <w:right w:w="108" w:type="dxa"/>
          </w:tblCellMar>
        </w:tblPrEx>
        <w:trPr>
          <w:trHeight w:val="209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行人闯红灯抓拍单元</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10000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支持非机动车闯红灯运动过程抓拍，人脸抠图，电动车载人、电动车是否带头盔，以及报警信息输出等功能。支持行人闯红灯运动过程抓拍，闯红灯人脸抠图，报警信息输出等功能。包含摄像机、高清镜头、室外防护罩、风扇、内置补光灯、电源适配器、相机内置防雷模块、安装万向节等；像素：900W；分辨率：最大支持4096*2160；帧率：25fps；感光器件：1" GMOS ；相机：iDS-2CD9396-ASP；镜头：30mm镜头；照度：彩色:0.01Lux @(F1.2，AGC ON) ；视频压缩标准：H.265/H.264/MJPEG；图像输出格式：JPEG；输出：电平量信号；通讯接口：2个RJ45 100M/1000M自适应网口，3个RS485接口，1个RS232接口；外部接口：4路外部触发输入，6路(5V TTL电平量)输出，可作为闪光灯同步输出控制，SYNC信号灯电源同步输入；存储支持：最大支持64G TF卡，自动光圈镜头：支持；工作电压：100VAC～240VAC；频率：48Hz～52Hz；功耗：＜20W</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交通灯信号检测器</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支持16路AC220V信号接入；具有4路RS485；具有一个5位拨码开关，设置设备地址、数据上传模式及波特率；DC12V供电。</w:t>
            </w:r>
          </w:p>
        </w:tc>
      </w:tr>
      <w:tr>
        <w:tblPrEx>
          <w:tblCellMar>
            <w:top w:w="0" w:type="dxa"/>
            <w:left w:w="108" w:type="dxa"/>
            <w:bottom w:w="0" w:type="dxa"/>
            <w:right w:w="108" w:type="dxa"/>
          </w:tblCellMar>
        </w:tblPrEx>
        <w:trPr>
          <w:trHeight w:val="1338"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终端服务器</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6990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设备采用嵌入式Linux实时操作系统，内存容量1GB；16个10M/100M自适应RJ45接口、2个10M/100M/1000M自适应RJ45接口(其中1个1000M网口与光口及16个100兆网口处于同一网段)；支持2路HD-TVI摄像机接入编码传输和录像，并可对接入的2路HD-TVI视频信号进行实时环通输出；4个HD-TVI接口、2个RS-232接口、4个RS-485接口、1个VGA接口、1个HDMI接口、1个CVBS输出接口、2个USB2.0接口、4路报警输入接口、4路报警输出接口、1个音频输入接口、1个音频输出接口、1个DC12V输出接口、1个DC5V输出接口、1个eSATA接口、4个SATA接口；最多可接入16路IP摄像机(单路码率8M)；摄像机与客户端分别连接样机的不同网段时，客户端可以通过端口映射，跨网段直接访问摄像机，对摄像机进行操作；可通过VGA、HDMI进行本地视频预览、菜单参数配置，可通过CVBS进行本地视频预览；从样机导出的录像和图片含有数字水印信息，可通过专用工具检测图片数据是否被篡改；可输出DC12V和DC5V电压给外置设备进行供电；设备具有黑名单和白名单功能。</w:t>
            </w:r>
          </w:p>
        </w:tc>
      </w:tr>
      <w:tr>
        <w:tblPrEx>
          <w:tblCellMar>
            <w:top w:w="0" w:type="dxa"/>
            <w:left w:w="108" w:type="dxa"/>
            <w:bottom w:w="0" w:type="dxa"/>
            <w:right w:w="108" w:type="dxa"/>
          </w:tblCellMar>
        </w:tblPrEx>
        <w:trPr>
          <w:trHeight w:val="76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户外显示屏</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47650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1、显示屏:户外全彩LED信息发布屏，屏幕面积2.95㎡，显示屏净尺寸（L×H）2.304*1.28m，点间距4mm，分辨率为576*320，亮度不小于5000cd/m2；2、工作温度：-20 至 50℃，工作湿度范围（RH）：10 - ,70%；3、电源：交流：110~220VAC±15%；4、功耗：屏体峰值功耗小于3.6KW，平均功耗1.5KW。</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户外钢结构</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17440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定制</w:t>
            </w:r>
          </w:p>
        </w:tc>
      </w:tr>
      <w:tr>
        <w:tblPrEx>
          <w:tblCellMar>
            <w:top w:w="0" w:type="dxa"/>
            <w:left w:w="108" w:type="dxa"/>
            <w:bottom w:w="0" w:type="dxa"/>
            <w:right w:w="108" w:type="dxa"/>
          </w:tblCellMar>
        </w:tblPrEx>
        <w:trPr>
          <w:trHeight w:val="76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信息发布盒</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3100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安卓 播放盒；CPU：4核Cortex-A7@1.2GHz；存储参数：内存1G,内置SD卡32G；网络：有线、无线WIFI、3G/4G可选；接口：HDMI OUT×1,HDMI IN×1,AUDIO IN×1,AUDIO OUT×1,RJ45 IN×1,USB2.0×1,USB3.0×1,SD×1；需配合信息发布服务器</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五 违停抓拍及交通监视系统</w:t>
            </w:r>
          </w:p>
        </w:tc>
      </w:tr>
      <w:tr>
        <w:tblPrEx>
          <w:tblCellMar>
            <w:top w:w="0" w:type="dxa"/>
            <w:left w:w="108" w:type="dxa"/>
            <w:bottom w:w="0" w:type="dxa"/>
            <w:right w:w="108" w:type="dxa"/>
          </w:tblCellMar>
        </w:tblPrEx>
        <w:trPr>
          <w:trHeight w:val="3392"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left"/>
              <w:rPr>
                <w:rFonts w:ascii="宋体" w:hAnsi="宋体" w:cs="宋体"/>
                <w:color w:val="auto"/>
                <w:sz w:val="21"/>
                <w:szCs w:val="21"/>
              </w:rPr>
            </w:pPr>
            <w:r>
              <w:rPr>
                <w:rFonts w:hint="eastAsia" w:ascii="宋体" w:hAnsi="宋体" w:cs="宋体"/>
                <w:color w:val="auto"/>
                <w:sz w:val="21"/>
                <w:szCs w:val="21"/>
              </w:rPr>
              <w:t>黑光球</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9000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25倍200万8寸混合补光黑光球机】特色功能：支持深度学习算法，提升Smart功能和跟踪功能，并支持去误报和目标分类；支持区域入侵侦测、越界侦测、移动侦测等智能侦测功能；支持手动跟踪、全景跟踪、事件跟踪，并支持多场景巡航跟；支持车牌捕获及检索、混行检测、多场景巡航检测、云存储服务功能；独创的鹰视智能聚焦算法，实现对运动物体的快速聚焦捕获；图像传感器：1/2.8＂ progressive scan CMOS，双sensor架构；最低照度：彩色：0.0004Lux @ (F1.5，AGC ON)；黑白：0.0001Lux @(F1.5，AGC ON) ；0 Lux with IR；分辨率及帧率：主码流  50Hz: 25fps (1920×1080) ,60Hz: 30fps(1920×1080) ；视频压缩：H.265/H.264/MJPEG；补光距离：200米，采用无光污染的混合补光技术；焦距：4.8-120mm，25倍光学；Smart图像增强：120dB超宽动态、光学透雾、强光抑制、电子防抖、Smart IR；水平及垂直范围：水平360°；垂直-20°-90°（自动翻转）；水平速度：水平键控速度：0.1°-210°/s,速度可设;水平预置点速度：280°/s；垂直速度：垂直键控速度：0.1°-150°/s,速度可设;垂直预置点速度：250°/s；电源接口：AC24V±25%；网络接口：RJ45网口，自适应10M/100M网络数据 ；音频输入/输出：1路音频输入；1路音频输出；报警输入/输出：7路报警输入；2路报警输出；RS485控制接口：采用半双工模式，支持自适应HIKVISION，PELCO-P和PELCO-D(可添加)协议；SD卡接口：内置Micro SD卡插槽，支持Micro SD(即TF卡)/Micro SDHC/Micro SDXC卡（最大支持256G）；功耗：非雨刷型号：68W max（其中加热12Wmax，补光灯15W max）；防护等级：IP67;6000V 防雷、防浪涌、防突波，符合GB/T17626.5 四级标准；</w:t>
            </w:r>
          </w:p>
        </w:tc>
      </w:tr>
      <w:tr>
        <w:tblPrEx>
          <w:tblCellMar>
            <w:top w:w="0" w:type="dxa"/>
            <w:left w:w="108" w:type="dxa"/>
            <w:bottom w:w="0" w:type="dxa"/>
            <w:right w:w="108" w:type="dxa"/>
          </w:tblCellMar>
        </w:tblPrEx>
        <w:trPr>
          <w:trHeight w:val="1691"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360°鹰眼球机</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25000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1600万360°球型鹰眼；S系列1600万360°全景一体式网络高清摄像机，全景摄像机有8个1/1.8" 2MP Progressive Scan CMOS，最高分辨率及帧率可达2X4096×1800@30fps，星光级超低照度，0.005Lux/F2.0（彩色），0.0005Lux/F2.0（黑白）；特写摄像机采用1/1.8" 2MP Progressive Scan CMOS，最高分辨率及帧率可达1920×1080@30fps，水平360°连续旋转，垂直-15°-90°（自动翻转），星光级超低照度，0.002Lux/F1.5（彩色），0.0002Lux/F1.5（黑白），200m红外照射距离，37倍光学变倍，16倍数字变倍；支持区域入侵、越界、进入区域、离开区域事件侦测功能；系统支持检测直径300米范围内运动目标，可同时检测60个目标；系统支持点击联动功能、目标自动跟踪功能、手动跟踪功能；支持强光抑制、3D数字降噪；系统内置7路报警输入、2路报警输出、1路音频输入、1路音频输出，支持光口（FC）+电口(RJ-45)网络接口设计，采用一体化设计，可快捷安装；H.265/H.264/MJPEG；支持防雷、防浪涌、防突波，IP66防护等级。</w:t>
            </w:r>
          </w:p>
        </w:tc>
      </w:tr>
      <w:tr>
        <w:tblPrEx>
          <w:tblCellMar>
            <w:top w:w="0" w:type="dxa"/>
            <w:left w:w="108" w:type="dxa"/>
            <w:bottom w:w="0" w:type="dxa"/>
            <w:right w:w="108" w:type="dxa"/>
          </w:tblCellMar>
        </w:tblPrEx>
        <w:trPr>
          <w:trHeight w:val="380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180°鹰眼球机</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18930.4</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全景摄像机：传感器类型:1/1.8＂ Progressive Scan CMOS；镜头:2.8mm/F1.6；视场角:水平180°，垂直100°；视频压缩:H.265/H.264/MJPEG(主码流不支持MJPEG)，支持Baseline/Main/High Profile；分辨率及帧率:主码流：50Hz: 25fps ( 5520x2400);60Hz: 30fps ( 5520x2400)。细节跟踪摄像机:图像传感器:1/1.8＂Progressive Scan CMOS；最低照度:彩色：0.0005Lux @ (F1.5，AGC ON)；黑白：0.0001Lux @(F1.5，AGC ON) ；0 Lux with IR；红外功能:红外照射距离150m；红外灯亮度、角度根据场景智能调整；Smart图像增强:120dB超宽动态、光学透雾、强光抑制、SmartIR、电子防抖；焦距:5.6-208mm，37倍光学变倍；水平及垂直范围:水平360°；垂直-15°-90°(自动翻转)；水平速度:水平键控速度：0.1°-210°/s,速度可设； 水平预置点速度：240°/s；垂直速度:垂直键控速度：0.1°-150°/s,速度可设； 垂直预置点速度：200°/s；频压缩:H.265/H.264/MJPEG，支持smart265、smart264编码，H.264编码支持Baseline/Main/High Profile，分辨率及帧率:主码流：50Hz:25fps (2560x1440) 60Hz:30fps (2560x1440)；电源接口:DC36V  ；网络接口:RJ45网口，自适应10M/100M/1000M网络数据；支持 Hi-PoE供电；光纤接口:采用FC接口，内置光纤模块（1000M网络数据、波长TX1310/RX1550nm、单纤单模、20km传输距离）；具有RS485控制接口；报警输入/输出:7路报警输入；2路报警输出；音频输入/输出:1路音频输入；1路音频输出；湿度小于90%；防护等级:IP66</w:t>
            </w:r>
          </w:p>
        </w:tc>
      </w:tr>
      <w:tr>
        <w:tblPrEx>
          <w:tblCellMar>
            <w:top w:w="0" w:type="dxa"/>
            <w:left w:w="108" w:type="dxa"/>
            <w:bottom w:w="0" w:type="dxa"/>
            <w:right w:w="108" w:type="dxa"/>
          </w:tblCellMar>
        </w:tblPrEx>
        <w:trPr>
          <w:trHeight w:val="1416"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违停抓拍球机</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9500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城市道路违章取证；违停、逆行、压线、变道、机占非、掉头交通数据采集：车；图像传感器:1/1.8＂ Progressive Scan CMOS；最低照度:彩色：0.0005Lux @ (F1.5，AGC ON)；黑白：0.0001Lux @(F1.5，AGC ON) ；0 Lux with IR；分辨率及帧率:主码流  50Hz: 50fps (1920×1080) ;60Hz:60fps (1920×1080)；视频压缩:H.265/H.264/MJPEG，H.264编码支持Baseline/Main/High Profile；红外照射距离:200米；焦距:6-186mm，32倍光学；Smart图像增强:120dB超宽动态、光学透雾、强光抑制、电子防抖、Smart IR；水平及垂直范围:水平360°；垂直-20°-90°（自动翻转）；水平速度:水平键控速度：0.1°-210°/s,速度可设;水平预置点速度：280°/s；垂直速度:垂直键控速度：0.1°-150°/s,速度可设;垂直预置点速度：250°/s；电源接口:AC24V±25%，DC24V网络接口:RJ45网口，自适应10M/100M网络数据；音频输入/输出:1路音频输入；1路音频输出；报警输入/输出:7路报警输入；2路报警输出；具有RS485控制接口；CVBS输出接口:BNC头；SD卡接口:内置Micro SD卡插槽，支持Micro SD(即TF卡)/Micro SDHC/Micro SDXC卡（最大支持256G）；功耗:62W max（其中红外灯15W max，加热5W max）；工作温度和湿度:-40℃-70℃；湿度小于90%；防护等级:IP67</w:t>
            </w:r>
          </w:p>
        </w:tc>
      </w:tr>
      <w:tr>
        <w:tblPrEx>
          <w:tblCellMar>
            <w:top w:w="0" w:type="dxa"/>
            <w:left w:w="108" w:type="dxa"/>
            <w:bottom w:w="0" w:type="dxa"/>
            <w:right w:w="108" w:type="dxa"/>
          </w:tblCellMar>
        </w:tblPrEx>
        <w:trPr>
          <w:trHeight w:val="22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高清智能球机</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支持三种智能资源切换：人脸抓拍、道路监控、Smart事件；图像传感器:1/2.8＂ progressive scan CMOS；最低照度:彩色：0.0005Lux @ (F1.2，AGC ON)；黑白：0.0002Lux @(F1.2，AGC ON) ；分辨率及帧率:主码流:50Hz: 50fps (1920×1080) ;60Hz: 60fps (1920×1080)；视频压缩:H.265/H.264/MJPEG；焦距:4.8 - 153 mm, 32倍光学；Smart图像增强:120dB超宽动态、数字透雾、强光抑制、电子防抖、Smart IR；水平及垂直范围:水平360°；垂直-5°-90°(自动翻转)；水平速度:水平键控速度：0.1°-300°/s,速度可设;水平预置点速度：540°/s；垂直速度:垂直键控速度：0.1°-240°/s,速度可设;垂直预置点速度：400°/s；电源接口:AC24V；网络接口:RJ45网口，自适应10M/100M网络数据；音频输入/输出:1路音频输入；1路音频输出；报警输入/输出:7路报警输入；2路报警输出；CVBS输出接口:BNC头；具有RS485控制接口；防护等级:IP67</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枪球一体机</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15000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400万+400万智能系列交通枪球一体机</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补光灯</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1450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【白光】【28颗】LED常亮灯；色温：5000K~7000K；发光角度：40°；最佳补光距离：16米～25米；响应时间：≤20us</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球机专用支架</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适合柱杆、墙面安装，卡箍范围：Φ67-127mm材质：铝合金；外形尺寸117×194×310mm，重量2000g</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六 高清智能卡口系统</w:t>
            </w:r>
          </w:p>
        </w:tc>
      </w:tr>
      <w:tr>
        <w:tblPrEx>
          <w:tblCellMar>
            <w:top w:w="0" w:type="dxa"/>
            <w:left w:w="108" w:type="dxa"/>
            <w:bottom w:w="0" w:type="dxa"/>
            <w:right w:w="108" w:type="dxa"/>
          </w:tblCellMar>
        </w:tblPrEx>
        <w:trPr>
          <w:trHeight w:val="7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高清摄像机（人脸卡口）</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11750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像素：900万；传感器类型：1"全局曝光CMOS；最小照度：0.1Lux@(F1.2,AGC ON)；快门：1/25秒至1/100,000秒；镜头接口类型：C/CS 接口；自动光圈：DC驱动,支持P-iris控制(定制)；视频压缩标准：H.264/H.265/MJPEG；压缩输出码率：32 Kbps~16M bps；图像格式：JPEG，质量可设；最大图像尺寸：4096*2160；帧率：25fps；智能识别：卡口抓拍、车牌识别、车型识别、车身颜色识别、违章检测、车辆特征检测及人脸检测等功能；通讯接口：3个RS-485接口,1个RS-232接口；2个RJ45 10M/100M/1000M自适应以太网口；4路外部触发输入；湿度小于90%(无凝结)；电源供应：DC12V±10%</w:t>
            </w:r>
          </w:p>
        </w:tc>
      </w:tr>
      <w:tr>
        <w:tblPrEx>
          <w:tblCellMar>
            <w:top w:w="0" w:type="dxa"/>
            <w:left w:w="108" w:type="dxa"/>
            <w:bottom w:w="0" w:type="dxa"/>
            <w:right w:w="108" w:type="dxa"/>
          </w:tblCellMar>
        </w:tblPrEx>
        <w:trPr>
          <w:trHeight w:val="76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爆闪灯1</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1836</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单车道气体爆闪灯，单次闪光能量≥200J，白天可看清前排司乘人员面部特征；回电时间＜67ms，支持5V电平量触发(可选开关量)；有效补光距离16m～25m；具有脉冲保护功能，屏蔽≥3Hz持续性的脉冲信号(闪15次后进入1次/S的微闪光提示状态，复原时间为10S)；闪光次数≥2000万次；</w:t>
            </w:r>
          </w:p>
        </w:tc>
      </w:tr>
      <w:tr>
        <w:tblPrEx>
          <w:tblCellMar>
            <w:top w:w="0" w:type="dxa"/>
            <w:left w:w="108" w:type="dxa"/>
            <w:bottom w:w="0" w:type="dxa"/>
            <w:right w:w="108" w:type="dxa"/>
          </w:tblCellMar>
        </w:tblPrEx>
        <w:trPr>
          <w:trHeight w:val="133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爆闪灯2</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1920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氙气灯 回电时间：≤60ms，满足相机2张连拍需求 色温：氙气：5800K±200K 曝光指数：64GN 闪光持续时间：1/3000s 光斑覆盖范围：1车道 光照度：≤4000Lx 触发方式：干接点触发 光源：可见光 补光距离：16m~26m 闪光灯寿命：≥1000万次 RS-485接口：1个 IO接口：1个 爆闪接口：1个 日夜切换：1~6级可设置 亮度设置：1~16级亮度可设置 防眩目处理：内置光栅 抓拍补光同步：支持抓拍同步补光功能 防干扰：支持 工作湿度：10%~90%（无凝结） 防护等级：IP66</w:t>
            </w:r>
          </w:p>
        </w:tc>
      </w:tr>
      <w:tr>
        <w:tblPrEx>
          <w:tblCellMar>
            <w:top w:w="0" w:type="dxa"/>
            <w:left w:w="108" w:type="dxa"/>
            <w:bottom w:w="0" w:type="dxa"/>
            <w:right w:w="108" w:type="dxa"/>
          </w:tblCellMar>
        </w:tblPrEx>
        <w:trPr>
          <w:trHeight w:val="114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高清摄像机（环保人脸卡口）</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14100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像素：900W；分辨率：4096(H)×2160(V)；帧率：≤25fps；感光器件：1英寸全局曝光CMOS（*2）；视频压缩标准：H.265/H.264/MJPEG；图像输出格式：JPEG；通讯接口：4个RS-485接口,1个RS-232接口；2个RJ45 10M/100M/1000M自适应以太网口；触发输出：7路（光耦隔离2500VAC/5V TTL电平量），作为补光灯同步输出控制；一路继电器输出口；存储支持：支持64G TF卡，支持海康云存储协议；终端接入：支持终端服务器接入；电源供应：DC12V±10%</w:t>
            </w:r>
          </w:p>
        </w:tc>
      </w:tr>
      <w:tr>
        <w:tblPrEx>
          <w:tblCellMar>
            <w:top w:w="0" w:type="dxa"/>
            <w:left w:w="108" w:type="dxa"/>
            <w:bottom w:w="0" w:type="dxa"/>
            <w:right w:w="108" w:type="dxa"/>
          </w:tblCellMar>
        </w:tblPrEx>
        <w:trPr>
          <w:trHeight w:val="76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红外白光爆闪一体灯</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2780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模式：白天/可见光，夜间/红外光；闪光间隔：65ms；覆盖范围：单车道；最佳拍摄距离：18-28m；闪光寿命：1000万次以上；滤光片切换与控制：电平量；功能特性：白天和夜晚用光转换（白光和红外），可看清前排司乘人员面部特征，有效解决夜间光污染，支持连闪，闪间隔65ms</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七 交通诱导系统</w:t>
            </w:r>
          </w:p>
        </w:tc>
      </w:tr>
      <w:tr>
        <w:tblPrEx>
          <w:tblCellMar>
            <w:top w:w="0" w:type="dxa"/>
            <w:left w:w="108" w:type="dxa"/>
            <w:bottom w:w="0" w:type="dxa"/>
            <w:right w:w="108" w:type="dxa"/>
          </w:tblCellMar>
        </w:tblPrEx>
        <w:trPr>
          <w:trHeight w:val="76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可变情报板（双基色）</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m2</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双基色交通诱导屏，点间距P16，亮度：≥8500nits选配光探头及3G传输，包含接收卡及监控卡，不含发送卡，纯点阵屏；电源采用n+1高可靠容错的开关电源系统u机箱冷轧钢板,机箱为内外两层，有效防水 温度范围-40~60；衰减率(工作3年) ≤30%</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可变情报板（全彩）</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m2</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全彩交通诱导屏，点间距P10，纯点阵屏  ，灯珠类型：国产灯珠，不支持盲点检测；模组尺寸（长*宽）：320*160</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情报板模块</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P10全彩或P16双基色</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控制系统</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13000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交通诱导屏纯点阵屏配电控制系统，20kW，含配电箱，远程上电、防雷、交通诱导屏发送卡</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八 道路预警系统</w:t>
            </w:r>
          </w:p>
        </w:tc>
      </w:tr>
      <w:tr>
        <w:tblPrEx>
          <w:tblCellMar>
            <w:top w:w="0" w:type="dxa"/>
            <w:left w:w="108" w:type="dxa"/>
            <w:bottom w:w="0" w:type="dxa"/>
            <w:right w:w="108" w:type="dxa"/>
          </w:tblCellMar>
        </w:tblPrEx>
        <w:trPr>
          <w:trHeight w:val="76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终端一体机</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5000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内置1块3.5寸2T硬盘；支持4路IPC接入；双网卡，具有4个100M以太网接口及2个1000M网络接口；1个RS485、2个RS232、2个USB、4路报警输入\报警输出、1个eSATA接口；电源:DC12V；支持对通行车辆的信息（记录和图片）存储；支持录像存储功能；</w:t>
            </w:r>
          </w:p>
        </w:tc>
      </w:tr>
      <w:tr>
        <w:tblPrEx>
          <w:tblCellMar>
            <w:top w:w="0" w:type="dxa"/>
            <w:left w:w="108" w:type="dxa"/>
            <w:bottom w:w="0" w:type="dxa"/>
            <w:right w:w="108" w:type="dxa"/>
          </w:tblCellMar>
        </w:tblPrEx>
        <w:trPr>
          <w:trHeight w:val="95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雷视道路安全预警一体机</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13000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雷视道路安全预警一体机：77GHz毫米波雷达 &amp; 420万像素低照度摄像机；77GHz雷达测距精度：±0.5m ；支持全天候环境下工作，不受雨、雪、雾、大风、灰尘、光照等影响；支持机动车、非机动车、行人多目标的位置，距离，车道，速度、方向等信息检测；接口：1 个RJ45 10M / 100M /1000M自适应以太网口，1个RS-485接口，1路电平量输出存储支持：支持TF卡</w:t>
            </w:r>
          </w:p>
        </w:tc>
      </w:tr>
      <w:tr>
        <w:tblPrEx>
          <w:tblCellMar>
            <w:top w:w="0" w:type="dxa"/>
            <w:left w:w="108" w:type="dxa"/>
            <w:bottom w:w="0" w:type="dxa"/>
            <w:right w:w="108" w:type="dxa"/>
          </w:tblCellMar>
        </w:tblPrEx>
        <w:trPr>
          <w:trHeight w:val="133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道路安全预警屏</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4000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【五字屏】 ；包含：显示屏、抱箍（适用杆件直径160mm） ；产品尺寸：400mm×1360mm×100mm ；材质：铝板折边、表面喷塑哑光处理；像素：32×128 ；像素组成：1R1G；点间距：10mm；水平视角：80°±15°；显示内容设定：远程设定或内置存储；显示文字内容；可显示红、黄、绿三种颜色的任意文字；控制方式：10/100M以太网、自动定时控制；使用环境：户外，-20℃~ +85℃，湿度≤93%；输入电压：DC 24V；额定功率：≤20W；安装方式：横杆/立杆</w:t>
            </w:r>
          </w:p>
        </w:tc>
      </w:tr>
      <w:tr>
        <w:tblPrEx>
          <w:tblCellMar>
            <w:top w:w="0" w:type="dxa"/>
            <w:left w:w="108" w:type="dxa"/>
            <w:bottom w:w="0" w:type="dxa"/>
            <w:right w:w="108" w:type="dxa"/>
          </w:tblCellMar>
        </w:tblPrEx>
        <w:trPr>
          <w:trHeight w:val="76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无线网桥</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500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5.8G无线网桥；802.11a/n制式；物理带宽最大带宽300Mbps；实际带宽40Mbps（最大支持10路2~4Mbps码流摄像机传输）；定向天线；距离3公里；无线网桥需成对使用；弯道场景，出现障碍物，网桥无法直传，可通过增加一组网桥作为中继(或者在转弯处使用道路警示牌进行反射)绕过障碍物</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九 速度显示系统</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速度显示屏</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2380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3位数字显示，最大显示值199、白天直线可视距离大于200M、夜间直线可视距离大于1200M、规格：720*480*100(mm)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雷达侦测模块</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个</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5300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测速范围2km/h～400km/h、测速距离100－150米、测速精度  0km/h～－4km/h</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系统控制板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个</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1650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可以设置5km/h~150km/h，超速时显示红色数字，安全速度显示绿色数字</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太阳能供电系统</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1650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太阳能板、太阳能专用电池、太阳能控制器</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十 中心机房部分</w:t>
            </w:r>
          </w:p>
        </w:tc>
      </w:tr>
      <w:tr>
        <w:tblPrEx>
          <w:tblCellMar>
            <w:top w:w="0" w:type="dxa"/>
            <w:left w:w="108" w:type="dxa"/>
            <w:bottom w:w="0" w:type="dxa"/>
            <w:right w:w="108" w:type="dxa"/>
          </w:tblCellMar>
        </w:tblPrEx>
        <w:trPr>
          <w:trHeight w:val="76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云存储</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53100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8U机架式48盘位；64位多核处理器；12GB缓存；冗余电源；支持SATA硬盘；2个千兆网口；1个系统SSD盘。支持视音频、图片、直接写入，支持视频高速预览、回放、下载，支持云内容灾备份，支持一体化运维，支持GB/T28181-2011、Onvif、RTSP、H265、SVAC等标准视频协议。</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云存储节点</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26460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64位CPU，核数≧12/32GB ECC内存/3颗SSD硬盘/热插拔/以太网口1Gx2/冗余电源/2U，注：操作系统：CentOS7 64位</w:t>
            </w:r>
          </w:p>
        </w:tc>
      </w:tr>
      <w:tr>
        <w:tblPrEx>
          <w:tblCellMar>
            <w:top w:w="0" w:type="dxa"/>
            <w:left w:w="108" w:type="dxa"/>
            <w:bottom w:w="0" w:type="dxa"/>
            <w:right w:w="108" w:type="dxa"/>
          </w:tblCellMar>
        </w:tblPrEx>
        <w:trPr>
          <w:trHeight w:val="95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云存储基线软件</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70000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功能说明：集成容量虚拟化管理功能、集群化管理功能；负责视频录像资源分配、计划管理、索引管理，负载均衡调度；提供数据查询、回放、下载、锁定等功能。支持录像计划从前端取流直存到虚拟化容量空间，提供视频、图片的统一存储。 模块列表：1)视频录像基础模块；2)图片存储基础模块3）国标模块；4）抽帧转存模块；5）Smart前端支持；</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专用PDU</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260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8位10A</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服务器机柜</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4500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42U</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专用数据处理器</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台</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45000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E5-2640 V3(8核2.6GHz)×2/128GB DDR4×4/300GB 10K SAS×3/SAS3108_2G/热插拔/DVD/1Ge×2/冗余电源/导轨/2U</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专用磁盘</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1650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300GB 10K SAS</w:t>
            </w:r>
          </w:p>
        </w:tc>
      </w:tr>
      <w:tr>
        <w:tblPrEx>
          <w:tblCellMar>
            <w:top w:w="0" w:type="dxa"/>
            <w:left w:w="108" w:type="dxa"/>
            <w:bottom w:w="0" w:type="dxa"/>
            <w:right w:w="108" w:type="dxa"/>
          </w:tblCellMar>
        </w:tblPrEx>
        <w:trPr>
          <w:trHeight w:val="30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专用磁盘</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块</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1780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6T,7200RPM,企业级</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9</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专用磁盘</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2T,7200RPM,企业级</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10</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专用磁盘</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1500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4T,7200RPM,企业级</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灯泡</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只</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120/100W  微创大屏</w:t>
            </w:r>
          </w:p>
        </w:tc>
      </w:tr>
      <w:tr>
        <w:tblPrEx>
          <w:tblCellMar>
            <w:top w:w="0" w:type="dxa"/>
            <w:left w:w="108" w:type="dxa"/>
            <w:bottom w:w="0" w:type="dxa"/>
            <w:right w:w="108" w:type="dxa"/>
          </w:tblCellMar>
        </w:tblPrEx>
        <w:trPr>
          <w:trHeight w:val="30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固态硬盘</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块</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680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固态硬盘240g</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内存条</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529</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8G ddr3 1600</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十一 管、线、井部分</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电缆线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26</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KVV16*1</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电缆线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17</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KVV11*1</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电缆线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KVV6*1</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电缆线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RVV4*1</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电力电缆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16</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YJV2*4</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电力电缆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YJV2*6</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电力电缆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27</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YJV3*6</w:t>
            </w:r>
          </w:p>
        </w:tc>
      </w:tr>
      <w:tr>
        <w:tblPrEx>
          <w:tblCellMar>
            <w:top w:w="0" w:type="dxa"/>
            <w:left w:w="108" w:type="dxa"/>
            <w:bottom w:w="0" w:type="dxa"/>
            <w:right w:w="108" w:type="dxa"/>
          </w:tblCellMar>
        </w:tblPrEx>
        <w:trPr>
          <w:trHeight w:val="30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网线</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室外防水</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9</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电源线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RVV2*1.5</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10</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电源线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RVV3*1.5</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控制线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RVSP2*0.75</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视频线</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SYV75-5</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单模光纤</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四芯</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光纤终端盒</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定制</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窨井</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只</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1000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混凝土材料或铸铁材料500mm*500mm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窨井</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只</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730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复合材料500mm*500mm（加厚）</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17</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窨井</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635</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复合材料450mm*450mm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18</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窨井</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430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复合材料300mm*250mm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19</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PE管</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35</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￠110mm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20</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PE管</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￠50mm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PE管</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24</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￠75mm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路面开挖</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190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城区硬化道路开挖</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路面开挖</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490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国、省道路口开挖</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钢管敷设</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860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￠89*3mm镀锌管</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顶管</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米</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PE管￠110</w:t>
            </w:r>
          </w:p>
        </w:tc>
      </w:tr>
      <w:tr>
        <w:tblPrEx>
          <w:tblCellMar>
            <w:top w:w="0" w:type="dxa"/>
            <w:left w:w="108" w:type="dxa"/>
            <w:bottom w:w="0" w:type="dxa"/>
            <w:right w:w="108" w:type="dxa"/>
          </w:tblCellMar>
        </w:tblPrEx>
        <w:trPr>
          <w:trHeight w:val="300" w:hRule="atLeast"/>
          <w:jc w:val="center"/>
        </w:trPr>
        <w:tc>
          <w:tcPr>
            <w:tcW w:w="942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十二 杆件、机柜等</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可变分道牌杆件</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31900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￠325mm×8500mm×10mm；横臂：2-￠140mm×10000mm×6mm</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信号灯杆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16020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￠273mmF主杆×7800mm×8mm；横臂：￠140mm×10450mm×5mm；121mm×121mm×10000×5mm</w:t>
            </w:r>
          </w:p>
        </w:tc>
      </w:tr>
      <w:tr>
        <w:tblPrEx>
          <w:tblCellMar>
            <w:top w:w="0" w:type="dxa"/>
            <w:left w:w="108" w:type="dxa"/>
            <w:bottom w:w="0" w:type="dxa"/>
            <w:right w:w="108" w:type="dxa"/>
          </w:tblCellMar>
        </w:tblPrEx>
        <w:trPr>
          <w:trHeight w:val="380"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信号灯杆</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15550</w:t>
            </w:r>
          </w:p>
        </w:tc>
        <w:tc>
          <w:tcPr>
            <w:tcW w:w="4459"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￠273mmF主杆×7800mm×8mm；横臂：￠140mm×8450mm×4mm；121mm×121mm×8000×4mm</w:t>
            </w:r>
          </w:p>
        </w:tc>
      </w:tr>
      <w:tr>
        <w:tblPrEx>
          <w:tblCellMar>
            <w:top w:w="0" w:type="dxa"/>
            <w:left w:w="108" w:type="dxa"/>
            <w:bottom w:w="0" w:type="dxa"/>
            <w:right w:w="108" w:type="dxa"/>
          </w:tblCellMar>
        </w:tblPrEx>
        <w:trPr>
          <w:trHeight w:val="38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信号灯杆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14020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￠273mmF主杆×7800mm×8mm；横臂：￠140mm×6450mm×5mm；121mm×121mm×6000×4mm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信号灯杆（直立）</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4350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￠165mm×6mm×5000mm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信号灯杆（直立）</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2460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￠114m×4mm×5000mm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人行横道灯杆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1070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￠89mm×4mm×3500mm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8</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八角杆型监控杆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12825</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（240mm-200mm）*6mm*6500mm/横臂（160mm-90mm）*4mm*（4000-6000）mm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9</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八角杆型监控杆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16416</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（240mm-200mm）*6mm*6500mm/横臂（160mm-90mm）*4mm*（7000-8000）mm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10</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八角杆型监控杆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16929</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（240mm-200mm）*6mm*6500mm/横臂（200mm-90mm）*4mm*（9000-10000）mm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八角杆型监控杆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17739</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（320mm-260mm）*8mm*6500mm/横臂（240mm-90mm）*5mm*12000mm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监控杆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1100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￠219*6mm*6500mm/横臂￠114*4mm*6000mm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13</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监控杆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6600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￠133*6mm*6500mm/横臂￠89*4mm*4000mm</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14</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高空球机杆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1840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根据实际情况定制</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15</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抱杆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500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￠76*3*1500</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16</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抱杆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700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￠76*3*2500</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17</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抱杆支架</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410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∠40*4*1500</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18</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情报板立杆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27450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立杆￠377*8700*10，横臂2*□250*150*10*1220</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19</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情报板立杆</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33520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立杆￠402*9600*12，横臂3*□250*150*10*1220</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20</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6平方框架</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12630</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2*□250*150*8*3510；2*□250*150*8*1930</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21</w:t>
            </w:r>
          </w:p>
        </w:tc>
        <w:tc>
          <w:tcPr>
            <w:tcW w:w="1985"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12平方框架</w:t>
            </w:r>
          </w:p>
        </w:tc>
        <w:tc>
          <w:tcPr>
            <w:tcW w:w="992"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套</w:t>
            </w:r>
          </w:p>
        </w:tc>
        <w:tc>
          <w:tcPr>
            <w:tcW w:w="1276"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21345</w:t>
            </w:r>
          </w:p>
        </w:tc>
        <w:tc>
          <w:tcPr>
            <w:tcW w:w="4459" w:type="dxa"/>
            <w:tcBorders>
              <w:top w:val="nil"/>
              <w:left w:val="nil"/>
              <w:bottom w:val="single" w:color="auto" w:sz="4" w:space="0"/>
              <w:right w:val="single" w:color="auto" w:sz="4" w:space="0"/>
            </w:tcBorders>
            <w:shd w:val="clear" w:color="000000" w:fill="FFFFFF"/>
            <w:vAlign w:val="center"/>
          </w:tcPr>
          <w:p>
            <w:pPr>
              <w:spacing w:line="360" w:lineRule="auto"/>
              <w:rPr>
                <w:rFonts w:ascii="宋体" w:hAnsi="宋体" w:cs="宋体"/>
                <w:color w:val="auto"/>
                <w:sz w:val="21"/>
                <w:szCs w:val="21"/>
              </w:rPr>
            </w:pPr>
            <w:r>
              <w:rPr>
                <w:rFonts w:hint="eastAsia" w:ascii="宋体" w:hAnsi="宋体" w:cs="宋体"/>
                <w:color w:val="auto"/>
                <w:sz w:val="21"/>
                <w:szCs w:val="21"/>
              </w:rPr>
              <w:t>2*□250*150*10*4860；2*□250*150*8*3050</w:t>
            </w:r>
          </w:p>
        </w:tc>
      </w:tr>
    </w:tbl>
    <w:p>
      <w:pPr>
        <w:keepNext w:val="0"/>
        <w:keepLines w:val="0"/>
        <w:pageBreakBefore w:val="0"/>
        <w:widowControl w:val="0"/>
        <w:kinsoku/>
        <w:wordWrap/>
        <w:overflowPunct/>
        <w:topLinePunct w:val="0"/>
        <w:autoSpaceDE/>
        <w:autoSpaceDN/>
        <w:bidi w:val="0"/>
        <w:adjustRightInd w:val="0"/>
        <w:snapToGrid/>
        <w:spacing w:line="360" w:lineRule="auto"/>
        <w:ind w:firstLine="560"/>
        <w:textAlignment w:val="auto"/>
        <w:rPr>
          <w:rFonts w:ascii="宋体" w:hAnsi="宋体" w:cs="宋体"/>
          <w:color w:val="auto"/>
          <w:sz w:val="24"/>
          <w:szCs w:val="24"/>
        </w:rPr>
      </w:pPr>
      <w:r>
        <w:rPr>
          <w:rFonts w:hint="eastAsia" w:ascii="宋体" w:hAnsi="宋体" w:cs="宋体"/>
          <w:color w:val="auto"/>
          <w:sz w:val="24"/>
          <w:szCs w:val="24"/>
        </w:rPr>
        <w:t>注：</w:t>
      </w:r>
      <w:r>
        <w:rPr>
          <w:rFonts w:hint="eastAsia" w:ascii="宋体" w:hAnsi="宋体" w:cs="宋体"/>
          <w:b/>
          <w:color w:val="auto"/>
          <w:sz w:val="24"/>
          <w:szCs w:val="24"/>
        </w:rPr>
        <w:t>采购需求（包含但不仅限于以下内容，产品式样颜色需按照甲方要求。</w:t>
      </w:r>
      <w:r>
        <w:rPr>
          <w:rFonts w:hint="eastAsia"/>
          <w:b/>
          <w:color w:val="auto"/>
          <w:sz w:val="24"/>
          <w:szCs w:val="24"/>
        </w:rPr>
        <w:t>未包含的项目，按照市场价经</w:t>
      </w:r>
      <w:r>
        <w:rPr>
          <w:rFonts w:hint="eastAsia" w:ascii="宋体" w:hAnsi="宋体" w:cs="宋体"/>
          <w:color w:val="auto"/>
          <w:sz w:val="24"/>
          <w:szCs w:val="24"/>
        </w:rPr>
        <w:t>采购人审核确认后的价格支付</w:t>
      </w:r>
      <w:r>
        <w:rPr>
          <w:rFonts w:hint="eastAsia" w:ascii="宋体" w:hAnsi="宋体" w:cs="宋体"/>
          <w:b/>
          <w:color w:val="auto"/>
          <w:sz w:val="24"/>
          <w:szCs w:val="24"/>
        </w:rPr>
        <w:t>）</w:t>
      </w:r>
      <w:r>
        <w:rPr>
          <w:rFonts w:hint="eastAsia" w:ascii="宋体" w:hAnsi="宋体" w:cs="宋体"/>
          <w:color w:val="auto"/>
          <w:sz w:val="24"/>
          <w:szCs w:val="24"/>
        </w:rPr>
        <w:t>上述清单中，招标人根据以往实际的使用情况，对部分设备规定了可选择品牌范围，希望投标人能从推荐品牌范围中进行选择投标，但也欢迎投标人根据自身的实施经验选择品牌和技术要求相当并符合招标需求的其他品牌参加投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color w:val="auto"/>
          <w:sz w:val="24"/>
          <w:szCs w:val="24"/>
        </w:rPr>
      </w:pPr>
      <w:r>
        <w:rPr>
          <w:rFonts w:hint="eastAsia" w:ascii="宋体" w:hAnsi="宋体" w:cs="宋体"/>
          <w:b/>
          <w:color w:val="auto"/>
          <w:sz w:val="24"/>
          <w:szCs w:val="24"/>
        </w:rPr>
        <w:t>五、商务要求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napToGrid w:val="0"/>
          <w:color w:val="auto"/>
          <w:kern w:val="0"/>
          <w:sz w:val="24"/>
          <w:szCs w:val="24"/>
        </w:rPr>
      </w:pPr>
      <w:r>
        <w:rPr>
          <w:rFonts w:hint="eastAsia" w:ascii="宋体" w:hAnsi="宋体" w:cs="宋体"/>
          <w:snapToGrid w:val="0"/>
          <w:color w:val="auto"/>
          <w:kern w:val="0"/>
          <w:sz w:val="24"/>
          <w:szCs w:val="24"/>
        </w:rPr>
        <w:t>1、服务期限：壹年（以合同签订时间为准）。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napToGrid w:val="0"/>
          <w:color w:val="auto"/>
          <w:kern w:val="0"/>
          <w:sz w:val="24"/>
          <w:szCs w:val="24"/>
        </w:rPr>
      </w:pPr>
      <w:r>
        <w:rPr>
          <w:rFonts w:hint="eastAsia" w:ascii="宋体" w:hAnsi="宋体" w:cs="宋体"/>
          <w:snapToGrid w:val="0"/>
          <w:color w:val="auto"/>
          <w:kern w:val="0"/>
          <w:sz w:val="24"/>
          <w:szCs w:val="24"/>
        </w:rPr>
        <w:t>2、质保期限：壹年。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napToGrid w:val="0"/>
          <w:color w:val="auto"/>
          <w:kern w:val="0"/>
          <w:sz w:val="24"/>
          <w:szCs w:val="24"/>
        </w:rPr>
      </w:pPr>
      <w:r>
        <w:rPr>
          <w:rFonts w:hint="eastAsia" w:ascii="宋体" w:hAnsi="宋体" w:cs="宋体"/>
          <w:snapToGrid w:val="0"/>
          <w:color w:val="auto"/>
          <w:kern w:val="0"/>
          <w:sz w:val="24"/>
          <w:szCs w:val="24"/>
        </w:rPr>
        <w:t>3、验收：项目施工完成后，由招标人组织专业人员验收。验收以国家行业标准为基础，结合本次招标文件和合同为依据进行。如不符要求，一律返工，直到符合要求为止，否则拒付款项，并扣相应罚金。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napToGrid w:val="0"/>
          <w:color w:val="auto"/>
          <w:kern w:val="0"/>
          <w:sz w:val="24"/>
          <w:szCs w:val="24"/>
        </w:rPr>
      </w:pPr>
      <w:r>
        <w:rPr>
          <w:rFonts w:hint="eastAsia" w:ascii="宋体" w:hAnsi="宋体" w:cs="宋体"/>
          <w:snapToGrid w:val="0"/>
          <w:color w:val="auto"/>
          <w:kern w:val="0"/>
          <w:sz w:val="24"/>
          <w:szCs w:val="24"/>
        </w:rPr>
        <w:t>4、售后技术服务要求：投标人对其提供的产品，必须承诺保修，在保修期内</w:t>
      </w:r>
      <w:r>
        <w:rPr>
          <w:rFonts w:hint="eastAsia" w:ascii="宋体" w:hAnsi="宋体" w:cs="宋体"/>
          <w:color w:val="auto"/>
          <w:sz w:val="24"/>
        </w:rPr>
        <w:t>要求中标人在接到采购人的电话后1小时内响应,遇重大隐患影响交通安全的接交警大队通知后2小时以内到场，一般隐患48小时内修复，更换在3个工作日内完成,在设备质量保证期内出现的质量问题,中标人需负责包修、包退、包换。</w:t>
      </w:r>
      <w:r>
        <w:rPr>
          <w:rFonts w:hint="eastAsia" w:ascii="宋体" w:hAnsi="宋体" w:cs="宋体"/>
          <w:snapToGrid w:val="0"/>
          <w:color w:val="auto"/>
          <w:kern w:val="0"/>
          <w:sz w:val="24"/>
          <w:szCs w:val="24"/>
        </w:rPr>
        <w:t>如无法短期内解决应提供补救措施以保证招标人正常工作需求。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szCs w:val="24"/>
        </w:rPr>
        <w:t>5、付款方式：签订合同后预付合同总价款的50%，每季度按实际完成工程量结算一次（扣除预付款）。</w:t>
      </w:r>
      <w:r>
        <w:rPr>
          <w:rFonts w:hint="eastAsia" w:ascii="宋体" w:hAnsi="宋体" w:cs="宋体"/>
          <w:snapToGrid w:val="0"/>
          <w:color w:val="auto"/>
          <w:kern w:val="0"/>
          <w:sz w:val="24"/>
          <w:szCs w:val="24"/>
        </w:rPr>
        <w:t>计算方式：结算金额按实际完成工程量*控制单价*（1-让利幅度）进行结算。</w:t>
      </w:r>
      <w:r>
        <w:rPr>
          <w:rFonts w:hint="eastAsia" w:ascii="宋体" w:hAnsi="宋体" w:cs="宋体"/>
          <w:color w:val="auto"/>
          <w:sz w:val="24"/>
          <w:szCs w:val="24"/>
        </w:rPr>
        <w:t>清单中未包含的项目，按市场</w:t>
      </w:r>
      <w:r>
        <w:rPr>
          <w:rFonts w:hint="eastAsia" w:ascii="宋体" w:hAnsi="宋体" w:cs="宋体"/>
          <w:snapToGrid w:val="0"/>
          <w:color w:val="auto"/>
          <w:kern w:val="0"/>
          <w:sz w:val="24"/>
          <w:szCs w:val="24"/>
        </w:rPr>
        <w:t>同类产品按市场价*（1-让利幅度）计算，市场单价为</w:t>
      </w:r>
      <w:r>
        <w:rPr>
          <w:rFonts w:hint="eastAsia" w:ascii="宋体" w:hAnsi="宋体" w:cs="宋体"/>
          <w:color w:val="auto"/>
          <w:sz w:val="24"/>
          <w:szCs w:val="24"/>
        </w:rPr>
        <w:t>业主审核通过后的价格</w:t>
      </w:r>
      <w:r>
        <w:rPr>
          <w:rFonts w:hint="eastAsia" w:ascii="宋体" w:hAnsi="宋体" w:cs="宋体"/>
          <w:snapToGrid w:val="0"/>
          <w:color w:val="auto"/>
          <w:kern w:val="0"/>
          <w:sz w:val="24"/>
          <w:szCs w:val="24"/>
        </w:rPr>
        <w:t>。</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b/>
          <w:color w:val="auto"/>
          <w:sz w:val="36"/>
          <w:szCs w:val="36"/>
        </w:rPr>
      </w:pPr>
      <w:r>
        <w:rPr>
          <w:rFonts w:hint="eastAsia" w:ascii="宋体" w:hAnsi="宋体" w:cs="宋体"/>
          <w:color w:val="auto"/>
          <w:sz w:val="24"/>
        </w:rPr>
        <w:br w:type="page"/>
      </w:r>
    </w:p>
    <w:p>
      <w:pPr>
        <w:snapToGrid w:val="0"/>
        <w:spacing w:line="360" w:lineRule="auto"/>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27" w:name="_Toc184312138"/>
      <w:bookmarkEnd w:id="27"/>
      <w:bookmarkStart w:id="28" w:name="_Toc184310299"/>
      <w:bookmarkEnd w:id="28"/>
      <w:bookmarkStart w:id="29" w:name="_Toc184314470"/>
      <w:bookmarkEnd w:id="29"/>
      <w:bookmarkStart w:id="30" w:name="_Toc184312105"/>
      <w:bookmarkEnd w:id="30"/>
      <w:bookmarkStart w:id="31" w:name="_Toc184314440"/>
      <w:bookmarkEnd w:id="31"/>
      <w:bookmarkStart w:id="32" w:name="_Toc184310331"/>
      <w:bookmarkEnd w:id="32"/>
      <w:bookmarkStart w:id="33" w:name="_Toc184312122"/>
      <w:bookmarkEnd w:id="33"/>
      <w:bookmarkStart w:id="34" w:name="_Toc184312082"/>
      <w:bookmarkEnd w:id="34"/>
      <w:bookmarkStart w:id="35" w:name="_Toc184308039"/>
      <w:bookmarkEnd w:id="35"/>
      <w:bookmarkStart w:id="36" w:name="_Toc184312070"/>
      <w:bookmarkEnd w:id="36"/>
      <w:bookmarkStart w:id="37" w:name="_Toc184313289"/>
      <w:bookmarkEnd w:id="37"/>
      <w:bookmarkStart w:id="38" w:name="_Toc184308052"/>
      <w:bookmarkEnd w:id="38"/>
      <w:bookmarkStart w:id="39" w:name="_Toc184308042"/>
      <w:bookmarkEnd w:id="39"/>
      <w:bookmarkStart w:id="40" w:name="_Toc184313305"/>
      <w:bookmarkEnd w:id="40"/>
      <w:bookmarkStart w:id="41" w:name="_Toc184312134"/>
      <w:bookmarkEnd w:id="41"/>
      <w:bookmarkStart w:id="42" w:name="_Toc184313288"/>
      <w:bookmarkEnd w:id="42"/>
      <w:bookmarkStart w:id="43" w:name="_Toc184308046"/>
      <w:bookmarkEnd w:id="43"/>
      <w:bookmarkStart w:id="44" w:name="_Toc184314443"/>
      <w:bookmarkEnd w:id="44"/>
      <w:bookmarkStart w:id="45" w:name="_Toc184313270"/>
      <w:bookmarkEnd w:id="45"/>
      <w:bookmarkStart w:id="46" w:name="_Toc184310306"/>
      <w:bookmarkEnd w:id="46"/>
      <w:bookmarkStart w:id="47" w:name="_Toc184314429"/>
      <w:bookmarkEnd w:id="47"/>
      <w:bookmarkStart w:id="48" w:name="_Toc184308061"/>
      <w:bookmarkEnd w:id="48"/>
      <w:bookmarkStart w:id="49" w:name="_Toc184312095"/>
      <w:bookmarkEnd w:id="49"/>
      <w:bookmarkStart w:id="50" w:name="_Toc184308045"/>
      <w:bookmarkEnd w:id="50"/>
      <w:bookmarkStart w:id="51" w:name="_Toc184314436"/>
      <w:bookmarkEnd w:id="51"/>
      <w:bookmarkStart w:id="52" w:name="_Toc184314450"/>
      <w:bookmarkEnd w:id="52"/>
      <w:bookmarkStart w:id="53" w:name="_Toc184310284"/>
      <w:bookmarkEnd w:id="53"/>
      <w:bookmarkStart w:id="54" w:name="_Toc184313271"/>
      <w:bookmarkEnd w:id="54"/>
      <w:bookmarkStart w:id="55" w:name="_Toc184310305"/>
      <w:bookmarkEnd w:id="55"/>
      <w:bookmarkStart w:id="56" w:name="_Toc184308098"/>
      <w:bookmarkEnd w:id="56"/>
      <w:bookmarkStart w:id="57" w:name="_Toc184313276"/>
      <w:bookmarkEnd w:id="57"/>
      <w:bookmarkStart w:id="58" w:name="_Toc184310294"/>
      <w:bookmarkEnd w:id="58"/>
      <w:bookmarkStart w:id="59" w:name="_Toc184308048"/>
      <w:bookmarkEnd w:id="59"/>
      <w:bookmarkStart w:id="60" w:name="_Toc184308096"/>
      <w:bookmarkEnd w:id="60"/>
      <w:bookmarkStart w:id="61" w:name="_Toc184313268"/>
      <w:bookmarkEnd w:id="61"/>
      <w:bookmarkStart w:id="62" w:name="_Toc184308106"/>
      <w:bookmarkEnd w:id="62"/>
      <w:bookmarkStart w:id="63" w:name="_Toc184313290"/>
      <w:bookmarkEnd w:id="63"/>
      <w:bookmarkStart w:id="64" w:name="_Toc184308073"/>
      <w:bookmarkEnd w:id="64"/>
      <w:bookmarkStart w:id="65" w:name="_Toc184312096"/>
      <w:bookmarkEnd w:id="65"/>
      <w:bookmarkStart w:id="66" w:name="_Toc184310313"/>
      <w:bookmarkEnd w:id="66"/>
      <w:bookmarkStart w:id="67" w:name="_Toc184314424"/>
      <w:bookmarkEnd w:id="67"/>
      <w:bookmarkStart w:id="68" w:name="_Toc184308097"/>
      <w:bookmarkEnd w:id="68"/>
      <w:bookmarkStart w:id="69" w:name="_Toc184314456"/>
      <w:bookmarkEnd w:id="69"/>
      <w:bookmarkStart w:id="70" w:name="_Toc184314477"/>
      <w:bookmarkEnd w:id="70"/>
      <w:bookmarkStart w:id="71" w:name="_Toc184313284"/>
      <w:bookmarkEnd w:id="71"/>
      <w:bookmarkStart w:id="72" w:name="_Toc184308105"/>
      <w:bookmarkEnd w:id="72"/>
      <w:bookmarkStart w:id="73" w:name="_Toc184308054"/>
      <w:bookmarkEnd w:id="73"/>
      <w:bookmarkStart w:id="74" w:name="_Toc184310303"/>
      <w:bookmarkEnd w:id="74"/>
      <w:bookmarkStart w:id="75" w:name="_Toc184308055"/>
      <w:bookmarkEnd w:id="75"/>
      <w:bookmarkStart w:id="76" w:name="_Toc184310289"/>
      <w:bookmarkEnd w:id="76"/>
      <w:bookmarkStart w:id="77" w:name="_Toc184308107"/>
      <w:bookmarkEnd w:id="77"/>
      <w:bookmarkStart w:id="78" w:name="_Toc184312124"/>
      <w:bookmarkEnd w:id="78"/>
      <w:bookmarkStart w:id="79" w:name="_Toc184312119"/>
      <w:bookmarkEnd w:id="79"/>
      <w:bookmarkStart w:id="80" w:name="_Toc184310318"/>
      <w:bookmarkEnd w:id="80"/>
      <w:bookmarkStart w:id="81" w:name="_Toc184308050"/>
      <w:bookmarkEnd w:id="81"/>
      <w:bookmarkStart w:id="82" w:name="_Toc184313303"/>
      <w:bookmarkEnd w:id="82"/>
      <w:bookmarkStart w:id="83" w:name="_Toc184308079"/>
      <w:bookmarkEnd w:id="83"/>
      <w:bookmarkStart w:id="84" w:name="_Toc184313291"/>
      <w:bookmarkEnd w:id="84"/>
      <w:bookmarkStart w:id="85" w:name="_Toc184312098"/>
      <w:bookmarkEnd w:id="85"/>
      <w:bookmarkStart w:id="86" w:name="_Toc184310329"/>
      <w:bookmarkEnd w:id="86"/>
      <w:bookmarkStart w:id="87" w:name="_Toc184312091"/>
      <w:bookmarkEnd w:id="87"/>
      <w:bookmarkStart w:id="88" w:name="_Toc184314422"/>
      <w:bookmarkEnd w:id="88"/>
      <w:bookmarkStart w:id="89" w:name="_Toc184310343"/>
      <w:bookmarkEnd w:id="89"/>
      <w:bookmarkStart w:id="90" w:name="_Toc184310297"/>
      <w:bookmarkEnd w:id="90"/>
      <w:bookmarkStart w:id="91" w:name="_Toc184312071"/>
      <w:bookmarkEnd w:id="91"/>
      <w:bookmarkStart w:id="92" w:name="_Toc184312069"/>
      <w:bookmarkEnd w:id="92"/>
      <w:bookmarkStart w:id="93" w:name="_Toc184312115"/>
      <w:bookmarkEnd w:id="93"/>
      <w:bookmarkStart w:id="94" w:name="_Toc184313266"/>
      <w:bookmarkEnd w:id="94"/>
      <w:bookmarkStart w:id="95" w:name="_Toc184312121"/>
      <w:bookmarkEnd w:id="95"/>
      <w:bookmarkStart w:id="96" w:name="_Toc184312067"/>
      <w:bookmarkEnd w:id="96"/>
      <w:bookmarkStart w:id="97" w:name="_Toc184308083"/>
      <w:bookmarkEnd w:id="97"/>
      <w:bookmarkStart w:id="98" w:name="_Toc184312077"/>
      <w:bookmarkEnd w:id="98"/>
      <w:bookmarkStart w:id="99" w:name="_Toc184312128"/>
      <w:bookmarkEnd w:id="99"/>
      <w:bookmarkStart w:id="100" w:name="_Toc184308071"/>
      <w:bookmarkEnd w:id="100"/>
      <w:bookmarkStart w:id="101" w:name="_Toc184314428"/>
      <w:bookmarkEnd w:id="101"/>
      <w:bookmarkStart w:id="102" w:name="_Toc184312078"/>
      <w:bookmarkEnd w:id="102"/>
      <w:bookmarkStart w:id="103" w:name="_Toc184314473"/>
      <w:bookmarkEnd w:id="103"/>
      <w:bookmarkStart w:id="104" w:name="_Toc184313282"/>
      <w:bookmarkEnd w:id="104"/>
      <w:bookmarkStart w:id="105" w:name="_Toc184310330"/>
      <w:bookmarkEnd w:id="105"/>
      <w:bookmarkStart w:id="106" w:name="_Toc184308044"/>
      <w:bookmarkEnd w:id="106"/>
      <w:bookmarkStart w:id="107" w:name="_Toc184314411"/>
      <w:bookmarkEnd w:id="107"/>
      <w:bookmarkStart w:id="108" w:name="_Toc184310327"/>
      <w:bookmarkEnd w:id="108"/>
      <w:bookmarkStart w:id="109" w:name="_Toc184314462"/>
      <w:bookmarkEnd w:id="109"/>
      <w:bookmarkStart w:id="110" w:name="_Toc184312107"/>
      <w:bookmarkEnd w:id="110"/>
      <w:bookmarkStart w:id="111" w:name="_Toc184310286"/>
      <w:bookmarkEnd w:id="111"/>
      <w:bookmarkStart w:id="112" w:name="_Toc184314459"/>
      <w:bookmarkEnd w:id="112"/>
      <w:bookmarkStart w:id="113" w:name="_Toc184308056"/>
      <w:bookmarkEnd w:id="113"/>
      <w:bookmarkStart w:id="114" w:name="_Toc184313239"/>
      <w:bookmarkEnd w:id="114"/>
      <w:bookmarkStart w:id="115" w:name="_Toc184308080"/>
      <w:bookmarkEnd w:id="115"/>
      <w:bookmarkStart w:id="116" w:name="_Toc184313274"/>
      <w:bookmarkEnd w:id="116"/>
      <w:bookmarkStart w:id="117" w:name="_Toc184313242"/>
      <w:bookmarkEnd w:id="117"/>
      <w:bookmarkStart w:id="118" w:name="_Toc184313297"/>
      <w:bookmarkEnd w:id="118"/>
      <w:bookmarkStart w:id="119" w:name="_Toc184314469"/>
      <w:bookmarkEnd w:id="119"/>
      <w:bookmarkStart w:id="120" w:name="_Toc184312080"/>
      <w:bookmarkEnd w:id="120"/>
      <w:bookmarkStart w:id="121" w:name="_Toc184308074"/>
      <w:bookmarkEnd w:id="121"/>
      <w:bookmarkStart w:id="122" w:name="_Toc184308049"/>
      <w:bookmarkEnd w:id="122"/>
      <w:bookmarkStart w:id="123" w:name="_Toc184308037"/>
      <w:bookmarkEnd w:id="123"/>
      <w:bookmarkStart w:id="124" w:name="_Toc184310332"/>
      <w:bookmarkEnd w:id="124"/>
      <w:bookmarkStart w:id="125" w:name="_Toc184312114"/>
      <w:bookmarkEnd w:id="125"/>
      <w:bookmarkStart w:id="126" w:name="_Toc184313280"/>
      <w:bookmarkEnd w:id="126"/>
      <w:bookmarkStart w:id="127" w:name="_Toc184308088"/>
      <w:bookmarkEnd w:id="127"/>
      <w:bookmarkStart w:id="128" w:name="_Toc184314446"/>
      <w:bookmarkEnd w:id="128"/>
      <w:bookmarkStart w:id="129" w:name="_Toc184310302"/>
      <w:bookmarkEnd w:id="129"/>
      <w:bookmarkStart w:id="130" w:name="_Toc184312137"/>
      <w:bookmarkEnd w:id="130"/>
      <w:bookmarkStart w:id="131" w:name="_Toc184310296"/>
      <w:bookmarkEnd w:id="131"/>
      <w:bookmarkStart w:id="132" w:name="_Toc184308072"/>
      <w:bookmarkEnd w:id="132"/>
      <w:bookmarkStart w:id="133" w:name="_Toc184308092"/>
      <w:bookmarkEnd w:id="133"/>
      <w:bookmarkStart w:id="134" w:name="_Toc184314432"/>
      <w:bookmarkEnd w:id="134"/>
      <w:bookmarkStart w:id="135" w:name="_Toc184308053"/>
      <w:bookmarkEnd w:id="135"/>
      <w:bookmarkStart w:id="136" w:name="_Toc184312104"/>
      <w:bookmarkEnd w:id="136"/>
      <w:bookmarkStart w:id="137" w:name="_Toc184308102"/>
      <w:bookmarkEnd w:id="137"/>
      <w:bookmarkStart w:id="138" w:name="_Toc184310304"/>
      <w:bookmarkEnd w:id="138"/>
      <w:bookmarkStart w:id="139" w:name="_Toc184314439"/>
      <w:bookmarkEnd w:id="139"/>
      <w:bookmarkStart w:id="140" w:name="_Toc184314415"/>
      <w:bookmarkEnd w:id="140"/>
      <w:bookmarkStart w:id="141" w:name="_Toc184314479"/>
      <w:bookmarkEnd w:id="141"/>
      <w:bookmarkStart w:id="142" w:name="_Toc184312072"/>
      <w:bookmarkEnd w:id="142"/>
      <w:bookmarkStart w:id="143" w:name="_Toc184313261"/>
      <w:bookmarkEnd w:id="143"/>
      <w:bookmarkStart w:id="144" w:name="_Toc184310282"/>
      <w:bookmarkEnd w:id="144"/>
      <w:bookmarkStart w:id="145" w:name="_Toc184308076"/>
      <w:bookmarkEnd w:id="145"/>
      <w:bookmarkStart w:id="146" w:name="_Toc184313263"/>
      <w:bookmarkEnd w:id="146"/>
      <w:bookmarkStart w:id="147" w:name="_Toc184312079"/>
      <w:bookmarkEnd w:id="147"/>
      <w:bookmarkStart w:id="148" w:name="_Toc184314435"/>
      <w:bookmarkEnd w:id="148"/>
      <w:bookmarkStart w:id="149" w:name="_Toc184313259"/>
      <w:bookmarkEnd w:id="149"/>
      <w:bookmarkStart w:id="150" w:name="_Toc184308036"/>
      <w:bookmarkEnd w:id="150"/>
      <w:bookmarkStart w:id="151" w:name="_Toc184312139"/>
      <w:bookmarkEnd w:id="151"/>
      <w:bookmarkStart w:id="152" w:name="_Toc184313281"/>
      <w:bookmarkEnd w:id="152"/>
      <w:bookmarkStart w:id="153" w:name="_Toc184314471"/>
      <w:bookmarkEnd w:id="153"/>
      <w:bookmarkStart w:id="154" w:name="_Toc184314413"/>
      <w:bookmarkEnd w:id="154"/>
      <w:bookmarkStart w:id="155" w:name="_Toc184308043"/>
      <w:bookmarkEnd w:id="155"/>
      <w:bookmarkStart w:id="156" w:name="_Toc184308070"/>
      <w:bookmarkEnd w:id="156"/>
      <w:bookmarkStart w:id="157" w:name="_Toc184314481"/>
      <w:bookmarkEnd w:id="157"/>
      <w:bookmarkStart w:id="158" w:name="_Toc184312108"/>
      <w:bookmarkEnd w:id="158"/>
      <w:bookmarkStart w:id="159" w:name="_Toc184313240"/>
      <w:bookmarkEnd w:id="159"/>
      <w:bookmarkStart w:id="160" w:name="_Toc184310298"/>
      <w:bookmarkEnd w:id="160"/>
      <w:bookmarkStart w:id="161" w:name="_Toc184314461"/>
      <w:bookmarkEnd w:id="161"/>
      <w:bookmarkStart w:id="162" w:name="_Toc184310321"/>
      <w:bookmarkEnd w:id="162"/>
      <w:bookmarkStart w:id="163" w:name="_Toc184312101"/>
      <w:bookmarkEnd w:id="163"/>
      <w:bookmarkStart w:id="164" w:name="_Toc184313258"/>
      <w:bookmarkEnd w:id="164"/>
      <w:bookmarkStart w:id="165" w:name="_Toc184310283"/>
      <w:bookmarkEnd w:id="165"/>
      <w:bookmarkStart w:id="166" w:name="_Toc184310311"/>
      <w:bookmarkEnd w:id="166"/>
      <w:bookmarkStart w:id="167" w:name="_Toc184312131"/>
      <w:bookmarkEnd w:id="167"/>
      <w:bookmarkStart w:id="168" w:name="_Toc184313267"/>
      <w:bookmarkEnd w:id="168"/>
      <w:bookmarkStart w:id="169" w:name="_Toc184310337"/>
      <w:bookmarkEnd w:id="169"/>
      <w:bookmarkStart w:id="170" w:name="_Toc184313302"/>
      <w:bookmarkEnd w:id="170"/>
      <w:bookmarkStart w:id="171" w:name="_Toc184308038"/>
      <w:bookmarkEnd w:id="171"/>
      <w:bookmarkStart w:id="172" w:name="_Toc184314453"/>
      <w:bookmarkEnd w:id="172"/>
      <w:bookmarkStart w:id="173" w:name="_Toc184314475"/>
      <w:bookmarkEnd w:id="173"/>
      <w:bookmarkStart w:id="174" w:name="_Toc184312126"/>
      <w:bookmarkEnd w:id="174"/>
      <w:bookmarkStart w:id="175" w:name="_Toc184314427"/>
      <w:bookmarkEnd w:id="175"/>
      <w:bookmarkStart w:id="176" w:name="_Toc184314438"/>
      <w:bookmarkEnd w:id="176"/>
      <w:bookmarkStart w:id="177" w:name="_Toc184312100"/>
      <w:bookmarkEnd w:id="177"/>
      <w:bookmarkStart w:id="178" w:name="_Toc184308075"/>
      <w:bookmarkEnd w:id="178"/>
      <w:bookmarkStart w:id="179" w:name="_Toc184310316"/>
      <w:bookmarkEnd w:id="179"/>
      <w:bookmarkStart w:id="180" w:name="_Toc184312083"/>
      <w:bookmarkEnd w:id="180"/>
      <w:bookmarkStart w:id="181" w:name="_Toc184310300"/>
      <w:bookmarkEnd w:id="181"/>
      <w:bookmarkStart w:id="182" w:name="_Toc184313243"/>
      <w:bookmarkEnd w:id="182"/>
      <w:bookmarkStart w:id="183" w:name="_Toc184314442"/>
      <w:bookmarkEnd w:id="183"/>
      <w:bookmarkStart w:id="184" w:name="_Toc184310325"/>
      <w:bookmarkEnd w:id="184"/>
      <w:bookmarkStart w:id="185" w:name="_Toc184312132"/>
      <w:bookmarkEnd w:id="185"/>
      <w:bookmarkStart w:id="186" w:name="_Toc184310339"/>
      <w:bookmarkEnd w:id="186"/>
      <w:bookmarkStart w:id="187" w:name="_Toc184308059"/>
      <w:bookmarkEnd w:id="187"/>
      <w:bookmarkStart w:id="188" w:name="_Toc184314474"/>
      <w:bookmarkEnd w:id="188"/>
      <w:bookmarkStart w:id="189" w:name="_Toc184312106"/>
      <w:bookmarkEnd w:id="189"/>
      <w:bookmarkStart w:id="190" w:name="_Toc184308069"/>
      <w:bookmarkEnd w:id="190"/>
      <w:bookmarkStart w:id="191" w:name="_Toc184310278"/>
      <w:bookmarkEnd w:id="191"/>
      <w:bookmarkStart w:id="192" w:name="_Toc184310342"/>
      <w:bookmarkEnd w:id="192"/>
      <w:bookmarkStart w:id="193" w:name="_Toc184313283"/>
      <w:bookmarkEnd w:id="193"/>
      <w:bookmarkStart w:id="194" w:name="_Toc184313250"/>
      <w:bookmarkEnd w:id="194"/>
      <w:bookmarkStart w:id="195" w:name="_Toc184310341"/>
      <w:bookmarkEnd w:id="195"/>
      <w:bookmarkStart w:id="196" w:name="_Toc184312130"/>
      <w:bookmarkEnd w:id="196"/>
      <w:bookmarkStart w:id="197" w:name="_Toc184314431"/>
      <w:bookmarkEnd w:id="197"/>
      <w:bookmarkStart w:id="198" w:name="_Toc184310275"/>
      <w:bookmarkEnd w:id="198"/>
      <w:bookmarkStart w:id="199" w:name="_Toc184310326"/>
      <w:bookmarkEnd w:id="199"/>
      <w:bookmarkStart w:id="200" w:name="_Toc184310288"/>
      <w:bookmarkEnd w:id="200"/>
      <w:bookmarkStart w:id="201" w:name="_Toc184310291"/>
      <w:bookmarkEnd w:id="201"/>
      <w:bookmarkStart w:id="202" w:name="_Toc184314410"/>
      <w:bookmarkEnd w:id="202"/>
      <w:bookmarkStart w:id="203" w:name="_Toc184310301"/>
      <w:bookmarkEnd w:id="203"/>
      <w:bookmarkStart w:id="204" w:name="_Toc184310309"/>
      <w:bookmarkEnd w:id="204"/>
      <w:bookmarkStart w:id="205" w:name="_Toc184313256"/>
      <w:bookmarkEnd w:id="205"/>
      <w:bookmarkStart w:id="206" w:name="_Toc184312097"/>
      <w:bookmarkEnd w:id="206"/>
      <w:bookmarkStart w:id="207" w:name="_Toc184314441"/>
      <w:bookmarkEnd w:id="207"/>
      <w:bookmarkStart w:id="208" w:name="_Toc184313306"/>
      <w:bookmarkEnd w:id="208"/>
      <w:bookmarkStart w:id="209" w:name="_Toc184314447"/>
      <w:bookmarkEnd w:id="209"/>
      <w:bookmarkStart w:id="210" w:name="_Toc184314476"/>
      <w:bookmarkEnd w:id="210"/>
      <w:bookmarkStart w:id="211" w:name="_Toc184308091"/>
      <w:bookmarkEnd w:id="211"/>
      <w:bookmarkStart w:id="212" w:name="_Toc184312116"/>
      <w:bookmarkEnd w:id="212"/>
      <w:bookmarkStart w:id="213" w:name="_Toc184313304"/>
      <w:bookmarkEnd w:id="213"/>
      <w:bookmarkStart w:id="214" w:name="_Toc184313296"/>
      <w:bookmarkEnd w:id="214"/>
      <w:bookmarkStart w:id="215" w:name="_Toc184308101"/>
      <w:bookmarkEnd w:id="215"/>
      <w:bookmarkStart w:id="216" w:name="_Toc184313295"/>
      <w:bookmarkEnd w:id="216"/>
      <w:bookmarkStart w:id="217" w:name="_Toc184313248"/>
      <w:bookmarkEnd w:id="217"/>
      <w:bookmarkStart w:id="218" w:name="_Toc184308040"/>
      <w:bookmarkEnd w:id="218"/>
      <w:bookmarkStart w:id="219" w:name="_Toc184308108"/>
      <w:bookmarkEnd w:id="219"/>
      <w:bookmarkStart w:id="220" w:name="_Toc184313287"/>
      <w:bookmarkEnd w:id="220"/>
      <w:bookmarkStart w:id="221" w:name="_Toc184312084"/>
      <w:bookmarkEnd w:id="221"/>
      <w:bookmarkStart w:id="222" w:name="_Toc184314423"/>
      <w:bookmarkEnd w:id="222"/>
      <w:bookmarkStart w:id="223" w:name="_Toc184314455"/>
      <w:bookmarkEnd w:id="223"/>
      <w:bookmarkStart w:id="224" w:name="_Toc184308082"/>
      <w:bookmarkEnd w:id="224"/>
      <w:bookmarkStart w:id="225" w:name="_Toc184313247"/>
      <w:bookmarkEnd w:id="225"/>
      <w:bookmarkStart w:id="226" w:name="_Toc184314466"/>
      <w:bookmarkEnd w:id="226"/>
      <w:bookmarkStart w:id="227" w:name="_Toc184308095"/>
      <w:bookmarkEnd w:id="227"/>
      <w:bookmarkStart w:id="228" w:name="_Toc184313254"/>
      <w:bookmarkEnd w:id="228"/>
      <w:bookmarkStart w:id="229" w:name="_Toc184312133"/>
      <w:bookmarkEnd w:id="229"/>
      <w:bookmarkStart w:id="230" w:name="_Toc184308100"/>
      <w:bookmarkEnd w:id="230"/>
      <w:bookmarkStart w:id="231" w:name="_Toc184308065"/>
      <w:bookmarkEnd w:id="231"/>
      <w:bookmarkStart w:id="232" w:name="_Toc184314433"/>
      <w:bookmarkEnd w:id="232"/>
      <w:bookmarkStart w:id="233" w:name="_Toc184310344"/>
      <w:bookmarkEnd w:id="233"/>
      <w:bookmarkStart w:id="234" w:name="_Toc184310317"/>
      <w:bookmarkEnd w:id="234"/>
      <w:bookmarkStart w:id="235" w:name="_Toc184313277"/>
      <w:bookmarkEnd w:id="235"/>
      <w:bookmarkStart w:id="236" w:name="_Toc184314458"/>
      <w:bookmarkEnd w:id="236"/>
      <w:bookmarkStart w:id="237" w:name="_Toc184313265"/>
      <w:bookmarkEnd w:id="237"/>
      <w:bookmarkStart w:id="238" w:name="_Toc184312090"/>
      <w:bookmarkEnd w:id="238"/>
      <w:bookmarkStart w:id="239" w:name="_Toc184312089"/>
      <w:bookmarkEnd w:id="239"/>
      <w:bookmarkStart w:id="240" w:name="_Toc184313310"/>
      <w:bookmarkEnd w:id="240"/>
      <w:bookmarkStart w:id="241" w:name="_Toc184310292"/>
      <w:bookmarkEnd w:id="241"/>
      <w:bookmarkStart w:id="242" w:name="_Toc184312127"/>
      <w:bookmarkEnd w:id="242"/>
      <w:bookmarkStart w:id="243" w:name="_Toc184314472"/>
      <w:bookmarkEnd w:id="243"/>
      <w:bookmarkStart w:id="244" w:name="_Toc184313299"/>
      <w:bookmarkEnd w:id="244"/>
      <w:bookmarkStart w:id="245" w:name="_Toc184312092"/>
      <w:bookmarkEnd w:id="245"/>
      <w:bookmarkStart w:id="246" w:name="_Toc184313278"/>
      <w:bookmarkEnd w:id="246"/>
      <w:bookmarkStart w:id="247" w:name="_Toc184308093"/>
      <w:bookmarkEnd w:id="247"/>
      <w:bookmarkStart w:id="248" w:name="_Toc184310285"/>
      <w:bookmarkEnd w:id="248"/>
      <w:bookmarkStart w:id="249" w:name="_Toc184308058"/>
      <w:bookmarkEnd w:id="249"/>
      <w:bookmarkStart w:id="250" w:name="_Toc184314417"/>
      <w:bookmarkEnd w:id="250"/>
      <w:bookmarkStart w:id="251" w:name="_Toc184314449"/>
      <w:bookmarkEnd w:id="251"/>
      <w:bookmarkStart w:id="252" w:name="_Toc184312125"/>
      <w:bookmarkEnd w:id="252"/>
      <w:bookmarkStart w:id="253" w:name="_Toc184313285"/>
      <w:bookmarkEnd w:id="253"/>
      <w:bookmarkStart w:id="254" w:name="_Toc184310279"/>
      <w:bookmarkEnd w:id="254"/>
      <w:bookmarkStart w:id="255" w:name="_Toc184314467"/>
      <w:bookmarkEnd w:id="255"/>
      <w:bookmarkStart w:id="256" w:name="_Toc184313252"/>
      <w:bookmarkEnd w:id="256"/>
      <w:bookmarkStart w:id="257" w:name="_Toc184310324"/>
      <w:bookmarkEnd w:id="257"/>
      <w:bookmarkStart w:id="258" w:name="_Toc184310276"/>
      <w:bookmarkEnd w:id="258"/>
      <w:bookmarkStart w:id="259" w:name="_Toc184313255"/>
      <w:bookmarkEnd w:id="259"/>
      <w:bookmarkStart w:id="260" w:name="_Toc184312136"/>
      <w:bookmarkEnd w:id="260"/>
      <w:bookmarkStart w:id="261" w:name="_Toc184314420"/>
      <w:bookmarkEnd w:id="261"/>
      <w:bookmarkStart w:id="262" w:name="_Toc184313293"/>
      <w:bookmarkEnd w:id="262"/>
      <w:bookmarkStart w:id="263" w:name="_Toc184313249"/>
      <w:bookmarkEnd w:id="263"/>
      <w:bookmarkStart w:id="264" w:name="_Toc184310310"/>
      <w:bookmarkEnd w:id="264"/>
      <w:bookmarkStart w:id="265" w:name="_Toc184313245"/>
      <w:bookmarkEnd w:id="265"/>
      <w:bookmarkStart w:id="266" w:name="_Toc184310280"/>
      <w:bookmarkEnd w:id="266"/>
      <w:bookmarkStart w:id="267" w:name="_Toc184312088"/>
      <w:bookmarkEnd w:id="267"/>
      <w:bookmarkStart w:id="268" w:name="_Toc184308084"/>
      <w:bookmarkEnd w:id="268"/>
      <w:bookmarkStart w:id="269" w:name="_Toc184312087"/>
      <w:bookmarkEnd w:id="269"/>
      <w:bookmarkStart w:id="270" w:name="_Toc184313279"/>
      <w:bookmarkEnd w:id="270"/>
      <w:bookmarkStart w:id="271" w:name="_Toc184314437"/>
      <w:bookmarkEnd w:id="271"/>
      <w:bookmarkStart w:id="272" w:name="_Toc184314465"/>
      <w:bookmarkEnd w:id="272"/>
      <w:bookmarkStart w:id="273" w:name="_Toc184313269"/>
      <w:bookmarkEnd w:id="273"/>
      <w:bookmarkStart w:id="274" w:name="_Toc184308089"/>
      <w:bookmarkEnd w:id="274"/>
      <w:bookmarkStart w:id="275" w:name="_Toc184312135"/>
      <w:bookmarkEnd w:id="275"/>
      <w:bookmarkStart w:id="276" w:name="_Toc184308104"/>
      <w:bookmarkEnd w:id="276"/>
      <w:bookmarkStart w:id="277" w:name="_Toc184314430"/>
      <w:bookmarkEnd w:id="277"/>
      <w:bookmarkStart w:id="278" w:name="_Toc184310281"/>
      <w:bookmarkEnd w:id="278"/>
      <w:bookmarkStart w:id="279" w:name="_Toc184308067"/>
      <w:bookmarkEnd w:id="279"/>
      <w:bookmarkStart w:id="280" w:name="_Toc184310338"/>
      <w:bookmarkEnd w:id="280"/>
      <w:bookmarkStart w:id="281" w:name="_Toc184313246"/>
      <w:bookmarkEnd w:id="281"/>
      <w:bookmarkStart w:id="282" w:name="_Toc184310293"/>
      <w:bookmarkEnd w:id="282"/>
      <w:bookmarkStart w:id="283" w:name="_Toc184314480"/>
      <w:bookmarkEnd w:id="283"/>
      <w:bookmarkStart w:id="284" w:name="_Toc184314482"/>
      <w:bookmarkEnd w:id="284"/>
      <w:bookmarkStart w:id="285" w:name="_Toc184313241"/>
      <w:bookmarkEnd w:id="285"/>
      <w:bookmarkStart w:id="286" w:name="_Toc184308041"/>
      <w:bookmarkEnd w:id="286"/>
      <w:bookmarkStart w:id="287" w:name="_Toc184310323"/>
      <w:bookmarkEnd w:id="287"/>
      <w:bookmarkStart w:id="288" w:name="_Toc184310277"/>
      <w:bookmarkEnd w:id="288"/>
      <w:bookmarkStart w:id="289" w:name="_Toc184313273"/>
      <w:bookmarkEnd w:id="289"/>
      <w:bookmarkStart w:id="290" w:name="_Toc184314452"/>
      <w:bookmarkEnd w:id="290"/>
      <w:bookmarkStart w:id="291" w:name="_Toc184312093"/>
      <w:bookmarkEnd w:id="291"/>
      <w:bookmarkStart w:id="292" w:name="_Toc184312068"/>
      <w:bookmarkEnd w:id="292"/>
      <w:bookmarkStart w:id="293" w:name="_Toc184314457"/>
      <w:bookmarkEnd w:id="293"/>
      <w:bookmarkStart w:id="294" w:name="_Toc184314464"/>
      <w:bookmarkEnd w:id="294"/>
      <w:bookmarkStart w:id="295" w:name="_Toc184313275"/>
      <w:bookmarkEnd w:id="295"/>
      <w:bookmarkStart w:id="296" w:name="_Toc184313260"/>
      <w:bookmarkEnd w:id="296"/>
      <w:bookmarkStart w:id="297" w:name="_Toc184310274"/>
      <w:bookmarkEnd w:id="297"/>
      <w:bookmarkStart w:id="298" w:name="_Toc184313272"/>
      <w:bookmarkEnd w:id="298"/>
      <w:bookmarkStart w:id="299" w:name="_Toc184313244"/>
      <w:bookmarkEnd w:id="299"/>
      <w:bookmarkStart w:id="300" w:name="_Toc184313286"/>
      <w:bookmarkEnd w:id="300"/>
      <w:bookmarkStart w:id="301" w:name="_Toc184310273"/>
      <w:bookmarkEnd w:id="301"/>
      <w:bookmarkStart w:id="302" w:name="_Toc184313262"/>
      <w:bookmarkEnd w:id="302"/>
      <w:bookmarkStart w:id="303" w:name="_Toc184308063"/>
      <w:bookmarkEnd w:id="303"/>
      <w:bookmarkStart w:id="304" w:name="_Toc184312111"/>
      <w:bookmarkEnd w:id="304"/>
      <w:bookmarkStart w:id="305" w:name="_Toc184308062"/>
      <w:bookmarkEnd w:id="305"/>
      <w:bookmarkStart w:id="306" w:name="_Toc184308066"/>
      <w:bookmarkEnd w:id="306"/>
      <w:bookmarkStart w:id="307" w:name="_Toc184313309"/>
      <w:bookmarkEnd w:id="307"/>
      <w:bookmarkStart w:id="308" w:name="_Toc184313307"/>
      <w:bookmarkEnd w:id="308"/>
      <w:bookmarkStart w:id="309" w:name="_Toc184308078"/>
      <w:bookmarkEnd w:id="309"/>
      <w:bookmarkStart w:id="310" w:name="_Toc184314463"/>
      <w:bookmarkEnd w:id="310"/>
      <w:bookmarkStart w:id="311" w:name="_Toc184314468"/>
      <w:bookmarkEnd w:id="311"/>
      <w:bookmarkStart w:id="312" w:name="_Toc184310334"/>
      <w:bookmarkEnd w:id="312"/>
      <w:bookmarkStart w:id="313" w:name="_Toc184308090"/>
      <w:bookmarkEnd w:id="313"/>
      <w:bookmarkStart w:id="314" w:name="_Toc184314419"/>
      <w:bookmarkEnd w:id="314"/>
      <w:bookmarkStart w:id="315" w:name="_Toc184314478"/>
      <w:bookmarkEnd w:id="315"/>
      <w:bookmarkStart w:id="316" w:name="_Toc184313300"/>
      <w:bookmarkEnd w:id="316"/>
      <w:bookmarkStart w:id="317" w:name="_Toc184313253"/>
      <w:bookmarkEnd w:id="317"/>
      <w:bookmarkStart w:id="318" w:name="_Toc184313264"/>
      <w:bookmarkEnd w:id="318"/>
      <w:bookmarkStart w:id="319" w:name="_Toc184312085"/>
      <w:bookmarkEnd w:id="319"/>
      <w:bookmarkStart w:id="320" w:name="_Toc184312123"/>
      <w:bookmarkEnd w:id="320"/>
      <w:bookmarkStart w:id="321" w:name="_Toc184308047"/>
      <w:bookmarkEnd w:id="321"/>
      <w:bookmarkStart w:id="322" w:name="_Toc184312120"/>
      <w:bookmarkEnd w:id="322"/>
      <w:bookmarkStart w:id="323" w:name="_Toc184314434"/>
      <w:bookmarkEnd w:id="323"/>
      <w:bookmarkStart w:id="324" w:name="_Toc184310272"/>
      <w:bookmarkEnd w:id="324"/>
      <w:bookmarkStart w:id="325" w:name="_Toc184308094"/>
      <w:bookmarkEnd w:id="325"/>
      <w:bookmarkStart w:id="326" w:name="_Toc184308060"/>
      <w:bookmarkEnd w:id="326"/>
      <w:bookmarkStart w:id="327" w:name="_Toc184312073"/>
      <w:bookmarkEnd w:id="327"/>
      <w:bookmarkStart w:id="328" w:name="_Toc184312129"/>
      <w:bookmarkEnd w:id="328"/>
      <w:bookmarkStart w:id="329" w:name="_Toc184310307"/>
      <w:bookmarkEnd w:id="329"/>
      <w:bookmarkStart w:id="330" w:name="_Toc184310314"/>
      <w:bookmarkEnd w:id="330"/>
      <w:bookmarkStart w:id="331" w:name="_Toc184314414"/>
      <w:bookmarkEnd w:id="331"/>
      <w:bookmarkStart w:id="332" w:name="_Toc184314448"/>
      <w:bookmarkEnd w:id="332"/>
      <w:bookmarkStart w:id="333" w:name="_Toc184310319"/>
      <w:bookmarkEnd w:id="333"/>
      <w:bookmarkStart w:id="334" w:name="_Toc184308103"/>
      <w:bookmarkEnd w:id="334"/>
      <w:bookmarkStart w:id="335" w:name="_Toc184313308"/>
      <w:bookmarkEnd w:id="335"/>
      <w:bookmarkStart w:id="336" w:name="_Toc184314412"/>
      <w:bookmarkEnd w:id="336"/>
      <w:bookmarkStart w:id="337" w:name="_Toc184308099"/>
      <w:bookmarkEnd w:id="337"/>
      <w:bookmarkStart w:id="338" w:name="_Toc184310333"/>
      <w:bookmarkEnd w:id="338"/>
      <w:bookmarkStart w:id="339" w:name="_Toc184310287"/>
      <w:bookmarkEnd w:id="339"/>
      <w:bookmarkStart w:id="340" w:name="_Toc184308068"/>
      <w:bookmarkEnd w:id="340"/>
      <w:bookmarkStart w:id="341" w:name="_Toc184308081"/>
      <w:bookmarkEnd w:id="341"/>
      <w:bookmarkStart w:id="342" w:name="_Toc184308077"/>
      <w:bookmarkEnd w:id="342"/>
      <w:bookmarkStart w:id="343" w:name="_Toc184313292"/>
      <w:bookmarkEnd w:id="343"/>
      <w:bookmarkStart w:id="344" w:name="_Toc184310295"/>
      <w:bookmarkEnd w:id="344"/>
      <w:bookmarkStart w:id="345" w:name="_Toc184312112"/>
      <w:bookmarkEnd w:id="345"/>
      <w:bookmarkStart w:id="346" w:name="_Toc184308087"/>
      <w:bookmarkEnd w:id="346"/>
      <w:bookmarkStart w:id="347" w:name="_Toc184310340"/>
      <w:bookmarkEnd w:id="347"/>
      <w:bookmarkStart w:id="348" w:name="_Toc184312117"/>
      <w:bookmarkEnd w:id="348"/>
      <w:bookmarkStart w:id="349" w:name="_Toc184308085"/>
      <w:bookmarkEnd w:id="349"/>
      <w:bookmarkStart w:id="350" w:name="_Toc184313298"/>
      <w:bookmarkEnd w:id="350"/>
      <w:bookmarkStart w:id="351" w:name="_Toc184313294"/>
      <w:bookmarkEnd w:id="351"/>
      <w:bookmarkStart w:id="352" w:name="_Toc184314425"/>
      <w:bookmarkEnd w:id="352"/>
      <w:bookmarkStart w:id="353" w:name="_Toc184313251"/>
      <w:bookmarkEnd w:id="353"/>
      <w:bookmarkStart w:id="354" w:name="_Toc184312110"/>
      <w:bookmarkEnd w:id="354"/>
      <w:bookmarkStart w:id="355" w:name="_Toc184310315"/>
      <w:bookmarkEnd w:id="355"/>
      <w:bookmarkStart w:id="356" w:name="_Toc184310290"/>
      <w:bookmarkEnd w:id="356"/>
      <w:bookmarkStart w:id="357" w:name="_Toc184314421"/>
      <w:bookmarkEnd w:id="357"/>
      <w:bookmarkStart w:id="358" w:name="_Toc184312074"/>
      <w:bookmarkEnd w:id="358"/>
      <w:bookmarkStart w:id="359" w:name="_Toc184314454"/>
      <w:bookmarkEnd w:id="359"/>
      <w:bookmarkStart w:id="360" w:name="_Toc184312099"/>
      <w:bookmarkEnd w:id="360"/>
      <w:bookmarkStart w:id="361" w:name="_Toc184310328"/>
      <w:bookmarkEnd w:id="361"/>
      <w:bookmarkStart w:id="362" w:name="_Toc184312113"/>
      <w:bookmarkEnd w:id="362"/>
      <w:bookmarkStart w:id="363" w:name="_Toc184314426"/>
      <w:bookmarkEnd w:id="363"/>
      <w:bookmarkStart w:id="364" w:name="_Toc184314416"/>
      <w:bookmarkEnd w:id="364"/>
      <w:bookmarkStart w:id="365" w:name="_Toc184312086"/>
      <w:bookmarkEnd w:id="365"/>
      <w:bookmarkStart w:id="366" w:name="_Toc184314460"/>
      <w:bookmarkEnd w:id="366"/>
      <w:bookmarkStart w:id="367" w:name="_Toc184308086"/>
      <w:bookmarkEnd w:id="367"/>
      <w:bookmarkStart w:id="368" w:name="_Toc184314444"/>
      <w:bookmarkEnd w:id="368"/>
      <w:bookmarkStart w:id="369" w:name="_Toc184312102"/>
      <w:bookmarkEnd w:id="369"/>
      <w:bookmarkStart w:id="370" w:name="_Toc184313238"/>
      <w:bookmarkEnd w:id="370"/>
      <w:bookmarkStart w:id="371" w:name="_Toc184312076"/>
      <w:bookmarkEnd w:id="371"/>
      <w:bookmarkStart w:id="372" w:name="_Toc184313301"/>
      <w:bookmarkEnd w:id="372"/>
      <w:bookmarkStart w:id="373" w:name="_Toc184310322"/>
      <w:bookmarkEnd w:id="373"/>
      <w:bookmarkStart w:id="374" w:name="_Toc184310320"/>
      <w:bookmarkEnd w:id="374"/>
      <w:bookmarkStart w:id="375" w:name="_Toc184312118"/>
      <w:bookmarkEnd w:id="375"/>
      <w:bookmarkStart w:id="376" w:name="_Toc184310335"/>
      <w:bookmarkEnd w:id="376"/>
      <w:bookmarkStart w:id="377" w:name="_Toc184314445"/>
      <w:bookmarkEnd w:id="377"/>
      <w:bookmarkStart w:id="378" w:name="_Toc184310336"/>
      <w:bookmarkEnd w:id="378"/>
      <w:bookmarkStart w:id="379" w:name="_Toc184308057"/>
      <w:bookmarkEnd w:id="379"/>
      <w:bookmarkStart w:id="380" w:name="_Toc184308051"/>
      <w:bookmarkEnd w:id="380"/>
      <w:bookmarkStart w:id="381" w:name="_Toc184310312"/>
      <w:bookmarkEnd w:id="381"/>
      <w:bookmarkStart w:id="382" w:name="_Toc184310308"/>
      <w:bookmarkEnd w:id="382"/>
      <w:bookmarkStart w:id="383" w:name="_Toc184313257"/>
      <w:bookmarkEnd w:id="383"/>
      <w:bookmarkStart w:id="384" w:name="_Toc184312075"/>
      <w:bookmarkEnd w:id="384"/>
      <w:bookmarkStart w:id="385" w:name="_Toc184308064"/>
      <w:bookmarkEnd w:id="385"/>
      <w:bookmarkStart w:id="386" w:name="_Toc184312103"/>
      <w:bookmarkEnd w:id="386"/>
      <w:bookmarkStart w:id="387" w:name="_Toc184312094"/>
      <w:bookmarkEnd w:id="387"/>
      <w:bookmarkStart w:id="388" w:name="_Toc184314451"/>
      <w:bookmarkEnd w:id="388"/>
      <w:bookmarkStart w:id="389" w:name="_Toc184312109"/>
      <w:bookmarkEnd w:id="389"/>
      <w:bookmarkStart w:id="390" w:name="_Toc184314418"/>
      <w:bookmarkEnd w:id="390"/>
      <w:bookmarkStart w:id="391" w:name="_Toc184312081"/>
      <w:bookmarkEnd w:id="391"/>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bCs/>
                <w:color w:val="auto"/>
                <w:sz w:val="21"/>
                <w:szCs w:val="21"/>
              </w:rPr>
            </w:pPr>
            <w:r>
              <w:rPr>
                <w:rFonts w:hint="eastAsia" w:ascii="宋体" w:hAnsi="宋体" w:cs="宋体"/>
                <w:bCs/>
                <w:color w:val="auto"/>
                <w:sz w:val="21"/>
                <w:szCs w:val="21"/>
              </w:rPr>
              <w:t>序号</w:t>
            </w:r>
          </w:p>
        </w:tc>
        <w:tc>
          <w:tcPr>
            <w:tcW w:w="3028" w:type="pct"/>
            <w:vAlign w:val="center"/>
          </w:tcPr>
          <w:p>
            <w:pPr>
              <w:pageBreakBefore w:val="0"/>
              <w:kinsoku/>
              <w:wordWrap/>
              <w:overflowPunct/>
              <w:topLinePunct w:val="0"/>
              <w:autoSpaceDE/>
              <w:autoSpaceDN/>
              <w:bidi w:val="0"/>
              <w:spacing w:line="360" w:lineRule="auto"/>
              <w:jc w:val="center"/>
              <w:outlineLvl w:val="0"/>
              <w:rPr>
                <w:rFonts w:ascii="宋体" w:hAnsi="宋体" w:cs="宋体"/>
                <w:bCs/>
                <w:color w:val="auto"/>
                <w:sz w:val="21"/>
                <w:szCs w:val="21"/>
              </w:rPr>
            </w:pPr>
            <w:r>
              <w:rPr>
                <w:rFonts w:hint="eastAsia" w:ascii="宋体" w:hAnsi="宋体" w:cs="宋体"/>
                <w:bCs/>
                <w:color w:val="auto"/>
                <w:sz w:val="21"/>
                <w:szCs w:val="21"/>
              </w:rPr>
              <w:t>评标标准</w:t>
            </w:r>
          </w:p>
        </w:tc>
        <w:tc>
          <w:tcPr>
            <w:tcW w:w="408" w:type="pct"/>
            <w:vAlign w:val="center"/>
          </w:tcPr>
          <w:p>
            <w:pPr>
              <w:pageBreakBefore w:val="0"/>
              <w:kinsoku/>
              <w:wordWrap/>
              <w:overflowPunct/>
              <w:topLinePunct w:val="0"/>
              <w:autoSpaceDE/>
              <w:autoSpaceDN/>
              <w:bidi w:val="0"/>
              <w:spacing w:line="360" w:lineRule="auto"/>
              <w:jc w:val="center"/>
              <w:outlineLvl w:val="0"/>
              <w:rPr>
                <w:rFonts w:ascii="宋体" w:hAnsi="宋体" w:cs="宋体"/>
                <w:bCs/>
                <w:color w:val="auto"/>
                <w:sz w:val="21"/>
                <w:szCs w:val="21"/>
              </w:rPr>
            </w:pPr>
            <w:r>
              <w:rPr>
                <w:rFonts w:hint="eastAsia" w:ascii="宋体" w:hAnsi="宋体" w:cs="宋体"/>
                <w:bCs/>
                <w:color w:val="auto"/>
                <w:sz w:val="21"/>
                <w:szCs w:val="21"/>
              </w:rPr>
              <w:t>权重</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bCs/>
                <w:color w:val="auto"/>
                <w:sz w:val="21"/>
                <w:szCs w:val="21"/>
              </w:rPr>
            </w:pPr>
            <w:r>
              <w:rPr>
                <w:rFonts w:hint="eastAsia" w:ascii="宋体" w:hAnsi="宋体" w:cs="宋体"/>
                <w:bCs/>
                <w:color w:val="auto"/>
                <w:sz w:val="21"/>
                <w:szCs w:val="21"/>
              </w:rPr>
              <w:t>投标文件中评标标准相应的商务技术资料目录</w:t>
            </w:r>
            <w:r>
              <w:rPr>
                <w:rFonts w:hint="eastAsia" w:ascii="宋体" w:hAnsi="宋体" w:cs="宋体"/>
                <w:color w:val="auto"/>
                <w:sz w:val="21"/>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1</w:t>
            </w:r>
          </w:p>
        </w:tc>
        <w:tc>
          <w:tcPr>
            <w:tcW w:w="3028" w:type="pct"/>
            <w:vAlign w:val="center"/>
          </w:tcPr>
          <w:p>
            <w:pPr>
              <w:pageBreakBefore w:val="0"/>
              <w:widowControl/>
              <w:kinsoku/>
              <w:wordWrap/>
              <w:overflowPunct/>
              <w:topLinePunct w:val="0"/>
              <w:autoSpaceDE/>
              <w:autoSpaceDN/>
              <w:bidi w:val="0"/>
              <w:adjustRightInd/>
              <w:spacing w:line="360" w:lineRule="auto"/>
              <w:textAlignment w:val="center"/>
              <w:rPr>
                <w:rFonts w:ascii="宋体" w:hAnsi="宋体" w:cs="宋体"/>
                <w:color w:val="auto"/>
                <w:sz w:val="21"/>
                <w:szCs w:val="21"/>
              </w:rPr>
            </w:pPr>
            <w:r>
              <w:rPr>
                <w:rFonts w:hint="eastAsia" w:ascii="宋体" w:hAnsi="宋体" w:cs="宋体"/>
                <w:color w:val="auto"/>
                <w:sz w:val="21"/>
                <w:szCs w:val="21"/>
              </w:rPr>
              <w:t>（1）投标人具有有效质量管理体系认证证书、且认证覆盖范围含“公路安全设施等相关”字样得1分；</w:t>
            </w:r>
          </w:p>
          <w:p>
            <w:pPr>
              <w:pageBreakBefore w:val="0"/>
              <w:widowControl/>
              <w:kinsoku/>
              <w:wordWrap/>
              <w:overflowPunct/>
              <w:topLinePunct w:val="0"/>
              <w:autoSpaceDE/>
              <w:autoSpaceDN/>
              <w:bidi w:val="0"/>
              <w:adjustRightInd/>
              <w:spacing w:line="360" w:lineRule="auto"/>
              <w:textAlignment w:val="center"/>
              <w:rPr>
                <w:rFonts w:ascii="宋体" w:hAnsi="宋体" w:cs="宋体"/>
                <w:color w:val="auto"/>
                <w:sz w:val="21"/>
                <w:szCs w:val="21"/>
              </w:rPr>
            </w:pPr>
            <w:r>
              <w:rPr>
                <w:rFonts w:hint="eastAsia" w:ascii="宋体" w:hAnsi="宋体" w:cs="宋体"/>
                <w:color w:val="auto"/>
                <w:sz w:val="21"/>
                <w:szCs w:val="21"/>
              </w:rPr>
              <w:t>（2）投标人具有有效职业健康安全管理体系认证证书、且认证覆盖范围含“公路安全设施等相关”字样得1分；</w:t>
            </w:r>
          </w:p>
          <w:p>
            <w:pPr>
              <w:pageBreakBefore w:val="0"/>
              <w:widowControl/>
              <w:kinsoku/>
              <w:wordWrap/>
              <w:overflowPunct/>
              <w:topLinePunct w:val="0"/>
              <w:autoSpaceDE/>
              <w:autoSpaceDN/>
              <w:bidi w:val="0"/>
              <w:adjustRightInd/>
              <w:spacing w:line="360" w:lineRule="auto"/>
              <w:textAlignment w:val="center"/>
              <w:rPr>
                <w:rFonts w:ascii="宋体" w:hAnsi="宋体" w:cs="宋体"/>
                <w:color w:val="auto"/>
                <w:sz w:val="21"/>
                <w:szCs w:val="21"/>
              </w:rPr>
            </w:pPr>
            <w:r>
              <w:rPr>
                <w:rFonts w:hint="eastAsia" w:ascii="宋体" w:hAnsi="宋体" w:cs="宋体"/>
                <w:color w:val="auto"/>
                <w:sz w:val="21"/>
                <w:szCs w:val="21"/>
              </w:rPr>
              <w:t>（3）投标人具有环境管理体系认证证书、且认证覆盖范围含“公路安全设施等相关”字样得1分；</w:t>
            </w:r>
          </w:p>
          <w:p>
            <w:pPr>
              <w:pageBreakBefore w:val="0"/>
              <w:widowControl/>
              <w:kinsoku/>
              <w:wordWrap/>
              <w:overflowPunct/>
              <w:topLinePunct w:val="0"/>
              <w:autoSpaceDE/>
              <w:autoSpaceDN/>
              <w:bidi w:val="0"/>
              <w:adjustRightInd/>
              <w:spacing w:line="360" w:lineRule="auto"/>
              <w:textAlignment w:val="center"/>
              <w:rPr>
                <w:rFonts w:ascii="宋体" w:hAnsi="宋体" w:cs="宋体"/>
                <w:color w:val="auto"/>
                <w:sz w:val="21"/>
                <w:szCs w:val="21"/>
              </w:rPr>
            </w:pPr>
            <w:r>
              <w:rPr>
                <w:rFonts w:hint="eastAsia" w:ascii="宋体" w:hAnsi="宋体" w:cs="宋体"/>
                <w:color w:val="auto"/>
                <w:sz w:val="21"/>
                <w:szCs w:val="21"/>
              </w:rPr>
              <w:t>（4）投标人具有有效售后服务认证证书、且认证覆盖范围含“公路安全设施等相关”字样得1分。</w:t>
            </w:r>
          </w:p>
          <w:p>
            <w:pPr>
              <w:pageBreakBefore w:val="0"/>
              <w:widowControl/>
              <w:kinsoku/>
              <w:wordWrap/>
              <w:overflowPunct/>
              <w:topLinePunct w:val="0"/>
              <w:autoSpaceDE/>
              <w:autoSpaceDN/>
              <w:bidi w:val="0"/>
              <w:adjustRightInd/>
              <w:spacing w:line="360" w:lineRule="auto"/>
              <w:textAlignment w:val="center"/>
              <w:rPr>
                <w:rFonts w:ascii="宋体" w:hAnsi="宋体" w:cs="宋体"/>
                <w:color w:val="auto"/>
                <w:sz w:val="21"/>
                <w:szCs w:val="21"/>
              </w:rPr>
            </w:pPr>
            <w:r>
              <w:rPr>
                <w:rFonts w:hint="eastAsia" w:ascii="宋体" w:hAnsi="宋体" w:cs="宋体"/>
                <w:color w:val="auto"/>
                <w:sz w:val="21"/>
                <w:szCs w:val="21"/>
              </w:rPr>
              <w:t>（投标文件中须提供有效期内的证书复印件加盖公章）</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kern w:val="0"/>
                <w:sz w:val="21"/>
                <w:szCs w:val="21"/>
              </w:rPr>
            </w:pPr>
            <w:r>
              <w:rPr>
                <w:rFonts w:hint="eastAsia" w:ascii="宋体" w:hAnsi="宋体" w:cs="宋体"/>
                <w:color w:val="auto"/>
                <w:sz w:val="21"/>
                <w:szCs w:val="21"/>
              </w:rPr>
              <w:t>4</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2</w:t>
            </w:r>
          </w:p>
        </w:tc>
        <w:tc>
          <w:tcPr>
            <w:tcW w:w="3028" w:type="pct"/>
            <w:vAlign w:val="center"/>
          </w:tcPr>
          <w:p>
            <w:pPr>
              <w:pageBreakBefore w:val="0"/>
              <w:kinsoku/>
              <w:wordWrap/>
              <w:overflowPunct/>
              <w:topLinePunct w:val="0"/>
              <w:autoSpaceDE/>
              <w:autoSpaceDN/>
              <w:bidi w:val="0"/>
              <w:adjustRightInd/>
              <w:spacing w:line="360" w:lineRule="auto"/>
              <w:rPr>
                <w:rFonts w:ascii="宋体" w:hAnsi="宋体" w:cs="宋体"/>
                <w:color w:val="auto"/>
                <w:sz w:val="21"/>
                <w:szCs w:val="21"/>
              </w:rPr>
            </w:pPr>
            <w:r>
              <w:rPr>
                <w:rFonts w:hint="eastAsia" w:ascii="宋体" w:hAnsi="宋体" w:cs="宋体"/>
                <w:color w:val="auto"/>
                <w:sz w:val="21"/>
                <w:szCs w:val="21"/>
              </w:rPr>
              <w:t>投标人2019年1月1日以来获得县级人民政府颁发的荣誉证书或表彰文件每个得1分 ；获得市级人民政府颁发的荣誉证书或表彰文件每个得2分； 获得省级（含）以上人民政府颁发的荣誉证书或表彰文件每个得3分；最高得5分。（提供荣誉证书复印件或表彰文件复印件，不提供不得分。）</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3</w:t>
            </w:r>
          </w:p>
        </w:tc>
        <w:tc>
          <w:tcPr>
            <w:tcW w:w="3028" w:type="pct"/>
            <w:vAlign w:val="center"/>
          </w:tcPr>
          <w:p>
            <w:pPr>
              <w:pageBreakBefore w:val="0"/>
              <w:kinsoku/>
              <w:wordWrap/>
              <w:overflowPunct/>
              <w:topLinePunct w:val="0"/>
              <w:autoSpaceDE/>
              <w:autoSpaceDN/>
              <w:bidi w:val="0"/>
              <w:spacing w:line="360" w:lineRule="auto"/>
              <w:outlineLvl w:val="0"/>
              <w:rPr>
                <w:rFonts w:ascii="宋体" w:hAnsi="宋体" w:cs="宋体"/>
                <w:color w:val="auto"/>
                <w:sz w:val="21"/>
                <w:szCs w:val="21"/>
              </w:rPr>
            </w:pPr>
            <w:r>
              <w:rPr>
                <w:rFonts w:hint="eastAsia" w:ascii="宋体" w:hAnsi="宋体" w:cs="宋体"/>
                <w:color w:val="auto"/>
                <w:sz w:val="21"/>
                <w:szCs w:val="21"/>
              </w:rPr>
              <w:t>类似业绩：</w:t>
            </w:r>
            <w:r>
              <w:rPr>
                <w:rFonts w:hint="eastAsia" w:ascii="宋体" w:hAnsi="宋体" w:cs="宋体"/>
                <w:color w:val="auto"/>
                <w:kern w:val="0"/>
                <w:sz w:val="21"/>
                <w:szCs w:val="21"/>
              </w:rPr>
              <w:t>投标人具有自 2019年 1 月 1 日以来</w:t>
            </w:r>
            <w:r>
              <w:rPr>
                <w:rFonts w:hint="eastAsia" w:ascii="宋体" w:hAnsi="宋体" w:cs="宋体"/>
                <w:color w:val="auto"/>
                <w:sz w:val="21"/>
                <w:szCs w:val="21"/>
              </w:rPr>
              <w:t>实施过道路交通安全设施维护类项目</w:t>
            </w:r>
            <w:r>
              <w:rPr>
                <w:rFonts w:hint="eastAsia" w:ascii="宋体" w:hAnsi="宋体" w:cs="宋体"/>
                <w:color w:val="auto"/>
                <w:kern w:val="0"/>
                <w:sz w:val="21"/>
                <w:szCs w:val="21"/>
              </w:rPr>
              <w:t>，每个业绩得 1分，最多得3分，</w:t>
            </w:r>
            <w:r>
              <w:rPr>
                <w:rFonts w:hint="eastAsia" w:ascii="宋体" w:hAnsi="宋体" w:cs="宋体"/>
                <w:color w:val="auto"/>
                <w:sz w:val="21"/>
                <w:szCs w:val="21"/>
              </w:rPr>
              <w:t>（合同、验收证明、付款凭证复印件，3项证明材料缺一不得分）。</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kern w:val="0"/>
                <w:sz w:val="21"/>
                <w:szCs w:val="21"/>
              </w:rPr>
            </w:pPr>
            <w:r>
              <w:rPr>
                <w:rFonts w:hint="eastAsia" w:ascii="宋体" w:hAnsi="宋体" w:cs="宋体"/>
                <w:color w:val="auto"/>
                <w:sz w:val="21"/>
                <w:szCs w:val="21"/>
              </w:rPr>
              <w:t>3</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68" w:type="pct"/>
            <w:vAlign w:val="center"/>
          </w:tcPr>
          <w:p>
            <w:pPr>
              <w:pageBreakBefore w:val="0"/>
              <w:kinsoku/>
              <w:wordWrap/>
              <w:overflowPunct/>
              <w:topLinePunct w:val="0"/>
              <w:autoSpaceDE/>
              <w:autoSpaceDN/>
              <w:bidi w:val="0"/>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3028" w:type="pct"/>
            <w:vAlign w:val="center"/>
          </w:tcPr>
          <w:p>
            <w:pPr>
              <w:pStyle w:val="4"/>
              <w:pageBreakBefore w:val="0"/>
              <w:kinsoku/>
              <w:wordWrap/>
              <w:overflowPunct/>
              <w:topLinePunct w:val="0"/>
              <w:autoSpaceDE/>
              <w:autoSpaceDN/>
              <w:bidi w:val="0"/>
              <w:ind w:left="0" w:firstLine="0"/>
              <w:jc w:val="both"/>
              <w:rPr>
                <w:rFonts w:ascii="宋体" w:hAnsi="宋体" w:eastAsia="宋体" w:cs="宋体"/>
                <w:b w:val="0"/>
                <w:color w:val="auto"/>
                <w:sz w:val="21"/>
                <w:szCs w:val="21"/>
              </w:rPr>
            </w:pPr>
            <w:r>
              <w:rPr>
                <w:rFonts w:hint="eastAsia" w:ascii="宋体" w:hAnsi="宋体" w:eastAsia="宋体" w:cs="宋体"/>
                <w:b w:val="0"/>
                <w:color w:val="auto"/>
                <w:sz w:val="21"/>
                <w:szCs w:val="21"/>
              </w:rPr>
              <w:t>整体服务方案：评委对供应商提供的整体实施方案的合理性、完整性、设计思路进行评议</w:t>
            </w:r>
            <w:r>
              <w:rPr>
                <w:rFonts w:hint="eastAsia" w:ascii="宋体" w:hAnsi="宋体" w:eastAsia="宋体" w:cs="宋体"/>
                <w:b w:val="0"/>
                <w:bCs w:val="0"/>
                <w:color w:val="auto"/>
                <w:sz w:val="21"/>
                <w:szCs w:val="21"/>
              </w:rPr>
              <w:t>。</w:t>
            </w:r>
            <w:r>
              <w:rPr>
                <w:rFonts w:hint="eastAsia" w:ascii="宋体" w:hAnsi="宋体" w:eastAsia="宋体" w:cs="宋体"/>
                <w:b w:val="0"/>
                <w:color w:val="auto"/>
                <w:sz w:val="21"/>
                <w:szCs w:val="21"/>
              </w:rPr>
              <w:t>（0-5分）</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96" w:type="pct"/>
            <w:vAlign w:val="center"/>
          </w:tcPr>
          <w:p>
            <w:pPr>
              <w:pageBreakBefore w:val="0"/>
              <w:kinsoku/>
              <w:wordWrap/>
              <w:overflowPunct/>
              <w:topLinePunct w:val="0"/>
              <w:autoSpaceDE/>
              <w:autoSpaceDN/>
              <w:bidi w:val="0"/>
              <w:spacing w:line="360" w:lineRule="auto"/>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5</w:t>
            </w:r>
          </w:p>
        </w:tc>
        <w:tc>
          <w:tcPr>
            <w:tcW w:w="3028" w:type="pct"/>
            <w:vAlign w:val="center"/>
          </w:tcPr>
          <w:p>
            <w:pPr>
              <w:pageBreakBefore w:val="0"/>
              <w:kinsoku/>
              <w:wordWrap/>
              <w:overflowPunct/>
              <w:topLinePunct w:val="0"/>
              <w:autoSpaceDE/>
              <w:autoSpaceDN/>
              <w:bidi w:val="0"/>
              <w:spacing w:line="360" w:lineRule="auto"/>
              <w:outlineLvl w:val="0"/>
              <w:rPr>
                <w:rFonts w:ascii="宋体" w:hAnsi="宋体" w:cs="宋体"/>
                <w:color w:val="auto"/>
                <w:sz w:val="21"/>
                <w:szCs w:val="21"/>
              </w:rPr>
            </w:pPr>
            <w:r>
              <w:rPr>
                <w:rFonts w:hint="eastAsia" w:ascii="宋体" w:hAnsi="宋体" w:cs="宋体"/>
                <w:color w:val="auto"/>
                <w:sz w:val="21"/>
                <w:szCs w:val="21"/>
              </w:rPr>
              <w:t>整体服务方案：评委对供应商提供的</w:t>
            </w:r>
            <w:r>
              <w:rPr>
                <w:rFonts w:hint="eastAsia" w:ascii="宋体" w:hAnsi="宋体" w:cs="宋体"/>
                <w:color w:val="auto"/>
                <w:spacing w:val="-4"/>
                <w:sz w:val="21"/>
                <w:szCs w:val="21"/>
              </w:rPr>
              <w:t>施工组织方案、安装调试方案</w:t>
            </w:r>
            <w:r>
              <w:rPr>
                <w:rFonts w:hint="eastAsia" w:ascii="宋体" w:hAnsi="宋体" w:cs="宋体"/>
                <w:color w:val="auto"/>
                <w:sz w:val="21"/>
                <w:szCs w:val="21"/>
              </w:rPr>
              <w:t>进行评议。（0-5分）</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6</w:t>
            </w:r>
          </w:p>
        </w:tc>
        <w:tc>
          <w:tcPr>
            <w:tcW w:w="3028" w:type="pct"/>
            <w:vAlign w:val="center"/>
          </w:tcPr>
          <w:p>
            <w:pPr>
              <w:pageBreakBefore w:val="0"/>
              <w:kinsoku/>
              <w:wordWrap/>
              <w:overflowPunct/>
              <w:topLinePunct w:val="0"/>
              <w:autoSpaceDE/>
              <w:autoSpaceDN/>
              <w:bidi w:val="0"/>
              <w:spacing w:line="360" w:lineRule="auto"/>
              <w:outlineLvl w:val="0"/>
              <w:rPr>
                <w:rFonts w:ascii="宋体" w:hAnsi="宋体" w:cs="宋体"/>
                <w:color w:val="auto"/>
                <w:sz w:val="21"/>
                <w:szCs w:val="21"/>
              </w:rPr>
            </w:pPr>
            <w:r>
              <w:rPr>
                <w:rFonts w:hint="eastAsia" w:ascii="宋体" w:hAnsi="宋体" w:cs="宋体"/>
                <w:color w:val="auto"/>
                <w:sz w:val="21"/>
                <w:szCs w:val="21"/>
              </w:rPr>
              <w:t>整体服务方案：供应商针对本项目服务实施的重点难点分析及相应的解决措施。（0-5分）</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pageBreakBefore w:val="0"/>
              <w:kinsoku/>
              <w:wordWrap/>
              <w:overflowPunct/>
              <w:topLinePunct w:val="0"/>
              <w:autoSpaceDE/>
              <w:autoSpaceDN/>
              <w:bidi w:val="0"/>
              <w:spacing w:line="360" w:lineRule="auto"/>
              <w:ind w:firstLine="210" w:firstLineChars="100"/>
              <w:jc w:val="center"/>
              <w:outlineLvl w:val="0"/>
              <w:rPr>
                <w:rFonts w:ascii="宋体" w:hAnsi="宋体" w:cs="宋体"/>
                <w:color w:val="auto"/>
                <w:sz w:val="21"/>
                <w:szCs w:val="21"/>
              </w:rPr>
            </w:pPr>
          </w:p>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7</w:t>
            </w:r>
          </w:p>
        </w:tc>
        <w:tc>
          <w:tcPr>
            <w:tcW w:w="3028" w:type="pct"/>
            <w:vAlign w:val="center"/>
          </w:tcPr>
          <w:p>
            <w:pPr>
              <w:pageBreakBefore w:val="0"/>
              <w:kinsoku/>
              <w:wordWrap/>
              <w:overflowPunct/>
              <w:topLinePunct w:val="0"/>
              <w:autoSpaceDE/>
              <w:autoSpaceDN/>
              <w:bidi w:val="0"/>
              <w:spacing w:line="360" w:lineRule="auto"/>
              <w:rPr>
                <w:rFonts w:ascii="宋体" w:hAnsi="宋体" w:cs="宋体"/>
                <w:color w:val="auto"/>
                <w:kern w:val="0"/>
                <w:sz w:val="21"/>
                <w:szCs w:val="21"/>
              </w:rPr>
            </w:pPr>
            <w:r>
              <w:rPr>
                <w:rFonts w:hint="eastAsia" w:ascii="宋体" w:hAnsi="宋体" w:cs="宋体"/>
                <w:color w:val="auto"/>
                <w:kern w:val="0"/>
                <w:sz w:val="21"/>
                <w:szCs w:val="21"/>
              </w:rPr>
              <w:t>技术力量：项目负责人具有建筑施工企业项目负责人安全生产考核合格证书（B证）的得1分；具有二级建造师的得1分；具有一级建造师的得2分；具有一级建造师同时具有高级工程师职称的得3分；本项最高得4分（提供项目负责人相应证书复印件及近六个月社保缴纳证明）。</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8</w:t>
            </w:r>
          </w:p>
        </w:tc>
        <w:tc>
          <w:tcPr>
            <w:tcW w:w="3028" w:type="pct"/>
            <w:vAlign w:val="center"/>
          </w:tcPr>
          <w:p>
            <w:pPr>
              <w:pStyle w:val="7"/>
              <w:pageBreakBefore w:val="0"/>
              <w:kinsoku/>
              <w:wordWrap/>
              <w:overflowPunct/>
              <w:topLinePunct w:val="0"/>
              <w:autoSpaceDE/>
              <w:autoSpaceDN/>
              <w:bidi w:val="0"/>
              <w:spacing w:line="360" w:lineRule="auto"/>
              <w:ind w:firstLine="0" w:firstLineChars="0"/>
              <w:rPr>
                <w:rFonts w:cs="宋体"/>
                <w:color w:val="auto"/>
                <w:sz w:val="21"/>
                <w:szCs w:val="21"/>
              </w:rPr>
            </w:pPr>
            <w:r>
              <w:rPr>
                <w:rFonts w:hint="eastAsia" w:cs="宋体"/>
                <w:color w:val="auto"/>
                <w:sz w:val="21"/>
                <w:szCs w:val="21"/>
              </w:rPr>
              <w:t>（1）</w:t>
            </w:r>
            <w:r>
              <w:rPr>
                <w:rFonts w:hint="eastAsia" w:cs="宋体"/>
                <w:color w:val="auto"/>
                <w:kern w:val="0"/>
                <w:sz w:val="21"/>
                <w:szCs w:val="21"/>
              </w:rPr>
              <w:t>技术负责人具有中级职称的得0.5分，具有高级职称及以上的得1分；</w:t>
            </w:r>
          </w:p>
          <w:p>
            <w:pPr>
              <w:pStyle w:val="7"/>
              <w:pageBreakBefore w:val="0"/>
              <w:kinsoku/>
              <w:wordWrap/>
              <w:overflowPunct/>
              <w:topLinePunct w:val="0"/>
              <w:autoSpaceDE/>
              <w:autoSpaceDN/>
              <w:bidi w:val="0"/>
              <w:spacing w:line="360" w:lineRule="auto"/>
              <w:ind w:firstLine="0" w:firstLineChars="0"/>
              <w:rPr>
                <w:rFonts w:cs="宋体"/>
                <w:color w:val="auto"/>
                <w:kern w:val="0"/>
                <w:sz w:val="21"/>
                <w:szCs w:val="21"/>
              </w:rPr>
            </w:pPr>
            <w:r>
              <w:rPr>
                <w:rFonts w:hint="eastAsia" w:cs="宋体"/>
                <w:color w:val="auto"/>
                <w:sz w:val="21"/>
                <w:szCs w:val="21"/>
              </w:rPr>
              <w:t>（2）</w:t>
            </w:r>
            <w:r>
              <w:rPr>
                <w:rFonts w:hint="eastAsia" w:cs="宋体"/>
                <w:color w:val="auto"/>
                <w:kern w:val="0"/>
                <w:sz w:val="21"/>
                <w:szCs w:val="21"/>
              </w:rPr>
              <w:t>项目组成员（除项目负责人、技术负责人）安全员(建安C证)、资料员、材料员、质量员、施工员、标准员、劳务员、机械员取得相应证书的每个得1分。最高8分。</w:t>
            </w:r>
          </w:p>
          <w:p>
            <w:pPr>
              <w:pageBreakBefore w:val="0"/>
              <w:kinsoku/>
              <w:wordWrap/>
              <w:overflowPunct/>
              <w:topLinePunct w:val="0"/>
              <w:autoSpaceDE/>
              <w:autoSpaceDN/>
              <w:bidi w:val="0"/>
              <w:adjustRightInd/>
              <w:spacing w:line="360" w:lineRule="auto"/>
              <w:rPr>
                <w:rFonts w:ascii="宋体" w:hAnsi="宋体" w:cs="宋体"/>
                <w:color w:val="auto"/>
                <w:kern w:val="0"/>
                <w:sz w:val="21"/>
                <w:szCs w:val="21"/>
              </w:rPr>
            </w:pPr>
            <w:r>
              <w:rPr>
                <w:rFonts w:hint="eastAsia" w:ascii="宋体" w:hAnsi="宋体" w:cs="宋体"/>
                <w:color w:val="auto"/>
                <w:kern w:val="0"/>
                <w:sz w:val="21"/>
                <w:szCs w:val="21"/>
              </w:rPr>
              <w:t>（3）具有售后服务管理师证书的一人得1分，最高得2分。（提供售后服务管理师证书复印件）</w:t>
            </w:r>
          </w:p>
          <w:p>
            <w:pPr>
              <w:pStyle w:val="7"/>
              <w:pageBreakBefore w:val="0"/>
              <w:kinsoku/>
              <w:wordWrap/>
              <w:overflowPunct/>
              <w:topLinePunct w:val="0"/>
              <w:autoSpaceDE/>
              <w:autoSpaceDN/>
              <w:bidi w:val="0"/>
              <w:spacing w:line="360" w:lineRule="auto"/>
              <w:ind w:firstLine="0" w:firstLineChars="0"/>
              <w:rPr>
                <w:rFonts w:cs="宋体"/>
                <w:snapToGrid w:val="0"/>
                <w:color w:val="auto"/>
                <w:sz w:val="21"/>
                <w:szCs w:val="21"/>
              </w:rPr>
            </w:pPr>
            <w:r>
              <w:rPr>
                <w:rFonts w:hint="eastAsia" w:cs="宋体"/>
                <w:color w:val="auto"/>
                <w:kern w:val="0"/>
                <w:sz w:val="21"/>
                <w:szCs w:val="21"/>
              </w:rPr>
              <w:t>（提供项目组成员清单及人员近六个月社保缴纳证明、相应证书复印件）</w:t>
            </w:r>
            <w:r>
              <w:rPr>
                <w:rFonts w:hint="eastAsia" w:cs="宋体"/>
                <w:color w:val="auto"/>
                <w:sz w:val="21"/>
                <w:szCs w:val="21"/>
              </w:rPr>
              <w:t xml:space="preserve"> </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sz w:val="21"/>
                <w:szCs w:val="21"/>
              </w:rPr>
            </w:pPr>
            <w:r>
              <w:rPr>
                <w:rFonts w:hint="eastAsia" w:ascii="宋体" w:hAnsi="宋体" w:cs="宋体"/>
                <w:color w:val="auto"/>
                <w:sz w:val="21"/>
                <w:szCs w:val="21"/>
              </w:rPr>
              <w:t>11</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9</w:t>
            </w:r>
          </w:p>
        </w:tc>
        <w:tc>
          <w:tcPr>
            <w:tcW w:w="3028" w:type="pct"/>
            <w:vAlign w:val="center"/>
          </w:tcPr>
          <w:p>
            <w:pPr>
              <w:pageBreakBefore w:val="0"/>
              <w:kinsoku/>
              <w:wordWrap/>
              <w:overflowPunct/>
              <w:topLinePunct w:val="0"/>
              <w:autoSpaceDE/>
              <w:autoSpaceDN/>
              <w:bidi w:val="0"/>
              <w:spacing w:line="360" w:lineRule="auto"/>
              <w:jc w:val="left"/>
              <w:textAlignment w:val="center"/>
              <w:rPr>
                <w:rFonts w:ascii="宋体" w:hAnsi="宋体" w:cs="宋体"/>
                <w:color w:val="auto"/>
                <w:sz w:val="21"/>
                <w:szCs w:val="21"/>
              </w:rPr>
            </w:pPr>
            <w:r>
              <w:rPr>
                <w:rFonts w:hint="eastAsia" w:ascii="宋体" w:hAnsi="宋体" w:cs="宋体"/>
                <w:color w:val="auto"/>
                <w:sz w:val="21"/>
                <w:szCs w:val="21"/>
              </w:rPr>
              <w:t>拟投入本项目的车辆情况：</w:t>
            </w:r>
          </w:p>
          <w:p>
            <w:pPr>
              <w:pageBreakBefore w:val="0"/>
              <w:kinsoku/>
              <w:wordWrap/>
              <w:overflowPunct/>
              <w:topLinePunct w:val="0"/>
              <w:autoSpaceDE/>
              <w:autoSpaceDN/>
              <w:bidi w:val="0"/>
              <w:spacing w:line="360" w:lineRule="auto"/>
              <w:jc w:val="left"/>
              <w:textAlignment w:val="center"/>
              <w:rPr>
                <w:rFonts w:ascii="宋体" w:hAnsi="宋体" w:cs="宋体"/>
                <w:color w:val="auto"/>
                <w:sz w:val="21"/>
                <w:szCs w:val="21"/>
              </w:rPr>
            </w:pPr>
            <w:r>
              <w:rPr>
                <w:rFonts w:hint="eastAsia" w:ascii="宋体" w:hAnsi="宋体" w:cs="宋体"/>
                <w:color w:val="auto"/>
                <w:sz w:val="21"/>
                <w:szCs w:val="21"/>
              </w:rPr>
              <w:t>（1）供应商自有</w:t>
            </w:r>
            <w:r>
              <w:rPr>
                <w:rFonts w:hint="eastAsia" w:ascii="宋体" w:hAnsi="宋体" w:cs="宋体"/>
                <w:color w:val="auto"/>
                <w:sz w:val="21"/>
                <w:szCs w:val="21"/>
                <w:lang w:val="en-US" w:eastAsia="zh-CN"/>
              </w:rPr>
              <w:t>或</w:t>
            </w:r>
            <w:r>
              <w:rPr>
                <w:rFonts w:hint="eastAsia" w:ascii="宋体" w:hAnsi="宋体" w:cs="宋体"/>
                <w:color w:val="auto"/>
                <w:sz w:val="21"/>
                <w:szCs w:val="21"/>
              </w:rPr>
              <w:t xml:space="preserve">租赁的登高车1辆的得1分，每增加一辆加1分，最多得3分。（登高车需为专项作业车） </w:t>
            </w:r>
          </w:p>
          <w:p>
            <w:pPr>
              <w:pStyle w:val="7"/>
              <w:pageBreakBefore w:val="0"/>
              <w:kinsoku/>
              <w:wordWrap/>
              <w:overflowPunct/>
              <w:topLinePunct w:val="0"/>
              <w:autoSpaceDE/>
              <w:autoSpaceDN/>
              <w:bidi w:val="0"/>
              <w:spacing w:line="360" w:lineRule="auto"/>
              <w:ind w:firstLine="0" w:firstLineChars="0"/>
              <w:rPr>
                <w:rFonts w:cs="宋体"/>
                <w:color w:val="auto"/>
                <w:sz w:val="21"/>
                <w:szCs w:val="21"/>
              </w:rPr>
            </w:pPr>
            <w:r>
              <w:rPr>
                <w:rFonts w:hint="eastAsia" w:cs="宋体"/>
                <w:color w:val="auto"/>
                <w:sz w:val="21"/>
                <w:szCs w:val="21"/>
              </w:rPr>
              <w:t>（2）供应商自有</w:t>
            </w:r>
            <w:r>
              <w:rPr>
                <w:rFonts w:hint="eastAsia" w:ascii="宋体" w:hAnsi="宋体" w:cs="宋体"/>
                <w:color w:val="auto"/>
                <w:sz w:val="21"/>
                <w:szCs w:val="21"/>
                <w:lang w:val="en-US" w:eastAsia="zh-CN"/>
              </w:rPr>
              <w:t>或</w:t>
            </w:r>
            <w:r>
              <w:rPr>
                <w:rFonts w:hint="eastAsia" w:ascii="宋体" w:hAnsi="宋体" w:cs="宋体"/>
                <w:color w:val="auto"/>
                <w:sz w:val="21"/>
                <w:szCs w:val="21"/>
              </w:rPr>
              <w:t>租赁的</w:t>
            </w:r>
            <w:r>
              <w:rPr>
                <w:rFonts w:hint="eastAsia" w:cs="宋体"/>
                <w:color w:val="auto"/>
                <w:sz w:val="21"/>
                <w:szCs w:val="21"/>
              </w:rPr>
              <w:t>货车1辆的得1分，每增加一辆加1分，最多得3分。</w:t>
            </w:r>
          </w:p>
          <w:p>
            <w:pPr>
              <w:pageBreakBefore w:val="0"/>
              <w:kinsoku/>
              <w:wordWrap/>
              <w:overflowPunct/>
              <w:topLinePunct w:val="0"/>
              <w:autoSpaceDE/>
              <w:autoSpaceDN/>
              <w:bidi w:val="0"/>
              <w:spacing w:line="360" w:lineRule="auto"/>
              <w:ind w:right="3"/>
              <w:rPr>
                <w:rFonts w:ascii="宋体" w:hAnsi="宋体" w:cs="宋体"/>
                <w:snapToGrid w:val="0"/>
                <w:color w:val="auto"/>
                <w:sz w:val="21"/>
                <w:szCs w:val="21"/>
              </w:rPr>
            </w:pPr>
            <w:r>
              <w:rPr>
                <w:rFonts w:hint="eastAsia" w:ascii="宋体" w:hAnsi="宋体" w:cs="宋体"/>
                <w:color w:val="auto"/>
                <w:sz w:val="21"/>
                <w:szCs w:val="21"/>
              </w:rPr>
              <w:t>投标文件中提供供应商自有的车辆行驶证、购置发票复印件加盖公章（租赁的需提供租赁合同、车辆行驶证）。</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sz w:val="21"/>
                <w:szCs w:val="21"/>
              </w:rPr>
            </w:pPr>
            <w:r>
              <w:rPr>
                <w:rFonts w:hint="eastAsia" w:ascii="宋体" w:hAnsi="宋体" w:cs="宋体"/>
                <w:color w:val="auto"/>
                <w:sz w:val="21"/>
                <w:szCs w:val="21"/>
              </w:rPr>
              <w:t>6</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10</w:t>
            </w:r>
          </w:p>
        </w:tc>
        <w:tc>
          <w:tcPr>
            <w:tcW w:w="3028" w:type="pct"/>
            <w:vAlign w:val="center"/>
          </w:tcPr>
          <w:p>
            <w:pPr>
              <w:pageBreakBefore w:val="0"/>
              <w:kinsoku/>
              <w:wordWrap/>
              <w:overflowPunct/>
              <w:topLinePunct w:val="0"/>
              <w:autoSpaceDE/>
              <w:autoSpaceDN/>
              <w:bidi w:val="0"/>
              <w:snapToGrid w:val="0"/>
              <w:spacing w:line="360" w:lineRule="auto"/>
              <w:rPr>
                <w:rStyle w:val="964"/>
                <w:rFonts w:ascii="宋体" w:hAnsi="宋体" w:eastAsia="宋体" w:cs="宋体"/>
                <w:b w:val="0"/>
                <w:color w:val="auto"/>
                <w:sz w:val="21"/>
                <w:szCs w:val="21"/>
              </w:rPr>
            </w:pPr>
            <w:r>
              <w:rPr>
                <w:rFonts w:hint="eastAsia" w:ascii="宋体" w:hAnsi="宋体" w:cs="宋体"/>
                <w:color w:val="auto"/>
                <w:sz w:val="21"/>
                <w:szCs w:val="21"/>
              </w:rPr>
              <w:t>服务质量保证：</w:t>
            </w:r>
            <w:r>
              <w:rPr>
                <w:rFonts w:hint="eastAsia" w:ascii="宋体" w:hAnsi="宋体" w:cs="宋体"/>
                <w:color w:val="auto"/>
                <w:sz w:val="21"/>
                <w:szCs w:val="21"/>
                <w:shd w:val="clear" w:color="auto" w:fill="FFFFFF"/>
              </w:rPr>
              <w:t>评委对供应商的服务保障体系（包括日常维护机制，技术服务体系详细、可操作性）等方案进行评议。（0-5分）</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11</w:t>
            </w:r>
          </w:p>
        </w:tc>
        <w:tc>
          <w:tcPr>
            <w:tcW w:w="3028" w:type="pct"/>
            <w:vAlign w:val="center"/>
          </w:tcPr>
          <w:p>
            <w:pPr>
              <w:pageBreakBefore w:val="0"/>
              <w:kinsoku/>
              <w:wordWrap/>
              <w:overflowPunct/>
              <w:topLinePunct w:val="0"/>
              <w:autoSpaceDE/>
              <w:autoSpaceDN/>
              <w:bidi w:val="0"/>
              <w:snapToGrid w:val="0"/>
              <w:spacing w:line="360" w:lineRule="auto"/>
              <w:rPr>
                <w:rStyle w:val="964"/>
                <w:rFonts w:ascii="宋体" w:hAnsi="宋体" w:eastAsia="宋体" w:cs="宋体"/>
                <w:b w:val="0"/>
                <w:color w:val="auto"/>
                <w:sz w:val="21"/>
                <w:szCs w:val="21"/>
              </w:rPr>
            </w:pPr>
            <w:r>
              <w:rPr>
                <w:rFonts w:hint="eastAsia" w:ascii="宋体" w:hAnsi="宋体" w:cs="宋体"/>
                <w:color w:val="auto"/>
                <w:sz w:val="21"/>
                <w:szCs w:val="21"/>
              </w:rPr>
              <w:t>安全措施：</w:t>
            </w:r>
            <w:r>
              <w:rPr>
                <w:rFonts w:hint="eastAsia" w:ascii="宋体" w:hAnsi="宋体" w:cs="宋体"/>
                <w:color w:val="auto"/>
                <w:sz w:val="21"/>
                <w:szCs w:val="21"/>
                <w:shd w:val="clear" w:color="auto" w:fill="FFFFFF"/>
              </w:rPr>
              <w:t>根据投标人安全措施的科学性、可行性，安全责任制度的全面性进行评分。（0-5分）</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12</w:t>
            </w:r>
          </w:p>
        </w:tc>
        <w:tc>
          <w:tcPr>
            <w:tcW w:w="3028" w:type="pct"/>
            <w:vAlign w:val="center"/>
          </w:tcPr>
          <w:p>
            <w:pPr>
              <w:pageBreakBefore w:val="0"/>
              <w:kinsoku/>
              <w:wordWrap/>
              <w:overflowPunct/>
              <w:topLinePunct w:val="0"/>
              <w:autoSpaceDE/>
              <w:autoSpaceDN/>
              <w:bidi w:val="0"/>
              <w:snapToGrid w:val="0"/>
              <w:spacing w:line="360" w:lineRule="auto"/>
              <w:rPr>
                <w:rStyle w:val="964"/>
                <w:rFonts w:ascii="宋体" w:hAnsi="宋体" w:eastAsia="宋体" w:cs="宋体"/>
                <w:b w:val="0"/>
                <w:color w:val="auto"/>
                <w:sz w:val="21"/>
                <w:szCs w:val="21"/>
              </w:rPr>
            </w:pPr>
            <w:r>
              <w:rPr>
                <w:rFonts w:hint="eastAsia" w:ascii="宋体" w:hAnsi="宋体" w:cs="宋体"/>
                <w:color w:val="auto"/>
                <w:sz w:val="21"/>
                <w:szCs w:val="21"/>
              </w:rPr>
              <w:t>服务响应：</w:t>
            </w:r>
            <w:r>
              <w:rPr>
                <w:rFonts w:hint="eastAsia" w:ascii="宋体" w:hAnsi="宋体" w:cs="宋体"/>
                <w:color w:val="auto"/>
                <w:sz w:val="21"/>
                <w:szCs w:val="21"/>
                <w:shd w:val="clear" w:color="auto" w:fill="FFFFFF"/>
              </w:rPr>
              <w:t>根据供应商提供的服务内容、响应时间、故障修复时间以及服务保障制度等内容进行综合评议。（0-4分）</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13</w:t>
            </w:r>
          </w:p>
        </w:tc>
        <w:tc>
          <w:tcPr>
            <w:tcW w:w="3028" w:type="pct"/>
            <w:vAlign w:val="center"/>
          </w:tcPr>
          <w:p>
            <w:pPr>
              <w:pageBreakBefore w:val="0"/>
              <w:kinsoku/>
              <w:wordWrap/>
              <w:overflowPunct/>
              <w:topLinePunct w:val="0"/>
              <w:autoSpaceDE/>
              <w:autoSpaceDN/>
              <w:bidi w:val="0"/>
              <w:adjustRightInd/>
              <w:spacing w:line="360" w:lineRule="auto"/>
              <w:rPr>
                <w:rStyle w:val="964"/>
                <w:rFonts w:ascii="宋体" w:hAnsi="宋体" w:eastAsia="宋体" w:cs="宋体"/>
                <w:b w:val="0"/>
                <w:color w:val="auto"/>
                <w:sz w:val="21"/>
                <w:szCs w:val="21"/>
              </w:rPr>
            </w:pPr>
            <w:r>
              <w:rPr>
                <w:rFonts w:hint="eastAsia" w:ascii="宋体" w:hAnsi="宋体" w:cs="宋体"/>
                <w:color w:val="auto"/>
                <w:sz w:val="21"/>
                <w:szCs w:val="21"/>
              </w:rPr>
              <w:t>本地化综合服务能力：根据投标人在项目所在地是否设有常住机构（如办事机构等），设有常住机构得3分；设有固定办公场所得2分，本项最高5分。（提供常住机构营业执照，固定办公场所房产证或房屋租赁协议证明，否则不得分）</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sz w:val="21"/>
                <w:szCs w:val="21"/>
              </w:rPr>
            </w:pPr>
            <w:r>
              <w:rPr>
                <w:rFonts w:hint="eastAsia" w:ascii="宋体" w:hAnsi="宋体" w:cs="宋体"/>
                <w:color w:val="auto"/>
                <w:sz w:val="21"/>
                <w:szCs w:val="21"/>
              </w:rPr>
              <w:t>5</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14</w:t>
            </w:r>
          </w:p>
        </w:tc>
        <w:tc>
          <w:tcPr>
            <w:tcW w:w="3028" w:type="pct"/>
            <w:vAlign w:val="center"/>
          </w:tcPr>
          <w:p>
            <w:pPr>
              <w:pageBreakBefore w:val="0"/>
              <w:kinsoku/>
              <w:wordWrap/>
              <w:overflowPunct/>
              <w:topLinePunct w:val="0"/>
              <w:autoSpaceDE/>
              <w:autoSpaceDN/>
              <w:bidi w:val="0"/>
              <w:snapToGrid w:val="0"/>
              <w:spacing w:line="360" w:lineRule="auto"/>
              <w:rPr>
                <w:rStyle w:val="964"/>
                <w:rFonts w:ascii="宋体" w:hAnsi="宋体" w:eastAsia="宋体" w:cs="宋体"/>
                <w:b w:val="0"/>
                <w:color w:val="auto"/>
                <w:sz w:val="21"/>
                <w:szCs w:val="21"/>
              </w:rPr>
            </w:pPr>
            <w:r>
              <w:rPr>
                <w:rFonts w:hint="eastAsia" w:ascii="宋体" w:hAnsi="宋体" w:cs="宋体"/>
                <w:color w:val="auto"/>
                <w:sz w:val="21"/>
                <w:szCs w:val="21"/>
              </w:rPr>
              <w:t>合理化建议：</w:t>
            </w:r>
            <w:r>
              <w:rPr>
                <w:rFonts w:hint="eastAsia" w:ascii="宋体" w:hAnsi="宋体" w:cs="宋体"/>
                <w:color w:val="auto"/>
                <w:spacing w:val="-4"/>
                <w:sz w:val="21"/>
                <w:szCs w:val="21"/>
              </w:rPr>
              <w:t>评委根据供应商提供的合理化建议进行评议。</w:t>
            </w:r>
            <w:r>
              <w:rPr>
                <w:rFonts w:hint="eastAsia" w:ascii="宋体" w:hAnsi="宋体" w:cs="宋体"/>
                <w:color w:val="auto"/>
                <w:sz w:val="21"/>
                <w:szCs w:val="21"/>
                <w:shd w:val="clear" w:color="auto" w:fill="FFFFFF"/>
              </w:rPr>
              <w:t>（0-3分）</w:t>
            </w:r>
          </w:p>
        </w:tc>
        <w:tc>
          <w:tcPr>
            <w:tcW w:w="408" w:type="pct"/>
            <w:vAlign w:val="center"/>
          </w:tcPr>
          <w:p>
            <w:pPr>
              <w:pageBreakBefore w:val="0"/>
              <w:kinsoku/>
              <w:wordWrap/>
              <w:overflowPunct/>
              <w:topLinePunct w:val="0"/>
              <w:autoSpaceDE/>
              <w:autoSpaceDN/>
              <w:bidi w:val="0"/>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6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15</w:t>
            </w:r>
          </w:p>
        </w:tc>
        <w:tc>
          <w:tcPr>
            <w:tcW w:w="3028" w:type="pct"/>
            <w:vAlign w:val="center"/>
          </w:tcPr>
          <w:p>
            <w:pPr>
              <w:pageBreakBefore w:val="0"/>
              <w:kinsoku/>
              <w:wordWrap/>
              <w:overflowPunct/>
              <w:topLinePunct w:val="0"/>
              <w:autoSpaceDE/>
              <w:autoSpaceDN/>
              <w:bidi w:val="0"/>
              <w:spacing w:line="360" w:lineRule="auto"/>
              <w:rPr>
                <w:rFonts w:ascii="宋体" w:hAnsi="宋体" w:cs="宋体"/>
                <w:bCs/>
                <w:color w:val="auto"/>
                <w:sz w:val="21"/>
                <w:szCs w:val="21"/>
              </w:rPr>
            </w:pPr>
            <w:r>
              <w:rPr>
                <w:rFonts w:hint="eastAsia" w:ascii="宋体" w:hAnsi="宋体" w:cs="宋体"/>
                <w:bCs/>
                <w:color w:val="auto"/>
                <w:sz w:val="21"/>
                <w:szCs w:val="21"/>
              </w:rPr>
              <w:t>有效投标报价（1-让利幅度）的最低价作为评标基准价，其最低报价（1-让利幅度）为满分；按［投标报价得分=【评标基准价/投标报价（1-让利幅度）】*30］的计算公式计算。</w:t>
            </w:r>
          </w:p>
          <w:p>
            <w:pPr>
              <w:pStyle w:val="785"/>
              <w:pageBreakBefore w:val="0"/>
              <w:widowControl w:val="0"/>
              <w:kinsoku/>
              <w:wordWrap/>
              <w:overflowPunct/>
              <w:topLinePunct w:val="0"/>
              <w:autoSpaceDE/>
              <w:autoSpaceDN/>
              <w:bidi w:val="0"/>
              <w:spacing w:line="360" w:lineRule="auto"/>
              <w:rPr>
                <w:rFonts w:ascii="宋体" w:hAnsi="宋体" w:cs="宋体"/>
                <w:bCs/>
                <w:color w:val="auto"/>
                <w:kern w:val="2"/>
                <w:sz w:val="21"/>
                <w:szCs w:val="21"/>
              </w:rPr>
            </w:pPr>
            <w:r>
              <w:rPr>
                <w:rFonts w:hint="eastAsia" w:ascii="宋体" w:hAnsi="宋体" w:cs="宋体"/>
                <w:bCs/>
                <w:color w:val="auto"/>
                <w:kern w:val="2"/>
                <w:sz w:val="21"/>
                <w:szCs w:val="21"/>
              </w:rPr>
              <w:t>评标过程中，不得去掉报价中的最高报价和最低报价。</w:t>
            </w:r>
          </w:p>
          <w:p>
            <w:pPr>
              <w:pageBreakBefore w:val="0"/>
              <w:kinsoku/>
              <w:wordWrap/>
              <w:overflowPunct/>
              <w:topLinePunct w:val="0"/>
              <w:autoSpaceDE/>
              <w:autoSpaceDN/>
              <w:bidi w:val="0"/>
              <w:snapToGrid w:val="0"/>
              <w:spacing w:line="360" w:lineRule="auto"/>
              <w:rPr>
                <w:rFonts w:ascii="宋体" w:hAnsi="宋体" w:cs="宋体"/>
                <w:color w:val="auto"/>
                <w:sz w:val="21"/>
                <w:szCs w:val="21"/>
              </w:rPr>
            </w:pPr>
            <w:r>
              <w:rPr>
                <w:rFonts w:hint="eastAsia" w:ascii="宋体" w:hAnsi="宋体" w:cs="宋体"/>
                <w:b/>
                <w:color w:val="auto"/>
                <w:sz w:val="21"/>
                <w:szCs w:val="21"/>
              </w:rPr>
              <w:t>说明：投标让利幅度为10%，则为9折。</w:t>
            </w:r>
          </w:p>
        </w:tc>
        <w:tc>
          <w:tcPr>
            <w:tcW w:w="408"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r>
              <w:rPr>
                <w:rFonts w:hint="eastAsia" w:ascii="宋体" w:hAnsi="宋体" w:cs="宋体"/>
                <w:color w:val="auto"/>
                <w:sz w:val="21"/>
                <w:szCs w:val="21"/>
              </w:rPr>
              <w:t>30</w:t>
            </w:r>
          </w:p>
        </w:tc>
        <w:tc>
          <w:tcPr>
            <w:tcW w:w="1096" w:type="pct"/>
            <w:vAlign w:val="center"/>
          </w:tcPr>
          <w:p>
            <w:pPr>
              <w:pageBreakBefore w:val="0"/>
              <w:kinsoku/>
              <w:wordWrap/>
              <w:overflowPunct/>
              <w:topLinePunct w:val="0"/>
              <w:autoSpaceDE/>
              <w:autoSpaceDN/>
              <w:bidi w:val="0"/>
              <w:spacing w:line="360" w:lineRule="auto"/>
              <w:jc w:val="center"/>
              <w:outlineLvl w:val="0"/>
              <w:rPr>
                <w:rFonts w:ascii="宋体" w:hAnsi="宋体" w:cs="宋体"/>
                <w:color w:val="auto"/>
                <w:sz w:val="21"/>
                <w:szCs w:val="21"/>
              </w:rPr>
            </w:pPr>
          </w:p>
        </w:tc>
      </w:tr>
    </w:tbl>
    <w:p>
      <w:pPr>
        <w:snapToGrid w:val="0"/>
        <w:spacing w:line="360" w:lineRule="auto"/>
        <w:rPr>
          <w:rFonts w:ascii="宋体" w:hAnsi="宋体" w:cs="宋体"/>
          <w:b/>
          <w:color w:val="auto"/>
          <w:sz w:val="24"/>
        </w:rPr>
      </w:pPr>
      <w:r>
        <w:rPr>
          <w:rFonts w:hint="eastAsia" w:ascii="宋体" w:hAnsi="宋体" w:cs="宋体"/>
          <w:color w:val="auto"/>
          <w:sz w:val="24"/>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4"/>
        </w:rPr>
      </w:pPr>
      <w:r>
        <w:rPr>
          <w:rFonts w:hint="eastAsia" w:ascii="宋体" w:hAnsi="宋体" w:cs="宋体"/>
          <w:b/>
          <w:color w:val="auto"/>
          <w:sz w:val="24"/>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57"/>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57"/>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57"/>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57"/>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57"/>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57"/>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57"/>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7"/>
        <w:spacing w:before="0"/>
        <w:ind w:firstLine="720" w:firstLineChars="30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57"/>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有下列情况之一的，投标无效：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4.2.12投标人仅提交备份投标文件，没有在电子交易平台传输递交投标文件的，投标无效；</w:t>
      </w:r>
    </w:p>
    <w:p>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7"/>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7"/>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7"/>
        <w:snapToGrid w:val="0"/>
        <w:spacing w:line="360" w:lineRule="auto"/>
        <w:rPr>
          <w:rFonts w:cs="宋体"/>
          <w:color w:val="auto"/>
        </w:rPr>
      </w:pPr>
      <w:r>
        <w:rPr>
          <w:rFonts w:hint="eastAsia" w:cs="宋体"/>
          <w:color w:val="auto"/>
        </w:rPr>
        <w:t>5.2出现影响采购公正的违法、违规行为的；</w:t>
      </w:r>
    </w:p>
    <w:p>
      <w:pPr>
        <w:pStyle w:val="7"/>
        <w:snapToGrid w:val="0"/>
        <w:spacing w:line="360" w:lineRule="auto"/>
        <w:rPr>
          <w:rFonts w:cs="宋体"/>
          <w:color w:val="auto"/>
        </w:rPr>
      </w:pPr>
      <w:r>
        <w:rPr>
          <w:rFonts w:hint="eastAsia" w:cs="宋体"/>
          <w:color w:val="auto"/>
        </w:rPr>
        <w:t>5.3投标人的报价均超过了采购预算，采购人不能支付的；</w:t>
      </w:r>
    </w:p>
    <w:p>
      <w:pPr>
        <w:pStyle w:val="7"/>
        <w:snapToGrid w:val="0"/>
        <w:spacing w:line="360" w:lineRule="auto"/>
        <w:rPr>
          <w:rFonts w:cs="宋体"/>
          <w:color w:val="auto"/>
        </w:rPr>
      </w:pPr>
      <w:r>
        <w:rPr>
          <w:rFonts w:hint="eastAsia" w:cs="宋体"/>
          <w:color w:val="auto"/>
        </w:rPr>
        <w:t>5.4因重大变故，采购任务取消的。</w:t>
      </w:r>
    </w:p>
    <w:p>
      <w:pPr>
        <w:pStyle w:val="7"/>
        <w:snapToGrid w:val="0"/>
        <w:spacing w:line="360" w:lineRule="auto"/>
        <w:rPr>
          <w:rFonts w:cs="宋体"/>
          <w:color w:val="auto"/>
        </w:rPr>
      </w:pPr>
      <w:r>
        <w:rPr>
          <w:rFonts w:hint="eastAsia" w:cs="宋体"/>
          <w:color w:val="auto"/>
        </w:rPr>
        <w:t>废标后，采购代理机构应当将废标理由通知所有投标人。</w:t>
      </w:r>
    </w:p>
    <w:p>
      <w:pPr>
        <w:pStyle w:val="7"/>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7"/>
        <w:snapToGrid w:val="0"/>
        <w:spacing w:line="360" w:lineRule="auto"/>
        <w:ind w:firstLine="590" w:firstLineChars="245"/>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cs="宋体"/>
          <w:color w:val="auto"/>
        </w:rPr>
      </w:pPr>
      <w:r>
        <w:rPr>
          <w:rFonts w:hint="eastAsia" w:cs="宋体"/>
          <w:color w:val="auto"/>
        </w:rPr>
        <w:t>7.1未确定中标或者中标人的，终止本次政府采购活动，重新开展政府采购活动。</w:t>
      </w:r>
    </w:p>
    <w:p>
      <w:pPr>
        <w:pStyle w:val="7"/>
        <w:snapToGrid w:val="0"/>
        <w:spacing w:line="360" w:lineRule="auto"/>
        <w:ind w:firstLine="600" w:firstLineChars="250"/>
        <w:rPr>
          <w:rFonts w:cs="宋体"/>
          <w:color w:val="auto"/>
        </w:rPr>
      </w:pPr>
      <w:r>
        <w:rPr>
          <w:rFonts w:hint="eastAsia" w:cs="宋体"/>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cs="宋体"/>
          <w:color w:val="auto"/>
        </w:rPr>
      </w:pPr>
      <w:r>
        <w:rPr>
          <w:rFonts w:hint="eastAsia" w:cs="宋体"/>
          <w:color w:val="auto"/>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7"/>
        <w:snapToGrid w:val="0"/>
        <w:spacing w:line="360" w:lineRule="auto"/>
        <w:rPr>
          <w:rFonts w:cs="宋体"/>
          <w:color w:val="auto"/>
        </w:rPr>
      </w:pPr>
      <w:r>
        <w:rPr>
          <w:rFonts w:hint="eastAsia" w:cs="宋体"/>
          <w:color w:val="auto"/>
        </w:rPr>
        <w:t>7.5政府采购当事人有其他违反政府采购法</w:t>
      </w:r>
      <w:r>
        <w:rPr>
          <w:rFonts w:hint="eastAsia" w:cs="宋体"/>
          <w:color w:val="auto"/>
          <w:kern w:val="0"/>
        </w:rPr>
        <w:t>或者政府采购法实施条例等法律法规规定</w:t>
      </w:r>
      <w:r>
        <w:rPr>
          <w:rFonts w:hint="eastAsia" w:cs="宋体"/>
          <w:color w:val="auto"/>
        </w:rPr>
        <w:t>的行为，经改正后仍然影响或者可能影响中标、成交结果或者依法被认定为中标、成交无效的，依照7.1-7.4规定处理。</w:t>
      </w:r>
    </w:p>
    <w:bookmarkEnd w:id="26"/>
    <w:p>
      <w:pPr>
        <w:spacing w:line="360" w:lineRule="auto"/>
        <w:ind w:left="720" w:leftChars="343" w:firstLine="1084" w:firstLineChars="300"/>
        <w:outlineLvl w:val="0"/>
        <w:rPr>
          <w:rFonts w:ascii="宋体" w:hAnsi="宋体" w:cs="宋体"/>
          <w:b/>
          <w:color w:val="auto"/>
          <w:sz w:val="36"/>
          <w:szCs w:val="36"/>
        </w:rPr>
      </w:pPr>
      <w:bookmarkStart w:id="392" w:name="_Toc86217003"/>
      <w:bookmarkStart w:id="393" w:name="第五部分"/>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outlineLvl w:val="0"/>
        <w:rPr>
          <w:rFonts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3"/>
        <w:rPr>
          <w:rFonts w:ascii="宋体" w:hAnsi="宋体" w:cs="宋体"/>
          <w:color w:val="auto"/>
          <w:szCs w:val="24"/>
        </w:rPr>
      </w:pPr>
    </w:p>
    <w:p>
      <w:pPr>
        <w:pStyle w:val="703"/>
        <w:rPr>
          <w:rFonts w:ascii="宋体" w:hAnsi="宋体" w:cs="宋体"/>
          <w:color w:val="auto"/>
          <w:szCs w:val="24"/>
        </w:rPr>
      </w:pPr>
    </w:p>
    <w:p>
      <w:pPr>
        <w:pStyle w:val="703"/>
        <w:jc w:val="center"/>
        <w:rPr>
          <w:rFonts w:ascii="宋体" w:hAnsi="宋体" w:cs="宋体"/>
          <w:color w:val="auto"/>
          <w:szCs w:val="24"/>
        </w:rPr>
      </w:pPr>
    </w:p>
    <w:p>
      <w:pPr>
        <w:pStyle w:val="703"/>
        <w:ind w:firstLine="2843" w:firstLineChars="1180"/>
        <w:rPr>
          <w:rFonts w:ascii="宋体" w:hAnsi="宋体" w:cs="宋体"/>
          <w:b/>
          <w:color w:val="auto"/>
          <w:szCs w:val="24"/>
        </w:rPr>
      </w:pPr>
      <w:r>
        <w:rPr>
          <w:rFonts w:hint="eastAsia" w:ascii="宋体" w:hAnsi="宋体" w:cs="宋体"/>
          <w:b/>
          <w:color w:val="auto"/>
          <w:szCs w:val="24"/>
        </w:rPr>
        <w:t>第一部分合同书</w:t>
      </w:r>
    </w:p>
    <w:p>
      <w:pPr>
        <w:pStyle w:val="703"/>
        <w:rPr>
          <w:rFonts w:ascii="宋体" w:hAnsi="宋体" w:cs="宋体"/>
          <w:color w:val="auto"/>
          <w:szCs w:val="24"/>
        </w:rPr>
      </w:pPr>
    </w:p>
    <w:p>
      <w:pPr>
        <w:pStyle w:val="703"/>
        <w:rPr>
          <w:rFonts w:ascii="宋体" w:hAnsi="宋体" w:cs="宋体"/>
          <w:color w:val="auto"/>
          <w:szCs w:val="24"/>
        </w:rPr>
      </w:pP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p>
    <w:p>
      <w:pPr>
        <w:pStyle w:val="600"/>
        <w:spacing w:before="120" w:line="22" w:lineRule="atLeast"/>
        <w:rPr>
          <w:rFonts w:ascii="宋体" w:hAnsi="宋体" w:eastAsia="宋体" w:cs="宋体"/>
          <w:color w:val="auto"/>
          <w:szCs w:val="24"/>
        </w:rPr>
      </w:pPr>
    </w:p>
    <w:p>
      <w:pPr>
        <w:pStyle w:val="600"/>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签订日期：年 月 日</w:t>
      </w:r>
    </w:p>
    <w:p>
      <w:pPr>
        <w:widowControl/>
        <w:jc w:val="left"/>
        <w:rPr>
          <w:rFonts w:ascii="宋体" w:hAnsi="宋体" w:cs="宋体"/>
          <w:color w:val="auto"/>
          <w:kern w:val="0"/>
          <w:sz w:val="24"/>
        </w:rPr>
        <w:sectPr>
          <w:headerReference r:id="rId8" w:type="default"/>
          <w:footerReference r:id="rId9" w:type="default"/>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年月日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w:t>
      </w:r>
      <w:bookmarkStart w:id="554" w:name="_GoBack"/>
      <w:bookmarkEnd w:id="554"/>
      <w:r>
        <w:rPr>
          <w:rFonts w:hint="eastAsia" w:ascii="宋体" w:hAnsi="宋体" w:cs="宋体"/>
          <w:color w:val="auto"/>
          <w:sz w:val="24"/>
          <w:u w:val="single"/>
        </w:rPr>
        <w:t xml:space="preserve">政府采购方式）  </w:t>
      </w:r>
      <w:r>
        <w:rPr>
          <w:rFonts w:hint="eastAsia" w:ascii="宋体" w:hAnsi="宋体" w:cs="宋体"/>
          <w:color w:val="auto"/>
          <w:sz w:val="24"/>
        </w:rPr>
        <w:t>对</w:t>
      </w:r>
      <w:r>
        <w:rPr>
          <w:rFonts w:hint="eastAsia" w:ascii="宋体" w:hAnsi="宋体" w:cs="宋体"/>
          <w:color w:val="auto"/>
          <w:sz w:val="24"/>
          <w:u w:val="single"/>
        </w:rPr>
        <w:t xml:space="preserve">   （同前页项目名称）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为该项目中标供应商。现于中标通知书发出之日起十个工作日内，按照采购文件确定的事项签订本合同。</w:t>
      </w: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560" w:lineRule="exact"/>
        <w:ind w:firstLine="482" w:firstLineChars="200"/>
        <w:outlineLvl w:val="0"/>
        <w:rPr>
          <w:rFonts w:ascii="宋体" w:hAnsi="宋体" w:cs="宋体"/>
          <w:b/>
          <w:color w:val="auto"/>
          <w:sz w:val="24"/>
        </w:rPr>
      </w:pPr>
      <w:bookmarkStart w:id="394" w:name="_Toc2232"/>
      <w:bookmarkStart w:id="395" w:name="_Toc24059"/>
      <w:bookmarkStart w:id="396" w:name="_Toc3029"/>
      <w:r>
        <w:rPr>
          <w:rFonts w:hint="eastAsia" w:ascii="宋体" w:hAnsi="宋体" w:cs="宋体"/>
          <w:b/>
          <w:color w:val="auto"/>
          <w:sz w:val="24"/>
        </w:rPr>
        <w:t>1.1 合同组成部分</w:t>
      </w:r>
      <w:bookmarkEnd w:id="394"/>
      <w:bookmarkEnd w:id="395"/>
      <w:bookmarkEnd w:id="396"/>
    </w:p>
    <w:p>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560" w:lineRule="exact"/>
        <w:ind w:firstLine="480" w:firstLineChars="200"/>
        <w:rPr>
          <w:rFonts w:ascii="宋体" w:hAnsi="宋体" w:cs="宋体"/>
          <w:color w:val="auto"/>
          <w:sz w:val="24"/>
        </w:rPr>
      </w:pPr>
      <w:r>
        <w:rPr>
          <w:rFonts w:hint="eastAsia" w:ascii="宋体" w:hAnsi="宋体" w:cs="宋体"/>
          <w:color w:val="auto"/>
          <w:sz w:val="24"/>
        </w:rPr>
        <w:t>1.1.2 中标通知书；</w:t>
      </w:r>
    </w:p>
    <w:p>
      <w:pPr>
        <w:spacing w:line="560" w:lineRule="exact"/>
        <w:ind w:firstLine="480" w:firstLineChars="200"/>
        <w:rPr>
          <w:rFonts w:ascii="宋体" w:hAnsi="宋体" w:cs="宋体"/>
          <w:color w:val="auto"/>
          <w:sz w:val="24"/>
        </w:rPr>
      </w:pPr>
      <w:r>
        <w:rPr>
          <w:rFonts w:hint="eastAsia" w:ascii="宋体" w:hAnsi="宋体" w:cs="宋体"/>
          <w:color w:val="auto"/>
          <w:sz w:val="24"/>
        </w:rPr>
        <w:t>1.1.3 投标文件（含澄清或者说明文件）；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1.1.4 招标文件（含澄清或者修改文件）；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pPr>
        <w:spacing w:line="560" w:lineRule="exact"/>
        <w:ind w:firstLine="482" w:firstLineChars="200"/>
        <w:outlineLvl w:val="0"/>
        <w:rPr>
          <w:rFonts w:ascii="宋体" w:hAnsi="宋体" w:cs="宋体"/>
          <w:b/>
          <w:color w:val="auto"/>
          <w:sz w:val="24"/>
        </w:rPr>
      </w:pPr>
      <w:bookmarkStart w:id="397" w:name="_Toc24300"/>
      <w:bookmarkStart w:id="398" w:name="_Toc27126"/>
      <w:bookmarkStart w:id="399" w:name="_Toc21295"/>
      <w:r>
        <w:rPr>
          <w:rFonts w:hint="eastAsia" w:ascii="宋体" w:hAnsi="宋体" w:cs="宋体"/>
          <w:b/>
          <w:color w:val="auto"/>
          <w:sz w:val="24"/>
        </w:rPr>
        <w:t xml:space="preserve">1.2 </w:t>
      </w:r>
      <w:bookmarkEnd w:id="397"/>
      <w:bookmarkEnd w:id="398"/>
      <w:bookmarkEnd w:id="399"/>
      <w:r>
        <w:rPr>
          <w:rFonts w:hint="eastAsia" w:ascii="宋体" w:hAnsi="宋体" w:cs="宋体"/>
          <w:b/>
          <w:color w:val="auto"/>
          <w:sz w:val="24"/>
        </w:rPr>
        <w:t>服务</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服务内容：；</w:t>
      </w:r>
    </w:p>
    <w:p>
      <w:pPr>
        <w:spacing w:line="560" w:lineRule="exact"/>
        <w:ind w:firstLine="482" w:firstLineChars="200"/>
        <w:outlineLvl w:val="0"/>
        <w:rPr>
          <w:rFonts w:ascii="宋体" w:hAnsi="宋体" w:cs="宋体"/>
          <w:b/>
          <w:color w:val="auto"/>
          <w:sz w:val="24"/>
        </w:rPr>
      </w:pPr>
      <w:bookmarkStart w:id="400" w:name="_Toc23292"/>
      <w:bookmarkStart w:id="401" w:name="_Toc21631"/>
      <w:bookmarkStart w:id="402" w:name="_Toc21551"/>
      <w:r>
        <w:rPr>
          <w:rFonts w:hint="eastAsia" w:ascii="宋体" w:hAnsi="宋体" w:cs="宋体"/>
          <w:b/>
          <w:color w:val="auto"/>
          <w:sz w:val="24"/>
        </w:rPr>
        <w:t>1.3 价款</w:t>
      </w:r>
      <w:bookmarkEnd w:id="400"/>
      <w:bookmarkEnd w:id="401"/>
      <w:bookmarkEnd w:id="402"/>
    </w:p>
    <w:p>
      <w:pPr>
        <w:spacing w:line="560" w:lineRule="exact"/>
        <w:ind w:firstLine="480" w:firstLineChars="200"/>
        <w:rPr>
          <w:rFonts w:ascii="宋体" w:hAnsi="宋体" w:cs="宋体"/>
          <w:color w:val="auto"/>
          <w:sz w:val="24"/>
        </w:rPr>
      </w:pPr>
      <w:r>
        <w:rPr>
          <w:rFonts w:hint="eastAsia" w:ascii="宋体" w:hAnsi="宋体" w:cs="宋体"/>
          <w:color w:val="auto"/>
          <w:sz w:val="24"/>
        </w:rPr>
        <w:t>本合同总价为：￥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元人民币）。让利幅度：</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中标清单：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360" w:lineRule="auto"/>
              <w:jc w:val="center"/>
              <w:rPr>
                <w:rFonts w:hAnsi="宋体" w:cs="宋体"/>
                <w:color w:val="auto"/>
                <w:sz w:val="24"/>
                <w:szCs w:val="24"/>
              </w:rPr>
            </w:pPr>
            <w:bookmarkStart w:id="403" w:name="_Toc22618"/>
            <w:bookmarkStart w:id="404" w:name="_Toc1814"/>
            <w:bookmarkStart w:id="405" w:name="_Toc10340"/>
            <w:r>
              <w:rPr>
                <w:rFonts w:hint="eastAsia" w:hAnsi="宋体" w:cs="宋体"/>
                <w:color w:val="auto"/>
                <w:sz w:val="24"/>
                <w:szCs w:val="24"/>
              </w:rPr>
              <w:t>序号</w:t>
            </w:r>
          </w:p>
        </w:tc>
        <w:tc>
          <w:tcPr>
            <w:tcW w:w="3402" w:type="dxa"/>
            <w:vAlign w:val="center"/>
          </w:tcPr>
          <w:p>
            <w:pPr>
              <w:pStyle w:val="328"/>
              <w:spacing w:line="360" w:lineRule="auto"/>
              <w:ind w:firstLine="200"/>
              <w:jc w:val="center"/>
              <w:rPr>
                <w:rFonts w:hAnsi="宋体" w:cs="宋体"/>
                <w:color w:val="auto"/>
                <w:sz w:val="24"/>
                <w:szCs w:val="24"/>
              </w:rPr>
            </w:pPr>
            <w:r>
              <w:rPr>
                <w:rFonts w:hint="eastAsia" w:hAnsi="宋体" w:cs="宋体"/>
                <w:color w:val="auto"/>
                <w:sz w:val="24"/>
                <w:szCs w:val="24"/>
              </w:rPr>
              <w:t>分项名称</w:t>
            </w:r>
          </w:p>
        </w:tc>
        <w:tc>
          <w:tcPr>
            <w:tcW w:w="2552" w:type="dxa"/>
            <w:vAlign w:val="center"/>
          </w:tcPr>
          <w:p>
            <w:pPr>
              <w:pStyle w:val="328"/>
              <w:spacing w:line="360" w:lineRule="auto"/>
              <w:jc w:val="center"/>
              <w:rPr>
                <w:rFonts w:hAnsi="宋体" w:cs="宋体"/>
                <w:color w:val="auto"/>
                <w:sz w:val="24"/>
                <w:szCs w:val="24"/>
              </w:rPr>
            </w:pPr>
            <w:r>
              <w:rPr>
                <w:rFonts w:hint="eastAsia" w:hAnsi="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360" w:lineRule="auto"/>
              <w:ind w:firstLine="200"/>
              <w:jc w:val="center"/>
              <w:rPr>
                <w:rFonts w:hAnsi="宋体" w:cs="宋体"/>
                <w:color w:val="auto"/>
                <w:sz w:val="24"/>
                <w:szCs w:val="24"/>
              </w:rPr>
            </w:pPr>
          </w:p>
        </w:tc>
        <w:tc>
          <w:tcPr>
            <w:tcW w:w="3402" w:type="dxa"/>
            <w:vAlign w:val="center"/>
          </w:tcPr>
          <w:p>
            <w:pPr>
              <w:pStyle w:val="328"/>
              <w:spacing w:line="360" w:lineRule="auto"/>
              <w:ind w:firstLine="200"/>
              <w:jc w:val="center"/>
              <w:rPr>
                <w:rFonts w:hAnsi="宋体" w:cs="宋体"/>
                <w:color w:val="auto"/>
                <w:sz w:val="24"/>
                <w:szCs w:val="24"/>
              </w:rPr>
            </w:pPr>
          </w:p>
        </w:tc>
        <w:tc>
          <w:tcPr>
            <w:tcW w:w="2552" w:type="dxa"/>
            <w:vAlign w:val="center"/>
          </w:tcPr>
          <w:p>
            <w:pPr>
              <w:pStyle w:val="328"/>
              <w:spacing w:line="360" w:lineRule="auto"/>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360" w:lineRule="auto"/>
              <w:ind w:firstLine="200"/>
              <w:jc w:val="center"/>
              <w:rPr>
                <w:rFonts w:hAnsi="宋体" w:cs="宋体"/>
                <w:color w:val="auto"/>
                <w:sz w:val="24"/>
                <w:szCs w:val="24"/>
              </w:rPr>
            </w:pPr>
          </w:p>
        </w:tc>
        <w:tc>
          <w:tcPr>
            <w:tcW w:w="3402" w:type="dxa"/>
            <w:vAlign w:val="center"/>
          </w:tcPr>
          <w:p>
            <w:pPr>
              <w:pStyle w:val="328"/>
              <w:spacing w:line="360" w:lineRule="auto"/>
              <w:ind w:firstLine="200"/>
              <w:jc w:val="center"/>
              <w:rPr>
                <w:rFonts w:hAnsi="宋体" w:cs="宋体"/>
                <w:color w:val="auto"/>
                <w:sz w:val="24"/>
                <w:szCs w:val="24"/>
              </w:rPr>
            </w:pPr>
          </w:p>
        </w:tc>
        <w:tc>
          <w:tcPr>
            <w:tcW w:w="2552" w:type="dxa"/>
            <w:vAlign w:val="center"/>
          </w:tcPr>
          <w:p>
            <w:pPr>
              <w:pStyle w:val="328"/>
              <w:spacing w:line="360" w:lineRule="auto"/>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360" w:lineRule="auto"/>
              <w:ind w:firstLine="200"/>
              <w:jc w:val="center"/>
              <w:rPr>
                <w:rFonts w:hAnsi="宋体" w:cs="宋体"/>
                <w:color w:val="auto"/>
                <w:sz w:val="24"/>
                <w:szCs w:val="24"/>
              </w:rPr>
            </w:pPr>
          </w:p>
        </w:tc>
        <w:tc>
          <w:tcPr>
            <w:tcW w:w="3402" w:type="dxa"/>
            <w:vAlign w:val="center"/>
          </w:tcPr>
          <w:p>
            <w:pPr>
              <w:pStyle w:val="328"/>
              <w:spacing w:line="360" w:lineRule="auto"/>
              <w:ind w:firstLine="200"/>
              <w:jc w:val="center"/>
              <w:rPr>
                <w:rFonts w:hAnsi="宋体" w:cs="宋体"/>
                <w:color w:val="auto"/>
                <w:sz w:val="24"/>
                <w:szCs w:val="24"/>
              </w:rPr>
            </w:pPr>
          </w:p>
        </w:tc>
        <w:tc>
          <w:tcPr>
            <w:tcW w:w="2552" w:type="dxa"/>
            <w:vAlign w:val="center"/>
          </w:tcPr>
          <w:p>
            <w:pPr>
              <w:pStyle w:val="328"/>
              <w:spacing w:line="360" w:lineRule="auto"/>
              <w:ind w:firstLine="200"/>
              <w:jc w:val="center"/>
              <w:rPr>
                <w:rFonts w:hAnsi="宋体" w:cs="宋体"/>
                <w:color w:val="auto"/>
                <w:sz w:val="24"/>
                <w:szCs w:val="24"/>
              </w:rPr>
            </w:pPr>
          </w:p>
        </w:tc>
      </w:tr>
    </w:tbl>
    <w:p>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1.4 付款</w:t>
      </w:r>
      <w:bookmarkEnd w:id="403"/>
      <w:bookmarkEnd w:id="404"/>
      <w:bookmarkEnd w:id="405"/>
      <w:r>
        <w:rPr>
          <w:rFonts w:hint="eastAsia" w:ascii="宋体" w:hAnsi="宋体" w:cs="宋体"/>
          <w:b/>
          <w:color w:val="auto"/>
          <w:sz w:val="24"/>
        </w:rPr>
        <w:t>方式、时间和条件</w:t>
      </w:r>
    </w:p>
    <w:p>
      <w:pPr>
        <w:pStyle w:val="960"/>
        <w:spacing w:before="0" w:beforeAutospacing="0" w:after="0" w:afterAutospacing="0" w:line="360" w:lineRule="auto"/>
        <w:ind w:firstLine="480"/>
        <w:rPr>
          <w:color w:val="auto"/>
        </w:rPr>
      </w:pPr>
      <w:r>
        <w:rPr>
          <w:rFonts w:hint="eastAsia"/>
          <w:color w:val="auto"/>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color w:val="auto"/>
          <w:sz w:val="24"/>
        </w:rPr>
      </w:pPr>
      <w:r>
        <w:rPr>
          <w:rFonts w:hint="eastAsia" w:ascii="宋体" w:hAnsi="宋体" w:cs="宋体"/>
          <w:color w:val="auto"/>
          <w:sz w:val="24"/>
        </w:rPr>
        <w:t>1.4.2甲方在政府采购合同中约定预付款，预付款比例为合同金额的50％。在签订合同时，乙方明确表示无需预付款或者主动要求降低预付款比例的，甲方可不适用前述规定。甲方根据项目特点、供应商诚信等因素，可以要求乙方提交银行、保险公司等金融机构出具的预付款保函或其他担保措施。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rPr>
      </w:pPr>
      <w:r>
        <w:rPr>
          <w:rFonts w:hint="eastAsia" w:ascii="宋体" w:hAnsi="宋体" w:cs="宋体"/>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1.4.4资金支付的方式、时间和条件详见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06" w:name="_Toc19304"/>
      <w:bookmarkStart w:id="407" w:name="_Toc32071"/>
      <w:bookmarkStart w:id="408" w:name="_Toc2846"/>
      <w:r>
        <w:rPr>
          <w:rFonts w:hint="eastAsia" w:ascii="宋体" w:hAnsi="宋体" w:cs="宋体"/>
          <w:b/>
          <w:color w:val="auto"/>
          <w:sz w:val="24"/>
        </w:rPr>
        <w:t>1.5 服务期限、地点和方式</w:t>
      </w:r>
      <w:bookmarkEnd w:id="406"/>
      <w:bookmarkEnd w:id="407"/>
      <w:bookmarkEnd w:id="408"/>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1.5.1 服务期限：详见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1.5.2 服务地点：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1.5.3 服务方式：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09" w:name="_Toc27250"/>
      <w:bookmarkStart w:id="410" w:name="_Toc19554"/>
      <w:bookmarkStart w:id="411" w:name="_Toc21423"/>
      <w:r>
        <w:rPr>
          <w:rFonts w:hint="eastAsia" w:ascii="宋体" w:hAnsi="宋体" w:cs="宋体"/>
          <w:b/>
          <w:color w:val="auto"/>
          <w:sz w:val="24"/>
        </w:rPr>
        <w:t>1.6 违约责任</w:t>
      </w:r>
      <w:bookmarkEnd w:id="409"/>
      <w:bookmarkEnd w:id="410"/>
      <w:bookmarkEnd w:id="411"/>
    </w:p>
    <w:p>
      <w:pPr>
        <w:spacing w:line="560" w:lineRule="exact"/>
        <w:ind w:firstLine="480" w:firstLineChars="200"/>
        <w:rPr>
          <w:rFonts w:ascii="宋体" w:hAnsi="宋体" w:cs="宋体"/>
          <w:color w:val="auto"/>
          <w:sz w:val="24"/>
        </w:rPr>
      </w:pPr>
      <w:r>
        <w:rPr>
          <w:rFonts w:hint="eastAsia" w:ascii="宋体" w:hAnsi="宋体" w:cs="宋体"/>
          <w:color w:val="auto"/>
          <w:sz w:val="24"/>
        </w:rPr>
        <w:t>1.6.1 除不可抗力外，如果乙方没有按照本合同约定的期限、地点和方式提供服务，那么甲方可要求乙方支付违约金，违约金按每迟延提供服务一日的应交付而未交付价格的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%；迟延提供服务的违约金计算数额达到前述最高限额之日起，甲方有权在要求乙方支付违约金的同时，书面通知乙方解除本合同；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color w:val="auto"/>
          <w:sz w:val="24"/>
        </w:rPr>
      </w:pPr>
      <w:r>
        <w:rPr>
          <w:rFonts w:hint="eastAsia" w:ascii="宋体" w:hAnsi="宋体" w:cs="宋体"/>
          <w:color w:val="auto"/>
          <w:sz w:val="24"/>
        </w:rPr>
        <w:t>1.6.7违约责任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pPr>
        <w:spacing w:line="560" w:lineRule="exact"/>
        <w:ind w:firstLine="482" w:firstLineChars="200"/>
        <w:outlineLvl w:val="0"/>
        <w:rPr>
          <w:rFonts w:ascii="宋体" w:hAnsi="宋体" w:cs="宋体"/>
          <w:b/>
          <w:color w:val="auto"/>
          <w:sz w:val="24"/>
        </w:rPr>
      </w:pPr>
      <w:bookmarkStart w:id="412" w:name="_Toc16021"/>
      <w:bookmarkStart w:id="413" w:name="_Toc28375"/>
      <w:bookmarkStart w:id="414" w:name="_Toc15583"/>
      <w:r>
        <w:rPr>
          <w:rFonts w:hint="eastAsia" w:ascii="宋体" w:hAnsi="宋体" w:cs="宋体"/>
          <w:b/>
          <w:color w:val="auto"/>
          <w:sz w:val="24"/>
        </w:rPr>
        <w:t>1.7 合同争议的解决</w:t>
      </w:r>
      <w:bookmarkEnd w:id="412"/>
      <w:bookmarkEnd w:id="413"/>
      <w:bookmarkEnd w:id="414"/>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合同专用条款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1.7.1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1.7.2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15" w:name="_Toc15322"/>
      <w:bookmarkStart w:id="416" w:name="_Toc7245"/>
      <w:bookmarkStart w:id="417" w:name="_Toc11173"/>
      <w:r>
        <w:rPr>
          <w:rFonts w:hint="eastAsia" w:ascii="宋体" w:hAnsi="宋体" w:cs="宋体"/>
          <w:b/>
          <w:color w:val="auto"/>
          <w:sz w:val="24"/>
        </w:rPr>
        <w:t>1.8 合同生效</w:t>
      </w:r>
      <w:bookmarkEnd w:id="415"/>
      <w:bookmarkEnd w:id="416"/>
      <w:bookmarkEnd w:id="417"/>
    </w:p>
    <w:p>
      <w:pPr>
        <w:spacing w:line="560" w:lineRule="exact"/>
        <w:ind w:firstLine="480" w:firstLineChars="200"/>
        <w:rPr>
          <w:rFonts w:ascii="宋体" w:hAnsi="宋体" w:cs="宋体"/>
          <w:color w:val="auto"/>
          <w:sz w:val="24"/>
        </w:rPr>
      </w:pPr>
      <w:r>
        <w:rPr>
          <w:rFonts w:hint="eastAsia" w:ascii="宋体" w:hAnsi="宋体" w:cs="宋体"/>
          <w:color w:val="auto"/>
          <w:sz w:val="24"/>
        </w:rPr>
        <w:t>本合同自双方当事人盖章或者签字时生效。</w:t>
      </w:r>
    </w:p>
    <w:p>
      <w:pPr>
        <w:spacing w:line="560" w:lineRule="exact"/>
        <w:ind w:firstLine="482" w:firstLineChars="200"/>
        <w:rPr>
          <w:rFonts w:ascii="宋体" w:hAnsi="宋体" w:cs="宋体"/>
          <w:b/>
          <w:bCs/>
          <w:color w:val="auto"/>
          <w:sz w:val="24"/>
          <w:lang w:val="zh-CN"/>
        </w:rPr>
      </w:pPr>
      <w:r>
        <w:rPr>
          <w:rFonts w:hint="eastAsia" w:ascii="宋体" w:hAnsi="宋体" w:cs="宋体"/>
          <w:b/>
          <w:bCs/>
          <w:color w:val="auto"/>
          <w:sz w:val="24"/>
        </w:rPr>
        <w:t>（注：本合同不强制现场签订，可盖章后邮寄送达）</w:t>
      </w:r>
    </w:p>
    <w:p>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rPr>
        <w:t>地址</w:t>
      </w:r>
      <w:r>
        <w:rPr>
          <w:rFonts w:hint="eastAsia" w:ascii="宋体" w:hAnsi="宋体" w:cs="宋体"/>
          <w:color w:val="auto"/>
          <w:sz w:val="24"/>
          <w:lang w:val="zh-CN"/>
        </w:rPr>
        <w:t xml:space="preserve">：                                   </w:t>
      </w:r>
      <w:r>
        <w:rPr>
          <w:rFonts w:hint="eastAsia" w:ascii="宋体" w:hAnsi="宋体" w:cs="宋体"/>
          <w:color w:val="auto"/>
          <w:sz w:val="24"/>
        </w:rPr>
        <w:t>地址</w:t>
      </w:r>
      <w:r>
        <w:rPr>
          <w:rFonts w:hint="eastAsia" w:ascii="宋体" w:hAnsi="宋体" w:cs="宋体"/>
          <w:color w:val="auto"/>
          <w:sz w:val="24"/>
          <w:lang w:val="zh-CN"/>
        </w:rPr>
        <w:t>：</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pPr>
        <w:autoSpaceDE w:val="0"/>
        <w:autoSpaceDN w:val="0"/>
        <w:spacing w:line="560" w:lineRule="exact"/>
        <w:rPr>
          <w:rFonts w:ascii="宋体" w:hAnsi="宋体" w:cs="宋体"/>
          <w:color w:val="auto"/>
          <w:sz w:val="24"/>
        </w:rPr>
      </w:pPr>
      <w:r>
        <w:rPr>
          <w:rFonts w:hint="eastAsia" w:ascii="宋体" w:hAnsi="宋体" w:cs="宋体"/>
          <w:color w:val="auto"/>
          <w:sz w:val="24"/>
        </w:rPr>
        <w:t>开户账号：                               开户账号：</w:t>
      </w:r>
    </w:p>
    <w:p>
      <w:pPr>
        <w:pStyle w:val="703"/>
        <w:spacing w:line="560" w:lineRule="exact"/>
        <w:ind w:firstLine="0" w:firstLineChars="0"/>
        <w:jc w:val="center"/>
        <w:rPr>
          <w:rFonts w:ascii="宋体" w:hAnsi="宋体" w:cs="宋体"/>
          <w:b/>
          <w:color w:val="auto"/>
          <w:szCs w:val="24"/>
        </w:rPr>
      </w:pPr>
      <w:bookmarkStart w:id="418" w:name="_Toc331685783"/>
    </w:p>
    <w:p>
      <w:pPr>
        <w:pStyle w:val="62"/>
        <w:ind w:left="0" w:leftChars="0" w:firstLine="0" w:firstLineChars="0"/>
        <w:rPr>
          <w:rFonts w:cs="宋体"/>
          <w:color w:val="auto"/>
        </w:rPr>
      </w:pPr>
    </w:p>
    <w:p>
      <w:pPr>
        <w:pStyle w:val="703"/>
        <w:spacing w:line="560" w:lineRule="exact"/>
        <w:ind w:firstLine="0" w:firstLineChars="0"/>
        <w:jc w:val="center"/>
        <w:rPr>
          <w:rFonts w:ascii="宋体" w:hAnsi="宋体" w:cs="宋体"/>
          <w:b/>
          <w:color w:val="auto"/>
          <w:szCs w:val="24"/>
        </w:rPr>
      </w:pPr>
    </w:p>
    <w:p>
      <w:pPr>
        <w:pStyle w:val="703"/>
        <w:spacing w:line="560" w:lineRule="exact"/>
        <w:ind w:firstLine="0" w:firstLineChars="0"/>
        <w:jc w:val="center"/>
        <w:rPr>
          <w:rFonts w:ascii="宋体" w:hAnsi="宋体" w:cs="宋体"/>
          <w:b/>
          <w:color w:val="auto"/>
          <w:szCs w:val="24"/>
        </w:rPr>
      </w:pPr>
    </w:p>
    <w:p>
      <w:pPr>
        <w:pStyle w:val="703"/>
        <w:spacing w:line="560" w:lineRule="exact"/>
        <w:ind w:firstLine="0" w:firstLineChars="0"/>
        <w:jc w:val="center"/>
        <w:rPr>
          <w:rFonts w:ascii="宋体" w:hAnsi="宋体" w:cs="宋体"/>
          <w:b/>
          <w:color w:val="auto"/>
          <w:szCs w:val="24"/>
        </w:rPr>
      </w:pPr>
      <w:r>
        <w:rPr>
          <w:rFonts w:hint="eastAsia" w:ascii="宋体" w:hAnsi="宋体" w:cs="宋体"/>
          <w:b/>
          <w:color w:val="auto"/>
          <w:szCs w:val="24"/>
        </w:rPr>
        <w:t>第二部分 合同一般条款</w:t>
      </w:r>
      <w:bookmarkEnd w:id="418"/>
    </w:p>
    <w:p>
      <w:pPr>
        <w:spacing w:line="560" w:lineRule="exact"/>
        <w:ind w:firstLine="482" w:firstLineChars="200"/>
        <w:outlineLvl w:val="0"/>
        <w:rPr>
          <w:rFonts w:ascii="宋体" w:hAnsi="宋体" w:cs="宋体"/>
          <w:b/>
          <w:color w:val="auto"/>
          <w:sz w:val="24"/>
        </w:rPr>
      </w:pPr>
      <w:bookmarkStart w:id="419" w:name="_Ref467379094"/>
      <w:bookmarkStart w:id="420" w:name="_Ref467379225"/>
      <w:bookmarkStart w:id="421" w:name="_Ref467379214"/>
      <w:bookmarkStart w:id="422" w:name="_Toc279701240"/>
      <w:bookmarkStart w:id="423" w:name="_Toc19614"/>
      <w:bookmarkStart w:id="424" w:name="_Ref467379109"/>
      <w:bookmarkStart w:id="425" w:name="_Ref467378463"/>
      <w:bookmarkStart w:id="426" w:name="_Toc487900349"/>
      <w:bookmarkStart w:id="427" w:name="_Ref467379195"/>
      <w:bookmarkStart w:id="428" w:name="_Toc16917"/>
      <w:bookmarkStart w:id="429" w:name="_Ref467379101"/>
      <w:bookmarkStart w:id="430" w:name="_Toc28763"/>
      <w:bookmarkStart w:id="431" w:name="_Ref467378404"/>
      <w:bookmarkStart w:id="432" w:name="_Ref467379205"/>
      <w:bookmarkStart w:id="433" w:name="_Toc259093669"/>
      <w:bookmarkStart w:id="434" w:name="_Ref467378499"/>
      <w:r>
        <w:rPr>
          <w:rFonts w:hint="eastAsia" w:ascii="宋体" w:hAnsi="宋体" w:cs="宋体"/>
          <w:b/>
          <w:color w:val="auto"/>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rPr>
      </w:pPr>
      <w:r>
        <w:rPr>
          <w:rFonts w:hint="eastAsia" w:ascii="宋体" w:hAnsi="宋体" w:cs="宋体"/>
          <w:color w:val="auto"/>
          <w:sz w:val="24"/>
        </w:rPr>
        <w:t>“服务”系指中标供应商根据合同约定应向采购人履行的除货物和工程以外的其他政府采购对象，包括采购人自身需要的服务和向社会公众提供的公共服务。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宋体" w:hAnsi="宋体" w:cs="宋体"/>
          <w:color w:val="auto"/>
          <w:sz w:val="24"/>
        </w:rPr>
      </w:pPr>
      <w:bookmarkStart w:id="435" w:name="_Ref467378840"/>
      <w:r>
        <w:rPr>
          <w:rFonts w:hint="eastAsia" w:ascii="宋体" w:hAnsi="宋体" w:cs="宋体"/>
          <w:color w:val="auto"/>
          <w:sz w:val="24"/>
        </w:rPr>
        <w:t>2.1.4 “甲方”系指与中标供应商签署合同的采购人</w:t>
      </w:r>
      <w:bookmarkEnd w:id="435"/>
      <w:r>
        <w:rPr>
          <w:rFonts w:hint="eastAsia" w:ascii="宋体" w:hAnsi="宋体" w:cs="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rPr>
      </w:pPr>
      <w:bookmarkStart w:id="436" w:name="_Ref467379400"/>
      <w:r>
        <w:rPr>
          <w:rFonts w:hint="eastAsia" w:ascii="宋体" w:hAnsi="宋体" w:cs="宋体"/>
          <w:color w:val="auto"/>
          <w:sz w:val="24"/>
        </w:rPr>
        <w:t>2.1.5 “乙方”系指根据合同约定提供服务的中标供应商</w:t>
      </w:r>
      <w:bookmarkEnd w:id="436"/>
      <w:r>
        <w:rPr>
          <w:rFonts w:hint="eastAsia" w:ascii="宋体" w:hAnsi="宋体" w:cs="宋体"/>
          <w:color w:val="auto"/>
          <w:sz w:val="24"/>
        </w:rPr>
        <w:t>。</w:t>
      </w:r>
    </w:p>
    <w:p>
      <w:pPr>
        <w:spacing w:line="560" w:lineRule="exact"/>
        <w:ind w:firstLine="480" w:firstLineChars="200"/>
        <w:rPr>
          <w:rFonts w:ascii="宋体" w:hAnsi="宋体" w:cs="宋体"/>
          <w:color w:val="auto"/>
          <w:sz w:val="24"/>
        </w:rPr>
      </w:pPr>
      <w:bookmarkStart w:id="437" w:name="_Ref467379436"/>
      <w:r>
        <w:rPr>
          <w:rFonts w:hint="eastAsia" w:ascii="宋体" w:hAnsi="宋体" w:cs="宋体"/>
          <w:color w:val="auto"/>
          <w:sz w:val="24"/>
        </w:rPr>
        <w:t>2.1.6 “现场”系指合同约定服务的地点。</w:t>
      </w:r>
      <w:bookmarkEnd w:id="437"/>
    </w:p>
    <w:p>
      <w:pPr>
        <w:spacing w:line="560" w:lineRule="exact"/>
        <w:ind w:firstLine="482" w:firstLineChars="200"/>
        <w:outlineLvl w:val="0"/>
        <w:rPr>
          <w:rFonts w:ascii="宋体" w:hAnsi="宋体" w:cs="宋体"/>
          <w:b/>
          <w:color w:val="auto"/>
          <w:sz w:val="24"/>
        </w:rPr>
      </w:pPr>
      <w:bookmarkStart w:id="438" w:name="_Toc279701241"/>
      <w:bookmarkStart w:id="439" w:name="_Toc13336"/>
      <w:bookmarkStart w:id="440" w:name="_Toc487900350"/>
      <w:bookmarkStart w:id="441" w:name="_Toc259093670"/>
      <w:bookmarkStart w:id="442" w:name="_Toc32504"/>
      <w:bookmarkStart w:id="443" w:name="_Toc27635"/>
      <w:r>
        <w:rPr>
          <w:rFonts w:hint="eastAsia" w:ascii="宋体" w:hAnsi="宋体" w:cs="宋体"/>
          <w:b/>
          <w:color w:val="auto"/>
          <w:sz w:val="24"/>
        </w:rPr>
        <w:t>2.2 技术规范</w:t>
      </w:r>
      <w:bookmarkEnd w:id="438"/>
      <w:bookmarkEnd w:id="439"/>
      <w:bookmarkEnd w:id="440"/>
      <w:bookmarkEnd w:id="441"/>
      <w:bookmarkEnd w:id="442"/>
      <w:bookmarkEnd w:id="443"/>
    </w:p>
    <w:p>
      <w:pPr>
        <w:spacing w:line="560" w:lineRule="exact"/>
        <w:ind w:firstLine="480" w:firstLineChars="200"/>
        <w:rPr>
          <w:rFonts w:ascii="宋体" w:hAnsi="宋体" w:cs="宋体"/>
          <w:color w:val="auto"/>
          <w:sz w:val="24"/>
        </w:rPr>
      </w:pPr>
      <w:r>
        <w:rPr>
          <w:rFonts w:hint="eastAsia" w:ascii="宋体" w:hAnsi="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rPr>
      </w:pPr>
      <w:bookmarkStart w:id="444" w:name="_Toc487900351"/>
      <w:bookmarkStart w:id="445" w:name="_Toc27853"/>
      <w:bookmarkStart w:id="446" w:name="_Toc259093671"/>
      <w:bookmarkStart w:id="447" w:name="_Toc9829"/>
      <w:bookmarkStart w:id="448" w:name="_Toc31634"/>
      <w:bookmarkStart w:id="449" w:name="_Toc279701242"/>
      <w:r>
        <w:rPr>
          <w:rFonts w:hint="eastAsia" w:ascii="宋体" w:hAnsi="宋体" w:cs="宋体"/>
          <w:b/>
          <w:color w:val="auto"/>
          <w:sz w:val="24"/>
        </w:rPr>
        <w:t>2.3 知识产权</w:t>
      </w:r>
      <w:bookmarkEnd w:id="444"/>
      <w:bookmarkEnd w:id="445"/>
      <w:bookmarkEnd w:id="446"/>
      <w:bookmarkEnd w:id="447"/>
      <w:bookmarkEnd w:id="448"/>
      <w:bookmarkEnd w:id="449"/>
    </w:p>
    <w:p>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0" w:name="_Ref467378541"/>
      <w:bookmarkStart w:id="451" w:name="_Ref467379536"/>
      <w:bookmarkStart w:id="452" w:name="_Ref467378591"/>
      <w:bookmarkStart w:id="453" w:name="_Toc259093674"/>
      <w:bookmarkStart w:id="454" w:name="_Toc487900354"/>
      <w:bookmarkStart w:id="455" w:name="_Toc279701245"/>
      <w:bookmarkStart w:id="456" w:name="_Ref467379542"/>
      <w:bookmarkStart w:id="457" w:name="_Ref467379527"/>
      <w:bookmarkStart w:id="458" w:name="_Toc30272"/>
      <w:bookmarkStart w:id="459" w:name="_Toc26182"/>
      <w:bookmarkStart w:id="460" w:name="_Toc19074"/>
      <w:r>
        <w:rPr>
          <w:rFonts w:hint="eastAsia" w:ascii="宋体" w:hAnsi="宋体" w:cs="宋体"/>
          <w:b/>
          <w:color w:val="auto"/>
          <w:sz w:val="24"/>
        </w:rPr>
        <w:t>2.</w:t>
      </w:r>
      <w:bookmarkEnd w:id="450"/>
      <w:bookmarkEnd w:id="451"/>
      <w:bookmarkEnd w:id="452"/>
      <w:bookmarkEnd w:id="453"/>
      <w:bookmarkEnd w:id="454"/>
      <w:bookmarkEnd w:id="455"/>
      <w:bookmarkEnd w:id="456"/>
      <w:bookmarkEnd w:id="457"/>
      <w:r>
        <w:rPr>
          <w:rFonts w:hint="eastAsia" w:ascii="宋体" w:hAnsi="宋体" w:cs="宋体"/>
          <w:b/>
          <w:color w:val="auto"/>
          <w:sz w:val="24"/>
        </w:rPr>
        <w:t>4 履约检查和问题反馈</w:t>
      </w:r>
      <w:bookmarkEnd w:id="458"/>
      <w:bookmarkEnd w:id="459"/>
      <w:bookmarkEnd w:id="460"/>
    </w:p>
    <w:p>
      <w:pPr>
        <w:spacing w:line="560" w:lineRule="exact"/>
        <w:ind w:firstLine="480" w:firstLineChars="200"/>
        <w:rPr>
          <w:rFonts w:ascii="宋体" w:hAnsi="宋体" w:cs="宋体"/>
          <w:color w:val="auto"/>
          <w:sz w:val="24"/>
        </w:rPr>
      </w:pPr>
      <w:bookmarkStart w:id="461" w:name="_Ref467379657"/>
      <w:r>
        <w:rPr>
          <w:rFonts w:hint="eastAsia" w:ascii="宋体" w:hAnsi="宋体" w:cs="宋体"/>
          <w:color w:val="auto"/>
          <w:sz w:val="24"/>
        </w:rPr>
        <w:t>2.4.1</w:t>
      </w:r>
      <w:bookmarkEnd w:id="461"/>
      <w:bookmarkStart w:id="462" w:name="_Toc186431854"/>
      <w:bookmarkStart w:id="463" w:name="_Ref467379807"/>
      <w:bookmarkStart w:id="464" w:name="_Toc259093676"/>
      <w:bookmarkStart w:id="465" w:name="_Toc487900357"/>
      <w:bookmarkStart w:id="466" w:name="_Toc279701247"/>
      <w:bookmarkStart w:id="467" w:name="_Ref467379793"/>
      <w:r>
        <w:rPr>
          <w:rFonts w:hint="eastAsia" w:ascii="宋体" w:hAnsi="宋体" w:cs="宋体"/>
          <w:color w:val="auto"/>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2.4.2 合同履行期间，甲方有权将履行过程中出现的问题反馈给乙方，双方当事人应以书面形式约定需要完善和改进的内容</w:t>
      </w:r>
      <w:bookmarkEnd w:id="462"/>
      <w:bookmarkStart w:id="468" w:name="_Toc186431855"/>
      <w:r>
        <w:rPr>
          <w:rFonts w:hint="eastAsia" w:ascii="宋体" w:hAnsi="宋体" w:cs="宋体"/>
          <w:color w:val="auto"/>
          <w:sz w:val="24"/>
        </w:rPr>
        <w:t>。</w:t>
      </w:r>
    </w:p>
    <w:bookmarkEnd w:id="463"/>
    <w:bookmarkEnd w:id="464"/>
    <w:bookmarkEnd w:id="465"/>
    <w:bookmarkEnd w:id="466"/>
    <w:bookmarkEnd w:id="467"/>
    <w:bookmarkEnd w:id="468"/>
    <w:p>
      <w:pPr>
        <w:spacing w:line="560" w:lineRule="exact"/>
        <w:ind w:firstLine="482" w:firstLineChars="200"/>
        <w:outlineLvl w:val="0"/>
        <w:rPr>
          <w:rFonts w:ascii="宋体" w:hAnsi="宋体" w:cs="宋体"/>
          <w:b/>
          <w:color w:val="auto"/>
          <w:sz w:val="24"/>
        </w:rPr>
      </w:pPr>
      <w:bookmarkStart w:id="469" w:name="_Ref467379863"/>
      <w:bookmarkStart w:id="470" w:name="_Ref467379852"/>
      <w:bookmarkStart w:id="471" w:name="_Toc259093677"/>
      <w:bookmarkStart w:id="472" w:name="_Toc487900358"/>
      <w:bookmarkStart w:id="473" w:name="_Toc279701248"/>
      <w:bookmarkStart w:id="474" w:name="_Ref467379923"/>
      <w:bookmarkStart w:id="475" w:name="_Toc3225"/>
      <w:bookmarkStart w:id="476" w:name="_Toc16110"/>
      <w:bookmarkStart w:id="477" w:name="_Toc774"/>
      <w:r>
        <w:rPr>
          <w:rFonts w:hint="eastAsia" w:ascii="宋体" w:hAnsi="宋体" w:cs="宋体"/>
          <w:b/>
          <w:color w:val="auto"/>
          <w:sz w:val="24"/>
        </w:rPr>
        <w:t>2.5 技术资料</w:t>
      </w:r>
      <w:bookmarkEnd w:id="469"/>
      <w:bookmarkEnd w:id="470"/>
      <w:bookmarkEnd w:id="471"/>
      <w:bookmarkEnd w:id="472"/>
      <w:bookmarkEnd w:id="473"/>
      <w:bookmarkEnd w:id="474"/>
      <w:r>
        <w:rPr>
          <w:rFonts w:hint="eastAsia" w:ascii="宋体" w:hAnsi="宋体" w:cs="宋体"/>
          <w:b/>
          <w:color w:val="auto"/>
          <w:sz w:val="24"/>
        </w:rPr>
        <w:t>和保密义务</w:t>
      </w:r>
      <w:bookmarkEnd w:id="475"/>
      <w:bookmarkEnd w:id="476"/>
      <w:bookmarkEnd w:id="477"/>
    </w:p>
    <w:p>
      <w:pPr>
        <w:spacing w:line="560" w:lineRule="exact"/>
        <w:ind w:firstLine="480" w:firstLineChars="200"/>
        <w:rPr>
          <w:rFonts w:ascii="宋体" w:hAnsi="宋体" w:cs="宋体"/>
          <w:color w:val="auto"/>
          <w:sz w:val="24"/>
        </w:rPr>
      </w:pPr>
      <w:r>
        <w:rPr>
          <w:rFonts w:hint="eastAsia" w:ascii="宋体" w:hAnsi="宋体" w:cs="宋体"/>
          <w:color w:val="auto"/>
          <w:sz w:val="24"/>
        </w:rPr>
        <w:t>2.5.1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2.5.2 乙方有义务妥善保管和保护由甲方提供的前款信息和资料等；</w:t>
      </w:r>
    </w:p>
    <w:p>
      <w:pPr>
        <w:spacing w:line="560" w:lineRule="exact"/>
        <w:ind w:firstLine="480" w:firstLineChars="200"/>
        <w:rPr>
          <w:rFonts w:ascii="宋体" w:hAnsi="宋体" w:cs="宋体"/>
          <w:color w:val="auto"/>
          <w:sz w:val="24"/>
        </w:rPr>
      </w:pPr>
      <w:r>
        <w:rPr>
          <w:rFonts w:hint="eastAsia" w:ascii="宋体" w:hAnsi="宋体" w:cs="宋体"/>
          <w:color w:val="auto"/>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rPr>
      </w:pPr>
      <w:bookmarkStart w:id="478" w:name="_Toc7860"/>
      <w:r>
        <w:rPr>
          <w:rFonts w:hint="eastAsia" w:ascii="宋体" w:hAnsi="宋体" w:cs="宋体"/>
          <w:b/>
          <w:color w:val="auto"/>
          <w:sz w:val="24"/>
        </w:rPr>
        <w:t>2.6 质量保证</w:t>
      </w:r>
      <w:bookmarkEnd w:id="478"/>
    </w:p>
    <w:p>
      <w:pPr>
        <w:spacing w:line="560" w:lineRule="exact"/>
        <w:ind w:firstLine="480" w:firstLineChars="200"/>
        <w:rPr>
          <w:rFonts w:ascii="宋体" w:hAnsi="宋体" w:cs="宋体"/>
          <w:color w:val="auto"/>
          <w:sz w:val="24"/>
        </w:rPr>
      </w:pPr>
      <w:r>
        <w:rPr>
          <w:rFonts w:hint="eastAsia" w:ascii="宋体" w:hAnsi="宋体" w:cs="宋体"/>
          <w:color w:val="auto"/>
          <w:sz w:val="24"/>
        </w:rPr>
        <w:t>2.6.1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rPr>
      </w:pPr>
      <w:r>
        <w:rPr>
          <w:rFonts w:hint="eastAsia" w:ascii="宋体" w:hAnsi="宋体" w:cs="宋体"/>
          <w:color w:val="auto"/>
          <w:sz w:val="24"/>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rPr>
      </w:pPr>
      <w:bookmarkStart w:id="479" w:name="_Toc487900362"/>
      <w:bookmarkStart w:id="480" w:name="_Toc279701252"/>
      <w:bookmarkStart w:id="481" w:name="_Toc14055"/>
      <w:bookmarkStart w:id="482" w:name="_Toc259093681"/>
      <w:r>
        <w:rPr>
          <w:rFonts w:hint="eastAsia" w:ascii="宋体" w:hAnsi="宋体" w:cs="宋体"/>
          <w:b/>
          <w:color w:val="auto"/>
          <w:sz w:val="24"/>
        </w:rPr>
        <w:t>2.7 延迟</w:t>
      </w:r>
      <w:bookmarkEnd w:id="479"/>
      <w:bookmarkEnd w:id="480"/>
      <w:bookmarkEnd w:id="481"/>
      <w:bookmarkEnd w:id="482"/>
    </w:p>
    <w:p>
      <w:pPr>
        <w:spacing w:line="560" w:lineRule="exact"/>
        <w:ind w:firstLine="480" w:firstLineChars="200"/>
        <w:rPr>
          <w:rFonts w:ascii="宋体" w:hAnsi="宋体" w:cs="宋体"/>
          <w:color w:val="auto"/>
          <w:sz w:val="24"/>
        </w:rPr>
      </w:pPr>
      <w:r>
        <w:rPr>
          <w:rFonts w:hint="eastAsia" w:ascii="宋体" w:hAnsi="宋体" w:cs="宋体"/>
          <w:color w:val="auto"/>
          <w:sz w:val="24"/>
        </w:rPr>
        <w:t>在合同履行过程中，如果乙方遇到不能按时提供服务的情况，应及时以书面形式将不能按时的理由、预期延误时间通知甲方；甲方收到乙方通知后，认为其理由正当的，可以书面形式酌情同意乙方可以延长的具体时间。</w:t>
      </w:r>
    </w:p>
    <w:p>
      <w:pPr>
        <w:spacing w:line="560" w:lineRule="exact"/>
        <w:ind w:firstLine="482" w:firstLineChars="200"/>
        <w:outlineLvl w:val="0"/>
        <w:rPr>
          <w:rFonts w:ascii="宋体" w:hAnsi="宋体" w:cs="宋体"/>
          <w:b/>
          <w:color w:val="auto"/>
          <w:sz w:val="24"/>
        </w:rPr>
      </w:pPr>
      <w:bookmarkStart w:id="483" w:name="_Toc7502"/>
      <w:bookmarkStart w:id="484" w:name="_Toc487900364"/>
      <w:bookmarkStart w:id="485" w:name="_Ref467378121"/>
      <w:bookmarkStart w:id="486" w:name="_Toc279701254"/>
      <w:bookmarkStart w:id="487" w:name="_Toc259093683"/>
      <w:r>
        <w:rPr>
          <w:rFonts w:hint="eastAsia" w:ascii="宋体" w:hAnsi="宋体" w:cs="宋体"/>
          <w:b/>
          <w:color w:val="auto"/>
          <w:sz w:val="24"/>
        </w:rPr>
        <w:t>2.8 合同变更</w:t>
      </w:r>
      <w:bookmarkEnd w:id="483"/>
    </w:p>
    <w:p>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88" w:name="_Toc279701259"/>
      <w:bookmarkStart w:id="489" w:name="_Toc487900369"/>
      <w:bookmarkStart w:id="490" w:name="_Toc259093688"/>
    </w:p>
    <w:p>
      <w:pPr>
        <w:spacing w:line="560" w:lineRule="exact"/>
        <w:ind w:firstLine="482" w:firstLineChars="200"/>
        <w:outlineLvl w:val="0"/>
        <w:rPr>
          <w:rFonts w:ascii="宋体" w:hAnsi="宋体" w:cs="宋体"/>
          <w:b/>
          <w:color w:val="auto"/>
          <w:sz w:val="24"/>
        </w:rPr>
      </w:pPr>
      <w:bookmarkStart w:id="491" w:name="_Toc15237"/>
      <w:bookmarkStart w:id="492" w:name="_Toc22955"/>
      <w:bookmarkStart w:id="493" w:name="_Toc10366"/>
      <w:r>
        <w:rPr>
          <w:rFonts w:hint="eastAsia" w:ascii="宋体" w:hAnsi="宋体" w:cs="宋体"/>
          <w:b/>
          <w:color w:val="auto"/>
          <w:sz w:val="24"/>
        </w:rPr>
        <w:t>2.9 合同转让</w:t>
      </w:r>
      <w:bookmarkEnd w:id="488"/>
      <w:bookmarkEnd w:id="489"/>
      <w:bookmarkEnd w:id="490"/>
      <w:r>
        <w:rPr>
          <w:rFonts w:hint="eastAsia" w:ascii="宋体" w:hAnsi="宋体" w:cs="宋体"/>
          <w:b/>
          <w:color w:val="auto"/>
          <w:sz w:val="24"/>
        </w:rPr>
        <w:t>和分包</w:t>
      </w:r>
      <w:bookmarkEnd w:id="491"/>
      <w:bookmarkEnd w:id="492"/>
      <w:bookmarkEnd w:id="493"/>
    </w:p>
    <w:p>
      <w:pPr>
        <w:spacing w:line="560" w:lineRule="exact"/>
        <w:ind w:firstLine="480" w:firstLineChars="200"/>
        <w:rPr>
          <w:rFonts w:ascii="宋体" w:hAnsi="宋体" w:cs="宋体"/>
          <w:color w:val="auto"/>
          <w:sz w:val="24"/>
        </w:rPr>
      </w:pPr>
      <w:r>
        <w:rPr>
          <w:rFonts w:hint="eastAsia" w:ascii="宋体" w:hAnsi="宋体" w:cs="宋体"/>
          <w:color w:val="auto"/>
          <w:sz w:val="24"/>
        </w:rPr>
        <w:t>2.9.1合同的权利义务依法不得转让，本项目不同意分包。</w:t>
      </w:r>
    </w:p>
    <w:p>
      <w:pPr>
        <w:spacing w:line="560" w:lineRule="exact"/>
        <w:ind w:firstLine="482" w:firstLineChars="200"/>
        <w:outlineLvl w:val="0"/>
        <w:rPr>
          <w:rFonts w:ascii="宋体" w:hAnsi="宋体" w:cs="宋体"/>
          <w:b/>
          <w:color w:val="auto"/>
          <w:sz w:val="24"/>
        </w:rPr>
      </w:pPr>
      <w:bookmarkStart w:id="494" w:name="_Toc16508"/>
      <w:bookmarkStart w:id="495" w:name="_Toc14066"/>
      <w:bookmarkStart w:id="496" w:name="_Toc13566"/>
      <w:r>
        <w:rPr>
          <w:rFonts w:hint="eastAsia" w:ascii="宋体" w:hAnsi="宋体" w:cs="宋体"/>
          <w:b/>
          <w:color w:val="auto"/>
          <w:sz w:val="24"/>
        </w:rPr>
        <w:t>2.10 不可抗力</w:t>
      </w:r>
      <w:bookmarkEnd w:id="494"/>
      <w:bookmarkEnd w:id="495"/>
      <w:bookmarkEnd w:id="496"/>
    </w:p>
    <w:p>
      <w:pPr>
        <w:spacing w:line="560" w:lineRule="exact"/>
        <w:ind w:firstLine="480" w:firstLineChars="200"/>
        <w:rPr>
          <w:rFonts w:ascii="宋体" w:hAnsi="宋体" w:cs="宋体"/>
          <w:color w:val="auto"/>
          <w:sz w:val="24"/>
        </w:rPr>
      </w:pPr>
      <w:r>
        <w:rPr>
          <w:rFonts w:hint="eastAsia" w:ascii="宋体" w:hAnsi="宋体" w:cs="宋体"/>
          <w:color w:val="auto"/>
          <w:sz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rPr>
      </w:pPr>
      <w:r>
        <w:rPr>
          <w:rFonts w:hint="eastAsia" w:ascii="宋体" w:hAnsi="宋体" w:cs="宋体"/>
          <w:color w:val="auto"/>
          <w:sz w:val="24"/>
        </w:rPr>
        <w:t>2.10.2 因不可抗力致使不能实现合同目的的，当事人可以解除合同；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2.10.3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2.10.4受不可抗力影响的一方在不可抗力发生后，应在</w:t>
      </w:r>
      <w:r>
        <w:rPr>
          <w:rFonts w:hint="eastAsia" w:ascii="宋体" w:hAnsi="宋体" w:cs="宋体"/>
          <w:b/>
          <w:i/>
          <w:color w:val="auto"/>
          <w:sz w:val="24"/>
          <w:u w:val="single"/>
        </w:rPr>
        <w:t xml:space="preserve">合同专用条款 </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 xml:space="preserve">合同专用条款 </w:t>
      </w:r>
      <w:r>
        <w:rPr>
          <w:rFonts w:hint="eastAsia" w:ascii="宋体" w:hAnsi="宋体" w:cs="宋体"/>
          <w:color w:val="auto"/>
          <w:sz w:val="24"/>
        </w:rPr>
        <w:t>约定时间内，将有关部门出具的证明文件送达对方当事人。</w:t>
      </w:r>
    </w:p>
    <w:p>
      <w:pPr>
        <w:spacing w:line="560" w:lineRule="exact"/>
        <w:ind w:firstLine="482" w:firstLineChars="200"/>
        <w:outlineLvl w:val="0"/>
        <w:rPr>
          <w:rFonts w:ascii="宋体" w:hAnsi="宋体" w:cs="宋体"/>
          <w:b/>
          <w:color w:val="auto"/>
          <w:sz w:val="24"/>
        </w:rPr>
      </w:pPr>
      <w:bookmarkStart w:id="497" w:name="_Toc259093684"/>
      <w:bookmarkStart w:id="498" w:name="_Toc30676"/>
      <w:bookmarkStart w:id="499" w:name="_Toc487900365"/>
      <w:bookmarkStart w:id="500" w:name="_Toc6969"/>
      <w:bookmarkStart w:id="501" w:name="_Toc689"/>
      <w:bookmarkStart w:id="502" w:name="_Toc279701255"/>
      <w:r>
        <w:rPr>
          <w:rFonts w:hint="eastAsia" w:ascii="宋体" w:hAnsi="宋体" w:cs="宋体"/>
          <w:b/>
          <w:color w:val="auto"/>
          <w:sz w:val="24"/>
        </w:rPr>
        <w:t>2.11 税费</w:t>
      </w:r>
      <w:bookmarkEnd w:id="497"/>
      <w:bookmarkEnd w:id="498"/>
      <w:bookmarkEnd w:id="499"/>
      <w:bookmarkEnd w:id="500"/>
      <w:bookmarkEnd w:id="501"/>
      <w:bookmarkEnd w:id="502"/>
    </w:p>
    <w:p>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pPr>
        <w:spacing w:line="560" w:lineRule="exact"/>
        <w:ind w:firstLine="482" w:firstLineChars="200"/>
        <w:outlineLvl w:val="0"/>
        <w:rPr>
          <w:rFonts w:ascii="宋体" w:hAnsi="宋体" w:cs="宋体"/>
          <w:b/>
          <w:color w:val="auto"/>
          <w:sz w:val="24"/>
        </w:rPr>
      </w:pPr>
      <w:bookmarkStart w:id="503" w:name="_Toc7102"/>
      <w:bookmarkStart w:id="504" w:name="_Toc8298"/>
      <w:bookmarkStart w:id="505" w:name="_Toc279701258"/>
      <w:bookmarkStart w:id="506" w:name="_Toc487900368"/>
      <w:bookmarkStart w:id="507" w:name="_Toc16959"/>
      <w:bookmarkStart w:id="508" w:name="_Toc259093687"/>
      <w:r>
        <w:rPr>
          <w:rFonts w:hint="eastAsia" w:ascii="宋体" w:hAnsi="宋体" w:cs="宋体"/>
          <w:b/>
          <w:color w:val="auto"/>
          <w:sz w:val="24"/>
        </w:rPr>
        <w:t>2.12乙方破产</w:t>
      </w:r>
      <w:bookmarkEnd w:id="503"/>
      <w:bookmarkEnd w:id="504"/>
      <w:bookmarkEnd w:id="505"/>
      <w:bookmarkEnd w:id="506"/>
      <w:bookmarkEnd w:id="507"/>
      <w:bookmarkEnd w:id="508"/>
    </w:p>
    <w:p>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rPr>
      </w:pPr>
      <w:bookmarkStart w:id="509" w:name="_Toc29333"/>
      <w:bookmarkStart w:id="510" w:name="_Toc15387"/>
      <w:bookmarkStart w:id="511" w:name="_Toc6134"/>
      <w:r>
        <w:rPr>
          <w:rFonts w:hint="eastAsia" w:ascii="宋体" w:hAnsi="宋体" w:cs="宋体"/>
          <w:b/>
          <w:color w:val="auto"/>
          <w:sz w:val="24"/>
        </w:rPr>
        <w:t>2.13 合同中止、终止</w:t>
      </w:r>
      <w:bookmarkEnd w:id="509"/>
      <w:bookmarkEnd w:id="510"/>
      <w:bookmarkEnd w:id="511"/>
    </w:p>
    <w:p>
      <w:pPr>
        <w:spacing w:line="560" w:lineRule="exact"/>
        <w:ind w:firstLine="480" w:firstLineChars="200"/>
        <w:rPr>
          <w:rFonts w:ascii="宋体" w:hAnsi="宋体" w:cs="宋体"/>
          <w:color w:val="auto"/>
          <w:sz w:val="24"/>
        </w:rPr>
      </w:pPr>
      <w:r>
        <w:rPr>
          <w:rFonts w:hint="eastAsia" w:ascii="宋体" w:hAnsi="宋体" w:cs="宋体"/>
          <w:color w:val="auto"/>
          <w:sz w:val="24"/>
        </w:rPr>
        <w:t>2.13.1 双方当事人不得擅自中止或者终止合同；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rPr>
      </w:pPr>
      <w:bookmarkStart w:id="512" w:name="_Toc14563"/>
      <w:bookmarkStart w:id="513" w:name="_Toc6596"/>
      <w:bookmarkStart w:id="514" w:name="_Toc1125"/>
      <w:r>
        <w:rPr>
          <w:rFonts w:hint="eastAsia" w:ascii="宋体" w:hAnsi="宋体" w:cs="宋体"/>
          <w:b/>
          <w:color w:val="auto"/>
          <w:sz w:val="24"/>
        </w:rPr>
        <w:t>2.14检验和验收</w:t>
      </w:r>
      <w:bookmarkEnd w:id="512"/>
      <w:bookmarkEnd w:id="513"/>
      <w:bookmarkEnd w:id="514"/>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2.14.1服务交付前，乙方应对服务的质量、数量等方面进行详细、全面的检验，并向甲方出具证明服务符合合同约定的文件；交付时，乙方在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2.14.3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84"/>
    <w:bookmarkEnd w:id="485"/>
    <w:bookmarkEnd w:id="486"/>
    <w:bookmarkEnd w:id="487"/>
    <w:p>
      <w:pPr>
        <w:spacing w:line="560" w:lineRule="exact"/>
        <w:ind w:firstLine="482" w:firstLineChars="200"/>
        <w:outlineLvl w:val="0"/>
        <w:rPr>
          <w:rFonts w:ascii="宋体" w:hAnsi="宋体" w:cs="宋体"/>
          <w:b/>
          <w:color w:val="auto"/>
          <w:sz w:val="24"/>
        </w:rPr>
      </w:pPr>
      <w:bookmarkStart w:id="515" w:name="_Toc279701261"/>
      <w:bookmarkStart w:id="516" w:name="_Toc259093690"/>
      <w:bookmarkStart w:id="517" w:name="_Toc487900371"/>
      <w:bookmarkStart w:id="518" w:name="_Toc11284"/>
      <w:bookmarkStart w:id="519" w:name="_Toc19604"/>
      <w:bookmarkStart w:id="520" w:name="_Toc25182"/>
      <w:r>
        <w:rPr>
          <w:rFonts w:hint="eastAsia" w:ascii="宋体" w:hAnsi="宋体" w:cs="宋体"/>
          <w:b/>
          <w:color w:val="auto"/>
          <w:sz w:val="24"/>
        </w:rPr>
        <w:t>2.15 通知</w:t>
      </w:r>
      <w:bookmarkEnd w:id="515"/>
      <w:bookmarkEnd w:id="516"/>
      <w:bookmarkEnd w:id="517"/>
      <w:r>
        <w:rPr>
          <w:rFonts w:hint="eastAsia" w:ascii="宋体" w:hAnsi="宋体" w:cs="宋体"/>
          <w:b/>
          <w:color w:val="auto"/>
          <w:sz w:val="24"/>
        </w:rPr>
        <w:t>和送达</w:t>
      </w:r>
      <w:bookmarkEnd w:id="518"/>
      <w:bookmarkEnd w:id="519"/>
      <w:bookmarkEnd w:id="520"/>
    </w:p>
    <w:p>
      <w:pPr>
        <w:spacing w:line="560" w:lineRule="exact"/>
        <w:ind w:firstLine="480" w:firstLineChars="200"/>
        <w:rPr>
          <w:rFonts w:ascii="宋体" w:hAnsi="宋体" w:cs="宋体"/>
          <w:color w:val="auto"/>
          <w:sz w:val="24"/>
        </w:rPr>
      </w:pPr>
      <w:bookmarkStart w:id="521" w:name="_Toc6698"/>
      <w:bookmarkStart w:id="522" w:name="_Toc3135"/>
      <w:bookmarkStart w:id="523" w:name="_Toc487900372"/>
      <w:bookmarkStart w:id="524" w:name="_Toc279701262"/>
      <w:bookmarkStart w:id="525" w:name="_Toc259093691"/>
      <w:r>
        <w:rPr>
          <w:rFonts w:hint="eastAsia" w:ascii="宋体" w:hAnsi="宋体" w:cs="宋体"/>
          <w:color w:val="auto"/>
          <w:sz w:val="24"/>
        </w:rPr>
        <w:t>2.15.1任何一方因履行合同而以合同第一部分尾部所列明的传真或电子邮件发出的所有通知、文件、材料，均视为已向对方当事人送达；任何一方变更上述送达方式或者地址的，应于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1"/>
      <w:bookmarkEnd w:id="522"/>
    </w:p>
    <w:p>
      <w:pPr>
        <w:spacing w:line="560" w:lineRule="exact"/>
        <w:ind w:firstLine="480" w:firstLineChars="200"/>
        <w:rPr>
          <w:rFonts w:ascii="宋体" w:hAnsi="宋体" w:cs="宋体"/>
          <w:color w:val="auto"/>
          <w:sz w:val="24"/>
        </w:rPr>
      </w:pPr>
      <w:bookmarkStart w:id="526" w:name="_Toc23128"/>
      <w:bookmarkStart w:id="527" w:name="_Toc23294"/>
      <w:r>
        <w:rPr>
          <w:rFonts w:hint="eastAsia" w:ascii="宋体" w:hAnsi="宋体" w:cs="宋体"/>
          <w:color w:val="auto"/>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6"/>
      <w:bookmarkEnd w:id="527"/>
    </w:p>
    <w:p>
      <w:pPr>
        <w:spacing w:line="360" w:lineRule="auto"/>
        <w:ind w:firstLine="482" w:firstLineChars="200"/>
        <w:outlineLvl w:val="0"/>
        <w:rPr>
          <w:rFonts w:ascii="宋体" w:hAnsi="宋体" w:cs="宋体"/>
          <w:b/>
          <w:color w:val="auto"/>
          <w:sz w:val="24"/>
        </w:rPr>
      </w:pPr>
      <w:bookmarkStart w:id="528" w:name="_Toc4355"/>
      <w:bookmarkStart w:id="529" w:name="_Toc18540"/>
      <w:bookmarkStart w:id="530" w:name="_Toc30599"/>
      <w:r>
        <w:rPr>
          <w:rFonts w:hint="eastAsia" w:ascii="宋体" w:hAnsi="宋体" w:cs="宋体"/>
          <w:b/>
          <w:color w:val="auto"/>
          <w:sz w:val="24"/>
        </w:rPr>
        <w:t>2.16 计量单位</w:t>
      </w:r>
      <w:bookmarkEnd w:id="523"/>
      <w:bookmarkEnd w:id="524"/>
      <w:bookmarkEnd w:id="525"/>
      <w:bookmarkEnd w:id="528"/>
      <w:bookmarkEnd w:id="529"/>
      <w:bookmarkEnd w:id="530"/>
    </w:p>
    <w:p>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360" w:lineRule="auto"/>
        <w:ind w:firstLine="482" w:firstLineChars="200"/>
        <w:outlineLvl w:val="0"/>
        <w:rPr>
          <w:rFonts w:ascii="宋体" w:hAnsi="宋体" w:cs="宋体"/>
          <w:b/>
          <w:color w:val="auto"/>
          <w:sz w:val="24"/>
        </w:rPr>
      </w:pPr>
      <w:bookmarkStart w:id="531" w:name="_Toc279701263"/>
      <w:bookmarkStart w:id="532" w:name="_Toc487900373"/>
      <w:bookmarkStart w:id="533" w:name="_Toc18567"/>
      <w:bookmarkStart w:id="534" w:name="_Toc12773"/>
      <w:bookmarkStart w:id="535" w:name="_Toc10330"/>
      <w:bookmarkStart w:id="536" w:name="_Toc259093692"/>
      <w:r>
        <w:rPr>
          <w:rFonts w:hint="eastAsia" w:ascii="宋体" w:hAnsi="宋体" w:cs="宋体"/>
          <w:b/>
          <w:color w:val="auto"/>
          <w:sz w:val="24"/>
        </w:rPr>
        <w:t>2.17 合同使用的文字和适用的法律</w:t>
      </w:r>
      <w:bookmarkEnd w:id="531"/>
      <w:bookmarkEnd w:id="532"/>
      <w:bookmarkEnd w:id="533"/>
      <w:bookmarkEnd w:id="534"/>
      <w:bookmarkEnd w:id="535"/>
      <w:bookmarkEnd w:id="536"/>
    </w:p>
    <w:p>
      <w:pPr>
        <w:spacing w:line="360" w:lineRule="auto"/>
        <w:ind w:firstLine="480" w:firstLineChars="200"/>
        <w:rPr>
          <w:rFonts w:ascii="宋体" w:hAnsi="宋体" w:cs="宋体"/>
          <w:color w:val="auto"/>
          <w:sz w:val="24"/>
        </w:rPr>
      </w:pPr>
      <w:r>
        <w:rPr>
          <w:rFonts w:hint="eastAsia" w:ascii="宋体" w:hAnsi="宋体" w:cs="宋体"/>
          <w:color w:val="auto"/>
          <w:sz w:val="24"/>
        </w:rPr>
        <w:t>2.17.1 合同使用汉语书就、变更和解释；</w:t>
      </w:r>
    </w:p>
    <w:p>
      <w:pPr>
        <w:spacing w:line="360" w:lineRule="auto"/>
        <w:ind w:firstLine="480" w:firstLineChars="200"/>
        <w:rPr>
          <w:rFonts w:ascii="宋体" w:hAnsi="宋体" w:cs="宋体"/>
          <w:color w:val="auto"/>
          <w:sz w:val="24"/>
        </w:rPr>
      </w:pPr>
      <w:r>
        <w:rPr>
          <w:rFonts w:hint="eastAsia" w:ascii="宋体" w:hAnsi="宋体" w:cs="宋体"/>
          <w:color w:val="auto"/>
          <w:sz w:val="24"/>
        </w:rPr>
        <w:t>2.17.2 合同适用中华人民共和国法律。</w:t>
      </w:r>
    </w:p>
    <w:p>
      <w:pPr>
        <w:spacing w:line="360" w:lineRule="auto"/>
        <w:ind w:firstLine="482" w:firstLineChars="200"/>
        <w:outlineLvl w:val="0"/>
        <w:rPr>
          <w:rFonts w:ascii="宋体" w:hAnsi="宋体" w:cs="宋体"/>
          <w:b/>
          <w:color w:val="auto"/>
          <w:sz w:val="24"/>
        </w:rPr>
      </w:pPr>
      <w:bookmarkStart w:id="537" w:name="_Toc279701264"/>
      <w:bookmarkStart w:id="538" w:name="_Toc259093693"/>
      <w:bookmarkStart w:id="539" w:name="_Toc12004"/>
      <w:bookmarkStart w:id="540" w:name="_Toc3148"/>
      <w:bookmarkStart w:id="541" w:name="_Toc16673"/>
      <w:bookmarkStart w:id="542" w:name="_Toc487900374"/>
      <w:r>
        <w:rPr>
          <w:rFonts w:hint="eastAsia" w:ascii="宋体" w:hAnsi="宋体" w:cs="宋体"/>
          <w:b/>
          <w:color w:val="auto"/>
          <w:sz w:val="24"/>
        </w:rPr>
        <w:t>2.18 履约保证金</w:t>
      </w:r>
      <w:bookmarkEnd w:id="537"/>
      <w:bookmarkEnd w:id="538"/>
      <w:bookmarkEnd w:id="539"/>
      <w:bookmarkEnd w:id="540"/>
      <w:bookmarkEnd w:id="541"/>
      <w:r>
        <w:rPr>
          <w:rFonts w:hint="eastAsia" w:ascii="宋体" w:hAnsi="宋体" w:cs="宋体"/>
          <w:b/>
          <w:color w:val="auto"/>
          <w:sz w:val="24"/>
        </w:rPr>
        <w:t>：</w:t>
      </w:r>
    </w:p>
    <w:p>
      <w:pPr>
        <w:pStyle w:val="960"/>
        <w:spacing w:before="0" w:beforeAutospacing="0" w:after="0" w:afterAutospacing="0" w:line="360" w:lineRule="auto"/>
        <w:ind w:firstLine="420"/>
        <w:rPr>
          <w:color w:val="auto"/>
        </w:rPr>
      </w:pPr>
      <w:r>
        <w:rPr>
          <w:rFonts w:hint="eastAsia"/>
          <w:color w:val="auto"/>
        </w:rPr>
        <w:t>2.18.1 采购文件要求乙方提交履约保证金的，乙方应按</w:t>
      </w:r>
      <w:r>
        <w:rPr>
          <w:rFonts w:hint="eastAsia"/>
          <w:b/>
          <w:i/>
          <w:color w:val="auto"/>
          <w:u w:val="single"/>
        </w:rPr>
        <w:t>合同专用条款</w:t>
      </w:r>
      <w:r>
        <w:rPr>
          <w:rFonts w:hint="eastAsia"/>
          <w:color w:val="auto"/>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宋体" w:hAnsi="宋体" w:cs="宋体"/>
          <w:color w:val="auto"/>
          <w:sz w:val="24"/>
        </w:rPr>
      </w:pPr>
      <w:r>
        <w:rPr>
          <w:rFonts w:hint="eastAsia" w:ascii="宋体" w:hAnsi="宋体" w:cs="宋体"/>
          <w:color w:val="auto"/>
          <w:sz w:val="24"/>
        </w:rPr>
        <w:t>2.18.2 逾期退还的，乙方可要求甲方支付违约金，违约金按每迟延退还一日的应退还而未退还金额的</w:t>
      </w:r>
      <w:r>
        <w:rPr>
          <w:rFonts w:hint="eastAsia" w:ascii="宋体" w:hAnsi="宋体" w:cs="宋体"/>
          <w:color w:val="auto"/>
          <w:sz w:val="24"/>
          <w:u w:val="single"/>
        </w:rPr>
        <w:t>0.05</w:t>
      </w:r>
      <w:r>
        <w:rPr>
          <w:rFonts w:hint="eastAsia" w:ascii="宋体" w:hAnsi="宋体" w:cs="宋体"/>
          <w:color w:val="auto"/>
          <w:sz w:val="24"/>
        </w:rPr>
        <w:t>%计算，最高限额为本合同履约保证金的</w:t>
      </w:r>
      <w:r>
        <w:rPr>
          <w:rFonts w:hint="eastAsia" w:ascii="宋体" w:hAnsi="宋体" w:cs="宋体"/>
          <w:color w:val="auto"/>
          <w:sz w:val="24"/>
          <w:u w:val="single"/>
        </w:rPr>
        <w:t>20</w:t>
      </w:r>
      <w:r>
        <w:rPr>
          <w:rFonts w:hint="eastAsia" w:ascii="宋体" w:hAnsi="宋体" w:cs="宋体"/>
          <w:color w:val="auto"/>
          <w:sz w:val="24"/>
        </w:rPr>
        <w:t xml:space="preserve">%； </w:t>
      </w:r>
    </w:p>
    <w:p>
      <w:pPr>
        <w:spacing w:line="560" w:lineRule="exact"/>
        <w:ind w:firstLine="480" w:firstLineChars="200"/>
        <w:rPr>
          <w:rFonts w:ascii="宋体" w:hAnsi="宋体" w:cs="宋体"/>
          <w:color w:val="auto"/>
          <w:sz w:val="24"/>
        </w:rPr>
      </w:pPr>
      <w:r>
        <w:rPr>
          <w:rFonts w:hint="eastAsia" w:ascii="宋体" w:hAnsi="宋体" w:cs="宋体"/>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rPr>
      </w:pPr>
      <w:r>
        <w:rPr>
          <w:rFonts w:hint="eastAsia" w:ascii="宋体" w:hAnsi="宋体" w:cs="宋体"/>
          <w:color w:val="auto"/>
          <w:sz w:val="24"/>
        </w:rPr>
        <w:t>2.18.4甲方在乙方履行完合同约定义务事项后及时退还，延迟退还的，应当按照合同约定和法律规定承担相应的赔偿责任。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color w:val="auto"/>
          <w:sz w:val="24"/>
        </w:rPr>
      </w:pPr>
      <w:r>
        <w:rPr>
          <w:rFonts w:hint="eastAsia" w:ascii="宋体" w:hAnsi="宋体" w:cs="宋体"/>
          <w:color w:val="auto"/>
          <w:sz w:val="24"/>
        </w:rPr>
        <w:t>2.19对于因甲方原因导致变更、中止或者终止政府采购合同的，甲方应当依照合同约定对供应商受到的损失予以赔偿或者补偿。</w:t>
      </w:r>
    </w:p>
    <w:bookmarkEnd w:id="542"/>
    <w:p>
      <w:pPr>
        <w:spacing w:line="560" w:lineRule="exact"/>
        <w:ind w:firstLine="482" w:firstLineChars="200"/>
        <w:outlineLvl w:val="0"/>
        <w:rPr>
          <w:rFonts w:ascii="宋体" w:hAnsi="宋体" w:cs="宋体"/>
          <w:b/>
          <w:color w:val="auto"/>
          <w:sz w:val="24"/>
        </w:rPr>
      </w:pPr>
      <w:bookmarkStart w:id="543" w:name="_Toc14001"/>
      <w:bookmarkStart w:id="544" w:name="_Toc19890"/>
      <w:bookmarkStart w:id="545" w:name="_Toc6885"/>
      <w:r>
        <w:rPr>
          <w:rFonts w:hint="eastAsia" w:ascii="宋体" w:hAnsi="宋体" w:cs="宋体"/>
          <w:b/>
          <w:color w:val="auto"/>
          <w:sz w:val="24"/>
        </w:rPr>
        <w:t>2.20合同份数</w:t>
      </w:r>
      <w:bookmarkEnd w:id="543"/>
      <w:bookmarkEnd w:id="544"/>
      <w:bookmarkEnd w:id="545"/>
    </w:p>
    <w:p>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bookmarkStart w:id="546" w:name="_Toc331685784"/>
      <w:bookmarkEnd w:id="546"/>
    </w:p>
    <w:p>
      <w:pPr>
        <w:pStyle w:val="703"/>
        <w:spacing w:line="560" w:lineRule="exact"/>
        <w:ind w:firstLine="0" w:firstLineChars="0"/>
        <w:jc w:val="center"/>
        <w:rPr>
          <w:rFonts w:ascii="宋体" w:hAnsi="宋体" w:cs="宋体"/>
          <w:b/>
          <w:color w:val="auto"/>
          <w:szCs w:val="24"/>
        </w:rPr>
      </w:pPr>
    </w:p>
    <w:p>
      <w:pPr>
        <w:pStyle w:val="703"/>
        <w:spacing w:line="560" w:lineRule="exact"/>
        <w:ind w:firstLine="0" w:firstLineChars="0"/>
        <w:jc w:val="center"/>
        <w:rPr>
          <w:rFonts w:ascii="宋体" w:hAnsi="宋体" w:cs="宋体"/>
          <w:b/>
          <w:color w:val="auto"/>
          <w:szCs w:val="24"/>
        </w:rPr>
      </w:pPr>
    </w:p>
    <w:p>
      <w:pPr>
        <w:pStyle w:val="703"/>
        <w:spacing w:line="560" w:lineRule="exact"/>
        <w:ind w:firstLine="0" w:firstLineChars="0"/>
        <w:jc w:val="center"/>
        <w:rPr>
          <w:rFonts w:ascii="宋体" w:hAnsi="宋体" w:cs="宋体"/>
          <w:b/>
          <w:color w:val="auto"/>
          <w:szCs w:val="24"/>
        </w:rPr>
      </w:pPr>
    </w:p>
    <w:p>
      <w:pPr>
        <w:pStyle w:val="703"/>
        <w:spacing w:line="560" w:lineRule="exact"/>
        <w:ind w:firstLine="0" w:firstLineChars="0"/>
        <w:jc w:val="center"/>
        <w:rPr>
          <w:rFonts w:ascii="宋体" w:hAnsi="宋体" w:cs="宋体"/>
          <w:b/>
          <w:color w:val="auto"/>
          <w:szCs w:val="24"/>
        </w:rPr>
      </w:pPr>
    </w:p>
    <w:p>
      <w:pPr>
        <w:pStyle w:val="703"/>
        <w:spacing w:line="560" w:lineRule="exact"/>
        <w:ind w:firstLine="0" w:firstLineChars="0"/>
        <w:jc w:val="center"/>
        <w:rPr>
          <w:rFonts w:ascii="宋体" w:hAnsi="宋体" w:cs="宋体"/>
          <w:b/>
          <w:color w:val="auto"/>
          <w:szCs w:val="24"/>
        </w:rPr>
      </w:pPr>
    </w:p>
    <w:p>
      <w:pPr>
        <w:pStyle w:val="703"/>
        <w:spacing w:line="560" w:lineRule="exact"/>
        <w:ind w:firstLine="0" w:firstLineChars="0"/>
        <w:jc w:val="center"/>
        <w:rPr>
          <w:rFonts w:ascii="宋体" w:hAnsi="宋体" w:cs="宋体"/>
          <w:b/>
          <w:color w:val="auto"/>
          <w:szCs w:val="24"/>
        </w:rPr>
      </w:pPr>
    </w:p>
    <w:p>
      <w:pPr>
        <w:pStyle w:val="703"/>
        <w:spacing w:line="560" w:lineRule="exact"/>
        <w:ind w:firstLine="0" w:firstLineChars="0"/>
        <w:jc w:val="center"/>
        <w:rPr>
          <w:rFonts w:ascii="宋体" w:hAnsi="宋体" w:cs="宋体"/>
          <w:b/>
          <w:color w:val="auto"/>
          <w:szCs w:val="24"/>
        </w:rPr>
      </w:pPr>
    </w:p>
    <w:p>
      <w:pPr>
        <w:pStyle w:val="703"/>
        <w:spacing w:line="560" w:lineRule="exact"/>
        <w:ind w:firstLine="0" w:firstLineChars="0"/>
        <w:jc w:val="center"/>
        <w:rPr>
          <w:rFonts w:ascii="宋体" w:hAnsi="宋体" w:cs="宋体"/>
          <w:b/>
          <w:color w:val="auto"/>
          <w:szCs w:val="24"/>
        </w:rPr>
      </w:pPr>
    </w:p>
    <w:p>
      <w:pPr>
        <w:pStyle w:val="703"/>
        <w:spacing w:line="560" w:lineRule="exact"/>
        <w:ind w:firstLine="0" w:firstLineChars="0"/>
        <w:jc w:val="center"/>
        <w:rPr>
          <w:rFonts w:ascii="宋体" w:hAnsi="宋体" w:cs="宋体"/>
          <w:b/>
          <w:color w:val="auto"/>
          <w:szCs w:val="24"/>
        </w:rPr>
      </w:pPr>
    </w:p>
    <w:p>
      <w:pPr>
        <w:pStyle w:val="703"/>
        <w:spacing w:line="560" w:lineRule="exact"/>
        <w:ind w:firstLine="0" w:firstLineChars="0"/>
        <w:jc w:val="center"/>
        <w:rPr>
          <w:rFonts w:ascii="宋体" w:hAnsi="宋体" w:cs="宋体"/>
          <w:b/>
          <w:color w:val="auto"/>
          <w:szCs w:val="24"/>
        </w:rPr>
      </w:pPr>
    </w:p>
    <w:p>
      <w:pPr>
        <w:pStyle w:val="703"/>
        <w:spacing w:line="560" w:lineRule="exact"/>
        <w:ind w:firstLine="0" w:firstLineChars="0"/>
        <w:jc w:val="center"/>
        <w:rPr>
          <w:rFonts w:ascii="宋体" w:hAnsi="宋体" w:cs="宋体"/>
          <w:b/>
          <w:color w:val="auto"/>
          <w:szCs w:val="24"/>
        </w:rPr>
      </w:pPr>
      <w:r>
        <w:rPr>
          <w:rFonts w:hint="eastAsia" w:ascii="宋体" w:hAnsi="宋体" w:cs="宋体"/>
          <w:b/>
          <w:color w:val="auto"/>
          <w:szCs w:val="24"/>
        </w:rPr>
        <w:t>第三部分  合同专用条款</w:t>
      </w:r>
    </w:p>
    <w:p>
      <w:pPr>
        <w:spacing w:line="560" w:lineRule="exact"/>
        <w:ind w:left="-420" w:leftChars="-200" w:right="-420" w:rightChars="-200" w:firstLine="480" w:firstLineChars="200"/>
        <w:rPr>
          <w:rFonts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53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1.4.4</w:t>
            </w:r>
          </w:p>
        </w:tc>
        <w:tc>
          <w:tcPr>
            <w:tcW w:w="4534" w:type="pct"/>
            <w:vAlign w:val="center"/>
          </w:tcPr>
          <w:p>
            <w:pPr>
              <w:spacing w:line="360" w:lineRule="auto"/>
              <w:rPr>
                <w:rFonts w:ascii="宋体" w:hAnsi="宋体" w:cs="宋体"/>
                <w:color w:val="auto"/>
                <w:sz w:val="24"/>
              </w:rPr>
            </w:pPr>
            <w:r>
              <w:rPr>
                <w:rFonts w:hint="eastAsia" w:ascii="宋体" w:hAnsi="宋体" w:cs="宋体"/>
                <w:color w:val="auto"/>
                <w:sz w:val="24"/>
              </w:rPr>
              <w:t>签订合同后预付合同总价款的50%，每季度按实际完成工程量结算一次（扣除预付款）。</w:t>
            </w:r>
            <w:r>
              <w:rPr>
                <w:rFonts w:hint="eastAsia" w:ascii="宋体" w:hAnsi="宋体" w:cs="宋体"/>
                <w:snapToGrid w:val="0"/>
                <w:color w:val="auto"/>
                <w:kern w:val="0"/>
                <w:sz w:val="24"/>
              </w:rPr>
              <w:t>计算方式：结算金额按实际完成工程量*控制单价*（1-让利幅度）进行结算。</w:t>
            </w:r>
            <w:r>
              <w:rPr>
                <w:rFonts w:hint="eastAsia" w:ascii="宋体" w:hAnsi="宋体" w:cs="宋体"/>
                <w:color w:val="auto"/>
                <w:sz w:val="24"/>
              </w:rPr>
              <w:t>清单中未包含的项目，按市场</w:t>
            </w:r>
            <w:r>
              <w:rPr>
                <w:rFonts w:hint="eastAsia" w:ascii="宋体" w:hAnsi="宋体" w:cs="宋体"/>
                <w:snapToGrid w:val="0"/>
                <w:color w:val="auto"/>
                <w:kern w:val="0"/>
                <w:sz w:val="24"/>
              </w:rPr>
              <w:t>同类产品市场价*（1-让利幅度）计算，市场单价为</w:t>
            </w:r>
            <w:r>
              <w:rPr>
                <w:rFonts w:hint="eastAsia" w:ascii="宋体" w:hAnsi="宋体" w:cs="宋体"/>
                <w:color w:val="auto"/>
                <w:sz w:val="24"/>
              </w:rPr>
              <w:t>业主审核通过后的价格</w:t>
            </w:r>
            <w:r>
              <w:rPr>
                <w:rFonts w:hint="eastAsia" w:ascii="宋体" w:hAnsi="宋体" w:cs="宋体"/>
                <w:snapToGrid w:val="0"/>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534" w:type="pct"/>
            <w:vAlign w:val="center"/>
          </w:tcPr>
          <w:p>
            <w:pPr>
              <w:spacing w:line="360" w:lineRule="auto"/>
              <w:rPr>
                <w:rFonts w:ascii="宋体" w:hAnsi="宋体" w:cs="宋体"/>
                <w:color w:val="auto"/>
                <w:sz w:val="24"/>
              </w:rPr>
            </w:pPr>
            <w:r>
              <w:rPr>
                <w:rFonts w:hint="eastAsia" w:ascii="宋体" w:hAnsi="宋体" w:cs="宋体"/>
                <w:color w:val="auto"/>
                <w:sz w:val="24"/>
              </w:rPr>
              <w:t>壹年（以合同签订时间为准）。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534" w:type="pct"/>
            <w:vAlign w:val="center"/>
          </w:tcPr>
          <w:p>
            <w:pPr>
              <w:spacing w:line="360" w:lineRule="auto"/>
              <w:rPr>
                <w:rFonts w:ascii="宋体" w:hAnsi="宋体" w:cs="宋体"/>
                <w:color w:val="auto"/>
                <w:sz w:val="24"/>
              </w:rPr>
            </w:pPr>
            <w:r>
              <w:rPr>
                <w:rFonts w:hint="eastAsia" w:ascii="宋体" w:hAnsi="宋体" w:cs="宋体"/>
                <w:color w:val="auto"/>
                <w:sz w:val="24"/>
              </w:rPr>
              <w:t>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534" w:type="pct"/>
            <w:vAlign w:val="center"/>
          </w:tcPr>
          <w:p>
            <w:pPr>
              <w:spacing w:line="360" w:lineRule="auto"/>
              <w:rPr>
                <w:rFonts w:ascii="宋体" w:hAnsi="宋体" w:cs="宋体"/>
                <w:color w:val="auto"/>
                <w:sz w:val="24"/>
              </w:rPr>
            </w:pPr>
            <w:r>
              <w:rPr>
                <w:rFonts w:hint="eastAsia" w:ascii="宋体" w:hAnsi="宋体" w:cs="宋体"/>
                <w:bCs/>
                <w:color w:val="auto"/>
                <w:kern w:val="0"/>
                <w:sz w:val="24"/>
              </w:rPr>
              <w:t>现场服务。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1.6.7</w:t>
            </w:r>
          </w:p>
        </w:tc>
        <w:tc>
          <w:tcPr>
            <w:tcW w:w="4534" w:type="pct"/>
            <w:vAlign w:val="center"/>
          </w:tcPr>
          <w:p>
            <w:pPr>
              <w:spacing w:line="360" w:lineRule="auto"/>
              <w:rPr>
                <w:rFonts w:ascii="宋体" w:hAnsi="宋体" w:cs="宋体"/>
                <w:color w:val="auto"/>
                <w:sz w:val="24"/>
              </w:rPr>
            </w:pPr>
            <w:r>
              <w:rPr>
                <w:rFonts w:hint="eastAsia" w:ascii="宋体" w:hAnsi="宋体" w:cs="宋体"/>
                <w:color w:val="auto"/>
                <w:sz w:val="24"/>
              </w:rPr>
              <w:t>1、甲方无正当理由拒绝接受服务的，甲方向乙方偿付合同款项百分之五作为违约金。</w:t>
            </w:r>
          </w:p>
          <w:p>
            <w:pPr>
              <w:spacing w:line="360" w:lineRule="auto"/>
              <w:rPr>
                <w:rFonts w:ascii="宋体" w:hAnsi="宋体" w:cs="宋体"/>
                <w:color w:val="auto"/>
                <w:sz w:val="24"/>
              </w:rPr>
            </w:pPr>
            <w:r>
              <w:rPr>
                <w:rFonts w:hint="eastAsia" w:ascii="宋体" w:hAnsi="宋体" w:cs="宋体"/>
                <w:color w:val="auto"/>
                <w:sz w:val="24"/>
              </w:rPr>
              <w:t>2、甲方无故逾期验收和办理款项支付手续的，甲方应按逾期付款总额每日万分之五向乙方支付违约金。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w:t>
            </w:r>
          </w:p>
        </w:tc>
        <w:tc>
          <w:tcPr>
            <w:tcW w:w="4534" w:type="pct"/>
            <w:vAlign w:val="center"/>
          </w:tcPr>
          <w:p>
            <w:pPr>
              <w:spacing w:line="360" w:lineRule="auto"/>
              <w:rPr>
                <w:rFonts w:ascii="宋体" w:hAnsi="宋体" w:cs="宋体"/>
                <w:color w:val="auto"/>
                <w:sz w:val="24"/>
              </w:rPr>
            </w:pPr>
            <w:r>
              <w:rPr>
                <w:rFonts w:hint="eastAsia" w:ascii="宋体" w:hAnsi="宋体" w:cs="宋体"/>
                <w:color w:val="auto"/>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534" w:type="pct"/>
            <w:vAlign w:val="center"/>
          </w:tcPr>
          <w:p>
            <w:pPr>
              <w:spacing w:line="360" w:lineRule="auto"/>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534" w:type="pct"/>
            <w:vAlign w:val="center"/>
          </w:tcPr>
          <w:p>
            <w:pPr>
              <w:spacing w:line="360" w:lineRule="auto"/>
              <w:rPr>
                <w:rFonts w:ascii="宋体" w:hAnsi="宋体" w:cs="宋体"/>
                <w:color w:val="auto"/>
                <w:sz w:val="24"/>
                <w:lang w:val="zh-CN"/>
              </w:rPr>
            </w:pPr>
            <w:r>
              <w:rPr>
                <w:rFonts w:hint="eastAsia" w:ascii="宋体" w:hAnsi="宋体" w:cs="宋体"/>
                <w:color w:val="auto"/>
                <w:sz w:val="24"/>
                <w:lang w:val="zh-CN"/>
              </w:rPr>
              <w:t>向淳安县人民法院提起诉讼。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2.10.3</w:t>
            </w:r>
          </w:p>
        </w:tc>
        <w:tc>
          <w:tcPr>
            <w:tcW w:w="4534" w:type="pct"/>
            <w:vAlign w:val="center"/>
          </w:tcPr>
          <w:p>
            <w:pPr>
              <w:spacing w:line="360" w:lineRule="auto"/>
              <w:rPr>
                <w:rFonts w:ascii="宋体" w:hAnsi="宋体" w:cs="宋体"/>
                <w:color w:val="auto"/>
                <w:sz w:val="24"/>
              </w:rPr>
            </w:pPr>
            <w:r>
              <w:rPr>
                <w:rFonts w:hint="eastAsia" w:ascii="宋体" w:hAnsi="宋体" w:cs="宋体"/>
                <w:color w:val="auto"/>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2.10.4</w:t>
            </w:r>
          </w:p>
        </w:tc>
        <w:tc>
          <w:tcPr>
            <w:tcW w:w="4534" w:type="pct"/>
            <w:vAlign w:val="center"/>
          </w:tcPr>
          <w:p>
            <w:pPr>
              <w:spacing w:line="360" w:lineRule="auto"/>
              <w:rPr>
                <w:rFonts w:ascii="宋体" w:hAnsi="宋体" w:cs="宋体"/>
                <w:color w:val="auto"/>
                <w:sz w:val="24"/>
              </w:rPr>
            </w:pPr>
            <w:r>
              <w:rPr>
                <w:rFonts w:hint="eastAsia" w:ascii="宋体" w:hAnsi="宋体" w:cs="宋体"/>
                <w:color w:val="auto"/>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2.14.1</w:t>
            </w:r>
          </w:p>
        </w:tc>
        <w:tc>
          <w:tcPr>
            <w:tcW w:w="4534" w:type="pct"/>
            <w:vAlign w:val="center"/>
          </w:tcPr>
          <w:p>
            <w:pPr>
              <w:spacing w:line="360" w:lineRule="auto"/>
              <w:rPr>
                <w:rFonts w:ascii="宋体" w:hAnsi="宋体" w:cs="宋体"/>
                <w:color w:val="auto"/>
                <w:sz w:val="24"/>
              </w:rPr>
            </w:pPr>
            <w:r>
              <w:rPr>
                <w:rFonts w:hint="eastAsia" w:ascii="宋体" w:hAnsi="宋体" w:cs="宋体"/>
                <w:color w:val="auto"/>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2.14.3</w:t>
            </w:r>
          </w:p>
        </w:tc>
        <w:tc>
          <w:tcPr>
            <w:tcW w:w="4534" w:type="pct"/>
            <w:vAlign w:val="center"/>
          </w:tcPr>
          <w:p>
            <w:pPr>
              <w:spacing w:line="360" w:lineRule="auto"/>
              <w:rPr>
                <w:rFonts w:ascii="宋体" w:hAnsi="宋体" w:cs="宋体"/>
                <w:color w:val="auto"/>
                <w:sz w:val="24"/>
              </w:rPr>
            </w:pPr>
            <w:r>
              <w:rPr>
                <w:rFonts w:hint="eastAsia" w:ascii="宋体" w:hAnsi="宋体" w:cs="宋体"/>
                <w:color w:val="auto"/>
                <w:sz w:val="24"/>
              </w:rPr>
              <w:t>验收；由甲方组织相关部门按采购要求进行验收，并出具验收报告。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2.18.1</w:t>
            </w:r>
          </w:p>
        </w:tc>
        <w:tc>
          <w:tcPr>
            <w:tcW w:w="4534" w:type="pct"/>
            <w:vAlign w:val="center"/>
          </w:tcPr>
          <w:p>
            <w:pPr>
              <w:spacing w:line="360" w:lineRule="auto"/>
              <w:rPr>
                <w:rFonts w:ascii="宋体" w:hAnsi="宋体" w:cs="宋体"/>
                <w:color w:val="auto"/>
                <w:sz w:val="24"/>
              </w:rPr>
            </w:pPr>
            <w:r>
              <w:rPr>
                <w:rFonts w:hint="eastAsia" w:ascii="宋体" w:hAnsi="宋体" w:cs="宋体"/>
                <w:bCs/>
                <w:color w:val="auto"/>
                <w:sz w:val="24"/>
              </w:rPr>
              <w:t>乙方在签订合同后5个工作日内缴纳合同价1%（￥</w:t>
            </w:r>
            <w:r>
              <w:rPr>
                <w:rFonts w:hint="eastAsia" w:ascii="宋体" w:hAnsi="宋体" w:cs="宋体"/>
                <w:bCs/>
                <w:color w:val="auto"/>
                <w:sz w:val="24"/>
                <w:u w:val="single"/>
              </w:rPr>
              <w:t xml:space="preserve">    </w:t>
            </w:r>
            <w:r>
              <w:rPr>
                <w:rFonts w:hint="eastAsia" w:ascii="宋体" w:hAnsi="宋体" w:cs="宋体"/>
                <w:bCs/>
                <w:color w:val="auto"/>
                <w:sz w:val="24"/>
              </w:rPr>
              <w:t>元）的履约保证金，履约金在项目完成且验收合格后30日内无息退还。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2.20</w:t>
            </w:r>
          </w:p>
        </w:tc>
        <w:tc>
          <w:tcPr>
            <w:tcW w:w="4534" w:type="pct"/>
            <w:vAlign w:val="center"/>
          </w:tcPr>
          <w:p>
            <w:pPr>
              <w:spacing w:line="360" w:lineRule="auto"/>
              <w:rPr>
                <w:rFonts w:ascii="宋体" w:hAnsi="宋体" w:cs="宋体"/>
                <w:color w:val="auto"/>
                <w:sz w:val="24"/>
              </w:rPr>
            </w:pPr>
            <w:r>
              <w:rPr>
                <w:rFonts w:hint="eastAsia" w:ascii="宋体" w:hAnsi="宋体" w:cs="宋体"/>
                <w:color w:val="auto"/>
                <w:sz w:val="24"/>
              </w:rPr>
              <w:t>本合同一式伍份，甲、乙双方各执贰份，采购代理机构壹份。</w:t>
            </w:r>
          </w:p>
        </w:tc>
      </w:tr>
    </w:tbl>
    <w:p>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2"/>
      <w:bookmarkEnd w:id="393"/>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rPr>
      </w:pPr>
      <w:r>
        <w:rPr>
          <w:rFonts w:hint="eastAsia" w:ascii="宋体" w:hAnsi="宋体" w:cs="宋体"/>
          <w:color w:val="auto"/>
          <w:sz w:val="24"/>
        </w:rPr>
        <w:t>（1）符合参加政府采购活动应当具备的一般条件的承诺函……………（页码）</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（2）联合授权委托书………………………………………………………（页码）</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（3）落实政府采购政策需满足的资格要求………………………………（页码）</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（4）本项目的特定资格要求………………………………………………（页码）</w:t>
      </w:r>
    </w:p>
    <w:p>
      <w:pPr>
        <w:snapToGrid w:val="0"/>
        <w:spacing w:line="360" w:lineRule="auto"/>
        <w:rPr>
          <w:rFonts w:ascii="宋体" w:hAnsi="宋体" w:cs="宋体"/>
          <w:color w:val="auto"/>
          <w:sz w:val="24"/>
        </w:rPr>
      </w:pP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 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二、联合授权委托书（如果有）</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[以联合体形式投标的，提供联合授权委托书；本项目不接受联合体投标或者投标人不以联合体形式投标的，则不需要提供]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pStyle w:val="2"/>
        <w:rPr>
          <w:rFonts w:cs="宋体"/>
          <w:b/>
          <w:color w:val="auto"/>
          <w:sz w:val="32"/>
          <w:szCs w:val="32"/>
        </w:rPr>
      </w:pPr>
    </w:p>
    <w:p>
      <w:pPr>
        <w:pStyle w:val="2"/>
        <w:rPr>
          <w:rFonts w:cs="宋体"/>
          <w:b/>
          <w:color w:val="auto"/>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pStyle w:val="7"/>
        <w:rPr>
          <w:rFonts w:cs="宋体"/>
          <w:color w:val="auto"/>
        </w:rPr>
      </w:pPr>
      <w:r>
        <w:rPr>
          <w:rFonts w:hint="eastAsia" w:cs="宋体"/>
          <w:color w:val="auto"/>
        </w:rPr>
        <w:t>专门面向中小企业，服务全部由符合政策要求的中小企业承接，提供相应的中小企业声明函（附件5）。</w:t>
      </w:r>
    </w:p>
    <w:p>
      <w:pPr>
        <w:snapToGrid w:val="0"/>
        <w:spacing w:before="50" w:after="50" w:line="360" w:lineRule="auto"/>
        <w:jc w:val="center"/>
        <w:rPr>
          <w:rFonts w:ascii="宋体" w:hAnsi="宋体" w:cs="宋体"/>
          <w:b/>
          <w:color w:val="auto"/>
          <w:kern w:val="0"/>
          <w:sz w:val="32"/>
          <w:szCs w:val="32"/>
          <w:lang w:val="zh-CN"/>
        </w:rPr>
      </w:pPr>
    </w:p>
    <w:p>
      <w:pPr>
        <w:pStyle w:val="4"/>
        <w:rPr>
          <w:rFonts w:ascii="宋体" w:hAnsi="宋体" w:eastAsia="宋体" w:cs="宋体"/>
          <w:color w:val="auto"/>
          <w:kern w:val="0"/>
        </w:rPr>
      </w:pPr>
    </w:p>
    <w:p>
      <w:pPr>
        <w:rPr>
          <w:rFonts w:ascii="宋体" w:hAnsi="宋体" w:cs="宋体"/>
          <w:color w:val="auto"/>
          <w:lang w:val="zh-CN"/>
        </w:rPr>
      </w:pPr>
    </w:p>
    <w:p>
      <w:pPr>
        <w:pStyle w:val="7"/>
        <w:rPr>
          <w:rFonts w:cs="宋体"/>
          <w:color w:val="auto"/>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pacing w:line="360" w:lineRule="auto"/>
        <w:jc w:val="center"/>
        <w:outlineLvl w:val="0"/>
        <w:rPr>
          <w:rFonts w:ascii="宋体" w:hAnsi="宋体" w:cs="宋体"/>
          <w:b/>
          <w:color w:val="auto"/>
          <w:kern w:val="0"/>
          <w:sz w:val="36"/>
          <w:szCs w:val="36"/>
        </w:rPr>
      </w:pPr>
    </w:p>
    <w:p>
      <w:pPr>
        <w:spacing w:line="360" w:lineRule="auto"/>
        <w:ind w:right="420" w:firstLine="3614" w:firstLineChars="1000"/>
        <w:jc w:val="left"/>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（3）符合性审查资料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（4）评标标准相应的商务技术资料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（5）商务技术偏离表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6</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jc w:val="center"/>
        <w:outlineLvl w:val="0"/>
        <w:rPr>
          <w:rFonts w:ascii="宋体" w:hAnsi="宋体" w:cs="宋体"/>
          <w:b/>
          <w:color w:val="auto"/>
          <w:kern w:val="0"/>
          <w:sz w:val="32"/>
          <w:szCs w:val="32"/>
        </w:rPr>
      </w:pPr>
    </w:p>
    <w:p>
      <w:pPr>
        <w:snapToGrid w:val="0"/>
        <w:jc w:val="center"/>
        <w:outlineLvl w:val="0"/>
        <w:rPr>
          <w:rFonts w:ascii="宋体" w:hAnsi="宋体" w:cs="宋体"/>
          <w:b/>
          <w:color w:val="auto"/>
          <w:kern w:val="0"/>
          <w:sz w:val="32"/>
          <w:szCs w:val="32"/>
        </w:rPr>
      </w:pPr>
    </w:p>
    <w:p>
      <w:pPr>
        <w:snapToGrid w:val="0"/>
        <w:jc w:val="center"/>
        <w:outlineLvl w:val="0"/>
        <w:rPr>
          <w:rFonts w:ascii="宋体" w:hAnsi="宋体" w:cs="宋体"/>
          <w:b/>
          <w:color w:val="auto"/>
          <w:kern w:val="0"/>
          <w:sz w:val="32"/>
          <w:szCs w:val="32"/>
        </w:rPr>
      </w:pPr>
    </w:p>
    <w:p>
      <w:pPr>
        <w:snapToGrid w:val="0"/>
        <w:jc w:val="center"/>
        <w:outlineLvl w:val="0"/>
        <w:rPr>
          <w:rFonts w:ascii="宋体" w:hAnsi="宋体" w:cs="宋体"/>
          <w:b/>
          <w:color w:val="auto"/>
          <w:kern w:val="0"/>
          <w:sz w:val="32"/>
          <w:szCs w:val="32"/>
        </w:rPr>
      </w:pPr>
    </w:p>
    <w:p>
      <w:pPr>
        <w:snapToGrid w:val="0"/>
        <w:jc w:val="center"/>
        <w:outlineLvl w:val="0"/>
        <w:rPr>
          <w:rFonts w:ascii="宋体" w:hAnsi="宋体" w:cs="宋体"/>
          <w:b/>
          <w:color w:val="auto"/>
          <w:kern w:val="0"/>
          <w:sz w:val="32"/>
          <w:szCs w:val="32"/>
        </w:rPr>
      </w:pPr>
    </w:p>
    <w:p>
      <w:pPr>
        <w:snapToGrid w:val="0"/>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2.1.2联合授权委托书（如果有）；</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2.1.3落实政府采购政策需满足的资格要求：中小企业声明函；</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2.1.4本项目的特定资格要求（如果有）。</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2.2.3符合性审查资料；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2.2.4评标标准相应的商务技术资料；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2.2.5商务技术偏离表；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6</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jc w:val="center"/>
        <w:rPr>
          <w:rFonts w:ascii="宋体" w:hAnsi="宋体" w:cs="宋体"/>
          <w:color w:val="auto"/>
          <w:sz w:val="24"/>
        </w:rPr>
      </w:pPr>
      <w:r>
        <w:rPr>
          <w:rFonts w:hint="eastAsia" w:ascii="宋体" w:hAnsi="宋体" w:cs="宋体"/>
          <w:color w:val="auto"/>
          <w:sz w:val="24"/>
        </w:rPr>
        <w:t xml:space="preserve">     日期：  年   月   日</w:t>
      </w:r>
    </w:p>
    <w:p>
      <w:pPr>
        <w:jc w:val="center"/>
        <w:rPr>
          <w:rFonts w:ascii="宋体" w:hAnsi="宋体" w:cs="宋体"/>
          <w:b/>
          <w:color w:val="auto"/>
          <w:kern w:val="0"/>
          <w:sz w:val="28"/>
          <w:szCs w:val="32"/>
          <w:lang w:val="zh-CN"/>
        </w:rPr>
      </w:pPr>
    </w:p>
    <w:p>
      <w:pPr>
        <w:jc w:val="center"/>
        <w:rPr>
          <w:rFonts w:ascii="宋体" w:hAnsi="宋体" w:cs="宋体"/>
          <w:b/>
          <w:color w:val="auto"/>
          <w:kern w:val="0"/>
          <w:sz w:val="28"/>
          <w:szCs w:val="32"/>
        </w:rPr>
      </w:pPr>
    </w:p>
    <w:p>
      <w:pPr>
        <w:jc w:val="center"/>
        <w:rPr>
          <w:rFonts w:ascii="宋体" w:hAnsi="宋体" w:cs="宋体"/>
          <w:b/>
          <w:color w:val="auto"/>
          <w:kern w:val="0"/>
          <w:sz w:val="28"/>
          <w:szCs w:val="32"/>
          <w:lang w:val="zh-CN"/>
        </w:rPr>
      </w:pPr>
      <w:r>
        <w:rPr>
          <w:rFonts w:hint="eastAsia" w:ascii="宋体" w:hAnsi="宋体" w:cs="宋体"/>
          <w:b/>
          <w:color w:val="auto"/>
          <w:kern w:val="0"/>
          <w:sz w:val="28"/>
          <w:szCs w:val="32"/>
        </w:rPr>
        <w:t>二、</w:t>
      </w:r>
      <w:r>
        <w:rPr>
          <w:rFonts w:hint="eastAsia" w:ascii="宋体" w:hAnsi="宋体" w:cs="宋体"/>
          <w:b/>
          <w:color w:val="auto"/>
          <w:kern w:val="0"/>
          <w:sz w:val="28"/>
          <w:szCs w:val="32"/>
          <w:lang w:val="zh-CN"/>
        </w:rPr>
        <w:t>授权委托书或法定代表人（单位负责人、自然人本人）身份证明</w:t>
      </w:r>
    </w:p>
    <w:p>
      <w:pPr>
        <w:snapToGrid w:val="0"/>
        <w:spacing w:line="360" w:lineRule="auto"/>
        <w:rPr>
          <w:rFonts w:ascii="宋体" w:hAnsi="宋体" w:cs="宋体"/>
          <w:color w:val="auto"/>
          <w:sz w:val="24"/>
        </w:rPr>
      </w:pP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（姓名）</w:t>
      </w:r>
      <w:r>
        <w:rPr>
          <w:rFonts w:hint="eastAsia" w:ascii="宋体" w:hAnsi="宋体" w:cs="宋体"/>
          <w:color w:val="auto"/>
          <w:kern w:val="0"/>
          <w:sz w:val="24"/>
          <w:lang w:val="zh-CN"/>
        </w:rPr>
        <w:t>为我方代理人（身份证号码：，手机：），以我方名义处理</w:t>
      </w:r>
      <w:r>
        <w:rPr>
          <w:rFonts w:hint="eastAsia" w:ascii="宋体" w:hAnsi="宋体" w:cs="宋体"/>
          <w:color w:val="auto"/>
          <w:sz w:val="24"/>
          <w:u w:val="single"/>
        </w:rPr>
        <w:t>（项目名称）</w:t>
      </w:r>
      <w:r>
        <w:rPr>
          <w:rFonts w:hint="eastAsia" w:ascii="宋体" w:hAnsi="宋体" w:cs="宋体"/>
          <w:color w:val="auto"/>
          <w:sz w:val="24"/>
        </w:rPr>
        <w:t>【编号：</w:t>
      </w:r>
      <w:r>
        <w:rPr>
          <w:rFonts w:hint="eastAsia" w:ascii="宋体" w:hAnsi="宋体" w:cs="宋体"/>
          <w:color w:val="auto"/>
          <w:sz w:val="24"/>
          <w:u w:val="single"/>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u w:val="single"/>
          <w:lang w:val="zh-CN"/>
        </w:rPr>
        <w:t>自年月日起至年月日止。</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72"/>
        <w:spacing w:line="360" w:lineRule="auto"/>
        <w:rPr>
          <w:rFonts w:hAnsi="宋体" w:cs="宋体"/>
          <w:bCs/>
          <w:color w:val="auto"/>
          <w:sz w:val="24"/>
        </w:rPr>
      </w:pPr>
      <w:r>
        <w:rPr>
          <w:rFonts w:hint="eastAsia" w:hAnsi="宋体" w:cs="宋体"/>
          <w:bCs/>
          <w:color w:val="auto"/>
          <w:sz w:val="24"/>
        </w:rPr>
        <w:t>法定代表人或代理人身份证件扫描件：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9207" w:type="dxa"/>
          </w:tcPr>
          <w:p>
            <w:pPr>
              <w:pStyle w:val="172"/>
              <w:adjustRightInd w:val="0"/>
              <w:spacing w:line="360" w:lineRule="auto"/>
              <w:rPr>
                <w:rFonts w:hAnsi="宋体" w:cs="宋体"/>
                <w:bCs/>
                <w:color w:val="auto"/>
                <w:sz w:val="24"/>
                <w:szCs w:val="21"/>
              </w:rPr>
            </w:pPr>
            <w:r>
              <w:rPr>
                <w:rFonts w:hint="eastAsia" w:hAnsi="宋体" w:cs="宋体"/>
                <w:bCs/>
                <w:color w:val="auto"/>
                <w:sz w:val="24"/>
                <w:szCs w:val="21"/>
              </w:rPr>
              <w:t>正面：                                 反面：</w:t>
            </w:r>
          </w:p>
          <w:p>
            <w:pPr>
              <w:pStyle w:val="172"/>
              <w:adjustRightInd w:val="0"/>
              <w:spacing w:line="360" w:lineRule="auto"/>
              <w:rPr>
                <w:rFonts w:hAnsi="宋体" w:cs="宋体"/>
                <w:bCs/>
                <w:color w:val="auto"/>
                <w:sz w:val="24"/>
                <w:szCs w:val="21"/>
              </w:rPr>
            </w:pPr>
          </w:p>
        </w:tc>
      </w:tr>
    </w:tbl>
    <w:p>
      <w:pPr>
        <w:snapToGrid w:val="0"/>
        <w:spacing w:line="360" w:lineRule="auto"/>
        <w:ind w:firstLine="576"/>
        <w:jc w:val="center"/>
        <w:rPr>
          <w:rFonts w:ascii="宋体" w:hAnsi="宋体" w:cs="宋体"/>
          <w:color w:val="auto"/>
          <w:kern w:val="0"/>
          <w:sz w:val="24"/>
          <w:lang w:val="zh-CN"/>
        </w:rPr>
      </w:pPr>
    </w:p>
    <w:p>
      <w:pPr>
        <w:snapToGrid w:val="0"/>
        <w:spacing w:line="360" w:lineRule="auto"/>
        <w:ind w:firstLine="576"/>
        <w:jc w:val="center"/>
        <w:rPr>
          <w:rFonts w:ascii="宋体" w:hAnsi="宋体" w:cs="宋体"/>
          <w:color w:val="auto"/>
          <w:kern w:val="0"/>
          <w:sz w:val="24"/>
          <w:lang w:val="zh-CN"/>
        </w:rPr>
      </w:pPr>
    </w:p>
    <w:p>
      <w:pPr>
        <w:snapToGrid w:val="0"/>
        <w:spacing w:line="360" w:lineRule="auto"/>
        <w:ind w:right="480"/>
        <w:rPr>
          <w:rFonts w:ascii="宋体" w:hAnsi="宋体" w:cs="宋体"/>
          <w:b/>
          <w:color w:val="auto"/>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jc w:val="center"/>
        <w:rPr>
          <w:rFonts w:ascii="宋体" w:hAnsi="宋体" w:cs="宋体"/>
          <w:b/>
          <w:color w:val="auto"/>
          <w:kern w:val="0"/>
          <w:sz w:val="32"/>
          <w:szCs w:val="32"/>
        </w:rPr>
      </w:pPr>
      <w:r>
        <w:rPr>
          <w:rFonts w:hint="eastAsia" w:ascii="宋体" w:hAnsi="宋体" w:cs="宋体"/>
          <w:b/>
          <w:color w:val="auto"/>
          <w:kern w:val="0"/>
          <w:sz w:val="32"/>
          <w:szCs w:val="32"/>
        </w:rPr>
        <w:t>三、符合性审查资料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center"/>
          </w:tcPr>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color w:val="auto"/>
                <w:sz w:val="24"/>
              </w:rPr>
            </w:pPr>
            <w:r>
              <w:rPr>
                <w:rFonts w:hint="eastAsia" w:ascii="宋体" w:hAnsi="宋体" w:cs="宋体"/>
                <w:color w:val="auto"/>
                <w:sz w:val="24"/>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rPr>
            </w:pPr>
            <w:r>
              <w:rPr>
                <w:rFonts w:hint="eastAsia" w:ascii="宋体" w:hAnsi="宋体" w:cs="宋体"/>
                <w:color w:val="auto"/>
                <w:sz w:val="24"/>
              </w:rPr>
              <w:t>见投标文件</w:t>
            </w:r>
          </w:p>
          <w:p>
            <w:pPr>
              <w:pStyle w:val="4"/>
              <w:jc w:val="both"/>
              <w:rPr>
                <w:rFonts w:ascii="宋体" w:hAnsi="宋体" w:eastAsia="宋体" w:cs="宋体"/>
                <w:color w:val="auto"/>
                <w:lang w:val="en-US"/>
              </w:rPr>
            </w:pPr>
            <w:r>
              <w:rPr>
                <w:rFonts w:hint="eastAsia" w:ascii="宋体" w:hAnsi="宋体" w:eastAsia="宋体" w:cs="宋体"/>
                <w:b w:val="0"/>
                <w:bCs w:val="0"/>
                <w:color w:val="auto"/>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4</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见投标文件第页</w:t>
            </w:r>
          </w:p>
        </w:tc>
      </w:tr>
    </w:tbl>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分包意向协议</w:t>
      </w:r>
    </w:p>
    <w:p>
      <w:pPr>
        <w:widowControl/>
        <w:spacing w:line="360" w:lineRule="auto"/>
        <w:ind w:firstLine="120" w:firstLineChars="50"/>
        <w:jc w:val="left"/>
        <w:rPr>
          <w:rFonts w:ascii="宋体" w:hAnsi="宋体" w:cs="宋体"/>
          <w:color w:val="auto"/>
          <w:sz w:val="24"/>
        </w:rPr>
      </w:pPr>
    </w:p>
    <w:p>
      <w:pPr>
        <w:widowControl/>
        <w:spacing w:line="360" w:lineRule="auto"/>
        <w:ind w:firstLine="120" w:firstLineChars="50"/>
        <w:jc w:val="left"/>
        <w:rPr>
          <w:rFonts w:ascii="宋体" w:hAnsi="宋体" w:cs="宋体"/>
          <w:b/>
          <w:bCs/>
          <w:color w:val="auto"/>
          <w:sz w:val="24"/>
        </w:rPr>
      </w:pPr>
      <w:r>
        <w:rPr>
          <w:rFonts w:hint="eastAsia" w:ascii="宋体" w:hAnsi="宋体" w:cs="宋体"/>
          <w:b/>
          <w:bCs/>
          <w:color w:val="auto"/>
          <w:sz w:val="24"/>
        </w:rPr>
        <w:t>（中标后以分包方式履行合同的，提供分包意向协议（附件6）；采购人不同意分包或者投标人中标后不以分包方式履行合同的，则不需要提供。）</w:t>
      </w: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四、评标标准相应的商务技术资料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autoSpaceDE w:val="0"/>
        <w:autoSpaceDN w:val="0"/>
        <w:spacing w:line="360" w:lineRule="auto"/>
        <w:ind w:right="1120"/>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pStyle w:val="62"/>
        <w:ind w:left="0" w:leftChars="0" w:firstLine="0" w:firstLineChars="0"/>
        <w:rPr>
          <w:rFonts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ind w:firstLine="1911" w:firstLineChars="595"/>
        <w:rPr>
          <w:rFonts w:ascii="宋体" w:hAnsi="宋体" w:cs="宋体"/>
          <w:b/>
          <w:color w:val="auto"/>
          <w:kern w:val="0"/>
          <w:sz w:val="32"/>
          <w:szCs w:val="32"/>
        </w:rPr>
      </w:pPr>
    </w:p>
    <w:p>
      <w:pPr>
        <w:pStyle w:val="4"/>
        <w:rPr>
          <w:rFonts w:ascii="宋体" w:hAnsi="宋体" w:eastAsia="宋体" w:cs="宋体"/>
          <w:color w:val="auto"/>
        </w:rPr>
      </w:pPr>
    </w:p>
    <w:p>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rPr>
        <w:t>六、</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1"/>
        </w:numPr>
        <w:snapToGrid w:val="0"/>
        <w:spacing w:line="360" w:lineRule="auto"/>
        <w:rPr>
          <w:rFonts w:ascii="宋体" w:hAnsi="宋体" w:cs="宋体"/>
          <w:color w:val="auto"/>
          <w:sz w:val="24"/>
        </w:rPr>
      </w:pPr>
      <w:r>
        <w:rPr>
          <w:rFonts w:hint="eastAsia" w:ascii="宋体" w:hAnsi="宋体" w:cs="宋体"/>
          <w:color w:val="auto"/>
          <w:sz w:val="24"/>
        </w:rPr>
        <w:t>开标一览表（报价表）………………………………………………………（页码）</w:t>
      </w:r>
    </w:p>
    <w:p>
      <w:pPr>
        <w:pStyle w:val="4"/>
        <w:ind w:left="0" w:firstLine="0"/>
        <w:rPr>
          <w:rFonts w:ascii="宋体" w:hAnsi="宋体" w:eastAsia="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4"/>
        <w:keepNext w:val="0"/>
        <w:pageBreakBefore w:val="0"/>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bookmarkStart w:id="547" w:name="_Toc465665161"/>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pStyle w:val="4"/>
        <w:jc w:val="center"/>
        <w:rPr>
          <w:rFonts w:ascii="宋体" w:hAnsi="宋体" w:eastAsia="宋体" w:cs="宋体"/>
          <w:color w:val="auto"/>
          <w:kern w:val="0"/>
          <w:sz w:val="24"/>
        </w:rPr>
      </w:pPr>
    </w:p>
    <w:p>
      <w:pPr>
        <w:pStyle w:val="4"/>
        <w:jc w:val="center"/>
        <w:rPr>
          <w:rFonts w:ascii="宋体" w:hAnsi="宋体" w:eastAsia="宋体" w:cs="宋体"/>
          <w:color w:val="auto"/>
        </w:rPr>
      </w:pPr>
      <w:r>
        <w:rPr>
          <w:rFonts w:hint="eastAsia" w:ascii="宋体" w:hAnsi="宋体" w:eastAsia="宋体" w:cs="宋体"/>
          <w:color w:val="auto"/>
          <w:kern w:val="0"/>
          <w:sz w:val="24"/>
        </w:rPr>
        <w:t>开标一览表（报价表）(单位均为人民币元)</w:t>
      </w:r>
    </w:p>
    <w:p>
      <w:pPr>
        <w:autoSpaceDE w:val="0"/>
        <w:autoSpaceDN w:val="0"/>
        <w:spacing w:line="460" w:lineRule="atLeast"/>
        <w:rPr>
          <w:rFonts w:ascii="宋体" w:hAnsi="宋体" w:cs="宋体"/>
          <w:bCs/>
          <w:color w:val="auto"/>
          <w:kern w:val="0"/>
          <w:sz w:val="24"/>
        </w:rPr>
      </w:pPr>
    </w:p>
    <w:tbl>
      <w:tblPr>
        <w:tblStyle w:val="63"/>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65" w:type="dxa"/>
            <w:vAlign w:val="center"/>
          </w:tcPr>
          <w:p>
            <w:pPr>
              <w:spacing w:line="360" w:lineRule="auto"/>
              <w:jc w:val="center"/>
              <w:rPr>
                <w:rFonts w:ascii="宋体" w:hAnsi="宋体" w:cs="宋体"/>
                <w:color w:val="auto"/>
                <w:sz w:val="24"/>
              </w:rPr>
            </w:pPr>
            <w:r>
              <w:rPr>
                <w:rFonts w:hint="eastAsia" w:ascii="宋体" w:hAnsi="宋体" w:cs="宋体"/>
                <w:color w:val="auto"/>
                <w:sz w:val="24"/>
              </w:rPr>
              <w:t>项目名称</w:t>
            </w:r>
          </w:p>
        </w:tc>
        <w:tc>
          <w:tcPr>
            <w:tcW w:w="5955"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465" w:type="dxa"/>
            <w:vAlign w:val="center"/>
          </w:tcPr>
          <w:p>
            <w:pPr>
              <w:spacing w:line="360" w:lineRule="auto"/>
              <w:jc w:val="center"/>
              <w:rPr>
                <w:rFonts w:ascii="宋体" w:hAnsi="宋体" w:cs="宋体"/>
                <w:color w:val="auto"/>
                <w:sz w:val="24"/>
              </w:rPr>
            </w:pPr>
            <w:r>
              <w:rPr>
                <w:rFonts w:hint="eastAsia" w:ascii="宋体" w:hAnsi="宋体" w:cs="宋体"/>
                <w:color w:val="auto"/>
                <w:sz w:val="24"/>
              </w:rPr>
              <w:t>项目负责人</w:t>
            </w:r>
          </w:p>
        </w:tc>
        <w:tc>
          <w:tcPr>
            <w:tcW w:w="595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465" w:type="dxa"/>
            <w:vAlign w:val="center"/>
          </w:tcPr>
          <w:p>
            <w:pPr>
              <w:spacing w:line="360" w:lineRule="auto"/>
              <w:ind w:firstLine="120" w:firstLineChars="50"/>
              <w:jc w:val="center"/>
              <w:rPr>
                <w:rFonts w:ascii="宋体" w:hAnsi="宋体" w:cs="宋体"/>
                <w:color w:val="auto"/>
                <w:sz w:val="24"/>
              </w:rPr>
            </w:pPr>
            <w:r>
              <w:rPr>
                <w:rFonts w:hint="eastAsia" w:ascii="宋体" w:hAnsi="宋体" w:cs="宋体"/>
                <w:color w:val="auto"/>
                <w:sz w:val="24"/>
              </w:rPr>
              <w:t>让利幅度（%）</w:t>
            </w:r>
          </w:p>
        </w:tc>
        <w:tc>
          <w:tcPr>
            <w:tcW w:w="595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465" w:type="dxa"/>
            <w:vAlign w:val="center"/>
          </w:tcPr>
          <w:p>
            <w:pPr>
              <w:spacing w:line="360" w:lineRule="auto"/>
              <w:ind w:firstLine="120" w:firstLineChars="50"/>
              <w:jc w:val="center"/>
              <w:rPr>
                <w:rFonts w:ascii="宋体" w:hAnsi="宋体" w:cs="宋体"/>
                <w:color w:val="auto"/>
                <w:sz w:val="24"/>
              </w:rPr>
            </w:pPr>
            <w:r>
              <w:rPr>
                <w:rFonts w:hint="eastAsia" w:ascii="宋体" w:hAnsi="宋体" w:cs="宋体"/>
                <w:color w:val="auto"/>
                <w:sz w:val="24"/>
              </w:rPr>
              <w:t>服务期限（年）</w:t>
            </w:r>
          </w:p>
        </w:tc>
        <w:tc>
          <w:tcPr>
            <w:tcW w:w="5955" w:type="dxa"/>
            <w:vAlign w:val="center"/>
          </w:tcPr>
          <w:p>
            <w:pPr>
              <w:spacing w:line="360" w:lineRule="auto"/>
              <w:ind w:firstLine="2640" w:firstLineChars="110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465" w:type="dxa"/>
            <w:vAlign w:val="center"/>
          </w:tcPr>
          <w:p>
            <w:pPr>
              <w:spacing w:line="360" w:lineRule="auto"/>
              <w:ind w:firstLine="120" w:firstLineChars="50"/>
              <w:jc w:val="center"/>
              <w:rPr>
                <w:rFonts w:ascii="宋体" w:hAnsi="宋体" w:cs="宋体"/>
                <w:color w:val="auto"/>
                <w:sz w:val="24"/>
              </w:rPr>
            </w:pPr>
            <w:r>
              <w:rPr>
                <w:rFonts w:hint="eastAsia" w:ascii="宋体" w:hAnsi="宋体" w:cs="宋体"/>
                <w:color w:val="auto"/>
                <w:sz w:val="24"/>
              </w:rPr>
              <w:t>备注</w:t>
            </w:r>
          </w:p>
        </w:tc>
        <w:tc>
          <w:tcPr>
            <w:tcW w:w="5955" w:type="dxa"/>
            <w:vAlign w:val="center"/>
          </w:tcPr>
          <w:p>
            <w:pPr>
              <w:spacing w:line="360" w:lineRule="auto"/>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1、投标人需按本表格式填写，不得自行更改。</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采购人将以合同形式有偿取得货物和服务，不接受投标人给予的赠品、回扣或者与采购无关的其他商品、服务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投标文件含有采购人不能接受的附加条件的，投标无效</w:t>
      </w:r>
      <w:r>
        <w:rPr>
          <w:rFonts w:hint="eastAsia" w:ascii="宋体" w:hAnsi="宋体" w:cs="宋体"/>
          <w:b/>
          <w:color w:val="auto"/>
          <w:kern w:val="0"/>
          <w:sz w:val="24"/>
          <w:lang w:val="zh-CN"/>
        </w:rPr>
        <w:t>。</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3、以上表格要求细分项目及报价，填写“报价明细清单”中（格式自拟）。</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4、特别提示：采购机构将对项目名称和项目编号，中标供应商名称、地址和中标金额，主要中标标的的名称、数量、单价、服务要求、服务内容等予以公示。</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5、</w:t>
      </w:r>
      <w:r>
        <w:rPr>
          <w:rFonts w:hint="eastAsia" w:ascii="宋体" w:hAnsi="宋体" w:cs="宋体"/>
          <w:color w:val="auto"/>
          <w:kern w:val="0"/>
          <w:sz w:val="24"/>
          <w:lang w:val="zh-CN"/>
        </w:rPr>
        <w:t>注：投标人提供的中小企业声明函内容不实的，属于提供虚假材料谋取中标、成交，依照《中华人民共和国政府采购法》等国家有关规定追究相应责任。</w:t>
      </w:r>
    </w:p>
    <w:p>
      <w:pPr>
        <w:snapToGrid w:val="0"/>
        <w:spacing w:line="360" w:lineRule="auto"/>
        <w:ind w:right="480" w:firstLine="5520" w:firstLineChars="2300"/>
        <w:jc w:val="center"/>
        <w:rPr>
          <w:rFonts w:ascii="宋体" w:hAnsi="宋体" w:cs="宋体"/>
          <w:color w:val="auto"/>
          <w:kern w:val="0"/>
          <w:sz w:val="24"/>
          <w:lang w:val="zh-CN"/>
        </w:rPr>
      </w:pPr>
    </w:p>
    <w:p>
      <w:pPr>
        <w:snapToGrid w:val="0"/>
        <w:spacing w:line="360" w:lineRule="auto"/>
        <w:ind w:right="480" w:firstLine="5520" w:firstLineChars="2300"/>
        <w:jc w:val="center"/>
        <w:rPr>
          <w:rFonts w:ascii="宋体" w:hAnsi="宋体" w:cs="宋体"/>
          <w:color w:val="auto"/>
          <w:kern w:val="0"/>
          <w:sz w:val="24"/>
          <w:lang w:val="zh-CN"/>
        </w:rPr>
      </w:pPr>
      <w:r>
        <w:rPr>
          <w:rFonts w:hint="eastAsia" w:ascii="宋体" w:hAnsi="宋体" w:cs="宋体"/>
          <w:color w:val="auto"/>
          <w:kern w:val="0"/>
          <w:sz w:val="24"/>
          <w:lang w:val="zh-CN"/>
        </w:rPr>
        <w:t>投标人名称(电子签名)：</w:t>
      </w:r>
    </w:p>
    <w:p>
      <w:pPr>
        <w:snapToGrid w:val="0"/>
        <w:spacing w:line="360" w:lineRule="auto"/>
        <w:ind w:right="960" w:firstLine="5880" w:firstLineChars="2450"/>
        <w:rPr>
          <w:rFonts w:ascii="宋体" w:hAnsi="宋体" w:cs="宋体"/>
          <w:color w:val="auto"/>
        </w:rPr>
        <w:sectPr>
          <w:headerReference r:id="rId23" w:type="first"/>
          <w:footerReference r:id="rId26" w:type="first"/>
          <w:headerReference r:id="rId22" w:type="default"/>
          <w:footerReference r:id="rId24" w:type="default"/>
          <w:footerReference r:id="rId25" w:type="even"/>
          <w:type w:val="continuous"/>
          <w:pgSz w:w="11906" w:h="16838"/>
          <w:pgMar w:top="1276" w:right="1418" w:bottom="1247" w:left="1418" w:header="851" w:footer="992" w:gutter="0"/>
          <w:cols w:space="0" w:num="1"/>
          <w:titlePg/>
          <w:docGrid w:linePitch="312" w:charSpace="0"/>
        </w:sect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 日</w:t>
      </w:r>
    </w:p>
    <w:p>
      <w:pPr>
        <w:pStyle w:val="3"/>
        <w:keepNext w:val="0"/>
        <w:keepLines w:val="0"/>
        <w:pageBreakBefore/>
        <w:widowControl/>
        <w:spacing w:before="100" w:beforeAutospacing="1" w:after="100" w:afterAutospacing="1" w:line="360" w:lineRule="auto"/>
        <w:ind w:left="428" w:hanging="428" w:hangingChars="97"/>
        <w:jc w:val="center"/>
        <w:rPr>
          <w:rFonts w:ascii="宋体" w:hAnsi="宋体" w:cs="宋体"/>
          <w:color w:val="auto"/>
        </w:rPr>
      </w:pPr>
      <w:r>
        <w:rPr>
          <w:rFonts w:hint="eastAsia" w:ascii="宋体" w:hAnsi="宋体" w:cs="宋体"/>
          <w:color w:val="auto"/>
        </w:rPr>
        <w:t>附件</w:t>
      </w:r>
      <w:bookmarkEnd w:id="547"/>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48" w:name="OLE_LINK14"/>
      <w:bookmarkStart w:id="549" w:name="OLE_LINK13"/>
      <w:r>
        <w:rPr>
          <w:rFonts w:hint="eastAsia" w:ascii="宋体" w:hAnsi="宋体" w:cs="宋体"/>
          <w:b/>
          <w:color w:val="auto"/>
          <w:spacing w:val="6"/>
          <w:sz w:val="32"/>
          <w:szCs w:val="32"/>
        </w:rPr>
        <w:t>残疾人福利性单位声明函</w:t>
      </w:r>
    </w:p>
    <w:bookmarkEnd w:id="548"/>
    <w:bookmarkEnd w:id="549"/>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p>
    <w:p>
      <w:pPr>
        <w:snapToGrid w:val="0"/>
        <w:spacing w:line="360" w:lineRule="auto"/>
        <w:rPr>
          <w:rFonts w:ascii="宋体" w:hAnsi="宋体" w:cs="宋体"/>
          <w:color w:val="auto"/>
          <w:sz w:val="24"/>
        </w:rPr>
      </w:pPr>
      <w:r>
        <w:rPr>
          <w:rFonts w:hint="eastAsia" w:ascii="宋体" w:hAnsi="宋体" w:cs="宋体"/>
          <w:color w:val="auto"/>
          <w:sz w:val="24"/>
        </w:rPr>
        <w:t>地址：邮编：</w:t>
      </w:r>
    </w:p>
    <w:p>
      <w:pPr>
        <w:snapToGrid w:val="0"/>
        <w:spacing w:line="360" w:lineRule="auto"/>
        <w:rPr>
          <w:rFonts w:ascii="宋体" w:hAnsi="宋体" w:cs="宋体"/>
          <w:color w:val="auto"/>
          <w:sz w:val="24"/>
        </w:rPr>
      </w:pPr>
      <w:r>
        <w:rPr>
          <w:rFonts w:hint="eastAsia" w:ascii="宋体" w:hAnsi="宋体" w:cs="宋体"/>
          <w:color w:val="auto"/>
          <w:sz w:val="24"/>
        </w:rPr>
        <w:t>联系人：联系电话：</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p>
    <w:p>
      <w:pPr>
        <w:snapToGrid w:val="0"/>
        <w:spacing w:line="360" w:lineRule="auto"/>
        <w:rPr>
          <w:rFonts w:ascii="宋体" w:hAnsi="宋体" w:cs="宋体"/>
          <w:color w:val="auto"/>
          <w:sz w:val="24"/>
        </w:rPr>
      </w:pPr>
      <w:r>
        <w:rPr>
          <w:rFonts w:hint="eastAsia" w:ascii="宋体" w:hAnsi="宋体" w:cs="宋体"/>
          <w:color w:val="auto"/>
          <w:sz w:val="24"/>
        </w:rPr>
        <w:t>联系电话：</w:t>
      </w:r>
    </w:p>
    <w:p>
      <w:pPr>
        <w:snapToGrid w:val="0"/>
        <w:spacing w:line="360" w:lineRule="auto"/>
        <w:rPr>
          <w:rFonts w:ascii="宋体" w:hAnsi="宋体" w:cs="宋体"/>
          <w:color w:val="auto"/>
          <w:sz w:val="24"/>
        </w:rPr>
      </w:pPr>
      <w:r>
        <w:rPr>
          <w:rFonts w:hint="eastAsia" w:ascii="宋体" w:hAnsi="宋体" w:cs="宋体"/>
          <w:color w:val="auto"/>
          <w:sz w:val="24"/>
        </w:rPr>
        <w:t>地址： 邮编：</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p>
    <w:p>
      <w:pPr>
        <w:snapToGrid w:val="0"/>
        <w:spacing w:line="360" w:lineRule="auto"/>
        <w:rPr>
          <w:rFonts w:ascii="宋体" w:hAnsi="宋体" w:cs="宋体"/>
          <w:color w:val="auto"/>
          <w:sz w:val="24"/>
        </w:rPr>
      </w:pPr>
      <w:r>
        <w:rPr>
          <w:rFonts w:hint="eastAsia" w:ascii="宋体" w:hAnsi="宋体" w:cs="宋体"/>
          <w:color w:val="auto"/>
          <w:sz w:val="24"/>
        </w:rPr>
        <w:t>质疑项目的编号：包号：</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p>
    <w:p>
      <w:pPr>
        <w:snapToGrid w:val="0"/>
        <w:spacing w:line="360" w:lineRule="auto"/>
        <w:rPr>
          <w:rFonts w:ascii="宋体" w:hAnsi="宋体" w:cs="宋体"/>
          <w:color w:val="auto"/>
          <w:sz w:val="24"/>
          <w:u w:val="dotted"/>
        </w:rPr>
      </w:pP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p>
    <w:p>
      <w:pPr>
        <w:spacing w:line="360" w:lineRule="auto"/>
        <w:rPr>
          <w:rFonts w:ascii="宋体" w:hAnsi="宋体" w:cs="宋体"/>
          <w:color w:val="auto"/>
          <w:sz w:val="24"/>
          <w:u w:val="single"/>
        </w:rPr>
      </w:pPr>
      <w:r>
        <w:rPr>
          <w:rFonts w:hint="eastAsia" w:ascii="宋体" w:hAnsi="宋体" w:cs="宋体"/>
          <w:color w:val="auto"/>
          <w:sz w:val="24"/>
        </w:rPr>
        <w:t>地     址：邮编：</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p>
    <w:p>
      <w:pPr>
        <w:spacing w:line="360" w:lineRule="auto"/>
        <w:rPr>
          <w:rFonts w:ascii="宋体" w:hAnsi="宋体" w:cs="宋体"/>
          <w:color w:val="auto"/>
          <w:sz w:val="24"/>
          <w:u w:val="dotted"/>
        </w:rPr>
      </w:pPr>
      <w:r>
        <w:rPr>
          <w:rFonts w:hint="eastAsia" w:ascii="宋体" w:hAnsi="宋体" w:cs="宋体"/>
          <w:color w:val="auto"/>
          <w:sz w:val="24"/>
        </w:rPr>
        <w:t>授权代表：联系电话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址：邮编：</w:t>
      </w:r>
    </w:p>
    <w:p>
      <w:pPr>
        <w:spacing w:line="360" w:lineRule="auto"/>
        <w:rPr>
          <w:rFonts w:ascii="宋体" w:hAnsi="宋体" w:cs="宋体"/>
          <w:color w:val="auto"/>
          <w:sz w:val="24"/>
          <w:u w:val="single"/>
        </w:rPr>
      </w:pPr>
      <w:r>
        <w:rPr>
          <w:rFonts w:hint="eastAsia" w:ascii="宋体" w:hAnsi="宋体" w:cs="宋体"/>
          <w:color w:val="auto"/>
          <w:sz w:val="24"/>
        </w:rPr>
        <w:t>被投诉人1：</w:t>
      </w:r>
    </w:p>
    <w:p>
      <w:pPr>
        <w:spacing w:line="360" w:lineRule="auto"/>
        <w:rPr>
          <w:rFonts w:ascii="宋体" w:hAnsi="宋体" w:cs="宋体"/>
          <w:color w:val="auto"/>
          <w:sz w:val="24"/>
          <w:u w:val="single"/>
        </w:rPr>
      </w:pPr>
      <w:r>
        <w:rPr>
          <w:rFonts w:hint="eastAsia" w:ascii="宋体" w:hAnsi="宋体" w:cs="宋体"/>
          <w:color w:val="auto"/>
          <w:sz w:val="24"/>
        </w:rPr>
        <w:t>地     址：邮编：</w:t>
      </w:r>
    </w:p>
    <w:p>
      <w:pPr>
        <w:spacing w:line="360" w:lineRule="auto"/>
        <w:rPr>
          <w:rFonts w:ascii="宋体" w:hAnsi="宋体" w:cs="宋体"/>
          <w:color w:val="auto"/>
          <w:sz w:val="24"/>
          <w:u w:val="single"/>
        </w:rPr>
      </w:pPr>
      <w:r>
        <w:rPr>
          <w:rFonts w:hint="eastAsia" w:ascii="宋体" w:hAnsi="宋体" w:cs="宋体"/>
          <w:color w:val="auto"/>
          <w:sz w:val="24"/>
        </w:rPr>
        <w:t>联系人：联系电话：</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p>
    <w:p>
      <w:pPr>
        <w:spacing w:line="360" w:lineRule="auto"/>
        <w:rPr>
          <w:rFonts w:ascii="宋体" w:hAnsi="宋体" w:cs="宋体"/>
          <w:color w:val="auto"/>
          <w:sz w:val="24"/>
          <w:u w:val="single"/>
        </w:rPr>
      </w:pPr>
      <w:r>
        <w:rPr>
          <w:rFonts w:hint="eastAsia" w:ascii="宋体" w:hAnsi="宋体" w:cs="宋体"/>
          <w:color w:val="auto"/>
          <w:sz w:val="24"/>
        </w:rPr>
        <w:t>地     址：邮编：</w:t>
      </w:r>
    </w:p>
    <w:p>
      <w:pPr>
        <w:spacing w:line="360" w:lineRule="auto"/>
        <w:rPr>
          <w:rFonts w:ascii="宋体" w:hAnsi="宋体" w:cs="宋体"/>
          <w:color w:val="auto"/>
          <w:sz w:val="24"/>
          <w:u w:val="single"/>
        </w:rPr>
      </w:pPr>
      <w:r>
        <w:rPr>
          <w:rFonts w:hint="eastAsia" w:ascii="宋体" w:hAnsi="宋体" w:cs="宋体"/>
          <w:color w:val="auto"/>
          <w:sz w:val="24"/>
        </w:rPr>
        <w:t>联系人：联系电话：</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p>
    <w:p>
      <w:pPr>
        <w:spacing w:line="360" w:lineRule="auto"/>
        <w:rPr>
          <w:rFonts w:ascii="宋体" w:hAnsi="宋体" w:cs="宋体"/>
          <w:color w:val="auto"/>
          <w:sz w:val="24"/>
          <w:u w:val="single"/>
        </w:rPr>
      </w:pPr>
      <w:r>
        <w:rPr>
          <w:rFonts w:hint="eastAsia" w:ascii="宋体" w:hAnsi="宋体" w:cs="宋体"/>
          <w:color w:val="auto"/>
          <w:sz w:val="24"/>
        </w:rPr>
        <w:t>采购项目编号：包号：</w:t>
      </w:r>
    </w:p>
    <w:p>
      <w:pPr>
        <w:spacing w:line="360" w:lineRule="auto"/>
        <w:rPr>
          <w:rFonts w:ascii="宋体" w:hAnsi="宋体" w:cs="宋体"/>
          <w:color w:val="auto"/>
          <w:sz w:val="24"/>
        </w:rPr>
      </w:pPr>
      <w:r>
        <w:rPr>
          <w:rFonts w:hint="eastAsia" w:ascii="宋体" w:hAnsi="宋体" w:cs="宋体"/>
          <w:color w:val="auto"/>
          <w:sz w:val="24"/>
        </w:rPr>
        <w:t>采购人名称：</w:t>
      </w:r>
    </w:p>
    <w:p>
      <w:pPr>
        <w:spacing w:line="360" w:lineRule="auto"/>
        <w:rPr>
          <w:rFonts w:ascii="宋体" w:hAnsi="宋体" w:cs="宋体"/>
          <w:color w:val="auto"/>
          <w:sz w:val="24"/>
          <w:u w:val="single"/>
        </w:rPr>
      </w:pPr>
      <w:r>
        <w:rPr>
          <w:rFonts w:hint="eastAsia" w:ascii="宋体" w:hAnsi="宋体" w:cs="宋体"/>
          <w:color w:val="auto"/>
          <w:sz w:val="24"/>
        </w:rPr>
        <w:t>代理机构名称：</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投诉人于年月日,向提出质疑，质疑事项为：</w:t>
      </w:r>
    </w:p>
    <w:p>
      <w:pPr>
        <w:spacing w:line="360" w:lineRule="auto"/>
        <w:rPr>
          <w:rFonts w:ascii="宋体" w:hAnsi="宋体" w:cs="宋体"/>
          <w:color w:val="auto"/>
          <w:sz w:val="24"/>
          <w:u w:val="dotted"/>
        </w:rPr>
      </w:pP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于年月日,就质疑事项作出了答复/没有在法定期限内作出答复。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p>
    <w:p>
      <w:pPr>
        <w:spacing w:line="360" w:lineRule="auto"/>
        <w:rPr>
          <w:rFonts w:ascii="宋体" w:hAnsi="宋体" w:cs="宋体"/>
          <w:color w:val="auto"/>
          <w:sz w:val="24"/>
        </w:rPr>
      </w:pPr>
      <w:r>
        <w:rPr>
          <w:rFonts w:hint="eastAsia" w:ascii="宋体" w:hAnsi="宋体" w:cs="宋体"/>
          <w:color w:val="auto"/>
          <w:sz w:val="24"/>
        </w:rPr>
        <w:t>事实依据：</w:t>
      </w:r>
    </w:p>
    <w:p>
      <w:pPr>
        <w:spacing w:line="360" w:lineRule="auto"/>
        <w:rPr>
          <w:rFonts w:ascii="宋体" w:hAnsi="宋体" w:cs="宋体"/>
          <w:color w:val="auto"/>
          <w:sz w:val="24"/>
          <w:u w:val="dotted"/>
        </w:rPr>
      </w:pPr>
    </w:p>
    <w:p>
      <w:pPr>
        <w:spacing w:line="360" w:lineRule="auto"/>
        <w:rPr>
          <w:rFonts w:ascii="宋体" w:hAnsi="宋体" w:cs="宋体"/>
          <w:color w:val="auto"/>
          <w:sz w:val="24"/>
          <w:u w:val="single"/>
        </w:rPr>
      </w:pPr>
      <w:r>
        <w:rPr>
          <w:rFonts w:hint="eastAsia" w:ascii="宋体" w:hAnsi="宋体" w:cs="宋体"/>
          <w:color w:val="auto"/>
          <w:sz w:val="24"/>
        </w:rPr>
        <w:t>法律依据：</w:t>
      </w:r>
    </w:p>
    <w:p>
      <w:pPr>
        <w:spacing w:line="360" w:lineRule="auto"/>
        <w:rPr>
          <w:rFonts w:ascii="宋体" w:hAnsi="宋体" w:cs="宋体"/>
          <w:color w:val="auto"/>
          <w:sz w:val="24"/>
          <w:u w:val="dotted"/>
        </w:rPr>
      </w:pP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pStyle w:val="4"/>
        <w:rPr>
          <w:rFonts w:ascii="宋体" w:hAnsi="宋体" w:eastAsia="宋体" w:cs="宋体"/>
          <w:color w:val="auto"/>
          <w:lang w:val="en-US"/>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你方组织的（项目名称）项目【招标编号：（采购编号）】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ascii="宋体" w:hAnsi="宋体" w:cs="宋体"/>
          <w:color w:val="auto"/>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z/jB2AAAAAoBAAAPAAAAAAAAAAEAIAAAACIAAABkcnMvZG93bnJl&#10;di54bWxQSwECFAAUAAAACACHTuJAwkiyKf0BAAA8BAAADgAAAAAAAAABACAAAAAnAQAAZHJzL2Uy&#10;b0RvYy54bWxQSwUGAAAAAAYABgBZAQAAlgUAAAAA&#10;">
            <v:path/>
            <v:fill focussize="0,0"/>
            <v:stroke/>
            <v:imagedata o:title=""/>
            <o:lock v:ext="edit"/>
            <v:textbox>
              <w:txbxContent>
                <w:p/>
              </w:txbxContent>
            </v:textbox>
          </v:rect>
        </w:pict>
      </w:r>
      <w:r>
        <w:rPr>
          <w:rFonts w:ascii="宋体" w:hAnsi="宋体" w:cs="宋体"/>
          <w:color w:val="auto"/>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07BY2AAAAAoBAAAPAAAAAAAAAAEAIAAAACIAAABkcnMvZG93bnJl&#10;di54bWxQSwECFAAUAAAACACHTuJAvVUUYP0BAAA8BAAADgAAAAAAAAABACAAAAAnAQAAZHJzL2Uy&#10;b0RvYy54bWxQSwUGAAAAAAYABgBZAQAAlgUAAAAA&#10;">
            <v:path/>
            <v:fill focussize="0,0"/>
            <v:stroke/>
            <v:imagedata o:title=""/>
            <o:lock v:ext="edit"/>
            <v:textbox>
              <w:txbxContent>
                <w:p/>
              </w:txbxContent>
            </v:textbox>
          </v:rect>
        </w:pic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附件5：</w:t>
      </w:r>
      <w:r>
        <w:rPr>
          <w:rFonts w:hint="eastAsia" w:ascii="宋体" w:hAnsi="宋体" w:cs="宋体"/>
          <w:b/>
          <w:color w:val="auto"/>
          <w:sz w:val="32"/>
          <w:szCs w:val="32"/>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rPr>
          <w:rFonts w:ascii="宋体" w:hAnsi="宋体" w:cs="宋体"/>
          <w:color w:val="auto"/>
        </w:rPr>
      </w:pP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本公司郑重声明，根据《政府采购促进中小企业发展管理办法》（财库﹝2020﹞46 号）的规定，本公司参加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采购活动，服务全部由符合政策要求的中小企业承接。相关企业的具体情况如下：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符合《关于促进残疾人就业政府采购政策的通知》（财库〔2017〕141号）规定的条件并提供《残疾人福利性单位声明函》（附件1）的残疾人福利性单位视同中小企业；根据《关于政府采购支持监狱企业发展有关问题的通知》（财库[2014]68号）的规定，投标人提供由省级以上监狱管理局、戒毒管理局（含新疆生产建设兵团）出具的属于监狱企业证明文件的，视同为中小企业。</w:t>
      </w:r>
    </w:p>
    <w:p>
      <w:pPr>
        <w:spacing w:line="360" w:lineRule="auto"/>
        <w:jc w:val="center"/>
        <w:rPr>
          <w:rFonts w:ascii="宋体" w:hAnsi="宋体" w:cs="宋体"/>
          <w:b/>
          <w:color w:val="auto"/>
          <w:sz w:val="32"/>
          <w:szCs w:val="32"/>
        </w:rPr>
      </w:pPr>
    </w:p>
    <w:p>
      <w:pPr>
        <w:pStyle w:val="7"/>
        <w:ind w:firstLine="643"/>
        <w:rPr>
          <w:rFonts w:cs="宋体"/>
          <w:b/>
          <w:color w:val="auto"/>
          <w:sz w:val="32"/>
          <w:szCs w:val="32"/>
        </w:rPr>
      </w:pPr>
    </w:p>
    <w:p>
      <w:pPr>
        <w:pStyle w:val="6"/>
        <w:rPr>
          <w:rFonts w:hAnsi="宋体" w:cs="宋体"/>
          <w:b/>
          <w:color w:val="auto"/>
          <w:sz w:val="32"/>
          <w:szCs w:val="32"/>
        </w:rPr>
      </w:pPr>
    </w:p>
    <w:p>
      <w:pPr>
        <w:pStyle w:val="7"/>
        <w:ind w:firstLine="643"/>
        <w:rPr>
          <w:rFonts w:cs="宋体"/>
          <w:b/>
          <w:color w:val="auto"/>
          <w:sz w:val="32"/>
          <w:szCs w:val="32"/>
        </w:rPr>
      </w:pPr>
    </w:p>
    <w:p>
      <w:pPr>
        <w:snapToGrid w:val="0"/>
        <w:spacing w:line="360" w:lineRule="auto"/>
        <w:rPr>
          <w:rFonts w:ascii="宋体" w:hAnsi="宋体" w:cs="宋体"/>
          <w:b/>
          <w:bCs/>
          <w:color w:val="auto"/>
          <w:sz w:val="32"/>
          <w:szCs w:val="32"/>
        </w:rPr>
      </w:pPr>
    </w:p>
    <w:p>
      <w:pPr>
        <w:snapToGrid w:val="0"/>
        <w:spacing w:line="360" w:lineRule="auto"/>
        <w:rPr>
          <w:rFonts w:ascii="宋体" w:hAnsi="宋体" w:cs="宋体"/>
          <w:b/>
          <w:bCs/>
          <w:color w:val="auto"/>
          <w:sz w:val="32"/>
          <w:szCs w:val="32"/>
        </w:rPr>
      </w:pPr>
    </w:p>
    <w:p>
      <w:pPr>
        <w:snapToGrid w:val="0"/>
        <w:spacing w:line="360" w:lineRule="auto"/>
        <w:rPr>
          <w:rFonts w:ascii="宋体" w:hAnsi="宋体" w:cs="宋体"/>
          <w:b/>
          <w:bCs/>
          <w:color w:val="auto"/>
          <w:sz w:val="32"/>
          <w:szCs w:val="32"/>
          <w:lang w:val="zh-CN"/>
        </w:rPr>
      </w:pPr>
      <w:r>
        <w:rPr>
          <w:rFonts w:hint="eastAsia" w:ascii="宋体" w:hAnsi="宋体" w:cs="宋体"/>
          <w:b/>
          <w:bCs/>
          <w:color w:val="auto"/>
          <w:sz w:val="32"/>
          <w:szCs w:val="32"/>
          <w:lang w:val="zh-CN"/>
        </w:rPr>
        <w:t>附件6：</w:t>
      </w:r>
      <w:r>
        <w:rPr>
          <w:rFonts w:hint="eastAsia" w:ascii="宋体" w:hAnsi="宋体" w:cs="宋体"/>
          <w:b/>
          <w:bCs/>
          <w:color w:val="auto"/>
          <w:sz w:val="32"/>
          <w:szCs w:val="32"/>
        </w:rPr>
        <w:t xml:space="preserve">             </w:t>
      </w:r>
      <w:r>
        <w:rPr>
          <w:rFonts w:hint="eastAsia" w:ascii="宋体" w:hAnsi="宋体" w:cs="宋体"/>
          <w:b/>
          <w:bCs/>
          <w:color w:val="auto"/>
          <w:sz w:val="32"/>
          <w:szCs w:val="32"/>
          <w:lang w:val="zh-CN"/>
        </w:rPr>
        <w:t>分包意向协议</w:t>
      </w:r>
    </w:p>
    <w:p>
      <w:pPr>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u w:val="single"/>
          <w:lang w:val="zh-CN"/>
        </w:rPr>
        <w:t>（投标人名称）</w:t>
      </w:r>
      <w:r>
        <w:rPr>
          <w:rFonts w:hint="eastAsia" w:ascii="宋体" w:hAnsi="宋体" w:cs="宋体"/>
          <w:color w:val="auto"/>
          <w:sz w:val="24"/>
          <w:lang w:val="zh-CN"/>
        </w:rPr>
        <w:t>若成为（项目名称）【招标编号：（采购编号）】的中标供应商，将依法采取分包方式履行合同。</w:t>
      </w:r>
      <w:r>
        <w:rPr>
          <w:rFonts w:hint="eastAsia" w:ascii="宋体" w:hAnsi="宋体" w:cs="宋体"/>
          <w:color w:val="auto"/>
          <w:sz w:val="24"/>
          <w:u w:val="single"/>
          <w:lang w:val="zh-CN"/>
        </w:rPr>
        <w:t>（投标人名称）</w:t>
      </w:r>
      <w:r>
        <w:rPr>
          <w:rFonts w:hint="eastAsia" w:ascii="宋体" w:hAnsi="宋体" w:cs="宋体"/>
          <w:color w:val="auto"/>
          <w:sz w:val="24"/>
          <w:lang w:val="zh-CN"/>
        </w:rPr>
        <w:t>与</w:t>
      </w:r>
      <w:r>
        <w:rPr>
          <w:rFonts w:hint="eastAsia" w:ascii="宋体" w:hAnsi="宋体" w:cs="宋体"/>
          <w:color w:val="auto"/>
          <w:sz w:val="24"/>
          <w:u w:val="single"/>
          <w:lang w:val="zh-CN"/>
        </w:rPr>
        <w:t>（所有分包供应商名称）</w:t>
      </w:r>
      <w:r>
        <w:rPr>
          <w:rFonts w:hint="eastAsia" w:ascii="宋体" w:hAnsi="宋体" w:cs="宋体"/>
          <w:color w:val="auto"/>
          <w:sz w:val="24"/>
          <w:lang w:val="zh-CN"/>
        </w:rPr>
        <w:t xml:space="preserve">达成分包意向协议。 </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一、分包标的及数量</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u w:val="single"/>
          <w:lang w:val="zh-CN"/>
        </w:rPr>
        <w:t>（投标人名称）</w:t>
      </w:r>
      <w:r>
        <w:rPr>
          <w:rFonts w:hint="eastAsia" w:ascii="宋体" w:hAnsi="宋体" w:cs="宋体"/>
          <w:color w:val="auto"/>
          <w:sz w:val="24"/>
          <w:lang w:val="zh-CN"/>
        </w:rPr>
        <w:t>将</w:t>
      </w:r>
      <w:r>
        <w:rPr>
          <w:rFonts w:hint="eastAsia" w:ascii="宋体" w:hAnsi="宋体" w:cs="宋体"/>
          <w:color w:val="auto"/>
          <w:sz w:val="24"/>
          <w:u w:val="single"/>
          <w:lang w:val="zh-CN"/>
        </w:rPr>
        <w:t xml:space="preserve">   XX工作内容   </w:t>
      </w:r>
      <w:r>
        <w:rPr>
          <w:rFonts w:hint="eastAsia" w:ascii="宋体" w:hAnsi="宋体" w:cs="宋体"/>
          <w:color w:val="auto"/>
          <w:sz w:val="24"/>
          <w:lang w:val="zh-CN"/>
        </w:rPr>
        <w:t>分包给</w:t>
      </w:r>
      <w:r>
        <w:rPr>
          <w:rFonts w:hint="eastAsia" w:ascii="宋体" w:hAnsi="宋体" w:cs="宋体"/>
          <w:color w:val="auto"/>
          <w:sz w:val="24"/>
          <w:u w:val="single"/>
          <w:lang w:val="zh-CN"/>
        </w:rPr>
        <w:t>（分包供应商1名称）</w:t>
      </w:r>
      <w:r>
        <w:rPr>
          <w:rFonts w:hint="eastAsia" w:ascii="宋体" w:hAnsi="宋体" w:cs="宋体"/>
          <w:color w:val="auto"/>
          <w:sz w:val="24"/>
          <w:lang w:val="zh-CN"/>
        </w:rPr>
        <w:t>，</w:t>
      </w:r>
      <w:r>
        <w:rPr>
          <w:rFonts w:hint="eastAsia" w:ascii="宋体" w:hAnsi="宋体" w:cs="宋体"/>
          <w:color w:val="auto"/>
          <w:sz w:val="24"/>
          <w:u w:val="single"/>
          <w:lang w:val="zh-CN"/>
        </w:rPr>
        <w:t>（分包供应商2名称）</w:t>
      </w:r>
      <w:r>
        <w:rPr>
          <w:rFonts w:hint="eastAsia" w:ascii="宋体" w:hAnsi="宋体" w:cs="宋体"/>
          <w:color w:val="auto"/>
          <w:sz w:val="24"/>
          <w:lang w:val="zh-CN"/>
        </w:rPr>
        <w:t>，具备承担</w:t>
      </w:r>
      <w:r>
        <w:rPr>
          <w:rFonts w:hint="eastAsia" w:ascii="宋体" w:hAnsi="宋体" w:cs="宋体"/>
          <w:color w:val="auto"/>
          <w:sz w:val="24"/>
          <w:u w:val="single"/>
          <w:lang w:val="zh-CN"/>
        </w:rPr>
        <w:t>XX工作内容</w:t>
      </w:r>
      <w:r>
        <w:rPr>
          <w:rFonts w:hint="eastAsia" w:ascii="宋体" w:hAnsi="宋体" w:cs="宋体"/>
          <w:color w:val="auto"/>
          <w:sz w:val="24"/>
          <w:lang w:val="zh-CN"/>
        </w:rPr>
        <w:t>相应资质条件且不得再次分包；</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 xml:space="preserve"> </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二、分包供应商中小企业合同份额</w:t>
      </w:r>
    </w:p>
    <w:p>
      <w:pPr>
        <w:spacing w:line="360" w:lineRule="auto"/>
        <w:ind w:firstLine="480" w:firstLineChars="200"/>
        <w:rPr>
          <w:rFonts w:ascii="宋体" w:hAnsi="宋体" w:cs="宋体"/>
          <w:b/>
          <w:bCs/>
          <w:color w:val="auto"/>
          <w:sz w:val="24"/>
          <w:lang w:val="zh-CN"/>
        </w:rPr>
      </w:pPr>
      <w:r>
        <w:rPr>
          <w:rFonts w:hint="eastAsia" w:ascii="宋体" w:hAnsi="宋体" w:cs="宋体"/>
          <w:color w:val="auto"/>
          <w:sz w:val="24"/>
          <w:lang w:val="zh-CN"/>
        </w:rPr>
        <w:t>1、</w:t>
      </w:r>
      <w:r>
        <w:rPr>
          <w:rFonts w:hint="eastAsia" w:ascii="宋体" w:hAnsi="宋体" w:cs="宋体"/>
          <w:color w:val="auto"/>
          <w:sz w:val="24"/>
          <w:u w:val="single"/>
          <w:lang w:val="zh-CN"/>
        </w:rPr>
        <w:t>（分包供应商X,……）</w:t>
      </w:r>
      <w:r>
        <w:rPr>
          <w:rFonts w:hint="eastAsia" w:ascii="宋体" w:hAnsi="宋体" w:cs="宋体"/>
          <w:color w:val="auto"/>
          <w:sz w:val="24"/>
          <w:lang w:val="zh-CN"/>
        </w:rPr>
        <w:t>提供的服务全部由小微企业承接，其合同份额占到合同总金额</w:t>
      </w:r>
      <w:r>
        <w:rPr>
          <w:rFonts w:hint="eastAsia" w:ascii="宋体" w:hAnsi="宋体" w:cs="宋体"/>
          <w:color w:val="auto"/>
          <w:sz w:val="24"/>
          <w:u w:val="single"/>
          <w:lang w:val="zh-CN"/>
        </w:rPr>
        <w:t xml:space="preserve">     </w:t>
      </w:r>
      <w:r>
        <w:rPr>
          <w:rFonts w:hint="eastAsia" w:ascii="宋体" w:hAnsi="宋体" w:cs="宋体"/>
          <w:color w:val="auto"/>
          <w:sz w:val="24"/>
          <w:lang w:val="zh-CN"/>
        </w:rPr>
        <w:t>%以上。</w:t>
      </w:r>
      <w:r>
        <w:rPr>
          <w:rFonts w:hint="eastAsia" w:ascii="宋体" w:hAnsi="宋体" w:cs="宋体"/>
          <w:b/>
          <w:bCs/>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ascii="宋体" w:hAnsi="宋体" w:cs="宋体"/>
          <w:b/>
          <w:bCs/>
          <w:color w:val="auto"/>
          <w:sz w:val="24"/>
          <w:lang w:val="zh-CN"/>
        </w:rPr>
      </w:pPr>
      <w:r>
        <w:rPr>
          <w:rFonts w:hint="eastAsia" w:ascii="宋体" w:hAnsi="宋体" w:cs="宋体"/>
          <w:color w:val="auto"/>
          <w:sz w:val="24"/>
          <w:lang w:val="zh-CN"/>
        </w:rPr>
        <w:t>2、中小企业合同金额达到</w:t>
      </w:r>
      <w:r>
        <w:rPr>
          <w:rFonts w:hint="eastAsia" w:ascii="宋体" w:hAnsi="宋体" w:cs="宋体"/>
          <w:color w:val="auto"/>
          <w:sz w:val="24"/>
          <w:u w:val="single"/>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%，小微企业合同金额达到</w:t>
      </w:r>
      <w:r>
        <w:rPr>
          <w:rFonts w:hint="eastAsia" w:ascii="宋体" w:hAnsi="宋体" w:cs="宋体"/>
          <w:color w:val="auto"/>
          <w:sz w:val="24"/>
          <w:u w:val="single"/>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w:t>
      </w:r>
      <w:r>
        <w:rPr>
          <w:rFonts w:hint="eastAsia" w:ascii="宋体" w:hAnsi="宋体" w:cs="宋体"/>
          <w:b/>
          <w:bCs/>
          <w:color w:val="auto"/>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三、分包工作履行期限、地点、方式</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 xml:space="preserve">                                                                                  </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四、质量</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 xml:space="preserve">                                                                                       </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五、价款或者报酬</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 xml:space="preserve">                                                                                     </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六、违约责任</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 xml:space="preserve">                                                                                     </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七、争议解决的办法</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 xml:space="preserve">                                                                                  </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八、其他</w:t>
      </w:r>
    </w:p>
    <w:p>
      <w:pPr>
        <w:spacing w:line="360" w:lineRule="auto"/>
        <w:ind w:left="5279" w:leftChars="228" w:hanging="4800" w:hangingChars="2000"/>
        <w:rPr>
          <w:rFonts w:ascii="宋体" w:hAnsi="宋体" w:cs="宋体"/>
          <w:color w:val="auto"/>
          <w:sz w:val="24"/>
          <w:lang w:val="zh-CN"/>
        </w:rPr>
      </w:pPr>
      <w:r>
        <w:rPr>
          <w:rFonts w:hint="eastAsia" w:ascii="宋体" w:hAnsi="宋体" w:cs="宋体"/>
          <w:color w:val="auto"/>
          <w:sz w:val="24"/>
          <w:lang w:val="zh-CN"/>
        </w:rPr>
        <w:t>中小企业合同金额达到</w:t>
      </w:r>
      <w:r>
        <w:rPr>
          <w:rFonts w:hint="eastAsia" w:ascii="宋体" w:hAnsi="宋体" w:cs="宋体"/>
          <w:color w:val="auto"/>
          <w:sz w:val="24"/>
          <w:u w:val="single"/>
          <w:lang w:val="zh-CN"/>
        </w:rPr>
        <w:t xml:space="preserve">  </w:t>
      </w:r>
      <w:r>
        <w:rPr>
          <w:rFonts w:hint="eastAsia" w:ascii="宋体" w:hAnsi="宋体" w:cs="宋体"/>
          <w:color w:val="auto"/>
          <w:sz w:val="24"/>
          <w:lang w:val="zh-CN"/>
        </w:rPr>
        <w:t>%，小微企业合同金额达到</w:t>
      </w:r>
      <w:r>
        <w:rPr>
          <w:rFonts w:hint="eastAsia" w:ascii="宋体" w:hAnsi="宋体" w:cs="宋体"/>
          <w:color w:val="auto"/>
          <w:sz w:val="24"/>
          <w:u w:val="single"/>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 xml:space="preserve">%。                                           </w:t>
      </w:r>
    </w:p>
    <w:p>
      <w:pPr>
        <w:spacing w:line="360" w:lineRule="auto"/>
        <w:ind w:left="5279" w:leftChars="228" w:hanging="4800" w:hangingChars="2000"/>
        <w:rPr>
          <w:rFonts w:ascii="宋体" w:hAnsi="宋体" w:cs="宋体"/>
          <w:color w:val="auto"/>
          <w:sz w:val="24"/>
          <w:lang w:val="zh-CN"/>
        </w:rPr>
      </w:pPr>
    </w:p>
    <w:p>
      <w:pPr>
        <w:spacing w:line="360" w:lineRule="auto"/>
        <w:ind w:left="5267" w:leftChars="2508"/>
        <w:rPr>
          <w:rFonts w:ascii="宋体" w:hAnsi="宋体" w:cs="宋体"/>
          <w:color w:val="auto"/>
          <w:sz w:val="24"/>
          <w:lang w:val="zh-CN"/>
        </w:rPr>
      </w:pPr>
      <w:r>
        <w:rPr>
          <w:rFonts w:hint="eastAsia" w:ascii="宋体" w:hAnsi="宋体" w:cs="宋体"/>
          <w:color w:val="auto"/>
          <w:sz w:val="24"/>
          <w:lang w:val="zh-CN"/>
        </w:rPr>
        <w:t>投标人名称(电子签名)：</w:t>
      </w:r>
    </w:p>
    <w:p>
      <w:pPr>
        <w:spacing w:line="360" w:lineRule="auto"/>
        <w:ind w:firstLine="5280" w:firstLineChars="2200"/>
        <w:rPr>
          <w:rFonts w:ascii="宋体" w:hAnsi="宋体" w:cs="宋体"/>
          <w:color w:val="auto"/>
          <w:sz w:val="24"/>
          <w:lang w:val="zh-CN"/>
        </w:rPr>
      </w:pPr>
      <w:r>
        <w:rPr>
          <w:rFonts w:hint="eastAsia" w:ascii="宋体" w:hAnsi="宋体" w:cs="宋体"/>
          <w:color w:val="auto"/>
          <w:sz w:val="24"/>
          <w:lang w:val="zh-CN"/>
        </w:rPr>
        <w:t>分包供应商名称：</w:t>
      </w:r>
    </w:p>
    <w:p>
      <w:pPr>
        <w:spacing w:line="360" w:lineRule="auto"/>
        <w:ind w:firstLine="5520" w:firstLineChars="2300"/>
        <w:rPr>
          <w:rFonts w:ascii="宋体" w:hAnsi="宋体" w:cs="宋体"/>
          <w:color w:val="auto"/>
          <w:sz w:val="24"/>
          <w:lang w:val="zh-CN"/>
        </w:rPr>
      </w:pPr>
      <w:r>
        <w:rPr>
          <w:rFonts w:hint="eastAsia" w:ascii="宋体" w:hAnsi="宋体" w:cs="宋体"/>
          <w:color w:val="auto"/>
          <w:sz w:val="24"/>
          <w:lang w:val="zh-CN"/>
        </w:rPr>
        <w:t>……</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 xml:space="preserve">                                        日期：  年  月   日</w:t>
      </w: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rPr>
          <w:rFonts w:ascii="宋体" w:hAnsi="宋体" w:cs="宋体"/>
          <w:b/>
          <w:color w:val="auto"/>
          <w:spacing w:val="6"/>
          <w:sz w:val="24"/>
        </w:rPr>
      </w:pPr>
    </w:p>
    <w:p>
      <w:pPr>
        <w:pStyle w:val="4"/>
        <w:ind w:left="0" w:leftChars="0" w:firstLine="0" w:firstLineChars="0"/>
        <w:rPr>
          <w:rFonts w:ascii="宋体" w:hAnsi="宋体" w:eastAsia="宋体" w:cs="宋体"/>
          <w:color w:val="auto"/>
        </w:rPr>
      </w:pPr>
    </w:p>
    <w:p>
      <w:pPr>
        <w:spacing w:line="360" w:lineRule="auto"/>
        <w:jc w:val="center"/>
        <w:rPr>
          <w:rFonts w:ascii="宋体" w:hAnsi="宋体" w:cs="宋体"/>
          <w:b/>
          <w:color w:val="auto"/>
          <w:sz w:val="32"/>
          <w:szCs w:val="32"/>
        </w:rPr>
      </w:pPr>
    </w:p>
    <w:p>
      <w:pPr>
        <w:pStyle w:val="4"/>
        <w:rPr>
          <w:rFonts w:ascii="宋体" w:hAnsi="宋体" w:eastAsia="宋体" w:cs="宋体"/>
          <w:color w:val="auto"/>
        </w:rPr>
      </w:pPr>
    </w:p>
    <w:p>
      <w:pPr>
        <w:rPr>
          <w:rFonts w:ascii="宋体" w:hAnsi="宋体" w:cs="宋体"/>
          <w:b/>
          <w:color w:val="auto"/>
          <w:sz w:val="32"/>
          <w:szCs w:val="32"/>
        </w:rPr>
      </w:pPr>
    </w:p>
    <w:p>
      <w:pPr>
        <w:pStyle w:val="4"/>
        <w:ind w:left="0" w:firstLine="0"/>
        <w:rPr>
          <w:rFonts w:ascii="宋体" w:hAnsi="宋体" w:eastAsia="宋体" w:cs="宋体"/>
          <w:color w:val="auto"/>
        </w:rPr>
      </w:pPr>
    </w:p>
    <w:p>
      <w:pPr>
        <w:spacing w:line="360" w:lineRule="auto"/>
        <w:ind w:right="420"/>
        <w:rPr>
          <w:rFonts w:ascii="宋体" w:hAnsi="宋体" w:cs="宋体"/>
          <w:b/>
          <w:color w:val="auto"/>
          <w:kern w:val="0"/>
          <w:sz w:val="36"/>
          <w:szCs w:val="36"/>
        </w:rPr>
      </w:pPr>
    </w:p>
    <w:sectPr>
      <w:headerReference r:id="rId28" w:type="first"/>
      <w:footerReference r:id="rId30" w:type="first"/>
      <w:headerReference r:id="rId27" w:type="default"/>
      <w:footerReference r:id="rId29" w:type="default"/>
      <w:pgSz w:w="11906" w:h="16838"/>
      <w:pgMar w:top="1276" w:right="1418" w:bottom="1247"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88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57</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69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80</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88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88</w:t>
    </w:r>
    <w:r>
      <w:rPr>
        <w:rFonts w:ascii="仿宋_GB2312" w:eastAsia="仿宋_GB2312"/>
        <w:kern w:val="0"/>
        <w:szCs w:val="21"/>
      </w:rPr>
      <w:fldChar w:fldCharType="end"/>
    </w:r>
    <w:bookmarkStart w:id="550" w:name="_Toc164085800"/>
    <w:bookmarkStart w:id="551" w:name="_Toc91899912"/>
    <w:bookmarkStart w:id="552" w:name="_Toc36110187"/>
    <w:bookmarkStart w:id="553" w:name="_Toc131845147"/>
    <w:r>
      <w:rPr>
        <w:rFonts w:ascii="仿宋_GB2312" w:eastAsia="仿宋_GB2312"/>
        <w:kern w:val="0"/>
        <w:szCs w:val="21"/>
      </w:rPr>
      <w:t xml:space="preserve"> </w:t>
    </w:r>
    <w:r>
      <w:rPr>
        <w:rFonts w:hint="eastAsia" w:ascii="仿宋_GB2312" w:eastAsia="仿宋_GB2312"/>
        <w:kern w:val="0"/>
        <w:szCs w:val="21"/>
      </w:rPr>
      <w:t>页</w:t>
    </w:r>
    <w:bookmarkEnd w:id="550"/>
    <w:bookmarkEnd w:id="551"/>
    <w:bookmarkEnd w:id="552"/>
    <w:bookmarkEnd w:id="5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49" o:spid="_x0000_s2049"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IVHcNHTAQAApQMAAA4AAAAAAAAAAQAgAAAAHwEA&#10;AGRycy9lMm9Eb2MueG1sUEsFBgAAAAAGAAYAWQEAAGQFAAAAAA==&#1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t>23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76</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75</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64</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淳安县政府采购公开招标文件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淳安县政府采购公开招标文件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淳安县政府采购公开招标文件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淳安县政府采购公开招标文件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淳安县政府采购公开招标文件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淳安县</w:t>
    </w:r>
    <w:r>
      <w:rPr>
        <w:rFonts w:hint="eastAsia"/>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淳安县政府采购公开招标文件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jc w:val="right"/>
    </w:pPr>
    <w:r>
      <w:rPr>
        <w:rFonts w:hint="eastAsia"/>
      </w:rPr>
      <w:t>淳安县政府采购公开招标文件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淳安县政府采购公开招标文件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jc w:val="right"/>
    </w:pPr>
    <w:r>
      <w:rPr>
        <w:rFonts w:hint="eastAsia"/>
      </w:rPr>
      <w:t>淳安县政府采购公开招标文件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淳安县政府采购公开招标文件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淳安县政府采购公开招标文件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067EC"/>
    <w:multiLevelType w:val="singleLevel"/>
    <w:tmpl w:val="E86067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NotTrackMoves/>
  <w:documentProtection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YTE5YWI0NTkxNDNlYjZkN2IyMDEyY2I0NDU1YmUyYjIifQ=="/>
  </w:docVars>
  <w:rsids>
    <w:rsidRoot w:val="00172A27"/>
    <w:rsid w:val="00000451"/>
    <w:rsid w:val="0000108B"/>
    <w:rsid w:val="0000133D"/>
    <w:rsid w:val="00001509"/>
    <w:rsid w:val="000032B2"/>
    <w:rsid w:val="0000363B"/>
    <w:rsid w:val="00004C4C"/>
    <w:rsid w:val="000058BD"/>
    <w:rsid w:val="00006109"/>
    <w:rsid w:val="00006150"/>
    <w:rsid w:val="000063E8"/>
    <w:rsid w:val="00006725"/>
    <w:rsid w:val="0000675E"/>
    <w:rsid w:val="00007CAA"/>
    <w:rsid w:val="00010430"/>
    <w:rsid w:val="00010FE9"/>
    <w:rsid w:val="0001122F"/>
    <w:rsid w:val="00011A4B"/>
    <w:rsid w:val="00012251"/>
    <w:rsid w:val="0001337C"/>
    <w:rsid w:val="0001374F"/>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B0"/>
    <w:rsid w:val="000270F2"/>
    <w:rsid w:val="00027540"/>
    <w:rsid w:val="00030572"/>
    <w:rsid w:val="00030A97"/>
    <w:rsid w:val="00030CB3"/>
    <w:rsid w:val="0003206A"/>
    <w:rsid w:val="000326A7"/>
    <w:rsid w:val="00032EA0"/>
    <w:rsid w:val="000331B0"/>
    <w:rsid w:val="000336D4"/>
    <w:rsid w:val="00033CC5"/>
    <w:rsid w:val="00034FA7"/>
    <w:rsid w:val="0003533D"/>
    <w:rsid w:val="000357E4"/>
    <w:rsid w:val="00035ACA"/>
    <w:rsid w:val="00040447"/>
    <w:rsid w:val="00040494"/>
    <w:rsid w:val="00040B70"/>
    <w:rsid w:val="00042441"/>
    <w:rsid w:val="00042533"/>
    <w:rsid w:val="00042DBB"/>
    <w:rsid w:val="00042E65"/>
    <w:rsid w:val="0004347C"/>
    <w:rsid w:val="0004361D"/>
    <w:rsid w:val="00043907"/>
    <w:rsid w:val="00044F48"/>
    <w:rsid w:val="000469AE"/>
    <w:rsid w:val="00047354"/>
    <w:rsid w:val="00047A06"/>
    <w:rsid w:val="00047F6F"/>
    <w:rsid w:val="00050656"/>
    <w:rsid w:val="00050A19"/>
    <w:rsid w:val="000511B6"/>
    <w:rsid w:val="0005126D"/>
    <w:rsid w:val="00051B00"/>
    <w:rsid w:val="00051C72"/>
    <w:rsid w:val="00051E7C"/>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685"/>
    <w:rsid w:val="00063A1E"/>
    <w:rsid w:val="00064278"/>
    <w:rsid w:val="000646CA"/>
    <w:rsid w:val="000665C4"/>
    <w:rsid w:val="00067821"/>
    <w:rsid w:val="0006785E"/>
    <w:rsid w:val="00067F92"/>
    <w:rsid w:val="00067FA7"/>
    <w:rsid w:val="0007038E"/>
    <w:rsid w:val="0007077C"/>
    <w:rsid w:val="00070825"/>
    <w:rsid w:val="00071797"/>
    <w:rsid w:val="0007199F"/>
    <w:rsid w:val="00071CD8"/>
    <w:rsid w:val="00071DB2"/>
    <w:rsid w:val="00072AED"/>
    <w:rsid w:val="00072B56"/>
    <w:rsid w:val="00072BD4"/>
    <w:rsid w:val="00072D2B"/>
    <w:rsid w:val="00072D51"/>
    <w:rsid w:val="000730B1"/>
    <w:rsid w:val="00073860"/>
    <w:rsid w:val="000738EA"/>
    <w:rsid w:val="00074078"/>
    <w:rsid w:val="00075AFC"/>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A24"/>
    <w:rsid w:val="00083E07"/>
    <w:rsid w:val="00084D27"/>
    <w:rsid w:val="00084ED6"/>
    <w:rsid w:val="0008580E"/>
    <w:rsid w:val="00085A0E"/>
    <w:rsid w:val="00085C4F"/>
    <w:rsid w:val="00085D69"/>
    <w:rsid w:val="00085D90"/>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B16"/>
    <w:rsid w:val="000A3D58"/>
    <w:rsid w:val="000A3FE3"/>
    <w:rsid w:val="000A47B0"/>
    <w:rsid w:val="000A4851"/>
    <w:rsid w:val="000A49BB"/>
    <w:rsid w:val="000A4F22"/>
    <w:rsid w:val="000A5674"/>
    <w:rsid w:val="000A5A46"/>
    <w:rsid w:val="000A6B0E"/>
    <w:rsid w:val="000A7299"/>
    <w:rsid w:val="000A752E"/>
    <w:rsid w:val="000B0E04"/>
    <w:rsid w:val="000B268D"/>
    <w:rsid w:val="000B291B"/>
    <w:rsid w:val="000B4551"/>
    <w:rsid w:val="000B456C"/>
    <w:rsid w:val="000B45B9"/>
    <w:rsid w:val="000B47CE"/>
    <w:rsid w:val="000B4B56"/>
    <w:rsid w:val="000B4C62"/>
    <w:rsid w:val="000B541D"/>
    <w:rsid w:val="000B54C1"/>
    <w:rsid w:val="000B5553"/>
    <w:rsid w:val="000B5FE8"/>
    <w:rsid w:val="000B666E"/>
    <w:rsid w:val="000C020F"/>
    <w:rsid w:val="000C0A43"/>
    <w:rsid w:val="000C0CB1"/>
    <w:rsid w:val="000C1411"/>
    <w:rsid w:val="000C1ADE"/>
    <w:rsid w:val="000C1C38"/>
    <w:rsid w:val="000C21DC"/>
    <w:rsid w:val="000C2264"/>
    <w:rsid w:val="000C256B"/>
    <w:rsid w:val="000C263C"/>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6D1"/>
    <w:rsid w:val="000D19E8"/>
    <w:rsid w:val="000D1FA1"/>
    <w:rsid w:val="000D2834"/>
    <w:rsid w:val="000D2CAC"/>
    <w:rsid w:val="000D34C8"/>
    <w:rsid w:val="000D34FD"/>
    <w:rsid w:val="000D3BE5"/>
    <w:rsid w:val="000D3C37"/>
    <w:rsid w:val="000D453A"/>
    <w:rsid w:val="000D4AFA"/>
    <w:rsid w:val="000D5ACC"/>
    <w:rsid w:val="000D5EA6"/>
    <w:rsid w:val="000D5F00"/>
    <w:rsid w:val="000D6C9F"/>
    <w:rsid w:val="000D6E3B"/>
    <w:rsid w:val="000D6F30"/>
    <w:rsid w:val="000D74E4"/>
    <w:rsid w:val="000D7C9D"/>
    <w:rsid w:val="000D7CE0"/>
    <w:rsid w:val="000E2785"/>
    <w:rsid w:val="000E27BB"/>
    <w:rsid w:val="000E2E20"/>
    <w:rsid w:val="000E2ECD"/>
    <w:rsid w:val="000E3153"/>
    <w:rsid w:val="000E3484"/>
    <w:rsid w:val="000E386F"/>
    <w:rsid w:val="000E4051"/>
    <w:rsid w:val="000E4139"/>
    <w:rsid w:val="000E4765"/>
    <w:rsid w:val="000E4E5B"/>
    <w:rsid w:val="000E5B7E"/>
    <w:rsid w:val="000E5FF9"/>
    <w:rsid w:val="000E6AE1"/>
    <w:rsid w:val="000E711F"/>
    <w:rsid w:val="000E7142"/>
    <w:rsid w:val="000E7632"/>
    <w:rsid w:val="000E7737"/>
    <w:rsid w:val="000E7739"/>
    <w:rsid w:val="000E77EE"/>
    <w:rsid w:val="000E7DCB"/>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6"/>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6FE"/>
    <w:rsid w:val="001168F8"/>
    <w:rsid w:val="00116D6C"/>
    <w:rsid w:val="001176FF"/>
    <w:rsid w:val="0012153F"/>
    <w:rsid w:val="0012159D"/>
    <w:rsid w:val="00121804"/>
    <w:rsid w:val="00121EC9"/>
    <w:rsid w:val="001224FE"/>
    <w:rsid w:val="001231D3"/>
    <w:rsid w:val="001232A7"/>
    <w:rsid w:val="00123F7C"/>
    <w:rsid w:val="001240F7"/>
    <w:rsid w:val="0012419E"/>
    <w:rsid w:val="001248EF"/>
    <w:rsid w:val="00124AC0"/>
    <w:rsid w:val="00124FC4"/>
    <w:rsid w:val="001253AB"/>
    <w:rsid w:val="0012574C"/>
    <w:rsid w:val="001259B8"/>
    <w:rsid w:val="001264B9"/>
    <w:rsid w:val="0012693E"/>
    <w:rsid w:val="00126A3A"/>
    <w:rsid w:val="00126B6B"/>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8C5"/>
    <w:rsid w:val="00140D7A"/>
    <w:rsid w:val="00141D28"/>
    <w:rsid w:val="00141DFE"/>
    <w:rsid w:val="00142185"/>
    <w:rsid w:val="001422E2"/>
    <w:rsid w:val="001433BC"/>
    <w:rsid w:val="001435F3"/>
    <w:rsid w:val="00143872"/>
    <w:rsid w:val="00143A85"/>
    <w:rsid w:val="00144649"/>
    <w:rsid w:val="00145022"/>
    <w:rsid w:val="00145662"/>
    <w:rsid w:val="00145C6D"/>
    <w:rsid w:val="001460FC"/>
    <w:rsid w:val="00146151"/>
    <w:rsid w:val="00146326"/>
    <w:rsid w:val="00147032"/>
    <w:rsid w:val="00147134"/>
    <w:rsid w:val="00147EA7"/>
    <w:rsid w:val="00151820"/>
    <w:rsid w:val="00151B2F"/>
    <w:rsid w:val="001524DC"/>
    <w:rsid w:val="001525E5"/>
    <w:rsid w:val="0015315E"/>
    <w:rsid w:val="00153859"/>
    <w:rsid w:val="00153915"/>
    <w:rsid w:val="001539F0"/>
    <w:rsid w:val="00154BBA"/>
    <w:rsid w:val="00155475"/>
    <w:rsid w:val="00155B95"/>
    <w:rsid w:val="00156853"/>
    <w:rsid w:val="0015696D"/>
    <w:rsid w:val="00157432"/>
    <w:rsid w:val="00161185"/>
    <w:rsid w:val="001620BA"/>
    <w:rsid w:val="001623AC"/>
    <w:rsid w:val="00162BAA"/>
    <w:rsid w:val="00163019"/>
    <w:rsid w:val="00163C40"/>
    <w:rsid w:val="0016488B"/>
    <w:rsid w:val="00165758"/>
    <w:rsid w:val="00165A65"/>
    <w:rsid w:val="00166317"/>
    <w:rsid w:val="00167478"/>
    <w:rsid w:val="00167594"/>
    <w:rsid w:val="00167CC0"/>
    <w:rsid w:val="001702BE"/>
    <w:rsid w:val="001704B3"/>
    <w:rsid w:val="0017059C"/>
    <w:rsid w:val="0017105C"/>
    <w:rsid w:val="00171622"/>
    <w:rsid w:val="00171785"/>
    <w:rsid w:val="00171AB5"/>
    <w:rsid w:val="0017204F"/>
    <w:rsid w:val="001721CF"/>
    <w:rsid w:val="001728FD"/>
    <w:rsid w:val="00172A27"/>
    <w:rsid w:val="00172A3C"/>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3F2"/>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77"/>
    <w:rsid w:val="00194BB1"/>
    <w:rsid w:val="00194BC6"/>
    <w:rsid w:val="00195070"/>
    <w:rsid w:val="00195245"/>
    <w:rsid w:val="0019526D"/>
    <w:rsid w:val="0019553F"/>
    <w:rsid w:val="001956BE"/>
    <w:rsid w:val="00195ABD"/>
    <w:rsid w:val="0019602C"/>
    <w:rsid w:val="001969F2"/>
    <w:rsid w:val="00196CD6"/>
    <w:rsid w:val="0019756A"/>
    <w:rsid w:val="001A04BF"/>
    <w:rsid w:val="001A06B5"/>
    <w:rsid w:val="001A07F8"/>
    <w:rsid w:val="001A0A23"/>
    <w:rsid w:val="001A0C98"/>
    <w:rsid w:val="001A0E94"/>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5B0"/>
    <w:rsid w:val="001B16F5"/>
    <w:rsid w:val="001B1C1F"/>
    <w:rsid w:val="001B219B"/>
    <w:rsid w:val="001B2703"/>
    <w:rsid w:val="001B3DCD"/>
    <w:rsid w:val="001B45B9"/>
    <w:rsid w:val="001B46B2"/>
    <w:rsid w:val="001B4725"/>
    <w:rsid w:val="001B47CB"/>
    <w:rsid w:val="001B48B2"/>
    <w:rsid w:val="001B49DA"/>
    <w:rsid w:val="001B4CA8"/>
    <w:rsid w:val="001B572D"/>
    <w:rsid w:val="001B576E"/>
    <w:rsid w:val="001B5B10"/>
    <w:rsid w:val="001B6025"/>
    <w:rsid w:val="001B6329"/>
    <w:rsid w:val="001B6413"/>
    <w:rsid w:val="001B6D58"/>
    <w:rsid w:val="001B6FA7"/>
    <w:rsid w:val="001B7A15"/>
    <w:rsid w:val="001B7B69"/>
    <w:rsid w:val="001B7DC1"/>
    <w:rsid w:val="001B7F2D"/>
    <w:rsid w:val="001C08DB"/>
    <w:rsid w:val="001C10BD"/>
    <w:rsid w:val="001C1F01"/>
    <w:rsid w:val="001C2092"/>
    <w:rsid w:val="001C232F"/>
    <w:rsid w:val="001C2544"/>
    <w:rsid w:val="001C2A17"/>
    <w:rsid w:val="001C31F5"/>
    <w:rsid w:val="001C3AF9"/>
    <w:rsid w:val="001C6047"/>
    <w:rsid w:val="001C6698"/>
    <w:rsid w:val="001C6C5B"/>
    <w:rsid w:val="001C7309"/>
    <w:rsid w:val="001C7399"/>
    <w:rsid w:val="001C7CE0"/>
    <w:rsid w:val="001D005B"/>
    <w:rsid w:val="001D0947"/>
    <w:rsid w:val="001D16F5"/>
    <w:rsid w:val="001D1970"/>
    <w:rsid w:val="001D1D55"/>
    <w:rsid w:val="001D21EF"/>
    <w:rsid w:val="001D29A4"/>
    <w:rsid w:val="001D2B73"/>
    <w:rsid w:val="001D2B88"/>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BE8"/>
    <w:rsid w:val="001F2F92"/>
    <w:rsid w:val="001F5DA1"/>
    <w:rsid w:val="001F612E"/>
    <w:rsid w:val="001F6A92"/>
    <w:rsid w:val="001F77E8"/>
    <w:rsid w:val="00201A0C"/>
    <w:rsid w:val="00201B0F"/>
    <w:rsid w:val="0020255A"/>
    <w:rsid w:val="00202583"/>
    <w:rsid w:val="00202800"/>
    <w:rsid w:val="00202D33"/>
    <w:rsid w:val="00202E58"/>
    <w:rsid w:val="00202F99"/>
    <w:rsid w:val="002032D0"/>
    <w:rsid w:val="00203C85"/>
    <w:rsid w:val="0020449A"/>
    <w:rsid w:val="00204E9B"/>
    <w:rsid w:val="00205298"/>
    <w:rsid w:val="002055C0"/>
    <w:rsid w:val="0020569E"/>
    <w:rsid w:val="00206698"/>
    <w:rsid w:val="00206736"/>
    <w:rsid w:val="00206C88"/>
    <w:rsid w:val="002070D1"/>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E1"/>
    <w:rsid w:val="00217E1F"/>
    <w:rsid w:val="002204BC"/>
    <w:rsid w:val="00220F7B"/>
    <w:rsid w:val="002213CE"/>
    <w:rsid w:val="00221AF7"/>
    <w:rsid w:val="00222494"/>
    <w:rsid w:val="00222775"/>
    <w:rsid w:val="00222A31"/>
    <w:rsid w:val="00222BEF"/>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CE6"/>
    <w:rsid w:val="00234EEF"/>
    <w:rsid w:val="002359FC"/>
    <w:rsid w:val="002361C8"/>
    <w:rsid w:val="00236690"/>
    <w:rsid w:val="0023669D"/>
    <w:rsid w:val="00237EAE"/>
    <w:rsid w:val="00237FA2"/>
    <w:rsid w:val="002403D5"/>
    <w:rsid w:val="00240C1F"/>
    <w:rsid w:val="00240F55"/>
    <w:rsid w:val="00240F67"/>
    <w:rsid w:val="00241144"/>
    <w:rsid w:val="002420FA"/>
    <w:rsid w:val="00242510"/>
    <w:rsid w:val="00242F79"/>
    <w:rsid w:val="00243666"/>
    <w:rsid w:val="0024415B"/>
    <w:rsid w:val="00245565"/>
    <w:rsid w:val="0024579D"/>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6DB"/>
    <w:rsid w:val="00262996"/>
    <w:rsid w:val="00263044"/>
    <w:rsid w:val="00263759"/>
    <w:rsid w:val="002638BD"/>
    <w:rsid w:val="0026470B"/>
    <w:rsid w:val="0026486D"/>
    <w:rsid w:val="00264C4B"/>
    <w:rsid w:val="00264ED0"/>
    <w:rsid w:val="00265346"/>
    <w:rsid w:val="00266045"/>
    <w:rsid w:val="002660C3"/>
    <w:rsid w:val="002668A8"/>
    <w:rsid w:val="00266C21"/>
    <w:rsid w:val="00266DE1"/>
    <w:rsid w:val="00267A92"/>
    <w:rsid w:val="00267E43"/>
    <w:rsid w:val="00270282"/>
    <w:rsid w:val="00270780"/>
    <w:rsid w:val="00270CF6"/>
    <w:rsid w:val="00271097"/>
    <w:rsid w:val="00271A70"/>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A68"/>
    <w:rsid w:val="00281BCB"/>
    <w:rsid w:val="00281C76"/>
    <w:rsid w:val="0028316D"/>
    <w:rsid w:val="00283296"/>
    <w:rsid w:val="0028341D"/>
    <w:rsid w:val="00284F39"/>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BBB"/>
    <w:rsid w:val="00291CF1"/>
    <w:rsid w:val="00292437"/>
    <w:rsid w:val="00292AA1"/>
    <w:rsid w:val="00294012"/>
    <w:rsid w:val="002945B0"/>
    <w:rsid w:val="0029499D"/>
    <w:rsid w:val="00294A13"/>
    <w:rsid w:val="00294B10"/>
    <w:rsid w:val="00294DF9"/>
    <w:rsid w:val="00295073"/>
    <w:rsid w:val="00295468"/>
    <w:rsid w:val="00296C32"/>
    <w:rsid w:val="0029778E"/>
    <w:rsid w:val="002977CE"/>
    <w:rsid w:val="00297AF5"/>
    <w:rsid w:val="00297D8C"/>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1A4"/>
    <w:rsid w:val="002B650C"/>
    <w:rsid w:val="002B68E6"/>
    <w:rsid w:val="002B6985"/>
    <w:rsid w:val="002B6D7A"/>
    <w:rsid w:val="002B7F74"/>
    <w:rsid w:val="002C02BA"/>
    <w:rsid w:val="002C0301"/>
    <w:rsid w:val="002C0326"/>
    <w:rsid w:val="002C0A9F"/>
    <w:rsid w:val="002C0FC2"/>
    <w:rsid w:val="002C1178"/>
    <w:rsid w:val="002C1AB3"/>
    <w:rsid w:val="002C1BB7"/>
    <w:rsid w:val="002C1FB3"/>
    <w:rsid w:val="002C24AD"/>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94C"/>
    <w:rsid w:val="002C70C8"/>
    <w:rsid w:val="002C70E7"/>
    <w:rsid w:val="002C7EA6"/>
    <w:rsid w:val="002D0C27"/>
    <w:rsid w:val="002D0E88"/>
    <w:rsid w:val="002D0EA7"/>
    <w:rsid w:val="002D0F31"/>
    <w:rsid w:val="002D1593"/>
    <w:rsid w:val="002D15DA"/>
    <w:rsid w:val="002D1A1E"/>
    <w:rsid w:val="002D22A6"/>
    <w:rsid w:val="002D2574"/>
    <w:rsid w:val="002D2819"/>
    <w:rsid w:val="002D2CD6"/>
    <w:rsid w:val="002D2F81"/>
    <w:rsid w:val="002D371F"/>
    <w:rsid w:val="002D38A3"/>
    <w:rsid w:val="002D3BA3"/>
    <w:rsid w:val="002D43EE"/>
    <w:rsid w:val="002D4892"/>
    <w:rsid w:val="002D4D06"/>
    <w:rsid w:val="002D4DDE"/>
    <w:rsid w:val="002D4EE7"/>
    <w:rsid w:val="002D4EED"/>
    <w:rsid w:val="002D52AB"/>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82C"/>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E95"/>
    <w:rsid w:val="002E672A"/>
    <w:rsid w:val="002E6853"/>
    <w:rsid w:val="002E7EC1"/>
    <w:rsid w:val="002E7EE5"/>
    <w:rsid w:val="002F0323"/>
    <w:rsid w:val="002F0DFB"/>
    <w:rsid w:val="002F1255"/>
    <w:rsid w:val="002F134F"/>
    <w:rsid w:val="002F1891"/>
    <w:rsid w:val="002F1D0B"/>
    <w:rsid w:val="002F1E1D"/>
    <w:rsid w:val="002F1F02"/>
    <w:rsid w:val="002F27E5"/>
    <w:rsid w:val="002F2D81"/>
    <w:rsid w:val="002F2F66"/>
    <w:rsid w:val="002F39D4"/>
    <w:rsid w:val="002F4BA9"/>
    <w:rsid w:val="002F541B"/>
    <w:rsid w:val="002F5BFE"/>
    <w:rsid w:val="002F5DA5"/>
    <w:rsid w:val="002F5E17"/>
    <w:rsid w:val="002F647C"/>
    <w:rsid w:val="002F6752"/>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6F2C"/>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902"/>
    <w:rsid w:val="00316CDE"/>
    <w:rsid w:val="0031752D"/>
    <w:rsid w:val="00317709"/>
    <w:rsid w:val="00320688"/>
    <w:rsid w:val="00320B75"/>
    <w:rsid w:val="00321142"/>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AB3"/>
    <w:rsid w:val="003373A6"/>
    <w:rsid w:val="00337409"/>
    <w:rsid w:val="00337E18"/>
    <w:rsid w:val="003405AF"/>
    <w:rsid w:val="0034088F"/>
    <w:rsid w:val="00340B3E"/>
    <w:rsid w:val="003413D2"/>
    <w:rsid w:val="00341525"/>
    <w:rsid w:val="0034202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240"/>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548"/>
    <w:rsid w:val="00366779"/>
    <w:rsid w:val="003668E5"/>
    <w:rsid w:val="0036698C"/>
    <w:rsid w:val="003669C8"/>
    <w:rsid w:val="00366CEB"/>
    <w:rsid w:val="003672B3"/>
    <w:rsid w:val="003676DF"/>
    <w:rsid w:val="00367783"/>
    <w:rsid w:val="00367898"/>
    <w:rsid w:val="003679D3"/>
    <w:rsid w:val="00367A87"/>
    <w:rsid w:val="00367EE7"/>
    <w:rsid w:val="003703BB"/>
    <w:rsid w:val="003705EA"/>
    <w:rsid w:val="00370A56"/>
    <w:rsid w:val="00371213"/>
    <w:rsid w:val="0037174B"/>
    <w:rsid w:val="00372842"/>
    <w:rsid w:val="003729A5"/>
    <w:rsid w:val="00372C89"/>
    <w:rsid w:val="00372E9A"/>
    <w:rsid w:val="003735B9"/>
    <w:rsid w:val="00373634"/>
    <w:rsid w:val="00374677"/>
    <w:rsid w:val="0037510C"/>
    <w:rsid w:val="00375850"/>
    <w:rsid w:val="0037632F"/>
    <w:rsid w:val="00377B26"/>
    <w:rsid w:val="00377C84"/>
    <w:rsid w:val="00381014"/>
    <w:rsid w:val="00381604"/>
    <w:rsid w:val="00381C68"/>
    <w:rsid w:val="00381F60"/>
    <w:rsid w:val="00383204"/>
    <w:rsid w:val="00383AB0"/>
    <w:rsid w:val="003847BB"/>
    <w:rsid w:val="00384814"/>
    <w:rsid w:val="00384C0A"/>
    <w:rsid w:val="00384C95"/>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36"/>
    <w:rsid w:val="003A7E40"/>
    <w:rsid w:val="003B0336"/>
    <w:rsid w:val="003B0A3A"/>
    <w:rsid w:val="003B0D79"/>
    <w:rsid w:val="003B2930"/>
    <w:rsid w:val="003B31A7"/>
    <w:rsid w:val="003B3224"/>
    <w:rsid w:val="003B3639"/>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140"/>
    <w:rsid w:val="003C62EC"/>
    <w:rsid w:val="003C685A"/>
    <w:rsid w:val="003C6E9C"/>
    <w:rsid w:val="003C746F"/>
    <w:rsid w:val="003C7570"/>
    <w:rsid w:val="003C76E6"/>
    <w:rsid w:val="003C7E59"/>
    <w:rsid w:val="003C7F12"/>
    <w:rsid w:val="003D03D6"/>
    <w:rsid w:val="003D075D"/>
    <w:rsid w:val="003D0800"/>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E9C"/>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C5E"/>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C52"/>
    <w:rsid w:val="00432ECA"/>
    <w:rsid w:val="0043554E"/>
    <w:rsid w:val="004355D4"/>
    <w:rsid w:val="004357B1"/>
    <w:rsid w:val="00435821"/>
    <w:rsid w:val="0043583E"/>
    <w:rsid w:val="00436CCE"/>
    <w:rsid w:val="00436EAD"/>
    <w:rsid w:val="004375E1"/>
    <w:rsid w:val="00437A2F"/>
    <w:rsid w:val="00440262"/>
    <w:rsid w:val="004402CC"/>
    <w:rsid w:val="004406BF"/>
    <w:rsid w:val="00440756"/>
    <w:rsid w:val="00440814"/>
    <w:rsid w:val="0044105D"/>
    <w:rsid w:val="00441424"/>
    <w:rsid w:val="0044233E"/>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92B"/>
    <w:rsid w:val="004543AB"/>
    <w:rsid w:val="004545EC"/>
    <w:rsid w:val="00455967"/>
    <w:rsid w:val="00455F71"/>
    <w:rsid w:val="00456272"/>
    <w:rsid w:val="00456EB3"/>
    <w:rsid w:val="004570EF"/>
    <w:rsid w:val="00457517"/>
    <w:rsid w:val="00457CF7"/>
    <w:rsid w:val="00457D37"/>
    <w:rsid w:val="0046028A"/>
    <w:rsid w:val="00460E3A"/>
    <w:rsid w:val="00460E68"/>
    <w:rsid w:val="004614BC"/>
    <w:rsid w:val="004619A5"/>
    <w:rsid w:val="00461F80"/>
    <w:rsid w:val="0046240D"/>
    <w:rsid w:val="00462898"/>
    <w:rsid w:val="00462958"/>
    <w:rsid w:val="00462D84"/>
    <w:rsid w:val="00463208"/>
    <w:rsid w:val="00463576"/>
    <w:rsid w:val="004636D6"/>
    <w:rsid w:val="0046399D"/>
    <w:rsid w:val="00463DAE"/>
    <w:rsid w:val="00463EA4"/>
    <w:rsid w:val="0046503F"/>
    <w:rsid w:val="00465A21"/>
    <w:rsid w:val="00465DE5"/>
    <w:rsid w:val="004666E9"/>
    <w:rsid w:val="00466978"/>
    <w:rsid w:val="00466ABA"/>
    <w:rsid w:val="004672E3"/>
    <w:rsid w:val="0046775D"/>
    <w:rsid w:val="00467823"/>
    <w:rsid w:val="004705FA"/>
    <w:rsid w:val="004708AC"/>
    <w:rsid w:val="00471387"/>
    <w:rsid w:val="0047146C"/>
    <w:rsid w:val="0047149F"/>
    <w:rsid w:val="00471963"/>
    <w:rsid w:val="00471A6B"/>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9DE"/>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30"/>
    <w:rsid w:val="004A64F9"/>
    <w:rsid w:val="004A65F4"/>
    <w:rsid w:val="004A6D2C"/>
    <w:rsid w:val="004A7062"/>
    <w:rsid w:val="004B026C"/>
    <w:rsid w:val="004B0271"/>
    <w:rsid w:val="004B0BE8"/>
    <w:rsid w:val="004B0E4A"/>
    <w:rsid w:val="004B18F4"/>
    <w:rsid w:val="004B1A98"/>
    <w:rsid w:val="004B2032"/>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BFA"/>
    <w:rsid w:val="004C0D40"/>
    <w:rsid w:val="004C114F"/>
    <w:rsid w:val="004C11A9"/>
    <w:rsid w:val="004C27CF"/>
    <w:rsid w:val="004C2CA7"/>
    <w:rsid w:val="004C33B6"/>
    <w:rsid w:val="004C3592"/>
    <w:rsid w:val="004C3EEC"/>
    <w:rsid w:val="004C45C8"/>
    <w:rsid w:val="004C4F8F"/>
    <w:rsid w:val="004C5F4B"/>
    <w:rsid w:val="004C612E"/>
    <w:rsid w:val="004C61B8"/>
    <w:rsid w:val="004C69FE"/>
    <w:rsid w:val="004C6C0A"/>
    <w:rsid w:val="004C6C6D"/>
    <w:rsid w:val="004C77FF"/>
    <w:rsid w:val="004C7A95"/>
    <w:rsid w:val="004C7DB0"/>
    <w:rsid w:val="004C7FFC"/>
    <w:rsid w:val="004D0223"/>
    <w:rsid w:val="004D0C4C"/>
    <w:rsid w:val="004D16A3"/>
    <w:rsid w:val="004D1934"/>
    <w:rsid w:val="004D1E41"/>
    <w:rsid w:val="004D2011"/>
    <w:rsid w:val="004D21A6"/>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05B"/>
    <w:rsid w:val="004F2CB6"/>
    <w:rsid w:val="004F2E6E"/>
    <w:rsid w:val="004F3015"/>
    <w:rsid w:val="004F313F"/>
    <w:rsid w:val="004F367F"/>
    <w:rsid w:val="004F3B02"/>
    <w:rsid w:val="004F3EEF"/>
    <w:rsid w:val="004F43A7"/>
    <w:rsid w:val="004F447B"/>
    <w:rsid w:val="004F497C"/>
    <w:rsid w:val="004F4BB2"/>
    <w:rsid w:val="004F4FAC"/>
    <w:rsid w:val="004F4FE8"/>
    <w:rsid w:val="004F531B"/>
    <w:rsid w:val="004F560C"/>
    <w:rsid w:val="004F5DBB"/>
    <w:rsid w:val="004F60B4"/>
    <w:rsid w:val="004F61A3"/>
    <w:rsid w:val="004F6874"/>
    <w:rsid w:val="004F7922"/>
    <w:rsid w:val="004F7A1F"/>
    <w:rsid w:val="004F7B47"/>
    <w:rsid w:val="0050079C"/>
    <w:rsid w:val="005008E0"/>
    <w:rsid w:val="0050106A"/>
    <w:rsid w:val="005010BC"/>
    <w:rsid w:val="00501848"/>
    <w:rsid w:val="00502715"/>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DE7"/>
    <w:rsid w:val="005131A2"/>
    <w:rsid w:val="005137E4"/>
    <w:rsid w:val="00513BB9"/>
    <w:rsid w:val="0051440E"/>
    <w:rsid w:val="00514480"/>
    <w:rsid w:val="005148CD"/>
    <w:rsid w:val="00515180"/>
    <w:rsid w:val="00515973"/>
    <w:rsid w:val="00516069"/>
    <w:rsid w:val="00516082"/>
    <w:rsid w:val="00517AC8"/>
    <w:rsid w:val="00517AD0"/>
    <w:rsid w:val="00517C3E"/>
    <w:rsid w:val="005207D8"/>
    <w:rsid w:val="0052091D"/>
    <w:rsid w:val="005212F4"/>
    <w:rsid w:val="00521908"/>
    <w:rsid w:val="005224BC"/>
    <w:rsid w:val="00522928"/>
    <w:rsid w:val="00522FF1"/>
    <w:rsid w:val="00523946"/>
    <w:rsid w:val="0052397A"/>
    <w:rsid w:val="00523CDD"/>
    <w:rsid w:val="005256D6"/>
    <w:rsid w:val="00525AD8"/>
    <w:rsid w:val="00525FB5"/>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815"/>
    <w:rsid w:val="00534D55"/>
    <w:rsid w:val="00535B53"/>
    <w:rsid w:val="00536B03"/>
    <w:rsid w:val="00537456"/>
    <w:rsid w:val="0053790C"/>
    <w:rsid w:val="00537B3D"/>
    <w:rsid w:val="00537FD3"/>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5FE"/>
    <w:rsid w:val="00547BA2"/>
    <w:rsid w:val="00547F6C"/>
    <w:rsid w:val="00550AC5"/>
    <w:rsid w:val="00550B7E"/>
    <w:rsid w:val="00551052"/>
    <w:rsid w:val="005523E3"/>
    <w:rsid w:val="005524ED"/>
    <w:rsid w:val="00553CF1"/>
    <w:rsid w:val="00553F91"/>
    <w:rsid w:val="00554007"/>
    <w:rsid w:val="00554C03"/>
    <w:rsid w:val="00554C58"/>
    <w:rsid w:val="00554D5D"/>
    <w:rsid w:val="005550F9"/>
    <w:rsid w:val="00555FE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A6A"/>
    <w:rsid w:val="00562FB1"/>
    <w:rsid w:val="00563068"/>
    <w:rsid w:val="0056376A"/>
    <w:rsid w:val="00563B3C"/>
    <w:rsid w:val="0056419C"/>
    <w:rsid w:val="00564DA7"/>
    <w:rsid w:val="00565204"/>
    <w:rsid w:val="00565473"/>
    <w:rsid w:val="0056562A"/>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498"/>
    <w:rsid w:val="00573560"/>
    <w:rsid w:val="00574E7B"/>
    <w:rsid w:val="00574F36"/>
    <w:rsid w:val="0057637C"/>
    <w:rsid w:val="00576B5C"/>
    <w:rsid w:val="005770CC"/>
    <w:rsid w:val="005802F9"/>
    <w:rsid w:val="005806D5"/>
    <w:rsid w:val="00580DFC"/>
    <w:rsid w:val="0058134C"/>
    <w:rsid w:val="005815CD"/>
    <w:rsid w:val="005827A7"/>
    <w:rsid w:val="005835E5"/>
    <w:rsid w:val="00583D43"/>
    <w:rsid w:val="005846C3"/>
    <w:rsid w:val="00584F04"/>
    <w:rsid w:val="0058544C"/>
    <w:rsid w:val="00585623"/>
    <w:rsid w:val="005857F7"/>
    <w:rsid w:val="005865E9"/>
    <w:rsid w:val="005867D9"/>
    <w:rsid w:val="005868FD"/>
    <w:rsid w:val="00586F24"/>
    <w:rsid w:val="00587D7B"/>
    <w:rsid w:val="005904DB"/>
    <w:rsid w:val="005905ED"/>
    <w:rsid w:val="00590AE7"/>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4E9"/>
    <w:rsid w:val="005A4C20"/>
    <w:rsid w:val="005A4F48"/>
    <w:rsid w:val="005A54F1"/>
    <w:rsid w:val="005A57B8"/>
    <w:rsid w:val="005A5DDE"/>
    <w:rsid w:val="005A64A8"/>
    <w:rsid w:val="005A65C5"/>
    <w:rsid w:val="005A6875"/>
    <w:rsid w:val="005A7016"/>
    <w:rsid w:val="005A766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2D"/>
    <w:rsid w:val="005C059F"/>
    <w:rsid w:val="005C07CE"/>
    <w:rsid w:val="005C0B8F"/>
    <w:rsid w:val="005C194E"/>
    <w:rsid w:val="005C1C83"/>
    <w:rsid w:val="005C1DB1"/>
    <w:rsid w:val="005C226F"/>
    <w:rsid w:val="005C2294"/>
    <w:rsid w:val="005C2E48"/>
    <w:rsid w:val="005C3344"/>
    <w:rsid w:val="005C4E4D"/>
    <w:rsid w:val="005C5716"/>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C7E"/>
    <w:rsid w:val="005E56C9"/>
    <w:rsid w:val="005E5CF7"/>
    <w:rsid w:val="005E5FF0"/>
    <w:rsid w:val="005E642A"/>
    <w:rsid w:val="005E65A7"/>
    <w:rsid w:val="005E69DD"/>
    <w:rsid w:val="005E6F1E"/>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A22"/>
    <w:rsid w:val="00603B1C"/>
    <w:rsid w:val="00604055"/>
    <w:rsid w:val="006042CD"/>
    <w:rsid w:val="00605217"/>
    <w:rsid w:val="006054A5"/>
    <w:rsid w:val="006059E4"/>
    <w:rsid w:val="00605D60"/>
    <w:rsid w:val="006062A0"/>
    <w:rsid w:val="00607015"/>
    <w:rsid w:val="0061098D"/>
    <w:rsid w:val="00610B78"/>
    <w:rsid w:val="00610BA5"/>
    <w:rsid w:val="00611B30"/>
    <w:rsid w:val="00611B59"/>
    <w:rsid w:val="00611FBA"/>
    <w:rsid w:val="00612098"/>
    <w:rsid w:val="0061272A"/>
    <w:rsid w:val="00612D3F"/>
    <w:rsid w:val="006130B0"/>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5C7"/>
    <w:rsid w:val="006212D3"/>
    <w:rsid w:val="00621639"/>
    <w:rsid w:val="00622B22"/>
    <w:rsid w:val="00622F67"/>
    <w:rsid w:val="00623571"/>
    <w:rsid w:val="00623A5E"/>
    <w:rsid w:val="00625008"/>
    <w:rsid w:val="0062548B"/>
    <w:rsid w:val="00626710"/>
    <w:rsid w:val="006268D9"/>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F2E"/>
    <w:rsid w:val="00633769"/>
    <w:rsid w:val="00633FE3"/>
    <w:rsid w:val="00634276"/>
    <w:rsid w:val="00634570"/>
    <w:rsid w:val="00634573"/>
    <w:rsid w:val="0063487C"/>
    <w:rsid w:val="00635B73"/>
    <w:rsid w:val="00635BB7"/>
    <w:rsid w:val="00636CC7"/>
    <w:rsid w:val="00637F27"/>
    <w:rsid w:val="006405EC"/>
    <w:rsid w:val="00640A4D"/>
    <w:rsid w:val="006418F2"/>
    <w:rsid w:val="00641A84"/>
    <w:rsid w:val="00641B05"/>
    <w:rsid w:val="00641CAA"/>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E80"/>
    <w:rsid w:val="00650B7E"/>
    <w:rsid w:val="00650D19"/>
    <w:rsid w:val="00652CF5"/>
    <w:rsid w:val="0065343E"/>
    <w:rsid w:val="006536BB"/>
    <w:rsid w:val="0065398F"/>
    <w:rsid w:val="00653C7C"/>
    <w:rsid w:val="00654252"/>
    <w:rsid w:val="006543B7"/>
    <w:rsid w:val="00654673"/>
    <w:rsid w:val="00654EA5"/>
    <w:rsid w:val="0065580A"/>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3FDF"/>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03"/>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69C"/>
    <w:rsid w:val="00695985"/>
    <w:rsid w:val="00695C78"/>
    <w:rsid w:val="00695E6C"/>
    <w:rsid w:val="00695EAC"/>
    <w:rsid w:val="006962E9"/>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BD4"/>
    <w:rsid w:val="006A3E91"/>
    <w:rsid w:val="006A4321"/>
    <w:rsid w:val="006A43A8"/>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77F"/>
    <w:rsid w:val="006B7BF7"/>
    <w:rsid w:val="006B7F74"/>
    <w:rsid w:val="006C0230"/>
    <w:rsid w:val="006C0522"/>
    <w:rsid w:val="006C05C7"/>
    <w:rsid w:val="006C25AB"/>
    <w:rsid w:val="006C2DA6"/>
    <w:rsid w:val="006C3581"/>
    <w:rsid w:val="006C39A0"/>
    <w:rsid w:val="006C3EFE"/>
    <w:rsid w:val="006C450B"/>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856"/>
    <w:rsid w:val="006D7A7B"/>
    <w:rsid w:val="006D7A8E"/>
    <w:rsid w:val="006D7C59"/>
    <w:rsid w:val="006E00E3"/>
    <w:rsid w:val="006E045C"/>
    <w:rsid w:val="006E0569"/>
    <w:rsid w:val="006E065E"/>
    <w:rsid w:val="006E0849"/>
    <w:rsid w:val="006E11D6"/>
    <w:rsid w:val="006E17AC"/>
    <w:rsid w:val="006E189B"/>
    <w:rsid w:val="006E20D9"/>
    <w:rsid w:val="006E2697"/>
    <w:rsid w:val="006E27DC"/>
    <w:rsid w:val="006E2902"/>
    <w:rsid w:val="006E2F9D"/>
    <w:rsid w:val="006E37C6"/>
    <w:rsid w:val="006E3CF3"/>
    <w:rsid w:val="006E41ED"/>
    <w:rsid w:val="006E4667"/>
    <w:rsid w:val="006E46B7"/>
    <w:rsid w:val="006E475A"/>
    <w:rsid w:val="006E486D"/>
    <w:rsid w:val="006E4880"/>
    <w:rsid w:val="006E48BB"/>
    <w:rsid w:val="006E4FCE"/>
    <w:rsid w:val="006E6595"/>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C83"/>
    <w:rsid w:val="006F7FD5"/>
    <w:rsid w:val="00700405"/>
    <w:rsid w:val="00700479"/>
    <w:rsid w:val="00700D18"/>
    <w:rsid w:val="0070168D"/>
    <w:rsid w:val="00701C36"/>
    <w:rsid w:val="00702F2D"/>
    <w:rsid w:val="0070353F"/>
    <w:rsid w:val="0070415E"/>
    <w:rsid w:val="00704631"/>
    <w:rsid w:val="00704688"/>
    <w:rsid w:val="00704B79"/>
    <w:rsid w:val="00704E7D"/>
    <w:rsid w:val="00705060"/>
    <w:rsid w:val="00705351"/>
    <w:rsid w:val="00705619"/>
    <w:rsid w:val="00705E93"/>
    <w:rsid w:val="007062AF"/>
    <w:rsid w:val="00706402"/>
    <w:rsid w:val="007069AE"/>
    <w:rsid w:val="007069D4"/>
    <w:rsid w:val="00706C89"/>
    <w:rsid w:val="00707967"/>
    <w:rsid w:val="00710257"/>
    <w:rsid w:val="00710587"/>
    <w:rsid w:val="007107D5"/>
    <w:rsid w:val="007116B3"/>
    <w:rsid w:val="007119DC"/>
    <w:rsid w:val="00711A21"/>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3C0"/>
    <w:rsid w:val="0072454E"/>
    <w:rsid w:val="007249D1"/>
    <w:rsid w:val="00724FE4"/>
    <w:rsid w:val="00725829"/>
    <w:rsid w:val="00725D6A"/>
    <w:rsid w:val="007263A2"/>
    <w:rsid w:val="007266B9"/>
    <w:rsid w:val="00727351"/>
    <w:rsid w:val="00727AC5"/>
    <w:rsid w:val="00727C65"/>
    <w:rsid w:val="007300F0"/>
    <w:rsid w:val="00730904"/>
    <w:rsid w:val="00730AAA"/>
    <w:rsid w:val="00731EDE"/>
    <w:rsid w:val="0073245C"/>
    <w:rsid w:val="00732493"/>
    <w:rsid w:val="00732B5E"/>
    <w:rsid w:val="00732FE9"/>
    <w:rsid w:val="00733414"/>
    <w:rsid w:val="00733772"/>
    <w:rsid w:val="00733A43"/>
    <w:rsid w:val="00733AE4"/>
    <w:rsid w:val="00733D5F"/>
    <w:rsid w:val="00734932"/>
    <w:rsid w:val="00735D53"/>
    <w:rsid w:val="0073618A"/>
    <w:rsid w:val="007364A3"/>
    <w:rsid w:val="00736740"/>
    <w:rsid w:val="007378FD"/>
    <w:rsid w:val="007403FE"/>
    <w:rsid w:val="00740F6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4B74"/>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3FA9"/>
    <w:rsid w:val="007640F3"/>
    <w:rsid w:val="0076417E"/>
    <w:rsid w:val="0076497F"/>
    <w:rsid w:val="007660EC"/>
    <w:rsid w:val="007662C7"/>
    <w:rsid w:val="00766824"/>
    <w:rsid w:val="00766862"/>
    <w:rsid w:val="007675DD"/>
    <w:rsid w:val="00770098"/>
    <w:rsid w:val="007702BF"/>
    <w:rsid w:val="007705F0"/>
    <w:rsid w:val="00771A5C"/>
    <w:rsid w:val="00771CAC"/>
    <w:rsid w:val="00772036"/>
    <w:rsid w:val="00773098"/>
    <w:rsid w:val="007739A3"/>
    <w:rsid w:val="00773BD9"/>
    <w:rsid w:val="00773CB0"/>
    <w:rsid w:val="00773D71"/>
    <w:rsid w:val="00775526"/>
    <w:rsid w:val="00775651"/>
    <w:rsid w:val="00775F3F"/>
    <w:rsid w:val="0077682D"/>
    <w:rsid w:val="0077710B"/>
    <w:rsid w:val="0077765A"/>
    <w:rsid w:val="00780032"/>
    <w:rsid w:val="00780636"/>
    <w:rsid w:val="00780E86"/>
    <w:rsid w:val="0078108C"/>
    <w:rsid w:val="00781727"/>
    <w:rsid w:val="00781A1C"/>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692"/>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0F95"/>
    <w:rsid w:val="007B28C3"/>
    <w:rsid w:val="007B3A8E"/>
    <w:rsid w:val="007B3C9B"/>
    <w:rsid w:val="007B4271"/>
    <w:rsid w:val="007B497D"/>
    <w:rsid w:val="007B4EE9"/>
    <w:rsid w:val="007B5234"/>
    <w:rsid w:val="007B54C7"/>
    <w:rsid w:val="007B5637"/>
    <w:rsid w:val="007B5DC5"/>
    <w:rsid w:val="007B5F32"/>
    <w:rsid w:val="007B5F7C"/>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C0A"/>
    <w:rsid w:val="007C555A"/>
    <w:rsid w:val="007C60A8"/>
    <w:rsid w:val="007C660F"/>
    <w:rsid w:val="007C6664"/>
    <w:rsid w:val="007C66FF"/>
    <w:rsid w:val="007C69AE"/>
    <w:rsid w:val="007C6CEC"/>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7A1"/>
    <w:rsid w:val="007D682F"/>
    <w:rsid w:val="007D6FB9"/>
    <w:rsid w:val="007D7211"/>
    <w:rsid w:val="007D7407"/>
    <w:rsid w:val="007E0595"/>
    <w:rsid w:val="007E0A63"/>
    <w:rsid w:val="007E0C63"/>
    <w:rsid w:val="007E0E05"/>
    <w:rsid w:val="007E0F5D"/>
    <w:rsid w:val="007E23A1"/>
    <w:rsid w:val="007E259F"/>
    <w:rsid w:val="007E2E1E"/>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B2C"/>
    <w:rsid w:val="007F307A"/>
    <w:rsid w:val="007F30C6"/>
    <w:rsid w:val="007F38FD"/>
    <w:rsid w:val="007F3C18"/>
    <w:rsid w:val="007F3DE5"/>
    <w:rsid w:val="007F4318"/>
    <w:rsid w:val="007F4709"/>
    <w:rsid w:val="007F47DA"/>
    <w:rsid w:val="007F4E52"/>
    <w:rsid w:val="007F4F84"/>
    <w:rsid w:val="007F5382"/>
    <w:rsid w:val="007F55A4"/>
    <w:rsid w:val="007F5D11"/>
    <w:rsid w:val="007F5D28"/>
    <w:rsid w:val="007F6260"/>
    <w:rsid w:val="007F682B"/>
    <w:rsid w:val="007F78E8"/>
    <w:rsid w:val="007F7F8F"/>
    <w:rsid w:val="00800509"/>
    <w:rsid w:val="0080078E"/>
    <w:rsid w:val="00800B7F"/>
    <w:rsid w:val="008012B1"/>
    <w:rsid w:val="00801D63"/>
    <w:rsid w:val="00802B6F"/>
    <w:rsid w:val="0080348B"/>
    <w:rsid w:val="00803D82"/>
    <w:rsid w:val="00803D98"/>
    <w:rsid w:val="00804170"/>
    <w:rsid w:val="008052CE"/>
    <w:rsid w:val="008058D0"/>
    <w:rsid w:val="00806A4C"/>
    <w:rsid w:val="0080705B"/>
    <w:rsid w:val="0080723C"/>
    <w:rsid w:val="00807F71"/>
    <w:rsid w:val="0081000F"/>
    <w:rsid w:val="00812657"/>
    <w:rsid w:val="00812A1A"/>
    <w:rsid w:val="00812DFF"/>
    <w:rsid w:val="0081362F"/>
    <w:rsid w:val="0081383A"/>
    <w:rsid w:val="0081415A"/>
    <w:rsid w:val="0081497F"/>
    <w:rsid w:val="00814B90"/>
    <w:rsid w:val="00814FC7"/>
    <w:rsid w:val="0081660C"/>
    <w:rsid w:val="00816E36"/>
    <w:rsid w:val="00817195"/>
    <w:rsid w:val="00817416"/>
    <w:rsid w:val="00817658"/>
    <w:rsid w:val="008206AE"/>
    <w:rsid w:val="00821271"/>
    <w:rsid w:val="00821306"/>
    <w:rsid w:val="00821318"/>
    <w:rsid w:val="008213D9"/>
    <w:rsid w:val="008216CE"/>
    <w:rsid w:val="008218AE"/>
    <w:rsid w:val="00821D85"/>
    <w:rsid w:val="00821E47"/>
    <w:rsid w:val="008220F6"/>
    <w:rsid w:val="00822456"/>
    <w:rsid w:val="0082277A"/>
    <w:rsid w:val="00823819"/>
    <w:rsid w:val="00823C4B"/>
    <w:rsid w:val="0082427D"/>
    <w:rsid w:val="00825441"/>
    <w:rsid w:val="00826855"/>
    <w:rsid w:val="00830052"/>
    <w:rsid w:val="008300D0"/>
    <w:rsid w:val="008308D8"/>
    <w:rsid w:val="00831A2E"/>
    <w:rsid w:val="008320D2"/>
    <w:rsid w:val="008321CE"/>
    <w:rsid w:val="0083257C"/>
    <w:rsid w:val="0083261B"/>
    <w:rsid w:val="00832B44"/>
    <w:rsid w:val="00832EC9"/>
    <w:rsid w:val="00833307"/>
    <w:rsid w:val="00833583"/>
    <w:rsid w:val="00833B5B"/>
    <w:rsid w:val="00833E9A"/>
    <w:rsid w:val="008349F6"/>
    <w:rsid w:val="00834FEF"/>
    <w:rsid w:val="00836323"/>
    <w:rsid w:val="00837D3D"/>
    <w:rsid w:val="00837E9B"/>
    <w:rsid w:val="0084024D"/>
    <w:rsid w:val="008404AA"/>
    <w:rsid w:val="008406D7"/>
    <w:rsid w:val="0084074F"/>
    <w:rsid w:val="008407BA"/>
    <w:rsid w:val="00840AA3"/>
    <w:rsid w:val="00840AAC"/>
    <w:rsid w:val="0084101C"/>
    <w:rsid w:val="0084181B"/>
    <w:rsid w:val="00841F29"/>
    <w:rsid w:val="008425CC"/>
    <w:rsid w:val="00842DC2"/>
    <w:rsid w:val="0084357B"/>
    <w:rsid w:val="00843DC1"/>
    <w:rsid w:val="008465B4"/>
    <w:rsid w:val="00846D25"/>
    <w:rsid w:val="00847C7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23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0A4"/>
    <w:rsid w:val="008A3182"/>
    <w:rsid w:val="008A3BD0"/>
    <w:rsid w:val="008A3C76"/>
    <w:rsid w:val="008A3D54"/>
    <w:rsid w:val="008A3E10"/>
    <w:rsid w:val="008A411C"/>
    <w:rsid w:val="008A4630"/>
    <w:rsid w:val="008A47CE"/>
    <w:rsid w:val="008A4DFA"/>
    <w:rsid w:val="008A516C"/>
    <w:rsid w:val="008A5F2F"/>
    <w:rsid w:val="008A6BAE"/>
    <w:rsid w:val="008A7350"/>
    <w:rsid w:val="008A7A72"/>
    <w:rsid w:val="008B09F3"/>
    <w:rsid w:val="008B111A"/>
    <w:rsid w:val="008B16E6"/>
    <w:rsid w:val="008B1AB2"/>
    <w:rsid w:val="008B1D9B"/>
    <w:rsid w:val="008B2042"/>
    <w:rsid w:val="008B25F1"/>
    <w:rsid w:val="008B28A6"/>
    <w:rsid w:val="008B3567"/>
    <w:rsid w:val="008B36D0"/>
    <w:rsid w:val="008B38AF"/>
    <w:rsid w:val="008B3D7F"/>
    <w:rsid w:val="008B3E1B"/>
    <w:rsid w:val="008B3F4B"/>
    <w:rsid w:val="008B48EC"/>
    <w:rsid w:val="008B4AF0"/>
    <w:rsid w:val="008B518E"/>
    <w:rsid w:val="008B527B"/>
    <w:rsid w:val="008B5361"/>
    <w:rsid w:val="008B5AB9"/>
    <w:rsid w:val="008B67E6"/>
    <w:rsid w:val="008B69B8"/>
    <w:rsid w:val="008B7042"/>
    <w:rsid w:val="008B770C"/>
    <w:rsid w:val="008C0325"/>
    <w:rsid w:val="008C0601"/>
    <w:rsid w:val="008C083B"/>
    <w:rsid w:val="008C094A"/>
    <w:rsid w:val="008C1570"/>
    <w:rsid w:val="008C1792"/>
    <w:rsid w:val="008C17B2"/>
    <w:rsid w:val="008C1E3E"/>
    <w:rsid w:val="008C2059"/>
    <w:rsid w:val="008C21D0"/>
    <w:rsid w:val="008C2DBC"/>
    <w:rsid w:val="008C3A4E"/>
    <w:rsid w:val="008C41E8"/>
    <w:rsid w:val="008C5371"/>
    <w:rsid w:val="008C623D"/>
    <w:rsid w:val="008C6387"/>
    <w:rsid w:val="008C65F4"/>
    <w:rsid w:val="008C6683"/>
    <w:rsid w:val="008C6E0C"/>
    <w:rsid w:val="008C7273"/>
    <w:rsid w:val="008C7850"/>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87"/>
    <w:rsid w:val="008D5432"/>
    <w:rsid w:val="008D54C0"/>
    <w:rsid w:val="008D5558"/>
    <w:rsid w:val="008D5806"/>
    <w:rsid w:val="008D5ED9"/>
    <w:rsid w:val="008D7247"/>
    <w:rsid w:val="008D7567"/>
    <w:rsid w:val="008D7C09"/>
    <w:rsid w:val="008E0EE4"/>
    <w:rsid w:val="008E12BE"/>
    <w:rsid w:val="008E13FD"/>
    <w:rsid w:val="008E1C24"/>
    <w:rsid w:val="008E2626"/>
    <w:rsid w:val="008E27A9"/>
    <w:rsid w:val="008E323C"/>
    <w:rsid w:val="008E32E0"/>
    <w:rsid w:val="008E35A6"/>
    <w:rsid w:val="008E36D9"/>
    <w:rsid w:val="008E3A5C"/>
    <w:rsid w:val="008E3A9A"/>
    <w:rsid w:val="008E429E"/>
    <w:rsid w:val="008E4956"/>
    <w:rsid w:val="008E58A3"/>
    <w:rsid w:val="008E5938"/>
    <w:rsid w:val="008E6109"/>
    <w:rsid w:val="008E696A"/>
    <w:rsid w:val="008E6A39"/>
    <w:rsid w:val="008E76BB"/>
    <w:rsid w:val="008F0869"/>
    <w:rsid w:val="008F1764"/>
    <w:rsid w:val="008F1E3D"/>
    <w:rsid w:val="008F235C"/>
    <w:rsid w:val="008F2573"/>
    <w:rsid w:val="008F290B"/>
    <w:rsid w:val="008F2F11"/>
    <w:rsid w:val="008F3369"/>
    <w:rsid w:val="008F33A6"/>
    <w:rsid w:val="008F35EC"/>
    <w:rsid w:val="008F4FE8"/>
    <w:rsid w:val="008F4FED"/>
    <w:rsid w:val="008F5D5A"/>
    <w:rsid w:val="008F6200"/>
    <w:rsid w:val="008F62F8"/>
    <w:rsid w:val="008F6893"/>
    <w:rsid w:val="008F7292"/>
    <w:rsid w:val="008F75AF"/>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28"/>
    <w:rsid w:val="00906EA2"/>
    <w:rsid w:val="00907278"/>
    <w:rsid w:val="00910041"/>
    <w:rsid w:val="00910209"/>
    <w:rsid w:val="0091112B"/>
    <w:rsid w:val="00911D61"/>
    <w:rsid w:val="00912850"/>
    <w:rsid w:val="009128B8"/>
    <w:rsid w:val="0091472C"/>
    <w:rsid w:val="00914DC9"/>
    <w:rsid w:val="00915351"/>
    <w:rsid w:val="00915679"/>
    <w:rsid w:val="00915904"/>
    <w:rsid w:val="009159C2"/>
    <w:rsid w:val="0091627F"/>
    <w:rsid w:val="00916E45"/>
    <w:rsid w:val="0092077A"/>
    <w:rsid w:val="00920DC0"/>
    <w:rsid w:val="00921436"/>
    <w:rsid w:val="009219F3"/>
    <w:rsid w:val="009221CB"/>
    <w:rsid w:val="00922320"/>
    <w:rsid w:val="00922AF4"/>
    <w:rsid w:val="00923357"/>
    <w:rsid w:val="00923643"/>
    <w:rsid w:val="00923728"/>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AEB"/>
    <w:rsid w:val="00932D21"/>
    <w:rsid w:val="0093386D"/>
    <w:rsid w:val="00933922"/>
    <w:rsid w:val="00934C8E"/>
    <w:rsid w:val="00934CF0"/>
    <w:rsid w:val="00935194"/>
    <w:rsid w:val="00936EA5"/>
    <w:rsid w:val="00937114"/>
    <w:rsid w:val="009375FA"/>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6DB"/>
    <w:rsid w:val="009550DB"/>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108"/>
    <w:rsid w:val="0096527F"/>
    <w:rsid w:val="009653ED"/>
    <w:rsid w:val="00966A21"/>
    <w:rsid w:val="00966AD2"/>
    <w:rsid w:val="00967B09"/>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36"/>
    <w:rsid w:val="0098055B"/>
    <w:rsid w:val="00980A6D"/>
    <w:rsid w:val="00980B30"/>
    <w:rsid w:val="009810BE"/>
    <w:rsid w:val="009817BC"/>
    <w:rsid w:val="009819A7"/>
    <w:rsid w:val="0098220A"/>
    <w:rsid w:val="00982E75"/>
    <w:rsid w:val="00983337"/>
    <w:rsid w:val="009836AA"/>
    <w:rsid w:val="009846BF"/>
    <w:rsid w:val="009851F5"/>
    <w:rsid w:val="0098534B"/>
    <w:rsid w:val="009856D7"/>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7EC"/>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6F58"/>
    <w:rsid w:val="00997044"/>
    <w:rsid w:val="00997897"/>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B79"/>
    <w:rsid w:val="009C0DDA"/>
    <w:rsid w:val="009C10DA"/>
    <w:rsid w:val="009C19FC"/>
    <w:rsid w:val="009C2108"/>
    <w:rsid w:val="009C27F7"/>
    <w:rsid w:val="009C3BC4"/>
    <w:rsid w:val="009C3C93"/>
    <w:rsid w:val="009C3E97"/>
    <w:rsid w:val="009C4017"/>
    <w:rsid w:val="009C424E"/>
    <w:rsid w:val="009C4708"/>
    <w:rsid w:val="009C4870"/>
    <w:rsid w:val="009C4C4E"/>
    <w:rsid w:val="009C4D37"/>
    <w:rsid w:val="009C532A"/>
    <w:rsid w:val="009C574C"/>
    <w:rsid w:val="009C5753"/>
    <w:rsid w:val="009C5E42"/>
    <w:rsid w:val="009C620F"/>
    <w:rsid w:val="009C657D"/>
    <w:rsid w:val="009C6E14"/>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0F8"/>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76B"/>
    <w:rsid w:val="009E19BB"/>
    <w:rsid w:val="009E1C47"/>
    <w:rsid w:val="009E3638"/>
    <w:rsid w:val="009E38D1"/>
    <w:rsid w:val="009E3DF1"/>
    <w:rsid w:val="009E514A"/>
    <w:rsid w:val="009E5177"/>
    <w:rsid w:val="009E54E4"/>
    <w:rsid w:val="009E5701"/>
    <w:rsid w:val="009E5711"/>
    <w:rsid w:val="009E7334"/>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5CED"/>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9D9"/>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46A"/>
    <w:rsid w:val="00A249D2"/>
    <w:rsid w:val="00A254AB"/>
    <w:rsid w:val="00A259F2"/>
    <w:rsid w:val="00A25E05"/>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215"/>
    <w:rsid w:val="00A37309"/>
    <w:rsid w:val="00A37329"/>
    <w:rsid w:val="00A37558"/>
    <w:rsid w:val="00A3786A"/>
    <w:rsid w:val="00A4008C"/>
    <w:rsid w:val="00A402A8"/>
    <w:rsid w:val="00A4037C"/>
    <w:rsid w:val="00A40685"/>
    <w:rsid w:val="00A40E2F"/>
    <w:rsid w:val="00A41487"/>
    <w:rsid w:val="00A41819"/>
    <w:rsid w:val="00A41C9A"/>
    <w:rsid w:val="00A41D73"/>
    <w:rsid w:val="00A420F2"/>
    <w:rsid w:val="00A42406"/>
    <w:rsid w:val="00A433E8"/>
    <w:rsid w:val="00A43A1D"/>
    <w:rsid w:val="00A43AB0"/>
    <w:rsid w:val="00A44312"/>
    <w:rsid w:val="00A44854"/>
    <w:rsid w:val="00A44A45"/>
    <w:rsid w:val="00A4665D"/>
    <w:rsid w:val="00A46859"/>
    <w:rsid w:val="00A46D39"/>
    <w:rsid w:val="00A46E4C"/>
    <w:rsid w:val="00A47019"/>
    <w:rsid w:val="00A472B8"/>
    <w:rsid w:val="00A5004A"/>
    <w:rsid w:val="00A5017C"/>
    <w:rsid w:val="00A502D6"/>
    <w:rsid w:val="00A502F5"/>
    <w:rsid w:val="00A504F4"/>
    <w:rsid w:val="00A507C4"/>
    <w:rsid w:val="00A508AA"/>
    <w:rsid w:val="00A50EE7"/>
    <w:rsid w:val="00A526CE"/>
    <w:rsid w:val="00A5390F"/>
    <w:rsid w:val="00A543FD"/>
    <w:rsid w:val="00A54909"/>
    <w:rsid w:val="00A54DC0"/>
    <w:rsid w:val="00A550C9"/>
    <w:rsid w:val="00A55228"/>
    <w:rsid w:val="00A55410"/>
    <w:rsid w:val="00A55A04"/>
    <w:rsid w:val="00A564DE"/>
    <w:rsid w:val="00A57C56"/>
    <w:rsid w:val="00A6054E"/>
    <w:rsid w:val="00A60799"/>
    <w:rsid w:val="00A6170B"/>
    <w:rsid w:val="00A618CD"/>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AF6"/>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1ED"/>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1B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16F"/>
    <w:rsid w:val="00AD3DA6"/>
    <w:rsid w:val="00AD3F3C"/>
    <w:rsid w:val="00AD3F5E"/>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21E"/>
    <w:rsid w:val="00AE3C7D"/>
    <w:rsid w:val="00AE3CF0"/>
    <w:rsid w:val="00AE4546"/>
    <w:rsid w:val="00AE6575"/>
    <w:rsid w:val="00AE68FB"/>
    <w:rsid w:val="00AE71EE"/>
    <w:rsid w:val="00AE7AD2"/>
    <w:rsid w:val="00AF03CF"/>
    <w:rsid w:val="00AF0A0A"/>
    <w:rsid w:val="00AF14FC"/>
    <w:rsid w:val="00AF1615"/>
    <w:rsid w:val="00AF1ED2"/>
    <w:rsid w:val="00AF1F4E"/>
    <w:rsid w:val="00AF2302"/>
    <w:rsid w:val="00AF262A"/>
    <w:rsid w:val="00AF3557"/>
    <w:rsid w:val="00AF3F86"/>
    <w:rsid w:val="00AF4B54"/>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48"/>
    <w:rsid w:val="00B11A61"/>
    <w:rsid w:val="00B12082"/>
    <w:rsid w:val="00B12648"/>
    <w:rsid w:val="00B1270C"/>
    <w:rsid w:val="00B12710"/>
    <w:rsid w:val="00B13389"/>
    <w:rsid w:val="00B1364C"/>
    <w:rsid w:val="00B13EA3"/>
    <w:rsid w:val="00B13EDB"/>
    <w:rsid w:val="00B141A5"/>
    <w:rsid w:val="00B14EF3"/>
    <w:rsid w:val="00B14F47"/>
    <w:rsid w:val="00B15282"/>
    <w:rsid w:val="00B15286"/>
    <w:rsid w:val="00B1539F"/>
    <w:rsid w:val="00B1550D"/>
    <w:rsid w:val="00B15C2F"/>
    <w:rsid w:val="00B15F6C"/>
    <w:rsid w:val="00B163E8"/>
    <w:rsid w:val="00B17436"/>
    <w:rsid w:val="00B1767E"/>
    <w:rsid w:val="00B17764"/>
    <w:rsid w:val="00B20760"/>
    <w:rsid w:val="00B2125C"/>
    <w:rsid w:val="00B21676"/>
    <w:rsid w:val="00B219E1"/>
    <w:rsid w:val="00B21ECF"/>
    <w:rsid w:val="00B22150"/>
    <w:rsid w:val="00B226DE"/>
    <w:rsid w:val="00B22FB5"/>
    <w:rsid w:val="00B23294"/>
    <w:rsid w:val="00B241D5"/>
    <w:rsid w:val="00B24BE9"/>
    <w:rsid w:val="00B2551D"/>
    <w:rsid w:val="00B25F8C"/>
    <w:rsid w:val="00B260BE"/>
    <w:rsid w:val="00B26677"/>
    <w:rsid w:val="00B26A96"/>
    <w:rsid w:val="00B274E3"/>
    <w:rsid w:val="00B2765C"/>
    <w:rsid w:val="00B27C4B"/>
    <w:rsid w:val="00B30243"/>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265"/>
    <w:rsid w:val="00B41A04"/>
    <w:rsid w:val="00B41FDB"/>
    <w:rsid w:val="00B42743"/>
    <w:rsid w:val="00B42DDE"/>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40"/>
    <w:rsid w:val="00B51F56"/>
    <w:rsid w:val="00B52234"/>
    <w:rsid w:val="00B53623"/>
    <w:rsid w:val="00B53D1D"/>
    <w:rsid w:val="00B53E98"/>
    <w:rsid w:val="00B53F9B"/>
    <w:rsid w:val="00B54B19"/>
    <w:rsid w:val="00B55F64"/>
    <w:rsid w:val="00B56ECA"/>
    <w:rsid w:val="00B57093"/>
    <w:rsid w:val="00B57B5D"/>
    <w:rsid w:val="00B60613"/>
    <w:rsid w:val="00B61AEC"/>
    <w:rsid w:val="00B61F05"/>
    <w:rsid w:val="00B6244C"/>
    <w:rsid w:val="00B62A2F"/>
    <w:rsid w:val="00B62B7B"/>
    <w:rsid w:val="00B62F0A"/>
    <w:rsid w:val="00B63484"/>
    <w:rsid w:val="00B634B7"/>
    <w:rsid w:val="00B634F1"/>
    <w:rsid w:val="00B637EF"/>
    <w:rsid w:val="00B63EF6"/>
    <w:rsid w:val="00B6440A"/>
    <w:rsid w:val="00B65788"/>
    <w:rsid w:val="00B65844"/>
    <w:rsid w:val="00B66054"/>
    <w:rsid w:val="00B66385"/>
    <w:rsid w:val="00B6677F"/>
    <w:rsid w:val="00B66C7A"/>
    <w:rsid w:val="00B672EA"/>
    <w:rsid w:val="00B6747B"/>
    <w:rsid w:val="00B70200"/>
    <w:rsid w:val="00B702D7"/>
    <w:rsid w:val="00B70389"/>
    <w:rsid w:val="00B70E01"/>
    <w:rsid w:val="00B72CF0"/>
    <w:rsid w:val="00B7380E"/>
    <w:rsid w:val="00B740F6"/>
    <w:rsid w:val="00B74615"/>
    <w:rsid w:val="00B74789"/>
    <w:rsid w:val="00B752E7"/>
    <w:rsid w:val="00B755B6"/>
    <w:rsid w:val="00B75977"/>
    <w:rsid w:val="00B75A48"/>
    <w:rsid w:val="00B75CC0"/>
    <w:rsid w:val="00B75D0F"/>
    <w:rsid w:val="00B76021"/>
    <w:rsid w:val="00B76FCD"/>
    <w:rsid w:val="00B7764D"/>
    <w:rsid w:val="00B804F8"/>
    <w:rsid w:val="00B8095A"/>
    <w:rsid w:val="00B81060"/>
    <w:rsid w:val="00B81274"/>
    <w:rsid w:val="00B815D3"/>
    <w:rsid w:val="00B81742"/>
    <w:rsid w:val="00B817B5"/>
    <w:rsid w:val="00B823A6"/>
    <w:rsid w:val="00B83E76"/>
    <w:rsid w:val="00B83FA0"/>
    <w:rsid w:val="00B84156"/>
    <w:rsid w:val="00B846E6"/>
    <w:rsid w:val="00B8537B"/>
    <w:rsid w:val="00B85586"/>
    <w:rsid w:val="00B8594B"/>
    <w:rsid w:val="00B860F7"/>
    <w:rsid w:val="00B86289"/>
    <w:rsid w:val="00B863B3"/>
    <w:rsid w:val="00B866D5"/>
    <w:rsid w:val="00B869D3"/>
    <w:rsid w:val="00B86CF8"/>
    <w:rsid w:val="00B86E44"/>
    <w:rsid w:val="00B87359"/>
    <w:rsid w:val="00B87970"/>
    <w:rsid w:val="00B87F1C"/>
    <w:rsid w:val="00B90D8D"/>
    <w:rsid w:val="00B91263"/>
    <w:rsid w:val="00B91B61"/>
    <w:rsid w:val="00B91EF6"/>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741"/>
    <w:rsid w:val="00BA583B"/>
    <w:rsid w:val="00BA5DF2"/>
    <w:rsid w:val="00BA5EC7"/>
    <w:rsid w:val="00BA6319"/>
    <w:rsid w:val="00BA63CE"/>
    <w:rsid w:val="00BA676E"/>
    <w:rsid w:val="00BA6980"/>
    <w:rsid w:val="00BA6EF2"/>
    <w:rsid w:val="00BA7227"/>
    <w:rsid w:val="00BA763C"/>
    <w:rsid w:val="00BA784D"/>
    <w:rsid w:val="00BA7CD7"/>
    <w:rsid w:val="00BA7EC8"/>
    <w:rsid w:val="00BA7F4F"/>
    <w:rsid w:val="00BB00E5"/>
    <w:rsid w:val="00BB1688"/>
    <w:rsid w:val="00BB1EFB"/>
    <w:rsid w:val="00BB269F"/>
    <w:rsid w:val="00BB27CC"/>
    <w:rsid w:val="00BB2ACE"/>
    <w:rsid w:val="00BB2E4E"/>
    <w:rsid w:val="00BB2E62"/>
    <w:rsid w:val="00BB36C9"/>
    <w:rsid w:val="00BB3A66"/>
    <w:rsid w:val="00BB3AFA"/>
    <w:rsid w:val="00BB3F1E"/>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E85"/>
    <w:rsid w:val="00BD62E6"/>
    <w:rsid w:val="00BD6B0E"/>
    <w:rsid w:val="00BD706D"/>
    <w:rsid w:val="00BD734D"/>
    <w:rsid w:val="00BD7941"/>
    <w:rsid w:val="00BE0591"/>
    <w:rsid w:val="00BE0C55"/>
    <w:rsid w:val="00BE0F03"/>
    <w:rsid w:val="00BE11A2"/>
    <w:rsid w:val="00BE15F3"/>
    <w:rsid w:val="00BE1EF0"/>
    <w:rsid w:val="00BE246C"/>
    <w:rsid w:val="00BE2657"/>
    <w:rsid w:val="00BE2FD2"/>
    <w:rsid w:val="00BE377A"/>
    <w:rsid w:val="00BE37AE"/>
    <w:rsid w:val="00BE3B14"/>
    <w:rsid w:val="00BE3C65"/>
    <w:rsid w:val="00BE4222"/>
    <w:rsid w:val="00BE472D"/>
    <w:rsid w:val="00BE4C03"/>
    <w:rsid w:val="00BE5DC6"/>
    <w:rsid w:val="00BE6CD5"/>
    <w:rsid w:val="00BE7F4D"/>
    <w:rsid w:val="00BF00D9"/>
    <w:rsid w:val="00BF03C0"/>
    <w:rsid w:val="00BF0EBF"/>
    <w:rsid w:val="00BF1534"/>
    <w:rsid w:val="00BF2021"/>
    <w:rsid w:val="00BF21D4"/>
    <w:rsid w:val="00BF2B01"/>
    <w:rsid w:val="00BF2DDC"/>
    <w:rsid w:val="00BF32DE"/>
    <w:rsid w:val="00BF35D3"/>
    <w:rsid w:val="00BF4A15"/>
    <w:rsid w:val="00BF4E0E"/>
    <w:rsid w:val="00BF4E27"/>
    <w:rsid w:val="00BF4F7C"/>
    <w:rsid w:val="00BF537B"/>
    <w:rsid w:val="00BF5901"/>
    <w:rsid w:val="00BF626A"/>
    <w:rsid w:val="00BF688E"/>
    <w:rsid w:val="00BF6D77"/>
    <w:rsid w:val="00BF739A"/>
    <w:rsid w:val="00BF7EF5"/>
    <w:rsid w:val="00C005BD"/>
    <w:rsid w:val="00C00BF6"/>
    <w:rsid w:val="00C0234A"/>
    <w:rsid w:val="00C0247B"/>
    <w:rsid w:val="00C0378E"/>
    <w:rsid w:val="00C04314"/>
    <w:rsid w:val="00C04B32"/>
    <w:rsid w:val="00C04BD0"/>
    <w:rsid w:val="00C05730"/>
    <w:rsid w:val="00C05AF4"/>
    <w:rsid w:val="00C05AFD"/>
    <w:rsid w:val="00C0661C"/>
    <w:rsid w:val="00C0675F"/>
    <w:rsid w:val="00C0702A"/>
    <w:rsid w:val="00C0724C"/>
    <w:rsid w:val="00C072BE"/>
    <w:rsid w:val="00C07C11"/>
    <w:rsid w:val="00C07E10"/>
    <w:rsid w:val="00C10015"/>
    <w:rsid w:val="00C1106A"/>
    <w:rsid w:val="00C1110A"/>
    <w:rsid w:val="00C11689"/>
    <w:rsid w:val="00C12414"/>
    <w:rsid w:val="00C12ECB"/>
    <w:rsid w:val="00C148B2"/>
    <w:rsid w:val="00C14ABD"/>
    <w:rsid w:val="00C14F3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11E"/>
    <w:rsid w:val="00C415AC"/>
    <w:rsid w:val="00C42728"/>
    <w:rsid w:val="00C4297A"/>
    <w:rsid w:val="00C4360C"/>
    <w:rsid w:val="00C439B8"/>
    <w:rsid w:val="00C43A0B"/>
    <w:rsid w:val="00C43EDA"/>
    <w:rsid w:val="00C43FEC"/>
    <w:rsid w:val="00C4414C"/>
    <w:rsid w:val="00C45512"/>
    <w:rsid w:val="00C4602B"/>
    <w:rsid w:val="00C46564"/>
    <w:rsid w:val="00C46BFA"/>
    <w:rsid w:val="00C46DDF"/>
    <w:rsid w:val="00C47C90"/>
    <w:rsid w:val="00C47E9D"/>
    <w:rsid w:val="00C500A1"/>
    <w:rsid w:val="00C50A02"/>
    <w:rsid w:val="00C51149"/>
    <w:rsid w:val="00C5117E"/>
    <w:rsid w:val="00C512D1"/>
    <w:rsid w:val="00C51856"/>
    <w:rsid w:val="00C51B04"/>
    <w:rsid w:val="00C51DB5"/>
    <w:rsid w:val="00C53CE9"/>
    <w:rsid w:val="00C54092"/>
    <w:rsid w:val="00C5531B"/>
    <w:rsid w:val="00C55375"/>
    <w:rsid w:val="00C5570F"/>
    <w:rsid w:val="00C5613B"/>
    <w:rsid w:val="00C56C98"/>
    <w:rsid w:val="00C56DE1"/>
    <w:rsid w:val="00C56DEE"/>
    <w:rsid w:val="00C57120"/>
    <w:rsid w:val="00C571D5"/>
    <w:rsid w:val="00C575D4"/>
    <w:rsid w:val="00C61223"/>
    <w:rsid w:val="00C61246"/>
    <w:rsid w:val="00C618A8"/>
    <w:rsid w:val="00C61A78"/>
    <w:rsid w:val="00C629F3"/>
    <w:rsid w:val="00C62B88"/>
    <w:rsid w:val="00C62B91"/>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D97"/>
    <w:rsid w:val="00C75A8F"/>
    <w:rsid w:val="00C76129"/>
    <w:rsid w:val="00C76C0C"/>
    <w:rsid w:val="00C76FFC"/>
    <w:rsid w:val="00C77218"/>
    <w:rsid w:val="00C774E0"/>
    <w:rsid w:val="00C776BA"/>
    <w:rsid w:val="00C7791E"/>
    <w:rsid w:val="00C81716"/>
    <w:rsid w:val="00C81D16"/>
    <w:rsid w:val="00C832CB"/>
    <w:rsid w:val="00C836AB"/>
    <w:rsid w:val="00C84085"/>
    <w:rsid w:val="00C852DC"/>
    <w:rsid w:val="00C854A8"/>
    <w:rsid w:val="00C85677"/>
    <w:rsid w:val="00C85E17"/>
    <w:rsid w:val="00C868A7"/>
    <w:rsid w:val="00C86ABA"/>
    <w:rsid w:val="00C86BF7"/>
    <w:rsid w:val="00C87164"/>
    <w:rsid w:val="00C874A3"/>
    <w:rsid w:val="00C8786A"/>
    <w:rsid w:val="00C87BBA"/>
    <w:rsid w:val="00C87BD0"/>
    <w:rsid w:val="00C905E5"/>
    <w:rsid w:val="00C90754"/>
    <w:rsid w:val="00C90B95"/>
    <w:rsid w:val="00C90BC4"/>
    <w:rsid w:val="00C90CA9"/>
    <w:rsid w:val="00C91802"/>
    <w:rsid w:val="00C9181E"/>
    <w:rsid w:val="00C92E41"/>
    <w:rsid w:val="00C92F62"/>
    <w:rsid w:val="00C93097"/>
    <w:rsid w:val="00C933D0"/>
    <w:rsid w:val="00C9395C"/>
    <w:rsid w:val="00C93B40"/>
    <w:rsid w:val="00C93DB5"/>
    <w:rsid w:val="00C94CB9"/>
    <w:rsid w:val="00C95853"/>
    <w:rsid w:val="00C95C2F"/>
    <w:rsid w:val="00C95F87"/>
    <w:rsid w:val="00C96035"/>
    <w:rsid w:val="00C968EF"/>
    <w:rsid w:val="00C972CE"/>
    <w:rsid w:val="00CA0492"/>
    <w:rsid w:val="00CA05B0"/>
    <w:rsid w:val="00CA0632"/>
    <w:rsid w:val="00CA0A04"/>
    <w:rsid w:val="00CA198B"/>
    <w:rsid w:val="00CA2528"/>
    <w:rsid w:val="00CA3CAB"/>
    <w:rsid w:val="00CA3FC0"/>
    <w:rsid w:val="00CA4BF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D4"/>
    <w:rsid w:val="00CD44FF"/>
    <w:rsid w:val="00CD46A7"/>
    <w:rsid w:val="00CD47BC"/>
    <w:rsid w:val="00CD4BF5"/>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EDF"/>
    <w:rsid w:val="00CF157E"/>
    <w:rsid w:val="00CF1631"/>
    <w:rsid w:val="00CF1834"/>
    <w:rsid w:val="00CF1AAA"/>
    <w:rsid w:val="00CF1EC2"/>
    <w:rsid w:val="00CF2ACF"/>
    <w:rsid w:val="00CF345B"/>
    <w:rsid w:val="00CF475F"/>
    <w:rsid w:val="00CF5008"/>
    <w:rsid w:val="00CF5069"/>
    <w:rsid w:val="00CF5E34"/>
    <w:rsid w:val="00CF6707"/>
    <w:rsid w:val="00CF698D"/>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734"/>
    <w:rsid w:val="00D068AA"/>
    <w:rsid w:val="00D06E71"/>
    <w:rsid w:val="00D06E9C"/>
    <w:rsid w:val="00D0714B"/>
    <w:rsid w:val="00D0764E"/>
    <w:rsid w:val="00D07D82"/>
    <w:rsid w:val="00D07FC9"/>
    <w:rsid w:val="00D10327"/>
    <w:rsid w:val="00D103C9"/>
    <w:rsid w:val="00D10BE1"/>
    <w:rsid w:val="00D11FE3"/>
    <w:rsid w:val="00D12393"/>
    <w:rsid w:val="00D123D8"/>
    <w:rsid w:val="00D12945"/>
    <w:rsid w:val="00D12CC0"/>
    <w:rsid w:val="00D12DA1"/>
    <w:rsid w:val="00D130C0"/>
    <w:rsid w:val="00D1343A"/>
    <w:rsid w:val="00D13D50"/>
    <w:rsid w:val="00D13D65"/>
    <w:rsid w:val="00D14101"/>
    <w:rsid w:val="00D144D8"/>
    <w:rsid w:val="00D14919"/>
    <w:rsid w:val="00D14E25"/>
    <w:rsid w:val="00D15470"/>
    <w:rsid w:val="00D15AE3"/>
    <w:rsid w:val="00D160C4"/>
    <w:rsid w:val="00D165D8"/>
    <w:rsid w:val="00D16F5E"/>
    <w:rsid w:val="00D1724E"/>
    <w:rsid w:val="00D174A6"/>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25"/>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3CE"/>
    <w:rsid w:val="00D43DEF"/>
    <w:rsid w:val="00D44259"/>
    <w:rsid w:val="00D449E2"/>
    <w:rsid w:val="00D45C61"/>
    <w:rsid w:val="00D45DDC"/>
    <w:rsid w:val="00D5064C"/>
    <w:rsid w:val="00D50C94"/>
    <w:rsid w:val="00D511E7"/>
    <w:rsid w:val="00D517ED"/>
    <w:rsid w:val="00D5251C"/>
    <w:rsid w:val="00D52F56"/>
    <w:rsid w:val="00D539DA"/>
    <w:rsid w:val="00D53BA6"/>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A3"/>
    <w:rsid w:val="00D629A4"/>
    <w:rsid w:val="00D62BDF"/>
    <w:rsid w:val="00D62EEE"/>
    <w:rsid w:val="00D647F6"/>
    <w:rsid w:val="00D64F1C"/>
    <w:rsid w:val="00D6570C"/>
    <w:rsid w:val="00D659EA"/>
    <w:rsid w:val="00D65A89"/>
    <w:rsid w:val="00D65E85"/>
    <w:rsid w:val="00D6611C"/>
    <w:rsid w:val="00D66FB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1A2"/>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3F5"/>
    <w:rsid w:val="00D82B00"/>
    <w:rsid w:val="00D82B04"/>
    <w:rsid w:val="00D82BE4"/>
    <w:rsid w:val="00D82E05"/>
    <w:rsid w:val="00D83C0D"/>
    <w:rsid w:val="00D83C80"/>
    <w:rsid w:val="00D83F5B"/>
    <w:rsid w:val="00D85FDE"/>
    <w:rsid w:val="00D86182"/>
    <w:rsid w:val="00D86283"/>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3D"/>
    <w:rsid w:val="00D95F88"/>
    <w:rsid w:val="00D96698"/>
    <w:rsid w:val="00D96876"/>
    <w:rsid w:val="00D96940"/>
    <w:rsid w:val="00D96B12"/>
    <w:rsid w:val="00D96C2A"/>
    <w:rsid w:val="00D96F59"/>
    <w:rsid w:val="00DA0175"/>
    <w:rsid w:val="00DA099C"/>
    <w:rsid w:val="00DA0F18"/>
    <w:rsid w:val="00DA2125"/>
    <w:rsid w:val="00DA21EC"/>
    <w:rsid w:val="00DA24DE"/>
    <w:rsid w:val="00DA270C"/>
    <w:rsid w:val="00DA281F"/>
    <w:rsid w:val="00DA3C5B"/>
    <w:rsid w:val="00DA3D23"/>
    <w:rsid w:val="00DA4A61"/>
    <w:rsid w:val="00DA5AFE"/>
    <w:rsid w:val="00DA5D55"/>
    <w:rsid w:val="00DA61AB"/>
    <w:rsid w:val="00DA61CD"/>
    <w:rsid w:val="00DA6E4A"/>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8A3"/>
    <w:rsid w:val="00DC32FC"/>
    <w:rsid w:val="00DC3D89"/>
    <w:rsid w:val="00DC4118"/>
    <w:rsid w:val="00DC4567"/>
    <w:rsid w:val="00DC4AA7"/>
    <w:rsid w:val="00DC4D6C"/>
    <w:rsid w:val="00DC4F47"/>
    <w:rsid w:val="00DC5059"/>
    <w:rsid w:val="00DC5860"/>
    <w:rsid w:val="00DC5BD0"/>
    <w:rsid w:val="00DC5BE2"/>
    <w:rsid w:val="00DC6284"/>
    <w:rsid w:val="00DC628E"/>
    <w:rsid w:val="00DC6747"/>
    <w:rsid w:val="00DC6AF3"/>
    <w:rsid w:val="00DC7344"/>
    <w:rsid w:val="00DC7608"/>
    <w:rsid w:val="00DC761E"/>
    <w:rsid w:val="00DC7B3B"/>
    <w:rsid w:val="00DC7C7A"/>
    <w:rsid w:val="00DC7CFC"/>
    <w:rsid w:val="00DD09F2"/>
    <w:rsid w:val="00DD0DEE"/>
    <w:rsid w:val="00DD1205"/>
    <w:rsid w:val="00DD1633"/>
    <w:rsid w:val="00DD17A0"/>
    <w:rsid w:val="00DD1B97"/>
    <w:rsid w:val="00DD2831"/>
    <w:rsid w:val="00DD2A6D"/>
    <w:rsid w:val="00DD2E17"/>
    <w:rsid w:val="00DD3B63"/>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337"/>
    <w:rsid w:val="00DE38D1"/>
    <w:rsid w:val="00DE38E6"/>
    <w:rsid w:val="00DE3D3E"/>
    <w:rsid w:val="00DE4106"/>
    <w:rsid w:val="00DE466B"/>
    <w:rsid w:val="00DE48F4"/>
    <w:rsid w:val="00DE5563"/>
    <w:rsid w:val="00DE5C19"/>
    <w:rsid w:val="00DE5D48"/>
    <w:rsid w:val="00DE6E4D"/>
    <w:rsid w:val="00DE7498"/>
    <w:rsid w:val="00DE75EF"/>
    <w:rsid w:val="00DE7611"/>
    <w:rsid w:val="00DE7D19"/>
    <w:rsid w:val="00DE7F57"/>
    <w:rsid w:val="00DF05A0"/>
    <w:rsid w:val="00DF1162"/>
    <w:rsid w:val="00DF1BA8"/>
    <w:rsid w:val="00DF1F63"/>
    <w:rsid w:val="00DF28F2"/>
    <w:rsid w:val="00DF2BFF"/>
    <w:rsid w:val="00DF3798"/>
    <w:rsid w:val="00DF4A6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05F"/>
    <w:rsid w:val="00E0356F"/>
    <w:rsid w:val="00E03B42"/>
    <w:rsid w:val="00E03C10"/>
    <w:rsid w:val="00E0479F"/>
    <w:rsid w:val="00E04816"/>
    <w:rsid w:val="00E04982"/>
    <w:rsid w:val="00E04D6A"/>
    <w:rsid w:val="00E058DB"/>
    <w:rsid w:val="00E05950"/>
    <w:rsid w:val="00E05BA5"/>
    <w:rsid w:val="00E05CD4"/>
    <w:rsid w:val="00E05DE8"/>
    <w:rsid w:val="00E06100"/>
    <w:rsid w:val="00E0614E"/>
    <w:rsid w:val="00E06BC7"/>
    <w:rsid w:val="00E06E97"/>
    <w:rsid w:val="00E07B8F"/>
    <w:rsid w:val="00E10712"/>
    <w:rsid w:val="00E10DD1"/>
    <w:rsid w:val="00E1224C"/>
    <w:rsid w:val="00E1254C"/>
    <w:rsid w:val="00E12BDF"/>
    <w:rsid w:val="00E13326"/>
    <w:rsid w:val="00E13D07"/>
    <w:rsid w:val="00E1409C"/>
    <w:rsid w:val="00E14356"/>
    <w:rsid w:val="00E14961"/>
    <w:rsid w:val="00E14B55"/>
    <w:rsid w:val="00E14D76"/>
    <w:rsid w:val="00E15183"/>
    <w:rsid w:val="00E15D6C"/>
    <w:rsid w:val="00E16992"/>
    <w:rsid w:val="00E1720B"/>
    <w:rsid w:val="00E203DE"/>
    <w:rsid w:val="00E20CE7"/>
    <w:rsid w:val="00E216ED"/>
    <w:rsid w:val="00E217B1"/>
    <w:rsid w:val="00E222FA"/>
    <w:rsid w:val="00E229CE"/>
    <w:rsid w:val="00E22B4A"/>
    <w:rsid w:val="00E22EC0"/>
    <w:rsid w:val="00E2449B"/>
    <w:rsid w:val="00E24A62"/>
    <w:rsid w:val="00E24F52"/>
    <w:rsid w:val="00E255CC"/>
    <w:rsid w:val="00E25636"/>
    <w:rsid w:val="00E25755"/>
    <w:rsid w:val="00E25F90"/>
    <w:rsid w:val="00E2655C"/>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410"/>
    <w:rsid w:val="00E37A6F"/>
    <w:rsid w:val="00E37A9C"/>
    <w:rsid w:val="00E40222"/>
    <w:rsid w:val="00E40406"/>
    <w:rsid w:val="00E4082B"/>
    <w:rsid w:val="00E40835"/>
    <w:rsid w:val="00E408EC"/>
    <w:rsid w:val="00E409B5"/>
    <w:rsid w:val="00E40BCB"/>
    <w:rsid w:val="00E41189"/>
    <w:rsid w:val="00E4208F"/>
    <w:rsid w:val="00E42E94"/>
    <w:rsid w:val="00E43006"/>
    <w:rsid w:val="00E4312A"/>
    <w:rsid w:val="00E4331B"/>
    <w:rsid w:val="00E43551"/>
    <w:rsid w:val="00E437FA"/>
    <w:rsid w:val="00E457D4"/>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4E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1E5"/>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A71"/>
    <w:rsid w:val="00EA2E21"/>
    <w:rsid w:val="00EA2EAA"/>
    <w:rsid w:val="00EA380C"/>
    <w:rsid w:val="00EA486F"/>
    <w:rsid w:val="00EA613D"/>
    <w:rsid w:val="00EA6744"/>
    <w:rsid w:val="00EA7308"/>
    <w:rsid w:val="00EA7474"/>
    <w:rsid w:val="00EB00AD"/>
    <w:rsid w:val="00EB0831"/>
    <w:rsid w:val="00EB089C"/>
    <w:rsid w:val="00EB0AA8"/>
    <w:rsid w:val="00EB0B65"/>
    <w:rsid w:val="00EB0C65"/>
    <w:rsid w:val="00EB1624"/>
    <w:rsid w:val="00EB169F"/>
    <w:rsid w:val="00EB1CD1"/>
    <w:rsid w:val="00EB2635"/>
    <w:rsid w:val="00EB2961"/>
    <w:rsid w:val="00EB2E1A"/>
    <w:rsid w:val="00EB2F8A"/>
    <w:rsid w:val="00EB3268"/>
    <w:rsid w:val="00EB3298"/>
    <w:rsid w:val="00EB3939"/>
    <w:rsid w:val="00EB3CE6"/>
    <w:rsid w:val="00EB3E92"/>
    <w:rsid w:val="00EB5013"/>
    <w:rsid w:val="00EB54AB"/>
    <w:rsid w:val="00EB61F9"/>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BC"/>
    <w:rsid w:val="00EE56E2"/>
    <w:rsid w:val="00EE5FCD"/>
    <w:rsid w:val="00EE63BF"/>
    <w:rsid w:val="00EE6D45"/>
    <w:rsid w:val="00EE6E89"/>
    <w:rsid w:val="00EF0321"/>
    <w:rsid w:val="00EF0765"/>
    <w:rsid w:val="00EF0D4B"/>
    <w:rsid w:val="00EF0FE6"/>
    <w:rsid w:val="00EF1130"/>
    <w:rsid w:val="00EF1432"/>
    <w:rsid w:val="00EF1511"/>
    <w:rsid w:val="00EF1F01"/>
    <w:rsid w:val="00EF2C39"/>
    <w:rsid w:val="00EF2C5F"/>
    <w:rsid w:val="00EF3480"/>
    <w:rsid w:val="00EF3811"/>
    <w:rsid w:val="00EF3AC4"/>
    <w:rsid w:val="00EF3FF9"/>
    <w:rsid w:val="00EF41AF"/>
    <w:rsid w:val="00EF4DB4"/>
    <w:rsid w:val="00EF5234"/>
    <w:rsid w:val="00EF55E9"/>
    <w:rsid w:val="00EF5B41"/>
    <w:rsid w:val="00EF611C"/>
    <w:rsid w:val="00EF625F"/>
    <w:rsid w:val="00EF62C0"/>
    <w:rsid w:val="00EF6D5A"/>
    <w:rsid w:val="00EF71E6"/>
    <w:rsid w:val="00EF7A2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8F"/>
    <w:rsid w:val="00F050A3"/>
    <w:rsid w:val="00F0602C"/>
    <w:rsid w:val="00F06340"/>
    <w:rsid w:val="00F0665D"/>
    <w:rsid w:val="00F06D42"/>
    <w:rsid w:val="00F07134"/>
    <w:rsid w:val="00F0724D"/>
    <w:rsid w:val="00F07378"/>
    <w:rsid w:val="00F07600"/>
    <w:rsid w:val="00F10B81"/>
    <w:rsid w:val="00F10BC9"/>
    <w:rsid w:val="00F113C9"/>
    <w:rsid w:val="00F116E7"/>
    <w:rsid w:val="00F11C01"/>
    <w:rsid w:val="00F11D80"/>
    <w:rsid w:val="00F14B08"/>
    <w:rsid w:val="00F14B4B"/>
    <w:rsid w:val="00F14CD1"/>
    <w:rsid w:val="00F14D5B"/>
    <w:rsid w:val="00F15115"/>
    <w:rsid w:val="00F15A85"/>
    <w:rsid w:val="00F15C81"/>
    <w:rsid w:val="00F15D8C"/>
    <w:rsid w:val="00F15F18"/>
    <w:rsid w:val="00F16B86"/>
    <w:rsid w:val="00F16E1A"/>
    <w:rsid w:val="00F16E3E"/>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AB1"/>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A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0F7"/>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4"/>
    <w:rsid w:val="00F5052D"/>
    <w:rsid w:val="00F51015"/>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DF0"/>
    <w:rsid w:val="00F62F92"/>
    <w:rsid w:val="00F630B4"/>
    <w:rsid w:val="00F635EF"/>
    <w:rsid w:val="00F63B36"/>
    <w:rsid w:val="00F63BF4"/>
    <w:rsid w:val="00F63C55"/>
    <w:rsid w:val="00F63C60"/>
    <w:rsid w:val="00F64991"/>
    <w:rsid w:val="00F64CE8"/>
    <w:rsid w:val="00F65BA9"/>
    <w:rsid w:val="00F65BC8"/>
    <w:rsid w:val="00F65EEA"/>
    <w:rsid w:val="00F66205"/>
    <w:rsid w:val="00F6630F"/>
    <w:rsid w:val="00F66419"/>
    <w:rsid w:val="00F67079"/>
    <w:rsid w:val="00F67B58"/>
    <w:rsid w:val="00F67E81"/>
    <w:rsid w:val="00F7044B"/>
    <w:rsid w:val="00F70668"/>
    <w:rsid w:val="00F70FCF"/>
    <w:rsid w:val="00F70FD4"/>
    <w:rsid w:val="00F71342"/>
    <w:rsid w:val="00F71C68"/>
    <w:rsid w:val="00F724E2"/>
    <w:rsid w:val="00F72796"/>
    <w:rsid w:val="00F74103"/>
    <w:rsid w:val="00F7410A"/>
    <w:rsid w:val="00F745A4"/>
    <w:rsid w:val="00F74C0C"/>
    <w:rsid w:val="00F758E1"/>
    <w:rsid w:val="00F75BB5"/>
    <w:rsid w:val="00F75FD5"/>
    <w:rsid w:val="00F7604C"/>
    <w:rsid w:val="00F7689E"/>
    <w:rsid w:val="00F773A9"/>
    <w:rsid w:val="00F8056E"/>
    <w:rsid w:val="00F805B7"/>
    <w:rsid w:val="00F810C1"/>
    <w:rsid w:val="00F81623"/>
    <w:rsid w:val="00F81D25"/>
    <w:rsid w:val="00F8245C"/>
    <w:rsid w:val="00F82928"/>
    <w:rsid w:val="00F829B9"/>
    <w:rsid w:val="00F83045"/>
    <w:rsid w:val="00F83615"/>
    <w:rsid w:val="00F83EC7"/>
    <w:rsid w:val="00F8421D"/>
    <w:rsid w:val="00F84ECF"/>
    <w:rsid w:val="00F85329"/>
    <w:rsid w:val="00F85683"/>
    <w:rsid w:val="00F85841"/>
    <w:rsid w:val="00F86079"/>
    <w:rsid w:val="00F8610A"/>
    <w:rsid w:val="00F864F7"/>
    <w:rsid w:val="00F87282"/>
    <w:rsid w:val="00F878CD"/>
    <w:rsid w:val="00F87905"/>
    <w:rsid w:val="00F87A66"/>
    <w:rsid w:val="00F90C1F"/>
    <w:rsid w:val="00F912D9"/>
    <w:rsid w:val="00F91A44"/>
    <w:rsid w:val="00F91BFA"/>
    <w:rsid w:val="00F91F8F"/>
    <w:rsid w:val="00F9217B"/>
    <w:rsid w:val="00F92F07"/>
    <w:rsid w:val="00F97A34"/>
    <w:rsid w:val="00F97A6C"/>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B9F"/>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0A7"/>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7B0"/>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C5C"/>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7BC"/>
    <w:rsid w:val="00FF0B4F"/>
    <w:rsid w:val="00FF0F58"/>
    <w:rsid w:val="00FF183C"/>
    <w:rsid w:val="00FF1A06"/>
    <w:rsid w:val="00FF1AD3"/>
    <w:rsid w:val="00FF1B46"/>
    <w:rsid w:val="00FF1D0C"/>
    <w:rsid w:val="00FF219D"/>
    <w:rsid w:val="00FF2A7B"/>
    <w:rsid w:val="00FF390C"/>
    <w:rsid w:val="00FF3D2B"/>
    <w:rsid w:val="00FF49B4"/>
    <w:rsid w:val="00FF49F4"/>
    <w:rsid w:val="00FF5BDC"/>
    <w:rsid w:val="00FF5C6A"/>
    <w:rsid w:val="00FF651D"/>
    <w:rsid w:val="00FF6843"/>
    <w:rsid w:val="00FF6C25"/>
    <w:rsid w:val="010651D9"/>
    <w:rsid w:val="011A0CB4"/>
    <w:rsid w:val="011F6449"/>
    <w:rsid w:val="01236AFB"/>
    <w:rsid w:val="019F7441"/>
    <w:rsid w:val="01B37585"/>
    <w:rsid w:val="01D55165"/>
    <w:rsid w:val="01DF6BF8"/>
    <w:rsid w:val="01EC2C57"/>
    <w:rsid w:val="01FF3226"/>
    <w:rsid w:val="021F4578"/>
    <w:rsid w:val="026B2E25"/>
    <w:rsid w:val="026E0D49"/>
    <w:rsid w:val="02824D4D"/>
    <w:rsid w:val="02DC4B10"/>
    <w:rsid w:val="02DD76CE"/>
    <w:rsid w:val="02F36323"/>
    <w:rsid w:val="02F5619C"/>
    <w:rsid w:val="03195159"/>
    <w:rsid w:val="0326446A"/>
    <w:rsid w:val="032D5555"/>
    <w:rsid w:val="036634D2"/>
    <w:rsid w:val="03DD35E4"/>
    <w:rsid w:val="04076900"/>
    <w:rsid w:val="041A5A3B"/>
    <w:rsid w:val="042311BA"/>
    <w:rsid w:val="042B157A"/>
    <w:rsid w:val="04867267"/>
    <w:rsid w:val="048F763B"/>
    <w:rsid w:val="049F330E"/>
    <w:rsid w:val="04AA775C"/>
    <w:rsid w:val="04AF1889"/>
    <w:rsid w:val="04F66F48"/>
    <w:rsid w:val="05251E14"/>
    <w:rsid w:val="056921F6"/>
    <w:rsid w:val="05A16594"/>
    <w:rsid w:val="05A7762D"/>
    <w:rsid w:val="05AF6894"/>
    <w:rsid w:val="060E5941"/>
    <w:rsid w:val="06110FAF"/>
    <w:rsid w:val="06471276"/>
    <w:rsid w:val="06493CA7"/>
    <w:rsid w:val="065A6178"/>
    <w:rsid w:val="066F1CF3"/>
    <w:rsid w:val="06930BB8"/>
    <w:rsid w:val="07245D42"/>
    <w:rsid w:val="07264C62"/>
    <w:rsid w:val="0748600C"/>
    <w:rsid w:val="0779354C"/>
    <w:rsid w:val="07CB1C09"/>
    <w:rsid w:val="08061376"/>
    <w:rsid w:val="08452D77"/>
    <w:rsid w:val="084A50CF"/>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A0005"/>
    <w:rsid w:val="0A3E7710"/>
    <w:rsid w:val="0A5B7E63"/>
    <w:rsid w:val="0AA374A5"/>
    <w:rsid w:val="0AAB7649"/>
    <w:rsid w:val="0ABC5606"/>
    <w:rsid w:val="0ACC485F"/>
    <w:rsid w:val="0B30404E"/>
    <w:rsid w:val="0B4C6C14"/>
    <w:rsid w:val="0B5D68E0"/>
    <w:rsid w:val="0B631A88"/>
    <w:rsid w:val="0B683D45"/>
    <w:rsid w:val="0B7F3F11"/>
    <w:rsid w:val="0B884417"/>
    <w:rsid w:val="0BF6188C"/>
    <w:rsid w:val="0BF73C91"/>
    <w:rsid w:val="0C170175"/>
    <w:rsid w:val="0C571A41"/>
    <w:rsid w:val="0C5C1171"/>
    <w:rsid w:val="0C5E1CBC"/>
    <w:rsid w:val="0C615B50"/>
    <w:rsid w:val="0C741652"/>
    <w:rsid w:val="0C8445DA"/>
    <w:rsid w:val="0C87121B"/>
    <w:rsid w:val="0CC007F7"/>
    <w:rsid w:val="0CFE707A"/>
    <w:rsid w:val="0D063BDA"/>
    <w:rsid w:val="0D08375F"/>
    <w:rsid w:val="0D184CFB"/>
    <w:rsid w:val="0D4A7419"/>
    <w:rsid w:val="0D827401"/>
    <w:rsid w:val="0D84094E"/>
    <w:rsid w:val="0D8A00E9"/>
    <w:rsid w:val="0D8D589E"/>
    <w:rsid w:val="0DA01C73"/>
    <w:rsid w:val="0DD52865"/>
    <w:rsid w:val="0DD63300"/>
    <w:rsid w:val="0DF50604"/>
    <w:rsid w:val="0DF702FE"/>
    <w:rsid w:val="0E060E51"/>
    <w:rsid w:val="0E062460"/>
    <w:rsid w:val="0E5604B2"/>
    <w:rsid w:val="0E6D5D79"/>
    <w:rsid w:val="0E914CE5"/>
    <w:rsid w:val="0E9D0089"/>
    <w:rsid w:val="0EB803EE"/>
    <w:rsid w:val="0EF94D4B"/>
    <w:rsid w:val="0F167C0C"/>
    <w:rsid w:val="0F23625A"/>
    <w:rsid w:val="0F4958DC"/>
    <w:rsid w:val="0F515DF7"/>
    <w:rsid w:val="0F596BA8"/>
    <w:rsid w:val="0F6248D2"/>
    <w:rsid w:val="0F693536"/>
    <w:rsid w:val="0F7B0511"/>
    <w:rsid w:val="0F7B76D9"/>
    <w:rsid w:val="0F816ACD"/>
    <w:rsid w:val="0F9832DB"/>
    <w:rsid w:val="0FBF3FD2"/>
    <w:rsid w:val="0FBF7FF3"/>
    <w:rsid w:val="0FC928F4"/>
    <w:rsid w:val="10646583"/>
    <w:rsid w:val="107D4B15"/>
    <w:rsid w:val="108A3C80"/>
    <w:rsid w:val="10A04353"/>
    <w:rsid w:val="10C26171"/>
    <w:rsid w:val="10F33360"/>
    <w:rsid w:val="10FC16EA"/>
    <w:rsid w:val="110F1D40"/>
    <w:rsid w:val="11266F33"/>
    <w:rsid w:val="1139523D"/>
    <w:rsid w:val="115F7848"/>
    <w:rsid w:val="118963A1"/>
    <w:rsid w:val="11C6522A"/>
    <w:rsid w:val="11D218BE"/>
    <w:rsid w:val="11E104CC"/>
    <w:rsid w:val="11E20309"/>
    <w:rsid w:val="12255233"/>
    <w:rsid w:val="122663AB"/>
    <w:rsid w:val="12322430"/>
    <w:rsid w:val="12530213"/>
    <w:rsid w:val="127723A9"/>
    <w:rsid w:val="12862074"/>
    <w:rsid w:val="12883966"/>
    <w:rsid w:val="129E45B4"/>
    <w:rsid w:val="12D81596"/>
    <w:rsid w:val="13072A44"/>
    <w:rsid w:val="13140640"/>
    <w:rsid w:val="1324792E"/>
    <w:rsid w:val="135F4BE2"/>
    <w:rsid w:val="139B1A0A"/>
    <w:rsid w:val="139D25C7"/>
    <w:rsid w:val="13AC1AD0"/>
    <w:rsid w:val="13BF3CE4"/>
    <w:rsid w:val="141008D8"/>
    <w:rsid w:val="14125FE6"/>
    <w:rsid w:val="146D271E"/>
    <w:rsid w:val="14982588"/>
    <w:rsid w:val="149A5AD9"/>
    <w:rsid w:val="14A7619D"/>
    <w:rsid w:val="14EC7EBF"/>
    <w:rsid w:val="150536C3"/>
    <w:rsid w:val="150C1963"/>
    <w:rsid w:val="151447A0"/>
    <w:rsid w:val="154A6454"/>
    <w:rsid w:val="15762120"/>
    <w:rsid w:val="15B036FB"/>
    <w:rsid w:val="160B34CC"/>
    <w:rsid w:val="16A8729C"/>
    <w:rsid w:val="16B33777"/>
    <w:rsid w:val="16BC70A7"/>
    <w:rsid w:val="16C6339E"/>
    <w:rsid w:val="16CE195E"/>
    <w:rsid w:val="172F2D79"/>
    <w:rsid w:val="17557BEF"/>
    <w:rsid w:val="17B65B7E"/>
    <w:rsid w:val="17D349C1"/>
    <w:rsid w:val="18090EA0"/>
    <w:rsid w:val="1830729E"/>
    <w:rsid w:val="1870062C"/>
    <w:rsid w:val="18817102"/>
    <w:rsid w:val="18830A15"/>
    <w:rsid w:val="18852B28"/>
    <w:rsid w:val="188B5321"/>
    <w:rsid w:val="19616ABA"/>
    <w:rsid w:val="19932372"/>
    <w:rsid w:val="19A20DD5"/>
    <w:rsid w:val="19A90B8D"/>
    <w:rsid w:val="19AE03F1"/>
    <w:rsid w:val="19E156A4"/>
    <w:rsid w:val="1A071A03"/>
    <w:rsid w:val="1A1F16AE"/>
    <w:rsid w:val="1A3B5C77"/>
    <w:rsid w:val="1A484B37"/>
    <w:rsid w:val="1A984BAD"/>
    <w:rsid w:val="1AA8101E"/>
    <w:rsid w:val="1AB8220E"/>
    <w:rsid w:val="1AE4166C"/>
    <w:rsid w:val="1AF06CFB"/>
    <w:rsid w:val="1AF11B8D"/>
    <w:rsid w:val="1B11359C"/>
    <w:rsid w:val="1B2A271F"/>
    <w:rsid w:val="1B530544"/>
    <w:rsid w:val="1B5543FC"/>
    <w:rsid w:val="1B713184"/>
    <w:rsid w:val="1BA209CF"/>
    <w:rsid w:val="1BB4777D"/>
    <w:rsid w:val="1BD15DFD"/>
    <w:rsid w:val="1BD75AB8"/>
    <w:rsid w:val="1C0459C2"/>
    <w:rsid w:val="1C1B3B4A"/>
    <w:rsid w:val="1C88086E"/>
    <w:rsid w:val="1D096B5C"/>
    <w:rsid w:val="1D1A46B4"/>
    <w:rsid w:val="1D266CE1"/>
    <w:rsid w:val="1D3963AF"/>
    <w:rsid w:val="1D6A673C"/>
    <w:rsid w:val="1D9247AE"/>
    <w:rsid w:val="1DB567EC"/>
    <w:rsid w:val="1DD21DCF"/>
    <w:rsid w:val="1DF51A98"/>
    <w:rsid w:val="1E3D060F"/>
    <w:rsid w:val="1E3F7D2E"/>
    <w:rsid w:val="1E4134E4"/>
    <w:rsid w:val="1E5062B3"/>
    <w:rsid w:val="1E523514"/>
    <w:rsid w:val="1E714A66"/>
    <w:rsid w:val="1E721BCB"/>
    <w:rsid w:val="1E802593"/>
    <w:rsid w:val="1EA703CC"/>
    <w:rsid w:val="1EAA4A5F"/>
    <w:rsid w:val="1EB7330C"/>
    <w:rsid w:val="1F0A0FF3"/>
    <w:rsid w:val="1F5771FF"/>
    <w:rsid w:val="1FE868A9"/>
    <w:rsid w:val="20034907"/>
    <w:rsid w:val="20173E4B"/>
    <w:rsid w:val="204D39C9"/>
    <w:rsid w:val="204E48BC"/>
    <w:rsid w:val="20712E55"/>
    <w:rsid w:val="208921B3"/>
    <w:rsid w:val="208E3839"/>
    <w:rsid w:val="20973DEB"/>
    <w:rsid w:val="209F792E"/>
    <w:rsid w:val="20B26522"/>
    <w:rsid w:val="20B44310"/>
    <w:rsid w:val="211116EB"/>
    <w:rsid w:val="216133FC"/>
    <w:rsid w:val="217750CC"/>
    <w:rsid w:val="21792724"/>
    <w:rsid w:val="219624CF"/>
    <w:rsid w:val="21D56769"/>
    <w:rsid w:val="21E52EF3"/>
    <w:rsid w:val="21FB5D7B"/>
    <w:rsid w:val="220B1C3D"/>
    <w:rsid w:val="22160D9A"/>
    <w:rsid w:val="221D1D20"/>
    <w:rsid w:val="22334A87"/>
    <w:rsid w:val="22435F56"/>
    <w:rsid w:val="22AB24AA"/>
    <w:rsid w:val="22B81E40"/>
    <w:rsid w:val="22BB548D"/>
    <w:rsid w:val="22BE6801"/>
    <w:rsid w:val="233500BF"/>
    <w:rsid w:val="23377FF7"/>
    <w:rsid w:val="236B425F"/>
    <w:rsid w:val="23836192"/>
    <w:rsid w:val="23901F29"/>
    <w:rsid w:val="239C0061"/>
    <w:rsid w:val="23B908A4"/>
    <w:rsid w:val="23CC4251"/>
    <w:rsid w:val="23E95BEF"/>
    <w:rsid w:val="23FD0064"/>
    <w:rsid w:val="245375B0"/>
    <w:rsid w:val="24642C0A"/>
    <w:rsid w:val="24B22173"/>
    <w:rsid w:val="24B95AD9"/>
    <w:rsid w:val="24BE24DA"/>
    <w:rsid w:val="24CF5825"/>
    <w:rsid w:val="24D663E6"/>
    <w:rsid w:val="24D77F2B"/>
    <w:rsid w:val="25144D9D"/>
    <w:rsid w:val="258B00E2"/>
    <w:rsid w:val="25A01483"/>
    <w:rsid w:val="25A26D23"/>
    <w:rsid w:val="25A917A6"/>
    <w:rsid w:val="25BE27CC"/>
    <w:rsid w:val="25F74A5C"/>
    <w:rsid w:val="261F21D6"/>
    <w:rsid w:val="2628662C"/>
    <w:rsid w:val="262D45DE"/>
    <w:rsid w:val="26773AAE"/>
    <w:rsid w:val="267E621F"/>
    <w:rsid w:val="26A53EF9"/>
    <w:rsid w:val="26A94201"/>
    <w:rsid w:val="26AC274F"/>
    <w:rsid w:val="26B4760A"/>
    <w:rsid w:val="27044A29"/>
    <w:rsid w:val="271D34C8"/>
    <w:rsid w:val="27221F7E"/>
    <w:rsid w:val="27463A0F"/>
    <w:rsid w:val="276142BF"/>
    <w:rsid w:val="27783712"/>
    <w:rsid w:val="27892C40"/>
    <w:rsid w:val="278C03A0"/>
    <w:rsid w:val="27907362"/>
    <w:rsid w:val="2801245B"/>
    <w:rsid w:val="28333E1D"/>
    <w:rsid w:val="28454BD6"/>
    <w:rsid w:val="28455253"/>
    <w:rsid w:val="28551971"/>
    <w:rsid w:val="285A252B"/>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C5560"/>
    <w:rsid w:val="2B031556"/>
    <w:rsid w:val="2B437463"/>
    <w:rsid w:val="2B7807EE"/>
    <w:rsid w:val="2BBF00EC"/>
    <w:rsid w:val="2BC11358"/>
    <w:rsid w:val="2BC37CFD"/>
    <w:rsid w:val="2BD5237F"/>
    <w:rsid w:val="2BE536CE"/>
    <w:rsid w:val="2BE758D9"/>
    <w:rsid w:val="2BEE68D3"/>
    <w:rsid w:val="2BFE60D3"/>
    <w:rsid w:val="2C09049E"/>
    <w:rsid w:val="2C0A653C"/>
    <w:rsid w:val="2C191F85"/>
    <w:rsid w:val="2CB111BD"/>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7666B9"/>
    <w:rsid w:val="308C3862"/>
    <w:rsid w:val="309379D8"/>
    <w:rsid w:val="30A270F7"/>
    <w:rsid w:val="30B87714"/>
    <w:rsid w:val="30DF1478"/>
    <w:rsid w:val="30EC586F"/>
    <w:rsid w:val="31000854"/>
    <w:rsid w:val="319C6071"/>
    <w:rsid w:val="31AC537E"/>
    <w:rsid w:val="31E3679B"/>
    <w:rsid w:val="31E732FD"/>
    <w:rsid w:val="32517576"/>
    <w:rsid w:val="32737057"/>
    <w:rsid w:val="32BE5C2C"/>
    <w:rsid w:val="32FB6478"/>
    <w:rsid w:val="33263B3F"/>
    <w:rsid w:val="336963EB"/>
    <w:rsid w:val="33816EEB"/>
    <w:rsid w:val="33C65172"/>
    <w:rsid w:val="33EB55CD"/>
    <w:rsid w:val="33EC4C02"/>
    <w:rsid w:val="340D2360"/>
    <w:rsid w:val="3410665D"/>
    <w:rsid w:val="34211214"/>
    <w:rsid w:val="342E63AB"/>
    <w:rsid w:val="348C15CA"/>
    <w:rsid w:val="348D47B1"/>
    <w:rsid w:val="34950E68"/>
    <w:rsid w:val="34986E94"/>
    <w:rsid w:val="34AF62C9"/>
    <w:rsid w:val="34CB4388"/>
    <w:rsid w:val="34FA6E12"/>
    <w:rsid w:val="352015F6"/>
    <w:rsid w:val="353F6E64"/>
    <w:rsid w:val="354E0772"/>
    <w:rsid w:val="358D5588"/>
    <w:rsid w:val="359D320B"/>
    <w:rsid w:val="35C517EE"/>
    <w:rsid w:val="363A3B40"/>
    <w:rsid w:val="365302AE"/>
    <w:rsid w:val="36607A0A"/>
    <w:rsid w:val="366E227C"/>
    <w:rsid w:val="366F2E0D"/>
    <w:rsid w:val="367B6A5C"/>
    <w:rsid w:val="36A74ADA"/>
    <w:rsid w:val="36AD60D5"/>
    <w:rsid w:val="36B224F9"/>
    <w:rsid w:val="36EC0CC9"/>
    <w:rsid w:val="373F410B"/>
    <w:rsid w:val="37A338BC"/>
    <w:rsid w:val="37B52CFA"/>
    <w:rsid w:val="37EE7094"/>
    <w:rsid w:val="38296C89"/>
    <w:rsid w:val="383002EB"/>
    <w:rsid w:val="38471F13"/>
    <w:rsid w:val="385170E5"/>
    <w:rsid w:val="38586797"/>
    <w:rsid w:val="38BC0149"/>
    <w:rsid w:val="38D87D1C"/>
    <w:rsid w:val="39097E28"/>
    <w:rsid w:val="392732A2"/>
    <w:rsid w:val="39636459"/>
    <w:rsid w:val="396B7F6C"/>
    <w:rsid w:val="3997107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228DD"/>
    <w:rsid w:val="3E7B5D6B"/>
    <w:rsid w:val="3E843E66"/>
    <w:rsid w:val="3E8F51FE"/>
    <w:rsid w:val="3E926F87"/>
    <w:rsid w:val="3E9A59DE"/>
    <w:rsid w:val="3EAF4836"/>
    <w:rsid w:val="3EC33DFA"/>
    <w:rsid w:val="3F060E16"/>
    <w:rsid w:val="3F1D1096"/>
    <w:rsid w:val="3F2F0234"/>
    <w:rsid w:val="3F446940"/>
    <w:rsid w:val="3F6363FE"/>
    <w:rsid w:val="3F756B8F"/>
    <w:rsid w:val="3F95482B"/>
    <w:rsid w:val="3FD52F99"/>
    <w:rsid w:val="3FEE06DD"/>
    <w:rsid w:val="40074C81"/>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A2C11"/>
    <w:rsid w:val="447A4D50"/>
    <w:rsid w:val="449101DD"/>
    <w:rsid w:val="44D66D07"/>
    <w:rsid w:val="44DE1391"/>
    <w:rsid w:val="451B225C"/>
    <w:rsid w:val="452410C9"/>
    <w:rsid w:val="45317DFB"/>
    <w:rsid w:val="456D3CE4"/>
    <w:rsid w:val="4579042C"/>
    <w:rsid w:val="457F0571"/>
    <w:rsid w:val="45851176"/>
    <w:rsid w:val="45C63B94"/>
    <w:rsid w:val="45E13340"/>
    <w:rsid w:val="460E7DA5"/>
    <w:rsid w:val="46422483"/>
    <w:rsid w:val="4659254A"/>
    <w:rsid w:val="465B0637"/>
    <w:rsid w:val="465E3F0D"/>
    <w:rsid w:val="466A16E6"/>
    <w:rsid w:val="46893F2B"/>
    <w:rsid w:val="46C4686E"/>
    <w:rsid w:val="47060B1D"/>
    <w:rsid w:val="477B778F"/>
    <w:rsid w:val="478203EC"/>
    <w:rsid w:val="47B025FA"/>
    <w:rsid w:val="4809698F"/>
    <w:rsid w:val="4811697D"/>
    <w:rsid w:val="483737FA"/>
    <w:rsid w:val="487A3E25"/>
    <w:rsid w:val="487B0BE3"/>
    <w:rsid w:val="488B5503"/>
    <w:rsid w:val="48937E21"/>
    <w:rsid w:val="489A0361"/>
    <w:rsid w:val="48B94FF3"/>
    <w:rsid w:val="48E37AAB"/>
    <w:rsid w:val="48FD4B4C"/>
    <w:rsid w:val="490A68E0"/>
    <w:rsid w:val="491055FE"/>
    <w:rsid w:val="49270722"/>
    <w:rsid w:val="4943240D"/>
    <w:rsid w:val="495F5B3E"/>
    <w:rsid w:val="496F77D7"/>
    <w:rsid w:val="497654FD"/>
    <w:rsid w:val="498411A5"/>
    <w:rsid w:val="49B64211"/>
    <w:rsid w:val="49D00F6E"/>
    <w:rsid w:val="49F6167F"/>
    <w:rsid w:val="4A064FA0"/>
    <w:rsid w:val="4A16615C"/>
    <w:rsid w:val="4A4424D7"/>
    <w:rsid w:val="4AB82D0F"/>
    <w:rsid w:val="4ADB0296"/>
    <w:rsid w:val="4AEB7664"/>
    <w:rsid w:val="4AFD7C19"/>
    <w:rsid w:val="4B0567D1"/>
    <w:rsid w:val="4B236AAE"/>
    <w:rsid w:val="4B707271"/>
    <w:rsid w:val="4B7A1ED5"/>
    <w:rsid w:val="4B7F5462"/>
    <w:rsid w:val="4B9739F7"/>
    <w:rsid w:val="4BEE2503"/>
    <w:rsid w:val="4C245A30"/>
    <w:rsid w:val="4CB6685F"/>
    <w:rsid w:val="4CC367FE"/>
    <w:rsid w:val="4D077F3C"/>
    <w:rsid w:val="4D123355"/>
    <w:rsid w:val="4D2A3B31"/>
    <w:rsid w:val="4D312C52"/>
    <w:rsid w:val="4D905305"/>
    <w:rsid w:val="4D964A72"/>
    <w:rsid w:val="4D9C1254"/>
    <w:rsid w:val="4D9F67DB"/>
    <w:rsid w:val="4E1F4272"/>
    <w:rsid w:val="4E785B25"/>
    <w:rsid w:val="4E793892"/>
    <w:rsid w:val="4E800872"/>
    <w:rsid w:val="4EC569ED"/>
    <w:rsid w:val="4ECC713B"/>
    <w:rsid w:val="4ED50EA1"/>
    <w:rsid w:val="4EEC050C"/>
    <w:rsid w:val="4F104EC3"/>
    <w:rsid w:val="4F47354A"/>
    <w:rsid w:val="4F911C54"/>
    <w:rsid w:val="4FA96F84"/>
    <w:rsid w:val="4FE625E0"/>
    <w:rsid w:val="4FE90C18"/>
    <w:rsid w:val="5021480F"/>
    <w:rsid w:val="505B1B62"/>
    <w:rsid w:val="506B521D"/>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F612FD"/>
    <w:rsid w:val="54013861"/>
    <w:rsid w:val="54162DA0"/>
    <w:rsid w:val="54300A9C"/>
    <w:rsid w:val="54413194"/>
    <w:rsid w:val="54487265"/>
    <w:rsid w:val="544D6070"/>
    <w:rsid w:val="54605E1E"/>
    <w:rsid w:val="54B3506A"/>
    <w:rsid w:val="54CA0D16"/>
    <w:rsid w:val="54DD4057"/>
    <w:rsid w:val="54E7490F"/>
    <w:rsid w:val="550764A4"/>
    <w:rsid w:val="550B2BF6"/>
    <w:rsid w:val="55214EB5"/>
    <w:rsid w:val="55364EFD"/>
    <w:rsid w:val="553A523E"/>
    <w:rsid w:val="555D4828"/>
    <w:rsid w:val="557A4C8B"/>
    <w:rsid w:val="558931E1"/>
    <w:rsid w:val="55923347"/>
    <w:rsid w:val="55925180"/>
    <w:rsid w:val="55983B1B"/>
    <w:rsid w:val="55A8376B"/>
    <w:rsid w:val="55DC29B6"/>
    <w:rsid w:val="55DD4241"/>
    <w:rsid w:val="566B6D1E"/>
    <w:rsid w:val="56DA1968"/>
    <w:rsid w:val="57032A2C"/>
    <w:rsid w:val="570F5219"/>
    <w:rsid w:val="5713002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77B6F"/>
    <w:rsid w:val="58AE4F0C"/>
    <w:rsid w:val="58B85899"/>
    <w:rsid w:val="58E363A9"/>
    <w:rsid w:val="595E1678"/>
    <w:rsid w:val="596D5BD4"/>
    <w:rsid w:val="597E3DD8"/>
    <w:rsid w:val="59B2319C"/>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B303E5"/>
    <w:rsid w:val="5C02690E"/>
    <w:rsid w:val="5C196DA7"/>
    <w:rsid w:val="5C2A048C"/>
    <w:rsid w:val="5C443A62"/>
    <w:rsid w:val="5C80234E"/>
    <w:rsid w:val="5C8A680C"/>
    <w:rsid w:val="5CA92363"/>
    <w:rsid w:val="5D0C4701"/>
    <w:rsid w:val="5D0F0395"/>
    <w:rsid w:val="5D221076"/>
    <w:rsid w:val="5D397964"/>
    <w:rsid w:val="5D5906F6"/>
    <w:rsid w:val="5D5A391C"/>
    <w:rsid w:val="5D5C6DE0"/>
    <w:rsid w:val="5D5F10C0"/>
    <w:rsid w:val="5D891B7B"/>
    <w:rsid w:val="5DAD38EE"/>
    <w:rsid w:val="5DB114B4"/>
    <w:rsid w:val="5DD44371"/>
    <w:rsid w:val="5E006862"/>
    <w:rsid w:val="5E0207B9"/>
    <w:rsid w:val="5E1834A1"/>
    <w:rsid w:val="5E261785"/>
    <w:rsid w:val="5E4A7017"/>
    <w:rsid w:val="5E552BBA"/>
    <w:rsid w:val="5E611C10"/>
    <w:rsid w:val="5EFC7377"/>
    <w:rsid w:val="5F06174D"/>
    <w:rsid w:val="5F2F0051"/>
    <w:rsid w:val="5F3A3602"/>
    <w:rsid w:val="5F5F0972"/>
    <w:rsid w:val="5F6277C6"/>
    <w:rsid w:val="5F6D0B1D"/>
    <w:rsid w:val="5F8D0B82"/>
    <w:rsid w:val="5F8F0CAC"/>
    <w:rsid w:val="5FCC5339"/>
    <w:rsid w:val="5FE34A5B"/>
    <w:rsid w:val="5FFE1E36"/>
    <w:rsid w:val="60232584"/>
    <w:rsid w:val="607330CE"/>
    <w:rsid w:val="60825176"/>
    <w:rsid w:val="609C6191"/>
    <w:rsid w:val="609F2AC4"/>
    <w:rsid w:val="60AC60D4"/>
    <w:rsid w:val="60E77266"/>
    <w:rsid w:val="60FA2EE8"/>
    <w:rsid w:val="61054A27"/>
    <w:rsid w:val="610A52BC"/>
    <w:rsid w:val="611D2366"/>
    <w:rsid w:val="61421856"/>
    <w:rsid w:val="615227C4"/>
    <w:rsid w:val="61654E3F"/>
    <w:rsid w:val="6182292A"/>
    <w:rsid w:val="619F7F92"/>
    <w:rsid w:val="61F94C26"/>
    <w:rsid w:val="61FD02D3"/>
    <w:rsid w:val="62000E56"/>
    <w:rsid w:val="624F3E49"/>
    <w:rsid w:val="62632286"/>
    <w:rsid w:val="62885958"/>
    <w:rsid w:val="62F40B65"/>
    <w:rsid w:val="62FC2CFE"/>
    <w:rsid w:val="63024505"/>
    <w:rsid w:val="635B1DB5"/>
    <w:rsid w:val="63711FED"/>
    <w:rsid w:val="63880DDC"/>
    <w:rsid w:val="638D750D"/>
    <w:rsid w:val="63AC6CC0"/>
    <w:rsid w:val="63D27965"/>
    <w:rsid w:val="64055776"/>
    <w:rsid w:val="64240056"/>
    <w:rsid w:val="643E143A"/>
    <w:rsid w:val="648B6EEF"/>
    <w:rsid w:val="64C158BF"/>
    <w:rsid w:val="64CE2EAA"/>
    <w:rsid w:val="650A6582"/>
    <w:rsid w:val="653C3090"/>
    <w:rsid w:val="65854376"/>
    <w:rsid w:val="658767BE"/>
    <w:rsid w:val="65892531"/>
    <w:rsid w:val="66195831"/>
    <w:rsid w:val="662C25B1"/>
    <w:rsid w:val="662E75B1"/>
    <w:rsid w:val="66342C2E"/>
    <w:rsid w:val="663E784C"/>
    <w:rsid w:val="668B6A45"/>
    <w:rsid w:val="672F3F24"/>
    <w:rsid w:val="673E055F"/>
    <w:rsid w:val="67551CE3"/>
    <w:rsid w:val="67A22552"/>
    <w:rsid w:val="67B22DCC"/>
    <w:rsid w:val="67BE71AA"/>
    <w:rsid w:val="67D90273"/>
    <w:rsid w:val="67DE5875"/>
    <w:rsid w:val="67E21817"/>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30977"/>
    <w:rsid w:val="6A7F34A1"/>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55457"/>
    <w:rsid w:val="6D4772EC"/>
    <w:rsid w:val="6D4A082B"/>
    <w:rsid w:val="6D9078AF"/>
    <w:rsid w:val="6DAA3FEF"/>
    <w:rsid w:val="6DC0172B"/>
    <w:rsid w:val="6DCB690C"/>
    <w:rsid w:val="6DD41A5B"/>
    <w:rsid w:val="6DF43C2E"/>
    <w:rsid w:val="6DF51CA3"/>
    <w:rsid w:val="6E8335BD"/>
    <w:rsid w:val="6E8E12EF"/>
    <w:rsid w:val="6E972936"/>
    <w:rsid w:val="6EC849EA"/>
    <w:rsid w:val="6ED446C5"/>
    <w:rsid w:val="6F2A7D94"/>
    <w:rsid w:val="6F3C108A"/>
    <w:rsid w:val="6F8331F1"/>
    <w:rsid w:val="6FAE1A09"/>
    <w:rsid w:val="6FD75BF8"/>
    <w:rsid w:val="70707C09"/>
    <w:rsid w:val="707723D0"/>
    <w:rsid w:val="70F5661B"/>
    <w:rsid w:val="71360107"/>
    <w:rsid w:val="713B688E"/>
    <w:rsid w:val="71BC13FE"/>
    <w:rsid w:val="71D43752"/>
    <w:rsid w:val="71F1796A"/>
    <w:rsid w:val="72154626"/>
    <w:rsid w:val="72262B5D"/>
    <w:rsid w:val="72283FF7"/>
    <w:rsid w:val="722E7212"/>
    <w:rsid w:val="723A0474"/>
    <w:rsid w:val="725923E4"/>
    <w:rsid w:val="725F320A"/>
    <w:rsid w:val="72864BF7"/>
    <w:rsid w:val="729023FC"/>
    <w:rsid w:val="72AC7A0E"/>
    <w:rsid w:val="733814C9"/>
    <w:rsid w:val="73582084"/>
    <w:rsid w:val="73C0646E"/>
    <w:rsid w:val="742222F5"/>
    <w:rsid w:val="74476126"/>
    <w:rsid w:val="74706664"/>
    <w:rsid w:val="747F3682"/>
    <w:rsid w:val="749C4185"/>
    <w:rsid w:val="75067759"/>
    <w:rsid w:val="752E6DCD"/>
    <w:rsid w:val="7551380D"/>
    <w:rsid w:val="75600BE5"/>
    <w:rsid w:val="7564475C"/>
    <w:rsid w:val="7583797F"/>
    <w:rsid w:val="75A2599C"/>
    <w:rsid w:val="75CB0367"/>
    <w:rsid w:val="75D20F1D"/>
    <w:rsid w:val="75DA2C18"/>
    <w:rsid w:val="75F54412"/>
    <w:rsid w:val="761D08E0"/>
    <w:rsid w:val="765D347C"/>
    <w:rsid w:val="76642118"/>
    <w:rsid w:val="76826699"/>
    <w:rsid w:val="76C87133"/>
    <w:rsid w:val="76CD08D5"/>
    <w:rsid w:val="76DB4B92"/>
    <w:rsid w:val="77052AA4"/>
    <w:rsid w:val="77136511"/>
    <w:rsid w:val="77340A39"/>
    <w:rsid w:val="77351FD0"/>
    <w:rsid w:val="77472422"/>
    <w:rsid w:val="777F31F2"/>
    <w:rsid w:val="77A141FA"/>
    <w:rsid w:val="77A15B74"/>
    <w:rsid w:val="77D1700D"/>
    <w:rsid w:val="77EC04CC"/>
    <w:rsid w:val="780954C8"/>
    <w:rsid w:val="7840366D"/>
    <w:rsid w:val="78775729"/>
    <w:rsid w:val="78A42DB0"/>
    <w:rsid w:val="78A656AB"/>
    <w:rsid w:val="78B2245C"/>
    <w:rsid w:val="78E172CC"/>
    <w:rsid w:val="78EA1D1F"/>
    <w:rsid w:val="7904172F"/>
    <w:rsid w:val="790F7E27"/>
    <w:rsid w:val="792A231A"/>
    <w:rsid w:val="79316829"/>
    <w:rsid w:val="797E66A9"/>
    <w:rsid w:val="79A97383"/>
    <w:rsid w:val="79BE5307"/>
    <w:rsid w:val="79E27E8B"/>
    <w:rsid w:val="79F850CE"/>
    <w:rsid w:val="79FD443C"/>
    <w:rsid w:val="7A1D1975"/>
    <w:rsid w:val="7A3E5150"/>
    <w:rsid w:val="7A4670D6"/>
    <w:rsid w:val="7A534B63"/>
    <w:rsid w:val="7A615382"/>
    <w:rsid w:val="7A67303B"/>
    <w:rsid w:val="7AAB1D04"/>
    <w:rsid w:val="7ABA4368"/>
    <w:rsid w:val="7AD05746"/>
    <w:rsid w:val="7AD73709"/>
    <w:rsid w:val="7B257FFD"/>
    <w:rsid w:val="7B343476"/>
    <w:rsid w:val="7B5A2978"/>
    <w:rsid w:val="7B5A7E4C"/>
    <w:rsid w:val="7B667AF9"/>
    <w:rsid w:val="7B7468F8"/>
    <w:rsid w:val="7B7B314D"/>
    <w:rsid w:val="7BEE0103"/>
    <w:rsid w:val="7C0A0FE4"/>
    <w:rsid w:val="7C254906"/>
    <w:rsid w:val="7C2C7246"/>
    <w:rsid w:val="7C590818"/>
    <w:rsid w:val="7C7C10F6"/>
    <w:rsid w:val="7C853BEA"/>
    <w:rsid w:val="7C881368"/>
    <w:rsid w:val="7CBE4AD3"/>
    <w:rsid w:val="7CE27788"/>
    <w:rsid w:val="7D0C32F1"/>
    <w:rsid w:val="7D0F408D"/>
    <w:rsid w:val="7D491C6C"/>
    <w:rsid w:val="7D5429C0"/>
    <w:rsid w:val="7D6E6D43"/>
    <w:rsid w:val="7DB57A34"/>
    <w:rsid w:val="7DD87586"/>
    <w:rsid w:val="7DE60973"/>
    <w:rsid w:val="7DEF0916"/>
    <w:rsid w:val="7DF06F0E"/>
    <w:rsid w:val="7E1E5218"/>
    <w:rsid w:val="7E9A4E1F"/>
    <w:rsid w:val="7EA7723A"/>
    <w:rsid w:val="7EC469CB"/>
    <w:rsid w:val="7EF56FBB"/>
    <w:rsid w:val="7F0768EB"/>
    <w:rsid w:val="7F143BEC"/>
    <w:rsid w:val="7F715AF2"/>
    <w:rsid w:val="7F886E69"/>
    <w:rsid w:val="7FD309D8"/>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8"/>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8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2"/>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4"/>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5"/>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7"/>
    <w:qFormat/>
    <w:uiPriority w:val="99"/>
    <w:pPr>
      <w:keepNext/>
      <w:keepLines/>
      <w:tabs>
        <w:tab w:val="left" w:pos="1296"/>
      </w:tabs>
      <w:spacing w:before="240" w:after="64" w:line="320" w:lineRule="auto"/>
      <w:ind w:left="1296" w:hanging="1296"/>
      <w:outlineLvl w:val="6"/>
    </w:pPr>
    <w:rPr>
      <w:b/>
      <w:sz w:val="24"/>
      <w:szCs w:val="20"/>
    </w:rPr>
  </w:style>
  <w:style w:type="paragraph" w:styleId="12">
    <w:name w:val="heading 8"/>
    <w:basedOn w:val="1"/>
    <w:next w:val="1"/>
    <w:link w:val="87"/>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88"/>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Times New Roman"/>
      <w:sz w:val="24"/>
      <w:szCs w:val="22"/>
      <w:lang w:val="zh-CN" w:eastAsia="zh-CN" w:bidi="ar-SA"/>
    </w:rPr>
  </w:style>
  <w:style w:type="paragraph" w:styleId="6">
    <w:name w:val="Normal Indent"/>
    <w:basedOn w:val="1"/>
    <w:next w:val="7"/>
    <w:link w:val="212"/>
    <w:qFormat/>
    <w:uiPriority w:val="99"/>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89"/>
    <w:qFormat/>
    <w:uiPriority w:val="0"/>
    <w:pPr>
      <w:spacing w:line="480" w:lineRule="exact"/>
      <w:ind w:firstLine="480" w:firstLineChars="200"/>
    </w:pPr>
    <w:rPr>
      <w:rFonts w:ascii="宋体" w:hAnsi="宋体"/>
      <w:sz w:val="24"/>
    </w:rPr>
  </w:style>
  <w:style w:type="paragraph" w:styleId="14">
    <w:name w:val="toc 7"/>
    <w:basedOn w:val="1"/>
    <w:next w:val="1"/>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46"/>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21"/>
    <w:qFormat/>
    <w:uiPriority w:val="99"/>
    <w:pPr>
      <w:shd w:val="clear" w:color="auto" w:fill="000080"/>
    </w:pPr>
    <w:rPr>
      <w:sz w:val="24"/>
      <w:szCs w:val="20"/>
    </w:rPr>
  </w:style>
  <w:style w:type="paragraph" w:styleId="21">
    <w:name w:val="annotation text"/>
    <w:basedOn w:val="1"/>
    <w:link w:val="349"/>
    <w:qFormat/>
    <w:uiPriority w:val="99"/>
    <w:pPr>
      <w:jc w:val="left"/>
    </w:pPr>
    <w:rPr>
      <w:sz w:val="24"/>
      <w:szCs w:val="20"/>
    </w:rPr>
  </w:style>
  <w:style w:type="paragraph" w:styleId="22">
    <w:name w:val="Salutation"/>
    <w:basedOn w:val="1"/>
    <w:next w:val="1"/>
    <w:link w:val="93"/>
    <w:qFormat/>
    <w:uiPriority w:val="99"/>
    <w:rPr>
      <w:rFonts w:ascii="仿宋_GB2312" w:eastAsia="仿宋_GB2312"/>
      <w:sz w:val="28"/>
      <w:szCs w:val="20"/>
    </w:rPr>
  </w:style>
  <w:style w:type="paragraph" w:styleId="23">
    <w:name w:val="Body Text 3"/>
    <w:basedOn w:val="1"/>
    <w:link w:val="94"/>
    <w:qFormat/>
    <w:uiPriority w:val="99"/>
    <w:pPr>
      <w:jc w:val="center"/>
    </w:pPr>
    <w:rPr>
      <w:szCs w:val="20"/>
    </w:rPr>
  </w:style>
  <w:style w:type="paragraph" w:styleId="24">
    <w:name w:val="List Bullet 3"/>
    <w:basedOn w:val="1"/>
    <w:qFormat/>
    <w:uiPriority w:val="99"/>
    <w:pPr>
      <w:snapToGrid w:val="0"/>
      <w:spacing w:line="360" w:lineRule="auto"/>
      <w:ind w:left="360" w:right="238" w:hanging="360"/>
      <w:contextualSpacing/>
    </w:pPr>
    <w:rPr>
      <w:sz w:val="24"/>
    </w:rPr>
  </w:style>
  <w:style w:type="paragraph" w:styleId="25">
    <w:name w:val="Body Text"/>
    <w:basedOn w:val="1"/>
    <w:next w:val="26"/>
    <w:link w:val="95"/>
    <w:qFormat/>
    <w:uiPriority w:val="99"/>
    <w:pPr>
      <w:autoSpaceDE w:val="0"/>
      <w:autoSpaceDN w:val="0"/>
      <w:spacing w:line="360" w:lineRule="auto"/>
    </w:pPr>
    <w:rPr>
      <w:rFonts w:ascii="宋体" w:hAnsi="Arial" w:cs="Arial"/>
      <w:sz w:val="24"/>
      <w:szCs w:val="21"/>
      <w:lang w:val="zh-CN"/>
    </w:rPr>
  </w:style>
  <w:style w:type="paragraph" w:styleId="26">
    <w:name w:val="Body Text First Indent"/>
    <w:basedOn w:val="25"/>
    <w:next w:val="1"/>
    <w:link w:val="96"/>
    <w:qFormat/>
    <w:uiPriority w:val="99"/>
    <w:pPr>
      <w:ind w:firstLine="420"/>
    </w:pPr>
    <w:rPr>
      <w:rFonts w:hAnsi="Times New Roman" w:cs="Times New Roman"/>
      <w:szCs w:val="20"/>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97"/>
    <w:qFormat/>
    <w:uiPriority w:val="99"/>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1"/>
    <w:link w:val="98"/>
    <w:qFormat/>
    <w:uiPriority w:val="99"/>
    <w:rPr>
      <w:rFonts w:ascii="宋体" w:hAnsi="Courier New" w:cs="Arial"/>
      <w:szCs w:val="21"/>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99"/>
    <w:qFormat/>
    <w:uiPriority w:val="99"/>
    <w:pPr>
      <w:ind w:left="100" w:leftChars="2500"/>
    </w:pPr>
    <w:rPr>
      <w:rFonts w:ascii="宋体"/>
      <w:sz w:val="24"/>
      <w:szCs w:val="21"/>
      <w:lang w:val="zh-CN"/>
    </w:rPr>
  </w:style>
  <w:style w:type="paragraph" w:styleId="38">
    <w:name w:val="Body Text Indent 2"/>
    <w:basedOn w:val="1"/>
    <w:link w:val="100"/>
    <w:qFormat/>
    <w:uiPriority w:val="99"/>
    <w:pPr>
      <w:spacing w:line="360" w:lineRule="auto"/>
      <w:ind w:firstLine="601"/>
      <w:textAlignment w:val="baseline"/>
    </w:pPr>
    <w:rPr>
      <w:rFonts w:ascii="宋体"/>
      <w:kern w:val="0"/>
      <w:sz w:val="28"/>
      <w:szCs w:val="20"/>
    </w:rPr>
  </w:style>
  <w:style w:type="paragraph" w:styleId="39">
    <w:name w:val="endnote text"/>
    <w:basedOn w:val="1"/>
    <w:link w:val="101"/>
    <w:qFormat/>
    <w:uiPriority w:val="99"/>
    <w:rPr>
      <w:lang w:val="zh-CN"/>
    </w:rPr>
  </w:style>
  <w:style w:type="paragraph" w:styleId="40">
    <w:name w:val="Balloon Text"/>
    <w:basedOn w:val="1"/>
    <w:link w:val="207"/>
    <w:qFormat/>
    <w:uiPriority w:val="99"/>
    <w:rPr>
      <w:sz w:val="18"/>
      <w:szCs w:val="20"/>
    </w:rPr>
  </w:style>
  <w:style w:type="paragraph" w:styleId="41">
    <w:name w:val="footer"/>
    <w:basedOn w:val="1"/>
    <w:link w:val="385"/>
    <w:qFormat/>
    <w:uiPriority w:val="99"/>
    <w:pPr>
      <w:tabs>
        <w:tab w:val="center" w:pos="4153"/>
        <w:tab w:val="right" w:pos="8306"/>
      </w:tabs>
      <w:snapToGrid w:val="0"/>
      <w:jc w:val="left"/>
    </w:pPr>
    <w:rPr>
      <w:sz w:val="18"/>
      <w:szCs w:val="20"/>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05"/>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99"/>
  </w:style>
  <w:style w:type="paragraph" w:styleId="45">
    <w:name w:val="toc 4"/>
    <w:basedOn w:val="1"/>
    <w:next w:val="1"/>
    <w:qFormat/>
    <w:uiPriority w:val="99"/>
    <w:pPr>
      <w:ind w:left="1260" w:leftChars="600"/>
    </w:pPr>
  </w:style>
  <w:style w:type="paragraph" w:styleId="46">
    <w:name w:val="index heading"/>
    <w:basedOn w:val="1"/>
    <w:next w:val="47"/>
    <w:qFormat/>
    <w:uiPriority w:val="99"/>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basedOn w:val="1"/>
    <w:link w:val="106"/>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99"/>
    <w:pPr>
      <w:ind w:left="200" w:hanging="200" w:hangingChars="200"/>
    </w:pPr>
  </w:style>
  <w:style w:type="paragraph" w:styleId="51">
    <w:name w:val="footnote text"/>
    <w:basedOn w:val="6"/>
    <w:link w:val="107"/>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08"/>
    <w:qFormat/>
    <w:uiPriority w:val="99"/>
    <w:pPr>
      <w:spacing w:line="360" w:lineRule="auto"/>
      <w:ind w:firstLine="420"/>
    </w:pPr>
    <w:rPr>
      <w:sz w:val="24"/>
      <w:szCs w:val="20"/>
    </w:r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09"/>
    <w:qFormat/>
    <w:uiPriority w:val="99"/>
    <w:pPr>
      <w:spacing w:after="120" w:line="480" w:lineRule="auto"/>
    </w:pPr>
  </w:style>
  <w:style w:type="paragraph" w:styleId="58">
    <w:name w:val="HTML Preformatted"/>
    <w:basedOn w:val="1"/>
    <w:link w:val="1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1"/>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12"/>
    <w:qFormat/>
    <w:uiPriority w:val="99"/>
    <w:rPr>
      <w:b/>
      <w:bCs/>
    </w:rPr>
  </w:style>
  <w:style w:type="paragraph" w:styleId="62">
    <w:name w:val="Body Text First Indent 2"/>
    <w:basedOn w:val="7"/>
    <w:next w:val="1"/>
    <w:link w:val="90"/>
    <w:qFormat/>
    <w:uiPriority w:val="99"/>
    <w:pPr>
      <w:adjustRightInd/>
      <w:spacing w:after="120" w:line="240" w:lineRule="auto"/>
      <w:ind w:left="420" w:leftChars="200" w:firstLine="21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99"/>
    <w:rPr>
      <w:rFonts w:cs="Times New Roman"/>
      <w:b/>
    </w:rPr>
  </w:style>
  <w:style w:type="character" w:styleId="72">
    <w:name w:val="endnote reference"/>
    <w:qFormat/>
    <w:uiPriority w:val="99"/>
    <w:rPr>
      <w:rFonts w:cs="Times New Roman"/>
      <w:vertAlign w:val="superscript"/>
    </w:rPr>
  </w:style>
  <w:style w:type="character" w:styleId="73">
    <w:name w:val="page number"/>
    <w:qFormat/>
    <w:uiPriority w:val="99"/>
    <w:rPr>
      <w:rFonts w:ascii="Arial" w:hAnsi="Arial" w:eastAsia="黑体" w:cs="Arial"/>
      <w:snapToGrid w:val="0"/>
      <w:kern w:val="0"/>
      <w:sz w:val="21"/>
      <w:szCs w:val="21"/>
    </w:rPr>
  </w:style>
  <w:style w:type="character" w:styleId="74">
    <w:name w:val="FollowedHyperlink"/>
    <w:qFormat/>
    <w:uiPriority w:val="99"/>
    <w:rPr>
      <w:rFonts w:ascii="Arial" w:hAnsi="Arial" w:eastAsia="黑体" w:cs="Times New Roman"/>
      <w:snapToGrid w:val="0"/>
      <w:color w:val="000000"/>
      <w:kern w:val="0"/>
      <w:sz w:val="18"/>
      <w:u w:val="none"/>
    </w:rPr>
  </w:style>
  <w:style w:type="character" w:styleId="75">
    <w:name w:val="Emphasis"/>
    <w:qFormat/>
    <w:uiPriority w:val="99"/>
    <w:rPr>
      <w:rFonts w:cs="Times New Roman"/>
      <w:color w:val="CC0033"/>
    </w:rPr>
  </w:style>
  <w:style w:type="character" w:styleId="76">
    <w:name w:val="line number"/>
    <w:qFormat/>
    <w:uiPriority w:val="99"/>
    <w:rPr>
      <w:rFonts w:ascii="Arial" w:hAnsi="Arial" w:eastAsia="黑体" w:cs="Arial"/>
      <w:snapToGrid w:val="0"/>
      <w:kern w:val="0"/>
      <w:sz w:val="21"/>
      <w:szCs w:val="21"/>
    </w:rPr>
  </w:style>
  <w:style w:type="character" w:styleId="77">
    <w:name w:val="Hyperlink"/>
    <w:qFormat/>
    <w:uiPriority w:val="99"/>
    <w:rPr>
      <w:rFonts w:ascii="Arial" w:hAnsi="Arial" w:eastAsia="黑体" w:cs="Times New Roman"/>
      <w:snapToGrid w:val="0"/>
      <w:color w:val="000000"/>
      <w:kern w:val="0"/>
      <w:sz w:val="18"/>
      <w:u w:val="none"/>
    </w:rPr>
  </w:style>
  <w:style w:type="character" w:styleId="78">
    <w:name w:val="HTML Code"/>
    <w:qFormat/>
    <w:uiPriority w:val="99"/>
    <w:rPr>
      <w:rFonts w:ascii="黑体" w:hAnsi="Courier New" w:eastAsia="黑体" w:cs="Times New Roman"/>
      <w:sz w:val="20"/>
    </w:rPr>
  </w:style>
  <w:style w:type="character" w:styleId="79">
    <w:name w:val="annotation reference"/>
    <w:qFormat/>
    <w:uiPriority w:val="99"/>
    <w:rPr>
      <w:rFonts w:cs="Times New Roman"/>
      <w:sz w:val="21"/>
    </w:rPr>
  </w:style>
  <w:style w:type="character" w:customStyle="1" w:styleId="80">
    <w:name w:val="Heading 1 Char"/>
    <w:qFormat/>
    <w:locked/>
    <w:uiPriority w:val="99"/>
    <w:rPr>
      <w:rFonts w:ascii="Times New Roman" w:hAnsi="Times New Roman" w:eastAsia="黑体" w:cs="Times New Roman"/>
      <w:b/>
      <w:kern w:val="0"/>
      <w:sz w:val="24"/>
    </w:rPr>
  </w:style>
  <w:style w:type="character" w:customStyle="1" w:styleId="81">
    <w:name w:val="标题 2 Char1"/>
    <w:link w:val="4"/>
    <w:semiHidden/>
    <w:qFormat/>
    <w:locked/>
    <w:uiPriority w:val="99"/>
    <w:rPr>
      <w:rFonts w:ascii="Cambria" w:hAnsi="Cambria" w:eastAsia="宋体" w:cs="Times New Roman"/>
      <w:b/>
      <w:bCs/>
      <w:sz w:val="32"/>
      <w:szCs w:val="32"/>
    </w:rPr>
  </w:style>
  <w:style w:type="character" w:customStyle="1" w:styleId="82">
    <w:name w:val="标题 3 Char"/>
    <w:link w:val="5"/>
    <w:semiHidden/>
    <w:qFormat/>
    <w:locked/>
    <w:uiPriority w:val="99"/>
    <w:rPr>
      <w:rFonts w:cs="Times New Roman"/>
      <w:b/>
      <w:bCs/>
      <w:sz w:val="32"/>
      <w:szCs w:val="32"/>
    </w:rPr>
  </w:style>
  <w:style w:type="character" w:customStyle="1" w:styleId="83">
    <w:name w:val="标题 4 Char2"/>
    <w:link w:val="8"/>
    <w:qFormat/>
    <w:locked/>
    <w:uiPriority w:val="99"/>
    <w:rPr>
      <w:rFonts w:ascii="Arial" w:hAnsi="Arial" w:eastAsia="黑体" w:cs="Times New Roman"/>
      <w:b/>
      <w:kern w:val="2"/>
      <w:sz w:val="28"/>
      <w:lang w:val="zh-CN"/>
    </w:rPr>
  </w:style>
  <w:style w:type="character" w:customStyle="1" w:styleId="84">
    <w:name w:val="标题 5 Char"/>
    <w:link w:val="9"/>
    <w:qFormat/>
    <w:locked/>
    <w:uiPriority w:val="99"/>
    <w:rPr>
      <w:rFonts w:cs="Times New Roman"/>
      <w:b/>
      <w:kern w:val="2"/>
      <w:sz w:val="28"/>
    </w:rPr>
  </w:style>
  <w:style w:type="character" w:customStyle="1" w:styleId="85">
    <w:name w:val="标题 6 Char"/>
    <w:link w:val="10"/>
    <w:qFormat/>
    <w:locked/>
    <w:uiPriority w:val="99"/>
    <w:rPr>
      <w:rFonts w:ascii="Arial" w:hAnsi="Arial" w:eastAsia="黑体" w:cs="Times New Roman"/>
      <w:b/>
      <w:kern w:val="2"/>
      <w:sz w:val="24"/>
    </w:rPr>
  </w:style>
  <w:style w:type="character" w:customStyle="1" w:styleId="86">
    <w:name w:val="Heading 7 Char"/>
    <w:qFormat/>
    <w:locked/>
    <w:uiPriority w:val="99"/>
    <w:rPr>
      <w:rFonts w:ascii="宋体" w:hAnsi="宋体" w:eastAsia="宋体" w:cs="Times New Roman"/>
      <w:b/>
      <w:kern w:val="2"/>
      <w:sz w:val="24"/>
      <w:lang w:val="en-US" w:eastAsia="zh-CN"/>
    </w:rPr>
  </w:style>
  <w:style w:type="character" w:customStyle="1" w:styleId="87">
    <w:name w:val="标题 8 Char"/>
    <w:link w:val="12"/>
    <w:qFormat/>
    <w:locked/>
    <w:uiPriority w:val="99"/>
    <w:rPr>
      <w:rFonts w:ascii="Arial" w:hAnsi="Arial" w:eastAsia="黑体" w:cs="Times New Roman"/>
      <w:kern w:val="2"/>
      <w:sz w:val="24"/>
    </w:rPr>
  </w:style>
  <w:style w:type="character" w:customStyle="1" w:styleId="88">
    <w:name w:val="标题 9 Char"/>
    <w:link w:val="13"/>
    <w:qFormat/>
    <w:locked/>
    <w:uiPriority w:val="99"/>
    <w:rPr>
      <w:rFonts w:ascii="Arial" w:hAnsi="Arial" w:eastAsia="黑体" w:cs="Times New Roman"/>
      <w:kern w:val="2"/>
      <w:sz w:val="21"/>
    </w:rPr>
  </w:style>
  <w:style w:type="character" w:customStyle="1" w:styleId="89">
    <w:name w:val="正文文本缩进 Char3"/>
    <w:link w:val="7"/>
    <w:qFormat/>
    <w:locked/>
    <w:uiPriority w:val="0"/>
    <w:rPr>
      <w:rFonts w:ascii="宋体" w:eastAsia="宋体" w:cs="Times New Roman"/>
      <w:kern w:val="2"/>
      <w:sz w:val="24"/>
    </w:rPr>
  </w:style>
  <w:style w:type="character" w:customStyle="1" w:styleId="90">
    <w:name w:val="正文首行缩进 2 Char"/>
    <w:link w:val="62"/>
    <w:qFormat/>
    <w:locked/>
    <w:uiPriority w:val="99"/>
    <w:rPr>
      <w:rFonts w:ascii="宋体" w:eastAsia="宋体" w:cs="Times New Roman"/>
      <w:kern w:val="2"/>
      <w:sz w:val="24"/>
    </w:rPr>
  </w:style>
  <w:style w:type="character" w:customStyle="1" w:styleId="91">
    <w:name w:val="Document Map Char"/>
    <w:qFormat/>
    <w:locked/>
    <w:uiPriority w:val="99"/>
    <w:rPr>
      <w:rFonts w:eastAsia="宋体" w:cs="Times New Roman"/>
      <w:kern w:val="2"/>
      <w:sz w:val="24"/>
      <w:lang w:val="en-US" w:eastAsia="zh-CN"/>
    </w:rPr>
  </w:style>
  <w:style w:type="character" w:customStyle="1" w:styleId="92">
    <w:name w:val="Comment Text Char"/>
    <w:qFormat/>
    <w:locked/>
    <w:uiPriority w:val="99"/>
    <w:rPr>
      <w:rFonts w:ascii="宋体" w:hAnsi="宋体" w:eastAsia="宋体" w:cs="Times New Roman"/>
      <w:kern w:val="2"/>
      <w:sz w:val="24"/>
      <w:lang w:val="en-US" w:eastAsia="zh-CN"/>
    </w:rPr>
  </w:style>
  <w:style w:type="character" w:customStyle="1" w:styleId="93">
    <w:name w:val="称呼 Char"/>
    <w:link w:val="22"/>
    <w:qFormat/>
    <w:locked/>
    <w:uiPriority w:val="99"/>
    <w:rPr>
      <w:rFonts w:ascii="仿宋_GB2312" w:eastAsia="仿宋_GB2312" w:cs="Times New Roman"/>
      <w:kern w:val="2"/>
      <w:sz w:val="28"/>
    </w:rPr>
  </w:style>
  <w:style w:type="character" w:customStyle="1" w:styleId="94">
    <w:name w:val="正文文本 3 Char"/>
    <w:link w:val="23"/>
    <w:qFormat/>
    <w:locked/>
    <w:uiPriority w:val="99"/>
    <w:rPr>
      <w:rFonts w:cs="Times New Roman"/>
      <w:kern w:val="2"/>
      <w:sz w:val="21"/>
    </w:rPr>
  </w:style>
  <w:style w:type="character" w:customStyle="1" w:styleId="95">
    <w:name w:val="正文文本 Char1"/>
    <w:link w:val="25"/>
    <w:qFormat/>
    <w:locked/>
    <w:uiPriority w:val="99"/>
    <w:rPr>
      <w:rFonts w:ascii="宋体" w:hAnsi="Arial" w:eastAsia="宋体" w:cs="Times New Roman"/>
      <w:snapToGrid w:val="0"/>
      <w:kern w:val="2"/>
      <w:sz w:val="21"/>
      <w:lang w:val="zh-CN" w:eastAsia="zh-CN"/>
    </w:rPr>
  </w:style>
  <w:style w:type="character" w:customStyle="1" w:styleId="96">
    <w:name w:val="正文首行缩进 Char"/>
    <w:link w:val="26"/>
    <w:qFormat/>
    <w:locked/>
    <w:uiPriority w:val="99"/>
    <w:rPr>
      <w:rFonts w:ascii="宋体" w:hAnsi="Arial" w:eastAsia="宋体" w:cs="Times New Roman"/>
      <w:snapToGrid w:val="0"/>
      <w:kern w:val="2"/>
      <w:sz w:val="24"/>
      <w:lang w:val="zh-CN" w:eastAsia="zh-CN"/>
    </w:rPr>
  </w:style>
  <w:style w:type="character" w:customStyle="1" w:styleId="97">
    <w:name w:val="HTML 地址 Char"/>
    <w:link w:val="31"/>
    <w:qFormat/>
    <w:locked/>
    <w:uiPriority w:val="99"/>
    <w:rPr>
      <w:rFonts w:ascii="宋体" w:eastAsia="宋体" w:cs="Times New Roman"/>
      <w:i/>
      <w:sz w:val="24"/>
    </w:rPr>
  </w:style>
  <w:style w:type="character" w:customStyle="1" w:styleId="98">
    <w:name w:val="纯文本 Char"/>
    <w:link w:val="34"/>
    <w:qFormat/>
    <w:locked/>
    <w:uiPriority w:val="99"/>
    <w:rPr>
      <w:rFonts w:ascii="宋体" w:hAnsi="Courier New" w:eastAsia="宋体" w:cs="Times New Roman"/>
      <w:snapToGrid w:val="0"/>
      <w:kern w:val="2"/>
      <w:sz w:val="21"/>
      <w:lang w:val="en-US" w:eastAsia="zh-CN"/>
    </w:rPr>
  </w:style>
  <w:style w:type="character" w:customStyle="1" w:styleId="99">
    <w:name w:val="日期 Char"/>
    <w:link w:val="37"/>
    <w:qFormat/>
    <w:locked/>
    <w:uiPriority w:val="99"/>
    <w:rPr>
      <w:rFonts w:ascii="宋体" w:cs="Times New Roman"/>
      <w:kern w:val="2"/>
      <w:sz w:val="21"/>
      <w:lang w:val="zh-CN"/>
    </w:rPr>
  </w:style>
  <w:style w:type="character" w:customStyle="1" w:styleId="100">
    <w:name w:val="正文文本缩进 2 Char"/>
    <w:link w:val="38"/>
    <w:qFormat/>
    <w:locked/>
    <w:uiPriority w:val="99"/>
    <w:rPr>
      <w:rFonts w:ascii="宋体" w:cs="Times New Roman"/>
      <w:sz w:val="28"/>
    </w:rPr>
  </w:style>
  <w:style w:type="character" w:customStyle="1" w:styleId="101">
    <w:name w:val="尾注文本 Char"/>
    <w:link w:val="39"/>
    <w:qFormat/>
    <w:locked/>
    <w:uiPriority w:val="99"/>
    <w:rPr>
      <w:rFonts w:cs="Times New Roman"/>
      <w:kern w:val="2"/>
      <w:sz w:val="24"/>
      <w:lang w:val="zh-CN"/>
    </w:rPr>
  </w:style>
  <w:style w:type="character" w:customStyle="1" w:styleId="102">
    <w:name w:val="Balloon Text Char"/>
    <w:qFormat/>
    <w:locked/>
    <w:uiPriority w:val="99"/>
    <w:rPr>
      <w:rFonts w:eastAsia="宋体" w:cs="Times New Roman"/>
      <w:kern w:val="2"/>
      <w:sz w:val="18"/>
      <w:lang w:val="en-US" w:eastAsia="zh-CN"/>
    </w:rPr>
  </w:style>
  <w:style w:type="character" w:customStyle="1" w:styleId="103">
    <w:name w:val="Footer Char"/>
    <w:qFormat/>
    <w:locked/>
    <w:uiPriority w:val="99"/>
    <w:rPr>
      <w:rFonts w:eastAsia="宋体" w:cs="Times New Roman"/>
      <w:kern w:val="2"/>
      <w:sz w:val="18"/>
      <w:lang w:val="en-US" w:eastAsia="zh-CN"/>
    </w:rPr>
  </w:style>
  <w:style w:type="character" w:customStyle="1" w:styleId="104">
    <w:name w:val="Header Char"/>
    <w:qFormat/>
    <w:locked/>
    <w:uiPriority w:val="99"/>
    <w:rPr>
      <w:rFonts w:eastAsia="宋体" w:cs="Times New Roman"/>
      <w:kern w:val="2"/>
      <w:sz w:val="18"/>
      <w:lang w:val="en-US" w:eastAsia="zh-CN"/>
    </w:rPr>
  </w:style>
  <w:style w:type="character" w:customStyle="1" w:styleId="105">
    <w:name w:val="签名 Char"/>
    <w:link w:val="43"/>
    <w:qFormat/>
    <w:locked/>
    <w:uiPriority w:val="99"/>
    <w:rPr>
      <w:rFonts w:eastAsia="仿宋_GB2312" w:cs="Times New Roman"/>
      <w:sz w:val="24"/>
    </w:rPr>
  </w:style>
  <w:style w:type="character" w:customStyle="1" w:styleId="106">
    <w:name w:val="副标题 Char"/>
    <w:link w:val="48"/>
    <w:qFormat/>
    <w:locked/>
    <w:uiPriority w:val="99"/>
    <w:rPr>
      <w:rFonts w:ascii="Arial" w:hAnsi="Arial" w:eastAsia="隶书" w:cs="Times New Roman"/>
      <w:b/>
      <w:kern w:val="28"/>
      <w:sz w:val="32"/>
      <w:lang w:val="en-US" w:eastAsia="zh-CN"/>
    </w:rPr>
  </w:style>
  <w:style w:type="character" w:customStyle="1" w:styleId="107">
    <w:name w:val="脚注文本 Char"/>
    <w:link w:val="51"/>
    <w:qFormat/>
    <w:locked/>
    <w:uiPriority w:val="99"/>
    <w:rPr>
      <w:rFonts w:cs="Times New Roman"/>
      <w:color w:val="0000FF"/>
      <w:sz w:val="21"/>
    </w:rPr>
  </w:style>
  <w:style w:type="character" w:customStyle="1" w:styleId="108">
    <w:name w:val="正文文本缩进 3 Char"/>
    <w:link w:val="54"/>
    <w:qFormat/>
    <w:locked/>
    <w:uiPriority w:val="99"/>
    <w:rPr>
      <w:rFonts w:cs="Times New Roman"/>
      <w:kern w:val="2"/>
      <w:sz w:val="24"/>
    </w:rPr>
  </w:style>
  <w:style w:type="character" w:customStyle="1" w:styleId="109">
    <w:name w:val="正文文本 2 Char1"/>
    <w:link w:val="57"/>
    <w:qFormat/>
    <w:locked/>
    <w:uiPriority w:val="99"/>
    <w:rPr>
      <w:rFonts w:cs="Times New Roman"/>
      <w:kern w:val="2"/>
      <w:sz w:val="24"/>
    </w:rPr>
  </w:style>
  <w:style w:type="character" w:customStyle="1" w:styleId="110">
    <w:name w:val="HTML 预设格式 Char"/>
    <w:link w:val="58"/>
    <w:qFormat/>
    <w:locked/>
    <w:uiPriority w:val="99"/>
    <w:rPr>
      <w:rFonts w:ascii="黑体" w:hAnsi="Courier New" w:eastAsia="黑体" w:cs="Times New Roman"/>
    </w:rPr>
  </w:style>
  <w:style w:type="character" w:customStyle="1" w:styleId="111">
    <w:name w:val="标题 Char2"/>
    <w:link w:val="60"/>
    <w:qFormat/>
    <w:locked/>
    <w:uiPriority w:val="99"/>
    <w:rPr>
      <w:rFonts w:cs="Times New Roman"/>
      <w:b/>
      <w:sz w:val="24"/>
      <w:lang w:val="en-GB"/>
    </w:rPr>
  </w:style>
  <w:style w:type="character" w:customStyle="1" w:styleId="112">
    <w:name w:val="批注主题 Char1"/>
    <w:link w:val="61"/>
    <w:qFormat/>
    <w:locked/>
    <w:uiPriority w:val="99"/>
    <w:rPr>
      <w:rFonts w:ascii="宋体" w:hAnsi="宋体" w:eastAsia="宋体" w:cs="Times New Roman"/>
      <w:b/>
      <w:kern w:val="2"/>
      <w:sz w:val="24"/>
      <w:lang w:val="en-US" w:eastAsia="zh-CN"/>
    </w:rPr>
  </w:style>
  <w:style w:type="character" w:customStyle="1" w:styleId="113">
    <w:name w:val="表格非标题文字 Char"/>
    <w:link w:val="114"/>
    <w:qFormat/>
    <w:locked/>
    <w:uiPriority w:val="99"/>
    <w:rPr>
      <w:rFonts w:ascii="Futura Bk" w:hAnsi="Futura Bk"/>
      <w:kern w:val="2"/>
      <w:sz w:val="18"/>
      <w:szCs w:val="21"/>
      <w:lang w:val="en-US" w:eastAsia="zh-CN" w:bidi="ar-SA"/>
    </w:rPr>
  </w:style>
  <w:style w:type="paragraph" w:customStyle="1" w:styleId="114">
    <w:name w:val="表格非标题文字"/>
    <w:link w:val="11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99"/>
    <w:rPr>
      <w:rFonts w:ascii="宋体" w:eastAsia="宋体"/>
      <w:sz w:val="24"/>
    </w:rPr>
  </w:style>
  <w:style w:type="paragraph" w:customStyle="1" w:styleId="116">
    <w:name w:val="*正文"/>
    <w:basedOn w:val="1"/>
    <w:link w:val="115"/>
    <w:qFormat/>
    <w:uiPriority w:val="99"/>
    <w:pPr>
      <w:snapToGrid w:val="0"/>
      <w:spacing w:line="360" w:lineRule="auto"/>
      <w:ind w:firstLine="482"/>
      <w:jc w:val="left"/>
    </w:pPr>
    <w:rPr>
      <w:rFonts w:ascii="宋体"/>
      <w:kern w:val="0"/>
      <w:sz w:val="24"/>
      <w:szCs w:val="20"/>
    </w:rPr>
  </w:style>
  <w:style w:type="character" w:customStyle="1" w:styleId="117">
    <w:name w:val="Char Char71"/>
    <w:semiHidden/>
    <w:qFormat/>
    <w:uiPriority w:val="99"/>
    <w:rPr>
      <w:rFonts w:eastAsia="宋体"/>
      <w:kern w:val="2"/>
      <w:sz w:val="24"/>
      <w:lang w:val="en-US" w:eastAsia="zh-CN"/>
    </w:rPr>
  </w:style>
  <w:style w:type="character" w:customStyle="1" w:styleId="118">
    <w:name w:val="Char Char6"/>
    <w:qFormat/>
    <w:uiPriority w:val="99"/>
    <w:rPr>
      <w:rFonts w:eastAsia="宋体"/>
      <w:kern w:val="2"/>
      <w:sz w:val="24"/>
      <w:lang w:val="en-US" w:eastAsia="zh-CN"/>
    </w:rPr>
  </w:style>
  <w:style w:type="character" w:customStyle="1" w:styleId="119">
    <w:name w:val="正文缩进 Char"/>
    <w:qFormat/>
    <w:uiPriority w:val="99"/>
    <w:rPr>
      <w:rFonts w:eastAsia="宋体"/>
      <w:kern w:val="2"/>
      <w:sz w:val="21"/>
      <w:lang w:val="en-US" w:eastAsia="zh-CN"/>
    </w:rPr>
  </w:style>
  <w:style w:type="character" w:customStyle="1" w:styleId="120">
    <w:name w:val="正文首行缩进 Char1"/>
    <w:qFormat/>
    <w:uiPriority w:val="99"/>
    <w:rPr>
      <w:rFonts w:ascii="宋体" w:hAnsi="Times New Roman" w:eastAsia="宋体"/>
      <w:snapToGrid w:val="0"/>
      <w:kern w:val="2"/>
      <w:sz w:val="21"/>
      <w:lang w:val="zh-CN"/>
    </w:rPr>
  </w:style>
  <w:style w:type="character" w:customStyle="1" w:styleId="121">
    <w:name w:val="Char Char28"/>
    <w:qFormat/>
    <w:uiPriority w:val="99"/>
    <w:rPr>
      <w:rFonts w:ascii="仿宋_GB2312" w:hAnsi="仿宋_GB2312" w:eastAsia="仿宋_GB2312"/>
      <w:kern w:val="1"/>
      <w:sz w:val="28"/>
    </w:rPr>
  </w:style>
  <w:style w:type="character" w:customStyle="1" w:styleId="122">
    <w:name w:val="标题 3 Char1"/>
    <w:qFormat/>
    <w:uiPriority w:val="99"/>
    <w:rPr>
      <w:rFonts w:ascii="华文中宋" w:hAnsi="华文中宋" w:eastAsia="华文中宋"/>
      <w:b/>
      <w:kern w:val="2"/>
      <w:sz w:val="32"/>
      <w:lang w:val="en-US" w:eastAsia="zh-CN"/>
    </w:rPr>
  </w:style>
  <w:style w:type="character" w:customStyle="1" w:styleId="123">
    <w:name w:val="U_正文 Char"/>
    <w:link w:val="124"/>
    <w:qFormat/>
    <w:locked/>
    <w:uiPriority w:val="99"/>
    <w:rPr>
      <w:sz w:val="24"/>
    </w:rPr>
  </w:style>
  <w:style w:type="paragraph" w:customStyle="1" w:styleId="124">
    <w:name w:val="U_正文"/>
    <w:basedOn w:val="1"/>
    <w:link w:val="123"/>
    <w:qFormat/>
    <w:uiPriority w:val="99"/>
    <w:pPr>
      <w:adjustRightInd/>
      <w:spacing w:beforeLines="20" w:afterLines="20" w:line="300" w:lineRule="auto"/>
      <w:ind w:firstLine="200" w:firstLineChars="200"/>
    </w:pPr>
    <w:rPr>
      <w:kern w:val="0"/>
      <w:sz w:val="24"/>
      <w:szCs w:val="20"/>
    </w:rPr>
  </w:style>
  <w:style w:type="character" w:customStyle="1" w:styleId="125">
    <w:name w:val="HTML 地址 Char1"/>
    <w:qFormat/>
    <w:uiPriority w:val="99"/>
    <w:rPr>
      <w:rFonts w:ascii="Times New Roman" w:hAnsi="Times New Roman" w:eastAsia="宋体"/>
      <w:i/>
      <w:sz w:val="24"/>
    </w:rPr>
  </w:style>
  <w:style w:type="character" w:customStyle="1" w:styleId="126">
    <w:name w:val="Char Char51"/>
    <w:qFormat/>
    <w:uiPriority w:val="99"/>
    <w:rPr>
      <w:rFonts w:ascii="宋体" w:hAnsi="Courier New" w:eastAsia="宋体"/>
      <w:kern w:val="2"/>
      <w:sz w:val="21"/>
      <w:lang w:val="en-US" w:eastAsia="zh-CN"/>
    </w:rPr>
  </w:style>
  <w:style w:type="character" w:customStyle="1" w:styleId="127">
    <w:name w:val="表正文 Char"/>
    <w:qFormat/>
    <w:uiPriority w:val="99"/>
    <w:rPr>
      <w:rFonts w:ascii="宋体" w:eastAsia="宋体"/>
      <w:snapToGrid w:val="0"/>
      <w:color w:val="000000"/>
      <w:kern w:val="28"/>
      <w:sz w:val="28"/>
      <w:lang w:val="en-US" w:eastAsia="zh-CN"/>
    </w:rPr>
  </w:style>
  <w:style w:type="character" w:customStyle="1" w:styleId="128">
    <w:name w:val="Char Char34"/>
    <w:qFormat/>
    <w:uiPriority w:val="99"/>
    <w:rPr>
      <w:b/>
      <w:kern w:val="1"/>
      <w:sz w:val="28"/>
    </w:rPr>
  </w:style>
  <w:style w:type="character" w:customStyle="1" w:styleId="129">
    <w:name w:val="Normal Indent Char"/>
    <w:qFormat/>
    <w:locked/>
    <w:uiPriority w:val="99"/>
    <w:rPr>
      <w:rFonts w:ascii="Calibri" w:hAnsi="Calibri" w:eastAsia="宋体"/>
      <w:snapToGrid w:val="0"/>
      <w:kern w:val="2"/>
      <w:sz w:val="22"/>
      <w:lang w:val="en-US" w:eastAsia="zh-CN"/>
    </w:rPr>
  </w:style>
  <w:style w:type="character" w:customStyle="1" w:styleId="130">
    <w:name w:val="哈哈正文 Char"/>
    <w:link w:val="131"/>
    <w:qFormat/>
    <w:locked/>
    <w:uiPriority w:val="99"/>
    <w:rPr>
      <w:rFonts w:ascii="宋体" w:hAnsi="宋体" w:eastAsia="宋体"/>
      <w:kern w:val="2"/>
      <w:sz w:val="24"/>
    </w:rPr>
  </w:style>
  <w:style w:type="paragraph" w:customStyle="1" w:styleId="131">
    <w:name w:val="哈哈正文"/>
    <w:basedOn w:val="1"/>
    <w:link w:val="130"/>
    <w:qFormat/>
    <w:uiPriority w:val="99"/>
    <w:pPr>
      <w:adjustRightInd/>
      <w:spacing w:line="360" w:lineRule="auto"/>
      <w:ind w:firstLine="200" w:firstLineChars="200"/>
    </w:pPr>
    <w:rPr>
      <w:rFonts w:ascii="宋体" w:hAnsi="宋体"/>
      <w:sz w:val="24"/>
      <w:szCs w:val="20"/>
    </w:rPr>
  </w:style>
  <w:style w:type="character" w:customStyle="1" w:styleId="132">
    <w:name w:val="未处理的提及1"/>
    <w:qFormat/>
    <w:uiPriority w:val="99"/>
    <w:rPr>
      <w:color w:val="808080"/>
      <w:shd w:val="clear" w:color="auto" w:fill="E6E6E6"/>
    </w:rPr>
  </w:style>
  <w:style w:type="character" w:customStyle="1" w:styleId="133">
    <w:name w:val="txt"/>
    <w:qFormat/>
    <w:uiPriority w:val="99"/>
    <w:rPr>
      <w:rFonts w:ascii="仿宋_GB2312" w:eastAsia="微软雅黑"/>
      <w:b/>
      <w:kern w:val="2"/>
      <w:sz w:val="32"/>
      <w:lang w:val="en-US" w:eastAsia="zh-CN"/>
    </w:rPr>
  </w:style>
  <w:style w:type="character" w:customStyle="1" w:styleId="134">
    <w:name w:val="二级标题 Char Char"/>
    <w:qFormat/>
    <w:uiPriority w:val="99"/>
    <w:rPr>
      <w:rFonts w:ascii="宋体" w:hAnsi="宋体" w:eastAsia="宋体"/>
      <w:b/>
      <w:snapToGrid w:val="0"/>
      <w:kern w:val="2"/>
      <w:sz w:val="24"/>
      <w:lang w:val="en-US" w:eastAsia="zh-CN"/>
    </w:rPr>
  </w:style>
  <w:style w:type="character" w:customStyle="1" w:styleId="135">
    <w:name w:val="Char Char32"/>
    <w:qFormat/>
    <w:uiPriority w:val="99"/>
    <w:rPr>
      <w:b/>
      <w:kern w:val="1"/>
      <w:sz w:val="24"/>
    </w:rPr>
  </w:style>
  <w:style w:type="character" w:customStyle="1" w:styleId="136">
    <w:name w:val="PI Char1"/>
    <w:qFormat/>
    <w:uiPriority w:val="99"/>
    <w:rPr>
      <w:rFonts w:ascii="宋体" w:eastAsia="宋体"/>
      <w:kern w:val="2"/>
      <w:sz w:val="24"/>
    </w:rPr>
  </w:style>
  <w:style w:type="character" w:customStyle="1" w:styleId="137">
    <w:name w:val="tw4winTerm"/>
    <w:qFormat/>
    <w:uiPriority w:val="99"/>
    <w:rPr>
      <w:color w:val="0000FF"/>
    </w:rPr>
  </w:style>
  <w:style w:type="character" w:customStyle="1" w:styleId="138">
    <w:name w:val="普通文字 Char Char1"/>
    <w:qFormat/>
    <w:uiPriority w:val="99"/>
    <w:rPr>
      <w:rFonts w:ascii="宋体" w:hAnsi="Courier New"/>
      <w:kern w:val="2"/>
      <w:sz w:val="21"/>
    </w:rPr>
  </w:style>
  <w:style w:type="character" w:customStyle="1" w:styleId="139">
    <w:name w:val="Char Char101"/>
    <w:qFormat/>
    <w:uiPriority w:val="99"/>
    <w:rPr>
      <w:rFonts w:ascii="宋体" w:eastAsia="宋体"/>
      <w:kern w:val="2"/>
      <w:sz w:val="24"/>
      <w:lang w:val="en-US" w:eastAsia="zh-CN"/>
    </w:rPr>
  </w:style>
  <w:style w:type="character" w:customStyle="1" w:styleId="140">
    <w:name w:val="标题 4 Char"/>
    <w:qFormat/>
    <w:uiPriority w:val="99"/>
    <w:rPr>
      <w:rFonts w:ascii="Arial" w:hAnsi="Arial" w:eastAsia="黑体"/>
      <w:b/>
      <w:kern w:val="2"/>
      <w:sz w:val="28"/>
    </w:rPr>
  </w:style>
  <w:style w:type="character" w:customStyle="1" w:styleId="141">
    <w:name w:val="链接"/>
    <w:qFormat/>
    <w:uiPriority w:val="99"/>
    <w:rPr>
      <w:color w:val="0000FF"/>
      <w:sz w:val="21"/>
      <w:u w:val="single"/>
    </w:rPr>
  </w:style>
  <w:style w:type="character" w:customStyle="1" w:styleId="142">
    <w:name w:val="h4 Char"/>
    <w:qFormat/>
    <w:uiPriority w:val="99"/>
    <w:rPr>
      <w:rFonts w:ascii="Arial" w:hAnsi="Arial" w:eastAsia="黑体"/>
      <w:b/>
      <w:kern w:val="2"/>
      <w:sz w:val="28"/>
      <w:lang w:val="zh-CN" w:eastAsia="zh-CN"/>
    </w:rPr>
  </w:style>
  <w:style w:type="character" w:customStyle="1" w:styleId="143">
    <w:name w:val="5正文 Char"/>
    <w:link w:val="144"/>
    <w:qFormat/>
    <w:locked/>
    <w:uiPriority w:val="99"/>
    <w:rPr>
      <w:rFonts w:ascii="仿宋_GB2312" w:hAnsi="微软雅黑" w:eastAsia="仿宋_GB2312"/>
      <w:sz w:val="21"/>
    </w:rPr>
  </w:style>
  <w:style w:type="paragraph" w:customStyle="1" w:styleId="144">
    <w:name w:val="5正文"/>
    <w:basedOn w:val="1"/>
    <w:link w:val="143"/>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5">
    <w:name w:val="标题 3 字符"/>
    <w:qFormat/>
    <w:uiPriority w:val="99"/>
    <w:rPr>
      <w:b/>
      <w:kern w:val="2"/>
      <w:sz w:val="32"/>
    </w:rPr>
  </w:style>
  <w:style w:type="character" w:customStyle="1" w:styleId="146">
    <w:name w:val="样式6 Char"/>
    <w:qFormat/>
    <w:uiPriority w:val="99"/>
    <w:rPr>
      <w:rFonts w:ascii="仿宋_GB2312" w:hAnsi="宋体" w:eastAsia="仿宋_GB2312"/>
      <w:b/>
      <w:kern w:val="2"/>
      <w:sz w:val="24"/>
      <w:lang w:val="en-US" w:eastAsia="zh-CN"/>
    </w:rPr>
  </w:style>
  <w:style w:type="character" w:customStyle="1" w:styleId="147">
    <w:name w:val="Char Char14"/>
    <w:qFormat/>
    <w:uiPriority w:val="99"/>
    <w:rPr>
      <w:rFonts w:ascii="黑体" w:hAnsi="黑体" w:eastAsia="黑体"/>
    </w:rPr>
  </w:style>
  <w:style w:type="character" w:customStyle="1" w:styleId="148">
    <w:name w:val="Heading 2 Hidden Char"/>
    <w:qFormat/>
    <w:uiPriority w:val="99"/>
    <w:rPr>
      <w:rFonts w:ascii="仿宋_GB2312" w:eastAsia="仿宋_GB2312"/>
      <w:b/>
      <w:kern w:val="2"/>
      <w:sz w:val="24"/>
      <w:lang w:val="zh-CN" w:eastAsia="zh-CN"/>
    </w:rPr>
  </w:style>
  <w:style w:type="character" w:customStyle="1" w:styleId="149">
    <w:name w:val="font11"/>
    <w:qFormat/>
    <w:uiPriority w:val="99"/>
    <w:rPr>
      <w:rFonts w:ascii="Times New Roman" w:hAnsi="Times New Roman"/>
      <w:color w:val="000000"/>
      <w:sz w:val="22"/>
      <w:u w:val="none"/>
    </w:rPr>
  </w:style>
  <w:style w:type="character" w:customStyle="1" w:styleId="150">
    <w:name w:val="表正文 Char1"/>
    <w:qFormat/>
    <w:uiPriority w:val="99"/>
    <w:rPr>
      <w:rFonts w:ascii="宋体" w:eastAsia="宋体"/>
      <w:snapToGrid w:val="0"/>
      <w:color w:val="000000"/>
      <w:kern w:val="28"/>
      <w:sz w:val="28"/>
    </w:rPr>
  </w:style>
  <w:style w:type="character" w:customStyle="1" w:styleId="151">
    <w:name w:val="blue1"/>
    <w:qFormat/>
    <w:uiPriority w:val="99"/>
    <w:rPr>
      <w:rFonts w:ascii="Arial" w:hAnsi="Arial" w:eastAsia="黑体" w:cs="Arial"/>
      <w:snapToGrid w:val="0"/>
      <w:kern w:val="0"/>
      <w:sz w:val="21"/>
      <w:szCs w:val="21"/>
    </w:rPr>
  </w:style>
  <w:style w:type="character" w:customStyle="1" w:styleId="152">
    <w:name w:val="标书1 Char"/>
    <w:qFormat/>
    <w:uiPriority w:val="99"/>
    <w:rPr>
      <w:rFonts w:eastAsia="宋体"/>
      <w:b/>
      <w:kern w:val="44"/>
      <w:sz w:val="44"/>
      <w:lang w:val="en-US" w:eastAsia="zh-CN"/>
    </w:rPr>
  </w:style>
  <w:style w:type="character" w:customStyle="1" w:styleId="153">
    <w:name w:val="样式5 Char"/>
    <w:qFormat/>
    <w:uiPriority w:val="99"/>
    <w:rPr>
      <w:rFonts w:ascii="仿宋_GB2312" w:hAnsi="仿宋" w:eastAsia="仿宋_GB2312"/>
      <w:kern w:val="2"/>
      <w:sz w:val="24"/>
    </w:rPr>
  </w:style>
  <w:style w:type="character" w:customStyle="1" w:styleId="154">
    <w:name w:val="样式4 Char"/>
    <w:qFormat/>
    <w:uiPriority w:val="99"/>
    <w:rPr>
      <w:rFonts w:ascii="仿宋_GB2312" w:hAnsi="仿宋" w:eastAsia="仿宋_GB2312"/>
      <w:b/>
      <w:kern w:val="2"/>
      <w:sz w:val="32"/>
    </w:rPr>
  </w:style>
  <w:style w:type="character" w:customStyle="1" w:styleId="155">
    <w:name w:val="插图说明 Char"/>
    <w:qFormat/>
    <w:uiPriority w:val="99"/>
    <w:rPr>
      <w:rFonts w:eastAsia="黑体"/>
      <w:sz w:val="24"/>
      <w:lang w:val="en-US" w:eastAsia="zh-CN"/>
    </w:rPr>
  </w:style>
  <w:style w:type="character" w:customStyle="1" w:styleId="156">
    <w:name w:val="正文2 Char Char"/>
    <w:link w:val="157"/>
    <w:qFormat/>
    <w:locked/>
    <w:uiPriority w:val="99"/>
    <w:rPr>
      <w:rFonts w:eastAsia="宋体"/>
      <w:kern w:val="2"/>
      <w:sz w:val="24"/>
      <w:lang w:val="en-US" w:eastAsia="zh-CN"/>
    </w:rPr>
  </w:style>
  <w:style w:type="paragraph" w:customStyle="1" w:styleId="157">
    <w:name w:val="正文2"/>
    <w:basedOn w:val="1"/>
    <w:link w:val="156"/>
    <w:qFormat/>
    <w:uiPriority w:val="99"/>
    <w:pPr>
      <w:spacing w:before="156" w:line="360" w:lineRule="auto"/>
      <w:ind w:firstLine="510" w:firstLineChars="200"/>
    </w:pPr>
    <w:rPr>
      <w:sz w:val="24"/>
      <w:szCs w:val="20"/>
    </w:rPr>
  </w:style>
  <w:style w:type="character" w:customStyle="1" w:styleId="158">
    <w:name w:val="Char Char24"/>
    <w:qFormat/>
    <w:uiPriority w:val="99"/>
    <w:rPr>
      <w:kern w:val="1"/>
      <w:sz w:val="21"/>
    </w:rPr>
  </w:style>
  <w:style w:type="character" w:customStyle="1" w:styleId="159">
    <w:name w:val="普通文字 Char1 Char"/>
    <w:qFormat/>
    <w:uiPriority w:val="99"/>
    <w:rPr>
      <w:rFonts w:ascii="宋体" w:hAnsi="Courier New" w:eastAsia="宋体"/>
      <w:kern w:val="2"/>
      <w:sz w:val="24"/>
      <w:lang w:val="en-US" w:eastAsia="zh-CN"/>
    </w:rPr>
  </w:style>
  <w:style w:type="character" w:customStyle="1" w:styleId="160">
    <w:name w:val="h3 Char1"/>
    <w:qFormat/>
    <w:uiPriority w:val="99"/>
    <w:rPr>
      <w:rFonts w:eastAsia="宋体"/>
      <w:b/>
      <w:kern w:val="2"/>
      <w:sz w:val="32"/>
    </w:rPr>
  </w:style>
  <w:style w:type="character" w:customStyle="1" w:styleId="161">
    <w:name w:val="标题 Char1"/>
    <w:qFormat/>
    <w:uiPriority w:val="99"/>
    <w:rPr>
      <w:rFonts w:ascii="Cambria" w:hAnsi="Cambria" w:eastAsia="宋体"/>
      <w:b/>
      <w:sz w:val="32"/>
    </w:rPr>
  </w:style>
  <w:style w:type="character" w:customStyle="1" w:styleId="162">
    <w:name w:val="gf正文1 Char"/>
    <w:qFormat/>
    <w:uiPriority w:val="99"/>
    <w:rPr>
      <w:rFonts w:ascii="宋体" w:hAnsi="宋体" w:eastAsia="宋体"/>
      <w:kern w:val="2"/>
      <w:sz w:val="24"/>
      <w:lang w:val="en-US" w:eastAsia="zh-CN"/>
    </w:rPr>
  </w:style>
  <w:style w:type="character" w:customStyle="1" w:styleId="163">
    <w:name w:val="正文文本缩进 Char1"/>
    <w:qFormat/>
    <w:uiPriority w:val="99"/>
    <w:rPr>
      <w:rFonts w:ascii="Calibri" w:hAnsi="Calibri"/>
      <w:sz w:val="28"/>
    </w:rPr>
  </w:style>
  <w:style w:type="character" w:customStyle="1" w:styleId="164">
    <w:name w:val="No Spacing Char"/>
    <w:link w:val="165"/>
    <w:qFormat/>
    <w:locked/>
    <w:uiPriority w:val="99"/>
    <w:rPr>
      <w:sz w:val="22"/>
      <w:szCs w:val="22"/>
      <w:lang w:val="en-US" w:eastAsia="zh-CN" w:bidi="ar-SA"/>
    </w:rPr>
  </w:style>
  <w:style w:type="paragraph" w:customStyle="1" w:styleId="165">
    <w:name w:val="无间隔1"/>
    <w:link w:val="164"/>
    <w:qFormat/>
    <w:uiPriority w:val="99"/>
    <w:rPr>
      <w:rFonts w:ascii="Times New Roman" w:hAnsi="Times New Roman" w:eastAsia="宋体" w:cs="Times New Roman"/>
      <w:sz w:val="22"/>
      <w:szCs w:val="22"/>
      <w:lang w:val="en-US" w:eastAsia="zh-CN" w:bidi="ar-SA"/>
    </w:rPr>
  </w:style>
  <w:style w:type="character" w:customStyle="1" w:styleId="166">
    <w:name w:val="样式7 Char"/>
    <w:qFormat/>
    <w:uiPriority w:val="99"/>
    <w:rPr>
      <w:rFonts w:ascii="仿宋_GB2312" w:hAnsi="仿宋" w:eastAsia="仿宋_GB2312"/>
      <w:b/>
      <w:kern w:val="2"/>
      <w:sz w:val="24"/>
    </w:rPr>
  </w:style>
  <w:style w:type="character" w:customStyle="1" w:styleId="167">
    <w:name w:val="font12gray1"/>
    <w:qFormat/>
    <w:uiPriority w:val="99"/>
    <w:rPr>
      <w:rFonts w:ascii="仿宋_GB2312" w:eastAsia="微软雅黑"/>
      <w:b/>
      <w:spacing w:val="300"/>
      <w:kern w:val="2"/>
      <w:sz w:val="18"/>
      <w:lang w:val="en-US" w:eastAsia="zh-CN"/>
    </w:rPr>
  </w:style>
  <w:style w:type="character" w:customStyle="1" w:styleId="168">
    <w:name w:val="Char Char7"/>
    <w:semiHidden/>
    <w:qFormat/>
    <w:uiPriority w:val="99"/>
    <w:rPr>
      <w:rFonts w:eastAsia="宋体"/>
      <w:kern w:val="2"/>
      <w:sz w:val="24"/>
      <w:lang w:val="en-US" w:eastAsia="zh-CN"/>
    </w:rPr>
  </w:style>
  <w:style w:type="character" w:customStyle="1" w:styleId="169">
    <w:name w:val="表名 Char"/>
    <w:qFormat/>
    <w:uiPriority w:val="99"/>
    <w:rPr>
      <w:rFonts w:eastAsia="宋体"/>
      <w:b/>
      <w:kern w:val="2"/>
      <w:sz w:val="24"/>
      <w:lang w:val="en-US" w:eastAsia="zh-CN"/>
    </w:rPr>
  </w:style>
  <w:style w:type="character" w:customStyle="1" w:styleId="170">
    <w:name w:val="font41"/>
    <w:qFormat/>
    <w:uiPriority w:val="99"/>
    <w:rPr>
      <w:rFonts w:ascii="仿宋_GB2312" w:eastAsia="仿宋_GB2312"/>
      <w:color w:val="000000"/>
      <w:sz w:val="22"/>
      <w:u w:val="none"/>
    </w:rPr>
  </w:style>
  <w:style w:type="character" w:customStyle="1" w:styleId="171">
    <w:name w:val="纯文本 Char_0"/>
    <w:link w:val="172"/>
    <w:qFormat/>
    <w:locked/>
    <w:uiPriority w:val="99"/>
    <w:rPr>
      <w:rFonts w:ascii="宋体" w:hAnsi="Courier New"/>
      <w:kern w:val="2"/>
      <w:sz w:val="21"/>
      <w:lang w:val="en-US" w:eastAsia="zh-CN"/>
    </w:rPr>
  </w:style>
  <w:style w:type="paragraph" w:customStyle="1" w:styleId="172">
    <w:name w:val="纯文本_0_0"/>
    <w:basedOn w:val="173"/>
    <w:link w:val="171"/>
    <w:qFormat/>
    <w:uiPriority w:val="99"/>
    <w:rPr>
      <w:rFonts w:ascii="宋体" w:hAnsi="Courier New"/>
      <w:szCs w:val="20"/>
    </w:rPr>
  </w:style>
  <w:style w:type="paragraph" w:customStyle="1" w:styleId="173">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正文 项目2 Char"/>
    <w:qFormat/>
    <w:uiPriority w:val="99"/>
    <w:rPr>
      <w:rFonts w:ascii="仿宋_GB2312" w:hAnsi="仿宋_GB2312" w:eastAsia="仿宋_GB2312" w:cs="Times New Roman"/>
      <w:kern w:val="2"/>
      <w:sz w:val="24"/>
      <w:lang w:bidi="ar-SA"/>
    </w:rPr>
  </w:style>
  <w:style w:type="character" w:customStyle="1" w:styleId="175">
    <w:name w:val="正文 项目 Char"/>
    <w:qFormat/>
    <w:uiPriority w:val="99"/>
    <w:rPr>
      <w:rFonts w:ascii="仿宋_GB2312" w:hAnsi="仿宋_GB2312" w:eastAsia="仿宋_GB2312"/>
      <w:kern w:val="2"/>
      <w:sz w:val="24"/>
    </w:rPr>
  </w:style>
  <w:style w:type="character" w:customStyle="1" w:styleId="176">
    <w:name w:val="h Char Char1"/>
    <w:qFormat/>
    <w:uiPriority w:val="99"/>
    <w:rPr>
      <w:rFonts w:eastAsia="宋体"/>
      <w:kern w:val="2"/>
      <w:sz w:val="18"/>
      <w:lang w:val="en-US" w:eastAsia="zh-CN"/>
    </w:rPr>
  </w:style>
  <w:style w:type="character" w:customStyle="1" w:styleId="177">
    <w:name w:val="Char Char27"/>
    <w:qFormat/>
    <w:uiPriority w:val="99"/>
    <w:rPr>
      <w:rFonts w:ascii="宋体" w:hAnsi="宋体" w:eastAsia="宋体"/>
      <w:color w:val="000000"/>
      <w:kern w:val="1"/>
      <w:sz w:val="28"/>
      <w:lang w:val="en-US" w:eastAsia="zh-CN"/>
    </w:rPr>
  </w:style>
  <w:style w:type="character" w:customStyle="1" w:styleId="178">
    <w:name w:val="px14"/>
    <w:qFormat/>
    <w:uiPriority w:val="99"/>
    <w:rPr>
      <w:rFonts w:ascii="仿宋_GB2312" w:eastAsia="微软雅黑"/>
      <w:b/>
      <w:kern w:val="2"/>
      <w:sz w:val="32"/>
      <w:lang w:val="en-US" w:eastAsia="zh-CN"/>
    </w:rPr>
  </w:style>
  <w:style w:type="character" w:customStyle="1" w:styleId="179">
    <w:name w:val="HTML 预设格式 Char1"/>
    <w:qFormat/>
    <w:uiPriority w:val="99"/>
    <w:rPr>
      <w:rFonts w:ascii="Courier New" w:hAnsi="Courier New" w:eastAsia="宋体"/>
      <w:sz w:val="20"/>
    </w:rPr>
  </w:style>
  <w:style w:type="character" w:customStyle="1" w:styleId="180">
    <w:name w:val="普通文字 Char1"/>
    <w:qFormat/>
    <w:uiPriority w:val="99"/>
    <w:rPr>
      <w:rFonts w:ascii="宋体" w:hAnsi="Courier New" w:eastAsia="宋体"/>
      <w:kern w:val="2"/>
      <w:sz w:val="21"/>
      <w:lang w:val="en-US" w:eastAsia="zh-CN"/>
    </w:rPr>
  </w:style>
  <w:style w:type="character" w:customStyle="1" w:styleId="181">
    <w:name w:val="hei16b1"/>
    <w:qFormat/>
    <w:uiPriority w:val="99"/>
    <w:rPr>
      <w:rFonts w:ascii="Arial" w:hAnsi="Arial"/>
      <w:b/>
      <w:color w:val="000000"/>
      <w:sz w:val="24"/>
    </w:rPr>
  </w:style>
  <w:style w:type="character" w:customStyle="1" w:styleId="182">
    <w:name w:val="正文（绿盟科技） Char"/>
    <w:link w:val="183"/>
    <w:qFormat/>
    <w:locked/>
    <w:uiPriority w:val="99"/>
    <w:rPr>
      <w:rFonts w:ascii="Arial" w:hAnsi="Arial"/>
      <w:sz w:val="21"/>
      <w:szCs w:val="21"/>
      <w:lang w:val="en-US" w:eastAsia="zh-CN" w:bidi="ar-SA"/>
    </w:rPr>
  </w:style>
  <w:style w:type="paragraph" w:customStyle="1" w:styleId="183">
    <w:name w:val="正文（绿盟科技）"/>
    <w:link w:val="182"/>
    <w:qFormat/>
    <w:uiPriority w:val="99"/>
    <w:pPr>
      <w:spacing w:line="300" w:lineRule="auto"/>
    </w:pPr>
    <w:rPr>
      <w:rFonts w:ascii="Arial" w:hAnsi="Arial" w:eastAsia="宋体" w:cs="Times New Roman"/>
      <w:sz w:val="21"/>
      <w:szCs w:val="21"/>
      <w:lang w:val="en-US" w:eastAsia="zh-CN" w:bidi="ar-SA"/>
    </w:rPr>
  </w:style>
  <w:style w:type="character" w:customStyle="1" w:styleId="184">
    <w:name w:val="Char Char19"/>
    <w:qFormat/>
    <w:uiPriority w:val="99"/>
    <w:rPr>
      <w:rFonts w:ascii="宋体" w:eastAsia="宋体"/>
      <w:i/>
      <w:sz w:val="24"/>
    </w:rPr>
  </w:style>
  <w:style w:type="character" w:customStyle="1" w:styleId="185">
    <w:name w:val="页脚 Char"/>
    <w:qFormat/>
    <w:uiPriority w:val="99"/>
    <w:rPr>
      <w:rFonts w:eastAsia="仿宋_GB2312"/>
      <w:kern w:val="2"/>
      <w:sz w:val="18"/>
      <w:lang w:val="en-US" w:eastAsia="zh-CN"/>
    </w:rPr>
  </w:style>
  <w:style w:type="character" w:customStyle="1" w:styleId="186">
    <w:name w:val="批注主题 Char"/>
    <w:qFormat/>
    <w:uiPriority w:val="99"/>
    <w:rPr>
      <w:rFonts w:eastAsia="宋体"/>
      <w:b/>
      <w:kern w:val="2"/>
      <w:sz w:val="24"/>
      <w:lang w:val="en-US" w:eastAsia="zh-CN"/>
    </w:rPr>
  </w:style>
  <w:style w:type="character" w:customStyle="1" w:styleId="187">
    <w:name w:val="标题 2 字符"/>
    <w:qFormat/>
    <w:uiPriority w:val="99"/>
    <w:rPr>
      <w:rFonts w:ascii="仿宋_GB2312" w:hAnsi="Times New Roman" w:eastAsia="仿宋_GB2312"/>
      <w:b/>
      <w:kern w:val="2"/>
      <w:sz w:val="24"/>
      <w:lang w:val="zh-CN"/>
    </w:rPr>
  </w:style>
  <w:style w:type="character" w:customStyle="1" w:styleId="188">
    <w:name w:val="Char Char72"/>
    <w:qFormat/>
    <w:uiPriority w:val="99"/>
    <w:rPr>
      <w:rFonts w:eastAsia="宋体"/>
      <w:kern w:val="2"/>
      <w:sz w:val="24"/>
      <w:lang w:val="en-US" w:eastAsia="zh-CN"/>
    </w:rPr>
  </w:style>
  <w:style w:type="character" w:customStyle="1" w:styleId="189">
    <w:name w:val="正文文本缩进 Char2"/>
    <w:qFormat/>
    <w:uiPriority w:val="99"/>
    <w:rPr>
      <w:rFonts w:ascii="Times New Roman" w:hAnsi="Times New Roman" w:eastAsia="宋体"/>
      <w:snapToGrid w:val="0"/>
      <w:kern w:val="0"/>
      <w:sz w:val="24"/>
    </w:rPr>
  </w:style>
  <w:style w:type="character" w:customStyle="1" w:styleId="190">
    <w:name w:val="样式2 Char"/>
    <w:qFormat/>
    <w:uiPriority w:val="99"/>
    <w:rPr>
      <w:rFonts w:ascii="仿宋_GB2312" w:hAnsi="仿宋" w:eastAsia="仿宋_GB2312"/>
      <w:b/>
      <w:sz w:val="30"/>
      <w:lang w:val="zh-CN"/>
    </w:rPr>
  </w:style>
  <w:style w:type="character" w:customStyle="1" w:styleId="191">
    <w:name w:val="表格名称[858D7CFB-ED40-4347-BF05-701D383B685F]"/>
    <w:link w:val="192"/>
    <w:qFormat/>
    <w:locked/>
    <w:uiPriority w:val="99"/>
    <w:rPr>
      <w:sz w:val="32"/>
    </w:rPr>
  </w:style>
  <w:style w:type="paragraph" w:customStyle="1" w:styleId="192">
    <w:name w:val="表格名称"/>
    <w:basedOn w:val="4"/>
    <w:link w:val="191"/>
    <w:qFormat/>
    <w:uiPriority w:val="99"/>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93">
    <w:name w:val="Char Char4"/>
    <w:qFormat/>
    <w:uiPriority w:val="99"/>
    <w:rPr>
      <w:rFonts w:eastAsia="宋体"/>
      <w:b/>
      <w:sz w:val="24"/>
      <w:lang w:val="en-GB" w:eastAsia="zh-CN"/>
    </w:rPr>
  </w:style>
  <w:style w:type="character" w:customStyle="1" w:styleId="194">
    <w:name w:val="c7 style3"/>
    <w:qFormat/>
    <w:uiPriority w:val="99"/>
  </w:style>
  <w:style w:type="character" w:customStyle="1" w:styleId="195">
    <w:name w:val="正文文本 3 Char1"/>
    <w:semiHidden/>
    <w:qFormat/>
    <w:uiPriority w:val="99"/>
    <w:rPr>
      <w:rFonts w:ascii="Times New Roman" w:hAnsi="Times New Roman" w:eastAsia="宋体"/>
      <w:sz w:val="16"/>
    </w:rPr>
  </w:style>
  <w:style w:type="character" w:customStyle="1" w:styleId="196">
    <w:name w:val="tw4winInternal"/>
    <w:qFormat/>
    <w:uiPriority w:val="99"/>
    <w:rPr>
      <w:rFonts w:ascii="Courier New" w:hAnsi="Courier New"/>
      <w:color w:val="FF0000"/>
      <w:lang w:val="en-US" w:eastAsia="zh-CN"/>
    </w:rPr>
  </w:style>
  <w:style w:type="character" w:customStyle="1" w:styleId="197">
    <w:name w:val="Char Char10"/>
    <w:semiHidden/>
    <w:qFormat/>
    <w:uiPriority w:val="99"/>
    <w:rPr>
      <w:rFonts w:ascii="宋体" w:eastAsia="宋体"/>
      <w:kern w:val="2"/>
      <w:sz w:val="24"/>
      <w:lang w:val="en-US" w:eastAsia="zh-CN"/>
    </w:rPr>
  </w:style>
  <w:style w:type="character" w:customStyle="1" w:styleId="198">
    <w:name w:val="shadow11"/>
    <w:qFormat/>
    <w:uiPriority w:val="99"/>
    <w:rPr>
      <w:color w:val="000000"/>
      <w:sz w:val="21"/>
    </w:rPr>
  </w:style>
  <w:style w:type="character" w:customStyle="1" w:styleId="199">
    <w:name w:val="正文非缩进 Char3"/>
    <w:qFormat/>
    <w:uiPriority w:val="99"/>
    <w:rPr>
      <w:rFonts w:ascii="宋体" w:eastAsia="宋体"/>
      <w:snapToGrid w:val="0"/>
      <w:color w:val="000000"/>
      <w:kern w:val="28"/>
      <w:sz w:val="28"/>
      <w:lang w:val="en-US" w:eastAsia="zh-CN"/>
    </w:rPr>
  </w:style>
  <w:style w:type="character" w:customStyle="1" w:styleId="200">
    <w:name w:val="Char Char"/>
    <w:qFormat/>
    <w:uiPriority w:val="99"/>
    <w:rPr>
      <w:rFonts w:ascii="宋体" w:hAnsi="Courier New" w:eastAsia="宋体"/>
      <w:kern w:val="2"/>
      <w:sz w:val="21"/>
      <w:lang w:val="en-US" w:eastAsia="zh-CN"/>
    </w:rPr>
  </w:style>
  <w:style w:type="character" w:customStyle="1" w:styleId="201">
    <w:name w:val="签名 Char1"/>
    <w:qFormat/>
    <w:uiPriority w:val="99"/>
    <w:rPr>
      <w:rFonts w:ascii="Times New Roman" w:hAnsi="Times New Roman" w:eastAsia="宋体"/>
      <w:sz w:val="24"/>
    </w:rPr>
  </w:style>
  <w:style w:type="character" w:customStyle="1" w:styleId="202">
    <w:name w:val="Char Char18"/>
    <w:qFormat/>
    <w:uiPriority w:val="99"/>
    <w:rPr>
      <w:rFonts w:ascii="宋体" w:eastAsia="宋体"/>
      <w:sz w:val="28"/>
    </w:rPr>
  </w:style>
  <w:style w:type="character" w:customStyle="1" w:styleId="203">
    <w:name w:val="批注文字 Char"/>
    <w:qFormat/>
    <w:uiPriority w:val="99"/>
    <w:rPr>
      <w:kern w:val="2"/>
      <w:sz w:val="24"/>
    </w:rPr>
  </w:style>
  <w:style w:type="character" w:customStyle="1" w:styleId="204">
    <w:name w:val="Char Char22"/>
    <w:qFormat/>
    <w:uiPriority w:val="99"/>
    <w:rPr>
      <w:rFonts w:ascii="宋体" w:eastAsia="宋体"/>
      <w:kern w:val="1"/>
      <w:sz w:val="24"/>
    </w:rPr>
  </w:style>
  <w:style w:type="character" w:customStyle="1" w:styleId="205">
    <w:name w:val="pt141"/>
    <w:qFormat/>
    <w:uiPriority w:val="99"/>
    <w:rPr>
      <w:color w:val="330066"/>
      <w:sz w:val="22"/>
    </w:rPr>
  </w:style>
  <w:style w:type="character" w:customStyle="1" w:styleId="206">
    <w:name w:val="正文文本缩进 2 Char1"/>
    <w:semiHidden/>
    <w:qFormat/>
    <w:uiPriority w:val="99"/>
    <w:rPr>
      <w:rFonts w:ascii="Times New Roman" w:hAnsi="Times New Roman" w:eastAsia="宋体"/>
      <w:sz w:val="24"/>
    </w:rPr>
  </w:style>
  <w:style w:type="character" w:customStyle="1" w:styleId="207">
    <w:name w:val="批注框文本 Char"/>
    <w:link w:val="40"/>
    <w:qFormat/>
    <w:locked/>
    <w:uiPriority w:val="99"/>
    <w:rPr>
      <w:kern w:val="2"/>
      <w:sz w:val="18"/>
    </w:rPr>
  </w:style>
  <w:style w:type="character" w:customStyle="1" w:styleId="208">
    <w:name w:val="Char Char611"/>
    <w:qFormat/>
    <w:uiPriority w:val="99"/>
    <w:rPr>
      <w:rFonts w:eastAsia="宋体"/>
      <w:kern w:val="2"/>
      <w:sz w:val="24"/>
      <w:lang w:val="en-US" w:eastAsia="zh-CN"/>
    </w:rPr>
  </w:style>
  <w:style w:type="character" w:customStyle="1" w:styleId="209">
    <w:name w:val="highlight1"/>
    <w:qFormat/>
    <w:uiPriority w:val="99"/>
    <w:rPr>
      <w:rFonts w:ascii="仿宋_GB2312" w:eastAsia="微软雅黑"/>
      <w:b/>
      <w:kern w:val="2"/>
      <w:sz w:val="23"/>
      <w:lang w:val="en-US" w:eastAsia="zh-CN"/>
    </w:rPr>
  </w:style>
  <w:style w:type="character" w:customStyle="1" w:styleId="210">
    <w:name w:val="my正文 Char"/>
    <w:link w:val="211"/>
    <w:qFormat/>
    <w:locked/>
    <w:uiPriority w:val="99"/>
    <w:rPr>
      <w:rFonts w:ascii="Tahoma" w:hAnsi="Tahoma"/>
      <w:sz w:val="24"/>
    </w:rPr>
  </w:style>
  <w:style w:type="paragraph" w:customStyle="1" w:styleId="211">
    <w:name w:val="my正文"/>
    <w:basedOn w:val="1"/>
    <w:link w:val="210"/>
    <w:qFormat/>
    <w:uiPriority w:val="99"/>
    <w:pPr>
      <w:adjustRightInd/>
      <w:spacing w:line="360" w:lineRule="auto"/>
      <w:ind w:firstLine="480" w:firstLineChars="200"/>
    </w:pPr>
    <w:rPr>
      <w:rFonts w:ascii="Tahoma" w:hAnsi="Tahoma"/>
      <w:kern w:val="0"/>
      <w:sz w:val="24"/>
      <w:szCs w:val="20"/>
    </w:rPr>
  </w:style>
  <w:style w:type="character" w:customStyle="1" w:styleId="212">
    <w:name w:val="正文缩进 Char2"/>
    <w:link w:val="6"/>
    <w:qFormat/>
    <w:locked/>
    <w:uiPriority w:val="99"/>
    <w:rPr>
      <w:rFonts w:ascii="宋体" w:eastAsia="宋体"/>
      <w:snapToGrid w:val="0"/>
      <w:color w:val="000000"/>
      <w:kern w:val="28"/>
      <w:sz w:val="28"/>
      <w:lang w:val="en-US" w:eastAsia="zh-CN"/>
    </w:rPr>
  </w:style>
  <w:style w:type="character" w:customStyle="1" w:styleId="213">
    <w:name w:val="Used by Word for text of Help footnotes Char Char1"/>
    <w:qFormat/>
    <w:uiPriority w:val="99"/>
    <w:rPr>
      <w:color w:val="0000FF"/>
      <w:sz w:val="21"/>
    </w:rPr>
  </w:style>
  <w:style w:type="character" w:customStyle="1" w:styleId="214">
    <w:name w:val="页眉 Char"/>
    <w:qFormat/>
    <w:uiPriority w:val="99"/>
    <w:rPr>
      <w:rFonts w:eastAsia="仿宋_GB2312"/>
      <w:kern w:val="2"/>
      <w:sz w:val="18"/>
      <w:lang w:val="en-US" w:eastAsia="zh-CN"/>
    </w:rPr>
  </w:style>
  <w:style w:type="character" w:customStyle="1" w:styleId="215">
    <w:name w:val="FA正文 Char Char"/>
    <w:qFormat/>
    <w:uiPriority w:val="99"/>
    <w:rPr>
      <w:rFonts w:hAnsi="宋体"/>
      <w:kern w:val="2"/>
      <w:sz w:val="24"/>
    </w:rPr>
  </w:style>
  <w:style w:type="character" w:customStyle="1" w:styleId="216">
    <w:name w:val="纯文本 字符"/>
    <w:qFormat/>
    <w:uiPriority w:val="99"/>
    <w:rPr>
      <w:rFonts w:ascii="宋体" w:hAnsi="Courier New" w:eastAsia="宋体"/>
      <w:snapToGrid w:val="0"/>
      <w:kern w:val="2"/>
      <w:sz w:val="21"/>
      <w:lang w:val="en-US" w:eastAsia="zh-CN"/>
    </w:rPr>
  </w:style>
  <w:style w:type="character" w:customStyle="1" w:styleId="217">
    <w:name w:val="3级 Char"/>
    <w:link w:val="218"/>
    <w:qFormat/>
    <w:locked/>
    <w:uiPriority w:val="99"/>
    <w:rPr>
      <w:rFonts w:ascii="宋体" w:eastAsia="宋体"/>
      <w:b/>
      <w:sz w:val="28"/>
    </w:rPr>
  </w:style>
  <w:style w:type="paragraph" w:customStyle="1" w:styleId="218">
    <w:name w:val="3级"/>
    <w:basedOn w:val="219"/>
    <w:link w:val="217"/>
    <w:qFormat/>
    <w:uiPriority w:val="99"/>
    <w:pPr>
      <w:ind w:left="0" w:right="466" w:firstLine="288"/>
    </w:pPr>
    <w:rPr>
      <w:rFonts w:hAnsi="Times New Roman"/>
      <w:bCs w:val="0"/>
    </w:rPr>
  </w:style>
  <w:style w:type="paragraph" w:customStyle="1" w:styleId="21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0">
    <w:name w:val="myp11"/>
    <w:qFormat/>
    <w:uiPriority w:val="99"/>
    <w:rPr>
      <w:rFonts w:ascii="仿宋_GB2312" w:eastAsia="微软雅黑"/>
      <w:b/>
      <w:kern w:val="2"/>
      <w:sz w:val="32"/>
      <w:lang w:val="en-US" w:eastAsia="zh-CN"/>
    </w:rPr>
  </w:style>
  <w:style w:type="character" w:customStyle="1" w:styleId="221">
    <w:name w:val="文档结构图 Char1"/>
    <w:link w:val="20"/>
    <w:qFormat/>
    <w:locked/>
    <w:uiPriority w:val="99"/>
    <w:rPr>
      <w:kern w:val="2"/>
      <w:sz w:val="24"/>
      <w:shd w:val="clear" w:color="auto" w:fill="000080"/>
    </w:rPr>
  </w:style>
  <w:style w:type="character" w:customStyle="1" w:styleId="222">
    <w:name w:val="H6 Char"/>
    <w:qFormat/>
    <w:uiPriority w:val="99"/>
    <w:rPr>
      <w:rFonts w:ascii="Arial" w:hAnsi="Arial" w:eastAsia="黑体"/>
      <w:b/>
      <w:kern w:val="2"/>
      <w:sz w:val="24"/>
    </w:rPr>
  </w:style>
  <w:style w:type="character" w:customStyle="1" w:styleId="223">
    <w:name w:val="Char Char91"/>
    <w:qFormat/>
    <w:uiPriority w:val="99"/>
    <w:rPr>
      <w:rFonts w:eastAsia="宋体"/>
      <w:kern w:val="2"/>
      <w:sz w:val="18"/>
      <w:lang w:val="en-US" w:eastAsia="zh-CN"/>
    </w:rPr>
  </w:style>
  <w:style w:type="character" w:customStyle="1" w:styleId="224">
    <w:name w:val="副标题 Char1"/>
    <w:qFormat/>
    <w:uiPriority w:val="99"/>
    <w:rPr>
      <w:rFonts w:ascii="Cambria" w:hAnsi="Cambria" w:eastAsia="宋体"/>
      <w:b/>
      <w:snapToGrid w:val="0"/>
      <w:kern w:val="28"/>
      <w:sz w:val="32"/>
    </w:rPr>
  </w:style>
  <w:style w:type="character" w:customStyle="1" w:styleId="225">
    <w:name w:val="font61"/>
    <w:qFormat/>
    <w:uiPriority w:val="99"/>
    <w:rPr>
      <w:rFonts w:ascii="仿宋" w:hAnsi="仿宋" w:eastAsia="仿宋"/>
      <w:color w:val="000000"/>
      <w:sz w:val="20"/>
      <w:u w:val="none"/>
    </w:rPr>
  </w:style>
  <w:style w:type="character" w:customStyle="1" w:styleId="226">
    <w:name w:val="bod1"/>
    <w:qFormat/>
    <w:uiPriority w:val="99"/>
    <w:rPr>
      <w:rFonts w:ascii="MS Sans Serif" w:hAnsi="MS Sans Serif" w:eastAsia="微软雅黑"/>
      <w:b/>
      <w:color w:val="000000"/>
      <w:kern w:val="2"/>
      <w:sz w:val="20"/>
      <w:lang w:val="en-US" w:eastAsia="zh-CN"/>
    </w:rPr>
  </w:style>
  <w:style w:type="character" w:customStyle="1" w:styleId="227">
    <w:name w:val="Char Char211"/>
    <w:qFormat/>
    <w:uiPriority w:val="99"/>
    <w:rPr>
      <w:rFonts w:eastAsia="宋体"/>
      <w:b/>
      <w:kern w:val="2"/>
      <w:sz w:val="24"/>
      <w:lang w:val="en-US" w:eastAsia="zh-CN"/>
    </w:rPr>
  </w:style>
  <w:style w:type="character" w:customStyle="1" w:styleId="228">
    <w:name w:val="标题 2 Char"/>
    <w:qFormat/>
    <w:uiPriority w:val="99"/>
    <w:rPr>
      <w:rFonts w:ascii="Arial" w:hAnsi="Arial" w:eastAsia="黑体"/>
      <w:b/>
      <w:kern w:val="2"/>
      <w:sz w:val="32"/>
      <w:lang w:val="en-US" w:eastAsia="zh-CN"/>
    </w:rPr>
  </w:style>
  <w:style w:type="character" w:customStyle="1" w:styleId="229">
    <w:name w:val="maywed421"/>
    <w:qFormat/>
    <w:uiPriority w:val="99"/>
    <w:rPr>
      <w:color w:val="366FB6"/>
      <w:u w:val="none"/>
    </w:rPr>
  </w:style>
  <w:style w:type="character" w:customStyle="1" w:styleId="230">
    <w:name w:val="正文文本缩进 Char"/>
    <w:qFormat/>
    <w:uiPriority w:val="99"/>
    <w:rPr>
      <w:rFonts w:ascii="宋体" w:eastAsia="宋体"/>
      <w:kern w:val="2"/>
      <w:sz w:val="24"/>
    </w:rPr>
  </w:style>
  <w:style w:type="character" w:customStyle="1" w:styleId="231">
    <w:name w:val="Char Char102"/>
    <w:semiHidden/>
    <w:qFormat/>
    <w:uiPriority w:val="99"/>
    <w:rPr>
      <w:rFonts w:ascii="宋体" w:eastAsia="宋体"/>
      <w:kern w:val="2"/>
      <w:sz w:val="24"/>
      <w:lang w:val="en-US" w:eastAsia="zh-CN"/>
    </w:rPr>
  </w:style>
  <w:style w:type="character" w:customStyle="1" w:styleId="232">
    <w:name w:val="页眉 Char1"/>
    <w:qFormat/>
    <w:uiPriority w:val="99"/>
    <w:rPr>
      <w:rFonts w:eastAsia="宋体"/>
      <w:kern w:val="2"/>
      <w:sz w:val="18"/>
      <w:lang w:val="en-US" w:eastAsia="zh-CN"/>
    </w:rPr>
  </w:style>
  <w:style w:type="character" w:customStyle="1" w:styleId="233">
    <w:name w:val="md"/>
    <w:qFormat/>
    <w:uiPriority w:val="99"/>
    <w:rPr>
      <w:rFonts w:ascii="Arial" w:hAnsi="Arial" w:eastAsia="黑体" w:cs="Arial"/>
      <w:snapToGrid w:val="0"/>
      <w:kern w:val="0"/>
      <w:sz w:val="21"/>
      <w:szCs w:val="21"/>
    </w:rPr>
  </w:style>
  <w:style w:type="character" w:customStyle="1" w:styleId="234">
    <w:name w:val="big1"/>
    <w:qFormat/>
    <w:uiPriority w:val="99"/>
    <w:rPr>
      <w:rFonts w:ascii="宋体" w:hAnsi="宋体" w:eastAsia="宋体"/>
      <w:color w:val="333333"/>
      <w:sz w:val="22"/>
    </w:rPr>
  </w:style>
  <w:style w:type="character" w:customStyle="1" w:styleId="235">
    <w:name w:val="Char Char311"/>
    <w:qFormat/>
    <w:uiPriority w:val="99"/>
    <w:rPr>
      <w:rFonts w:eastAsia="宋体"/>
      <w:kern w:val="2"/>
      <w:sz w:val="24"/>
      <w:lang w:val="en-US" w:eastAsia="zh-CN"/>
    </w:rPr>
  </w:style>
  <w:style w:type="character" w:customStyle="1" w:styleId="236">
    <w:name w:val="Char Char81"/>
    <w:qFormat/>
    <w:uiPriority w:val="99"/>
    <w:rPr>
      <w:rFonts w:eastAsia="宋体"/>
      <w:b/>
      <w:sz w:val="24"/>
      <w:lang w:val="en-GB" w:eastAsia="zh-CN"/>
    </w:rPr>
  </w:style>
  <w:style w:type="character" w:customStyle="1" w:styleId="237">
    <w:name w:val="样式3 Char"/>
    <w:qFormat/>
    <w:uiPriority w:val="99"/>
    <w:rPr>
      <w:rFonts w:ascii="仿宋_GB2312" w:hAnsi="仿宋" w:eastAsia="仿宋_GB2312" w:cs="仿宋_GB2312"/>
      <w:b/>
      <w:bCs/>
      <w:sz w:val="30"/>
      <w:szCs w:val="30"/>
      <w:lang w:val="zh-CN"/>
    </w:rPr>
  </w:style>
  <w:style w:type="character" w:customStyle="1" w:styleId="238">
    <w:name w:val="正文首行缩进 2 Char1"/>
    <w:qFormat/>
    <w:uiPriority w:val="99"/>
    <w:rPr>
      <w:rFonts w:ascii="Times New Roman" w:hAnsi="Times New Roman" w:eastAsia="宋体"/>
      <w:kern w:val="2"/>
      <w:sz w:val="24"/>
    </w:rPr>
  </w:style>
  <w:style w:type="character" w:customStyle="1" w:styleId="239">
    <w:name w:val="副标题 Char2"/>
    <w:qFormat/>
    <w:uiPriority w:val="99"/>
    <w:rPr>
      <w:rFonts w:ascii="Cambria" w:hAnsi="Cambria" w:eastAsia="宋体"/>
      <w:b/>
      <w:snapToGrid w:val="0"/>
      <w:kern w:val="28"/>
      <w:sz w:val="32"/>
    </w:rPr>
  </w:style>
  <w:style w:type="character" w:customStyle="1" w:styleId="240">
    <w:name w:val="标题4-dyf Char"/>
    <w:link w:val="241"/>
    <w:qFormat/>
    <w:locked/>
    <w:uiPriority w:val="99"/>
    <w:rPr>
      <w:rFonts w:ascii="Cambria" w:hAnsi="Cambria"/>
      <w:b/>
      <w:color w:val="000000"/>
      <w:kern w:val="2"/>
      <w:sz w:val="21"/>
    </w:rPr>
  </w:style>
  <w:style w:type="paragraph" w:customStyle="1" w:styleId="241">
    <w:name w:val="标题4-dyf"/>
    <w:basedOn w:val="8"/>
    <w:link w:val="240"/>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rPr>
  </w:style>
  <w:style w:type="character" w:customStyle="1" w:styleId="242">
    <w:name w:val="dectext1"/>
    <w:qFormat/>
    <w:uiPriority w:val="99"/>
    <w:rPr>
      <w:rFonts w:ascii="宋体" w:hAnsi="宋体" w:eastAsia="宋体"/>
      <w:color w:val="333333"/>
      <w:sz w:val="21"/>
      <w:u w:val="none"/>
    </w:rPr>
  </w:style>
  <w:style w:type="character" w:customStyle="1" w:styleId="243">
    <w:name w:val="冯 Char"/>
    <w:link w:val="244"/>
    <w:qFormat/>
    <w:locked/>
    <w:uiPriority w:val="99"/>
    <w:rPr>
      <w:rFonts w:ascii="宋体" w:eastAsia="宋体"/>
      <w:color w:val="000000"/>
      <w:sz w:val="24"/>
    </w:rPr>
  </w:style>
  <w:style w:type="paragraph" w:customStyle="1" w:styleId="244">
    <w:name w:val="冯"/>
    <w:basedOn w:val="1"/>
    <w:link w:val="243"/>
    <w:qFormat/>
    <w:uiPriority w:val="99"/>
    <w:pPr>
      <w:widowControl/>
      <w:adjustRightInd/>
      <w:spacing w:line="360" w:lineRule="auto"/>
      <w:ind w:firstLine="480" w:firstLineChars="200"/>
    </w:pPr>
    <w:rPr>
      <w:rFonts w:ascii="宋体"/>
      <w:color w:val="000000"/>
      <w:kern w:val="0"/>
      <w:sz w:val="24"/>
      <w:szCs w:val="20"/>
    </w:rPr>
  </w:style>
  <w:style w:type="character" w:customStyle="1" w:styleId="245">
    <w:name w:val="Char Char12"/>
    <w:qFormat/>
    <w:uiPriority w:val="99"/>
    <w:rPr>
      <w:rFonts w:ascii="仿宋_GB2312" w:eastAsia="仿宋_GB2312"/>
      <w:b/>
      <w:kern w:val="2"/>
      <w:sz w:val="24"/>
      <w:lang w:val="zh-CN" w:eastAsia="zh-CN"/>
    </w:rPr>
  </w:style>
  <w:style w:type="character" w:customStyle="1" w:styleId="246">
    <w:name w:val="题注 Char"/>
    <w:link w:val="18"/>
    <w:qFormat/>
    <w:locked/>
    <w:uiPriority w:val="99"/>
    <w:rPr>
      <w:b/>
      <w:kern w:val="2"/>
      <w:sz w:val="28"/>
    </w:rPr>
  </w:style>
  <w:style w:type="character" w:customStyle="1" w:styleId="247">
    <w:name w:val="普通文字 Char3"/>
    <w:qFormat/>
    <w:uiPriority w:val="99"/>
    <w:rPr>
      <w:rFonts w:ascii="宋体" w:hAnsi="Courier New" w:eastAsia="宋体"/>
      <w:kern w:val="2"/>
      <w:sz w:val="21"/>
      <w:lang w:val="en-US" w:eastAsia="zh-CN"/>
    </w:rPr>
  </w:style>
  <w:style w:type="character" w:customStyle="1" w:styleId="248">
    <w:name w:val="公文正文 Char"/>
    <w:qFormat/>
    <w:uiPriority w:val="99"/>
    <w:rPr>
      <w:rFonts w:ascii="仿宋_GB2312" w:eastAsia="仿宋_GB2312"/>
      <w:kern w:val="2"/>
      <w:sz w:val="24"/>
      <w:lang w:val="en-US" w:eastAsia="zh-CN"/>
    </w:rPr>
  </w:style>
  <w:style w:type="character" w:customStyle="1" w:styleId="249">
    <w:name w:val="正文首行缩进 Char Char Char Char Char"/>
    <w:qFormat/>
    <w:uiPriority w:val="99"/>
    <w:rPr>
      <w:rFonts w:ascii="宋体"/>
      <w:kern w:val="2"/>
      <w:sz w:val="24"/>
      <w:lang w:val="zh-CN"/>
    </w:rPr>
  </w:style>
  <w:style w:type="character" w:customStyle="1" w:styleId="250">
    <w:name w:val="PI Char"/>
    <w:qFormat/>
    <w:uiPriority w:val="99"/>
    <w:rPr>
      <w:rFonts w:ascii="宋体" w:hAnsi="宋体" w:eastAsia="宋体"/>
      <w:kern w:val="2"/>
      <w:sz w:val="24"/>
      <w:lang w:val="en-US" w:eastAsia="zh-CN"/>
    </w:rPr>
  </w:style>
  <w:style w:type="character" w:customStyle="1" w:styleId="251">
    <w:name w:val="Default Char"/>
    <w:link w:val="252"/>
    <w:qFormat/>
    <w:locked/>
    <w:uiPriority w:val="99"/>
    <w:rPr>
      <w:rFonts w:ascii="仿宋_GB2312" w:eastAsia="仿宋_GB2312" w:cs="仿宋_GB2312"/>
      <w:color w:val="000000"/>
      <w:sz w:val="24"/>
      <w:szCs w:val="24"/>
      <w:lang w:val="en-US" w:eastAsia="zh-CN" w:bidi="ar-SA"/>
    </w:rPr>
  </w:style>
  <w:style w:type="paragraph" w:customStyle="1" w:styleId="252">
    <w:name w:val="Default"/>
    <w:link w:val="25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3">
    <w:name w:val="style91"/>
    <w:qFormat/>
    <w:uiPriority w:val="99"/>
    <w:rPr>
      <w:color w:val="333333"/>
    </w:rPr>
  </w:style>
  <w:style w:type="character" w:customStyle="1" w:styleId="254">
    <w:name w:val="列出段落 Char2"/>
    <w:qFormat/>
    <w:uiPriority w:val="99"/>
    <w:rPr>
      <w:rFonts w:ascii="Calibri" w:hAnsi="Calibri"/>
      <w:kern w:val="2"/>
      <w:sz w:val="28"/>
    </w:rPr>
  </w:style>
  <w:style w:type="character" w:customStyle="1" w:styleId="255">
    <w:name w:val="mdeck"/>
    <w:qFormat/>
    <w:uiPriority w:val="99"/>
    <w:rPr>
      <w:rFonts w:ascii="仿宋_GB2312" w:eastAsia="微软雅黑"/>
      <w:b/>
      <w:kern w:val="2"/>
      <w:sz w:val="32"/>
      <w:lang w:val="en-US" w:eastAsia="zh-CN"/>
    </w:rPr>
  </w:style>
  <w:style w:type="character" w:customStyle="1" w:styleId="256">
    <w:name w:val="unnamed11"/>
    <w:qFormat/>
    <w:uiPriority w:val="99"/>
    <w:rPr>
      <w:sz w:val="20"/>
    </w:rPr>
  </w:style>
  <w:style w:type="character" w:customStyle="1" w:styleId="257">
    <w:name w:val="正文文本 Char2"/>
    <w:semiHidden/>
    <w:qFormat/>
    <w:uiPriority w:val="99"/>
    <w:rPr>
      <w:rFonts w:ascii="Times New Roman" w:hAnsi="Times New Roman" w:eastAsia="宋体"/>
      <w:snapToGrid w:val="0"/>
      <w:kern w:val="0"/>
      <w:sz w:val="24"/>
    </w:rPr>
  </w:style>
  <w:style w:type="character" w:customStyle="1" w:styleId="258">
    <w:name w:val="标书正文格式 Char"/>
    <w:qFormat/>
    <w:uiPriority w:val="99"/>
    <w:rPr>
      <w:rFonts w:eastAsia="楷体_GB2312"/>
      <w:kern w:val="2"/>
      <w:sz w:val="24"/>
    </w:rPr>
  </w:style>
  <w:style w:type="character" w:customStyle="1" w:styleId="259">
    <w:name w:val="Char Char11"/>
    <w:qFormat/>
    <w:locked/>
    <w:uiPriority w:val="99"/>
    <w:rPr>
      <w:rFonts w:ascii="宋体" w:hAnsi="宋体" w:eastAsia="宋体"/>
      <w:b/>
      <w:kern w:val="2"/>
      <w:sz w:val="24"/>
      <w:lang w:val="en-US" w:eastAsia="zh-CN"/>
    </w:rPr>
  </w:style>
  <w:style w:type="character" w:customStyle="1" w:styleId="260">
    <w:name w:val="ca-131"/>
    <w:qFormat/>
    <w:uiPriority w:val="99"/>
    <w:rPr>
      <w:rFonts w:ascii="仿宋_GB2312" w:eastAsia="仿宋_GB2312"/>
      <w:b/>
      <w:color w:val="000000"/>
      <w:spacing w:val="-20"/>
      <w:sz w:val="24"/>
    </w:rPr>
  </w:style>
  <w:style w:type="character" w:customStyle="1" w:styleId="261">
    <w:name w:val="tw4winMark"/>
    <w:qFormat/>
    <w:uiPriority w:val="99"/>
    <w:rPr>
      <w:rFonts w:ascii="Courier New" w:hAnsi="Courier New"/>
      <w:vanish/>
      <w:color w:val="800080"/>
      <w:sz w:val="24"/>
      <w:vertAlign w:val="subscript"/>
    </w:rPr>
  </w:style>
  <w:style w:type="character" w:customStyle="1" w:styleId="262">
    <w:name w:val="正文样式 Char"/>
    <w:link w:val="263"/>
    <w:qFormat/>
    <w:locked/>
    <w:uiPriority w:val="99"/>
    <w:rPr>
      <w:rFonts w:ascii="Calibri" w:hAnsi="Calibri"/>
      <w:sz w:val="24"/>
    </w:rPr>
  </w:style>
  <w:style w:type="paragraph" w:customStyle="1" w:styleId="263">
    <w:name w:val="正文样式"/>
    <w:basedOn w:val="1"/>
    <w:link w:val="262"/>
    <w:qFormat/>
    <w:uiPriority w:val="99"/>
    <w:pPr>
      <w:adjustRightInd/>
      <w:spacing w:line="360" w:lineRule="auto"/>
      <w:ind w:firstLine="480" w:firstLineChars="200"/>
    </w:pPr>
    <w:rPr>
      <w:rFonts w:ascii="Calibri" w:hAnsi="Calibri"/>
      <w:kern w:val="0"/>
      <w:sz w:val="24"/>
      <w:szCs w:val="20"/>
    </w:rPr>
  </w:style>
  <w:style w:type="character" w:customStyle="1" w:styleId="264">
    <w:name w:val="表正文 Char3"/>
    <w:qFormat/>
    <w:uiPriority w:val="99"/>
    <w:rPr>
      <w:rFonts w:eastAsia="宋体"/>
    </w:rPr>
  </w:style>
  <w:style w:type="character" w:customStyle="1" w:styleId="265">
    <w:name w:val="H5 Char"/>
    <w:qFormat/>
    <w:uiPriority w:val="99"/>
    <w:rPr>
      <w:b/>
      <w:kern w:val="2"/>
      <w:sz w:val="28"/>
    </w:rPr>
  </w:style>
  <w:style w:type="character" w:customStyle="1" w:styleId="266">
    <w:name w:val="Char Char3"/>
    <w:qFormat/>
    <w:uiPriority w:val="99"/>
    <w:rPr>
      <w:rFonts w:eastAsia="宋体"/>
      <w:kern w:val="2"/>
      <w:sz w:val="24"/>
      <w:lang w:val="en-US" w:eastAsia="zh-CN"/>
    </w:rPr>
  </w:style>
  <w:style w:type="character" w:customStyle="1" w:styleId="267">
    <w:name w:val="正文 编号 Char"/>
    <w:qFormat/>
    <w:uiPriority w:val="99"/>
    <w:rPr>
      <w:rFonts w:ascii="仿宋_GB2312" w:hAnsi="仿宋_GB2312" w:eastAsia="仿宋_GB2312"/>
      <w:kern w:val="2"/>
      <w:sz w:val="24"/>
    </w:rPr>
  </w:style>
  <w:style w:type="character" w:customStyle="1" w:styleId="268">
    <w:name w:val="question-title2"/>
    <w:qFormat/>
    <w:uiPriority w:val="99"/>
    <w:rPr>
      <w:rFonts w:ascii="Arial" w:hAnsi="Arial" w:eastAsia="黑体"/>
      <w:snapToGrid w:val="0"/>
      <w:kern w:val="0"/>
      <w:sz w:val="21"/>
    </w:rPr>
  </w:style>
  <w:style w:type="character" w:customStyle="1" w:styleId="269">
    <w:name w:val="gf正文1 Char Char"/>
    <w:link w:val="270"/>
    <w:qFormat/>
    <w:locked/>
    <w:uiPriority w:val="99"/>
    <w:rPr>
      <w:rFonts w:ascii="宋体" w:eastAsia="宋体"/>
      <w:kern w:val="2"/>
      <w:sz w:val="24"/>
    </w:rPr>
  </w:style>
  <w:style w:type="paragraph" w:customStyle="1" w:styleId="270">
    <w:name w:val="gf正文1"/>
    <w:basedOn w:val="1"/>
    <w:link w:val="269"/>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1">
    <w:name w:val="Char Char15"/>
    <w:qFormat/>
    <w:uiPriority w:val="99"/>
    <w:rPr>
      <w:rFonts w:ascii="宋体" w:eastAsia="宋体"/>
      <w:kern w:val="1"/>
      <w:sz w:val="21"/>
    </w:rPr>
  </w:style>
  <w:style w:type="character" w:customStyle="1" w:styleId="272">
    <w:name w:val="正文缩进 Char3"/>
    <w:qFormat/>
    <w:uiPriority w:val="99"/>
    <w:rPr>
      <w:rFonts w:ascii="宋体" w:eastAsia="宋体"/>
      <w:snapToGrid w:val="0"/>
      <w:color w:val="000000"/>
      <w:kern w:val="28"/>
      <w:sz w:val="28"/>
      <w:lang w:val="en-US" w:eastAsia="zh-CN"/>
    </w:rPr>
  </w:style>
  <w:style w:type="character" w:customStyle="1" w:styleId="273">
    <w:name w:val="列出段落 Char1"/>
    <w:link w:val="274"/>
    <w:qFormat/>
    <w:locked/>
    <w:uiPriority w:val="99"/>
    <w:rPr>
      <w:rFonts w:ascii="Calibri" w:hAnsi="Calibri"/>
      <w:sz w:val="24"/>
      <w:lang w:eastAsia="en-US"/>
    </w:rPr>
  </w:style>
  <w:style w:type="paragraph" w:customStyle="1" w:styleId="274">
    <w:name w:val="列表1"/>
    <w:basedOn w:val="1"/>
    <w:next w:val="275"/>
    <w:link w:val="273"/>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5">
    <w:name w:val="List Paragraph"/>
    <w:basedOn w:val="1"/>
    <w:qFormat/>
    <w:uiPriority w:val="34"/>
    <w:pPr>
      <w:spacing w:line="360" w:lineRule="auto"/>
      <w:ind w:firstLine="200" w:firstLineChars="200"/>
    </w:pPr>
    <w:rPr>
      <w:rFonts w:eastAsia="楷体_GB2312" w:cs="Lucida Sans"/>
      <w:sz w:val="24"/>
    </w:rPr>
  </w:style>
  <w:style w:type="character" w:customStyle="1" w:styleId="276">
    <w:name w:val="Char Char8"/>
    <w:qFormat/>
    <w:uiPriority w:val="99"/>
    <w:rPr>
      <w:rFonts w:eastAsia="宋体"/>
      <w:b/>
      <w:sz w:val="24"/>
      <w:lang w:val="en-GB" w:eastAsia="zh-CN"/>
    </w:rPr>
  </w:style>
  <w:style w:type="character" w:customStyle="1" w:styleId="277">
    <w:name w:val="Normal Indent Char Char"/>
    <w:qFormat/>
    <w:uiPriority w:val="99"/>
    <w:rPr>
      <w:rFonts w:eastAsia="宋体"/>
      <w:kern w:val="2"/>
      <w:sz w:val="21"/>
      <w:lang w:val="en-US" w:eastAsia="zh-CN"/>
    </w:rPr>
  </w:style>
  <w:style w:type="character" w:customStyle="1" w:styleId="278">
    <w:name w:val="列表段落 字符"/>
    <w:qFormat/>
    <w:uiPriority w:val="99"/>
  </w:style>
  <w:style w:type="character" w:customStyle="1" w:styleId="279">
    <w:name w:val="Ò³Ã¼ Char Char1"/>
    <w:qFormat/>
    <w:uiPriority w:val="99"/>
    <w:rPr>
      <w:rFonts w:eastAsia="宋体"/>
      <w:kern w:val="2"/>
      <w:sz w:val="18"/>
      <w:lang w:val="en-US" w:eastAsia="zh-CN"/>
    </w:rPr>
  </w:style>
  <w:style w:type="character" w:customStyle="1" w:styleId="280">
    <w:name w:val="方案正文 Char"/>
    <w:qFormat/>
    <w:uiPriority w:val="99"/>
    <w:rPr>
      <w:rFonts w:ascii="仿宋_GB2312" w:eastAsia="仿宋_GB2312"/>
      <w:b/>
      <w:color w:val="000000"/>
      <w:kern w:val="2"/>
      <w:sz w:val="24"/>
      <w:lang w:val="en-US" w:eastAsia="zh-CN"/>
    </w:rPr>
  </w:style>
  <w:style w:type="character" w:customStyle="1" w:styleId="281">
    <w:name w:val="Char Char30"/>
    <w:qFormat/>
    <w:uiPriority w:val="99"/>
    <w:rPr>
      <w:rFonts w:ascii="Arial" w:hAnsi="Arial" w:eastAsia="黑体"/>
      <w:kern w:val="1"/>
      <w:sz w:val="21"/>
    </w:rPr>
  </w:style>
  <w:style w:type="character" w:customStyle="1" w:styleId="282">
    <w:name w:val="font01"/>
    <w:qFormat/>
    <w:uiPriority w:val="99"/>
    <w:rPr>
      <w:rFonts w:ascii="微软雅黑" w:hAnsi="微软雅黑" w:eastAsia="微软雅黑"/>
      <w:color w:val="000000"/>
      <w:sz w:val="20"/>
      <w:u w:val="none"/>
    </w:rPr>
  </w:style>
  <w:style w:type="character" w:customStyle="1" w:styleId="283">
    <w:name w:val="Char Char20"/>
    <w:qFormat/>
    <w:uiPriority w:val="99"/>
    <w:rPr>
      <w:kern w:val="1"/>
      <w:sz w:val="24"/>
    </w:rPr>
  </w:style>
  <w:style w:type="character" w:customStyle="1" w:styleId="284">
    <w:name w:val="tw4winExternal"/>
    <w:qFormat/>
    <w:uiPriority w:val="99"/>
    <w:rPr>
      <w:rFonts w:ascii="Courier New" w:hAnsi="Courier New"/>
      <w:color w:val="808080"/>
      <w:lang w:val="en-US" w:eastAsia="zh-CN"/>
    </w:rPr>
  </w:style>
  <w:style w:type="character" w:customStyle="1" w:styleId="285">
    <w:name w:val="标题 4 Char1"/>
    <w:qFormat/>
    <w:uiPriority w:val="99"/>
    <w:rPr>
      <w:rFonts w:ascii="Cambria" w:hAnsi="Cambria" w:eastAsia="宋体"/>
      <w:b/>
      <w:kern w:val="2"/>
      <w:sz w:val="28"/>
    </w:rPr>
  </w:style>
  <w:style w:type="character" w:customStyle="1" w:styleId="286">
    <w:name w:val="批注文字 Char2"/>
    <w:qFormat/>
    <w:uiPriority w:val="99"/>
    <w:rPr>
      <w:rFonts w:ascii="Times New Roman" w:hAnsi="Times New Roman" w:eastAsia="宋体"/>
      <w:snapToGrid w:val="0"/>
      <w:kern w:val="0"/>
      <w:sz w:val="24"/>
    </w:rPr>
  </w:style>
  <w:style w:type="character" w:customStyle="1" w:styleId="287">
    <w:name w:val="正文文本 2 Char"/>
    <w:qFormat/>
    <w:uiPriority w:val="99"/>
    <w:rPr>
      <w:rFonts w:eastAsia="宋体"/>
      <w:kern w:val="2"/>
      <w:sz w:val="24"/>
      <w:lang w:val="en-US" w:eastAsia="zh-CN"/>
    </w:rPr>
  </w:style>
  <w:style w:type="character" w:customStyle="1" w:styleId="288">
    <w:name w:val="Ò³Ã¼ Char Char"/>
    <w:qFormat/>
    <w:uiPriority w:val="99"/>
    <w:rPr>
      <w:rFonts w:eastAsia="宋体"/>
      <w:kern w:val="2"/>
      <w:sz w:val="18"/>
      <w:lang w:val="en-US" w:eastAsia="zh-CN"/>
    </w:rPr>
  </w:style>
  <w:style w:type="character" w:customStyle="1" w:styleId="289">
    <w:name w:val="message1"/>
    <w:qFormat/>
    <w:uiPriority w:val="99"/>
    <w:rPr>
      <w:rFonts w:ascii="Tahoma" w:hAnsi="Tahoma"/>
      <w:sz w:val="18"/>
    </w:rPr>
  </w:style>
  <w:style w:type="character" w:customStyle="1" w:styleId="290">
    <w:name w:val="Char Char23"/>
    <w:qFormat/>
    <w:uiPriority w:val="99"/>
    <w:rPr>
      <w:color w:val="0000FF"/>
      <w:sz w:val="21"/>
    </w:rPr>
  </w:style>
  <w:style w:type="character" w:customStyle="1" w:styleId="291">
    <w:name w:val="批注框文本 字符"/>
    <w:qFormat/>
    <w:uiPriority w:val="99"/>
    <w:rPr>
      <w:rFonts w:ascii="Arial" w:hAnsi="Arial" w:eastAsia="黑体"/>
      <w:snapToGrid w:val="0"/>
      <w:kern w:val="0"/>
      <w:sz w:val="18"/>
    </w:rPr>
  </w:style>
  <w:style w:type="character" w:customStyle="1" w:styleId="292">
    <w:name w:val="纯文本 Char2"/>
    <w:semiHidden/>
    <w:qFormat/>
    <w:uiPriority w:val="99"/>
    <w:rPr>
      <w:rFonts w:ascii="宋体" w:hAnsi="Courier New" w:eastAsia="宋体"/>
    </w:rPr>
  </w:style>
  <w:style w:type="character" w:customStyle="1" w:styleId="293">
    <w:name w:val="Char Char25"/>
    <w:qFormat/>
    <w:uiPriority w:val="99"/>
    <w:rPr>
      <w:rFonts w:ascii="宋体" w:eastAsia="宋体"/>
      <w:kern w:val="1"/>
      <w:sz w:val="24"/>
      <w:lang w:val="zh-CN"/>
    </w:rPr>
  </w:style>
  <w:style w:type="character" w:customStyle="1" w:styleId="294">
    <w:name w:val="Char Char411"/>
    <w:qFormat/>
    <w:uiPriority w:val="99"/>
    <w:rPr>
      <w:rFonts w:eastAsia="宋体"/>
      <w:b/>
      <w:sz w:val="24"/>
      <w:lang w:val="en-GB" w:eastAsia="zh-CN"/>
    </w:rPr>
  </w:style>
  <w:style w:type="character" w:customStyle="1" w:styleId="295">
    <w:name w:val="此正文 Char"/>
    <w:link w:val="296"/>
    <w:qFormat/>
    <w:locked/>
    <w:uiPriority w:val="99"/>
    <w:rPr>
      <w:kern w:val="2"/>
      <w:sz w:val="24"/>
    </w:rPr>
  </w:style>
  <w:style w:type="paragraph" w:customStyle="1" w:styleId="296">
    <w:name w:val="此正文"/>
    <w:basedOn w:val="1"/>
    <w:link w:val="295"/>
    <w:qFormat/>
    <w:uiPriority w:val="99"/>
    <w:pPr>
      <w:adjustRightInd/>
      <w:spacing w:line="360" w:lineRule="auto"/>
      <w:ind w:firstLine="200" w:firstLineChars="200"/>
    </w:pPr>
    <w:rPr>
      <w:sz w:val="24"/>
      <w:szCs w:val="20"/>
    </w:rPr>
  </w:style>
  <w:style w:type="character" w:customStyle="1" w:styleId="297">
    <w:name w:val="Char Char2"/>
    <w:qFormat/>
    <w:uiPriority w:val="99"/>
    <w:rPr>
      <w:rFonts w:eastAsia="宋体"/>
      <w:b/>
      <w:kern w:val="2"/>
      <w:sz w:val="24"/>
      <w:lang w:val="en-US" w:eastAsia="zh-CN"/>
    </w:rPr>
  </w:style>
  <w:style w:type="character" w:customStyle="1" w:styleId="298">
    <w:name w:val="标题 1 Char"/>
    <w:link w:val="3"/>
    <w:qFormat/>
    <w:locked/>
    <w:uiPriority w:val="99"/>
    <w:rPr>
      <w:b/>
      <w:kern w:val="44"/>
      <w:sz w:val="44"/>
    </w:rPr>
  </w:style>
  <w:style w:type="character" w:customStyle="1" w:styleId="299">
    <w:name w:val="Footer-Even Char1"/>
    <w:qFormat/>
    <w:uiPriority w:val="99"/>
    <w:rPr>
      <w:rFonts w:eastAsia="宋体"/>
      <w:kern w:val="2"/>
      <w:sz w:val="18"/>
      <w:lang w:val="en-US" w:eastAsia="zh-CN"/>
    </w:rPr>
  </w:style>
  <w:style w:type="character" w:customStyle="1" w:styleId="300">
    <w:name w:val="Char Char29"/>
    <w:qFormat/>
    <w:uiPriority w:val="99"/>
    <w:rPr>
      <w:rFonts w:ascii="Arial" w:hAnsi="Arial" w:eastAsia="微软雅黑"/>
      <w:b/>
      <w:kern w:val="1"/>
      <w:sz w:val="32"/>
      <w:lang w:val="en-US" w:eastAsia="zh-CN"/>
    </w:rPr>
  </w:style>
  <w:style w:type="character" w:customStyle="1" w:styleId="301">
    <w:name w:val="font81"/>
    <w:qFormat/>
    <w:uiPriority w:val="99"/>
    <w:rPr>
      <w:rFonts w:ascii="微软雅黑" w:hAnsi="微软雅黑" w:eastAsia="微软雅黑"/>
      <w:color w:val="000000"/>
      <w:sz w:val="20"/>
      <w:u w:val="none"/>
    </w:rPr>
  </w:style>
  <w:style w:type="character" w:customStyle="1" w:styleId="302">
    <w:name w:val="Char Char312"/>
    <w:qFormat/>
    <w:uiPriority w:val="99"/>
    <w:rPr>
      <w:rFonts w:ascii="Times New Roman" w:hAnsi="Times New Roman" w:eastAsia="宋体"/>
      <w:b/>
      <w:kern w:val="2"/>
      <w:sz w:val="24"/>
      <w:lang w:val="en-US" w:eastAsia="zh-CN"/>
    </w:rPr>
  </w:style>
  <w:style w:type="character" w:customStyle="1" w:styleId="303">
    <w:name w:val="t21"/>
    <w:qFormat/>
    <w:uiPriority w:val="99"/>
    <w:rPr>
      <w:rFonts w:ascii="仿宋_GB2312" w:eastAsia="微软雅黑"/>
      <w:b/>
      <w:kern w:val="2"/>
      <w:sz w:val="23"/>
      <w:lang w:val="en-US" w:eastAsia="zh-CN"/>
    </w:rPr>
  </w:style>
  <w:style w:type="character" w:customStyle="1" w:styleId="304">
    <w:name w:val="样式8 Char"/>
    <w:qFormat/>
    <w:uiPriority w:val="99"/>
    <w:rPr>
      <w:rFonts w:ascii="仿宋_GB2312" w:hAnsi="宋体" w:eastAsia="仿宋_GB2312"/>
      <w:b/>
      <w:kern w:val="2"/>
      <w:sz w:val="24"/>
    </w:rPr>
  </w:style>
  <w:style w:type="character" w:customStyle="1" w:styleId="305">
    <w:name w:val="表格 Char Char"/>
    <w:qFormat/>
    <w:uiPriority w:val="99"/>
    <w:rPr>
      <w:rFonts w:ascii="宋体" w:hAnsi="宋体" w:eastAsia="宋体"/>
    </w:rPr>
  </w:style>
  <w:style w:type="character" w:customStyle="1" w:styleId="306">
    <w:name w:val="正文文本 字符1"/>
    <w:qFormat/>
    <w:uiPriority w:val="99"/>
    <w:rPr>
      <w:rFonts w:ascii="Calibri" w:hAnsi="Calibri" w:eastAsia="黑体"/>
      <w:snapToGrid w:val="0"/>
      <w:kern w:val="2"/>
      <w:sz w:val="21"/>
    </w:rPr>
  </w:style>
  <w:style w:type="character" w:customStyle="1" w:styleId="307">
    <w:name w:val="标题 6 Char1"/>
    <w:qFormat/>
    <w:uiPriority w:val="99"/>
    <w:rPr>
      <w:rFonts w:ascii="Arial" w:hAnsi="Arial" w:eastAsia="黑体"/>
      <w:b/>
      <w:sz w:val="20"/>
    </w:rPr>
  </w:style>
  <w:style w:type="character" w:customStyle="1" w:styleId="308">
    <w:name w:val="带编号样式 Char"/>
    <w:qFormat/>
    <w:uiPriority w:val="99"/>
    <w:rPr>
      <w:rFonts w:ascii="仿宋_GB2312" w:eastAsia="仿宋_GB2312"/>
      <w:color w:val="000000"/>
      <w:sz w:val="24"/>
    </w:rPr>
  </w:style>
  <w:style w:type="character" w:customStyle="1" w:styleId="309">
    <w:name w:val="unnamed31"/>
    <w:qFormat/>
    <w:uiPriority w:val="99"/>
    <w:rPr>
      <w:rFonts w:ascii="Tahoma" w:hAnsi="Tahoma" w:eastAsia="宋体"/>
      <w:b/>
      <w:kern w:val="2"/>
      <w:sz w:val="32"/>
      <w:u w:val="none"/>
      <w:lang w:val="en-US" w:eastAsia="zh-CN"/>
    </w:rPr>
  </w:style>
  <w:style w:type="character" w:customStyle="1" w:styleId="310">
    <w:name w:val="正文首行缩进 Char Char Char Char Char Char1"/>
    <w:qFormat/>
    <w:uiPriority w:val="99"/>
    <w:rPr>
      <w:rFonts w:ascii="宋体" w:eastAsia="宋体"/>
      <w:kern w:val="2"/>
      <w:sz w:val="24"/>
      <w:lang w:val="zh-CN"/>
    </w:rPr>
  </w:style>
  <w:style w:type="character" w:customStyle="1" w:styleId="311">
    <w:name w:val="文本正文 Char Char"/>
    <w:qFormat/>
    <w:locked/>
    <w:uiPriority w:val="99"/>
    <w:rPr>
      <w:sz w:val="24"/>
    </w:rPr>
  </w:style>
  <w:style w:type="character" w:customStyle="1" w:styleId="312">
    <w:name w:val="正文缩进 字符"/>
    <w:qFormat/>
    <w:uiPriority w:val="99"/>
    <w:rPr>
      <w:rFonts w:ascii="宋体" w:eastAsia="宋体"/>
      <w:snapToGrid w:val="0"/>
      <w:color w:val="000000"/>
      <w:kern w:val="28"/>
      <w:sz w:val="28"/>
      <w:lang w:val="en-US" w:eastAsia="zh-CN"/>
    </w:rPr>
  </w:style>
  <w:style w:type="character" w:customStyle="1" w:styleId="313">
    <w:name w:val="样式 样式 标题 4h4H4Fab-4T5Ref Heading 1rh1Heading sqlsect 1.2.3.... +... Char"/>
    <w:link w:val="314"/>
    <w:qFormat/>
    <w:locked/>
    <w:uiPriority w:val="99"/>
    <w:rPr>
      <w:rFonts w:ascii="微软雅黑" w:hAnsi="微软雅黑" w:eastAsia="微软雅黑"/>
      <w:b/>
      <w:kern w:val="2"/>
      <w:sz w:val="28"/>
    </w:rPr>
  </w:style>
  <w:style w:type="paragraph" w:customStyle="1" w:styleId="314">
    <w:name w:val="样式 样式 标题 4h4H4Fab-4T5Ref Heading 1rh1Heading sqlsect 1.2.3.... +..."/>
    <w:basedOn w:val="315"/>
    <w:link w:val="313"/>
    <w:qFormat/>
    <w:uiPriority w:val="99"/>
    <w:pPr>
      <w:tabs>
        <w:tab w:val="left" w:pos="2356"/>
      </w:tabs>
    </w:pPr>
  </w:style>
  <w:style w:type="paragraph" w:customStyle="1" w:styleId="315">
    <w:name w:val="样式 标题 4h4H4Fab-4T5Ref Heading 1rh1Heading sqlsect 1.2.3...."/>
    <w:basedOn w:val="8"/>
    <w:link w:val="415"/>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rPr>
  </w:style>
  <w:style w:type="character" w:customStyle="1" w:styleId="316">
    <w:name w:val="正文非缩进 Char"/>
    <w:qFormat/>
    <w:uiPriority w:val="99"/>
    <w:rPr>
      <w:rFonts w:ascii="宋体" w:eastAsia="宋体"/>
      <w:snapToGrid w:val="0"/>
      <w:color w:val="000000"/>
      <w:kern w:val="28"/>
      <w:sz w:val="28"/>
      <w:lang w:val="en-US" w:eastAsia="zh-CN"/>
    </w:rPr>
  </w:style>
  <w:style w:type="character" w:customStyle="1" w:styleId="317">
    <w:name w:val="标题 7 Char"/>
    <w:link w:val="11"/>
    <w:qFormat/>
    <w:locked/>
    <w:uiPriority w:val="99"/>
    <w:rPr>
      <w:b/>
      <w:kern w:val="2"/>
      <w:sz w:val="24"/>
    </w:rPr>
  </w:style>
  <w:style w:type="character" w:customStyle="1" w:styleId="318">
    <w:name w:val="Char Char5"/>
    <w:qFormat/>
    <w:uiPriority w:val="99"/>
    <w:rPr>
      <w:rFonts w:ascii="宋体" w:hAnsi="Courier New" w:eastAsia="宋体"/>
      <w:kern w:val="2"/>
      <w:sz w:val="21"/>
      <w:lang w:val="en-US" w:eastAsia="zh-CN"/>
    </w:rPr>
  </w:style>
  <w:style w:type="character" w:customStyle="1" w:styleId="319">
    <w:name w:val="称呼 Char1"/>
    <w:qFormat/>
    <w:uiPriority w:val="99"/>
    <w:rPr>
      <w:rFonts w:ascii="Times New Roman" w:hAnsi="Times New Roman" w:eastAsia="宋体"/>
      <w:sz w:val="24"/>
    </w:rPr>
  </w:style>
  <w:style w:type="character" w:customStyle="1" w:styleId="320">
    <w:name w:val="正文1 Char"/>
    <w:qFormat/>
    <w:uiPriority w:val="99"/>
    <w:rPr>
      <w:rFonts w:ascii="宋体" w:eastAsia="宋体"/>
      <w:snapToGrid w:val="0"/>
      <w:color w:val="000000"/>
      <w:kern w:val="28"/>
      <w:sz w:val="28"/>
      <w:lang w:val="en-US" w:eastAsia="zh-CN"/>
    </w:rPr>
  </w:style>
  <w:style w:type="character" w:customStyle="1" w:styleId="321">
    <w:name w:val="正文缩进 Char1"/>
    <w:qFormat/>
    <w:uiPriority w:val="99"/>
    <w:rPr>
      <w:rFonts w:ascii="宋体" w:eastAsia="宋体"/>
      <w:snapToGrid w:val="0"/>
      <w:color w:val="000000"/>
      <w:kern w:val="28"/>
      <w:sz w:val="28"/>
      <w:lang w:val="en-US" w:eastAsia="zh-CN"/>
    </w:rPr>
  </w:style>
  <w:style w:type="character" w:customStyle="1" w:styleId="322">
    <w:name w:val="font21"/>
    <w:qFormat/>
    <w:uiPriority w:val="99"/>
    <w:rPr>
      <w:rFonts w:ascii="宋体" w:hAnsi="宋体" w:eastAsia="宋体"/>
      <w:kern w:val="2"/>
      <w:sz w:val="28"/>
      <w:lang w:val="en-US" w:eastAsia="zh-CN"/>
    </w:rPr>
  </w:style>
  <w:style w:type="character" w:customStyle="1" w:styleId="323">
    <w:name w:val="Char Char26"/>
    <w:qFormat/>
    <w:uiPriority w:val="99"/>
    <w:rPr>
      <w:kern w:val="1"/>
      <w:sz w:val="24"/>
    </w:rPr>
  </w:style>
  <w:style w:type="character" w:customStyle="1" w:styleId="324">
    <w:name w:val="Item List Char"/>
    <w:link w:val="325"/>
    <w:qFormat/>
    <w:locked/>
    <w:uiPriority w:val="99"/>
    <w:rPr>
      <w:rFonts w:ascii="Arial"/>
      <w:bCs/>
      <w:sz w:val="21"/>
      <w:szCs w:val="21"/>
      <w:lang w:val="en-US" w:eastAsia="zh-CN" w:bidi="ar-SA"/>
    </w:rPr>
  </w:style>
  <w:style w:type="paragraph" w:customStyle="1" w:styleId="325">
    <w:name w:val="Item List"/>
    <w:link w:val="324"/>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99"/>
    <w:rPr>
      <w:rFonts w:ascii="Times New Roman" w:hAnsi="Times New Roman" w:eastAsia="宋体"/>
      <w:sz w:val="18"/>
    </w:rPr>
  </w:style>
  <w:style w:type="character" w:customStyle="1" w:styleId="327">
    <w:name w:val="纯文本 Char1"/>
    <w:link w:val="328"/>
    <w:qFormat/>
    <w:locked/>
    <w:uiPriority w:val="99"/>
    <w:rPr>
      <w:rFonts w:ascii="宋体" w:hAnsi="Courier New"/>
    </w:rPr>
  </w:style>
  <w:style w:type="paragraph" w:customStyle="1" w:styleId="328">
    <w:name w:val="纯文本1"/>
    <w:basedOn w:val="1"/>
    <w:link w:val="327"/>
    <w:qFormat/>
    <w:uiPriority w:val="99"/>
    <w:pPr>
      <w:adjustRightInd/>
    </w:pPr>
    <w:rPr>
      <w:rFonts w:ascii="宋体" w:hAnsi="Courier New"/>
      <w:kern w:val="0"/>
      <w:sz w:val="20"/>
      <w:szCs w:val="20"/>
    </w:rPr>
  </w:style>
  <w:style w:type="character" w:customStyle="1" w:styleId="329">
    <w:name w:val="h3 Char"/>
    <w:qFormat/>
    <w:uiPriority w:val="99"/>
    <w:rPr>
      <w:rFonts w:eastAsia="宋体"/>
      <w:b/>
      <w:kern w:val="2"/>
      <w:sz w:val="32"/>
      <w:lang w:val="en-US" w:eastAsia="zh-CN"/>
    </w:rPr>
  </w:style>
  <w:style w:type="character" w:customStyle="1" w:styleId="330">
    <w:name w:val="dandyren_title1"/>
    <w:qFormat/>
    <w:uiPriority w:val="99"/>
    <w:rPr>
      <w:b/>
      <w:color w:val="FF6633"/>
      <w:sz w:val="18"/>
    </w:rPr>
  </w:style>
  <w:style w:type="character" w:customStyle="1" w:styleId="331">
    <w:name w:val="Char Char31"/>
    <w:qFormat/>
    <w:uiPriority w:val="99"/>
    <w:rPr>
      <w:rFonts w:ascii="Arial" w:hAnsi="Arial" w:eastAsia="黑体"/>
      <w:kern w:val="1"/>
      <w:sz w:val="24"/>
    </w:rPr>
  </w:style>
  <w:style w:type="character" w:customStyle="1" w:styleId="332">
    <w:name w:val="h Char1"/>
    <w:qFormat/>
    <w:uiPriority w:val="99"/>
    <w:rPr>
      <w:sz w:val="18"/>
    </w:rPr>
  </w:style>
  <w:style w:type="character" w:customStyle="1" w:styleId="333">
    <w:name w:val="solutionfonts"/>
    <w:qFormat/>
    <w:uiPriority w:val="99"/>
  </w:style>
  <w:style w:type="character" w:customStyle="1" w:styleId="334">
    <w:name w:val="首行缩进 Char"/>
    <w:qFormat/>
    <w:uiPriority w:val="99"/>
    <w:rPr>
      <w:rFonts w:ascii="宋体" w:eastAsia="宋体"/>
      <w:kern w:val="2"/>
      <w:sz w:val="24"/>
      <w:lang w:val="en-US" w:eastAsia="zh-CN"/>
    </w:rPr>
  </w:style>
  <w:style w:type="character" w:customStyle="1" w:styleId="335">
    <w:name w:val="Char Char52"/>
    <w:qFormat/>
    <w:uiPriority w:val="99"/>
    <w:rPr>
      <w:rFonts w:ascii="宋体" w:hAnsi="Courier New" w:eastAsia="宋体"/>
      <w:kern w:val="2"/>
      <w:sz w:val="21"/>
      <w:lang w:val="en-US" w:eastAsia="zh-CN"/>
    </w:rPr>
  </w:style>
  <w:style w:type="character" w:customStyle="1" w:styleId="336">
    <w:name w:val="font31"/>
    <w:qFormat/>
    <w:uiPriority w:val="99"/>
    <w:rPr>
      <w:rFonts w:ascii="仿宋" w:hAnsi="仿宋" w:eastAsia="仿宋"/>
      <w:color w:val="000000"/>
      <w:sz w:val="20"/>
      <w:u w:val="none"/>
    </w:rPr>
  </w:style>
  <w:style w:type="character" w:customStyle="1" w:styleId="337">
    <w:name w:val="正文说明 Char"/>
    <w:link w:val="338"/>
    <w:qFormat/>
    <w:locked/>
    <w:uiPriority w:val="99"/>
    <w:rPr>
      <w:sz w:val="24"/>
    </w:rPr>
  </w:style>
  <w:style w:type="paragraph" w:customStyle="1" w:styleId="338">
    <w:name w:val="正文说明"/>
    <w:basedOn w:val="1"/>
    <w:link w:val="337"/>
    <w:qFormat/>
    <w:uiPriority w:val="99"/>
    <w:pPr>
      <w:adjustRightInd/>
      <w:spacing w:line="360" w:lineRule="auto"/>
    </w:pPr>
    <w:rPr>
      <w:kern w:val="0"/>
      <w:sz w:val="24"/>
      <w:szCs w:val="20"/>
    </w:rPr>
  </w:style>
  <w:style w:type="character" w:customStyle="1" w:styleId="339">
    <w:name w:val="脚注文本 Char1"/>
    <w:qFormat/>
    <w:uiPriority w:val="99"/>
    <w:rPr>
      <w:rFonts w:ascii="Times New Roman" w:hAnsi="Times New Roman" w:eastAsia="宋体"/>
      <w:sz w:val="18"/>
    </w:rPr>
  </w:style>
  <w:style w:type="character" w:customStyle="1" w:styleId="340">
    <w:name w:val="Char Char1211"/>
    <w:qFormat/>
    <w:uiPriority w:val="99"/>
    <w:rPr>
      <w:rFonts w:ascii="仿宋_GB2312" w:eastAsia="仿宋_GB2312"/>
      <w:b/>
      <w:kern w:val="2"/>
      <w:sz w:val="24"/>
      <w:lang w:val="zh-CN" w:eastAsia="zh-CN"/>
    </w:rPr>
  </w:style>
  <w:style w:type="character" w:customStyle="1" w:styleId="341">
    <w:name w:val="标题 Char"/>
    <w:qFormat/>
    <w:uiPriority w:val="99"/>
    <w:rPr>
      <w:rFonts w:eastAsia="宋体"/>
      <w:b/>
      <w:sz w:val="24"/>
      <w:lang w:val="en-GB" w:eastAsia="zh-CN"/>
    </w:rPr>
  </w:style>
  <w:style w:type="character" w:customStyle="1" w:styleId="342">
    <w:name w:val="Char Char35"/>
    <w:qFormat/>
    <w:uiPriority w:val="99"/>
    <w:rPr>
      <w:rFonts w:ascii="Arial" w:hAnsi="Arial" w:eastAsia="黑体"/>
      <w:b/>
      <w:kern w:val="1"/>
      <w:sz w:val="28"/>
      <w:lang w:val="zh-CN"/>
    </w:rPr>
  </w:style>
  <w:style w:type="character" w:customStyle="1" w:styleId="343">
    <w:name w:val="纯文本 Char Char Char"/>
    <w:qFormat/>
    <w:uiPriority w:val="99"/>
    <w:rPr>
      <w:rFonts w:ascii="宋体" w:hAnsi="Courier New" w:eastAsia="宋体"/>
      <w:kern w:val="2"/>
      <w:sz w:val="21"/>
      <w:lang w:val="en-US" w:eastAsia="zh-CN"/>
    </w:rPr>
  </w:style>
  <w:style w:type="character" w:customStyle="1" w:styleId="344">
    <w:name w:val="Table Text Char"/>
    <w:link w:val="345"/>
    <w:qFormat/>
    <w:locked/>
    <w:uiPriority w:val="99"/>
    <w:rPr>
      <w:sz w:val="24"/>
    </w:rPr>
  </w:style>
  <w:style w:type="paragraph" w:customStyle="1" w:styleId="345">
    <w:name w:val="Table Text"/>
    <w:basedOn w:val="1"/>
    <w:link w:val="344"/>
    <w:qFormat/>
    <w:uiPriority w:val="99"/>
    <w:pPr>
      <w:widowControl/>
      <w:spacing w:before="60" w:after="60"/>
      <w:jc w:val="left"/>
    </w:pPr>
    <w:rPr>
      <w:kern w:val="0"/>
      <w:sz w:val="24"/>
      <w:szCs w:val="20"/>
    </w:rPr>
  </w:style>
  <w:style w:type="character" w:customStyle="1" w:styleId="346">
    <w:name w:val="正文1 Char1"/>
    <w:qFormat/>
    <w:uiPriority w:val="99"/>
    <w:rPr>
      <w:rFonts w:ascii="仿宋_GB2312" w:hAnsi="Courier New" w:eastAsia="仿宋_GB2312"/>
      <w:kern w:val="28"/>
      <w:sz w:val="24"/>
      <w:lang w:val="en-US" w:eastAsia="zh-CN"/>
    </w:rPr>
  </w:style>
  <w:style w:type="character" w:customStyle="1" w:styleId="347">
    <w:name w:val="页脚 Char1"/>
    <w:qFormat/>
    <w:uiPriority w:val="99"/>
    <w:rPr>
      <w:rFonts w:eastAsia="宋体"/>
      <w:kern w:val="2"/>
      <w:sz w:val="18"/>
      <w:lang w:val="en-US" w:eastAsia="zh-CN"/>
    </w:rPr>
  </w:style>
  <w:style w:type="character" w:customStyle="1" w:styleId="348">
    <w:name w:val="Bold"/>
    <w:qFormat/>
    <w:uiPriority w:val="99"/>
    <w:rPr>
      <w:rFonts w:ascii="Arial" w:hAnsi="Arial" w:eastAsia="黑体"/>
      <w:b/>
      <w:kern w:val="2"/>
      <w:sz w:val="32"/>
      <w:lang w:val="en-US" w:eastAsia="zh-CN"/>
    </w:rPr>
  </w:style>
  <w:style w:type="character" w:customStyle="1" w:styleId="349">
    <w:name w:val="批注文字 Char1"/>
    <w:link w:val="21"/>
    <w:qFormat/>
    <w:locked/>
    <w:uiPriority w:val="99"/>
    <w:rPr>
      <w:kern w:val="2"/>
      <w:sz w:val="24"/>
    </w:rPr>
  </w:style>
  <w:style w:type="character" w:customStyle="1" w:styleId="350">
    <w:name w:val="hui3"/>
    <w:qFormat/>
    <w:uiPriority w:val="99"/>
    <w:rPr>
      <w:color w:val="333333"/>
    </w:rPr>
  </w:style>
  <w:style w:type="character" w:customStyle="1" w:styleId="351">
    <w:name w:val="Char Char17"/>
    <w:qFormat/>
    <w:uiPriority w:val="99"/>
    <w:rPr>
      <w:rFonts w:eastAsia="仿宋_GB2312"/>
      <w:sz w:val="24"/>
    </w:rPr>
  </w:style>
  <w:style w:type="character" w:customStyle="1" w:styleId="352">
    <w:name w:val="标题 4 字符"/>
    <w:qFormat/>
    <w:uiPriority w:val="99"/>
    <w:rPr>
      <w:rFonts w:ascii="等线 Light" w:hAnsi="等线 Light" w:eastAsia="等线 Light"/>
      <w:b/>
      <w:snapToGrid w:val="0"/>
      <w:kern w:val="0"/>
      <w:sz w:val="28"/>
    </w:rPr>
  </w:style>
  <w:style w:type="character" w:customStyle="1" w:styleId="353">
    <w:name w:val="Char Char37"/>
    <w:qFormat/>
    <w:uiPriority w:val="99"/>
    <w:rPr>
      <w:b/>
      <w:kern w:val="1"/>
      <w:sz w:val="44"/>
    </w:rPr>
  </w:style>
  <w:style w:type="character" w:customStyle="1" w:styleId="354">
    <w:name w:val="列出段落 Char"/>
    <w:qFormat/>
    <w:uiPriority w:val="99"/>
    <w:rPr>
      <w:rFonts w:eastAsia="楷体_GB2312"/>
      <w:kern w:val="2"/>
      <w:sz w:val="24"/>
      <w:lang w:val="en-US" w:eastAsia="zh-CN"/>
    </w:rPr>
  </w:style>
  <w:style w:type="character" w:customStyle="1" w:styleId="355">
    <w:name w:val="正文文本缩进 3 Char1"/>
    <w:semiHidden/>
    <w:qFormat/>
    <w:uiPriority w:val="99"/>
    <w:rPr>
      <w:rFonts w:ascii="Times New Roman" w:hAnsi="Times New Roman" w:eastAsia="宋体"/>
      <w:sz w:val="16"/>
    </w:rPr>
  </w:style>
  <w:style w:type="character" w:customStyle="1" w:styleId="356">
    <w:name w:val="公文正文 Char Char"/>
    <w:link w:val="357"/>
    <w:qFormat/>
    <w:locked/>
    <w:uiPriority w:val="99"/>
    <w:rPr>
      <w:rFonts w:ascii="仿宋_GB2312" w:eastAsia="仿宋_GB2312"/>
      <w:kern w:val="2"/>
      <w:sz w:val="24"/>
    </w:rPr>
  </w:style>
  <w:style w:type="paragraph" w:customStyle="1" w:styleId="357">
    <w:name w:val="公文正文"/>
    <w:basedOn w:val="1"/>
    <w:link w:val="356"/>
    <w:qFormat/>
    <w:uiPriority w:val="99"/>
    <w:pPr>
      <w:adjustRightInd/>
      <w:spacing w:before="156" w:line="360" w:lineRule="auto"/>
      <w:ind w:firstLine="360" w:firstLineChars="200"/>
    </w:pPr>
    <w:rPr>
      <w:rFonts w:ascii="仿宋_GB2312" w:eastAsia="仿宋_GB2312"/>
      <w:sz w:val="24"/>
      <w:szCs w:val="20"/>
    </w:rPr>
  </w:style>
  <w:style w:type="character" w:customStyle="1" w:styleId="358">
    <w:name w:val="Table Text Char1"/>
    <w:qFormat/>
    <w:uiPriority w:val="99"/>
    <w:rPr>
      <w:rFonts w:eastAsia="宋体"/>
      <w:sz w:val="24"/>
      <w:lang w:val="en-US" w:eastAsia="zh-CN"/>
    </w:rPr>
  </w:style>
  <w:style w:type="character" w:customStyle="1" w:styleId="359">
    <w:name w:val="标题 1 Char Char"/>
    <w:qFormat/>
    <w:uiPriority w:val="99"/>
    <w:rPr>
      <w:rFonts w:ascii="宋体" w:hAnsi="宋体" w:eastAsia="宋体"/>
      <w:b/>
      <w:spacing w:val="-2"/>
      <w:sz w:val="24"/>
      <w:lang w:val="en-US" w:eastAsia="zh-CN"/>
    </w:rPr>
  </w:style>
  <w:style w:type="character" w:customStyle="1" w:styleId="360">
    <w:name w:val="正文（缩进2汉字） Char"/>
    <w:link w:val="361"/>
    <w:qFormat/>
    <w:locked/>
    <w:uiPriority w:val="99"/>
    <w:rPr>
      <w:rFonts w:ascii="宋体"/>
    </w:rPr>
  </w:style>
  <w:style w:type="paragraph" w:customStyle="1" w:styleId="361">
    <w:name w:val="正文（缩进2汉字）"/>
    <w:basedOn w:val="1"/>
    <w:link w:val="360"/>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99"/>
    <w:rPr>
      <w:kern w:val="2"/>
      <w:sz w:val="24"/>
    </w:rPr>
  </w:style>
  <w:style w:type="character" w:customStyle="1" w:styleId="363">
    <w:name w:val="tw4winError"/>
    <w:qFormat/>
    <w:uiPriority w:val="99"/>
    <w:rPr>
      <w:rFonts w:ascii="Courier New" w:hAnsi="Courier New"/>
      <w:color w:val="00FF00"/>
      <w:sz w:val="40"/>
    </w:rPr>
  </w:style>
  <w:style w:type="character" w:customStyle="1" w:styleId="364">
    <w:name w:val="Body Text(ch) Char Char"/>
    <w:qFormat/>
    <w:uiPriority w:val="99"/>
    <w:rPr>
      <w:rFonts w:ascii="宋体"/>
      <w:kern w:val="2"/>
      <w:sz w:val="21"/>
      <w:lang w:val="zh-CN"/>
    </w:rPr>
  </w:style>
  <w:style w:type="character" w:customStyle="1" w:styleId="365">
    <w:name w:val="正文首行缩进两字 Char"/>
    <w:qFormat/>
    <w:uiPriority w:val="99"/>
    <w:rPr>
      <w:sz w:val="24"/>
      <w:lang w:val="en-US" w:eastAsia="zh-CN"/>
    </w:rPr>
  </w:style>
  <w:style w:type="character" w:customStyle="1" w:styleId="366">
    <w:name w:val="正文文本 Char"/>
    <w:qFormat/>
    <w:uiPriority w:val="99"/>
    <w:rPr>
      <w:rFonts w:eastAsia="宋体"/>
      <w:kern w:val="2"/>
      <w:sz w:val="24"/>
      <w:lang w:val="en-US" w:eastAsia="zh-CN"/>
    </w:rPr>
  </w:style>
  <w:style w:type="character" w:customStyle="1" w:styleId="367">
    <w:name w:val="文档结构图 字符1"/>
    <w:qFormat/>
    <w:uiPriority w:val="99"/>
    <w:rPr>
      <w:rFonts w:ascii="宋体" w:hAnsi="Calibri" w:eastAsia="黑体"/>
      <w:snapToGrid w:val="0"/>
      <w:kern w:val="2"/>
      <w:sz w:val="18"/>
    </w:rPr>
  </w:style>
  <w:style w:type="character" w:customStyle="1" w:styleId="368">
    <w:name w:val="content"/>
    <w:qFormat/>
    <w:uiPriority w:val="99"/>
  </w:style>
  <w:style w:type="character" w:customStyle="1" w:styleId="369">
    <w:name w:val="tw4winPopup"/>
    <w:qFormat/>
    <w:uiPriority w:val="99"/>
    <w:rPr>
      <w:rFonts w:ascii="Courier New" w:hAnsi="Courier New"/>
      <w:color w:val="008000"/>
      <w:lang w:val="en-US" w:eastAsia="zh-CN"/>
    </w:rPr>
  </w:style>
  <w:style w:type="character" w:customStyle="1" w:styleId="370">
    <w:name w:val="param-name"/>
    <w:qFormat/>
    <w:uiPriority w:val="99"/>
    <w:rPr>
      <w:rFonts w:ascii="Arial" w:hAnsi="Arial" w:eastAsia="黑体"/>
      <w:snapToGrid w:val="0"/>
      <w:kern w:val="0"/>
      <w:sz w:val="21"/>
    </w:rPr>
  </w:style>
  <w:style w:type="character" w:customStyle="1" w:styleId="371">
    <w:name w:val="标准正文格式 Char"/>
    <w:qFormat/>
    <w:uiPriority w:val="99"/>
    <w:rPr>
      <w:rFonts w:ascii="宋体" w:eastAsia="仿宋_GB2312"/>
      <w:color w:val="000000"/>
      <w:sz w:val="24"/>
      <w:lang w:val="en-US" w:eastAsia="zh-CN"/>
    </w:rPr>
  </w:style>
  <w:style w:type="character" w:customStyle="1" w:styleId="372">
    <w:name w:val="Char Char212"/>
    <w:qFormat/>
    <w:uiPriority w:val="99"/>
    <w:rPr>
      <w:rFonts w:eastAsia="宋体"/>
      <w:b/>
      <w:kern w:val="2"/>
      <w:sz w:val="24"/>
      <w:lang w:val="en-US" w:eastAsia="zh-CN"/>
    </w:rPr>
  </w:style>
  <w:style w:type="character" w:customStyle="1" w:styleId="373">
    <w:name w:val="文档结构图 Char"/>
    <w:qFormat/>
    <w:uiPriority w:val="99"/>
    <w:rPr>
      <w:rFonts w:eastAsia="宋体"/>
      <w:kern w:val="2"/>
      <w:sz w:val="24"/>
      <w:lang w:val="en-US" w:eastAsia="zh-CN"/>
    </w:rPr>
  </w:style>
  <w:style w:type="character" w:customStyle="1" w:styleId="374">
    <w:name w:val="zbggmain style9"/>
    <w:qFormat/>
    <w:uiPriority w:val="99"/>
  </w:style>
  <w:style w:type="character" w:customStyle="1" w:styleId="375">
    <w:name w:val="Char Char16"/>
    <w:qFormat/>
    <w:uiPriority w:val="99"/>
    <w:rPr>
      <w:kern w:val="1"/>
      <w:sz w:val="18"/>
    </w:rPr>
  </w:style>
  <w:style w:type="character" w:customStyle="1" w:styleId="376">
    <w:name w:val="font51"/>
    <w:qFormat/>
    <w:uiPriority w:val="99"/>
    <w:rPr>
      <w:rFonts w:ascii="仿宋" w:hAnsi="仿宋" w:eastAsia="仿宋"/>
      <w:color w:val="000000"/>
      <w:sz w:val="20"/>
      <w:u w:val="none"/>
    </w:rPr>
  </w:style>
  <w:style w:type="character" w:customStyle="1" w:styleId="377">
    <w:name w:val="Char Char82"/>
    <w:qFormat/>
    <w:uiPriority w:val="99"/>
    <w:rPr>
      <w:rFonts w:eastAsia="宋体"/>
      <w:b/>
      <w:sz w:val="24"/>
      <w:lang w:val="en-GB" w:eastAsia="zh-CN"/>
    </w:rPr>
  </w:style>
  <w:style w:type="character" w:customStyle="1" w:styleId="378">
    <w:name w:val="日期 Char1"/>
    <w:semiHidden/>
    <w:qFormat/>
    <w:uiPriority w:val="99"/>
    <w:rPr>
      <w:rFonts w:ascii="Times New Roman" w:hAnsi="Times New Roman" w:eastAsia="宋体"/>
      <w:sz w:val="24"/>
    </w:rPr>
  </w:style>
  <w:style w:type="character" w:customStyle="1" w:styleId="379">
    <w:name w:val="页眉 字符"/>
    <w:qFormat/>
    <w:uiPriority w:val="99"/>
    <w:rPr>
      <w:kern w:val="2"/>
      <w:sz w:val="18"/>
    </w:rPr>
  </w:style>
  <w:style w:type="character" w:customStyle="1" w:styleId="380">
    <w:name w:val="Char Char33"/>
    <w:qFormat/>
    <w:uiPriority w:val="99"/>
    <w:rPr>
      <w:rFonts w:ascii="Arial" w:hAnsi="Arial" w:eastAsia="黑体"/>
      <w:b/>
      <w:kern w:val="1"/>
      <w:sz w:val="24"/>
    </w:rPr>
  </w:style>
  <w:style w:type="character" w:customStyle="1" w:styleId="381">
    <w:name w:val="b11_01b Char"/>
    <w:link w:val="382"/>
    <w:qFormat/>
    <w:locked/>
    <w:uiPriority w:val="99"/>
    <w:rPr>
      <w:rFonts w:ascii="Verdana" w:hAnsi="Verdana"/>
      <w:b/>
      <w:color w:val="4A82CA"/>
      <w:sz w:val="17"/>
    </w:rPr>
  </w:style>
  <w:style w:type="paragraph" w:customStyle="1" w:styleId="382">
    <w:name w:val="b11_01b"/>
    <w:basedOn w:val="1"/>
    <w:next w:val="1"/>
    <w:link w:val="381"/>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3">
    <w:name w:val="Char Char121"/>
    <w:qFormat/>
    <w:uiPriority w:val="99"/>
    <w:rPr>
      <w:rFonts w:ascii="仿宋_GB2312" w:eastAsia="仿宋_GB2312"/>
      <w:b/>
      <w:kern w:val="2"/>
      <w:sz w:val="24"/>
      <w:lang w:val="zh-CN" w:eastAsia="zh-CN"/>
    </w:rPr>
  </w:style>
  <w:style w:type="character" w:customStyle="1" w:styleId="384">
    <w:name w:val="Footer-Even Char"/>
    <w:qFormat/>
    <w:uiPriority w:val="99"/>
    <w:rPr>
      <w:rFonts w:eastAsia="宋体"/>
      <w:kern w:val="2"/>
      <w:sz w:val="18"/>
      <w:lang w:val="en-US" w:eastAsia="zh-CN"/>
    </w:rPr>
  </w:style>
  <w:style w:type="character" w:customStyle="1" w:styleId="385">
    <w:name w:val="页脚 Char2"/>
    <w:link w:val="41"/>
    <w:qFormat/>
    <w:locked/>
    <w:uiPriority w:val="99"/>
    <w:rPr>
      <w:kern w:val="2"/>
      <w:sz w:val="18"/>
    </w:rPr>
  </w:style>
  <w:style w:type="character" w:customStyle="1" w:styleId="386">
    <w:name w:val="Char Char36"/>
    <w:qFormat/>
    <w:uiPriority w:val="99"/>
    <w:rPr>
      <w:rFonts w:ascii="仿宋_GB2312" w:hAnsi="仿宋_GB2312" w:eastAsia="仿宋_GB2312"/>
      <w:b/>
      <w:kern w:val="1"/>
      <w:sz w:val="32"/>
      <w:lang w:val="zh-CN" w:eastAsia="zh-CN"/>
    </w:rPr>
  </w:style>
  <w:style w:type="character" w:customStyle="1" w:styleId="387">
    <w:name w:val="Char Char61"/>
    <w:qFormat/>
    <w:uiPriority w:val="99"/>
    <w:rPr>
      <w:rFonts w:eastAsia="宋体"/>
      <w:kern w:val="2"/>
      <w:sz w:val="24"/>
      <w:lang w:val="en-US" w:eastAsia="zh-CN"/>
    </w:rPr>
  </w:style>
  <w:style w:type="character" w:customStyle="1" w:styleId="388">
    <w:name w:val="正文文字缩进 2 Char Char"/>
    <w:qFormat/>
    <w:uiPriority w:val="99"/>
    <w:rPr>
      <w:rFonts w:ascii="宋体"/>
      <w:sz w:val="28"/>
    </w:rPr>
  </w:style>
  <w:style w:type="character" w:customStyle="1" w:styleId="389">
    <w:name w:val="f141"/>
    <w:qFormat/>
    <w:uiPriority w:val="99"/>
    <w:rPr>
      <w:rFonts w:ascii="Tahoma" w:hAnsi="Tahoma" w:eastAsia="宋体"/>
      <w:b/>
      <w:kern w:val="2"/>
      <w:sz w:val="21"/>
      <w:lang w:val="en-US" w:eastAsia="zh-CN"/>
    </w:rPr>
  </w:style>
  <w:style w:type="character" w:customStyle="1" w:styleId="390">
    <w:name w:val="段落 Char Char"/>
    <w:link w:val="391"/>
    <w:qFormat/>
    <w:locked/>
    <w:uiPriority w:val="99"/>
    <w:rPr>
      <w:rFonts w:ascii="宋体" w:eastAsia="宋体"/>
      <w:sz w:val="24"/>
    </w:rPr>
  </w:style>
  <w:style w:type="paragraph" w:customStyle="1" w:styleId="391">
    <w:name w:val="段落"/>
    <w:basedOn w:val="1"/>
    <w:link w:val="390"/>
    <w:qFormat/>
    <w:uiPriority w:val="99"/>
    <w:pPr>
      <w:adjustRightInd/>
      <w:spacing w:line="360" w:lineRule="auto"/>
      <w:ind w:firstLine="480" w:firstLineChars="200"/>
    </w:pPr>
    <w:rPr>
      <w:rFonts w:ascii="宋体"/>
      <w:kern w:val="0"/>
      <w:sz w:val="24"/>
      <w:szCs w:val="20"/>
    </w:rPr>
  </w:style>
  <w:style w:type="character" w:customStyle="1" w:styleId="392">
    <w:name w:val="标题 3 Char2"/>
    <w:qFormat/>
    <w:uiPriority w:val="99"/>
    <w:rPr>
      <w:rFonts w:eastAsia="宋体"/>
      <w:b/>
      <w:kern w:val="2"/>
      <w:sz w:val="32"/>
      <w:lang w:val="en-US" w:eastAsia="zh-CN"/>
    </w:rPr>
  </w:style>
  <w:style w:type="character" w:customStyle="1" w:styleId="393">
    <w:name w:val="apple-converted-space"/>
    <w:qFormat/>
    <w:uiPriority w:val="99"/>
  </w:style>
  <w:style w:type="character" w:customStyle="1" w:styleId="394">
    <w:name w:val="页眉 Char2"/>
    <w:link w:val="42"/>
    <w:qFormat/>
    <w:locked/>
    <w:uiPriority w:val="99"/>
    <w:rPr>
      <w:kern w:val="2"/>
      <w:sz w:val="18"/>
    </w:rPr>
  </w:style>
  <w:style w:type="character" w:customStyle="1" w:styleId="395">
    <w:name w:val="Char Char9"/>
    <w:qFormat/>
    <w:uiPriority w:val="99"/>
    <w:rPr>
      <w:rFonts w:eastAsia="宋体"/>
      <w:kern w:val="2"/>
      <w:sz w:val="18"/>
      <w:lang w:val="en-US" w:eastAsia="zh-CN"/>
    </w:rPr>
  </w:style>
  <w:style w:type="character" w:customStyle="1" w:styleId="396">
    <w:name w:val="Char Char41"/>
    <w:qFormat/>
    <w:uiPriority w:val="99"/>
    <w:rPr>
      <w:rFonts w:eastAsia="宋体"/>
      <w:b/>
      <w:sz w:val="24"/>
      <w:lang w:val="en-GB" w:eastAsia="zh-CN"/>
    </w:rPr>
  </w:style>
  <w:style w:type="character" w:customStyle="1" w:styleId="397">
    <w:name w:val="large1"/>
    <w:qFormat/>
    <w:uiPriority w:val="99"/>
    <w:rPr>
      <w:rFonts w:ascii="宋体" w:hAnsi="宋体" w:eastAsia="宋体"/>
      <w:sz w:val="21"/>
    </w:rPr>
  </w:style>
  <w:style w:type="character" w:customStyle="1" w:styleId="398">
    <w:name w:val="正文段 Char"/>
    <w:link w:val="399"/>
    <w:qFormat/>
    <w:locked/>
    <w:uiPriority w:val="99"/>
    <w:rPr>
      <w:sz w:val="24"/>
    </w:rPr>
  </w:style>
  <w:style w:type="paragraph" w:customStyle="1" w:styleId="399">
    <w:name w:val="正文段"/>
    <w:basedOn w:val="1"/>
    <w:link w:val="398"/>
    <w:qFormat/>
    <w:uiPriority w:val="99"/>
    <w:pPr>
      <w:widowControl/>
      <w:snapToGrid w:val="0"/>
      <w:spacing w:afterLines="50"/>
      <w:ind w:firstLine="200" w:firstLineChars="200"/>
    </w:pPr>
    <w:rPr>
      <w:kern w:val="0"/>
      <w:sz w:val="24"/>
      <w:szCs w:val="20"/>
    </w:rPr>
  </w:style>
  <w:style w:type="character" w:customStyle="1" w:styleId="400">
    <w:name w:val="Char Char13"/>
    <w:qFormat/>
    <w:uiPriority w:val="99"/>
    <w:rPr>
      <w:rFonts w:ascii="宋体" w:eastAsia="宋体"/>
      <w:kern w:val="1"/>
      <w:sz w:val="24"/>
    </w:rPr>
  </w:style>
  <w:style w:type="character" w:customStyle="1" w:styleId="401">
    <w:name w:val="Char Char92"/>
    <w:qFormat/>
    <w:uiPriority w:val="99"/>
    <w:rPr>
      <w:rFonts w:ascii="Times New Roman" w:hAnsi="Times New Roman" w:eastAsia="宋体"/>
      <w:b/>
      <w:kern w:val="2"/>
      <w:sz w:val="32"/>
      <w:lang w:val="en-US" w:eastAsia="zh-CN"/>
    </w:rPr>
  </w:style>
  <w:style w:type="character" w:customStyle="1" w:styleId="402">
    <w:name w:val="冯广丽 Char"/>
    <w:link w:val="403"/>
    <w:qFormat/>
    <w:locked/>
    <w:uiPriority w:val="99"/>
    <w:rPr>
      <w:rFonts w:ascii="宋体" w:eastAsia="宋体"/>
      <w:kern w:val="2"/>
      <w:sz w:val="22"/>
    </w:rPr>
  </w:style>
  <w:style w:type="paragraph" w:customStyle="1" w:styleId="403">
    <w:name w:val="冯广丽"/>
    <w:basedOn w:val="1"/>
    <w:link w:val="402"/>
    <w:qFormat/>
    <w:uiPriority w:val="99"/>
    <w:pPr>
      <w:adjustRightInd/>
      <w:spacing w:line="360" w:lineRule="auto"/>
      <w:ind w:firstLine="480" w:firstLineChars="200"/>
    </w:pPr>
    <w:rPr>
      <w:rFonts w:ascii="宋体"/>
      <w:sz w:val="22"/>
      <w:szCs w:val="20"/>
    </w:rPr>
  </w:style>
  <w:style w:type="character" w:customStyle="1" w:styleId="404">
    <w:name w:val="批注文字 字符"/>
    <w:qFormat/>
    <w:uiPriority w:val="99"/>
    <w:rPr>
      <w:rFonts w:ascii="Arial" w:hAnsi="Arial" w:eastAsia="黑体"/>
      <w:snapToGrid w:val="0"/>
      <w:kern w:val="0"/>
      <w:sz w:val="21"/>
    </w:rPr>
  </w:style>
  <w:style w:type="character" w:customStyle="1" w:styleId="405">
    <w:name w:val="Char Char161"/>
    <w:qFormat/>
    <w:uiPriority w:val="99"/>
    <w:rPr>
      <w:rFonts w:eastAsia="宋体"/>
      <w:b/>
      <w:kern w:val="2"/>
      <w:sz w:val="32"/>
      <w:lang w:val="en-US" w:eastAsia="zh-CN"/>
    </w:rPr>
  </w:style>
  <w:style w:type="character" w:customStyle="1" w:styleId="406">
    <w:name w:val="javascript"/>
    <w:qFormat/>
    <w:uiPriority w:val="99"/>
  </w:style>
  <w:style w:type="character" w:customStyle="1" w:styleId="407">
    <w:name w:val="图名 Char"/>
    <w:qFormat/>
    <w:uiPriority w:val="99"/>
    <w:rPr>
      <w:rFonts w:ascii="Arial" w:hAnsi="Arial" w:eastAsia="黑体"/>
      <w:kern w:val="2"/>
      <w:sz w:val="24"/>
      <w:lang w:val="en-US" w:eastAsia="zh-CN"/>
    </w:rPr>
  </w:style>
  <w:style w:type="character" w:customStyle="1" w:styleId="408">
    <w:name w:val="Used by Word for text of Help footnotes Char Char"/>
    <w:qFormat/>
    <w:uiPriority w:val="99"/>
    <w:rPr>
      <w:rFonts w:ascii="Times New Roman" w:hAnsi="Times New Roman" w:eastAsia="宋体"/>
      <w:sz w:val="20"/>
    </w:rPr>
  </w:style>
  <w:style w:type="character" w:customStyle="1" w:styleId="409">
    <w:name w:val="编号，小四 Char"/>
    <w:link w:val="410"/>
    <w:qFormat/>
    <w:locked/>
    <w:uiPriority w:val="99"/>
    <w:rPr>
      <w:rFonts w:ascii="Arial" w:hAnsi="Arial"/>
      <w:sz w:val="24"/>
    </w:rPr>
  </w:style>
  <w:style w:type="paragraph" w:customStyle="1" w:styleId="410">
    <w:name w:val="编号，小四"/>
    <w:basedOn w:val="1"/>
    <w:link w:val="409"/>
    <w:qFormat/>
    <w:uiPriority w:val="99"/>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olor w:val="000000"/>
      <w:sz w:val="14"/>
    </w:rPr>
  </w:style>
  <w:style w:type="character" w:customStyle="1" w:styleId="412">
    <w:name w:val="标题 2 Char Char"/>
    <w:qFormat/>
    <w:uiPriority w:val="99"/>
    <w:rPr>
      <w:rFonts w:ascii="楷体_GB2312" w:hAnsi="Arial" w:eastAsia="楷体_GB2312"/>
      <w:b/>
      <w:kern w:val="2"/>
      <w:sz w:val="32"/>
      <w:lang w:val="en-US" w:eastAsia="zh-CN"/>
    </w:rPr>
  </w:style>
  <w:style w:type="character" w:customStyle="1" w:styleId="413">
    <w:name w:val="未用 Char"/>
    <w:qFormat/>
    <w:uiPriority w:val="99"/>
    <w:rPr>
      <w:rFonts w:ascii="Arial" w:hAnsi="Arial" w:eastAsia="黑体"/>
      <w:kern w:val="2"/>
      <w:sz w:val="21"/>
      <w:lang w:val="en-US" w:eastAsia="zh-CN"/>
    </w:rPr>
  </w:style>
  <w:style w:type="character" w:customStyle="1" w:styleId="414">
    <w:name w:val="myp1111"/>
    <w:qFormat/>
    <w:uiPriority w:val="99"/>
    <w:rPr>
      <w:rFonts w:ascii="??" w:hAnsi="??"/>
      <w:color w:val="000000"/>
      <w:sz w:val="20"/>
      <w:u w:val="none"/>
    </w:rPr>
  </w:style>
  <w:style w:type="character" w:customStyle="1" w:styleId="415">
    <w:name w:val="样式 标题 4h4H4Fab-4T5Ref Heading 1rh1Heading sqlsect 1.2.3.... Char"/>
    <w:link w:val="315"/>
    <w:qFormat/>
    <w:locked/>
    <w:uiPriority w:val="99"/>
    <w:rPr>
      <w:rFonts w:ascii="微软雅黑" w:hAnsi="微软雅黑" w:eastAsia="微软雅黑"/>
      <w:b/>
      <w:kern w:val="2"/>
      <w:sz w:val="28"/>
    </w:rPr>
  </w:style>
  <w:style w:type="character" w:customStyle="1" w:styleId="416">
    <w:name w:val="h Char Char"/>
    <w:qFormat/>
    <w:uiPriority w:val="99"/>
    <w:rPr>
      <w:rFonts w:eastAsia="宋体"/>
      <w:kern w:val="2"/>
      <w:sz w:val="18"/>
      <w:lang w:val="en-US" w:eastAsia="zh-CN"/>
    </w:rPr>
  </w:style>
  <w:style w:type="character" w:customStyle="1" w:styleId="417">
    <w:name w:val="仿宋正文 Char"/>
    <w:link w:val="418"/>
    <w:qFormat/>
    <w:locked/>
    <w:uiPriority w:val="99"/>
    <w:rPr>
      <w:rFonts w:ascii="仿宋_GB2312" w:eastAsia="仿宋_GB2312"/>
      <w:kern w:val="2"/>
      <w:sz w:val="24"/>
      <w:lang w:val="en-US" w:eastAsia="zh-CN"/>
    </w:rPr>
  </w:style>
  <w:style w:type="paragraph" w:customStyle="1" w:styleId="418">
    <w:name w:val="仿宋正文"/>
    <w:basedOn w:val="1"/>
    <w:link w:val="417"/>
    <w:qFormat/>
    <w:uiPriority w:val="99"/>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99"/>
    <w:rPr>
      <w:rFonts w:ascii="宋体" w:eastAsia="宋体"/>
      <w:kern w:val="2"/>
      <w:sz w:val="24"/>
      <w:lang w:val="zh-CN"/>
    </w:rPr>
  </w:style>
  <w:style w:type="character" w:customStyle="1" w:styleId="420">
    <w:name w:val="样式 宋体"/>
    <w:qFormat/>
    <w:uiPriority w:val="99"/>
    <w:rPr>
      <w:rFonts w:ascii="宋体" w:eastAsia="宋体"/>
      <w:sz w:val="24"/>
    </w:rPr>
  </w:style>
  <w:style w:type="character" w:customStyle="1" w:styleId="421">
    <w:name w:val="tw4winJump"/>
    <w:qFormat/>
    <w:uiPriority w:val="99"/>
    <w:rPr>
      <w:rFonts w:ascii="Courier New" w:hAnsi="Courier New"/>
      <w:color w:val="008080"/>
      <w:lang w:val="en-US" w:eastAsia="zh-CN"/>
    </w:rPr>
  </w:style>
  <w:style w:type="character" w:customStyle="1" w:styleId="422">
    <w:name w:val="标题 1 字符"/>
    <w:qFormat/>
    <w:uiPriority w:val="99"/>
    <w:rPr>
      <w:rFonts w:ascii="Arial" w:hAnsi="Arial" w:eastAsia="黑体"/>
      <w:b/>
      <w:snapToGrid w:val="0"/>
      <w:kern w:val="44"/>
      <w:sz w:val="44"/>
    </w:rPr>
  </w:style>
  <w:style w:type="character" w:customStyle="1" w:styleId="423">
    <w:name w:val="style36"/>
    <w:qFormat/>
    <w:uiPriority w:val="99"/>
    <w:rPr>
      <w:rFonts w:ascii="Arial" w:hAnsi="Arial" w:eastAsia="黑体" w:cs="Arial"/>
      <w:snapToGrid w:val="0"/>
      <w:kern w:val="0"/>
      <w:sz w:val="21"/>
      <w:szCs w:val="21"/>
    </w:rPr>
  </w:style>
  <w:style w:type="character" w:customStyle="1" w:styleId="424">
    <w:name w:val="pt9"/>
    <w:qFormat/>
    <w:uiPriority w:val="99"/>
    <w:rPr>
      <w:rFonts w:ascii="仿宋_GB2312" w:eastAsia="微软雅黑"/>
      <w:b/>
      <w:kern w:val="2"/>
      <w:sz w:val="32"/>
      <w:lang w:val="en-US" w:eastAsia="zh-CN"/>
    </w:rPr>
  </w:style>
  <w:style w:type="character" w:customStyle="1" w:styleId="425">
    <w:name w:val="DO_NOT_TRANSLATE"/>
    <w:qFormat/>
    <w:uiPriority w:val="99"/>
    <w:rPr>
      <w:rFonts w:ascii="Courier New" w:hAnsi="Courier New"/>
      <w:color w:val="800000"/>
      <w:lang w:val="en-US" w:eastAsia="zh-CN"/>
    </w:rPr>
  </w:style>
  <w:style w:type="character" w:customStyle="1" w:styleId="426">
    <w:name w:val="标书1 Char1"/>
    <w:qFormat/>
    <w:uiPriority w:val="99"/>
    <w:rPr>
      <w:rFonts w:eastAsia="宋体"/>
      <w:b/>
      <w:kern w:val="44"/>
      <w:sz w:val="44"/>
      <w:lang w:val="en-US" w:eastAsia="zh-CN"/>
    </w:rPr>
  </w:style>
  <w:style w:type="character" w:customStyle="1" w:styleId="427">
    <w:name w:val="页脚 字符"/>
    <w:qFormat/>
    <w:uiPriority w:val="99"/>
    <w:rPr>
      <w:kern w:val="2"/>
      <w:sz w:val="18"/>
    </w:rPr>
  </w:style>
  <w:style w:type="character" w:customStyle="1" w:styleId="428">
    <w:name w:val="正文2 Char"/>
    <w:qFormat/>
    <w:uiPriority w:val="99"/>
    <w:rPr>
      <w:rFonts w:eastAsia="宋体"/>
      <w:kern w:val="2"/>
      <w:sz w:val="24"/>
      <w:lang w:val="en-US" w:eastAsia="zh-CN"/>
    </w:rPr>
  </w:style>
  <w:style w:type="character" w:customStyle="1" w:styleId="429">
    <w:name w:val="Char Char21"/>
    <w:qFormat/>
    <w:uiPriority w:val="99"/>
    <w:rPr>
      <w:rFonts w:ascii="宋体" w:eastAsia="宋体"/>
      <w:kern w:val="1"/>
      <w:sz w:val="21"/>
      <w:lang w:val="zh-CN"/>
    </w:rPr>
  </w:style>
  <w:style w:type="character" w:customStyle="1" w:styleId="430">
    <w:name w:val="样式 正文缩进 + 首行缩进:  2 字符 Char Char"/>
    <w:link w:val="431"/>
    <w:qFormat/>
    <w:locked/>
    <w:uiPriority w:val="99"/>
    <w:rPr>
      <w:kern w:val="2"/>
      <w:sz w:val="24"/>
    </w:rPr>
  </w:style>
  <w:style w:type="paragraph" w:customStyle="1" w:styleId="431">
    <w:name w:val="样式 正文缩进 + 首行缩进:  2 字符"/>
    <w:basedOn w:val="6"/>
    <w:link w:val="430"/>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2">
    <w:name w:val="gray6"/>
    <w:qFormat/>
    <w:uiPriority w:val="99"/>
    <w:rPr>
      <w:rFonts w:ascii="Arial" w:hAnsi="Arial" w:eastAsia="黑体" w:cs="Arial"/>
      <w:snapToGrid w:val="0"/>
      <w:kern w:val="0"/>
      <w:sz w:val="21"/>
      <w:szCs w:val="21"/>
    </w:rPr>
  </w:style>
  <w:style w:type="character" w:customStyle="1" w:styleId="433">
    <w:name w:val="hui"/>
    <w:qFormat/>
    <w:uiPriority w:val="99"/>
    <w:rPr>
      <w:rFonts w:ascii="Arial" w:hAnsi="Arial" w:eastAsia="黑体" w:cs="Arial"/>
      <w:snapToGrid w:val="0"/>
      <w:kern w:val="0"/>
      <w:sz w:val="21"/>
      <w:szCs w:val="21"/>
    </w:rPr>
  </w:style>
  <w:style w:type="character" w:customStyle="1" w:styleId="434">
    <w:name w:val="哈哈正文 Char Char"/>
    <w:qFormat/>
    <w:uiPriority w:val="99"/>
    <w:rPr>
      <w:rFonts w:ascii="宋体" w:hAnsi="宋体" w:eastAsia="宋体"/>
      <w:kern w:val="2"/>
      <w:sz w:val="24"/>
      <w:lang w:val="en-US" w:eastAsia="zh-CN"/>
    </w:rPr>
  </w:style>
  <w:style w:type="paragraph" w:customStyle="1" w:styleId="435">
    <w:name w:val="样式 正文文本缩进 + 左侧:  2 字符 首行缩进:  2 字符"/>
    <w:basedOn w:val="7"/>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99"/>
    <w:pPr>
      <w:adjustRightInd/>
      <w:spacing w:before="0" w:after="0" w:line="360" w:lineRule="auto"/>
    </w:pPr>
    <w:rPr>
      <w:rFonts w:ascii="Verdana" w:eastAsia="Times New Roman"/>
      <w:sz w:val="21"/>
      <w:lang w:val="en-US"/>
    </w:rPr>
  </w:style>
  <w:style w:type="paragraph" w:customStyle="1" w:styleId="443">
    <w:name w:val="正文 内标 序号标"/>
    <w:basedOn w:val="444"/>
    <w:qFormat/>
    <w:uiPriority w:val="99"/>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99"/>
    <w:pPr>
      <w:spacing w:before="120" w:line="360" w:lineRule="auto"/>
      <w:ind w:firstLine="567"/>
    </w:pPr>
    <w:rPr>
      <w:rFonts w:ascii="Arial" w:hAnsi="Arial"/>
      <w:sz w:val="20"/>
      <w:szCs w:val="20"/>
    </w:rPr>
  </w:style>
  <w:style w:type="paragraph" w:customStyle="1" w:styleId="445">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99"/>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99"/>
    <w:pPr>
      <w:adjustRightInd/>
      <w:ind w:firstLine="200" w:firstLineChars="200"/>
    </w:pPr>
    <w:rPr>
      <w:rFonts w:ascii="Tahoma" w:hAnsi="Tahoma"/>
      <w:sz w:val="24"/>
      <w:szCs w:val="20"/>
    </w:rPr>
  </w:style>
  <w:style w:type="paragraph" w:customStyle="1" w:styleId="45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99"/>
    <w:pPr>
      <w:tabs>
        <w:tab w:val="left" w:pos="360"/>
      </w:tabs>
    </w:pPr>
    <w:rPr>
      <w:sz w:val="24"/>
      <w:szCs w:val="20"/>
    </w:rPr>
  </w:style>
  <w:style w:type="paragraph" w:customStyle="1" w:styleId="457">
    <w:name w:val="Char Char11 Char Char Char"/>
    <w:basedOn w:val="1"/>
    <w:qFormat/>
    <w:uiPriority w:val="99"/>
    <w:pPr>
      <w:spacing w:line="360" w:lineRule="auto"/>
    </w:pPr>
    <w:rPr>
      <w:szCs w:val="20"/>
    </w:rPr>
  </w:style>
  <w:style w:type="paragraph" w:customStyle="1" w:styleId="458">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0">
    <w:name w:val="样式3"/>
    <w:basedOn w:val="461"/>
    <w:qFormat/>
    <w:uiPriority w:val="99"/>
    <w:pPr>
      <w:tabs>
        <w:tab w:val="left" w:pos="2790"/>
        <w:tab w:val="left" w:pos="4230"/>
      </w:tabs>
      <w:spacing w:beforeLines="100"/>
      <w:jc w:val="left"/>
    </w:pPr>
  </w:style>
  <w:style w:type="paragraph" w:customStyle="1" w:styleId="46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99"/>
    <w:pPr>
      <w:tabs>
        <w:tab w:val="left" w:pos="840"/>
      </w:tabs>
      <w:ind w:left="840" w:hanging="420"/>
    </w:pPr>
    <w:rPr>
      <w:rFonts w:ascii="Tahoma" w:hAnsi="Tahoma"/>
      <w:sz w:val="24"/>
    </w:rPr>
  </w:style>
  <w:style w:type="paragraph" w:customStyle="1" w:styleId="46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99"/>
    <w:pPr>
      <w:adjustRightInd/>
      <w:spacing w:before="156" w:line="360" w:lineRule="auto"/>
      <w:ind w:firstLine="510" w:firstLineChars="200"/>
    </w:pPr>
    <w:rPr>
      <w:sz w:val="24"/>
      <w:szCs w:val="20"/>
    </w:rPr>
  </w:style>
  <w:style w:type="paragraph" w:customStyle="1" w:styleId="467">
    <w:name w:val="Test2"/>
    <w:basedOn w:val="4"/>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6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99"/>
    <w:rPr>
      <w:rFonts w:ascii="仿宋_GB2312" w:eastAsia="仿宋_GB2312"/>
      <w:b/>
      <w:sz w:val="32"/>
      <w:szCs w:val="32"/>
    </w:rPr>
  </w:style>
  <w:style w:type="paragraph" w:customStyle="1" w:styleId="47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2">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99"/>
    <w:pPr>
      <w:keepNext/>
      <w:tabs>
        <w:tab w:val="left" w:pos="360"/>
      </w:tabs>
      <w:outlineLvl w:val="5"/>
    </w:pPr>
  </w:style>
  <w:style w:type="paragraph" w:customStyle="1" w:styleId="475">
    <w:name w:val="5级标题"/>
    <w:basedOn w:val="476"/>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6">
    <w:name w:val="4级标题"/>
    <w:basedOn w:val="275"/>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7">
    <w:name w:val="样式 正文文本缩进 + 段前: 2 字符"/>
    <w:basedOn w:val="1"/>
    <w:qFormat/>
    <w:uiPriority w:val="99"/>
    <w:pPr>
      <w:adjustRightInd/>
      <w:ind w:left="420" w:leftChars="200"/>
      <w:jc w:val="left"/>
    </w:pPr>
    <w:rPr>
      <w:sz w:val="28"/>
      <w:szCs w:val="20"/>
      <w:lang w:eastAsia="zh-TW"/>
    </w:rPr>
  </w:style>
  <w:style w:type="paragraph" w:customStyle="1" w:styleId="478">
    <w:name w:val="Char2 Char Char"/>
    <w:basedOn w:val="1"/>
    <w:qFormat/>
    <w:uiPriority w:val="99"/>
    <w:pPr>
      <w:adjustRightInd/>
    </w:pPr>
    <w:rPr>
      <w:rFonts w:ascii="Tahoma" w:hAnsi="Tahoma"/>
      <w:sz w:val="24"/>
      <w:szCs w:val="20"/>
    </w:rPr>
  </w:style>
  <w:style w:type="paragraph" w:customStyle="1" w:styleId="479">
    <w:name w:val="_Style 11"/>
    <w:basedOn w:val="1"/>
    <w:qFormat/>
    <w:uiPriority w:val="99"/>
    <w:pPr>
      <w:adjustRightInd/>
      <w:ind w:firstLine="420" w:firstLineChars="200"/>
    </w:pPr>
    <w:rPr>
      <w:rFonts w:eastAsia="仿宋_GB2312"/>
      <w:sz w:val="28"/>
    </w:rPr>
  </w:style>
  <w:style w:type="paragraph" w:customStyle="1" w:styleId="48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99"/>
    <w:rPr>
      <w:rFonts w:ascii="Tahoma" w:hAnsi="Tahoma"/>
      <w:sz w:val="24"/>
      <w:szCs w:val="20"/>
    </w:rPr>
  </w:style>
  <w:style w:type="paragraph" w:customStyle="1" w:styleId="482">
    <w:name w:val="数字标题6"/>
    <w:basedOn w:val="10"/>
    <w:next w:val="1"/>
    <w:qFormat/>
    <w:uiPriority w:val="99"/>
    <w:pPr>
      <w:tabs>
        <w:tab w:val="left" w:pos="1080"/>
      </w:tabs>
      <w:ind w:left="1080" w:hanging="1080"/>
    </w:pPr>
    <w:rPr>
      <w:rFonts w:ascii="Times New Roman" w:hAnsi="Times New Roman" w:eastAsia="宋体"/>
      <w:i/>
    </w:rPr>
  </w:style>
  <w:style w:type="paragraph" w:customStyle="1" w:styleId="483">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 w:val="22"/>
      <w:szCs w:val="20"/>
    </w:rPr>
  </w:style>
  <w:style w:type="paragraph" w:customStyle="1" w:styleId="48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99"/>
    <w:rPr>
      <w:rFonts w:ascii="Tahoma" w:hAnsi="Tahoma" w:cs="仿宋_GB2312"/>
      <w:sz w:val="24"/>
      <w:szCs w:val="20"/>
    </w:rPr>
  </w:style>
  <w:style w:type="paragraph" w:customStyle="1" w:styleId="487">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99"/>
    <w:pPr>
      <w:tabs>
        <w:tab w:val="left" w:pos="1260"/>
      </w:tabs>
      <w:ind w:left="1260" w:hanging="420"/>
    </w:pPr>
    <w:rPr>
      <w:rFonts w:ascii="Arial" w:hAnsi="Arial" w:eastAsia="黑体"/>
      <w:lang w:val="en-US"/>
    </w:rPr>
  </w:style>
  <w:style w:type="paragraph" w:customStyle="1" w:styleId="491">
    <w:name w:val="五级无标题条"/>
    <w:basedOn w:val="1"/>
    <w:qFormat/>
    <w:uiPriority w:val="99"/>
    <w:pPr>
      <w:adjustRightInd/>
    </w:pPr>
  </w:style>
  <w:style w:type="paragraph" w:customStyle="1" w:styleId="492">
    <w:name w:val="Char5"/>
    <w:basedOn w:val="1"/>
    <w:qFormat/>
    <w:uiPriority w:val="99"/>
    <w:rPr>
      <w:rFonts w:ascii="仿宋_GB2312" w:eastAsia="仿宋_GB2312"/>
      <w:b/>
      <w:sz w:val="32"/>
      <w:szCs w:val="32"/>
    </w:rPr>
  </w:style>
  <w:style w:type="paragraph" w:customStyle="1" w:styleId="493">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99"/>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496">
    <w:name w:val="Char2"/>
    <w:basedOn w:val="1"/>
    <w:qFormat/>
    <w:uiPriority w:val="99"/>
    <w:rPr>
      <w:rFonts w:ascii="仿宋_GB2312" w:eastAsia="仿宋_GB2312"/>
      <w:b/>
      <w:sz w:val="32"/>
      <w:szCs w:val="32"/>
    </w:rPr>
  </w:style>
  <w:style w:type="paragraph" w:customStyle="1" w:styleId="497">
    <w:name w:val="数字标题3"/>
    <w:basedOn w:val="5"/>
    <w:next w:val="1"/>
    <w:qFormat/>
    <w:uiPriority w:val="99"/>
    <w:pPr>
      <w:spacing w:line="240" w:lineRule="auto"/>
    </w:pPr>
    <w:rPr>
      <w:sz w:val="28"/>
      <w:szCs w:val="28"/>
    </w:rPr>
  </w:style>
  <w:style w:type="paragraph" w:customStyle="1" w:styleId="498">
    <w:name w:val="FA正文"/>
    <w:basedOn w:val="1"/>
    <w:qFormat/>
    <w:uiPriority w:val="99"/>
    <w:pPr>
      <w:spacing w:line="360" w:lineRule="auto"/>
      <w:ind w:firstLine="480" w:firstLineChars="200"/>
    </w:pPr>
    <w:rPr>
      <w:rFonts w:hAnsi="宋体"/>
      <w:sz w:val="24"/>
      <w:szCs w:val="20"/>
    </w:rPr>
  </w:style>
  <w:style w:type="paragraph" w:customStyle="1" w:styleId="499">
    <w:name w:val="MM Topic 5"/>
    <w:basedOn w:val="9"/>
    <w:qFormat/>
    <w:uiPriority w:val="99"/>
    <w:pPr>
      <w:tabs>
        <w:tab w:val="left" w:pos="2520"/>
      </w:tabs>
      <w:adjustRightInd/>
      <w:ind w:left="2520" w:hanging="420"/>
    </w:pPr>
  </w:style>
  <w:style w:type="paragraph" w:customStyle="1" w:styleId="500">
    <w:name w:val="Char Char Char Char Char Char Char Char Char Char1"/>
    <w:basedOn w:val="1"/>
    <w:qFormat/>
    <w:uiPriority w:val="99"/>
    <w:rPr>
      <w:rFonts w:ascii="仿宋_GB2312" w:eastAsia="仿宋_GB2312"/>
      <w:b/>
      <w:sz w:val="32"/>
      <w:szCs w:val="32"/>
    </w:rPr>
  </w:style>
  <w:style w:type="paragraph" w:customStyle="1" w:styleId="501">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99"/>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99"/>
    <w:rPr>
      <w:rFonts w:ascii="仿宋_GB2312" w:eastAsia="仿宋_GB2312"/>
      <w:b/>
      <w:sz w:val="32"/>
      <w:szCs w:val="32"/>
    </w:rPr>
  </w:style>
  <w:style w:type="paragraph" w:customStyle="1" w:styleId="504">
    <w:name w:val="Char2 Char Char Char1"/>
    <w:basedOn w:val="1"/>
    <w:qFormat/>
    <w:uiPriority w:val="99"/>
    <w:rPr>
      <w:rFonts w:ascii="仿宋_GB2312" w:eastAsia="仿宋_GB2312"/>
      <w:b/>
      <w:sz w:val="32"/>
      <w:szCs w:val="32"/>
    </w:rPr>
  </w:style>
  <w:style w:type="paragraph" w:customStyle="1" w:styleId="505">
    <w:name w:val="默认段落样式"/>
    <w:basedOn w:val="157"/>
    <w:qFormat/>
    <w:uiPriority w:val="99"/>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99"/>
    <w:pPr>
      <w:snapToGrid w:val="0"/>
      <w:spacing w:line="240" w:lineRule="atLeast"/>
      <w:ind w:firstLine="200" w:firstLineChars="200"/>
      <w:jc w:val="center"/>
    </w:pPr>
    <w:rPr>
      <w:sz w:val="24"/>
      <w:szCs w:val="20"/>
    </w:rPr>
  </w:style>
  <w:style w:type="paragraph" w:customStyle="1" w:styleId="507">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99"/>
    <w:pPr>
      <w:tabs>
        <w:tab w:val="left" w:pos="1680"/>
      </w:tabs>
      <w:adjustRightInd/>
      <w:ind w:left="1680" w:hanging="420"/>
    </w:pPr>
  </w:style>
  <w:style w:type="paragraph" w:customStyle="1" w:styleId="509">
    <w:name w:val="标准小四"/>
    <w:basedOn w:val="1"/>
    <w:qFormat/>
    <w:uiPriority w:val="99"/>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99"/>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99"/>
    <w:pPr>
      <w:adjustRightInd/>
      <w:snapToGrid w:val="0"/>
      <w:spacing w:line="300" w:lineRule="auto"/>
    </w:pPr>
    <w:rPr>
      <w:rFonts w:eastAsia="仿宋"/>
      <w:szCs w:val="21"/>
    </w:rPr>
  </w:style>
  <w:style w:type="paragraph" w:customStyle="1" w:styleId="512">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99"/>
    <w:pPr>
      <w:adjustRightInd/>
    </w:pPr>
    <w:rPr>
      <w:rFonts w:ascii="Tahoma" w:hAnsi="Tahoma"/>
      <w:sz w:val="24"/>
      <w:szCs w:val="20"/>
    </w:rPr>
  </w:style>
  <w:style w:type="paragraph" w:customStyle="1" w:styleId="514">
    <w:name w:val="列出段落5"/>
    <w:basedOn w:val="1"/>
    <w:qFormat/>
    <w:uiPriority w:val="99"/>
    <w:pPr>
      <w:spacing w:line="360" w:lineRule="auto"/>
      <w:ind w:firstLine="200" w:firstLineChars="200"/>
    </w:pPr>
    <w:rPr>
      <w:rFonts w:eastAsia="楷体_GB2312" w:cs="Lucida Sans"/>
      <w:sz w:val="24"/>
    </w:rPr>
  </w:style>
  <w:style w:type="paragraph" w:customStyle="1" w:styleId="515">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99"/>
    <w:pPr>
      <w:adjustRightInd/>
      <w:ind w:firstLine="200" w:firstLineChars="200"/>
    </w:pPr>
    <w:rPr>
      <w:rFonts w:ascii="Arial" w:hAnsi="Arial"/>
      <w:spacing w:val="-5"/>
      <w:kern w:val="0"/>
      <w:sz w:val="24"/>
      <w:szCs w:val="20"/>
    </w:rPr>
  </w:style>
  <w:style w:type="paragraph" w:customStyle="1" w:styleId="517">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1">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2">
    <w:name w:val="_Style 3"/>
    <w:basedOn w:val="1"/>
    <w:qFormat/>
    <w:uiPriority w:val="99"/>
    <w:pPr>
      <w:adjustRightInd/>
      <w:ind w:firstLine="420" w:firstLineChars="200"/>
    </w:pPr>
    <w:rPr>
      <w:rFonts w:eastAsia="仿宋_GB2312"/>
      <w:sz w:val="28"/>
    </w:rPr>
  </w:style>
  <w:style w:type="paragraph" w:customStyle="1" w:styleId="523">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99"/>
    <w:pPr>
      <w:adjustRightInd/>
      <w:ind w:firstLine="200" w:firstLineChars="200"/>
      <w:jc w:val="right"/>
    </w:pPr>
  </w:style>
  <w:style w:type="paragraph" w:customStyle="1" w:styleId="526">
    <w:name w:val="Char Char11 Char Char Char Char Char Char Char Char Char"/>
    <w:basedOn w:val="1"/>
    <w:qFormat/>
    <w:uiPriority w:val="99"/>
    <w:pPr>
      <w:spacing w:line="360" w:lineRule="auto"/>
    </w:pPr>
    <w:rPr>
      <w:szCs w:val="20"/>
    </w:rPr>
  </w:style>
  <w:style w:type="paragraph" w:customStyle="1" w:styleId="527">
    <w:name w:val="正文1.25"/>
    <w:basedOn w:val="1"/>
    <w:qFormat/>
    <w:uiPriority w:val="99"/>
    <w:pPr>
      <w:adjustRightInd/>
      <w:spacing w:line="300" w:lineRule="auto"/>
      <w:ind w:firstLine="480" w:firstLineChars="200"/>
    </w:pPr>
    <w:rPr>
      <w:sz w:val="24"/>
      <w:szCs w:val="20"/>
    </w:rPr>
  </w:style>
  <w:style w:type="paragraph" w:customStyle="1" w:styleId="528">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0">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99"/>
    <w:rPr>
      <w:rFonts w:ascii="仿宋_GB2312" w:eastAsia="仿宋_GB2312"/>
      <w:b/>
      <w:sz w:val="32"/>
      <w:szCs w:val="20"/>
    </w:rPr>
  </w:style>
  <w:style w:type="paragraph" w:customStyle="1" w:styleId="532">
    <w:name w:val="列出段落2"/>
    <w:basedOn w:val="1"/>
    <w:qFormat/>
    <w:uiPriority w:val="99"/>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99"/>
    <w:rPr>
      <w:rFonts w:eastAsia="仿宋_GB2312"/>
      <w:sz w:val="28"/>
      <w:szCs w:val="20"/>
    </w:rPr>
  </w:style>
  <w:style w:type="paragraph" w:customStyle="1" w:styleId="534">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99"/>
    <w:pPr>
      <w:widowControl/>
      <w:jc w:val="left"/>
    </w:pPr>
    <w:rPr>
      <w:rFonts w:cs="宋体"/>
      <w:sz w:val="24"/>
      <w:szCs w:val="20"/>
    </w:rPr>
  </w:style>
  <w:style w:type="paragraph" w:customStyle="1" w:styleId="536">
    <w:name w:val="彩色列表 - 强调文字颜色 11"/>
    <w:basedOn w:val="1"/>
    <w:qFormat/>
    <w:uiPriority w:val="99"/>
    <w:pPr>
      <w:adjustRightInd/>
      <w:ind w:firstLine="420" w:firstLineChars="200"/>
    </w:pPr>
    <w:rPr>
      <w:rFonts w:ascii="Calibri" w:hAnsi="Calibri"/>
      <w:szCs w:val="22"/>
    </w:rPr>
  </w:style>
  <w:style w:type="paragraph" w:customStyle="1" w:styleId="537">
    <w:name w:val="加粗正文"/>
    <w:basedOn w:val="1"/>
    <w:qFormat/>
    <w:uiPriority w:val="99"/>
    <w:pPr>
      <w:adjustRightInd/>
      <w:spacing w:beforeLines="50" w:afterLines="50" w:line="360" w:lineRule="auto"/>
      <w:ind w:firstLine="422" w:firstLineChars="200"/>
    </w:pPr>
    <w:rPr>
      <w:b/>
      <w:bCs/>
      <w:szCs w:val="21"/>
    </w:rPr>
  </w:style>
  <w:style w:type="paragraph" w:customStyle="1" w:styleId="538">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99"/>
    <w:rPr>
      <w:szCs w:val="20"/>
    </w:rPr>
  </w:style>
  <w:style w:type="paragraph" w:customStyle="1" w:styleId="541">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5">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2"/>
    <w:next w:val="252"/>
    <w:qFormat/>
    <w:uiPriority w:val="99"/>
    <w:pPr>
      <w:spacing w:after="68"/>
    </w:pPr>
    <w:rPr>
      <w:rFonts w:ascii="FHLHE E+ Futura Bk" w:eastAsia="FHLHE E+ Futura Bk" w:cs="Times New Roman"/>
      <w:color w:val="auto"/>
    </w:rPr>
  </w:style>
  <w:style w:type="paragraph" w:customStyle="1" w:styleId="547">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0">
    <w:name w:val="正文文字 2"/>
    <w:basedOn w:val="252"/>
    <w:next w:val="252"/>
    <w:qFormat/>
    <w:uiPriority w:val="99"/>
    <w:rPr>
      <w:rFonts w:ascii="宋体" w:eastAsia="宋体" w:cs="Times New Roman"/>
      <w:color w:val="auto"/>
    </w:rPr>
  </w:style>
  <w:style w:type="paragraph" w:customStyle="1" w:styleId="551">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99"/>
    <w:rPr>
      <w:rFonts w:ascii="仿宋_GB2312" w:eastAsia="仿宋_GB2312"/>
      <w:b/>
      <w:sz w:val="32"/>
      <w:szCs w:val="32"/>
    </w:rPr>
  </w:style>
  <w:style w:type="paragraph" w:customStyle="1" w:styleId="553">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5">
    <w:name w:val="Char Char111"/>
    <w:basedOn w:val="1"/>
    <w:qFormat/>
    <w:uiPriority w:val="99"/>
    <w:pPr>
      <w:spacing w:line="360" w:lineRule="auto"/>
    </w:pPr>
    <w:rPr>
      <w:szCs w:val="20"/>
    </w:rPr>
  </w:style>
  <w:style w:type="paragraph" w:customStyle="1" w:styleId="556">
    <w:name w:val="Char"/>
    <w:basedOn w:val="1"/>
    <w:qFormat/>
    <w:uiPriority w:val="99"/>
    <w:rPr>
      <w:rFonts w:ascii="仿宋_GB2312" w:eastAsia="仿宋_GB2312"/>
      <w:b/>
      <w:sz w:val="32"/>
      <w:szCs w:val="32"/>
    </w:rPr>
  </w:style>
  <w:style w:type="paragraph" w:customStyle="1" w:styleId="557">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99"/>
    <w:rPr>
      <w:szCs w:val="20"/>
    </w:rPr>
  </w:style>
  <w:style w:type="paragraph" w:customStyle="1" w:styleId="560">
    <w:name w:val="正文标准"/>
    <w:basedOn w:val="1"/>
    <w:qFormat/>
    <w:uiPriority w:val="99"/>
    <w:pPr>
      <w:adjustRightInd/>
      <w:spacing w:line="360" w:lineRule="auto"/>
      <w:ind w:firstLine="200" w:firstLineChars="200"/>
    </w:pPr>
    <w:rPr>
      <w:rFonts w:ascii="宋体" w:hAnsi="Calibri"/>
      <w:sz w:val="24"/>
    </w:rPr>
  </w:style>
  <w:style w:type="paragraph" w:customStyle="1" w:styleId="561">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3">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99"/>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5">
    <w:name w:val="_正文段落"/>
    <w:basedOn w:val="1"/>
    <w:qFormat/>
    <w:uiPriority w:val="99"/>
    <w:pPr>
      <w:adjustRightInd/>
      <w:ind w:firstLine="560"/>
    </w:pPr>
    <w:rPr>
      <w:rFonts w:ascii="仿宋_GB2312" w:hAnsi="仿宋" w:eastAsia="仿宋_GB2312"/>
      <w:kern w:val="0"/>
      <w:sz w:val="28"/>
      <w:szCs w:val="28"/>
    </w:rPr>
  </w:style>
  <w:style w:type="paragraph" w:customStyle="1" w:styleId="576">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7"/>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0">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1">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99"/>
    <w:rPr>
      <w:szCs w:val="20"/>
    </w:rPr>
  </w:style>
  <w:style w:type="paragraph" w:customStyle="1" w:styleId="583">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4">
    <w:name w:val="默认段落字体 Para Char"/>
    <w:basedOn w:val="1"/>
    <w:qFormat/>
    <w:uiPriority w:val="99"/>
    <w:rPr>
      <w:rFonts w:ascii="Tahoma" w:hAnsi="Tahoma"/>
      <w:sz w:val="24"/>
      <w:szCs w:val="20"/>
    </w:rPr>
  </w:style>
  <w:style w:type="paragraph" w:customStyle="1" w:styleId="585">
    <w:name w:val="标题五"/>
    <w:basedOn w:val="1"/>
    <w:qFormat/>
    <w:uiPriority w:val="99"/>
    <w:pPr>
      <w:adjustRightInd/>
      <w:spacing w:beforeLines="50" w:line="360" w:lineRule="auto"/>
    </w:pPr>
    <w:rPr>
      <w:b/>
      <w:sz w:val="24"/>
    </w:rPr>
  </w:style>
  <w:style w:type="paragraph" w:customStyle="1" w:styleId="586">
    <w:name w:val="Char Char1101"/>
    <w:basedOn w:val="1"/>
    <w:qFormat/>
    <w:uiPriority w:val="99"/>
    <w:pPr>
      <w:spacing w:line="360" w:lineRule="auto"/>
    </w:pPr>
    <w:rPr>
      <w:rFonts w:ascii="Tahoma" w:hAnsi="Tahoma"/>
      <w:sz w:val="24"/>
      <w:szCs w:val="20"/>
    </w:rPr>
  </w:style>
  <w:style w:type="paragraph" w:customStyle="1" w:styleId="587">
    <w:name w:val="Char Char Char Char Char Char Char Char1"/>
    <w:basedOn w:val="1"/>
    <w:qFormat/>
    <w:uiPriority w:val="99"/>
    <w:pPr>
      <w:tabs>
        <w:tab w:val="left" w:pos="360"/>
      </w:tabs>
    </w:pPr>
    <w:rPr>
      <w:sz w:val="24"/>
      <w:szCs w:val="20"/>
    </w:rPr>
  </w:style>
  <w:style w:type="paragraph" w:customStyle="1" w:styleId="588">
    <w:name w:val="Char Char Char 字元 字元"/>
    <w:basedOn w:val="1"/>
    <w:qFormat/>
    <w:uiPriority w:val="99"/>
    <w:pPr>
      <w:adjustRightInd/>
      <w:spacing w:line="360" w:lineRule="auto"/>
      <w:ind w:firstLine="200" w:firstLineChars="200"/>
    </w:pPr>
    <w:rPr>
      <w:szCs w:val="20"/>
    </w:rPr>
  </w:style>
  <w:style w:type="paragraph" w:customStyle="1" w:styleId="589">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99"/>
    <w:rPr>
      <w:rFonts w:ascii="仿宋_GB2312" w:eastAsia="仿宋_GB2312"/>
      <w:b/>
      <w:sz w:val="32"/>
      <w:szCs w:val="32"/>
    </w:rPr>
  </w:style>
  <w:style w:type="paragraph" w:customStyle="1" w:styleId="59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99"/>
    <w:pPr>
      <w:adjustRightInd/>
    </w:pPr>
    <w:rPr>
      <w:sz w:val="18"/>
      <w:szCs w:val="20"/>
    </w:rPr>
  </w:style>
  <w:style w:type="paragraph" w:customStyle="1" w:styleId="596">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599">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3">
    <w:name w:val="正文文字缩进项目"/>
    <w:basedOn w:val="7"/>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99"/>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99"/>
    <w:pPr>
      <w:snapToGrid w:val="0"/>
      <w:spacing w:line="360" w:lineRule="auto"/>
    </w:pPr>
    <w:rPr>
      <w:rFonts w:ascii="宋体"/>
      <w:b/>
      <w:sz w:val="24"/>
      <w:szCs w:val="20"/>
    </w:rPr>
  </w:style>
  <w:style w:type="paragraph" w:customStyle="1" w:styleId="606">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07">
    <w:name w:val="小节"/>
    <w:basedOn w:val="5"/>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99"/>
    <w:pPr>
      <w:adjustRightInd/>
    </w:pPr>
    <w:rPr>
      <w:rFonts w:ascii="宋体" w:hAnsi="Courier New"/>
    </w:rPr>
  </w:style>
  <w:style w:type="paragraph" w:customStyle="1" w:styleId="609">
    <w:name w:val="Char3"/>
    <w:basedOn w:val="1"/>
    <w:qFormat/>
    <w:uiPriority w:val="99"/>
    <w:pPr>
      <w:adjustRightInd/>
    </w:pPr>
    <w:rPr>
      <w:rFonts w:ascii="仿宋_GB2312" w:eastAsia="仿宋_GB2312"/>
      <w:b/>
      <w:sz w:val="32"/>
      <w:szCs w:val="32"/>
    </w:rPr>
  </w:style>
  <w:style w:type="paragraph" w:customStyle="1" w:styleId="61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2">
    <w:name w:val="标题2"/>
    <w:basedOn w:val="4"/>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99"/>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99"/>
    <w:pPr>
      <w:widowControl/>
      <w:adjustRightInd/>
      <w:spacing w:after="160" w:line="240" w:lineRule="exact"/>
      <w:jc w:val="left"/>
    </w:pPr>
    <w:rPr>
      <w:szCs w:val="20"/>
    </w:rPr>
  </w:style>
  <w:style w:type="paragraph" w:customStyle="1" w:styleId="618">
    <w:name w:val="表格标题2"/>
    <w:basedOn w:val="619"/>
    <w:qFormat/>
    <w:uiPriority w:val="99"/>
    <w:rPr>
      <w:b/>
    </w:rPr>
  </w:style>
  <w:style w:type="paragraph" w:customStyle="1" w:styleId="619">
    <w:name w:val="表格内文"/>
    <w:basedOn w:val="1"/>
    <w:qFormat/>
    <w:uiPriority w:val="99"/>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99"/>
    <w:rPr>
      <w:rFonts w:ascii="仿宋_GB2312" w:eastAsia="仿宋_GB2312"/>
      <w:b/>
      <w:sz w:val="32"/>
      <w:szCs w:val="32"/>
    </w:rPr>
  </w:style>
  <w:style w:type="paragraph" w:customStyle="1" w:styleId="621">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3">
    <w:name w:val="Char Char11 Char Char Char Char Char Char Char Char Char11"/>
    <w:basedOn w:val="1"/>
    <w:qFormat/>
    <w:uiPriority w:val="99"/>
    <w:pPr>
      <w:spacing w:line="360" w:lineRule="auto"/>
    </w:pPr>
    <w:rPr>
      <w:szCs w:val="20"/>
    </w:rPr>
  </w:style>
  <w:style w:type="paragraph" w:customStyle="1" w:styleId="624">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6">
    <w:name w:val="MM Topic 1"/>
    <w:basedOn w:val="3"/>
    <w:qFormat/>
    <w:uiPriority w:val="99"/>
    <w:pPr>
      <w:tabs>
        <w:tab w:val="left" w:pos="840"/>
      </w:tabs>
      <w:adjustRightInd/>
      <w:ind w:left="840" w:hanging="420"/>
    </w:pPr>
  </w:style>
  <w:style w:type="paragraph" w:customStyle="1" w:styleId="627">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99"/>
    <w:pPr>
      <w:spacing w:line="360" w:lineRule="auto"/>
      <w:ind w:firstLine="200" w:firstLineChars="200"/>
    </w:pPr>
    <w:rPr>
      <w:kern w:val="0"/>
      <w:sz w:val="24"/>
      <w:szCs w:val="20"/>
    </w:rPr>
  </w:style>
  <w:style w:type="paragraph" w:customStyle="1" w:styleId="629">
    <w:name w:val="表格"/>
    <w:basedOn w:val="1"/>
    <w:qFormat/>
    <w:uiPriority w:val="99"/>
    <w:pPr>
      <w:snapToGrid w:val="0"/>
      <w:ind w:firstLine="42" w:firstLineChars="21"/>
    </w:pPr>
    <w:rPr>
      <w:rFonts w:ascii="宋体" w:hAnsi="宋体"/>
      <w:kern w:val="0"/>
      <w:sz w:val="20"/>
      <w:szCs w:val="20"/>
    </w:rPr>
  </w:style>
  <w:style w:type="paragraph" w:customStyle="1" w:styleId="630">
    <w:name w:val="标书标题4"/>
    <w:basedOn w:val="8"/>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99"/>
    <w:pPr>
      <w:adjustRightInd/>
      <w:spacing w:line="300" w:lineRule="auto"/>
      <w:jc w:val="center"/>
    </w:pPr>
  </w:style>
  <w:style w:type="paragraph" w:customStyle="1" w:styleId="635">
    <w:name w:val="_Style 6"/>
    <w:basedOn w:val="1"/>
    <w:qFormat/>
    <w:uiPriority w:val="99"/>
    <w:pPr>
      <w:adjustRightInd/>
      <w:ind w:firstLine="420" w:firstLineChars="200"/>
    </w:pPr>
    <w:rPr>
      <w:rFonts w:eastAsia="仿宋_GB2312"/>
      <w:sz w:val="28"/>
    </w:rPr>
  </w:style>
  <w:style w:type="paragraph" w:customStyle="1" w:styleId="636">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99"/>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99"/>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99"/>
    <w:rPr>
      <w:rFonts w:ascii="仿宋_GB2312" w:eastAsia="仿宋_GB2312"/>
      <w:b/>
      <w:sz w:val="32"/>
      <w:szCs w:val="20"/>
    </w:rPr>
  </w:style>
  <w:style w:type="paragraph" w:customStyle="1" w:styleId="646">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99"/>
    <w:pPr>
      <w:adjustRightInd/>
      <w:ind w:firstLine="200" w:firstLineChars="200"/>
    </w:pPr>
    <w:rPr>
      <w:rFonts w:ascii="Tahoma" w:hAnsi="Tahoma"/>
      <w:sz w:val="24"/>
      <w:szCs w:val="20"/>
    </w:rPr>
  </w:style>
  <w:style w:type="paragraph" w:customStyle="1" w:styleId="648">
    <w:name w:val="a1"/>
    <w:basedOn w:val="1"/>
    <w:qFormat/>
    <w:uiPriority w:val="99"/>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99"/>
    <w:pPr>
      <w:spacing w:afterLines="50"/>
      <w:jc w:val="left"/>
      <w:outlineLvl w:val="3"/>
    </w:pPr>
    <w:rPr>
      <w:sz w:val="24"/>
      <w:szCs w:val="24"/>
    </w:rPr>
  </w:style>
  <w:style w:type="paragraph" w:customStyle="1" w:styleId="650">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2">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3">
    <w:name w:val="样式 样式2 + 左侧:  1 字符 右侧:  1 字符"/>
    <w:basedOn w:val="461"/>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99"/>
    <w:pPr>
      <w:adjustRightInd/>
    </w:pPr>
    <w:rPr>
      <w:rFonts w:ascii="Tahoma" w:hAnsi="Tahoma"/>
      <w:sz w:val="24"/>
      <w:szCs w:val="20"/>
    </w:rPr>
  </w:style>
  <w:style w:type="paragraph" w:customStyle="1" w:styleId="655">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99"/>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99"/>
    <w:pPr>
      <w:tabs>
        <w:tab w:val="left" w:pos="1260"/>
        <w:tab w:val="left" w:pos="1680"/>
        <w:tab w:val="left" w:pos="2100"/>
      </w:tabs>
      <w:ind w:left="0"/>
      <w:outlineLvl w:val="3"/>
    </w:pPr>
  </w:style>
  <w:style w:type="paragraph" w:customStyle="1" w:styleId="658">
    <w:name w:val="一级条标题"/>
    <w:basedOn w:val="659"/>
    <w:next w:val="641"/>
    <w:qFormat/>
    <w:uiPriority w:val="99"/>
    <w:pPr>
      <w:tabs>
        <w:tab w:val="left" w:pos="1260"/>
        <w:tab w:val="left" w:pos="1680"/>
      </w:tabs>
      <w:spacing w:beforeLines="0" w:afterLines="0"/>
      <w:ind w:left="1680"/>
      <w:outlineLvl w:val="2"/>
    </w:pPr>
  </w:style>
  <w:style w:type="paragraph" w:customStyle="1" w:styleId="659">
    <w:name w:val="章标题"/>
    <w:next w:val="641"/>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99"/>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3">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6">
    <w:name w:val="正文 项目2"/>
    <w:basedOn w:val="667"/>
    <w:qFormat/>
    <w:uiPriority w:val="99"/>
    <w:pPr>
      <w:tabs>
        <w:tab w:val="left" w:pos="840"/>
      </w:tabs>
      <w:spacing w:after="0"/>
      <w:ind w:left="900"/>
    </w:pPr>
  </w:style>
  <w:style w:type="paragraph" w:customStyle="1" w:styleId="667">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99"/>
    <w:pPr>
      <w:widowControl/>
      <w:adjustRightInd/>
      <w:ind w:left="720" w:hanging="720"/>
    </w:pPr>
    <w:rPr>
      <w:color w:val="000000"/>
      <w:kern w:val="0"/>
      <w:sz w:val="24"/>
      <w:szCs w:val="20"/>
      <w:lang w:val="en-GB"/>
    </w:rPr>
  </w:style>
  <w:style w:type="paragraph" w:customStyle="1" w:styleId="669">
    <w:name w:val="表1"/>
    <w:basedOn w:val="1"/>
    <w:qFormat/>
    <w:uiPriority w:val="99"/>
    <w:pPr>
      <w:tabs>
        <w:tab w:val="left" w:pos="703"/>
      </w:tabs>
      <w:adjustRightInd/>
      <w:spacing w:line="360" w:lineRule="auto"/>
      <w:ind w:left="703"/>
      <w:jc w:val="center"/>
    </w:pPr>
  </w:style>
  <w:style w:type="paragraph" w:customStyle="1" w:styleId="670">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99"/>
    <w:pPr>
      <w:jc w:val="left"/>
      <w:outlineLvl w:val="1"/>
    </w:pPr>
    <w:rPr>
      <w:rFonts w:ascii="Times New Roman" w:hAnsi="Times New Roman" w:eastAsia="仿宋"/>
      <w:sz w:val="30"/>
    </w:rPr>
  </w:style>
  <w:style w:type="paragraph" w:customStyle="1" w:styleId="674">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99"/>
    <w:pPr>
      <w:tabs>
        <w:tab w:val="left" w:pos="840"/>
      </w:tabs>
      <w:adjustRightInd/>
      <w:ind w:left="840" w:hanging="420"/>
    </w:pPr>
  </w:style>
  <w:style w:type="paragraph" w:customStyle="1" w:styleId="68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5">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6">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99"/>
    <w:pPr>
      <w:tabs>
        <w:tab w:val="left" w:pos="2100"/>
      </w:tabs>
      <w:adjustRightInd/>
      <w:ind w:left="2100" w:hanging="420"/>
    </w:pPr>
    <w:rPr>
      <w:lang w:val="en-US"/>
    </w:rPr>
  </w:style>
  <w:style w:type="paragraph" w:customStyle="1" w:styleId="688">
    <w:name w:val="Char11"/>
    <w:basedOn w:val="1"/>
    <w:qFormat/>
    <w:uiPriority w:val="99"/>
    <w:pPr>
      <w:tabs>
        <w:tab w:val="left" w:pos="432"/>
      </w:tabs>
      <w:adjustRightInd/>
      <w:spacing w:beforeLines="50" w:afterLines="50"/>
      <w:ind w:left="432" w:hanging="432" w:firstLineChars="200"/>
    </w:pPr>
    <w:rPr>
      <w:sz w:val="24"/>
    </w:rPr>
  </w:style>
  <w:style w:type="paragraph" w:customStyle="1" w:styleId="689">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99"/>
    <w:pPr>
      <w:spacing w:line="360" w:lineRule="auto"/>
    </w:pPr>
    <w:rPr>
      <w:szCs w:val="20"/>
    </w:rPr>
  </w:style>
  <w:style w:type="paragraph" w:customStyle="1" w:styleId="69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99"/>
    <w:pPr>
      <w:adjustRightInd/>
      <w:spacing w:line="360" w:lineRule="auto"/>
      <w:jc w:val="center"/>
    </w:pPr>
    <w:rPr>
      <w:sz w:val="24"/>
    </w:rPr>
  </w:style>
  <w:style w:type="paragraph" w:customStyle="1" w:styleId="701">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99"/>
    <w:rPr>
      <w:rFonts w:ascii="仿宋_GB2312" w:eastAsia="仿宋_GB2312"/>
      <w:b/>
      <w:sz w:val="32"/>
      <w:szCs w:val="32"/>
    </w:rPr>
  </w:style>
  <w:style w:type="paragraph" w:customStyle="1" w:styleId="703">
    <w:name w:val="正文缩进1"/>
    <w:basedOn w:val="1"/>
    <w:next w:val="7"/>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4">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99"/>
    <w:pPr>
      <w:widowControl/>
      <w:adjustRightInd/>
      <w:spacing w:after="160" w:line="240" w:lineRule="exact"/>
      <w:jc w:val="left"/>
    </w:pPr>
    <w:rPr>
      <w:szCs w:val="20"/>
    </w:rPr>
  </w:style>
  <w:style w:type="paragraph" w:customStyle="1" w:styleId="706">
    <w:name w:val="Char Char1121"/>
    <w:basedOn w:val="1"/>
    <w:qFormat/>
    <w:uiPriority w:val="99"/>
    <w:pPr>
      <w:spacing w:line="360" w:lineRule="auto"/>
    </w:pPr>
    <w:rPr>
      <w:szCs w:val="20"/>
    </w:rPr>
  </w:style>
  <w:style w:type="paragraph" w:customStyle="1" w:styleId="70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99"/>
    <w:rPr>
      <w:rFonts w:ascii="Times New Roman" w:hAnsi="Times New Roman" w:eastAsia="宋体" w:cs="Times New Roman"/>
      <w:lang w:val="en-US" w:eastAsia="en-US" w:bidi="ar-SA"/>
    </w:rPr>
  </w:style>
  <w:style w:type="paragraph" w:customStyle="1" w:styleId="710">
    <w:name w:val="带编号样式"/>
    <w:basedOn w:val="628"/>
    <w:qFormat/>
    <w:uiPriority w:val="99"/>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99"/>
    <w:pPr>
      <w:spacing w:line="360" w:lineRule="atLeast"/>
      <w:jc w:val="right"/>
      <w:textAlignment w:val="baseline"/>
    </w:pPr>
    <w:rPr>
      <w:rFonts w:ascii="Symbol" w:hAnsi="Symbol"/>
      <w:kern w:val="0"/>
      <w:szCs w:val="20"/>
    </w:rPr>
  </w:style>
  <w:style w:type="paragraph" w:customStyle="1" w:styleId="714">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6">
    <w:name w:val="默认段落字体 Para Char Char Char1 Char"/>
    <w:basedOn w:val="1"/>
    <w:qFormat/>
    <w:uiPriority w:val="99"/>
    <w:pPr>
      <w:spacing w:line="240" w:lineRule="atLeast"/>
      <w:ind w:left="420" w:firstLine="420"/>
    </w:pPr>
    <w:rPr>
      <w:sz w:val="24"/>
    </w:rPr>
  </w:style>
  <w:style w:type="paragraph" w:customStyle="1" w:styleId="717">
    <w:name w:val="WW-正文文字缩进 2"/>
    <w:basedOn w:val="1"/>
    <w:qFormat/>
    <w:uiPriority w:val="99"/>
    <w:pPr>
      <w:suppressAutoHyphens/>
      <w:adjustRightInd/>
      <w:ind w:firstLine="420"/>
    </w:pPr>
    <w:rPr>
      <w:kern w:val="1"/>
      <w:szCs w:val="20"/>
    </w:rPr>
  </w:style>
  <w:style w:type="paragraph" w:customStyle="1" w:styleId="71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99"/>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99"/>
    <w:pPr>
      <w:adjustRightInd/>
      <w:spacing w:line="400" w:lineRule="exact"/>
      <w:ind w:firstLine="200" w:firstLineChars="200"/>
    </w:pPr>
    <w:rPr>
      <w:rFonts w:ascii="Arial" w:hAnsi="Arial"/>
    </w:rPr>
  </w:style>
  <w:style w:type="paragraph" w:customStyle="1" w:styleId="72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99"/>
    <w:pPr>
      <w:spacing w:after="120" w:line="480" w:lineRule="auto"/>
      <w:ind w:left="420" w:leftChars="200"/>
    </w:pPr>
    <w:rPr>
      <w:sz w:val="24"/>
      <w:szCs w:val="20"/>
    </w:rPr>
  </w:style>
  <w:style w:type="paragraph" w:customStyle="1" w:styleId="724">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99"/>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28">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99"/>
    <w:rPr>
      <w:rFonts w:ascii="仿宋_GB2312" w:eastAsia="仿宋_GB2312"/>
      <w:b/>
      <w:sz w:val="32"/>
      <w:szCs w:val="20"/>
    </w:rPr>
  </w:style>
  <w:style w:type="paragraph" w:customStyle="1" w:styleId="733">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5">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99"/>
    <w:rPr>
      <w:rFonts w:ascii="仿宋_GB2312" w:eastAsia="仿宋_GB2312"/>
      <w:b/>
      <w:sz w:val="32"/>
      <w:szCs w:val="32"/>
    </w:rPr>
  </w:style>
  <w:style w:type="paragraph" w:customStyle="1" w:styleId="737">
    <w:name w:val="Char3 Char Char Char1"/>
    <w:basedOn w:val="1"/>
    <w:qFormat/>
    <w:uiPriority w:val="99"/>
    <w:pPr>
      <w:widowControl/>
      <w:adjustRightInd/>
      <w:spacing w:after="160" w:line="240" w:lineRule="exact"/>
      <w:jc w:val="left"/>
    </w:pPr>
    <w:rPr>
      <w:szCs w:val="20"/>
    </w:rPr>
  </w:style>
  <w:style w:type="paragraph" w:customStyle="1" w:styleId="738">
    <w:name w:val="Char1 Char Char Char21"/>
    <w:basedOn w:val="1"/>
    <w:qFormat/>
    <w:uiPriority w:val="99"/>
    <w:rPr>
      <w:rFonts w:ascii="Tahoma" w:hAnsi="Tahoma"/>
      <w:sz w:val="24"/>
      <w:szCs w:val="20"/>
    </w:rPr>
  </w:style>
  <w:style w:type="paragraph" w:customStyle="1" w:styleId="739">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0">
    <w:name w:val="正文（标题三）"/>
    <w:basedOn w:val="1"/>
    <w:qFormat/>
    <w:uiPriority w:val="99"/>
    <w:pPr>
      <w:spacing w:line="360" w:lineRule="auto"/>
      <w:ind w:firstLine="200" w:firstLineChars="200"/>
    </w:pPr>
    <w:rPr>
      <w:sz w:val="24"/>
    </w:rPr>
  </w:style>
  <w:style w:type="paragraph" w:customStyle="1" w:styleId="741">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2">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99"/>
    <w:pPr>
      <w:adjustRightInd/>
      <w:ind w:firstLine="200" w:firstLineChars="200"/>
    </w:pPr>
    <w:rPr>
      <w:rFonts w:ascii="Tahoma" w:hAnsi="Tahoma"/>
      <w:sz w:val="24"/>
      <w:szCs w:val="20"/>
    </w:rPr>
  </w:style>
  <w:style w:type="paragraph" w:customStyle="1" w:styleId="747">
    <w:name w:val="_标题2"/>
    <w:basedOn w:val="714"/>
    <w:next w:val="714"/>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99"/>
    <w:pPr>
      <w:adjustRightInd/>
      <w:spacing w:line="360" w:lineRule="auto"/>
    </w:pPr>
    <w:rPr>
      <w:rFonts w:ascii="宋体" w:hAnsi="宋体"/>
      <w:szCs w:val="20"/>
    </w:rPr>
  </w:style>
  <w:style w:type="paragraph" w:customStyle="1" w:styleId="753">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99"/>
    <w:pPr>
      <w:adjustRightInd/>
    </w:pPr>
    <w:rPr>
      <w:rFonts w:ascii="Tahoma" w:hAnsi="Tahoma"/>
      <w:sz w:val="24"/>
    </w:rPr>
  </w:style>
  <w:style w:type="paragraph" w:customStyle="1" w:styleId="755">
    <w:name w:val="Char Char Char Char11"/>
    <w:basedOn w:val="1"/>
    <w:qFormat/>
    <w:uiPriority w:val="99"/>
    <w:rPr>
      <w:rFonts w:ascii="Tahoma" w:hAnsi="Tahoma"/>
      <w:sz w:val="24"/>
      <w:szCs w:val="20"/>
    </w:rPr>
  </w:style>
  <w:style w:type="paragraph" w:customStyle="1" w:styleId="756">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99"/>
    <w:rPr>
      <w:rFonts w:ascii="Tahoma" w:hAnsi="Tahoma"/>
      <w:sz w:val="24"/>
      <w:szCs w:val="20"/>
    </w:rPr>
  </w:style>
  <w:style w:type="paragraph" w:customStyle="1" w:styleId="75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99"/>
    <w:pPr>
      <w:adjustRightInd/>
    </w:pPr>
    <w:rPr>
      <w:szCs w:val="20"/>
    </w:rPr>
  </w:style>
  <w:style w:type="paragraph" w:customStyle="1" w:styleId="76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99"/>
    <w:pPr>
      <w:adjustRightInd/>
      <w:ind w:firstLine="420" w:firstLineChars="200"/>
    </w:pPr>
    <w:rPr>
      <w:rFonts w:eastAsia="仿宋_GB2312"/>
      <w:sz w:val="28"/>
    </w:rPr>
  </w:style>
  <w:style w:type="paragraph" w:customStyle="1" w:styleId="76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99"/>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99"/>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99"/>
    <w:pPr>
      <w:autoSpaceDE/>
      <w:autoSpaceDN/>
      <w:snapToGrid w:val="0"/>
      <w:ind w:firstLine="480" w:firstLineChars="200"/>
    </w:pPr>
    <w:rPr>
      <w:rFonts w:ascii="Times New Roman"/>
      <w:szCs w:val="24"/>
      <w:lang w:val="en-US"/>
    </w:rPr>
  </w:style>
  <w:style w:type="paragraph" w:customStyle="1" w:styleId="771">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99"/>
    <w:rPr>
      <w:rFonts w:ascii="宋体" w:hAnsi="Times New Roman" w:eastAsia="宋体" w:cs="Times New Roman"/>
      <w:kern w:val="2"/>
      <w:lang w:val="en-US" w:eastAsia="zh-CN" w:bidi="ar-SA"/>
    </w:rPr>
  </w:style>
  <w:style w:type="paragraph" w:customStyle="1" w:styleId="773">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99"/>
    <w:pPr>
      <w:tabs>
        <w:tab w:val="left" w:pos="360"/>
      </w:tabs>
    </w:pPr>
    <w:rPr>
      <w:sz w:val="24"/>
      <w:szCs w:val="20"/>
    </w:rPr>
  </w:style>
  <w:style w:type="paragraph" w:customStyle="1" w:styleId="777">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7"/>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99"/>
    <w:rPr>
      <w:rFonts w:ascii="仿宋_GB2312" w:eastAsia="仿宋_GB2312"/>
      <w:b/>
      <w:sz w:val="32"/>
      <w:szCs w:val="32"/>
    </w:rPr>
  </w:style>
  <w:style w:type="paragraph" w:customStyle="1" w:styleId="787">
    <w:name w:val="Char111"/>
    <w:basedOn w:val="1"/>
    <w:qFormat/>
    <w:uiPriority w:val="99"/>
    <w:rPr>
      <w:rFonts w:ascii="仿宋_GB2312" w:eastAsia="仿宋_GB2312"/>
      <w:b/>
      <w:sz w:val="32"/>
      <w:szCs w:val="32"/>
    </w:rPr>
  </w:style>
  <w:style w:type="paragraph" w:customStyle="1" w:styleId="788">
    <w:name w:val="标题3"/>
    <w:basedOn w:val="5"/>
    <w:next w:val="54"/>
    <w:qFormat/>
    <w:uiPriority w:val="99"/>
    <w:pPr>
      <w:tabs>
        <w:tab w:val="clear" w:pos="900"/>
      </w:tabs>
      <w:spacing w:after="0" w:line="360" w:lineRule="auto"/>
    </w:pPr>
    <w:rPr>
      <w:rFonts w:ascii="仿宋" w:hAnsi="仿宋" w:eastAsia="仿宋" w:cs="仿宋"/>
    </w:rPr>
  </w:style>
  <w:style w:type="paragraph" w:customStyle="1" w:styleId="78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99"/>
    <w:pPr>
      <w:adjustRightInd/>
      <w:ind w:firstLine="200" w:firstLineChars="200"/>
    </w:pPr>
    <w:rPr>
      <w:rFonts w:ascii="Tahoma" w:hAnsi="Tahoma"/>
      <w:sz w:val="24"/>
      <w:szCs w:val="20"/>
    </w:rPr>
  </w:style>
  <w:style w:type="paragraph" w:customStyle="1" w:styleId="792">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4">
    <w:name w:val="Char Char Char Char Char Char Char2"/>
    <w:basedOn w:val="1"/>
    <w:qFormat/>
    <w:uiPriority w:val="99"/>
    <w:rPr>
      <w:rFonts w:ascii="仿宋_GB2312" w:eastAsia="仿宋_GB2312"/>
      <w:b/>
      <w:sz w:val="32"/>
      <w:szCs w:val="32"/>
    </w:rPr>
  </w:style>
  <w:style w:type="paragraph" w:customStyle="1" w:styleId="795">
    <w:name w:val="五级条标题"/>
    <w:basedOn w:val="796"/>
    <w:next w:val="641"/>
    <w:qFormat/>
    <w:uiPriority w:val="99"/>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99"/>
    <w:pPr>
      <w:tabs>
        <w:tab w:val="left" w:pos="2940"/>
        <w:tab w:val="clear" w:pos="2520"/>
      </w:tabs>
      <w:ind w:left="2940"/>
      <w:outlineLvl w:val="5"/>
    </w:pPr>
  </w:style>
  <w:style w:type="paragraph" w:customStyle="1" w:styleId="797">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99"/>
    <w:rPr>
      <w:rFonts w:ascii="仿宋_GB2312" w:eastAsia="仿宋_GB2312"/>
      <w:b/>
      <w:sz w:val="32"/>
      <w:szCs w:val="32"/>
    </w:rPr>
  </w:style>
  <w:style w:type="paragraph" w:customStyle="1" w:styleId="79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99"/>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3">
    <w:name w:val="单元格左对齐"/>
    <w:basedOn w:val="1"/>
    <w:qFormat/>
    <w:uiPriority w:val="99"/>
    <w:pPr>
      <w:adjustRightInd/>
      <w:spacing w:line="360" w:lineRule="auto"/>
    </w:pPr>
    <w:rPr>
      <w:sz w:val="24"/>
    </w:rPr>
  </w:style>
  <w:style w:type="paragraph" w:customStyle="1" w:styleId="804">
    <w:name w:val="正文主体"/>
    <w:basedOn w:val="625"/>
    <w:qFormat/>
    <w:uiPriority w:val="99"/>
  </w:style>
  <w:style w:type="paragraph" w:customStyle="1" w:styleId="80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6">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07">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99"/>
    <w:pPr>
      <w:adjustRightInd/>
      <w:spacing w:line="360" w:lineRule="auto"/>
      <w:ind w:firstLine="480" w:firstLineChars="200"/>
    </w:pPr>
    <w:rPr>
      <w:sz w:val="24"/>
      <w:szCs w:val="20"/>
    </w:rPr>
  </w:style>
  <w:style w:type="paragraph" w:customStyle="1" w:styleId="809">
    <w:name w:val="P1"/>
    <w:basedOn w:val="1"/>
    <w:qFormat/>
    <w:uiPriority w:val="99"/>
    <w:pPr>
      <w:adjustRightInd/>
      <w:spacing w:line="288" w:lineRule="auto"/>
      <w:ind w:firstLine="425" w:firstLineChars="200"/>
    </w:pPr>
  </w:style>
  <w:style w:type="paragraph" w:customStyle="1" w:styleId="810">
    <w:name w:val="列表内容"/>
    <w:basedOn w:val="1"/>
    <w:next w:val="1"/>
    <w:qFormat/>
    <w:uiPriority w:val="99"/>
    <w:pPr>
      <w:widowControl/>
      <w:tabs>
        <w:tab w:val="left" w:pos="840"/>
      </w:tabs>
      <w:ind w:left="840" w:hanging="420"/>
      <w:jc w:val="left"/>
    </w:pPr>
    <w:rPr>
      <w:kern w:val="0"/>
      <w:sz w:val="18"/>
    </w:rPr>
  </w:style>
  <w:style w:type="paragraph" w:customStyle="1" w:styleId="811">
    <w:name w:val="Char Char11 Char Char Char1"/>
    <w:basedOn w:val="1"/>
    <w:qFormat/>
    <w:uiPriority w:val="99"/>
    <w:pPr>
      <w:spacing w:line="360" w:lineRule="auto"/>
    </w:pPr>
    <w:rPr>
      <w:szCs w:val="20"/>
    </w:rPr>
  </w:style>
  <w:style w:type="paragraph" w:customStyle="1" w:styleId="812">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3">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99"/>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99"/>
    <w:pPr>
      <w:spacing w:line="360" w:lineRule="auto"/>
    </w:pPr>
    <w:rPr>
      <w:szCs w:val="20"/>
    </w:rPr>
  </w:style>
  <w:style w:type="paragraph" w:customStyle="1" w:styleId="818">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99"/>
    <w:rPr>
      <w:rFonts w:ascii="仿宋_GB2312" w:eastAsia="仿宋_GB2312"/>
      <w:b/>
      <w:sz w:val="32"/>
      <w:szCs w:val="32"/>
    </w:rPr>
  </w:style>
  <w:style w:type="paragraph" w:customStyle="1" w:styleId="821">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3">
    <w:name w:val="正文 首行缩进:  2 字符 Char"/>
    <w:basedOn w:val="1"/>
    <w:qFormat/>
    <w:uiPriority w:val="99"/>
    <w:pPr>
      <w:adjustRightInd/>
      <w:spacing w:line="360" w:lineRule="auto"/>
      <w:ind w:firstLine="480"/>
    </w:pPr>
    <w:rPr>
      <w:rFonts w:cs="宋体"/>
      <w:sz w:val="24"/>
      <w:szCs w:val="20"/>
    </w:rPr>
  </w:style>
  <w:style w:type="paragraph" w:customStyle="1" w:styleId="824">
    <w:name w:val="Char Char4 Char Char"/>
    <w:basedOn w:val="1"/>
    <w:qFormat/>
    <w:uiPriority w:val="99"/>
    <w:pPr>
      <w:widowControl/>
      <w:adjustRightInd/>
      <w:spacing w:after="160" w:line="240" w:lineRule="exact"/>
      <w:jc w:val="left"/>
    </w:pPr>
  </w:style>
  <w:style w:type="paragraph" w:customStyle="1" w:styleId="825">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99"/>
    <w:pPr>
      <w:spacing w:line="360" w:lineRule="auto"/>
    </w:pPr>
    <w:rPr>
      <w:szCs w:val="20"/>
    </w:rPr>
  </w:style>
  <w:style w:type="paragraph" w:customStyle="1" w:styleId="827">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29">
    <w:name w:val="数字标题4"/>
    <w:basedOn w:val="8"/>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99"/>
    <w:pPr>
      <w:adjustRightInd/>
      <w:ind w:firstLine="200" w:firstLineChars="200"/>
    </w:pPr>
    <w:rPr>
      <w:rFonts w:ascii="Tahoma" w:hAnsi="Tahoma"/>
      <w:sz w:val="24"/>
      <w:szCs w:val="20"/>
    </w:rPr>
  </w:style>
  <w:style w:type="paragraph" w:customStyle="1" w:styleId="834">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99"/>
    <w:pPr>
      <w:tabs>
        <w:tab w:val="left" w:pos="0"/>
      </w:tabs>
      <w:ind w:left="900" w:firstLine="0" w:firstLineChars="0"/>
    </w:pPr>
  </w:style>
  <w:style w:type="paragraph" w:customStyle="1" w:styleId="837">
    <w:name w:val="Bulleted List"/>
    <w:basedOn w:val="1"/>
    <w:qFormat/>
    <w:uiPriority w:val="99"/>
    <w:pPr>
      <w:tabs>
        <w:tab w:val="left" w:pos="1260"/>
      </w:tabs>
      <w:adjustRightInd/>
      <w:ind w:left="1260" w:hanging="420"/>
    </w:pPr>
  </w:style>
  <w:style w:type="paragraph" w:customStyle="1" w:styleId="838">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99"/>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99"/>
    <w:rPr>
      <w:rFonts w:ascii="Tahoma" w:hAnsi="Tahoma" w:cs="仿宋_GB2312"/>
      <w:sz w:val="24"/>
      <w:szCs w:val="20"/>
    </w:rPr>
  </w:style>
  <w:style w:type="paragraph" w:customStyle="1" w:styleId="841">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7"/>
    <w:qFormat/>
    <w:uiPriority w:val="99"/>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99"/>
    <w:rPr>
      <w:rFonts w:ascii="仿宋_GB2312" w:eastAsia="仿宋_GB2312"/>
      <w:b/>
      <w:sz w:val="32"/>
      <w:szCs w:val="20"/>
    </w:rPr>
  </w:style>
  <w:style w:type="paragraph" w:customStyle="1" w:styleId="84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99"/>
    <w:rPr>
      <w:rFonts w:ascii="仿宋_GB2312" w:eastAsia="仿宋_GB2312"/>
      <w:b/>
      <w:sz w:val="32"/>
      <w:szCs w:val="20"/>
    </w:rPr>
  </w:style>
  <w:style w:type="paragraph" w:customStyle="1" w:styleId="84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99"/>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859">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99"/>
    <w:pPr>
      <w:widowControl/>
      <w:spacing w:after="160" w:line="240" w:lineRule="exact"/>
      <w:jc w:val="left"/>
    </w:pPr>
    <w:rPr>
      <w:rFonts w:eastAsia="仿宋_GB2312"/>
      <w:sz w:val="28"/>
    </w:rPr>
  </w:style>
  <w:style w:type="paragraph" w:customStyle="1" w:styleId="862">
    <w:name w:val="Char21"/>
    <w:basedOn w:val="1"/>
    <w:qFormat/>
    <w:uiPriority w:val="99"/>
    <w:pPr>
      <w:adjustRightInd/>
      <w:ind w:firstLine="200" w:firstLineChars="200"/>
    </w:pPr>
    <w:rPr>
      <w:rFonts w:ascii="仿宋_GB2312" w:eastAsia="仿宋_GB2312"/>
      <w:b/>
      <w:sz w:val="32"/>
      <w:szCs w:val="32"/>
    </w:rPr>
  </w:style>
  <w:style w:type="paragraph" w:customStyle="1" w:styleId="863">
    <w:name w:val="列表段落1"/>
    <w:basedOn w:val="1"/>
    <w:qFormat/>
    <w:uiPriority w:val="99"/>
    <w:pPr>
      <w:adjustRightInd/>
      <w:ind w:right="238" w:firstLine="420"/>
    </w:pPr>
    <w:rPr>
      <w:rFonts w:ascii="Calibri" w:hAnsi="Calibri"/>
      <w:sz w:val="24"/>
    </w:rPr>
  </w:style>
  <w:style w:type="paragraph" w:customStyle="1" w:styleId="864">
    <w:name w:val="Char Char110"/>
    <w:basedOn w:val="1"/>
    <w:qFormat/>
    <w:uiPriority w:val="99"/>
    <w:pPr>
      <w:spacing w:line="360" w:lineRule="auto"/>
    </w:pPr>
    <w:rPr>
      <w:rFonts w:ascii="Tahoma" w:hAnsi="Tahoma"/>
      <w:sz w:val="24"/>
      <w:szCs w:val="20"/>
    </w:rPr>
  </w:style>
  <w:style w:type="paragraph" w:customStyle="1" w:styleId="865">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67">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99"/>
    <w:rPr>
      <w:rFonts w:ascii="Tahoma" w:hAnsi="Tahoma" w:cs="仿宋_GB2312"/>
      <w:sz w:val="24"/>
      <w:szCs w:val="20"/>
    </w:rPr>
  </w:style>
  <w:style w:type="paragraph" w:customStyle="1" w:styleId="870">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2">
    <w:name w:val="样式 列表编号 + 段后: 0.5 行"/>
    <w:basedOn w:val="17"/>
    <w:qFormat/>
    <w:uiPriority w:val="99"/>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4">
    <w:name w:val="_Style 12"/>
    <w:basedOn w:val="20"/>
    <w:qFormat/>
    <w:uiPriority w:val="99"/>
    <w:pPr>
      <w:snapToGrid w:val="0"/>
      <w:spacing w:line="360" w:lineRule="auto"/>
    </w:pPr>
  </w:style>
  <w:style w:type="paragraph" w:customStyle="1" w:styleId="875">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75"/>
    <w:qFormat/>
    <w:uiPriority w:val="99"/>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0">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99"/>
    <w:pPr>
      <w:outlineLvl w:val="2"/>
    </w:pPr>
  </w:style>
  <w:style w:type="paragraph" w:customStyle="1" w:styleId="88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99"/>
    <w:pPr>
      <w:adjustRightInd/>
      <w:ind w:firstLine="200" w:firstLineChars="200"/>
    </w:pPr>
    <w:rPr>
      <w:rFonts w:ascii="Tahoma" w:hAnsi="Tahoma"/>
      <w:sz w:val="24"/>
      <w:szCs w:val="20"/>
    </w:rPr>
  </w:style>
  <w:style w:type="paragraph" w:customStyle="1" w:styleId="88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5">
    <w:name w:val="MM Empty"/>
    <w:basedOn w:val="1"/>
    <w:qFormat/>
    <w:uiPriority w:val="99"/>
    <w:pPr>
      <w:adjustRightInd/>
    </w:pPr>
  </w:style>
  <w:style w:type="paragraph" w:customStyle="1" w:styleId="886">
    <w:name w:val="Char24"/>
    <w:basedOn w:val="1"/>
    <w:qFormat/>
    <w:uiPriority w:val="99"/>
    <w:rPr>
      <w:rFonts w:ascii="仿宋_GB2312" w:eastAsia="仿宋_GB2312"/>
      <w:b/>
      <w:sz w:val="32"/>
      <w:szCs w:val="32"/>
    </w:rPr>
  </w:style>
  <w:style w:type="paragraph" w:customStyle="1" w:styleId="887">
    <w:name w:val="正文箭头"/>
    <w:basedOn w:val="539"/>
    <w:qFormat/>
    <w:uiPriority w:val="99"/>
  </w:style>
  <w:style w:type="paragraph" w:customStyle="1" w:styleId="888">
    <w:name w:val="U_编号2"/>
    <w:basedOn w:val="1"/>
    <w:qFormat/>
    <w:uiPriority w:val="99"/>
    <w:pPr>
      <w:tabs>
        <w:tab w:val="left" w:pos="785"/>
      </w:tabs>
      <w:adjustRightInd/>
      <w:spacing w:beforeLines="10" w:afterLines="10" w:line="300" w:lineRule="auto"/>
    </w:pPr>
    <w:rPr>
      <w:sz w:val="24"/>
    </w:rPr>
  </w:style>
  <w:style w:type="paragraph" w:customStyle="1" w:styleId="889">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99"/>
    <w:pPr>
      <w:adjustRightInd/>
      <w:ind w:firstLine="420" w:firstLineChars="200"/>
    </w:pPr>
    <w:rPr>
      <w:rFonts w:eastAsia="仿宋_GB2312"/>
      <w:sz w:val="28"/>
    </w:rPr>
  </w:style>
  <w:style w:type="paragraph" w:customStyle="1" w:styleId="894">
    <w:name w:val="表格 内容"/>
    <w:basedOn w:val="730"/>
    <w:qFormat/>
    <w:uiPriority w:val="99"/>
    <w:rPr>
      <w:b w:val="0"/>
      <w:sz w:val="20"/>
    </w:rPr>
  </w:style>
  <w:style w:type="paragraph" w:customStyle="1" w:styleId="895">
    <w:name w:val="正文首行缩进1"/>
    <w:basedOn w:val="25"/>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99"/>
    <w:pPr>
      <w:tabs>
        <w:tab w:val="left" w:pos="1080"/>
      </w:tabs>
      <w:ind w:left="1080" w:hanging="1080"/>
    </w:pPr>
  </w:style>
  <w:style w:type="paragraph" w:customStyle="1" w:styleId="898">
    <w:name w:val="数字标题1"/>
    <w:basedOn w:val="3"/>
    <w:next w:val="1"/>
    <w:qFormat/>
    <w:uiPriority w:val="99"/>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99"/>
    <w:pPr>
      <w:widowControl/>
    </w:pPr>
    <w:rPr>
      <w:kern w:val="0"/>
      <w:sz w:val="24"/>
      <w:szCs w:val="20"/>
    </w:rPr>
  </w:style>
  <w:style w:type="paragraph" w:customStyle="1" w:styleId="906">
    <w:name w:val="Char Char113"/>
    <w:basedOn w:val="1"/>
    <w:qFormat/>
    <w:uiPriority w:val="99"/>
    <w:pPr>
      <w:widowControl/>
      <w:spacing w:after="160" w:line="240" w:lineRule="exact"/>
      <w:jc w:val="left"/>
    </w:pPr>
    <w:rPr>
      <w:rFonts w:eastAsia="仿宋_GB2312"/>
      <w:sz w:val="28"/>
    </w:rPr>
  </w:style>
  <w:style w:type="paragraph" w:customStyle="1" w:styleId="907">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99"/>
    <w:pPr>
      <w:adjustRightInd/>
      <w:ind w:firstLine="420" w:firstLineChars="200"/>
    </w:pPr>
    <w:rPr>
      <w:rFonts w:eastAsia="仿宋_GB2312"/>
      <w:sz w:val="28"/>
    </w:rPr>
  </w:style>
  <w:style w:type="paragraph" w:customStyle="1" w:styleId="909">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1">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99"/>
    <w:pPr>
      <w:widowControl/>
      <w:spacing w:after="160" w:line="240" w:lineRule="exact"/>
      <w:jc w:val="left"/>
    </w:pPr>
    <w:rPr>
      <w:rFonts w:eastAsia="仿宋_GB2312"/>
      <w:sz w:val="28"/>
    </w:rPr>
  </w:style>
  <w:style w:type="paragraph" w:customStyle="1" w:styleId="915">
    <w:name w:val="正文 图"/>
    <w:basedOn w:val="444"/>
    <w:qFormat/>
    <w:uiPriority w:val="99"/>
    <w:pPr>
      <w:adjustRightInd/>
      <w:spacing w:before="0"/>
      <w:ind w:firstLine="0"/>
      <w:jc w:val="center"/>
    </w:pPr>
    <w:rPr>
      <w:rFonts w:ascii="微软雅黑" w:hAnsi="微软雅黑"/>
    </w:rPr>
  </w:style>
  <w:style w:type="paragraph" w:customStyle="1" w:styleId="916">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99"/>
    <w:pPr>
      <w:ind w:left="0"/>
    </w:pPr>
  </w:style>
  <w:style w:type="paragraph" w:customStyle="1" w:styleId="919">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99"/>
    <w:pPr>
      <w:adjustRightInd/>
      <w:spacing w:line="360" w:lineRule="auto"/>
      <w:ind w:firstLine="480"/>
    </w:pPr>
    <w:rPr>
      <w:sz w:val="24"/>
    </w:rPr>
  </w:style>
  <w:style w:type="table" w:customStyle="1" w:styleId="922">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99"/>
    <w:pPr>
      <w:ind w:firstLine="420" w:firstLineChars="200"/>
    </w:pPr>
  </w:style>
  <w:style w:type="character" w:customStyle="1" w:styleId="929">
    <w:name w:val="交叉引用"/>
    <w:qFormat/>
    <w:uiPriority w:val="99"/>
    <w:rPr>
      <w:rFonts w:ascii="Arial" w:hAnsi="Arial" w:eastAsia="黑体"/>
      <w:snapToGrid w:val="0"/>
      <w:color w:val="0000FF"/>
      <w:kern w:val="0"/>
      <w:sz w:val="21"/>
      <w:u w:val="single"/>
      <w:lang w:val="en-US" w:eastAsia="zh-CN"/>
    </w:rPr>
  </w:style>
  <w:style w:type="character" w:customStyle="1" w:styleId="930">
    <w:name w:val="正文缩进 字符1"/>
    <w:qFormat/>
    <w:uiPriority w:val="99"/>
    <w:rPr>
      <w:rFonts w:ascii="宋体" w:eastAsia="宋体"/>
      <w:snapToGrid w:val="0"/>
      <w:color w:val="000000"/>
      <w:kern w:val="28"/>
      <w:sz w:val="28"/>
      <w:lang w:val="en-US" w:eastAsia="zh-CN"/>
    </w:rPr>
  </w:style>
  <w:style w:type="character" w:customStyle="1" w:styleId="931">
    <w:name w:val="页脚 字符1"/>
    <w:qFormat/>
    <w:locked/>
    <w:uiPriority w:val="99"/>
    <w:rPr>
      <w:kern w:val="2"/>
      <w:sz w:val="18"/>
    </w:rPr>
  </w:style>
  <w:style w:type="character" w:customStyle="1" w:styleId="932">
    <w:name w:val="页眉 字符1"/>
    <w:qFormat/>
    <w:uiPriority w:val="99"/>
    <w:rPr>
      <w:kern w:val="2"/>
      <w:sz w:val="18"/>
    </w:rPr>
  </w:style>
  <w:style w:type="character" w:customStyle="1" w:styleId="933">
    <w:name w:val="无间隔 Char"/>
    <w:link w:val="484"/>
    <w:qFormat/>
    <w:locked/>
    <w:uiPriority w:val="99"/>
    <w:rPr>
      <w:kern w:val="2"/>
      <w:sz w:val="22"/>
    </w:rPr>
  </w:style>
  <w:style w:type="character" w:customStyle="1" w:styleId="934">
    <w:name w:val="标准文本 Char Char"/>
    <w:link w:val="935"/>
    <w:qFormat/>
    <w:locked/>
    <w:uiPriority w:val="99"/>
    <w:rPr>
      <w:kern w:val="2"/>
      <w:sz w:val="24"/>
    </w:rPr>
  </w:style>
  <w:style w:type="paragraph" w:customStyle="1" w:styleId="935">
    <w:name w:val="标准文本"/>
    <w:basedOn w:val="1"/>
    <w:link w:val="934"/>
    <w:qFormat/>
    <w:uiPriority w:val="99"/>
    <w:pPr>
      <w:adjustRightInd/>
      <w:spacing w:line="360" w:lineRule="auto"/>
      <w:ind w:firstLine="480" w:firstLineChars="200"/>
    </w:pPr>
    <w:rPr>
      <w:sz w:val="24"/>
      <w:szCs w:val="20"/>
    </w:rPr>
  </w:style>
  <w:style w:type="character" w:customStyle="1" w:styleId="936">
    <w:name w:val="Char Char213"/>
    <w:qFormat/>
    <w:uiPriority w:val="99"/>
    <w:rPr>
      <w:rFonts w:eastAsia="Times New Roman"/>
      <w:b/>
      <w:kern w:val="44"/>
      <w:sz w:val="44"/>
      <w:lang w:val="en-US" w:eastAsia="zh-CN"/>
    </w:rPr>
  </w:style>
  <w:style w:type="character" w:customStyle="1" w:styleId="937">
    <w:name w:val="apple-style-span"/>
    <w:qFormat/>
    <w:uiPriority w:val="99"/>
    <w:rPr>
      <w:rFonts w:ascii="Arial" w:hAnsi="Arial" w:eastAsia="黑体"/>
      <w:snapToGrid w:val="0"/>
      <w:kern w:val="0"/>
      <w:sz w:val="21"/>
    </w:rPr>
  </w:style>
  <w:style w:type="character" w:customStyle="1" w:styleId="938">
    <w:name w:val="15"/>
    <w:qFormat/>
    <w:uiPriority w:val="99"/>
    <w:rPr>
      <w:rFonts w:ascii="Calibri" w:hAnsi="Calibri"/>
      <w:color w:val="0000FF"/>
      <w:u w:val="single"/>
    </w:rPr>
  </w:style>
  <w:style w:type="character" w:customStyle="1" w:styleId="939">
    <w:name w:val="16"/>
    <w:qFormat/>
    <w:uiPriority w:val="99"/>
    <w:rPr>
      <w:rFonts w:ascii="宋体" w:hAnsi="宋体" w:eastAsia="宋体"/>
      <w:color w:val="000000"/>
      <w:sz w:val="20"/>
    </w:rPr>
  </w:style>
  <w:style w:type="character" w:customStyle="1" w:styleId="940">
    <w:name w:val="edui-unclickable"/>
    <w:qFormat/>
    <w:uiPriority w:val="99"/>
    <w:rPr>
      <w:color w:val="808080"/>
    </w:rPr>
  </w:style>
  <w:style w:type="character" w:customStyle="1" w:styleId="941">
    <w:name w:val="tpc_content1"/>
    <w:qFormat/>
    <w:uiPriority w:val="99"/>
    <w:rPr>
      <w:sz w:val="20"/>
    </w:rPr>
  </w:style>
  <w:style w:type="character" w:customStyle="1" w:styleId="942">
    <w:name w:val="正文文本缩进 字符"/>
    <w:qFormat/>
    <w:uiPriority w:val="99"/>
    <w:rPr>
      <w:rFonts w:ascii="Century Gothic" w:hAnsi="Century Gothic"/>
      <w:kern w:val="2"/>
      <w:sz w:val="24"/>
      <w:lang w:val="en-US" w:eastAsia="zh-CN"/>
    </w:rPr>
  </w:style>
  <w:style w:type="character" w:customStyle="1" w:styleId="943">
    <w:name w:val="正文文本 2 字符"/>
    <w:qFormat/>
    <w:uiPriority w:val="99"/>
    <w:rPr>
      <w:rFonts w:ascii="Arial" w:hAnsi="Arial" w:eastAsia="宋体"/>
      <w:kern w:val="2"/>
      <w:sz w:val="24"/>
      <w:lang w:val="en-US" w:eastAsia="zh-CN"/>
    </w:rPr>
  </w:style>
  <w:style w:type="character" w:customStyle="1" w:styleId="944">
    <w:name w:val="edui-clickable2"/>
    <w:qFormat/>
    <w:uiPriority w:val="99"/>
    <w:rPr>
      <w:color w:val="0000FF"/>
      <w:u w:val="single"/>
    </w:rPr>
  </w:style>
  <w:style w:type="character" w:customStyle="1" w:styleId="945">
    <w:name w:val="style1"/>
    <w:qFormat/>
    <w:uiPriority w:val="99"/>
    <w:rPr>
      <w:rFonts w:ascii="Arial" w:hAnsi="Arial" w:eastAsia="黑体"/>
      <w:snapToGrid w:val="0"/>
      <w:kern w:val="0"/>
      <w:sz w:val="21"/>
    </w:rPr>
  </w:style>
  <w:style w:type="character" w:customStyle="1" w:styleId="946">
    <w:name w:val="zbggtop11 style5"/>
    <w:qFormat/>
    <w:uiPriority w:val="99"/>
    <w:rPr>
      <w:rFonts w:ascii="Arial" w:hAnsi="Arial" w:eastAsia="黑体"/>
      <w:snapToGrid w:val="0"/>
      <w:kern w:val="0"/>
      <w:sz w:val="21"/>
    </w:rPr>
  </w:style>
  <w:style w:type="character" w:customStyle="1" w:styleId="947">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48">
    <w:name w:val="bulletintext1"/>
    <w:qFormat/>
    <w:uiPriority w:val="99"/>
    <w:rPr>
      <w:color w:val="000000"/>
      <w:sz w:val="18"/>
    </w:rPr>
  </w:style>
  <w:style w:type="paragraph" w:customStyle="1" w:styleId="949">
    <w:name w:val="_Style 947"/>
    <w:basedOn w:val="1"/>
    <w:next w:val="275"/>
    <w:qFormat/>
    <w:uiPriority w:val="99"/>
    <w:pPr>
      <w:adjustRightInd/>
      <w:ind w:firstLine="420" w:firstLineChars="200"/>
    </w:pPr>
  </w:style>
  <w:style w:type="paragraph" w:customStyle="1" w:styleId="950">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99"/>
    <w:pPr>
      <w:adjustRightInd/>
      <w:snapToGrid w:val="0"/>
      <w:jc w:val="left"/>
    </w:pPr>
    <w:rPr>
      <w:rFonts w:ascii="Century Gothic" w:hAnsi="楷体_GB2312" w:eastAsia="Times New Roman"/>
      <w:szCs w:val="20"/>
    </w:rPr>
  </w:style>
  <w:style w:type="paragraph" w:customStyle="1" w:styleId="952">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99"/>
    <w:pPr>
      <w:autoSpaceDE w:val="0"/>
      <w:autoSpaceDN w:val="0"/>
      <w:spacing w:before="100" w:after="100"/>
      <w:ind w:left="360" w:right="360"/>
      <w:jc w:val="left"/>
    </w:pPr>
    <w:rPr>
      <w:kern w:val="0"/>
      <w:sz w:val="24"/>
      <w:szCs w:val="20"/>
    </w:rPr>
  </w:style>
  <w:style w:type="paragraph" w:customStyle="1" w:styleId="956">
    <w:name w:val="p1"/>
    <w:basedOn w:val="1"/>
    <w:qFormat/>
    <w:uiPriority w:val="99"/>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99"/>
    <w:pPr>
      <w:adjustRightInd/>
      <w:jc w:val="left"/>
    </w:pPr>
    <w:rPr>
      <w:rFonts w:ascii="Calibri" w:hAnsi="Calibri"/>
      <w:kern w:val="0"/>
      <w:sz w:val="22"/>
      <w:szCs w:val="22"/>
      <w:lang w:eastAsia="en-US"/>
    </w:rPr>
  </w:style>
  <w:style w:type="paragraph" w:customStyle="1" w:styleId="95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qFormat/>
    <w:uiPriority w:val="99"/>
    <w:rPr>
      <w:rFonts w:cs="Times New Roman"/>
      <w:color w:val="000000"/>
      <w:shd w:val="clear" w:color="auto" w:fill="EFD200"/>
    </w:rPr>
  </w:style>
  <w:style w:type="character" w:customStyle="1" w:styleId="962">
    <w:name w:val="font71"/>
    <w:qFormat/>
    <w:uiPriority w:val="99"/>
    <w:rPr>
      <w:rFonts w:ascii="宋体" w:hAnsi="宋体" w:eastAsia="宋体"/>
      <w:color w:val="000000"/>
      <w:sz w:val="22"/>
      <w:u w:val="none"/>
    </w:rPr>
  </w:style>
  <w:style w:type="character" w:customStyle="1" w:styleId="963">
    <w:name w:val="font91"/>
    <w:qFormat/>
    <w:uiPriority w:val="99"/>
    <w:rPr>
      <w:rFonts w:ascii="仿宋" w:hAnsi="仿宋" w:eastAsia="仿宋"/>
      <w:color w:val="000000"/>
      <w:sz w:val="22"/>
      <w:u w:val="none"/>
    </w:rPr>
  </w:style>
  <w:style w:type="character" w:customStyle="1" w:styleId="964">
    <w:name w:val="NormalCharacter"/>
    <w:qFormat/>
    <w:uiPriority w:val="0"/>
    <w:rPr>
      <w:rFonts w:ascii="仿宋_GB2312" w:eastAsia="仿宋_GB2312"/>
      <w:b/>
      <w:sz w:val="32"/>
    </w:rPr>
  </w:style>
  <w:style w:type="paragraph" w:customStyle="1" w:styleId="965">
    <w:name w:val="UserStyle_191"/>
    <w:basedOn w:val="1"/>
    <w:qFormat/>
    <w:uiPriority w:val="99"/>
    <w:pPr>
      <w:widowControl/>
      <w:adjustRightInd/>
      <w:spacing w:line="300" w:lineRule="auto"/>
      <w:ind w:firstLine="480" w:firstLineChars="200"/>
    </w:pPr>
    <w:rPr>
      <w:rFonts w:ascii="宋体" w:hAnsi="宋体"/>
      <w:kern w:val="0"/>
      <w:sz w:val="24"/>
    </w:rPr>
  </w:style>
  <w:style w:type="character" w:customStyle="1" w:styleId="966">
    <w:name w:val="未处理的提及2"/>
    <w:semiHidden/>
    <w:qFormat/>
    <w:uiPriority w:val="99"/>
    <w:rPr>
      <w:rFonts w:cs="Times New Roman"/>
      <w:color w:val="605E5C"/>
      <w:shd w:val="clear" w:color="auto" w:fill="E1DFDD"/>
    </w:rPr>
  </w:style>
  <w:style w:type="paragraph" w:customStyle="1" w:styleId="967">
    <w:name w:val="BodyText"/>
    <w:basedOn w:val="1"/>
    <w:next w:val="1"/>
    <w:qFormat/>
    <w:uiPriority w:val="0"/>
    <w:pPr>
      <w:spacing w:before="76" w:after="100" w:afterAutospacing="1"/>
      <w:ind w:left="220"/>
    </w:pPr>
    <w:rPr>
      <w:rFonts w:ascii="微软雅黑" w:eastAsia="微软雅黑"/>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41598</Words>
  <Characters>48631</Characters>
  <Lines>387</Lines>
  <Paragraphs>109</Paragraphs>
  <TotalTime>7</TotalTime>
  <ScaleCrop>false</ScaleCrop>
  <LinksUpToDate>false</LinksUpToDate>
  <CharactersWithSpaces>51185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汪小靖</cp:lastModifiedBy>
  <cp:lastPrinted>2022-11-07T09:14:00Z</cp:lastPrinted>
  <dcterms:modified xsi:type="dcterms:W3CDTF">2023-02-16T11:54:33Z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2CA2E4C7AD9B4D70B91098A324BE1BE5</vt:lpwstr>
  </property>
</Properties>
</file>