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0"/>
        <w:ind w:firstLine="480"/>
        <w:rPr>
          <w:rFonts w:cs="宋体" w:asciiTheme="minorEastAsia" w:hAnsiTheme="minorEastAsia" w:eastAsiaTheme="minorEastAsia"/>
        </w:rPr>
      </w:pPr>
    </w:p>
    <w:p>
      <w:pPr>
        <w:spacing w:line="360" w:lineRule="auto"/>
        <w:jc w:val="center"/>
        <w:rPr>
          <w:rFonts w:cs="宋体" w:asciiTheme="minorEastAsia" w:hAnsiTheme="minorEastAsia" w:eastAsiaTheme="minorEastAsia"/>
          <w:b/>
          <w:sz w:val="24"/>
        </w:rPr>
      </w:pPr>
    </w:p>
    <w:p>
      <w:pPr>
        <w:adjustRightInd/>
        <w:spacing w:line="360" w:lineRule="auto"/>
        <w:jc w:val="center"/>
        <w:rPr>
          <w:rFonts w:cs="宋体" w:asciiTheme="minorEastAsia" w:hAnsiTheme="minorEastAsia" w:eastAsiaTheme="minorEastAsia"/>
          <w:b/>
          <w:sz w:val="44"/>
          <w:szCs w:val="44"/>
        </w:rPr>
      </w:pPr>
    </w:p>
    <w:p>
      <w:pPr>
        <w:adjustRightInd/>
        <w:spacing w:line="360" w:lineRule="auto"/>
        <w:rPr>
          <w:rFonts w:cs="宋体" w:asciiTheme="minorEastAsia" w:hAnsiTheme="minorEastAsia" w:eastAsiaTheme="minorEastAsia"/>
          <w:b/>
          <w:sz w:val="48"/>
          <w:szCs w:val="48"/>
        </w:rPr>
      </w:pP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2022年千岛湖广场、秀水广场、滨湖路及苗圃运行维护管理项目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编号:HZYSZFCG[2022]057GK</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淳安县市政园林发展中心</w:t>
      </w: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杭州永盛联合会计师事务所（普通合伙）</w:t>
      </w: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二〇二二年八月</w:t>
      </w:r>
      <w:r>
        <w:rPr>
          <w:rFonts w:hint="eastAsia" w:cs="宋体" w:asciiTheme="minorEastAsia" w:hAnsiTheme="minorEastAsia" w:eastAsiaTheme="minorEastAsia"/>
          <w:bCs/>
          <w:sz w:val="32"/>
          <w:szCs w:val="32"/>
          <w:lang w:val="en-US" w:eastAsia="zh-CN"/>
        </w:rPr>
        <w:t>二十九</w:t>
      </w:r>
      <w:r>
        <w:rPr>
          <w:rFonts w:hint="eastAsia" w:cs="宋体" w:asciiTheme="minorEastAsia" w:hAnsiTheme="minorEastAsia" w:eastAsiaTheme="minorEastAsia"/>
          <w:bCs/>
          <w:sz w:val="32"/>
          <w:szCs w:val="32"/>
        </w:rPr>
        <w:t>日</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宋体" w:asciiTheme="minorEastAsia" w:hAnsiTheme="minorEastAsia" w:eastAsiaTheme="minorEastAsia"/>
          <w:b/>
          <w:sz w:val="36"/>
          <w:szCs w:val="20"/>
        </w:rPr>
      </w:pPr>
      <w:bookmarkStart w:id="3" w:name="第一部分"/>
      <w:r>
        <w:rPr>
          <w:rFonts w:hint="eastAsia" w:cs="宋体"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Style w:val="961"/>
          <w:rFonts w:hint="default" w:cs="宋体" w:asciiTheme="minorEastAsia" w:hAnsiTheme="minorEastAsia" w:eastAsiaTheme="minorEastAsia"/>
          <w:b w:val="0"/>
          <w:kern w:val="0"/>
          <w:sz w:val="24"/>
          <w:u w:val="single"/>
        </w:rPr>
        <w:t>2022年千岛湖广场、秀水广场、滨湖路及苗圃运行维护管理项目</w:t>
      </w:r>
      <w:r>
        <w:rPr>
          <w:rFonts w:hint="eastAsia" w:cs="宋体" w:asciiTheme="minorEastAsia" w:hAnsiTheme="minorEastAsia" w:eastAsiaTheme="minorEastAsia"/>
          <w:sz w:val="24"/>
        </w:rPr>
        <w:t>招标项目的潜在投标人应在政采云平台（</w:t>
      </w:r>
      <w:r>
        <w:fldChar w:fldCharType="begin"/>
      </w:r>
      <w:r>
        <w:instrText xml:space="preserve"> HYPERLINK "https://www.zcygov.cn/）获取（下载）招标文件，并于2022年9月%20日9点30分00秒" </w:instrText>
      </w:r>
      <w:r>
        <w:fldChar w:fldCharType="separate"/>
      </w:r>
      <w:r>
        <w:rPr>
          <w:rStyle w:val="76"/>
          <w:rFonts w:hint="eastAsia" w:cs="宋体" w:asciiTheme="minorEastAsia" w:hAnsiTheme="minorEastAsia" w:eastAsiaTheme="minorEastAsia"/>
          <w:snapToGrid/>
          <w:kern w:val="2"/>
          <w:sz w:val="24"/>
          <w:szCs w:val="24"/>
        </w:rPr>
        <w:t>https://www.zcygov.cn/）获取（下载）招标文件，并于2022年9月</w:t>
      </w:r>
      <w:r>
        <w:rPr>
          <w:rStyle w:val="76"/>
          <w:rFonts w:hint="eastAsia" w:cs="宋体" w:asciiTheme="minorEastAsia" w:hAnsiTheme="minorEastAsia" w:eastAsiaTheme="minorEastAsia"/>
          <w:snapToGrid/>
          <w:kern w:val="2"/>
          <w:sz w:val="24"/>
          <w:szCs w:val="24"/>
          <w:lang w:val="en-US" w:eastAsia="zh-CN"/>
        </w:rPr>
        <w:t>19</w:t>
      </w:r>
      <w:r>
        <w:rPr>
          <w:rStyle w:val="76"/>
          <w:rFonts w:hint="eastAsia" w:cs="宋体" w:asciiTheme="minorEastAsia" w:hAnsiTheme="minorEastAsia" w:eastAsiaTheme="minorEastAsia"/>
          <w:snapToGrid/>
          <w:kern w:val="2"/>
          <w:sz w:val="24"/>
          <w:szCs w:val="24"/>
        </w:rPr>
        <w:t>日9点30分</w:t>
      </w:r>
      <w:r>
        <w:rPr>
          <w:rStyle w:val="76"/>
          <w:rFonts w:hint="eastAsia" w:cs="宋体" w:asciiTheme="minorEastAsia" w:hAnsiTheme="minorEastAsia" w:eastAsiaTheme="minorEastAsia"/>
          <w:bCs/>
          <w:snapToGrid/>
          <w:kern w:val="2"/>
          <w:sz w:val="24"/>
          <w:szCs w:val="24"/>
        </w:rPr>
        <w:t>00秒</w:t>
      </w:r>
      <w:r>
        <w:rPr>
          <w:rStyle w:val="76"/>
          <w:rFonts w:hint="eastAsia" w:cs="宋体" w:asciiTheme="minorEastAsia" w:hAnsiTheme="minorEastAsia" w:eastAsiaTheme="minorEastAsia"/>
          <w:bCs/>
          <w:snapToGrid/>
          <w:kern w:val="2"/>
          <w:sz w:val="24"/>
          <w:szCs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项目编号：</w:t>
      </w:r>
      <w:r>
        <w:rPr>
          <w:rStyle w:val="961"/>
          <w:rFonts w:hint="default" w:cs="宋体" w:asciiTheme="minorEastAsia" w:hAnsiTheme="minorEastAsia" w:eastAsiaTheme="minorEastAsia"/>
          <w:b w:val="0"/>
          <w:kern w:val="0"/>
          <w:sz w:val="24"/>
        </w:rPr>
        <w:t>HZYSZFCG[2022]057GK</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项目名称：</w:t>
      </w:r>
      <w:r>
        <w:rPr>
          <w:rStyle w:val="961"/>
          <w:rFonts w:hint="default" w:cs="宋体" w:asciiTheme="minorEastAsia" w:hAnsiTheme="minorEastAsia" w:eastAsiaTheme="minorEastAsia"/>
          <w:b w:val="0"/>
          <w:kern w:val="0"/>
          <w:sz w:val="24"/>
        </w:rPr>
        <w:t>2022年千岛湖广场、秀水广场、滨湖路及苗圃运行维护管理项目</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预算金额（元）：</w:t>
      </w:r>
      <w:r>
        <w:rPr>
          <w:rFonts w:hint="eastAsia" w:cs="宋体" w:asciiTheme="minorEastAsia" w:hAnsiTheme="minorEastAsia" w:eastAsiaTheme="minorEastAsia"/>
          <w:bCs/>
          <w:sz w:val="24"/>
        </w:rPr>
        <w:t>3689906.72元</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最高限价（元）：</w:t>
      </w:r>
      <w:r>
        <w:rPr>
          <w:rFonts w:hint="eastAsia" w:cs="宋体" w:asciiTheme="minorEastAsia" w:hAnsiTheme="minorEastAsia" w:eastAsiaTheme="minorEastAsia"/>
          <w:bCs/>
          <w:sz w:val="24"/>
        </w:rPr>
        <w:t>3689906.72元</w:t>
      </w:r>
    </w:p>
    <w:p>
      <w:pPr>
        <w:pStyle w:val="5"/>
        <w:spacing w:line="360" w:lineRule="auto"/>
        <w:ind w:firstLine="0"/>
        <w:rPr>
          <w:rFonts w:cs="宋体" w:asciiTheme="minorEastAsia" w:hAnsiTheme="minorEastAsia" w:eastAsiaTheme="minorEastAsia"/>
          <w:bCs/>
          <w:snapToGrid/>
          <w:color w:val="auto"/>
          <w:kern w:val="2"/>
          <w:sz w:val="24"/>
          <w:szCs w:val="24"/>
        </w:rPr>
      </w:pPr>
      <w:r>
        <w:rPr>
          <w:rFonts w:hint="eastAsia" w:cs="宋体" w:asciiTheme="minorEastAsia" w:hAnsiTheme="minorEastAsia" w:eastAsiaTheme="minorEastAsia"/>
          <w:b/>
          <w:color w:val="auto"/>
          <w:sz w:val="24"/>
        </w:rPr>
        <w:t>采购需求：</w:t>
      </w:r>
      <w:r>
        <w:rPr>
          <w:rStyle w:val="961"/>
          <w:rFonts w:hint="default" w:cs="宋体" w:asciiTheme="minorEastAsia" w:hAnsiTheme="minorEastAsia" w:eastAsiaTheme="minorEastAsia"/>
          <w:b w:val="0"/>
          <w:color w:val="auto"/>
          <w:kern w:val="0"/>
          <w:sz w:val="24"/>
          <w:szCs w:val="24"/>
        </w:rPr>
        <w:t>2022年千岛湖广场、秀水广场、滨湖路及苗圃运行维护管理项目，主要内容：详见招标文件第三部分采购需求。</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服务期限</w:t>
      </w:r>
      <w:r>
        <w:rPr>
          <w:rFonts w:hint="eastAsia" w:cs="宋体" w:asciiTheme="minorEastAsia" w:hAnsiTheme="minorEastAsia" w:eastAsiaTheme="minorEastAsia"/>
          <w:b/>
        </w:rPr>
        <w:t>：</w:t>
      </w:r>
      <w:r>
        <w:rPr>
          <w:rStyle w:val="961"/>
          <w:rFonts w:hint="default" w:asciiTheme="minorEastAsia" w:hAnsiTheme="minorEastAsia" w:eastAsiaTheme="minorEastAsia"/>
          <w:b w:val="0"/>
          <w:snapToGrid w:val="0"/>
          <w:kern w:val="0"/>
          <w:sz w:val="24"/>
          <w:szCs w:val="24"/>
        </w:rPr>
        <w:t>委托管理期限：自2022年10月11日至2023年10月10日，其中安保服务期限为2023年4月1日至2024年3月31日（按照中标时间确定）。</w:t>
      </w:r>
      <w:r>
        <w:rPr>
          <w:rFonts w:hint="eastAsia" w:cs="宋体" w:asciiTheme="minorEastAsia" w:hAnsiTheme="minorEastAsia" w:eastAsiaTheme="minorEastAsia"/>
          <w:sz w:val="24"/>
        </w:rPr>
        <w:t>如果一年合同期内中标单位月度考核均在合格及以上，则采购单位与中标单位续签一年采购合同，服务期限延长一年。如果中标单位累计3次月度考核不合格，采购单位有权提前终止合同。</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采购方式</w:t>
      </w:r>
      <w:r>
        <w:rPr>
          <w:rFonts w:hint="eastAsia" w:cs="宋体" w:asciiTheme="minorEastAsia" w:hAnsiTheme="minorEastAsia" w:eastAsiaTheme="minorEastAsia"/>
          <w:b/>
        </w:rPr>
        <w:t>：</w:t>
      </w:r>
      <w:r>
        <w:rPr>
          <w:rFonts w:hint="eastAsia" w:cs="宋体" w:asciiTheme="minorEastAsia" w:hAnsiTheme="minorEastAsia" w:eastAsiaTheme="minorEastAsia"/>
          <w:sz w:val="24"/>
        </w:rPr>
        <w:t>公开招标</w:t>
      </w:r>
    </w:p>
    <w:p>
      <w:pPr>
        <w:pStyle w:val="5"/>
        <w:spacing w:line="360" w:lineRule="auto"/>
        <w:ind w:firstLine="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本项目接受联合体投标：</w:t>
      </w:r>
      <w:sdt>
        <w:sdtPr>
          <w:rPr>
            <w:rFonts w:hint="eastAsia" w:cs="宋体" w:asciiTheme="minorEastAsia" w:hAnsiTheme="minorEastAsia" w:eastAsiaTheme="minorEastAsia"/>
            <w:color w:val="auto"/>
            <w:kern w:val="0"/>
            <w:sz w:val="24"/>
          </w:rPr>
          <w:id w:val="2035453831"/>
        </w:sdtPr>
        <w:sdtEndPr>
          <w:rPr>
            <w:rFonts w:hint="eastAsia" w:cs="宋体" w:asciiTheme="minorEastAsia" w:hAnsiTheme="minorEastAsia" w:eastAsiaTheme="minorEastAsia"/>
            <w:color w:val="auto"/>
            <w:kern w:val="0"/>
            <w:sz w:val="24"/>
          </w:rPr>
        </w:sdtEndPr>
        <w:sdtContent>
          <w:r>
            <w:rPr>
              <w:rFonts w:hint="eastAsia" w:hAnsi="MS Mincho" w:eastAsia="MS Mincho" w:cs="MS Mincho" w:asciiTheme="minorEastAsia"/>
              <w:color w:val="auto"/>
              <w:kern w:val="0"/>
              <w:sz w:val="24"/>
            </w:rPr>
            <w:t>☐</w:t>
          </w:r>
        </w:sdtContent>
      </w:sdt>
      <w:r>
        <w:rPr>
          <w:rFonts w:hint="eastAsia" w:cs="宋体" w:asciiTheme="minorEastAsia" w:hAnsiTheme="minorEastAsia" w:eastAsiaTheme="minorEastAsia"/>
          <w:b/>
          <w:color w:val="auto"/>
          <w:sz w:val="24"/>
        </w:rPr>
        <w:t>是，</w:t>
      </w:r>
      <w:sdt>
        <w:sdtPr>
          <w:rPr>
            <w:rFonts w:hint="eastAsia" w:cs="宋体" w:asciiTheme="minorEastAsia" w:hAnsiTheme="minorEastAsia" w:eastAsiaTheme="minorEastAsia"/>
            <w:color w:val="auto"/>
            <w:kern w:val="0"/>
            <w:sz w:val="24"/>
          </w:rPr>
          <w:id w:val="-1765526721"/>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b/>
          <w:color w:val="auto"/>
          <w:sz w:val="24"/>
        </w:rPr>
        <w:t>否</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sz w:val="24"/>
        </w:rPr>
        <w:t>2.以联合体形式投标的，提供联合协议(本项目不接受联合体投标或者投标人不以联合体形式投标的，则不需要提供)；</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3.落实政府采购政策需满足的资格要求：</w:t>
      </w:r>
      <w:sdt>
        <w:sdtPr>
          <w:rPr>
            <w:rFonts w:hint="eastAsia" w:cs="宋体" w:asciiTheme="minorEastAsia" w:hAnsiTheme="minorEastAsia" w:eastAsiaTheme="minorEastAsia"/>
            <w:kern w:val="0"/>
            <w:sz w:val="24"/>
          </w:rPr>
          <w:id w:val="1099082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35886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52056667"/>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无</w:t>
              </w:r>
            </w:sdtContent>
          </w:sdt>
        </w:sdtContent>
      </w:sdt>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6733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5516182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0990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6451878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sdtContent>
          </w:sdt>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sym w:font="Wingdings" w:char="00FE"/>
      </w:r>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hAnsi="MS Mincho" w:eastAsia="MS Mincho" w:cs="MS Mincho" w:asciiTheme="minorEastAsia"/>
          <w:snapToGrid w:val="0"/>
          <w:kern w:val="28"/>
          <w:sz w:val="24"/>
          <w:szCs w:val="20"/>
        </w:rPr>
        <w:t>☐</w:t>
      </w:r>
      <w:r>
        <w:rPr>
          <w:rFonts w:hint="eastAsia" w:cs="宋体" w:asciiTheme="minorEastAsia" w:hAnsiTheme="minorEastAsia" w:eastAsiaTheme="minorEastAsia"/>
          <w:snapToGrid w:val="0"/>
          <w:kern w:val="28"/>
          <w:sz w:val="24"/>
          <w:szCs w:val="20"/>
        </w:rPr>
        <w:t>要求以联合体形式参加，提供联合协议和中小企业声明函，联合协议中中小企业合同金额应当达到</w:t>
      </w:r>
      <w:r>
        <w:rPr>
          <w:rFonts w:hint="eastAsia" w:cs="宋体" w:asciiTheme="minorEastAsia" w:hAnsiTheme="minorEastAsia" w:eastAsiaTheme="minorEastAsia"/>
          <w:snapToGrid w:val="0"/>
          <w:kern w:val="28"/>
          <w:sz w:val="24"/>
          <w:szCs w:val="20"/>
          <w:u w:val="single"/>
        </w:rPr>
        <w:t xml:space="preserve">   </w:t>
      </w:r>
      <w:r>
        <w:rPr>
          <w:rFonts w:hint="eastAsia" w:cs="宋体" w:asciiTheme="minorEastAsia" w:hAnsiTheme="minorEastAsia" w:eastAsiaTheme="minorEastAsia"/>
          <w:snapToGrid w:val="0"/>
          <w:kern w:val="28"/>
          <w:sz w:val="24"/>
          <w:szCs w:val="20"/>
        </w:rPr>
        <w:t>%，小微企业合同金额应当达到</w:t>
      </w:r>
      <w:r>
        <w:rPr>
          <w:rFonts w:hint="eastAsia" w:cs="宋体" w:asciiTheme="minorEastAsia" w:hAnsiTheme="minorEastAsia" w:eastAsiaTheme="minorEastAsia"/>
          <w:snapToGrid w:val="0"/>
          <w:kern w:val="28"/>
          <w:sz w:val="24"/>
          <w:szCs w:val="20"/>
          <w:u w:val="single"/>
        </w:rPr>
        <w:t xml:space="preserve">   </w:t>
      </w:r>
      <w:r>
        <w:rPr>
          <w:rFonts w:hint="eastAsia" w:cs="宋体" w:asciiTheme="minorEastAsia" w:hAnsiTheme="minorEastAsia" w:eastAsiaTheme="minorEastAsia"/>
          <w:snapToGrid w:val="0"/>
          <w:kern w:val="28"/>
          <w:sz w:val="24"/>
          <w:szCs w:val="20"/>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hAnsi="MS Mincho" w:eastAsia="MS Mincho" w:cs="MS Mincho" w:asciiTheme="minorEastAsia"/>
          <w:snapToGrid w:val="0"/>
          <w:kern w:val="28"/>
          <w:sz w:val="24"/>
          <w:szCs w:val="20"/>
        </w:rPr>
        <w:t>☐</w:t>
      </w:r>
      <w:r>
        <w:rPr>
          <w:rFonts w:hint="eastAsia" w:cs="宋体" w:asciiTheme="minorEastAsia" w:hAnsiTheme="minorEastAsia" w:eastAsiaTheme="minorEastAsia"/>
          <w:snapToGrid w:val="0"/>
          <w:kern w:val="28"/>
          <w:sz w:val="24"/>
          <w:szCs w:val="20"/>
        </w:rPr>
        <w:t>要求合同分包，提供分包意向协议和中小企业声明函，分包意向协议中中小企业合同金额应当达到达到</w:t>
      </w:r>
      <w:r>
        <w:rPr>
          <w:rFonts w:hint="eastAsia" w:cs="宋体" w:asciiTheme="minorEastAsia" w:hAnsiTheme="minorEastAsia" w:eastAsiaTheme="minorEastAsia"/>
          <w:snapToGrid w:val="0"/>
          <w:kern w:val="28"/>
          <w:sz w:val="24"/>
          <w:szCs w:val="20"/>
          <w:u w:val="single"/>
        </w:rPr>
        <w:t xml:space="preserve">   </w:t>
      </w:r>
      <w:r>
        <w:rPr>
          <w:rFonts w:hint="eastAsia" w:cs="宋体" w:asciiTheme="minorEastAsia" w:hAnsiTheme="minorEastAsia" w:eastAsiaTheme="minorEastAsia"/>
          <w:snapToGrid w:val="0"/>
          <w:kern w:val="28"/>
          <w:sz w:val="24"/>
          <w:szCs w:val="20"/>
        </w:rPr>
        <w:t>% ，小微企业合同金额应当达到</w:t>
      </w:r>
      <w:r>
        <w:rPr>
          <w:rFonts w:hint="eastAsia" w:cs="宋体" w:asciiTheme="minorEastAsia" w:hAnsiTheme="minorEastAsia" w:eastAsiaTheme="minorEastAsia"/>
          <w:snapToGrid w:val="0"/>
          <w:kern w:val="28"/>
          <w:sz w:val="24"/>
          <w:szCs w:val="20"/>
          <w:u w:val="single"/>
        </w:rPr>
        <w:t xml:space="preserve">   </w:t>
      </w:r>
      <w:r>
        <w:rPr>
          <w:rFonts w:hint="eastAsia" w:cs="宋体" w:asciiTheme="minorEastAsia" w:hAnsiTheme="minorEastAsia" w:eastAsiaTheme="minorEastAsia"/>
          <w:snapToGrid w:val="0"/>
          <w:kern w:val="28"/>
          <w:sz w:val="24"/>
          <w:szCs w:val="20"/>
        </w:rPr>
        <w:t>% ;如果供应商本身提供所有标的均由中小企业制造、承建或承接，视同符合了资格条件，无需再向中小企业分包，无需提供分包意向协议；</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4.本项目的特定资格要求：</w:t>
      </w:r>
      <w:r>
        <w:rPr>
          <w:rFonts w:hint="eastAsia" w:cs="宋体" w:asciiTheme="minorEastAsia" w:hAnsiTheme="minorEastAsia" w:eastAsiaTheme="minorEastAsia"/>
          <w:bCs/>
          <w:sz w:val="24"/>
        </w:rPr>
        <w:t>无。</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u w:val="single"/>
        </w:rPr>
        <w:t>2022年9月</w:t>
      </w:r>
      <w:r>
        <w:rPr>
          <w:rFonts w:hint="eastAsia" w:cs="宋体" w:asciiTheme="minorEastAsia" w:hAnsiTheme="minorEastAsia" w:eastAsiaTheme="minorEastAsia"/>
          <w:sz w:val="24"/>
          <w:u w:val="single"/>
          <w:lang w:val="en-US" w:eastAsia="zh-CN"/>
        </w:rPr>
        <w:t>19</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u w:val="single"/>
        </w:rPr>
        <w:t>2022年9月</w:t>
      </w:r>
      <w:r>
        <w:rPr>
          <w:rFonts w:hint="eastAsia" w:cs="宋体" w:asciiTheme="minorEastAsia" w:hAnsiTheme="minorEastAsia" w:eastAsiaTheme="minorEastAsia"/>
          <w:sz w:val="24"/>
          <w:u w:val="single"/>
          <w:lang w:val="en-US" w:eastAsia="zh-CN"/>
        </w:rPr>
        <w:t>19</w:t>
      </w:r>
      <w:r>
        <w:rPr>
          <w:rFonts w:hint="eastAsia" w:cs="宋体" w:asciiTheme="minorEastAsia" w:hAnsiTheme="minorEastAsia" w:eastAsiaTheme="minorEastAsia"/>
          <w:sz w:val="24"/>
          <w:u w:val="single"/>
        </w:rPr>
        <w:t>日9点30分</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bCs/>
          <w:sz w:val="24"/>
          <w:u w:val="single"/>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u w:val="single"/>
        </w:rPr>
        <w:t>2022年9月</w:t>
      </w:r>
      <w:r>
        <w:rPr>
          <w:rFonts w:hint="eastAsia" w:cs="宋体" w:asciiTheme="minorEastAsia" w:hAnsiTheme="minorEastAsia" w:eastAsiaTheme="minorEastAsia"/>
          <w:sz w:val="24"/>
          <w:u w:val="single"/>
          <w:lang w:val="en-US" w:eastAsia="zh-CN"/>
        </w:rPr>
        <w:t>19</w:t>
      </w:r>
      <w:r>
        <w:rPr>
          <w:rFonts w:hint="eastAsia" w:cs="宋体" w:asciiTheme="minorEastAsia" w:hAnsiTheme="minorEastAsia" w:eastAsiaTheme="minorEastAsia"/>
          <w:sz w:val="24"/>
          <w:u w:val="single"/>
        </w:rPr>
        <w:t>日9点30分</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Ansi="Cambria Math" w:cs="Cambria Math" w:asciiTheme="minorEastAsia" w:eastAsiaTheme="minorEastAsia"/>
          <w:sz w:val="24"/>
        </w:rPr>
        <w:t>⑪</w:t>
      </w:r>
      <w:r>
        <w:rPr>
          <w:rFonts w:hint="eastAsia" w:cs="宋体" w:asciiTheme="minorEastAsia" w:hAnsiTheme="minorEastAsia" w:eastAsiaTheme="minorEastAsia"/>
          <w:sz w:val="24"/>
        </w:rPr>
        <w:t>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pPr>
        <w:spacing w:line="360" w:lineRule="auto"/>
        <w:rPr>
          <w:rStyle w:val="961"/>
          <w:rFonts w:hint="default" w:cs="宋体" w:asciiTheme="minorEastAsia" w:hAnsiTheme="minorEastAsia" w:eastAsiaTheme="minorEastAsia"/>
          <w:b w:val="0"/>
          <w:bCs/>
          <w:sz w:val="24"/>
        </w:rPr>
      </w:pPr>
      <w:r>
        <w:rPr>
          <w:rFonts w:hint="eastAsia" w:cs="宋体" w:asciiTheme="minorEastAsia" w:hAnsiTheme="minorEastAsia" w:eastAsiaTheme="minorEastAsia"/>
          <w:sz w:val="24"/>
        </w:rPr>
        <w:t xml:space="preserve">    名   </w:t>
      </w:r>
      <w:r>
        <w:rPr>
          <w:rStyle w:val="961"/>
          <w:rFonts w:hint="default" w:cs="宋体" w:asciiTheme="minorEastAsia" w:hAnsiTheme="minorEastAsia" w:eastAsiaTheme="minorEastAsia"/>
          <w:b w:val="0"/>
          <w:bCs/>
          <w:sz w:val="24"/>
        </w:rPr>
        <w:t>称：淳安县市政园林发展中心</w:t>
      </w:r>
    </w:p>
    <w:p>
      <w:pPr>
        <w:spacing w:line="360" w:lineRule="auto"/>
        <w:rPr>
          <w:rStyle w:val="961"/>
          <w:rFonts w:hint="default" w:cs="宋体" w:asciiTheme="minorEastAsia" w:hAnsiTheme="minorEastAsia" w:eastAsiaTheme="minorEastAsia"/>
          <w:b w:val="0"/>
          <w:bCs/>
          <w:sz w:val="24"/>
        </w:rPr>
      </w:pPr>
      <w:r>
        <w:rPr>
          <w:rStyle w:val="961"/>
          <w:rFonts w:hint="default" w:cs="宋体" w:asciiTheme="minorEastAsia" w:hAnsiTheme="minorEastAsia" w:eastAsiaTheme="minorEastAsia"/>
          <w:b w:val="0"/>
          <w:bCs/>
          <w:sz w:val="24"/>
        </w:rPr>
        <w:t xml:space="preserve">    地   址：</w:t>
      </w:r>
      <w:r>
        <w:rPr>
          <w:rFonts w:hint="eastAsia" w:cs="宋体" w:asciiTheme="minorEastAsia" w:hAnsiTheme="minorEastAsia" w:eastAsiaTheme="minorEastAsia"/>
          <w:sz w:val="24"/>
        </w:rPr>
        <w:t>淳安县千岛湖镇南山大街697号</w:t>
      </w:r>
    </w:p>
    <w:p>
      <w:pPr>
        <w:spacing w:line="360" w:lineRule="auto"/>
        <w:ind w:firstLine="480"/>
        <w:rPr>
          <w:rStyle w:val="961"/>
          <w:rFonts w:hint="default" w:cs="宋体" w:asciiTheme="minorEastAsia" w:hAnsiTheme="minorEastAsia" w:eastAsiaTheme="minorEastAsia"/>
          <w:b w:val="0"/>
          <w:bCs/>
          <w:sz w:val="24"/>
        </w:rPr>
      </w:pPr>
      <w:r>
        <w:rPr>
          <w:rStyle w:val="961"/>
          <w:rFonts w:hint="default" w:cs="宋体" w:asciiTheme="minorEastAsia" w:hAnsiTheme="minorEastAsia" w:eastAsiaTheme="minorEastAsia"/>
          <w:b w:val="0"/>
          <w:bCs/>
          <w:sz w:val="24"/>
        </w:rPr>
        <w:t>传    真：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项目联系人（询问）：余晔</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w:t>
      </w:r>
      <w:r>
        <w:rPr>
          <w:rFonts w:cs="宋体" w:asciiTheme="minorEastAsia" w:hAnsiTheme="minorEastAsia" w:eastAsiaTheme="minorEastAsia"/>
          <w:sz w:val="24"/>
        </w:rPr>
        <w:t>13567154298</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质疑联系人：方红</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w:t>
      </w:r>
      <w:r>
        <w:rPr>
          <w:rFonts w:cs="宋体" w:asciiTheme="minorEastAsia" w:hAnsiTheme="minorEastAsia" w:eastAsiaTheme="minorEastAsia"/>
          <w:sz w:val="24"/>
        </w:rPr>
        <w:t>13735509166</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2.采购代理机构信息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w:t>
      </w:r>
      <w:r>
        <w:rPr>
          <w:rStyle w:val="961"/>
          <w:rFonts w:hint="default" w:cs="宋体" w:asciiTheme="minorEastAsia" w:hAnsiTheme="minorEastAsia" w:eastAsiaTheme="minorEastAsia"/>
          <w:b w:val="0"/>
          <w:bCs/>
          <w:sz w:val="24"/>
        </w:rPr>
        <w:t>杭州永盛联合会计师事务所（普通合伙）</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    址：</w:t>
      </w:r>
      <w:r>
        <w:rPr>
          <w:rStyle w:val="961"/>
          <w:rFonts w:hint="default" w:cs="宋体" w:asciiTheme="minorEastAsia" w:hAnsiTheme="minorEastAsia" w:eastAsiaTheme="minorEastAsia"/>
          <w:b w:val="0"/>
          <w:bCs/>
          <w:sz w:val="24"/>
        </w:rPr>
        <w:t>浙江省杭州市淳安县千岛湖镇新安大街41号三楼</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项目联系人（询问）：汪靖</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项目联系方式（询问）：13666668468</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质疑联系人：方斐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质疑联系方式：0571-64819846</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3.同级政府采购监督管理部门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称：淳安县财政局</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址：浙江省杭州市淳安县千岛湖镇环湖北路695号</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联系人：方建宏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监督投诉电话：0571-64818305</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adjustRightInd/>
        <w:spacing w:line="360" w:lineRule="auto"/>
        <w:ind w:firstLine="2891" w:firstLineChars="800"/>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8"/>
      <w:r>
        <w:rPr>
          <w:rFonts w:hint="eastAsia" w:cs="宋体" w:asciiTheme="minorEastAsia" w:hAnsiTheme="minorEastAsia" w:eastAsiaTheme="minorEastAsia"/>
          <w:b/>
          <w:sz w:val="36"/>
          <w:szCs w:val="20"/>
        </w:rPr>
        <w:t xml:space="preserve"> 投标人须知</w:t>
      </w:r>
      <w:bookmarkEnd w:id="9"/>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0"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56467320"/>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309671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5646731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vAlign w:val="center"/>
          </w:tcPr>
          <w:p>
            <w:pPr>
              <w:snapToGrid w:val="0"/>
              <w:spacing w:line="360" w:lineRule="auto"/>
              <w:jc w:val="center"/>
              <w:rPr>
                <w:rFonts w:cs="宋体" w:asciiTheme="minorEastAsia" w:hAnsiTheme="minorEastAsia" w:eastAsiaTheme="minorEastAsia"/>
                <w:b/>
                <w:sz w:val="24"/>
              </w:rPr>
            </w:pPr>
          </w:p>
        </w:tc>
        <w:tc>
          <w:tcPr>
            <w:tcW w:w="6095"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0360620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67336"/>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 xml:space="preserve">否； </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  ；检测内容：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。请投标人在上述时间内提供样品。超过截止时间的，采购人或采购代理机构将不予接收，并将清场并封闭样品现场。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6733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67338"/>
                  </w:sdtPr>
                  <w:sdtEndPr>
                    <w:rPr>
                      <w:rFonts w:hint="eastAsia" w:cs="宋体" w:asciiTheme="minorEastAsia" w:hAnsiTheme="minorEastAsia" w:eastAsiaTheme="minorEastAsia"/>
                      <w:kern w:val="0"/>
                      <w:sz w:val="24"/>
                    </w:rPr>
                  </w:sdtEndPr>
                  <w:sdtContent/>
                </w:sdt>
              </w:sdtContent>
            </w:sdt>
            <w:sdt>
              <w:sdtPr>
                <w:rPr>
                  <w:rFonts w:hint="eastAsia" w:cs="宋体" w:asciiTheme="minorEastAsia" w:hAnsiTheme="minorEastAsia" w:eastAsiaTheme="minorEastAsia"/>
                  <w:kern w:val="0"/>
                  <w:sz w:val="24"/>
                </w:rPr>
                <w:id w:val="-937284416"/>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095" w:type="dxa"/>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（1）标的名称：</w:t>
            </w:r>
            <w:r>
              <w:rPr>
                <w:rStyle w:val="961"/>
                <w:rFonts w:hint="default" w:asciiTheme="minorEastAsia" w:hAnsiTheme="minorEastAsia" w:eastAsiaTheme="minorEastAsia"/>
                <w:b w:val="0"/>
                <w:sz w:val="24"/>
                <w:u w:val="single"/>
              </w:rPr>
              <w:t>运行维护管理</w:t>
            </w:r>
            <w:r>
              <w:rPr>
                <w:rFonts w:hint="eastAsia" w:cs="宋体" w:asciiTheme="minorEastAsia" w:hAnsiTheme="minorEastAsia" w:eastAsiaTheme="minorEastAsia"/>
                <w:kern w:val="0"/>
                <w:sz w:val="24"/>
              </w:rPr>
              <w:t>，属于</w:t>
            </w:r>
            <w:r>
              <w:rPr>
                <w:rStyle w:val="961"/>
                <w:rFonts w:hint="default" w:asciiTheme="minorEastAsia" w:hAnsiTheme="minorEastAsia" w:eastAsiaTheme="minorEastAsia"/>
                <w:b w:val="0"/>
                <w:sz w:val="24"/>
                <w:u w:val="single"/>
              </w:rPr>
              <w:t>其他未列明行业</w:t>
            </w:r>
            <w:r>
              <w:rPr>
                <w:rStyle w:val="961"/>
                <w:rFonts w:hint="default" w:cs="宋体" w:asciiTheme="minorEastAsia" w:hAnsiTheme="minorEastAsia" w:eastAsiaTheme="minorEastAsia"/>
                <w:b w:val="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vAlign w:val="center"/>
          </w:tcPr>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cs="宋体" w:asciiTheme="minorEastAsia" w:hAnsiTheme="minorEastAsia" w:eastAsiaTheme="minorEastAsia"/>
              </w:rPr>
            </w:pPr>
          </w:p>
        </w:tc>
        <w:tc>
          <w:tcPr>
            <w:tcW w:w="1843" w:type="dxa"/>
            <w:vMerge w:val="continue"/>
            <w:vAlign w:val="center"/>
          </w:tcPr>
          <w:p>
            <w:pPr>
              <w:spacing w:line="360" w:lineRule="auto"/>
              <w:ind w:firstLine="420" w:firstLineChars="200"/>
              <w:rPr>
                <w:rFonts w:cs="宋体" w:asciiTheme="minorEastAsia" w:hAnsiTheme="minorEastAsia" w:eastAsiaTheme="minorEastAsia"/>
              </w:rPr>
            </w:pPr>
          </w:p>
        </w:tc>
        <w:tc>
          <w:tcPr>
            <w:tcW w:w="6095" w:type="dxa"/>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vAlign w:val="center"/>
          </w:tcPr>
          <w:p>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浙江省杭州市淳安县千岛湖镇新安大街41号三楼杭州永盛联合会计师事务所（普通合伙）</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u w:val="single"/>
              </w:rPr>
              <w:t>汪靖、13666668468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采购服务费</w:t>
            </w:r>
          </w:p>
        </w:tc>
        <w:tc>
          <w:tcPr>
            <w:tcW w:w="6095" w:type="dxa"/>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投标总报价应含采购服务费，本项目的招标代理服务费由中标人一次性向采购代理机构支付。本项目的招标代理服务费（按预算价）根据发改价格[2011]534号文《关于降低部分建设项目收费标准规范收费行为等有关问题的通知》的收费标准收取（详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vAlign w:val="center"/>
          </w:tcPr>
          <w:p>
            <w:pPr>
              <w:spacing w:line="360" w:lineRule="auto"/>
              <w:rPr>
                <w:rFonts w:cs="宋体" w:asciiTheme="minorEastAsia" w:hAnsiTheme="minorEastAsia" w:eastAsiaTheme="minorEastAsia"/>
                <w:b/>
                <w:bCs/>
                <w:snapToGrid w:val="0"/>
                <w:kern w:val="28"/>
                <w:sz w:val="24"/>
              </w:rPr>
            </w:pPr>
            <w:r>
              <w:rPr>
                <w:rFonts w:hint="eastAsia" w:cs="宋体" w:asciiTheme="minorEastAsia" w:hAnsiTheme="minorEastAsia" w:eastAsiaTheme="minorEastAsia"/>
                <w:b/>
                <w:sz w:val="24"/>
              </w:rPr>
              <w:t>中标人中标后须提供给采购代理机构两份加盖公章并签字的纸质投标文件（一正一副，副本是正本的复印件，与电子投标文件一致，如不一致，以电子投标文件为准）。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sz w:val="24"/>
              </w:rPr>
            </w:pPr>
            <w:bookmarkStart w:id="11" w:name="第三部分"/>
            <w:bookmarkStart w:id="12" w:name="_Toc164416483"/>
            <w:r>
              <w:rPr>
                <w:rFonts w:hint="eastAsia" w:cs="宋体" w:asciiTheme="minorEastAsia" w:hAnsiTheme="minorEastAsia" w:eastAsiaTheme="minorEastAsia"/>
                <w:sz w:val="24"/>
              </w:rPr>
              <w:t>15</w:t>
            </w:r>
          </w:p>
        </w:tc>
        <w:tc>
          <w:tcPr>
            <w:tcW w:w="1843" w:type="dxa"/>
            <w:vMerge w:val="restart"/>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联合体或分包特别说明</w:t>
            </w:r>
          </w:p>
        </w:tc>
        <w:tc>
          <w:tcPr>
            <w:tcW w:w="6095" w:type="dxa"/>
            <w:vAlign w:val="center"/>
          </w:tcPr>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kern w:val="0"/>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vAlign w:val="center"/>
          </w:tcPr>
          <w:p>
            <w:pPr>
              <w:snapToGrid w:val="0"/>
              <w:spacing w:line="360" w:lineRule="auto"/>
              <w:jc w:val="center"/>
              <w:rPr>
                <w:rFonts w:cs="宋体" w:asciiTheme="minorEastAsia" w:hAnsiTheme="minorEastAsia" w:eastAsiaTheme="minorEastAsia"/>
                <w:b/>
                <w:sz w:val="24"/>
              </w:rPr>
            </w:pPr>
          </w:p>
        </w:tc>
        <w:tc>
          <w:tcPr>
            <w:tcW w:w="6095" w:type="dxa"/>
            <w:vAlign w:val="center"/>
          </w:tcPr>
          <w:p>
            <w:pPr>
              <w:spacing w:line="360" w:lineRule="auto"/>
              <w:rPr>
                <w:rFonts w:cs="宋体" w:asciiTheme="minorEastAsia" w:hAnsiTheme="minorEastAsia" w:eastAsiaTheme="minorEastAsia"/>
                <w:kern w:val="0"/>
                <w:sz w:val="24"/>
              </w:rPr>
            </w:pPr>
            <w:r>
              <w:rPr>
                <w:rFonts w:hint="eastAsia" w:hAnsi="MS Gothic" w:eastAsia="MS Gothic" w:cs="MS Gothic" w:asciiTheme="minorEastAsia"/>
                <w:kern w:val="0"/>
                <w:sz w:val="24"/>
              </w:rPr>
              <w:t>☐</w:t>
            </w:r>
            <w:r>
              <w:rPr>
                <w:rFonts w:hint="eastAsia" w:cs="宋体" w:asciiTheme="minorEastAsia" w:hAnsiTheme="minorEastAsia" w:eastAsiaTheme="minorEastAsia"/>
                <w:kern w:val="0"/>
                <w:sz w:val="24"/>
              </w:rPr>
              <w:t>联合体投标的，联合体各方均需按招标文件第四部分评标标准要求提供资信证明文件，否则视为不符合相关要求。</w:t>
            </w:r>
          </w:p>
          <w:p>
            <w:pPr>
              <w:spacing w:line="360" w:lineRule="auto"/>
              <w:rPr>
                <w:rFonts w:cs="宋体" w:asciiTheme="minorEastAsia" w:hAnsiTheme="minorEastAsia" w:eastAsiaTheme="minorEastAsia"/>
                <w:b/>
                <w:sz w:val="24"/>
              </w:rPr>
            </w:pPr>
            <w:r>
              <w:rPr>
                <w:rFonts w:hint="eastAsia" w:hAnsi="MS Gothic" w:eastAsia="MS Gothic" w:cs="MS Gothic" w:asciiTheme="minorEastAsia"/>
                <w:kern w:val="0"/>
                <w:sz w:val="24"/>
              </w:rPr>
              <w:t>☐</w:t>
            </w:r>
            <w:r>
              <w:rPr>
                <w:rFonts w:hint="eastAsia" w:cs="宋体" w:asciiTheme="minorEastAsia" w:hAnsiTheme="minorEastAsia" w:eastAsiaTheme="minorEastAsia"/>
                <w:kern w:val="0"/>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67342"/>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hAnsi="MS Mincho" w:eastAsia="MS Mincho" w:cs="MS Mincho" w:ascii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3.3.4符合《关于促进残疾人就业政府采购政策的通知》（财库〔2017〕141号）规定的条件并提供《残疾人福利性单位声明函》（附件1）的残疾人福利性单位视同中小企业；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中小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z w:val="24"/>
        </w:rPr>
        <w:t>3.5中小企业信用融资：</w:t>
      </w:r>
      <w:r>
        <w:rPr>
          <w:rFonts w:hint="eastAsia" w:cs="宋体" w:asciiTheme="minorEastAsia" w:hAnsiTheme="minorEastAsia" w:eastAsiaTheme="minor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3.6平等对待内外资企业和符合条件的破产重整企业</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4.2.2.3对采购结果提出质疑的，质疑期限自采购结果公告期限届满之日起计算。</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w:t>
      </w:r>
      <w:r>
        <w:rPr>
          <w:rFonts w:hint="eastAsia" w:cs="宋体" w:asciiTheme="minorEastAsia" w:hAnsiTheme="minorEastAsia" w:eastAsiaTheme="minorEastAsia"/>
          <w:sz w:val="24"/>
        </w:rPr>
        <w:t>供应商提出质疑应当提交质疑函和必要的证明材料。质疑函应当包括下列内容：</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4.2.3.1供应商的姓名或者名称、地址、邮编、联系人及联系电话；</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4.2.3.2质疑项目的名称、编号；</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4.2.3.3具体、明确的质疑事项和与质疑事项相关的请求；</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4.2.3.4事实依据；</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4.2.3.5必要的法律依据；</w:t>
      </w:r>
    </w:p>
    <w:p>
      <w:pPr>
        <w:pStyle w:val="35"/>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886"/>
        <w:shd w:val="clear" w:color="auto" w:fill="FFFFFF"/>
        <w:snapToGrid w:val="0"/>
        <w:spacing w:before="0" w:beforeAutospacing="0"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886"/>
        <w:shd w:val="clear" w:color="auto" w:fill="FFFFFF"/>
        <w:snapToGrid w:val="0"/>
        <w:spacing w:after="240" w:afterAutospacing="0" w:line="360" w:lineRule="auto"/>
        <w:ind w:firstLine="480"/>
        <w:contextualSpacing/>
        <w:rPr>
          <w:rFonts w:asciiTheme="minorEastAsia" w:hAnsiTheme="minorEastAsia" w:eastAsiaTheme="minorEastAsia"/>
        </w:rPr>
      </w:pPr>
      <w:r>
        <w:rPr>
          <w:rFonts w:hint="eastAsia" w:asciiTheme="minorEastAsia" w:hAnsiTheme="minorEastAsia" w:eastAsiaTheme="minorEastAsia"/>
        </w:rPr>
        <w:t>4.4在线质疑、投诉。</w:t>
      </w:r>
    </w:p>
    <w:p>
      <w:pPr>
        <w:pStyle w:val="886"/>
        <w:shd w:val="clear" w:color="auto" w:fill="FFFFFF"/>
        <w:snapToGrid w:val="0"/>
        <w:spacing w:after="240" w:afterAutospacing="0" w:line="360" w:lineRule="auto"/>
        <w:ind w:firstLine="480"/>
        <w:contextualSpacing/>
        <w:rPr>
          <w:rFonts w:asciiTheme="minorEastAsia" w:hAnsiTheme="minorEastAsia" w:eastAsiaTheme="minorEastAsia"/>
        </w:rPr>
      </w:pPr>
      <w:r>
        <w:rPr>
          <w:rFonts w:hint="eastAsia" w:asciiTheme="minorEastAsia" w:hAnsiTheme="minorEastAsia" w:eastAsiaTheme="min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二、招标文件的构成、澄清、修改</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5"/>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11.1.2联合协议（如果有)；</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11.1.3落实政府采购政策需满足的资格要求：</w:t>
      </w:r>
      <w:r>
        <w:rPr>
          <w:rFonts w:hint="eastAsia" w:cs="宋体" w:asciiTheme="minorEastAsia" w:hAnsiTheme="minorEastAsia" w:eastAsiaTheme="minorEastAsia"/>
          <w:sz w:val="24"/>
          <w:lang w:val="zh-CN"/>
        </w:rPr>
        <w:t>中小企业声明函</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11.1.4本项目的特定资格要求。</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11.2.3联合协议或联合授权书（如果有）</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11.2.4分包意向协议（如果有）</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128"/>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128"/>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128"/>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但采购人、采购代理机构不强制或变相强制投标人提交备份投标文件。未按规定提供相应的备份投标文件，造成项目开评标活动无法进行下去的，投标无效。</w:t>
      </w:r>
    </w:p>
    <w:p>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DVD光盘等介质</w:t>
      </w:r>
      <w:r>
        <w:rPr>
          <w:rFonts w:hint="eastAsia" w:cs="宋体" w:asciiTheme="minorEastAsia" w:hAnsiTheme="minorEastAsia" w:eastAsiaTheme="minorEastAsia"/>
          <w:sz w:val="24"/>
          <w:szCs w:val="24"/>
        </w:rPr>
        <w:t>中。备份投标文件应当密封包装并在包装上加盖公章并注明投标项目名称，投标人名称。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15.4以快递方式递交备份投标文件的，投标人应先将备份投标文件按要求密封和标记，再进行快递包装后邮寄。备份投标文件须在投标截止时间之前送达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26"/>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第4.2项规定</w:t>
      </w:r>
      <w:r>
        <w:rPr>
          <w:rFonts w:hint="eastAsia" w:cs="宋体" w:asciiTheme="minorEastAsia" w:hAnsiTheme="minorEastAsia" w:eastAsiaTheme="minorEastAsia"/>
          <w:szCs w:val="21"/>
        </w:rPr>
        <w:t>的情形之一的，投标无效：</w:t>
      </w:r>
    </w:p>
    <w:p>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54"/>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554"/>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19.1开标后，采购人或采购代理机构将依法对投标人的资格进行审查。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采购人或采购代理机构依据法律法规和招标文件的规定，对投标人的基本资格条件、特定资格条件进行审查。</w:t>
      </w:r>
    </w:p>
    <w:p>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4对未通过资格审查的投标人，采购人或采购代理机构告知其未通过的原因。</w:t>
      </w:r>
    </w:p>
    <w:p>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20.3信用信息的使用规则：经查询列入失信被执行人名单、重大税收违法失信主体、政府采购严重违法失信行为记录名单的投标人将被拒绝参与政府采购活动。</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3"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128"/>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128"/>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履约保证金（如有）</w:t>
      </w:r>
    </w:p>
    <w:p>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cs="宋体" w:asciiTheme="minorEastAsia" w:hAnsiTheme="minorEastAsia" w:eastAsiaTheme="minorEastAsia"/>
          <w:b/>
          <w:sz w:val="24"/>
        </w:rPr>
        <w:t>采购人不得拒收履约保函。</w:t>
      </w:r>
    </w:p>
    <w:p>
      <w:pPr>
        <w:pStyle w:val="2"/>
        <w:ind w:left="0" w:firstLine="480" w:firstLineChars="200"/>
        <w:rPr>
          <w:rFonts w:cs="宋体" w:asciiTheme="minorEastAsia" w:hAnsiTheme="minorEastAsia" w:eastAsiaTheme="minorEastAsia"/>
          <w:lang w:val="en-US"/>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128"/>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pPr>
        <w:pStyle w:val="128"/>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26"/>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cs="宋体" w:asciiTheme="minorEastAsia" w:hAnsiTheme="minorEastAsia" w:eastAsiaTheme="minorEastAsia"/>
          <w:sz w:val="18"/>
          <w:szCs w:val="18"/>
        </w:rPr>
      </w:pPr>
      <w:r>
        <w:rPr>
          <w:rFonts w:hint="eastAsia" w:cs="宋体" w:asciiTheme="minorEastAsia" w:hAnsiTheme="minorEastAsia" w:eastAsiaTheme="minorEastAsia"/>
          <w:kern w:val="0"/>
          <w:sz w:val="24"/>
        </w:rPr>
        <w:t>29.4验收合格的项目，采购人将根据采购合同的约定及时向供应商支付采购资金、退还履约保证金（如有）。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29768"/>
      <w:bookmarkEnd w:id="15"/>
      <w:bookmarkStart w:id="16" w:name="_Hlt68403820"/>
      <w:bookmarkEnd w:id="16"/>
      <w:bookmarkStart w:id="17" w:name="_Hlt68073093"/>
      <w:bookmarkEnd w:id="17"/>
      <w:bookmarkStart w:id="18" w:name="_Hlt74714665"/>
      <w:bookmarkEnd w:id="18"/>
      <w:bookmarkStart w:id="19" w:name="_Hlt68057669"/>
      <w:bookmarkEnd w:id="19"/>
      <w:bookmarkStart w:id="20" w:name="_Hlt74730295"/>
      <w:bookmarkEnd w:id="20"/>
      <w:bookmarkStart w:id="21" w:name="_Hlt75236101"/>
      <w:bookmarkEnd w:id="21"/>
      <w:bookmarkStart w:id="22" w:name="_Hlt68072998"/>
      <w:bookmarkEnd w:id="22"/>
      <w:bookmarkStart w:id="23" w:name="_Hlt75236290"/>
      <w:bookmarkEnd w:id="23"/>
      <w:bookmarkStart w:id="24" w:name="_Hlt74707468"/>
      <w:bookmarkEnd w:id="24"/>
      <w:bookmarkStart w:id="25" w:name="_Hlt75236011"/>
      <w:bookmarkEnd w:id="25"/>
    </w:p>
    <w:bookmarkEnd w:id="11"/>
    <w:bookmarkEnd w:id="12"/>
    <w:p>
      <w:pPr>
        <w:spacing w:line="360" w:lineRule="auto"/>
        <w:jc w:val="center"/>
        <w:outlineLvl w:val="0"/>
        <w:rPr>
          <w:rFonts w:cs="宋体" w:asciiTheme="minorEastAsia" w:hAnsiTheme="minorEastAsia" w:eastAsiaTheme="minorEastAsia"/>
          <w:b/>
          <w:sz w:val="36"/>
          <w:szCs w:val="36"/>
        </w:rPr>
      </w:pPr>
      <w:bookmarkStart w:id="26" w:name="第四部分"/>
      <w:r>
        <w:rPr>
          <w:rFonts w:hint="eastAsia" w:cs="宋体" w:asciiTheme="minorEastAsia" w:hAnsiTheme="minorEastAsia" w:eastAsiaTheme="minorEastAsia"/>
          <w:b/>
          <w:sz w:val="36"/>
          <w:szCs w:val="36"/>
        </w:rPr>
        <w:t>第三部分   采购需求</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一、总体要求</w:t>
      </w:r>
    </w:p>
    <w:p>
      <w:pPr>
        <w:spacing w:line="360" w:lineRule="auto"/>
        <w:ind w:firstLine="480"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color w:val="000000"/>
          <w:sz w:val="24"/>
        </w:rPr>
        <w:t>在2022年10</w:t>
      </w:r>
      <w:bookmarkStart w:id="555" w:name="_GoBack"/>
      <w:r>
        <w:rPr>
          <w:rFonts w:hint="eastAsia" w:cs="宋体" w:asciiTheme="minorEastAsia" w:hAnsiTheme="minorEastAsia" w:eastAsiaTheme="minorEastAsia"/>
          <w:color w:val="000000"/>
          <w:sz w:val="24"/>
        </w:rPr>
        <w:t>月</w:t>
      </w:r>
      <w:bookmarkEnd w:id="555"/>
      <w:r>
        <w:rPr>
          <w:rFonts w:hint="eastAsia" w:cs="宋体" w:asciiTheme="minorEastAsia" w:hAnsiTheme="minorEastAsia" w:eastAsiaTheme="minorEastAsia"/>
          <w:color w:val="000000"/>
          <w:sz w:val="24"/>
        </w:rPr>
        <w:t>11日—2023年10月10日一年的管理服务合同期内，中标人通过对“千岛湖广场、秀水广场、滨湖路及苗圃”的物业服务和管理(</w:t>
      </w:r>
      <w:r>
        <w:rPr>
          <w:rFonts w:hint="eastAsia" w:cs="宋体" w:asciiTheme="minorEastAsia" w:hAnsiTheme="minorEastAsia" w:eastAsiaTheme="minorEastAsia"/>
          <w:color w:val="000000"/>
          <w:kern w:val="0"/>
          <w:sz w:val="24"/>
        </w:rPr>
        <w:t>环境卫生；园林绿化养护管理；传达、保安、秩序、车辆管理；消防、监控设施管理；给排水设备运行维护；供电设备、弱电系统、空调系统等各类设施设备的日常维护保养；市政设施维护维修；综合维修及巡查和采购单位交办的其他工作（如礼宾客服接待、会议、活动服务等)</w:t>
      </w:r>
      <w:r>
        <w:rPr>
          <w:rFonts w:hint="eastAsia" w:cs="宋体" w:asciiTheme="minorEastAsia" w:hAnsiTheme="minorEastAsia" w:eastAsiaTheme="minorEastAsia"/>
          <w:color w:val="000000"/>
          <w:sz w:val="24"/>
        </w:rPr>
        <w:t>，保证千岛湖广场、秀水广场、滨湖路及苗圃各项建筑和配套设施时刻处于良好的工作状态，营造一个健康舒适的工作环境，创建各种荣誉，力争成为淳安县游客和市民游玩、休闲、锻炼、健身的文明示范点以及国内最最清洁城市示范点。</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二、项目概况</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项目总占地面积300511.72平方米,其中铺装及湖岸线面积127653平方米，绿化面积165168.72平方米，预移交部分面积7690平方米。</w:t>
      </w:r>
    </w:p>
    <w:p>
      <w:pPr>
        <w:spacing w:line="360" w:lineRule="auto"/>
        <w:ind w:firstLine="480"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color w:val="000000"/>
          <w:sz w:val="24"/>
        </w:rPr>
        <w:t>为体现精简效能的原则，本着物业管理服务社会化的改革方向，积极扩大社会化用工并参照国内外先进物业管理运行惯例，科学合理组织管理，决定委托专业公司来完成“千岛湖广场、秀水广场、滨湖路及苗圃”的物业服务管理，具体内容包括：1、综合管理（包括资料整理、物业档案管理、重大活动组织及接待任务的服务管理）；2、安保秩序维护；3、卫生保洁（含铺装、水系、部分建筑单体、沿湖岸线、设施设备等）；4、市政设施维护、专业设备维护保养（包括空调及配套装置维护、消防设备管理维护、监控设备管理、电气设备预防性维护、给排水系统管理维护、供电设备、弱电系统管理维护等）；5、园林绿化养护管理；6、采购单位交办的其他工作等。</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三、委托管理内容（包括且不仅限于以下）</w:t>
      </w:r>
    </w:p>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bCs/>
          <w:color w:val="000000"/>
          <w:sz w:val="24"/>
        </w:rPr>
        <w:t>（一）</w:t>
      </w:r>
      <w:r>
        <w:rPr>
          <w:rFonts w:hint="eastAsia" w:cs="宋体" w:asciiTheme="minorEastAsia" w:hAnsiTheme="minorEastAsia" w:eastAsiaTheme="minorEastAsia"/>
          <w:b/>
          <w:color w:val="000000"/>
          <w:sz w:val="24"/>
        </w:rPr>
        <w:t>综合管理</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1、服务时间</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夏令时间（5月1日—9月30日）：8:30—21:30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冬令时间（10月1日—次年4月30日)：8:30—21:00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2、主要职责：</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主要针对本项目全面管理，资料整理、接待任务处理等等，确保广场的正常有序运行。</w:t>
      </w:r>
    </w:p>
    <w:p>
      <w:pPr>
        <w:spacing w:line="360" w:lineRule="auto"/>
        <w:ind w:firstLine="480" w:firstLineChars="200"/>
        <w:rPr>
          <w:rFonts w:cs="宋体" w:asciiTheme="minorEastAsia" w:hAnsiTheme="minorEastAsia" w:eastAsiaTheme="minorEastAsia"/>
          <w:b/>
          <w:color w:val="000000"/>
          <w:sz w:val="24"/>
        </w:rPr>
      </w:pPr>
      <w:r>
        <w:rPr>
          <w:rFonts w:hint="eastAsia" w:cs="宋体" w:asciiTheme="minorEastAsia" w:hAnsiTheme="minorEastAsia" w:eastAsiaTheme="minorEastAsia"/>
          <w:color w:val="000000"/>
          <w:sz w:val="24"/>
        </w:rPr>
        <w:t>3、具体方案由中标方报送采购单位审核，管理人员年龄在</w:t>
      </w:r>
      <w:r>
        <w:rPr>
          <w:rFonts w:hint="eastAsia" w:cs="宋体" w:asciiTheme="minorEastAsia" w:hAnsiTheme="minorEastAsia" w:eastAsiaTheme="minorEastAsia"/>
          <w:sz w:val="24"/>
        </w:rPr>
        <w:t>55周岁</w:t>
      </w:r>
      <w:r>
        <w:rPr>
          <w:rFonts w:hint="eastAsia" w:cs="宋体" w:asciiTheme="minorEastAsia" w:hAnsiTheme="minorEastAsia" w:eastAsiaTheme="minorEastAsia"/>
          <w:color w:val="000000"/>
          <w:sz w:val="24"/>
        </w:rPr>
        <w:t>以下（已经入职人员可适当放宽）。</w:t>
      </w:r>
    </w:p>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（二）卫生保洁(铺装、水系、沿湖岸线等)</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1、服务时间</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夏令时间（5月1日—9月30日）：6:30—22:00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冬令时间（10月1日—次年4月30日)：6:30—21:00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2、主要职责</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铺装地面保洁，水系保洁，各类灯具、高杆灯、果壳箱及其它设施保洁，道路保洁，沿湖岸线保洁，垃圾清运等。</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540"/>
        <w:gridCol w:w="15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位置</w:t>
            </w:r>
          </w:p>
        </w:tc>
        <w:tc>
          <w:tcPr>
            <w:tcW w:w="3540"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清洁频次</w:t>
            </w:r>
          </w:p>
        </w:tc>
        <w:tc>
          <w:tcPr>
            <w:tcW w:w="1583"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清洁材料</w:t>
            </w:r>
          </w:p>
        </w:tc>
        <w:tc>
          <w:tcPr>
            <w:tcW w:w="1483"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硬质铺装</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清扫2次/日，冲洗2次/周</w:t>
            </w:r>
          </w:p>
        </w:tc>
        <w:tc>
          <w:tcPr>
            <w:tcW w:w="1583" w:type="dxa"/>
            <w:vMerge w:val="restart"/>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毛巾、扫把、畚箕、刷子、拖把、网兜、水泵等等</w:t>
            </w:r>
          </w:p>
        </w:tc>
        <w:tc>
          <w:tcPr>
            <w:tcW w:w="1483" w:type="dxa"/>
            <w:vMerge w:val="restart"/>
            <w:vAlign w:val="center"/>
          </w:tcPr>
          <w:p>
            <w:pPr>
              <w:spacing w:line="480" w:lineRule="exact"/>
              <w:ind w:firstLine="240" w:firstLineChars="1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无灰尘</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无污渍</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水系保洁</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清扫2次/日，冲洗2次/周</w:t>
            </w:r>
          </w:p>
        </w:tc>
        <w:tc>
          <w:tcPr>
            <w:tcW w:w="1583" w:type="dxa"/>
            <w:vMerge w:val="continue"/>
            <w:vAlign w:val="center"/>
          </w:tcPr>
          <w:p>
            <w:pPr>
              <w:spacing w:line="480" w:lineRule="exact"/>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灯具</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清擦2次/周</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高杆灯</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2米以下1次/周</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果壳箱</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擦洗1次/日</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设施清洁</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冲洗2次/日</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道路清洁</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清扫2次/日</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垃圾桶</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清洗1次/日</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其他事项</w:t>
            </w:r>
          </w:p>
        </w:tc>
        <w:tc>
          <w:tcPr>
            <w:tcW w:w="3540"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实际过程中具体安排</w:t>
            </w:r>
          </w:p>
        </w:tc>
        <w:tc>
          <w:tcPr>
            <w:tcW w:w="1583" w:type="dxa"/>
            <w:vMerge w:val="continue"/>
            <w:vAlign w:val="center"/>
          </w:tcPr>
          <w:p>
            <w:pPr>
              <w:spacing w:line="480" w:lineRule="exact"/>
              <w:jc w:val="center"/>
              <w:rPr>
                <w:rFonts w:cs="宋体" w:asciiTheme="minorEastAsia" w:hAnsiTheme="minorEastAsia" w:eastAsiaTheme="minorEastAsia"/>
                <w:color w:val="000000"/>
                <w:sz w:val="24"/>
              </w:rPr>
            </w:pPr>
          </w:p>
        </w:tc>
        <w:tc>
          <w:tcPr>
            <w:tcW w:w="1483" w:type="dxa"/>
            <w:vMerge w:val="continue"/>
            <w:vAlign w:val="center"/>
          </w:tcPr>
          <w:p>
            <w:pPr>
              <w:spacing w:line="480" w:lineRule="exact"/>
              <w:jc w:val="center"/>
              <w:rPr>
                <w:rFonts w:cs="宋体" w:asciiTheme="minorEastAsia" w:hAnsiTheme="minorEastAsia" w:eastAsiaTheme="minorEastAsia"/>
                <w:color w:val="000000"/>
                <w:sz w:val="24"/>
              </w:rPr>
            </w:pPr>
          </w:p>
        </w:tc>
      </w:tr>
    </w:tbl>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3、具体方案由中标方报送采购单位审核，男保洁人员年龄在</w:t>
      </w:r>
      <w:r>
        <w:rPr>
          <w:rFonts w:hint="eastAsia" w:cs="宋体" w:asciiTheme="minorEastAsia" w:hAnsiTheme="minorEastAsia" w:eastAsiaTheme="minorEastAsia"/>
          <w:color w:val="000000" w:themeColor="text1"/>
          <w:sz w:val="24"/>
        </w:rPr>
        <w:t>65</w:t>
      </w:r>
      <w:r>
        <w:rPr>
          <w:rFonts w:hint="eastAsia" w:cs="宋体" w:asciiTheme="minorEastAsia" w:hAnsiTheme="minorEastAsia" w:eastAsiaTheme="minorEastAsia"/>
          <w:sz w:val="24"/>
        </w:rPr>
        <w:t>周岁以下，女保洁员年龄在</w:t>
      </w:r>
      <w:r>
        <w:rPr>
          <w:rFonts w:hint="eastAsia" w:cs="宋体" w:asciiTheme="minorEastAsia" w:hAnsiTheme="minorEastAsia" w:eastAsiaTheme="minorEastAsia"/>
          <w:color w:val="000000" w:themeColor="text1"/>
          <w:sz w:val="24"/>
        </w:rPr>
        <w:t>60</w:t>
      </w:r>
      <w:r>
        <w:rPr>
          <w:rFonts w:hint="eastAsia" w:cs="宋体" w:asciiTheme="minorEastAsia" w:hAnsiTheme="minorEastAsia" w:eastAsiaTheme="minorEastAsia"/>
          <w:sz w:val="24"/>
        </w:rPr>
        <w:t>周岁以下（已经入职人员可适当放宽）。</w:t>
      </w:r>
    </w:p>
    <w:p>
      <w:pPr>
        <w:spacing w:line="360" w:lineRule="auto"/>
        <w:ind w:firstLine="482" w:firstLineChars="20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（三）安保秩序维护</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1、服务区域：千岛湖广场、滨湖路绿地（含明珠中轴）、秀水广场、江滨公园等区域，为采购方提供安全服务。</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2、服务时间：24小时安保秩序服务</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3、人员具体配置</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（1）千岛湖广场安保人员7人，区域为千岛湖广场一、二期，24小时值守。7:00至15:00（2名安保人员），15:00至23:00（3名安保人员），23:00至次日7:00（2名安保人员）</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（2）滨湖路绿地安保人员4人，区域为滨湖路停车场至一家山水对面，16小时值守。6:00至14:00（2名安保人员），14:00至22:00（2名安保人员）。</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（3）秀水广场安保人员9人，区域为秀水广场（从县府到滨水景观飘带），24小时值守。7:00至15:00（3名安保人员），15:00至23:00（4名安保人员），23:00至次日7:00（2名安保人员）</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（4）季节性安保人员配置</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每年7月、8月、9月、10月四个月安排沿湖巡查安保人员，具体配置为：江滨公园1人，秀水广场3人，千岛湖广场和滨湖路步行街3人，8小时值守，起止时间视各区域情况而定。</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4、主要职责</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（1）提供日常巡逻服务。</w:t>
      </w:r>
    </w:p>
    <w:p>
      <w:pPr>
        <w:spacing w:line="360" w:lineRule="auto"/>
        <w:ind w:firstLine="480" w:firstLineChars="20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（2）提供车辆管理服务：负责车辆的进出和按规定停放，做好疏导工作，确保车辆停放有序。</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（3）提供消防安全服务：贯彻以防为主、防消结合的方针，落实日常消防安全工作，确保消防设施设备的正常使用，发现问题及时报告，做好相关的台账记录。</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（4）遇重大节日、大型活动、应急事情、突发事件等，中标方须无条件增派安保人员，确保秩序安全稳定。</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(5)具体方案由中标方报送采购单位审核，安保秩序维护员年龄必须在55周岁以下。</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（四）市政设施维护及专业设备维护</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1、服务时间</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两班倒：8：30—17:30 ，13:00—21:00。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2、主要职责</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主要针对广场消防、供配电、照明、弱电系统、喷泉、给排水、铺装等公用市政设施设备进行日常巡查、运行操作、发现问题及时向采购单位汇报并协助处理；定期对相关设施设备进行维护保养，及时维修确保广场各类设施设备的正常运行。</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3、具体方案由中标方报送采购单位审核，工程维护人员年龄必须在</w:t>
      </w:r>
      <w:r>
        <w:rPr>
          <w:rFonts w:hint="eastAsia" w:cs="宋体" w:asciiTheme="minorEastAsia" w:hAnsiTheme="minorEastAsia" w:eastAsiaTheme="minorEastAsia"/>
          <w:sz w:val="24"/>
        </w:rPr>
        <w:t>55周岁</w:t>
      </w:r>
      <w:r>
        <w:rPr>
          <w:rFonts w:hint="eastAsia" w:cs="宋体" w:asciiTheme="minorEastAsia" w:hAnsiTheme="minorEastAsia" w:eastAsiaTheme="minorEastAsia"/>
          <w:color w:val="000000"/>
          <w:sz w:val="24"/>
        </w:rPr>
        <w:t>以下（已经入职人员可适当放宽）。</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（五）园林绿化养护管理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1、服务时间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夏令时间（5月1日—9月30日）：7:00—17:30</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冬令时间（10月1日—次年4月30日)：7:30—17:00</w:t>
      </w:r>
    </w:p>
    <w:p>
      <w:pPr>
        <w:pStyle w:val="255"/>
        <w:numPr>
          <w:ilvl w:val="0"/>
          <w:numId w:val="1"/>
        </w:numPr>
        <w:ind w:firstLine="480"/>
        <w:rPr>
          <w:rFonts w:asciiTheme="minorEastAsia" w:hAnsiTheme="minorEastAsia" w:eastAsiaTheme="minorEastAsia"/>
        </w:rPr>
      </w:pPr>
      <w:r>
        <w:rPr>
          <w:rFonts w:hint="eastAsia" w:cs="宋体" w:asciiTheme="minorEastAsia" w:hAnsiTheme="minorEastAsia" w:eastAsiaTheme="minorEastAsia"/>
        </w:rPr>
        <w:t>园林绿化养护要求</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参照园林绿化养护技术等级标准（杭州市绿地养护质量标准）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84"/>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内容</w:t>
            </w:r>
          </w:p>
        </w:tc>
        <w:tc>
          <w:tcPr>
            <w:tcW w:w="2084"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要素</w:t>
            </w:r>
          </w:p>
        </w:tc>
        <w:tc>
          <w:tcPr>
            <w:tcW w:w="5300" w:type="dxa"/>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养护要求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草</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坪</w:t>
            </w: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修剪</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草坪保持常绿、平整，草坪高度不超过8cm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清理杂草</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每年清除杂草10遍以上，杂草面积不大于5%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灌、排水</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常年保证有效供水，有低洼及时平整，基本无积水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施肥</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按肥力、草种、生长情况及时施肥，每年4遍以上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病虫害防治</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及时做好病虫害防治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草地生长正常，斑秃黄萎低于5%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树</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木</w:t>
            </w: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修剪</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乔、灌木修剪每年4次以上，基本做到无枯枝、萌蘖枝；篱、球、造型植物及时修剪，每年不少于6遍，做到枝叶紧密、圆整、无脱节；地被、攀爬植物修剪及时，每年不少于3次，基本无枯枝。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中耕除草、松土</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适时中耕除草，做到基本无杂草，土壤疏松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施肥</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按植物品种、生长状况、土壤条件适时施肥，每年普施基肥不少于2遍，花灌木增施追肥2遍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病虫害防治</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防治结合、及时灭治，主要病虫害发生低于5%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扶正加固</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树木基本无倾斜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480" w:lineRule="exact"/>
              <w:jc w:val="center"/>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乔灌木生长良好，树冠完整；花灌木按时开花结果；球、篱，地被生长良好，无缺枝、空挡。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花</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坛</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花</w:t>
            </w:r>
          </w:p>
          <w:p>
            <w:pPr>
              <w:spacing w:line="48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镜</w:t>
            </w: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布置</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一年中有3次以上花卉布置，三季有花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spacing w:line="480" w:lineRule="exact"/>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灌、排水</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保持有效供水，无积水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spacing w:line="480" w:lineRule="exact"/>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补种</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缺枝倒伏不超过5处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spacing w:line="480" w:lineRule="exact"/>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修剪、施肥</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及时清除枯萎的花蒂、黄叶、杂草、垃圾；每年施基肥2次，每次布置前施复合肥1次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spacing w:line="480" w:lineRule="exact"/>
              <w:rPr>
                <w:rFonts w:cs="宋体" w:asciiTheme="minorEastAsia" w:hAnsiTheme="minorEastAsia" w:eastAsiaTheme="minorEastAsia"/>
                <w:color w:val="000000"/>
                <w:sz w:val="24"/>
              </w:rPr>
            </w:pPr>
          </w:p>
        </w:tc>
        <w:tc>
          <w:tcPr>
            <w:tcW w:w="2084" w:type="dxa"/>
            <w:vAlign w:val="center"/>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病虫害防治</w:t>
            </w:r>
          </w:p>
        </w:tc>
        <w:tc>
          <w:tcPr>
            <w:tcW w:w="5300" w:type="dxa"/>
          </w:tcPr>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适时做好病虫害防治</w:t>
            </w:r>
          </w:p>
        </w:tc>
      </w:tr>
    </w:tbl>
    <w:p>
      <w:pPr>
        <w:numPr>
          <w:ilvl w:val="0"/>
          <w:numId w:val="2"/>
        </w:numPr>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sz w:val="24"/>
        </w:rPr>
        <w:t>具体方案由中标方报送采购单位审核，男园林绿化养护人员年龄在65周岁以下，女园林绿化养护人员年龄在60周岁以下（已经入职人员可适当放宽）。</w:t>
      </w:r>
    </w:p>
    <w:p>
      <w:pPr>
        <w:numPr>
          <w:ilvl w:val="0"/>
          <w:numId w:val="3"/>
        </w:num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苗圃养护管理</w:t>
      </w:r>
    </w:p>
    <w:p>
      <w:pPr>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1、服务时间</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夏令时间（5月1日—9月30日）：7:00—17:30</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冬令时间（10月1日—次年4月30日)：7:30—17:00</w:t>
      </w:r>
    </w:p>
    <w:p>
      <w:pPr>
        <w:spacing w:line="360" w:lineRule="auto"/>
        <w:ind w:left="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2、主要职责：苗圃内花草树木养护管理以及卫生保洁管理工作。</w:t>
      </w:r>
    </w:p>
    <w:p>
      <w:pPr>
        <w:spacing w:line="360" w:lineRule="auto"/>
        <w:ind w:firstLine="482"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四、管理机构与人力资源配置要求</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（一）投标人应根据采购人及现场的具体情况，设置相适应的物业管理服务机构，配备服务人员和服务设施。</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1、千岛湖广场、秀水广场分别下设两个管理人员办公室，每个办公室</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至少留守3人，两班轮值。项目负责人1人、铺装保洁主管1人、保洁组长2人、安保主管1人、安保队长2人、工程主管1人、园林绿化主管1人、园林绿化组长2人、苗圃养护管理主管1人。</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2、人员配置</w:t>
      </w:r>
      <w:r>
        <w:rPr>
          <w:rFonts w:hint="eastAsia" w:cs="宋体" w:asciiTheme="minorEastAsia" w:hAnsiTheme="minorEastAsia" w:eastAsiaTheme="minorEastAsia"/>
          <w:sz w:val="24"/>
        </w:rPr>
        <w:t>64</w:t>
      </w:r>
      <w:r>
        <w:rPr>
          <w:rFonts w:hint="eastAsia" w:cs="宋体" w:asciiTheme="minorEastAsia" w:hAnsiTheme="minorEastAsia" w:eastAsiaTheme="minorEastAsia"/>
          <w:color w:val="000000"/>
          <w:sz w:val="24"/>
        </w:rPr>
        <w:t xml:space="preserve">人：铺装保洁人员20人、安保人员20人、工程维护人员2人、园林绿化养护人员19人、苗圃养护人员3人（不含季节性用工）。 </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（二）管理人员应取得物业管理从业资格证书或岗位证书，工程人员必须持有高压及电工作业上岗证，管理负责人目前无担任其它物业管理项目负责人或物业管理人员。</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（三）管理服务人员在服务过程中应保持良好的精神状态；表情自然、亲切；举止大方、有礼；用语文明、规范；对待来访者主动、热情、耐心、周到并及时为来访者提供服务。</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（四）管理服务人员应按规定统一着装、着装整齐清洁，仪表仪容整洁端庄；在指定位置佩戴标志，站姿端正，坐姿稳重，行为规范，服务主动，认真负责。</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（五）管理服务人员应及时、认真做好工作日志、交接班记录、账册等记录工作，做到字迹清晰、数据准确。</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（六）管理服务人员应接受过相关专业技能的培训，掌握物业管理基本法律法规，熟悉珍珠广场及中轴溪的基本情况，能正确使用相关专用设备。</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（七）安保人员要求高中学历以上，年龄18周岁以上、</w:t>
      </w:r>
      <w:r>
        <w:rPr>
          <w:rFonts w:hint="eastAsia" w:cs="宋体" w:asciiTheme="minorEastAsia" w:hAnsiTheme="minorEastAsia" w:eastAsiaTheme="minorEastAsia"/>
          <w:sz w:val="24"/>
        </w:rPr>
        <w:t>55周岁</w:t>
      </w:r>
      <w:r>
        <w:rPr>
          <w:rFonts w:hint="eastAsia" w:cs="宋体" w:asciiTheme="minorEastAsia" w:hAnsiTheme="minorEastAsia" w:eastAsiaTheme="minorEastAsia"/>
          <w:color w:val="000000"/>
          <w:sz w:val="24"/>
        </w:rPr>
        <w:t>以下，没有任何违法犯罪记录，身体健康。安保人员必须经过专业培训才能上岗，每年培训不少于一周。</w:t>
      </w:r>
    </w:p>
    <w:p>
      <w:pPr>
        <w:snapToGrid w:val="0"/>
        <w:spacing w:line="360" w:lineRule="auto"/>
        <w:ind w:firstLine="480" w:firstLineChars="200"/>
        <w:rPr>
          <w:rFonts w:cs="宋体" w:asciiTheme="minorEastAsia" w:hAnsiTheme="minorEastAsia" w:eastAsiaTheme="minorEastAsia"/>
          <w:b/>
          <w:color w:val="FF0000"/>
          <w:kern w:val="0"/>
          <w:sz w:val="24"/>
        </w:rPr>
      </w:pPr>
      <w:r>
        <w:rPr>
          <w:rFonts w:hint="eastAsia" w:cs="宋体" w:asciiTheme="minorEastAsia" w:hAnsiTheme="minorEastAsia" w:eastAsiaTheme="minorEastAsia"/>
          <w:color w:val="000000"/>
          <w:sz w:val="24"/>
        </w:rPr>
        <w:t>（八）人员安排必须充分满足各岗位和工作量的需要。</w:t>
      </w:r>
    </w:p>
    <w:p>
      <w:pPr>
        <w:spacing w:line="360" w:lineRule="auto"/>
        <w:ind w:firstLine="482" w:firstLineChars="200"/>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五、日常管理服务要求</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（一）以环境卫生、安保服务、市政设施设备维护、园林绿化养护、苗圃养护、协调服务为主要管理内容。投标人宜从实际出发，充分考虑制定合适、有效的节约能源方案，并付诸实施。</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（二）投标人按照管理内容编制检查表，每日进行检查，发现问题及时整改。</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（三）采购人对中标人各工作岗位的服务质量随时进行抽查。发现问题，及时书面通知整改。每月进行统计，参与综合评分。</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（四）采购人根据综合评分酌情进行物业管理费的支付。</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（五）除中标人对服务人员的培训外，需接受采购人对服务人员的集中进行培训。</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（六）所有岗位建立岗位责任与运作程序、工作质量标准。</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（七）中标人建立各类应急预案（如消防、抗台、防汛、防寒、防疫等），并培训相关人员达到相关要求。</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（八）重大接待任务必须事先制订周密的接待工作计划，并严格按照计划实施。</w:t>
      </w:r>
    </w:p>
    <w:p>
      <w:pPr>
        <w:snapToGrid w:val="0"/>
        <w:spacing w:line="360" w:lineRule="auto"/>
        <w:ind w:firstLine="560"/>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sz w:val="24"/>
        </w:rPr>
        <w:t>（九）保密规定：投标人应当对涉及采购人的信息严格保密，未经采购人许可，不得将信息泄露给第三方。否则，采购人有追究法律责任的权利。</w:t>
      </w:r>
    </w:p>
    <w:p>
      <w:pPr>
        <w:tabs>
          <w:tab w:val="right" w:pos="8500"/>
        </w:tabs>
        <w:spacing w:line="360" w:lineRule="auto"/>
        <w:ind w:firstLine="570"/>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六、物业管理目标</w:t>
      </w:r>
      <w:r>
        <w:rPr>
          <w:rFonts w:hint="eastAsia" w:cs="宋体" w:asciiTheme="minorEastAsia" w:hAnsiTheme="minorEastAsia" w:eastAsiaTheme="minorEastAsia"/>
          <w:b/>
          <w:color w:val="000000"/>
          <w:kern w:val="0"/>
          <w:sz w:val="24"/>
        </w:rPr>
        <w:tab/>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（一）投标人根据标的范围和内容，逐条分别确定拟达到的服务质量、目标及服务响应时间，具体内容和量化指标由投标人按项目自行编制。</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（二）具体分项指标：</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1、杜绝火灾责任事故，杜绝刑事案件；</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2、环境卫生清洁率不小于99%；</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3、消防设备设施完好率100%；</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4、房屋完好率不小于98%；</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5、设备完好率100%；</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6、智能化系统运行正常率100%；</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7、零修、报修及时率不小于98%，返修率小于1%；</w:t>
      </w:r>
    </w:p>
    <w:p>
      <w:pPr>
        <w:snapToGrid w:val="0"/>
        <w:spacing w:line="360" w:lineRule="auto"/>
        <w:ind w:firstLine="560"/>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sz w:val="24"/>
        </w:rPr>
        <w:t>8、服务有效投诉少于1%，处理率100%。</w:t>
      </w:r>
    </w:p>
    <w:p>
      <w:pPr>
        <w:spacing w:line="360" w:lineRule="auto"/>
        <w:ind w:firstLine="570"/>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七、服务质量要求</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（一）各投标人需本着对企业品牌的延伸，以社会化效益为重的原则进行投标。</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（二）各投标人须在对现场、周边环境全面了解的情况下编制科学合理、切实可行的组织实施计划以及具体的保障措施、工作程序。</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（三）投标人应制订具体的质量保证措施及质量保证和相关服务承诺。</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（四）投标人须按现代企业制度运行，发挥自身优势，以热心、爱心、专心的贴心服务，为采购人后勤社会化提供全方位、一体化的专业服务保障。确保项目正常运转，各项重大活动顺利完成。</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（五）中标人达不到采购人要求及中标人各项服务承诺，采购人有权要求其整改，直至扣款或终止合同。</w:t>
      </w:r>
    </w:p>
    <w:p>
      <w:pPr>
        <w:snapToGrid w:val="0"/>
        <w:spacing w:line="360" w:lineRule="auto"/>
        <w:ind w:firstLine="560"/>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sz w:val="24"/>
        </w:rPr>
        <w:t>（六）中标人所有工作除应按中标人的内部流程实施外，还应接受采购人或采购人委托的第三方的检查。</w:t>
      </w:r>
    </w:p>
    <w:p>
      <w:pPr>
        <w:spacing w:line="360" w:lineRule="auto"/>
        <w:ind w:firstLine="570"/>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八、其他说明</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（一）投标人应考虑企业自身实力、经验及项目实施过程中的各种因素，根据采购要求，详细说明所能提供的各项具体服务内容，自主确定投标报价</w:t>
      </w:r>
      <w:r>
        <w:rPr>
          <w:rFonts w:hint="eastAsia" w:cs="宋体" w:asciiTheme="minorEastAsia" w:hAnsiTheme="minorEastAsia" w:eastAsiaTheme="minorEastAsia"/>
          <w:sz w:val="24"/>
        </w:rPr>
        <w:t>（1年，按照中标时间确定）</w:t>
      </w:r>
      <w:r>
        <w:rPr>
          <w:rFonts w:hint="eastAsia" w:cs="宋体" w:asciiTheme="minorEastAsia" w:hAnsiTheme="minorEastAsia" w:eastAsiaTheme="minorEastAsia"/>
          <w:color w:val="000000"/>
          <w:sz w:val="24"/>
        </w:rPr>
        <w:t>，实行总价包干，并按服务的内容分别独立报价。</w:t>
      </w:r>
    </w:p>
    <w:p>
      <w:pPr>
        <w:snapToGrid w:val="0"/>
        <w:spacing w:line="360" w:lineRule="auto"/>
        <w:ind w:firstLine="560"/>
        <w:rPr>
          <w:rFonts w:cs="宋体" w:asciiTheme="minorEastAsia" w:hAnsiTheme="minorEastAsia" w:eastAsiaTheme="minorEastAsia"/>
          <w:b/>
          <w:color w:val="000000"/>
          <w:sz w:val="24"/>
        </w:rPr>
      </w:pPr>
      <w:r>
        <w:rPr>
          <w:rFonts w:hint="eastAsia" w:cs="宋体" w:asciiTheme="minorEastAsia" w:hAnsiTheme="minorEastAsia" w:eastAsiaTheme="minorEastAsia"/>
          <w:color w:val="000000"/>
          <w:sz w:val="24"/>
        </w:rPr>
        <w:t>（二）除招标文件特殊说明外，投标人报价应包括为完成本项目服务可能发生的全部费用及中标人的利润和应交纳的税金等（包括人员工资、各种社会保险、人员食宿与交通、消耗材料、专用设备及工具、器材、办公费、每年的垃圾清运费用、</w:t>
      </w:r>
      <w:r>
        <w:rPr>
          <w:rFonts w:hint="eastAsia" w:cs="宋体" w:asciiTheme="minorEastAsia" w:hAnsiTheme="minorEastAsia" w:eastAsiaTheme="minorEastAsia"/>
          <w:color w:val="000000" w:themeColor="text1"/>
          <w:sz w:val="24"/>
        </w:rPr>
        <w:t>市政设施设备维保费用等</w:t>
      </w:r>
      <w:r>
        <w:rPr>
          <w:rFonts w:hint="eastAsia" w:cs="宋体" w:asciiTheme="minorEastAsia" w:hAnsiTheme="minorEastAsia" w:eastAsiaTheme="minorEastAsia"/>
          <w:color w:val="000000"/>
          <w:sz w:val="24"/>
        </w:rPr>
        <w:t>）,投标人对合同内容的费用、质量、安全、文明服务等实行全面承包。</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（三）中标人所需的各种设备、设施、工具均由中标人提供并承担相关维护费用；采购方提供给中标方使用的工具设备，由中标人负责维护、维修。</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服务经费包括：办公用品、电话费、交通费、人员培训费、工会费、从业人员服装费、服务绩效考评费用等均包含在投标费用中，公共区域垃圾袋、办公室抽纸、垃圾袋的日常供应等清洁材料、低值易耗品均由中标人提供。</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color w:val="000000"/>
          <w:sz w:val="24"/>
        </w:rPr>
        <w:t>（五）</w:t>
      </w:r>
      <w:r>
        <w:rPr>
          <w:rFonts w:hint="eastAsia" w:cs="宋体" w:asciiTheme="minorEastAsia" w:hAnsiTheme="minorEastAsia" w:eastAsiaTheme="minorEastAsia"/>
          <w:sz w:val="24"/>
        </w:rPr>
        <w:t>消控、弱电、空调等专业设备维保配套费、保洁、保安耗材、铺装地面维护费、维修工具等费用及室外绿化养护费均包含在投标费用中。</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（六）对维修不及时或其他原因造成的维修问题，采购人有权请第三方维修，维修费用由中标人支付。</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（七）采购人提供中标人的物业管理用房，不提供中标人物业管理人员的住宿用房。</w:t>
      </w:r>
    </w:p>
    <w:p>
      <w:pPr>
        <w:snapToGrid w:val="0"/>
        <w:spacing w:line="360" w:lineRule="auto"/>
        <w:ind w:firstLine="560"/>
        <w:rPr>
          <w:rFonts w:cs="宋体" w:asciiTheme="minorEastAsia" w:hAnsiTheme="minorEastAsia" w:eastAsiaTheme="minorEastAsia"/>
          <w:b/>
          <w:kern w:val="0"/>
          <w:sz w:val="24"/>
        </w:rPr>
      </w:pPr>
      <w:r>
        <w:rPr>
          <w:rFonts w:hint="eastAsia" w:cs="宋体" w:asciiTheme="minorEastAsia" w:hAnsiTheme="minorEastAsia" w:eastAsiaTheme="minorEastAsia"/>
          <w:sz w:val="24"/>
        </w:rPr>
        <w:t>（八）委托管理期限：自2022年10月11日至2023年10月10日，其中安保服务期限为2023年4月1日至2024年3月31日（按照中标时间确定）。如果一年合同期内中标单位月度考核均在合格及以上，则采购单位与中标单位续签一年采购合同，服务期限延长一年。如果中标单位累计3次月度考核不合格，采购单位有权提前终止合同。</w:t>
      </w:r>
    </w:p>
    <w:p>
      <w:pPr>
        <w:spacing w:line="360" w:lineRule="auto"/>
        <w:ind w:firstLine="57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九、检查与考核</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服务方应制订具体的质量保证措施及质量保证和相关服务承诺。服务方所有的工作除应按服务方的内部流程实施外，还应接受采购人或第三方的随时检查。如因质量未达到目标，采购人有权要求其整改，同时服务方应承担责任和经济赔偿（扣款或终止合同）。</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采购人定期和不定期地对服务方管理服务进行检查和抽查，检查记录和整改时限反馈服务方。并每季对“传达、保安和秩序管理”、“环境卫生”、“综合维修”、“园林绿化养护”等内容的检查结果进行考核。</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供应商应对所服务的项目要求编制各分项目的具体管理服务方案（包括项目管理对象与类型、人员配置与持证、实施计划和措施、实施时间和完成时间、费用预算及相应的各项管理制度和管理程序等可操作性内容），制订质量保证和相关服务承诺、相关的质量保证措施，并在合同签订后的一周内交采购单位审核认可。在日常管理服务的各阶段中，应针对各项目的特性和实际情况，制订月（季）度、半年度和专项工作计划，包括切实可行的实施方案和应急方案。</w:t>
      </w:r>
    </w:p>
    <w:p>
      <w:pPr>
        <w:snapToGrid w:val="0"/>
        <w:spacing w:line="360" w:lineRule="auto"/>
        <w:ind w:firstLine="560"/>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sz w:val="24"/>
        </w:rPr>
        <w:t>（四）供应商的物业管理服务工作应依据自身的管理方式，制订相应的物业点管理制度和内部流程，并报采购单位备案；配置合适的办公设施、服务设备工器具和物料。每月编制物业点服务经费使用清单，报采购单位审核；供应商上层管理应定期和随机对所在采购单位物业点管理进行抽查和跟踪检查，并将检查结果和处理措施及时通报采购单位。同时，接受采购单位或第三方的随时检查。如因质量未达到要求与目标，采购单位有权要求其限期整改，同时供应商应承担相应责任和经济赔偿（扣款或终止合同）。</w:t>
      </w:r>
    </w:p>
    <w:p>
      <w:pPr>
        <w:snapToGrid w:val="0"/>
        <w:spacing w:line="360" w:lineRule="auto"/>
        <w:ind w:firstLine="472" w:firstLineChars="196"/>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十、其它商务条款：</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color w:val="000000"/>
          <w:sz w:val="24"/>
        </w:rPr>
        <w:t>1、付款方式：</w:t>
      </w:r>
      <w:r>
        <w:rPr>
          <w:rFonts w:hint="eastAsia" w:cs="宋体" w:asciiTheme="minorEastAsia" w:hAnsiTheme="minorEastAsia" w:eastAsiaTheme="minorEastAsia"/>
          <w:sz w:val="24"/>
        </w:rPr>
        <w:t>在合同生效以及具备实施条件后7个工作日内支付年合同价50%，余款按季支付，每季度末考核完成，扣除相关费用后支付当季服务费。</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sz w:val="24"/>
        </w:rPr>
        <w:t>2、服务期：1年。如果一年合同期内中标单位月度考核均在合格及以上，则采购单位与中标单位续签一年采购合同，服务期限延长一年。如果中标单位累计3次月度考核不合格，采购单位有权提前终止合同。</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sz w:val="24"/>
        </w:rPr>
        <w:t>3、服务地点：千岛湖广场、秀水广场、滨湖路及苗圃等。</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sz w:val="24"/>
        </w:rPr>
        <w:t>4、物业管理合同的要求：签订专业的委托管理合同。服务时间：自合同签订生效后壹周年。如果中标单位累计3次月度考核不合格，采购单位有权提前终止合同，一切后果有中标单位承担。</w:t>
      </w:r>
    </w:p>
    <w:p>
      <w:pPr>
        <w:snapToGrid w:val="0"/>
        <w:spacing w:line="360" w:lineRule="auto"/>
        <w:ind w:firstLine="560"/>
        <w:rPr>
          <w:rFonts w:cs="宋体" w:asciiTheme="minorEastAsia" w:hAnsiTheme="minorEastAsia" w:eastAsiaTheme="minorEastAsia"/>
          <w:sz w:val="24"/>
        </w:rPr>
      </w:pPr>
      <w:r>
        <w:rPr>
          <w:rFonts w:hint="eastAsia" w:cs="宋体" w:asciiTheme="minorEastAsia" w:hAnsiTheme="minorEastAsia" w:eastAsiaTheme="minorEastAsia"/>
          <w:sz w:val="24"/>
        </w:rPr>
        <w:t>5、本次招标代理服务费由中标方承担，专家评审费用由采购方承担。</w:t>
      </w:r>
    </w:p>
    <w:p>
      <w:pPr>
        <w:snapToGrid w:val="0"/>
        <w:spacing w:line="360" w:lineRule="auto"/>
        <w:ind w:firstLine="482" w:firstLineChars="200"/>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十一、采购方给中标单位提供的相关场地</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（一）采购单位向供应商免费提供物业管理用房，但办公用品（指日常配套办公用品、耗材等）由供应商自行解决。</w:t>
      </w:r>
    </w:p>
    <w:p>
      <w:pPr>
        <w:snapToGrid w:val="0"/>
        <w:spacing w:line="360" w:lineRule="auto"/>
        <w:ind w:firstLine="560"/>
        <w:rPr>
          <w:rFonts w:cs="宋体" w:asciiTheme="minorEastAsia" w:hAnsiTheme="minorEastAsia" w:eastAsiaTheme="minorEastAsia"/>
          <w:b/>
          <w:bCs/>
          <w:color w:val="000000"/>
          <w:sz w:val="24"/>
        </w:rPr>
      </w:pPr>
      <w:r>
        <w:rPr>
          <w:rFonts w:hint="eastAsia" w:cs="宋体" w:asciiTheme="minorEastAsia" w:hAnsiTheme="minorEastAsia" w:eastAsiaTheme="minorEastAsia"/>
          <w:color w:val="000000"/>
          <w:sz w:val="24"/>
        </w:rPr>
        <w:t>（二）采购单位向供应商免费提供的相关场地包括：物业管理用房，管理服务人员在使用房间内必须做好自身内务管理。</w:t>
      </w:r>
    </w:p>
    <w:p>
      <w:pPr>
        <w:snapToGrid w:val="0"/>
        <w:spacing w:line="360" w:lineRule="auto"/>
        <w:ind w:firstLine="472" w:firstLineChars="196"/>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十二、物业单位人员进场要求</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（一）物业管理人员入驻按照实际使用时间派驻人员。费用按中标单位人员报价清单计算人工费和公司运行费用。（具体在合同中明确）。</w:t>
      </w:r>
    </w:p>
    <w:p>
      <w:pPr>
        <w:snapToGrid w:val="0"/>
        <w:spacing w:line="360" w:lineRule="auto"/>
        <w:ind w:firstLine="56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（二）做好与前物业公司交接工作，能留用人员尽量留用，做到合理过度。</w:t>
      </w:r>
    </w:p>
    <w:p>
      <w:pPr>
        <w:pStyle w:val="964"/>
        <w:rPr>
          <w:rFonts w:asciiTheme="minorEastAsia" w:hAnsiTheme="minorEastAsia" w:eastAsiaTheme="minorEastAsia"/>
        </w:rPr>
        <w:sectPr>
          <w:headerReference r:id="rId8" w:type="default"/>
          <w:footerReference r:id="rId9" w:type="default"/>
          <w:pgSz w:w="11906" w:h="16838"/>
          <w:pgMar w:top="850" w:right="1418" w:bottom="850" w:left="1418" w:header="851" w:footer="850" w:gutter="0"/>
          <w:cols w:space="720" w:num="1"/>
          <w:docGrid w:linePitch="312" w:charSpace="0"/>
        </w:sect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千岛湖广场、秀水广场、滨湖路及苗圃运行维护管理项目考核细则</w:t>
      </w:r>
    </w:p>
    <w:tbl>
      <w:tblPr>
        <w:tblStyle w:val="6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358"/>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11" w:type="dxa"/>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4358" w:type="dxa"/>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标准内容及规定分值</w:t>
            </w:r>
          </w:p>
        </w:tc>
        <w:tc>
          <w:tcPr>
            <w:tcW w:w="3705" w:type="dxa"/>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1" w:type="dxa"/>
            <w:vMerge w:val="restart"/>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基</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础</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10分</w:t>
            </w: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物业管理公司制定各项管理制度，企业文化，工作岗位标准、考核细则等并悬挂于物业办公室。（2分）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制度不完善或未执行的，扣0.5分/项。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公司及业务档案资料整理归档。（1分）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档案资料不完善的，扣0.5分/项。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岗位专业技术人员安排培训。（1分）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各个岗位未培训的，扣0.5分/项。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专业技术人员持证上岗；员工着装规范，佩戴明显标志，工作规范、作风严谨。（2分）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专业技术人员无证上岗0.5分/次/人；着装及标志不符合要求0.5分/次/人。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重大任务或活动的对接等任务。（2分）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重大任务或活动出错的扣1分/次。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应急预案的制定与安排。（1分）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未合理安排的，扣0.5分/次。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采购方临时交待的任务。（1分）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未及时完成的，扣0.5分/次。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vMerge w:val="restart"/>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保</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洁</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服</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25分</w:t>
            </w: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环卫设施完备，</w:t>
            </w:r>
            <w:r>
              <w:rPr>
                <w:rFonts w:hint="eastAsia" w:cs="宋体" w:asciiTheme="minorEastAsia" w:hAnsiTheme="minorEastAsia" w:eastAsiaTheme="minorEastAsia"/>
                <w:kern w:val="0"/>
                <w:sz w:val="24"/>
              </w:rPr>
              <w:t>放置整齐、保持清洁完好；</w:t>
            </w:r>
            <w:r>
              <w:rPr>
                <w:rFonts w:hint="eastAsia" w:cs="宋体" w:asciiTheme="minorEastAsia" w:hAnsiTheme="minorEastAsia" w:eastAsiaTheme="minorEastAsia"/>
                <w:sz w:val="24"/>
              </w:rPr>
              <w:t>设有垃圾箱、果壳箱、垃圾收集点。（2分）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发现一处不合格的，一处扣0.5分/次。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保洁卫生实行责任制，有专职保洁人员和明确的责任范围，实行标准化保洁。(2分)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缺岗或责任不清的，每处扣0.5分/次。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垃圾分类准确，绿地及设施整洁，</w:t>
            </w:r>
            <w:r>
              <w:rPr>
                <w:rFonts w:hint="eastAsia" w:cs="宋体" w:asciiTheme="minorEastAsia" w:hAnsiTheme="minorEastAsia" w:eastAsiaTheme="minorEastAsia"/>
                <w:kern w:val="0"/>
                <w:sz w:val="24"/>
              </w:rPr>
              <w:t>地面清扫、水面垃圾打捞及时，垃圾日产日清，地面无明显垃圾，水面无漂浮垃圾，</w:t>
            </w:r>
            <w:r>
              <w:rPr>
                <w:rFonts w:hint="eastAsia" w:cs="宋体" w:asciiTheme="minorEastAsia" w:hAnsiTheme="minorEastAsia" w:eastAsiaTheme="minorEastAsia"/>
                <w:sz w:val="24"/>
              </w:rPr>
              <w:t>叶面无陈旧积尘，</w:t>
            </w:r>
            <w:r>
              <w:rPr>
                <w:rFonts w:hint="eastAsia" w:cs="宋体" w:asciiTheme="minorEastAsia" w:hAnsiTheme="minorEastAsia" w:eastAsiaTheme="minorEastAsia"/>
                <w:kern w:val="0"/>
                <w:sz w:val="24"/>
              </w:rPr>
              <w:t>无卫生死角。（10分）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绿地、铺装及设施不整洁，一处扣0.5分，垃圾分类不对，一处扣0.5分。</w:t>
            </w:r>
            <w:r>
              <w:rPr>
                <w:rFonts w:hint="eastAsia" w:cs="宋体" w:asciiTheme="minorEastAsia" w:hAnsiTheme="minorEastAsia" w:eastAsiaTheme="minorEastAsia"/>
                <w:kern w:val="0"/>
                <w:sz w:val="24"/>
              </w:rPr>
              <w:t>水面有垃圾漂浮物，一处扣0.5分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公共设施设备、场地无乱贴、乱画，无擅自占用和堆放杂物，场地无纸屑、烟头、积水等废弃物。(10分)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保洁工作投诉案件。（1分）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每接1次投诉扣1分。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设       施     维     护     维</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修</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10分</w:t>
            </w: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定期巡查，维护保养、运行记录管理、维修档案记录。（2分）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记录缺少的，视情况每次扣0.5分。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设备、机房整洁干净、无污染（1分）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设施设备良好，运行正常。无大面积破损、无积水、无淤泥。（2分）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由于设施设备维护维修不及时，每发现一处扣0.5分。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供电、弱电、消防、给排水、空调、照明等维护严格按照标准执行。（2分）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未及时执行的，发现一处扣1分。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导游牌、指示牌放置合理，文字、图案简洁明了、整齐规范完整。（1</w:t>
            </w:r>
            <w:r>
              <w:rPr>
                <w:rFonts w:hint="eastAsia" w:cs="宋体" w:asciiTheme="minorEastAsia" w:hAnsiTheme="minorEastAsia" w:eastAsiaTheme="minorEastAsia"/>
                <w:kern w:val="0"/>
                <w:sz w:val="24"/>
              </w:rPr>
              <w:t>分</w:t>
            </w:r>
            <w:r>
              <w:rPr>
                <w:rFonts w:hint="eastAsia" w:cs="宋体" w:asciiTheme="minorEastAsia" w:hAnsiTheme="minorEastAsia" w:eastAsiaTheme="minorEastAsia"/>
                <w:kern w:val="0"/>
                <w:sz w:val="24"/>
                <w:lang w:val="zh-CN"/>
              </w:rPr>
              <w:t>）</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不符合要求的，每处扣0.5分。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工程维修工作投诉案件。（2分）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每接1次投诉扣1分。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安</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保</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秩</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序</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维</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护</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15分</w:t>
            </w: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有专业安保队伍，实行24小时值班巡逻制度，安保人员熟悉工作环境，文明执勤，训练有素。（3分）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值班及巡逻记录不规范，每处扣0.5分/次。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履行岗位职责、做好安全防范（3分）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管理不到位，每处扣0.5分。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非机动车集中停放，不可随意进出广场（2分）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发现一次未按规定摆放的，扣0.5分/次。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广场内无聚众赌博、打架斗殴等违法行为。（2分）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重点区域定点定岗。（2分）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没执行的，每处扣0.5分。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危及人身安全处设有明显标志和防范措施。（1分）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发现一处未执行的，每处扣0.5分。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安保服务工作投诉及安全案件。（2分）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每发生1次投诉扣1分。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Merge w:val="restart"/>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园</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林</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绿</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化</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养</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护</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管</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40分</w:t>
            </w: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根据设计意图体现植物造景，养护精细，生长茂盛，景观良好。（3分）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因养护不当造成植物生长不良、影响景观的，每处扣1分。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autoSpaceDE w:val="0"/>
              <w:autoSpaceDN w:val="0"/>
              <w:spacing w:line="440" w:lineRule="exac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乔木树冠完整、茂盛，树干挺直，具有一定的遮荫及观赏效果；叶片在正常条件下不黄叶，不蕉叶，不卷叶，不落叶；无徒长枝、病虫枝、过密枝、枯枝、伤损枝、碰线枝；及时抹芽，对树木要控制倾斜度，并逐渐扶正。</w:t>
            </w:r>
            <w:r>
              <w:rPr>
                <w:rFonts w:hint="eastAsia" w:cs="宋体" w:asciiTheme="minorEastAsia" w:hAnsiTheme="minorEastAsia" w:eastAsiaTheme="minorEastAsia"/>
                <w:kern w:val="0"/>
                <w:sz w:val="24"/>
                <w:lang w:val="zh-CN"/>
              </w:rPr>
              <w:t>（5</w:t>
            </w:r>
            <w:r>
              <w:rPr>
                <w:rFonts w:hint="eastAsia" w:cs="宋体" w:asciiTheme="minorEastAsia" w:hAnsiTheme="minorEastAsia" w:eastAsiaTheme="minorEastAsia"/>
                <w:kern w:val="0"/>
                <w:sz w:val="24"/>
              </w:rPr>
              <w:t>分</w:t>
            </w:r>
            <w:r>
              <w:rPr>
                <w:rFonts w:hint="eastAsia" w:cs="宋体" w:asciiTheme="minorEastAsia" w:hAnsiTheme="minorEastAsia" w:eastAsiaTheme="minorEastAsia"/>
                <w:kern w:val="0"/>
                <w:sz w:val="24"/>
                <w:lang w:val="zh-CN"/>
              </w:rPr>
              <w:t>）</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树形差、长势差、缺乏观赏价值的，每株扣1分；有明显徒长枝、病虫枝、枯枝、伤损枝、碰线枝的，每处扣0.5分；主干及一级枝有不定芽，每株扣0.5分；树木倾斜明显，而不采取扶正措施的，每株扣1分；树干有钉子、铁丝、晾晒衣物等破坏树木生长的现象，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kern w:val="0"/>
                <w:sz w:val="24"/>
              </w:rPr>
              <w:t>灌木生长健壮，无明显杂草、缺株，观花灌木植物开花茂盛。</w:t>
            </w:r>
            <w:r>
              <w:rPr>
                <w:rFonts w:hint="eastAsia" w:cs="宋体" w:asciiTheme="minorEastAsia" w:hAnsiTheme="minorEastAsia" w:eastAsiaTheme="minorEastAsia"/>
                <w:sz w:val="24"/>
              </w:rPr>
              <w:t>修剪及时，无窜枝，控制好绿篱高度，植物高度不得影响交通视线，</w:t>
            </w:r>
            <w:r>
              <w:rPr>
                <w:rFonts w:hint="eastAsia" w:cs="宋体" w:asciiTheme="minorEastAsia" w:hAnsiTheme="minorEastAsia" w:eastAsiaTheme="minorEastAsia"/>
                <w:kern w:val="0"/>
                <w:sz w:val="24"/>
              </w:rPr>
              <w:t>植物种植合理，无明显边沟、裸地。</w:t>
            </w:r>
            <w:r>
              <w:rPr>
                <w:rFonts w:hint="eastAsia" w:cs="宋体" w:asciiTheme="minorEastAsia" w:hAnsiTheme="minorEastAsia" w:eastAsiaTheme="minorEastAsia"/>
                <w:sz w:val="24"/>
              </w:rPr>
              <w:t>（8分）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花灌木在花期内无花的，每处扣1.5分;绿篱未及时修剪，有窜枝，每处扣1分；绿篱植物高度过高的，每处扣1分；黄土裸露的，每平方米扣0.5分，不足1平方米按1平方米计算；绿带内枯枝残叶未及时清理、有明显杂草的，每处扣1分；边沟明显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行道树保存率100%，绿化带保存率98%以上。无死株、无缺株。（7分）</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行道树、大中型灌木有死株、缺株的，每株扣1分；小灌木明显缺、死株的，每处扣1分。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5"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草坪覆盖率在95%以上，无明显杂草、积水，滚剪及时（暖季草4-6厘米、冷季草6-8厘米），草坪边线清晰。（6</w:t>
            </w:r>
            <w:r>
              <w:rPr>
                <w:rFonts w:hint="eastAsia" w:cs="宋体" w:asciiTheme="minorEastAsia" w:hAnsiTheme="minorEastAsia" w:eastAsiaTheme="minorEastAsia"/>
                <w:kern w:val="0"/>
                <w:sz w:val="24"/>
              </w:rPr>
              <w:t>分</w:t>
            </w:r>
            <w:r>
              <w:rPr>
                <w:rFonts w:hint="eastAsia" w:cs="宋体" w:asciiTheme="minorEastAsia" w:hAnsiTheme="minorEastAsia" w:eastAsiaTheme="minorEastAsia"/>
                <w:kern w:val="0"/>
                <w:sz w:val="24"/>
                <w:lang w:val="zh-CN"/>
              </w:rPr>
              <w:t>）</w:t>
            </w:r>
          </w:p>
        </w:tc>
        <w:tc>
          <w:tcPr>
            <w:tcW w:w="3705"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常绿草草种不纯正，每处扣0.5分，草坪边缘线不清晰的，每处扣0.5分；草坪高度不符合要求的，每处扣0.5分；草坪内杂草较多的，每处扣0.5分；黄土裸露的，每平方米扣0.5分，不足1平方米按1平方米计算。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asciiTheme="minorEastAsia" w:hAnsiTheme="minorEastAsia" w:eastAsiaTheme="minorEastAsia"/>
                <w:sz w:val="24"/>
              </w:rPr>
            </w:pPr>
            <w:r>
              <w:rPr>
                <w:rFonts w:hint="eastAsia" w:cs="宋体" w:asciiTheme="minorEastAsia" w:hAnsiTheme="minorEastAsia" w:eastAsiaTheme="minorEastAsia"/>
                <w:kern w:val="0"/>
                <w:sz w:val="24"/>
              </w:rPr>
              <w:t>根据植物生长情况及时施肥，植物生长健壮。</w:t>
            </w:r>
            <w:r>
              <w:rPr>
                <w:rFonts w:hint="eastAsia" w:cs="宋体" w:asciiTheme="minorEastAsia" w:hAnsiTheme="minorEastAsia" w:eastAsiaTheme="minorEastAsia"/>
                <w:sz w:val="24"/>
              </w:rPr>
              <w:t>（5分）</w:t>
            </w:r>
          </w:p>
        </w:tc>
        <w:tc>
          <w:tcPr>
            <w:tcW w:w="3705" w:type="dxa"/>
            <w:vAlign w:val="center"/>
          </w:tcPr>
          <w:p>
            <w:pPr>
              <w:spacing w:line="440" w:lineRule="exact"/>
              <w:jc w:val="left"/>
              <w:rPr>
                <w:rFonts w:asciiTheme="minorEastAsia" w:hAnsiTheme="minorEastAsia" w:eastAsiaTheme="minorEastAsia"/>
                <w:sz w:val="24"/>
              </w:rPr>
            </w:pPr>
            <w:r>
              <w:rPr>
                <w:rFonts w:hint="eastAsia" w:cs="宋体" w:asciiTheme="minorEastAsia" w:hAnsiTheme="minorEastAsia" w:eastAsiaTheme="minorEastAsia"/>
                <w:sz w:val="24"/>
              </w:rPr>
              <w:t>没有明显施肥记录或不按标准施肥的，每处扣1分。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Theme="minorEastAsia" w:hAnsiTheme="minorEastAsia" w:eastAsiaTheme="minorEastAsia"/>
                <w:sz w:val="24"/>
              </w:rPr>
            </w:pPr>
          </w:p>
        </w:tc>
        <w:tc>
          <w:tcPr>
            <w:tcW w:w="4358" w:type="dxa"/>
            <w:vAlign w:val="center"/>
          </w:tcPr>
          <w:p>
            <w:pPr>
              <w:spacing w:line="440" w:lineRule="exact"/>
              <w:jc w:val="left"/>
              <w:rPr>
                <w:rFonts w:asciiTheme="minorEastAsia" w:hAnsiTheme="minorEastAsia" w:eastAsiaTheme="minorEastAsia"/>
                <w:sz w:val="24"/>
              </w:rPr>
            </w:pPr>
            <w:r>
              <w:rPr>
                <w:rFonts w:hint="eastAsia" w:cs="宋体" w:asciiTheme="minorEastAsia" w:hAnsiTheme="minorEastAsia" w:eastAsiaTheme="minorEastAsia"/>
                <w:sz w:val="24"/>
              </w:rPr>
              <w:t>提倡综合防治，以防为主。病虫害危害应控制在以不影响观赏效果的范围之内。（6分）</w:t>
            </w:r>
          </w:p>
        </w:tc>
        <w:tc>
          <w:tcPr>
            <w:tcW w:w="3705" w:type="dxa"/>
            <w:vAlign w:val="center"/>
          </w:tcPr>
          <w:p>
            <w:pPr>
              <w:spacing w:line="440" w:lineRule="exact"/>
              <w:jc w:val="left"/>
              <w:rPr>
                <w:rFonts w:asciiTheme="minorEastAsia" w:hAnsiTheme="minorEastAsia" w:eastAsiaTheme="minorEastAsia"/>
                <w:sz w:val="24"/>
              </w:rPr>
            </w:pPr>
            <w:r>
              <w:rPr>
                <w:rFonts w:hint="eastAsia" w:cs="宋体" w:asciiTheme="minorEastAsia" w:hAnsiTheme="minorEastAsia" w:eastAsiaTheme="minorEastAsia"/>
                <w:sz w:val="24"/>
              </w:rPr>
              <w:t>乔木有明显病虫害的，每发现一株扣0.5分；绿化带内有明显病虫害的，每处扣1分。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8063" w:type="dxa"/>
            <w:gridSpan w:val="2"/>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考核扣减5（含）分以内的，不扣除服务费；考核扣减5（不含）-10(含)分，超出5分的分值按300元/分扣除服务费；考核扣减10（不含）-20(含)分，超出10分的分值按600元/分扣除服务费；考核扣减20（不含）分以上，评定为不合格，超出20分的分值按900元/分扣除服务费。</w:t>
            </w:r>
          </w:p>
        </w:tc>
      </w:tr>
    </w:tbl>
    <w:p>
      <w:pPr>
        <w:spacing w:line="360" w:lineRule="auto"/>
        <w:ind w:firstLine="480" w:firstLineChars="200"/>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b/>
          <w:sz w:val="24"/>
        </w:rPr>
      </w:pPr>
    </w:p>
    <w:p>
      <w:pPr>
        <w:snapToGrid w:val="0"/>
        <w:spacing w:line="36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27" w:name="_Toc184312089"/>
      <w:bookmarkEnd w:id="27"/>
      <w:bookmarkStart w:id="28" w:name="_Toc184313305"/>
      <w:bookmarkEnd w:id="28"/>
      <w:bookmarkStart w:id="29" w:name="_Toc184313290"/>
      <w:bookmarkEnd w:id="29"/>
      <w:bookmarkStart w:id="30" w:name="_Toc184312108"/>
      <w:bookmarkEnd w:id="30"/>
      <w:bookmarkStart w:id="31" w:name="_Toc184308096"/>
      <w:bookmarkEnd w:id="31"/>
      <w:bookmarkStart w:id="32" w:name="_Toc184314475"/>
      <w:bookmarkEnd w:id="32"/>
      <w:bookmarkStart w:id="33" w:name="_Toc184313302"/>
      <w:bookmarkEnd w:id="33"/>
      <w:bookmarkStart w:id="34" w:name="_Toc184310300"/>
      <w:bookmarkEnd w:id="34"/>
      <w:bookmarkStart w:id="35" w:name="_Toc184308107"/>
      <w:bookmarkEnd w:id="35"/>
      <w:bookmarkStart w:id="36" w:name="_Toc184308044"/>
      <w:bookmarkEnd w:id="36"/>
      <w:bookmarkStart w:id="37" w:name="_Toc184313297"/>
      <w:bookmarkEnd w:id="37"/>
      <w:bookmarkStart w:id="38" w:name="_Toc184313245"/>
      <w:bookmarkEnd w:id="38"/>
      <w:bookmarkStart w:id="39" w:name="_Toc184312083"/>
      <w:bookmarkEnd w:id="39"/>
      <w:bookmarkStart w:id="40" w:name="_Toc184310297"/>
      <w:bookmarkEnd w:id="40"/>
      <w:bookmarkStart w:id="41" w:name="_Toc184314456"/>
      <w:bookmarkEnd w:id="41"/>
      <w:bookmarkStart w:id="42" w:name="_Toc184314481"/>
      <w:bookmarkEnd w:id="42"/>
      <w:bookmarkStart w:id="43" w:name="_Toc184314461"/>
      <w:bookmarkEnd w:id="43"/>
      <w:bookmarkStart w:id="44" w:name="_Toc184312121"/>
      <w:bookmarkEnd w:id="44"/>
      <w:bookmarkStart w:id="45" w:name="_Toc184310306"/>
      <w:bookmarkEnd w:id="45"/>
      <w:bookmarkStart w:id="46" w:name="_Toc184308050"/>
      <w:bookmarkEnd w:id="46"/>
      <w:bookmarkStart w:id="47" w:name="_Toc184308065"/>
      <w:bookmarkEnd w:id="47"/>
      <w:bookmarkStart w:id="48" w:name="_Toc184313266"/>
      <w:bookmarkEnd w:id="48"/>
      <w:bookmarkStart w:id="49" w:name="_Toc184312100"/>
      <w:bookmarkEnd w:id="49"/>
      <w:bookmarkStart w:id="50" w:name="_Toc184313303"/>
      <w:bookmarkEnd w:id="50"/>
      <w:bookmarkStart w:id="51" w:name="_Toc184314467"/>
      <w:bookmarkEnd w:id="51"/>
      <w:bookmarkStart w:id="52" w:name="_Toc184308078"/>
      <w:bookmarkEnd w:id="52"/>
      <w:bookmarkStart w:id="53" w:name="_Toc184308066"/>
      <w:bookmarkEnd w:id="53"/>
      <w:bookmarkStart w:id="54" w:name="_Toc184312124"/>
      <w:bookmarkEnd w:id="54"/>
      <w:bookmarkStart w:id="55" w:name="_Toc184313292"/>
      <w:bookmarkEnd w:id="55"/>
      <w:bookmarkStart w:id="56" w:name="_Toc184310326"/>
      <w:bookmarkEnd w:id="56"/>
      <w:bookmarkStart w:id="57" w:name="_Toc184312109"/>
      <w:bookmarkEnd w:id="57"/>
      <w:bookmarkStart w:id="58" w:name="_Toc184314452"/>
      <w:bookmarkEnd w:id="58"/>
      <w:bookmarkStart w:id="59" w:name="_Toc184308097"/>
      <w:bookmarkEnd w:id="59"/>
      <w:bookmarkStart w:id="60" w:name="_Toc184308083"/>
      <w:bookmarkEnd w:id="60"/>
      <w:bookmarkStart w:id="61" w:name="_Toc184313304"/>
      <w:bookmarkEnd w:id="61"/>
      <w:bookmarkStart w:id="62" w:name="_Toc184308038"/>
      <w:bookmarkEnd w:id="62"/>
      <w:bookmarkStart w:id="63" w:name="_Toc184313277"/>
      <w:bookmarkEnd w:id="63"/>
      <w:bookmarkStart w:id="64" w:name="_Toc184313261"/>
      <w:bookmarkEnd w:id="64"/>
      <w:bookmarkStart w:id="65" w:name="_Toc184308092"/>
      <w:bookmarkEnd w:id="65"/>
      <w:bookmarkStart w:id="66" w:name="_Toc184314462"/>
      <w:bookmarkEnd w:id="66"/>
      <w:bookmarkStart w:id="67" w:name="_Toc184310312"/>
      <w:bookmarkEnd w:id="67"/>
      <w:bookmarkStart w:id="68" w:name="_Toc184312071"/>
      <w:bookmarkEnd w:id="68"/>
      <w:bookmarkStart w:id="69" w:name="_Toc184314432"/>
      <w:bookmarkEnd w:id="69"/>
      <w:bookmarkStart w:id="70" w:name="_Toc184314459"/>
      <w:bookmarkEnd w:id="70"/>
      <w:bookmarkStart w:id="71" w:name="_Toc184314458"/>
      <w:bookmarkEnd w:id="71"/>
      <w:bookmarkStart w:id="72" w:name="_Toc184308041"/>
      <w:bookmarkEnd w:id="72"/>
      <w:bookmarkStart w:id="73" w:name="_Toc184310277"/>
      <w:bookmarkEnd w:id="73"/>
      <w:bookmarkStart w:id="74" w:name="_Toc184314472"/>
      <w:bookmarkEnd w:id="74"/>
      <w:bookmarkStart w:id="75" w:name="_Toc184313273"/>
      <w:bookmarkEnd w:id="75"/>
      <w:bookmarkStart w:id="76" w:name="_Toc184310324"/>
      <w:bookmarkEnd w:id="76"/>
      <w:bookmarkStart w:id="77" w:name="_Toc184314423"/>
      <w:bookmarkEnd w:id="77"/>
      <w:bookmarkStart w:id="78" w:name="_Toc184308095"/>
      <w:bookmarkEnd w:id="78"/>
      <w:bookmarkStart w:id="79" w:name="_Toc184313260"/>
      <w:bookmarkEnd w:id="79"/>
      <w:bookmarkStart w:id="80" w:name="_Toc184308052"/>
      <w:bookmarkEnd w:id="80"/>
      <w:bookmarkStart w:id="81" w:name="_Toc184313272"/>
      <w:bookmarkEnd w:id="81"/>
      <w:bookmarkStart w:id="82" w:name="_Toc184310293"/>
      <w:bookmarkEnd w:id="82"/>
      <w:bookmarkStart w:id="83" w:name="_Toc184313294"/>
      <w:bookmarkEnd w:id="83"/>
      <w:bookmarkStart w:id="84" w:name="_Toc184314480"/>
      <w:bookmarkEnd w:id="84"/>
      <w:bookmarkStart w:id="85" w:name="_Toc184310272"/>
      <w:bookmarkEnd w:id="85"/>
      <w:bookmarkStart w:id="86" w:name="_Toc184314420"/>
      <w:bookmarkEnd w:id="86"/>
      <w:bookmarkStart w:id="87" w:name="_Toc184310307"/>
      <w:bookmarkEnd w:id="87"/>
      <w:bookmarkStart w:id="88" w:name="_Toc184310323"/>
      <w:bookmarkEnd w:id="88"/>
      <w:bookmarkStart w:id="89" w:name="_Toc184310315"/>
      <w:bookmarkEnd w:id="89"/>
      <w:bookmarkStart w:id="90" w:name="_Toc184312130"/>
      <w:bookmarkEnd w:id="90"/>
      <w:bookmarkStart w:id="91" w:name="_Toc184312102"/>
      <w:bookmarkEnd w:id="91"/>
      <w:bookmarkStart w:id="92" w:name="_Toc184312085"/>
      <w:bookmarkEnd w:id="92"/>
      <w:bookmarkStart w:id="93" w:name="_Toc184314412"/>
      <w:bookmarkEnd w:id="93"/>
      <w:bookmarkStart w:id="94" w:name="_Toc184313287"/>
      <w:bookmarkEnd w:id="94"/>
      <w:bookmarkStart w:id="95" w:name="_Toc184313255"/>
      <w:bookmarkEnd w:id="95"/>
      <w:bookmarkStart w:id="96" w:name="_Toc184314469"/>
      <w:bookmarkEnd w:id="96"/>
      <w:bookmarkStart w:id="97" w:name="_Toc184310295"/>
      <w:bookmarkEnd w:id="97"/>
      <w:bookmarkStart w:id="98" w:name="_Toc184313281"/>
      <w:bookmarkEnd w:id="98"/>
      <w:bookmarkStart w:id="99" w:name="_Toc184314454"/>
      <w:bookmarkEnd w:id="99"/>
      <w:bookmarkStart w:id="100" w:name="_Toc184313293"/>
      <w:bookmarkEnd w:id="100"/>
      <w:bookmarkStart w:id="101" w:name="_Toc184314448"/>
      <w:bookmarkEnd w:id="101"/>
      <w:bookmarkStart w:id="102" w:name="_Toc184308063"/>
      <w:bookmarkEnd w:id="102"/>
      <w:bookmarkStart w:id="103" w:name="_Toc184314444"/>
      <w:bookmarkEnd w:id="103"/>
      <w:bookmarkStart w:id="104" w:name="_Toc184314441"/>
      <w:bookmarkEnd w:id="104"/>
      <w:bookmarkStart w:id="105" w:name="_Toc184310319"/>
      <w:bookmarkEnd w:id="105"/>
      <w:bookmarkStart w:id="106" w:name="_Toc184308094"/>
      <w:bookmarkEnd w:id="106"/>
      <w:bookmarkStart w:id="107" w:name="_Toc184312129"/>
      <w:bookmarkEnd w:id="107"/>
      <w:bookmarkStart w:id="108" w:name="_Toc184312120"/>
      <w:bookmarkEnd w:id="108"/>
      <w:bookmarkStart w:id="109" w:name="_Toc184310281"/>
      <w:bookmarkEnd w:id="109"/>
      <w:bookmarkStart w:id="110" w:name="_Toc184313252"/>
      <w:bookmarkEnd w:id="110"/>
      <w:bookmarkStart w:id="111" w:name="_Toc184313296"/>
      <w:bookmarkEnd w:id="111"/>
      <w:bookmarkStart w:id="112" w:name="_Toc184312087"/>
      <w:bookmarkEnd w:id="112"/>
      <w:bookmarkStart w:id="113" w:name="_Toc184314449"/>
      <w:bookmarkEnd w:id="113"/>
      <w:bookmarkStart w:id="114" w:name="_Toc184308093"/>
      <w:bookmarkEnd w:id="114"/>
      <w:bookmarkStart w:id="115" w:name="_Toc184312125"/>
      <w:bookmarkEnd w:id="115"/>
      <w:bookmarkStart w:id="116" w:name="_Toc184310285"/>
      <w:bookmarkEnd w:id="116"/>
      <w:bookmarkStart w:id="117" w:name="_Toc184313241"/>
      <w:bookmarkEnd w:id="117"/>
      <w:bookmarkStart w:id="118" w:name="_Toc184312088"/>
      <w:bookmarkEnd w:id="118"/>
      <w:bookmarkStart w:id="119" w:name="_Toc184308064"/>
      <w:bookmarkEnd w:id="119"/>
      <w:bookmarkStart w:id="120" w:name="_Toc184314463"/>
      <w:bookmarkEnd w:id="120"/>
      <w:bookmarkStart w:id="121" w:name="_Toc184312135"/>
      <w:bookmarkEnd w:id="121"/>
      <w:bookmarkStart w:id="122" w:name="_Toc184310338"/>
      <w:bookmarkEnd w:id="122"/>
      <w:bookmarkStart w:id="123" w:name="_Toc184312110"/>
      <w:bookmarkEnd w:id="123"/>
      <w:bookmarkStart w:id="124" w:name="_Toc184312075"/>
      <w:bookmarkEnd w:id="124"/>
      <w:bookmarkStart w:id="125" w:name="_Toc184308047"/>
      <w:bookmarkEnd w:id="125"/>
      <w:bookmarkStart w:id="126" w:name="_Toc184310308"/>
      <w:bookmarkEnd w:id="126"/>
      <w:bookmarkStart w:id="127" w:name="_Toc184313247"/>
      <w:bookmarkEnd w:id="127"/>
      <w:bookmarkStart w:id="128" w:name="_Toc184308067"/>
      <w:bookmarkEnd w:id="128"/>
      <w:bookmarkStart w:id="129" w:name="_Toc184312093"/>
      <w:bookmarkEnd w:id="129"/>
      <w:bookmarkStart w:id="130" w:name="_Toc184312103"/>
      <w:bookmarkEnd w:id="130"/>
      <w:bookmarkStart w:id="131" w:name="_Toc184312068"/>
      <w:bookmarkEnd w:id="131"/>
      <w:bookmarkStart w:id="132" w:name="_Toc184314434"/>
      <w:bookmarkEnd w:id="132"/>
      <w:bookmarkStart w:id="133" w:name="_Toc184313253"/>
      <w:bookmarkEnd w:id="133"/>
      <w:bookmarkStart w:id="134" w:name="_Toc184312112"/>
      <w:bookmarkEnd w:id="134"/>
      <w:bookmarkStart w:id="135" w:name="_Toc184314482"/>
      <w:bookmarkEnd w:id="135"/>
      <w:bookmarkStart w:id="136" w:name="_Toc184313264"/>
      <w:bookmarkEnd w:id="136"/>
      <w:bookmarkStart w:id="137" w:name="_Toc184313298"/>
      <w:bookmarkEnd w:id="137"/>
      <w:bookmarkStart w:id="138" w:name="_Toc184308058"/>
      <w:bookmarkEnd w:id="138"/>
      <w:bookmarkStart w:id="139" w:name="_Toc184308103"/>
      <w:bookmarkEnd w:id="139"/>
      <w:bookmarkStart w:id="140" w:name="_Toc184314426"/>
      <w:bookmarkEnd w:id="140"/>
      <w:bookmarkStart w:id="141" w:name="_Toc184310333"/>
      <w:bookmarkEnd w:id="141"/>
      <w:bookmarkStart w:id="142" w:name="_Toc184314430"/>
      <w:bookmarkEnd w:id="142"/>
      <w:bookmarkStart w:id="143" w:name="_Toc184314425"/>
      <w:bookmarkEnd w:id="143"/>
      <w:bookmarkStart w:id="144" w:name="_Toc184310320"/>
      <w:bookmarkEnd w:id="144"/>
      <w:bookmarkStart w:id="145" w:name="_Toc184313278"/>
      <w:bookmarkEnd w:id="145"/>
      <w:bookmarkStart w:id="146" w:name="_Toc184308104"/>
      <w:bookmarkEnd w:id="146"/>
      <w:bookmarkStart w:id="147" w:name="_Toc184308071"/>
      <w:bookmarkEnd w:id="147"/>
      <w:bookmarkStart w:id="148" w:name="_Toc184308085"/>
      <w:bookmarkEnd w:id="148"/>
      <w:bookmarkStart w:id="149" w:name="_Toc184308055"/>
      <w:bookmarkEnd w:id="149"/>
      <w:bookmarkStart w:id="150" w:name="_Toc184310314"/>
      <w:bookmarkEnd w:id="150"/>
      <w:bookmarkStart w:id="151" w:name="_Toc184308036"/>
      <w:bookmarkEnd w:id="151"/>
      <w:bookmarkStart w:id="152" w:name="_Toc184313248"/>
      <w:bookmarkEnd w:id="152"/>
      <w:bookmarkStart w:id="153" w:name="_Toc184308048"/>
      <w:bookmarkEnd w:id="153"/>
      <w:bookmarkStart w:id="154" w:name="_Toc184313258"/>
      <w:bookmarkEnd w:id="154"/>
      <w:bookmarkStart w:id="155" w:name="_Toc184312131"/>
      <w:bookmarkEnd w:id="155"/>
      <w:bookmarkStart w:id="156" w:name="_Toc184312134"/>
      <w:bookmarkEnd w:id="156"/>
      <w:bookmarkStart w:id="157" w:name="_Toc184313251"/>
      <w:bookmarkEnd w:id="157"/>
      <w:bookmarkStart w:id="158" w:name="_Toc184308098"/>
      <w:bookmarkEnd w:id="158"/>
      <w:bookmarkStart w:id="159" w:name="_Toc184310336"/>
      <w:bookmarkEnd w:id="159"/>
      <w:bookmarkStart w:id="160" w:name="_Toc184310344"/>
      <w:bookmarkEnd w:id="160"/>
      <w:bookmarkStart w:id="161" w:name="_Toc184310318"/>
      <w:bookmarkEnd w:id="161"/>
      <w:bookmarkStart w:id="162" w:name="_Toc184312074"/>
      <w:bookmarkEnd w:id="162"/>
      <w:bookmarkStart w:id="163" w:name="_Toc184312122"/>
      <w:bookmarkEnd w:id="163"/>
      <w:bookmarkStart w:id="164" w:name="_Toc184312069"/>
      <w:bookmarkEnd w:id="164"/>
      <w:bookmarkStart w:id="165" w:name="_Toc184308042"/>
      <w:bookmarkEnd w:id="165"/>
      <w:bookmarkStart w:id="166" w:name="_Toc184308087"/>
      <w:bookmarkEnd w:id="166"/>
      <w:bookmarkStart w:id="167" w:name="_Toc184313307"/>
      <w:bookmarkEnd w:id="167"/>
      <w:bookmarkStart w:id="168" w:name="_Toc184308100"/>
      <w:bookmarkEnd w:id="168"/>
      <w:bookmarkStart w:id="169" w:name="_Toc184314436"/>
      <w:bookmarkEnd w:id="169"/>
      <w:bookmarkStart w:id="170" w:name="_Toc184308054"/>
      <w:bookmarkEnd w:id="170"/>
      <w:bookmarkStart w:id="171" w:name="_Toc184313240"/>
      <w:bookmarkEnd w:id="171"/>
      <w:bookmarkStart w:id="172" w:name="_Toc184313285"/>
      <w:bookmarkEnd w:id="172"/>
      <w:bookmarkStart w:id="173" w:name="_Toc184310337"/>
      <w:bookmarkEnd w:id="173"/>
      <w:bookmarkStart w:id="174" w:name="_Toc184314464"/>
      <w:bookmarkEnd w:id="174"/>
      <w:bookmarkStart w:id="175" w:name="_Toc184312082"/>
      <w:bookmarkEnd w:id="175"/>
      <w:bookmarkStart w:id="176" w:name="_Toc184312095"/>
      <w:bookmarkEnd w:id="176"/>
      <w:bookmarkStart w:id="177" w:name="_Toc184314437"/>
      <w:bookmarkEnd w:id="177"/>
      <w:bookmarkStart w:id="178" w:name="_Toc184312094"/>
      <w:bookmarkEnd w:id="178"/>
      <w:bookmarkStart w:id="179" w:name="_Toc184310280"/>
      <w:bookmarkEnd w:id="179"/>
      <w:bookmarkStart w:id="180" w:name="_Toc184310316"/>
      <w:bookmarkEnd w:id="180"/>
      <w:bookmarkStart w:id="181" w:name="_Toc184310343"/>
      <w:bookmarkEnd w:id="181"/>
      <w:bookmarkStart w:id="182" w:name="_Toc184312104"/>
      <w:bookmarkEnd w:id="182"/>
      <w:bookmarkStart w:id="183" w:name="_Toc184313282"/>
      <w:bookmarkEnd w:id="183"/>
      <w:bookmarkStart w:id="184" w:name="_Toc184308105"/>
      <w:bookmarkEnd w:id="184"/>
      <w:bookmarkStart w:id="185" w:name="_Toc184314442"/>
      <w:bookmarkEnd w:id="185"/>
      <w:bookmarkStart w:id="186" w:name="_Toc184314453"/>
      <w:bookmarkEnd w:id="186"/>
      <w:bookmarkStart w:id="187" w:name="_Toc184312101"/>
      <w:bookmarkEnd w:id="187"/>
      <w:bookmarkStart w:id="188" w:name="_Toc184314468"/>
      <w:bookmarkEnd w:id="188"/>
      <w:bookmarkStart w:id="189" w:name="_Toc184313306"/>
      <w:bookmarkEnd w:id="189"/>
      <w:bookmarkStart w:id="190" w:name="_Toc184314439"/>
      <w:bookmarkEnd w:id="190"/>
      <w:bookmarkStart w:id="191" w:name="_Toc184314473"/>
      <w:bookmarkEnd w:id="191"/>
      <w:bookmarkStart w:id="192" w:name="_Toc184308046"/>
      <w:bookmarkEnd w:id="192"/>
      <w:bookmarkStart w:id="193" w:name="_Toc184312114"/>
      <w:bookmarkEnd w:id="193"/>
      <w:bookmarkStart w:id="194" w:name="_Toc184310310"/>
      <w:bookmarkEnd w:id="194"/>
      <w:bookmarkStart w:id="195" w:name="_Toc184308039"/>
      <w:bookmarkEnd w:id="195"/>
      <w:bookmarkStart w:id="196" w:name="_Toc184312098"/>
      <w:bookmarkEnd w:id="196"/>
      <w:bookmarkStart w:id="197" w:name="_Toc184310321"/>
      <w:bookmarkEnd w:id="197"/>
      <w:bookmarkStart w:id="198" w:name="_Toc184312136"/>
      <w:bookmarkEnd w:id="198"/>
      <w:bookmarkStart w:id="199" w:name="_Toc184314450"/>
      <w:bookmarkEnd w:id="199"/>
      <w:bookmarkStart w:id="200" w:name="_Toc184310331"/>
      <w:bookmarkEnd w:id="200"/>
      <w:bookmarkStart w:id="201" w:name="_Toc184308073"/>
      <w:bookmarkEnd w:id="201"/>
      <w:bookmarkStart w:id="202" w:name="_Toc184313284"/>
      <w:bookmarkEnd w:id="202"/>
      <w:bookmarkStart w:id="203" w:name="_Toc184308074"/>
      <w:bookmarkEnd w:id="203"/>
      <w:bookmarkStart w:id="204" w:name="_Toc184310339"/>
      <w:bookmarkEnd w:id="204"/>
      <w:bookmarkStart w:id="205" w:name="_Toc184314424"/>
      <w:bookmarkEnd w:id="205"/>
      <w:bookmarkStart w:id="206" w:name="_Toc184314479"/>
      <w:bookmarkEnd w:id="206"/>
      <w:bookmarkStart w:id="207" w:name="_Toc184312070"/>
      <w:bookmarkEnd w:id="207"/>
      <w:bookmarkStart w:id="208" w:name="_Toc184310282"/>
      <w:bookmarkEnd w:id="208"/>
      <w:bookmarkStart w:id="209" w:name="_Toc184314438"/>
      <w:bookmarkEnd w:id="209"/>
      <w:bookmarkStart w:id="210" w:name="_Toc184313270"/>
      <w:bookmarkEnd w:id="210"/>
      <w:bookmarkStart w:id="211" w:name="_Toc184314474"/>
      <w:bookmarkEnd w:id="211"/>
      <w:bookmarkStart w:id="212" w:name="_Toc184308043"/>
      <w:bookmarkEnd w:id="212"/>
      <w:bookmarkStart w:id="213" w:name="_Toc184313280"/>
      <w:bookmarkEnd w:id="213"/>
      <w:bookmarkStart w:id="214" w:name="_Toc184313244"/>
      <w:bookmarkEnd w:id="214"/>
      <w:bookmarkStart w:id="215" w:name="_Toc184313300"/>
      <w:bookmarkEnd w:id="215"/>
      <w:bookmarkStart w:id="216" w:name="_Toc184313257"/>
      <w:bookmarkEnd w:id="216"/>
      <w:bookmarkStart w:id="217" w:name="_Toc184314451"/>
      <w:bookmarkEnd w:id="217"/>
      <w:bookmarkStart w:id="218" w:name="_Toc184310328"/>
      <w:bookmarkEnd w:id="218"/>
      <w:bookmarkStart w:id="219" w:name="_Toc184310303"/>
      <w:bookmarkEnd w:id="219"/>
      <w:bookmarkStart w:id="220" w:name="_Toc184308106"/>
      <w:bookmarkEnd w:id="220"/>
      <w:bookmarkStart w:id="221" w:name="_Toc184308099"/>
      <w:bookmarkEnd w:id="221"/>
      <w:bookmarkStart w:id="222" w:name="_Toc184310290"/>
      <w:bookmarkEnd w:id="222"/>
      <w:bookmarkStart w:id="223" w:name="_Toc184314418"/>
      <w:bookmarkEnd w:id="223"/>
      <w:bookmarkStart w:id="224" w:name="_Toc184312105"/>
      <w:bookmarkEnd w:id="224"/>
      <w:bookmarkStart w:id="225" w:name="_Toc184308072"/>
      <w:bookmarkEnd w:id="225"/>
      <w:bookmarkStart w:id="226" w:name="_Toc184308053"/>
      <w:bookmarkEnd w:id="226"/>
      <w:bookmarkStart w:id="227" w:name="_Toc184313254"/>
      <w:bookmarkEnd w:id="227"/>
      <w:bookmarkStart w:id="228" w:name="_Toc184310302"/>
      <w:bookmarkEnd w:id="228"/>
      <w:bookmarkStart w:id="229" w:name="_Toc184310322"/>
      <w:bookmarkEnd w:id="229"/>
      <w:bookmarkStart w:id="230" w:name="_Toc184314445"/>
      <w:bookmarkEnd w:id="230"/>
      <w:bookmarkStart w:id="231" w:name="_Toc184314428"/>
      <w:bookmarkEnd w:id="231"/>
      <w:bookmarkStart w:id="232" w:name="_Toc184308077"/>
      <w:bookmarkEnd w:id="232"/>
      <w:bookmarkStart w:id="233" w:name="_Toc184312076"/>
      <w:bookmarkEnd w:id="233"/>
      <w:bookmarkStart w:id="234" w:name="_Toc184312073"/>
      <w:bookmarkEnd w:id="234"/>
      <w:bookmarkStart w:id="235" w:name="_Toc184308086"/>
      <w:bookmarkEnd w:id="235"/>
      <w:bookmarkStart w:id="236" w:name="_Toc184312091"/>
      <w:bookmarkEnd w:id="236"/>
      <w:bookmarkStart w:id="237" w:name="_Toc184312118"/>
      <w:bookmarkEnd w:id="237"/>
      <w:bookmarkStart w:id="238" w:name="_Toc184313309"/>
      <w:bookmarkEnd w:id="238"/>
      <w:bookmarkStart w:id="239" w:name="_Toc184312099"/>
      <w:bookmarkEnd w:id="239"/>
      <w:bookmarkStart w:id="240" w:name="_Toc184313299"/>
      <w:bookmarkEnd w:id="240"/>
      <w:bookmarkStart w:id="241" w:name="_Toc184310335"/>
      <w:bookmarkEnd w:id="241"/>
      <w:bookmarkStart w:id="242" w:name="_Toc184314460"/>
      <w:bookmarkEnd w:id="242"/>
      <w:bookmarkStart w:id="243" w:name="_Toc184313289"/>
      <w:bookmarkEnd w:id="243"/>
      <w:bookmarkStart w:id="244" w:name="_Toc184308062"/>
      <w:bookmarkEnd w:id="244"/>
      <w:bookmarkStart w:id="245" w:name="_Toc184314416"/>
      <w:bookmarkEnd w:id="245"/>
      <w:bookmarkStart w:id="246" w:name="_Toc184308090"/>
      <w:bookmarkEnd w:id="246"/>
      <w:bookmarkStart w:id="247" w:name="_Toc184310287"/>
      <w:bookmarkEnd w:id="247"/>
      <w:bookmarkStart w:id="248" w:name="_Toc184308057"/>
      <w:bookmarkEnd w:id="248"/>
      <w:bookmarkStart w:id="249" w:name="_Toc184308089"/>
      <w:bookmarkEnd w:id="249"/>
      <w:bookmarkStart w:id="250" w:name="_Toc184312123"/>
      <w:bookmarkEnd w:id="250"/>
      <w:bookmarkStart w:id="251" w:name="_Toc184312113"/>
      <w:bookmarkEnd w:id="251"/>
      <w:bookmarkStart w:id="252" w:name="_Toc184308060"/>
      <w:bookmarkEnd w:id="252"/>
      <w:bookmarkStart w:id="253" w:name="_Toc184314414"/>
      <w:bookmarkEnd w:id="253"/>
      <w:bookmarkStart w:id="254" w:name="_Toc184310276"/>
      <w:bookmarkEnd w:id="254"/>
      <w:bookmarkStart w:id="255" w:name="_Toc184314421"/>
      <w:bookmarkEnd w:id="255"/>
      <w:bookmarkStart w:id="256" w:name="_Toc184313279"/>
      <w:bookmarkEnd w:id="256"/>
      <w:bookmarkStart w:id="257" w:name="_Toc184308049"/>
      <w:bookmarkEnd w:id="257"/>
      <w:bookmarkStart w:id="258" w:name="_Toc184310340"/>
      <w:bookmarkEnd w:id="258"/>
      <w:bookmarkStart w:id="259" w:name="_Toc184310283"/>
      <w:bookmarkEnd w:id="259"/>
      <w:bookmarkStart w:id="260" w:name="_Toc184313274"/>
      <w:bookmarkEnd w:id="260"/>
      <w:bookmarkStart w:id="261" w:name="_Toc184308088"/>
      <w:bookmarkEnd w:id="261"/>
      <w:bookmarkStart w:id="262" w:name="_Toc184313242"/>
      <w:bookmarkEnd w:id="262"/>
      <w:bookmarkStart w:id="263" w:name="_Toc184310289"/>
      <w:bookmarkEnd w:id="263"/>
      <w:bookmarkStart w:id="264" w:name="_Toc184308040"/>
      <w:bookmarkEnd w:id="264"/>
      <w:bookmarkStart w:id="265" w:name="_Toc184310274"/>
      <w:bookmarkEnd w:id="265"/>
      <w:bookmarkStart w:id="266" w:name="_Toc184308037"/>
      <w:bookmarkEnd w:id="266"/>
      <w:bookmarkStart w:id="267" w:name="_Toc184312090"/>
      <w:bookmarkEnd w:id="267"/>
      <w:bookmarkStart w:id="268" w:name="_Toc184308091"/>
      <w:bookmarkEnd w:id="268"/>
      <w:bookmarkStart w:id="269" w:name="_Toc184313295"/>
      <w:bookmarkEnd w:id="269"/>
      <w:bookmarkStart w:id="270" w:name="_Toc184308084"/>
      <w:bookmarkEnd w:id="270"/>
      <w:bookmarkStart w:id="271" w:name="_Toc184313286"/>
      <w:bookmarkEnd w:id="271"/>
      <w:bookmarkStart w:id="272" w:name="_Toc184308075"/>
      <w:bookmarkEnd w:id="272"/>
      <w:bookmarkStart w:id="273" w:name="_Toc184313262"/>
      <w:bookmarkEnd w:id="273"/>
      <w:bookmarkStart w:id="274" w:name="_Toc184314466"/>
      <w:bookmarkEnd w:id="274"/>
      <w:bookmarkStart w:id="275" w:name="_Toc184310284"/>
      <w:bookmarkEnd w:id="275"/>
      <w:bookmarkStart w:id="276" w:name="_Toc184310299"/>
      <w:bookmarkEnd w:id="276"/>
      <w:bookmarkStart w:id="277" w:name="_Toc184314457"/>
      <w:bookmarkEnd w:id="277"/>
      <w:bookmarkStart w:id="278" w:name="_Toc184310305"/>
      <w:bookmarkEnd w:id="278"/>
      <w:bookmarkStart w:id="279" w:name="_Toc184312117"/>
      <w:bookmarkEnd w:id="279"/>
      <w:bookmarkStart w:id="280" w:name="_Toc184314417"/>
      <w:bookmarkEnd w:id="280"/>
      <w:bookmarkStart w:id="281" w:name="_Toc184314478"/>
      <w:bookmarkEnd w:id="281"/>
      <w:bookmarkStart w:id="282" w:name="_Toc184308101"/>
      <w:bookmarkEnd w:id="282"/>
      <w:bookmarkStart w:id="283" w:name="_Toc184312080"/>
      <w:bookmarkEnd w:id="283"/>
      <w:bookmarkStart w:id="284" w:name="_Toc184312138"/>
      <w:bookmarkEnd w:id="284"/>
      <w:bookmarkStart w:id="285" w:name="_Toc184312092"/>
      <w:bookmarkEnd w:id="285"/>
      <w:bookmarkStart w:id="286" w:name="_Toc184310298"/>
      <w:bookmarkEnd w:id="286"/>
      <w:bookmarkStart w:id="287" w:name="_Toc184310325"/>
      <w:bookmarkEnd w:id="287"/>
      <w:bookmarkStart w:id="288" w:name="_Toc184313249"/>
      <w:bookmarkEnd w:id="288"/>
      <w:bookmarkStart w:id="289" w:name="_Toc184314419"/>
      <w:bookmarkEnd w:id="289"/>
      <w:bookmarkStart w:id="290" w:name="_Toc184310329"/>
      <w:bookmarkEnd w:id="290"/>
      <w:bookmarkStart w:id="291" w:name="_Toc184312067"/>
      <w:bookmarkEnd w:id="291"/>
      <w:bookmarkStart w:id="292" w:name="_Toc184308045"/>
      <w:bookmarkEnd w:id="292"/>
      <w:bookmarkStart w:id="293" w:name="_Toc184312126"/>
      <w:bookmarkEnd w:id="293"/>
      <w:bookmarkStart w:id="294" w:name="_Toc184310330"/>
      <w:bookmarkEnd w:id="294"/>
      <w:bookmarkStart w:id="295" w:name="_Toc184314433"/>
      <w:bookmarkEnd w:id="295"/>
      <w:bookmarkStart w:id="296" w:name="_Toc184312115"/>
      <w:bookmarkEnd w:id="296"/>
      <w:bookmarkStart w:id="297" w:name="_Toc184314413"/>
      <w:bookmarkEnd w:id="297"/>
      <w:bookmarkStart w:id="298" w:name="_Toc184308079"/>
      <w:bookmarkEnd w:id="298"/>
      <w:bookmarkStart w:id="299" w:name="_Toc184310279"/>
      <w:bookmarkEnd w:id="299"/>
      <w:bookmarkStart w:id="300" w:name="_Toc184312096"/>
      <w:bookmarkEnd w:id="300"/>
      <w:bookmarkStart w:id="301" w:name="_Toc184314471"/>
      <w:bookmarkEnd w:id="301"/>
      <w:bookmarkStart w:id="302" w:name="_Toc184313267"/>
      <w:bookmarkEnd w:id="302"/>
      <w:bookmarkStart w:id="303" w:name="_Toc184313268"/>
      <w:bookmarkEnd w:id="303"/>
      <w:bookmarkStart w:id="304" w:name="_Toc184313276"/>
      <w:bookmarkEnd w:id="304"/>
      <w:bookmarkStart w:id="305" w:name="_Toc184308069"/>
      <w:bookmarkEnd w:id="305"/>
      <w:bookmarkStart w:id="306" w:name="_Toc184312133"/>
      <w:bookmarkEnd w:id="306"/>
      <w:bookmarkStart w:id="307" w:name="_Toc184308080"/>
      <w:bookmarkEnd w:id="307"/>
      <w:bookmarkStart w:id="308" w:name="_Toc184310327"/>
      <w:bookmarkEnd w:id="308"/>
      <w:bookmarkStart w:id="309" w:name="_Toc184308056"/>
      <w:bookmarkEnd w:id="309"/>
      <w:bookmarkStart w:id="310" w:name="_Toc184310278"/>
      <w:bookmarkEnd w:id="310"/>
      <w:bookmarkStart w:id="311" w:name="_Toc184314455"/>
      <w:bookmarkEnd w:id="311"/>
      <w:bookmarkStart w:id="312" w:name="_Toc184310311"/>
      <w:bookmarkEnd w:id="312"/>
      <w:bookmarkStart w:id="313" w:name="_Toc184313288"/>
      <w:bookmarkEnd w:id="313"/>
      <w:bookmarkStart w:id="314" w:name="_Toc184310342"/>
      <w:bookmarkEnd w:id="314"/>
      <w:bookmarkStart w:id="315" w:name="_Toc184314410"/>
      <w:bookmarkEnd w:id="315"/>
      <w:bookmarkStart w:id="316" w:name="_Toc184312078"/>
      <w:bookmarkEnd w:id="316"/>
      <w:bookmarkStart w:id="317" w:name="_Toc184308051"/>
      <w:bookmarkEnd w:id="317"/>
      <w:bookmarkStart w:id="318" w:name="_Toc184312072"/>
      <w:bookmarkEnd w:id="318"/>
      <w:bookmarkStart w:id="319" w:name="_Toc184310334"/>
      <w:bookmarkEnd w:id="319"/>
      <w:bookmarkStart w:id="320" w:name="_Toc184312116"/>
      <w:bookmarkEnd w:id="320"/>
      <w:bookmarkStart w:id="321" w:name="_Toc184313275"/>
      <w:bookmarkEnd w:id="321"/>
      <w:bookmarkStart w:id="322" w:name="_Toc184314443"/>
      <w:bookmarkEnd w:id="322"/>
      <w:bookmarkStart w:id="323" w:name="_Toc184313301"/>
      <w:bookmarkEnd w:id="323"/>
      <w:bookmarkStart w:id="324" w:name="_Toc184310304"/>
      <w:bookmarkEnd w:id="324"/>
      <w:bookmarkStart w:id="325" w:name="_Toc184312111"/>
      <w:bookmarkEnd w:id="325"/>
      <w:bookmarkStart w:id="326" w:name="_Toc184313239"/>
      <w:bookmarkEnd w:id="326"/>
      <w:bookmarkStart w:id="327" w:name="_Toc184313308"/>
      <w:bookmarkEnd w:id="327"/>
      <w:bookmarkStart w:id="328" w:name="_Toc184310288"/>
      <w:bookmarkEnd w:id="328"/>
      <w:bookmarkStart w:id="329" w:name="_Toc184312086"/>
      <w:bookmarkEnd w:id="329"/>
      <w:bookmarkStart w:id="330" w:name="_Toc184313238"/>
      <w:bookmarkEnd w:id="330"/>
      <w:bookmarkStart w:id="331" w:name="_Toc184308081"/>
      <w:bookmarkEnd w:id="331"/>
      <w:bookmarkStart w:id="332" w:name="_Toc184314477"/>
      <w:bookmarkEnd w:id="332"/>
      <w:bookmarkStart w:id="333" w:name="_Toc184312137"/>
      <w:bookmarkEnd w:id="333"/>
      <w:bookmarkStart w:id="334" w:name="_Toc184314411"/>
      <w:bookmarkEnd w:id="334"/>
      <w:bookmarkStart w:id="335" w:name="_Toc184310317"/>
      <w:bookmarkEnd w:id="335"/>
      <w:bookmarkStart w:id="336" w:name="_Toc184313250"/>
      <w:bookmarkEnd w:id="336"/>
      <w:bookmarkStart w:id="337" w:name="_Toc184314465"/>
      <w:bookmarkEnd w:id="337"/>
      <w:bookmarkStart w:id="338" w:name="_Toc184312128"/>
      <w:bookmarkEnd w:id="338"/>
      <w:bookmarkStart w:id="339" w:name="_Toc184314422"/>
      <w:bookmarkEnd w:id="339"/>
      <w:bookmarkStart w:id="340" w:name="_Toc184312084"/>
      <w:bookmarkEnd w:id="340"/>
      <w:bookmarkStart w:id="341" w:name="_Toc184308082"/>
      <w:bookmarkEnd w:id="341"/>
      <w:bookmarkStart w:id="342" w:name="_Toc184310313"/>
      <w:bookmarkEnd w:id="342"/>
      <w:bookmarkStart w:id="343" w:name="_Toc184313263"/>
      <w:bookmarkEnd w:id="343"/>
      <w:bookmarkStart w:id="344" w:name="_Toc184312077"/>
      <w:bookmarkEnd w:id="344"/>
      <w:bookmarkStart w:id="345" w:name="_Toc184308076"/>
      <w:bookmarkEnd w:id="345"/>
      <w:bookmarkStart w:id="346" w:name="_Toc184312107"/>
      <w:bookmarkEnd w:id="346"/>
      <w:bookmarkStart w:id="347" w:name="_Toc184313243"/>
      <w:bookmarkEnd w:id="347"/>
      <w:bookmarkStart w:id="348" w:name="_Toc184314440"/>
      <w:bookmarkEnd w:id="348"/>
      <w:bookmarkStart w:id="349" w:name="_Toc184308061"/>
      <w:bookmarkEnd w:id="349"/>
      <w:bookmarkStart w:id="350" w:name="_Toc184314415"/>
      <w:bookmarkEnd w:id="350"/>
      <w:bookmarkStart w:id="351" w:name="_Toc184312106"/>
      <w:bookmarkEnd w:id="351"/>
      <w:bookmarkStart w:id="352" w:name="_Toc184313271"/>
      <w:bookmarkEnd w:id="352"/>
      <w:bookmarkStart w:id="353" w:name="_Toc184313291"/>
      <w:bookmarkEnd w:id="353"/>
      <w:bookmarkStart w:id="354" w:name="_Toc184314446"/>
      <w:bookmarkEnd w:id="354"/>
      <w:bookmarkStart w:id="355" w:name="_Toc184313256"/>
      <w:bookmarkEnd w:id="355"/>
      <w:bookmarkStart w:id="356" w:name="_Toc184312132"/>
      <w:bookmarkEnd w:id="356"/>
      <w:bookmarkStart w:id="357" w:name="_Toc184308108"/>
      <w:bookmarkEnd w:id="357"/>
      <w:bookmarkStart w:id="358" w:name="_Toc184310291"/>
      <w:bookmarkEnd w:id="358"/>
      <w:bookmarkStart w:id="359" w:name="_Toc184314431"/>
      <w:bookmarkEnd w:id="359"/>
      <w:bookmarkStart w:id="360" w:name="_Toc184310292"/>
      <w:bookmarkEnd w:id="360"/>
      <w:bookmarkStart w:id="361" w:name="_Toc184310301"/>
      <w:bookmarkEnd w:id="361"/>
      <w:bookmarkStart w:id="362" w:name="_Toc184308070"/>
      <w:bookmarkEnd w:id="362"/>
      <w:bookmarkStart w:id="363" w:name="_Toc184310275"/>
      <w:bookmarkEnd w:id="363"/>
      <w:bookmarkStart w:id="364" w:name="_Toc184310296"/>
      <w:bookmarkEnd w:id="364"/>
      <w:bookmarkStart w:id="365" w:name="_Toc184312119"/>
      <w:bookmarkEnd w:id="365"/>
      <w:bookmarkStart w:id="366" w:name="_Toc184313246"/>
      <w:bookmarkEnd w:id="366"/>
      <w:bookmarkStart w:id="367" w:name="_Toc184308068"/>
      <w:bookmarkEnd w:id="367"/>
      <w:bookmarkStart w:id="368" w:name="_Toc184314427"/>
      <w:bookmarkEnd w:id="368"/>
      <w:bookmarkStart w:id="369" w:name="_Toc184314476"/>
      <w:bookmarkEnd w:id="369"/>
      <w:bookmarkStart w:id="370" w:name="_Toc184312139"/>
      <w:bookmarkEnd w:id="370"/>
      <w:bookmarkStart w:id="371" w:name="_Toc184313265"/>
      <w:bookmarkEnd w:id="371"/>
      <w:bookmarkStart w:id="372" w:name="_Toc184312079"/>
      <w:bookmarkEnd w:id="372"/>
      <w:bookmarkStart w:id="373" w:name="_Toc184310286"/>
      <w:bookmarkEnd w:id="373"/>
      <w:bookmarkStart w:id="374" w:name="_Toc184314435"/>
      <w:bookmarkEnd w:id="374"/>
      <w:bookmarkStart w:id="375" w:name="_Toc184313283"/>
      <w:bookmarkEnd w:id="375"/>
      <w:bookmarkStart w:id="376" w:name="_Toc184312081"/>
      <w:bookmarkEnd w:id="376"/>
      <w:bookmarkStart w:id="377" w:name="_Toc184310273"/>
      <w:bookmarkEnd w:id="377"/>
      <w:bookmarkStart w:id="378" w:name="_Toc184314447"/>
      <w:bookmarkEnd w:id="378"/>
      <w:bookmarkStart w:id="379" w:name="_Toc184312127"/>
      <w:bookmarkEnd w:id="379"/>
      <w:bookmarkStart w:id="380" w:name="_Toc184313259"/>
      <w:bookmarkEnd w:id="380"/>
      <w:bookmarkStart w:id="381" w:name="_Toc184313269"/>
      <w:bookmarkEnd w:id="381"/>
      <w:bookmarkStart w:id="382" w:name="_Toc184314429"/>
      <w:bookmarkEnd w:id="382"/>
      <w:bookmarkStart w:id="383" w:name="_Toc184308102"/>
      <w:bookmarkEnd w:id="383"/>
      <w:bookmarkStart w:id="384" w:name="_Toc184313310"/>
      <w:bookmarkEnd w:id="384"/>
      <w:bookmarkStart w:id="385" w:name="_Toc184310294"/>
      <w:bookmarkEnd w:id="385"/>
      <w:bookmarkStart w:id="386" w:name="_Toc184314470"/>
      <w:bookmarkEnd w:id="386"/>
      <w:bookmarkStart w:id="387" w:name="_Toc184310332"/>
      <w:bookmarkEnd w:id="387"/>
      <w:bookmarkStart w:id="388" w:name="_Toc184312097"/>
      <w:bookmarkEnd w:id="388"/>
      <w:bookmarkStart w:id="389" w:name="_Toc184310309"/>
      <w:bookmarkEnd w:id="389"/>
      <w:bookmarkStart w:id="390" w:name="_Toc184308059"/>
      <w:bookmarkEnd w:id="390"/>
      <w:bookmarkStart w:id="391" w:name="_Toc184310341"/>
      <w:bookmarkEnd w:id="391"/>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tbl>
      <w:tblPr>
        <w:tblStyle w:val="62"/>
        <w:tblW w:w="8642" w:type="dxa"/>
        <w:tblInd w:w="0" w:type="dxa"/>
        <w:tblLayout w:type="fixed"/>
        <w:tblCellMar>
          <w:top w:w="0" w:type="dxa"/>
          <w:left w:w="108" w:type="dxa"/>
          <w:bottom w:w="0" w:type="dxa"/>
          <w:right w:w="108" w:type="dxa"/>
        </w:tblCellMar>
      </w:tblPr>
      <w:tblGrid>
        <w:gridCol w:w="846"/>
        <w:gridCol w:w="5739"/>
        <w:gridCol w:w="589"/>
        <w:gridCol w:w="1468"/>
      </w:tblGrid>
      <w:tr>
        <w:tblPrEx>
          <w:tblCellMar>
            <w:top w:w="0" w:type="dxa"/>
            <w:left w:w="108" w:type="dxa"/>
            <w:bottom w:w="0" w:type="dxa"/>
            <w:right w:w="108" w:type="dxa"/>
          </w:tblCellMar>
        </w:tblPrEx>
        <w:trPr>
          <w:trHeight w:val="1140"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kern w:val="0"/>
                <w:szCs w:val="21"/>
              </w:rPr>
            </w:pPr>
          </w:p>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5739"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kern w:val="0"/>
                <w:szCs w:val="21"/>
              </w:rPr>
            </w:pPr>
          </w:p>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评标标准</w:t>
            </w:r>
          </w:p>
        </w:tc>
        <w:tc>
          <w:tcPr>
            <w:tcW w:w="589"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kern w:val="0"/>
                <w:szCs w:val="21"/>
              </w:rPr>
            </w:pPr>
          </w:p>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分数</w:t>
            </w:r>
          </w:p>
        </w:tc>
        <w:tc>
          <w:tcPr>
            <w:tcW w:w="1468"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投标文件中评标标准相应的商务技术资料目录</w:t>
            </w:r>
          </w:p>
        </w:tc>
      </w:tr>
      <w:tr>
        <w:tblPrEx>
          <w:tblCellMar>
            <w:top w:w="0" w:type="dxa"/>
            <w:left w:w="108" w:type="dxa"/>
            <w:bottom w:w="0" w:type="dxa"/>
            <w:right w:w="108" w:type="dxa"/>
          </w:tblCellMar>
        </w:tblPrEx>
        <w:trPr>
          <w:trHeight w:val="784"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573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Cs w:val="21"/>
              </w:rPr>
            </w:pPr>
            <w:r>
              <w:rPr>
                <w:rFonts w:hint="eastAsia" w:asciiTheme="minorEastAsia" w:hAnsiTheme="minorEastAsia" w:eastAsiaTheme="minorEastAsia"/>
                <w:szCs w:val="21"/>
              </w:rPr>
              <w:t>根据本项目管理特点提出合理的管理服务理念，提出服务定位、目标，投标人的</w:t>
            </w:r>
            <w:r>
              <w:rPr>
                <w:rFonts w:hint="eastAsia" w:cs="Arial" w:asciiTheme="minorEastAsia" w:hAnsiTheme="minorEastAsia" w:eastAsiaTheme="minorEastAsia"/>
                <w:szCs w:val="21"/>
              </w:rPr>
              <w:t>管理模式是否能够切合实际，且安全可行</w:t>
            </w:r>
            <w:r>
              <w:rPr>
                <w:rFonts w:hint="eastAsia" w:cs="Arial" w:asciiTheme="minorEastAsia" w:hAnsiTheme="minorEastAsia" w:eastAsiaTheme="minorEastAsia"/>
                <w:snapToGrid w:val="0"/>
                <w:szCs w:val="21"/>
              </w:rPr>
              <w:t>，最高得5分。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764"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73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Cs w:val="21"/>
              </w:rPr>
            </w:pPr>
            <w:r>
              <w:rPr>
                <w:rFonts w:hint="eastAsia" w:cs="Arial" w:asciiTheme="minorEastAsia" w:hAnsiTheme="minorEastAsia" w:eastAsiaTheme="minorEastAsia"/>
                <w:szCs w:val="21"/>
              </w:rPr>
              <w:t>有比较完善的组织架构，清晰简练地列出主要管理流程，包括对运作流程图、激励机制、监督机制、自我约束机制、信息反馈渠道及处理机制，管理指标承诺达到物业管理标准</w:t>
            </w:r>
            <w:r>
              <w:rPr>
                <w:rFonts w:hint="eastAsia" w:cs="Arial" w:asciiTheme="minorEastAsia" w:hAnsiTheme="minorEastAsia" w:eastAsiaTheme="minorEastAsia"/>
                <w:snapToGrid w:val="0"/>
                <w:szCs w:val="21"/>
              </w:rPr>
              <w:t>进行打分 ，最高得5分。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573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有完善的管理制度、作业流程，并建立和完善</w:t>
            </w:r>
            <w:r>
              <w:rPr>
                <w:rFonts w:hint="eastAsia" w:cs="Arial" w:asciiTheme="minorEastAsia" w:hAnsiTheme="minorEastAsia" w:eastAsiaTheme="minorEastAsia"/>
                <w:szCs w:val="21"/>
              </w:rPr>
              <w:t>档案管理制度、</w:t>
            </w:r>
            <w:r>
              <w:rPr>
                <w:rFonts w:hint="eastAsia" w:cs="宋体" w:asciiTheme="minorEastAsia" w:hAnsiTheme="minorEastAsia" w:eastAsiaTheme="minorEastAsia"/>
                <w:szCs w:val="21"/>
              </w:rPr>
              <w:t>体现标准化服务，</w:t>
            </w:r>
            <w:r>
              <w:rPr>
                <w:rFonts w:hint="eastAsia" w:asciiTheme="minorEastAsia" w:hAnsiTheme="minorEastAsia" w:eastAsiaTheme="minorEastAsia"/>
                <w:bCs/>
                <w:szCs w:val="21"/>
              </w:rPr>
              <w:t>管理服务水平是否符合国家和行业标准</w:t>
            </w:r>
            <w:r>
              <w:rPr>
                <w:rFonts w:hint="eastAsia" w:cs="Arial" w:asciiTheme="minorEastAsia" w:hAnsiTheme="minorEastAsia" w:eastAsiaTheme="minorEastAsia"/>
                <w:snapToGrid w:val="0"/>
                <w:szCs w:val="21"/>
              </w:rPr>
              <w:t>进行打分 ，最高得4分。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rPr>
          <w:trHeight w:val="85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573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包括以下物业管理的基本服务方案、相关计划和质量保障措施，能够符合物业管理的实际情况，满足采购单位的需求，内容主要包括：</w:t>
            </w:r>
          </w:p>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1.设施设备管理维护方案（0-2分）；</w:t>
            </w:r>
          </w:p>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2.安保管理方案（0-4分）；</w:t>
            </w:r>
          </w:p>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3.绿化养护管理方案（0-4分）；</w:t>
            </w:r>
          </w:p>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4.水系保洁管理方案（0-2分）</w:t>
            </w:r>
          </w:p>
          <w:p>
            <w:pP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5.铺装及湖岸线保洁管理方案（0-4分）；</w:t>
            </w:r>
          </w:p>
          <w:p>
            <w:pPr>
              <w:rPr>
                <w:rFonts w:cs="宋体" w:asciiTheme="minorEastAsia" w:hAnsiTheme="minorEastAsia" w:eastAsiaTheme="minorEastAsia"/>
                <w:bCs/>
                <w:szCs w:val="21"/>
              </w:rPr>
            </w:pPr>
            <w:r>
              <w:rPr>
                <w:rFonts w:hint="eastAsia" w:cs="宋体" w:asciiTheme="minorEastAsia" w:hAnsiTheme="minorEastAsia" w:eastAsiaTheme="minorEastAsia"/>
                <w:bCs/>
                <w:color w:val="000000"/>
                <w:szCs w:val="21"/>
              </w:rPr>
              <w:t>6.日常运行与服务方案（0-2分）。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739" w:type="dxa"/>
            <w:tcBorders>
              <w:top w:val="nil"/>
              <w:left w:val="nil"/>
              <w:bottom w:val="single" w:color="auto" w:sz="4" w:space="0"/>
              <w:right w:val="single" w:color="auto" w:sz="4" w:space="0"/>
            </w:tcBorders>
            <w:shd w:val="clear" w:color="auto" w:fill="auto"/>
            <w:vAlign w:val="center"/>
          </w:tcPr>
          <w:p>
            <w:pPr>
              <w:snapToGrid w:val="0"/>
              <w:rPr>
                <w:szCs w:val="21"/>
                <w:lang w:val="zh-CN"/>
              </w:rPr>
            </w:pPr>
            <w:r>
              <w:rPr>
                <w:rFonts w:hint="eastAsia"/>
                <w:szCs w:val="21"/>
              </w:rPr>
              <w:t>1.物业服务区域内各级各类应急预案，对突发事件应急预案及相应的措施是否合理，符合采购需求，以化解各类纠纷、消防、防疫、应对极端天气</w:t>
            </w:r>
            <w:r>
              <w:rPr>
                <w:rFonts w:hint="eastAsia"/>
                <w:szCs w:val="21"/>
                <w:lang w:val="zh-CN"/>
              </w:rPr>
              <w:t>（台风、暴雨、</w:t>
            </w:r>
            <w:r>
              <w:rPr>
                <w:rFonts w:hint="eastAsia"/>
                <w:szCs w:val="21"/>
              </w:rPr>
              <w:t>冻雪）为例，方案内容有针对性且科学、可行且到位率高，应急处置能力强，应急响应快。（0-4分）；</w:t>
            </w:r>
          </w:p>
          <w:p>
            <w:pPr>
              <w:snapToGrid w:val="0"/>
              <w:rPr>
                <w:szCs w:val="21"/>
              </w:rPr>
            </w:pPr>
            <w:r>
              <w:rPr>
                <w:rFonts w:hint="eastAsia"/>
                <w:szCs w:val="21"/>
              </w:rPr>
              <w:t>2.</w:t>
            </w:r>
            <w:r>
              <w:rPr>
                <w:rFonts w:hint="eastAsia"/>
                <w:szCs w:val="21"/>
                <w:lang w:val="zh-CN"/>
              </w:rPr>
              <w:t>对物业管理区域内的防盗、防火的安全防范巡查、应急供电系统、给排水设备、水源热泵系统、电气照明装置等设备应急检修措施等</w:t>
            </w:r>
            <w:r>
              <w:rPr>
                <w:rFonts w:hint="eastAsia"/>
                <w:szCs w:val="21"/>
              </w:rPr>
              <w:t>（0-3分）；</w:t>
            </w:r>
          </w:p>
          <w:p>
            <w:pPr>
              <w:pStyle w:val="2"/>
              <w:spacing w:line="240" w:lineRule="auto"/>
              <w:ind w:left="0" w:firstLine="0"/>
              <w:jc w:val="both"/>
              <w:rPr>
                <w:rFonts w:eastAsiaTheme="minorEastAsia"/>
                <w:sz w:val="21"/>
                <w:szCs w:val="21"/>
                <w:lang w:val="en-US"/>
              </w:rPr>
            </w:pPr>
            <w:r>
              <w:rPr>
                <w:rFonts w:hint="eastAsia" w:ascii="Times New Roman" w:hAnsi="Times New Roman" w:eastAsia="宋体"/>
                <w:b w:val="0"/>
                <w:bCs w:val="0"/>
                <w:sz w:val="21"/>
                <w:szCs w:val="21"/>
                <w:lang w:val="en-US"/>
              </w:rPr>
              <w:t>3.对物业管理区域内迎检、重大活动、投诉、招标人交办事项、各类考核等应对方案。（0-3分）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739" w:type="dxa"/>
            <w:tcBorders>
              <w:top w:val="nil"/>
              <w:left w:val="nil"/>
              <w:bottom w:val="single" w:color="auto" w:sz="4" w:space="0"/>
              <w:right w:val="single" w:color="auto" w:sz="4" w:space="0"/>
            </w:tcBorders>
            <w:shd w:val="clear" w:color="auto" w:fill="auto"/>
            <w:vAlign w:val="center"/>
          </w:tcPr>
          <w:p>
            <w:pPr>
              <w:kinsoku w:val="0"/>
              <w:textAlignment w:val="baseline"/>
              <w:rPr>
                <w:rFonts w:asciiTheme="minorEastAsia" w:hAnsiTheme="minorEastAsia" w:eastAsiaTheme="minorEastAsia"/>
                <w:bCs/>
                <w:szCs w:val="21"/>
              </w:rPr>
            </w:pPr>
            <w:r>
              <w:rPr>
                <w:rFonts w:hint="eastAsia" w:asciiTheme="minorEastAsia" w:hAnsiTheme="minorEastAsia" w:eastAsiaTheme="minorEastAsia"/>
                <w:szCs w:val="21"/>
              </w:rPr>
              <w:t>是否给出优惠和承诺，程度如何，以及其他特色服务和响应措施等情况</w:t>
            </w:r>
            <w:r>
              <w:rPr>
                <w:rFonts w:hint="eastAsia" w:asciiTheme="minorEastAsia" w:hAnsiTheme="minorEastAsia" w:eastAsiaTheme="minorEastAsia"/>
                <w:bCs/>
                <w:szCs w:val="21"/>
              </w:rPr>
              <w:t>进行打分，最高得4分。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74"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5739" w:type="dxa"/>
            <w:tcBorders>
              <w:top w:val="nil"/>
              <w:left w:val="nil"/>
              <w:bottom w:val="single" w:color="auto" w:sz="4" w:space="0"/>
              <w:right w:val="single" w:color="auto" w:sz="4" w:space="0"/>
            </w:tcBorders>
            <w:shd w:val="clear" w:color="auto" w:fill="auto"/>
            <w:vAlign w:val="center"/>
          </w:tcPr>
          <w:p>
            <w:pPr>
              <w:snapToGrid w:val="0"/>
              <w:rPr>
                <w:rFonts w:asciiTheme="minorEastAsia" w:hAnsiTheme="minorEastAsia" w:eastAsiaTheme="minorEastAsia"/>
                <w:bCs/>
                <w:szCs w:val="21"/>
              </w:rPr>
            </w:pPr>
            <w:r>
              <w:rPr>
                <w:rFonts w:hint="eastAsia" w:asciiTheme="minorEastAsia" w:hAnsiTheme="minorEastAsia" w:eastAsiaTheme="minorEastAsia"/>
                <w:bCs/>
                <w:szCs w:val="21"/>
              </w:rPr>
              <w:t>1.人员配备是否合理，对本项目的人员配置情况是否符合采购需求，投标人在投标时需明确提供人员配备方案。安排参与项目的专业人员素质、持证上岗情况、技术能力、专业分布、经验等情况进行打分，最高得5分（除了经理、主管）；</w:t>
            </w:r>
          </w:p>
          <w:p>
            <w:pPr>
              <w:snapToGrid w:val="0"/>
              <w:rPr>
                <w:rFonts w:asciiTheme="minorEastAsia" w:hAnsiTheme="minorEastAsia" w:eastAsiaTheme="minorEastAsia"/>
                <w:bCs/>
                <w:szCs w:val="21"/>
              </w:rPr>
            </w:pPr>
            <w:r>
              <w:rPr>
                <w:rFonts w:hint="eastAsia" w:asciiTheme="minorEastAsia" w:hAnsiTheme="minorEastAsia" w:eastAsiaTheme="minorEastAsia"/>
                <w:szCs w:val="21"/>
                <w:lang w:val="zh-CN"/>
              </w:rPr>
              <w:t>2.项目经理：</w:t>
            </w:r>
            <w:r>
              <w:rPr>
                <w:rFonts w:hint="eastAsia" w:asciiTheme="minorEastAsia" w:hAnsiTheme="minorEastAsia" w:eastAsiaTheme="minorEastAsia"/>
                <w:szCs w:val="21"/>
              </w:rPr>
              <w:t>大专及以上学历的得1分，否则不得分；具有全国物业管理企业经理证得2分，没有不得分；具有3年及以上物业项目经理管理经验的得2分，其余不得分；本项共5分。</w:t>
            </w:r>
          </w:p>
          <w:p>
            <w:pPr>
              <w:snapToGrid w:val="0"/>
              <w:rPr>
                <w:rFonts w:asciiTheme="minorEastAsia" w:hAnsiTheme="minorEastAsia" w:eastAsiaTheme="minorEastAsia"/>
                <w:bCs/>
                <w:szCs w:val="21"/>
              </w:rPr>
            </w:pPr>
            <w:r>
              <w:rPr>
                <w:rFonts w:hint="eastAsia" w:asciiTheme="minorEastAsia" w:hAnsiTheme="minorEastAsia" w:eastAsiaTheme="minorEastAsia"/>
                <w:szCs w:val="21"/>
              </w:rPr>
              <w:t>3.保</w:t>
            </w:r>
            <w:r>
              <w:rPr>
                <w:rFonts w:hint="eastAsia" w:asciiTheme="minorEastAsia" w:hAnsiTheme="minorEastAsia" w:eastAsiaTheme="minorEastAsia"/>
                <w:bCs/>
                <w:szCs w:val="21"/>
              </w:rPr>
              <w:t>洁主管：具有大专及以上学历的得1分，具有保洁员三级职业技能等级证书的得0.5分，具有保洁主管经验的得0.5分，（0-2分）；</w:t>
            </w:r>
          </w:p>
          <w:p>
            <w:pPr>
              <w:snapToGrid w:val="0"/>
              <w:rPr>
                <w:rFonts w:asciiTheme="minorEastAsia" w:hAnsiTheme="minorEastAsia" w:eastAsiaTheme="minorEastAsia"/>
                <w:bCs/>
                <w:szCs w:val="21"/>
              </w:rPr>
            </w:pPr>
            <w:r>
              <w:rPr>
                <w:rFonts w:hint="eastAsia" w:asciiTheme="minorEastAsia" w:hAnsiTheme="minorEastAsia" w:eastAsiaTheme="minorEastAsia"/>
                <w:bCs/>
                <w:szCs w:val="21"/>
              </w:rPr>
              <w:t>4.绿化主管：具有园林专业大专及以上学历的得1分</w:t>
            </w:r>
            <w:r>
              <w:rPr>
                <w:rFonts w:hint="eastAsia" w:asciiTheme="minorEastAsia" w:hAnsiTheme="minorEastAsia" w:eastAsiaTheme="minorEastAsia"/>
                <w:bCs/>
                <w:color w:val="000000" w:themeColor="text1"/>
                <w:szCs w:val="21"/>
              </w:rPr>
              <w:t>，具有园林高级工程师职称或高级技师或花卉园艺师一级证书的得1分；具有园林中级职称或技师或花卉园艺师二级证书的得0.5分。</w:t>
            </w:r>
            <w:r>
              <w:rPr>
                <w:rFonts w:hint="eastAsia" w:asciiTheme="minorEastAsia" w:hAnsiTheme="minorEastAsia" w:eastAsiaTheme="minorEastAsia"/>
                <w:bCs/>
                <w:szCs w:val="21"/>
              </w:rPr>
              <w:t>（提供相关证明材料，不提供不得分），本项最高得2分；</w:t>
            </w:r>
          </w:p>
          <w:p>
            <w:pPr>
              <w:snapToGrid w:val="0"/>
              <w:rPr>
                <w:rFonts w:asciiTheme="minorEastAsia" w:hAnsiTheme="minorEastAsia" w:eastAsiaTheme="minorEastAsia"/>
                <w:bCs/>
                <w:szCs w:val="21"/>
              </w:rPr>
            </w:pPr>
            <w:r>
              <w:rPr>
                <w:rFonts w:hint="eastAsia" w:asciiTheme="minorEastAsia" w:hAnsiTheme="minorEastAsia" w:eastAsiaTheme="minorEastAsia"/>
                <w:bCs/>
                <w:szCs w:val="21"/>
              </w:rPr>
              <w:t>5.保安主管：具有大专及以上学历的得1分，具有保安员三级职业资格证书的得0.5分，具有保安主管经验的得0.5分，（0-2分）；</w:t>
            </w:r>
          </w:p>
          <w:p>
            <w:pPr>
              <w:kinsoku w:val="0"/>
              <w:textAlignment w:val="baseline"/>
              <w:rPr>
                <w:rFonts w:asciiTheme="minorEastAsia" w:hAnsiTheme="minorEastAsia" w:eastAsiaTheme="minorEastAsia"/>
                <w:bCs/>
                <w:szCs w:val="21"/>
              </w:rPr>
            </w:pPr>
            <w:r>
              <w:rPr>
                <w:rFonts w:hint="eastAsia" w:asciiTheme="minorEastAsia" w:hAnsiTheme="minorEastAsia" w:eastAsiaTheme="minorEastAsia"/>
                <w:b/>
                <w:bCs/>
                <w:szCs w:val="21"/>
              </w:rPr>
              <w:t>【以上配置人员须提供相关证书复印件，本单位缴纳的近3个月的社保证明等材料的复印件并加盖公章。不提供复印件不得分。】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5739"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1.投标人通过质量体系认证得1分；</w:t>
            </w:r>
          </w:p>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2.投标人通过环境管理体系认证得1分；</w:t>
            </w:r>
          </w:p>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3.投标人通过职业健康安全管理体系认证得1分。</w:t>
            </w:r>
          </w:p>
          <w:p>
            <w:pPr>
              <w:pStyle w:val="964"/>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本项最高得3分。</w:t>
            </w:r>
          </w:p>
          <w:p>
            <w:pPr>
              <w:kinsoku w:val="0"/>
              <w:textAlignment w:val="baseline"/>
              <w:rPr>
                <w:rFonts w:asciiTheme="minorEastAsia" w:hAnsiTheme="minorEastAsia" w:eastAsiaTheme="minorEastAsia"/>
                <w:bCs/>
                <w:szCs w:val="21"/>
              </w:rPr>
            </w:pPr>
            <w:r>
              <w:rPr>
                <w:rFonts w:hint="eastAsia" w:cs="宋体" w:asciiTheme="minorEastAsia" w:hAnsiTheme="minorEastAsia" w:eastAsiaTheme="minorEastAsia"/>
                <w:b/>
                <w:kern w:val="0"/>
                <w:szCs w:val="21"/>
              </w:rPr>
              <w:t>（须提供有效期内证书复印件，不提供复印件不得分）。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9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739" w:type="dxa"/>
            <w:tcBorders>
              <w:top w:val="nil"/>
              <w:left w:val="nil"/>
              <w:bottom w:val="single" w:color="auto" w:sz="4" w:space="0"/>
              <w:right w:val="single" w:color="auto" w:sz="4" w:space="0"/>
            </w:tcBorders>
            <w:shd w:val="clear" w:color="auto" w:fill="auto"/>
            <w:vAlign w:val="center"/>
          </w:tcPr>
          <w:p>
            <w:pPr>
              <w:kinsoku w:val="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投标人具有2020年度或2021年度或2022年度省级物业服务企业信用等级AAA证书得3分，AA级证书得2分，A级证书得1分。（</w:t>
            </w:r>
            <w:r>
              <w:rPr>
                <w:rFonts w:hint="eastAsia" w:asciiTheme="minorEastAsia" w:hAnsiTheme="minorEastAsia" w:eastAsiaTheme="minorEastAsia"/>
                <w:kern w:val="0"/>
                <w:szCs w:val="21"/>
                <w:lang w:val="zh-CN"/>
              </w:rPr>
              <w:t>须</w:t>
            </w:r>
            <w:r>
              <w:rPr>
                <w:rFonts w:hint="eastAsia" w:asciiTheme="minorEastAsia" w:hAnsiTheme="minorEastAsia" w:eastAsiaTheme="minorEastAsia"/>
                <w:kern w:val="0"/>
                <w:szCs w:val="21"/>
              </w:rPr>
              <w:t>提供证明材料复印件，不提供不得分</w:t>
            </w:r>
            <w:r>
              <w:rPr>
                <w:rFonts w:hint="eastAsia" w:asciiTheme="minorEastAsia" w:hAnsiTheme="minorEastAsia" w:eastAsiaTheme="minorEastAsia"/>
                <w:kern w:val="0"/>
                <w:szCs w:val="21"/>
                <w:lang w:val="zh-CN"/>
              </w:rPr>
              <w:t>）</w:t>
            </w:r>
            <w:r>
              <w:rPr>
                <w:rFonts w:hint="eastAsia" w:asciiTheme="minorEastAsia" w:hAnsiTheme="minorEastAsia" w:eastAsiaTheme="minorEastAsia"/>
                <w:bCs/>
                <w:szCs w:val="21"/>
              </w:rPr>
              <w:t>（0-3分)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31"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739" w:type="dxa"/>
            <w:tcBorders>
              <w:top w:val="nil"/>
              <w:left w:val="nil"/>
              <w:bottom w:val="single" w:color="auto" w:sz="4" w:space="0"/>
              <w:right w:val="single" w:color="auto" w:sz="4" w:space="0"/>
            </w:tcBorders>
            <w:shd w:val="clear" w:color="auto" w:fill="auto"/>
            <w:vAlign w:val="center"/>
          </w:tcPr>
          <w:p>
            <w:pPr>
              <w:kinsoku w:val="0"/>
              <w:textAlignment w:val="baseline"/>
              <w:rPr>
                <w:rFonts w:asciiTheme="minorEastAsia" w:hAnsiTheme="minorEastAsia" w:eastAsiaTheme="minorEastAsia"/>
                <w:bCs/>
                <w:szCs w:val="21"/>
              </w:rPr>
            </w:pPr>
            <w:r>
              <w:rPr>
                <w:rFonts w:hint="eastAsia" w:cs="宋体" w:asciiTheme="minorEastAsia" w:hAnsiTheme="minorEastAsia" w:eastAsiaTheme="minorEastAsia"/>
                <w:bCs/>
                <w:szCs w:val="21"/>
              </w:rPr>
              <w:t>根据投标人本地化服务能力综合评分，最高得5分。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5739" w:type="dxa"/>
            <w:tcBorders>
              <w:top w:val="nil"/>
              <w:left w:val="nil"/>
              <w:bottom w:val="single" w:color="auto" w:sz="4" w:space="0"/>
              <w:right w:val="single" w:color="auto" w:sz="4" w:space="0"/>
            </w:tcBorders>
            <w:shd w:val="clear" w:color="auto" w:fill="auto"/>
            <w:vAlign w:val="center"/>
          </w:tcPr>
          <w:p>
            <w:pPr>
              <w:kinsoku w:val="0"/>
              <w:textAlignment w:val="baseline"/>
              <w:rPr>
                <w:rFonts w:asciiTheme="minorEastAsia" w:hAnsiTheme="minorEastAsia" w:eastAsiaTheme="minorEastAsia"/>
                <w:szCs w:val="21"/>
              </w:rPr>
            </w:pPr>
            <w:r>
              <w:rPr>
                <w:rFonts w:hint="eastAsia" w:asciiTheme="minorEastAsia" w:hAnsiTheme="minorEastAsia" w:eastAsiaTheme="minorEastAsia"/>
                <w:szCs w:val="21"/>
              </w:rPr>
              <w:t>投标人提供自2019年1月1日（以合同签订时间为准）以来承担过的类似项目业绩，每个得1分，最高得2分</w:t>
            </w:r>
          </w:p>
          <w:p>
            <w:pPr>
              <w:kinsoku w:val="0"/>
              <w:textAlignment w:val="baseline"/>
              <w:rPr>
                <w:rFonts w:asciiTheme="minorEastAsia" w:hAnsiTheme="minorEastAsia" w:eastAsiaTheme="minorEastAsia"/>
                <w:bCs/>
                <w:szCs w:val="21"/>
              </w:rPr>
            </w:pPr>
            <w:r>
              <w:rPr>
                <w:rFonts w:hint="eastAsia" w:asciiTheme="minorEastAsia" w:hAnsiTheme="minorEastAsia" w:eastAsiaTheme="minorEastAsia"/>
                <w:b/>
                <w:bCs/>
                <w:szCs w:val="21"/>
              </w:rPr>
              <w:t>（须提供合同复印件及验收报告复印件，不提供复印件或二者缺一均不得分。）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85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5739" w:type="dxa"/>
            <w:tcBorders>
              <w:top w:val="nil"/>
              <w:left w:val="nil"/>
              <w:bottom w:val="single" w:color="auto" w:sz="4" w:space="0"/>
              <w:right w:val="single" w:color="auto" w:sz="4" w:space="0"/>
            </w:tcBorders>
            <w:shd w:val="clear" w:color="auto" w:fill="auto"/>
            <w:vAlign w:val="center"/>
          </w:tcPr>
          <w:p>
            <w:pPr>
              <w:pStyle w:val="625"/>
              <w:numPr>
                <w:ilvl w:val="0"/>
                <w:numId w:val="4"/>
              </w:numPr>
              <w:ind w:firstLine="44"/>
              <w:jc w:val="lef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投标人自2019年1月1日以来获得区县及以上人民政府颁发的荣誉或奖项的每项得1分，最高得3分；</w:t>
            </w:r>
          </w:p>
          <w:p>
            <w:pPr>
              <w:pStyle w:val="625"/>
              <w:numPr>
                <w:ilvl w:val="0"/>
                <w:numId w:val="4"/>
              </w:numPr>
              <w:ind w:firstLine="44"/>
              <w:jc w:val="lef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投标人自2019年1月1日以来获得区县及以上人民政府相关职能部门颁发的荣誉或奖项的每项得0.5分，最高得2分。</w:t>
            </w:r>
          </w:p>
          <w:p>
            <w:pPr>
              <w:kinsoku w:val="0"/>
              <w:textAlignment w:val="baseline"/>
              <w:rPr>
                <w:rFonts w:asciiTheme="minorEastAsia" w:hAnsiTheme="minorEastAsia" w:eastAsiaTheme="minorEastAsia"/>
                <w:bCs/>
                <w:color w:val="00B0F0"/>
                <w:szCs w:val="21"/>
              </w:rPr>
            </w:pPr>
            <w:r>
              <w:rPr>
                <w:rFonts w:hint="eastAsia" w:asciiTheme="minorEastAsia" w:hAnsiTheme="minorEastAsia" w:eastAsiaTheme="minorEastAsia"/>
                <w:b/>
                <w:bCs/>
                <w:color w:val="000000"/>
                <w:szCs w:val="21"/>
              </w:rPr>
              <w:t>（须提供相关荣誉或奖项证明材料复印件，否则不得分）</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5739" w:type="dxa"/>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有效投标报价的最低价作为评标基准价，其最低报价为满分；按［投标报价得分=（评标基准价/投标报价）*20］的计算公式计算。评标过程中，不得去掉报价中的最高报价和最低报价。</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bl>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pPr>
        <w:spacing w:line="360" w:lineRule="auto"/>
        <w:outlineLvl w:val="0"/>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128"/>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720" w:firstLineChars="30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128"/>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2"/>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pPr>
        <w:pStyle w:val="2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2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p>
    <w:bookmarkEnd w:id="26"/>
    <w:p>
      <w:pPr>
        <w:spacing w:line="360" w:lineRule="auto"/>
        <w:ind w:left="720" w:leftChars="343" w:firstLine="1084" w:firstLineChars="300"/>
        <w:outlineLvl w:val="0"/>
        <w:rPr>
          <w:rFonts w:cs="宋体" w:asciiTheme="minorEastAsia" w:hAnsiTheme="minorEastAsia" w:eastAsiaTheme="minorEastAsia"/>
          <w:b/>
          <w:sz w:val="36"/>
          <w:szCs w:val="36"/>
        </w:rPr>
      </w:pPr>
      <w:bookmarkStart w:id="392" w:name="第五部分"/>
      <w:bookmarkStart w:id="393" w:name="_Toc86217003"/>
    </w:p>
    <w:p>
      <w:pPr>
        <w:spacing w:line="360" w:lineRule="auto"/>
        <w:ind w:left="720" w:leftChars="343" w:firstLine="1084" w:firstLineChars="300"/>
        <w:outlineLvl w:val="0"/>
        <w:rPr>
          <w:rFonts w:cs="宋体" w:asciiTheme="minorEastAsia" w:hAnsiTheme="minorEastAsia" w:eastAsiaTheme="minorEastAsia"/>
          <w:b/>
          <w:sz w:val="36"/>
          <w:szCs w:val="36"/>
        </w:rPr>
      </w:pPr>
    </w:p>
    <w:p>
      <w:pPr>
        <w:spacing w:line="360" w:lineRule="auto"/>
        <w:ind w:left="720" w:leftChars="343" w:firstLine="1084" w:firstLineChars="300"/>
        <w:outlineLvl w:val="0"/>
        <w:rPr>
          <w:rFonts w:cs="宋体" w:asciiTheme="minorEastAsia" w:hAnsiTheme="minorEastAsia" w:eastAsiaTheme="minorEastAsia"/>
          <w:b/>
          <w:sz w:val="36"/>
          <w:szCs w:val="36"/>
        </w:rPr>
      </w:pPr>
    </w:p>
    <w:p>
      <w:pPr>
        <w:spacing w:line="360" w:lineRule="auto"/>
        <w:ind w:left="720" w:leftChars="343" w:firstLine="1084" w:firstLineChars="300"/>
        <w:outlineLvl w:val="0"/>
        <w:rPr>
          <w:rFonts w:cs="宋体" w:asciiTheme="minorEastAsia" w:hAnsiTheme="minorEastAsia" w:eastAsiaTheme="minorEastAsia"/>
          <w:b/>
          <w:sz w:val="36"/>
          <w:szCs w:val="36"/>
        </w:rPr>
      </w:pPr>
    </w:p>
    <w:p>
      <w:pPr>
        <w:spacing w:line="360" w:lineRule="auto"/>
        <w:ind w:left="720" w:leftChars="343" w:firstLine="1084" w:firstLineChars="300"/>
        <w:outlineLvl w:val="0"/>
        <w:rPr>
          <w:rFonts w:cs="宋体" w:asciiTheme="minorEastAsia" w:hAnsiTheme="minorEastAsia" w:eastAsiaTheme="minorEastAsia"/>
          <w:b/>
          <w:sz w:val="36"/>
          <w:szCs w:val="36"/>
        </w:rPr>
      </w:pPr>
    </w:p>
    <w:p>
      <w:pPr>
        <w:pStyle w:val="2"/>
        <w:rPr>
          <w:rFonts w:asciiTheme="minorEastAsia" w:hAnsiTheme="minorEastAsia" w:eastAsiaTheme="minorEastAsia"/>
          <w:lang w:val="en-US"/>
        </w:rPr>
      </w:pPr>
    </w:p>
    <w:p>
      <w:pPr>
        <w:rPr>
          <w:rFonts w:asciiTheme="minorEastAsia" w:hAnsiTheme="minorEastAsia" w:eastAsiaTheme="minorEastAsia"/>
        </w:rPr>
      </w:pPr>
    </w:p>
    <w:p>
      <w:pPr>
        <w:pStyle w:val="2"/>
        <w:rPr>
          <w:rFonts w:asciiTheme="minorEastAsia" w:hAnsiTheme="minorEastAsia" w:eastAsiaTheme="minorEastAsia"/>
          <w:lang w:val="en-US"/>
        </w:rPr>
      </w:pPr>
    </w:p>
    <w:p/>
    <w:p>
      <w:pPr>
        <w:pStyle w:val="2"/>
        <w:rPr>
          <w:lang w:val="en-US"/>
        </w:rPr>
      </w:pPr>
    </w:p>
    <w:p>
      <w:pPr>
        <w:spacing w:line="360" w:lineRule="auto"/>
        <w:outlineLvl w:val="0"/>
        <w:rPr>
          <w:rFonts w:cs="宋体" w:asciiTheme="minorEastAsia" w:hAnsiTheme="minorEastAsia" w:eastAsiaTheme="minorEastAsia"/>
          <w:b/>
          <w:sz w:val="36"/>
          <w:szCs w:val="36"/>
        </w:rPr>
      </w:pPr>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p>
    <w:p>
      <w:pPr>
        <w:spacing w:line="480" w:lineRule="auto"/>
        <w:jc w:val="center"/>
        <w:rPr>
          <w:rFonts w:cs="宋体" w:asciiTheme="minorEastAsia" w:hAnsiTheme="minorEastAsia" w:eastAsiaTheme="minorEastAsia"/>
          <w:b/>
          <w:sz w:val="28"/>
          <w:szCs w:val="28"/>
        </w:rPr>
      </w:pPr>
    </w:p>
    <w:p>
      <w:pPr>
        <w:spacing w:line="480" w:lineRule="auto"/>
        <w:jc w:val="center"/>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699"/>
        <w:rPr>
          <w:rFonts w:cs="宋体" w:asciiTheme="minorEastAsia" w:hAnsiTheme="minorEastAsia" w:eastAsiaTheme="minorEastAsia"/>
          <w:szCs w:val="24"/>
        </w:rPr>
      </w:pPr>
    </w:p>
    <w:p>
      <w:pPr>
        <w:pStyle w:val="699"/>
        <w:rPr>
          <w:rFonts w:cs="宋体" w:asciiTheme="minorEastAsia" w:hAnsiTheme="minorEastAsia" w:eastAsiaTheme="minorEastAsia"/>
          <w:szCs w:val="24"/>
        </w:rPr>
      </w:pPr>
    </w:p>
    <w:p>
      <w:pPr>
        <w:pStyle w:val="699"/>
        <w:jc w:val="center"/>
        <w:rPr>
          <w:rFonts w:cs="宋体" w:asciiTheme="minorEastAsia" w:hAnsiTheme="minorEastAsia" w:eastAsiaTheme="minorEastAsia"/>
          <w:szCs w:val="24"/>
        </w:rPr>
      </w:pPr>
    </w:p>
    <w:p>
      <w:pPr>
        <w:pStyle w:val="699"/>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第一部分合同书</w:t>
      </w:r>
    </w:p>
    <w:p>
      <w:pPr>
        <w:pStyle w:val="699"/>
        <w:rPr>
          <w:rFonts w:cs="宋体" w:asciiTheme="minorEastAsia" w:hAnsiTheme="minorEastAsia" w:eastAsiaTheme="minorEastAsia"/>
          <w:szCs w:val="24"/>
        </w:rPr>
      </w:pPr>
    </w:p>
    <w:p>
      <w:pPr>
        <w:pStyle w:val="699"/>
        <w:rPr>
          <w:rFonts w:cs="宋体" w:asciiTheme="minorEastAsia" w:hAnsiTheme="minorEastAsia" w:eastAsiaTheme="minorEastAsia"/>
          <w:szCs w:val="24"/>
        </w:rPr>
      </w:pP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596"/>
        <w:spacing w:before="120" w:line="22" w:lineRule="atLeast"/>
        <w:rPr>
          <w:rFonts w:cs="宋体" w:asciiTheme="minorEastAsia" w:hAnsiTheme="minorEastAsia" w:eastAsiaTheme="minorEastAsia"/>
          <w:szCs w:val="24"/>
        </w:rPr>
      </w:pPr>
    </w:p>
    <w:p>
      <w:pPr>
        <w:pStyle w:val="596"/>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 月 日</w:t>
      </w:r>
    </w:p>
    <w:p>
      <w:pPr>
        <w:widowControl/>
        <w:jc w:val="left"/>
        <w:rPr>
          <w:rFonts w:cs="宋体" w:asciiTheme="minorEastAsia" w:hAnsiTheme="minorEastAsia" w:eastAsiaTheme="minorEastAsia"/>
          <w:kern w:val="0"/>
          <w:sz w:val="24"/>
        </w:rPr>
        <w:sectPr>
          <w:pgSz w:w="11907" w:h="16840"/>
          <w:pgMar w:top="1474" w:right="1814" w:bottom="1474" w:left="1814" w:header="851" w:footer="851" w:gutter="0"/>
          <w:cols w:space="720" w:num="1"/>
        </w:sectPr>
      </w:pP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（同前页项目名称）   </w:t>
      </w:r>
      <w:r>
        <w:rPr>
          <w:rFonts w:hint="eastAsia" w:cs="宋体" w:asciiTheme="minorEastAsia" w:hAnsiTheme="minorEastAsia" w:eastAsiaTheme="minorEastAsia"/>
          <w:sz w:val="24"/>
        </w:rPr>
        <w:t>项目进行了采购。经</w:t>
      </w:r>
      <w:r>
        <w:rPr>
          <w:rFonts w:hint="eastAsia" w:cs="宋体" w:asciiTheme="minorEastAsia" w:hAnsiTheme="minorEastAsia" w:eastAsiaTheme="minorEastAsia"/>
          <w:sz w:val="24"/>
          <w:u w:val="single"/>
        </w:rPr>
        <w:t xml:space="preserve">   （相关评定主体名称）   </w:t>
      </w:r>
      <w:r>
        <w:rPr>
          <w:rFonts w:hint="eastAsia" w:cs="宋体" w:asciiTheme="minorEastAsia" w:hAnsiTheme="minorEastAsia" w:eastAsiaTheme="minorEastAsia"/>
          <w:sz w:val="24"/>
        </w:rPr>
        <w:t>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为该项目中标供应商。现于中标通知书发出之日起十个工作日内，按照采购文件确定的事项签订本合同。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pPr>
        <w:spacing w:line="560" w:lineRule="exact"/>
        <w:ind w:firstLine="482" w:firstLineChars="200"/>
        <w:outlineLvl w:val="0"/>
        <w:rPr>
          <w:rFonts w:cs="宋体" w:asciiTheme="minorEastAsia" w:hAnsiTheme="minorEastAsia" w:eastAsiaTheme="minorEastAsia"/>
          <w:b/>
          <w:sz w:val="24"/>
        </w:rPr>
      </w:pPr>
      <w:bookmarkStart w:id="394" w:name="_Toc3029"/>
      <w:bookmarkStart w:id="395" w:name="_Toc2232"/>
      <w:bookmarkStart w:id="396" w:name="_Toc24059"/>
      <w:r>
        <w:rPr>
          <w:rFonts w:hint="eastAsia" w:cs="宋体" w:asciiTheme="minorEastAsia" w:hAnsiTheme="minorEastAsia" w:eastAsiaTheme="minorEastAsia"/>
          <w:b/>
          <w:sz w:val="24"/>
        </w:rPr>
        <w:t>1.1 合同组成部分</w:t>
      </w:r>
      <w:bookmarkEnd w:id="394"/>
      <w:bookmarkEnd w:id="395"/>
      <w:bookmarkEnd w:id="396"/>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 本合同及其补充合同、变更协议；</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 中标通知书；</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1.1.3 投标文件（含澄清或者说明文件）；</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1.1.4 招标文件（含澄清或者修改文件）；</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1.1.5 其他相关采购文件。</w:t>
      </w:r>
    </w:p>
    <w:p>
      <w:pPr>
        <w:spacing w:line="560" w:lineRule="exact"/>
        <w:ind w:firstLine="482" w:firstLineChars="200"/>
        <w:outlineLvl w:val="0"/>
        <w:rPr>
          <w:rFonts w:cs="宋体" w:asciiTheme="minorEastAsia" w:hAnsiTheme="minorEastAsia" w:eastAsiaTheme="minorEastAsia"/>
          <w:b/>
          <w:sz w:val="24"/>
        </w:rPr>
      </w:pPr>
      <w:bookmarkStart w:id="397" w:name="_Toc27126"/>
      <w:bookmarkStart w:id="398" w:name="_Toc21295"/>
      <w:bookmarkStart w:id="399" w:name="_Toc24300"/>
      <w:r>
        <w:rPr>
          <w:rFonts w:hint="eastAsia" w:cs="宋体" w:asciiTheme="minorEastAsia" w:hAnsiTheme="minorEastAsia" w:eastAsiaTheme="minorEastAsia"/>
          <w:b/>
          <w:sz w:val="24"/>
        </w:rPr>
        <w:t xml:space="preserve">1.2 </w:t>
      </w:r>
      <w:bookmarkEnd w:id="397"/>
      <w:bookmarkEnd w:id="398"/>
      <w:bookmarkEnd w:id="399"/>
      <w:r>
        <w:rPr>
          <w:rFonts w:hint="eastAsia" w:cs="宋体" w:asciiTheme="minorEastAsia" w:hAnsiTheme="minorEastAsia" w:eastAsiaTheme="minorEastAsia"/>
          <w:b/>
          <w:sz w:val="24"/>
        </w:rPr>
        <w:t>服务</w:t>
      </w:r>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1.2.1 服务内容：；</w:t>
      </w:r>
    </w:p>
    <w:p>
      <w:pPr>
        <w:spacing w:line="560" w:lineRule="exact"/>
        <w:ind w:firstLine="482" w:firstLineChars="200"/>
        <w:outlineLvl w:val="0"/>
        <w:rPr>
          <w:rFonts w:cs="宋体" w:asciiTheme="minorEastAsia" w:hAnsiTheme="minorEastAsia" w:eastAsiaTheme="minorEastAsia"/>
          <w:b/>
          <w:sz w:val="24"/>
        </w:rPr>
      </w:pPr>
      <w:bookmarkStart w:id="400" w:name="_Toc21631"/>
      <w:bookmarkStart w:id="401" w:name="_Toc23292"/>
      <w:bookmarkStart w:id="402" w:name="_Toc21551"/>
      <w:r>
        <w:rPr>
          <w:rFonts w:hint="eastAsia" w:cs="宋体" w:asciiTheme="minorEastAsia" w:hAnsiTheme="minorEastAsia" w:eastAsiaTheme="minorEastAsia"/>
          <w:b/>
          <w:sz w:val="24"/>
        </w:rPr>
        <w:t>1.3 价款</w:t>
      </w:r>
      <w:bookmarkEnd w:id="400"/>
      <w:bookmarkEnd w:id="401"/>
      <w:bookmarkEnd w:id="402"/>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本合同总价为：￥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元（大写：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元人民币）。</w:t>
      </w:r>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中标清单：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jc w:val="center"/>
              <w:rPr>
                <w:rFonts w:cs="宋体" w:asciiTheme="minorEastAsia" w:hAnsiTheme="minorEastAsia" w:eastAsiaTheme="minorEastAsia"/>
                <w:sz w:val="24"/>
                <w:szCs w:val="24"/>
              </w:rPr>
            </w:pPr>
            <w:bookmarkStart w:id="403" w:name="_Toc1814"/>
            <w:bookmarkStart w:id="404" w:name="_Toc10340"/>
            <w:bookmarkStart w:id="405" w:name="_Toc22618"/>
            <w:r>
              <w:rPr>
                <w:rFonts w:hint="eastAsia" w:cs="宋体" w:asciiTheme="minorEastAsia" w:hAnsiTheme="minorEastAsia" w:eastAsiaTheme="minorEastAsia"/>
                <w:sz w:val="24"/>
                <w:szCs w:val="24"/>
              </w:rPr>
              <w:t>序号</w:t>
            </w:r>
          </w:p>
        </w:tc>
        <w:tc>
          <w:tcPr>
            <w:tcW w:w="3402" w:type="dxa"/>
            <w:vAlign w:val="center"/>
          </w:tcPr>
          <w:p>
            <w:pPr>
              <w:pStyle w:val="317"/>
              <w:spacing w:line="360" w:lineRule="auto"/>
              <w:ind w:firstLine="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分项名称</w:t>
            </w:r>
          </w:p>
        </w:tc>
        <w:tc>
          <w:tcPr>
            <w:tcW w:w="2552" w:type="dxa"/>
            <w:vAlign w:val="center"/>
          </w:tcPr>
          <w:p>
            <w:pPr>
              <w:pStyle w:val="317"/>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3402"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2552" w:type="dxa"/>
            <w:vAlign w:val="center"/>
          </w:tcPr>
          <w:p>
            <w:pPr>
              <w:pStyle w:val="317"/>
              <w:spacing w:line="360" w:lineRule="auto"/>
              <w:ind w:firstLine="200"/>
              <w:jc w:val="cente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3402"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2552" w:type="dxa"/>
            <w:vAlign w:val="center"/>
          </w:tcPr>
          <w:p>
            <w:pPr>
              <w:pStyle w:val="317"/>
              <w:spacing w:line="360" w:lineRule="auto"/>
              <w:ind w:firstLine="200"/>
              <w:jc w:val="cente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3402" w:type="dxa"/>
            <w:vAlign w:val="center"/>
          </w:tcPr>
          <w:p>
            <w:pPr>
              <w:pStyle w:val="317"/>
              <w:spacing w:line="360" w:lineRule="auto"/>
              <w:ind w:firstLine="200"/>
              <w:jc w:val="center"/>
              <w:rPr>
                <w:rFonts w:cs="宋体" w:asciiTheme="minorEastAsia" w:hAnsiTheme="minorEastAsia" w:eastAsiaTheme="minorEastAsia"/>
                <w:sz w:val="24"/>
                <w:szCs w:val="24"/>
              </w:rPr>
            </w:pPr>
          </w:p>
        </w:tc>
        <w:tc>
          <w:tcPr>
            <w:tcW w:w="2552" w:type="dxa"/>
            <w:vAlign w:val="center"/>
          </w:tcPr>
          <w:p>
            <w:pPr>
              <w:pStyle w:val="317"/>
              <w:spacing w:line="360" w:lineRule="auto"/>
              <w:ind w:firstLine="200"/>
              <w:jc w:val="center"/>
              <w:rPr>
                <w:rFonts w:cs="宋体" w:asciiTheme="minorEastAsia" w:hAnsiTheme="minorEastAsia" w:eastAsiaTheme="minorEastAsia"/>
                <w:sz w:val="24"/>
                <w:szCs w:val="24"/>
              </w:rPr>
            </w:pPr>
          </w:p>
        </w:tc>
      </w:tr>
    </w:tbl>
    <w:p>
      <w:pPr>
        <w:spacing w:line="360" w:lineRule="auto"/>
        <w:ind w:firstLine="482" w:firstLineChars="200"/>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1.4 付款</w:t>
      </w:r>
      <w:bookmarkEnd w:id="403"/>
      <w:bookmarkEnd w:id="404"/>
      <w:bookmarkEnd w:id="405"/>
      <w:r>
        <w:rPr>
          <w:rFonts w:hint="eastAsia" w:cs="宋体" w:asciiTheme="minorEastAsia" w:hAnsiTheme="minorEastAsia" w:eastAsiaTheme="minorEastAsia"/>
          <w:b/>
          <w:sz w:val="24"/>
        </w:rPr>
        <w:t>方式、时间和条件</w:t>
      </w:r>
    </w:p>
    <w:p>
      <w:pPr>
        <w:pStyle w:val="957"/>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甲方在政府采购合同中约定预付款，预付款比例为合同金额的50％。项目分年安排预算的，每年预付款比例为项目年度计划支付资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1.4.4资金支付的方式、时间和条件详见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2" w:firstLineChars="200"/>
        <w:outlineLvl w:val="0"/>
        <w:rPr>
          <w:rFonts w:cs="宋体" w:asciiTheme="minorEastAsia" w:hAnsiTheme="minorEastAsia" w:eastAsiaTheme="minorEastAsia"/>
          <w:b/>
          <w:sz w:val="24"/>
        </w:rPr>
      </w:pPr>
      <w:bookmarkStart w:id="406" w:name="_Toc2846"/>
      <w:bookmarkStart w:id="407" w:name="_Toc32071"/>
      <w:bookmarkStart w:id="408" w:name="_Toc19304"/>
      <w:r>
        <w:rPr>
          <w:rFonts w:hint="eastAsia" w:cs="宋体" w:asciiTheme="minorEastAsia" w:hAnsiTheme="minorEastAsia" w:eastAsiaTheme="minorEastAsia"/>
          <w:b/>
          <w:sz w:val="24"/>
        </w:rPr>
        <w:t>1.5 服务期限、地点和方式</w:t>
      </w:r>
      <w:bookmarkEnd w:id="406"/>
      <w:bookmarkEnd w:id="407"/>
      <w:bookmarkEnd w:id="408"/>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1.5.1 服务期限：详见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1.5.2 服务地点：</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1.5.3 服务方式：</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2" w:firstLineChars="200"/>
        <w:outlineLvl w:val="0"/>
        <w:rPr>
          <w:rFonts w:cs="宋体" w:asciiTheme="minorEastAsia" w:hAnsiTheme="minorEastAsia" w:eastAsiaTheme="minorEastAsia"/>
          <w:b/>
          <w:sz w:val="24"/>
        </w:rPr>
      </w:pPr>
      <w:bookmarkStart w:id="409" w:name="_Toc27250"/>
      <w:bookmarkStart w:id="410" w:name="_Toc21423"/>
      <w:bookmarkStart w:id="411" w:name="_Toc19554"/>
      <w:r>
        <w:rPr>
          <w:rFonts w:hint="eastAsia" w:cs="宋体" w:asciiTheme="minorEastAsia" w:hAnsiTheme="minorEastAsia" w:eastAsiaTheme="minorEastAsia"/>
          <w:b/>
          <w:sz w:val="24"/>
        </w:rPr>
        <w:t>1.6 违约责任</w:t>
      </w:r>
      <w:bookmarkEnd w:id="409"/>
      <w:bookmarkEnd w:id="410"/>
      <w:bookmarkEnd w:id="411"/>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1.6.1 除不可抗力外，如果乙方没有按照本合同约定的期限、地点和方式提供服务，那么甲方可要求乙方支付违约金，违约金按每迟延提供服务一日的应交付而未交付价格的</w:t>
      </w:r>
      <w:r>
        <w:rPr>
          <w:rFonts w:hint="eastAsia" w:cs="宋体" w:asciiTheme="minorEastAsia" w:hAnsiTheme="minorEastAsia" w:eastAsiaTheme="minorEastAsia"/>
          <w:sz w:val="24"/>
          <w:u w:val="single"/>
        </w:rPr>
        <w:t xml:space="preserve">  0.05  </w:t>
      </w:r>
      <w:r>
        <w:rPr>
          <w:rFonts w:hint="eastAsia" w:cs="宋体" w:asciiTheme="minorEastAsia" w:hAnsiTheme="minorEastAsia" w:eastAsiaTheme="minorEastAsia"/>
          <w:sz w:val="24"/>
        </w:rPr>
        <w:t>%计算，最高限额为本合同总价的</w:t>
      </w:r>
      <w:r>
        <w:rPr>
          <w:rFonts w:hint="eastAsia" w:cs="宋体" w:asciiTheme="minorEastAsia" w:hAnsiTheme="minorEastAsia" w:eastAsiaTheme="minorEastAsia"/>
          <w:sz w:val="24"/>
          <w:u w:val="single"/>
        </w:rPr>
        <w:t xml:space="preserve"> 20  </w:t>
      </w:r>
      <w:r>
        <w:rPr>
          <w:rFonts w:hint="eastAsia" w:cs="宋体" w:asciiTheme="minorEastAsia" w:hAnsiTheme="minorEastAsia" w:eastAsiaTheme="minorEastAsia"/>
          <w:sz w:val="24"/>
        </w:rPr>
        <w:t>%；迟延提供服务的违约金计算数额达到前述最高限额之日起，甲方有权在要求乙方支付违约金的同时，书面通知乙方解除本合同；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1.6.2 除不可抗力外，如果甲方没有按照本合同约定的付款方式付款，那么乙方可要求甲方支付违约金，违约金按每迟延付款一日的应付而未付款的</w:t>
      </w:r>
      <w:r>
        <w:rPr>
          <w:rFonts w:hint="eastAsia" w:cs="宋体" w:asciiTheme="minorEastAsia" w:hAnsiTheme="minorEastAsia" w:eastAsiaTheme="minorEastAsia"/>
          <w:sz w:val="24"/>
          <w:u w:val="single"/>
        </w:rPr>
        <w:t xml:space="preserve">  0.05  </w:t>
      </w:r>
      <w:r>
        <w:rPr>
          <w:rFonts w:hint="eastAsia" w:cs="宋体" w:asciiTheme="minorEastAsia" w:hAnsiTheme="minorEastAsia" w:eastAsiaTheme="minorEastAsia"/>
          <w:sz w:val="24"/>
        </w:rPr>
        <w:t>%计算，最高限额为本合同总价的</w:t>
      </w:r>
      <w:r>
        <w:rPr>
          <w:rFonts w:hint="eastAsia" w:cs="宋体" w:asciiTheme="minorEastAsia" w:hAnsiTheme="minorEastAsia" w:eastAsiaTheme="minorEastAsia"/>
          <w:sz w:val="24"/>
          <w:u w:val="single"/>
        </w:rPr>
        <w:t xml:space="preserve">  20   </w:t>
      </w:r>
      <w:r>
        <w:rPr>
          <w:rFonts w:hint="eastAsia" w:cs="宋体" w:asciiTheme="minorEastAsia" w:hAnsiTheme="minorEastAsia" w:eastAsiaTheme="minorEastAsia"/>
          <w:sz w:val="24"/>
        </w:rPr>
        <w:t>%；迟延付款的违约金计算数额达到前述最高限额之日起，乙方有权在要求甲方支付违约金的同时，书面通知甲方解除本合同；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1.6.7违约责任</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另有约定的，从其约定。</w:t>
      </w:r>
    </w:p>
    <w:p>
      <w:pPr>
        <w:spacing w:line="560" w:lineRule="exact"/>
        <w:ind w:firstLine="482" w:firstLineChars="200"/>
        <w:outlineLvl w:val="0"/>
        <w:rPr>
          <w:rFonts w:cs="宋体" w:asciiTheme="minorEastAsia" w:hAnsiTheme="minorEastAsia" w:eastAsiaTheme="minorEastAsia"/>
          <w:b/>
          <w:sz w:val="24"/>
        </w:rPr>
      </w:pPr>
      <w:bookmarkStart w:id="412" w:name="_Toc15583"/>
      <w:bookmarkStart w:id="413" w:name="_Toc16021"/>
      <w:bookmarkStart w:id="414" w:name="_Toc28375"/>
      <w:r>
        <w:rPr>
          <w:rFonts w:hint="eastAsia" w:cs="宋体" w:asciiTheme="minorEastAsia" w:hAnsiTheme="minorEastAsia" w:eastAsiaTheme="minorEastAsia"/>
          <w:b/>
          <w:sz w:val="24"/>
        </w:rPr>
        <w:t>1.7 合同争议的解决</w:t>
      </w:r>
      <w:bookmarkEnd w:id="412"/>
      <w:bookmarkEnd w:id="413"/>
      <w:bookmarkEnd w:id="414"/>
    </w:p>
    <w:p>
      <w:pPr>
        <w:spacing w:line="560" w:lineRule="exact"/>
        <w:ind w:left="-61" w:leftChars="-29" w:right="-420" w:rightChars="-200"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 xml:space="preserve">  本合同履行过程中发生的任何争议，双方当事人均可通过和解或者调解解决；不愿和解、调解或者和解、调解不成的，可以选择以下第</w:t>
      </w:r>
      <w:r>
        <w:rPr>
          <w:rFonts w:hint="eastAsia" w:cs="宋体" w:asciiTheme="minorEastAsia" w:hAnsiTheme="minorEastAsia" w:eastAsiaTheme="minorEastAsia"/>
          <w:b/>
          <w:i/>
          <w:sz w:val="24"/>
          <w:u w:val="single"/>
        </w:rPr>
        <w:t xml:space="preserve"> 合同专用条款  </w:t>
      </w:r>
      <w:r>
        <w:rPr>
          <w:rFonts w:hint="eastAsia" w:cs="宋体" w:asciiTheme="minorEastAsia" w:hAnsiTheme="minorEastAsia" w:eastAsiaTheme="minorEastAsia"/>
          <w:sz w:val="24"/>
        </w:rPr>
        <w:t>条款规定的方式解决：</w:t>
      </w:r>
    </w:p>
    <w:p>
      <w:pPr>
        <w:spacing w:line="560" w:lineRule="exact"/>
        <w:ind w:left="-420" w:leftChars="-200" w:right="-420" w:rightChars="-200"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1.7.1 将争议提交</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1.7.2 向</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人民法院起诉。</w:t>
      </w:r>
    </w:p>
    <w:p>
      <w:pPr>
        <w:spacing w:line="560" w:lineRule="exact"/>
        <w:ind w:firstLine="482" w:firstLineChars="200"/>
        <w:outlineLvl w:val="0"/>
        <w:rPr>
          <w:rFonts w:cs="宋体" w:asciiTheme="minorEastAsia" w:hAnsiTheme="minorEastAsia" w:eastAsiaTheme="minorEastAsia"/>
          <w:b/>
          <w:sz w:val="24"/>
        </w:rPr>
      </w:pPr>
      <w:bookmarkStart w:id="415" w:name="_Toc15322"/>
      <w:bookmarkStart w:id="416" w:name="_Toc7245"/>
      <w:bookmarkStart w:id="417" w:name="_Toc11173"/>
      <w:r>
        <w:rPr>
          <w:rFonts w:hint="eastAsia" w:cs="宋体" w:asciiTheme="minorEastAsia" w:hAnsiTheme="minorEastAsia" w:eastAsiaTheme="minorEastAsia"/>
          <w:b/>
          <w:sz w:val="24"/>
        </w:rPr>
        <w:t>1.8 合同生效</w:t>
      </w:r>
      <w:bookmarkEnd w:id="415"/>
      <w:bookmarkEnd w:id="416"/>
      <w:bookmarkEnd w:id="417"/>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本合同自双方当事人盖章或者签字时生效。</w:t>
      </w:r>
    </w:p>
    <w:p>
      <w:pPr>
        <w:spacing w:line="560" w:lineRule="exact"/>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rPr>
        <w:t>（注：本合同不强制现场签订，可盖章后邮寄送达）</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b/>
          <w:sz w:val="24"/>
          <w:lang w:val="zh-CN"/>
        </w:rPr>
        <w:t>甲方</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b/>
          <w:sz w:val="24"/>
          <w:lang w:val="zh-CN"/>
        </w:rPr>
        <w:t xml:space="preserve">      乙方</w:t>
      </w:r>
      <w:r>
        <w:rPr>
          <w:rFonts w:hint="eastAsia" w:cs="宋体" w:asciiTheme="minorEastAsia" w:hAnsiTheme="minorEastAsia" w:eastAsiaTheme="minorEastAsia"/>
          <w:sz w:val="24"/>
          <w:lang w:val="zh-CN"/>
        </w:rPr>
        <w:t>：</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统一社会信用代码：                       统一社会信用代码：</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lang w:val="zh-CN"/>
        </w:rPr>
        <w:t>：</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法定代表人或                             法定代表人</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授权代表（签字）：                        或授权代表（签字）: </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联系人：                                 联系人：</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邮政编码：                               邮政编码：</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电话:                                    电话: </w:t>
      </w:r>
    </w:p>
    <w:p>
      <w:pPr>
        <w:autoSpaceDE w:val="0"/>
        <w:autoSpaceDN w:val="0"/>
        <w:spacing w:line="56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传真:                                    传真:</w:t>
      </w:r>
    </w:p>
    <w:p>
      <w:pPr>
        <w:autoSpaceDE w:val="0"/>
        <w:autoSpaceDN w:val="0"/>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电子邮箱：                               电子邮箱：</w:t>
      </w:r>
    </w:p>
    <w:p>
      <w:pPr>
        <w:autoSpaceDE w:val="0"/>
        <w:autoSpaceDN w:val="0"/>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开户银行：                               开户银行： </w:t>
      </w:r>
    </w:p>
    <w:p>
      <w:pPr>
        <w:autoSpaceDE w:val="0"/>
        <w:autoSpaceDN w:val="0"/>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开户名称：                               开户名称： </w:t>
      </w:r>
    </w:p>
    <w:p>
      <w:pPr>
        <w:autoSpaceDE w:val="0"/>
        <w:autoSpaceDN w:val="0"/>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开户账号：                               开户账号：</w:t>
      </w:r>
    </w:p>
    <w:p>
      <w:pPr>
        <w:pStyle w:val="699"/>
        <w:spacing w:line="560" w:lineRule="exact"/>
        <w:ind w:firstLine="0" w:firstLineChars="0"/>
        <w:jc w:val="center"/>
        <w:rPr>
          <w:rFonts w:cs="宋体" w:asciiTheme="minorEastAsia" w:hAnsiTheme="minorEastAsia" w:eastAsiaTheme="minorEastAsia"/>
          <w:b/>
          <w:szCs w:val="24"/>
        </w:rPr>
      </w:pPr>
      <w:bookmarkStart w:id="418" w:name="_Toc331685783"/>
    </w:p>
    <w:p>
      <w:pPr>
        <w:pStyle w:val="27"/>
        <w:ind w:left="0" w:leftChars="0" w:firstLine="0" w:firstLineChars="0"/>
        <w:rPr>
          <w:rFonts w:cs="宋体" w:asciiTheme="minorEastAsia" w:hAnsiTheme="minorEastAsia" w:eastAsiaTheme="minorEastAsia"/>
        </w:rPr>
      </w:pPr>
    </w:p>
    <w:p>
      <w:pPr>
        <w:pStyle w:val="699"/>
        <w:spacing w:line="560" w:lineRule="exact"/>
        <w:ind w:firstLine="0" w:firstLineChars="0"/>
        <w:jc w:val="center"/>
        <w:rPr>
          <w:rFonts w:cs="宋体" w:asciiTheme="minorEastAsia" w:hAnsiTheme="minorEastAsia" w:eastAsiaTheme="minorEastAsia"/>
          <w:b/>
          <w:szCs w:val="24"/>
        </w:rPr>
      </w:pPr>
    </w:p>
    <w:p>
      <w:pPr>
        <w:pStyle w:val="699"/>
        <w:spacing w:line="560" w:lineRule="exact"/>
        <w:ind w:firstLine="0" w:firstLineChars="0"/>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第二部分 合同一般条款</w:t>
      </w:r>
      <w:bookmarkEnd w:id="418"/>
    </w:p>
    <w:p>
      <w:pPr>
        <w:spacing w:line="560" w:lineRule="exact"/>
        <w:ind w:firstLine="482" w:firstLineChars="200"/>
        <w:outlineLvl w:val="0"/>
        <w:rPr>
          <w:rFonts w:cs="宋体" w:asciiTheme="minorEastAsia" w:hAnsiTheme="minorEastAsia" w:eastAsiaTheme="minorEastAsia"/>
          <w:b/>
          <w:sz w:val="24"/>
        </w:rPr>
      </w:pPr>
      <w:bookmarkStart w:id="419" w:name="_Ref467379205"/>
      <w:bookmarkStart w:id="420" w:name="_Toc16917"/>
      <w:bookmarkStart w:id="421" w:name="_Toc259093669"/>
      <w:bookmarkStart w:id="422" w:name="_Ref467378463"/>
      <w:bookmarkStart w:id="423" w:name="_Ref467379109"/>
      <w:bookmarkStart w:id="424" w:name="_Ref467379225"/>
      <w:bookmarkStart w:id="425" w:name="_Toc19614"/>
      <w:bookmarkStart w:id="426" w:name="_Ref467378499"/>
      <w:bookmarkStart w:id="427" w:name="_Toc28763"/>
      <w:bookmarkStart w:id="428" w:name="_Ref467379094"/>
      <w:bookmarkStart w:id="429" w:name="_Toc487900349"/>
      <w:bookmarkStart w:id="430" w:name="_Ref467378404"/>
      <w:bookmarkStart w:id="431" w:name="_Ref467379214"/>
      <w:bookmarkStart w:id="432" w:name="_Ref467379195"/>
      <w:bookmarkStart w:id="433" w:name="_Toc279701240"/>
      <w:bookmarkStart w:id="434" w:name="_Ref467379101"/>
      <w:r>
        <w:rPr>
          <w:rFonts w:hint="eastAsia" w:cs="宋体" w:asciiTheme="minorEastAsia" w:hAnsiTheme="minorEastAsia" w:eastAsiaTheme="minorEastAsia"/>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本合同中的下列词语应按以下内容进行解释：</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 “合同价”系指根据合同约定，中标供应商在完全履行合同义务后，采购人应支付给中标供应商的价格。</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cs="宋体" w:asciiTheme="minorEastAsia" w:hAnsiTheme="minorEastAsia" w:eastAsiaTheme="minorEastAsia"/>
          <w:sz w:val="24"/>
        </w:rPr>
      </w:pPr>
      <w:bookmarkStart w:id="435" w:name="_Ref467378840"/>
      <w:r>
        <w:rPr>
          <w:rFonts w:hint="eastAsia" w:cs="宋体" w:asciiTheme="minorEastAsia" w:hAnsiTheme="minorEastAsia" w:eastAsiaTheme="minorEastAsia"/>
          <w:sz w:val="24"/>
        </w:rPr>
        <w:t>2.1.4 “甲方”系指与中标供应商签署合同的采购人</w:t>
      </w:r>
      <w:bookmarkEnd w:id="435"/>
      <w:r>
        <w:rPr>
          <w:rFonts w:hint="eastAsia" w:cs="宋体"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cs="宋体" w:asciiTheme="minorEastAsia" w:hAnsiTheme="minorEastAsia" w:eastAsiaTheme="minorEastAsia"/>
          <w:sz w:val="24"/>
        </w:rPr>
      </w:pPr>
      <w:bookmarkStart w:id="436" w:name="_Ref467379400"/>
      <w:r>
        <w:rPr>
          <w:rFonts w:hint="eastAsia" w:cs="宋体" w:asciiTheme="minorEastAsia" w:hAnsiTheme="minorEastAsia" w:eastAsiaTheme="minorEastAsia"/>
          <w:sz w:val="24"/>
        </w:rPr>
        <w:t>2.1.5 “乙方”系指根据合同约定提供服务的中标供应商</w:t>
      </w:r>
      <w:bookmarkEnd w:id="436"/>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bookmarkStart w:id="437" w:name="_Ref467379436"/>
      <w:r>
        <w:rPr>
          <w:rFonts w:hint="eastAsia" w:cs="宋体" w:asciiTheme="minorEastAsia" w:hAnsiTheme="minorEastAsia" w:eastAsiaTheme="minorEastAsia"/>
          <w:sz w:val="24"/>
        </w:rPr>
        <w:t>2.1.6 “现场”系指合同约定服务的地点。</w:t>
      </w:r>
      <w:bookmarkEnd w:id="437"/>
    </w:p>
    <w:p>
      <w:pPr>
        <w:spacing w:line="560" w:lineRule="exact"/>
        <w:ind w:firstLine="482" w:firstLineChars="200"/>
        <w:outlineLvl w:val="0"/>
        <w:rPr>
          <w:rFonts w:cs="宋体" w:asciiTheme="minorEastAsia" w:hAnsiTheme="minorEastAsia" w:eastAsiaTheme="minorEastAsia"/>
          <w:b/>
          <w:sz w:val="24"/>
        </w:rPr>
      </w:pPr>
      <w:bookmarkStart w:id="438" w:name="_Toc259093670"/>
      <w:bookmarkStart w:id="439" w:name="_Toc279701241"/>
      <w:bookmarkStart w:id="440" w:name="_Toc27635"/>
      <w:bookmarkStart w:id="441" w:name="_Toc13336"/>
      <w:bookmarkStart w:id="442" w:name="_Toc487900350"/>
      <w:bookmarkStart w:id="443" w:name="_Toc32504"/>
      <w:r>
        <w:rPr>
          <w:rFonts w:hint="eastAsia" w:cs="宋体" w:asciiTheme="minorEastAsia" w:hAnsiTheme="minorEastAsia" w:eastAsiaTheme="minorEastAsia"/>
          <w:b/>
          <w:sz w:val="24"/>
        </w:rPr>
        <w:t>2.2 技术规范</w:t>
      </w:r>
      <w:bookmarkEnd w:id="438"/>
      <w:bookmarkEnd w:id="439"/>
      <w:bookmarkEnd w:id="440"/>
      <w:bookmarkEnd w:id="441"/>
      <w:bookmarkEnd w:id="442"/>
      <w:bookmarkEnd w:id="443"/>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cs="宋体" w:asciiTheme="minorEastAsia" w:hAnsiTheme="minorEastAsia" w:eastAsiaTheme="minorEastAsia"/>
          <w:b/>
          <w:sz w:val="24"/>
        </w:rPr>
      </w:pPr>
      <w:bookmarkStart w:id="444" w:name="_Toc259093671"/>
      <w:bookmarkStart w:id="445" w:name="_Toc27853"/>
      <w:bookmarkStart w:id="446" w:name="_Toc487900351"/>
      <w:bookmarkStart w:id="447" w:name="_Toc31634"/>
      <w:bookmarkStart w:id="448" w:name="_Toc279701242"/>
      <w:bookmarkStart w:id="449" w:name="_Toc9829"/>
      <w:r>
        <w:rPr>
          <w:rFonts w:hint="eastAsia" w:cs="宋体" w:asciiTheme="minorEastAsia" w:hAnsiTheme="minorEastAsia" w:eastAsiaTheme="minorEastAsia"/>
          <w:b/>
          <w:sz w:val="24"/>
        </w:rPr>
        <w:t>2.3 知识产权</w:t>
      </w:r>
      <w:bookmarkEnd w:id="444"/>
      <w:bookmarkEnd w:id="445"/>
      <w:bookmarkEnd w:id="446"/>
      <w:bookmarkEnd w:id="447"/>
      <w:bookmarkEnd w:id="448"/>
      <w:bookmarkEnd w:id="449"/>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2.3.2具有知识产权的计算机软件等货物的知识产权归属，详见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2" w:firstLineChars="200"/>
        <w:outlineLvl w:val="0"/>
        <w:rPr>
          <w:rFonts w:cs="宋体" w:asciiTheme="minorEastAsia" w:hAnsiTheme="minorEastAsia" w:eastAsiaTheme="minorEastAsia"/>
          <w:b/>
          <w:sz w:val="24"/>
        </w:rPr>
      </w:pPr>
      <w:bookmarkStart w:id="450" w:name="_Ref467378541"/>
      <w:bookmarkStart w:id="451" w:name="_Ref467379536"/>
      <w:bookmarkStart w:id="452" w:name="_Ref467379527"/>
      <w:bookmarkStart w:id="453" w:name="_Ref467379542"/>
      <w:bookmarkStart w:id="454" w:name="_Toc279701245"/>
      <w:bookmarkStart w:id="455" w:name="_Toc487900354"/>
      <w:bookmarkStart w:id="456" w:name="_Ref467378591"/>
      <w:bookmarkStart w:id="457" w:name="_Toc259093674"/>
      <w:bookmarkStart w:id="458" w:name="_Toc26182"/>
      <w:bookmarkStart w:id="459" w:name="_Toc19074"/>
      <w:bookmarkStart w:id="460" w:name="_Toc30272"/>
      <w:r>
        <w:rPr>
          <w:rFonts w:hint="eastAsia" w:cs="宋体" w:asciiTheme="minorEastAsia" w:hAnsiTheme="minorEastAsia" w:eastAsiaTheme="minorEastAsia"/>
          <w:b/>
          <w:sz w:val="24"/>
        </w:rPr>
        <w:t>2.</w:t>
      </w:r>
      <w:bookmarkEnd w:id="450"/>
      <w:bookmarkEnd w:id="451"/>
      <w:bookmarkEnd w:id="452"/>
      <w:bookmarkEnd w:id="453"/>
      <w:bookmarkEnd w:id="454"/>
      <w:bookmarkEnd w:id="455"/>
      <w:bookmarkEnd w:id="456"/>
      <w:bookmarkEnd w:id="457"/>
      <w:r>
        <w:rPr>
          <w:rFonts w:hint="eastAsia" w:cs="宋体" w:asciiTheme="minorEastAsia" w:hAnsiTheme="minorEastAsia" w:eastAsiaTheme="minorEastAsia"/>
          <w:b/>
          <w:sz w:val="24"/>
        </w:rPr>
        <w:t>4 履约检查和问题反馈</w:t>
      </w:r>
      <w:bookmarkEnd w:id="458"/>
      <w:bookmarkEnd w:id="459"/>
      <w:bookmarkEnd w:id="460"/>
    </w:p>
    <w:p>
      <w:pPr>
        <w:spacing w:line="560" w:lineRule="exact"/>
        <w:ind w:firstLine="480" w:firstLineChars="200"/>
        <w:rPr>
          <w:rFonts w:cs="宋体" w:asciiTheme="minorEastAsia" w:hAnsiTheme="minorEastAsia" w:eastAsiaTheme="minorEastAsia"/>
          <w:sz w:val="24"/>
        </w:rPr>
      </w:pPr>
      <w:bookmarkStart w:id="461" w:name="_Ref467379657"/>
      <w:r>
        <w:rPr>
          <w:rFonts w:hint="eastAsia" w:cs="宋体" w:asciiTheme="minorEastAsia" w:hAnsiTheme="minorEastAsia" w:eastAsiaTheme="minorEastAsia"/>
          <w:sz w:val="24"/>
        </w:rPr>
        <w:t>2.4.1</w:t>
      </w:r>
      <w:bookmarkEnd w:id="461"/>
      <w:bookmarkStart w:id="462" w:name="_Toc186431854"/>
      <w:bookmarkStart w:id="463" w:name="_Toc487900357"/>
      <w:bookmarkStart w:id="464" w:name="_Toc259093676"/>
      <w:bookmarkStart w:id="465" w:name="_Ref467379807"/>
      <w:bookmarkStart w:id="466" w:name="_Toc279701247"/>
      <w:bookmarkStart w:id="467" w:name="_Ref467379793"/>
      <w:r>
        <w:rPr>
          <w:rFonts w:hint="eastAsia" w:cs="宋体" w:asciiTheme="minorEastAsia" w:hAnsiTheme="minorEastAsia" w:eastAsiaTheme="minor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2.4.2 合同履行期间，甲方有权将履行过程中出现的问题反馈给乙方，双方当事人应以书面形式约定需要完善和改进的内容</w:t>
      </w:r>
      <w:bookmarkEnd w:id="462"/>
      <w:bookmarkStart w:id="468" w:name="_Toc186431855"/>
      <w:r>
        <w:rPr>
          <w:rFonts w:hint="eastAsia" w:cs="宋体" w:asciiTheme="minorEastAsia" w:hAnsiTheme="minorEastAsia" w:eastAsiaTheme="minorEastAsia"/>
          <w:sz w:val="24"/>
        </w:rPr>
        <w:t>。</w:t>
      </w:r>
    </w:p>
    <w:bookmarkEnd w:id="463"/>
    <w:bookmarkEnd w:id="464"/>
    <w:bookmarkEnd w:id="465"/>
    <w:bookmarkEnd w:id="466"/>
    <w:bookmarkEnd w:id="467"/>
    <w:bookmarkEnd w:id="468"/>
    <w:p>
      <w:pPr>
        <w:spacing w:line="560" w:lineRule="exact"/>
        <w:ind w:firstLine="482" w:firstLineChars="200"/>
        <w:outlineLvl w:val="0"/>
        <w:rPr>
          <w:rFonts w:cs="宋体" w:asciiTheme="minorEastAsia" w:hAnsiTheme="minorEastAsia" w:eastAsiaTheme="minorEastAsia"/>
          <w:b/>
          <w:sz w:val="24"/>
        </w:rPr>
      </w:pPr>
      <w:bookmarkStart w:id="469" w:name="_Toc487900358"/>
      <w:bookmarkStart w:id="470" w:name="_Ref467379863"/>
      <w:bookmarkStart w:id="471" w:name="_Ref467379923"/>
      <w:bookmarkStart w:id="472" w:name="_Ref467379852"/>
      <w:bookmarkStart w:id="473" w:name="_Toc279701248"/>
      <w:bookmarkStart w:id="474" w:name="_Toc259093677"/>
      <w:bookmarkStart w:id="475" w:name="_Toc16110"/>
      <w:bookmarkStart w:id="476" w:name="_Toc3225"/>
      <w:bookmarkStart w:id="477" w:name="_Toc774"/>
      <w:r>
        <w:rPr>
          <w:rFonts w:hint="eastAsia" w:cs="宋体" w:asciiTheme="minorEastAsia" w:hAnsiTheme="minorEastAsia" w:eastAsiaTheme="minorEastAsia"/>
          <w:b/>
          <w:sz w:val="24"/>
        </w:rPr>
        <w:t>2.5 技术资料</w:t>
      </w:r>
      <w:bookmarkEnd w:id="469"/>
      <w:bookmarkEnd w:id="470"/>
      <w:bookmarkEnd w:id="471"/>
      <w:bookmarkEnd w:id="472"/>
      <w:bookmarkEnd w:id="473"/>
      <w:bookmarkEnd w:id="474"/>
      <w:r>
        <w:rPr>
          <w:rFonts w:hint="eastAsia" w:cs="宋体" w:asciiTheme="minorEastAsia" w:hAnsiTheme="minorEastAsia" w:eastAsiaTheme="minorEastAsia"/>
          <w:b/>
          <w:sz w:val="24"/>
        </w:rPr>
        <w:t>和保密义务</w:t>
      </w:r>
      <w:bookmarkEnd w:id="475"/>
      <w:bookmarkEnd w:id="476"/>
      <w:bookmarkEnd w:id="477"/>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2.5.1 乙方有权依据合同约定和项目需要，向甲方了解有关情况，调阅有关资料等，甲方应予积极配合；</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2.5.2 乙方有义务妥善保管和保护由甲方提供的前款信息和资料等；</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cs="宋体" w:asciiTheme="minorEastAsia" w:hAnsiTheme="minorEastAsia" w:eastAsiaTheme="minorEastAsia"/>
          <w:b/>
          <w:sz w:val="24"/>
        </w:rPr>
      </w:pPr>
      <w:bookmarkStart w:id="478" w:name="_Toc7860"/>
      <w:r>
        <w:rPr>
          <w:rFonts w:hint="eastAsia" w:cs="宋体" w:asciiTheme="minorEastAsia" w:hAnsiTheme="minorEastAsia" w:eastAsiaTheme="minorEastAsia"/>
          <w:b/>
          <w:sz w:val="24"/>
        </w:rPr>
        <w:t>2.6 质量保证</w:t>
      </w:r>
      <w:bookmarkEnd w:id="478"/>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2.6.1 乙方应建立和完善履行合同的内部质量保证体系，并提供相关内部规章制度给甲方，以便甲方进行监督检查；</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cs="宋体" w:asciiTheme="minorEastAsia" w:hAnsiTheme="minorEastAsia" w:eastAsiaTheme="minorEastAsia"/>
          <w:b/>
          <w:sz w:val="24"/>
        </w:rPr>
      </w:pPr>
      <w:bookmarkStart w:id="479" w:name="_Toc14055"/>
      <w:bookmarkStart w:id="480" w:name="_Toc259093681"/>
      <w:bookmarkStart w:id="481" w:name="_Toc487900362"/>
      <w:bookmarkStart w:id="482" w:name="_Toc279701252"/>
      <w:r>
        <w:rPr>
          <w:rFonts w:hint="eastAsia" w:cs="宋体" w:asciiTheme="minorEastAsia" w:hAnsiTheme="minorEastAsia" w:eastAsiaTheme="minorEastAsia"/>
          <w:b/>
          <w:sz w:val="24"/>
        </w:rPr>
        <w:t>2.7 延迟</w:t>
      </w:r>
      <w:bookmarkEnd w:id="479"/>
      <w:bookmarkEnd w:id="480"/>
      <w:bookmarkEnd w:id="481"/>
      <w:bookmarkEnd w:id="482"/>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pPr>
        <w:spacing w:line="560" w:lineRule="exact"/>
        <w:ind w:firstLine="482" w:firstLineChars="200"/>
        <w:outlineLvl w:val="0"/>
        <w:rPr>
          <w:rFonts w:cs="宋体" w:asciiTheme="minorEastAsia" w:hAnsiTheme="minorEastAsia" w:eastAsiaTheme="minorEastAsia"/>
          <w:b/>
          <w:sz w:val="24"/>
        </w:rPr>
      </w:pPr>
      <w:bookmarkStart w:id="483" w:name="_Toc7502"/>
      <w:bookmarkStart w:id="484" w:name="_Toc487900364"/>
      <w:bookmarkStart w:id="485" w:name="_Toc259093683"/>
      <w:bookmarkStart w:id="486" w:name="_Toc279701254"/>
      <w:bookmarkStart w:id="487" w:name="_Ref467378121"/>
      <w:r>
        <w:rPr>
          <w:rFonts w:hint="eastAsia" w:cs="宋体" w:asciiTheme="minorEastAsia" w:hAnsiTheme="minorEastAsia" w:eastAsiaTheme="minorEastAsia"/>
          <w:b/>
          <w:sz w:val="24"/>
        </w:rPr>
        <w:t>2.8 合同变更</w:t>
      </w:r>
      <w:bookmarkEnd w:id="483"/>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88" w:name="_Toc487900369"/>
      <w:bookmarkStart w:id="489" w:name="_Toc279701259"/>
      <w:bookmarkStart w:id="490" w:name="_Toc259093688"/>
    </w:p>
    <w:p>
      <w:pPr>
        <w:spacing w:line="560" w:lineRule="exact"/>
        <w:ind w:firstLine="482" w:firstLineChars="200"/>
        <w:outlineLvl w:val="0"/>
        <w:rPr>
          <w:rFonts w:cs="宋体" w:asciiTheme="minorEastAsia" w:hAnsiTheme="minorEastAsia" w:eastAsiaTheme="minorEastAsia"/>
          <w:b/>
          <w:sz w:val="24"/>
        </w:rPr>
      </w:pPr>
      <w:bookmarkStart w:id="491" w:name="_Toc22955"/>
      <w:bookmarkStart w:id="492" w:name="_Toc10366"/>
      <w:bookmarkStart w:id="493" w:name="_Toc15237"/>
      <w:r>
        <w:rPr>
          <w:rFonts w:hint="eastAsia" w:cs="宋体" w:asciiTheme="minorEastAsia" w:hAnsiTheme="minorEastAsia" w:eastAsiaTheme="minorEastAsia"/>
          <w:b/>
          <w:sz w:val="24"/>
        </w:rPr>
        <w:t>2.9 合同转让</w:t>
      </w:r>
      <w:bookmarkEnd w:id="488"/>
      <w:bookmarkEnd w:id="489"/>
      <w:bookmarkEnd w:id="490"/>
      <w:r>
        <w:rPr>
          <w:rFonts w:hint="eastAsia" w:cs="宋体" w:asciiTheme="minorEastAsia" w:hAnsiTheme="minorEastAsia" w:eastAsiaTheme="minorEastAsia"/>
          <w:b/>
          <w:sz w:val="24"/>
        </w:rPr>
        <w:t>和分包</w:t>
      </w:r>
      <w:bookmarkEnd w:id="491"/>
      <w:bookmarkEnd w:id="492"/>
      <w:bookmarkEnd w:id="493"/>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2.9.1合同的权利义务依法不得转让，本项目不同意分包。</w:t>
      </w:r>
    </w:p>
    <w:p>
      <w:pPr>
        <w:spacing w:line="560" w:lineRule="exact"/>
        <w:ind w:firstLine="482" w:firstLineChars="200"/>
        <w:outlineLvl w:val="0"/>
        <w:rPr>
          <w:rFonts w:cs="宋体" w:asciiTheme="minorEastAsia" w:hAnsiTheme="minorEastAsia" w:eastAsiaTheme="minorEastAsia"/>
          <w:b/>
          <w:sz w:val="24"/>
        </w:rPr>
      </w:pPr>
      <w:bookmarkStart w:id="494" w:name="_Toc13566"/>
      <w:bookmarkStart w:id="495" w:name="_Toc16508"/>
      <w:bookmarkStart w:id="496" w:name="_Toc14066"/>
      <w:r>
        <w:rPr>
          <w:rFonts w:hint="eastAsia" w:cs="宋体" w:asciiTheme="minorEastAsia" w:hAnsiTheme="minorEastAsia" w:eastAsiaTheme="minorEastAsia"/>
          <w:b/>
          <w:sz w:val="24"/>
        </w:rPr>
        <w:t>2.10 不可抗力</w:t>
      </w:r>
      <w:bookmarkEnd w:id="494"/>
      <w:bookmarkEnd w:id="495"/>
      <w:bookmarkEnd w:id="496"/>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2.10.2 因不可抗力致使不能实现合同目的的，当事人可以解除合同；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2.10.3 因不可抗力致使合同有变更必要的，双方当事人应在</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约定时间内以书面形式变更合同；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2.10.4受不可抗力影响的一方在不可抗力发生后，应在</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约定时间内以书面形式通知对方当事人，并在</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约定时间内，将有关部门出具的证明文件送达对方当事人。</w:t>
      </w:r>
    </w:p>
    <w:p>
      <w:pPr>
        <w:spacing w:line="560" w:lineRule="exact"/>
        <w:ind w:firstLine="482" w:firstLineChars="200"/>
        <w:outlineLvl w:val="0"/>
        <w:rPr>
          <w:rFonts w:cs="宋体" w:asciiTheme="minorEastAsia" w:hAnsiTheme="minorEastAsia" w:eastAsiaTheme="minorEastAsia"/>
          <w:b/>
          <w:sz w:val="24"/>
        </w:rPr>
      </w:pPr>
      <w:bookmarkStart w:id="497" w:name="_Toc689"/>
      <w:bookmarkStart w:id="498" w:name="_Toc259093684"/>
      <w:bookmarkStart w:id="499" w:name="_Toc487900365"/>
      <w:bookmarkStart w:id="500" w:name="_Toc279701255"/>
      <w:bookmarkStart w:id="501" w:name="_Toc30676"/>
      <w:bookmarkStart w:id="502" w:name="_Toc6969"/>
      <w:r>
        <w:rPr>
          <w:rFonts w:hint="eastAsia" w:cs="宋体" w:asciiTheme="minorEastAsia" w:hAnsiTheme="minorEastAsia" w:eastAsiaTheme="minorEastAsia"/>
          <w:b/>
          <w:sz w:val="24"/>
        </w:rPr>
        <w:t>2.11 税费</w:t>
      </w:r>
      <w:bookmarkEnd w:id="497"/>
      <w:bookmarkEnd w:id="498"/>
      <w:bookmarkEnd w:id="499"/>
      <w:bookmarkEnd w:id="500"/>
      <w:bookmarkEnd w:id="501"/>
      <w:bookmarkEnd w:id="502"/>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与合同有关的一切税费，均按照中华人民共和国法律的相关规定。</w:t>
      </w:r>
    </w:p>
    <w:p>
      <w:pPr>
        <w:spacing w:line="560" w:lineRule="exact"/>
        <w:ind w:firstLine="482" w:firstLineChars="200"/>
        <w:outlineLvl w:val="0"/>
        <w:rPr>
          <w:rFonts w:cs="宋体" w:asciiTheme="minorEastAsia" w:hAnsiTheme="minorEastAsia" w:eastAsiaTheme="minorEastAsia"/>
          <w:b/>
          <w:sz w:val="24"/>
        </w:rPr>
      </w:pPr>
      <w:bookmarkStart w:id="503" w:name="_Toc8298"/>
      <w:bookmarkStart w:id="504" w:name="_Toc16959"/>
      <w:bookmarkStart w:id="505" w:name="_Toc259093687"/>
      <w:bookmarkStart w:id="506" w:name="_Toc279701258"/>
      <w:bookmarkStart w:id="507" w:name="_Toc7102"/>
      <w:bookmarkStart w:id="508" w:name="_Toc487900368"/>
      <w:r>
        <w:rPr>
          <w:rFonts w:hint="eastAsia" w:cs="宋体" w:asciiTheme="minorEastAsia" w:hAnsiTheme="minorEastAsia" w:eastAsiaTheme="minorEastAsia"/>
          <w:b/>
          <w:sz w:val="24"/>
        </w:rPr>
        <w:t>2.12乙方破产</w:t>
      </w:r>
      <w:bookmarkEnd w:id="503"/>
      <w:bookmarkEnd w:id="504"/>
      <w:bookmarkEnd w:id="505"/>
      <w:bookmarkEnd w:id="506"/>
      <w:bookmarkEnd w:id="507"/>
      <w:bookmarkEnd w:id="508"/>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cs="宋体" w:asciiTheme="minorEastAsia" w:hAnsiTheme="minorEastAsia" w:eastAsiaTheme="minorEastAsia"/>
          <w:b/>
          <w:sz w:val="24"/>
        </w:rPr>
      </w:pPr>
      <w:bookmarkStart w:id="509" w:name="_Toc6134"/>
      <w:bookmarkStart w:id="510" w:name="_Toc29333"/>
      <w:bookmarkStart w:id="511" w:name="_Toc15387"/>
      <w:r>
        <w:rPr>
          <w:rFonts w:hint="eastAsia" w:cs="宋体" w:asciiTheme="minorEastAsia" w:hAnsiTheme="minorEastAsia" w:eastAsiaTheme="minorEastAsia"/>
          <w:b/>
          <w:sz w:val="24"/>
        </w:rPr>
        <w:t>2.13 合同中止、终止</w:t>
      </w:r>
      <w:bookmarkEnd w:id="509"/>
      <w:bookmarkEnd w:id="510"/>
      <w:bookmarkEnd w:id="511"/>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2.13.1 双方当事人不得擅自中止或者终止合同；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cs="宋体" w:asciiTheme="minorEastAsia" w:hAnsiTheme="minorEastAsia" w:eastAsiaTheme="minorEastAsia"/>
          <w:b/>
          <w:sz w:val="24"/>
        </w:rPr>
      </w:pPr>
      <w:bookmarkStart w:id="512" w:name="_Toc14563"/>
      <w:bookmarkStart w:id="513" w:name="_Toc1125"/>
      <w:bookmarkStart w:id="514" w:name="_Toc6596"/>
      <w:r>
        <w:rPr>
          <w:rFonts w:hint="eastAsia" w:cs="宋体" w:asciiTheme="minorEastAsia" w:hAnsiTheme="minorEastAsia" w:eastAsiaTheme="minorEastAsia"/>
          <w:b/>
          <w:sz w:val="24"/>
        </w:rPr>
        <w:t>2.14检验和验收</w:t>
      </w:r>
      <w:bookmarkEnd w:id="512"/>
      <w:bookmarkEnd w:id="513"/>
      <w:bookmarkEnd w:id="514"/>
    </w:p>
    <w:p>
      <w:pPr>
        <w:tabs>
          <w:tab w:val="left" w:pos="360"/>
          <w:tab w:val="left" w:pos="540"/>
          <w:tab w:val="left" w:pos="1080"/>
        </w:tabs>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2.14.1服务交付前，乙方应对服务的质量、数量等方面进行详细、全面的检验，并向甲方出具证明服务符合合同约定的文件；交付时，乙方在</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2.14.3 检验和验收标准、程序等具体内容以及前述验收书的效力详见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i/>
          <w:sz w:val="24"/>
        </w:rPr>
        <w:t>。</w:t>
      </w:r>
    </w:p>
    <w:bookmarkEnd w:id="484"/>
    <w:bookmarkEnd w:id="485"/>
    <w:bookmarkEnd w:id="486"/>
    <w:bookmarkEnd w:id="487"/>
    <w:p>
      <w:pPr>
        <w:spacing w:line="560" w:lineRule="exact"/>
        <w:ind w:firstLine="482" w:firstLineChars="200"/>
        <w:outlineLvl w:val="0"/>
        <w:rPr>
          <w:rFonts w:cs="宋体" w:asciiTheme="minorEastAsia" w:hAnsiTheme="minorEastAsia" w:eastAsiaTheme="minorEastAsia"/>
          <w:b/>
          <w:sz w:val="24"/>
        </w:rPr>
      </w:pPr>
      <w:bookmarkStart w:id="515" w:name="_Toc259093690"/>
      <w:bookmarkStart w:id="516" w:name="_Toc279701261"/>
      <w:bookmarkStart w:id="517" w:name="_Toc487900371"/>
      <w:bookmarkStart w:id="518" w:name="_Toc19604"/>
      <w:bookmarkStart w:id="519" w:name="_Toc11284"/>
      <w:bookmarkStart w:id="520" w:name="_Toc25182"/>
      <w:r>
        <w:rPr>
          <w:rFonts w:hint="eastAsia" w:cs="宋体" w:asciiTheme="minorEastAsia" w:hAnsiTheme="minorEastAsia" w:eastAsiaTheme="minorEastAsia"/>
          <w:b/>
          <w:sz w:val="24"/>
        </w:rPr>
        <w:t>2.15 通知</w:t>
      </w:r>
      <w:bookmarkEnd w:id="515"/>
      <w:bookmarkEnd w:id="516"/>
      <w:bookmarkEnd w:id="517"/>
      <w:r>
        <w:rPr>
          <w:rFonts w:hint="eastAsia" w:cs="宋体" w:asciiTheme="minorEastAsia" w:hAnsiTheme="minorEastAsia" w:eastAsiaTheme="minorEastAsia"/>
          <w:b/>
          <w:sz w:val="24"/>
        </w:rPr>
        <w:t>和送达</w:t>
      </w:r>
      <w:bookmarkEnd w:id="518"/>
      <w:bookmarkEnd w:id="519"/>
      <w:bookmarkEnd w:id="520"/>
    </w:p>
    <w:p>
      <w:pPr>
        <w:spacing w:line="560" w:lineRule="exact"/>
        <w:ind w:firstLine="480" w:firstLineChars="200"/>
        <w:rPr>
          <w:rFonts w:cs="宋体" w:asciiTheme="minorEastAsia" w:hAnsiTheme="minorEastAsia" w:eastAsiaTheme="minorEastAsia"/>
          <w:sz w:val="24"/>
        </w:rPr>
      </w:pPr>
      <w:bookmarkStart w:id="521" w:name="_Toc3135"/>
      <w:bookmarkStart w:id="522" w:name="_Toc6698"/>
      <w:bookmarkStart w:id="523" w:name="_Toc279701262"/>
      <w:bookmarkStart w:id="524" w:name="_Toc487900372"/>
      <w:bookmarkStart w:id="525" w:name="_Toc259093691"/>
      <w:r>
        <w:rPr>
          <w:rFonts w:hint="eastAsia" w:cs="宋体" w:asciiTheme="minorEastAsia" w:hAnsiTheme="minorEastAsia" w:eastAsiaTheme="minorEastAsia"/>
          <w:sz w:val="24"/>
        </w:rPr>
        <w:t>2.15.1任何一方因履行合同而以合同第一部分尾部所列明的传真或电子邮件发出的所有通知、文件、材料，均视为已向对方当事人送达；任何一方变更上述送达方式或者地址的，应于</w:t>
      </w:r>
      <w:r>
        <w:rPr>
          <w:rFonts w:hint="eastAsia" w:cs="宋体" w:asciiTheme="minorEastAsia" w:hAnsiTheme="minorEastAsia" w:eastAsiaTheme="minorEastAsia"/>
          <w:sz w:val="24"/>
          <w:u w:val="single"/>
        </w:rPr>
        <w:t>3</w:t>
      </w:r>
      <w:r>
        <w:rPr>
          <w:rFonts w:hint="eastAsia" w:cs="宋体" w:asciiTheme="minorEastAsia" w:hAnsiTheme="minorEastAsia" w:eastAsiaTheme="minorEastAsia"/>
          <w:sz w:val="24"/>
        </w:rPr>
        <w:t>个工作日内书面通知对方当事人，在对方当事人收到有关变更通知之前，变更前的约定送达方式或者地址仍视为有效。</w:t>
      </w:r>
      <w:bookmarkEnd w:id="521"/>
      <w:bookmarkEnd w:id="522"/>
    </w:p>
    <w:p>
      <w:pPr>
        <w:spacing w:line="560" w:lineRule="exact"/>
        <w:ind w:firstLine="480" w:firstLineChars="200"/>
        <w:rPr>
          <w:rFonts w:cs="宋体" w:asciiTheme="minorEastAsia" w:hAnsiTheme="minorEastAsia" w:eastAsiaTheme="minorEastAsia"/>
          <w:sz w:val="24"/>
        </w:rPr>
      </w:pPr>
      <w:bookmarkStart w:id="526" w:name="_Toc23294"/>
      <w:bookmarkStart w:id="527" w:name="_Toc23128"/>
      <w:r>
        <w:rPr>
          <w:rFonts w:hint="eastAsia" w:cs="宋体" w:asciiTheme="minorEastAsia" w:hAnsiTheme="minorEastAsia" w:eastAsiaTheme="minor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pPr>
        <w:spacing w:line="360" w:lineRule="auto"/>
        <w:ind w:firstLine="482" w:firstLineChars="200"/>
        <w:outlineLvl w:val="0"/>
        <w:rPr>
          <w:rFonts w:cs="宋体" w:asciiTheme="minorEastAsia" w:hAnsiTheme="minorEastAsia" w:eastAsiaTheme="minorEastAsia"/>
          <w:b/>
          <w:sz w:val="24"/>
        </w:rPr>
      </w:pPr>
      <w:bookmarkStart w:id="528" w:name="_Toc4355"/>
      <w:bookmarkStart w:id="529" w:name="_Toc18540"/>
      <w:bookmarkStart w:id="530" w:name="_Toc30599"/>
      <w:r>
        <w:rPr>
          <w:rFonts w:hint="eastAsia" w:cs="宋体" w:asciiTheme="minorEastAsia" w:hAnsiTheme="minorEastAsia" w:eastAsiaTheme="minorEastAsia"/>
          <w:b/>
          <w:sz w:val="24"/>
        </w:rPr>
        <w:t>2.16 计量单位</w:t>
      </w:r>
      <w:bookmarkEnd w:id="523"/>
      <w:bookmarkEnd w:id="524"/>
      <w:bookmarkEnd w:id="525"/>
      <w:bookmarkEnd w:id="528"/>
      <w:bookmarkEnd w:id="529"/>
      <w:bookmarkEnd w:id="530"/>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除技术规范中另有规定外,合同的计量单位均使用国家法定计量单位。</w:t>
      </w:r>
    </w:p>
    <w:p>
      <w:pPr>
        <w:spacing w:line="360" w:lineRule="auto"/>
        <w:ind w:firstLine="482" w:firstLineChars="200"/>
        <w:outlineLvl w:val="0"/>
        <w:rPr>
          <w:rFonts w:cs="宋体" w:asciiTheme="minorEastAsia" w:hAnsiTheme="minorEastAsia" w:eastAsiaTheme="minorEastAsia"/>
          <w:b/>
          <w:sz w:val="24"/>
        </w:rPr>
      </w:pPr>
      <w:bookmarkStart w:id="531" w:name="_Toc10330"/>
      <w:bookmarkStart w:id="532" w:name="_Toc487900373"/>
      <w:bookmarkStart w:id="533" w:name="_Toc12773"/>
      <w:bookmarkStart w:id="534" w:name="_Toc279701263"/>
      <w:bookmarkStart w:id="535" w:name="_Toc18567"/>
      <w:bookmarkStart w:id="536" w:name="_Toc259093692"/>
      <w:r>
        <w:rPr>
          <w:rFonts w:hint="eastAsia" w:cs="宋体" w:asciiTheme="minorEastAsia" w:hAnsiTheme="minorEastAsia" w:eastAsiaTheme="minorEastAsia"/>
          <w:b/>
          <w:sz w:val="24"/>
        </w:rPr>
        <w:t>2.17 合同使用的文字和适用的法律</w:t>
      </w:r>
      <w:bookmarkEnd w:id="531"/>
      <w:bookmarkEnd w:id="532"/>
      <w:bookmarkEnd w:id="533"/>
      <w:bookmarkEnd w:id="534"/>
      <w:bookmarkEnd w:id="535"/>
      <w:bookmarkEnd w:id="5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2.17.1 合同使用汉语书就、变更和解释；</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2.17.2 合同适用中华人民共和国法律。</w:t>
      </w:r>
    </w:p>
    <w:p>
      <w:pPr>
        <w:spacing w:line="360" w:lineRule="auto"/>
        <w:ind w:firstLine="482" w:firstLineChars="200"/>
        <w:outlineLvl w:val="0"/>
        <w:rPr>
          <w:rFonts w:cs="宋体" w:asciiTheme="minorEastAsia" w:hAnsiTheme="minorEastAsia" w:eastAsiaTheme="minorEastAsia"/>
          <w:b/>
          <w:sz w:val="24"/>
        </w:rPr>
      </w:pPr>
      <w:bookmarkStart w:id="537" w:name="_Toc3148"/>
      <w:bookmarkStart w:id="538" w:name="_Toc12004"/>
      <w:bookmarkStart w:id="539" w:name="_Toc279701264"/>
      <w:bookmarkStart w:id="540" w:name="_Toc259093693"/>
      <w:bookmarkStart w:id="541" w:name="_Toc16673"/>
      <w:bookmarkStart w:id="542" w:name="_Toc487900374"/>
      <w:r>
        <w:rPr>
          <w:rFonts w:hint="eastAsia" w:cs="宋体" w:asciiTheme="minorEastAsia" w:hAnsiTheme="minorEastAsia" w:eastAsiaTheme="minorEastAsia"/>
          <w:b/>
          <w:sz w:val="24"/>
        </w:rPr>
        <w:t>2.18 履约保证金</w:t>
      </w:r>
      <w:bookmarkEnd w:id="537"/>
      <w:bookmarkEnd w:id="538"/>
      <w:bookmarkEnd w:id="539"/>
      <w:bookmarkEnd w:id="540"/>
      <w:bookmarkEnd w:id="541"/>
      <w:r>
        <w:rPr>
          <w:rFonts w:hint="eastAsia" w:cs="宋体" w:asciiTheme="minorEastAsia" w:hAnsiTheme="minorEastAsia" w:eastAsiaTheme="minorEastAsia"/>
          <w:b/>
          <w:sz w:val="24"/>
        </w:rPr>
        <w:t>：无需缴纳。</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2.19对于因甲方原因导致变更、中止或者终止政府采购合同的，甲方应当依照合同约定对供应商受到的损失予以赔偿或者补偿。</w:t>
      </w:r>
    </w:p>
    <w:bookmarkEnd w:id="542"/>
    <w:p>
      <w:pPr>
        <w:spacing w:line="560" w:lineRule="exact"/>
        <w:ind w:firstLine="482" w:firstLineChars="200"/>
        <w:outlineLvl w:val="0"/>
        <w:rPr>
          <w:rFonts w:cs="宋体" w:asciiTheme="minorEastAsia" w:hAnsiTheme="minorEastAsia" w:eastAsiaTheme="minorEastAsia"/>
          <w:b/>
          <w:sz w:val="24"/>
        </w:rPr>
      </w:pPr>
      <w:bookmarkStart w:id="543" w:name="_Toc6885"/>
      <w:bookmarkStart w:id="544" w:name="_Toc19890"/>
      <w:bookmarkStart w:id="545" w:name="_Toc14001"/>
      <w:r>
        <w:rPr>
          <w:rFonts w:hint="eastAsia" w:cs="宋体" w:asciiTheme="minorEastAsia" w:hAnsiTheme="minorEastAsia" w:eastAsiaTheme="minorEastAsia"/>
          <w:b/>
          <w:sz w:val="24"/>
        </w:rPr>
        <w:t>2.20合同份数</w:t>
      </w:r>
      <w:bookmarkEnd w:id="543"/>
      <w:bookmarkEnd w:id="544"/>
      <w:bookmarkEnd w:id="545"/>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合同份数按</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规定，每份均具有同等法律效力。</w:t>
      </w:r>
      <w:bookmarkStart w:id="546" w:name="_Toc331685784"/>
      <w:bookmarkEnd w:id="546"/>
    </w:p>
    <w:p>
      <w:pPr>
        <w:pStyle w:val="699"/>
        <w:spacing w:line="560" w:lineRule="exact"/>
        <w:ind w:firstLine="0" w:firstLineChars="0"/>
        <w:jc w:val="center"/>
        <w:rPr>
          <w:rFonts w:cs="宋体" w:asciiTheme="minorEastAsia" w:hAnsiTheme="minorEastAsia" w:eastAsiaTheme="minorEastAsia"/>
          <w:b/>
          <w:szCs w:val="24"/>
        </w:rPr>
      </w:pPr>
    </w:p>
    <w:p>
      <w:pPr>
        <w:pStyle w:val="699"/>
        <w:spacing w:line="560" w:lineRule="exact"/>
        <w:ind w:firstLine="0" w:firstLineChars="0"/>
        <w:jc w:val="center"/>
        <w:rPr>
          <w:rFonts w:cs="宋体" w:asciiTheme="minorEastAsia" w:hAnsiTheme="minorEastAsia" w:eastAsiaTheme="minorEastAsia"/>
          <w:b/>
          <w:szCs w:val="24"/>
        </w:rPr>
      </w:pPr>
    </w:p>
    <w:p>
      <w:pPr>
        <w:pStyle w:val="699"/>
        <w:spacing w:line="560" w:lineRule="exact"/>
        <w:ind w:firstLine="0" w:firstLineChars="0"/>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第三部分  合同专用条款</w:t>
      </w:r>
    </w:p>
    <w:p>
      <w:pPr>
        <w:spacing w:line="560" w:lineRule="exact"/>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条款号</w:t>
            </w:r>
          </w:p>
        </w:tc>
        <w:tc>
          <w:tcPr>
            <w:tcW w:w="4534" w:type="pct"/>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1.4.4</w:t>
            </w:r>
          </w:p>
        </w:tc>
        <w:tc>
          <w:tcPr>
            <w:tcW w:w="4534" w:type="pct"/>
            <w:vAlign w:val="center"/>
          </w:tcPr>
          <w:p>
            <w:pPr>
              <w:pStyle w:val="26"/>
              <w:spacing w:line="360"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在合同生效以及具备实施条件后7个工作日内支付年合同价50%，余款按季支付，每季度末考核完成，扣除相关费用后支付当季服务费。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1.5.1 </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服务期：1年。如果一年合同期内乙方月度考核均在合格及以上，则甲方与乙方续签一年采购合同，服务期限延长一年。如果乙方累计3次月度考核不合格，甲方有权提前终止合同。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1.5.2</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服务地点：千岛湖广场、秀水广场、滨湖路及苗圃等。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1.5.3 </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Cs/>
                <w:kern w:val="0"/>
                <w:sz w:val="24"/>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1.6.7</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1、甲方无正当理由拒绝接受服务的，甲方向乙方偿付合同款项百分之五作为违约金。</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1.7.1</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1.7.2</w:t>
            </w:r>
          </w:p>
        </w:tc>
        <w:tc>
          <w:tcPr>
            <w:tcW w:w="4534" w:type="pct"/>
            <w:vAlign w:val="center"/>
          </w:tcPr>
          <w:p>
            <w:pPr>
              <w:spacing w:line="360"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4534" w:type="pct"/>
            <w:vAlign w:val="center"/>
          </w:tcPr>
          <w:p>
            <w:pPr>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2.10.3</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2.10.4</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2.14.1</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2.14.3</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甲方按照考核制度对乙方工作内容进行验收，以此作为付款依据。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2.20</w:t>
            </w:r>
          </w:p>
        </w:tc>
        <w:tc>
          <w:tcPr>
            <w:tcW w:w="4534" w:type="pc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本合同一式伍份，甲、乙双方各执贰份，采购代理机构壹份。</w:t>
            </w:r>
          </w:p>
        </w:tc>
      </w:tr>
    </w:tbl>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p>
    <w:p>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2"/>
      <w:bookmarkEnd w:id="393"/>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一、符合参加政府采购活动应当具备的一般条件的承诺函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.专门面向中小企业，服务全部由符合政策要求的中小企业承接的，提供相应的中小企业声明函（附件5）。</w:t>
      </w: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line="360" w:lineRule="auto"/>
        <w:ind w:firstLine="3534" w:firstLineChars="1100"/>
        <w:rPr>
          <w:rFonts w:cs="宋体" w:asciiTheme="minorEastAsia" w:hAnsiTheme="minorEastAsia" w:eastAsiaTheme="minorEastAsia"/>
          <w:b/>
          <w:kern w:val="0"/>
          <w:sz w:val="32"/>
          <w:szCs w:val="32"/>
        </w:rPr>
      </w:pPr>
    </w:p>
    <w:p>
      <w:pPr>
        <w:pStyle w:val="26"/>
        <w:rPr>
          <w:rFonts w:cs="宋体" w:asciiTheme="minorEastAsia" w:hAnsiTheme="minorEastAsia" w:eastAsiaTheme="minorEastAsia"/>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pStyle w:val="2"/>
        <w:rPr>
          <w:rFonts w:cs="宋体" w:asciiTheme="minorEastAsia" w:hAnsiTheme="minorEastAsia" w:eastAsiaTheme="minorEastAsia"/>
          <w:lang w:val="en-US"/>
        </w:rPr>
      </w:pPr>
    </w:p>
    <w:p>
      <w:pPr>
        <w:spacing w:line="360" w:lineRule="auto"/>
        <w:ind w:right="420" w:firstLine="3614" w:firstLineChars="1000"/>
        <w:jc w:val="left"/>
        <w:rPr>
          <w:rFonts w:cs="宋体" w:asciiTheme="minorEastAsia" w:hAnsiTheme="minorEastAsia" w:eastAsiaTheme="minorEastAsia"/>
          <w:b/>
          <w:kern w:val="0"/>
          <w:sz w:val="36"/>
          <w:szCs w:val="36"/>
        </w:rPr>
      </w:pPr>
    </w:p>
    <w:p>
      <w:pPr>
        <w:spacing w:line="360" w:lineRule="auto"/>
        <w:ind w:right="420" w:firstLine="3614" w:firstLineChars="1000"/>
        <w:jc w:val="left"/>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（3）符合性审查资料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kern w:val="0"/>
          <w:sz w:val="32"/>
          <w:szCs w:val="32"/>
        </w:rPr>
      </w:pPr>
    </w:p>
    <w:p>
      <w:pPr>
        <w:snapToGrid w:val="0"/>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2.2.4评标标准相应的商务技术资料；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4.3按照招标文件要求提交履约保证金（如有）；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rPr>
        <w:t>二、</w:t>
      </w:r>
      <w:r>
        <w:rPr>
          <w:rFonts w:hint="eastAsia" w:cs="宋体" w:asciiTheme="minorEastAsia" w:hAnsiTheme="minorEastAsia" w:eastAsiaTheme="minorEastAsia"/>
          <w:b/>
          <w:kern w:val="0"/>
          <w:sz w:val="32"/>
          <w:szCs w:val="32"/>
          <w:lang w:val="zh-CN"/>
        </w:rPr>
        <w:t>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（姓名）</w:t>
      </w:r>
      <w:r>
        <w:rPr>
          <w:rFonts w:hint="eastAsia" w:cs="宋体" w:asciiTheme="minorEastAsia" w:hAnsiTheme="minorEastAsia" w:eastAsiaTheme="minorEastAsia"/>
          <w:kern w:val="0"/>
          <w:sz w:val="24"/>
          <w:lang w:val="zh-CN"/>
        </w:rPr>
        <w:t>为我方代理人（身份证号码：，手机：），以我方名义处理</w:t>
      </w:r>
      <w:r>
        <w:rPr>
          <w:rFonts w:hint="eastAsia" w:cs="宋体" w:asciiTheme="minorEastAsia" w:hAnsiTheme="minorEastAsia" w:eastAsiaTheme="minorEastAsia"/>
          <w:sz w:val="24"/>
          <w:u w:val="single"/>
        </w:rPr>
        <w:t>（项目名称）</w:t>
      </w:r>
      <w:r>
        <w:rPr>
          <w:rFonts w:hint="eastAsia" w:cs="宋体" w:asciiTheme="minorEastAsia" w:hAnsiTheme="minorEastAsia" w:eastAsiaTheme="minorEastAsia"/>
          <w:sz w:val="24"/>
        </w:rPr>
        <w:t>【编号：</w:t>
      </w:r>
      <w:r>
        <w:rPr>
          <w:rFonts w:hint="eastAsia" w:cs="宋体" w:asciiTheme="minorEastAsia" w:hAnsiTheme="minorEastAsia" w:eastAsiaTheme="minorEastAsia"/>
          <w:sz w:val="24"/>
          <w:u w:val="single"/>
        </w:rPr>
        <w:t>（采购编号）</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u w:val="single"/>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46"/>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法定代表人或代理人身份证件扫描件：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9207" w:type="dxa"/>
          </w:tcPr>
          <w:p>
            <w:pPr>
              <w:pStyle w:val="146"/>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46"/>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right="480"/>
        <w:rPr>
          <w:rFonts w:cs="宋体" w:asciiTheme="minorEastAsia" w:hAnsiTheme="minorEastAsia" w:eastAsiaTheme="minorEastAsia"/>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三、符合性审查资料</w:t>
      </w:r>
    </w:p>
    <w:p>
      <w:pPr>
        <w:jc w:val="center"/>
        <w:rPr>
          <w:rFonts w:cs="宋体"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2"/>
              <w:jc w:val="both"/>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分包意向协议</w:t>
      </w:r>
    </w:p>
    <w:p>
      <w:pPr>
        <w:widowControl/>
        <w:spacing w:line="360" w:lineRule="auto"/>
        <w:ind w:firstLine="120" w:firstLineChars="50"/>
        <w:jc w:val="left"/>
        <w:rPr>
          <w:rFonts w:cs="宋体" w:asciiTheme="minorEastAsia" w:hAnsiTheme="minorEastAsia" w:eastAsiaTheme="minorEastAsia"/>
          <w:sz w:val="24"/>
        </w:rPr>
      </w:pPr>
    </w:p>
    <w:p>
      <w:pPr>
        <w:widowControl/>
        <w:spacing w:line="360" w:lineRule="auto"/>
        <w:ind w:firstLine="120" w:firstLineChars="5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（中标后以分包方式履行合同的，提供分包意向协议（附件6）；采购人不同意分包或者投标人中标后不以分包方式履行合同的，则不需要提供。）</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四、评标标准相应的商务技术资料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autoSpaceDE w:val="0"/>
        <w:autoSpaceDN w:val="0"/>
        <w:spacing w:line="360" w:lineRule="auto"/>
        <w:ind w:right="1120"/>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pStyle w:val="27"/>
        <w:ind w:left="0" w:leftChars="0" w:firstLine="0" w:firstLineChars="0"/>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ind w:firstLine="1911" w:firstLineChars="595"/>
        <w:rPr>
          <w:rFonts w:cs="宋体" w:asciiTheme="minorEastAsia" w:hAnsiTheme="minorEastAsia" w:eastAsiaTheme="minorEastAsia"/>
          <w:b/>
          <w:kern w:val="0"/>
          <w:sz w:val="32"/>
          <w:szCs w:val="32"/>
        </w:rPr>
      </w:pPr>
    </w:p>
    <w:p>
      <w:pPr>
        <w:pStyle w:val="2"/>
        <w:rPr>
          <w:rFonts w:cs="宋体" w:asciiTheme="minorEastAsia" w:hAnsiTheme="minorEastAsia" w:eastAsiaTheme="minorEastAsia"/>
        </w:r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bookmarkStart w:id="547" w:name="_Toc465665161"/>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pStyle w:val="2"/>
        <w:ind w:left="105" w:leftChars="50" w:firstLine="4578" w:firstLineChars="1900"/>
        <w:rPr>
          <w:rFonts w:cs="宋体" w:asciiTheme="minorEastAsia" w:hAnsiTheme="minorEastAsia" w:eastAsiaTheme="minorEastAsia"/>
        </w:rPr>
      </w:pPr>
      <w:r>
        <w:rPr>
          <w:rFonts w:hint="eastAsia" w:cs="宋体" w:asciiTheme="minorEastAsia" w:hAnsiTheme="minorEastAsia" w:eastAsiaTheme="minorEastAsia"/>
          <w:kern w:val="0"/>
          <w:sz w:val="24"/>
        </w:rPr>
        <w:t>开标一览表（报价表）(单位均为人民币元)</w:t>
      </w:r>
      <w:r>
        <w:rPr>
          <w:rFonts w:cs="宋体" w:asciiTheme="minorEastAsia" w:hAnsiTheme="minorEastAsia" w:eastAsiaTheme="minorEastAsia"/>
        </w:rPr>
        <w:t xml:space="preserve"> </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14"/>
        <w:gridCol w:w="1927"/>
        <w:gridCol w:w="2019"/>
        <w:gridCol w:w="1800"/>
        <w:gridCol w:w="2470"/>
        <w:gridCol w:w="160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序号</w:t>
            </w:r>
          </w:p>
        </w:tc>
        <w:tc>
          <w:tcPr>
            <w:tcW w:w="1814"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名称</w:t>
            </w:r>
          </w:p>
        </w:tc>
        <w:tc>
          <w:tcPr>
            <w:tcW w:w="1927" w:type="dxa"/>
          </w:tcPr>
          <w:p>
            <w:pPr>
              <w:snapToGrid w:val="0"/>
              <w:spacing w:line="360" w:lineRule="auto"/>
              <w:ind w:firstLine="482"/>
              <w:jc w:val="center"/>
              <w:rPr>
                <w:rFonts w:cs="仿宋" w:asciiTheme="minorEastAsia" w:hAnsiTheme="minorEastAsia" w:eastAsiaTheme="minorEastAsia"/>
                <w:kern w:val="0"/>
                <w:sz w:val="24"/>
                <w:lang w:val="zh-CN"/>
              </w:rPr>
            </w:pPr>
          </w:p>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服务范围</w:t>
            </w:r>
          </w:p>
        </w:tc>
        <w:tc>
          <w:tcPr>
            <w:tcW w:w="2019"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服务要求</w:t>
            </w:r>
          </w:p>
        </w:tc>
        <w:tc>
          <w:tcPr>
            <w:tcW w:w="1800"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服务时间</w:t>
            </w:r>
          </w:p>
        </w:tc>
        <w:tc>
          <w:tcPr>
            <w:tcW w:w="2470"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服务标准</w:t>
            </w:r>
          </w:p>
        </w:tc>
        <w:tc>
          <w:tcPr>
            <w:tcW w:w="1603"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服务人数</w:t>
            </w:r>
          </w:p>
        </w:tc>
        <w:tc>
          <w:tcPr>
            <w:tcW w:w="2400" w:type="dxa"/>
            <w:vAlign w:val="center"/>
          </w:tcPr>
          <w:p>
            <w:pPr>
              <w:snapToGrid w:val="0"/>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napToGrid w:val="0"/>
              <w:spacing w:line="360" w:lineRule="auto"/>
              <w:ind w:firstLine="482"/>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1</w:t>
            </w:r>
          </w:p>
        </w:tc>
        <w:tc>
          <w:tcPr>
            <w:tcW w:w="1814"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1927"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019"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180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47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1603"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40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360" w:lineRule="auto"/>
              <w:ind w:firstLine="482"/>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2</w:t>
            </w:r>
          </w:p>
        </w:tc>
        <w:tc>
          <w:tcPr>
            <w:tcW w:w="1814" w:type="dxa"/>
            <w:vAlign w:val="center"/>
          </w:tcPr>
          <w:p>
            <w:pPr>
              <w:snapToGrid w:val="0"/>
              <w:spacing w:line="360" w:lineRule="auto"/>
              <w:jc w:val="center"/>
              <w:rPr>
                <w:rFonts w:cs="仿宋" w:asciiTheme="minorEastAsia" w:hAnsiTheme="minorEastAsia" w:eastAsiaTheme="minorEastAsia"/>
                <w:kern w:val="0"/>
                <w:sz w:val="24"/>
                <w:lang w:val="zh-CN"/>
              </w:rPr>
            </w:pPr>
            <w:r>
              <w:rPr>
                <w:rFonts w:cs="仿宋" w:asciiTheme="minorEastAsia" w:hAnsiTheme="minorEastAsia" w:eastAsiaTheme="minorEastAsia"/>
                <w:kern w:val="0"/>
                <w:sz w:val="24"/>
                <w:lang w:val="zh-CN"/>
              </w:rPr>
              <w:t>…</w:t>
            </w:r>
          </w:p>
        </w:tc>
        <w:tc>
          <w:tcPr>
            <w:tcW w:w="1927"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019"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180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47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1603"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c>
          <w:tcPr>
            <w:tcW w:w="2400" w:type="dxa"/>
            <w:vAlign w:val="center"/>
          </w:tcPr>
          <w:p>
            <w:pPr>
              <w:snapToGrid w:val="0"/>
              <w:spacing w:line="360" w:lineRule="auto"/>
              <w:ind w:firstLine="482"/>
              <w:jc w:val="center"/>
              <w:rPr>
                <w:rFonts w:cs="仿宋" w:asciiTheme="minorEastAsia" w:hAnsiTheme="minorEastAsia" w:eastAsia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94" w:type="dxa"/>
            <w:gridSpan w:val="4"/>
            <w:vAlign w:val="center"/>
          </w:tcPr>
          <w:p>
            <w:pPr>
              <w:snapToGrid w:val="0"/>
              <w:spacing w:line="360" w:lineRule="auto"/>
              <w:ind w:firstLine="482"/>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投标报价（小写）</w:t>
            </w:r>
          </w:p>
        </w:tc>
        <w:tc>
          <w:tcPr>
            <w:tcW w:w="8273" w:type="dxa"/>
            <w:gridSpan w:val="4"/>
            <w:vAlign w:val="center"/>
          </w:tcPr>
          <w:p>
            <w:pPr>
              <w:snapToGrid w:val="0"/>
              <w:spacing w:line="360" w:lineRule="auto"/>
              <w:ind w:firstLine="482"/>
              <w:rPr>
                <w:rFonts w:cs="仿宋" w:asciiTheme="minorEastAsia" w:hAnsiTheme="minorEastAsia" w:eastAsia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94" w:type="dxa"/>
            <w:gridSpan w:val="4"/>
            <w:vAlign w:val="center"/>
          </w:tcPr>
          <w:p>
            <w:pPr>
              <w:snapToGrid w:val="0"/>
              <w:spacing w:line="360" w:lineRule="auto"/>
              <w:ind w:firstLine="482"/>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投标报价（大写）</w:t>
            </w:r>
          </w:p>
        </w:tc>
        <w:tc>
          <w:tcPr>
            <w:tcW w:w="8273" w:type="dxa"/>
            <w:gridSpan w:val="4"/>
            <w:vAlign w:val="center"/>
          </w:tcPr>
          <w:p>
            <w:pPr>
              <w:snapToGrid w:val="0"/>
              <w:spacing w:line="360" w:lineRule="auto"/>
              <w:ind w:firstLine="482"/>
              <w:rPr>
                <w:rFonts w:cs="仿宋" w:asciiTheme="minorEastAsia" w:hAnsiTheme="minorEastAsia" w:eastAsiaTheme="minorEastAsia"/>
                <w:kern w:val="0"/>
                <w:sz w:val="24"/>
                <w:lang w:val="zh-CN"/>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1、投标人需按本表格式填写，不得自行更改。</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采购人将以合同形式有偿取得货物和服务，不接受投标人给予的赠品、回扣或者与采购无关的其他商品、服务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3、以上表格要求细分项目及报价，填写“报价明细清单”中。</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4、特别提示：采购机构将对项目名称和项目编号，中标供应商名称、地址和中标金额，主要中标标的的名称、数量、单价、服务要求、服务内容等予以公示。</w:t>
      </w:r>
    </w:p>
    <w:p>
      <w:pPr>
        <w:pStyle w:val="2"/>
        <w:rPr>
          <w:rFonts w:cs="宋体" w:asciiTheme="minorEastAsia" w:hAnsiTheme="minorEastAsia" w:eastAsiaTheme="minorEastAsia"/>
        </w:rPr>
      </w:pPr>
    </w:p>
    <w:p>
      <w:pPr>
        <w:snapToGrid w:val="0"/>
        <w:spacing w:line="360" w:lineRule="auto"/>
        <w:ind w:firstLine="5520" w:firstLineChars="2300"/>
        <w:jc w:val="right"/>
        <w:rPr>
          <w:rFonts w:cs="宋体" w:asciiTheme="minorEastAsia" w:hAnsiTheme="minorEastAsia" w:eastAsiaTheme="minorEastAsia"/>
          <w:kern w:val="0"/>
          <w:sz w:val="24"/>
          <w:lang w:val="zh-CN"/>
        </w:rPr>
      </w:pPr>
    </w:p>
    <w:p>
      <w:pPr>
        <w:snapToGrid w:val="0"/>
        <w:spacing w:line="360" w:lineRule="auto"/>
        <w:ind w:firstLine="5520" w:firstLineChars="2300"/>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w:t>
      </w:r>
    </w:p>
    <w:p>
      <w:pPr>
        <w:snapToGrid w:val="0"/>
        <w:spacing w:line="360" w:lineRule="auto"/>
        <w:ind w:firstLine="5520" w:firstLineChars="2300"/>
        <w:jc w:val="right"/>
        <w:rPr>
          <w:rFonts w:cs="宋体" w:asciiTheme="minorEastAsia" w:hAnsiTheme="minorEastAsia" w:eastAsiaTheme="minorEastAsia"/>
        </w:rPr>
        <w:sectPr>
          <w:headerReference r:id="rId23" w:type="first"/>
          <w:footerReference r:id="rId26" w:type="first"/>
          <w:headerReference r:id="rId22" w:type="default"/>
          <w:footerReference r:id="rId24" w:type="default"/>
          <w:footerReference r:id="rId25" w:type="even"/>
          <w:pgSz w:w="16838" w:h="11906" w:orient="landscape"/>
          <w:pgMar w:top="1418" w:right="1276" w:bottom="1418" w:left="1247" w:header="851" w:footer="992" w:gutter="0"/>
          <w:cols w:space="0" w:num="1"/>
          <w:titlePg/>
          <w:docGrid w:linePitch="312" w:charSpace="0"/>
        </w:sect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pPr>
        <w:snapToGrid w:val="0"/>
        <w:spacing w:line="460" w:lineRule="exact"/>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报价明细清单</w:t>
      </w:r>
    </w:p>
    <w:p>
      <w:pPr>
        <w:pStyle w:val="26"/>
        <w:rPr>
          <w:rFonts w:asciiTheme="minorEastAsia" w:hAnsiTheme="minorEastAsia" w:eastAsiaTheme="minorEastAsia"/>
        </w:rPr>
      </w:pPr>
    </w:p>
    <w:p>
      <w:pPr>
        <w:spacing w:line="300" w:lineRule="auto"/>
        <w:jc w:val="left"/>
        <w:rPr>
          <w:rFonts w:cs="宋体" w:asciiTheme="minorEastAsia" w:hAnsiTheme="minorEastAsia" w:eastAsiaTheme="minorEastAsia"/>
          <w:b/>
          <w:sz w:val="24"/>
          <w:szCs w:val="22"/>
        </w:rPr>
      </w:pPr>
      <w:r>
        <w:rPr>
          <w:rFonts w:hint="eastAsia" w:cs="宋体" w:asciiTheme="minorEastAsia" w:hAnsiTheme="minorEastAsia" w:eastAsiaTheme="minorEastAsia"/>
          <w:b/>
          <w:sz w:val="24"/>
          <w:szCs w:val="22"/>
        </w:rPr>
        <w:t>项目编号：                         项目名称：                标项：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40"/>
        <w:gridCol w:w="1742"/>
        <w:gridCol w:w="1078"/>
        <w:gridCol w:w="1474"/>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业务类型</w:t>
            </w:r>
          </w:p>
        </w:tc>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数量</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单位</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单价（元）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合价（元）</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tcPr>
          <w:p>
            <w:pPr>
              <w:widowControl/>
              <w:jc w:val="left"/>
              <w:rPr>
                <w:rFonts w:cs="宋体" w:asciiTheme="minorEastAsia" w:hAnsiTheme="minorEastAsia" w:eastAsiaTheme="minorEastAsia"/>
                <w:kern w:val="0"/>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投标报价（小写）</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投标报价（大写）</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sz w:val="24"/>
              </w:rPr>
            </w:pPr>
          </w:p>
        </w:tc>
      </w:tr>
    </w:tbl>
    <w:p>
      <w:pPr>
        <w:snapToGrid w:val="0"/>
        <w:spacing w:line="30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注： 1、以上表格要求按服务类别细分项目及报价，包括</w:t>
      </w:r>
      <w:r>
        <w:rPr>
          <w:rFonts w:hint="eastAsia" w:cs="宋体" w:asciiTheme="minorEastAsia" w:hAnsiTheme="minorEastAsia" w:eastAsiaTheme="minorEastAsia"/>
          <w:sz w:val="24"/>
        </w:rPr>
        <w:t>有关本项目实施所需的一切费用均计入报价</w:t>
      </w:r>
      <w:r>
        <w:rPr>
          <w:rFonts w:hint="eastAsia" w:cs="宋体" w:asciiTheme="minorEastAsia" w:hAnsiTheme="minorEastAsia" w:eastAsiaTheme="minorEastAsia"/>
          <w:kern w:val="0"/>
          <w:sz w:val="24"/>
          <w:lang w:val="zh-CN"/>
        </w:rPr>
        <w:t>。</w:t>
      </w:r>
    </w:p>
    <w:p>
      <w:pPr>
        <w:snapToGrid w:val="0"/>
        <w:spacing w:line="30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2、此表仅提供了表格形式，投标供应商应根据需要来填写完整的报价明细清单。</w:t>
      </w:r>
      <w:r>
        <w:rPr>
          <w:rFonts w:hint="eastAsia" w:cs="宋体" w:asciiTheme="minorEastAsia" w:hAnsiTheme="minorEastAsia" w:eastAsiaTheme="minorEastAsia"/>
          <w:sz w:val="24"/>
        </w:rPr>
        <w:t>明细清单合计总价应与开标一览表报价保持一致。</w:t>
      </w:r>
    </w:p>
    <w:p>
      <w:pPr>
        <w:snapToGrid w:val="0"/>
        <w:spacing w:line="300" w:lineRule="auto"/>
        <w:ind w:firstLine="480" w:firstLineChars="200"/>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firstLine="5040" w:firstLineChars="21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pStyle w:val="3"/>
        <w:keepNext w:val="0"/>
        <w:keepLines w:val="0"/>
        <w:pageBreakBefore/>
        <w:widowControl/>
        <w:spacing w:before="100" w:beforeAutospacing="1" w:after="100" w:afterAutospacing="1" w:line="360" w:lineRule="auto"/>
        <w:ind w:left="428" w:hanging="428" w:hangingChars="97"/>
        <w:jc w:val="center"/>
        <w:rPr>
          <w:rFonts w:cs="宋体" w:asciiTheme="minorEastAsia" w:hAnsiTheme="minorEastAsia" w:eastAsiaTheme="minorEastAsia"/>
        </w:rPr>
      </w:pPr>
      <w:r>
        <w:rPr>
          <w:rFonts w:hint="eastAsia" w:cs="宋体" w:asciiTheme="minorEastAsia" w:hAnsiTheme="minorEastAsia" w:eastAsiaTheme="minorEastAsia"/>
        </w:rPr>
        <w:t>附件</w:t>
      </w:r>
      <w:bookmarkEnd w:id="547"/>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548" w:name="OLE_LINK14"/>
      <w:bookmarkStart w:id="549" w:name="OLE_LINK13"/>
      <w:r>
        <w:rPr>
          <w:rFonts w:hint="eastAsia" w:cs="宋体" w:asciiTheme="minorEastAsia" w:hAnsiTheme="minorEastAsia" w:eastAsiaTheme="minorEastAsia"/>
          <w:b/>
          <w:spacing w:val="6"/>
          <w:sz w:val="32"/>
          <w:szCs w:val="32"/>
        </w:rPr>
        <w:t>残疾人福利性单位声明函</w:t>
      </w:r>
    </w:p>
    <w:bookmarkEnd w:id="548"/>
    <w:bookmarkEnd w:id="549"/>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pStyle w:val="2"/>
        <w:rPr>
          <w:rFonts w:cs="宋体" w:asciiTheme="minorEastAsia" w:hAnsiTheme="minorEastAsia" w:eastAsiaTheme="minorEastAsia"/>
          <w:lang w:val="en-US"/>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path/>
            <v:fill focussize="0,0"/>
            <v:stroke miterlimit="2"/>
            <v:imagedata o:title=""/>
            <o:lock v:ext="edit"/>
            <v:textbox>
              <w:txbxContent>
                <w:p/>
              </w:txbxContent>
            </v:textbox>
          </v:rect>
        </w:pict>
      </w:r>
      <w:r>
        <w:rPr>
          <w:rFonts w:cs="宋体" w:asciiTheme="minorEastAsia" w:hAnsiTheme="minorEastAsia" w:eastAsiaTheme="minorEastAsia"/>
          <w:b/>
          <w:bCs/>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txbxContent>
            </v:textbox>
          </v:rect>
        </w:pic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本公司郑重声明，根据《政府采购促进中小企业发展管理办法》（财库﹝2020﹞46 号）的规定，本公司参加</w:t>
      </w:r>
      <w:r>
        <w:rPr>
          <w:rFonts w:hint="eastAsia" w:cs="宋体" w:asciiTheme="minorEastAsia" w:hAnsiTheme="minorEastAsia" w:eastAsiaTheme="minorEastAsia"/>
          <w:sz w:val="24"/>
          <w:u w:val="single"/>
        </w:rPr>
        <w:t>（单位名称）</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u w:val="single"/>
        </w:rPr>
        <w:t>（项目名称）</w:t>
      </w:r>
      <w:r>
        <w:rPr>
          <w:rFonts w:hint="eastAsia" w:cs="宋体" w:asciiTheme="minorEastAsia" w:hAnsiTheme="minorEastAsia" w:eastAsiaTheme="minorEastAsia"/>
          <w:sz w:val="24"/>
        </w:rPr>
        <w:t>采购活动，服务全部由符合政策要求的中小企业承接。相关企业的具体情况如下：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中小企业；根据《关于政府采购支持监狱企业发展有关问题的通知》（财库[2014]68号）的规定，投标人提供由省级以上监狱管理局、戒毒管理局（含新疆生产建设兵团）出具的属于监狱企业证明文件的，视同为中小企业。</w:t>
      </w:r>
    </w:p>
    <w:p>
      <w:pPr>
        <w:spacing w:line="360" w:lineRule="auto"/>
        <w:jc w:val="center"/>
        <w:rPr>
          <w:rFonts w:cs="宋体" w:asciiTheme="minorEastAsia" w:hAnsiTheme="minorEastAsia" w:eastAsiaTheme="minorEastAsia"/>
          <w:b/>
          <w:sz w:val="32"/>
          <w:szCs w:val="32"/>
        </w:rPr>
      </w:pPr>
    </w:p>
    <w:p>
      <w:pPr>
        <w:pStyle w:val="26"/>
        <w:ind w:firstLine="643"/>
        <w:rPr>
          <w:rFonts w:cs="宋体" w:asciiTheme="minorEastAsia" w:hAnsiTheme="minorEastAsia" w:eastAsiaTheme="minorEastAsia"/>
          <w:b/>
          <w:sz w:val="32"/>
          <w:szCs w:val="32"/>
        </w:rPr>
      </w:pPr>
    </w:p>
    <w:p>
      <w:pPr>
        <w:pStyle w:val="5"/>
        <w:rPr>
          <w:rFonts w:cs="宋体" w:asciiTheme="minorEastAsia" w:hAnsiTheme="minorEastAsia" w:eastAsiaTheme="minorEastAsia"/>
          <w:b/>
          <w:color w:val="auto"/>
          <w:sz w:val="32"/>
          <w:szCs w:val="32"/>
        </w:rPr>
      </w:pPr>
    </w:p>
    <w:p>
      <w:pPr>
        <w:pStyle w:val="26"/>
        <w:ind w:firstLine="643"/>
        <w:rPr>
          <w:rFonts w:cs="宋体" w:asciiTheme="minorEastAsia" w:hAnsiTheme="minorEastAsia" w:eastAsiaTheme="minorEastAsia"/>
          <w:b/>
          <w:sz w:val="32"/>
          <w:szCs w:val="32"/>
        </w:rPr>
      </w:pPr>
    </w:p>
    <w:p>
      <w:pPr>
        <w:snapToGrid w:val="0"/>
        <w:spacing w:line="360" w:lineRule="auto"/>
        <w:rPr>
          <w:rFonts w:cs="宋体" w:asciiTheme="minorEastAsia" w:hAnsiTheme="minorEastAsia" w:eastAsiaTheme="minorEastAsia"/>
          <w:b/>
          <w:bCs/>
          <w:sz w:val="32"/>
          <w:szCs w:val="32"/>
        </w:rPr>
      </w:pPr>
    </w:p>
    <w:p>
      <w:pPr>
        <w:snapToGrid w:val="0"/>
        <w:spacing w:line="360" w:lineRule="auto"/>
        <w:rPr>
          <w:rFonts w:cs="宋体" w:asciiTheme="minorEastAsia" w:hAnsiTheme="minorEastAsia" w:eastAsiaTheme="minorEastAsia"/>
          <w:b/>
          <w:bCs/>
          <w:sz w:val="32"/>
          <w:szCs w:val="32"/>
        </w:rPr>
      </w:pPr>
    </w:p>
    <w:p>
      <w:pPr>
        <w:snapToGrid w:val="0"/>
        <w:spacing w:line="360" w:lineRule="auto"/>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t>附件6：</w:t>
      </w:r>
      <w:r>
        <w:rPr>
          <w:rFonts w:hint="eastAsia" w:cs="宋体" w:asciiTheme="minorEastAsia" w:hAnsiTheme="minorEastAsia" w:eastAsiaTheme="minorEastAsia"/>
          <w:b/>
          <w:bCs/>
          <w:sz w:val="32"/>
          <w:szCs w:val="32"/>
        </w:rPr>
        <w:t xml:space="preserve">             </w:t>
      </w:r>
      <w:r>
        <w:rPr>
          <w:rFonts w:hint="eastAsia" w:cs="宋体" w:asciiTheme="minorEastAsia" w:hAnsiTheme="minorEastAsia" w:eastAsiaTheme="minorEastAsia"/>
          <w:b/>
          <w:bCs/>
          <w:sz w:val="32"/>
          <w:szCs w:val="32"/>
          <w:lang w:val="zh-CN"/>
        </w:rPr>
        <w:t>分包意向协议</w:t>
      </w:r>
    </w:p>
    <w:p>
      <w:pPr>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u w:val="single"/>
          <w:lang w:val="zh-CN"/>
        </w:rPr>
        <w:t>（投标人名称）</w:t>
      </w:r>
      <w:r>
        <w:rPr>
          <w:rFonts w:hint="eastAsia" w:cs="宋体" w:asciiTheme="minorEastAsia" w:hAnsiTheme="minorEastAsia" w:eastAsiaTheme="minorEastAsia"/>
          <w:sz w:val="24"/>
          <w:lang w:val="zh-CN"/>
        </w:rPr>
        <w:t>若成为（项目名称）【招标编号：（采购编号）】的中标供应商，将依法采取分包方式履行合同。</w:t>
      </w:r>
      <w:r>
        <w:rPr>
          <w:rFonts w:hint="eastAsia" w:cs="宋体" w:asciiTheme="minorEastAsia" w:hAnsiTheme="minorEastAsia" w:eastAsiaTheme="minorEastAsia"/>
          <w:sz w:val="24"/>
          <w:u w:val="single"/>
          <w:lang w:val="zh-CN"/>
        </w:rPr>
        <w:t>（投标人名称）</w:t>
      </w:r>
      <w:r>
        <w:rPr>
          <w:rFonts w:hint="eastAsia" w:cs="宋体" w:asciiTheme="minorEastAsia" w:hAnsiTheme="minorEastAsia" w:eastAsiaTheme="minorEastAsia"/>
          <w:sz w:val="24"/>
          <w:lang w:val="zh-CN"/>
        </w:rPr>
        <w:t>与</w:t>
      </w:r>
      <w:r>
        <w:rPr>
          <w:rFonts w:hint="eastAsia" w:cs="宋体" w:asciiTheme="minorEastAsia" w:hAnsiTheme="minorEastAsia" w:eastAsiaTheme="minorEastAsia"/>
          <w:sz w:val="24"/>
          <w:u w:val="single"/>
          <w:lang w:val="zh-CN"/>
        </w:rPr>
        <w:t>（所有分包供应商名称）</w:t>
      </w:r>
      <w:r>
        <w:rPr>
          <w:rFonts w:hint="eastAsia" w:cs="宋体" w:asciiTheme="minorEastAsia" w:hAnsiTheme="minorEastAsia" w:eastAsiaTheme="minorEastAsia"/>
          <w:sz w:val="24"/>
          <w:lang w:val="zh-CN"/>
        </w:rPr>
        <w:t xml:space="preserve">达成分包意向协议。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一、分包标的及数量</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u w:val="single"/>
          <w:lang w:val="zh-CN"/>
        </w:rPr>
        <w:t>（投标人名称）</w:t>
      </w:r>
      <w:r>
        <w:rPr>
          <w:rFonts w:hint="eastAsia" w:cs="宋体" w:asciiTheme="minorEastAsia" w:hAnsiTheme="minorEastAsia" w:eastAsiaTheme="minorEastAsia"/>
          <w:sz w:val="24"/>
          <w:lang w:val="zh-CN"/>
        </w:rPr>
        <w:t>将</w:t>
      </w:r>
      <w:r>
        <w:rPr>
          <w:rFonts w:hint="eastAsia" w:cs="宋体" w:asciiTheme="minorEastAsia" w:hAnsiTheme="minorEastAsia" w:eastAsiaTheme="minorEastAsia"/>
          <w:sz w:val="24"/>
          <w:u w:val="single"/>
          <w:lang w:val="zh-CN"/>
        </w:rPr>
        <w:t xml:space="preserve">   XX工作内容   </w:t>
      </w:r>
      <w:r>
        <w:rPr>
          <w:rFonts w:hint="eastAsia" w:cs="宋体" w:asciiTheme="minorEastAsia" w:hAnsiTheme="minorEastAsia" w:eastAsiaTheme="minorEastAsia"/>
          <w:sz w:val="24"/>
          <w:lang w:val="zh-CN"/>
        </w:rPr>
        <w:t>分包给</w:t>
      </w:r>
      <w:r>
        <w:rPr>
          <w:rFonts w:hint="eastAsia" w:cs="宋体" w:asciiTheme="minorEastAsia" w:hAnsiTheme="minorEastAsia" w:eastAsiaTheme="minorEastAsia"/>
          <w:sz w:val="24"/>
          <w:u w:val="single"/>
          <w:lang w:val="zh-CN"/>
        </w:rPr>
        <w:t>（分包供应商1名称）</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u w:val="single"/>
          <w:lang w:val="zh-CN"/>
        </w:rPr>
        <w:t>（分包供应商2名称）</w:t>
      </w:r>
      <w:r>
        <w:rPr>
          <w:rFonts w:hint="eastAsia" w:cs="宋体" w:asciiTheme="minorEastAsia" w:hAnsiTheme="minorEastAsia" w:eastAsiaTheme="minorEastAsia"/>
          <w:sz w:val="24"/>
          <w:lang w:val="zh-CN"/>
        </w:rPr>
        <w:t>，具备承担</w:t>
      </w:r>
      <w:r>
        <w:rPr>
          <w:rFonts w:hint="eastAsia" w:cs="宋体" w:asciiTheme="minorEastAsia" w:hAnsiTheme="minorEastAsia" w:eastAsiaTheme="minorEastAsia"/>
          <w:sz w:val="24"/>
          <w:u w:val="single"/>
          <w:lang w:val="zh-CN"/>
        </w:rPr>
        <w:t>XX工作内容</w:t>
      </w:r>
      <w:r>
        <w:rPr>
          <w:rFonts w:hint="eastAsia" w:cs="宋体" w:asciiTheme="minorEastAsia" w:hAnsiTheme="minorEastAsia" w:eastAsiaTheme="minorEastAsia"/>
          <w:sz w:val="24"/>
          <w:lang w:val="zh-CN"/>
        </w:rPr>
        <w:t>相应资质条件且不得再次分包；</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二、分包供应商中小企业合同份额</w:t>
      </w:r>
    </w:p>
    <w:p>
      <w:pPr>
        <w:spacing w:line="360" w:lineRule="auto"/>
        <w:ind w:firstLine="480"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sz w:val="24"/>
          <w:lang w:val="zh-CN"/>
        </w:rPr>
        <w:t>1、</w:t>
      </w:r>
      <w:r>
        <w:rPr>
          <w:rFonts w:hint="eastAsia" w:cs="宋体" w:asciiTheme="minorEastAsia" w:hAnsiTheme="minorEastAsia" w:eastAsiaTheme="minorEastAsia"/>
          <w:sz w:val="24"/>
          <w:u w:val="single"/>
          <w:lang w:val="zh-CN"/>
        </w:rPr>
        <w:t>（分包供应商X,……）</w:t>
      </w:r>
      <w:r>
        <w:rPr>
          <w:rFonts w:hint="eastAsia" w:cs="宋体" w:asciiTheme="minorEastAsia" w:hAnsiTheme="minorEastAsia" w:eastAsiaTheme="minorEastAsia"/>
          <w:sz w:val="24"/>
          <w:lang w:val="zh-CN"/>
        </w:rPr>
        <w:t>提供的服务全部由小微企业承接，其合同份额占到合同总金额</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%以上。</w:t>
      </w:r>
      <w:r>
        <w:rPr>
          <w:rFonts w:hint="eastAsia" w:cs="宋体" w:asciiTheme="minorEastAsia" w:hAnsiTheme="minorEastAsia" w:eastAsiaTheme="minorEastAsia"/>
          <w:b/>
          <w:bCs/>
          <w:sz w:val="24"/>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sz w:val="24"/>
          <w:lang w:val="zh-CN"/>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三、分包工作履行期限、地点、方式</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四、质量</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五、价款或者报酬</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六、违约责任</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七、争议解决的办法</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八、其他</w:t>
      </w:r>
    </w:p>
    <w:p>
      <w:pPr>
        <w:spacing w:line="360" w:lineRule="auto"/>
        <w:ind w:left="5279" w:leftChars="228" w:hanging="4800" w:hangingChars="20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中小企业合同金额达到</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lang w:val="zh-CN"/>
        </w:rPr>
        <w:t xml:space="preserve">%。                                           </w:t>
      </w:r>
    </w:p>
    <w:p>
      <w:pPr>
        <w:spacing w:line="360" w:lineRule="auto"/>
        <w:ind w:left="5279" w:leftChars="228" w:hanging="4800" w:hangingChars="2000"/>
        <w:rPr>
          <w:rFonts w:cs="宋体" w:asciiTheme="minorEastAsia" w:hAnsiTheme="minorEastAsia" w:eastAsiaTheme="minorEastAsia"/>
          <w:sz w:val="24"/>
          <w:lang w:val="zh-CN"/>
        </w:rPr>
      </w:pPr>
    </w:p>
    <w:p>
      <w:pPr>
        <w:spacing w:line="360" w:lineRule="auto"/>
        <w:ind w:left="5267" w:leftChars="2508"/>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投标人名称(电子签名)：</w:t>
      </w:r>
    </w:p>
    <w:p>
      <w:pPr>
        <w:spacing w:line="360" w:lineRule="auto"/>
        <w:ind w:firstLine="5280" w:firstLineChars="2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分包供应商名称：</w:t>
      </w:r>
    </w:p>
    <w:p>
      <w:pPr>
        <w:spacing w:line="360" w:lineRule="auto"/>
        <w:ind w:firstLine="5520" w:firstLineChars="23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                                        日期：  年  月   日</w:t>
      </w: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b/>
          <w:spacing w:val="6"/>
          <w:sz w:val="24"/>
        </w:rPr>
      </w:pPr>
    </w:p>
    <w:p>
      <w:pPr>
        <w:rPr>
          <w:rFonts w:cs="宋体" w:asciiTheme="minorEastAsia" w:hAnsiTheme="minorEastAsia" w:eastAsiaTheme="minorEastAsia"/>
          <w:sz w:val="24"/>
        </w:rPr>
      </w:pPr>
      <w:r>
        <w:rPr>
          <w:rFonts w:hint="eastAsia" w:cs="宋体" w:asciiTheme="minorEastAsia" w:hAnsiTheme="minorEastAsia" w:eastAsiaTheme="minorEastAsia"/>
          <w:b/>
          <w:spacing w:val="6"/>
          <w:sz w:val="24"/>
        </w:rPr>
        <w:t>附表1：</w:t>
      </w:r>
      <w:r>
        <w:rPr>
          <w:rFonts w:hint="eastAsia" w:cs="宋体" w:asciiTheme="minorEastAsia" w:hAnsiTheme="minorEastAsia" w:eastAsiaTheme="minorEastAsia"/>
          <w:sz w:val="24"/>
        </w:rPr>
        <w:t>发改价格[2011]534号文《关于降低部分建设项目收费标准规范收费行为等有关问题的通知》</w:t>
      </w:r>
      <w:bookmarkStart w:id="550" w:name="_Toc532896436"/>
      <w:r>
        <w:rPr>
          <w:rFonts w:hint="eastAsia" w:cs="宋体" w:asciiTheme="minorEastAsia" w:hAnsiTheme="minorEastAsia" w:eastAsiaTheme="minorEastAsia"/>
          <w:sz w:val="24"/>
        </w:rPr>
        <w:t>收费标准</w:t>
      </w:r>
      <w:bookmarkEnd w:id="550"/>
      <w:r>
        <w:rPr>
          <w:rFonts w:hint="eastAsia" w:cs="宋体" w:asciiTheme="minorEastAsia" w:hAnsiTheme="minorEastAsia" w:eastAsiaTheme="minorEastAsia"/>
          <w:sz w:val="24"/>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cs="宋体" w:asciiTheme="minorEastAsia" w:hAnsiTheme="minorEastAsia" w:eastAsiaTheme="minorEastAsia"/>
              </w:rPr>
            </w:pPr>
            <w:r>
              <w:rPr>
                <w:rFonts w:cs="宋体" w:asciiTheme="minorEastAsia" w:hAnsiTheme="minorEastAsia" w:eastAsiaTheme="minorEastAsia"/>
              </w:rPr>
              <w:pict>
                <v:line id="_x0000_s1028" o:spid="_x0000_s1028"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m3vp1gAAAAgBAAAPAAAAAAAAAAEAIAAAACIA&#10;AABkcnMvZG93bnJldi54bWxQSwECFAAUAAAACACHTuJA66FdNAsCAADzAwAADgAAAAAAAAABACAA&#10;AAAlAQAAZHJzL2Uyb0RvYy54bWxQSwUGAAAAAAYABgBZAQAAogUAAAAA&#10;">
                  <v:path arrowok="t"/>
                  <v:fill focussize="0,0"/>
                  <v:stroke color="#457BBA"/>
                  <v:imagedata o:title=""/>
                  <o:lock v:ext="edit"/>
                </v:line>
              </w:pict>
            </w:r>
          </w:p>
          <w:p>
            <w:pPr>
              <w:ind w:firstLine="1004"/>
              <w:rPr>
                <w:rFonts w:cs="宋体" w:asciiTheme="minorEastAsia" w:hAnsiTheme="minorEastAsia" w:eastAsiaTheme="minorEastAsia"/>
              </w:rPr>
            </w:pPr>
            <w:r>
              <w:rPr>
                <w:rFonts w:hint="eastAsia" w:cs="宋体" w:asciiTheme="minorEastAsia" w:hAnsiTheme="minorEastAsia" w:eastAsiaTheme="minorEastAsia"/>
              </w:rPr>
              <w:t>　　　</w:t>
            </w:r>
          </w:p>
          <w:p>
            <w:pPr>
              <w:ind w:firstLine="840" w:firstLineChars="400"/>
              <w:rPr>
                <w:rFonts w:cs="宋体" w:asciiTheme="minorEastAsia" w:hAnsiTheme="minorEastAsia" w:eastAsiaTheme="minorEastAsia"/>
              </w:rPr>
            </w:pPr>
            <w:r>
              <w:rPr>
                <w:rFonts w:hint="eastAsia" w:cs="宋体" w:asciiTheme="minorEastAsia" w:hAnsiTheme="minorEastAsia" w:eastAsiaTheme="minorEastAsia"/>
              </w:rPr>
              <w:t>服务类型</w:t>
            </w:r>
          </w:p>
          <w:p>
            <w:pPr>
              <w:ind w:firstLine="1295" w:firstLineChars="617"/>
              <w:rPr>
                <w:rFonts w:cs="宋体" w:asciiTheme="minorEastAsia" w:hAnsiTheme="minorEastAsia" w:eastAsiaTheme="minorEastAsia"/>
              </w:rPr>
            </w:pPr>
          </w:p>
          <w:p>
            <w:pPr>
              <w:ind w:firstLine="1295" w:firstLineChars="617"/>
              <w:rPr>
                <w:rFonts w:cs="宋体" w:asciiTheme="minorEastAsia" w:hAnsiTheme="minorEastAsia" w:eastAsiaTheme="minorEastAsia"/>
              </w:rPr>
            </w:pPr>
          </w:p>
          <w:p>
            <w:pPr>
              <w:ind w:firstLine="630" w:firstLineChars="300"/>
              <w:rPr>
                <w:rFonts w:cs="宋体" w:asciiTheme="minorEastAsia" w:hAnsiTheme="minorEastAsia" w:eastAsiaTheme="minorEastAsia"/>
              </w:rPr>
            </w:pPr>
            <w:r>
              <w:rPr>
                <w:rFonts w:cs="宋体" w:asciiTheme="minorEastAsia" w:hAnsiTheme="minorEastAsia" w:eastAsiaTheme="minorEastAsia"/>
              </w:rPr>
              <w:pict>
                <v:line id="_x0000_s1027" o:spid="_x0000_s1027"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GHMA2AAAAAkBAAAPAAAAAAAAAAEAIAAA&#10;ACIAAABkcnMvZG93bnJldi54bWxQSwECFAAUAAAACACHTuJAKxcNVgwCAADyAwAADgAAAAAAAAAB&#10;ACAAAAAnAQAAZHJzL2Uyb0RvYy54bWxQSwUGAAAAAAYABgBZAQAApQUAAAAA&#10;">
                  <v:path arrowok="t"/>
                  <v:fill focussize="0,0"/>
                  <v:stroke color="#457BBA"/>
                  <v:imagedata o:title=""/>
                  <o:lock v:ext="edit"/>
                </v:line>
              </w:pict>
            </w:r>
            <w:r>
              <w:rPr>
                <w:rFonts w:hint="eastAsia" w:cs="宋体" w:asciiTheme="minorEastAsia" w:hAnsiTheme="minorEastAsia" w:eastAsiaTheme="minorEastAsia"/>
              </w:rPr>
              <w:t>费率</w:t>
            </w:r>
          </w:p>
          <w:p>
            <w:pPr>
              <w:ind w:firstLine="1054"/>
              <w:rPr>
                <w:rFonts w:cs="宋体" w:asciiTheme="minorEastAsia" w:hAnsiTheme="minorEastAsia" w:eastAsiaTheme="minorEastAsia"/>
              </w:rPr>
            </w:pPr>
            <w:r>
              <w:rPr>
                <w:rFonts w:hint="eastAsia" w:cs="宋体" w:asciiTheme="minorEastAsia" w:hAnsiTheme="minorEastAsia" w:eastAsiaTheme="minorEastAsia"/>
              </w:rPr>
              <w:t>　　　</w:t>
            </w:r>
          </w:p>
          <w:p>
            <w:pPr>
              <w:ind w:firstLine="1054"/>
              <w:rPr>
                <w:rFonts w:cs="宋体" w:asciiTheme="minorEastAsia" w:hAnsiTheme="minorEastAsia" w:eastAsiaTheme="minorEastAsia"/>
              </w:rPr>
            </w:pPr>
            <w:r>
              <w:rPr>
                <w:rFonts w:hint="eastAsia" w:cs="宋体" w:asciiTheme="minorEastAsia" w:hAnsiTheme="minorEastAsia" w:eastAsiaTheme="minorEastAsia"/>
              </w:rPr>
              <w:t>　　　　</w:t>
            </w:r>
          </w:p>
          <w:p>
            <w:pPr>
              <w:rPr>
                <w:rFonts w:cs="宋体" w:asciiTheme="minorEastAsia" w:hAnsiTheme="minorEastAsia" w:eastAsiaTheme="minorEastAsia"/>
              </w:rPr>
            </w:pPr>
            <w:r>
              <w:rPr>
                <w:rFonts w:hint="eastAsia" w:cs="宋体" w:asciiTheme="minorEastAsia" w:hAnsiTheme="minorEastAsia" w:eastAsiaTheme="minorEastAsia"/>
              </w:rPr>
              <w:t xml:space="preserve">中标金额（万元） </w:t>
            </w:r>
          </w:p>
        </w:tc>
        <w:tc>
          <w:tcPr>
            <w:tcW w:w="198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货物招标</w:t>
            </w:r>
          </w:p>
        </w:tc>
        <w:tc>
          <w:tcPr>
            <w:tcW w:w="198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服务招标</w:t>
            </w:r>
          </w:p>
        </w:tc>
        <w:tc>
          <w:tcPr>
            <w:tcW w:w="198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100以下</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100-500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0.8%</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500-1000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0.8%</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0.45%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1000-5000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0.25%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5000-10000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0.25%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0.1%</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10000-50000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50000-100000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0.035%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0.035%</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100000-500000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0.008%</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0.008%</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500000-1000000</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0.006%</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0.006%</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rPr>
            </w:pPr>
            <w:r>
              <w:rPr>
                <w:rFonts w:hint="eastAsia" w:cs="宋体" w:asciiTheme="minorEastAsia" w:hAnsiTheme="minorEastAsia" w:eastAsiaTheme="minorEastAsia"/>
              </w:rPr>
              <w:t>1000000以上</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0.004%</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0.004%</w:t>
            </w:r>
          </w:p>
        </w:tc>
        <w:tc>
          <w:tcPr>
            <w:tcW w:w="1980" w:type="dxa"/>
          </w:tcPr>
          <w:p>
            <w:pPr>
              <w:jc w:val="center"/>
              <w:rPr>
                <w:rFonts w:cs="宋体" w:asciiTheme="minorEastAsia" w:hAnsiTheme="minorEastAsia" w:eastAsiaTheme="minorEastAsia"/>
              </w:rPr>
            </w:pPr>
            <w:r>
              <w:rPr>
                <w:rFonts w:hint="eastAsia" w:cs="宋体" w:asciiTheme="minorEastAsia" w:hAnsiTheme="minorEastAsia" w:eastAsiaTheme="minorEastAsia"/>
              </w:rPr>
              <w:t>0.004%</w:t>
            </w:r>
          </w:p>
        </w:tc>
      </w:tr>
    </w:tbl>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注：收费标准低于2000元的按2000元收取。</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例：一项货物采购项目，中标金额6000万元，收费如下：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100万元×1.5％＝1.5万元</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（500-100）万元×1.1％＝4.4万元</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（1000-500）万元×0.8％=4万元</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（5000-1000）万元×0.5％=20万元</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（6000-5000）万元×0.25％=2.5万元</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合计收费＝1.5+4.4+4+20+2.5＝32.4万元</w:t>
      </w:r>
    </w:p>
    <w:p>
      <w:pPr>
        <w:pStyle w:val="2"/>
        <w:rPr>
          <w:rFonts w:cs="宋体" w:asciiTheme="minorEastAsia" w:hAnsiTheme="minorEastAsia" w:eastAsiaTheme="minorEastAsia"/>
        </w:rPr>
      </w:pPr>
    </w:p>
    <w:p>
      <w:pPr>
        <w:spacing w:line="360" w:lineRule="auto"/>
        <w:jc w:val="center"/>
        <w:rPr>
          <w:rFonts w:cs="宋体" w:asciiTheme="minorEastAsia" w:hAnsiTheme="minorEastAsia" w:eastAsiaTheme="minorEastAsia"/>
          <w:b/>
          <w:sz w:val="32"/>
          <w:szCs w:val="32"/>
        </w:rPr>
      </w:pPr>
    </w:p>
    <w:p>
      <w:pPr>
        <w:pStyle w:val="2"/>
        <w:rPr>
          <w:rFonts w:cs="宋体" w:asciiTheme="minorEastAsia" w:hAnsiTheme="minorEastAsia" w:eastAsiaTheme="minorEastAsia"/>
        </w:rPr>
      </w:pPr>
    </w:p>
    <w:p>
      <w:pPr>
        <w:rPr>
          <w:rFonts w:cs="宋体" w:asciiTheme="minorEastAsia" w:hAnsiTheme="minorEastAsia" w:eastAsiaTheme="minorEastAsia"/>
          <w:b/>
          <w:sz w:val="32"/>
          <w:szCs w:val="32"/>
        </w:rPr>
      </w:pPr>
    </w:p>
    <w:p>
      <w:pPr>
        <w:pStyle w:val="2"/>
        <w:ind w:left="0" w:firstLine="0"/>
        <w:rPr>
          <w:rFonts w:cs="宋体" w:asciiTheme="minorEastAsia" w:hAnsiTheme="minorEastAsia" w:eastAsiaTheme="minorEastAsia"/>
        </w:rPr>
      </w:pPr>
    </w:p>
    <w:p>
      <w:pPr>
        <w:spacing w:line="360" w:lineRule="auto"/>
        <w:ind w:right="420"/>
        <w:rPr>
          <w:rFonts w:cs="宋体" w:asciiTheme="minorEastAsia" w:hAnsiTheme="minorEastAsia" w:eastAsiaTheme="minorEastAsia"/>
          <w:b/>
          <w:kern w:val="0"/>
          <w:sz w:val="36"/>
          <w:szCs w:val="36"/>
        </w:rPr>
      </w:pPr>
    </w:p>
    <w:sectPr>
      <w:headerReference r:id="rId28" w:type="first"/>
      <w:footerReference r:id="rId30" w:type="first"/>
      <w:headerReference r:id="rId27" w:type="default"/>
      <w:footerReference r:id="rId29" w:type="default"/>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rbel"/>
    <w:panose1 w:val="00000000000000000000"/>
    <w:charset w:val="00"/>
    <w:family w:val="swiss"/>
    <w:pitch w:val="default"/>
    <w:sig w:usb0="00000000" w:usb1="00000000" w:usb2="00000000" w:usb3="00000000" w:csb0="00000011" w:csb1="00000000"/>
  </w:font>
  <w:font w:name="Corbel">
    <w:panose1 w:val="020B0503020204020204"/>
    <w:charset w:val="00"/>
    <w:family w:val="auto"/>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51" w:name="_Toc91899912"/>
    <w:bookmarkStart w:id="552" w:name="_Toc131845147"/>
    <w:bookmarkStart w:id="553" w:name="_Toc164085800"/>
    <w:bookmarkStart w:id="554" w:name="_Toc36110187"/>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4097" o:spid="_x0000_s4097"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&#1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36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淳安县</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淳安县</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441AE"/>
    <w:multiLevelType w:val="singleLevel"/>
    <w:tmpl w:val="BB2441AE"/>
    <w:lvl w:ilvl="0" w:tentative="0">
      <w:start w:val="5"/>
      <w:numFmt w:val="chineseCounting"/>
      <w:suff w:val="nothing"/>
      <w:lvlText w:val="（%1）"/>
      <w:lvlJc w:val="left"/>
      <w:rPr>
        <w:rFonts w:hint="eastAsia"/>
      </w:rPr>
    </w:lvl>
  </w:abstractNum>
  <w:abstractNum w:abstractNumId="1">
    <w:nsid w:val="2EAB08B6"/>
    <w:multiLevelType w:val="multilevel"/>
    <w:tmpl w:val="2EAB08B6"/>
    <w:lvl w:ilvl="0" w:tentative="0">
      <w:start w:val="2"/>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4614DF"/>
    <w:multiLevelType w:val="singleLevel"/>
    <w:tmpl w:val="404614DF"/>
    <w:lvl w:ilvl="0" w:tentative="0">
      <w:start w:val="2"/>
      <w:numFmt w:val="decimal"/>
      <w:suff w:val="nothing"/>
      <w:lvlText w:val="%1、"/>
      <w:lvlJc w:val="left"/>
    </w:lvl>
  </w:abstractNum>
  <w:abstractNum w:abstractNumId="3">
    <w:nsid w:val="6D696A74"/>
    <w:multiLevelType w:val="singleLevel"/>
    <w:tmpl w:val="6D696A74"/>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lNDVkYjFhMzdhMDMyNjY5YWYzZTVhMjA4NWY3NjYifQ=="/>
  </w:docVars>
  <w:rsids>
    <w:rsidRoot w:val="00172A27"/>
    <w:rsid w:val="00000451"/>
    <w:rsid w:val="0000108B"/>
    <w:rsid w:val="0000133D"/>
    <w:rsid w:val="00001509"/>
    <w:rsid w:val="000032B2"/>
    <w:rsid w:val="0000363B"/>
    <w:rsid w:val="00004C4C"/>
    <w:rsid w:val="000058BD"/>
    <w:rsid w:val="00006109"/>
    <w:rsid w:val="00006150"/>
    <w:rsid w:val="000063E8"/>
    <w:rsid w:val="00006725"/>
    <w:rsid w:val="0000675E"/>
    <w:rsid w:val="00007CAA"/>
    <w:rsid w:val="00010430"/>
    <w:rsid w:val="00010FE9"/>
    <w:rsid w:val="0001122F"/>
    <w:rsid w:val="00011A4B"/>
    <w:rsid w:val="00012251"/>
    <w:rsid w:val="0001337C"/>
    <w:rsid w:val="0001374F"/>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CC5"/>
    <w:rsid w:val="00034FA7"/>
    <w:rsid w:val="0003533D"/>
    <w:rsid w:val="000357E4"/>
    <w:rsid w:val="00035ACA"/>
    <w:rsid w:val="00040447"/>
    <w:rsid w:val="00040494"/>
    <w:rsid w:val="00040B70"/>
    <w:rsid w:val="00042441"/>
    <w:rsid w:val="00042533"/>
    <w:rsid w:val="00042DBB"/>
    <w:rsid w:val="00042E65"/>
    <w:rsid w:val="0004347C"/>
    <w:rsid w:val="0004361D"/>
    <w:rsid w:val="00043907"/>
    <w:rsid w:val="00044F48"/>
    <w:rsid w:val="000469AE"/>
    <w:rsid w:val="00047354"/>
    <w:rsid w:val="00047A06"/>
    <w:rsid w:val="00047F6F"/>
    <w:rsid w:val="00050656"/>
    <w:rsid w:val="00050A19"/>
    <w:rsid w:val="000511B6"/>
    <w:rsid w:val="00051B00"/>
    <w:rsid w:val="00051C72"/>
    <w:rsid w:val="00051E7C"/>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685"/>
    <w:rsid w:val="00064278"/>
    <w:rsid w:val="000646CA"/>
    <w:rsid w:val="000665C4"/>
    <w:rsid w:val="00067821"/>
    <w:rsid w:val="0006785E"/>
    <w:rsid w:val="00067F92"/>
    <w:rsid w:val="00067FA7"/>
    <w:rsid w:val="0007038E"/>
    <w:rsid w:val="0007077C"/>
    <w:rsid w:val="00070825"/>
    <w:rsid w:val="00071797"/>
    <w:rsid w:val="0007199F"/>
    <w:rsid w:val="00071CD8"/>
    <w:rsid w:val="00071DB2"/>
    <w:rsid w:val="00072AED"/>
    <w:rsid w:val="00072B56"/>
    <w:rsid w:val="00072D2B"/>
    <w:rsid w:val="00072D51"/>
    <w:rsid w:val="000730B1"/>
    <w:rsid w:val="00073860"/>
    <w:rsid w:val="000738EA"/>
    <w:rsid w:val="00074078"/>
    <w:rsid w:val="00075AF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24"/>
    <w:rsid w:val="00083E07"/>
    <w:rsid w:val="00084D27"/>
    <w:rsid w:val="00084ED6"/>
    <w:rsid w:val="0008580E"/>
    <w:rsid w:val="00085A0E"/>
    <w:rsid w:val="00085C4F"/>
    <w:rsid w:val="00085D69"/>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51"/>
    <w:rsid w:val="000B456C"/>
    <w:rsid w:val="000B45B9"/>
    <w:rsid w:val="000B47CE"/>
    <w:rsid w:val="000B4B56"/>
    <w:rsid w:val="000B4C62"/>
    <w:rsid w:val="000B541D"/>
    <w:rsid w:val="000B54C1"/>
    <w:rsid w:val="000B5553"/>
    <w:rsid w:val="000B5FE8"/>
    <w:rsid w:val="000B666E"/>
    <w:rsid w:val="000C020F"/>
    <w:rsid w:val="000C0A43"/>
    <w:rsid w:val="000C0CB1"/>
    <w:rsid w:val="000C1411"/>
    <w:rsid w:val="000C1ADE"/>
    <w:rsid w:val="000C1C38"/>
    <w:rsid w:val="000C21DC"/>
    <w:rsid w:val="000C2264"/>
    <w:rsid w:val="000C256B"/>
    <w:rsid w:val="000C263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6D1"/>
    <w:rsid w:val="000D19E8"/>
    <w:rsid w:val="000D1FA1"/>
    <w:rsid w:val="000D2834"/>
    <w:rsid w:val="000D2CAC"/>
    <w:rsid w:val="000D34C8"/>
    <w:rsid w:val="000D34FD"/>
    <w:rsid w:val="000D3BE5"/>
    <w:rsid w:val="000D3C37"/>
    <w:rsid w:val="000D453A"/>
    <w:rsid w:val="000D4AFA"/>
    <w:rsid w:val="000D5ACC"/>
    <w:rsid w:val="000D5EA6"/>
    <w:rsid w:val="000D5F00"/>
    <w:rsid w:val="000D6C9F"/>
    <w:rsid w:val="000D6E3B"/>
    <w:rsid w:val="000D6F30"/>
    <w:rsid w:val="000D74E4"/>
    <w:rsid w:val="000D7C9D"/>
    <w:rsid w:val="000D7CE0"/>
    <w:rsid w:val="000E2785"/>
    <w:rsid w:val="000E27BB"/>
    <w:rsid w:val="000E2E20"/>
    <w:rsid w:val="000E2ECD"/>
    <w:rsid w:val="000E3153"/>
    <w:rsid w:val="000E3484"/>
    <w:rsid w:val="000E386F"/>
    <w:rsid w:val="000E4051"/>
    <w:rsid w:val="000E4139"/>
    <w:rsid w:val="000E4765"/>
    <w:rsid w:val="000E5B7E"/>
    <w:rsid w:val="000E5FF9"/>
    <w:rsid w:val="000E6AE1"/>
    <w:rsid w:val="000E711F"/>
    <w:rsid w:val="000E7142"/>
    <w:rsid w:val="000E7632"/>
    <w:rsid w:val="000E7737"/>
    <w:rsid w:val="000E7739"/>
    <w:rsid w:val="000E77EE"/>
    <w:rsid w:val="000E7DC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6FE"/>
    <w:rsid w:val="001168F8"/>
    <w:rsid w:val="00116D6C"/>
    <w:rsid w:val="001176FF"/>
    <w:rsid w:val="0012153F"/>
    <w:rsid w:val="0012159D"/>
    <w:rsid w:val="00121804"/>
    <w:rsid w:val="00121EC9"/>
    <w:rsid w:val="001224FE"/>
    <w:rsid w:val="001231D3"/>
    <w:rsid w:val="001232A7"/>
    <w:rsid w:val="00123F7C"/>
    <w:rsid w:val="001240F7"/>
    <w:rsid w:val="0012419E"/>
    <w:rsid w:val="001248EF"/>
    <w:rsid w:val="00124AC0"/>
    <w:rsid w:val="00124FC4"/>
    <w:rsid w:val="001253AB"/>
    <w:rsid w:val="0012574C"/>
    <w:rsid w:val="001259B8"/>
    <w:rsid w:val="001264B9"/>
    <w:rsid w:val="0012693E"/>
    <w:rsid w:val="00126A3A"/>
    <w:rsid w:val="00126B6B"/>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F3"/>
    <w:rsid w:val="00143872"/>
    <w:rsid w:val="00143A85"/>
    <w:rsid w:val="00144649"/>
    <w:rsid w:val="00145022"/>
    <w:rsid w:val="00145662"/>
    <w:rsid w:val="00145C6D"/>
    <w:rsid w:val="001460FC"/>
    <w:rsid w:val="00146151"/>
    <w:rsid w:val="00146326"/>
    <w:rsid w:val="00147032"/>
    <w:rsid w:val="00147134"/>
    <w:rsid w:val="00147EA7"/>
    <w:rsid w:val="00151820"/>
    <w:rsid w:val="00151B2F"/>
    <w:rsid w:val="001524DC"/>
    <w:rsid w:val="001525E5"/>
    <w:rsid w:val="0015315E"/>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67CC0"/>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F2"/>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BD"/>
    <w:rsid w:val="0019602C"/>
    <w:rsid w:val="001969F2"/>
    <w:rsid w:val="00196CD6"/>
    <w:rsid w:val="0019756A"/>
    <w:rsid w:val="001A04BF"/>
    <w:rsid w:val="001A06B5"/>
    <w:rsid w:val="001A07F8"/>
    <w:rsid w:val="001A0A23"/>
    <w:rsid w:val="001A0C98"/>
    <w:rsid w:val="001A0E94"/>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5B0"/>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413"/>
    <w:rsid w:val="001B6D58"/>
    <w:rsid w:val="001B6FA7"/>
    <w:rsid w:val="001B7A15"/>
    <w:rsid w:val="001B7B69"/>
    <w:rsid w:val="001B7DC1"/>
    <w:rsid w:val="001B7F2D"/>
    <w:rsid w:val="001C08DB"/>
    <w:rsid w:val="001C10BD"/>
    <w:rsid w:val="001C1F01"/>
    <w:rsid w:val="001C2092"/>
    <w:rsid w:val="001C232F"/>
    <w:rsid w:val="001C2544"/>
    <w:rsid w:val="001C2A17"/>
    <w:rsid w:val="001C31F5"/>
    <w:rsid w:val="001C3AF9"/>
    <w:rsid w:val="001C6047"/>
    <w:rsid w:val="001C6698"/>
    <w:rsid w:val="001C6C5B"/>
    <w:rsid w:val="001C7309"/>
    <w:rsid w:val="001C7399"/>
    <w:rsid w:val="001C7CE0"/>
    <w:rsid w:val="001D005B"/>
    <w:rsid w:val="001D0947"/>
    <w:rsid w:val="001D16F5"/>
    <w:rsid w:val="001D1970"/>
    <w:rsid w:val="001D1D55"/>
    <w:rsid w:val="001D21EF"/>
    <w:rsid w:val="001D29A4"/>
    <w:rsid w:val="001D2B73"/>
    <w:rsid w:val="001D2B8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E8"/>
    <w:rsid w:val="001F2F92"/>
    <w:rsid w:val="001F5DA1"/>
    <w:rsid w:val="001F612E"/>
    <w:rsid w:val="001F6A92"/>
    <w:rsid w:val="001F77E8"/>
    <w:rsid w:val="00201A0C"/>
    <w:rsid w:val="00201B0F"/>
    <w:rsid w:val="0020255A"/>
    <w:rsid w:val="00202583"/>
    <w:rsid w:val="00202800"/>
    <w:rsid w:val="00202D33"/>
    <w:rsid w:val="00202E58"/>
    <w:rsid w:val="00202F99"/>
    <w:rsid w:val="002032D0"/>
    <w:rsid w:val="00203C85"/>
    <w:rsid w:val="0020449A"/>
    <w:rsid w:val="00204E9B"/>
    <w:rsid w:val="00205298"/>
    <w:rsid w:val="002055C0"/>
    <w:rsid w:val="0020569E"/>
    <w:rsid w:val="00206698"/>
    <w:rsid w:val="00206736"/>
    <w:rsid w:val="00206C88"/>
    <w:rsid w:val="002070D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E1"/>
    <w:rsid w:val="00217E1F"/>
    <w:rsid w:val="002204BC"/>
    <w:rsid w:val="00220F7B"/>
    <w:rsid w:val="002213CE"/>
    <w:rsid w:val="00221AF7"/>
    <w:rsid w:val="00222494"/>
    <w:rsid w:val="00222775"/>
    <w:rsid w:val="00222A31"/>
    <w:rsid w:val="00222BE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0FA"/>
    <w:rsid w:val="00242510"/>
    <w:rsid w:val="00242F79"/>
    <w:rsid w:val="00243666"/>
    <w:rsid w:val="0024415B"/>
    <w:rsid w:val="00245565"/>
    <w:rsid w:val="0024579D"/>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A68"/>
    <w:rsid w:val="00281BCB"/>
    <w:rsid w:val="00281C76"/>
    <w:rsid w:val="0028316D"/>
    <w:rsid w:val="00283296"/>
    <w:rsid w:val="0028341D"/>
    <w:rsid w:val="00284F39"/>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BB"/>
    <w:rsid w:val="00291CF1"/>
    <w:rsid w:val="00292437"/>
    <w:rsid w:val="00292AA1"/>
    <w:rsid w:val="00294012"/>
    <w:rsid w:val="002945B0"/>
    <w:rsid w:val="0029499D"/>
    <w:rsid w:val="00294A13"/>
    <w:rsid w:val="00294B10"/>
    <w:rsid w:val="00294DF9"/>
    <w:rsid w:val="00295073"/>
    <w:rsid w:val="00295468"/>
    <w:rsid w:val="00296C32"/>
    <w:rsid w:val="0029778E"/>
    <w:rsid w:val="002977CE"/>
    <w:rsid w:val="00297AF5"/>
    <w:rsid w:val="00297D8C"/>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A4"/>
    <w:rsid w:val="002B650C"/>
    <w:rsid w:val="002B68E6"/>
    <w:rsid w:val="002B6985"/>
    <w:rsid w:val="002B6D7A"/>
    <w:rsid w:val="002B7F74"/>
    <w:rsid w:val="002C02BA"/>
    <w:rsid w:val="002C0301"/>
    <w:rsid w:val="002C0326"/>
    <w:rsid w:val="002C0A9F"/>
    <w:rsid w:val="002C0FC2"/>
    <w:rsid w:val="002C1AB3"/>
    <w:rsid w:val="002C1BB7"/>
    <w:rsid w:val="002C1FB3"/>
    <w:rsid w:val="002C24A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4C"/>
    <w:rsid w:val="002C70C8"/>
    <w:rsid w:val="002C70E7"/>
    <w:rsid w:val="002D0C27"/>
    <w:rsid w:val="002D0E88"/>
    <w:rsid w:val="002D0EA7"/>
    <w:rsid w:val="002D0F31"/>
    <w:rsid w:val="002D1593"/>
    <w:rsid w:val="002D1A1E"/>
    <w:rsid w:val="002D22A6"/>
    <w:rsid w:val="002D2574"/>
    <w:rsid w:val="002D2819"/>
    <w:rsid w:val="002D2CD6"/>
    <w:rsid w:val="002D2F81"/>
    <w:rsid w:val="002D371F"/>
    <w:rsid w:val="002D38A3"/>
    <w:rsid w:val="002D3BA3"/>
    <w:rsid w:val="002D43EE"/>
    <w:rsid w:val="002D4892"/>
    <w:rsid w:val="002D4D06"/>
    <w:rsid w:val="002D4DDE"/>
    <w:rsid w:val="002D4EE7"/>
    <w:rsid w:val="002D4EED"/>
    <w:rsid w:val="002D52A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2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E95"/>
    <w:rsid w:val="002E672A"/>
    <w:rsid w:val="002E6853"/>
    <w:rsid w:val="002E7EC1"/>
    <w:rsid w:val="002E7EE5"/>
    <w:rsid w:val="002F0323"/>
    <w:rsid w:val="002F0DFB"/>
    <w:rsid w:val="002F1255"/>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902"/>
    <w:rsid w:val="00316CDE"/>
    <w:rsid w:val="0031752D"/>
    <w:rsid w:val="00317709"/>
    <w:rsid w:val="00320688"/>
    <w:rsid w:val="00320B75"/>
    <w:rsid w:val="0032114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02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24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548"/>
    <w:rsid w:val="00366779"/>
    <w:rsid w:val="003668E5"/>
    <w:rsid w:val="0036698C"/>
    <w:rsid w:val="003669C8"/>
    <w:rsid w:val="00366CEB"/>
    <w:rsid w:val="003672B3"/>
    <w:rsid w:val="003676DF"/>
    <w:rsid w:val="00367783"/>
    <w:rsid w:val="00367898"/>
    <w:rsid w:val="003679D3"/>
    <w:rsid w:val="00367A87"/>
    <w:rsid w:val="00367EE7"/>
    <w:rsid w:val="003703BB"/>
    <w:rsid w:val="003705EA"/>
    <w:rsid w:val="00370A56"/>
    <w:rsid w:val="00371213"/>
    <w:rsid w:val="0037174B"/>
    <w:rsid w:val="00372842"/>
    <w:rsid w:val="003729A5"/>
    <w:rsid w:val="00372C89"/>
    <w:rsid w:val="00372E9A"/>
    <w:rsid w:val="003735B9"/>
    <w:rsid w:val="00373634"/>
    <w:rsid w:val="00374677"/>
    <w:rsid w:val="0037510C"/>
    <w:rsid w:val="00375850"/>
    <w:rsid w:val="0037632F"/>
    <w:rsid w:val="00377B26"/>
    <w:rsid w:val="00377C84"/>
    <w:rsid w:val="00381014"/>
    <w:rsid w:val="00381604"/>
    <w:rsid w:val="00381C68"/>
    <w:rsid w:val="00381F60"/>
    <w:rsid w:val="00383204"/>
    <w:rsid w:val="00383AB0"/>
    <w:rsid w:val="003847BB"/>
    <w:rsid w:val="00384814"/>
    <w:rsid w:val="00384C0A"/>
    <w:rsid w:val="00384C9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36"/>
    <w:rsid w:val="003A7E40"/>
    <w:rsid w:val="003B0336"/>
    <w:rsid w:val="003B0A3A"/>
    <w:rsid w:val="003B0D79"/>
    <w:rsid w:val="003B2930"/>
    <w:rsid w:val="003B31A7"/>
    <w:rsid w:val="003B3224"/>
    <w:rsid w:val="003B363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9C"/>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5E"/>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2CC"/>
    <w:rsid w:val="004406BF"/>
    <w:rsid w:val="00440756"/>
    <w:rsid w:val="00440814"/>
    <w:rsid w:val="0044105D"/>
    <w:rsid w:val="00441424"/>
    <w:rsid w:val="0044233E"/>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2B"/>
    <w:rsid w:val="004543AB"/>
    <w:rsid w:val="004545EC"/>
    <w:rsid w:val="00455967"/>
    <w:rsid w:val="00455F71"/>
    <w:rsid w:val="00456272"/>
    <w:rsid w:val="00456EB3"/>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AE"/>
    <w:rsid w:val="00463EA4"/>
    <w:rsid w:val="0046503F"/>
    <w:rsid w:val="00465A21"/>
    <w:rsid w:val="00465DE5"/>
    <w:rsid w:val="004666E9"/>
    <w:rsid w:val="00466978"/>
    <w:rsid w:val="00466ABA"/>
    <w:rsid w:val="004672E3"/>
    <w:rsid w:val="0046775D"/>
    <w:rsid w:val="00467823"/>
    <w:rsid w:val="004705FA"/>
    <w:rsid w:val="004708AC"/>
    <w:rsid w:val="00471387"/>
    <w:rsid w:val="0047146C"/>
    <w:rsid w:val="0047149F"/>
    <w:rsid w:val="00471963"/>
    <w:rsid w:val="00471A6B"/>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9DE"/>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62"/>
    <w:rsid w:val="004B026C"/>
    <w:rsid w:val="004B0271"/>
    <w:rsid w:val="004B0BE8"/>
    <w:rsid w:val="004B0E4A"/>
    <w:rsid w:val="004B18F4"/>
    <w:rsid w:val="004B1A98"/>
    <w:rsid w:val="004B2032"/>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BFA"/>
    <w:rsid w:val="004C0D40"/>
    <w:rsid w:val="004C114F"/>
    <w:rsid w:val="004C11A9"/>
    <w:rsid w:val="004C27CF"/>
    <w:rsid w:val="004C2CA7"/>
    <w:rsid w:val="004C33B6"/>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1A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05B"/>
    <w:rsid w:val="004F2CB6"/>
    <w:rsid w:val="004F2E6E"/>
    <w:rsid w:val="004F3015"/>
    <w:rsid w:val="004F313F"/>
    <w:rsid w:val="004F367F"/>
    <w:rsid w:val="004F3B02"/>
    <w:rsid w:val="004F3EEF"/>
    <w:rsid w:val="004F43A7"/>
    <w:rsid w:val="004F447B"/>
    <w:rsid w:val="004F497C"/>
    <w:rsid w:val="004F4BB2"/>
    <w:rsid w:val="004F4FAC"/>
    <w:rsid w:val="004F4FE8"/>
    <w:rsid w:val="004F531B"/>
    <w:rsid w:val="004F560C"/>
    <w:rsid w:val="004F5DBB"/>
    <w:rsid w:val="004F60B4"/>
    <w:rsid w:val="004F61A3"/>
    <w:rsid w:val="004F6874"/>
    <w:rsid w:val="004F7922"/>
    <w:rsid w:val="004F7A1F"/>
    <w:rsid w:val="004F7B47"/>
    <w:rsid w:val="0050079C"/>
    <w:rsid w:val="005008E0"/>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082"/>
    <w:rsid w:val="00517AC8"/>
    <w:rsid w:val="00517AD0"/>
    <w:rsid w:val="00517C3E"/>
    <w:rsid w:val="005207D8"/>
    <w:rsid w:val="0052091D"/>
    <w:rsid w:val="005212F4"/>
    <w:rsid w:val="00521908"/>
    <w:rsid w:val="005224BC"/>
    <w:rsid w:val="00522928"/>
    <w:rsid w:val="00522FF1"/>
    <w:rsid w:val="00523946"/>
    <w:rsid w:val="0052397A"/>
    <w:rsid w:val="00523CDD"/>
    <w:rsid w:val="005256D6"/>
    <w:rsid w:val="00525AD8"/>
    <w:rsid w:val="00525FB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15"/>
    <w:rsid w:val="00534D55"/>
    <w:rsid w:val="00535B53"/>
    <w:rsid w:val="00536B03"/>
    <w:rsid w:val="00537456"/>
    <w:rsid w:val="0053790C"/>
    <w:rsid w:val="00537B3D"/>
    <w:rsid w:val="00537FD3"/>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FE"/>
    <w:rsid w:val="00547BA2"/>
    <w:rsid w:val="00547F6C"/>
    <w:rsid w:val="00550AC5"/>
    <w:rsid w:val="00550B7E"/>
    <w:rsid w:val="00551052"/>
    <w:rsid w:val="005524ED"/>
    <w:rsid w:val="00553CF1"/>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6A"/>
    <w:rsid w:val="00562FB1"/>
    <w:rsid w:val="00563068"/>
    <w:rsid w:val="0056376A"/>
    <w:rsid w:val="00563B3C"/>
    <w:rsid w:val="0056419C"/>
    <w:rsid w:val="00564DA7"/>
    <w:rsid w:val="00565204"/>
    <w:rsid w:val="00565473"/>
    <w:rsid w:val="0056562A"/>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98"/>
    <w:rsid w:val="00573560"/>
    <w:rsid w:val="00574E7B"/>
    <w:rsid w:val="00574F36"/>
    <w:rsid w:val="0057637C"/>
    <w:rsid w:val="00576B5C"/>
    <w:rsid w:val="005770CC"/>
    <w:rsid w:val="005802F9"/>
    <w:rsid w:val="005806D5"/>
    <w:rsid w:val="00580DFC"/>
    <w:rsid w:val="0058134C"/>
    <w:rsid w:val="005815CD"/>
    <w:rsid w:val="005827A7"/>
    <w:rsid w:val="005835E5"/>
    <w:rsid w:val="00583D43"/>
    <w:rsid w:val="005846C3"/>
    <w:rsid w:val="00584F04"/>
    <w:rsid w:val="0058544C"/>
    <w:rsid w:val="00585623"/>
    <w:rsid w:val="005857F7"/>
    <w:rsid w:val="005865E9"/>
    <w:rsid w:val="005867D9"/>
    <w:rsid w:val="005868FD"/>
    <w:rsid w:val="00586F24"/>
    <w:rsid w:val="00587D7B"/>
    <w:rsid w:val="005904DB"/>
    <w:rsid w:val="005905ED"/>
    <w:rsid w:val="00590AE7"/>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E9"/>
    <w:rsid w:val="005A4C20"/>
    <w:rsid w:val="005A4F48"/>
    <w:rsid w:val="005A54F1"/>
    <w:rsid w:val="005A57B8"/>
    <w:rsid w:val="005A5DDE"/>
    <w:rsid w:val="005A64A8"/>
    <w:rsid w:val="005A65C5"/>
    <w:rsid w:val="005A6875"/>
    <w:rsid w:val="005A7016"/>
    <w:rsid w:val="005A766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16"/>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7E"/>
    <w:rsid w:val="005E56C9"/>
    <w:rsid w:val="005E5CF7"/>
    <w:rsid w:val="005E5FF0"/>
    <w:rsid w:val="005E642A"/>
    <w:rsid w:val="005E65A7"/>
    <w:rsid w:val="005E6F1E"/>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22"/>
    <w:rsid w:val="00603B1C"/>
    <w:rsid w:val="00604055"/>
    <w:rsid w:val="006042CD"/>
    <w:rsid w:val="00605217"/>
    <w:rsid w:val="006054A5"/>
    <w:rsid w:val="006059E4"/>
    <w:rsid w:val="00605D60"/>
    <w:rsid w:val="006062A0"/>
    <w:rsid w:val="00607015"/>
    <w:rsid w:val="0061098D"/>
    <w:rsid w:val="00610B78"/>
    <w:rsid w:val="00611B59"/>
    <w:rsid w:val="00611FBA"/>
    <w:rsid w:val="00612098"/>
    <w:rsid w:val="0061272A"/>
    <w:rsid w:val="00612D3F"/>
    <w:rsid w:val="006130B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C7"/>
    <w:rsid w:val="006212D3"/>
    <w:rsid w:val="00621639"/>
    <w:rsid w:val="00622B22"/>
    <w:rsid w:val="00622F67"/>
    <w:rsid w:val="00623571"/>
    <w:rsid w:val="00623A5E"/>
    <w:rsid w:val="00625008"/>
    <w:rsid w:val="0062548B"/>
    <w:rsid w:val="00626710"/>
    <w:rsid w:val="006268D9"/>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2E"/>
    <w:rsid w:val="00633769"/>
    <w:rsid w:val="00633FE3"/>
    <w:rsid w:val="00634276"/>
    <w:rsid w:val="00634570"/>
    <w:rsid w:val="00634573"/>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80"/>
    <w:rsid w:val="00650D19"/>
    <w:rsid w:val="00652CF5"/>
    <w:rsid w:val="0065343E"/>
    <w:rsid w:val="006536BB"/>
    <w:rsid w:val="0065398F"/>
    <w:rsid w:val="00653C7C"/>
    <w:rsid w:val="00654252"/>
    <w:rsid w:val="006543B7"/>
    <w:rsid w:val="00654673"/>
    <w:rsid w:val="00654EA5"/>
    <w:rsid w:val="0065580A"/>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C"/>
    <w:rsid w:val="00695985"/>
    <w:rsid w:val="00695C78"/>
    <w:rsid w:val="00695E6C"/>
    <w:rsid w:val="00695EAC"/>
    <w:rsid w:val="006962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BD4"/>
    <w:rsid w:val="006A3E91"/>
    <w:rsid w:val="006A4321"/>
    <w:rsid w:val="006A43A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7F"/>
    <w:rsid w:val="006B7BF7"/>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697"/>
    <w:rsid w:val="006E27DC"/>
    <w:rsid w:val="006E2902"/>
    <w:rsid w:val="006E2F9D"/>
    <w:rsid w:val="006E37C6"/>
    <w:rsid w:val="006E3CF3"/>
    <w:rsid w:val="006E41ED"/>
    <w:rsid w:val="006E4667"/>
    <w:rsid w:val="006E46B7"/>
    <w:rsid w:val="006E475A"/>
    <w:rsid w:val="006E486D"/>
    <w:rsid w:val="006E4880"/>
    <w:rsid w:val="006E48BB"/>
    <w:rsid w:val="006E4FC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479"/>
    <w:rsid w:val="00700D18"/>
    <w:rsid w:val="0070168D"/>
    <w:rsid w:val="00701C36"/>
    <w:rsid w:val="00702F2D"/>
    <w:rsid w:val="0070353F"/>
    <w:rsid w:val="0070415E"/>
    <w:rsid w:val="00704631"/>
    <w:rsid w:val="00704688"/>
    <w:rsid w:val="00704B79"/>
    <w:rsid w:val="00704E7D"/>
    <w:rsid w:val="00705060"/>
    <w:rsid w:val="00705351"/>
    <w:rsid w:val="00705619"/>
    <w:rsid w:val="00705E93"/>
    <w:rsid w:val="007062AF"/>
    <w:rsid w:val="00706402"/>
    <w:rsid w:val="007069AE"/>
    <w:rsid w:val="007069D4"/>
    <w:rsid w:val="00706C89"/>
    <w:rsid w:val="00707967"/>
    <w:rsid w:val="00710257"/>
    <w:rsid w:val="00710587"/>
    <w:rsid w:val="007107D5"/>
    <w:rsid w:val="007116B3"/>
    <w:rsid w:val="007119DC"/>
    <w:rsid w:val="00711A2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C0"/>
    <w:rsid w:val="0072454E"/>
    <w:rsid w:val="007249D1"/>
    <w:rsid w:val="00724FE4"/>
    <w:rsid w:val="00725829"/>
    <w:rsid w:val="00725D6A"/>
    <w:rsid w:val="007263A2"/>
    <w:rsid w:val="007266B9"/>
    <w:rsid w:val="00727351"/>
    <w:rsid w:val="00727AC5"/>
    <w:rsid w:val="00727C65"/>
    <w:rsid w:val="007300F0"/>
    <w:rsid w:val="00730904"/>
    <w:rsid w:val="00730AAA"/>
    <w:rsid w:val="00731EDE"/>
    <w:rsid w:val="0073245C"/>
    <w:rsid w:val="00732493"/>
    <w:rsid w:val="00732B5E"/>
    <w:rsid w:val="00732FE9"/>
    <w:rsid w:val="00733414"/>
    <w:rsid w:val="00733772"/>
    <w:rsid w:val="00733A43"/>
    <w:rsid w:val="00733AE4"/>
    <w:rsid w:val="00733D5F"/>
    <w:rsid w:val="00734932"/>
    <w:rsid w:val="00735D53"/>
    <w:rsid w:val="0073618A"/>
    <w:rsid w:val="007364A3"/>
    <w:rsid w:val="00736740"/>
    <w:rsid w:val="007378FD"/>
    <w:rsid w:val="007403FE"/>
    <w:rsid w:val="00740F6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7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24"/>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82D"/>
    <w:rsid w:val="0077710B"/>
    <w:rsid w:val="0077765A"/>
    <w:rsid w:val="00780032"/>
    <w:rsid w:val="00780636"/>
    <w:rsid w:val="00780E86"/>
    <w:rsid w:val="0078108C"/>
    <w:rsid w:val="00781727"/>
    <w:rsid w:val="00781A1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692"/>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5F7C"/>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C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A1"/>
    <w:rsid w:val="007D682F"/>
    <w:rsid w:val="007D6FB9"/>
    <w:rsid w:val="007D7211"/>
    <w:rsid w:val="007D7407"/>
    <w:rsid w:val="007E0595"/>
    <w:rsid w:val="007E0A63"/>
    <w:rsid w:val="007E0C63"/>
    <w:rsid w:val="007E0E05"/>
    <w:rsid w:val="007E0F5D"/>
    <w:rsid w:val="007E23A1"/>
    <w:rsid w:val="007E259F"/>
    <w:rsid w:val="007E2E1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E5"/>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170"/>
    <w:rsid w:val="008052CE"/>
    <w:rsid w:val="008058D0"/>
    <w:rsid w:val="00806A4C"/>
    <w:rsid w:val="0080705B"/>
    <w:rsid w:val="0080723C"/>
    <w:rsid w:val="00807F71"/>
    <w:rsid w:val="0081000F"/>
    <w:rsid w:val="00812657"/>
    <w:rsid w:val="00812A1A"/>
    <w:rsid w:val="00812DFF"/>
    <w:rsid w:val="0081362F"/>
    <w:rsid w:val="0081383A"/>
    <w:rsid w:val="0081415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77A"/>
    <w:rsid w:val="00823819"/>
    <w:rsid w:val="00823C4B"/>
    <w:rsid w:val="0082427D"/>
    <w:rsid w:val="00825441"/>
    <w:rsid w:val="00826855"/>
    <w:rsid w:val="00830052"/>
    <w:rsid w:val="008300D0"/>
    <w:rsid w:val="008308D8"/>
    <w:rsid w:val="00831A2E"/>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DC1"/>
    <w:rsid w:val="008465B4"/>
    <w:rsid w:val="00846D25"/>
    <w:rsid w:val="00847C7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23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0A4"/>
    <w:rsid w:val="008A3182"/>
    <w:rsid w:val="008A3BD0"/>
    <w:rsid w:val="008A3C76"/>
    <w:rsid w:val="008A3D54"/>
    <w:rsid w:val="008A3E10"/>
    <w:rsid w:val="008A411C"/>
    <w:rsid w:val="008A4630"/>
    <w:rsid w:val="008A47CE"/>
    <w:rsid w:val="008A4DFA"/>
    <w:rsid w:val="008A516C"/>
    <w:rsid w:val="008A5F2F"/>
    <w:rsid w:val="008A6BAE"/>
    <w:rsid w:val="008A7350"/>
    <w:rsid w:val="008A7A72"/>
    <w:rsid w:val="008B09F3"/>
    <w:rsid w:val="008B111A"/>
    <w:rsid w:val="008B16E6"/>
    <w:rsid w:val="008B1AB2"/>
    <w:rsid w:val="008B1D9B"/>
    <w:rsid w:val="008B2042"/>
    <w:rsid w:val="008B25F1"/>
    <w:rsid w:val="008B28A6"/>
    <w:rsid w:val="008B3567"/>
    <w:rsid w:val="008B36D0"/>
    <w:rsid w:val="008B38AF"/>
    <w:rsid w:val="008B3D7F"/>
    <w:rsid w:val="008B3E1B"/>
    <w:rsid w:val="008B3F4B"/>
    <w:rsid w:val="008B48EC"/>
    <w:rsid w:val="008B4AF0"/>
    <w:rsid w:val="008B518E"/>
    <w:rsid w:val="008B527B"/>
    <w:rsid w:val="008B5361"/>
    <w:rsid w:val="008B5AB9"/>
    <w:rsid w:val="008B67E6"/>
    <w:rsid w:val="008B69B8"/>
    <w:rsid w:val="008B7042"/>
    <w:rsid w:val="008B770C"/>
    <w:rsid w:val="008C0325"/>
    <w:rsid w:val="008C083B"/>
    <w:rsid w:val="008C094A"/>
    <w:rsid w:val="008C1570"/>
    <w:rsid w:val="008C1792"/>
    <w:rsid w:val="008C17B2"/>
    <w:rsid w:val="008C1E3E"/>
    <w:rsid w:val="008C2059"/>
    <w:rsid w:val="008C21D0"/>
    <w:rsid w:val="008C2DBC"/>
    <w:rsid w:val="008C3A4E"/>
    <w:rsid w:val="008C41E8"/>
    <w:rsid w:val="008C5371"/>
    <w:rsid w:val="008C623D"/>
    <w:rsid w:val="008C6387"/>
    <w:rsid w:val="008C65F4"/>
    <w:rsid w:val="008C6683"/>
    <w:rsid w:val="008C6E0C"/>
    <w:rsid w:val="008C7273"/>
    <w:rsid w:val="008C785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87"/>
    <w:rsid w:val="008D5432"/>
    <w:rsid w:val="008D54C0"/>
    <w:rsid w:val="008D5558"/>
    <w:rsid w:val="008D5806"/>
    <w:rsid w:val="008D5ED9"/>
    <w:rsid w:val="008D7247"/>
    <w:rsid w:val="008D7567"/>
    <w:rsid w:val="008D7C09"/>
    <w:rsid w:val="008E0EE4"/>
    <w:rsid w:val="008E12BE"/>
    <w:rsid w:val="008E13FD"/>
    <w:rsid w:val="008E1C24"/>
    <w:rsid w:val="008E2626"/>
    <w:rsid w:val="008E27A9"/>
    <w:rsid w:val="008E323C"/>
    <w:rsid w:val="008E32E0"/>
    <w:rsid w:val="008E35A6"/>
    <w:rsid w:val="008E36D9"/>
    <w:rsid w:val="008E3A5C"/>
    <w:rsid w:val="008E3A9A"/>
    <w:rsid w:val="008E429E"/>
    <w:rsid w:val="008E4956"/>
    <w:rsid w:val="008E58A3"/>
    <w:rsid w:val="008E5938"/>
    <w:rsid w:val="008E6109"/>
    <w:rsid w:val="008E6A39"/>
    <w:rsid w:val="008E76BB"/>
    <w:rsid w:val="008F0869"/>
    <w:rsid w:val="008F1764"/>
    <w:rsid w:val="008F1E3D"/>
    <w:rsid w:val="008F235C"/>
    <w:rsid w:val="008F2573"/>
    <w:rsid w:val="008F290B"/>
    <w:rsid w:val="008F2F11"/>
    <w:rsid w:val="008F3369"/>
    <w:rsid w:val="008F33A6"/>
    <w:rsid w:val="008F35EC"/>
    <w:rsid w:val="008F4FE8"/>
    <w:rsid w:val="008F4FED"/>
    <w:rsid w:val="008F5D5A"/>
    <w:rsid w:val="008F6200"/>
    <w:rsid w:val="008F62F8"/>
    <w:rsid w:val="008F6893"/>
    <w:rsid w:val="008F7292"/>
    <w:rsid w:val="008F75AF"/>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28"/>
    <w:rsid w:val="00906EA2"/>
    <w:rsid w:val="00907278"/>
    <w:rsid w:val="00910041"/>
    <w:rsid w:val="00910209"/>
    <w:rsid w:val="0091112B"/>
    <w:rsid w:val="00911D61"/>
    <w:rsid w:val="00912850"/>
    <w:rsid w:val="009128B8"/>
    <w:rsid w:val="0091472C"/>
    <w:rsid w:val="00914DC9"/>
    <w:rsid w:val="00915351"/>
    <w:rsid w:val="00915679"/>
    <w:rsid w:val="00915904"/>
    <w:rsid w:val="009159C2"/>
    <w:rsid w:val="0091627F"/>
    <w:rsid w:val="00916E45"/>
    <w:rsid w:val="0092077A"/>
    <w:rsid w:val="00920DC0"/>
    <w:rsid w:val="00921436"/>
    <w:rsid w:val="009219F3"/>
    <w:rsid w:val="009221CB"/>
    <w:rsid w:val="00922320"/>
    <w:rsid w:val="00922AF4"/>
    <w:rsid w:val="00923357"/>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21"/>
    <w:rsid w:val="0093386D"/>
    <w:rsid w:val="00933922"/>
    <w:rsid w:val="00934C8E"/>
    <w:rsid w:val="00934CF0"/>
    <w:rsid w:val="00935194"/>
    <w:rsid w:val="00936EA5"/>
    <w:rsid w:val="00937114"/>
    <w:rsid w:val="009375F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DB"/>
    <w:rsid w:val="009550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B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A6D"/>
    <w:rsid w:val="00980B30"/>
    <w:rsid w:val="009810BE"/>
    <w:rsid w:val="009817BC"/>
    <w:rsid w:val="009819A7"/>
    <w:rsid w:val="0098220A"/>
    <w:rsid w:val="00982E75"/>
    <w:rsid w:val="00983337"/>
    <w:rsid w:val="009836AA"/>
    <w:rsid w:val="009846BF"/>
    <w:rsid w:val="009851F5"/>
    <w:rsid w:val="0098534B"/>
    <w:rsid w:val="009856D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7E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6F58"/>
    <w:rsid w:val="00997044"/>
    <w:rsid w:val="00997897"/>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79"/>
    <w:rsid w:val="009C0DDA"/>
    <w:rsid w:val="009C10DA"/>
    <w:rsid w:val="009C19FC"/>
    <w:rsid w:val="009C2108"/>
    <w:rsid w:val="009C27F7"/>
    <w:rsid w:val="009C3BC4"/>
    <w:rsid w:val="009C3C93"/>
    <w:rsid w:val="009C3E97"/>
    <w:rsid w:val="009C4017"/>
    <w:rsid w:val="009C424E"/>
    <w:rsid w:val="009C4708"/>
    <w:rsid w:val="009C4870"/>
    <w:rsid w:val="009C4C4E"/>
    <w:rsid w:val="009C4D37"/>
    <w:rsid w:val="009C532A"/>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0F8"/>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6B"/>
    <w:rsid w:val="009E19BB"/>
    <w:rsid w:val="009E1C47"/>
    <w:rsid w:val="009E38D1"/>
    <w:rsid w:val="009E3DF1"/>
    <w:rsid w:val="009E514A"/>
    <w:rsid w:val="009E5177"/>
    <w:rsid w:val="009E54E4"/>
    <w:rsid w:val="009E5701"/>
    <w:rsid w:val="009E5711"/>
    <w:rsid w:val="009E7334"/>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5CE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9D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6A"/>
    <w:rsid w:val="00A249D2"/>
    <w:rsid w:val="00A254AB"/>
    <w:rsid w:val="00A259F2"/>
    <w:rsid w:val="00A25E05"/>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15"/>
    <w:rsid w:val="00A37309"/>
    <w:rsid w:val="00A37329"/>
    <w:rsid w:val="00A37558"/>
    <w:rsid w:val="00A3786A"/>
    <w:rsid w:val="00A4008C"/>
    <w:rsid w:val="00A402A8"/>
    <w:rsid w:val="00A4037C"/>
    <w:rsid w:val="00A40685"/>
    <w:rsid w:val="00A40E2F"/>
    <w:rsid w:val="00A41819"/>
    <w:rsid w:val="00A41C9A"/>
    <w:rsid w:val="00A41D73"/>
    <w:rsid w:val="00A42406"/>
    <w:rsid w:val="00A433E8"/>
    <w:rsid w:val="00A43A1D"/>
    <w:rsid w:val="00A43AB0"/>
    <w:rsid w:val="00A44312"/>
    <w:rsid w:val="00A44854"/>
    <w:rsid w:val="00A44A45"/>
    <w:rsid w:val="00A4665D"/>
    <w:rsid w:val="00A46859"/>
    <w:rsid w:val="00A46D39"/>
    <w:rsid w:val="00A46E4C"/>
    <w:rsid w:val="00A47019"/>
    <w:rsid w:val="00A472B8"/>
    <w:rsid w:val="00A5004A"/>
    <w:rsid w:val="00A5017C"/>
    <w:rsid w:val="00A502D6"/>
    <w:rsid w:val="00A502F5"/>
    <w:rsid w:val="00A504F4"/>
    <w:rsid w:val="00A507C4"/>
    <w:rsid w:val="00A508AA"/>
    <w:rsid w:val="00A50EE7"/>
    <w:rsid w:val="00A526CE"/>
    <w:rsid w:val="00A5390F"/>
    <w:rsid w:val="00A543FD"/>
    <w:rsid w:val="00A54909"/>
    <w:rsid w:val="00A54DC0"/>
    <w:rsid w:val="00A550C9"/>
    <w:rsid w:val="00A55228"/>
    <w:rsid w:val="00A55410"/>
    <w:rsid w:val="00A55A04"/>
    <w:rsid w:val="00A564DE"/>
    <w:rsid w:val="00A57C56"/>
    <w:rsid w:val="00A6054E"/>
    <w:rsid w:val="00A60799"/>
    <w:rsid w:val="00A6170B"/>
    <w:rsid w:val="00A618CD"/>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AF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1E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1B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16F"/>
    <w:rsid w:val="00AD3DA6"/>
    <w:rsid w:val="00AD3F3C"/>
    <w:rsid w:val="00AD3F5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7D"/>
    <w:rsid w:val="00AE3CF0"/>
    <w:rsid w:val="00AE4546"/>
    <w:rsid w:val="00AE6575"/>
    <w:rsid w:val="00AE68FB"/>
    <w:rsid w:val="00AE71EE"/>
    <w:rsid w:val="00AE7AD2"/>
    <w:rsid w:val="00AF03CF"/>
    <w:rsid w:val="00AF0A0A"/>
    <w:rsid w:val="00AF14FC"/>
    <w:rsid w:val="00AF1615"/>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48"/>
    <w:rsid w:val="00B11A61"/>
    <w:rsid w:val="00B12082"/>
    <w:rsid w:val="00B12648"/>
    <w:rsid w:val="00B1270C"/>
    <w:rsid w:val="00B12710"/>
    <w:rsid w:val="00B13389"/>
    <w:rsid w:val="00B1364C"/>
    <w:rsid w:val="00B13EA3"/>
    <w:rsid w:val="00B13EDB"/>
    <w:rsid w:val="00B141A5"/>
    <w:rsid w:val="00B14EF3"/>
    <w:rsid w:val="00B14F47"/>
    <w:rsid w:val="00B15282"/>
    <w:rsid w:val="00B15286"/>
    <w:rsid w:val="00B1539F"/>
    <w:rsid w:val="00B1550D"/>
    <w:rsid w:val="00B15C2F"/>
    <w:rsid w:val="00B15F6C"/>
    <w:rsid w:val="00B163E8"/>
    <w:rsid w:val="00B17436"/>
    <w:rsid w:val="00B1767E"/>
    <w:rsid w:val="00B1776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24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265"/>
    <w:rsid w:val="00B41A04"/>
    <w:rsid w:val="00B41FDB"/>
    <w:rsid w:val="00B42743"/>
    <w:rsid w:val="00B42DDE"/>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40"/>
    <w:rsid w:val="00B51F56"/>
    <w:rsid w:val="00B52234"/>
    <w:rsid w:val="00B53623"/>
    <w:rsid w:val="00B53D1D"/>
    <w:rsid w:val="00B53E98"/>
    <w:rsid w:val="00B53F9B"/>
    <w:rsid w:val="00B54B19"/>
    <w:rsid w:val="00B55F64"/>
    <w:rsid w:val="00B56ECA"/>
    <w:rsid w:val="00B57093"/>
    <w:rsid w:val="00B57B5D"/>
    <w:rsid w:val="00B60613"/>
    <w:rsid w:val="00B61AEC"/>
    <w:rsid w:val="00B61F05"/>
    <w:rsid w:val="00B6244C"/>
    <w:rsid w:val="00B62A2F"/>
    <w:rsid w:val="00B62B7B"/>
    <w:rsid w:val="00B62F0A"/>
    <w:rsid w:val="00B63484"/>
    <w:rsid w:val="00B634B7"/>
    <w:rsid w:val="00B634F1"/>
    <w:rsid w:val="00B637EF"/>
    <w:rsid w:val="00B63EF6"/>
    <w:rsid w:val="00B6440A"/>
    <w:rsid w:val="00B65788"/>
    <w:rsid w:val="00B65844"/>
    <w:rsid w:val="00B66054"/>
    <w:rsid w:val="00B66385"/>
    <w:rsid w:val="00B6677F"/>
    <w:rsid w:val="00B66C7A"/>
    <w:rsid w:val="00B672EA"/>
    <w:rsid w:val="00B6747B"/>
    <w:rsid w:val="00B70200"/>
    <w:rsid w:val="00B702D7"/>
    <w:rsid w:val="00B70389"/>
    <w:rsid w:val="00B70E01"/>
    <w:rsid w:val="00B72CF0"/>
    <w:rsid w:val="00B7380E"/>
    <w:rsid w:val="00B740F6"/>
    <w:rsid w:val="00B74615"/>
    <w:rsid w:val="00B74789"/>
    <w:rsid w:val="00B752E7"/>
    <w:rsid w:val="00B755B6"/>
    <w:rsid w:val="00B75977"/>
    <w:rsid w:val="00B75A48"/>
    <w:rsid w:val="00B75CC0"/>
    <w:rsid w:val="00B75D0F"/>
    <w:rsid w:val="00B76021"/>
    <w:rsid w:val="00B76FCD"/>
    <w:rsid w:val="00B7764D"/>
    <w:rsid w:val="00B804F8"/>
    <w:rsid w:val="00B8095A"/>
    <w:rsid w:val="00B81060"/>
    <w:rsid w:val="00B81274"/>
    <w:rsid w:val="00B815D3"/>
    <w:rsid w:val="00B81742"/>
    <w:rsid w:val="00B817B5"/>
    <w:rsid w:val="00B823A6"/>
    <w:rsid w:val="00B83E76"/>
    <w:rsid w:val="00B83FA0"/>
    <w:rsid w:val="00B84156"/>
    <w:rsid w:val="00B846E6"/>
    <w:rsid w:val="00B8537B"/>
    <w:rsid w:val="00B85586"/>
    <w:rsid w:val="00B8594B"/>
    <w:rsid w:val="00B860F7"/>
    <w:rsid w:val="00B86289"/>
    <w:rsid w:val="00B863B3"/>
    <w:rsid w:val="00B869D3"/>
    <w:rsid w:val="00B86CF8"/>
    <w:rsid w:val="00B86E44"/>
    <w:rsid w:val="00B87359"/>
    <w:rsid w:val="00B87F1C"/>
    <w:rsid w:val="00B90D8D"/>
    <w:rsid w:val="00B91263"/>
    <w:rsid w:val="00B91B61"/>
    <w:rsid w:val="00B91EF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41"/>
    <w:rsid w:val="00BA583B"/>
    <w:rsid w:val="00BA5DF2"/>
    <w:rsid w:val="00BA5EC7"/>
    <w:rsid w:val="00BA6319"/>
    <w:rsid w:val="00BA63CE"/>
    <w:rsid w:val="00BA676E"/>
    <w:rsid w:val="00BA6980"/>
    <w:rsid w:val="00BA6EF2"/>
    <w:rsid w:val="00BA7227"/>
    <w:rsid w:val="00BA763C"/>
    <w:rsid w:val="00BA784D"/>
    <w:rsid w:val="00BA7CD7"/>
    <w:rsid w:val="00BA7EC8"/>
    <w:rsid w:val="00BA7F4F"/>
    <w:rsid w:val="00BB00E5"/>
    <w:rsid w:val="00BB1688"/>
    <w:rsid w:val="00BB1EFB"/>
    <w:rsid w:val="00BB269F"/>
    <w:rsid w:val="00BB27CC"/>
    <w:rsid w:val="00BB2ACE"/>
    <w:rsid w:val="00BB2E4E"/>
    <w:rsid w:val="00BB2E62"/>
    <w:rsid w:val="00BB36C9"/>
    <w:rsid w:val="00BB3A66"/>
    <w:rsid w:val="00BB3AFA"/>
    <w:rsid w:val="00BB3F1E"/>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D9"/>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5BD"/>
    <w:rsid w:val="00C00BF6"/>
    <w:rsid w:val="00C0234A"/>
    <w:rsid w:val="00C0247B"/>
    <w:rsid w:val="00C0378E"/>
    <w:rsid w:val="00C04314"/>
    <w:rsid w:val="00C04B32"/>
    <w:rsid w:val="00C04BD0"/>
    <w:rsid w:val="00C05730"/>
    <w:rsid w:val="00C05AF4"/>
    <w:rsid w:val="00C05AFD"/>
    <w:rsid w:val="00C0661C"/>
    <w:rsid w:val="00C0675F"/>
    <w:rsid w:val="00C0702A"/>
    <w:rsid w:val="00C0724C"/>
    <w:rsid w:val="00C072BE"/>
    <w:rsid w:val="00C07C11"/>
    <w:rsid w:val="00C07E10"/>
    <w:rsid w:val="00C10015"/>
    <w:rsid w:val="00C1106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1E"/>
    <w:rsid w:val="00C415AC"/>
    <w:rsid w:val="00C42728"/>
    <w:rsid w:val="00C4297A"/>
    <w:rsid w:val="00C4360C"/>
    <w:rsid w:val="00C439B8"/>
    <w:rsid w:val="00C43A0B"/>
    <w:rsid w:val="00C43EDA"/>
    <w:rsid w:val="00C43FEC"/>
    <w:rsid w:val="00C4414C"/>
    <w:rsid w:val="00C45512"/>
    <w:rsid w:val="00C4602B"/>
    <w:rsid w:val="00C46564"/>
    <w:rsid w:val="00C46BFA"/>
    <w:rsid w:val="00C46DDF"/>
    <w:rsid w:val="00C47C90"/>
    <w:rsid w:val="00C47E9D"/>
    <w:rsid w:val="00C500A1"/>
    <w:rsid w:val="00C50A02"/>
    <w:rsid w:val="00C51149"/>
    <w:rsid w:val="00C5117E"/>
    <w:rsid w:val="00C512D1"/>
    <w:rsid w:val="00C51856"/>
    <w:rsid w:val="00C51B04"/>
    <w:rsid w:val="00C51DB5"/>
    <w:rsid w:val="00C53CE9"/>
    <w:rsid w:val="00C54092"/>
    <w:rsid w:val="00C5531B"/>
    <w:rsid w:val="00C55375"/>
    <w:rsid w:val="00C5570F"/>
    <w:rsid w:val="00C5613B"/>
    <w:rsid w:val="00C56C98"/>
    <w:rsid w:val="00C56DE1"/>
    <w:rsid w:val="00C56DEE"/>
    <w:rsid w:val="00C57120"/>
    <w:rsid w:val="00C571D5"/>
    <w:rsid w:val="00C575D4"/>
    <w:rsid w:val="00C61223"/>
    <w:rsid w:val="00C61246"/>
    <w:rsid w:val="00C618A8"/>
    <w:rsid w:val="00C61A78"/>
    <w:rsid w:val="00C629F3"/>
    <w:rsid w:val="00C62B88"/>
    <w:rsid w:val="00C62B91"/>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97"/>
    <w:rsid w:val="00C75A8F"/>
    <w:rsid w:val="00C76129"/>
    <w:rsid w:val="00C76C0C"/>
    <w:rsid w:val="00C76FFC"/>
    <w:rsid w:val="00C77218"/>
    <w:rsid w:val="00C774E0"/>
    <w:rsid w:val="00C776BA"/>
    <w:rsid w:val="00C7791E"/>
    <w:rsid w:val="00C81716"/>
    <w:rsid w:val="00C81D16"/>
    <w:rsid w:val="00C832CB"/>
    <w:rsid w:val="00C836AB"/>
    <w:rsid w:val="00C84085"/>
    <w:rsid w:val="00C852DC"/>
    <w:rsid w:val="00C854A8"/>
    <w:rsid w:val="00C85677"/>
    <w:rsid w:val="00C85E17"/>
    <w:rsid w:val="00C868A7"/>
    <w:rsid w:val="00C86ABA"/>
    <w:rsid w:val="00C86BF7"/>
    <w:rsid w:val="00C87164"/>
    <w:rsid w:val="00C874A3"/>
    <w:rsid w:val="00C8786A"/>
    <w:rsid w:val="00C87BBA"/>
    <w:rsid w:val="00C87BD0"/>
    <w:rsid w:val="00C905E5"/>
    <w:rsid w:val="00C90754"/>
    <w:rsid w:val="00C90B95"/>
    <w:rsid w:val="00C90BC4"/>
    <w:rsid w:val="00C90CA9"/>
    <w:rsid w:val="00C91802"/>
    <w:rsid w:val="00C92E41"/>
    <w:rsid w:val="00C92F62"/>
    <w:rsid w:val="00C93097"/>
    <w:rsid w:val="00C9395C"/>
    <w:rsid w:val="00C93B40"/>
    <w:rsid w:val="00C93DB5"/>
    <w:rsid w:val="00C94CB9"/>
    <w:rsid w:val="00C95853"/>
    <w:rsid w:val="00C95C2F"/>
    <w:rsid w:val="00C95F87"/>
    <w:rsid w:val="00C96035"/>
    <w:rsid w:val="00C968EF"/>
    <w:rsid w:val="00C972CE"/>
    <w:rsid w:val="00CA0492"/>
    <w:rsid w:val="00CA05B0"/>
    <w:rsid w:val="00CA0632"/>
    <w:rsid w:val="00CA0A04"/>
    <w:rsid w:val="00CA198B"/>
    <w:rsid w:val="00CA2528"/>
    <w:rsid w:val="00CA3CAB"/>
    <w:rsid w:val="00CA3FC0"/>
    <w:rsid w:val="00CA4BF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D4"/>
    <w:rsid w:val="00CD44FF"/>
    <w:rsid w:val="00CD46A7"/>
    <w:rsid w:val="00CD47BC"/>
    <w:rsid w:val="00CD4BF5"/>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DF"/>
    <w:rsid w:val="00CF157E"/>
    <w:rsid w:val="00CF1631"/>
    <w:rsid w:val="00CF1834"/>
    <w:rsid w:val="00CF1AAA"/>
    <w:rsid w:val="00CF1EC2"/>
    <w:rsid w:val="00CF2ACF"/>
    <w:rsid w:val="00CF345B"/>
    <w:rsid w:val="00CF475F"/>
    <w:rsid w:val="00CF5008"/>
    <w:rsid w:val="00CF5069"/>
    <w:rsid w:val="00CF5E34"/>
    <w:rsid w:val="00CF6707"/>
    <w:rsid w:val="00CF698D"/>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734"/>
    <w:rsid w:val="00D068AA"/>
    <w:rsid w:val="00D06E71"/>
    <w:rsid w:val="00D06E9C"/>
    <w:rsid w:val="00D0714B"/>
    <w:rsid w:val="00D0764E"/>
    <w:rsid w:val="00D07D82"/>
    <w:rsid w:val="00D07FC9"/>
    <w:rsid w:val="00D10327"/>
    <w:rsid w:val="00D103C9"/>
    <w:rsid w:val="00D10BE1"/>
    <w:rsid w:val="00D11FE3"/>
    <w:rsid w:val="00D12393"/>
    <w:rsid w:val="00D123D8"/>
    <w:rsid w:val="00D12945"/>
    <w:rsid w:val="00D12CC0"/>
    <w:rsid w:val="00D12DA1"/>
    <w:rsid w:val="00D130C0"/>
    <w:rsid w:val="00D1343A"/>
    <w:rsid w:val="00D13D50"/>
    <w:rsid w:val="00D13D65"/>
    <w:rsid w:val="00D14101"/>
    <w:rsid w:val="00D144D8"/>
    <w:rsid w:val="00D14919"/>
    <w:rsid w:val="00D14E25"/>
    <w:rsid w:val="00D15470"/>
    <w:rsid w:val="00D15AE3"/>
    <w:rsid w:val="00D160C4"/>
    <w:rsid w:val="00D165D8"/>
    <w:rsid w:val="00D16F5E"/>
    <w:rsid w:val="00D1724E"/>
    <w:rsid w:val="00D174A6"/>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2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E2"/>
    <w:rsid w:val="00D45C61"/>
    <w:rsid w:val="00D45DDC"/>
    <w:rsid w:val="00D5064C"/>
    <w:rsid w:val="00D50C94"/>
    <w:rsid w:val="00D511E7"/>
    <w:rsid w:val="00D517ED"/>
    <w:rsid w:val="00D5251C"/>
    <w:rsid w:val="00D52F56"/>
    <w:rsid w:val="00D539DA"/>
    <w:rsid w:val="00D53BA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A3"/>
    <w:rsid w:val="00D629A4"/>
    <w:rsid w:val="00D62BDF"/>
    <w:rsid w:val="00D62EEE"/>
    <w:rsid w:val="00D647F6"/>
    <w:rsid w:val="00D64F1C"/>
    <w:rsid w:val="00D6570C"/>
    <w:rsid w:val="00D659EA"/>
    <w:rsid w:val="00D65A89"/>
    <w:rsid w:val="00D65E85"/>
    <w:rsid w:val="00D6611C"/>
    <w:rsid w:val="00D66FB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1A2"/>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82"/>
    <w:rsid w:val="00D86283"/>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C2A"/>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118"/>
    <w:rsid w:val="00DC4567"/>
    <w:rsid w:val="00DC4AA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337"/>
    <w:rsid w:val="00DE38D1"/>
    <w:rsid w:val="00DE38E6"/>
    <w:rsid w:val="00DE3D3E"/>
    <w:rsid w:val="00DE4106"/>
    <w:rsid w:val="00DE466B"/>
    <w:rsid w:val="00DE48F4"/>
    <w:rsid w:val="00DE5563"/>
    <w:rsid w:val="00DE5C19"/>
    <w:rsid w:val="00DE5D48"/>
    <w:rsid w:val="00DE6E4D"/>
    <w:rsid w:val="00DE7498"/>
    <w:rsid w:val="00DE75EF"/>
    <w:rsid w:val="00DE7611"/>
    <w:rsid w:val="00DE7D19"/>
    <w:rsid w:val="00DE7F57"/>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F"/>
    <w:rsid w:val="00E0356F"/>
    <w:rsid w:val="00E03B42"/>
    <w:rsid w:val="00E03C10"/>
    <w:rsid w:val="00E0479F"/>
    <w:rsid w:val="00E04816"/>
    <w:rsid w:val="00E04982"/>
    <w:rsid w:val="00E04D6A"/>
    <w:rsid w:val="00E058DB"/>
    <w:rsid w:val="00E05950"/>
    <w:rsid w:val="00E05BA5"/>
    <w:rsid w:val="00E05CD4"/>
    <w:rsid w:val="00E05DE8"/>
    <w:rsid w:val="00E06100"/>
    <w:rsid w:val="00E0614E"/>
    <w:rsid w:val="00E06BC7"/>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992"/>
    <w:rsid w:val="00E1720B"/>
    <w:rsid w:val="00E203DE"/>
    <w:rsid w:val="00E20CE7"/>
    <w:rsid w:val="00E217B1"/>
    <w:rsid w:val="00E222FA"/>
    <w:rsid w:val="00E229CE"/>
    <w:rsid w:val="00E22B4A"/>
    <w:rsid w:val="00E22EC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10"/>
    <w:rsid w:val="00E37A6F"/>
    <w:rsid w:val="00E37A9C"/>
    <w:rsid w:val="00E40222"/>
    <w:rsid w:val="00E40406"/>
    <w:rsid w:val="00E4082B"/>
    <w:rsid w:val="00E40835"/>
    <w:rsid w:val="00E408EC"/>
    <w:rsid w:val="00E409B5"/>
    <w:rsid w:val="00E40BCB"/>
    <w:rsid w:val="00E4118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4E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5"/>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A71"/>
    <w:rsid w:val="00EA2E21"/>
    <w:rsid w:val="00EA2EAA"/>
    <w:rsid w:val="00EA380C"/>
    <w:rsid w:val="00EA486F"/>
    <w:rsid w:val="00EA613D"/>
    <w:rsid w:val="00EA6744"/>
    <w:rsid w:val="00EA7308"/>
    <w:rsid w:val="00EA7474"/>
    <w:rsid w:val="00EB00A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013"/>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BC"/>
    <w:rsid w:val="00EE56E2"/>
    <w:rsid w:val="00EE5FCD"/>
    <w:rsid w:val="00EE63BF"/>
    <w:rsid w:val="00EE6D45"/>
    <w:rsid w:val="00EE6E89"/>
    <w:rsid w:val="00EF0321"/>
    <w:rsid w:val="00EF0765"/>
    <w:rsid w:val="00EF0D4B"/>
    <w:rsid w:val="00EF0FE6"/>
    <w:rsid w:val="00EF1130"/>
    <w:rsid w:val="00EF1432"/>
    <w:rsid w:val="00EF1511"/>
    <w:rsid w:val="00EF1F01"/>
    <w:rsid w:val="00EF2C39"/>
    <w:rsid w:val="00EF2C5F"/>
    <w:rsid w:val="00EF3480"/>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02C"/>
    <w:rsid w:val="00F06340"/>
    <w:rsid w:val="00F0665D"/>
    <w:rsid w:val="00F06D42"/>
    <w:rsid w:val="00F07134"/>
    <w:rsid w:val="00F0724D"/>
    <w:rsid w:val="00F07378"/>
    <w:rsid w:val="00F07600"/>
    <w:rsid w:val="00F10B81"/>
    <w:rsid w:val="00F10BC9"/>
    <w:rsid w:val="00F113C9"/>
    <w:rsid w:val="00F116E7"/>
    <w:rsid w:val="00F11C01"/>
    <w:rsid w:val="00F11D80"/>
    <w:rsid w:val="00F14B08"/>
    <w:rsid w:val="00F14B4B"/>
    <w:rsid w:val="00F14CD1"/>
    <w:rsid w:val="00F14D5B"/>
    <w:rsid w:val="00F15115"/>
    <w:rsid w:val="00F15A85"/>
    <w:rsid w:val="00F15C81"/>
    <w:rsid w:val="00F15D8C"/>
    <w:rsid w:val="00F15F18"/>
    <w:rsid w:val="00F16B86"/>
    <w:rsid w:val="00F16E1A"/>
    <w:rsid w:val="00F16E3E"/>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B1"/>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A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F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4"/>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DF0"/>
    <w:rsid w:val="00F62F92"/>
    <w:rsid w:val="00F630B4"/>
    <w:rsid w:val="00F635EF"/>
    <w:rsid w:val="00F63B36"/>
    <w:rsid w:val="00F63BF4"/>
    <w:rsid w:val="00F63C55"/>
    <w:rsid w:val="00F63C60"/>
    <w:rsid w:val="00F64991"/>
    <w:rsid w:val="00F64CE8"/>
    <w:rsid w:val="00F65BA9"/>
    <w:rsid w:val="00F65BC8"/>
    <w:rsid w:val="00F65EEA"/>
    <w:rsid w:val="00F66205"/>
    <w:rsid w:val="00F6630F"/>
    <w:rsid w:val="00F66419"/>
    <w:rsid w:val="00F67079"/>
    <w:rsid w:val="00F67B58"/>
    <w:rsid w:val="00F67E81"/>
    <w:rsid w:val="00F7044B"/>
    <w:rsid w:val="00F70FCF"/>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F7"/>
    <w:rsid w:val="00F87282"/>
    <w:rsid w:val="00F878CD"/>
    <w:rsid w:val="00F87905"/>
    <w:rsid w:val="00F87A66"/>
    <w:rsid w:val="00F90C1F"/>
    <w:rsid w:val="00F912D9"/>
    <w:rsid w:val="00F91A44"/>
    <w:rsid w:val="00F91BFA"/>
    <w:rsid w:val="00F91F8F"/>
    <w:rsid w:val="00F9217B"/>
    <w:rsid w:val="00F92F0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9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0A7"/>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7BC"/>
    <w:rsid w:val="00FF0B4F"/>
    <w:rsid w:val="00FF0F58"/>
    <w:rsid w:val="00FF183C"/>
    <w:rsid w:val="00FF1A06"/>
    <w:rsid w:val="00FF1AD3"/>
    <w:rsid w:val="00FF1B46"/>
    <w:rsid w:val="00FF1D0C"/>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F3226"/>
    <w:rsid w:val="026B2E25"/>
    <w:rsid w:val="026E0D49"/>
    <w:rsid w:val="02824D4D"/>
    <w:rsid w:val="02DC4B10"/>
    <w:rsid w:val="02DD76CE"/>
    <w:rsid w:val="02F36323"/>
    <w:rsid w:val="02F5619C"/>
    <w:rsid w:val="03195159"/>
    <w:rsid w:val="0326446A"/>
    <w:rsid w:val="032D5555"/>
    <w:rsid w:val="036634D2"/>
    <w:rsid w:val="03DD35E4"/>
    <w:rsid w:val="04076900"/>
    <w:rsid w:val="041A5A3B"/>
    <w:rsid w:val="042311BA"/>
    <w:rsid w:val="042B157A"/>
    <w:rsid w:val="04867267"/>
    <w:rsid w:val="048F763B"/>
    <w:rsid w:val="049F330E"/>
    <w:rsid w:val="04AA775C"/>
    <w:rsid w:val="04AF1889"/>
    <w:rsid w:val="04F66F48"/>
    <w:rsid w:val="05251E14"/>
    <w:rsid w:val="056921F6"/>
    <w:rsid w:val="05A16594"/>
    <w:rsid w:val="05A7762D"/>
    <w:rsid w:val="05AF6894"/>
    <w:rsid w:val="060E5941"/>
    <w:rsid w:val="06110FAF"/>
    <w:rsid w:val="06471276"/>
    <w:rsid w:val="06493CA7"/>
    <w:rsid w:val="065A6178"/>
    <w:rsid w:val="066F1CF3"/>
    <w:rsid w:val="06930BB8"/>
    <w:rsid w:val="07245D42"/>
    <w:rsid w:val="07264C62"/>
    <w:rsid w:val="0748600C"/>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A0005"/>
    <w:rsid w:val="0A3E7710"/>
    <w:rsid w:val="0A5B7E63"/>
    <w:rsid w:val="0AA374A5"/>
    <w:rsid w:val="0AAB7649"/>
    <w:rsid w:val="0ABC5606"/>
    <w:rsid w:val="0ACC485F"/>
    <w:rsid w:val="0B30404E"/>
    <w:rsid w:val="0B4C6C14"/>
    <w:rsid w:val="0B5D68E0"/>
    <w:rsid w:val="0B631A88"/>
    <w:rsid w:val="0B683D45"/>
    <w:rsid w:val="0B7F3F11"/>
    <w:rsid w:val="0B884417"/>
    <w:rsid w:val="0BF6188C"/>
    <w:rsid w:val="0BF73C91"/>
    <w:rsid w:val="0C170175"/>
    <w:rsid w:val="0C571A41"/>
    <w:rsid w:val="0C5C1171"/>
    <w:rsid w:val="0C5E1CBC"/>
    <w:rsid w:val="0C615B50"/>
    <w:rsid w:val="0C741652"/>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14CE5"/>
    <w:rsid w:val="0E9D0089"/>
    <w:rsid w:val="0EB803EE"/>
    <w:rsid w:val="0EF94D4B"/>
    <w:rsid w:val="0F23625A"/>
    <w:rsid w:val="0F4958DC"/>
    <w:rsid w:val="0F515DF7"/>
    <w:rsid w:val="0F596BA8"/>
    <w:rsid w:val="0F6248D2"/>
    <w:rsid w:val="0F693536"/>
    <w:rsid w:val="0F7B0511"/>
    <w:rsid w:val="0F7B76D9"/>
    <w:rsid w:val="0F816ACD"/>
    <w:rsid w:val="0F9832DB"/>
    <w:rsid w:val="0FBF3FD2"/>
    <w:rsid w:val="0FBF7FF3"/>
    <w:rsid w:val="0FC928F4"/>
    <w:rsid w:val="10646583"/>
    <w:rsid w:val="107D4B15"/>
    <w:rsid w:val="108A3C80"/>
    <w:rsid w:val="10A04353"/>
    <w:rsid w:val="10C26171"/>
    <w:rsid w:val="10F33360"/>
    <w:rsid w:val="10FC16EA"/>
    <w:rsid w:val="110F1D40"/>
    <w:rsid w:val="11266F33"/>
    <w:rsid w:val="115F7848"/>
    <w:rsid w:val="118963A1"/>
    <w:rsid w:val="11C6522A"/>
    <w:rsid w:val="11E104CC"/>
    <w:rsid w:val="11E20309"/>
    <w:rsid w:val="12255233"/>
    <w:rsid w:val="12530213"/>
    <w:rsid w:val="127723A9"/>
    <w:rsid w:val="12862074"/>
    <w:rsid w:val="12883966"/>
    <w:rsid w:val="129E45B4"/>
    <w:rsid w:val="12D81596"/>
    <w:rsid w:val="13072A44"/>
    <w:rsid w:val="13140640"/>
    <w:rsid w:val="1324792E"/>
    <w:rsid w:val="135F4BE2"/>
    <w:rsid w:val="139B1A0A"/>
    <w:rsid w:val="139D25C7"/>
    <w:rsid w:val="13AC1AD0"/>
    <w:rsid w:val="13BF3CE4"/>
    <w:rsid w:val="141008D8"/>
    <w:rsid w:val="14125FE6"/>
    <w:rsid w:val="146D271E"/>
    <w:rsid w:val="14982588"/>
    <w:rsid w:val="149A5AD9"/>
    <w:rsid w:val="14A7619D"/>
    <w:rsid w:val="150536C3"/>
    <w:rsid w:val="150C1963"/>
    <w:rsid w:val="151447A0"/>
    <w:rsid w:val="154A6454"/>
    <w:rsid w:val="15762120"/>
    <w:rsid w:val="15B036FB"/>
    <w:rsid w:val="160B34CC"/>
    <w:rsid w:val="16A8729C"/>
    <w:rsid w:val="16B33777"/>
    <w:rsid w:val="16BC70A7"/>
    <w:rsid w:val="16C6339E"/>
    <w:rsid w:val="16CE195E"/>
    <w:rsid w:val="172F2D79"/>
    <w:rsid w:val="17557BEF"/>
    <w:rsid w:val="17B65B7E"/>
    <w:rsid w:val="17D349C1"/>
    <w:rsid w:val="18090EA0"/>
    <w:rsid w:val="1830729E"/>
    <w:rsid w:val="1870062C"/>
    <w:rsid w:val="18817102"/>
    <w:rsid w:val="18830A15"/>
    <w:rsid w:val="18852B28"/>
    <w:rsid w:val="188B5321"/>
    <w:rsid w:val="19616ABA"/>
    <w:rsid w:val="19932372"/>
    <w:rsid w:val="19A20DD5"/>
    <w:rsid w:val="19A90B8D"/>
    <w:rsid w:val="19AE03F1"/>
    <w:rsid w:val="19E156A4"/>
    <w:rsid w:val="1A071A03"/>
    <w:rsid w:val="1A1F16AE"/>
    <w:rsid w:val="1A3B5C77"/>
    <w:rsid w:val="1A484B37"/>
    <w:rsid w:val="1A984BAD"/>
    <w:rsid w:val="1AB8220E"/>
    <w:rsid w:val="1AE4166C"/>
    <w:rsid w:val="1AF06CFB"/>
    <w:rsid w:val="1AF11B8D"/>
    <w:rsid w:val="1B11359C"/>
    <w:rsid w:val="1B2A271F"/>
    <w:rsid w:val="1B530544"/>
    <w:rsid w:val="1B5543FC"/>
    <w:rsid w:val="1B713184"/>
    <w:rsid w:val="1BA209CF"/>
    <w:rsid w:val="1BB4777D"/>
    <w:rsid w:val="1BD15DFD"/>
    <w:rsid w:val="1BD75AB8"/>
    <w:rsid w:val="1C0459C2"/>
    <w:rsid w:val="1C1B3B4A"/>
    <w:rsid w:val="1C88086E"/>
    <w:rsid w:val="1D096B5C"/>
    <w:rsid w:val="1D1A46B4"/>
    <w:rsid w:val="1D266CE1"/>
    <w:rsid w:val="1D3963AF"/>
    <w:rsid w:val="1D6A673C"/>
    <w:rsid w:val="1D9247AE"/>
    <w:rsid w:val="1DB567EC"/>
    <w:rsid w:val="1DD21DCF"/>
    <w:rsid w:val="1DF51A98"/>
    <w:rsid w:val="1E3D060F"/>
    <w:rsid w:val="1E3F7D2E"/>
    <w:rsid w:val="1E4134E4"/>
    <w:rsid w:val="1E5062B3"/>
    <w:rsid w:val="1E523514"/>
    <w:rsid w:val="1E714A66"/>
    <w:rsid w:val="1E721BCB"/>
    <w:rsid w:val="1E802593"/>
    <w:rsid w:val="1EA703CC"/>
    <w:rsid w:val="1EAA4A5F"/>
    <w:rsid w:val="1EB7330C"/>
    <w:rsid w:val="1F0A0FF3"/>
    <w:rsid w:val="1F5771FF"/>
    <w:rsid w:val="1FE868A9"/>
    <w:rsid w:val="20034907"/>
    <w:rsid w:val="20173E4B"/>
    <w:rsid w:val="204D39C9"/>
    <w:rsid w:val="204E48BC"/>
    <w:rsid w:val="20712E55"/>
    <w:rsid w:val="208921B3"/>
    <w:rsid w:val="208E3839"/>
    <w:rsid w:val="20973DEB"/>
    <w:rsid w:val="209F792E"/>
    <w:rsid w:val="20B26522"/>
    <w:rsid w:val="20B44310"/>
    <w:rsid w:val="211116EB"/>
    <w:rsid w:val="216133FC"/>
    <w:rsid w:val="217750CC"/>
    <w:rsid w:val="21792724"/>
    <w:rsid w:val="21D56769"/>
    <w:rsid w:val="21E52EF3"/>
    <w:rsid w:val="21FB5D7B"/>
    <w:rsid w:val="220B1C3D"/>
    <w:rsid w:val="22160D9A"/>
    <w:rsid w:val="221D1D20"/>
    <w:rsid w:val="22334A87"/>
    <w:rsid w:val="22AB24AA"/>
    <w:rsid w:val="22B81E40"/>
    <w:rsid w:val="22BB548D"/>
    <w:rsid w:val="22BE6801"/>
    <w:rsid w:val="233500BF"/>
    <w:rsid w:val="23377FF7"/>
    <w:rsid w:val="236B425F"/>
    <w:rsid w:val="23836192"/>
    <w:rsid w:val="23901F29"/>
    <w:rsid w:val="239C0061"/>
    <w:rsid w:val="23B908A4"/>
    <w:rsid w:val="23CC4251"/>
    <w:rsid w:val="23E95BEF"/>
    <w:rsid w:val="23FD0064"/>
    <w:rsid w:val="245375B0"/>
    <w:rsid w:val="24642C0A"/>
    <w:rsid w:val="24B22173"/>
    <w:rsid w:val="24B95AD9"/>
    <w:rsid w:val="24BE24DA"/>
    <w:rsid w:val="24CF5825"/>
    <w:rsid w:val="24D663E6"/>
    <w:rsid w:val="24D77F2B"/>
    <w:rsid w:val="25144D9D"/>
    <w:rsid w:val="258B00E2"/>
    <w:rsid w:val="25A26D23"/>
    <w:rsid w:val="25A917A6"/>
    <w:rsid w:val="25BE27CC"/>
    <w:rsid w:val="25F74A5C"/>
    <w:rsid w:val="261F21D6"/>
    <w:rsid w:val="2628662C"/>
    <w:rsid w:val="262D45DE"/>
    <w:rsid w:val="267E621F"/>
    <w:rsid w:val="26A53EF9"/>
    <w:rsid w:val="26A94201"/>
    <w:rsid w:val="26AC274F"/>
    <w:rsid w:val="26B4760A"/>
    <w:rsid w:val="27044A29"/>
    <w:rsid w:val="271D34C8"/>
    <w:rsid w:val="27221F7E"/>
    <w:rsid w:val="27463A0F"/>
    <w:rsid w:val="276142BF"/>
    <w:rsid w:val="27783712"/>
    <w:rsid w:val="27892C40"/>
    <w:rsid w:val="278C03A0"/>
    <w:rsid w:val="27907362"/>
    <w:rsid w:val="28333E1D"/>
    <w:rsid w:val="28454BD6"/>
    <w:rsid w:val="28455253"/>
    <w:rsid w:val="28551971"/>
    <w:rsid w:val="285A252B"/>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C5560"/>
    <w:rsid w:val="2B437463"/>
    <w:rsid w:val="2B7807EE"/>
    <w:rsid w:val="2BBF00EC"/>
    <w:rsid w:val="2BC11358"/>
    <w:rsid w:val="2BC37CFD"/>
    <w:rsid w:val="2BD5237F"/>
    <w:rsid w:val="2BE536CE"/>
    <w:rsid w:val="2BE758D9"/>
    <w:rsid w:val="2BEE68D3"/>
    <w:rsid w:val="2BFE60D3"/>
    <w:rsid w:val="2C09049E"/>
    <w:rsid w:val="2C0A653C"/>
    <w:rsid w:val="2C191F85"/>
    <w:rsid w:val="2CB111BD"/>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666B9"/>
    <w:rsid w:val="308C3862"/>
    <w:rsid w:val="309379D8"/>
    <w:rsid w:val="30A270F7"/>
    <w:rsid w:val="30DF1478"/>
    <w:rsid w:val="30EC586F"/>
    <w:rsid w:val="31000854"/>
    <w:rsid w:val="319C6071"/>
    <w:rsid w:val="31AC537E"/>
    <w:rsid w:val="31E3679B"/>
    <w:rsid w:val="31E732FD"/>
    <w:rsid w:val="32517576"/>
    <w:rsid w:val="32BE5C2C"/>
    <w:rsid w:val="32FB6478"/>
    <w:rsid w:val="33263B3F"/>
    <w:rsid w:val="336963EB"/>
    <w:rsid w:val="33816EEB"/>
    <w:rsid w:val="33C65172"/>
    <w:rsid w:val="33EB55CD"/>
    <w:rsid w:val="33EC4C02"/>
    <w:rsid w:val="340D2360"/>
    <w:rsid w:val="3410665D"/>
    <w:rsid w:val="34211214"/>
    <w:rsid w:val="342E63AB"/>
    <w:rsid w:val="348D47B1"/>
    <w:rsid w:val="34950E68"/>
    <w:rsid w:val="34986E94"/>
    <w:rsid w:val="34AF62C9"/>
    <w:rsid w:val="34CB4388"/>
    <w:rsid w:val="34FA6E12"/>
    <w:rsid w:val="353F6E64"/>
    <w:rsid w:val="354E0772"/>
    <w:rsid w:val="358D5588"/>
    <w:rsid w:val="363A3B40"/>
    <w:rsid w:val="365302AE"/>
    <w:rsid w:val="36607A0A"/>
    <w:rsid w:val="366E227C"/>
    <w:rsid w:val="366F2E0D"/>
    <w:rsid w:val="367B6A5C"/>
    <w:rsid w:val="36A74ADA"/>
    <w:rsid w:val="36AD60D5"/>
    <w:rsid w:val="36B224F9"/>
    <w:rsid w:val="36EC0CC9"/>
    <w:rsid w:val="373F410B"/>
    <w:rsid w:val="37A338BC"/>
    <w:rsid w:val="37EE7094"/>
    <w:rsid w:val="38296C89"/>
    <w:rsid w:val="383002EB"/>
    <w:rsid w:val="385170E5"/>
    <w:rsid w:val="38586797"/>
    <w:rsid w:val="38BC0149"/>
    <w:rsid w:val="38D87D1C"/>
    <w:rsid w:val="39097E28"/>
    <w:rsid w:val="392732A2"/>
    <w:rsid w:val="39636459"/>
    <w:rsid w:val="396B7F6C"/>
    <w:rsid w:val="3997107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228DD"/>
    <w:rsid w:val="3E7B5D6B"/>
    <w:rsid w:val="3E843E66"/>
    <w:rsid w:val="3E8F51FE"/>
    <w:rsid w:val="3E926F87"/>
    <w:rsid w:val="3E9A59DE"/>
    <w:rsid w:val="3EAF4836"/>
    <w:rsid w:val="3EC33DFA"/>
    <w:rsid w:val="3F060E16"/>
    <w:rsid w:val="3F1D1096"/>
    <w:rsid w:val="3F2F0234"/>
    <w:rsid w:val="3F446940"/>
    <w:rsid w:val="3F6363FE"/>
    <w:rsid w:val="3F756B8F"/>
    <w:rsid w:val="3F95482B"/>
    <w:rsid w:val="3FD52F99"/>
    <w:rsid w:val="40074C8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7A4D50"/>
    <w:rsid w:val="449101DD"/>
    <w:rsid w:val="44D66D07"/>
    <w:rsid w:val="44DE1391"/>
    <w:rsid w:val="451B225C"/>
    <w:rsid w:val="452410C9"/>
    <w:rsid w:val="45317DFB"/>
    <w:rsid w:val="456D3CE4"/>
    <w:rsid w:val="4579042C"/>
    <w:rsid w:val="457F0571"/>
    <w:rsid w:val="45851176"/>
    <w:rsid w:val="45C63B94"/>
    <w:rsid w:val="45E13340"/>
    <w:rsid w:val="460E7DA5"/>
    <w:rsid w:val="46422483"/>
    <w:rsid w:val="4659254A"/>
    <w:rsid w:val="465B0637"/>
    <w:rsid w:val="465E3F0D"/>
    <w:rsid w:val="466A16E6"/>
    <w:rsid w:val="46893F2B"/>
    <w:rsid w:val="46C4686E"/>
    <w:rsid w:val="47060B1D"/>
    <w:rsid w:val="477B778F"/>
    <w:rsid w:val="478203EC"/>
    <w:rsid w:val="47B025FA"/>
    <w:rsid w:val="4809698F"/>
    <w:rsid w:val="4811697D"/>
    <w:rsid w:val="483737FA"/>
    <w:rsid w:val="487A3E25"/>
    <w:rsid w:val="488B5503"/>
    <w:rsid w:val="48937E21"/>
    <w:rsid w:val="489A0361"/>
    <w:rsid w:val="48B94FF3"/>
    <w:rsid w:val="48E37AAB"/>
    <w:rsid w:val="48FD4B4C"/>
    <w:rsid w:val="490A68E0"/>
    <w:rsid w:val="491055FE"/>
    <w:rsid w:val="49270722"/>
    <w:rsid w:val="4943240D"/>
    <w:rsid w:val="495F5B3E"/>
    <w:rsid w:val="496F77D7"/>
    <w:rsid w:val="497654FD"/>
    <w:rsid w:val="498411A5"/>
    <w:rsid w:val="49B64211"/>
    <w:rsid w:val="49D00F6E"/>
    <w:rsid w:val="49F6167F"/>
    <w:rsid w:val="4A064FA0"/>
    <w:rsid w:val="4A16615C"/>
    <w:rsid w:val="4A4424D7"/>
    <w:rsid w:val="4AB82D0F"/>
    <w:rsid w:val="4AEB7664"/>
    <w:rsid w:val="4AFD7C19"/>
    <w:rsid w:val="4B0567D1"/>
    <w:rsid w:val="4B236AAE"/>
    <w:rsid w:val="4B707271"/>
    <w:rsid w:val="4B7A1ED5"/>
    <w:rsid w:val="4B7F5462"/>
    <w:rsid w:val="4B9739F7"/>
    <w:rsid w:val="4BEE2503"/>
    <w:rsid w:val="4C245A30"/>
    <w:rsid w:val="4CB6685F"/>
    <w:rsid w:val="4CC367FE"/>
    <w:rsid w:val="4D077F3C"/>
    <w:rsid w:val="4D123355"/>
    <w:rsid w:val="4D2A3B31"/>
    <w:rsid w:val="4D312C52"/>
    <w:rsid w:val="4D905305"/>
    <w:rsid w:val="4D964A72"/>
    <w:rsid w:val="4D9C1254"/>
    <w:rsid w:val="4E1F4272"/>
    <w:rsid w:val="4E793892"/>
    <w:rsid w:val="4E800872"/>
    <w:rsid w:val="4EC569ED"/>
    <w:rsid w:val="4ECC713B"/>
    <w:rsid w:val="4ED50EA1"/>
    <w:rsid w:val="4EEC050C"/>
    <w:rsid w:val="4F104EC3"/>
    <w:rsid w:val="4F47354A"/>
    <w:rsid w:val="4F911C54"/>
    <w:rsid w:val="4FE625E0"/>
    <w:rsid w:val="5021480F"/>
    <w:rsid w:val="505B1B62"/>
    <w:rsid w:val="506B521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62DA0"/>
    <w:rsid w:val="54300A9C"/>
    <w:rsid w:val="54413194"/>
    <w:rsid w:val="54487265"/>
    <w:rsid w:val="544D6070"/>
    <w:rsid w:val="54605E1E"/>
    <w:rsid w:val="54B3506A"/>
    <w:rsid w:val="54CA0D16"/>
    <w:rsid w:val="54DD4057"/>
    <w:rsid w:val="54E7490F"/>
    <w:rsid w:val="550764A4"/>
    <w:rsid w:val="550B2BF6"/>
    <w:rsid w:val="55214EB5"/>
    <w:rsid w:val="55364EFD"/>
    <w:rsid w:val="553A523E"/>
    <w:rsid w:val="555D4828"/>
    <w:rsid w:val="557A4C8B"/>
    <w:rsid w:val="558931E1"/>
    <w:rsid w:val="55923347"/>
    <w:rsid w:val="55925180"/>
    <w:rsid w:val="55983B1B"/>
    <w:rsid w:val="55A8376B"/>
    <w:rsid w:val="55DC29B6"/>
    <w:rsid w:val="55DD4241"/>
    <w:rsid w:val="566B6D1E"/>
    <w:rsid w:val="56DA196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77B6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443A62"/>
    <w:rsid w:val="5C80234E"/>
    <w:rsid w:val="5C8A680C"/>
    <w:rsid w:val="5D0C4701"/>
    <w:rsid w:val="5D0F0395"/>
    <w:rsid w:val="5D221076"/>
    <w:rsid w:val="5D397964"/>
    <w:rsid w:val="5D5906F6"/>
    <w:rsid w:val="5D5A391C"/>
    <w:rsid w:val="5D5F10C0"/>
    <w:rsid w:val="5D891B7B"/>
    <w:rsid w:val="5DAD38EE"/>
    <w:rsid w:val="5E006862"/>
    <w:rsid w:val="5E0207B9"/>
    <w:rsid w:val="5E1834A1"/>
    <w:rsid w:val="5E261785"/>
    <w:rsid w:val="5E4A7017"/>
    <w:rsid w:val="5E552BBA"/>
    <w:rsid w:val="5E611C10"/>
    <w:rsid w:val="5EFC7377"/>
    <w:rsid w:val="5F06174D"/>
    <w:rsid w:val="5F2F0051"/>
    <w:rsid w:val="5F3A3602"/>
    <w:rsid w:val="5F5F0972"/>
    <w:rsid w:val="5F6277C6"/>
    <w:rsid w:val="5F6D0B1D"/>
    <w:rsid w:val="5F8D0B82"/>
    <w:rsid w:val="5F8F0CAC"/>
    <w:rsid w:val="5FCC5339"/>
    <w:rsid w:val="5FE34A5B"/>
    <w:rsid w:val="5FFE1E36"/>
    <w:rsid w:val="60232584"/>
    <w:rsid w:val="607330CE"/>
    <w:rsid w:val="60825176"/>
    <w:rsid w:val="609F2AC4"/>
    <w:rsid w:val="60E77266"/>
    <w:rsid w:val="60FA2EE8"/>
    <w:rsid w:val="61054A27"/>
    <w:rsid w:val="610A52BC"/>
    <w:rsid w:val="611D2366"/>
    <w:rsid w:val="61421856"/>
    <w:rsid w:val="615227C4"/>
    <w:rsid w:val="61654E3F"/>
    <w:rsid w:val="6182292A"/>
    <w:rsid w:val="619F7F92"/>
    <w:rsid w:val="61F94C26"/>
    <w:rsid w:val="61FD02D3"/>
    <w:rsid w:val="62000E56"/>
    <w:rsid w:val="624F3E49"/>
    <w:rsid w:val="62632286"/>
    <w:rsid w:val="62885958"/>
    <w:rsid w:val="62F40B65"/>
    <w:rsid w:val="62FC2CFE"/>
    <w:rsid w:val="63024505"/>
    <w:rsid w:val="635B1DB5"/>
    <w:rsid w:val="63711FED"/>
    <w:rsid w:val="63880DDC"/>
    <w:rsid w:val="638D750D"/>
    <w:rsid w:val="63AC6CC0"/>
    <w:rsid w:val="63D27965"/>
    <w:rsid w:val="64055776"/>
    <w:rsid w:val="64240056"/>
    <w:rsid w:val="643E143A"/>
    <w:rsid w:val="648B6EEF"/>
    <w:rsid w:val="64C158BF"/>
    <w:rsid w:val="64CE2EAA"/>
    <w:rsid w:val="653C3090"/>
    <w:rsid w:val="65854376"/>
    <w:rsid w:val="658767BE"/>
    <w:rsid w:val="65892531"/>
    <w:rsid w:val="66195831"/>
    <w:rsid w:val="662C25B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30977"/>
    <w:rsid w:val="6A7F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55457"/>
    <w:rsid w:val="6D4772EC"/>
    <w:rsid w:val="6D9078AF"/>
    <w:rsid w:val="6DAA3FEF"/>
    <w:rsid w:val="6DC0172B"/>
    <w:rsid w:val="6DCB690C"/>
    <w:rsid w:val="6DD41A5B"/>
    <w:rsid w:val="6DF43C2E"/>
    <w:rsid w:val="6DF51CA3"/>
    <w:rsid w:val="6E8335BD"/>
    <w:rsid w:val="6E8E12EF"/>
    <w:rsid w:val="6E972936"/>
    <w:rsid w:val="6EC849EA"/>
    <w:rsid w:val="6ED446C5"/>
    <w:rsid w:val="6F2A7D94"/>
    <w:rsid w:val="6F3C108A"/>
    <w:rsid w:val="6F8331F1"/>
    <w:rsid w:val="6FAE1A09"/>
    <w:rsid w:val="6FD75BF8"/>
    <w:rsid w:val="70707C09"/>
    <w:rsid w:val="707723D0"/>
    <w:rsid w:val="70F5661B"/>
    <w:rsid w:val="71360107"/>
    <w:rsid w:val="713B688E"/>
    <w:rsid w:val="71BC13FE"/>
    <w:rsid w:val="71D43752"/>
    <w:rsid w:val="71F1796A"/>
    <w:rsid w:val="72154626"/>
    <w:rsid w:val="72262B5D"/>
    <w:rsid w:val="72283FF7"/>
    <w:rsid w:val="722E7212"/>
    <w:rsid w:val="723A0474"/>
    <w:rsid w:val="725923E4"/>
    <w:rsid w:val="72864BF7"/>
    <w:rsid w:val="729023FC"/>
    <w:rsid w:val="733814C9"/>
    <w:rsid w:val="73C0646E"/>
    <w:rsid w:val="742222F5"/>
    <w:rsid w:val="74476126"/>
    <w:rsid w:val="74706664"/>
    <w:rsid w:val="747F3682"/>
    <w:rsid w:val="749C4185"/>
    <w:rsid w:val="75067759"/>
    <w:rsid w:val="752E6DCD"/>
    <w:rsid w:val="7551380D"/>
    <w:rsid w:val="75600BE5"/>
    <w:rsid w:val="7564475C"/>
    <w:rsid w:val="7583797F"/>
    <w:rsid w:val="75A2599C"/>
    <w:rsid w:val="75D20F1D"/>
    <w:rsid w:val="75DA2C18"/>
    <w:rsid w:val="75F54412"/>
    <w:rsid w:val="761D08E0"/>
    <w:rsid w:val="765D347C"/>
    <w:rsid w:val="76642118"/>
    <w:rsid w:val="76826699"/>
    <w:rsid w:val="76C87133"/>
    <w:rsid w:val="76CD08D5"/>
    <w:rsid w:val="76DB4B92"/>
    <w:rsid w:val="77052AA4"/>
    <w:rsid w:val="77136511"/>
    <w:rsid w:val="77340A39"/>
    <w:rsid w:val="77351FD0"/>
    <w:rsid w:val="77472422"/>
    <w:rsid w:val="777F31F2"/>
    <w:rsid w:val="77A141FA"/>
    <w:rsid w:val="77D1700D"/>
    <w:rsid w:val="77EC04CC"/>
    <w:rsid w:val="780954C8"/>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D73709"/>
    <w:rsid w:val="7B257FFD"/>
    <w:rsid w:val="7B343476"/>
    <w:rsid w:val="7B5A2978"/>
    <w:rsid w:val="7B5A7E4C"/>
    <w:rsid w:val="7B667AF9"/>
    <w:rsid w:val="7B7468F8"/>
    <w:rsid w:val="7B7B314D"/>
    <w:rsid w:val="7BEE0103"/>
    <w:rsid w:val="7C0A0FE4"/>
    <w:rsid w:val="7C254906"/>
    <w:rsid w:val="7C2C7246"/>
    <w:rsid w:val="7C590818"/>
    <w:rsid w:val="7C7C10F6"/>
    <w:rsid w:val="7C853BEA"/>
    <w:rsid w:val="7C881368"/>
    <w:rsid w:val="7CBE4AD3"/>
    <w:rsid w:val="7CE27788"/>
    <w:rsid w:val="7D0C32F1"/>
    <w:rsid w:val="7D0F408D"/>
    <w:rsid w:val="7D491C6C"/>
    <w:rsid w:val="7D5429C0"/>
    <w:rsid w:val="7D6E6D43"/>
    <w:rsid w:val="7DB57A34"/>
    <w:rsid w:val="7DD87586"/>
    <w:rsid w:val="7DE60973"/>
    <w:rsid w:val="7DEF0916"/>
    <w:rsid w:val="7DF06F0E"/>
    <w:rsid w:val="7E1E5218"/>
    <w:rsid w:val="7E9A4E1F"/>
    <w:rsid w:val="7EA7723A"/>
    <w:rsid w:val="7EF56FBB"/>
    <w:rsid w:val="7F0768EB"/>
    <w:rsid w:val="7F143BEC"/>
    <w:rsid w:val="7F715AF2"/>
    <w:rsid w:val="7F886E69"/>
    <w:rsid w:val="7FD309D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qFormat/>
    <w:uiPriority w:val="0"/>
    <w:rPr>
      <w:rFonts w:hint="eastAsia" w:ascii="仿宋_GB2312" w:eastAsia="仿宋_GB2312"/>
      <w:b/>
      <w:sz w:val="32"/>
      <w:szCs w:val="32"/>
    </w:rPr>
  </w:style>
  <w:style w:type="paragraph" w:customStyle="1" w:styleId="962">
    <w:name w:val="UserStyle_191"/>
    <w:basedOn w:val="1"/>
    <w:qFormat/>
    <w:uiPriority w:val="0"/>
    <w:pPr>
      <w:widowControl/>
      <w:adjustRightInd/>
      <w:spacing w:line="300" w:lineRule="auto"/>
      <w:ind w:firstLine="480" w:firstLineChars="200"/>
    </w:pPr>
    <w:rPr>
      <w:rFonts w:ascii="宋体" w:hAnsi="宋体"/>
      <w:kern w:val="0"/>
      <w:sz w:val="24"/>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D1A90-ADB0-4962-B9EA-BCC35417E08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38085</Words>
  <Characters>40531</Characters>
  <Lines>59</Lines>
  <Paragraphs>90</Paragraphs>
  <TotalTime>25</TotalTime>
  <ScaleCrop>false</ScaleCrop>
  <LinksUpToDate>false</LinksUpToDate>
  <CharactersWithSpaces>43149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2022-05-24T07:17:00Z</cp:lastPrinted>
  <dcterms:modified xsi:type="dcterms:W3CDTF">2022-08-26T01:54:58Z</dcterms:modified>
  <dc:title>杭州市市民卡扩大发卡工程</dc:title>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5247FF2F89994CCDA64387BE70E59245</vt:lpwstr>
  </property>
</Properties>
</file>