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000000" w:themeColor="text1"/>
          <w:sz w:val="24"/>
          <w14:textFill>
            <w14:solidFill>
              <w14:schemeClr w14:val="tx1"/>
            </w14:solidFill>
          </w14:textFill>
        </w:rPr>
      </w:pPr>
    </w:p>
    <w:p>
      <w:pPr>
        <w:spacing w:line="360" w:lineRule="auto"/>
        <w:jc w:val="center"/>
        <w:rPr>
          <w:rFonts w:ascii="仿宋" w:hAnsi="仿宋" w:eastAsia="仿宋" w:cs="仿宋"/>
          <w:b/>
          <w:color w:val="000000" w:themeColor="text1"/>
          <w:sz w:val="24"/>
          <w14:textFill>
            <w14:solidFill>
              <w14:schemeClr w14:val="tx1"/>
            </w14:solidFill>
          </w14:textFill>
        </w:rPr>
      </w:pPr>
    </w:p>
    <w:p>
      <w:pPr>
        <w:adjustRightInd/>
        <w:spacing w:line="360" w:lineRule="auto"/>
        <w:jc w:val="center"/>
        <w:rPr>
          <w:rFonts w:ascii="仿宋" w:hAnsi="仿宋" w:eastAsia="仿宋" w:cs="仿宋"/>
          <w:color w:val="000000" w:themeColor="text1"/>
          <w:sz w:val="48"/>
          <w:szCs w:val="48"/>
          <w14:textFill>
            <w14:solidFill>
              <w14:schemeClr w14:val="tx1"/>
            </w14:solidFill>
          </w14:textFill>
        </w:rPr>
      </w:pPr>
      <w:r>
        <w:rPr>
          <w:rFonts w:hint="eastAsia" w:ascii="仿宋" w:hAnsi="仿宋" w:eastAsia="仿宋" w:cs="仿宋"/>
          <w:color w:val="000000" w:themeColor="text1"/>
          <w:sz w:val="48"/>
          <w:szCs w:val="48"/>
          <w14:textFill>
            <w14:solidFill>
              <w14:schemeClr w14:val="tx1"/>
            </w14:solidFill>
          </w14:textFill>
        </w:rPr>
        <w:t>建德市园地林地草地定级和基准地价制定技术服务采购项目</w:t>
      </w:r>
    </w:p>
    <w:p>
      <w:pPr>
        <w:adjustRightInd/>
        <w:spacing w:line="360" w:lineRule="auto"/>
        <w:jc w:val="center"/>
        <w:rPr>
          <w:rFonts w:ascii="仿宋" w:hAnsi="仿宋" w:eastAsia="仿宋" w:cs="仿宋"/>
          <w:color w:val="000000" w:themeColor="text1"/>
          <w:sz w:val="48"/>
          <w:szCs w:val="48"/>
          <w14:textFill>
            <w14:solidFill>
              <w14:schemeClr w14:val="tx1"/>
            </w14:solidFill>
          </w14:textFill>
        </w:rPr>
      </w:pPr>
      <w:r>
        <w:rPr>
          <w:rFonts w:hint="eastAsia" w:ascii="仿宋" w:hAnsi="仿宋" w:eastAsia="仿宋" w:cs="仿宋"/>
          <w:color w:val="000000" w:themeColor="text1"/>
          <w:sz w:val="48"/>
          <w:szCs w:val="48"/>
          <w14:textFill>
            <w14:solidFill>
              <w14:schemeClr w14:val="tx1"/>
            </w14:solidFill>
          </w14:textFill>
        </w:rPr>
        <w:t>招标文件</w:t>
      </w:r>
    </w:p>
    <w:p>
      <w:pPr>
        <w:adjustRightInd/>
        <w:spacing w:line="360" w:lineRule="auto"/>
        <w:jc w:val="center"/>
        <w:rPr>
          <w:rFonts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 xml:space="preserve"> （电子招投标）</w:t>
      </w:r>
    </w:p>
    <w:p>
      <w:pPr>
        <w:snapToGrid w:val="0"/>
        <w:spacing w:line="360" w:lineRule="auto"/>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编号:JD2023BF-110</w:t>
      </w:r>
    </w:p>
    <w:p>
      <w:pPr>
        <w:adjustRightInd/>
        <w:spacing w:line="360" w:lineRule="auto"/>
        <w:rPr>
          <w:rFonts w:ascii="仿宋" w:hAnsi="仿宋" w:eastAsia="仿宋" w:cs="仿宋"/>
          <w:color w:val="000000" w:themeColor="text1"/>
          <w:sz w:val="28"/>
          <w:szCs w:val="20"/>
          <w14:textFill>
            <w14:solidFill>
              <w14:schemeClr w14:val="tx1"/>
            </w14:solidFill>
          </w14:textFill>
        </w:rPr>
      </w:pPr>
    </w:p>
    <w:p>
      <w:pPr>
        <w:spacing w:line="360" w:lineRule="auto"/>
        <w:jc w:val="center"/>
        <w:rPr>
          <w:rFonts w:ascii="仿宋" w:hAnsi="仿宋" w:eastAsia="仿宋" w:cs="仿宋"/>
          <w:b/>
          <w:color w:val="000000" w:themeColor="text1"/>
          <w:sz w:val="44"/>
          <w:szCs w:val="44"/>
          <w14:textFill>
            <w14:solidFill>
              <w14:schemeClr w14:val="tx1"/>
            </w14:solidFill>
          </w14:textFill>
        </w:rPr>
      </w:pPr>
    </w:p>
    <w:p>
      <w:pPr>
        <w:spacing w:line="360" w:lineRule="auto"/>
        <w:jc w:val="center"/>
        <w:rPr>
          <w:rFonts w:ascii="仿宋" w:hAnsi="仿宋" w:eastAsia="仿宋" w:cs="仿宋"/>
          <w:b/>
          <w:color w:val="000000" w:themeColor="text1"/>
          <w:sz w:val="44"/>
          <w:szCs w:val="44"/>
          <w14:textFill>
            <w14:solidFill>
              <w14:schemeClr w14:val="tx1"/>
            </w14:solidFill>
          </w14:textFill>
        </w:rPr>
      </w:pPr>
    </w:p>
    <w:p>
      <w:pPr>
        <w:spacing w:line="360" w:lineRule="auto"/>
        <w:jc w:val="center"/>
        <w:rPr>
          <w:rFonts w:ascii="仿宋" w:hAnsi="仿宋" w:eastAsia="仿宋" w:cs="仿宋"/>
          <w:color w:val="000000" w:themeColor="text1"/>
          <w:sz w:val="24"/>
          <w14:textFill>
            <w14:solidFill>
              <w14:schemeClr w14:val="tx1"/>
            </w14:solidFill>
          </w14:textFill>
        </w:rPr>
      </w:pPr>
    </w:p>
    <w:p>
      <w:pPr>
        <w:spacing w:line="360" w:lineRule="auto"/>
        <w:jc w:val="center"/>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32"/>
          <w:szCs w:val="32"/>
          <w14:textFill>
            <w14:solidFill>
              <w14:schemeClr w14:val="tx1"/>
            </w14:solidFill>
          </w14:textFill>
        </w:rPr>
      </w:pPr>
    </w:p>
    <w:p>
      <w:pPr>
        <w:pStyle w:val="2"/>
      </w:pPr>
    </w:p>
    <w:p>
      <w:pPr>
        <w:pStyle w:val="3"/>
      </w:pPr>
    </w:p>
    <w:p>
      <w:pPr>
        <w:pStyle w:val="2"/>
      </w:pPr>
    </w:p>
    <w:p>
      <w:pPr>
        <w:pStyle w:val="3"/>
      </w:pPr>
    </w:p>
    <w:p>
      <w:pPr>
        <w:pStyle w:val="2"/>
      </w:pPr>
    </w:p>
    <w:p>
      <w:pPr>
        <w:pStyle w:val="3"/>
      </w:pPr>
    </w:p>
    <w:p>
      <w:pPr>
        <w:pStyle w:val="2"/>
      </w:pPr>
    </w:p>
    <w:p>
      <w:pPr>
        <w:spacing w:line="360" w:lineRule="auto"/>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采购人：建德市规划和自然资源局</w:t>
      </w:r>
    </w:p>
    <w:p>
      <w:pPr>
        <w:spacing w:line="360" w:lineRule="auto"/>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采购代理机构：浙江辰光项目管理有限公司</w:t>
      </w:r>
    </w:p>
    <w:p>
      <w:pPr>
        <w:snapToGrid w:val="0"/>
        <w:spacing w:line="360" w:lineRule="auto"/>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二〇二三年七月</w:t>
      </w:r>
      <w:r>
        <w:rPr>
          <w:rFonts w:hint="eastAsia" w:ascii="仿宋" w:hAnsi="仿宋" w:eastAsia="仿宋" w:cs="仿宋"/>
          <w:bCs/>
          <w:color w:val="000000" w:themeColor="text1"/>
          <w:sz w:val="32"/>
          <w:szCs w:val="32"/>
          <w:lang w:val="en-US" w:eastAsia="zh-CN"/>
          <w14:textFill>
            <w14:solidFill>
              <w14:schemeClr w14:val="tx1"/>
            </w14:solidFill>
          </w14:textFill>
        </w:rPr>
        <w:t>十八</w:t>
      </w:r>
      <w:r>
        <w:rPr>
          <w:rFonts w:hint="eastAsia" w:ascii="仿宋" w:hAnsi="仿宋" w:eastAsia="仿宋" w:cs="仿宋"/>
          <w:bCs/>
          <w:color w:val="000000" w:themeColor="text1"/>
          <w:sz w:val="32"/>
          <w:szCs w:val="32"/>
          <w14:textFill>
            <w14:solidFill>
              <w14:schemeClr w14:val="tx1"/>
            </w14:solidFill>
          </w14:textFill>
        </w:rPr>
        <w:t>日</w:t>
      </w:r>
    </w:p>
    <w:p>
      <w:pPr>
        <w:spacing w:line="360" w:lineRule="auto"/>
        <w:jc w:val="center"/>
        <w:rPr>
          <w:rFonts w:ascii="仿宋" w:hAnsi="仿宋" w:eastAsia="仿宋" w:cs="仿宋"/>
          <w:color w:val="000000" w:themeColor="text1"/>
          <w:sz w:val="24"/>
          <w14:textFill>
            <w14:solidFill>
              <w14:schemeClr w14:val="tx1"/>
            </w14:solidFill>
          </w14:textFill>
        </w:rPr>
      </w:pPr>
      <w:bookmarkStart w:id="0" w:name="_Hlt67893495"/>
      <w:bookmarkEnd w:id="0"/>
    </w:p>
    <w:p>
      <w:pPr>
        <w:spacing w:line="360" w:lineRule="auto"/>
        <w:jc w:val="center"/>
        <w:rPr>
          <w:rFonts w:ascii="仿宋" w:hAnsi="仿宋" w:eastAsia="仿宋" w:cs="仿宋"/>
          <w:color w:val="000000" w:themeColor="text1"/>
          <w:sz w:val="24"/>
          <w14:textFill>
            <w14:solidFill>
              <w14:schemeClr w14:val="tx1"/>
            </w14:solidFill>
          </w14:textFill>
        </w:rPr>
      </w:pPr>
    </w:p>
    <w:p>
      <w:pPr>
        <w:spacing w:line="360" w:lineRule="auto"/>
        <w:jc w:val="center"/>
        <w:rPr>
          <w:rFonts w:ascii="仿宋" w:hAnsi="仿宋" w:eastAsia="仿宋" w:cs="仿宋"/>
          <w:b/>
          <w:color w:val="000000" w:themeColor="text1"/>
          <w:sz w:val="48"/>
          <w:szCs w:val="48"/>
          <w14:textFill>
            <w14:solidFill>
              <w14:schemeClr w14:val="tx1"/>
            </w14:solidFill>
          </w14:textFill>
        </w:rPr>
      </w:pPr>
      <w:r>
        <w:rPr>
          <w:rFonts w:hint="eastAsia" w:ascii="仿宋" w:hAnsi="仿宋" w:eastAsia="仿宋" w:cs="仿宋"/>
          <w:b/>
          <w:color w:val="000000" w:themeColor="text1"/>
          <w:sz w:val="48"/>
          <w:szCs w:val="48"/>
          <w14:textFill>
            <w14:solidFill>
              <w14:schemeClr w14:val="tx1"/>
            </w14:solidFill>
          </w14:textFill>
        </w:rPr>
        <w:t>目  录</w:t>
      </w:r>
    </w:p>
    <w:p>
      <w:pPr>
        <w:spacing w:line="360" w:lineRule="auto"/>
        <w:rPr>
          <w:rFonts w:ascii="仿宋" w:hAnsi="仿宋" w:eastAsia="仿宋" w:cs="仿宋"/>
          <w:color w:val="000000" w:themeColor="text1"/>
          <w:sz w:val="32"/>
          <w:szCs w:val="32"/>
          <w14:textFill>
            <w14:solidFill>
              <w14:schemeClr w14:val="tx1"/>
            </w14:solidFill>
          </w14:textFill>
        </w:rPr>
      </w:pPr>
    </w:p>
    <w:p>
      <w:pPr>
        <w:spacing w:line="360" w:lineRule="auto"/>
        <w:rPr>
          <w:rFonts w:ascii="仿宋" w:hAnsi="仿宋" w:eastAsia="仿宋" w:cs="仿宋"/>
          <w:color w:val="000000" w:themeColor="text1"/>
          <w:sz w:val="32"/>
          <w:szCs w:val="32"/>
          <w14:textFill>
            <w14:solidFill>
              <w14:schemeClr w14:val="tx1"/>
            </w14:solidFill>
          </w14:textFill>
        </w:rPr>
      </w:pP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第一部分      招标公告</w:t>
      </w: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第二部分      投标人须知</w:t>
      </w: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第三部分      采购需求</w:t>
      </w: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第四部分      评标办法</w:t>
      </w: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仿宋" w:hAnsi="仿宋" w:eastAsia="仿宋" w:cs="仿宋"/>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ind w:firstLine="549" w:firstLineChars="229"/>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p>
    <w:p>
      <w:pPr>
        <w:adjustRightInd/>
        <w:spacing w:line="360" w:lineRule="auto"/>
        <w:jc w:val="center"/>
        <w:outlineLvl w:val="0"/>
        <w:rPr>
          <w:rFonts w:ascii="仿宋" w:hAnsi="仿宋" w:eastAsia="仿宋" w:cs="仿宋"/>
          <w:b/>
          <w:color w:val="000000" w:themeColor="text1"/>
          <w:sz w:val="36"/>
          <w:szCs w:val="20"/>
          <w14:textFill>
            <w14:solidFill>
              <w14:schemeClr w14:val="tx1"/>
            </w14:solidFill>
          </w14:textFill>
        </w:rPr>
      </w:pPr>
      <w:bookmarkStart w:id="3" w:name="第一部分"/>
      <w:r>
        <w:rPr>
          <w:rFonts w:hint="eastAsia" w:ascii="仿宋" w:hAnsi="仿宋" w:eastAsia="仿宋" w:cs="仿宋"/>
          <w:b/>
          <w:color w:val="000000" w:themeColor="text1"/>
          <w:sz w:val="36"/>
          <w:szCs w:val="36"/>
          <w14:textFill>
            <w14:solidFill>
              <w14:schemeClr w14:val="tx1"/>
            </w14:solidFill>
          </w14:textFill>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建德市园地林地草地定级和基准地价制定技术服务采购项目</w:t>
      </w:r>
      <w:r>
        <w:rPr>
          <w:rFonts w:hint="eastAsia" w:ascii="仿宋" w:hAnsi="仿宋" w:eastAsia="仿宋" w:cs="仿宋"/>
          <w:color w:val="000000" w:themeColor="text1"/>
          <w:sz w:val="24"/>
          <w14:textFill>
            <w14:solidFill>
              <w14:schemeClr w14:val="tx1"/>
            </w14:solidFill>
          </w14:textFill>
        </w:rPr>
        <w:t>招标项目的潜在投标人应在政采云平台（</w:t>
      </w:r>
      <w:r>
        <w:fldChar w:fldCharType="begin"/>
      </w:r>
      <w:r>
        <w:instrText xml:space="preserve">HYPERLINK "https://www.zcygov.cn/）获取（下载）招标文件，并于2021年"</w:instrText>
      </w:r>
      <w:r>
        <w:fldChar w:fldCharType="separate"/>
      </w:r>
      <w:r>
        <w:rPr>
          <w:rStyle w:val="77"/>
          <w:rFonts w:hint="eastAsia" w:ascii="仿宋" w:hAnsi="仿宋" w:eastAsia="仿宋" w:cs="仿宋"/>
          <w:snapToGrid/>
          <w:color w:val="000000" w:themeColor="text1"/>
          <w:kern w:val="2"/>
          <w:sz w:val="24"/>
          <w:szCs w:val="24"/>
          <w14:textFill>
            <w14:solidFill>
              <w14:schemeClr w14:val="tx1"/>
            </w14:solidFill>
          </w14:textFill>
        </w:rPr>
        <w:t>https://www.zcygov.cn/）获取（下载）招标文件，并于</w:t>
      </w:r>
      <w:r>
        <w:rPr>
          <w:rFonts w:hint="eastAsia" w:ascii="仿宋" w:hAnsi="仿宋" w:eastAsia="仿宋" w:cs="仿宋"/>
          <w:color w:val="000000" w:themeColor="text1"/>
          <w:sz w:val="24"/>
          <w:u w:val="single"/>
          <w14:textFill>
            <w14:solidFill>
              <w14:schemeClr w14:val="tx1"/>
            </w14:solidFill>
          </w14:textFill>
        </w:rPr>
        <w:t>2023年08月08日9点30分</w:t>
      </w:r>
      <w:r>
        <w:rPr>
          <w:rFonts w:hint="eastAsia" w:ascii="仿宋" w:hAnsi="仿宋" w:eastAsia="仿宋" w:cs="仿宋"/>
          <w:bCs/>
          <w:color w:val="000000" w:themeColor="text1"/>
          <w:sz w:val="24"/>
          <w:u w:val="single"/>
          <w14:textFill>
            <w14:solidFill>
              <w14:schemeClr w14:val="tx1"/>
            </w14:solidFill>
          </w14:textFill>
        </w:rPr>
        <w:t>00秒</w:t>
      </w:r>
      <w:r>
        <w:fldChar w:fldCharType="end"/>
      </w:r>
      <w:r>
        <w:rPr>
          <w:rFonts w:hint="eastAsia" w:ascii="仿宋" w:hAnsi="仿宋" w:eastAsia="仿宋" w:cs="仿宋"/>
          <w:bCs/>
          <w:color w:val="000000" w:themeColor="text1"/>
          <w:sz w:val="24"/>
          <w14:textFill>
            <w14:solidFill>
              <w14:schemeClr w14:val="tx1"/>
            </w14:solidFill>
          </w14:textFill>
        </w:rPr>
        <w:t>（北京时间）前</w:t>
      </w:r>
      <w:r>
        <w:rPr>
          <w:rFonts w:hint="eastAsia" w:ascii="仿宋" w:hAnsi="仿宋" w:eastAsia="仿宋" w:cs="仿宋"/>
          <w:color w:val="000000" w:themeColor="text1"/>
          <w:sz w:val="24"/>
          <w14:textFill>
            <w14:solidFill>
              <w14:schemeClr w14:val="tx1"/>
            </w14:solidFill>
          </w14:textFill>
        </w:rPr>
        <w:t>递交（上传）投标文件。</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一、项目基本情况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项目编号：</w:t>
      </w:r>
      <w:r>
        <w:rPr>
          <w:rFonts w:hint="eastAsia" w:ascii="仿宋" w:hAnsi="仿宋" w:eastAsia="仿宋" w:cs="仿宋"/>
          <w:color w:val="000000" w:themeColor="text1"/>
          <w:sz w:val="24"/>
          <w14:textFill>
            <w14:solidFill>
              <w14:schemeClr w14:val="tx1"/>
            </w14:solidFill>
          </w14:textFill>
        </w:rPr>
        <w:t>JD2023BF-110</w:t>
      </w:r>
    </w:p>
    <w:p>
      <w:pPr>
        <w:spacing w:line="360" w:lineRule="auto"/>
        <w:ind w:left="723" w:hanging="723" w:hangingChars="3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 项目名称：</w:t>
      </w:r>
      <w:r>
        <w:rPr>
          <w:rFonts w:hint="eastAsia" w:ascii="仿宋" w:hAnsi="仿宋" w:eastAsia="仿宋" w:cs="仿宋"/>
          <w:color w:val="000000" w:themeColor="text1"/>
          <w:sz w:val="24"/>
          <w14:textFill>
            <w14:solidFill>
              <w14:schemeClr w14:val="tx1"/>
            </w14:solidFill>
          </w14:textFill>
        </w:rPr>
        <w:t>建德市园地林地草地定级和基准地价制定技术服务采购项目</w:t>
      </w:r>
    </w:p>
    <w:p>
      <w:pPr>
        <w:widowControl/>
        <w:snapToGrid w:val="0"/>
        <w:spacing w:line="360" w:lineRule="auto"/>
        <w:ind w:firstLine="482" w:firstLineChars="200"/>
        <w:jc w:val="left"/>
        <w:rPr>
          <w:rFonts w:ascii="仿宋" w:hAnsi="仿宋" w:eastAsia="仿宋" w:cs="仿宋"/>
          <w:kern w:val="0"/>
          <w:sz w:val="24"/>
          <w:u w:val="single"/>
        </w:rPr>
      </w:pPr>
      <w:r>
        <w:rPr>
          <w:rFonts w:hint="eastAsia" w:ascii="仿宋" w:hAnsi="仿宋" w:eastAsia="仿宋" w:cs="仿宋"/>
          <w:b/>
          <w:color w:val="000000" w:themeColor="text1"/>
          <w:sz w:val="24"/>
          <w14:textFill>
            <w14:solidFill>
              <w14:schemeClr w14:val="tx1"/>
            </w14:solidFill>
          </w14:textFill>
        </w:rPr>
        <w:t>预算金额（元）：</w:t>
      </w:r>
      <w:r>
        <w:rPr>
          <w:rFonts w:hint="eastAsia" w:ascii="仿宋" w:hAnsi="仿宋" w:eastAsia="仿宋" w:cs="仿宋"/>
          <w:kern w:val="0"/>
          <w:sz w:val="24"/>
        </w:rPr>
        <w:t>700000.00</w:t>
      </w:r>
    </w:p>
    <w:p>
      <w:pPr>
        <w:spacing w:line="360" w:lineRule="auto"/>
        <w:ind w:left="722" w:leftChars="229" w:hanging="241" w:hangingChars="100"/>
        <w:rPr>
          <w:rFonts w:ascii="仿宋" w:hAnsi="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最高限价</w:t>
      </w:r>
      <w:r>
        <w:rPr>
          <w:rFonts w:hint="eastAsia" w:ascii="仿宋" w:hAnsi="仿宋" w:eastAsia="仿宋" w:cs="仿宋"/>
          <w:b/>
          <w:color w:val="000000" w:themeColor="text1"/>
          <w:sz w:val="24"/>
          <w14:textFill>
            <w14:solidFill>
              <w14:schemeClr w14:val="tx1"/>
            </w14:solidFill>
          </w14:textFill>
        </w:rPr>
        <w:t>（元）</w:t>
      </w:r>
      <w:r>
        <w:rPr>
          <w:rFonts w:hint="eastAsia" w:ascii="仿宋" w:hAnsi="仿宋" w:eastAsia="仿宋" w:cs="仿宋"/>
          <w:b/>
          <w:bCs/>
          <w:color w:val="000000" w:themeColor="text1"/>
          <w:kern w:val="0"/>
          <w:sz w:val="24"/>
          <w14:textFill>
            <w14:solidFill>
              <w14:schemeClr w14:val="tx1"/>
            </w14:solidFill>
          </w14:textFill>
        </w:rPr>
        <w:t>：</w:t>
      </w:r>
      <w:r>
        <w:rPr>
          <w:rFonts w:hint="eastAsia" w:ascii="仿宋" w:hAnsi="仿宋" w:eastAsia="仿宋" w:cs="仿宋"/>
          <w:kern w:val="0"/>
          <w:sz w:val="24"/>
        </w:rPr>
        <w:t>700000.00</w:t>
      </w:r>
    </w:p>
    <w:p>
      <w:pPr>
        <w:spacing w:line="440" w:lineRule="exact"/>
        <w:ind w:firstLine="360" w:firstLineChars="150"/>
        <w:rPr>
          <w:rFonts w:ascii="仿宋" w:hAnsi="仿宋" w:eastAsia="仿宋" w:cs="仿宋"/>
          <w:kern w:val="0"/>
          <w:sz w:val="24"/>
        </w:rPr>
      </w:pPr>
      <w:r>
        <w:rPr>
          <w:rFonts w:hint="eastAsia" w:ascii="仿宋" w:hAnsi="仿宋" w:eastAsia="仿宋" w:cs="仿宋"/>
          <w:kern w:val="0"/>
          <w:sz w:val="24"/>
        </w:rPr>
        <w:t>简要规格描述：</w:t>
      </w:r>
      <w:r>
        <w:rPr>
          <w:rFonts w:hint="eastAsia" w:ascii="仿宋" w:hAnsi="仿宋" w:eastAsia="仿宋" w:cs="宋体"/>
          <w:bCs/>
          <w:color w:val="000000" w:themeColor="text1"/>
          <w:sz w:val="24"/>
          <w14:textFill>
            <w14:solidFill>
              <w14:schemeClr w14:val="tx1"/>
            </w14:solidFill>
          </w14:textFill>
        </w:rPr>
        <w:t>根据《自然资源部办公厅关于做好园地林地草地定级和基准地价制定有关工作的通知》等文件要求，完成建德市园地、林地、草地定级，以及园地、林地、草地基准地价制定工作。</w:t>
      </w:r>
      <w:r>
        <w:rPr>
          <w:rFonts w:hint="eastAsia" w:ascii="仿宋" w:hAnsi="仿宋" w:eastAsia="仿宋" w:cs="仿宋"/>
          <w:kern w:val="0"/>
          <w:sz w:val="24"/>
        </w:rPr>
        <w:t>详细见招标内容与技术要求。</w:t>
      </w:r>
    </w:p>
    <w:p>
      <w:pPr>
        <w:widowControl/>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备注：/</w:t>
      </w:r>
    </w:p>
    <w:p>
      <w:pPr>
        <w:spacing w:line="460" w:lineRule="exact"/>
        <w:ind w:firstLine="360" w:firstLineChars="150"/>
        <w:rPr>
          <w:rFonts w:ascii="仿宋" w:hAnsi="仿宋" w:eastAsia="仿宋" w:cs="宋体"/>
          <w:bCs/>
          <w:color w:val="000000" w:themeColor="text1"/>
          <w:sz w:val="24"/>
          <w14:textFill>
            <w14:solidFill>
              <w14:schemeClr w14:val="tx1"/>
            </w14:solidFill>
          </w14:textFill>
        </w:rPr>
      </w:pPr>
      <w:r>
        <w:rPr>
          <w:rFonts w:hint="eastAsia" w:ascii="仿宋" w:hAnsi="仿宋" w:eastAsia="仿宋" w:cs="仿宋"/>
          <w:kern w:val="0"/>
          <w:sz w:val="24"/>
        </w:rPr>
        <w:t>合同履行期限：</w:t>
      </w:r>
      <w:r>
        <w:rPr>
          <w:rFonts w:hint="eastAsia" w:ascii="仿宋" w:hAnsi="仿宋" w:eastAsia="仿宋" w:cs="宋体"/>
          <w:bCs/>
          <w:color w:val="000000" w:themeColor="text1"/>
          <w:sz w:val="24"/>
          <w14:textFill>
            <w14:solidFill>
              <w14:schemeClr w14:val="tx1"/>
            </w14:solidFill>
          </w14:textFill>
        </w:rPr>
        <w:t>2023年10月20日前提交</w:t>
      </w:r>
      <w:r>
        <w:rPr>
          <w:rFonts w:hint="eastAsia" w:ascii="仿宋" w:hAnsi="仿宋" w:eastAsia="仿宋" w:cs="仿宋"/>
          <w:color w:val="000000" w:themeColor="text1"/>
          <w:sz w:val="24"/>
          <w14:textFill>
            <w14:solidFill>
              <w14:schemeClr w14:val="tx1"/>
            </w14:solidFill>
          </w14:textFill>
        </w:rPr>
        <w:t>建德市园地林地草地定级和基准地价制定</w:t>
      </w:r>
      <w:r>
        <w:rPr>
          <w:rFonts w:hint="eastAsia" w:ascii="仿宋" w:hAnsi="仿宋" w:eastAsia="仿宋" w:cs="宋体"/>
          <w:bCs/>
          <w:color w:val="000000" w:themeColor="text1"/>
          <w:sz w:val="24"/>
          <w14:textFill>
            <w14:solidFill>
              <w14:schemeClr w14:val="tx1"/>
            </w14:solidFill>
          </w14:textFill>
        </w:rPr>
        <w:t>初步成果，2023年11月20日前定稿，提交后应根据杭州市规划和自然资源局、浙江省自然资源厅相关要求补充完善，确保审核通过。</w:t>
      </w:r>
    </w:p>
    <w:p>
      <w:pPr>
        <w:spacing w:line="460" w:lineRule="exact"/>
        <w:ind w:firstLine="360" w:firstLineChars="15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本项目接受联合体投标：</w:t>
      </w:r>
      <w:sdt>
        <w:sdtPr>
          <w:rPr>
            <w:rFonts w:hint="eastAsia" w:ascii="仿宋" w:hAnsi="仿宋" w:eastAsia="仿宋" w:cs="宋体"/>
            <w:bCs/>
            <w:color w:val="000000" w:themeColor="text1"/>
            <w:sz w:val="24"/>
            <w14:textFill>
              <w14:solidFill>
                <w14:schemeClr w14:val="tx1"/>
              </w14:solidFill>
            </w14:textFill>
          </w:rPr>
          <w:id w:val="2035453831"/>
        </w:sdtPr>
        <w:sdtEndPr>
          <w:rPr>
            <w:rFonts w:hint="eastAsia" w:ascii="仿宋" w:hAnsi="仿宋" w:eastAsia="仿宋" w:cs="宋体"/>
            <w:bCs/>
            <w:color w:val="000000" w:themeColor="text1"/>
            <w:sz w:val="24"/>
            <w14:textFill>
              <w14:solidFill>
                <w14:schemeClr w14:val="tx1"/>
              </w14:solidFill>
            </w14:textFill>
          </w:rPr>
        </w:sdtEndPr>
        <w:sdtContent>
          <w:r>
            <w:rPr>
              <w:rFonts w:ascii="仿宋" w:hAnsi="仿宋" w:eastAsia="仿宋" w:cs="宋体"/>
              <w:bCs/>
              <w:color w:val="000000" w:themeColor="text1"/>
              <w:sz w:val="24"/>
              <w14:textFill>
                <w14:solidFill>
                  <w14:schemeClr w14:val="tx1"/>
                </w14:solidFill>
              </w14:textFill>
            </w:rPr>
            <w:t></w:t>
          </w:r>
          <w:r>
            <w:rPr>
              <w:rFonts w:ascii="仿宋" w:hAnsi="仿宋" w:eastAsia="仿宋" w:cs="宋体"/>
              <w:bCs/>
              <w:color w:val="000000" w:themeColor="text1"/>
              <w:sz w:val="24"/>
              <w14:textFill>
                <w14:solidFill>
                  <w14:schemeClr w14:val="tx1"/>
                </w14:solidFill>
              </w14:textFill>
            </w:rPr>
            <w:sym w:font="Wingdings" w:char="00FE"/>
          </w:r>
        </w:sdtContent>
      </w:sdt>
      <w:r>
        <w:rPr>
          <w:rFonts w:hint="eastAsia" w:ascii="仿宋" w:hAnsi="仿宋" w:eastAsia="仿宋" w:cs="宋体"/>
          <w:bCs/>
          <w:color w:val="000000" w:themeColor="text1"/>
          <w:sz w:val="24"/>
          <w14:textFill>
            <w14:solidFill>
              <w14:schemeClr w14:val="tx1"/>
            </w14:solidFill>
          </w14:textFill>
        </w:rPr>
        <w:t>是，</w:t>
      </w:r>
      <w:sdt>
        <w:sdtPr>
          <w:rPr>
            <w:rFonts w:hint="eastAsia" w:ascii="仿宋" w:hAnsi="仿宋" w:eastAsia="仿宋" w:cs="宋体"/>
            <w:bCs/>
            <w:color w:val="000000" w:themeColor="text1"/>
            <w:sz w:val="24"/>
            <w14:textFill>
              <w14:solidFill>
                <w14:schemeClr w14:val="tx1"/>
              </w14:solidFill>
            </w14:textFill>
          </w:rPr>
          <w:id w:val="-1765526721"/>
        </w:sdtPr>
        <w:sdtEndPr>
          <w:rPr>
            <w:rFonts w:hint="eastAsia" w:ascii="仿宋" w:hAnsi="仿宋" w:eastAsia="仿宋" w:cs="宋体"/>
            <w:bCs/>
            <w:color w:val="000000" w:themeColor="text1"/>
            <w:sz w:val="24"/>
            <w14:textFill>
              <w14:solidFill>
                <w14:schemeClr w14:val="tx1"/>
              </w14:solidFill>
            </w14:textFill>
          </w:rPr>
        </w:sdtEndPr>
        <w:sdtContent>
          <w:r>
            <w:rPr>
              <w:rFonts w:ascii="仿宋" w:hAnsi="仿宋" w:eastAsia="仿宋" w:cs="宋体"/>
              <w:bCs/>
              <w:color w:val="000000" w:themeColor="text1"/>
              <w:sz w:val="24"/>
              <w14:textFill>
                <w14:solidFill>
                  <w14:schemeClr w14:val="tx1"/>
                </w14:solidFill>
              </w14:textFill>
            </w:rPr>
            <w:t>☐</w:t>
          </w:r>
        </w:sdtContent>
      </w:sdt>
      <w:r>
        <w:rPr>
          <w:rFonts w:hint="eastAsia" w:ascii="仿宋" w:hAnsi="仿宋" w:eastAsia="仿宋" w:cs="宋体"/>
          <w:bCs/>
          <w:color w:val="000000" w:themeColor="text1"/>
          <w:sz w:val="24"/>
          <w14:textFill>
            <w14:solidFill>
              <w14:schemeClr w14:val="tx1"/>
            </w14:solidFill>
          </w14:textFill>
        </w:rPr>
        <w:t>否。</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二、申请人的资格要求：</w:t>
      </w:r>
    </w:p>
    <w:p>
      <w:pPr>
        <w:spacing w:line="360" w:lineRule="auto"/>
        <w:ind w:firstLine="48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2.以联合体形式投标的，提供联合协议(本项目不接受联合体投标或者投标人不以联合体形式投标的，则不需要提供)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3.落实政府采购政策需满足的资格要求：</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sdt>
        <w:sdtPr>
          <w:rPr>
            <w:rFonts w:hint="eastAsia" w:ascii="仿宋" w:hAnsi="仿宋" w:eastAsia="仿宋" w:cs="仿宋"/>
            <w:color w:val="000000" w:themeColor="text1"/>
            <w:kern w:val="0"/>
            <w:sz w:val="24"/>
            <w14:textFill>
              <w14:solidFill>
                <w14:schemeClr w14:val="tx1"/>
              </w14:solidFill>
            </w14:textFill>
          </w:rPr>
          <w:id w:val="1928616923"/>
        </w:sdtPr>
        <w:sdtEndPr>
          <w:rPr>
            <w:rFonts w:hint="eastAsia" w:ascii="仿宋" w:hAnsi="仿宋" w:eastAsia="仿宋" w:cs="仿宋"/>
            <w:color w:val="000000" w:themeColor="text1"/>
            <w:kern w:val="0"/>
            <w:sz w:val="24"/>
            <w14:textFill>
              <w14:solidFill>
                <w14:schemeClr w14:val="tx1"/>
              </w14:solidFill>
            </w14:textFill>
          </w:rPr>
        </w:sdtEndPr>
        <w:sdtContent>
          <w:r>
            <w:rPr>
              <w:rFonts w:hint="eastAsia" w:ascii="仿宋" w:hAnsi="仿宋" w:eastAsia="仿宋" w:cs="仿宋"/>
              <w:color w:val="000000" w:themeColor="text1"/>
              <w:kern w:val="0"/>
              <w:sz w:val="24"/>
              <w14:textFill>
                <w14:solidFill>
                  <w14:schemeClr w14:val="tx1"/>
                </w14:solidFill>
              </w14:textFill>
            </w:rPr>
            <w:t>☐</w:t>
          </w:r>
        </w:sdtContent>
      </w:sdt>
      <w:r>
        <w:rPr>
          <w:rFonts w:hint="eastAsia" w:ascii="仿宋" w:hAnsi="仿宋" w:eastAsia="仿宋" w:cs="仿宋"/>
          <w:color w:val="000000" w:themeColor="text1"/>
          <w:kern w:val="0"/>
          <w:sz w:val="24"/>
          <w14:textFill>
            <w14:solidFill>
              <w14:schemeClr w14:val="tx1"/>
            </w14:solidFill>
          </w14:textFill>
        </w:rPr>
        <w:t>无；（注：不得限制大中型企业与小微企业组成联合体参与投标）；</w:t>
      </w:r>
    </w:p>
    <w:p>
      <w:pPr>
        <w:spacing w:line="360" w:lineRule="auto"/>
        <w:ind w:firstLine="480" w:firstLineChars="200"/>
        <w:rPr>
          <w:rFonts w:ascii="仿宋" w:hAnsi="仿宋" w:eastAsia="仿宋" w:cs="仿宋"/>
          <w:snapToGrid w:val="0"/>
          <w:color w:val="000000" w:themeColor="text1"/>
          <w:kern w:val="28"/>
          <w:sz w:val="24"/>
          <w:szCs w:val="20"/>
          <w14:textFill>
            <w14:solidFill>
              <w14:schemeClr w14:val="tx1"/>
            </w14:solidFill>
          </w14:textFill>
        </w:rPr>
      </w:pPr>
      <w:sdt>
        <w:sdtPr>
          <w:rPr>
            <w:rFonts w:hint="eastAsia" w:ascii="仿宋" w:hAnsi="仿宋" w:eastAsia="仿宋" w:cs="仿宋"/>
            <w:color w:val="000000" w:themeColor="text1"/>
            <w:kern w:val="0"/>
            <w:sz w:val="24"/>
            <w14:textFill>
              <w14:solidFill>
                <w14:schemeClr w14:val="tx1"/>
              </w14:solidFill>
            </w14:textFill>
          </w:rPr>
          <w:id w:val="-191684140"/>
        </w:sdtPr>
        <w:sdtEndPr>
          <w:rPr>
            <w:rFonts w:hint="eastAsia" w:ascii="仿宋" w:hAnsi="仿宋" w:eastAsia="仿宋" w:cs="仿宋"/>
            <w:color w:val="000000" w:themeColor="text1"/>
            <w:kern w:val="0"/>
            <w:sz w:val="24"/>
            <w14:textFill>
              <w14:solidFill>
                <w14:schemeClr w14:val="tx1"/>
              </w14:solidFill>
            </w14:textFill>
          </w:rPr>
        </w:sdtEndPr>
        <w:sdtContent>
          <w:r>
            <w:rPr>
              <w:rFonts w:ascii="Wingdings" w:hAnsi="Wingdings" w:eastAsia="仿宋" w:cs="仿宋"/>
              <w:color w:val="000000" w:themeColor="text1"/>
              <w:kern w:val="0"/>
              <w:sz w:val="24"/>
              <w14:textFill>
                <w14:solidFill>
                  <w14:schemeClr w14:val="tx1"/>
                </w14:solidFill>
              </w14:textFill>
            </w:rPr>
            <w:t></w:t>
          </w:r>
        </w:sdtContent>
      </w:sdt>
      <w:r>
        <w:rPr>
          <w:rFonts w:hint="eastAsia" w:ascii="仿宋" w:hAnsi="仿宋" w:eastAsia="仿宋" w:cs="仿宋"/>
          <w:snapToGrid w:val="0"/>
          <w:color w:val="000000" w:themeColor="text1"/>
          <w:kern w:val="28"/>
          <w:sz w:val="24"/>
          <w:szCs w:val="20"/>
          <w14:textFill>
            <w14:solidFill>
              <w14:schemeClr w14:val="tx1"/>
            </w14:solidFill>
          </w14:textFill>
        </w:rPr>
        <w:t>专门面向中小企业；</w:t>
      </w:r>
      <w:r>
        <w:rPr>
          <w:rFonts w:hint="eastAsia" w:ascii="仿宋" w:hAnsi="仿宋" w:eastAsia="仿宋" w:cs="仿宋"/>
          <w:color w:val="000000" w:themeColor="text1"/>
          <w:kern w:val="0"/>
          <w:sz w:val="24"/>
          <w14:textFill>
            <w14:solidFill>
              <w14:schemeClr w14:val="tx1"/>
            </w14:solidFill>
          </w14:textFill>
        </w:rPr>
        <w:t>（注：不得限制中型企业与小微企业组成联合体参与投标）</w:t>
      </w:r>
    </w:p>
    <w:p>
      <w:pPr>
        <w:spacing w:line="360" w:lineRule="auto"/>
        <w:ind w:firstLine="960" w:firstLineChars="4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sym w:font="Wingdings" w:char="00A8"/>
      </w:r>
      <w:r>
        <w:rPr>
          <w:rFonts w:hint="eastAsia" w:ascii="仿宋" w:hAnsi="仿宋" w:eastAsia="仿宋" w:cs="仿宋"/>
          <w:snapToGrid w:val="0"/>
          <w:color w:val="000000" w:themeColor="text1"/>
          <w:kern w:val="28"/>
          <w:sz w:val="24"/>
          <w:szCs w:val="20"/>
          <w14:textFill>
            <w14:solidFill>
              <w14:schemeClr w14:val="tx1"/>
            </w14:solidFill>
          </w14:textFill>
        </w:rPr>
        <w:t>货物全部由符合政策要求的中小企业制造，提供中小企业声明函；</w:t>
      </w:r>
    </w:p>
    <w:p>
      <w:pPr>
        <w:spacing w:line="360" w:lineRule="auto"/>
        <w:ind w:firstLine="960" w:firstLineChars="4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sym w:font="Wingdings" w:char="00A8"/>
      </w:r>
      <w:r>
        <w:rPr>
          <w:rFonts w:hint="eastAsia" w:ascii="仿宋" w:hAnsi="仿宋" w:eastAsia="仿宋" w:cs="仿宋"/>
          <w:snapToGrid w:val="0"/>
          <w:color w:val="000000" w:themeColor="text1"/>
          <w:kern w:val="28"/>
          <w:sz w:val="24"/>
          <w:szCs w:val="20"/>
          <w14:textFill>
            <w14:solidFill>
              <w14:schemeClr w14:val="tx1"/>
            </w14:solidFill>
          </w14:textFill>
        </w:rPr>
        <w:t>货物全部由符合政策要求的小微企业制造，提供中小企业声明函；</w:t>
      </w:r>
    </w:p>
    <w:p>
      <w:pPr>
        <w:spacing w:line="360" w:lineRule="auto"/>
        <w:ind w:firstLine="960" w:firstLineChars="4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sym w:font="Wingdings" w:char="00FE"/>
      </w:r>
      <w:r>
        <w:rPr>
          <w:rFonts w:hint="eastAsia" w:ascii="仿宋" w:hAnsi="仿宋" w:eastAsia="仿宋" w:cs="仿宋"/>
          <w:snapToGrid w:val="0"/>
          <w:color w:val="000000" w:themeColor="text1"/>
          <w:kern w:val="28"/>
          <w:sz w:val="24"/>
          <w:szCs w:val="20"/>
          <w14:textFill>
            <w14:solidFill>
              <w14:schemeClr w14:val="tx1"/>
            </w14:solidFill>
          </w14:textFill>
        </w:rPr>
        <w:t>服务全部由符合政策要求的中小企业承接，提供中小企业声明函；</w:t>
      </w:r>
    </w:p>
    <w:p>
      <w:pPr>
        <w:spacing w:line="360" w:lineRule="auto"/>
        <w:ind w:firstLine="960" w:firstLineChars="400"/>
        <w:rPr>
          <w:rFonts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sym w:font="Wingdings" w:char="00A8"/>
      </w:r>
      <w:r>
        <w:rPr>
          <w:rFonts w:hint="eastAsia" w:ascii="仿宋" w:hAnsi="仿宋" w:eastAsia="仿宋" w:cs="仿宋"/>
          <w:snapToGrid w:val="0"/>
          <w:color w:val="000000" w:themeColor="text1"/>
          <w:kern w:val="28"/>
          <w:sz w:val="24"/>
          <w:szCs w:val="20"/>
          <w14:textFill>
            <w14:solidFill>
              <w14:schemeClr w14:val="tx1"/>
            </w14:solidFill>
          </w14:textFill>
        </w:rPr>
        <w:t>服务全部由符合政策要求的小微企业承接，提供中小企业声明函；</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sdt>
        <w:sdtPr>
          <w:rPr>
            <w:rFonts w:hint="eastAsia" w:ascii="仿宋" w:hAnsi="仿宋" w:eastAsia="仿宋" w:cs="仿宋"/>
            <w:color w:val="000000" w:themeColor="text1"/>
            <w:kern w:val="0"/>
            <w:sz w:val="24"/>
            <w14:textFill>
              <w14:solidFill>
                <w14:schemeClr w14:val="tx1"/>
              </w14:solidFill>
            </w14:textFill>
          </w:rPr>
          <w:id w:val="-1985607795"/>
        </w:sdtPr>
        <w:sdtEndPr>
          <w:rPr>
            <w:rFonts w:hint="eastAsia" w:ascii="仿宋" w:hAnsi="仿宋" w:eastAsia="仿宋" w:cs="仿宋"/>
            <w:color w:val="000000" w:themeColor="text1"/>
            <w:kern w:val="0"/>
            <w:sz w:val="24"/>
            <w14:textFill>
              <w14:solidFill>
                <w14:schemeClr w14:val="tx1"/>
              </w14:solidFill>
            </w14:textFill>
          </w:rPr>
        </w:sdtEndPr>
        <w:sdtContent>
          <w:r>
            <w:rPr>
              <w:rFonts w:hint="eastAsia" w:ascii="仿宋" w:hAnsi="仿宋" w:eastAsia="仿宋" w:cs="仿宋"/>
              <w:color w:val="000000" w:themeColor="text1"/>
              <w:kern w:val="0"/>
              <w:sz w:val="24"/>
              <w14:textFill>
                <w14:solidFill>
                  <w14:schemeClr w14:val="tx1"/>
                </w14:solidFill>
              </w14:textFill>
            </w:rPr>
            <w:t>☐</w:t>
          </w:r>
          <w:bookmarkStart w:id="11" w:name="_Hlk101132524"/>
        </w:sdtContent>
      </w:sdt>
      <w:r>
        <w:rPr>
          <w:rFonts w:hint="eastAsia" w:ascii="仿宋" w:hAnsi="仿宋" w:eastAsia="仿宋" w:cs="仿宋"/>
          <w:color w:val="000000" w:themeColor="text1"/>
          <w:sz w:val="24"/>
          <w14:textFill>
            <w14:solidFill>
              <w14:schemeClr w14:val="tx1"/>
            </w14:solidFill>
          </w14:textFill>
        </w:rPr>
        <w:t>要求以联合体形式参加，提供联合协议和中小企业声明函，联合协议中中小企业合同金额应当达到%，小微企业合同金额应当达到%;</w:t>
      </w:r>
      <w:r>
        <w:rPr>
          <w:rFonts w:hint="eastAsia" w:ascii="仿宋" w:hAnsi="仿宋" w:eastAsia="仿宋" w:cs="仿宋"/>
          <w:color w:val="000000" w:themeColor="text1"/>
          <w:spacing w:val="8"/>
          <w:kern w:val="0"/>
          <w:sz w:val="24"/>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14:textFill>
            <w14:solidFill>
              <w14:schemeClr w14:val="tx1"/>
            </w14:solidFill>
          </w14:textFill>
        </w:rPr>
        <w:t>；</w:t>
      </w:r>
    </w:p>
    <w:bookmarkEnd w:id="11"/>
    <w:p>
      <w:pPr>
        <w:spacing w:line="360" w:lineRule="auto"/>
        <w:ind w:firstLine="480" w:firstLineChars="200"/>
        <w:rPr>
          <w:rFonts w:ascii="仿宋" w:hAnsi="仿宋" w:eastAsia="仿宋" w:cs="仿宋"/>
          <w:color w:val="000000" w:themeColor="text1"/>
          <w:sz w:val="24"/>
          <w14:textFill>
            <w14:solidFill>
              <w14:schemeClr w14:val="tx1"/>
            </w14:solidFill>
          </w14:textFill>
        </w:rPr>
      </w:pPr>
      <w:sdt>
        <w:sdtPr>
          <w:rPr>
            <w:rFonts w:hint="eastAsia" w:ascii="仿宋" w:hAnsi="仿宋" w:eastAsia="仿宋" w:cs="仿宋"/>
            <w:color w:val="000000" w:themeColor="text1"/>
            <w:kern w:val="0"/>
            <w:sz w:val="24"/>
            <w14:textFill>
              <w14:solidFill>
                <w14:schemeClr w14:val="tx1"/>
              </w14:solidFill>
            </w14:textFill>
          </w:rPr>
          <w:id w:val="34630645"/>
        </w:sdtPr>
        <w:sdtEndPr>
          <w:rPr>
            <w:rFonts w:hint="eastAsia" w:ascii="仿宋" w:hAnsi="仿宋" w:eastAsia="仿宋" w:cs="仿宋"/>
            <w:color w:val="000000" w:themeColor="text1"/>
            <w:kern w:val="0"/>
            <w:sz w:val="24"/>
            <w14:textFill>
              <w14:solidFill>
                <w14:schemeClr w14:val="tx1"/>
              </w14:solidFill>
            </w14:textFill>
          </w:rPr>
        </w:sdtEndPr>
        <w:sdtContent>
          <w:r>
            <w:rPr>
              <w:rFonts w:hint="eastAsia" w:ascii="仿宋" w:hAnsi="仿宋" w:eastAsia="仿宋" w:cs="仿宋"/>
              <w:color w:val="000000" w:themeColor="text1"/>
              <w:kern w:val="0"/>
              <w:sz w:val="24"/>
              <w14:textFill>
                <w14:solidFill>
                  <w14:schemeClr w14:val="tx1"/>
                </w14:solidFill>
              </w14:textFill>
            </w:rPr>
            <w:t>☐</w:t>
          </w:r>
        </w:sdtContent>
      </w:sdt>
      <w:r>
        <w:rPr>
          <w:rFonts w:hint="eastAsia" w:ascii="仿宋" w:hAnsi="仿宋" w:eastAsia="仿宋" w:cs="仿宋"/>
          <w:color w:val="000000" w:themeColor="text1"/>
          <w:sz w:val="24"/>
          <w14:textFill>
            <w14:solidFill>
              <w14:schemeClr w14:val="tx1"/>
            </w14:solidFill>
          </w14:textFill>
        </w:rPr>
        <w:t>要求合同分包，提供分包意向协议和中小企业声明函，分包意向协议中中小企业合同金额应当达到达到% ，小微企业合同金额应当达到% ;</w:t>
      </w:r>
      <w:r>
        <w:rPr>
          <w:rFonts w:hint="eastAsia" w:ascii="仿宋" w:hAnsi="仿宋" w:eastAsia="仿宋" w:cs="仿宋"/>
          <w:color w:val="000000" w:themeColor="text1"/>
          <w:spacing w:val="8"/>
          <w:kern w:val="0"/>
          <w:sz w:val="24"/>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14:textFill>
            <w14:solidFill>
              <w14:schemeClr w14:val="tx1"/>
            </w14:solidFill>
          </w14:textFill>
        </w:rPr>
        <w:t>；</w:t>
      </w:r>
    </w:p>
    <w:p>
      <w:pPr>
        <w:spacing w:line="460" w:lineRule="exact"/>
        <w:ind w:firstLine="480" w:firstLineChars="200"/>
        <w:rPr>
          <w:rFonts w:ascii="仿宋" w:hAnsi="仿宋" w:eastAsia="仿宋" w:cs="宋体"/>
          <w:b w:val="0"/>
          <w:bCs w:val="0"/>
          <w:color w:val="auto"/>
          <w:sz w:val="24"/>
        </w:rPr>
      </w:pPr>
      <w:r>
        <w:rPr>
          <w:rFonts w:hint="eastAsia" w:ascii="仿宋" w:hAnsi="仿宋" w:eastAsia="仿宋" w:cs="仿宋"/>
          <w:color w:val="000000" w:themeColor="text1"/>
          <w:sz w:val="24"/>
          <w14:textFill>
            <w14:solidFill>
              <w14:schemeClr w14:val="tx1"/>
            </w14:solidFill>
          </w14:textFill>
        </w:rPr>
        <w:t>4.本项目的特定资格要求：</w:t>
      </w:r>
      <w:r>
        <w:rPr>
          <w:rFonts w:ascii="仿宋" w:hAnsi="仿宋" w:eastAsia="仿宋" w:cs="宋体"/>
          <w:sz w:val="24"/>
        </w:rPr>
        <w:t>经省级及以上自然（国土）资源部门备案的土地估价机构</w:t>
      </w:r>
      <w:r>
        <w:rPr>
          <w:rFonts w:hint="eastAsia" w:ascii="仿宋" w:hAnsi="仿宋" w:eastAsia="仿宋" w:cs="仿宋"/>
          <w:b/>
          <w:bCs/>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三、获取招标文件 </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时间：</w:t>
      </w:r>
      <w:r>
        <w:rPr>
          <w:rFonts w:hint="eastAsia" w:ascii="仿宋" w:hAnsi="仿宋" w:eastAsia="仿宋" w:cs="仿宋"/>
          <w:color w:val="000000" w:themeColor="text1"/>
          <w:sz w:val="24"/>
          <w:u w:val="single"/>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至</w:t>
      </w:r>
      <w:r>
        <w:rPr>
          <w:rFonts w:hint="eastAsia" w:ascii="仿宋" w:hAnsi="仿宋" w:eastAsia="仿宋" w:cs="仿宋"/>
          <w:color w:val="000000" w:themeColor="text1"/>
          <w:sz w:val="24"/>
          <w:u w:val="single"/>
          <w14:textFill>
            <w14:solidFill>
              <w14:schemeClr w14:val="tx1"/>
            </w14:solidFill>
          </w14:textFill>
        </w:rPr>
        <w:t>2023年08月0</w:t>
      </w:r>
      <w:r>
        <w:rPr>
          <w:rFonts w:hint="eastAsia" w:ascii="仿宋" w:hAnsi="仿宋" w:eastAsia="仿宋" w:cs="仿宋"/>
          <w:color w:val="000000" w:themeColor="text1"/>
          <w:sz w:val="24"/>
          <w:u w:val="single"/>
          <w:lang w:val="en-US" w:eastAsia="zh-CN"/>
          <w14:textFill>
            <w14:solidFill>
              <w14:schemeClr w14:val="tx1"/>
            </w14:solidFill>
          </w14:textFill>
        </w:rPr>
        <w:t>8</w:t>
      </w:r>
      <w:r>
        <w:rPr>
          <w:rFonts w:hint="eastAsia" w:ascii="仿宋" w:hAnsi="仿宋" w:eastAsia="仿宋" w:cs="仿宋"/>
          <w:color w:val="000000" w:themeColor="text1"/>
          <w:sz w:val="24"/>
          <w:u w:val="single"/>
          <w14:textFill>
            <w14:solidFill>
              <w14:schemeClr w14:val="tx1"/>
            </w14:solidFill>
          </w14:textFill>
        </w:rPr>
        <w:t>日</w:t>
      </w:r>
      <w:r>
        <w:rPr>
          <w:rFonts w:hint="eastAsia" w:ascii="仿宋" w:hAnsi="仿宋" w:eastAsia="仿宋" w:cs="仿宋"/>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地点（网址）：</w:t>
      </w:r>
      <w:r>
        <w:rPr>
          <w:rFonts w:hint="eastAsia" w:ascii="仿宋" w:hAnsi="仿宋" w:eastAsia="仿宋" w:cs="仿宋"/>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方式：</w:t>
      </w:r>
      <w:r>
        <w:rPr>
          <w:rFonts w:hint="eastAsia" w:ascii="仿宋" w:hAnsi="仿宋" w:eastAsia="仿宋" w:cs="仿宋"/>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售价（元）：</w:t>
      </w:r>
      <w:r>
        <w:rPr>
          <w:rFonts w:hint="eastAsia" w:ascii="仿宋" w:hAnsi="仿宋" w:eastAsia="仿宋" w:cs="仿宋"/>
          <w:color w:val="000000" w:themeColor="text1"/>
          <w:sz w:val="24"/>
          <w14:textFill>
            <w14:solidFill>
              <w14:schemeClr w14:val="tx1"/>
            </w14:solidFill>
          </w14:textFill>
        </w:rPr>
        <w:t xml:space="preserve">0 </w:t>
      </w:r>
      <w:r>
        <w:rPr>
          <w:rFonts w:hint="eastAsia" w:ascii="仿宋" w:hAnsi="仿宋" w:eastAsia="仿宋" w:cs="仿宋"/>
          <w:color w:val="000000" w:themeColor="text1"/>
          <w:sz w:val="24"/>
          <w14:textFill>
            <w14:solidFill>
              <w14:schemeClr w14:val="tx1"/>
            </w14:solidFill>
          </w14:textFill>
        </w:rPr>
        <w:tab/>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提交投标文件截止时间：</w:t>
      </w:r>
      <w:r>
        <w:rPr>
          <w:rFonts w:hint="eastAsia" w:ascii="仿宋" w:hAnsi="仿宋" w:eastAsia="仿宋" w:cs="仿宋"/>
          <w:color w:val="000000" w:themeColor="text1"/>
          <w:sz w:val="24"/>
          <w:u w:val="single"/>
          <w14:textFill>
            <w14:solidFill>
              <w14:schemeClr w14:val="tx1"/>
            </w14:solidFill>
          </w14:textFill>
        </w:rPr>
        <w:t>2023年08月08日9点30分</w:t>
      </w:r>
      <w:r>
        <w:rPr>
          <w:rFonts w:hint="eastAsia" w:ascii="仿宋" w:hAnsi="仿宋" w:eastAsia="仿宋" w:cs="仿宋"/>
          <w:bCs/>
          <w:color w:val="000000" w:themeColor="text1"/>
          <w:sz w:val="24"/>
          <w:u w:val="single"/>
          <w14:textFill>
            <w14:solidFill>
              <w14:schemeClr w14:val="tx1"/>
            </w14:solidFill>
          </w14:textFill>
        </w:rPr>
        <w:t xml:space="preserve">00秒 </w:t>
      </w:r>
      <w:r>
        <w:rPr>
          <w:rFonts w:hint="eastAsia" w:ascii="仿宋" w:hAnsi="仿宋" w:eastAsia="仿宋" w:cs="仿宋"/>
          <w:color w:val="000000" w:themeColor="text1"/>
          <w:sz w:val="24"/>
          <w14:textFill>
            <w14:solidFill>
              <w14:schemeClr w14:val="tx1"/>
            </w14:solidFill>
          </w14:textFill>
        </w:rPr>
        <w:t>（北京时间）</w:t>
      </w:r>
    </w:p>
    <w:p>
      <w:pPr>
        <w:spacing w:line="360" w:lineRule="auto"/>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投标地点（网址）：</w:t>
      </w:r>
      <w:r>
        <w:rPr>
          <w:rFonts w:hint="eastAsia" w:ascii="仿宋" w:hAnsi="仿宋" w:eastAsia="仿宋" w:cs="仿宋"/>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仿宋" w:hAnsi="仿宋" w:eastAsia="仿宋" w:cs="仿宋"/>
          <w:bCs/>
          <w:color w:val="000000" w:themeColor="text1"/>
          <w:sz w:val="24"/>
          <w:u w:val="single"/>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开标时间：</w:t>
      </w:r>
      <w:r>
        <w:rPr>
          <w:rFonts w:hint="eastAsia" w:ascii="仿宋" w:hAnsi="仿宋" w:eastAsia="仿宋" w:cs="仿宋"/>
          <w:color w:val="000000" w:themeColor="text1"/>
          <w:sz w:val="24"/>
          <w:u w:val="single"/>
          <w14:textFill>
            <w14:solidFill>
              <w14:schemeClr w14:val="tx1"/>
            </w14:solidFill>
          </w14:textFill>
        </w:rPr>
        <w:t>2023年08月08日9点30分</w:t>
      </w:r>
      <w:r>
        <w:rPr>
          <w:rFonts w:hint="eastAsia" w:ascii="仿宋" w:hAnsi="仿宋" w:eastAsia="仿宋" w:cs="仿宋"/>
          <w:bCs/>
          <w:color w:val="000000" w:themeColor="text1"/>
          <w:sz w:val="24"/>
          <w:u w:val="single"/>
          <w14:textFill>
            <w14:solidFill>
              <w14:schemeClr w14:val="tx1"/>
            </w14:solidFill>
          </w14:textFill>
        </w:rPr>
        <w:t xml:space="preserve">00秒 </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开标地点（网址）：</w:t>
      </w:r>
      <w:r>
        <w:rPr>
          <w:rFonts w:hint="eastAsia" w:ascii="仿宋" w:hAnsi="仿宋" w:eastAsia="仿宋" w:cs="仿宋"/>
          <w:color w:val="000000" w:themeColor="text1"/>
          <w:sz w:val="24"/>
          <w14:textFill>
            <w14:solidFill>
              <w14:schemeClr w14:val="tx1"/>
            </w14:solidFill>
          </w14:textFill>
        </w:rPr>
        <w:t>政采云平台（https://www.zcygov.cn/），【杭州市公共资源交易中心建德分中心】建德市第</w:t>
      </w:r>
      <w:r>
        <w:rPr>
          <w:rFonts w:hint="eastAsia" w:ascii="仿宋" w:hAnsi="仿宋" w:eastAsia="仿宋" w:cs="仿宋"/>
          <w:color w:val="000000" w:themeColor="text1"/>
          <w:sz w:val="24"/>
          <w:lang w:eastAsia="zh-CN"/>
          <w14:textFill>
            <w14:solidFill>
              <w14:schemeClr w14:val="tx1"/>
            </w14:solidFill>
          </w14:textFill>
        </w:rPr>
        <w:t>四</w:t>
      </w:r>
      <w:r>
        <w:rPr>
          <w:rFonts w:hint="eastAsia" w:ascii="仿宋" w:hAnsi="仿宋" w:eastAsia="仿宋" w:cs="仿宋"/>
          <w:color w:val="000000" w:themeColor="text1"/>
          <w:sz w:val="24"/>
          <w14:textFill>
            <w14:solidFill>
              <w14:schemeClr w14:val="tx1"/>
            </w14:solidFill>
          </w14:textFill>
        </w:rPr>
        <w:t>评标室。（建德市洋安社区荷映路113号三楼） 通过“政府采购云平台（https://www.zcygov.cn/）”实行在线投标响应。</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五、公告期限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自本公告发布之日起5个工作日。</w:t>
      </w:r>
      <w:bookmarkStart w:id="560" w:name="_GoBack"/>
      <w:bookmarkEnd w:id="560"/>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六、其他补充事宜</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七、对本次采购提出询问、质疑、投诉，请按以下方式联系</w:t>
      </w:r>
    </w:p>
    <w:p>
      <w:pPr>
        <w:spacing w:line="360" w:lineRule="auto"/>
        <w:rPr>
          <w:rFonts w:ascii="仿宋" w:hAnsi="仿宋" w:eastAsia="仿宋" w:cs="仿宋"/>
          <w:color w:val="000000" w:themeColor="text1"/>
          <w:sz w:val="24"/>
          <w14:textFill>
            <w14:solidFill>
              <w14:schemeClr w14:val="tx1"/>
            </w14:solidFill>
          </w14:textFill>
        </w:rPr>
      </w:pPr>
      <w:bookmarkStart w:id="12" w:name="_Toc35393637"/>
      <w:bookmarkStart w:id="13" w:name="_Toc28359096"/>
      <w:bookmarkStart w:id="14" w:name="_Toc28359019"/>
      <w:bookmarkStart w:id="15" w:name="_Toc35393806"/>
      <w:r>
        <w:rPr>
          <w:rFonts w:hint="eastAsia" w:ascii="仿宋" w:hAnsi="仿宋" w:eastAsia="仿宋" w:cs="仿宋"/>
          <w:color w:val="000000" w:themeColor="text1"/>
          <w:sz w:val="24"/>
          <w14:textFill>
            <w14:solidFill>
              <w14:schemeClr w14:val="tx1"/>
            </w14:solidFill>
          </w14:textFill>
        </w:rPr>
        <w:t>1.采购人信息</w:t>
      </w:r>
      <w:bookmarkEnd w:id="12"/>
      <w:bookmarkEnd w:id="13"/>
      <w:bookmarkEnd w:id="14"/>
      <w:bookmarkEnd w:id="15"/>
      <w:r>
        <w:rPr>
          <w:rFonts w:hint="eastAsia" w:ascii="仿宋" w:hAnsi="仿宋" w:eastAsia="仿宋" w:cs="仿宋"/>
          <w:color w:val="000000" w:themeColor="text1"/>
          <w:sz w:val="24"/>
          <w14:textFill>
            <w14:solidFill>
              <w14:schemeClr w14:val="tx1"/>
            </w14:solidFill>
          </w14:textFill>
        </w:rPr>
        <w:t>：</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名    称：建德市规划和自然资源局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w:t>
      </w: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HYPERLINK "https://ditu.so.com/?pid=c8afba2093b72016&amp;new=1&amp;src=onebox" \o "建德市人民政府洋溪街道办事处" \t "https://www.so.com/_blank"</w:instrText>
      </w:r>
      <w:r>
        <w:rPr>
          <w:rFonts w:hint="eastAsia"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 xml:space="preserve">建德市新安东路20号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end"/>
      </w:r>
      <w:bookmarkStart w:id="16" w:name="_Toc35393638"/>
      <w:bookmarkStart w:id="17" w:name="_Toc28359020"/>
      <w:bookmarkStart w:id="18" w:name="_Toc35393807"/>
      <w:bookmarkStart w:id="19" w:name="_Toc28359097"/>
      <w:r>
        <w:rPr>
          <w:rFonts w:hint="eastAsia" w:ascii="仿宋" w:hAnsi="仿宋" w:eastAsia="仿宋" w:cs="仿宋"/>
          <w:color w:val="000000" w:themeColor="text1"/>
          <w:sz w:val="24"/>
          <w14:textFill>
            <w14:solidFill>
              <w14:schemeClr w14:val="tx1"/>
            </w14:solidFill>
          </w14:textFill>
        </w:rPr>
        <w:t>项目联系人（询问）：徐辉</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项目联系方式（询问）：15869160482</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质疑联系人：</w:t>
      </w:r>
      <w:r>
        <w:rPr>
          <w:rFonts w:hint="eastAsia" w:ascii="仿宋" w:hAnsi="仿宋" w:eastAsia="仿宋" w:cs="仿宋"/>
          <w:sz w:val="24"/>
        </w:rPr>
        <w:t>郑诗荟</w:t>
      </w:r>
    </w:p>
    <w:p>
      <w:pPr>
        <w:spacing w:line="360" w:lineRule="auto"/>
        <w:rPr>
          <w:rFonts w:hAnsi="宋体" w:eastAsia="仿宋" w:cs="宋体"/>
          <w:sz w:val="24"/>
        </w:rPr>
      </w:pPr>
      <w:r>
        <w:rPr>
          <w:rFonts w:hint="eastAsia" w:ascii="仿宋" w:hAnsi="仿宋" w:eastAsia="仿宋" w:cs="仿宋"/>
          <w:color w:val="000000" w:themeColor="text1"/>
          <w:sz w:val="24"/>
          <w14:textFill>
            <w14:solidFill>
              <w14:schemeClr w14:val="tx1"/>
            </w14:solidFill>
          </w14:textFill>
        </w:rPr>
        <w:t>质疑联系方式：</w:t>
      </w:r>
      <w:r>
        <w:rPr>
          <w:rFonts w:hint="eastAsia" w:hAnsi="宋体" w:eastAsia="仿宋" w:cs="宋体"/>
          <w:sz w:val="24"/>
        </w:rPr>
        <w:t>15858173246</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2.采购代理机构信息</w:t>
      </w:r>
      <w:bookmarkEnd w:id="16"/>
      <w:bookmarkEnd w:id="17"/>
      <w:bookmarkEnd w:id="18"/>
      <w:bookmarkEnd w:id="19"/>
      <w:r>
        <w:rPr>
          <w:rFonts w:hint="eastAsia" w:ascii="仿宋" w:hAnsi="仿宋" w:eastAsia="仿宋" w:cs="仿宋"/>
          <w:color w:val="000000" w:themeColor="text1"/>
          <w:sz w:val="24"/>
          <w14:textFill>
            <w14:solidFill>
              <w14:schemeClr w14:val="tx1"/>
            </w14:solidFill>
          </w14:textFill>
        </w:rPr>
        <w:t>：</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名    称：浙江辰光项目管理有限公司</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地    址：建德市新安东路100号4号楼1楼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项目联系人（询问）：高文峰</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项目联系方式（询问）：0571-64832556</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质疑联系人：杨修来</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质疑联系方式：0571-64814245</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3.同级政府采购监督管理部门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名    称：建德市采购办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地    址：建德市财政局 </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传    真：/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联系人 ：邵菁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监督投诉电话：0571-64718168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CA问题联系电话（人工）：汇信CA 400-888-4636；天谷CA 400-087-8198。</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pStyle w:val="3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p>
    <w:p>
      <w:pPr>
        <w:adjustRightInd/>
        <w:spacing w:line="360" w:lineRule="auto"/>
        <w:jc w:val="center"/>
        <w:outlineLvl w:val="0"/>
        <w:rPr>
          <w:rFonts w:ascii="仿宋" w:hAnsi="仿宋" w:eastAsia="仿宋" w:cs="仿宋"/>
          <w:b/>
          <w:color w:val="000000" w:themeColor="text1"/>
          <w:sz w:val="36"/>
          <w:szCs w:val="20"/>
          <w14:textFill>
            <w14:solidFill>
              <w14:schemeClr w14:val="tx1"/>
            </w14:solidFill>
          </w14:textFill>
        </w:rPr>
      </w:pPr>
      <w:r>
        <w:rPr>
          <w:rFonts w:hint="eastAsia" w:ascii="仿宋" w:hAnsi="仿宋" w:eastAsia="仿宋" w:cs="仿宋"/>
          <w:b/>
          <w:color w:val="000000" w:themeColor="text1"/>
          <w:sz w:val="36"/>
          <w:szCs w:val="20"/>
          <w14:textFill>
            <w14:solidFill>
              <w14:schemeClr w14:val="tx1"/>
            </w14:solidFill>
          </w14:textFill>
        </w:rPr>
        <w:br w:type="page"/>
      </w:r>
      <w:r>
        <w:rPr>
          <w:rFonts w:hint="eastAsia" w:ascii="仿宋" w:hAnsi="仿宋" w:eastAsia="仿宋" w:cs="仿宋"/>
          <w:b/>
          <w:color w:val="000000" w:themeColor="text1"/>
          <w:sz w:val="36"/>
          <w:szCs w:val="20"/>
          <w14:textFill>
            <w14:solidFill>
              <w14:schemeClr w14:val="tx1"/>
            </w14:solidFill>
          </w14:textFill>
        </w:rPr>
        <w:t>第二部分</w:t>
      </w:r>
      <w:bookmarkEnd w:id="8"/>
      <w:r>
        <w:rPr>
          <w:rFonts w:hint="eastAsia" w:ascii="仿宋" w:hAnsi="仿宋" w:eastAsia="仿宋" w:cs="仿宋"/>
          <w:b/>
          <w:color w:val="000000" w:themeColor="text1"/>
          <w:sz w:val="36"/>
          <w:szCs w:val="20"/>
          <w14:textFill>
            <w14:solidFill>
              <w14:schemeClr w14:val="tx1"/>
            </w14:solidFill>
          </w14:textFill>
        </w:rPr>
        <w:t xml:space="preserve"> 投标人须知</w:t>
      </w:r>
      <w:bookmarkEnd w:id="9"/>
    </w:p>
    <w:p>
      <w:pPr>
        <w:snapToGrid w:val="0"/>
        <w:spacing w:line="360" w:lineRule="auto"/>
        <w:jc w:val="center"/>
        <w:rPr>
          <w:rFonts w:ascii="仿宋" w:hAnsi="仿宋" w:eastAsia="仿宋" w:cs="仿宋"/>
          <w:b/>
          <w:color w:val="000000" w:themeColor="text1"/>
          <w:sz w:val="32"/>
          <w:szCs w:val="20"/>
          <w14:textFill>
            <w14:solidFill>
              <w14:schemeClr w14:val="tx1"/>
            </w14:solidFill>
          </w14:textFill>
        </w:rPr>
      </w:pPr>
      <w:r>
        <w:rPr>
          <w:rFonts w:hint="eastAsia" w:ascii="仿宋" w:hAnsi="仿宋" w:eastAsia="仿宋" w:cs="仿宋"/>
          <w:b/>
          <w:color w:val="000000" w:themeColor="text1"/>
          <w:sz w:val="32"/>
          <w:szCs w:val="20"/>
          <w14:textFill>
            <w14:solidFill>
              <w14:schemeClr w14:val="tx1"/>
            </w14:solidFill>
          </w14:textFill>
        </w:rPr>
        <w:t>前附表</w:t>
      </w:r>
    </w:p>
    <w:tbl>
      <w:tblPr>
        <w:tblStyle w:val="63"/>
        <w:tblW w:w="899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事项</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报价要求</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14:textFill>
                  <w14:solidFill>
                    <w14:schemeClr w14:val="tx1"/>
                  </w14:solidFill>
                </w14:textFill>
              </w:rPr>
              <w:t>开标一览表（报价表）是报价的唯一载体</w:t>
            </w:r>
            <w:r>
              <w:rPr>
                <w:rFonts w:hint="eastAsia" w:ascii="仿宋" w:hAnsi="仿宋" w:eastAsia="仿宋" w:cs="仿宋"/>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lang w:val="zh-CN"/>
                <w14:textFill>
                  <w14:solidFill>
                    <w14:schemeClr w14:val="tx1"/>
                  </w14:solidFill>
                </w14:textFill>
              </w:rPr>
              <w:t>提醒：验收时检测费用由中标人承担，包含在投标总价中。</w:t>
            </w:r>
          </w:p>
          <w:p>
            <w:pPr>
              <w:snapToGrid w:val="0"/>
              <w:spacing w:line="360" w:lineRule="auto"/>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240" w:firstLineChars="100"/>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240" w:firstLineChars="1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投标报价超过招标文件中规定的预算金额或者最高限价的;</w:t>
            </w:r>
          </w:p>
          <w:p>
            <w:pPr>
              <w:spacing w:line="360" w:lineRule="auto"/>
              <w:ind w:firstLine="240" w:firstLineChars="1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14:textFill>
                  <w14:solidFill>
                    <w14:schemeClr w14:val="tx1"/>
                  </w14:solidFill>
                </w14:textFill>
              </w:rPr>
              <w:t>;</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kern w:val="0"/>
                <w:sz w:val="24"/>
                <w14:textFill>
                  <w14:solidFill>
                    <w14:schemeClr w14:val="tx1"/>
                  </w14:solidFill>
                </w14:textFill>
              </w:rPr>
              <w:t>投标人对根据修正原则修正后的报价不确认的</w:t>
            </w:r>
            <w:r>
              <w:rPr>
                <w:rFonts w:hint="eastAsia" w:ascii="仿宋" w:hAnsi="仿宋" w:eastAsia="仿宋" w:cs="仿宋"/>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投标人应当提供的资格、资信证明文件</w:t>
            </w:r>
          </w:p>
        </w:tc>
        <w:tc>
          <w:tcPr>
            <w:tcW w:w="652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（1）资格证明文件：见招标文件第二部分11.1。</w:t>
            </w:r>
          </w:p>
          <w:p>
            <w:pPr>
              <w:spacing w:line="360" w:lineRule="auto"/>
              <w:rPr>
                <w:rFonts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p>
        </w:tc>
        <w:tc>
          <w:tcPr>
            <w:tcW w:w="652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项目属性与核心产品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采购标的对应的中小企业划分标准所属行业</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（1）标的：</w:t>
            </w:r>
            <w:r>
              <w:rPr>
                <w:rFonts w:hint="eastAsia" w:ascii="仿宋" w:hAnsi="仿宋" w:eastAsia="仿宋" w:cs="仿宋"/>
                <w:color w:val="000000" w:themeColor="text1"/>
                <w:kern w:val="0"/>
                <w:sz w:val="24"/>
                <w:u w:val="single"/>
                <w14:textFill>
                  <w14:solidFill>
                    <w14:schemeClr w14:val="tx1"/>
                  </w14:solidFill>
                </w14:textFill>
              </w:rPr>
              <w:t>建德市园地林地草地定级和基准地价制定技术服务采购项目</w:t>
            </w:r>
            <w:r>
              <w:rPr>
                <w:rFonts w:hint="eastAsia" w:ascii="仿宋" w:hAnsi="仿宋" w:eastAsia="仿宋" w:cs="仿宋"/>
                <w:color w:val="000000" w:themeColor="text1"/>
                <w:kern w:val="0"/>
                <w:sz w:val="24"/>
                <w14:textFill>
                  <w14:solidFill>
                    <w14:schemeClr w14:val="tx1"/>
                  </w14:solidFill>
                </w14:textFill>
              </w:rPr>
              <w:t>，属于</w:t>
            </w:r>
            <w:r>
              <w:rPr>
                <w:rFonts w:hint="eastAsia" w:ascii="仿宋" w:hAnsi="仿宋" w:eastAsia="仿宋" w:cs="仿宋"/>
                <w:color w:val="000000" w:themeColor="text1"/>
                <w:kern w:val="0"/>
                <w:sz w:val="24"/>
                <w:u w:val="single"/>
                <w14:textFill>
                  <w14:solidFill>
                    <w14:schemeClr w14:val="tx1"/>
                  </w14:solidFill>
                </w14:textFill>
              </w:rPr>
              <w:t>其他未列明</w:t>
            </w:r>
            <w:r>
              <w:rPr>
                <w:rFonts w:hint="eastAsia" w:ascii="仿宋" w:hAnsi="仿宋" w:eastAsia="仿宋" w:cs="仿宋"/>
                <w:color w:val="000000" w:themeColor="text1"/>
                <w:kern w:val="0"/>
                <w:sz w:val="24"/>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2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100" w:beforeAutospacing="1" w:after="100" w:afterAutospacing="1" w:line="360" w:lineRule="auto"/>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100" w:beforeAutospacing="1" w:after="100" w:afterAutospacing="1" w:line="360" w:lineRule="auto"/>
              <w:jc w:val="center"/>
              <w:rPr>
                <w:rFonts w:ascii="仿宋" w:hAnsi="仿宋" w:eastAsia="仿宋" w:cs="仿宋"/>
                <w:color w:val="000000" w:themeColor="text1"/>
                <w:kern w:val="0"/>
                <w:sz w:val="24"/>
                <w:lang w:val="zh-CN"/>
                <w14:textFill>
                  <w14:solidFill>
                    <w14:schemeClr w14:val="tx1"/>
                  </w14:solidFill>
                </w14:textFill>
              </w:rPr>
            </w:pPr>
            <w:r>
              <w:rPr>
                <w:rFonts w:ascii="仿宋" w:hAnsi="仿宋" w:eastAsia="仿宋" w:cs="仿宋"/>
                <w:color w:val="000000" w:themeColor="text1"/>
                <w:kern w:val="0"/>
                <w:sz w:val="24"/>
                <w:lang w:val="zh-CN"/>
                <w14:textFill>
                  <w14:solidFill>
                    <w14:schemeClr w14:val="tx1"/>
                  </w14:solidFill>
                </w14:textFill>
              </w:rPr>
              <w:t>分包</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before="100" w:beforeAutospacing="1" w:after="100" w:afterAutospacing="1"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sym w:font="Wingdings" w:char="00A8"/>
            </w:r>
            <w:r>
              <w:rPr>
                <w:rFonts w:ascii="仿宋" w:hAnsi="仿宋" w:eastAsia="仿宋" w:cs="仿宋"/>
                <w:color w:val="000000" w:themeColor="text1"/>
                <w:kern w:val="0"/>
                <w:sz w:val="24"/>
                <w:lang w:val="zh-CN"/>
                <w14:textFill>
                  <w14:solidFill>
                    <w14:schemeClr w14:val="tx1"/>
                  </w14:solidFill>
                </w14:textFill>
              </w:rPr>
              <w:t>A同意将非主体、非关键性的工作分包。</w:t>
            </w:r>
          </w:p>
          <w:p>
            <w:pPr>
              <w:spacing w:before="100" w:beforeAutospacing="1" w:after="100" w:afterAutospacing="1"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sym w:font="Wingdings" w:char="00FE"/>
            </w:r>
            <w:r>
              <w:rPr>
                <w:rFonts w:ascii="仿宋" w:hAnsi="仿宋" w:eastAsia="仿宋" w:cs="仿宋"/>
                <w:color w:val="000000" w:themeColor="text1"/>
                <w:kern w:val="0"/>
                <w:sz w:val="24"/>
                <w:lang w:val="zh-CN"/>
                <w14:textFill>
                  <w14:solidFill>
                    <w14:schemeClr w14:val="tx1"/>
                  </w14:solidFill>
                </w14:textFill>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节能产品、环境标志产品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中小企业信用融资</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color w:val="000000" w:themeColor="text1"/>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000000" w:themeColor="text1"/>
                <w14:textFill>
                  <w14:solidFill>
                    <w14:schemeClr w14:val="tx1"/>
                  </w14:solidFill>
                </w14:textFill>
              </w:rPr>
            </w:pPr>
          </w:p>
        </w:tc>
        <w:tc>
          <w:tcPr>
            <w:tcW w:w="6520" w:type="dxa"/>
            <w:tcBorders>
              <w:top w:val="single" w:color="000000" w:sz="8" w:space="0"/>
              <w:left w:val="single" w:color="000000" w:sz="2" w:space="0"/>
              <w:right w:val="single" w:color="000000" w:sz="8" w:space="0"/>
            </w:tcBorders>
            <w:vAlign w:val="center"/>
          </w:tcPr>
          <w:p>
            <w:pPr>
              <w:snapToGrid w:val="0"/>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供应商中标后也可在“政采云”平台（登录https://jinrong.zcygov.cn/?utm=a0017.b1540.ct001.11.3a0260f064fd11eba8f1adac56aaf47c办理业务）申请政采贷：操作路径：登录政采云平台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备份投标文件送达地点和签收人员 </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400" w:lineRule="exact"/>
              <w:rPr>
                <w:rFonts w:ascii="仿宋" w:hAnsi="仿宋" w:eastAsia="仿宋" w:cs="仿宋"/>
                <w:color w:val="000000" w:themeColor="text1"/>
                <w:kern w:val="28"/>
                <w:sz w:val="24"/>
                <w:szCs w:val="24"/>
                <w14:textFill>
                  <w14:solidFill>
                    <w14:schemeClr w14:val="tx1"/>
                  </w14:solidFill>
                </w14:textFill>
              </w:rPr>
            </w:pPr>
            <w:r>
              <w:rPr>
                <w:rFonts w:hint="eastAsia" w:ascii="仿宋" w:hAnsi="仿宋" w:eastAsia="仿宋" w:cs="仿宋"/>
                <w:color w:val="000000" w:themeColor="text1"/>
                <w:kern w:val="28"/>
                <w:sz w:val="24"/>
                <w:szCs w:val="24"/>
                <w14:textFill>
                  <w14:solidFill>
                    <w14:schemeClr w14:val="tx1"/>
                  </w14:solidFill>
                </w14:textFill>
              </w:rPr>
              <w:t>备份响应文件送达地点：</w:t>
            </w:r>
            <w:r>
              <w:rPr>
                <w:rFonts w:hint="eastAsia" w:ascii="仿宋" w:hAnsi="仿宋" w:eastAsia="仿宋" w:cs="仿宋"/>
                <w:sz w:val="24"/>
              </w:rPr>
              <w:t>建德市新安东路100号4号楼1楼</w:t>
            </w:r>
            <w:r>
              <w:rPr>
                <w:rFonts w:hint="eastAsia" w:ascii="仿宋" w:hAnsi="仿宋" w:eastAsia="仿宋" w:cs="仿宋"/>
                <w:color w:val="000000" w:themeColor="text1"/>
                <w:kern w:val="28"/>
                <w:sz w:val="24"/>
                <w:szCs w:val="24"/>
                <w14:textFill>
                  <w14:solidFill>
                    <w14:schemeClr w14:val="tx1"/>
                  </w14:solidFill>
                </w14:textFill>
              </w:rPr>
              <w:t>；</w:t>
            </w:r>
          </w:p>
          <w:p>
            <w:pPr>
              <w:pStyle w:val="33"/>
              <w:snapToGrid w:val="0"/>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8"/>
                <w:sz w:val="24"/>
                <w:szCs w:val="24"/>
                <w14:textFill>
                  <w14:solidFill>
                    <w14:schemeClr w14:val="tx1"/>
                  </w14:solidFill>
                </w14:textFill>
              </w:rPr>
              <w:t>备份响应文件签收联系人：</w:t>
            </w:r>
            <w:r>
              <w:rPr>
                <w:rFonts w:hint="eastAsia" w:ascii="仿宋" w:hAnsi="仿宋" w:eastAsia="仿宋" w:cs="仿宋"/>
                <w:color w:val="000000" w:themeColor="text1"/>
                <w:kern w:val="28"/>
                <w:sz w:val="24"/>
                <w:szCs w:val="24"/>
                <w:u w:val="single"/>
                <w14:textFill>
                  <w14:solidFill>
                    <w14:schemeClr w14:val="tx1"/>
                  </w14:solidFill>
                </w14:textFill>
              </w:rPr>
              <w:t>高文峰</w:t>
            </w:r>
            <w:r>
              <w:rPr>
                <w:rFonts w:hint="eastAsia" w:ascii="仿宋" w:hAnsi="仿宋" w:eastAsia="仿宋" w:cs="仿宋"/>
                <w:color w:val="000000" w:themeColor="text1"/>
                <w:kern w:val="28"/>
                <w:sz w:val="24"/>
                <w:szCs w:val="24"/>
                <w14:textFill>
                  <w14:solidFill>
                    <w14:schemeClr w14:val="tx1"/>
                  </w14:solidFill>
                </w14:textFill>
              </w:rPr>
              <w:t>；联系电话：</w:t>
            </w:r>
            <w:r>
              <w:rPr>
                <w:rFonts w:ascii="仿宋" w:hAnsi="仿宋" w:eastAsia="仿宋" w:cs="仿宋"/>
                <w:color w:val="000000" w:themeColor="text1"/>
                <w:kern w:val="28"/>
                <w:sz w:val="24"/>
                <w:szCs w:val="24"/>
                <w:u w:val="single"/>
                <w14:textFill>
                  <w14:solidFill>
                    <w14:schemeClr w14:val="tx1"/>
                  </w14:solidFill>
                </w14:textFill>
              </w:rPr>
              <w:t>13567156296</w:t>
            </w:r>
            <w:r>
              <w:rPr>
                <w:rFonts w:hint="eastAsia" w:ascii="仿宋" w:hAnsi="仿宋" w:eastAsia="仿宋" w:cs="仿宋"/>
                <w:color w:val="000000" w:themeColor="text1"/>
                <w:sz w:val="24"/>
                <w:szCs w:val="24"/>
                <w14:textFill>
                  <w14:solidFill>
                    <w14:schemeClr w14:val="tx1"/>
                  </w14:solidFill>
                </w14:textFill>
              </w:rPr>
              <w:t>。</w:t>
            </w:r>
          </w:p>
          <w:p>
            <w:pPr>
              <w:pStyle w:val="33"/>
              <w:spacing w:line="360" w:lineRule="auto"/>
              <w:rPr>
                <w:rFonts w:ascii="仿宋" w:hAnsi="仿宋" w:eastAsia="仿宋" w:cs="仿宋"/>
                <w:color w:val="000000" w:themeColor="text1"/>
                <w:kern w:val="28"/>
                <w:sz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采购代理机构代理费用</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rPr>
            </w:pPr>
            <w:r>
              <w:rPr>
                <w:rFonts w:hint="eastAsia"/>
              </w:rPr>
              <w:t>投标总报价应含采购服务费，采购服务费按照国家发展计划委员会计价格[2002]1980 号文《招标代理服务费管理暂行办法》及发改办价格[2003]857号文的收费标准（服务类）计取，采购服务费为人民币（¥：</w:t>
            </w:r>
            <w:r>
              <w:rPr>
                <w:rFonts w:hint="eastAsia"/>
                <w:lang w:val="en-US" w:eastAsia="zh-CN"/>
              </w:rPr>
              <w:t>10500.00</w:t>
            </w:r>
            <w:r>
              <w:rPr>
                <w:rFonts w:hint="eastAsia"/>
              </w:rPr>
              <w:t>）。由各中标供应商在领取中标通知书时支付给采购代理公司。</w:t>
            </w:r>
          </w:p>
          <w:p>
            <w:pPr>
              <w:snapToGrid/>
              <w:spacing w:line="360" w:lineRule="auto"/>
              <w:rPr>
                <w:rFonts w:hint="eastAsia" w:ascii="Times New Roman" w:hAnsi="Times New Roman" w:eastAsia="宋体" w:cs="Times New Roman"/>
                <w:snapToGrid/>
                <w:kern w:val="2"/>
                <w:sz w:val="21"/>
              </w:rPr>
            </w:pPr>
            <w:r>
              <w:rPr>
                <w:rFonts w:hint="eastAsia" w:ascii="Times New Roman" w:hAnsi="Times New Roman" w:eastAsia="宋体" w:cs="Times New Roman"/>
                <w:snapToGrid/>
                <w:kern w:val="2"/>
                <w:sz w:val="21"/>
              </w:rPr>
              <w:t>收款单位（户名）：浙江辰光项目管理有限公司</w:t>
            </w:r>
          </w:p>
          <w:p>
            <w:pPr>
              <w:snapToGrid/>
              <w:spacing w:line="360" w:lineRule="auto"/>
              <w:rPr>
                <w:rFonts w:hint="eastAsia" w:ascii="Times New Roman" w:hAnsi="Times New Roman" w:eastAsia="宋体" w:cs="Times New Roman"/>
                <w:snapToGrid/>
                <w:kern w:val="2"/>
                <w:sz w:val="21"/>
              </w:rPr>
            </w:pPr>
            <w:r>
              <w:rPr>
                <w:rFonts w:hint="eastAsia" w:ascii="Times New Roman" w:hAnsi="Times New Roman" w:eastAsia="宋体" w:cs="Times New Roman"/>
                <w:snapToGrid/>
                <w:kern w:val="2"/>
                <w:sz w:val="21"/>
              </w:rPr>
              <w:t>开户行：中国工商银行淳安县支行</w:t>
            </w:r>
          </w:p>
          <w:p>
            <w:pPr>
              <w:spacing w:line="360" w:lineRule="auto"/>
            </w:pPr>
            <w:r>
              <w:rPr>
                <w:rFonts w:hint="eastAsia" w:ascii="Times New Roman" w:hAnsi="Times New Roman" w:eastAsia="宋体" w:cs="Times New Roman"/>
                <w:snapToGrid/>
                <w:kern w:val="2"/>
                <w:sz w:val="21"/>
              </w:rPr>
              <w:t>账号：120 202 910 990 025 7940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违规责任</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400" w:lineRule="exact"/>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snapToGrid/>
                <w:color w:val="000000" w:themeColor="text1"/>
                <w:sz w:val="24"/>
                <w:szCs w:val="24"/>
                <w14:textFill>
                  <w14:solidFill>
                    <w14:schemeClr w14:val="tx1"/>
                  </w14:solidFill>
                </w14:textFill>
              </w:rPr>
              <w:t>供应商在政府采购活动中违反政府采购相关规定放弃中标（成交）资格的，采购组织机构有权要求其承担采购服务费和专家评审费等费用。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特别说明</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联合体投标的或者以分包方式履行合同的，联合体各方（供应商与分包供应商）分别提供与联合体协议（分包意向协议）中规定的分工内容相应的业绩证明材料，业绩数量以提供材料较少的一方为准。</w:t>
            </w:r>
          </w:p>
          <w:p>
            <w:pPr>
              <w:spacing w:line="360" w:lineRule="auto"/>
              <w:rPr>
                <w:rFonts w:ascii="仿宋" w:hAnsi="仿宋" w:eastAsia="仿宋" w:cs="仿宋"/>
                <w:snapToGrid w:val="0"/>
                <w:color w:val="000000" w:themeColor="text1"/>
                <w:kern w:val="28"/>
                <w:sz w:val="24"/>
                <w14:textFill>
                  <w14:solidFill>
                    <w14:schemeClr w14:val="tx1"/>
                  </w14:solidFill>
                </w14:textFill>
              </w:rPr>
            </w:pPr>
            <w:r>
              <w:rPr>
                <w:rFonts w:ascii="Segoe UI Symbol" w:hAnsi="Segoe UI Symbol" w:eastAsia="仿宋" w:cs="Segoe UI Symbol"/>
                <w:snapToGrid w:val="0"/>
                <w:color w:val="000000" w:themeColor="text1"/>
                <w:kern w:val="28"/>
                <w:sz w:val="24"/>
                <w14:textFill>
                  <w14:solidFill>
                    <w14:schemeClr w14:val="tx1"/>
                  </w14:solidFill>
                </w14:textFill>
              </w:rPr>
              <w:t>☐</w:t>
            </w:r>
            <w:r>
              <w:rPr>
                <w:rFonts w:hint="eastAsia" w:ascii="仿宋" w:hAnsi="仿宋" w:eastAsia="仿宋" w:cs="仿宋"/>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pStyle w:val="5"/>
              <w:rPr>
                <w:rFonts w:ascii="仿宋" w:eastAsia="仿宋" w:cs="仿宋"/>
                <w:b w:val="0"/>
                <w:bCs w:val="0"/>
                <w:snapToGrid w:val="0"/>
                <w:color w:val="000000" w:themeColor="text1"/>
                <w:kern w:val="28"/>
                <w:sz w:val="24"/>
                <w:szCs w:val="24"/>
                <w:lang w:val="en-US"/>
                <w14:textFill>
                  <w14:solidFill>
                    <w14:schemeClr w14:val="tx1"/>
                  </w14:solidFill>
                </w14:textFill>
              </w:rPr>
            </w:pPr>
            <w:r>
              <w:rPr>
                <w:rFonts w:hint="eastAsia" w:ascii="仿宋" w:eastAsia="仿宋" w:cs="仿宋"/>
                <w:b w:val="0"/>
                <w:bCs w:val="0"/>
                <w:snapToGrid w:val="0"/>
                <w:color w:val="000000" w:themeColor="text1"/>
                <w:kern w:val="28"/>
                <w:sz w:val="24"/>
                <w:szCs w:val="24"/>
                <w:lang w:val="en-US"/>
                <w14:textFill>
                  <w14:solidFill>
                    <w14:schemeClr w14:val="tx1"/>
                  </w14:solidFill>
                </w14:textFill>
              </w:rPr>
              <w:sym w:font="Wingdings" w:char="F0FE"/>
            </w:r>
            <w:r>
              <w:rPr>
                <w:rFonts w:hint="eastAsia" w:ascii="仿宋" w:eastAsia="仿宋" w:cs="仿宋"/>
                <w:b w:val="0"/>
                <w:bCs w:val="0"/>
                <w:snapToGrid w:val="0"/>
                <w:color w:val="000000" w:themeColor="text1"/>
                <w:kern w:val="28"/>
                <w:sz w:val="24"/>
                <w:szCs w:val="24"/>
                <w:lang w:val="en-US"/>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备注</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eastAsia="仿宋" w:cs="仿宋"/>
                <w:b w:val="0"/>
                <w:bCs w:val="0"/>
                <w:snapToGrid w:val="0"/>
                <w:color w:val="000000" w:themeColor="text1"/>
                <w:kern w:val="28"/>
                <w:sz w:val="24"/>
                <w:szCs w:val="24"/>
                <w:lang w:val="en-US"/>
                <w14:textFill>
                  <w14:solidFill>
                    <w14:schemeClr w14:val="tx1"/>
                  </w14:solidFill>
                </w14:textFill>
              </w:rPr>
            </w:pPr>
            <w:r>
              <w:rPr>
                <w:rFonts w:hint="eastAsia" w:ascii="仿宋" w:hAnsi="仿宋" w:eastAsia="仿宋" w:cs="宋体"/>
                <w:snapToGrid w:val="0"/>
                <w:color w:val="000000" w:themeColor="text1"/>
                <w:kern w:val="28"/>
                <w:sz w:val="24"/>
                <w14:textFill>
                  <w14:solidFill>
                    <w14:schemeClr w14:val="tx1"/>
                  </w14:solidFill>
                </w14:textFill>
              </w:rPr>
              <w:t>中标后提供纸质投标文件正本1份，副本1份。</w:t>
            </w:r>
          </w:p>
        </w:tc>
      </w:tr>
    </w:tbl>
    <w:p>
      <w:pPr>
        <w:snapToGrid w:val="0"/>
        <w:spacing w:line="360" w:lineRule="auto"/>
        <w:jc w:val="center"/>
        <w:rPr>
          <w:rFonts w:ascii="仿宋" w:hAnsi="仿宋" w:eastAsia="仿宋" w:cs="仿宋"/>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0"/>
        <w:rPr>
          <w:rFonts w:ascii="仿宋" w:hAnsi="仿宋" w:eastAsia="仿宋" w:cs="仿宋"/>
          <w:b/>
          <w:color w:val="000000" w:themeColor="text1"/>
          <w:sz w:val="32"/>
          <w:szCs w:val="20"/>
          <w14:textFill>
            <w14:solidFill>
              <w14:schemeClr w14:val="tx1"/>
            </w14:solidFill>
          </w14:textFill>
        </w:rPr>
      </w:pPr>
      <w:bookmarkStart w:id="20" w:name="_Toc164416483"/>
      <w:bookmarkStart w:id="21" w:name="第三部分"/>
      <w:r>
        <w:rPr>
          <w:rFonts w:hint="eastAsia" w:ascii="仿宋" w:hAnsi="仿宋" w:eastAsia="仿宋" w:cs="仿宋"/>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   2.定义</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“采购机构”系指招标公告中载明的本项目的采购机构。</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 “▲” 系指实质性要求条款，“★”系产品采购项目中单一产品或核心产品，“</w:t>
      </w:r>
      <w:sdt>
        <w:sdtPr>
          <w:rPr>
            <w:rFonts w:hint="eastAsia" w:ascii="仿宋" w:hAnsi="仿宋" w:eastAsia="仿宋" w:cs="仿宋"/>
            <w:color w:val="000000" w:themeColor="text1"/>
            <w:kern w:val="0"/>
            <w:sz w:val="24"/>
            <w14:textFill>
              <w14:solidFill>
                <w14:schemeClr w14:val="tx1"/>
              </w14:solidFill>
            </w14:textFill>
          </w:rPr>
          <w:id w:val="404888855"/>
        </w:sdtPr>
        <w:sdtEndPr>
          <w:rPr>
            <w:rFonts w:hint="eastAsia" w:ascii="仿宋" w:hAnsi="仿宋" w:eastAsia="仿宋" w:cs="仿宋"/>
            <w:color w:val="000000" w:themeColor="text1"/>
            <w:kern w:val="0"/>
            <w:sz w:val="24"/>
            <w14:textFill>
              <w14:solidFill>
                <w14:schemeClr w14:val="tx1"/>
              </w14:solidFill>
            </w14:textFill>
          </w:rPr>
        </w:sdtEndPr>
        <w:sdtContent>
          <w:r>
            <w:rPr>
              <w:rFonts w:ascii="Wingdings" w:hAnsi="Wingdings" w:eastAsia="仿宋" w:cs="仿宋"/>
              <w:color w:val="000000" w:themeColor="text1"/>
              <w:kern w:val="0"/>
              <w:sz w:val="24"/>
              <w14:textFill>
                <w14:solidFill>
                  <w14:schemeClr w14:val="tx1"/>
                </w14:solidFill>
              </w14:textFill>
            </w:rPr>
            <w:t></w:t>
          </w:r>
        </w:sdtContent>
      </w:sdt>
      <w:r>
        <w:rPr>
          <w:rFonts w:hint="eastAsia" w:ascii="仿宋" w:hAnsi="仿宋" w:eastAsia="仿宋" w:cs="仿宋"/>
          <w:color w:val="000000" w:themeColor="text1"/>
          <w:sz w:val="24"/>
          <w14:textFill>
            <w14:solidFill>
              <w14:schemeClr w14:val="tx1"/>
            </w14:solidFill>
          </w14:textFill>
        </w:rPr>
        <w:t>”系指适用本项目的要求，“</w:t>
      </w:r>
      <w:sdt>
        <w:sdtPr>
          <w:rPr>
            <w:rFonts w:hint="eastAsia" w:ascii="仿宋" w:hAnsi="仿宋" w:eastAsia="仿宋" w:cs="仿宋"/>
            <w:color w:val="000000" w:themeColor="text1"/>
            <w:kern w:val="0"/>
            <w:sz w:val="24"/>
            <w14:textFill>
              <w14:solidFill>
                <w14:schemeClr w14:val="tx1"/>
              </w14:solidFill>
            </w14:textFill>
          </w:rPr>
          <w:id w:val="339290892"/>
        </w:sdtPr>
        <w:sdtEndPr>
          <w:rPr>
            <w:rFonts w:hint="eastAsia" w:ascii="仿宋" w:hAnsi="仿宋" w:eastAsia="仿宋" w:cs="仿宋"/>
            <w:color w:val="000000" w:themeColor="text1"/>
            <w:kern w:val="0"/>
            <w:sz w:val="24"/>
            <w14:textFill>
              <w14:solidFill>
                <w14:schemeClr w14:val="tx1"/>
              </w14:solidFill>
            </w14:textFill>
          </w:rPr>
        </w:sdtEndPr>
        <w:sdtContent>
          <w:r>
            <w:rPr>
              <w:rFonts w:hint="eastAsia" w:ascii="仿宋" w:hAnsi="仿宋" w:eastAsia="仿宋" w:cs="仿宋"/>
              <w:color w:val="000000" w:themeColor="text1"/>
              <w:kern w:val="0"/>
              <w:sz w:val="24"/>
              <w14:textFill>
                <w14:solidFill>
                  <w14:schemeClr w14:val="tx1"/>
                </w14:solidFill>
              </w14:textFill>
            </w:rPr>
            <w:t>☐</w:t>
          </w:r>
        </w:sdtContent>
      </w:sdt>
      <w:r>
        <w:rPr>
          <w:rFonts w:hint="eastAsia" w:ascii="仿宋" w:hAnsi="仿宋" w:eastAsia="仿宋" w:cs="仿宋"/>
          <w:color w:val="000000" w:themeColor="text1"/>
          <w:sz w:val="24"/>
          <w14:textFill>
            <w14:solidFill>
              <w14:schemeClr w14:val="tx1"/>
            </w14:solidFill>
          </w14:textFill>
        </w:rPr>
        <w:t>” 系指不适用本项目的要求。</w:t>
      </w:r>
    </w:p>
    <w:p>
      <w:pPr>
        <w:spacing w:line="360" w:lineRule="auto"/>
        <w:ind w:firstLine="241" w:firstLineChars="1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3.采购项目需要落实的政府采购政策</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支持绿色发展</w:t>
      </w:r>
    </w:p>
    <w:p>
      <w:pPr>
        <w:spacing w:line="360" w:lineRule="auto"/>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3.3支持中小企业发展</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3.3.2</w:t>
      </w:r>
      <w:r>
        <w:rPr>
          <w:rFonts w:hint="eastAsia" w:ascii="仿宋" w:hAnsi="仿宋" w:eastAsia="仿宋" w:cs="仿宋"/>
          <w:color w:val="000000" w:themeColor="text1"/>
          <w:kern w:val="0"/>
          <w:sz w:val="24"/>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w:t>
      </w:r>
      <w:r>
        <w:rPr>
          <w:rFonts w:hint="eastAsia" w:ascii="仿宋" w:hAnsi="仿宋" w:eastAsia="仿宋" w:cs="仿宋"/>
          <w:bCs/>
          <w:color w:val="000000" w:themeColor="text1"/>
          <w:sz w:val="24"/>
          <w14:textFill>
            <w14:solidFill>
              <w14:schemeClr w14:val="tx1"/>
            </w14:solidFill>
          </w14:textFill>
        </w:rPr>
        <w:t>支持创新发展</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3.5中小企业信用融资：</w:t>
      </w:r>
      <w:r>
        <w:rPr>
          <w:rFonts w:hint="eastAsia" w:ascii="仿宋" w:hAnsi="仿宋" w:eastAsia="仿宋" w:cs="仿宋"/>
          <w:color w:val="000000" w:themeColor="text1"/>
          <w:kern w:val="0"/>
          <w:sz w:val="24"/>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仿宋" w:hAnsi="仿宋" w:eastAsia="仿宋" w:cs="仿宋"/>
          <w:snapToGrid w:val="0"/>
          <w:color w:val="000000" w:themeColor="text1"/>
          <w:kern w:val="28"/>
          <w:sz w:val="24"/>
          <w14:textFill>
            <w14:solidFill>
              <w14:schemeClr w14:val="tx1"/>
            </w14:solidFill>
          </w14:textFill>
        </w:rPr>
        <w:t>供</w:t>
      </w:r>
      <w:r>
        <w:rPr>
          <w:rFonts w:hint="eastAsia" w:ascii="仿宋" w:hAnsi="仿宋" w:eastAsia="仿宋" w:cs="仿宋"/>
          <w:color w:val="000000" w:themeColor="text1"/>
          <w:kern w:val="0"/>
          <w:sz w:val="24"/>
          <w14:textFill>
            <w14:solidFill>
              <w14:schemeClr w14:val="tx1"/>
            </w14:solidFill>
          </w14:textFill>
        </w:rPr>
        <w:t>应商中标后也可在“政采云”平台（登录https://jinrong.zcygov.cn/?utm=a0017.b1540.ct001.11.3a0260f064fd11eba8f1adac56aaf47c办理业务）申请政采贷：操作路径：登录政采云平台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r>
        <w:rPr>
          <w:rFonts w:hint="eastAsia" w:ascii="仿宋" w:hAnsi="仿宋" w:eastAsia="仿宋" w:cs="仿宋"/>
          <w:color w:val="000000" w:themeColor="text1"/>
          <w:sz w:val="24"/>
          <w14:textFill>
            <w14:solidFill>
              <w14:schemeClr w14:val="tx1"/>
            </w14:solidFill>
          </w14:textFill>
        </w:rPr>
        <w:cr/>
      </w:r>
      <w:r>
        <w:rPr>
          <w:rFonts w:hint="eastAsia" w:ascii="仿宋" w:hAnsi="仿宋" w:eastAsia="仿宋" w:cs="仿宋"/>
          <w:b/>
          <w:color w:val="000000" w:themeColor="text1"/>
          <w:sz w:val="24"/>
          <w14:textFill>
            <w14:solidFill>
              <w14:schemeClr w14:val="tx1"/>
            </w14:solidFill>
          </w14:textFill>
        </w:rPr>
        <w:t>4. 询问、质疑、投诉</w:t>
      </w:r>
    </w:p>
    <w:p>
      <w:pPr>
        <w:autoSpaceDE w:val="0"/>
        <w:autoSpaceDN w:val="0"/>
        <w:spacing w:line="360" w:lineRule="auto"/>
        <w:ind w:firstLine="240" w:firstLineChars="1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4.1供应商询问</w:t>
      </w:r>
    </w:p>
    <w:p>
      <w:pPr>
        <w:autoSpaceDE w:val="0"/>
        <w:autoSpaceDN w:val="0"/>
        <w:spacing w:line="360" w:lineRule="auto"/>
        <w:ind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4.2供应商质疑</w:t>
      </w:r>
    </w:p>
    <w:p>
      <w:pPr>
        <w:pStyle w:val="33"/>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4.2</w:t>
      </w:r>
      <w:r>
        <w:rPr>
          <w:rFonts w:hint="eastAsia" w:ascii="仿宋" w:hAnsi="仿宋" w:eastAsia="仿宋" w:cs="仿宋"/>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4.2</w:t>
      </w:r>
      <w:r>
        <w:rPr>
          <w:rFonts w:hint="eastAsia" w:ascii="仿宋" w:hAnsi="仿宋" w:eastAsia="仿宋" w:cs="仿宋"/>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
        <w:spacing w:line="360" w:lineRule="auto"/>
        <w:ind w:firstLine="480" w:firstLineChars="200"/>
        <w:rPr>
          <w:rFonts w:ascii="仿宋" w:hAnsi="仿宋" w:eastAsia="仿宋" w:cs="仿宋"/>
          <w:snapToGrid/>
          <w:color w:val="000000" w:themeColor="text1"/>
          <w:kern w:val="2"/>
          <w:sz w:val="24"/>
          <w14:textFill>
            <w14:solidFill>
              <w14:schemeClr w14:val="tx1"/>
            </w14:solidFill>
          </w14:textFill>
        </w:rPr>
      </w:pPr>
      <w:r>
        <w:rPr>
          <w:rFonts w:hint="eastAsia" w:ascii="仿宋" w:hAnsi="仿宋" w:eastAsia="仿宋" w:cs="仿宋"/>
          <w:snapToGrid/>
          <w:color w:val="000000" w:themeColor="text1"/>
          <w:kern w:val="2"/>
          <w:sz w:val="24"/>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4.2.3</w:t>
      </w:r>
      <w:r>
        <w:rPr>
          <w:rFonts w:hint="eastAsia" w:ascii="仿宋" w:hAnsi="仿宋" w:eastAsia="仿宋" w:cs="仿宋"/>
          <w:color w:val="000000" w:themeColor="text1"/>
          <w:sz w:val="24"/>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4.2.3.1供应商的姓名或者名称、地址、邮编、联系人及联系电话；</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4.2.3.2质疑项目的名称、编号；</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4.2.3.3具体、明确的质疑事项和与质疑事项相关的请求；</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4.2.3.4事实依据；</w:t>
      </w:r>
    </w:p>
    <w:p>
      <w:pPr>
        <w:pStyle w:val="33"/>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4.2.3.5必要的法律依据；</w:t>
      </w:r>
    </w:p>
    <w:p>
      <w:pPr>
        <w:pStyle w:val="33"/>
        <w:spacing w:line="360" w:lineRule="auto"/>
        <w:ind w:firstLine="960" w:firstLineChars="4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4.2.3.6提出质疑的日期。</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质疑函范本及制作说明详见附件2。</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4.2</w:t>
      </w:r>
      <w:r>
        <w:rPr>
          <w:rFonts w:hint="eastAsia" w:ascii="仿宋" w:hAnsi="仿宋" w:eastAsia="仿宋" w:cs="仿宋"/>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建德市财政局关于转发“《杭州市财政局关于进一步加强政府采购信息公开优化营商环境的通知》（杭财采监〔2021〕17号）”的通知（</w:t>
      </w:r>
      <w:r>
        <w:rPr>
          <w:rFonts w:hint="eastAsia" w:ascii="仿宋" w:hAnsi="仿宋" w:eastAsia="仿宋" w:cs="仿宋"/>
          <w:color w:val="000000" w:themeColor="text1"/>
          <w:szCs w:val="30"/>
          <w14:textFill>
            <w14:solidFill>
              <w14:schemeClr w14:val="tx1"/>
            </w14:solidFill>
          </w14:textFill>
        </w:rPr>
        <w:t>建财采监〔2021〕68号</w:t>
      </w:r>
      <w:r>
        <w:rPr>
          <w:rFonts w:hint="eastAsia" w:ascii="仿宋" w:hAnsi="仿宋" w:eastAsia="仿宋" w:cs="仿宋"/>
          <w:color w:val="000000" w:themeColor="text1"/>
          <w14:textFill>
            <w14:solidFill>
              <w14:schemeClr w14:val="tx1"/>
            </w14:solidFill>
          </w14:textFill>
        </w:rPr>
        <w:t>）,采购人或者采购机构在质疑回复后5个工作日内，在浙江政府采购网的“其他公告”栏目公开质疑答复，答复内容应当完整。质疑函作为附件上传。</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4.2</w:t>
      </w:r>
      <w:r>
        <w:rPr>
          <w:rFonts w:hint="eastAsia" w:ascii="仿宋" w:hAnsi="仿宋" w:eastAsia="仿宋" w:cs="仿宋"/>
          <w:color w:val="000000" w:themeColor="text1"/>
          <w14:textFill>
            <w14:solidFill>
              <w14:schemeClr w14:val="tx1"/>
            </w14:solidFill>
          </w14:textFill>
        </w:rPr>
        <w:t>.5询问或者质疑事项可能影响采购结果的，采购人应当暂停签订合同，已经签订合同的，应当中止履行合同。</w:t>
      </w:r>
    </w:p>
    <w:p>
      <w:pPr>
        <w:pStyle w:val="889"/>
        <w:snapToGrid w:val="0"/>
        <w:spacing w:after="240" w:afterAutospacing="0" w:line="360" w:lineRule="auto"/>
        <w:ind w:firstLine="480" w:firstLineChars="200"/>
        <w:contextualSpacing/>
        <w:rPr>
          <w:rFonts w:ascii="仿宋" w:hAnsi="仿宋" w:eastAsia="仿宋" w:cs="仿宋"/>
          <w:color w:val="000000" w:themeColor="text1"/>
          <w:lang w:val="zh-CN"/>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4.3供应商投诉</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4.3.</w:t>
      </w:r>
      <w:r>
        <w:rPr>
          <w:rFonts w:hint="eastAsia" w:ascii="仿宋" w:hAnsi="仿宋" w:eastAsia="仿宋" w:cs="仿宋"/>
          <w:color w:val="000000" w:themeColor="text1"/>
          <w:lang w:val="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供应商投诉的事项不得超出已质疑事项的范围，基于质疑答复内容提出的投诉事项除外。</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4.3.3供应商投诉应当有明确的请求和必要的证明材料。</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4.3.5 以联合体形式参加政府采购活动的，其投诉应当由组成联合体的所有供应商共同提出。</w:t>
      </w:r>
    </w:p>
    <w:p>
      <w:pPr>
        <w:pStyle w:val="889"/>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投诉书范本及制作说明详见附件3。</w:t>
      </w:r>
    </w:p>
    <w:p>
      <w:pPr>
        <w:pStyle w:val="133"/>
        <w:snapToGrid w:val="0"/>
        <w:spacing w:before="0"/>
        <w:ind w:firstLine="360"/>
        <w:rPr>
          <w:rFonts w:ascii="仿宋" w:hAnsi="仿宋" w:eastAsia="仿宋" w:cs="仿宋"/>
          <w:color w:val="000000" w:themeColor="text1"/>
          <w:sz w:val="18"/>
          <w:szCs w:val="18"/>
          <w14:textFill>
            <w14:solidFill>
              <w14:schemeClr w14:val="tx1"/>
            </w14:solidFill>
          </w14:textFill>
        </w:rPr>
      </w:pPr>
    </w:p>
    <w:p>
      <w:pPr>
        <w:adjustRightInd/>
        <w:spacing w:line="360" w:lineRule="auto"/>
        <w:jc w:val="center"/>
        <w:outlineLvl w:val="0"/>
        <w:rPr>
          <w:rFonts w:ascii="仿宋" w:hAnsi="仿宋" w:eastAsia="仿宋" w:cs="仿宋"/>
          <w:b/>
          <w:color w:val="000000" w:themeColor="text1"/>
          <w:sz w:val="32"/>
          <w:szCs w:val="20"/>
          <w14:textFill>
            <w14:solidFill>
              <w14:schemeClr w14:val="tx1"/>
            </w14:solidFill>
          </w14:textFill>
        </w:rPr>
      </w:pPr>
      <w:r>
        <w:rPr>
          <w:rFonts w:hint="eastAsia" w:ascii="仿宋" w:hAnsi="仿宋" w:eastAsia="仿宋" w:cs="仿宋"/>
          <w:b/>
          <w:color w:val="000000" w:themeColor="text1"/>
          <w:sz w:val="32"/>
          <w:szCs w:val="20"/>
          <w14:textFill>
            <w14:solidFill>
              <w14:schemeClr w14:val="tx1"/>
            </w14:solidFill>
          </w14:textFill>
        </w:rPr>
        <w:t xml:space="preserve">      二、招标文件的构成、澄清、修改</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5．招标文件的构成</w:t>
      </w:r>
    </w:p>
    <w:p>
      <w:pPr>
        <w:pStyle w:val="3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 招标文件包括下列文件及附件：</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5.1.1招标公告；</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5.1.2投标人须知；</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5.1.3采购需求；</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5.1.4评标办法；</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5.1.5拟签订的合同文本；</w:t>
      </w:r>
    </w:p>
    <w:p>
      <w:pPr>
        <w:pStyle w:val="33"/>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5.1.6</w:t>
      </w:r>
      <w:r>
        <w:rPr>
          <w:rFonts w:hint="eastAsia" w:ascii="仿宋" w:hAnsi="仿宋" w:eastAsia="仿宋" w:cs="仿宋"/>
          <w:color w:val="000000" w:themeColor="text1"/>
          <w:sz w:val="24"/>
          <w:szCs w:val="24"/>
          <w14:textFill>
            <w14:solidFill>
              <w14:schemeClr w14:val="tx1"/>
            </w14:solidFill>
          </w14:textFill>
        </w:rPr>
        <w:t>应提交的有关格式范例。</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5.2与本项目有关的</w:t>
      </w:r>
      <w:r>
        <w:rPr>
          <w:rFonts w:hint="eastAsia" w:ascii="仿宋" w:hAnsi="仿宋" w:eastAsia="仿宋" w:cs="仿宋"/>
          <w:bCs/>
          <w:color w:val="000000" w:themeColor="text1"/>
          <w:sz w:val="24"/>
          <w14:textFill>
            <w14:solidFill>
              <w14:schemeClr w14:val="tx1"/>
            </w14:solidFill>
          </w14:textFill>
        </w:rPr>
        <w:t>澄清或者修改的内容为招标文件的组成部分</w:t>
      </w:r>
      <w:r>
        <w:rPr>
          <w:rFonts w:hint="eastAsia" w:ascii="仿宋" w:hAnsi="仿宋" w:eastAsia="仿宋" w:cs="仿宋"/>
          <w:color w:val="000000" w:themeColor="text1"/>
          <w:sz w:val="24"/>
          <w14:textFill>
            <w14:solidFill>
              <w14:schemeClr w14:val="tx1"/>
            </w14:solidFill>
          </w14:textFill>
        </w:rPr>
        <w:t>。</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6. 招标文件的澄清、修改</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6.1已获取招标文件的潜在投标人，若有问题需要澄清，应于投标截止时间前，以书面形式向采购机构提出。</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仿宋"/>
          <w:color w:val="000000" w:themeColor="text1"/>
          <w:sz w:val="18"/>
          <w:szCs w:val="18"/>
          <w:lang w:val="en-US"/>
          <w14:textFill>
            <w14:solidFill>
              <w14:schemeClr w14:val="tx1"/>
            </w14:solidFill>
          </w14:textFill>
        </w:rPr>
      </w:pPr>
    </w:p>
    <w:p>
      <w:pPr>
        <w:adjustRightInd/>
        <w:spacing w:line="360" w:lineRule="auto"/>
        <w:jc w:val="center"/>
        <w:outlineLvl w:val="0"/>
        <w:rPr>
          <w:rFonts w:ascii="仿宋" w:hAnsi="仿宋" w:eastAsia="仿宋" w:cs="仿宋"/>
          <w:b/>
          <w:color w:val="000000" w:themeColor="text1"/>
          <w:sz w:val="30"/>
          <w:szCs w:val="20"/>
          <w14:textFill>
            <w14:solidFill>
              <w14:schemeClr w14:val="tx1"/>
            </w14:solidFill>
          </w14:textFill>
        </w:rPr>
      </w:pPr>
      <w:r>
        <w:rPr>
          <w:rFonts w:hint="eastAsia" w:ascii="仿宋" w:hAnsi="仿宋" w:eastAsia="仿宋" w:cs="仿宋"/>
          <w:b/>
          <w:color w:val="000000" w:themeColor="text1"/>
          <w:sz w:val="30"/>
          <w:szCs w:val="20"/>
          <w14:textFill>
            <w14:solidFill>
              <w14:schemeClr w14:val="tx1"/>
            </w14:solidFill>
          </w14:textFill>
        </w:rPr>
        <w:t>三、投标</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 招标文件的获取</w:t>
      </w:r>
    </w:p>
    <w:p>
      <w:pPr>
        <w:spacing w:line="360" w:lineRule="auto"/>
        <w:ind w:firstLine="480" w:firstLineChars="200"/>
        <w:rPr>
          <w:rFonts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详见招标公告中获取招标文件的时间期限、地点、方式及招标文件售价。</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8.开标前答疑会或现场考察</w:t>
      </w:r>
    </w:p>
    <w:p>
      <w:pPr>
        <w:pStyle w:val="3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kern w:val="28"/>
          <w:sz w:val="24"/>
          <w:szCs w:val="24"/>
          <w14:textFill>
            <w14:solidFill>
              <w14:schemeClr w14:val="tx1"/>
            </w14:solidFill>
          </w14:textFill>
        </w:rPr>
        <w:t>9.投标保证金</w:t>
      </w:r>
    </w:p>
    <w:p>
      <w:pPr>
        <w:pStyle w:val="2"/>
        <w:spacing w:line="360" w:lineRule="auto"/>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本项目不需缴纳投标保证金。</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投标文件及投标人与采购有关的来往通知、函件和文件均应使用中文。</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w:t>
      </w:r>
      <w:r>
        <w:rPr>
          <w:rFonts w:hint="eastAsia" w:ascii="仿宋" w:hAnsi="仿宋" w:eastAsia="仿宋" w:cs="仿宋"/>
          <w:b/>
          <w:color w:val="000000" w:themeColor="text1"/>
          <w:sz w:val="24"/>
          <w14:textFill>
            <w14:solidFill>
              <w14:schemeClr w14:val="tx1"/>
            </w14:solidFill>
          </w14:textFill>
        </w:rPr>
        <w:t>资格文件</w:t>
      </w:r>
      <w:r>
        <w:rPr>
          <w:rFonts w:hint="eastAsia" w:ascii="仿宋" w:hAnsi="仿宋" w:eastAsia="仿宋" w:cs="仿宋"/>
          <w:color w:val="000000" w:themeColor="text1"/>
          <w:sz w:val="24"/>
          <w14:textFill>
            <w14:solidFill>
              <w14:schemeClr w14:val="tx1"/>
            </w14:solidFill>
          </w14:textFill>
        </w:rPr>
        <w:t>：</w:t>
      </w:r>
    </w:p>
    <w:p>
      <w:pPr>
        <w:pStyle w:val="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11.1.1符合参加政府采购活动应当具备的一般条件的承诺函；</w:t>
      </w:r>
    </w:p>
    <w:p>
      <w:pPr>
        <w:pStyle w:val="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11.1.2联合协议（如果有)；</w:t>
      </w:r>
    </w:p>
    <w:p>
      <w:pPr>
        <w:pStyle w:val="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11.1.3落实政府采购政策需满足的资格要求（中小企业声明函）；</w:t>
      </w:r>
    </w:p>
    <w:p>
      <w:pPr>
        <w:pStyle w:val="3"/>
        <w:ind w:left="479" w:leftChars="228"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11.1.4特定资格要求：无；</w:t>
      </w:r>
    </w:p>
    <w:p>
      <w:pPr>
        <w:snapToGrid w:val="0"/>
        <w:spacing w:line="360" w:lineRule="auto"/>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11.</w:t>
      </w:r>
      <w:r>
        <w:rPr>
          <w:rFonts w:hint="eastAsia" w:ascii="仿宋" w:hAnsi="仿宋" w:eastAsia="仿宋" w:cs="仿宋"/>
          <w:color w:val="000000" w:themeColor="text1"/>
          <w:sz w:val="24"/>
          <w14:textFill>
            <w14:solidFill>
              <w14:schemeClr w14:val="tx1"/>
            </w14:solidFill>
          </w14:textFill>
        </w:rPr>
        <w:t>2商务技术</w:t>
      </w:r>
      <w:r>
        <w:rPr>
          <w:rFonts w:hint="eastAsia" w:ascii="仿宋" w:hAnsi="仿宋" w:eastAsia="仿宋" w:cs="仿宋"/>
          <w:color w:val="000000" w:themeColor="text1"/>
          <w:sz w:val="24"/>
          <w:lang w:val="zh-CN"/>
          <w14:textFill>
            <w14:solidFill>
              <w14:schemeClr w14:val="tx1"/>
            </w14:solidFill>
          </w14:textFill>
        </w:rPr>
        <w:t>文件：</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响应函；</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授权委托书或法定代表人（单位负责人、自然人本人）身份证明；</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分包意向协议（如果有)；</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符合性审查资料；</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评标标准相应的商务技术资料；</w:t>
      </w:r>
    </w:p>
    <w:p>
      <w:pPr>
        <w:numPr>
          <w:ilvl w:val="2"/>
          <w:numId w:val="1"/>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商务技术偏离表；</w:t>
      </w:r>
    </w:p>
    <w:p>
      <w:pPr>
        <w:numPr>
          <w:ilvl w:val="2"/>
          <w:numId w:val="1"/>
        </w:numPr>
        <w:snapToGrid w:val="0"/>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仿宋" w:hAnsi="仿宋" w:eastAsia="仿宋" w:cs="仿宋"/>
          <w:color w:val="000000" w:themeColor="text1"/>
          <w:sz w:val="24"/>
          <w:u w:val="single"/>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11.</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b/>
          <w:color w:val="000000" w:themeColor="text1"/>
          <w:sz w:val="24"/>
          <w14:textFill>
            <w14:solidFill>
              <w14:schemeClr w14:val="tx1"/>
            </w14:solidFill>
          </w14:textFill>
        </w:rPr>
        <w:t>报价文件：</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11.3.1开标一览表（报价表）；</w:t>
      </w:r>
    </w:p>
    <w:p>
      <w:pPr>
        <w:spacing w:line="360" w:lineRule="auto"/>
        <w:ind w:firstLine="723" w:firstLineChars="3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仿宋" w:hAnsi="仿宋" w:eastAsia="仿宋" w:cs="仿宋"/>
          <w:b/>
          <w:color w:val="000000" w:themeColor="text1"/>
          <w:sz w:val="24"/>
          <w:szCs w:val="21"/>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投标人提供虚假材料投标的，投标无效。</w:t>
      </w:r>
    </w:p>
    <w:p>
      <w:pPr>
        <w:pStyle w:val="133"/>
        <w:snapToGrid w:val="0"/>
        <w:spacing w:before="0"/>
        <w:ind w:firstLine="0" w:firstLineChars="0"/>
        <w:outlineLvl w:val="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12</w:t>
      </w:r>
      <w:r>
        <w:rPr>
          <w:rFonts w:hint="eastAsia" w:ascii="仿宋" w:hAnsi="仿宋" w:eastAsia="仿宋" w:cs="仿宋"/>
          <w:b/>
          <w:color w:val="000000" w:themeColor="text1"/>
          <w:kern w:val="0"/>
          <w:szCs w:val="24"/>
          <w:lang w:val="zh-CN"/>
          <w14:textFill>
            <w14:solidFill>
              <w14:schemeClr w14:val="tx1"/>
            </w14:solidFill>
          </w14:textFill>
        </w:rPr>
        <w:t xml:space="preserve">. </w:t>
      </w:r>
      <w:r>
        <w:rPr>
          <w:rFonts w:hint="eastAsia" w:ascii="仿宋" w:hAnsi="仿宋" w:eastAsia="仿宋" w:cs="仿宋"/>
          <w:b/>
          <w:color w:val="000000" w:themeColor="text1"/>
          <w:szCs w:val="24"/>
          <w14:textFill>
            <w14:solidFill>
              <w14:schemeClr w14:val="tx1"/>
            </w14:solidFill>
          </w14:textFill>
        </w:rPr>
        <w:t>投标文件的编制</w:t>
      </w:r>
    </w:p>
    <w:p>
      <w:pPr>
        <w:spacing w:line="360" w:lineRule="auto"/>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13.投标文件的签署、盖章</w:t>
      </w:r>
    </w:p>
    <w:p>
      <w:pPr>
        <w:pStyle w:val="133"/>
        <w:snapToGrid w:val="0"/>
        <w:spacing w:before="0"/>
        <w:ind w:firstLine="480"/>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13.1投标文件按照招标文件第六部分格式要</w:t>
      </w:r>
      <w:r>
        <w:rPr>
          <w:rFonts w:hint="eastAsia" w:ascii="仿宋" w:hAnsi="仿宋" w:eastAsia="仿宋" w:cs="仿宋"/>
          <w:color w:val="000000" w:themeColor="text1"/>
          <w14:textFill>
            <w14:solidFill>
              <w14:schemeClr w14:val="tx1"/>
            </w14:solidFill>
          </w14:textFill>
        </w:rPr>
        <w:t>求进行签署、盖章。</w:t>
      </w:r>
      <w:r>
        <w:rPr>
          <w:rFonts w:hint="eastAsia" w:ascii="仿宋" w:hAnsi="仿宋" w:eastAsia="仿宋" w:cs="仿宋"/>
          <w:b/>
          <w:color w:val="000000" w:themeColor="text1"/>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14:textFill>
            <w14:solidFill>
              <w14:schemeClr w14:val="tx1"/>
            </w14:solidFill>
          </w14:textFill>
        </w:rPr>
        <w:t>。</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13.3招标文件对投标文件签署、盖章的要求适用于电子签名。</w:t>
      </w:r>
    </w:p>
    <w:p>
      <w:pPr>
        <w:pStyle w:val="133"/>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14. 投标文件的提交、补充、修改、撤回</w:t>
      </w:r>
    </w:p>
    <w:p>
      <w:pPr>
        <w:pStyle w:val="133"/>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15.备份投标文件</w:t>
      </w:r>
    </w:p>
    <w:p>
      <w:pPr>
        <w:pStyle w:val="33"/>
        <w:spacing w:line="360" w:lineRule="auto"/>
        <w:ind w:firstLine="360" w:firstLineChars="15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14:textFill>
            <w14:solidFill>
              <w14:schemeClr w14:val="tx1"/>
            </w14:solidFill>
          </w14:textFill>
        </w:rPr>
        <w:t>但采购人、采购机构不强制或变相强制投标人提交备份投标文件。</w:t>
      </w:r>
    </w:p>
    <w:p>
      <w:pPr>
        <w:pStyle w:val="33"/>
        <w:spacing w:line="360" w:lineRule="auto"/>
        <w:ind w:firstLine="480"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sz w:val="24"/>
          <w14:textFill>
            <w14:solidFill>
              <w14:schemeClr w14:val="tx1"/>
            </w14:solidFill>
          </w14:textFill>
        </w:rPr>
        <w:t>DVD光盘</w:t>
      </w:r>
      <w:r>
        <w:rPr>
          <w:rFonts w:hint="eastAsia" w:ascii="仿宋" w:hAnsi="仿宋" w:eastAsia="仿宋" w:cs="仿宋"/>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sz w:val="24"/>
          <w14:textFill>
            <w14:solidFill>
              <w14:schemeClr w14:val="tx1"/>
            </w14:solidFill>
          </w14:textFill>
        </w:rPr>
        <w:t>不符合上述制作、</w:t>
      </w:r>
      <w:r>
        <w:rPr>
          <w:rFonts w:hint="eastAsia" w:ascii="仿宋" w:hAnsi="仿宋" w:eastAsia="仿宋" w:cs="仿宋"/>
          <w:b/>
          <w:color w:val="000000" w:themeColor="text1"/>
          <w:sz w:val="24"/>
          <w:szCs w:val="24"/>
          <w14:textFill>
            <w14:solidFill>
              <w14:schemeClr w14:val="tx1"/>
            </w14:solidFill>
          </w14:textFill>
        </w:rPr>
        <w:t>存储、密封规定的备份投标文件将被视为无效或者被拒绝接收。</w:t>
      </w:r>
    </w:p>
    <w:p>
      <w:pPr>
        <w:pStyle w:val="3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14:textFill>
            <w14:solidFill>
              <w14:schemeClr w14:val="tx1"/>
            </w14:solidFill>
          </w14:textFill>
        </w:rPr>
        <w:t>招标文件第二部分投标人须知前附表规定的备份投标文件送达地点；</w:t>
      </w:r>
      <w:r>
        <w:rPr>
          <w:rFonts w:hint="eastAsia" w:ascii="仿宋" w:hAnsi="仿宋" w:eastAsia="仿宋" w:cs="仿宋"/>
          <w:color w:val="000000" w:themeColor="text1"/>
          <w:sz w:val="24"/>
          <w:szCs w:val="24"/>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7" w:firstLineChars="199"/>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15.5投标人仅提交备份投标文件，没有在电子交易平台传输递交投标文件的，投标无效。</w:t>
      </w:r>
    </w:p>
    <w:p>
      <w:pPr>
        <w:pStyle w:val="133"/>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16.投标文件的无效处理</w:t>
      </w:r>
    </w:p>
    <w:p>
      <w:pPr>
        <w:pStyle w:val="3"/>
        <w:spacing w:line="360" w:lineRule="auto"/>
        <w:ind w:firstLine="360" w:firstLineChars="15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有招标文件第四部分</w:t>
      </w:r>
      <w:r>
        <w:rPr>
          <w:rFonts w:hint="eastAsia" w:ascii="仿宋" w:hAnsi="仿宋" w:eastAsia="仿宋" w:cs="仿宋"/>
          <w:color w:val="000000" w:themeColor="text1"/>
          <w14:textFill>
            <w14:solidFill>
              <w14:schemeClr w14:val="tx1"/>
            </w14:solidFill>
          </w14:textFill>
        </w:rPr>
        <w:t>第13项规定</w:t>
      </w:r>
      <w:r>
        <w:rPr>
          <w:rFonts w:hint="eastAsia" w:ascii="仿宋" w:hAnsi="仿宋" w:eastAsia="仿宋" w:cs="仿宋"/>
          <w:color w:val="000000" w:themeColor="text1"/>
          <w:szCs w:val="21"/>
          <w14:textFill>
            <w14:solidFill>
              <w14:schemeClr w14:val="tx1"/>
            </w14:solidFill>
          </w14:textFill>
        </w:rPr>
        <w:t>的情形之一的，投标无效：</w:t>
      </w:r>
    </w:p>
    <w:p>
      <w:pPr>
        <w:pStyle w:val="133"/>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17.投标有效期</w:t>
      </w:r>
    </w:p>
    <w:p>
      <w:pPr>
        <w:spacing w:line="360" w:lineRule="auto"/>
        <w:ind w:firstLine="480" w:firstLineChars="200"/>
        <w:rPr>
          <w:rFonts w:ascii="仿宋" w:hAnsi="仿宋" w:eastAsia="仿宋" w:cs="仿宋"/>
          <w:b/>
          <w:color w:val="000000" w:themeColor="text1"/>
          <w:sz w:val="24"/>
          <w:szCs w:val="21"/>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14:textFill>
            <w14:solidFill>
              <w14:schemeClr w14:val="tx1"/>
            </w14:solidFill>
          </w14:textFill>
        </w:rPr>
        <w:t>投标人的投标文件中承</w:t>
      </w:r>
      <w:r>
        <w:rPr>
          <w:rFonts w:hint="eastAsia" w:ascii="仿宋" w:hAnsi="仿宋" w:eastAsia="仿宋" w:cs="仿宋"/>
          <w:b/>
          <w:color w:val="000000" w:themeColor="text1"/>
          <w:sz w:val="24"/>
          <w:szCs w:val="21"/>
          <w14:textFill>
            <w14:solidFill>
              <w14:schemeClr w14:val="tx1"/>
            </w14:solidFill>
          </w14:textFill>
        </w:rPr>
        <w:t>诺的投标有效期少于招标文件中载明的投标有效期的，投标无效。</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17.2投标文件合格投递后，自投标截止日期起，在投标有效期内有效。</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 w:hAnsi="仿宋" w:eastAsia="仿宋" w:cs="仿宋"/>
          <w:b/>
          <w:color w:val="000000" w:themeColor="text1"/>
          <w:sz w:val="32"/>
          <w14:textFill>
            <w14:solidFill>
              <w14:schemeClr w14:val="tx1"/>
            </w14:solidFill>
          </w14:textFill>
        </w:rPr>
      </w:pPr>
    </w:p>
    <w:p>
      <w:pPr>
        <w:pStyle w:val="133"/>
        <w:spacing w:before="0"/>
        <w:ind w:firstLine="1928" w:firstLineChars="600"/>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四、开标、资格审查与信用信息查询</w:t>
      </w:r>
    </w:p>
    <w:p>
      <w:pPr>
        <w:pStyle w:val="558"/>
        <w:spacing w:before="0" w:line="360" w:lineRule="auto"/>
        <w:ind w:left="0" w:firstLine="241" w:firstLineChars="100"/>
        <w:contextualSpacing/>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18.开标</w:t>
      </w:r>
    </w:p>
    <w:p>
      <w:pPr>
        <w:pStyle w:val="558"/>
        <w:spacing w:before="0" w:line="360" w:lineRule="auto"/>
        <w:ind w:left="0" w:firstLine="480" w:firstLineChars="200"/>
        <w:contextualSpacing/>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18.3</w:t>
      </w:r>
      <w:r>
        <w:rPr>
          <w:rFonts w:hint="eastAsia" w:ascii="仿宋" w:hAnsi="仿宋" w:eastAsia="仿宋" w:cs="仿宋"/>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000000" w:themeColor="text1"/>
          <w:sz w:val="24"/>
          <w:szCs w:val="20"/>
          <w14:textFill>
            <w14:solidFill>
              <w14:schemeClr w14:val="tx1"/>
            </w14:solidFill>
          </w14:textFill>
        </w:rPr>
      </w:pPr>
      <w:r>
        <w:rPr>
          <w:rFonts w:hint="eastAsia" w:ascii="仿宋" w:hAnsi="仿宋" w:eastAsia="仿宋" w:cs="仿宋"/>
          <w:b/>
          <w:color w:val="000000" w:themeColor="text1"/>
          <w:sz w:val="24"/>
          <w:szCs w:val="20"/>
          <w14:textFill>
            <w14:solidFill>
              <w14:schemeClr w14:val="tx1"/>
            </w14:solidFill>
          </w14:textFill>
        </w:rPr>
        <w:t>　19、资格审查</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19.1开标后，采购人或采购机构将依法对投标人的资格进行审查。</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19.2</w:t>
      </w:r>
      <w:r>
        <w:rPr>
          <w:rFonts w:hint="eastAsia" w:ascii="仿宋" w:hAnsi="仿宋" w:eastAsia="仿宋" w:cs="仿宋"/>
          <w:color w:val="000000" w:themeColor="text1"/>
          <w:sz w:val="24"/>
          <w14:textFill>
            <w14:solidFill>
              <w14:schemeClr w14:val="tx1"/>
            </w14:solidFill>
          </w14:textFill>
        </w:rPr>
        <w:t>采购人或采购机构依据法律法规和招标文件的规定，对投标人的基本资格条件、特定资格条件进行审查。</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19.3投标人未按照招标文件要求提供与</w:t>
      </w:r>
      <w:r>
        <w:rPr>
          <w:rFonts w:hint="eastAsia" w:ascii="仿宋" w:hAnsi="仿宋" w:eastAsia="仿宋" w:cs="仿宋"/>
          <w:color w:val="000000" w:themeColor="text1"/>
          <w14:textFill>
            <w14:solidFill>
              <w14:schemeClr w14:val="tx1"/>
            </w14:solidFill>
          </w14:textFill>
        </w:rPr>
        <w:t>基本资格条件、特定资格条件相应的</w:t>
      </w:r>
      <w:r>
        <w:rPr>
          <w:rFonts w:hint="eastAsia" w:ascii="仿宋" w:hAnsi="仿宋" w:eastAsia="仿宋" w:cs="仿宋"/>
          <w:color w:val="000000" w:themeColor="text1"/>
          <w:kern w:val="0"/>
          <w:szCs w:val="24"/>
          <w14:textFill>
            <w14:solidFill>
              <w14:schemeClr w14:val="tx1"/>
            </w14:solidFill>
          </w14:textFill>
        </w:rPr>
        <w:t>有效资格证明材料的，视为</w:t>
      </w:r>
      <w:r>
        <w:rPr>
          <w:rFonts w:hint="eastAsia" w:ascii="仿宋" w:hAnsi="仿宋" w:eastAsia="仿宋" w:cs="仿宋"/>
          <w:color w:val="000000" w:themeColor="text1"/>
          <w14:textFill>
            <w14:solidFill>
              <w14:schemeClr w14:val="tx1"/>
            </w14:solidFill>
          </w14:textFill>
        </w:rPr>
        <w:t>投标人不具备招标文件中规定的资格要求，其投标无效。</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19.</w:t>
      </w:r>
      <w:r>
        <w:rPr>
          <w:rFonts w:hint="eastAsia" w:ascii="仿宋" w:hAnsi="仿宋" w:eastAsia="仿宋" w:cs="仿宋"/>
          <w:color w:val="000000" w:themeColor="text1"/>
          <w14:textFill>
            <w14:solidFill>
              <w14:schemeClr w14:val="tx1"/>
            </w14:solidFill>
          </w14:textFill>
        </w:rPr>
        <w:t>4对未通过资格审查的投标人，采购人或采购机构告知其未通过的原因。</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19.</w:t>
      </w:r>
      <w:r>
        <w:rPr>
          <w:rFonts w:hint="eastAsia" w:ascii="仿宋" w:hAnsi="仿宋" w:eastAsia="仿宋" w:cs="仿宋"/>
          <w:color w:val="000000" w:themeColor="text1"/>
          <w14:textFill>
            <w14:solidFill>
              <w14:schemeClr w14:val="tx1"/>
            </w14:solidFill>
          </w14:textFill>
        </w:rPr>
        <w:t>5合格投标人不足3家的，不再评标。</w:t>
      </w:r>
    </w:p>
    <w:p>
      <w:pPr>
        <w:pStyle w:val="133"/>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20、信用信息查询</w:t>
      </w:r>
    </w:p>
    <w:p>
      <w:pPr>
        <w:pStyle w:val="133"/>
        <w:spacing w:before="0"/>
        <w:ind w:firstLine="495" w:firstLineChars="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3"/>
        <w:spacing w:before="0"/>
        <w:ind w:firstLine="495" w:firstLineChars="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20.3信用信息的使用规则：经查询列入失信被执行人名单、重大税收违法失信主体、政府采购严重违法失信行为记录名单的投标人将被拒绝参与政府采购活动。</w:t>
      </w:r>
    </w:p>
    <w:p>
      <w:pPr>
        <w:pStyle w:val="133"/>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14:textFill>
            <w14:solidFill>
              <w14:schemeClr w14:val="tx1"/>
            </w14:solidFill>
          </w14:textFill>
        </w:rPr>
        <w:t>。</w:t>
      </w:r>
    </w:p>
    <w:p>
      <w:pPr>
        <w:pStyle w:val="133"/>
        <w:spacing w:before="0"/>
        <w:ind w:firstLine="0" w:firstLineChars="0"/>
        <w:rPr>
          <w:rFonts w:ascii="仿宋" w:hAnsi="仿宋" w:eastAsia="仿宋" w:cs="仿宋"/>
          <w:color w:val="000000" w:themeColor="text1"/>
          <w:kern w:val="0"/>
          <w:szCs w:val="24"/>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五、评标</w:t>
      </w:r>
    </w:p>
    <w:p>
      <w:pPr>
        <w:spacing w:line="360" w:lineRule="auto"/>
        <w:rPr>
          <w:rFonts w:ascii="仿宋" w:hAnsi="仿宋" w:eastAsia="仿宋" w:cs="仿宋"/>
          <w:color w:val="000000" w:themeColor="text1"/>
          <w:sz w:val="24"/>
          <w14:textFill>
            <w14:solidFill>
              <w14:schemeClr w14:val="tx1"/>
            </w14:solidFill>
          </w14:textFill>
        </w:rPr>
      </w:pPr>
      <w:bookmarkStart w:id="22" w:name="_Toc91899903"/>
      <w:r>
        <w:rPr>
          <w:rFonts w:hint="eastAsia" w:ascii="仿宋" w:hAnsi="仿宋" w:eastAsia="仿宋" w:cs="仿宋"/>
          <w:b/>
          <w:color w:val="000000" w:themeColor="text1"/>
          <w:sz w:val="24"/>
          <w14:textFill>
            <w14:solidFill>
              <w14:schemeClr w14:val="tx1"/>
            </w14:solidFill>
          </w14:textFill>
        </w:rPr>
        <w:t>21.</w:t>
      </w:r>
      <w:r>
        <w:rPr>
          <w:rFonts w:hint="eastAsia" w:ascii="仿宋" w:hAnsi="仿宋" w:eastAsia="仿宋" w:cs="仿宋"/>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得分高低推荐中标单位。</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详见招标文件第四部分评标办法。</w:t>
      </w:r>
    </w:p>
    <w:p>
      <w:pPr>
        <w:spacing w:line="360" w:lineRule="auto"/>
        <w:rPr>
          <w:rFonts w:ascii="仿宋" w:hAnsi="仿宋" w:eastAsia="仿宋" w:cs="仿宋"/>
          <w:b/>
          <w:color w:val="000000" w:themeColor="text1"/>
          <w:sz w:val="24"/>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六、定 标</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22. 确定中标供应商</w:t>
      </w:r>
    </w:p>
    <w:p>
      <w:pPr>
        <w:pStyle w:val="133"/>
        <w:snapToGrid w:val="0"/>
        <w:spacing w:before="0"/>
        <w:ind w:firstLine="48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本项目由采购人事先授权评标委员会确定预中标人。</w:t>
      </w:r>
    </w:p>
    <w:p>
      <w:pPr>
        <w:pStyle w:val="133"/>
        <w:snapToGrid w:val="0"/>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23. 中标通知与中标结果公告</w:t>
      </w:r>
    </w:p>
    <w:p>
      <w:pPr>
        <w:widowControl/>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仿宋" w:hAnsi="仿宋" w:eastAsia="仿宋" w:cs="仿宋"/>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七、合同授予</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 xml:space="preserve">24. </w:t>
      </w:r>
      <w:r>
        <w:rPr>
          <w:rFonts w:hint="eastAsia" w:ascii="仿宋" w:hAnsi="仿宋" w:eastAsia="仿宋" w:cs="仿宋"/>
          <w:color w:val="000000" w:themeColor="text1"/>
          <w14:textFill>
            <w14:solidFill>
              <w14:schemeClr w14:val="tx1"/>
            </w14:solidFill>
          </w14:textFill>
        </w:rPr>
        <w:t>合同主要条款详见第五部分拟签订的合同文本。</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25. 合同的签订</w:t>
      </w:r>
    </w:p>
    <w:p>
      <w:pPr>
        <w:widowControl/>
        <w:spacing w:line="360" w:lineRule="auto"/>
        <w:ind w:firstLine="48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w:t>
      </w:r>
      <w:r>
        <w:rPr>
          <w:rFonts w:hint="eastAsia" w:ascii="仿宋" w:hAnsi="仿宋" w:eastAsia="仿宋" w:cs="仿宋"/>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采购人与中标人应当通过电子交易平台在中标通知书发出之日起三十日内，按照招标文件确定的事项签订政府采购合同，并在合同签订之日起2个工作日内依法发布合同公告。</w:t>
      </w:r>
    </w:p>
    <w:p>
      <w:pPr>
        <w:pStyle w:val="133"/>
        <w:snapToGrid w:val="0"/>
        <w:spacing w:before="0"/>
        <w:ind w:firstLine="48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133"/>
        <w:snapToGrid w:val="0"/>
        <w:spacing w:before="0" w:after="12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r>
        <w:rPr>
          <w:rFonts w:ascii="仿宋" w:hAnsi="仿宋" w:eastAsia="仿宋" w:cs="仿宋"/>
          <w:color w:val="000000" w:themeColor="text1"/>
          <w14:textFill>
            <w14:solidFill>
              <w14:schemeClr w14:val="tx1"/>
            </w14:solidFill>
          </w14:textFill>
        </w:rPr>
        <w:t>6.</w:t>
      </w:r>
      <w:r>
        <w:rPr>
          <w:rFonts w:hint="eastAsia" w:ascii="仿宋" w:hAnsi="仿宋" w:eastAsia="仿宋" w:cs="仿宋"/>
          <w:color w:val="000000" w:themeColor="text1"/>
          <w14:textFill>
            <w14:solidFill>
              <w14:schemeClr w14:val="tx1"/>
            </w14:solidFill>
          </w14:textFill>
        </w:rPr>
        <w:t>履约保证金：无</w:t>
      </w:r>
    </w:p>
    <w:p>
      <w:pPr>
        <w:snapToGrid w:val="0"/>
        <w:spacing w:line="360" w:lineRule="auto"/>
        <w:ind w:firstLine="3357" w:firstLineChars="1045"/>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八、电子交易活动的中止</w:t>
      </w:r>
    </w:p>
    <w:p>
      <w:pPr>
        <w:pStyle w:val="133"/>
        <w:snapToGrid w:val="0"/>
        <w:spacing w:before="0"/>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r>
        <w:rPr>
          <w:rFonts w:hint="eastAsia" w:ascii="仿宋" w:hAnsi="仿宋" w:eastAsia="仿宋" w:cs="仿宋"/>
          <w:b/>
          <w:color w:val="000000" w:themeColor="text1"/>
          <w:szCs w:val="24"/>
          <w14:textFill>
            <w14:solidFill>
              <w14:schemeClr w14:val="tx1"/>
            </w14:solidFill>
          </w14:textFill>
        </w:rPr>
        <w:t>7. 电子交易活动的中止。</w:t>
      </w:r>
      <w:r>
        <w:rPr>
          <w:rFonts w:hint="eastAsia" w:ascii="仿宋" w:hAnsi="仿宋" w:eastAsia="仿宋" w:cs="仿宋"/>
          <w:color w:val="000000" w:themeColor="text1"/>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27.1电子交易平台发生故障而无法登录访问的； </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27.2电子交易平台应用或数据库出现错误，不能进行正常操作的；</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27.3电子交易平台发现严重安全漏洞，有潜在泄密危险的；</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27.4病毒发作导致不能进行正常操作的； </w:t>
      </w:r>
    </w:p>
    <w:p>
      <w:pPr>
        <w:pStyle w:val="133"/>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27.5其他无法保证电子交易的公平、公正和安全的情况。</w:t>
      </w:r>
    </w:p>
    <w:p>
      <w:pPr>
        <w:pStyle w:val="133"/>
        <w:snapToGrid w:val="0"/>
        <w:spacing w:before="0"/>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九、验收</w:t>
      </w:r>
    </w:p>
    <w:p>
      <w:pPr>
        <w:pStyle w:val="3"/>
        <w:spacing w:line="360" w:lineRule="auto"/>
        <w:ind w:firstLine="0" w:firstLineChars="0"/>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29.验收</w:t>
      </w:r>
    </w:p>
    <w:p>
      <w:pPr>
        <w:tabs>
          <w:tab w:val="left" w:pos="0"/>
        </w:tabs>
        <w:spacing w:line="360" w:lineRule="auto"/>
        <w:ind w:firstLine="48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履约验收的各项资料应当存档备查。</w:t>
      </w:r>
    </w:p>
    <w:p>
      <w:pPr>
        <w:tabs>
          <w:tab w:val="left" w:pos="0"/>
        </w:tabs>
        <w:spacing w:line="360" w:lineRule="auto"/>
        <w:ind w:firstLine="48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2"/>
    <w:p>
      <w:pPr>
        <w:tabs>
          <w:tab w:val="left" w:pos="0"/>
        </w:tabs>
        <w:spacing w:line="360" w:lineRule="auto"/>
        <w:ind w:firstLine="480"/>
        <w:rPr>
          <w:rFonts w:ascii="仿宋" w:hAnsi="仿宋" w:eastAsia="仿宋" w:cs="仿宋"/>
          <w:color w:val="000000" w:themeColor="text1"/>
          <w:kern w:val="0"/>
          <w:sz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3" w:name="_Hlt68073093"/>
      <w:bookmarkEnd w:id="23"/>
      <w:bookmarkStart w:id="24" w:name="_Hlt68072990"/>
      <w:bookmarkEnd w:id="24"/>
      <w:bookmarkStart w:id="25" w:name="_Hlt74729768"/>
      <w:bookmarkEnd w:id="25"/>
      <w:bookmarkStart w:id="26" w:name="_Hlt74714665"/>
      <w:bookmarkEnd w:id="26"/>
      <w:bookmarkStart w:id="27" w:name="_Hlt75236101"/>
      <w:bookmarkEnd w:id="27"/>
      <w:bookmarkStart w:id="28" w:name="_Hlt68057669"/>
      <w:bookmarkEnd w:id="28"/>
      <w:bookmarkStart w:id="29" w:name="_Hlt75236290"/>
      <w:bookmarkEnd w:id="29"/>
      <w:bookmarkStart w:id="30" w:name="_Hlt75236011"/>
      <w:bookmarkEnd w:id="30"/>
      <w:bookmarkStart w:id="31" w:name="_Hlt74730295"/>
      <w:bookmarkEnd w:id="31"/>
      <w:bookmarkStart w:id="32" w:name="_Hlt68072998"/>
      <w:bookmarkEnd w:id="32"/>
      <w:bookmarkStart w:id="33" w:name="_Hlt68403820"/>
      <w:bookmarkEnd w:id="33"/>
      <w:bookmarkStart w:id="34" w:name="_Hlt74707468"/>
      <w:bookmarkEnd w:id="34"/>
    </w:p>
    <w:bookmarkEnd w:id="20"/>
    <w:bookmarkEnd w:id="21"/>
    <w:p>
      <w:pPr>
        <w:spacing w:line="360" w:lineRule="auto"/>
        <w:jc w:val="center"/>
        <w:outlineLvl w:val="0"/>
        <w:rPr>
          <w:rFonts w:ascii="仿宋" w:hAnsi="仿宋" w:eastAsia="仿宋" w:cs="仿宋"/>
          <w:b/>
          <w:color w:val="000000" w:themeColor="text1"/>
          <w:sz w:val="36"/>
          <w:szCs w:val="36"/>
          <w14:textFill>
            <w14:solidFill>
              <w14:schemeClr w14:val="tx1"/>
            </w14:solidFill>
          </w14:textFill>
        </w:rPr>
      </w:pPr>
      <w:bookmarkStart w:id="35" w:name="第四部分"/>
      <w:r>
        <w:rPr>
          <w:rFonts w:hint="eastAsia" w:ascii="仿宋" w:hAnsi="仿宋" w:eastAsia="仿宋" w:cs="仿宋"/>
          <w:b/>
          <w:color w:val="000000" w:themeColor="text1"/>
          <w:sz w:val="36"/>
          <w:szCs w:val="36"/>
          <w14:textFill>
            <w14:solidFill>
              <w14:schemeClr w14:val="tx1"/>
            </w14:solidFill>
          </w14:textFill>
        </w:rPr>
        <w:t>第三部分   采购需求</w:t>
      </w:r>
    </w:p>
    <w:tbl>
      <w:tblPr>
        <w:tblStyle w:val="63"/>
        <w:tblW w:w="9155" w:type="dxa"/>
        <w:jc w:val="center"/>
        <w:tblLayout w:type="fixed"/>
        <w:tblCellMar>
          <w:top w:w="0" w:type="dxa"/>
          <w:left w:w="0" w:type="dxa"/>
          <w:bottom w:w="0" w:type="dxa"/>
          <w:right w:w="0" w:type="dxa"/>
        </w:tblCellMar>
      </w:tblPr>
      <w:tblGrid>
        <w:gridCol w:w="717"/>
        <w:gridCol w:w="4285"/>
        <w:gridCol w:w="1834"/>
        <w:gridCol w:w="773"/>
        <w:gridCol w:w="773"/>
        <w:gridCol w:w="773"/>
      </w:tblGrid>
      <w:tr>
        <w:tblPrEx>
          <w:tblCellMar>
            <w:top w:w="0" w:type="dxa"/>
            <w:left w:w="0" w:type="dxa"/>
            <w:bottom w:w="0" w:type="dxa"/>
            <w:right w:w="0" w:type="dxa"/>
          </w:tblCellMar>
        </w:tblPrEx>
        <w:trPr>
          <w:cantSplit/>
          <w:trHeight w:val="643"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序号</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名称</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具体服务要求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单位</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数量</w:t>
            </w:r>
          </w:p>
        </w:tc>
        <w:tc>
          <w:tcPr>
            <w:tcW w:w="773"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备注</w:t>
            </w:r>
          </w:p>
        </w:tc>
      </w:tr>
      <w:tr>
        <w:tblPrEx>
          <w:tblCellMar>
            <w:top w:w="0" w:type="dxa"/>
            <w:left w:w="0" w:type="dxa"/>
            <w:bottom w:w="0" w:type="dxa"/>
            <w:right w:w="0" w:type="dxa"/>
          </w:tblCellMar>
        </w:tblPrEx>
        <w:trPr>
          <w:cantSplit/>
          <w:trHeight w:val="740"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ascii="仿宋" w:hAnsi="仿宋" w:eastAsia="仿宋"/>
                <w:sz w:val="24"/>
              </w:rPr>
              <w:t>建德市</w:t>
            </w:r>
            <w:r>
              <w:rPr>
                <w:rFonts w:hint="eastAsia" w:ascii="仿宋" w:hAnsi="仿宋" w:eastAsia="仿宋"/>
                <w:sz w:val="24"/>
              </w:rPr>
              <w:t>园地林地草地定级和基准地价制定技术服务采购项目</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详见交易需求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年</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773"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p>
        </w:tc>
      </w:tr>
    </w:tbl>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一、项目概况</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为完善自然资源资产分等定级价格评估制度，自然资源部办公厅发布了《自然资源部办公厅关于做好园地林地草地定级和基准地价制定有关工作的通知》（自然资办函〔2023〕399号），要求各地在2023年底前完成园、林、草地定级和基准地价制定工作。《浙江省自然资源厅转发&lt;自然资源部办公厅关于做好园地林地草地定级和基准地价制定有关工作的通知&gt;》（浙自然资厅函〔2023〕270号）对本项工作进行了具体部署，并印发了工作实施方案。根据上级部门的统一部署，拟组织实施园林草定级和基准地价等相关制定工作。</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二、采购内容</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（一）工作对象</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建德市行政区范围内园地、林地和草地，面积约</w:t>
      </w:r>
      <w:r>
        <w:rPr>
          <w:rFonts w:ascii="仿宋" w:hAnsi="仿宋" w:eastAsia="仿宋" w:cs="宋体"/>
          <w:bCs/>
          <w:color w:val="000000" w:themeColor="text1"/>
          <w:sz w:val="24"/>
          <w14:textFill>
            <w14:solidFill>
              <w14:schemeClr w14:val="tx1"/>
            </w14:solidFill>
          </w14:textFill>
        </w:rPr>
        <w:t>279.78</w:t>
      </w:r>
      <w:r>
        <w:rPr>
          <w:rFonts w:hint="eastAsia" w:ascii="仿宋" w:hAnsi="仿宋" w:eastAsia="仿宋" w:cs="宋体"/>
          <w:bCs/>
          <w:color w:val="000000" w:themeColor="text1"/>
          <w:sz w:val="24"/>
          <w14:textFill>
            <w14:solidFill>
              <w14:schemeClr w14:val="tx1"/>
            </w14:solidFill>
          </w14:textFill>
        </w:rPr>
        <w:t>万亩。</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（二）内容要求</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按照《浙江省自然资源厅转发&lt;自然资源部办公厅关于做好园地林地草地定级和基准地价制定有关工作的通知&gt;》（浙自然资厅函〔2023〕270号）等文件要求，完成园、林、草地定级，以及园、林、草地基准地价等相关制定工作。</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1、园、林、草地定级工作</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（1）完成园、林、草地定级基础资料调查分析；</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（2）完成细分至二级类的园、林、草地分类定级工作；</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（3）完成定级自查校验、成果编制、汇交及验收工作；</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（4）建设园、林、草地定级数据库。</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2、园、林、草地基准地价制定工作</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（1）完成园、林、草地的价格调查与分析；</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（2）评估确定细分至二级类的园、林、草地基准地价；</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（3）建立园、林、草地基准地价系数修正体系；</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（4）开展成果应用说明与建议。</w:t>
      </w:r>
    </w:p>
    <w:p>
      <w:pPr>
        <w:spacing w:line="360" w:lineRule="auto"/>
        <w:rPr>
          <w:rFonts w:ascii="仿宋" w:hAnsi="仿宋" w:eastAsia="仿宋" w:cs="宋体"/>
          <w:bCs/>
          <w:color w:val="000000" w:themeColor="text1"/>
          <w:sz w:val="24"/>
          <w14:textFill>
            <w14:solidFill>
              <w14:schemeClr w14:val="tx1"/>
            </w14:solidFill>
          </w14:textFill>
        </w:rPr>
      </w:pPr>
      <w:r>
        <w:rPr>
          <w:rFonts w:ascii="仿宋" w:hAnsi="仿宋" w:eastAsia="仿宋" w:cs="宋体"/>
          <w:bCs/>
          <w:color w:val="000000" w:themeColor="text1"/>
          <w:sz w:val="24"/>
          <w14:textFill>
            <w14:solidFill>
              <w14:schemeClr w14:val="tx1"/>
            </w14:solidFill>
          </w14:textFill>
        </w:rPr>
        <w:t>三、</w:t>
      </w:r>
      <w:r>
        <w:rPr>
          <w:rFonts w:hint="eastAsia" w:ascii="仿宋" w:hAnsi="仿宋" w:eastAsia="仿宋" w:cs="宋体"/>
          <w:bCs/>
          <w:color w:val="000000" w:themeColor="text1"/>
          <w:sz w:val="24"/>
          <w14:textFill>
            <w14:solidFill>
              <w14:schemeClr w14:val="tx1"/>
            </w14:solidFill>
          </w14:textFill>
        </w:rPr>
        <w:t>项目组人员要求</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本项目参与人员中要求不少于4人为注册土地估价师。</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四、成果要求</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1、园、林、草地定级和基准地价评估工作报告，纸质版数量5份，电子版数量1份。</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2、园、林、草地定级和基准地价评估技术报告，纸质版数量5份，电子版数量1份。</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3、园、林、草地定级和基准地价评估成果图件、表格，纸质版数量5份，电子版数量1份。</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4、园、林、草地定级和基准地价评估数据库，电子版数量1份。</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5、园、林、草地定级和基准地价技术方案，纸质版数量5份，电子版数量1份。</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上述成果内容需符合《自然资源分等定级通则》</w:t>
      </w:r>
      <w:r>
        <w:rPr>
          <w:rFonts w:ascii="仿宋" w:hAnsi="仿宋" w:eastAsia="仿宋" w:cs="宋体"/>
          <w:bCs/>
          <w:color w:val="000000" w:themeColor="text1"/>
          <w:sz w:val="24"/>
          <w14:textFill>
            <w14:solidFill>
              <w14:schemeClr w14:val="tx1"/>
            </w14:solidFill>
          </w14:textFill>
        </w:rPr>
        <w:t>(TD/T1060-2021)、《园地分等定级技术规范》(TD/T 1071-2022)、《林地分等定级技术规范》(T/CREVA3101-2021)、《草地分等定级技术规范》(T/CREVA3102-2021)、《自然资源价格评估通则》(TD/T1061-2021)、《农用地估价规程》(GB/T28406-2012)</w:t>
      </w:r>
      <w:r>
        <w:rPr>
          <w:rFonts w:hint="eastAsia" w:ascii="仿宋" w:hAnsi="仿宋" w:eastAsia="仿宋" w:cs="宋体"/>
          <w:bCs/>
          <w:color w:val="000000" w:themeColor="text1"/>
          <w:sz w:val="24"/>
          <w14:textFill>
            <w14:solidFill>
              <w14:schemeClr w14:val="tx1"/>
            </w14:solidFill>
          </w14:textFill>
        </w:rPr>
        <w:t>、《草地估价技术规范》</w:t>
      </w:r>
      <w:r>
        <w:rPr>
          <w:rFonts w:ascii="仿宋" w:hAnsi="仿宋" w:eastAsia="仿宋" w:cs="宋体"/>
          <w:bCs/>
          <w:color w:val="000000" w:themeColor="text1"/>
          <w:sz w:val="24"/>
          <w14:textFill>
            <w14:solidFill>
              <w14:schemeClr w14:val="tx1"/>
            </w14:solidFill>
          </w14:textFill>
        </w:rPr>
        <w:t>(T/CREVA1102-2021)</w:t>
      </w:r>
      <w:r>
        <w:rPr>
          <w:rFonts w:hint="eastAsia" w:ascii="仿宋" w:hAnsi="仿宋" w:eastAsia="仿宋" w:cs="宋体"/>
          <w:bCs/>
          <w:color w:val="000000" w:themeColor="text1"/>
          <w:sz w:val="24"/>
          <w14:textFill>
            <w14:solidFill>
              <w14:schemeClr w14:val="tx1"/>
            </w14:solidFill>
          </w14:textFill>
        </w:rPr>
        <w:t>、《林地估价技术规范》</w:t>
      </w:r>
      <w:r>
        <w:rPr>
          <w:rFonts w:ascii="仿宋" w:hAnsi="仿宋" w:eastAsia="仿宋" w:cs="宋体"/>
          <w:bCs/>
          <w:color w:val="000000" w:themeColor="text1"/>
          <w:sz w:val="24"/>
          <w14:textFill>
            <w14:solidFill>
              <w14:schemeClr w14:val="tx1"/>
            </w14:solidFill>
          </w14:textFill>
        </w:rPr>
        <w:t>(T/CREVA1101-2021)等相关要求，并</w:t>
      </w:r>
      <w:r>
        <w:rPr>
          <w:rFonts w:hint="eastAsia" w:ascii="仿宋" w:hAnsi="仿宋" w:eastAsia="仿宋" w:cs="宋体"/>
          <w:bCs/>
          <w:color w:val="000000" w:themeColor="text1"/>
          <w:sz w:val="24"/>
          <w14:textFill>
            <w14:solidFill>
              <w14:schemeClr w14:val="tx1"/>
            </w14:solidFill>
          </w14:textFill>
        </w:rPr>
        <w:t>经上级自然资源主管部门验收合格。</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五、服务期要求</w:t>
      </w:r>
    </w:p>
    <w:p>
      <w:pPr>
        <w:spacing w:line="440" w:lineRule="exact"/>
        <w:ind w:firstLine="360" w:firstLineChars="150"/>
        <w:rPr>
          <w:rFonts w:ascii="仿宋" w:hAnsi="仿宋" w:eastAsia="仿宋"/>
          <w:color w:val="000000" w:themeColor="text1"/>
          <w:sz w:val="24"/>
          <w:u w:val="single"/>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2023年10月20日前提交</w:t>
      </w:r>
      <w:r>
        <w:rPr>
          <w:rFonts w:hint="eastAsia" w:ascii="仿宋" w:hAnsi="仿宋" w:eastAsia="仿宋" w:cs="仿宋"/>
          <w:color w:val="000000" w:themeColor="text1"/>
          <w:sz w:val="24"/>
          <w14:textFill>
            <w14:solidFill>
              <w14:schemeClr w14:val="tx1"/>
            </w14:solidFill>
          </w14:textFill>
        </w:rPr>
        <w:t>建德市园地林地草地定级和基准地价制定</w:t>
      </w:r>
      <w:r>
        <w:rPr>
          <w:rFonts w:hint="eastAsia" w:ascii="仿宋" w:hAnsi="仿宋" w:eastAsia="仿宋" w:cs="宋体"/>
          <w:bCs/>
          <w:color w:val="000000" w:themeColor="text1"/>
          <w:sz w:val="24"/>
          <w14:textFill>
            <w14:solidFill>
              <w14:schemeClr w14:val="tx1"/>
            </w14:solidFill>
          </w14:textFill>
        </w:rPr>
        <w:t>初步成果，2023年11月20日前定稿，提交后应根据杭州市规划和自然资源局、浙江省自然资源厅相关要求补充完善，确保审核通过。</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制定六、付款方式</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w:t>
      </w:r>
      <w:r>
        <w:rPr>
          <w:rFonts w:hint="eastAsia" w:ascii="仿宋" w:hAnsi="仿宋" w:eastAsia="仿宋" w:cstheme="minorEastAsia"/>
          <w:color w:val="000000" w:themeColor="text1"/>
          <w:sz w:val="24"/>
          <w14:textFill>
            <w14:solidFill>
              <w14:schemeClr w14:val="tx1"/>
            </w14:solidFill>
          </w14:textFill>
        </w:rPr>
        <w:t>签订合同生效以及具备实施条件后</w:t>
      </w:r>
      <w:r>
        <w:rPr>
          <w:rFonts w:ascii="仿宋" w:hAnsi="仿宋" w:eastAsia="仿宋" w:cstheme="minorEastAsia"/>
          <w:color w:val="000000" w:themeColor="text1"/>
          <w:sz w:val="24"/>
          <w14:textFill>
            <w14:solidFill>
              <w14:schemeClr w14:val="tx1"/>
            </w14:solidFill>
          </w14:textFill>
        </w:rPr>
        <w:t>7</w:t>
      </w:r>
      <w:r>
        <w:rPr>
          <w:rFonts w:hint="eastAsia" w:ascii="仿宋" w:hAnsi="仿宋" w:eastAsia="仿宋" w:cstheme="minorEastAsia"/>
          <w:color w:val="000000" w:themeColor="text1"/>
          <w:sz w:val="24"/>
          <w14:textFill>
            <w14:solidFill>
              <w14:schemeClr w14:val="tx1"/>
            </w14:solidFill>
          </w14:textFill>
        </w:rPr>
        <w:t>个工作日内采购人向成交供应商支付合同价的</w:t>
      </w:r>
      <w:r>
        <w:rPr>
          <w:rFonts w:ascii="仿宋" w:hAnsi="仿宋" w:eastAsia="仿宋" w:cstheme="minorEastAsia"/>
          <w:color w:val="000000" w:themeColor="text1"/>
          <w:sz w:val="24"/>
          <w14:textFill>
            <w14:solidFill>
              <w14:schemeClr w14:val="tx1"/>
            </w14:solidFill>
          </w14:textFill>
        </w:rPr>
        <w:t>50</w:t>
      </w:r>
      <w:r>
        <w:rPr>
          <w:rFonts w:hint="eastAsia" w:ascii="仿宋" w:hAnsi="仿宋" w:eastAsia="仿宋" w:cstheme="minorEastAsia"/>
          <w:color w:val="000000" w:themeColor="text1"/>
          <w:sz w:val="24"/>
          <w14:textFill>
            <w14:solidFill>
              <w14:schemeClr w14:val="tx1"/>
            </w14:solidFill>
          </w14:textFill>
        </w:rPr>
        <w:t>%预付款</w:t>
      </w:r>
      <w:r>
        <w:rPr>
          <w:rFonts w:hint="eastAsia" w:ascii="仿宋" w:hAnsi="仿宋" w:eastAsia="仿宋" w:cs="宋体"/>
          <w:bCs/>
          <w:color w:val="000000" w:themeColor="text1"/>
          <w:sz w:val="24"/>
          <w14:textFill>
            <w14:solidFill>
              <w14:schemeClr w14:val="tx1"/>
            </w14:solidFill>
          </w14:textFill>
        </w:rPr>
        <w:t>；</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2、初步成果提交后个7工作日内再支付合同金额的30%；</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3、项目完成经采购人验收通过后， 7个工作日内支付剩余的合同金额。</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七、其他</w:t>
      </w:r>
    </w:p>
    <w:p>
      <w:pPr>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1、采购人应对招标、实施、操作等过程中采取保密和安全措施，因成交人造成的不良影响和损失，成交人应承担相应责任。</w:t>
      </w:r>
    </w:p>
    <w:p>
      <w:pPr>
        <w:numPr>
          <w:ilvl w:val="0"/>
          <w:numId w:val="2"/>
        </w:numPr>
        <w:snapToGrid w:val="0"/>
        <w:spacing w:line="360" w:lineRule="auto"/>
        <w:jc w:val="center"/>
        <w:rPr>
          <w:rFonts w:ascii="仿宋" w:hAnsi="仿宋" w:eastAsia="仿宋" w:cs="仿宋"/>
          <w:b/>
          <w:color w:val="000000" w:themeColor="text1"/>
          <w:sz w:val="36"/>
          <w:szCs w:val="36"/>
          <w14:textFill>
            <w14:solidFill>
              <w14:schemeClr w14:val="tx1"/>
            </w14:solidFill>
          </w14:textFill>
        </w:rPr>
      </w:pPr>
      <w:bookmarkStart w:id="36" w:name="_Toc184313309"/>
      <w:bookmarkEnd w:id="36"/>
      <w:bookmarkStart w:id="37" w:name="_Toc184312123"/>
      <w:bookmarkEnd w:id="37"/>
      <w:bookmarkStart w:id="38" w:name="_Toc184308090"/>
      <w:bookmarkEnd w:id="38"/>
      <w:bookmarkStart w:id="39" w:name="_Toc184314452"/>
      <w:bookmarkEnd w:id="39"/>
      <w:bookmarkStart w:id="40" w:name="_Toc184310307"/>
      <w:bookmarkEnd w:id="40"/>
      <w:bookmarkStart w:id="41" w:name="_Toc184313252"/>
      <w:bookmarkEnd w:id="41"/>
      <w:bookmarkStart w:id="42" w:name="_Toc184314435"/>
      <w:bookmarkEnd w:id="42"/>
      <w:bookmarkStart w:id="43" w:name="_Toc184308057"/>
      <w:bookmarkEnd w:id="43"/>
      <w:bookmarkStart w:id="44" w:name="_Toc184310317"/>
      <w:bookmarkEnd w:id="44"/>
      <w:bookmarkStart w:id="45" w:name="_Toc184313286"/>
      <w:bookmarkEnd w:id="45"/>
      <w:bookmarkStart w:id="46" w:name="_Toc184310285"/>
      <w:bookmarkEnd w:id="46"/>
      <w:bookmarkStart w:id="47" w:name="_Toc184314425"/>
      <w:bookmarkEnd w:id="47"/>
      <w:bookmarkStart w:id="48" w:name="_Toc184314453"/>
      <w:bookmarkEnd w:id="48"/>
      <w:bookmarkStart w:id="49" w:name="_Toc184308046"/>
      <w:bookmarkEnd w:id="49"/>
      <w:bookmarkStart w:id="50" w:name="_Toc184313247"/>
      <w:bookmarkEnd w:id="50"/>
      <w:bookmarkStart w:id="51" w:name="_Toc184314481"/>
      <w:bookmarkEnd w:id="51"/>
      <w:bookmarkStart w:id="52" w:name="_Toc184310326"/>
      <w:bookmarkEnd w:id="52"/>
      <w:bookmarkStart w:id="53" w:name="_Toc184313238"/>
      <w:bookmarkEnd w:id="53"/>
      <w:bookmarkStart w:id="54" w:name="_Toc184312077"/>
      <w:bookmarkEnd w:id="54"/>
      <w:bookmarkStart w:id="55" w:name="_Toc184308064"/>
      <w:bookmarkEnd w:id="55"/>
      <w:bookmarkStart w:id="56" w:name="_Toc184312119"/>
      <w:bookmarkEnd w:id="56"/>
      <w:bookmarkStart w:id="57" w:name="_Toc184314477"/>
      <w:bookmarkEnd w:id="57"/>
      <w:bookmarkStart w:id="58" w:name="_Toc184310329"/>
      <w:bookmarkEnd w:id="58"/>
      <w:bookmarkStart w:id="59" w:name="_Toc184313280"/>
      <w:bookmarkEnd w:id="59"/>
      <w:bookmarkStart w:id="60" w:name="_Toc184310332"/>
      <w:bookmarkEnd w:id="60"/>
      <w:bookmarkStart w:id="61" w:name="_Toc184313270"/>
      <w:bookmarkEnd w:id="61"/>
      <w:bookmarkStart w:id="62" w:name="_Toc184312093"/>
      <w:bookmarkEnd w:id="62"/>
      <w:bookmarkStart w:id="63" w:name="_Toc184313259"/>
      <w:bookmarkEnd w:id="63"/>
      <w:bookmarkStart w:id="64" w:name="_Toc184312097"/>
      <w:bookmarkEnd w:id="64"/>
      <w:bookmarkStart w:id="65" w:name="_Toc184314438"/>
      <w:bookmarkEnd w:id="65"/>
      <w:bookmarkStart w:id="66" w:name="_Toc184313263"/>
      <w:bookmarkEnd w:id="66"/>
      <w:bookmarkStart w:id="67" w:name="_Toc184314427"/>
      <w:bookmarkEnd w:id="67"/>
      <w:bookmarkStart w:id="68" w:name="_Toc184308089"/>
      <w:bookmarkEnd w:id="68"/>
      <w:bookmarkStart w:id="69" w:name="_Toc184314416"/>
      <w:bookmarkEnd w:id="69"/>
      <w:bookmarkStart w:id="70" w:name="_Toc184310296"/>
      <w:bookmarkEnd w:id="70"/>
      <w:bookmarkStart w:id="71" w:name="_Toc184312120"/>
      <w:bookmarkEnd w:id="71"/>
      <w:bookmarkStart w:id="72" w:name="_Toc184308056"/>
      <w:bookmarkEnd w:id="72"/>
      <w:bookmarkStart w:id="73" w:name="_Toc184310289"/>
      <w:bookmarkEnd w:id="73"/>
      <w:bookmarkStart w:id="74" w:name="_Toc184312098"/>
      <w:bookmarkEnd w:id="74"/>
      <w:bookmarkStart w:id="75" w:name="_Toc184312113"/>
      <w:bookmarkEnd w:id="75"/>
      <w:bookmarkStart w:id="76" w:name="_Toc184313307"/>
      <w:bookmarkEnd w:id="76"/>
      <w:bookmarkStart w:id="77" w:name="_Toc184314480"/>
      <w:bookmarkEnd w:id="77"/>
      <w:bookmarkStart w:id="78" w:name="_Toc184312082"/>
      <w:bookmarkEnd w:id="78"/>
      <w:bookmarkStart w:id="79" w:name="_Toc184313284"/>
      <w:bookmarkEnd w:id="79"/>
      <w:bookmarkStart w:id="80" w:name="_Toc184308076"/>
      <w:bookmarkEnd w:id="80"/>
      <w:bookmarkStart w:id="81" w:name="_Toc184313296"/>
      <w:bookmarkEnd w:id="81"/>
      <w:bookmarkStart w:id="82" w:name="_Toc184313279"/>
      <w:bookmarkEnd w:id="82"/>
      <w:bookmarkStart w:id="83" w:name="_Toc184313262"/>
      <w:bookmarkEnd w:id="83"/>
      <w:bookmarkStart w:id="84" w:name="_Toc184313306"/>
      <w:bookmarkEnd w:id="84"/>
      <w:bookmarkStart w:id="85" w:name="_Toc184314421"/>
      <w:bookmarkEnd w:id="85"/>
      <w:bookmarkStart w:id="86" w:name="_Toc184312070"/>
      <w:bookmarkEnd w:id="86"/>
      <w:bookmarkStart w:id="87" w:name="_Toc184314455"/>
      <w:bookmarkEnd w:id="87"/>
      <w:bookmarkStart w:id="88" w:name="_Toc184310286"/>
      <w:bookmarkEnd w:id="88"/>
      <w:bookmarkStart w:id="89" w:name="_Toc184310310"/>
      <w:bookmarkEnd w:id="89"/>
      <w:bookmarkStart w:id="90" w:name="_Toc184314466"/>
      <w:bookmarkEnd w:id="90"/>
      <w:bookmarkStart w:id="91" w:name="_Toc184314426"/>
      <w:bookmarkEnd w:id="91"/>
      <w:bookmarkStart w:id="92" w:name="_Toc184313301"/>
      <w:bookmarkEnd w:id="92"/>
      <w:bookmarkStart w:id="93" w:name="_Toc184312109"/>
      <w:bookmarkEnd w:id="93"/>
      <w:bookmarkStart w:id="94" w:name="_Toc184314459"/>
      <w:bookmarkEnd w:id="94"/>
      <w:bookmarkStart w:id="95" w:name="_Toc184308103"/>
      <w:bookmarkEnd w:id="95"/>
      <w:bookmarkStart w:id="96" w:name="_Toc184308092"/>
      <w:bookmarkEnd w:id="96"/>
      <w:bookmarkStart w:id="97" w:name="_Toc184312068"/>
      <w:bookmarkEnd w:id="97"/>
      <w:bookmarkStart w:id="98" w:name="_Toc184312081"/>
      <w:bookmarkEnd w:id="98"/>
      <w:bookmarkStart w:id="99" w:name="_Toc184308108"/>
      <w:bookmarkEnd w:id="99"/>
      <w:bookmarkStart w:id="100" w:name="_Toc184310306"/>
      <w:bookmarkEnd w:id="100"/>
      <w:bookmarkStart w:id="101" w:name="_Toc184314443"/>
      <w:bookmarkEnd w:id="101"/>
      <w:bookmarkStart w:id="102" w:name="_Toc184312079"/>
      <w:bookmarkEnd w:id="102"/>
      <w:bookmarkStart w:id="103" w:name="_Toc184312073"/>
      <w:bookmarkEnd w:id="103"/>
      <w:bookmarkStart w:id="104" w:name="_Toc184314422"/>
      <w:bookmarkEnd w:id="104"/>
      <w:bookmarkStart w:id="105" w:name="_Toc184310292"/>
      <w:bookmarkEnd w:id="105"/>
      <w:bookmarkStart w:id="106" w:name="_Toc184312118"/>
      <w:bookmarkEnd w:id="106"/>
      <w:bookmarkStart w:id="107" w:name="_Toc184312071"/>
      <w:bookmarkEnd w:id="107"/>
      <w:bookmarkStart w:id="108" w:name="_Toc184313292"/>
      <w:bookmarkEnd w:id="108"/>
      <w:bookmarkStart w:id="109" w:name="_Toc184312069"/>
      <w:bookmarkEnd w:id="109"/>
      <w:bookmarkStart w:id="110" w:name="_Toc184312104"/>
      <w:bookmarkEnd w:id="110"/>
      <w:bookmarkStart w:id="111" w:name="_Toc184308049"/>
      <w:bookmarkEnd w:id="111"/>
      <w:bookmarkStart w:id="112" w:name="_Toc184313299"/>
      <w:bookmarkEnd w:id="112"/>
      <w:bookmarkStart w:id="113" w:name="_Toc184310305"/>
      <w:bookmarkEnd w:id="113"/>
      <w:bookmarkStart w:id="114" w:name="_Toc184310282"/>
      <w:bookmarkEnd w:id="114"/>
      <w:bookmarkStart w:id="115" w:name="_Toc184312102"/>
      <w:bookmarkEnd w:id="115"/>
      <w:bookmarkStart w:id="116" w:name="_Toc184314464"/>
      <w:bookmarkEnd w:id="116"/>
      <w:bookmarkStart w:id="117" w:name="_Toc184314461"/>
      <w:bookmarkEnd w:id="117"/>
      <w:bookmarkStart w:id="118" w:name="_Toc184312110"/>
      <w:bookmarkEnd w:id="118"/>
      <w:bookmarkStart w:id="119" w:name="_Toc184313278"/>
      <w:bookmarkEnd w:id="119"/>
      <w:bookmarkStart w:id="120" w:name="_Toc184312124"/>
      <w:bookmarkEnd w:id="120"/>
      <w:bookmarkStart w:id="121" w:name="_Toc184310287"/>
      <w:bookmarkEnd w:id="121"/>
      <w:bookmarkStart w:id="122" w:name="_Toc184308104"/>
      <w:bookmarkEnd w:id="122"/>
      <w:bookmarkStart w:id="123" w:name="_Toc184308105"/>
      <w:bookmarkEnd w:id="123"/>
      <w:bookmarkStart w:id="124" w:name="_Toc184314440"/>
      <w:bookmarkEnd w:id="124"/>
      <w:bookmarkStart w:id="125" w:name="_Toc184313276"/>
      <w:bookmarkEnd w:id="125"/>
      <w:bookmarkStart w:id="126" w:name="_Toc184314410"/>
      <w:bookmarkEnd w:id="126"/>
      <w:bookmarkStart w:id="127" w:name="_Toc184313308"/>
      <w:bookmarkEnd w:id="127"/>
      <w:bookmarkStart w:id="128" w:name="_Toc184308067"/>
      <w:bookmarkEnd w:id="128"/>
      <w:bookmarkStart w:id="129" w:name="_Toc184314428"/>
      <w:bookmarkEnd w:id="129"/>
      <w:bookmarkStart w:id="130" w:name="_Toc184308073"/>
      <w:bookmarkEnd w:id="130"/>
      <w:bookmarkStart w:id="131" w:name="_Toc184314423"/>
      <w:bookmarkEnd w:id="131"/>
      <w:bookmarkStart w:id="132" w:name="_Toc184310277"/>
      <w:bookmarkEnd w:id="132"/>
      <w:bookmarkStart w:id="133" w:name="_Toc184313272"/>
      <w:bookmarkEnd w:id="133"/>
      <w:bookmarkStart w:id="134" w:name="_Toc184308094"/>
      <w:bookmarkEnd w:id="134"/>
      <w:bookmarkStart w:id="135" w:name="_Toc184313285"/>
      <w:bookmarkEnd w:id="135"/>
      <w:bookmarkStart w:id="136" w:name="_Toc184313281"/>
      <w:bookmarkEnd w:id="136"/>
      <w:bookmarkStart w:id="137" w:name="_Toc184308045"/>
      <w:bookmarkEnd w:id="137"/>
      <w:bookmarkStart w:id="138" w:name="_Toc184308087"/>
      <w:bookmarkEnd w:id="138"/>
      <w:bookmarkStart w:id="139" w:name="_Toc184310301"/>
      <w:bookmarkEnd w:id="139"/>
      <w:bookmarkStart w:id="140" w:name="_Toc184314460"/>
      <w:bookmarkEnd w:id="140"/>
      <w:bookmarkStart w:id="141" w:name="_Toc184310275"/>
      <w:bookmarkEnd w:id="141"/>
      <w:bookmarkStart w:id="142" w:name="_Toc184308055"/>
      <w:bookmarkEnd w:id="142"/>
      <w:bookmarkStart w:id="143" w:name="_Toc184314437"/>
      <w:bookmarkEnd w:id="143"/>
      <w:bookmarkStart w:id="144" w:name="_Toc184308048"/>
      <w:bookmarkEnd w:id="144"/>
      <w:bookmarkStart w:id="145" w:name="_Toc184314467"/>
      <w:bookmarkEnd w:id="145"/>
      <w:bookmarkStart w:id="146" w:name="_Toc184310302"/>
      <w:bookmarkEnd w:id="146"/>
      <w:bookmarkStart w:id="147" w:name="_Toc184310323"/>
      <w:bookmarkEnd w:id="147"/>
      <w:bookmarkStart w:id="148" w:name="_Toc184314411"/>
      <w:bookmarkEnd w:id="148"/>
      <w:bookmarkStart w:id="149" w:name="_Toc184313283"/>
      <w:bookmarkEnd w:id="149"/>
      <w:bookmarkStart w:id="150" w:name="_Toc184313294"/>
      <w:bookmarkEnd w:id="150"/>
      <w:bookmarkStart w:id="151" w:name="_Toc184310295"/>
      <w:bookmarkEnd w:id="151"/>
      <w:bookmarkStart w:id="152" w:name="_Toc184314418"/>
      <w:bookmarkEnd w:id="152"/>
      <w:bookmarkStart w:id="153" w:name="_Toc184308047"/>
      <w:bookmarkEnd w:id="153"/>
      <w:bookmarkStart w:id="154" w:name="_Toc184314476"/>
      <w:bookmarkEnd w:id="154"/>
      <w:bookmarkStart w:id="155" w:name="_Toc184313282"/>
      <w:bookmarkEnd w:id="155"/>
      <w:bookmarkStart w:id="156" w:name="_Toc184308063"/>
      <w:bookmarkEnd w:id="156"/>
      <w:bookmarkStart w:id="157" w:name="_Toc184310299"/>
      <w:bookmarkEnd w:id="157"/>
      <w:bookmarkStart w:id="158" w:name="_Toc184308036"/>
      <w:bookmarkEnd w:id="158"/>
      <w:bookmarkStart w:id="159" w:name="_Toc184308038"/>
      <w:bookmarkEnd w:id="159"/>
      <w:bookmarkStart w:id="160" w:name="_Toc184310328"/>
      <w:bookmarkEnd w:id="160"/>
      <w:bookmarkStart w:id="161" w:name="_Toc184312106"/>
      <w:bookmarkEnd w:id="161"/>
      <w:bookmarkStart w:id="162" w:name="_Toc184312091"/>
      <w:bookmarkEnd w:id="162"/>
      <w:bookmarkStart w:id="163" w:name="_Toc184310316"/>
      <w:bookmarkEnd w:id="163"/>
      <w:bookmarkStart w:id="164" w:name="_Toc184312108"/>
      <w:bookmarkEnd w:id="164"/>
      <w:bookmarkStart w:id="165" w:name="_Toc184312111"/>
      <w:bookmarkEnd w:id="165"/>
      <w:bookmarkStart w:id="166" w:name="_Toc184308065"/>
      <w:bookmarkEnd w:id="166"/>
      <w:bookmarkStart w:id="167" w:name="_Toc184312127"/>
      <w:bookmarkEnd w:id="167"/>
      <w:bookmarkStart w:id="168" w:name="_Toc184313246"/>
      <w:bookmarkEnd w:id="168"/>
      <w:bookmarkStart w:id="169" w:name="_Toc184308091"/>
      <w:bookmarkEnd w:id="169"/>
      <w:bookmarkStart w:id="170" w:name="_Toc184313257"/>
      <w:bookmarkEnd w:id="170"/>
      <w:bookmarkStart w:id="171" w:name="_Toc184313249"/>
      <w:bookmarkEnd w:id="171"/>
      <w:bookmarkStart w:id="172" w:name="_Toc184308068"/>
      <w:bookmarkEnd w:id="172"/>
      <w:bookmarkStart w:id="173" w:name="_Toc184310334"/>
      <w:bookmarkEnd w:id="173"/>
      <w:bookmarkStart w:id="174" w:name="_Toc184312080"/>
      <w:bookmarkEnd w:id="174"/>
      <w:bookmarkStart w:id="175" w:name="_Toc184308097"/>
      <w:bookmarkEnd w:id="175"/>
      <w:bookmarkStart w:id="176" w:name="_Toc184312067"/>
      <w:bookmarkEnd w:id="176"/>
      <w:bookmarkStart w:id="177" w:name="_Toc184314412"/>
      <w:bookmarkEnd w:id="177"/>
      <w:bookmarkStart w:id="178" w:name="_Toc184310321"/>
      <w:bookmarkEnd w:id="178"/>
      <w:bookmarkStart w:id="179" w:name="_Toc184313253"/>
      <w:bookmarkEnd w:id="179"/>
      <w:bookmarkStart w:id="180" w:name="_Toc184313304"/>
      <w:bookmarkEnd w:id="180"/>
      <w:bookmarkStart w:id="181" w:name="_Toc184310312"/>
      <w:bookmarkEnd w:id="181"/>
      <w:bookmarkStart w:id="182" w:name="_Toc184312101"/>
      <w:bookmarkEnd w:id="182"/>
      <w:bookmarkStart w:id="183" w:name="_Toc184313298"/>
      <w:bookmarkEnd w:id="183"/>
      <w:bookmarkStart w:id="184" w:name="_Toc184310303"/>
      <w:bookmarkEnd w:id="184"/>
      <w:bookmarkStart w:id="185" w:name="_Toc184314463"/>
      <w:bookmarkEnd w:id="185"/>
      <w:bookmarkStart w:id="186" w:name="_Toc184312134"/>
      <w:bookmarkEnd w:id="186"/>
      <w:bookmarkStart w:id="187" w:name="_Toc184310279"/>
      <w:bookmarkEnd w:id="187"/>
      <w:bookmarkStart w:id="188" w:name="_Toc184308051"/>
      <w:bookmarkEnd w:id="188"/>
      <w:bookmarkStart w:id="189" w:name="_Toc184310338"/>
      <w:bookmarkEnd w:id="189"/>
      <w:bookmarkStart w:id="190" w:name="_Toc184310333"/>
      <w:bookmarkEnd w:id="190"/>
      <w:bookmarkStart w:id="191" w:name="_Toc184310273"/>
      <w:bookmarkEnd w:id="191"/>
      <w:bookmarkStart w:id="192" w:name="_Toc184312130"/>
      <w:bookmarkEnd w:id="192"/>
      <w:bookmarkStart w:id="193" w:name="_Toc184313265"/>
      <w:bookmarkEnd w:id="193"/>
      <w:bookmarkStart w:id="194" w:name="_Toc184308077"/>
      <w:bookmarkEnd w:id="194"/>
      <w:bookmarkStart w:id="195" w:name="_Toc184314446"/>
      <w:bookmarkEnd w:id="195"/>
      <w:bookmarkStart w:id="196" w:name="_Toc184310336"/>
      <w:bookmarkEnd w:id="196"/>
      <w:bookmarkStart w:id="197" w:name="_Toc184310335"/>
      <w:bookmarkEnd w:id="197"/>
      <w:bookmarkStart w:id="198" w:name="_Toc184312072"/>
      <w:bookmarkEnd w:id="198"/>
      <w:bookmarkStart w:id="199" w:name="_Toc184312086"/>
      <w:bookmarkEnd w:id="199"/>
      <w:bookmarkStart w:id="200" w:name="_Toc184310300"/>
      <w:bookmarkEnd w:id="200"/>
      <w:bookmarkStart w:id="201" w:name="_Toc184310320"/>
      <w:bookmarkEnd w:id="201"/>
      <w:bookmarkStart w:id="202" w:name="_Toc184308101"/>
      <w:bookmarkEnd w:id="202"/>
      <w:bookmarkStart w:id="203" w:name="_Toc184314475"/>
      <w:bookmarkEnd w:id="203"/>
      <w:bookmarkStart w:id="204" w:name="_Toc184314465"/>
      <w:bookmarkEnd w:id="204"/>
      <w:bookmarkStart w:id="205" w:name="_Toc184310278"/>
      <w:bookmarkEnd w:id="205"/>
      <w:bookmarkStart w:id="206" w:name="_Toc184310283"/>
      <w:bookmarkEnd w:id="206"/>
      <w:bookmarkStart w:id="207" w:name="_Toc184314439"/>
      <w:bookmarkEnd w:id="207"/>
      <w:bookmarkStart w:id="208" w:name="_Toc184313260"/>
      <w:bookmarkEnd w:id="208"/>
      <w:bookmarkStart w:id="209" w:name="_Toc184314479"/>
      <w:bookmarkEnd w:id="209"/>
      <w:bookmarkStart w:id="210" w:name="_Toc184310343"/>
      <w:bookmarkEnd w:id="210"/>
      <w:bookmarkStart w:id="211" w:name="_Toc184314433"/>
      <w:bookmarkEnd w:id="211"/>
      <w:bookmarkStart w:id="212" w:name="_Toc184314424"/>
      <w:bookmarkEnd w:id="212"/>
      <w:bookmarkStart w:id="213" w:name="_Toc184310298"/>
      <w:bookmarkEnd w:id="213"/>
      <w:bookmarkStart w:id="214" w:name="_Toc184312137"/>
      <w:bookmarkEnd w:id="214"/>
      <w:bookmarkStart w:id="215" w:name="_Toc184310330"/>
      <w:bookmarkEnd w:id="215"/>
      <w:bookmarkStart w:id="216" w:name="_Toc184308093"/>
      <w:bookmarkEnd w:id="216"/>
      <w:bookmarkStart w:id="217" w:name="_Toc184310340"/>
      <w:bookmarkEnd w:id="217"/>
      <w:bookmarkStart w:id="218" w:name="_Toc184310322"/>
      <w:bookmarkEnd w:id="218"/>
      <w:bookmarkStart w:id="219" w:name="_Toc184308039"/>
      <w:bookmarkEnd w:id="219"/>
      <w:bookmarkStart w:id="220" w:name="_Toc184314413"/>
      <w:bookmarkEnd w:id="220"/>
      <w:bookmarkStart w:id="221" w:name="_Toc184314456"/>
      <w:bookmarkEnd w:id="221"/>
      <w:bookmarkStart w:id="222" w:name="_Toc184313264"/>
      <w:bookmarkEnd w:id="222"/>
      <w:bookmarkStart w:id="223" w:name="_Toc184310339"/>
      <w:bookmarkEnd w:id="223"/>
      <w:bookmarkStart w:id="224" w:name="_Toc184308072"/>
      <w:bookmarkEnd w:id="224"/>
      <w:bookmarkStart w:id="225" w:name="_Toc184313293"/>
      <w:bookmarkEnd w:id="225"/>
      <w:bookmarkStart w:id="226" w:name="_Toc184308071"/>
      <w:bookmarkEnd w:id="226"/>
      <w:bookmarkStart w:id="227" w:name="_Toc184310274"/>
      <w:bookmarkEnd w:id="227"/>
      <w:bookmarkStart w:id="228" w:name="_Toc184312131"/>
      <w:bookmarkEnd w:id="228"/>
      <w:bookmarkStart w:id="229" w:name="_Toc184310327"/>
      <w:bookmarkEnd w:id="229"/>
      <w:bookmarkStart w:id="230" w:name="_Toc184314417"/>
      <w:bookmarkEnd w:id="230"/>
      <w:bookmarkStart w:id="231" w:name="_Toc184314434"/>
      <w:bookmarkEnd w:id="231"/>
      <w:bookmarkStart w:id="232" w:name="_Toc184314429"/>
      <w:bookmarkEnd w:id="232"/>
      <w:bookmarkStart w:id="233" w:name="_Toc184313261"/>
      <w:bookmarkEnd w:id="233"/>
      <w:bookmarkStart w:id="234" w:name="_Toc184310319"/>
      <w:bookmarkEnd w:id="234"/>
      <w:bookmarkStart w:id="235" w:name="_Toc184314457"/>
      <w:bookmarkEnd w:id="235"/>
      <w:bookmarkStart w:id="236" w:name="_Toc184310290"/>
      <w:bookmarkEnd w:id="236"/>
      <w:bookmarkStart w:id="237" w:name="_Toc184314445"/>
      <w:bookmarkEnd w:id="237"/>
      <w:bookmarkStart w:id="238" w:name="_Toc184314415"/>
      <w:bookmarkEnd w:id="238"/>
      <w:bookmarkStart w:id="239" w:name="_Toc184313295"/>
      <w:bookmarkEnd w:id="239"/>
      <w:bookmarkStart w:id="240" w:name="_Toc184312084"/>
      <w:bookmarkEnd w:id="240"/>
      <w:bookmarkStart w:id="241" w:name="_Toc184308066"/>
      <w:bookmarkEnd w:id="241"/>
      <w:bookmarkStart w:id="242" w:name="_Toc184312129"/>
      <w:bookmarkEnd w:id="242"/>
      <w:bookmarkStart w:id="243" w:name="_Toc184314447"/>
      <w:bookmarkEnd w:id="243"/>
      <w:bookmarkStart w:id="244" w:name="_Toc184308041"/>
      <w:bookmarkEnd w:id="244"/>
      <w:bookmarkStart w:id="245" w:name="_Toc184310308"/>
      <w:bookmarkEnd w:id="245"/>
      <w:bookmarkStart w:id="246" w:name="_Toc184308085"/>
      <w:bookmarkEnd w:id="246"/>
      <w:bookmarkStart w:id="247" w:name="_Toc184313271"/>
      <w:bookmarkEnd w:id="247"/>
      <w:bookmarkStart w:id="248" w:name="_Toc184313289"/>
      <w:bookmarkEnd w:id="248"/>
      <w:bookmarkStart w:id="249" w:name="_Toc184312083"/>
      <w:bookmarkEnd w:id="249"/>
      <w:bookmarkStart w:id="250" w:name="_Toc184310272"/>
      <w:bookmarkEnd w:id="250"/>
      <w:bookmarkStart w:id="251" w:name="_Toc184308060"/>
      <w:bookmarkEnd w:id="251"/>
      <w:bookmarkStart w:id="252" w:name="_Toc184313300"/>
      <w:bookmarkEnd w:id="252"/>
      <w:bookmarkStart w:id="253" w:name="_Toc184308098"/>
      <w:bookmarkEnd w:id="253"/>
      <w:bookmarkStart w:id="254" w:name="_Toc184308053"/>
      <w:bookmarkEnd w:id="254"/>
      <w:bookmarkStart w:id="255" w:name="_Toc184308070"/>
      <w:bookmarkEnd w:id="255"/>
      <w:bookmarkStart w:id="256" w:name="_Toc184308050"/>
      <w:bookmarkEnd w:id="256"/>
      <w:bookmarkStart w:id="257" w:name="_Toc184312076"/>
      <w:bookmarkEnd w:id="257"/>
      <w:bookmarkStart w:id="258" w:name="_Toc184314449"/>
      <w:bookmarkEnd w:id="258"/>
      <w:bookmarkStart w:id="259" w:name="_Toc184312132"/>
      <w:bookmarkEnd w:id="259"/>
      <w:bookmarkStart w:id="260" w:name="_Toc184312126"/>
      <w:bookmarkEnd w:id="260"/>
      <w:bookmarkStart w:id="261" w:name="_Toc184308096"/>
      <w:bookmarkEnd w:id="261"/>
      <w:bookmarkStart w:id="262" w:name="_Toc184312087"/>
      <w:bookmarkEnd w:id="262"/>
      <w:bookmarkStart w:id="263" w:name="_Toc184308075"/>
      <w:bookmarkEnd w:id="263"/>
      <w:bookmarkStart w:id="264" w:name="_Toc184313268"/>
      <w:bookmarkEnd w:id="264"/>
      <w:bookmarkStart w:id="265" w:name="_Toc184310311"/>
      <w:bookmarkEnd w:id="265"/>
      <w:bookmarkStart w:id="266" w:name="_Toc184313239"/>
      <w:bookmarkEnd w:id="266"/>
      <w:bookmarkStart w:id="267" w:name="_Toc184312117"/>
      <w:bookmarkEnd w:id="267"/>
      <w:bookmarkStart w:id="268" w:name="_Toc184312103"/>
      <w:bookmarkEnd w:id="268"/>
      <w:bookmarkStart w:id="269" w:name="_Toc184310325"/>
      <w:bookmarkEnd w:id="269"/>
      <w:bookmarkStart w:id="270" w:name="_Toc184312074"/>
      <w:bookmarkEnd w:id="270"/>
      <w:bookmarkStart w:id="271" w:name="_Toc184313244"/>
      <w:bookmarkEnd w:id="271"/>
      <w:bookmarkStart w:id="272" w:name="_Toc184308106"/>
      <w:bookmarkEnd w:id="272"/>
      <w:bookmarkStart w:id="273" w:name="_Toc184308043"/>
      <w:bookmarkEnd w:id="273"/>
      <w:bookmarkStart w:id="274" w:name="_Toc184312085"/>
      <w:bookmarkEnd w:id="274"/>
      <w:bookmarkStart w:id="275" w:name="_Toc184314436"/>
      <w:bookmarkEnd w:id="275"/>
      <w:bookmarkStart w:id="276" w:name="_Toc184308044"/>
      <w:bookmarkEnd w:id="276"/>
      <w:bookmarkStart w:id="277" w:name="_Toc184314450"/>
      <w:bookmarkEnd w:id="277"/>
      <w:bookmarkStart w:id="278" w:name="_Toc184313305"/>
      <w:bookmarkEnd w:id="278"/>
      <w:bookmarkStart w:id="279" w:name="_Toc184310284"/>
      <w:bookmarkEnd w:id="279"/>
      <w:bookmarkStart w:id="280" w:name="_Toc184310341"/>
      <w:bookmarkEnd w:id="280"/>
      <w:bookmarkStart w:id="281" w:name="_Toc184308040"/>
      <w:bookmarkEnd w:id="281"/>
      <w:bookmarkStart w:id="282" w:name="_Toc184310318"/>
      <w:bookmarkEnd w:id="282"/>
      <w:bookmarkStart w:id="283" w:name="_Toc184312128"/>
      <w:bookmarkEnd w:id="283"/>
      <w:bookmarkStart w:id="284" w:name="_Toc184308095"/>
      <w:bookmarkEnd w:id="284"/>
      <w:bookmarkStart w:id="285" w:name="_Toc184308079"/>
      <w:bookmarkEnd w:id="285"/>
      <w:bookmarkStart w:id="286" w:name="_Toc184314470"/>
      <w:bookmarkEnd w:id="286"/>
      <w:bookmarkStart w:id="287" w:name="_Toc184313248"/>
      <w:bookmarkEnd w:id="287"/>
      <w:bookmarkStart w:id="288" w:name="_Toc184308107"/>
      <w:bookmarkEnd w:id="288"/>
      <w:bookmarkStart w:id="289" w:name="_Toc184313288"/>
      <w:bookmarkEnd w:id="289"/>
      <w:bookmarkStart w:id="290" w:name="_Toc184308058"/>
      <w:bookmarkEnd w:id="290"/>
      <w:bookmarkStart w:id="291" w:name="_Toc184310276"/>
      <w:bookmarkEnd w:id="291"/>
      <w:bookmarkStart w:id="292" w:name="_Toc184313290"/>
      <w:bookmarkEnd w:id="292"/>
      <w:bookmarkStart w:id="293" w:name="_Toc184310342"/>
      <w:bookmarkEnd w:id="293"/>
      <w:bookmarkStart w:id="294" w:name="_Toc184308062"/>
      <w:bookmarkEnd w:id="294"/>
      <w:bookmarkStart w:id="295" w:name="_Toc184312094"/>
      <w:bookmarkEnd w:id="295"/>
      <w:bookmarkStart w:id="296" w:name="_Toc184313255"/>
      <w:bookmarkEnd w:id="296"/>
      <w:bookmarkStart w:id="297" w:name="_Toc184313250"/>
      <w:bookmarkEnd w:id="297"/>
      <w:bookmarkStart w:id="298" w:name="_Toc184308081"/>
      <w:bookmarkEnd w:id="298"/>
      <w:bookmarkStart w:id="299" w:name="_Toc184314458"/>
      <w:bookmarkEnd w:id="299"/>
      <w:bookmarkStart w:id="300" w:name="_Toc184312095"/>
      <w:bookmarkEnd w:id="300"/>
      <w:bookmarkStart w:id="301" w:name="_Toc184310297"/>
      <w:bookmarkEnd w:id="301"/>
      <w:bookmarkStart w:id="302" w:name="_Toc184310331"/>
      <w:bookmarkEnd w:id="302"/>
      <w:bookmarkStart w:id="303" w:name="_Toc184310304"/>
      <w:bookmarkEnd w:id="303"/>
      <w:bookmarkStart w:id="304" w:name="_Toc184310291"/>
      <w:bookmarkEnd w:id="304"/>
      <w:bookmarkStart w:id="305" w:name="_Toc184312096"/>
      <w:bookmarkEnd w:id="305"/>
      <w:bookmarkStart w:id="306" w:name="_Toc184313267"/>
      <w:bookmarkEnd w:id="306"/>
      <w:bookmarkStart w:id="307" w:name="_Toc184314442"/>
      <w:bookmarkEnd w:id="307"/>
      <w:bookmarkStart w:id="308" w:name="_Toc184308082"/>
      <w:bookmarkEnd w:id="308"/>
      <w:bookmarkStart w:id="309" w:name="_Toc184312139"/>
      <w:bookmarkEnd w:id="309"/>
      <w:bookmarkStart w:id="310" w:name="_Toc184308054"/>
      <w:bookmarkEnd w:id="310"/>
      <w:bookmarkStart w:id="311" w:name="_Toc184314462"/>
      <w:bookmarkEnd w:id="311"/>
      <w:bookmarkStart w:id="312" w:name="_Toc184314478"/>
      <w:bookmarkEnd w:id="312"/>
      <w:bookmarkStart w:id="313" w:name="_Toc184310288"/>
      <w:bookmarkEnd w:id="313"/>
      <w:bookmarkStart w:id="314" w:name="_Toc184312112"/>
      <w:bookmarkEnd w:id="314"/>
      <w:bookmarkStart w:id="315" w:name="_Toc184308074"/>
      <w:bookmarkEnd w:id="315"/>
      <w:bookmarkStart w:id="316" w:name="_Toc184313303"/>
      <w:bookmarkEnd w:id="316"/>
      <w:bookmarkStart w:id="317" w:name="_Toc184314473"/>
      <w:bookmarkEnd w:id="317"/>
      <w:bookmarkStart w:id="318" w:name="_Toc184312121"/>
      <w:bookmarkEnd w:id="318"/>
      <w:bookmarkStart w:id="319" w:name="_Toc184313240"/>
      <w:bookmarkEnd w:id="319"/>
      <w:bookmarkStart w:id="320" w:name="_Toc184312092"/>
      <w:bookmarkEnd w:id="320"/>
      <w:bookmarkStart w:id="321" w:name="_Toc184313266"/>
      <w:bookmarkEnd w:id="321"/>
      <w:bookmarkStart w:id="322" w:name="_Toc184313291"/>
      <w:bookmarkEnd w:id="322"/>
      <w:bookmarkStart w:id="323" w:name="_Toc184313302"/>
      <w:bookmarkEnd w:id="323"/>
      <w:bookmarkStart w:id="324" w:name="_Toc184314430"/>
      <w:bookmarkEnd w:id="324"/>
      <w:bookmarkStart w:id="325" w:name="_Toc184308042"/>
      <w:bookmarkEnd w:id="325"/>
      <w:bookmarkStart w:id="326" w:name="_Toc184313287"/>
      <w:bookmarkEnd w:id="326"/>
      <w:bookmarkStart w:id="327" w:name="_Toc184314454"/>
      <w:bookmarkEnd w:id="327"/>
      <w:bookmarkStart w:id="328" w:name="_Toc184313275"/>
      <w:bookmarkEnd w:id="328"/>
      <w:bookmarkStart w:id="329" w:name="_Toc184312136"/>
      <w:bookmarkEnd w:id="329"/>
      <w:bookmarkStart w:id="330" w:name="_Toc184308084"/>
      <w:bookmarkEnd w:id="330"/>
      <w:bookmarkStart w:id="331" w:name="_Toc184312125"/>
      <w:bookmarkEnd w:id="331"/>
      <w:bookmarkStart w:id="332" w:name="_Toc184310324"/>
      <w:bookmarkEnd w:id="332"/>
      <w:bookmarkStart w:id="333" w:name="_Toc184314469"/>
      <w:bookmarkEnd w:id="333"/>
      <w:bookmarkStart w:id="334" w:name="_Toc184314419"/>
      <w:bookmarkEnd w:id="334"/>
      <w:bookmarkStart w:id="335" w:name="_Toc184308059"/>
      <w:bookmarkEnd w:id="335"/>
      <w:bookmarkStart w:id="336" w:name="_Toc184314472"/>
      <w:bookmarkEnd w:id="336"/>
      <w:bookmarkStart w:id="337" w:name="_Toc184312115"/>
      <w:bookmarkEnd w:id="337"/>
      <w:bookmarkStart w:id="338" w:name="_Toc184312099"/>
      <w:bookmarkEnd w:id="338"/>
      <w:bookmarkStart w:id="339" w:name="_Toc184312135"/>
      <w:bookmarkEnd w:id="339"/>
      <w:bookmarkStart w:id="340" w:name="_Toc184314451"/>
      <w:bookmarkEnd w:id="340"/>
      <w:bookmarkStart w:id="341" w:name="_Toc184308083"/>
      <w:bookmarkEnd w:id="341"/>
      <w:bookmarkStart w:id="342" w:name="_Toc184312138"/>
      <w:bookmarkEnd w:id="342"/>
      <w:bookmarkStart w:id="343" w:name="_Toc184308061"/>
      <w:bookmarkEnd w:id="343"/>
      <w:bookmarkStart w:id="344" w:name="_Toc184310280"/>
      <w:bookmarkEnd w:id="344"/>
      <w:bookmarkStart w:id="345" w:name="_Toc184314468"/>
      <w:bookmarkEnd w:id="345"/>
      <w:bookmarkStart w:id="346" w:name="_Toc184314432"/>
      <w:bookmarkEnd w:id="346"/>
      <w:bookmarkStart w:id="347" w:name="_Toc184313251"/>
      <w:bookmarkEnd w:id="347"/>
      <w:bookmarkStart w:id="348" w:name="_Toc184308102"/>
      <w:bookmarkEnd w:id="348"/>
      <w:bookmarkStart w:id="349" w:name="_Toc184308037"/>
      <w:bookmarkEnd w:id="349"/>
      <w:bookmarkStart w:id="350" w:name="_Toc184308099"/>
      <w:bookmarkEnd w:id="350"/>
      <w:bookmarkStart w:id="351" w:name="_Toc184310314"/>
      <w:bookmarkEnd w:id="351"/>
      <w:bookmarkStart w:id="352" w:name="_Toc184313274"/>
      <w:bookmarkEnd w:id="352"/>
      <w:bookmarkStart w:id="353" w:name="_Toc184312089"/>
      <w:bookmarkEnd w:id="353"/>
      <w:bookmarkStart w:id="354" w:name="_Toc184313245"/>
      <w:bookmarkEnd w:id="354"/>
      <w:bookmarkStart w:id="355" w:name="_Toc184308080"/>
      <w:bookmarkEnd w:id="355"/>
      <w:bookmarkStart w:id="356" w:name="_Toc184313273"/>
      <w:bookmarkEnd w:id="356"/>
      <w:bookmarkStart w:id="357" w:name="_Toc184308052"/>
      <w:bookmarkEnd w:id="357"/>
      <w:bookmarkStart w:id="358" w:name="_Toc184310293"/>
      <w:bookmarkEnd w:id="358"/>
      <w:bookmarkStart w:id="359" w:name="_Toc184308088"/>
      <w:bookmarkEnd w:id="359"/>
      <w:bookmarkStart w:id="360" w:name="_Toc184314448"/>
      <w:bookmarkEnd w:id="360"/>
      <w:bookmarkStart w:id="361" w:name="_Toc184313243"/>
      <w:bookmarkEnd w:id="361"/>
      <w:bookmarkStart w:id="362" w:name="_Toc184314420"/>
      <w:bookmarkEnd w:id="362"/>
      <w:bookmarkStart w:id="363" w:name="_Toc184313297"/>
      <w:bookmarkEnd w:id="363"/>
      <w:bookmarkStart w:id="364" w:name="_Toc184314474"/>
      <w:bookmarkEnd w:id="364"/>
      <w:bookmarkStart w:id="365" w:name="_Toc184313269"/>
      <w:bookmarkEnd w:id="365"/>
      <w:bookmarkStart w:id="366" w:name="_Toc184314482"/>
      <w:bookmarkEnd w:id="366"/>
      <w:bookmarkStart w:id="367" w:name="_Toc184313277"/>
      <w:bookmarkEnd w:id="367"/>
      <w:bookmarkStart w:id="368" w:name="_Toc184312116"/>
      <w:bookmarkEnd w:id="368"/>
      <w:bookmarkStart w:id="369" w:name="_Toc184314441"/>
      <w:bookmarkEnd w:id="369"/>
      <w:bookmarkStart w:id="370" w:name="_Toc184312088"/>
      <w:bookmarkEnd w:id="370"/>
      <w:bookmarkStart w:id="371" w:name="_Toc184312075"/>
      <w:bookmarkEnd w:id="371"/>
      <w:bookmarkStart w:id="372" w:name="_Toc184310309"/>
      <w:bookmarkEnd w:id="372"/>
      <w:bookmarkStart w:id="373" w:name="_Toc184310315"/>
      <w:bookmarkEnd w:id="373"/>
      <w:bookmarkStart w:id="374" w:name="_Toc184313241"/>
      <w:bookmarkEnd w:id="374"/>
      <w:bookmarkStart w:id="375" w:name="_Toc184314414"/>
      <w:bookmarkEnd w:id="375"/>
      <w:bookmarkStart w:id="376" w:name="_Toc184312133"/>
      <w:bookmarkEnd w:id="376"/>
      <w:bookmarkStart w:id="377" w:name="_Toc184312107"/>
      <w:bookmarkEnd w:id="377"/>
      <w:bookmarkStart w:id="378" w:name="_Toc184312122"/>
      <w:bookmarkEnd w:id="378"/>
      <w:bookmarkStart w:id="379" w:name="_Toc184312090"/>
      <w:bookmarkEnd w:id="379"/>
      <w:bookmarkStart w:id="380" w:name="_Toc184308069"/>
      <w:bookmarkEnd w:id="380"/>
      <w:bookmarkStart w:id="381" w:name="_Toc184314431"/>
      <w:bookmarkEnd w:id="381"/>
      <w:bookmarkStart w:id="382" w:name="_Toc184310294"/>
      <w:bookmarkEnd w:id="382"/>
      <w:bookmarkStart w:id="383" w:name="_Toc184313242"/>
      <w:bookmarkEnd w:id="383"/>
      <w:bookmarkStart w:id="384" w:name="_Toc184308086"/>
      <w:bookmarkEnd w:id="384"/>
      <w:bookmarkStart w:id="385" w:name="_Toc184313254"/>
      <w:bookmarkEnd w:id="385"/>
      <w:bookmarkStart w:id="386" w:name="_Toc184308078"/>
      <w:bookmarkEnd w:id="386"/>
      <w:bookmarkStart w:id="387" w:name="_Toc184312078"/>
      <w:bookmarkEnd w:id="387"/>
      <w:bookmarkStart w:id="388" w:name="_Toc184313258"/>
      <w:bookmarkEnd w:id="388"/>
      <w:bookmarkStart w:id="389" w:name="_Toc184313256"/>
      <w:bookmarkEnd w:id="389"/>
      <w:bookmarkStart w:id="390" w:name="_Toc184312114"/>
      <w:bookmarkEnd w:id="390"/>
      <w:bookmarkStart w:id="391" w:name="_Toc184310344"/>
      <w:bookmarkEnd w:id="391"/>
      <w:bookmarkStart w:id="392" w:name="_Toc184310281"/>
      <w:bookmarkEnd w:id="392"/>
      <w:bookmarkStart w:id="393" w:name="_Toc184312100"/>
      <w:bookmarkEnd w:id="393"/>
      <w:bookmarkStart w:id="394" w:name="_Toc184312105"/>
      <w:bookmarkEnd w:id="394"/>
      <w:bookmarkStart w:id="395" w:name="_Toc184314471"/>
      <w:bookmarkEnd w:id="395"/>
      <w:bookmarkStart w:id="396" w:name="_Toc184310337"/>
      <w:bookmarkEnd w:id="396"/>
      <w:bookmarkStart w:id="397" w:name="_Toc184310313"/>
      <w:bookmarkEnd w:id="397"/>
      <w:bookmarkStart w:id="398" w:name="_Toc184313310"/>
      <w:bookmarkEnd w:id="398"/>
      <w:bookmarkStart w:id="399" w:name="_Toc184314444"/>
      <w:bookmarkEnd w:id="399"/>
      <w:bookmarkStart w:id="400" w:name="_Toc184308100"/>
      <w:bookmarkEnd w:id="400"/>
      <w:r>
        <w:rPr>
          <w:rFonts w:hint="eastAsia" w:ascii="仿宋" w:hAnsi="仿宋" w:eastAsia="仿宋" w:cs="仿宋"/>
          <w:b/>
          <w:color w:val="000000" w:themeColor="text1"/>
          <w:sz w:val="36"/>
          <w:szCs w:val="36"/>
          <w14:textFill>
            <w14:solidFill>
              <w14:schemeClr w14:val="tx1"/>
            </w14:solidFill>
          </w14:textFill>
        </w:rPr>
        <w:t>评标办法</w:t>
      </w:r>
    </w:p>
    <w:tbl>
      <w:tblPr>
        <w:tblStyle w:val="64"/>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708"/>
        <w:gridCol w:w="85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序号</w:t>
            </w:r>
          </w:p>
        </w:tc>
        <w:tc>
          <w:tcPr>
            <w:tcW w:w="5103" w:type="dxa"/>
            <w:vAlign w:val="center"/>
          </w:tcPr>
          <w:p>
            <w:pPr>
              <w:jc w:val="center"/>
              <w:rPr>
                <w:rFonts w:hint="eastAsia" w:ascii="仿宋" w:hAnsi="仿宋" w:eastAsia="仿宋" w:cs="仿宋"/>
                <w:sz w:val="24"/>
              </w:rPr>
            </w:pPr>
            <w:r>
              <w:rPr>
                <w:rFonts w:hint="eastAsia" w:ascii="仿宋" w:hAnsi="仿宋" w:eastAsia="仿宋" w:cs="仿宋"/>
                <w:sz w:val="24"/>
              </w:rPr>
              <w:t>评标标准</w:t>
            </w:r>
          </w:p>
        </w:tc>
        <w:tc>
          <w:tcPr>
            <w:tcW w:w="708" w:type="dxa"/>
            <w:vAlign w:val="center"/>
          </w:tcPr>
          <w:p>
            <w:pPr>
              <w:rPr>
                <w:rFonts w:hint="eastAsia" w:ascii="仿宋" w:hAnsi="仿宋" w:eastAsia="仿宋" w:cs="仿宋"/>
                <w:sz w:val="24"/>
              </w:rPr>
            </w:pPr>
            <w:r>
              <w:rPr>
                <w:rFonts w:hint="eastAsia" w:ascii="仿宋" w:hAnsi="仿宋" w:eastAsia="仿宋" w:cs="仿宋"/>
                <w:sz w:val="24"/>
              </w:rPr>
              <w:t>权重</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主观分/客观分属性</w:t>
            </w:r>
          </w:p>
        </w:tc>
        <w:tc>
          <w:tcPr>
            <w:tcW w:w="1299" w:type="dxa"/>
          </w:tcPr>
          <w:p>
            <w:pPr>
              <w:rPr>
                <w:rFonts w:hint="eastAsia" w:ascii="仿宋" w:hAnsi="仿宋" w:eastAsia="仿宋" w:cs="仿宋"/>
                <w:sz w:val="24"/>
              </w:rPr>
            </w:pPr>
            <w:r>
              <w:rPr>
                <w:rFonts w:hint="eastAsia" w:ascii="仿宋" w:hAnsi="仿宋" w:eastAsia="仿宋" w:cs="仿宋"/>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5103" w:type="dxa"/>
            <w:vAlign w:val="center"/>
          </w:tcPr>
          <w:p>
            <w:pPr>
              <w:rPr>
                <w:rFonts w:hint="eastAsia" w:ascii="仿宋" w:hAnsi="仿宋" w:eastAsia="仿宋" w:cs="仿宋"/>
                <w:sz w:val="24"/>
              </w:rPr>
            </w:pPr>
            <w:r>
              <w:rPr>
                <w:rFonts w:hint="eastAsia" w:ascii="仿宋" w:hAnsi="仿宋" w:eastAsia="仿宋" w:cs="仿宋"/>
                <w:sz w:val="24"/>
              </w:rPr>
              <w:t>供应商自2020年以来（以合同签订时间为准），承担过与本项目类似项目的每个得0.5分，最高得1分。</w:t>
            </w:r>
          </w:p>
          <w:p>
            <w:pPr>
              <w:rPr>
                <w:rFonts w:hint="eastAsia" w:ascii="仿宋" w:hAnsi="仿宋" w:eastAsia="仿宋" w:cs="仿宋"/>
                <w:sz w:val="24"/>
              </w:rPr>
            </w:pPr>
            <w:r>
              <w:rPr>
                <w:rFonts w:hint="eastAsia" w:ascii="仿宋" w:hAnsi="仿宋" w:eastAsia="仿宋" w:cs="仿宋"/>
                <w:sz w:val="24"/>
              </w:rPr>
              <w:t>提供相关合同扫描件及验收证明材料，未提供不得分。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1分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5103" w:type="dxa"/>
            <w:vAlign w:val="center"/>
          </w:tcPr>
          <w:p>
            <w:pPr>
              <w:rPr>
                <w:rFonts w:hint="eastAsia" w:ascii="仿宋" w:hAnsi="仿宋" w:eastAsia="仿宋" w:cs="仿宋"/>
                <w:sz w:val="24"/>
              </w:rPr>
            </w:pPr>
            <w:r>
              <w:rPr>
                <w:rFonts w:hint="eastAsia" w:ascii="仿宋" w:hAnsi="仿宋" w:eastAsia="仿宋" w:cs="仿宋"/>
                <w:sz w:val="24"/>
              </w:rPr>
              <w:t>供应商自2020年以来获得过国家级土地估价师协会资信证书的得3分，本项最高得3分。</w:t>
            </w:r>
          </w:p>
          <w:p>
            <w:pPr>
              <w:rPr>
                <w:rFonts w:hint="eastAsia" w:ascii="仿宋" w:hAnsi="仿宋" w:eastAsia="仿宋" w:cs="仿宋"/>
                <w:sz w:val="24"/>
              </w:rPr>
            </w:pPr>
            <w:r>
              <w:rPr>
                <w:rFonts w:hint="eastAsia" w:ascii="仿宋" w:hAnsi="仿宋" w:eastAsia="仿宋" w:cs="仿宋"/>
                <w:sz w:val="24"/>
              </w:rPr>
              <w:t>供应商自2020年以来获得过省级土地估价师协会颁发资信一级证书的得2分，二级证书的得1分，本项最高得2分。</w:t>
            </w:r>
          </w:p>
          <w:p>
            <w:pPr>
              <w:rPr>
                <w:rFonts w:hint="eastAsia" w:ascii="仿宋" w:hAnsi="仿宋" w:eastAsia="仿宋" w:cs="仿宋"/>
                <w:sz w:val="24"/>
              </w:rPr>
            </w:pPr>
            <w:r>
              <w:rPr>
                <w:rFonts w:hint="eastAsia" w:ascii="仿宋" w:hAnsi="仿宋" w:eastAsia="仿宋" w:cs="仿宋"/>
                <w:sz w:val="24"/>
              </w:rPr>
              <w:t>提供相关证书扫描件，未提供不得分。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企业综合情况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5103" w:type="dxa"/>
            <w:vAlign w:val="center"/>
          </w:tcPr>
          <w:p>
            <w:pPr>
              <w:rPr>
                <w:rFonts w:hint="eastAsia" w:ascii="仿宋" w:hAnsi="仿宋" w:eastAsia="仿宋" w:cs="仿宋"/>
                <w:sz w:val="24"/>
              </w:rPr>
            </w:pPr>
            <w:r>
              <w:rPr>
                <w:rFonts w:hint="eastAsia" w:ascii="仿宋" w:hAnsi="仿宋" w:eastAsia="仿宋" w:cs="仿宋"/>
                <w:sz w:val="24"/>
              </w:rPr>
              <w:t>针对招标文件要求的工作内容，项目整体工作阶段及任务划分、进度控制是否合理、关键时间节点把握是否科学准确等综合评定。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restart"/>
            <w:vAlign w:val="center"/>
          </w:tcPr>
          <w:p>
            <w:pPr>
              <w:rPr>
                <w:rFonts w:hint="eastAsia" w:ascii="仿宋" w:hAnsi="仿宋" w:eastAsia="仿宋" w:cs="仿宋"/>
                <w:sz w:val="24"/>
              </w:rPr>
            </w:pPr>
            <w:r>
              <w:rPr>
                <w:rFonts w:hint="eastAsia" w:ascii="仿宋" w:hAnsi="仿宋" w:eastAsia="仿宋" w:cs="仿宋"/>
                <w:sz w:val="24"/>
              </w:rPr>
              <w:t>理解与分析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根据供应商对本项目的现状分析是否完整、透彻等综合评定。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根据供应商提供的对本项目目标分析是否准确等综合评定。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根据供应商提供的本项目基础资料调查方案等综合评定。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restart"/>
            <w:vAlign w:val="center"/>
          </w:tcPr>
          <w:p>
            <w:pPr>
              <w:rPr>
                <w:rFonts w:hint="eastAsia" w:ascii="仿宋" w:hAnsi="仿宋" w:eastAsia="仿宋" w:cs="仿宋"/>
                <w:sz w:val="24"/>
              </w:rPr>
            </w:pPr>
            <w:r>
              <w:rPr>
                <w:rFonts w:hint="eastAsia" w:ascii="仿宋" w:hAnsi="仿宋" w:eastAsia="仿宋" w:cs="仿宋"/>
                <w:sz w:val="24"/>
              </w:rPr>
              <w:t>编制方案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根据供应商提供的本项目定级方案等综合评定。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根据供应商提供的本项目基准地价方案等综合评定。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根据实务操作内容是否详细完整、各工作环节的连贯性，实施方案的专业性等综合评定。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根据供应商提供的针对本项目情况采取质量控制方法及措施的有效性、合理性、科学性、方案是否主次分明、措施全面等综合评定。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质量保证</w:t>
            </w:r>
          </w:p>
          <w:p>
            <w:pPr>
              <w:rPr>
                <w:rFonts w:hint="eastAsia" w:ascii="仿宋" w:hAnsi="仿宋" w:eastAsia="仿宋" w:cs="仿宋"/>
                <w:sz w:val="24"/>
              </w:rPr>
            </w:pPr>
            <w:r>
              <w:rPr>
                <w:rFonts w:hint="eastAsia" w:ascii="仿宋" w:hAnsi="仿宋" w:eastAsia="仿宋" w:cs="仿宋"/>
                <w:sz w:val="24"/>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11</w:t>
            </w:r>
          </w:p>
        </w:tc>
        <w:tc>
          <w:tcPr>
            <w:tcW w:w="5103" w:type="dxa"/>
            <w:vAlign w:val="center"/>
          </w:tcPr>
          <w:p>
            <w:pPr>
              <w:rPr>
                <w:rFonts w:hint="eastAsia" w:ascii="仿宋" w:hAnsi="仿宋" w:eastAsia="仿宋" w:cs="仿宋"/>
                <w:sz w:val="24"/>
              </w:rPr>
            </w:pPr>
            <w:r>
              <w:rPr>
                <w:rFonts w:hint="eastAsia" w:ascii="仿宋" w:hAnsi="仿宋" w:eastAsia="仿宋" w:cs="仿宋"/>
                <w:sz w:val="24"/>
              </w:rPr>
              <w:t>项目负责人：</w:t>
            </w:r>
          </w:p>
          <w:p>
            <w:pPr>
              <w:rPr>
                <w:rFonts w:hint="eastAsia" w:ascii="仿宋" w:hAnsi="仿宋" w:eastAsia="仿宋" w:cs="仿宋"/>
                <w:sz w:val="24"/>
              </w:rPr>
            </w:pPr>
            <w:r>
              <w:rPr>
                <w:rFonts w:hint="eastAsia" w:ascii="仿宋" w:hAnsi="仿宋" w:eastAsia="仿宋" w:cs="仿宋"/>
                <w:sz w:val="24"/>
              </w:rPr>
              <w:t>拟担任本项目负责人具备园林草土地估价能力，为资深土地估价师（资深会员）的得3分。注：须提供配备人员相关证书和省厅备案情况的函及附记原件扫描件及近六个月连续缴纳社保证明，未提供或材料不全的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3分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12</w:t>
            </w:r>
          </w:p>
        </w:tc>
        <w:tc>
          <w:tcPr>
            <w:tcW w:w="5103" w:type="dxa"/>
            <w:vAlign w:val="center"/>
          </w:tcPr>
          <w:p>
            <w:pPr>
              <w:rPr>
                <w:rFonts w:hint="eastAsia" w:ascii="仿宋" w:hAnsi="仿宋" w:eastAsia="仿宋" w:cs="仿宋"/>
                <w:sz w:val="24"/>
              </w:rPr>
            </w:pPr>
            <w:r>
              <w:rPr>
                <w:rFonts w:hint="eastAsia" w:ascii="仿宋" w:hAnsi="仿宋" w:eastAsia="仿宋" w:cs="仿宋"/>
                <w:sz w:val="24"/>
              </w:rPr>
              <w:t>技术负责人：</w:t>
            </w:r>
          </w:p>
          <w:p>
            <w:pPr>
              <w:rPr>
                <w:rFonts w:hint="eastAsia" w:ascii="仿宋" w:hAnsi="仿宋" w:eastAsia="仿宋" w:cs="仿宋"/>
                <w:sz w:val="24"/>
              </w:rPr>
            </w:pPr>
            <w:r>
              <w:rPr>
                <w:rFonts w:hint="eastAsia" w:ascii="仿宋" w:hAnsi="仿宋" w:eastAsia="仿宋" w:cs="仿宋"/>
                <w:sz w:val="24"/>
              </w:rPr>
              <w:t>除项目负责人外，具备园林草土地估价能力，为资深土地估价师（资深会员）的得2分。</w:t>
            </w:r>
          </w:p>
          <w:p>
            <w:pPr>
              <w:rPr>
                <w:rFonts w:hint="eastAsia" w:ascii="仿宋" w:hAnsi="仿宋" w:eastAsia="仿宋" w:cs="仿宋"/>
                <w:sz w:val="24"/>
              </w:rPr>
            </w:pPr>
            <w:r>
              <w:rPr>
                <w:rFonts w:hint="eastAsia" w:ascii="仿宋" w:hAnsi="仿宋" w:eastAsia="仿宋" w:cs="仿宋"/>
                <w:sz w:val="24"/>
              </w:rPr>
              <w:t>附记原件扫描件及近六个月连续缴纳社保证明，未提供或材料不全的不得分。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2分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13</w:t>
            </w:r>
          </w:p>
        </w:tc>
        <w:tc>
          <w:tcPr>
            <w:tcW w:w="5103" w:type="dxa"/>
            <w:vAlign w:val="center"/>
          </w:tcPr>
          <w:p>
            <w:pPr>
              <w:rPr>
                <w:rFonts w:hint="eastAsia" w:ascii="仿宋" w:hAnsi="仿宋" w:eastAsia="仿宋" w:cs="仿宋"/>
                <w:sz w:val="24"/>
              </w:rPr>
            </w:pPr>
            <w:r>
              <w:rPr>
                <w:rFonts w:hint="eastAsia" w:ascii="仿宋" w:hAnsi="仿宋" w:eastAsia="仿宋" w:cs="仿宋"/>
                <w:sz w:val="24"/>
              </w:rPr>
              <w:t>项目组成员（项目负责人和技术负责人除外）：</w:t>
            </w:r>
          </w:p>
          <w:p>
            <w:pPr>
              <w:rPr>
                <w:rFonts w:hint="eastAsia" w:ascii="仿宋" w:hAnsi="仿宋" w:eastAsia="仿宋" w:cs="仿宋"/>
                <w:sz w:val="24"/>
              </w:rPr>
            </w:pPr>
            <w:r>
              <w:rPr>
                <w:rFonts w:hint="eastAsia" w:ascii="仿宋" w:hAnsi="仿宋" w:eastAsia="仿宋" w:cs="仿宋"/>
                <w:sz w:val="24"/>
              </w:rPr>
              <w:t>拟投入本项目组成员具备园林草土地估价能力，具有土地估价师证书的，每1人得2分，本项最高得6分。</w:t>
            </w:r>
          </w:p>
          <w:p>
            <w:pPr>
              <w:rPr>
                <w:rFonts w:hint="eastAsia" w:ascii="仿宋" w:hAnsi="仿宋" w:eastAsia="仿宋" w:cs="仿宋"/>
                <w:sz w:val="24"/>
              </w:rPr>
            </w:pPr>
            <w:r>
              <w:rPr>
                <w:rFonts w:hint="eastAsia" w:ascii="仿宋" w:hAnsi="仿宋" w:eastAsia="仿宋" w:cs="仿宋"/>
                <w:sz w:val="24"/>
              </w:rPr>
              <w:t>注：须提供配备人员土地估价师证书和省厅备案情况的函及附记原件扫描件及近六个月连续缴纳社保证明，未提供或材料不全的不得分。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6分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Merge w:val="restart"/>
            <w:vAlign w:val="center"/>
          </w:tcPr>
          <w:p>
            <w:pPr>
              <w:rPr>
                <w:rFonts w:hint="eastAsia" w:ascii="仿宋" w:hAnsi="仿宋" w:eastAsia="仿宋" w:cs="仿宋"/>
                <w:sz w:val="24"/>
              </w:rPr>
            </w:pPr>
            <w:r>
              <w:rPr>
                <w:rFonts w:hint="eastAsia" w:ascii="仿宋" w:hAnsi="仿宋" w:eastAsia="仿宋" w:cs="仿宋"/>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14</w:t>
            </w:r>
          </w:p>
        </w:tc>
        <w:tc>
          <w:tcPr>
            <w:tcW w:w="5103" w:type="dxa"/>
            <w:vAlign w:val="center"/>
          </w:tcPr>
          <w:p>
            <w:pPr>
              <w:rPr>
                <w:rFonts w:hint="eastAsia" w:ascii="仿宋" w:hAnsi="仿宋" w:eastAsia="仿宋" w:cs="仿宋"/>
                <w:sz w:val="24"/>
              </w:rPr>
            </w:pPr>
            <w:r>
              <w:rPr>
                <w:rFonts w:hint="eastAsia" w:ascii="仿宋" w:hAnsi="仿宋" w:eastAsia="仿宋" w:cs="仿宋"/>
                <w:sz w:val="24"/>
              </w:rPr>
              <w:t>项目组成员（项目负责人和技术负责人除外）：</w:t>
            </w:r>
          </w:p>
          <w:p>
            <w:pPr>
              <w:rPr>
                <w:rFonts w:hint="eastAsia" w:ascii="仿宋" w:hAnsi="仿宋" w:eastAsia="仿宋" w:cs="仿宋"/>
                <w:sz w:val="24"/>
              </w:rPr>
            </w:pPr>
            <w:r>
              <w:rPr>
                <w:rFonts w:hint="eastAsia" w:ascii="仿宋" w:hAnsi="仿宋" w:eastAsia="仿宋" w:cs="仿宋"/>
                <w:sz w:val="24"/>
              </w:rPr>
              <w:t>拟投入本项目组成员情况进行打分，本项最高得4分。</w:t>
            </w:r>
          </w:p>
          <w:p>
            <w:pPr>
              <w:rPr>
                <w:rFonts w:hint="eastAsia" w:ascii="仿宋" w:hAnsi="仿宋" w:eastAsia="仿宋" w:cs="仿宋"/>
                <w:sz w:val="24"/>
              </w:rPr>
            </w:pPr>
            <w:r>
              <w:rPr>
                <w:rFonts w:hint="eastAsia" w:ascii="仿宋" w:hAnsi="仿宋" w:eastAsia="仿宋" w:cs="仿宋"/>
                <w:sz w:val="24"/>
              </w:rPr>
              <w:t>注：须提供配备人员相关证书扫描件及近六个月连续缴纳社保证明，未提供或材料不全的不得分。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4分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16</w:t>
            </w:r>
          </w:p>
        </w:tc>
        <w:tc>
          <w:tcPr>
            <w:tcW w:w="5103" w:type="dxa"/>
            <w:vAlign w:val="center"/>
          </w:tcPr>
          <w:p>
            <w:pPr>
              <w:rPr>
                <w:rFonts w:hint="eastAsia" w:ascii="仿宋" w:hAnsi="仿宋" w:eastAsia="仿宋" w:cs="仿宋"/>
                <w:sz w:val="24"/>
              </w:rPr>
            </w:pPr>
            <w:r>
              <w:rPr>
                <w:rFonts w:hint="eastAsia" w:ascii="仿宋" w:hAnsi="仿宋" w:eastAsia="仿宋" w:cs="仿宋"/>
                <w:sz w:val="24"/>
              </w:rPr>
              <w:t>供应商能在全国基准地价备案系统备案的，得5分，提供备案系统截图。</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客观分</w:t>
            </w:r>
          </w:p>
        </w:tc>
        <w:tc>
          <w:tcPr>
            <w:tcW w:w="1299" w:type="dxa"/>
            <w:vAlign w:val="center"/>
          </w:tcPr>
          <w:p>
            <w:pPr>
              <w:rPr>
                <w:rFonts w:hint="eastAsia" w:ascii="仿宋" w:hAnsi="仿宋" w:eastAsia="仿宋" w:cs="仿宋"/>
                <w:sz w:val="24"/>
              </w:rPr>
            </w:pPr>
            <w:r>
              <w:rPr>
                <w:rFonts w:hint="eastAsia" w:ascii="仿宋" w:hAnsi="仿宋" w:eastAsia="仿宋" w:cs="仿宋"/>
                <w:sz w:val="24"/>
              </w:rPr>
              <w:t>备案系统截图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17</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根据供应商提供的重点、难点分析以及实施过程中所存在的问题等综合评定。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restart"/>
            <w:vAlign w:val="center"/>
          </w:tcPr>
          <w:p>
            <w:pPr>
              <w:rPr>
                <w:rFonts w:hint="eastAsia" w:ascii="仿宋" w:hAnsi="仿宋" w:eastAsia="仿宋" w:cs="仿宋"/>
                <w:sz w:val="24"/>
              </w:rPr>
            </w:pPr>
            <w:r>
              <w:rPr>
                <w:rFonts w:hint="eastAsia" w:ascii="仿宋" w:hAnsi="仿宋" w:eastAsia="仿宋" w:cs="仿宋"/>
                <w:sz w:val="24"/>
              </w:rPr>
              <w:t>重点、难点分析及解决措施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18</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根据供应商针对实施过程中的重难点提出的解决方案和处理措施等综合评定。</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19</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根据供应商提供的项目数据保密措施进行综合评定,措施完善到位的得2-4分,措施欠佳的得0-1分。</w:t>
            </w:r>
          </w:p>
        </w:tc>
        <w:tc>
          <w:tcPr>
            <w:tcW w:w="708" w:type="dxa"/>
            <w:vAlign w:val="center"/>
          </w:tcPr>
          <w:p>
            <w:pPr>
              <w:rPr>
                <w:rFonts w:hint="eastAsia" w:ascii="仿宋" w:hAnsi="仿宋" w:eastAsia="仿宋" w:cs="仿宋"/>
                <w:sz w:val="24"/>
              </w:rPr>
            </w:pPr>
            <w:r>
              <w:rPr>
                <w:rFonts w:hint="eastAsia" w:ascii="仿宋" w:hAnsi="仿宋" w:eastAsia="仿宋" w:cs="仿宋"/>
                <w:sz w:val="24"/>
              </w:rPr>
              <w:t>4分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restart"/>
            <w:vAlign w:val="center"/>
          </w:tcPr>
          <w:p>
            <w:pPr>
              <w:rPr>
                <w:rFonts w:hint="eastAsia" w:ascii="仿宋" w:hAnsi="仿宋" w:eastAsia="仿宋" w:cs="仿宋"/>
                <w:sz w:val="24"/>
              </w:rPr>
            </w:pPr>
            <w:r>
              <w:rPr>
                <w:rFonts w:hint="eastAsia" w:ascii="仿宋" w:hAnsi="仿宋" w:eastAsia="仿宋" w:cs="仿宋"/>
                <w:sz w:val="24"/>
              </w:rPr>
              <w:t>保密措施</w:t>
            </w:r>
          </w:p>
          <w:p>
            <w:pPr>
              <w:rPr>
                <w:rFonts w:hint="eastAsia" w:ascii="仿宋" w:hAnsi="仿宋" w:eastAsia="仿宋" w:cs="仿宋"/>
                <w:sz w:val="24"/>
              </w:rPr>
            </w:pPr>
            <w:r>
              <w:rPr>
                <w:rFonts w:hint="eastAsia" w:ascii="仿宋" w:hAnsi="仿宋" w:eastAsia="仿宋" w:cs="仿宋"/>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eastAsia" w:ascii="仿宋" w:hAnsi="仿宋" w:eastAsia="仿宋" w:cs="仿宋"/>
                <w:sz w:val="24"/>
              </w:rPr>
            </w:pPr>
            <w:r>
              <w:rPr>
                <w:rFonts w:hint="eastAsia" w:ascii="仿宋" w:hAnsi="仿宋" w:eastAsia="仿宋" w:cs="仿宋"/>
                <w:sz w:val="24"/>
              </w:rPr>
              <w:t>20</w:t>
            </w:r>
          </w:p>
        </w:tc>
        <w:tc>
          <w:tcPr>
            <w:tcW w:w="5103" w:type="dxa"/>
            <w:vAlign w:val="center"/>
          </w:tcPr>
          <w:p>
            <w:pPr>
              <w:rPr>
                <w:rFonts w:hint="eastAsia" w:ascii="仿宋" w:hAnsi="仿宋" w:eastAsia="仿宋" w:cs="仿宋"/>
                <w:sz w:val="24"/>
              </w:rPr>
            </w:pPr>
            <w:r>
              <w:rPr>
                <w:rFonts w:hint="eastAsia" w:ascii="仿宋" w:hAnsi="仿宋" w:eastAsia="仿宋" w:cs="仿宋"/>
                <w:sz w:val="24"/>
              </w:rPr>
              <w:t>根据供应商的售后服务方案和服务承诺情况：服务承诺的可行性、完整性以及服务承诺落实的保障措施进行综合评定，0-3分。</w:t>
            </w:r>
          </w:p>
          <w:p>
            <w:pPr>
              <w:rPr>
                <w:rFonts w:hint="eastAsia" w:ascii="仿宋" w:hAnsi="仿宋" w:eastAsia="仿宋" w:cs="仿宋"/>
                <w:sz w:val="24"/>
              </w:rPr>
            </w:pPr>
            <w:r>
              <w:rPr>
                <w:rFonts w:hint="eastAsia" w:ascii="仿宋" w:hAnsi="仿宋" w:eastAsia="仿宋" w:cs="仿宋"/>
                <w:sz w:val="24"/>
              </w:rPr>
              <w:t>供应商提供的售后服务承诺的，自通过项目验收之日起，服务期限大于6年(含)的，得2分，3(含)-6年得1分，3年以下或不提供的不得分。</w:t>
            </w:r>
          </w:p>
        </w:tc>
        <w:tc>
          <w:tcPr>
            <w:tcW w:w="708" w:type="dxa"/>
            <w:vAlign w:val="center"/>
          </w:tcPr>
          <w:p>
            <w:pPr>
              <w:rPr>
                <w:rFonts w:hint="eastAsia" w:ascii="仿宋" w:hAnsi="仿宋" w:eastAsia="仿宋" w:cs="仿宋"/>
                <w:sz w:val="24"/>
              </w:rPr>
            </w:pPr>
            <w:r>
              <w:rPr>
                <w:rFonts w:hint="eastAsia" w:ascii="仿宋" w:hAnsi="仿宋" w:eastAsia="仿宋" w:cs="仿宋"/>
                <w:sz w:val="24"/>
              </w:rPr>
              <w:t>5分</w:t>
            </w:r>
          </w:p>
        </w:tc>
        <w:tc>
          <w:tcPr>
            <w:tcW w:w="851" w:type="dxa"/>
            <w:vAlign w:val="center"/>
          </w:tcPr>
          <w:p>
            <w:pPr>
              <w:rPr>
                <w:rFonts w:hint="eastAsia" w:ascii="仿宋" w:hAnsi="仿宋" w:eastAsia="仿宋" w:cs="仿宋"/>
                <w:sz w:val="24"/>
              </w:rPr>
            </w:pPr>
            <w:r>
              <w:rPr>
                <w:rFonts w:hint="eastAsia" w:ascii="仿宋" w:hAnsi="仿宋" w:eastAsia="仿宋" w:cs="仿宋"/>
                <w:sz w:val="24"/>
              </w:rPr>
              <w:t>主观分</w:t>
            </w:r>
          </w:p>
        </w:tc>
        <w:tc>
          <w:tcPr>
            <w:tcW w:w="1299" w:type="dxa"/>
            <w:vMerge w:val="continue"/>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5103" w:type="dxa"/>
          </w:tcPr>
          <w:p>
            <w:pPr>
              <w:rPr>
                <w:rFonts w:hint="eastAsia"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有效投标报价的最低价作为评标基准价，其最低报价为满分；按［投标报价得分=（评标基准价/投标报价）*15］的计算公式计算。</w:t>
            </w:r>
          </w:p>
          <w:p>
            <w:pPr>
              <w:rPr>
                <w:rFonts w:hint="eastAsia" w:ascii="仿宋" w:hAnsi="仿宋" w:eastAsia="仿宋" w:cs="仿宋"/>
                <w:sz w:val="24"/>
              </w:rPr>
            </w:pPr>
            <w:r>
              <w:rPr>
                <w:rFonts w:hint="eastAsia" w:ascii="仿宋" w:hAnsi="仿宋" w:eastAsia="仿宋" w:cs="仿宋"/>
                <w:sz w:val="24"/>
              </w:rPr>
              <w:t>评标过程中，不得去掉报价中的最高报价和最低报价。</w:t>
            </w:r>
          </w:p>
          <w:p>
            <w:pPr>
              <w:rPr>
                <w:rFonts w:hint="eastAsia" w:ascii="仿宋" w:hAnsi="仿宋" w:eastAsia="仿宋" w:cs="仿宋"/>
                <w:sz w:val="24"/>
              </w:rPr>
            </w:pPr>
            <w:r>
              <w:rPr>
                <w:rFonts w:hint="eastAsia" w:ascii="仿宋" w:hAnsi="仿宋" w:eastAsia="仿宋" w:cs="仿宋"/>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08" w:type="dxa"/>
            <w:vAlign w:val="center"/>
          </w:tcPr>
          <w:p>
            <w:pPr>
              <w:rPr>
                <w:rFonts w:hint="eastAsia" w:ascii="仿宋" w:hAnsi="仿宋" w:eastAsia="仿宋" w:cs="仿宋"/>
                <w:sz w:val="24"/>
              </w:rPr>
            </w:pPr>
            <w:r>
              <w:rPr>
                <w:rFonts w:hint="eastAsia" w:ascii="仿宋" w:hAnsi="仿宋" w:eastAsia="仿宋" w:cs="仿宋"/>
                <w:sz w:val="24"/>
              </w:rPr>
              <w:t>15</w:t>
            </w:r>
          </w:p>
        </w:tc>
        <w:tc>
          <w:tcPr>
            <w:tcW w:w="851" w:type="dxa"/>
            <w:vAlign w:val="center"/>
          </w:tcPr>
          <w:p>
            <w:pPr>
              <w:rPr>
                <w:rFonts w:hint="eastAsia" w:ascii="仿宋" w:hAnsi="仿宋" w:eastAsia="仿宋" w:cs="仿宋"/>
                <w:sz w:val="24"/>
              </w:rPr>
            </w:pPr>
            <w:r>
              <w:rPr>
                <w:rFonts w:hint="eastAsia" w:ascii="仿宋" w:hAnsi="仿宋" w:eastAsia="仿宋" w:cs="仿宋"/>
                <w:sz w:val="24"/>
              </w:rPr>
              <w:t>客观</w:t>
            </w:r>
          </w:p>
        </w:tc>
        <w:tc>
          <w:tcPr>
            <w:tcW w:w="1299" w:type="dxa"/>
            <w:vAlign w:val="center"/>
          </w:tcPr>
          <w:p>
            <w:pPr>
              <w:rPr>
                <w:rFonts w:hint="eastAsia" w:ascii="仿宋" w:hAnsi="仿宋" w:eastAsia="仿宋" w:cs="仿宋"/>
                <w:sz w:val="24"/>
              </w:rPr>
            </w:pPr>
            <w:r>
              <w:rPr>
                <w:rFonts w:hint="eastAsia" w:ascii="仿宋" w:hAnsi="仿宋" w:eastAsia="仿宋" w:cs="仿宋"/>
                <w:sz w:val="24"/>
              </w:rPr>
              <w:t>/</w:t>
            </w:r>
          </w:p>
        </w:tc>
      </w:tr>
    </w:tbl>
    <w:p>
      <w:pPr>
        <w:snapToGrid w:val="0"/>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0"/>
          <w:szCs w:val="20"/>
          <w:shd w:val="clear" w:color="auto" w:fill="FFFFFF"/>
          <w14:textFill>
            <w14:solidFill>
              <w14:schemeClr w14:val="tx1"/>
            </w14:solidFill>
          </w14:textFill>
        </w:rPr>
        <w:t> *</w:t>
      </w:r>
      <w:r>
        <w:rPr>
          <w:rFonts w:hint="eastAsia" w:ascii="仿宋" w:hAnsi="仿宋" w:eastAsia="仿宋" w:cs="仿宋"/>
          <w:b/>
          <w:color w:val="000000" w:themeColor="text1"/>
          <w:sz w:val="24"/>
          <w14:textFill>
            <w14:solidFill>
              <w14:schemeClr w14:val="tx1"/>
            </w14:solidFill>
          </w14:textFill>
        </w:rPr>
        <w:t>备注：</w:t>
      </w:r>
      <w:r>
        <w:rPr>
          <w:rFonts w:hint="eastAsia" w:ascii="仿宋" w:hAnsi="仿宋" w:eastAsia="仿宋" w:cs="仿宋"/>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一、评标方法</w:t>
      </w:r>
    </w:p>
    <w:p>
      <w:pPr>
        <w:adjustRightInd/>
        <w:spacing w:line="360" w:lineRule="auto"/>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本项目采用综合评分法。</w:t>
      </w:r>
      <w:r>
        <w:rPr>
          <w:rFonts w:hint="eastAsia" w:ascii="仿宋" w:hAnsi="仿宋" w:eastAsia="仿宋" w:cs="仿宋"/>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二、评标标准</w:t>
      </w:r>
    </w:p>
    <w:p>
      <w:pPr>
        <w:spacing w:line="360" w:lineRule="auto"/>
        <w:ind w:firstLine="472" w:firstLineChars="196"/>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2.评标标准：</w:t>
      </w:r>
      <w:r>
        <w:rPr>
          <w:rFonts w:hint="eastAsia" w:ascii="仿宋" w:hAnsi="仿宋" w:eastAsia="仿宋" w:cs="仿宋"/>
          <w:color w:val="000000" w:themeColor="text1"/>
          <w:kern w:val="0"/>
          <w:sz w:val="24"/>
          <w14:textFill>
            <w14:solidFill>
              <w14:schemeClr w14:val="tx1"/>
            </w14:solidFill>
          </w14:textFill>
        </w:rPr>
        <w:t>见评标办法前附表。</w:t>
      </w:r>
    </w:p>
    <w:p>
      <w:pPr>
        <w:spacing w:line="360" w:lineRule="auto"/>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三、评标程序</w:t>
      </w:r>
    </w:p>
    <w:p>
      <w:pPr>
        <w:spacing w:line="360" w:lineRule="auto"/>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3.1符合性审查。</w:t>
      </w:r>
      <w:r>
        <w:rPr>
          <w:rFonts w:hint="eastAsia" w:ascii="仿宋" w:hAnsi="仿宋" w:eastAsia="仿宋" w:cs="仿宋"/>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3.2 比较与评价。</w:t>
      </w:r>
      <w:r>
        <w:rPr>
          <w:rFonts w:hint="eastAsia" w:ascii="仿宋" w:hAnsi="仿宋" w:eastAsia="仿宋" w:cs="仿宋"/>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3.3汇总商务技术得分。</w:t>
      </w:r>
      <w:r>
        <w:rPr>
          <w:rFonts w:hint="eastAsia" w:ascii="仿宋" w:hAnsi="仿宋" w:eastAsia="仿宋" w:cs="仿宋"/>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3.4报价评审。</w:t>
      </w:r>
    </w:p>
    <w:p>
      <w:pPr>
        <w:pStyle w:val="133"/>
        <w:spacing w:before="0"/>
        <w:ind w:firstLine="508" w:firstLineChars="212"/>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3.4.1投标文件报价出现前后不一致的，按照下列规定修正：</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3.4.1.2大写金额和小写金额不一致的，以大写金额为准;</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3.4.1.3单价金额小数点或者百分比有明显错位的，以开标一览表的总价为准，并修改单价;</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3.4.1.4总价金额与按单价汇总金额不一致的，以单价金额计算结果为准。</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3.4.3投标报价超过招标文件中规定的预算金额或者最高限价的，投标无效。</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3.5排序与推荐。</w:t>
      </w:r>
      <w:r>
        <w:rPr>
          <w:rFonts w:hint="eastAsia" w:ascii="仿宋" w:hAnsi="仿宋" w:eastAsia="仿宋" w:cs="仿宋"/>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3.6编写评标报告。</w:t>
      </w:r>
      <w:r>
        <w:rPr>
          <w:rFonts w:hint="eastAsia" w:ascii="仿宋" w:hAnsi="仿宋" w:eastAsia="仿宋" w:cs="仿宋"/>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四、评标中的其他事项</w:t>
      </w:r>
    </w:p>
    <w:p>
      <w:pPr>
        <w:pStyle w:val="133"/>
        <w:spacing w:before="0"/>
        <w:ind w:firstLine="472" w:firstLineChars="196"/>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b/>
          <w:color w:val="000000" w:themeColor="text1"/>
          <w:kern w:val="0"/>
          <w:szCs w:val="24"/>
          <w14:textFill>
            <w14:solidFill>
              <w14:schemeClr w14:val="tx1"/>
            </w14:solidFill>
          </w14:textFill>
        </w:rPr>
        <w:t>4.1投标人澄清、说明或者补正。</w:t>
      </w:r>
      <w:r>
        <w:rPr>
          <w:rFonts w:hint="eastAsia" w:ascii="仿宋" w:hAnsi="仿宋" w:eastAsia="仿宋" w:cs="仿宋"/>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4.2投标无效。</w:t>
      </w:r>
      <w:r>
        <w:rPr>
          <w:rFonts w:hint="eastAsia" w:ascii="仿宋" w:hAnsi="仿宋" w:eastAsia="仿宋" w:cs="仿宋"/>
          <w:color w:val="000000" w:themeColor="text1"/>
          <w:szCs w:val="21"/>
          <w14:textFill>
            <w14:solidFill>
              <w14:schemeClr w14:val="tx1"/>
            </w14:solidFill>
          </w14:textFill>
        </w:rPr>
        <w:t>有下列情况之一的，投标无效：</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4.2.12投标人仅提交备份投标文件，没有在电子交易平台传输递交投标文件的，投标无效；</w:t>
      </w:r>
    </w:p>
    <w:p>
      <w:pPr>
        <w:pStyle w:val="5"/>
        <w:ind w:left="862" w:leftChars="205"/>
        <w:rPr>
          <w:rFonts w:ascii="仿宋" w:eastAsia="仿宋" w:cs="仿宋"/>
          <w:b w:val="0"/>
          <w:bCs w:val="0"/>
          <w:color w:val="000000" w:themeColor="text1"/>
          <w:kern w:val="0"/>
          <w:sz w:val="24"/>
          <w:szCs w:val="24"/>
          <w:lang w:val="en-US"/>
          <w14:textFill>
            <w14:solidFill>
              <w14:schemeClr w14:val="tx1"/>
            </w14:solidFill>
          </w14:textFill>
        </w:rPr>
      </w:pPr>
      <w:r>
        <w:rPr>
          <w:rFonts w:hint="eastAsia" w:ascii="仿宋" w:eastAsia="仿宋" w:cs="仿宋"/>
          <w:b w:val="0"/>
          <w:bCs w:val="0"/>
          <w:color w:val="000000" w:themeColor="text1"/>
          <w:kern w:val="0"/>
          <w:sz w:val="24"/>
          <w:szCs w:val="24"/>
          <w:lang w:val="en-US"/>
          <w14:textFill>
            <w14:solidFill>
              <w14:schemeClr w14:val="tx1"/>
            </w14:solidFill>
          </w14:textFill>
        </w:rPr>
        <w:t>4.2.13 投标文件不满足招标文件的其它实质性要求的；</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4.2.14法律、法规、规章（适用本市的）及省级以上规范性文件（适用本市的）规定的其他无效情形。</w:t>
      </w:r>
    </w:p>
    <w:p>
      <w:pPr>
        <w:pStyle w:val="3"/>
        <w:snapToGrid w:val="0"/>
        <w:spacing w:line="360" w:lineRule="auto"/>
        <w:ind w:firstLine="472" w:firstLineChars="196"/>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5.废标。</w:t>
      </w:r>
      <w:r>
        <w:rPr>
          <w:rFonts w:hint="eastAsia" w:ascii="仿宋" w:hAnsi="仿宋" w:eastAsia="仿宋" w:cs="仿宋"/>
          <w:color w:val="000000" w:themeColor="text1"/>
          <w14:textFill>
            <w14:solidFill>
              <w14:schemeClr w14:val="tx1"/>
            </w14:solidFill>
          </w14:textFill>
        </w:rPr>
        <w:t>根据《中华人民共和国政府采购法》第三十六条之规定，在采购中，出现下列情形之一的，应予废标：</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5.1符合专业条件的供应商或者对招标文件作实质响应的供应商不足3家的；</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5.2出现影响采购公正的违法、违规行为的；</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5.3投标人的报价均超过了采购预算，采购人不能支付的；</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5.4因重大变故，采购任务取消的。</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废标后，采购机构应当将废标理由通知所有投标人。</w:t>
      </w:r>
    </w:p>
    <w:p>
      <w:pPr>
        <w:pStyle w:val="3"/>
        <w:snapToGrid w:val="0"/>
        <w:spacing w:line="360" w:lineRule="auto"/>
        <w:ind w:firstLine="590" w:firstLineChars="245"/>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6.修改招标文件，重新组织采购活动。</w:t>
      </w:r>
      <w:r>
        <w:rPr>
          <w:rFonts w:hint="eastAsia" w:ascii="仿宋" w:hAnsi="仿宋" w:eastAsia="仿宋" w:cs="仿宋"/>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7.重新开展采购。</w:t>
      </w:r>
      <w:r>
        <w:rPr>
          <w:rFonts w:hint="eastAsia" w:ascii="仿宋" w:hAnsi="仿宋" w:eastAsia="仿宋" w:cs="仿宋"/>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7.1未确定中标或者中标人的，终止本次政府采购活动，重新开展政府采购活动。</w:t>
      </w:r>
    </w:p>
    <w:p>
      <w:pPr>
        <w:pStyle w:val="3"/>
        <w:snapToGrid w:val="0"/>
        <w:spacing w:line="360" w:lineRule="auto"/>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7.4政府采购合同已经履行，给采购人、供应商造成损失的，由责任人承担赔偿责任。</w:t>
      </w:r>
    </w:p>
    <w:p>
      <w:pPr>
        <w:pStyle w:val="3"/>
        <w:snapToGrid w:val="0"/>
        <w:spacing w:line="360" w:lineRule="auto"/>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7.5政府采购当事人有其他违反政府采购法</w:t>
      </w:r>
      <w:r>
        <w:rPr>
          <w:rFonts w:hint="eastAsia" w:ascii="仿宋" w:hAnsi="仿宋" w:eastAsia="仿宋" w:cs="仿宋"/>
          <w:color w:val="000000" w:themeColor="text1"/>
          <w:kern w:val="0"/>
          <w14:textFill>
            <w14:solidFill>
              <w14:schemeClr w14:val="tx1"/>
            </w14:solidFill>
          </w14:textFill>
        </w:rPr>
        <w:t>或者政府采购法实施条例等法律法规规定</w:t>
      </w:r>
      <w:r>
        <w:rPr>
          <w:rFonts w:hint="eastAsia" w:ascii="仿宋" w:hAnsi="仿宋" w:eastAsia="仿宋" w:cs="仿宋"/>
          <w:color w:val="000000" w:themeColor="text1"/>
          <w14:textFill>
            <w14:solidFill>
              <w14:schemeClr w14:val="tx1"/>
            </w14:solidFill>
          </w14:textFill>
        </w:rPr>
        <w:t>的行为，经改正后仍然影响或者可能影响中标、成交结果或者依法被认定为中标、成交无效的，依照7.1-7.4规定处理。</w:t>
      </w:r>
      <w:bookmarkEnd w:id="35"/>
      <w:bookmarkStart w:id="401" w:name="第五部分"/>
      <w:bookmarkStart w:id="402" w:name="_Toc86217003"/>
    </w:p>
    <w:p>
      <w:pPr>
        <w:pStyle w:val="81"/>
        <w:rPr>
          <w:color w:val="000000" w:themeColor="text1"/>
          <w14:textFill>
            <w14:solidFill>
              <w14:schemeClr w14:val="tx1"/>
            </w14:solidFill>
          </w14:textFill>
        </w:rPr>
      </w:pPr>
    </w:p>
    <w:p>
      <w:pPr>
        <w:widowControl/>
        <w:adjustRightInd/>
        <w:jc w:val="left"/>
        <w:rPr>
          <w:rFonts w:ascii="仿宋" w:hAnsi="仿宋" w:eastAsia="仿宋" w:cs="仿宋"/>
          <w:b/>
          <w:color w:val="000000" w:themeColor="text1"/>
          <w:sz w:val="36"/>
          <w:szCs w:val="36"/>
          <w14:textFill>
            <w14:solidFill>
              <w14:schemeClr w14:val="tx1"/>
            </w14:solidFill>
          </w14:textFill>
        </w:rPr>
      </w:pPr>
      <w:r>
        <w:rPr>
          <w:rFonts w:ascii="仿宋" w:hAnsi="仿宋" w:eastAsia="仿宋" w:cs="仿宋"/>
          <w:b/>
          <w:color w:val="000000" w:themeColor="text1"/>
          <w:sz w:val="36"/>
          <w:szCs w:val="36"/>
          <w14:textFill>
            <w14:solidFill>
              <w14:schemeClr w14:val="tx1"/>
            </w14:solidFill>
          </w14:textFill>
        </w:rPr>
        <w:br w:type="page"/>
      </w:r>
    </w:p>
    <w:p>
      <w:pPr>
        <w:spacing w:line="360" w:lineRule="auto"/>
        <w:ind w:left="720" w:leftChars="343" w:firstLine="1084" w:firstLineChars="300"/>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第五部分 拟签订的合同文本</w:t>
      </w:r>
    </w:p>
    <w:p>
      <w:pPr>
        <w:spacing w:line="360"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（以最终合同为准）</w:t>
      </w:r>
    </w:p>
    <w:p>
      <w:pPr>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合同编号：</w:t>
      </w:r>
    </w:p>
    <w:p>
      <w:pPr>
        <w:spacing w:line="480" w:lineRule="auto"/>
        <w:jc w:val="center"/>
        <w:rPr>
          <w:rFonts w:ascii="仿宋" w:hAnsi="仿宋" w:eastAsia="仿宋" w:cs="仿宋"/>
          <w:b/>
          <w:color w:val="000000" w:themeColor="text1"/>
          <w:sz w:val="28"/>
          <w:szCs w:val="28"/>
          <w14:textFill>
            <w14:solidFill>
              <w14:schemeClr w14:val="tx1"/>
            </w14:solidFill>
          </w14:textFill>
        </w:rPr>
      </w:pPr>
    </w:p>
    <w:p>
      <w:pPr>
        <w:spacing w:line="48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政府采购合同参考范本</w:t>
      </w:r>
    </w:p>
    <w:p>
      <w:pPr>
        <w:spacing w:line="48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（服务类）</w:t>
      </w:r>
    </w:p>
    <w:p>
      <w:pPr>
        <w:pStyle w:val="702"/>
        <w:rPr>
          <w:rFonts w:ascii="仿宋" w:hAnsi="仿宋" w:eastAsia="仿宋" w:cs="仿宋"/>
          <w:color w:val="000000" w:themeColor="text1"/>
          <w:szCs w:val="24"/>
          <w14:textFill>
            <w14:solidFill>
              <w14:schemeClr w14:val="tx1"/>
            </w14:solidFill>
          </w14:textFill>
        </w:rPr>
      </w:pPr>
    </w:p>
    <w:p>
      <w:pPr>
        <w:pStyle w:val="702"/>
        <w:jc w:val="center"/>
        <w:rPr>
          <w:rFonts w:ascii="仿宋" w:hAnsi="仿宋" w:eastAsia="仿宋" w:cs="仿宋"/>
          <w:color w:val="000000" w:themeColor="text1"/>
          <w:szCs w:val="24"/>
          <w14:textFill>
            <w14:solidFill>
              <w14:schemeClr w14:val="tx1"/>
            </w14:solidFill>
          </w14:textFill>
        </w:rPr>
      </w:pPr>
    </w:p>
    <w:p>
      <w:pPr>
        <w:pStyle w:val="702"/>
        <w:ind w:firstLine="2843" w:firstLineChars="118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第一部分 合同书</w:t>
      </w:r>
    </w:p>
    <w:p>
      <w:pPr>
        <w:pStyle w:val="702"/>
        <w:rPr>
          <w:rFonts w:ascii="仿宋" w:hAnsi="仿宋" w:eastAsia="仿宋" w:cs="仿宋"/>
          <w:color w:val="000000" w:themeColor="text1"/>
          <w:szCs w:val="24"/>
          <w14:textFill>
            <w14:solidFill>
              <w14:schemeClr w14:val="tx1"/>
            </w14:solidFill>
          </w14:textFill>
        </w:rPr>
      </w:pPr>
    </w:p>
    <w:p>
      <w:pPr>
        <w:pStyle w:val="702"/>
        <w:rPr>
          <w:rFonts w:ascii="仿宋" w:hAnsi="仿宋" w:eastAsia="仿宋" w:cs="仿宋"/>
          <w:color w:val="000000" w:themeColor="text1"/>
          <w:szCs w:val="24"/>
          <w14:textFill>
            <w14:solidFill>
              <w14:schemeClr w14:val="tx1"/>
            </w14:solidFill>
          </w14:textFill>
        </w:rPr>
      </w:pPr>
    </w:p>
    <w:p>
      <w:pPr>
        <w:spacing w:before="120" w:line="22" w:lineRule="atLeast"/>
        <w:rPr>
          <w:rFonts w:ascii="仿宋" w:hAnsi="仿宋" w:eastAsia="仿宋" w:cs="仿宋"/>
          <w:color w:val="000000" w:themeColor="text1"/>
          <w:sz w:val="24"/>
          <w14:textFill>
            <w14:solidFill>
              <w14:schemeClr w14:val="tx1"/>
            </w14:solidFill>
          </w14:textFill>
        </w:rPr>
      </w:pPr>
    </w:p>
    <w:p>
      <w:pPr>
        <w:spacing w:before="120" w:line="22" w:lineRule="atLeast"/>
        <w:ind w:left="96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r>
        <w:rPr>
          <w:rFonts w:hint="eastAsia" w:ascii="仿宋" w:hAnsi="仿宋" w:eastAsia="仿宋" w:cs="仿宋"/>
          <w:color w:val="000000" w:themeColor="text1"/>
          <w:sz w:val="24"/>
          <w:u w:val="single"/>
          <w14:textFill>
            <w14:solidFill>
              <w14:schemeClr w14:val="tx1"/>
            </w14:solidFill>
          </w14:textFill>
        </w:rPr>
        <w:t>建德市园地林地草地定级和基准地价制定技术服务采购项目</w:t>
      </w:r>
    </w:p>
    <w:p>
      <w:pPr>
        <w:pStyle w:val="600"/>
        <w:spacing w:before="120" w:line="22" w:lineRule="atLeast"/>
        <w:rPr>
          <w:rFonts w:ascii="仿宋" w:hAnsi="仿宋" w:eastAsia="仿宋" w:cs="仿宋"/>
          <w:color w:val="000000" w:themeColor="text1"/>
          <w:szCs w:val="24"/>
          <w14:textFill>
            <w14:solidFill>
              <w14:schemeClr w14:val="tx1"/>
            </w14:solidFill>
          </w14:textFill>
        </w:rPr>
      </w:pPr>
    </w:p>
    <w:p>
      <w:pPr>
        <w:pStyle w:val="600"/>
        <w:spacing w:before="120" w:line="22" w:lineRule="atLeast"/>
        <w:rPr>
          <w:rFonts w:ascii="仿宋" w:hAnsi="仿宋" w:eastAsia="仿宋" w:cs="仿宋"/>
          <w:color w:val="000000" w:themeColor="text1"/>
          <w:szCs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spacing w:before="120" w:line="22" w:lineRule="atLeast"/>
        <w:ind w:left="96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甲方：</w:t>
      </w:r>
      <w:r>
        <w:rPr>
          <w:rFonts w:hint="eastAsia" w:ascii="仿宋" w:hAnsi="仿宋" w:eastAsia="仿宋" w:cs="仿宋"/>
          <w:color w:val="000000" w:themeColor="text1"/>
          <w:sz w:val="24"/>
          <w:u w:val="single"/>
          <w14:textFill>
            <w14:solidFill>
              <w14:schemeClr w14:val="tx1"/>
            </w14:solidFill>
          </w14:textFill>
        </w:rPr>
        <w:t>建德市规划和自然资源局</w:t>
      </w:r>
    </w:p>
    <w:p>
      <w:pPr>
        <w:spacing w:before="120" w:line="22" w:lineRule="atLeast"/>
        <w:rPr>
          <w:rFonts w:ascii="仿宋" w:hAnsi="仿宋" w:eastAsia="仿宋" w:cs="仿宋"/>
          <w:color w:val="000000" w:themeColor="text1"/>
          <w:sz w:val="24"/>
          <w14:textFill>
            <w14:solidFill>
              <w14:schemeClr w14:val="tx1"/>
            </w14:solidFill>
          </w14:textFill>
        </w:rPr>
      </w:pPr>
    </w:p>
    <w:p>
      <w:pPr>
        <w:spacing w:before="120" w:line="22" w:lineRule="atLeast"/>
        <w:ind w:left="96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乙方：</w:t>
      </w:r>
    </w:p>
    <w:p>
      <w:pPr>
        <w:spacing w:before="120" w:line="22" w:lineRule="atLeast"/>
        <w:rPr>
          <w:rFonts w:ascii="仿宋" w:hAnsi="仿宋" w:eastAsia="仿宋" w:cs="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签订地：</w:t>
      </w:r>
    </w:p>
    <w:p>
      <w:pPr>
        <w:spacing w:before="120" w:line="22" w:lineRule="atLeast"/>
        <w:rPr>
          <w:rFonts w:ascii="仿宋" w:hAnsi="仿宋" w:eastAsia="仿宋" w:cs="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签订日期：</w:t>
      </w:r>
      <w:r>
        <w:rPr>
          <w:rFonts w:hint="eastAsia" w:ascii="仿宋" w:hAnsi="仿宋" w:eastAsia="仿宋" w:cs="仿宋"/>
          <w:color w:val="000000" w:themeColor="text1"/>
          <w:sz w:val="24"/>
          <w:u w:val="single"/>
          <w14:textFill>
            <w14:solidFill>
              <w14:schemeClr w14:val="tx1"/>
            </w14:solidFill>
          </w14:textFill>
        </w:rPr>
        <w:t xml:space="preserve">  2023  </w:t>
      </w:r>
      <w:r>
        <w:rPr>
          <w:rFonts w:hint="eastAsia" w:ascii="仿宋" w:hAnsi="仿宋" w:eastAsia="仿宋" w:cs="仿宋"/>
          <w:color w:val="000000" w:themeColor="text1"/>
          <w:sz w:val="24"/>
          <w14:textFill>
            <w14:solidFill>
              <w14:schemeClr w14:val="tx1"/>
            </w14:solidFill>
          </w14:textFill>
        </w:rPr>
        <w:t>年月日</w:t>
      </w:r>
    </w:p>
    <w:p>
      <w:pPr>
        <w:widowControl/>
        <w:jc w:val="left"/>
        <w:rPr>
          <w:rFonts w:ascii="仿宋" w:hAnsi="仿宋" w:eastAsia="仿宋" w:cs="仿宋"/>
          <w:color w:val="000000" w:themeColor="text1"/>
          <w:kern w:val="0"/>
          <w:sz w:val="24"/>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2023</w:t>
      </w:r>
      <w:r>
        <w:rPr>
          <w:rFonts w:hint="eastAsia" w:ascii="仿宋" w:hAnsi="仿宋" w:eastAsia="仿宋" w:cs="仿宋"/>
          <w:color w:val="000000" w:themeColor="text1"/>
          <w:sz w:val="24"/>
          <w:lang w:val="zh-CN"/>
          <w14:textFill>
            <w14:solidFill>
              <w14:schemeClr w14:val="tx1"/>
            </w14:solidFill>
          </w14:textFill>
        </w:rPr>
        <w:t>年月日</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建德市规划和自然资源局</w:t>
      </w:r>
      <w:r>
        <w:rPr>
          <w:rFonts w:hint="eastAsia" w:ascii="仿宋" w:hAnsi="仿宋" w:eastAsia="仿宋" w:cs="仿宋"/>
          <w:color w:val="000000" w:themeColor="text1"/>
          <w:sz w:val="24"/>
          <w14:textFill>
            <w14:solidFill>
              <w14:schemeClr w14:val="tx1"/>
            </w14:solidFill>
          </w14:textFill>
        </w:rPr>
        <w:t>以</w:t>
      </w:r>
      <w:r>
        <w:rPr>
          <w:rFonts w:hint="eastAsia" w:ascii="仿宋" w:hAnsi="仿宋" w:eastAsia="仿宋" w:cs="仿宋"/>
          <w:color w:val="000000" w:themeColor="text1"/>
          <w:sz w:val="24"/>
          <w:u w:val="single"/>
          <w14:textFill>
            <w14:solidFill>
              <w14:schemeClr w14:val="tx1"/>
            </w14:solidFill>
          </w14:textFill>
        </w:rPr>
        <w:t xml:space="preserve">   公开招标  </w:t>
      </w:r>
      <w:r>
        <w:rPr>
          <w:rFonts w:hint="eastAsia" w:ascii="仿宋" w:hAnsi="仿宋" w:eastAsia="仿宋" w:cs="仿宋"/>
          <w:color w:val="000000" w:themeColor="text1"/>
          <w:sz w:val="24"/>
          <w14:textFill>
            <w14:solidFill>
              <w14:schemeClr w14:val="tx1"/>
            </w14:solidFill>
          </w14:textFill>
        </w:rPr>
        <w:t>对</w:t>
      </w:r>
      <w:r>
        <w:rPr>
          <w:rFonts w:hint="eastAsia" w:ascii="仿宋" w:hAnsi="仿宋" w:eastAsia="仿宋" w:cs="仿宋"/>
          <w:color w:val="000000" w:themeColor="text1"/>
          <w:sz w:val="24"/>
          <w:u w:val="single"/>
          <w14:textFill>
            <w14:solidFill>
              <w14:schemeClr w14:val="tx1"/>
            </w14:solidFill>
          </w14:textFill>
        </w:rPr>
        <w:t>建德市园地林地草地定级和基准地价制定技术服务采购项目</w:t>
      </w:r>
      <w:r>
        <w:rPr>
          <w:rFonts w:hint="eastAsia" w:ascii="仿宋" w:hAnsi="仿宋" w:eastAsia="仿宋" w:cs="仿宋"/>
          <w:color w:val="000000" w:themeColor="text1"/>
          <w:sz w:val="24"/>
          <w14:textFill>
            <w14:solidFill>
              <w14:schemeClr w14:val="tx1"/>
            </w14:solidFill>
          </w14:textFill>
        </w:rPr>
        <w:t>进行了采购。经</w:t>
      </w:r>
      <w:r>
        <w:rPr>
          <w:rFonts w:hint="eastAsia" w:ascii="仿宋" w:hAnsi="仿宋" w:eastAsia="仿宋" w:cs="仿宋"/>
          <w:color w:val="000000" w:themeColor="text1"/>
          <w:sz w:val="24"/>
          <w:u w:val="single"/>
          <w14:textFill>
            <w14:solidFill>
              <w14:schemeClr w14:val="tx1"/>
            </w14:solidFill>
          </w14:textFill>
        </w:rPr>
        <w:t xml:space="preserve">建德市园地林地草地定级和基准地价制定技术服务采购项目评标委员会（相关评定主体名称）   </w:t>
      </w:r>
      <w:r>
        <w:rPr>
          <w:rFonts w:hint="eastAsia" w:ascii="仿宋" w:hAnsi="仿宋" w:eastAsia="仿宋" w:cs="仿宋"/>
          <w:color w:val="000000" w:themeColor="text1"/>
          <w:sz w:val="24"/>
          <w14:textFill>
            <w14:solidFill>
              <w14:schemeClr w14:val="tx1"/>
            </w14:solidFill>
          </w14:textFill>
        </w:rPr>
        <w:t>评定，</w:t>
      </w:r>
      <w:r>
        <w:rPr>
          <w:rFonts w:hint="eastAsia" w:ascii="仿宋" w:hAnsi="仿宋" w:eastAsia="仿宋" w:cs="仿宋"/>
          <w:color w:val="000000" w:themeColor="text1"/>
          <w:sz w:val="24"/>
          <w:u w:val="single"/>
          <w14:textFill>
            <w14:solidFill>
              <w14:schemeClr w14:val="tx1"/>
            </w14:solidFill>
          </w14:textFill>
        </w:rPr>
        <w:t xml:space="preserve">   （中标供应商名称）</w:t>
      </w:r>
      <w:r>
        <w:rPr>
          <w:rFonts w:hint="eastAsia" w:ascii="仿宋" w:hAnsi="仿宋" w:eastAsia="仿宋" w:cs="仿宋"/>
          <w:color w:val="000000" w:themeColor="text1"/>
          <w:sz w:val="24"/>
          <w14:textFill>
            <w14:solidFill>
              <w14:schemeClr w14:val="tx1"/>
            </w14:solidFill>
          </w14:textFill>
        </w:rPr>
        <w:t>为该项目成交供应商。现于成交通知书发出之日起三十日内，按照采购文件确定的事项签订本合同。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sz w:val="24"/>
          <w:u w:val="single"/>
          <w14:textFill>
            <w14:solidFill>
              <w14:schemeClr w14:val="tx1"/>
            </w14:solidFill>
          </w14:textFill>
        </w:rPr>
        <w:t>建德市规划和自然资源局</w:t>
      </w:r>
      <w:r>
        <w:rPr>
          <w:rFonts w:hint="eastAsia" w:ascii="仿宋" w:hAnsi="仿宋" w:eastAsia="仿宋" w:cs="仿宋"/>
          <w:color w:val="000000" w:themeColor="text1"/>
          <w:sz w:val="24"/>
          <w:lang w:val="zh-CN"/>
          <w14:textFill>
            <w14:solidFill>
              <w14:schemeClr w14:val="tx1"/>
            </w14:solidFill>
          </w14:textFill>
        </w:rPr>
        <w:t>(以下简称：甲方)和</w:t>
      </w:r>
      <w:r>
        <w:rPr>
          <w:rFonts w:hint="eastAsia" w:ascii="仿宋" w:hAnsi="仿宋" w:eastAsia="仿宋" w:cs="仿宋"/>
          <w:color w:val="000000" w:themeColor="text1"/>
          <w:sz w:val="24"/>
          <w:u w:val="single"/>
          <w14:textFill>
            <w14:solidFill>
              <w14:schemeClr w14:val="tx1"/>
            </w14:solidFill>
          </w14:textFill>
        </w:rPr>
        <w:t xml:space="preserve">   （中标供应商名称）   </w:t>
      </w:r>
      <w:r>
        <w:rPr>
          <w:rFonts w:hint="eastAsia" w:ascii="仿宋" w:hAnsi="仿宋" w:eastAsia="仿宋" w:cs="仿宋"/>
          <w:color w:val="000000" w:themeColor="text1"/>
          <w:sz w:val="24"/>
          <w:lang w:val="zh-CN"/>
          <w14:textFill>
            <w14:solidFill>
              <w14:schemeClr w14:val="tx1"/>
            </w14:solidFill>
          </w14:textFill>
        </w:rPr>
        <w:t>(以下简称：乙方)协商一致，约定以下合同</w:t>
      </w:r>
      <w:r>
        <w:rPr>
          <w:rFonts w:hint="eastAsia" w:ascii="仿宋" w:hAnsi="仿宋" w:eastAsia="仿宋" w:cs="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03" w:name="_Toc24059"/>
      <w:bookmarkStart w:id="404" w:name="_Toc3029"/>
      <w:bookmarkStart w:id="405" w:name="_Toc2232"/>
      <w:r>
        <w:rPr>
          <w:rFonts w:hint="eastAsia" w:ascii="仿宋" w:hAnsi="仿宋" w:eastAsia="仿宋" w:cs="仿宋"/>
          <w:b/>
          <w:color w:val="000000" w:themeColor="text1"/>
          <w:sz w:val="24"/>
          <w14:textFill>
            <w14:solidFill>
              <w14:schemeClr w14:val="tx1"/>
            </w14:solidFill>
          </w14:textFill>
        </w:rPr>
        <w:t>1.1 合同组成部分</w:t>
      </w:r>
      <w:bookmarkEnd w:id="403"/>
      <w:bookmarkEnd w:id="404"/>
      <w:bookmarkEnd w:id="405"/>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1.1.4 招标文件（含澄清或者修改文件）；</w:t>
      </w:r>
    </w:p>
    <w:p>
      <w:pPr>
        <w:spacing w:line="560" w:lineRule="exact"/>
        <w:ind w:firstLine="480" w:firstLineChars="200"/>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1.1.5 </w:t>
      </w:r>
      <w:r>
        <w:rPr>
          <w:rFonts w:hint="eastAsia" w:ascii="仿宋" w:hAnsi="仿宋" w:eastAsia="仿宋" w:cs="仿宋"/>
          <w:b/>
          <w:bCs/>
          <w:color w:val="000000" w:themeColor="text1"/>
          <w:sz w:val="24"/>
          <w14:textFill>
            <w14:solidFill>
              <w14:schemeClr w14:val="tx1"/>
            </w14:solidFill>
          </w14:textFill>
        </w:rPr>
        <w:t>本合同为中小企业预留合同，附件中包含联合体协议或分包意向协议作为采购合同的组成部分；</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1.1.6 其他相关采购文件。</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06" w:name="_Toc24300"/>
      <w:bookmarkStart w:id="407" w:name="_Toc27126"/>
      <w:bookmarkStart w:id="408" w:name="_Toc21295"/>
      <w:r>
        <w:rPr>
          <w:rFonts w:hint="eastAsia" w:ascii="仿宋" w:hAnsi="仿宋" w:eastAsia="仿宋" w:cs="仿宋"/>
          <w:b/>
          <w:color w:val="000000" w:themeColor="text1"/>
          <w:sz w:val="24"/>
          <w14:textFill>
            <w14:solidFill>
              <w14:schemeClr w14:val="tx1"/>
            </w14:solidFill>
          </w14:textFill>
        </w:rPr>
        <w:t xml:space="preserve">1.2 </w:t>
      </w:r>
      <w:bookmarkEnd w:id="406"/>
      <w:bookmarkEnd w:id="407"/>
      <w:bookmarkEnd w:id="408"/>
      <w:r>
        <w:rPr>
          <w:rFonts w:hint="eastAsia" w:ascii="仿宋" w:hAnsi="仿宋" w:eastAsia="仿宋" w:cs="仿宋"/>
          <w:b/>
          <w:color w:val="000000" w:themeColor="text1"/>
          <w:sz w:val="24"/>
          <w14:textFill>
            <w14:solidFill>
              <w14:schemeClr w14:val="tx1"/>
            </w14:solidFill>
          </w14:textFill>
        </w:rPr>
        <w:t>服务</w:t>
      </w:r>
    </w:p>
    <w:p>
      <w:pPr>
        <w:spacing w:line="560" w:lineRule="exact"/>
        <w:ind w:firstLine="480" w:firstLineChars="2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1.2.1 </w:t>
      </w:r>
      <w:r>
        <w:rPr>
          <w:rFonts w:hint="eastAsia" w:ascii="仿宋" w:hAnsi="仿宋" w:eastAsia="仿宋" w:cs="仿宋"/>
          <w:bCs/>
          <w:color w:val="000000" w:themeColor="text1"/>
          <w:sz w:val="24"/>
          <w14:textFill>
            <w14:solidFill>
              <w14:schemeClr w14:val="tx1"/>
            </w14:solidFill>
          </w14:textFill>
        </w:rPr>
        <w:t>服务</w:t>
      </w:r>
      <w:r>
        <w:rPr>
          <w:rFonts w:hint="eastAsia" w:ascii="仿宋" w:hAnsi="仿宋" w:eastAsia="仿宋" w:cs="仿宋"/>
          <w:color w:val="000000" w:themeColor="text1"/>
          <w:sz w:val="24"/>
          <w14:textFill>
            <w14:solidFill>
              <w14:schemeClr w14:val="tx1"/>
            </w14:solidFill>
          </w14:textFill>
        </w:rPr>
        <w:t>名称：</w:t>
      </w:r>
      <w:r>
        <w:rPr>
          <w:rFonts w:hint="eastAsia" w:ascii="仿宋" w:hAnsi="仿宋" w:eastAsia="仿宋" w:cs="仿宋"/>
          <w:color w:val="000000" w:themeColor="text1"/>
          <w:sz w:val="24"/>
          <w:u w:val="single"/>
          <w14:textFill>
            <w14:solidFill>
              <w14:schemeClr w14:val="tx1"/>
            </w14:solidFill>
          </w14:textFill>
        </w:rPr>
        <w:t>建德市园地林地草地定级和基准地价制定技术服务采购项目</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0" w:firstLineChars="2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1.2.2 </w:t>
      </w:r>
      <w:r>
        <w:rPr>
          <w:rFonts w:hint="eastAsia" w:ascii="仿宋" w:hAnsi="仿宋" w:eastAsia="仿宋" w:cs="仿宋"/>
          <w:bCs/>
          <w:color w:val="000000" w:themeColor="text1"/>
          <w:sz w:val="24"/>
          <w14:textFill>
            <w14:solidFill>
              <w14:schemeClr w14:val="tx1"/>
            </w14:solidFill>
          </w14:textFill>
        </w:rPr>
        <w:t>服务</w:t>
      </w:r>
      <w:r>
        <w:rPr>
          <w:rFonts w:hint="eastAsia" w:ascii="仿宋" w:hAnsi="仿宋" w:eastAsia="仿宋" w:cs="仿宋"/>
          <w:color w:val="000000" w:themeColor="text1"/>
          <w:sz w:val="24"/>
          <w14:textFill>
            <w14:solidFill>
              <w14:schemeClr w14:val="tx1"/>
            </w14:solidFill>
          </w14:textFill>
        </w:rPr>
        <w:t>内容：；</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1.2.3 </w:t>
      </w:r>
      <w:r>
        <w:rPr>
          <w:rFonts w:hint="eastAsia" w:ascii="仿宋" w:hAnsi="仿宋" w:eastAsia="仿宋" w:cs="仿宋"/>
          <w:bCs/>
          <w:color w:val="000000" w:themeColor="text1"/>
          <w:sz w:val="24"/>
          <w14:textFill>
            <w14:solidFill>
              <w14:schemeClr w14:val="tx1"/>
            </w14:solidFill>
          </w14:textFill>
        </w:rPr>
        <w:t>服务</w:t>
      </w:r>
      <w:r>
        <w:rPr>
          <w:rFonts w:hint="eastAsia" w:ascii="仿宋" w:hAnsi="仿宋" w:eastAsia="仿宋" w:cs="仿宋"/>
          <w:color w:val="000000" w:themeColor="text1"/>
          <w:sz w:val="24"/>
          <w14:textFill>
            <w14:solidFill>
              <w14:schemeClr w14:val="tx1"/>
            </w14:solidFill>
          </w14:textFill>
        </w:rPr>
        <w:t>质量：</w:t>
      </w:r>
      <w:r>
        <w:rPr>
          <w:rFonts w:hint="eastAsia" w:ascii="仿宋" w:hAnsi="仿宋" w:eastAsia="仿宋" w:cs="仿宋"/>
          <w:color w:val="000000" w:themeColor="text1"/>
          <w:sz w:val="24"/>
          <w:u w:val="single"/>
          <w14:textFill>
            <w14:solidFill>
              <w14:schemeClr w14:val="tx1"/>
            </w14:solidFill>
          </w14:textFill>
        </w:rPr>
        <w:t>根据采购文件确定的技术指标或者服务要求确定验收指标和标准。未进行相应约定的，应当符合国家强制性规定、政策要求、安全标准、行业或企业有关标准等。</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09" w:name="_Toc21631"/>
      <w:bookmarkStart w:id="410" w:name="_Toc21551"/>
      <w:bookmarkStart w:id="411" w:name="_Toc23292"/>
      <w:r>
        <w:rPr>
          <w:rFonts w:hint="eastAsia" w:ascii="仿宋" w:hAnsi="仿宋" w:eastAsia="仿宋" w:cs="仿宋"/>
          <w:b/>
          <w:color w:val="000000" w:themeColor="text1"/>
          <w:sz w:val="24"/>
          <w14:textFill>
            <w14:solidFill>
              <w14:schemeClr w14:val="tx1"/>
            </w14:solidFill>
          </w14:textFill>
        </w:rPr>
        <w:t>1.3 价款</w:t>
      </w:r>
      <w:bookmarkEnd w:id="409"/>
      <w:bookmarkEnd w:id="410"/>
      <w:bookmarkEnd w:id="411"/>
    </w:p>
    <w:p>
      <w:pPr>
        <w:spacing w:line="560" w:lineRule="exact"/>
        <w:ind w:firstLine="422" w:firstLineChars="200"/>
        <w:rPr>
          <w:rFonts w:cs="微软雅黑" w:asciiTheme="minorEastAsia" w:hAnsiTheme="minorEastAsia" w:eastAsiaTheme="minorEastAsia"/>
          <w:b/>
          <w:color w:val="000000" w:themeColor="text1"/>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本合同中标金额</w:t>
      </w:r>
      <w:r>
        <w:rPr>
          <w:rFonts w:hint="eastAsia" w:cs="微软雅黑" w:asciiTheme="minorEastAsia" w:hAnsiTheme="minorEastAsia" w:eastAsiaTheme="minorEastAsia"/>
          <w:b/>
          <w:color w:val="000000" w:themeColor="text1"/>
          <w:u w:val="single"/>
          <w14:textFill>
            <w14:solidFill>
              <w14:schemeClr w14:val="tx1"/>
            </w14:solidFill>
          </w14:textFill>
        </w:rPr>
        <w:t xml:space="preserve">           （</w:t>
      </w:r>
      <w:r>
        <w:rPr>
          <w:rFonts w:hint="eastAsia" w:cs="微软雅黑" w:asciiTheme="minorEastAsia" w:hAnsiTheme="minorEastAsia" w:eastAsiaTheme="minorEastAsia"/>
          <w:b/>
          <w:color w:val="000000" w:themeColor="text1"/>
          <w14:textFill>
            <w14:solidFill>
              <w14:schemeClr w14:val="tx1"/>
            </w14:solidFill>
          </w14:textFill>
        </w:rPr>
        <w:t>元）。</w:t>
      </w:r>
    </w:p>
    <w:p>
      <w:pPr>
        <w:pStyle w:val="33"/>
        <w:snapToGrid w:val="0"/>
        <w:spacing w:before="120" w:after="120" w:line="360" w:lineRule="auto"/>
        <w:rPr>
          <w:rFonts w:asciiTheme="minorEastAsia" w:hAnsiTheme="minorEastAsia" w:eastAsiaTheme="minorEastAsia"/>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分项价格：</w:t>
      </w:r>
      <w:bookmarkStart w:id="412" w:name="_Toc10340"/>
      <w:bookmarkStart w:id="413" w:name="_Toc22618"/>
      <w:bookmarkStart w:id="414" w:name="_Toc1814"/>
      <w:r>
        <w:rPr>
          <w:rFonts w:hint="eastAsia" w:asciiTheme="minorEastAsia" w:hAnsiTheme="minorEastAsia" w:eastAsiaTheme="minorEastAsia"/>
          <w:color w:val="000000" w:themeColor="text1"/>
          <w14:textFill>
            <w14:solidFill>
              <w14:schemeClr w14:val="tx1"/>
            </w14:solidFill>
          </w14:textFill>
        </w:rPr>
        <w:t>乙方：（卖方）</w:t>
      </w:r>
    </w:p>
    <w:p>
      <w:pPr>
        <w:numPr>
          <w:ilvl w:val="0"/>
          <w:numId w:val="3"/>
        </w:numPr>
        <w:rPr>
          <w:rFonts w:cs="宋体" w:asciiTheme="minorEastAsia" w:hAnsiTheme="minorEastAsia" w:eastAsiaTheme="minorEastAsia"/>
          <w:b/>
          <w:bCs/>
          <w:color w:val="000000" w:themeColor="text1"/>
          <w14:textFill>
            <w14:solidFill>
              <w14:schemeClr w14:val="tx1"/>
            </w14:solidFill>
          </w14:textFill>
        </w:rPr>
      </w:pPr>
      <w:r>
        <w:rPr>
          <w:rFonts w:hint="eastAsia" w:cs="宋体" w:asciiTheme="minorEastAsia" w:hAnsiTheme="minorEastAsia" w:eastAsiaTheme="minorEastAsia"/>
          <w:b/>
          <w:bCs/>
          <w:color w:val="000000" w:themeColor="text1"/>
          <w14:textFill>
            <w14:solidFill>
              <w14:schemeClr w14:val="tx1"/>
            </w14:solidFill>
          </w14:textFill>
        </w:rPr>
        <w:t>采购内容</w:t>
      </w:r>
    </w:p>
    <w:tbl>
      <w:tblPr>
        <w:tblStyle w:val="63"/>
        <w:tblW w:w="7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977"/>
        <w:gridCol w:w="127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22" w:type="dxa"/>
            <w:vAlign w:val="center"/>
          </w:tcPr>
          <w:p>
            <w:pPr>
              <w:jc w:val="center"/>
              <w:rPr>
                <w:rFonts w:cs="微软雅黑" w:asciiTheme="minorEastAsia" w:hAnsiTheme="minorEastAsia" w:eastAsiaTheme="minorEastAsia"/>
                <w:b/>
                <w:color w:val="000000" w:themeColor="text1"/>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序号</w:t>
            </w:r>
          </w:p>
        </w:tc>
        <w:tc>
          <w:tcPr>
            <w:tcW w:w="2977" w:type="dxa"/>
            <w:vAlign w:val="center"/>
          </w:tcPr>
          <w:p>
            <w:pPr>
              <w:pStyle w:val="33"/>
              <w:spacing w:before="120" w:after="120" w:line="360" w:lineRule="auto"/>
              <w:jc w:val="center"/>
              <w:textAlignment w:val="baseline"/>
              <w:rPr>
                <w:rFonts w:cs="微软雅黑" w:asciiTheme="minorEastAsia" w:hAnsiTheme="minorEastAsia" w:eastAsiaTheme="minorEastAsia"/>
                <w:b/>
                <w:color w:val="000000" w:themeColor="text1"/>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项目</w:t>
            </w:r>
            <w:r>
              <w:rPr>
                <w:rFonts w:cs="微软雅黑" w:asciiTheme="minorEastAsia" w:hAnsiTheme="minorEastAsia" w:eastAsiaTheme="minorEastAsia"/>
                <w:b/>
                <w:color w:val="000000" w:themeColor="text1"/>
                <w14:textFill>
                  <w14:solidFill>
                    <w14:schemeClr w14:val="tx1"/>
                  </w14:solidFill>
                </w14:textFill>
              </w:rPr>
              <w:t>名称</w:t>
            </w:r>
          </w:p>
        </w:tc>
        <w:tc>
          <w:tcPr>
            <w:tcW w:w="1276" w:type="dxa"/>
            <w:vAlign w:val="center"/>
          </w:tcPr>
          <w:p>
            <w:pPr>
              <w:pStyle w:val="33"/>
              <w:spacing w:before="120" w:after="120" w:line="360" w:lineRule="auto"/>
              <w:jc w:val="center"/>
              <w:textAlignment w:val="baseline"/>
              <w:rPr>
                <w:rFonts w:cs="微软雅黑" w:asciiTheme="minorEastAsia" w:hAnsiTheme="minorEastAsia" w:eastAsiaTheme="minorEastAsia"/>
                <w:b/>
                <w:color w:val="000000" w:themeColor="text1"/>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服务期</w:t>
            </w:r>
          </w:p>
        </w:tc>
        <w:tc>
          <w:tcPr>
            <w:tcW w:w="2053" w:type="dxa"/>
            <w:vAlign w:val="center"/>
          </w:tcPr>
          <w:p>
            <w:pPr>
              <w:widowControl/>
              <w:jc w:val="center"/>
              <w:textAlignment w:val="center"/>
              <w:rPr>
                <w:rFonts w:cs="微软雅黑" w:asciiTheme="minorEastAsia" w:hAnsiTheme="minorEastAsia" w:eastAsiaTheme="minorEastAsia"/>
                <w:b/>
                <w:color w:val="000000" w:themeColor="text1"/>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中标金额（元）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922" w:type="dxa"/>
            <w:vAlign w:val="center"/>
          </w:tcPr>
          <w:p>
            <w:pPr>
              <w:pStyle w:val="33"/>
              <w:spacing w:before="120" w:after="120" w:line="360" w:lineRule="auto"/>
              <w:jc w:val="center"/>
              <w:rPr>
                <w:rFonts w:cs="微软雅黑" w:asciiTheme="minorEastAsia" w:hAnsiTheme="minorEastAsia" w:eastAsiaTheme="minorEastAsia"/>
                <w:color w:val="000000" w:themeColor="text1"/>
                <w14:textFill>
                  <w14:solidFill>
                    <w14:schemeClr w14:val="tx1"/>
                  </w14:solidFill>
                </w14:textFill>
              </w:rPr>
            </w:pPr>
          </w:p>
        </w:tc>
        <w:tc>
          <w:tcPr>
            <w:tcW w:w="2977" w:type="dxa"/>
            <w:vAlign w:val="center"/>
          </w:tcPr>
          <w:p>
            <w:pPr>
              <w:pStyle w:val="33"/>
              <w:spacing w:before="120" w:after="120" w:line="360" w:lineRule="auto"/>
              <w:textAlignment w:val="baseline"/>
              <w:rPr>
                <w:rFonts w:cs="微软雅黑" w:asciiTheme="minorEastAsia" w:hAnsiTheme="minorEastAsia" w:eastAsiaTheme="minorEastAsia"/>
                <w:color w:val="000000" w:themeColor="text1"/>
                <w14:textFill>
                  <w14:solidFill>
                    <w14:schemeClr w14:val="tx1"/>
                  </w14:solidFill>
                </w14:textFill>
              </w:rPr>
            </w:pPr>
          </w:p>
        </w:tc>
        <w:tc>
          <w:tcPr>
            <w:tcW w:w="1276" w:type="dxa"/>
            <w:vAlign w:val="center"/>
          </w:tcPr>
          <w:p>
            <w:pPr>
              <w:pStyle w:val="33"/>
              <w:spacing w:before="120" w:after="120" w:line="360" w:lineRule="auto"/>
              <w:jc w:val="center"/>
              <w:textAlignment w:val="baseline"/>
              <w:rPr>
                <w:rFonts w:cs="微软雅黑" w:asciiTheme="minorEastAsia" w:hAnsiTheme="minorEastAsia" w:eastAsiaTheme="minorEastAsia"/>
                <w:color w:val="000000" w:themeColor="text1"/>
                <w14:textFill>
                  <w14:solidFill>
                    <w14:schemeClr w14:val="tx1"/>
                  </w14:solidFill>
                </w14:textFill>
              </w:rPr>
            </w:pPr>
            <w:r>
              <w:rPr>
                <w:rFonts w:hint="eastAsia" w:cs="微软雅黑" w:asciiTheme="minorEastAsia" w:hAnsiTheme="minorEastAsia" w:eastAsiaTheme="minorEastAsia"/>
                <w:color w:val="000000" w:themeColor="text1"/>
                <w14:textFill>
                  <w14:solidFill>
                    <w14:schemeClr w14:val="tx1"/>
                  </w14:solidFill>
                </w14:textFill>
              </w:rPr>
              <w:t>1年</w:t>
            </w:r>
          </w:p>
        </w:tc>
        <w:tc>
          <w:tcPr>
            <w:tcW w:w="2053" w:type="dxa"/>
            <w:vAlign w:val="center"/>
          </w:tcPr>
          <w:p>
            <w:pPr>
              <w:pStyle w:val="33"/>
              <w:spacing w:before="120" w:after="120" w:line="360" w:lineRule="auto"/>
              <w:jc w:val="center"/>
              <w:textAlignment w:val="baseline"/>
              <w:rPr>
                <w:rFonts w:cs="微软雅黑" w:asciiTheme="minorEastAsia" w:hAnsiTheme="minorEastAsia" w:eastAsiaTheme="minorEastAsia"/>
                <w:color w:val="000000" w:themeColor="text1"/>
                <w14:textFill>
                  <w14:solidFill>
                    <w14:schemeClr w14:val="tx1"/>
                  </w14:solidFill>
                </w14:textFill>
              </w:rPr>
            </w:pPr>
          </w:p>
        </w:tc>
      </w:tr>
    </w:tbl>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1.4 付款</w:t>
      </w:r>
      <w:bookmarkEnd w:id="412"/>
      <w:bookmarkEnd w:id="413"/>
      <w:bookmarkEnd w:id="414"/>
      <w:r>
        <w:rPr>
          <w:rFonts w:hint="eastAsia" w:ascii="仿宋" w:hAnsi="仿宋" w:eastAsia="仿宋" w:cs="仿宋"/>
          <w:b/>
          <w:color w:val="000000" w:themeColor="text1"/>
          <w:sz w:val="24"/>
          <w14:textFill>
            <w14:solidFill>
              <w14:schemeClr w14:val="tx1"/>
            </w14:solidFill>
          </w14:textFill>
        </w:rPr>
        <w:t>方式、时间和条件</w:t>
      </w:r>
    </w:p>
    <w:p>
      <w:pPr>
        <w:pStyle w:val="960"/>
        <w:spacing w:before="0" w:beforeAutospacing="0" w:after="0" w:afterAutospacing="0"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1.4.2甲方在政府采购合同中约定预付款;</w:t>
      </w:r>
      <w:r>
        <w:rPr>
          <w:rFonts w:hint="eastAsia" w:ascii="仿宋" w:hAnsi="仿宋" w:eastAsia="仿宋" w:cs="仿宋"/>
          <w:color w:val="000000" w:themeColor="text1"/>
          <w:kern w:val="0"/>
          <w:sz w:val="24"/>
          <w:u w:val="single"/>
          <w14:textFill>
            <w14:solidFill>
              <w14:schemeClr w14:val="tx1"/>
            </w14:solidFill>
          </w14:textFill>
        </w:rPr>
        <w:t xml:space="preserve">     /      </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1.4.4资金支付的方式、时间和条件详见</w:t>
      </w:r>
      <w:r>
        <w:rPr>
          <w:rFonts w:hint="eastAsia" w:ascii="仿宋" w:hAnsi="仿宋" w:eastAsia="仿宋" w:cs="仿宋"/>
          <w:b/>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15" w:name="_Toc2846"/>
      <w:bookmarkStart w:id="416" w:name="_Toc19304"/>
      <w:bookmarkStart w:id="417" w:name="_Toc32071"/>
      <w:r>
        <w:rPr>
          <w:rFonts w:hint="eastAsia" w:ascii="仿宋" w:hAnsi="仿宋" w:eastAsia="仿宋" w:cs="仿宋"/>
          <w:b/>
          <w:color w:val="000000" w:themeColor="text1"/>
          <w:sz w:val="24"/>
          <w14:textFill>
            <w14:solidFill>
              <w14:schemeClr w14:val="tx1"/>
            </w14:solidFill>
          </w14:textFill>
        </w:rPr>
        <w:t>1.5 服务期限、地点和</w:t>
      </w:r>
      <w:bookmarkEnd w:id="415"/>
      <w:bookmarkEnd w:id="416"/>
      <w:bookmarkEnd w:id="417"/>
      <w:r>
        <w:rPr>
          <w:rFonts w:hint="eastAsia" w:ascii="仿宋" w:hAnsi="仿宋" w:eastAsia="仿宋" w:cs="仿宋"/>
          <w:b/>
          <w:color w:val="000000" w:themeColor="text1"/>
          <w:sz w:val="24"/>
          <w14:textFill>
            <w14:solidFill>
              <w14:schemeClr w14:val="tx1"/>
            </w14:solidFill>
          </w14:textFill>
        </w:rPr>
        <w:t>内容</w:t>
      </w:r>
    </w:p>
    <w:p>
      <w:pPr>
        <w:spacing w:line="560" w:lineRule="exact"/>
        <w:ind w:firstLine="480" w:firstLineChars="200"/>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1.5.1服务期限：详见</w:t>
      </w:r>
      <w:r>
        <w:rPr>
          <w:rFonts w:hint="eastAsia" w:ascii="仿宋" w:hAnsi="仿宋" w:eastAsia="仿宋" w:cs="仿宋"/>
          <w:b/>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1.5.2服务地点：</w:t>
      </w:r>
      <w:r>
        <w:rPr>
          <w:rFonts w:hint="eastAsia" w:ascii="仿宋" w:hAnsi="仿宋" w:eastAsia="仿宋" w:cs="仿宋"/>
          <w:b/>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1.5.3 服务内容：</w:t>
      </w:r>
      <w:r>
        <w:rPr>
          <w:rFonts w:hint="eastAsia" w:ascii="仿宋" w:hAnsi="仿宋" w:eastAsia="仿宋" w:cs="仿宋"/>
          <w:b/>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18" w:name="_Toc27250"/>
      <w:bookmarkStart w:id="419" w:name="_Toc21423"/>
      <w:bookmarkStart w:id="420" w:name="_Toc19554"/>
      <w:r>
        <w:rPr>
          <w:rFonts w:hint="eastAsia" w:ascii="仿宋" w:hAnsi="仿宋" w:eastAsia="仿宋" w:cs="仿宋"/>
          <w:b/>
          <w:color w:val="000000" w:themeColor="text1"/>
          <w:sz w:val="24"/>
          <w14:textFill>
            <w14:solidFill>
              <w14:schemeClr w14:val="tx1"/>
            </w14:solidFill>
          </w14:textFill>
        </w:rPr>
        <w:t>1.6 违约责任</w:t>
      </w:r>
      <w:bookmarkEnd w:id="418"/>
      <w:bookmarkEnd w:id="419"/>
      <w:bookmarkEnd w:id="420"/>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1.6.1 除不可抗力外，如果乙方没有按照本合同约定的期限、地点和内容完成服务，那么甲方可要求乙方支付违约金，违约金按每迟延完成服务一日的应交付而未完成服务价格的</w:t>
      </w:r>
      <w:r>
        <w:rPr>
          <w:rFonts w:hint="eastAsia" w:ascii="仿宋" w:hAnsi="仿宋" w:eastAsia="仿宋" w:cs="仿宋"/>
          <w:color w:val="000000" w:themeColor="text1"/>
          <w:sz w:val="24"/>
          <w:u w:val="single"/>
          <w14:textFill>
            <w14:solidFill>
              <w14:schemeClr w14:val="tx1"/>
            </w14:solidFill>
          </w14:textFill>
        </w:rPr>
        <w:t xml:space="preserve">  0.05  </w:t>
      </w:r>
      <w:r>
        <w:rPr>
          <w:rFonts w:hint="eastAsia" w:ascii="仿宋" w:hAnsi="仿宋" w:eastAsia="仿宋" w:cs="仿宋"/>
          <w:color w:val="000000" w:themeColor="text1"/>
          <w:sz w:val="24"/>
          <w14:textFill>
            <w14:solidFill>
              <w14:schemeClr w14:val="tx1"/>
            </w14:solidFill>
          </w14:textFill>
        </w:rPr>
        <w:t>%计算，最高限额为本合同总价的</w:t>
      </w:r>
      <w:r>
        <w:rPr>
          <w:rFonts w:hint="eastAsia" w:ascii="仿宋" w:hAnsi="仿宋" w:eastAsia="仿宋" w:cs="仿宋"/>
          <w:color w:val="000000" w:themeColor="text1"/>
          <w:sz w:val="24"/>
          <w:u w:val="single"/>
          <w14:textFill>
            <w14:solidFill>
              <w14:schemeClr w14:val="tx1"/>
            </w14:solidFill>
          </w14:textFill>
        </w:rPr>
        <w:t xml:space="preserve"> 20  </w:t>
      </w:r>
      <w:r>
        <w:rPr>
          <w:rFonts w:hint="eastAsia" w:ascii="仿宋" w:hAnsi="仿宋" w:eastAsia="仿宋" w:cs="仿宋"/>
          <w:color w:val="000000" w:themeColor="text1"/>
          <w:sz w:val="24"/>
          <w14:textFill>
            <w14:solidFill>
              <w14:schemeClr w14:val="tx1"/>
            </w14:solidFill>
          </w14:textFill>
        </w:rPr>
        <w:t>%；迟延完成服务的违约金计算数额达到前述最高限额之日起，甲方有权在要求乙方支付违约金的同时，书面通知乙方解除本合同；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u w:val="single"/>
          <w14:textFill>
            <w14:solidFill>
              <w14:schemeClr w14:val="tx1"/>
            </w14:solidFill>
          </w14:textFill>
        </w:rPr>
        <w:t xml:space="preserve">  0.05  </w:t>
      </w:r>
      <w:r>
        <w:rPr>
          <w:rFonts w:hint="eastAsia" w:ascii="仿宋" w:hAnsi="仿宋" w:eastAsia="仿宋" w:cs="仿宋"/>
          <w:color w:val="000000" w:themeColor="text1"/>
          <w:sz w:val="24"/>
          <w14:textFill>
            <w14:solidFill>
              <w14:schemeClr w14:val="tx1"/>
            </w14:solidFill>
          </w14:textFill>
        </w:rPr>
        <w:t>%计算，最高限额为本合同总价的</w:t>
      </w:r>
      <w:r>
        <w:rPr>
          <w:rFonts w:hint="eastAsia" w:ascii="仿宋" w:hAnsi="仿宋" w:eastAsia="仿宋" w:cs="仿宋"/>
          <w:color w:val="000000" w:themeColor="text1"/>
          <w:sz w:val="24"/>
          <w:u w:val="single"/>
          <w14:textFill>
            <w14:solidFill>
              <w14:schemeClr w14:val="tx1"/>
            </w14:solidFill>
          </w14:textFill>
        </w:rPr>
        <w:t xml:space="preserve">  20   </w:t>
      </w:r>
      <w:r>
        <w:rPr>
          <w:rFonts w:hint="eastAsia" w:ascii="仿宋" w:hAnsi="仿宋" w:eastAsia="仿宋" w:cs="仿宋"/>
          <w:color w:val="000000" w:themeColor="text1"/>
          <w:sz w:val="24"/>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1.6.7违约责任</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21" w:name="_Toc28375"/>
      <w:bookmarkStart w:id="422" w:name="_Toc16021"/>
      <w:bookmarkStart w:id="423" w:name="_Toc15583"/>
      <w:r>
        <w:rPr>
          <w:rFonts w:hint="eastAsia" w:ascii="仿宋" w:hAnsi="仿宋" w:eastAsia="仿宋" w:cs="仿宋"/>
          <w:b/>
          <w:color w:val="000000" w:themeColor="text1"/>
          <w:sz w:val="24"/>
          <w14:textFill>
            <w14:solidFill>
              <w14:schemeClr w14:val="tx1"/>
            </w14:solidFill>
          </w14:textFill>
        </w:rPr>
        <w:t>1.7 合同争议的解决</w:t>
      </w:r>
      <w:bookmarkEnd w:id="421"/>
      <w:bookmarkEnd w:id="422"/>
      <w:bookmarkEnd w:id="423"/>
    </w:p>
    <w:p>
      <w:pPr>
        <w:spacing w:line="560" w:lineRule="exact"/>
        <w:ind w:left="-61" w:leftChars="-29" w:right="-420" w:rightChars="-200"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u w:val="single"/>
          <w14:textFill>
            <w14:solidFill>
              <w14:schemeClr w14:val="tx1"/>
            </w14:solidFill>
          </w14:textFill>
        </w:rPr>
        <w:t xml:space="preserve"> 合同专用条款  </w:t>
      </w:r>
      <w:r>
        <w:rPr>
          <w:rFonts w:hint="eastAsia" w:ascii="仿宋" w:hAnsi="仿宋" w:eastAsia="仿宋" w:cs="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1.7.1 将争议提交</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1.7.2 向</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24" w:name="_Toc11173"/>
      <w:bookmarkStart w:id="425" w:name="_Toc15322"/>
      <w:bookmarkStart w:id="426" w:name="_Toc7245"/>
      <w:r>
        <w:rPr>
          <w:rFonts w:hint="eastAsia" w:ascii="仿宋" w:hAnsi="仿宋" w:eastAsia="仿宋" w:cs="仿宋"/>
          <w:b/>
          <w:color w:val="000000" w:themeColor="text1"/>
          <w:sz w:val="24"/>
          <w14:textFill>
            <w14:solidFill>
              <w14:schemeClr w14:val="tx1"/>
            </w14:solidFill>
          </w14:textFill>
        </w:rPr>
        <w:t>1.8 合同生效</w:t>
      </w:r>
      <w:bookmarkEnd w:id="424"/>
      <w:bookmarkEnd w:id="425"/>
      <w:bookmarkEnd w:id="426"/>
    </w:p>
    <w:p>
      <w:pPr>
        <w:spacing w:line="560" w:lineRule="exact"/>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本合同自双方当事人盖章或者签字时生效。</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b/>
          <w:color w:val="000000" w:themeColor="text1"/>
          <w:sz w:val="24"/>
          <w:lang w:val="zh-CN"/>
          <w14:textFill>
            <w14:solidFill>
              <w14:schemeClr w14:val="tx1"/>
            </w14:solidFill>
          </w14:textFill>
        </w:rPr>
        <w:t>甲方</w:t>
      </w:r>
      <w:r>
        <w:rPr>
          <w:rFonts w:hint="eastAsia" w:ascii="仿宋" w:hAnsi="仿宋" w:eastAsia="仿宋" w:cs="仿宋"/>
          <w:color w:val="000000" w:themeColor="text1"/>
          <w:sz w:val="24"/>
          <w:lang w:val="zh-CN"/>
          <w14:textFill>
            <w14:solidFill>
              <w14:schemeClr w14:val="tx1"/>
            </w14:solidFill>
          </w14:textFill>
        </w:rPr>
        <w:t xml:space="preserve">：                             </w:t>
      </w:r>
      <w:r>
        <w:rPr>
          <w:rFonts w:hint="eastAsia" w:ascii="仿宋" w:hAnsi="仿宋" w:eastAsia="仿宋" w:cs="仿宋"/>
          <w:b/>
          <w:color w:val="000000" w:themeColor="text1"/>
          <w:sz w:val="24"/>
          <w:lang w:val="zh-CN"/>
          <w14:textFill>
            <w14:solidFill>
              <w14:schemeClr w14:val="tx1"/>
            </w14:solidFill>
          </w14:textFill>
        </w:rPr>
        <w:t xml:space="preserve">      乙方</w:t>
      </w:r>
      <w:r>
        <w:rPr>
          <w:rFonts w:hint="eastAsia" w:ascii="仿宋" w:hAnsi="仿宋" w:eastAsia="仿宋" w:cs="仿宋"/>
          <w:color w:val="000000" w:themeColor="text1"/>
          <w:sz w:val="24"/>
          <w:lang w:val="zh-CN"/>
          <w14:textFill>
            <w14:solidFill>
              <w14:schemeClr w14:val="tx1"/>
            </w14:solidFill>
          </w14:textFill>
        </w:rPr>
        <w:t>：</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住所：                                   住所：</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联系人：                                 联系人：</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邮政编码：                               邮政编码：</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传真:                                    传真:</w:t>
      </w:r>
    </w:p>
    <w:p>
      <w:pPr>
        <w:autoSpaceDE w:val="0"/>
        <w:autoSpaceDN w:val="0"/>
        <w:spacing w:line="56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电子邮箱：                               电子邮箱：</w:t>
      </w:r>
    </w:p>
    <w:p>
      <w:pPr>
        <w:autoSpaceDE w:val="0"/>
        <w:autoSpaceDN w:val="0"/>
        <w:spacing w:line="56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开户银行：                               开户银行： </w:t>
      </w:r>
    </w:p>
    <w:p>
      <w:pPr>
        <w:autoSpaceDE w:val="0"/>
        <w:autoSpaceDN w:val="0"/>
        <w:spacing w:line="56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开户名称：                               开户名称： </w:t>
      </w:r>
    </w:p>
    <w:p>
      <w:pPr>
        <w:autoSpaceDE w:val="0"/>
        <w:autoSpaceDN w:val="0"/>
        <w:spacing w:line="56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开户账号：开户账号：</w:t>
      </w:r>
    </w:p>
    <w:p>
      <w:pPr>
        <w:pStyle w:val="702"/>
        <w:spacing w:line="560" w:lineRule="exact"/>
        <w:ind w:firstLine="482"/>
        <w:jc w:val="center"/>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27" w:name="_Toc279701240"/>
      <w:bookmarkStart w:id="428" w:name="_Ref467378463"/>
      <w:bookmarkStart w:id="429" w:name="_Ref467379225"/>
      <w:bookmarkStart w:id="430" w:name="_Toc16917"/>
      <w:bookmarkStart w:id="431" w:name="_Ref467379214"/>
      <w:bookmarkStart w:id="432" w:name="_Ref467379094"/>
      <w:bookmarkStart w:id="433" w:name="_Toc19614"/>
      <w:bookmarkStart w:id="434" w:name="_Toc28763"/>
      <w:bookmarkStart w:id="435" w:name="_Ref467378499"/>
      <w:bookmarkStart w:id="436" w:name="_Toc259093669"/>
      <w:bookmarkStart w:id="437" w:name="_Ref467379101"/>
      <w:bookmarkStart w:id="438" w:name="_Ref467379195"/>
      <w:bookmarkStart w:id="439" w:name="_Ref467379205"/>
      <w:bookmarkStart w:id="440" w:name="_Ref467378404"/>
      <w:bookmarkStart w:id="441" w:name="_Toc487900349"/>
      <w:bookmarkStart w:id="442" w:name="_Ref467379109"/>
      <w:r>
        <w:rPr>
          <w:rFonts w:hint="eastAsia" w:ascii="仿宋" w:hAnsi="仿宋" w:eastAsia="仿宋" w:cs="仿宋"/>
          <w:b/>
          <w:color w:val="000000" w:themeColor="text1"/>
          <w:sz w:val="24"/>
          <w14:textFill>
            <w14:solidFill>
              <w14:schemeClr w14:val="tx1"/>
            </w14:solidFill>
          </w14:textFill>
        </w:rPr>
        <w:t>2.1 定义</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本合同中的下列词语应按以下内容进行解释：</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 “合同”系指采购人和成交供应商签订的载明双方当事人所达成的协议，并包括所有的附件、附录和构成合同的其他文件。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 “合同价”系指根据合同约定，成交供应商在完全履行合同义务后，采购人应支付给成交供应商的价格。</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 “服务”系指成交供应商根据合同约定应向采购人交付的一切各种形态和种类的服务和成果，包括咨询服务、评审服务、设计成果、施工过程中的质量、进度的控制、合同、文档的管理等相关资料。</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443" w:name="_Ref467378840"/>
      <w:r>
        <w:rPr>
          <w:rFonts w:hint="eastAsia" w:ascii="仿宋" w:hAnsi="仿宋" w:eastAsia="仿宋" w:cs="仿宋"/>
          <w:color w:val="000000" w:themeColor="text1"/>
          <w:sz w:val="24"/>
          <w14:textFill>
            <w14:solidFill>
              <w14:schemeClr w14:val="tx1"/>
            </w14:solidFill>
          </w14:textFill>
        </w:rPr>
        <w:t>2.1.4 “甲方”系指与成交供应商签署合同的采购人</w:t>
      </w:r>
      <w:bookmarkEnd w:id="443"/>
      <w:r>
        <w:rPr>
          <w:rFonts w:hint="eastAsia" w:ascii="仿宋" w:hAnsi="仿宋" w:eastAsia="仿宋" w:cs="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444" w:name="_Ref467379400"/>
      <w:r>
        <w:rPr>
          <w:rFonts w:hint="eastAsia" w:ascii="仿宋" w:hAnsi="仿宋" w:eastAsia="仿宋" w:cs="仿宋"/>
          <w:color w:val="000000" w:themeColor="text1"/>
          <w:sz w:val="24"/>
          <w14:textFill>
            <w14:solidFill>
              <w14:schemeClr w14:val="tx1"/>
            </w14:solidFill>
          </w14:textFill>
        </w:rPr>
        <w:t>2.1.5 “乙方”系指根据合同约定完成服务的</w:t>
      </w:r>
      <w:bookmarkEnd w:id="444"/>
      <w:r>
        <w:rPr>
          <w:rFonts w:hint="eastAsia" w:ascii="仿宋" w:hAnsi="仿宋" w:eastAsia="仿宋" w:cs="仿宋"/>
          <w:color w:val="000000" w:themeColor="text1"/>
          <w:sz w:val="24"/>
          <w14:textFill>
            <w14:solidFill>
              <w14:schemeClr w14:val="tx1"/>
            </w14:solidFill>
          </w14:textFill>
        </w:rPr>
        <w:t>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445" w:name="_Ref467379436"/>
      <w:r>
        <w:rPr>
          <w:rFonts w:hint="eastAsia" w:ascii="仿宋" w:hAnsi="仿宋" w:eastAsia="仿宋" w:cs="仿宋"/>
          <w:color w:val="000000" w:themeColor="text1"/>
          <w:sz w:val="24"/>
          <w14:textFill>
            <w14:solidFill>
              <w14:schemeClr w14:val="tx1"/>
            </w14:solidFill>
          </w14:textFill>
        </w:rPr>
        <w:t>2.1.6 “现场”系指将要进行服务的工程地点。</w:t>
      </w:r>
      <w:bookmarkEnd w:id="445"/>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46" w:name="_Toc259093670"/>
      <w:bookmarkStart w:id="447" w:name="_Toc279701241"/>
      <w:bookmarkStart w:id="448" w:name="_Toc13336"/>
      <w:bookmarkStart w:id="449" w:name="_Toc32504"/>
      <w:bookmarkStart w:id="450" w:name="_Toc487900350"/>
      <w:bookmarkStart w:id="451" w:name="_Toc27635"/>
      <w:r>
        <w:rPr>
          <w:rFonts w:hint="eastAsia" w:ascii="仿宋" w:hAnsi="仿宋" w:eastAsia="仿宋" w:cs="仿宋"/>
          <w:b/>
          <w:color w:val="000000" w:themeColor="text1"/>
          <w:sz w:val="24"/>
          <w14:textFill>
            <w14:solidFill>
              <w14:schemeClr w14:val="tx1"/>
            </w14:solidFill>
          </w14:textFill>
        </w:rPr>
        <w:t>2.2 技术规范</w:t>
      </w:r>
      <w:bookmarkEnd w:id="446"/>
      <w:bookmarkEnd w:id="447"/>
      <w:bookmarkEnd w:id="448"/>
      <w:bookmarkEnd w:id="449"/>
      <w:bookmarkEnd w:id="450"/>
      <w:bookmarkEnd w:id="451"/>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52" w:name="_Toc27853"/>
      <w:bookmarkStart w:id="453" w:name="_Toc31634"/>
      <w:bookmarkStart w:id="454" w:name="_Toc259093671"/>
      <w:bookmarkStart w:id="455" w:name="_Toc487900351"/>
      <w:bookmarkStart w:id="456" w:name="_Toc279701242"/>
      <w:bookmarkStart w:id="457" w:name="_Toc9829"/>
      <w:r>
        <w:rPr>
          <w:rFonts w:hint="eastAsia" w:ascii="仿宋" w:hAnsi="仿宋" w:eastAsia="仿宋" w:cs="仿宋"/>
          <w:b/>
          <w:color w:val="000000" w:themeColor="text1"/>
          <w:sz w:val="24"/>
          <w14:textFill>
            <w14:solidFill>
              <w14:schemeClr w14:val="tx1"/>
            </w14:solidFill>
          </w14:textFill>
        </w:rPr>
        <w:t>2.3 知识产权</w:t>
      </w:r>
      <w:bookmarkEnd w:id="452"/>
      <w:bookmarkEnd w:id="453"/>
      <w:bookmarkEnd w:id="454"/>
      <w:bookmarkEnd w:id="455"/>
      <w:bookmarkEnd w:id="456"/>
      <w:bookmarkEnd w:id="457"/>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2.3.2具有知识产权的计算机软件等货物的知识产权归属，详见</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58" w:name="_Ref467379536"/>
      <w:bookmarkStart w:id="459" w:name="_Toc487900354"/>
      <w:bookmarkStart w:id="460" w:name="_Ref467378541"/>
      <w:bookmarkStart w:id="461" w:name="_Toc259093674"/>
      <w:bookmarkStart w:id="462" w:name="_Ref467378591"/>
      <w:bookmarkStart w:id="463" w:name="_Toc279701245"/>
      <w:bookmarkStart w:id="464" w:name="_Ref467379542"/>
      <w:bookmarkStart w:id="465" w:name="_Ref467379527"/>
      <w:bookmarkStart w:id="466" w:name="_Toc26182"/>
      <w:bookmarkStart w:id="467" w:name="_Toc30272"/>
      <w:bookmarkStart w:id="468" w:name="_Toc19074"/>
      <w:r>
        <w:rPr>
          <w:rFonts w:hint="eastAsia" w:ascii="仿宋" w:hAnsi="仿宋" w:eastAsia="仿宋" w:cs="仿宋"/>
          <w:b/>
          <w:color w:val="000000" w:themeColor="text1"/>
          <w:sz w:val="24"/>
          <w14:textFill>
            <w14:solidFill>
              <w14:schemeClr w14:val="tx1"/>
            </w14:solidFill>
          </w14:textFill>
        </w:rPr>
        <w:t>2.</w:t>
      </w:r>
      <w:bookmarkEnd w:id="458"/>
      <w:bookmarkEnd w:id="459"/>
      <w:bookmarkEnd w:id="460"/>
      <w:bookmarkEnd w:id="461"/>
      <w:bookmarkEnd w:id="462"/>
      <w:bookmarkEnd w:id="463"/>
      <w:bookmarkEnd w:id="464"/>
      <w:bookmarkEnd w:id="465"/>
      <w:r>
        <w:rPr>
          <w:rFonts w:hint="eastAsia" w:ascii="仿宋" w:hAnsi="仿宋" w:eastAsia="仿宋" w:cs="仿宋"/>
          <w:b/>
          <w:color w:val="000000" w:themeColor="text1"/>
          <w:sz w:val="24"/>
          <w14:textFill>
            <w14:solidFill>
              <w14:schemeClr w14:val="tx1"/>
            </w14:solidFill>
          </w14:textFill>
        </w:rPr>
        <w:t>4 履约检查和问题反馈</w:t>
      </w:r>
      <w:bookmarkEnd w:id="466"/>
      <w:bookmarkEnd w:id="467"/>
      <w:bookmarkEnd w:id="468"/>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469" w:name="_Ref467379657"/>
      <w:r>
        <w:rPr>
          <w:rFonts w:hint="eastAsia" w:ascii="仿宋" w:hAnsi="仿宋" w:eastAsia="仿宋" w:cs="仿宋"/>
          <w:color w:val="000000" w:themeColor="text1"/>
          <w:sz w:val="24"/>
          <w14:textFill>
            <w14:solidFill>
              <w14:schemeClr w14:val="tx1"/>
            </w14:solidFill>
          </w14:textFill>
        </w:rPr>
        <w:t>2.4.1</w:t>
      </w:r>
      <w:bookmarkEnd w:id="469"/>
      <w:bookmarkStart w:id="470" w:name="_Toc186431854"/>
      <w:bookmarkStart w:id="471" w:name="_Toc259093676"/>
      <w:bookmarkStart w:id="472" w:name="_Toc279701247"/>
      <w:bookmarkStart w:id="473" w:name="_Ref467379793"/>
      <w:bookmarkStart w:id="474" w:name="_Toc487900357"/>
      <w:bookmarkStart w:id="475" w:name="_Ref467379807"/>
      <w:r>
        <w:rPr>
          <w:rFonts w:hint="eastAsia" w:ascii="仿宋" w:hAnsi="仿宋" w:eastAsia="仿宋" w:cs="仿宋"/>
          <w:color w:val="000000" w:themeColor="text1"/>
          <w:sz w:val="24"/>
          <w14:textFill>
            <w14:solidFill>
              <w14:schemeClr w14:val="tx1"/>
            </w14:solidFill>
          </w14:textFill>
        </w:rPr>
        <w:t>甲方有权在其认为必要时，对乙方是否能够按照合同约定完成服务进行履约检查，以确保乙方所交付的成果能够依约满足甲方之项目需求，但不得因履约检查妨碍乙方的正常工作，乙方应予积极配合；</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bookmarkEnd w:id="470"/>
      <w:bookmarkStart w:id="476" w:name="_Toc186431855"/>
      <w:r>
        <w:rPr>
          <w:rFonts w:hint="eastAsia" w:ascii="仿宋" w:hAnsi="仿宋" w:eastAsia="仿宋" w:cs="仿宋"/>
          <w:color w:val="000000" w:themeColor="text1"/>
          <w:sz w:val="24"/>
          <w14:textFill>
            <w14:solidFill>
              <w14:schemeClr w14:val="tx1"/>
            </w14:solidFill>
          </w14:textFill>
        </w:rPr>
        <w:t>。</w:t>
      </w:r>
    </w:p>
    <w:bookmarkEnd w:id="471"/>
    <w:bookmarkEnd w:id="472"/>
    <w:bookmarkEnd w:id="473"/>
    <w:bookmarkEnd w:id="474"/>
    <w:bookmarkEnd w:id="475"/>
    <w:bookmarkEnd w:id="476"/>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77" w:name="_Toc259093677"/>
      <w:bookmarkStart w:id="478" w:name="_Ref467379863"/>
      <w:bookmarkStart w:id="479" w:name="_Ref467379852"/>
      <w:bookmarkStart w:id="480" w:name="_Ref467379923"/>
      <w:bookmarkStart w:id="481" w:name="_Toc279701248"/>
      <w:bookmarkStart w:id="482" w:name="_Toc487900358"/>
      <w:bookmarkStart w:id="483" w:name="_Toc774"/>
      <w:bookmarkStart w:id="484" w:name="_Toc3225"/>
      <w:bookmarkStart w:id="485" w:name="_Toc16110"/>
      <w:r>
        <w:rPr>
          <w:rFonts w:hint="eastAsia" w:ascii="仿宋" w:hAnsi="仿宋" w:eastAsia="仿宋" w:cs="仿宋"/>
          <w:b/>
          <w:color w:val="000000" w:themeColor="text1"/>
          <w:sz w:val="24"/>
          <w14:textFill>
            <w14:solidFill>
              <w14:schemeClr w14:val="tx1"/>
            </w14:solidFill>
          </w14:textFill>
        </w:rPr>
        <w:t>2.5 技术资料</w:t>
      </w:r>
      <w:bookmarkEnd w:id="477"/>
      <w:bookmarkEnd w:id="478"/>
      <w:bookmarkEnd w:id="479"/>
      <w:bookmarkEnd w:id="480"/>
      <w:bookmarkEnd w:id="481"/>
      <w:bookmarkEnd w:id="482"/>
      <w:r>
        <w:rPr>
          <w:rFonts w:hint="eastAsia" w:ascii="仿宋" w:hAnsi="仿宋" w:eastAsia="仿宋" w:cs="仿宋"/>
          <w:b/>
          <w:color w:val="000000" w:themeColor="text1"/>
          <w:sz w:val="24"/>
          <w14:textFill>
            <w14:solidFill>
              <w14:schemeClr w14:val="tx1"/>
            </w14:solidFill>
          </w14:textFill>
        </w:rPr>
        <w:t>和保密义务</w:t>
      </w:r>
      <w:bookmarkEnd w:id="483"/>
      <w:bookmarkEnd w:id="484"/>
      <w:bookmarkEnd w:id="485"/>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2.5.2 乙方有义务妥善保管和保护由甲方提供的前款信息和资料等；</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86" w:name="_Toc7860"/>
      <w:r>
        <w:rPr>
          <w:rFonts w:hint="eastAsia" w:ascii="仿宋" w:hAnsi="仿宋" w:eastAsia="仿宋" w:cs="仿宋"/>
          <w:b/>
          <w:color w:val="000000" w:themeColor="text1"/>
          <w:sz w:val="24"/>
          <w14:textFill>
            <w14:solidFill>
              <w14:schemeClr w14:val="tx1"/>
            </w14:solidFill>
          </w14:textFill>
        </w:rPr>
        <w:t>2.6 质量保证</w:t>
      </w:r>
      <w:bookmarkEnd w:id="486"/>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2.6.2 乙方应保证履行合同的人员数量和素质、软件和硬件设备的配置、场地、环境和设施等满足全面履行合同的要求，并应接受甲方的监督检查。</w:t>
      </w:r>
      <w:bookmarkStart w:id="487" w:name="_Toc259093681"/>
      <w:bookmarkStart w:id="488" w:name="_Toc487900362"/>
      <w:bookmarkStart w:id="489" w:name="_Toc279701252"/>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90" w:name="_Toc14055"/>
      <w:r>
        <w:rPr>
          <w:rFonts w:hint="eastAsia" w:ascii="仿宋" w:hAnsi="仿宋" w:eastAsia="仿宋" w:cs="仿宋"/>
          <w:b/>
          <w:color w:val="000000" w:themeColor="text1"/>
          <w:sz w:val="24"/>
          <w14:textFill>
            <w14:solidFill>
              <w14:schemeClr w14:val="tx1"/>
            </w14:solidFill>
          </w14:textFill>
        </w:rPr>
        <w:t>2.7 延迟</w:t>
      </w:r>
      <w:bookmarkEnd w:id="487"/>
      <w:bookmarkEnd w:id="488"/>
      <w:bookmarkEnd w:id="489"/>
      <w:bookmarkEnd w:id="490"/>
      <w:r>
        <w:rPr>
          <w:rFonts w:hint="eastAsia" w:ascii="仿宋" w:hAnsi="仿宋" w:eastAsia="仿宋" w:cs="仿宋"/>
          <w:b/>
          <w:color w:val="000000" w:themeColor="text1"/>
          <w:sz w:val="24"/>
          <w14:textFill>
            <w14:solidFill>
              <w14:schemeClr w14:val="tx1"/>
            </w14:solidFill>
          </w14:textFill>
        </w:rPr>
        <w:t>服务</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合同履行过程中，如果乙方遇到不能按时完成服务的情况，应及时以书面形式将不能按时完成服务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91" w:name="_Toc7502"/>
      <w:bookmarkStart w:id="492" w:name="_Ref467378121"/>
      <w:bookmarkStart w:id="493" w:name="_Toc279701254"/>
      <w:bookmarkStart w:id="494" w:name="_Toc259093683"/>
      <w:bookmarkStart w:id="495" w:name="_Toc487900364"/>
      <w:r>
        <w:rPr>
          <w:rFonts w:hint="eastAsia" w:ascii="仿宋" w:hAnsi="仿宋" w:eastAsia="仿宋" w:cs="仿宋"/>
          <w:b/>
          <w:color w:val="000000" w:themeColor="text1"/>
          <w:sz w:val="24"/>
          <w14:textFill>
            <w14:solidFill>
              <w14:schemeClr w14:val="tx1"/>
            </w14:solidFill>
          </w14:textFill>
        </w:rPr>
        <w:t>2.8 合同变更</w:t>
      </w:r>
      <w:bookmarkEnd w:id="491"/>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79701259"/>
      <w:bookmarkStart w:id="498" w:name="_Toc259093688"/>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499" w:name="_Toc15237"/>
      <w:bookmarkStart w:id="500" w:name="_Toc22955"/>
      <w:bookmarkStart w:id="501" w:name="_Toc10366"/>
      <w:r>
        <w:rPr>
          <w:rFonts w:hint="eastAsia" w:ascii="仿宋" w:hAnsi="仿宋" w:eastAsia="仿宋" w:cs="仿宋"/>
          <w:b/>
          <w:color w:val="000000" w:themeColor="text1"/>
          <w:sz w:val="24"/>
          <w14:textFill>
            <w14:solidFill>
              <w14:schemeClr w14:val="tx1"/>
            </w14:solidFill>
          </w14:textFill>
        </w:rPr>
        <w:t>2.9 合同转让</w:t>
      </w:r>
      <w:bookmarkEnd w:id="496"/>
      <w:bookmarkEnd w:id="497"/>
      <w:bookmarkEnd w:id="498"/>
      <w:r>
        <w:rPr>
          <w:rFonts w:hint="eastAsia" w:ascii="仿宋" w:hAnsi="仿宋" w:eastAsia="仿宋" w:cs="仿宋"/>
          <w:b/>
          <w:color w:val="000000" w:themeColor="text1"/>
          <w:sz w:val="24"/>
          <w14:textFill>
            <w14:solidFill>
              <w14:schemeClr w14:val="tx1"/>
            </w14:solidFill>
          </w14:textFill>
        </w:rPr>
        <w:t>和分包</w:t>
      </w:r>
      <w:bookmarkEnd w:id="499"/>
      <w:bookmarkEnd w:id="500"/>
      <w:bookmarkEnd w:id="501"/>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2.9.2乙方采取分包方式履行合同的，甲方可直接向分包供应商支付款项。</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02" w:name="_Toc14066"/>
      <w:bookmarkStart w:id="503" w:name="_Toc16508"/>
      <w:bookmarkStart w:id="504" w:name="_Toc13566"/>
      <w:r>
        <w:rPr>
          <w:rFonts w:hint="eastAsia" w:ascii="仿宋" w:hAnsi="仿宋" w:eastAsia="仿宋" w:cs="仿宋"/>
          <w:b/>
          <w:color w:val="000000" w:themeColor="text1"/>
          <w:sz w:val="24"/>
          <w14:textFill>
            <w14:solidFill>
              <w14:schemeClr w14:val="tx1"/>
            </w14:solidFill>
          </w14:textFill>
        </w:rPr>
        <w:t>2.10 不可抗力</w:t>
      </w:r>
      <w:bookmarkEnd w:id="502"/>
      <w:bookmarkEnd w:id="503"/>
      <w:bookmarkEnd w:id="504"/>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2.10.2 因不可抗力致使不能实现合同目的的，当事人可以解除合同；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2.10.3 因不可抗力致使合同有变更必要的，双方当事人应在</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约定时间内以书面形式变更合同；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2.10.4受不可抗力影响的一方在不可抗力发生后，应在</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约定时间内以书面形式通知对方当事人，并在</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约定时间内，将有关部门出具的证明文件送达对方当事人。</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05" w:name="_Toc259093684"/>
      <w:bookmarkStart w:id="506" w:name="_Toc689"/>
      <w:bookmarkStart w:id="507" w:name="_Toc487900365"/>
      <w:bookmarkStart w:id="508" w:name="_Toc279701255"/>
      <w:bookmarkStart w:id="509" w:name="_Toc6969"/>
      <w:bookmarkStart w:id="510" w:name="_Toc30676"/>
      <w:r>
        <w:rPr>
          <w:rFonts w:hint="eastAsia" w:ascii="仿宋" w:hAnsi="仿宋" w:eastAsia="仿宋" w:cs="仿宋"/>
          <w:b/>
          <w:color w:val="000000" w:themeColor="text1"/>
          <w:sz w:val="24"/>
          <w14:textFill>
            <w14:solidFill>
              <w14:schemeClr w14:val="tx1"/>
            </w14:solidFill>
          </w14:textFill>
        </w:rPr>
        <w:t>2.11 税费</w:t>
      </w:r>
      <w:bookmarkEnd w:id="505"/>
      <w:bookmarkEnd w:id="506"/>
      <w:bookmarkEnd w:id="507"/>
      <w:bookmarkEnd w:id="508"/>
      <w:bookmarkEnd w:id="509"/>
      <w:bookmarkEnd w:id="510"/>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11" w:name="_Toc487900368"/>
      <w:bookmarkStart w:id="512" w:name="_Toc7102"/>
      <w:bookmarkStart w:id="513" w:name="_Toc8298"/>
      <w:bookmarkStart w:id="514" w:name="_Toc16959"/>
      <w:bookmarkStart w:id="515" w:name="_Toc259093687"/>
      <w:bookmarkStart w:id="516" w:name="_Toc279701258"/>
      <w:r>
        <w:rPr>
          <w:rFonts w:hint="eastAsia" w:ascii="仿宋" w:hAnsi="仿宋" w:eastAsia="仿宋" w:cs="仿宋"/>
          <w:b/>
          <w:color w:val="000000" w:themeColor="text1"/>
          <w:sz w:val="24"/>
          <w14:textFill>
            <w14:solidFill>
              <w14:schemeClr w14:val="tx1"/>
            </w14:solidFill>
          </w14:textFill>
        </w:rPr>
        <w:t>2.12乙方破产</w:t>
      </w:r>
      <w:bookmarkEnd w:id="511"/>
      <w:bookmarkEnd w:id="512"/>
      <w:bookmarkEnd w:id="513"/>
      <w:bookmarkEnd w:id="514"/>
      <w:bookmarkEnd w:id="515"/>
      <w:bookmarkEnd w:id="516"/>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17" w:name="_Toc15387"/>
      <w:bookmarkStart w:id="518" w:name="_Toc29333"/>
      <w:bookmarkStart w:id="519" w:name="_Toc6134"/>
      <w:r>
        <w:rPr>
          <w:rFonts w:hint="eastAsia" w:ascii="仿宋" w:hAnsi="仿宋" w:eastAsia="仿宋" w:cs="仿宋"/>
          <w:b/>
          <w:color w:val="000000" w:themeColor="text1"/>
          <w:sz w:val="24"/>
          <w14:textFill>
            <w14:solidFill>
              <w14:schemeClr w14:val="tx1"/>
            </w14:solidFill>
          </w14:textFill>
        </w:rPr>
        <w:t>2.13 合同中止、终止</w:t>
      </w:r>
      <w:bookmarkEnd w:id="517"/>
      <w:bookmarkEnd w:id="518"/>
      <w:bookmarkEnd w:id="519"/>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2.13.1 双方当事人不得擅自中止或者终止合同；</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20" w:name="_Toc14563"/>
      <w:bookmarkStart w:id="521" w:name="_Toc6596"/>
      <w:bookmarkStart w:id="522" w:name="_Toc1125"/>
      <w:r>
        <w:rPr>
          <w:rFonts w:hint="eastAsia" w:ascii="仿宋" w:hAnsi="仿宋" w:eastAsia="仿宋" w:cs="仿宋"/>
          <w:b/>
          <w:color w:val="000000" w:themeColor="text1"/>
          <w:sz w:val="24"/>
          <w14:textFill>
            <w14:solidFill>
              <w14:schemeClr w14:val="tx1"/>
            </w14:solidFill>
          </w14:textFill>
        </w:rPr>
        <w:t>2.14检验和验收</w:t>
      </w:r>
      <w:bookmarkEnd w:id="520"/>
      <w:bookmarkEnd w:id="521"/>
      <w:bookmarkEnd w:id="522"/>
    </w:p>
    <w:bookmarkEnd w:id="492"/>
    <w:bookmarkEnd w:id="493"/>
    <w:bookmarkEnd w:id="494"/>
    <w:bookmarkEnd w:id="495"/>
    <w:p>
      <w:pPr>
        <w:tabs>
          <w:tab w:val="left" w:pos="360"/>
          <w:tab w:val="left" w:pos="540"/>
          <w:tab w:val="left" w:pos="1080"/>
        </w:tabs>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523" w:name="_Toc279701261"/>
      <w:bookmarkStart w:id="524" w:name="_Toc259093690"/>
      <w:bookmarkStart w:id="525" w:name="_Toc487900371"/>
      <w:bookmarkStart w:id="526" w:name="_Toc19604"/>
      <w:bookmarkStart w:id="527" w:name="_Toc11284"/>
      <w:bookmarkStart w:id="528" w:name="_Toc25182"/>
      <w:r>
        <w:rPr>
          <w:rFonts w:hint="eastAsia" w:ascii="仿宋" w:hAnsi="仿宋" w:eastAsia="仿宋" w:cs="仿宋"/>
          <w:color w:val="000000" w:themeColor="text1"/>
          <w:sz w:val="24"/>
          <w14:textFill>
            <w14:solidFill>
              <w14:schemeClr w14:val="tx1"/>
            </w14:solidFill>
          </w14:textFill>
        </w:rPr>
        <w:t>2.14.1项目完工交付前，乙方应对服务的质量进行详细、全面的检验，并向甲方出具证明符合合同约定的文件；服务结束时，乙方在</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color w:val="000000" w:themeColor="text1"/>
          <w:sz w:val="24"/>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560" w:lineRule="exact"/>
        <w:ind w:firstLine="480" w:firstLineChars="200"/>
        <w:outlineLvl w:val="0"/>
        <w:rPr>
          <w:rFonts w:ascii="仿宋" w:hAnsi="仿宋" w:eastAsia="仿宋" w:cs="仿宋"/>
          <w:i/>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2.14.3 检验和验收标准、程序等具体内容以及前述验收书的效力详见</w:t>
      </w:r>
      <w:r>
        <w:rPr>
          <w:rFonts w:hint="eastAsia" w:ascii="仿宋" w:hAnsi="仿宋" w:eastAsia="仿宋" w:cs="仿宋"/>
          <w:b/>
          <w:i/>
          <w:color w:val="000000" w:themeColor="text1"/>
          <w:sz w:val="24"/>
          <w:u w:val="single"/>
          <w14:textFill>
            <w14:solidFill>
              <w14:schemeClr w14:val="tx1"/>
            </w14:solidFill>
          </w14:textFill>
        </w:rPr>
        <w:t>合同专用条款</w:t>
      </w:r>
      <w:r>
        <w:rPr>
          <w:rFonts w:hint="eastAsia" w:ascii="仿宋" w:hAnsi="仿宋" w:eastAsia="仿宋" w:cs="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2.15 通知</w:t>
      </w:r>
      <w:bookmarkEnd w:id="523"/>
      <w:bookmarkEnd w:id="524"/>
      <w:bookmarkEnd w:id="525"/>
      <w:r>
        <w:rPr>
          <w:rFonts w:hint="eastAsia" w:ascii="仿宋" w:hAnsi="仿宋" w:eastAsia="仿宋" w:cs="仿宋"/>
          <w:b/>
          <w:color w:val="000000" w:themeColor="text1"/>
          <w:sz w:val="24"/>
          <w14:textFill>
            <w14:solidFill>
              <w14:schemeClr w14:val="tx1"/>
            </w14:solidFill>
          </w14:textFill>
        </w:rPr>
        <w:t>和送达</w:t>
      </w:r>
      <w:bookmarkEnd w:id="526"/>
      <w:bookmarkEnd w:id="527"/>
      <w:bookmarkEnd w:id="528"/>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529" w:name="_Toc3135"/>
      <w:bookmarkStart w:id="530" w:name="_Toc6698"/>
      <w:bookmarkStart w:id="531" w:name="_Toc259093691"/>
      <w:bookmarkStart w:id="532" w:name="_Toc487900372"/>
      <w:bookmarkStart w:id="533" w:name="_Toc279701262"/>
      <w:r>
        <w:rPr>
          <w:rFonts w:hint="eastAsia" w:ascii="仿宋" w:hAnsi="仿宋" w:eastAsia="仿宋" w:cs="仿宋"/>
          <w:color w:val="000000" w:themeColor="text1"/>
          <w:sz w:val="24"/>
          <w14:textFill>
            <w14:solidFill>
              <w14:schemeClr w14:val="tx1"/>
            </w14:solidFill>
          </w14:textFill>
        </w:rPr>
        <w:t>2.15.1任何一方因履行合同而以合同第一部分尾部所列明的传真或电子邮件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
          <w:color w:val="000000" w:themeColor="text1"/>
          <w:sz w:val="24"/>
          <w:u w:val="single"/>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534" w:name="_Toc23128"/>
      <w:bookmarkStart w:id="535" w:name="_Toc23294"/>
      <w:r>
        <w:rPr>
          <w:rFonts w:hint="eastAsia" w:ascii="仿宋" w:hAnsi="仿宋" w:eastAsia="仿宋" w:cs="仿宋"/>
          <w:color w:val="000000" w:themeColor="text1"/>
          <w:sz w:val="24"/>
          <w14:textFill>
            <w14:solidFill>
              <w14:schemeClr w14:val="tx1"/>
            </w14:solidFill>
          </w14:textFill>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36" w:name="_Toc4355"/>
      <w:bookmarkStart w:id="537" w:name="_Toc18540"/>
      <w:bookmarkStart w:id="538" w:name="_Toc30599"/>
      <w:r>
        <w:rPr>
          <w:rFonts w:hint="eastAsia" w:ascii="仿宋" w:hAnsi="仿宋" w:eastAsia="仿宋" w:cs="仿宋"/>
          <w:b/>
          <w:color w:val="000000" w:themeColor="text1"/>
          <w:sz w:val="24"/>
          <w14:textFill>
            <w14:solidFill>
              <w14:schemeClr w14:val="tx1"/>
            </w14:solidFill>
          </w14:textFill>
        </w:rPr>
        <w:t>2.16 计量单位</w:t>
      </w:r>
      <w:bookmarkEnd w:id="531"/>
      <w:bookmarkEnd w:id="532"/>
      <w:bookmarkEnd w:id="533"/>
      <w:bookmarkEnd w:id="536"/>
      <w:bookmarkEnd w:id="537"/>
      <w:bookmarkEnd w:id="538"/>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39" w:name="_Toc12773"/>
      <w:bookmarkStart w:id="540" w:name="_Toc10330"/>
      <w:bookmarkStart w:id="541" w:name="_Toc18567"/>
      <w:bookmarkStart w:id="542" w:name="_Toc279701263"/>
      <w:bookmarkStart w:id="543" w:name="_Toc259093692"/>
      <w:bookmarkStart w:id="544" w:name="_Toc487900373"/>
      <w:r>
        <w:rPr>
          <w:rFonts w:hint="eastAsia" w:ascii="仿宋" w:hAnsi="仿宋" w:eastAsia="仿宋" w:cs="仿宋"/>
          <w:b/>
          <w:color w:val="000000" w:themeColor="text1"/>
          <w:sz w:val="24"/>
          <w14:textFill>
            <w14:solidFill>
              <w14:schemeClr w14:val="tx1"/>
            </w14:solidFill>
          </w14:textFill>
        </w:rPr>
        <w:t>2.17 合同使用的文字和适用的法律</w:t>
      </w:r>
      <w:bookmarkEnd w:id="539"/>
      <w:bookmarkEnd w:id="540"/>
      <w:bookmarkEnd w:id="541"/>
      <w:bookmarkEnd w:id="542"/>
      <w:bookmarkEnd w:id="543"/>
      <w:bookmarkEnd w:id="544"/>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2.17.1 合同使用汉语书就、变更和解释；</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2.17.2 合同适用中华人民共和国法律。</w:t>
      </w:r>
    </w:p>
    <w:p>
      <w:pPr>
        <w:spacing w:line="560" w:lineRule="exact"/>
        <w:ind w:firstLine="480" w:firstLineChars="200"/>
        <w:rPr>
          <w:rFonts w:ascii="仿宋" w:hAnsi="仿宋" w:eastAsia="仿宋" w:cs="仿宋"/>
          <w:color w:val="000000" w:themeColor="text1"/>
          <w:sz w:val="24"/>
          <w14:textFill>
            <w14:solidFill>
              <w14:schemeClr w14:val="tx1"/>
            </w14:solidFill>
          </w14:textFill>
        </w:rPr>
      </w:pPr>
      <w:bookmarkStart w:id="545" w:name="_Toc487900374"/>
      <w:r>
        <w:rPr>
          <w:rFonts w:hint="eastAsia" w:ascii="仿宋" w:hAnsi="仿宋" w:eastAsia="仿宋" w:cs="仿宋"/>
          <w:color w:val="000000" w:themeColor="text1"/>
          <w:sz w:val="24"/>
          <w14:textFill>
            <w14:solidFill>
              <w14:schemeClr w14:val="tx1"/>
            </w14:solidFill>
          </w14:textFill>
        </w:rPr>
        <w:t>2.18对于因甲方原因导致变更、中止或者终止政府采购合同的，甲方应当依照合同约定对供应商受到的损失予以赔偿或者补偿。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ascii="仿宋" w:hAnsi="仿宋" w:eastAsia="仿宋" w:cs="仿宋"/>
          <w:b/>
          <w:color w:val="000000" w:themeColor="text1"/>
          <w:sz w:val="24"/>
          <w14:textFill>
            <w14:solidFill>
              <w14:schemeClr w14:val="tx1"/>
            </w14:solidFill>
          </w14:textFill>
        </w:rPr>
      </w:pPr>
      <w:bookmarkStart w:id="546" w:name="_Toc19890"/>
      <w:bookmarkStart w:id="547" w:name="_Toc14001"/>
      <w:bookmarkStart w:id="548" w:name="_Toc6885"/>
      <w:r>
        <w:rPr>
          <w:rFonts w:hint="eastAsia" w:ascii="仿宋" w:hAnsi="仿宋" w:eastAsia="仿宋" w:cs="仿宋"/>
          <w:b/>
          <w:color w:val="000000" w:themeColor="text1"/>
          <w:sz w:val="24"/>
          <w14:textFill>
            <w14:solidFill>
              <w14:schemeClr w14:val="tx1"/>
            </w14:solidFill>
          </w14:textFill>
        </w:rPr>
        <w:t>2.19合同份数</w:t>
      </w:r>
      <w:bookmarkEnd w:id="546"/>
      <w:bookmarkEnd w:id="547"/>
      <w:bookmarkEnd w:id="548"/>
    </w:p>
    <w:p>
      <w:pPr>
        <w:pStyle w:val="702"/>
        <w:spacing w:line="560" w:lineRule="exact"/>
        <w:ind w:left="0" w:leftChars="0" w:firstLine="0" w:firstLineChars="0"/>
        <w:jc w:val="center"/>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合同份数按</w:t>
      </w:r>
      <w:r>
        <w:rPr>
          <w:rFonts w:hint="eastAsia" w:ascii="仿宋" w:hAnsi="仿宋" w:eastAsia="仿宋" w:cs="仿宋"/>
          <w:b/>
          <w:i/>
          <w:color w:val="000000" w:themeColor="text1"/>
          <w:u w:val="single"/>
          <w14:textFill>
            <w14:solidFill>
              <w14:schemeClr w14:val="tx1"/>
            </w14:solidFill>
          </w14:textFill>
        </w:rPr>
        <w:t>合同专用条款</w:t>
      </w:r>
      <w:r>
        <w:rPr>
          <w:rFonts w:hint="eastAsia" w:ascii="仿宋" w:hAnsi="仿宋" w:eastAsia="仿宋" w:cs="仿宋"/>
          <w:color w:val="000000" w:themeColor="text1"/>
          <w14:textFill>
            <w14:solidFill>
              <w14:schemeClr w14:val="tx1"/>
            </w14:solidFill>
          </w14:textFill>
        </w:rPr>
        <w:t>规定，每份均具有同等法律效力。</w:t>
      </w:r>
      <w:r>
        <w:rPr>
          <w:rFonts w:hint="eastAsia" w:ascii="仿宋" w:hAnsi="仿宋" w:eastAsia="仿宋" w:cs="仿宋"/>
          <w:color w:val="000000" w:themeColor="text1"/>
          <w:kern w:val="0"/>
          <w:szCs w:val="24"/>
          <w14:textFill>
            <w14:solidFill>
              <w14:schemeClr w14:val="tx1"/>
            </w14:solidFill>
          </w14:textFill>
        </w:rPr>
        <w:br w:type="page"/>
      </w:r>
      <w:bookmarkStart w:id="549" w:name="_Toc331685784"/>
      <w:bookmarkEnd w:id="549"/>
      <w:r>
        <w:rPr>
          <w:rFonts w:hint="eastAsia" w:ascii="仿宋" w:hAnsi="仿宋" w:eastAsia="仿宋" w:cs="仿宋"/>
          <w:b/>
          <w:color w:val="000000" w:themeColor="text1"/>
          <w:szCs w:val="24"/>
          <w14:textFill>
            <w14:solidFill>
              <w14:schemeClr w14:val="tx1"/>
            </w14:solidFill>
          </w14:textFill>
        </w:rPr>
        <w:t>第三部分  合同专用条款</w:t>
      </w:r>
    </w:p>
    <w:p>
      <w:pPr>
        <w:spacing w:line="560" w:lineRule="exact"/>
        <w:ind w:left="-420" w:leftChars="-200" w:right="-420" w:rightChars="-200"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条款号</w:t>
            </w:r>
          </w:p>
        </w:tc>
        <w:tc>
          <w:tcPr>
            <w:tcW w:w="8275" w:type="dxa"/>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1.4.4</w:t>
            </w:r>
          </w:p>
        </w:tc>
        <w:tc>
          <w:tcPr>
            <w:tcW w:w="8275" w:type="dxa"/>
            <w:vAlign w:val="center"/>
          </w:tcPr>
          <w:p>
            <w:pPr>
              <w:rPr>
                <w:rFonts w:ascii="仿宋" w:hAnsi="仿宋" w:eastAsia="仿宋"/>
                <w:sz w:val="24"/>
              </w:rPr>
            </w:pPr>
            <w:r>
              <w:rPr>
                <w:rFonts w:hint="eastAsia" w:ascii="仿宋" w:hAnsi="仿宋" w:eastAsia="仿宋"/>
                <w:sz w:val="24"/>
              </w:rPr>
              <w:t>1、签订合同生效以及具备实施条件后</w:t>
            </w:r>
            <w:r>
              <w:rPr>
                <w:rFonts w:ascii="仿宋" w:hAnsi="仿宋" w:eastAsia="仿宋"/>
                <w:sz w:val="24"/>
              </w:rPr>
              <w:t>7</w:t>
            </w:r>
            <w:r>
              <w:rPr>
                <w:rFonts w:hint="eastAsia" w:ascii="仿宋" w:hAnsi="仿宋" w:eastAsia="仿宋"/>
                <w:sz w:val="24"/>
              </w:rPr>
              <w:t>个工作日内采购人向成交供应商支付合同价的</w:t>
            </w:r>
            <w:r>
              <w:rPr>
                <w:rFonts w:ascii="仿宋" w:hAnsi="仿宋" w:eastAsia="仿宋"/>
                <w:sz w:val="24"/>
              </w:rPr>
              <w:t>50</w:t>
            </w:r>
            <w:r>
              <w:rPr>
                <w:rFonts w:hint="eastAsia" w:ascii="仿宋" w:hAnsi="仿宋" w:eastAsia="仿宋"/>
                <w:sz w:val="24"/>
              </w:rPr>
              <w:t>%预付款；</w:t>
            </w:r>
          </w:p>
          <w:p>
            <w:pPr>
              <w:rPr>
                <w:rFonts w:ascii="仿宋" w:hAnsi="仿宋" w:eastAsia="仿宋"/>
                <w:sz w:val="24"/>
              </w:rPr>
            </w:pPr>
            <w:r>
              <w:rPr>
                <w:rFonts w:hint="eastAsia" w:ascii="仿宋" w:hAnsi="仿宋" w:eastAsia="仿宋"/>
                <w:sz w:val="24"/>
              </w:rPr>
              <w:t>2、初步成果提交后个7工作日内再支付合同金额的30%；</w:t>
            </w:r>
          </w:p>
          <w:p>
            <w:pPr>
              <w:rPr>
                <w:rFonts w:ascii="仿宋" w:hAnsi="仿宋" w:eastAsia="仿宋"/>
                <w:sz w:val="24"/>
              </w:rPr>
            </w:pPr>
            <w:r>
              <w:rPr>
                <w:rFonts w:hint="eastAsia" w:ascii="仿宋" w:hAnsi="仿宋" w:eastAsia="仿宋"/>
                <w:sz w:val="24"/>
              </w:rPr>
              <w:t>3、项目完成经采购人验收通过后， 7个工作日内支付剩余的合同金额。</w:t>
            </w:r>
          </w:p>
          <w:p>
            <w:r>
              <w:rPr>
                <w:rFonts w:hint="eastAsia" w:ascii="仿宋" w:hAnsi="仿宋" w:eastAsia="仿宋"/>
                <w:sz w:val="24"/>
              </w:rPr>
              <w:t>（中标人需提供结款申请1份、发票原件及复印件1份、合同复印件1份）和经采购人验收确认的《建德市政府采购验收反馈表》提交采购人，采购人应自收到发票后5个工作日内支付相应款项。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1.5.1 </w:t>
            </w:r>
          </w:p>
        </w:tc>
        <w:tc>
          <w:tcPr>
            <w:tcW w:w="8275" w:type="dxa"/>
            <w:vAlign w:val="center"/>
          </w:tcPr>
          <w:p>
            <w:pPr>
              <w:adjustRightInd/>
              <w:spacing w:line="360" w:lineRule="auto"/>
              <w:ind w:firstLine="480" w:firstLineChars="200"/>
              <w:rPr>
                <w:rFonts w:ascii="仿宋" w:hAnsi="仿宋" w:eastAsia="仿宋"/>
                <w:sz w:val="24"/>
              </w:rPr>
            </w:pPr>
            <w:r>
              <w:rPr>
                <w:rFonts w:hint="eastAsia" w:ascii="仿宋" w:hAnsi="仿宋" w:eastAsia="仿宋"/>
                <w:sz w:val="24"/>
              </w:rPr>
              <w:t>服务期限：</w:t>
            </w:r>
            <w:r>
              <w:rPr>
                <w:rFonts w:hint="eastAsia" w:ascii="仿宋" w:hAnsi="仿宋" w:eastAsia="仿宋" w:cs="宋体"/>
                <w:bCs/>
                <w:color w:val="000000" w:themeColor="text1"/>
                <w:sz w:val="24"/>
                <w14:textFill>
                  <w14:solidFill>
                    <w14:schemeClr w14:val="tx1"/>
                  </w14:solidFill>
                </w14:textFill>
              </w:rPr>
              <w:t>2023年10月20日前提交初步成果，2023年11月20日前定稿，提交后应根据杭州市规划和自然资源局、浙江省自然资源厅相关要求补充完善，确保审核通过。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1.5.2</w:t>
            </w:r>
          </w:p>
        </w:tc>
        <w:tc>
          <w:tcPr>
            <w:tcW w:w="8275" w:type="dxa"/>
            <w:vAlign w:val="center"/>
          </w:tcPr>
          <w:p>
            <w:pPr>
              <w:rPr>
                <w:rFonts w:ascii="仿宋" w:hAnsi="仿宋" w:eastAsia="仿宋"/>
                <w:sz w:val="24"/>
              </w:rPr>
            </w:pPr>
            <w:r>
              <w:rPr>
                <w:rFonts w:hint="eastAsia" w:ascii="仿宋" w:hAnsi="仿宋" w:eastAsia="仿宋"/>
                <w:sz w:val="24"/>
              </w:rPr>
              <w:t>服务地点：采购人指定地点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1.5.3 </w:t>
            </w:r>
          </w:p>
        </w:tc>
        <w:tc>
          <w:tcPr>
            <w:tcW w:w="8275" w:type="dxa"/>
            <w:vAlign w:val="center"/>
          </w:tcPr>
          <w:p>
            <w:pPr>
              <w:rPr>
                <w:rFonts w:ascii="仿宋" w:hAnsi="仿宋" w:eastAsia="仿宋"/>
                <w:sz w:val="24"/>
              </w:rPr>
            </w:pPr>
            <w:r>
              <w:rPr>
                <w:rFonts w:hint="eastAsia" w:ascii="仿宋" w:hAnsi="仿宋" w:eastAsia="仿宋"/>
                <w:sz w:val="24"/>
              </w:rPr>
              <w:t>服务内容：</w:t>
            </w:r>
            <w:r>
              <w:rPr>
                <w:rFonts w:hint="eastAsia" w:ascii="仿宋" w:hAnsi="仿宋" w:eastAsia="仿宋" w:cs="宋体"/>
                <w:bCs/>
                <w:color w:val="000000" w:themeColor="text1"/>
                <w:sz w:val="24"/>
                <w14:textFill>
                  <w14:solidFill>
                    <w14:schemeClr w14:val="tx1"/>
                  </w14:solidFill>
                </w14:textFill>
              </w:rPr>
              <w:t>完成建德市园地、林地、草地定级，以及园地、林地、草地基准地价制定等相关工作。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1.6.7</w:t>
            </w:r>
          </w:p>
        </w:tc>
        <w:tc>
          <w:tcPr>
            <w:tcW w:w="8275" w:type="dxa"/>
            <w:vAlign w:val="center"/>
          </w:tcPr>
          <w:p>
            <w:pPr>
              <w:widowControl/>
              <w:autoSpaceDE w:val="0"/>
              <w:autoSpaceDN w:val="0"/>
              <w:spacing w:line="480" w:lineRule="exact"/>
              <w:textAlignment w:val="bottom"/>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违约责任：由于乙方原因(除不可抗力外)不能按期交付合同标的，对超出交付期的每一天，乙方应按合同总价款的千分之五承担违约金，在合同货款支付时一次性扣除。若超出交付期十天(含十天)以上的，甲方有权终止合同，履约保证金不予退还。</w:t>
            </w:r>
          </w:p>
          <w:p>
            <w:pPr>
              <w:widowControl/>
              <w:autoSpaceDE w:val="0"/>
              <w:autoSpaceDN w:val="0"/>
              <w:spacing w:line="480" w:lineRule="exact"/>
              <w:textAlignment w:val="bottom"/>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乙方按合同要求完成服务后，经验收合格后，甲方超出付款期支付货款的，每逾一天，甲方应向乙方支付合同金额的千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w:t>
            </w:r>
          </w:p>
        </w:tc>
        <w:tc>
          <w:tcPr>
            <w:tcW w:w="8275"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u w:val="single"/>
                <w14:textFill>
                  <w14:solidFill>
                    <w14:schemeClr w14:val="tx1"/>
                  </w14:solidFill>
                </w14:textFill>
              </w:rPr>
              <w:t xml:space="preserve"> 1.7.2  </w:t>
            </w:r>
            <w:r>
              <w:rPr>
                <w:rFonts w:hint="eastAsia" w:ascii="仿宋" w:hAnsi="仿宋" w:eastAsia="仿宋" w:cs="仿宋"/>
                <w:color w:val="000000" w:themeColor="text1"/>
                <w:sz w:val="24"/>
                <w14:textFill>
                  <w14:solidFill>
                    <w14:schemeClr w14:val="tx1"/>
                  </w14:solidFill>
                </w14:textFill>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1.7.1</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1.7.2</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向</w:t>
            </w:r>
            <w:r>
              <w:rPr>
                <w:rFonts w:hint="eastAsia" w:ascii="仿宋" w:hAnsi="仿宋" w:eastAsia="仿宋" w:cs="仿宋"/>
                <w:bCs/>
                <w:i/>
                <w:color w:val="000000" w:themeColor="text1"/>
                <w:sz w:val="24"/>
                <w:u w:val="single"/>
                <w14:textFill>
                  <w14:solidFill>
                    <w14:schemeClr w14:val="tx1"/>
                  </w14:solidFill>
                </w14:textFill>
              </w:rPr>
              <w:t>建德市</w:t>
            </w:r>
            <w:r>
              <w:rPr>
                <w:rFonts w:hint="eastAsia" w:ascii="仿宋" w:hAnsi="仿宋" w:eastAsia="仿宋" w:cs="仿宋"/>
                <w:bCs/>
                <w:color w:val="000000" w:themeColor="text1"/>
                <w:sz w:val="24"/>
                <w:u w:val="single"/>
                <w14:textFill>
                  <w14:solidFill>
                    <w14:schemeClr w14:val="tx1"/>
                  </w14:solidFill>
                </w14:textFill>
              </w:rPr>
              <w:t>人民法院</w:t>
            </w:r>
            <w:r>
              <w:rPr>
                <w:rFonts w:hint="eastAsia" w:ascii="仿宋" w:hAnsi="仿宋" w:eastAsia="仿宋" w:cs="仿宋"/>
                <w:color w:val="000000" w:themeColor="text1"/>
                <w:sz w:val="24"/>
                <w14:textFill>
                  <w14:solidFill>
                    <w14:schemeClr w14:val="tx1"/>
                  </w14:solidFill>
                </w14:textFill>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具有知识产权的计算机软件等货物的知识产权归属：</w:t>
            </w:r>
            <w:r>
              <w:rPr>
                <w:rFonts w:hint="eastAsia" w:ascii="仿宋" w:hAnsi="仿宋" w:eastAsia="仿宋" w:cs="仿宋"/>
                <w:b/>
                <w:bCs/>
                <w:color w:val="000000" w:themeColor="text1"/>
                <w:sz w:val="24"/>
                <w14:textFill>
                  <w14:solidFill>
                    <w14:schemeClr w14:val="tx1"/>
                  </w14:solidFill>
                </w14:textFill>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2.10.3</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因不可抗力致使合同有变更必要的，双方当事人应在</w:t>
            </w:r>
            <w:r>
              <w:rPr>
                <w:rFonts w:hint="eastAsia" w:ascii="仿宋" w:hAnsi="仿宋" w:eastAsia="仿宋" w:cs="仿宋"/>
                <w:b/>
                <w:i/>
                <w:color w:val="000000" w:themeColor="text1"/>
                <w:sz w:val="24"/>
                <w:u w:val="single"/>
                <w14:textFill>
                  <w14:solidFill>
                    <w14:schemeClr w14:val="tx1"/>
                  </w14:solidFill>
                </w14:textFill>
              </w:rPr>
              <w:t>30日</w:t>
            </w:r>
            <w:r>
              <w:rPr>
                <w:rFonts w:hint="eastAsia" w:ascii="仿宋" w:hAnsi="仿宋" w:eastAsia="仿宋" w:cs="仿宋"/>
                <w:color w:val="000000" w:themeColor="text1"/>
                <w:sz w:val="24"/>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2.10.4</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受不可抗力影响的一方在不可抗力发生后，应在</w:t>
            </w:r>
            <w:r>
              <w:rPr>
                <w:rFonts w:hint="eastAsia" w:ascii="仿宋" w:hAnsi="仿宋" w:eastAsia="仿宋" w:cs="仿宋"/>
                <w:b/>
                <w:i/>
                <w:color w:val="000000" w:themeColor="text1"/>
                <w:sz w:val="24"/>
                <w:u w:val="single"/>
                <w14:textFill>
                  <w14:solidFill>
                    <w14:schemeClr w14:val="tx1"/>
                  </w14:solidFill>
                </w14:textFill>
              </w:rPr>
              <w:t>7日</w:t>
            </w:r>
            <w:r>
              <w:rPr>
                <w:rFonts w:hint="eastAsia" w:ascii="仿宋" w:hAnsi="仿宋" w:eastAsia="仿宋" w:cs="仿宋"/>
                <w:color w:val="000000" w:themeColor="text1"/>
                <w:sz w:val="24"/>
                <w14:textFill>
                  <w14:solidFill>
                    <w14:schemeClr w14:val="tx1"/>
                  </w14:solidFill>
                </w14:textFill>
              </w:rPr>
              <w:t>内以书面形式通知对方当事人，并在</w:t>
            </w:r>
            <w:r>
              <w:rPr>
                <w:rFonts w:hint="eastAsia" w:ascii="仿宋" w:hAnsi="仿宋" w:eastAsia="仿宋" w:cs="仿宋"/>
                <w:b/>
                <w:i/>
                <w:color w:val="000000" w:themeColor="text1"/>
                <w:sz w:val="24"/>
                <w:u w:val="single"/>
                <w14:textFill>
                  <w14:solidFill>
                    <w14:schemeClr w14:val="tx1"/>
                  </w14:solidFill>
                </w14:textFill>
              </w:rPr>
              <w:t>14日</w:t>
            </w:r>
            <w:r>
              <w:rPr>
                <w:rFonts w:hint="eastAsia" w:ascii="仿宋" w:hAnsi="仿宋" w:eastAsia="仿宋" w:cs="仿宋"/>
                <w:color w:val="000000" w:themeColor="text1"/>
                <w:sz w:val="24"/>
                <w14:textFill>
                  <w14:solidFill>
                    <w14:schemeClr w14:val="tx1"/>
                  </w14:solidFill>
                </w14:textFill>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2.14.1</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服务结束时，乙方在</w:t>
            </w:r>
            <w:r>
              <w:rPr>
                <w:rFonts w:hint="eastAsia" w:ascii="仿宋" w:hAnsi="仿宋" w:eastAsia="仿宋" w:cs="仿宋"/>
                <w:b/>
                <w:i/>
                <w:color w:val="000000" w:themeColor="text1"/>
                <w:sz w:val="24"/>
                <w:u w:val="single"/>
                <w14:textFill>
                  <w14:solidFill>
                    <w14:schemeClr w14:val="tx1"/>
                  </w14:solidFill>
                </w14:textFill>
              </w:rPr>
              <w:t>3日内</w:t>
            </w:r>
            <w:r>
              <w:rPr>
                <w:rFonts w:hint="eastAsia" w:ascii="仿宋" w:hAnsi="仿宋" w:eastAsia="仿宋" w:cs="仿宋"/>
                <w:color w:val="000000" w:themeColor="text1"/>
                <w:sz w:val="24"/>
                <w14:textFill>
                  <w14:solidFill>
                    <w14:schemeClr w14:val="tx1"/>
                  </w14:solidFill>
                </w14:textFill>
              </w:rPr>
              <w:t>约定时间内组织验收，并可依法邀请相关方参加，验收应出具验收书。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2.14.3</w:t>
            </w:r>
          </w:p>
        </w:tc>
        <w:tc>
          <w:tcPr>
            <w:tcW w:w="8275" w:type="dxa"/>
            <w:vAlign w:val="center"/>
          </w:tcPr>
          <w:p>
            <w:pPr>
              <w:autoSpaceDE w:val="0"/>
              <w:autoSpaceDN w:val="0"/>
              <w:snapToGrid w:val="0"/>
              <w:spacing w:line="440" w:lineRule="exact"/>
              <w:ind w:right="-178" w:rightChars="-85"/>
              <w:textAlignment w:val="bottom"/>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检验和验收标准、程序等具体内容：通过采购单位制定的考核要求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2.20 </w:t>
            </w:r>
          </w:p>
        </w:tc>
        <w:tc>
          <w:tcPr>
            <w:tcW w:w="82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合同份数：</w:t>
            </w:r>
            <w:r>
              <w:rPr>
                <w:rFonts w:hint="eastAsia" w:ascii="仿宋" w:hAnsi="仿宋" w:eastAsia="仿宋" w:cs="仿宋"/>
                <w:color w:val="000000" w:themeColor="text1"/>
                <w:kern w:val="0"/>
                <w:sz w:val="24"/>
                <w14:textFill>
                  <w14:solidFill>
                    <w14:schemeClr w14:val="tx1"/>
                  </w14:solidFill>
                </w14:textFill>
              </w:rPr>
              <w:t>本合同壹式柒份，甲、乙双方各执叁份，见证单位壹份。</w:t>
            </w:r>
          </w:p>
        </w:tc>
      </w:tr>
    </w:tbl>
    <w:p>
      <w:pPr>
        <w:spacing w:line="360" w:lineRule="auto"/>
        <w:ind w:left="-420" w:leftChars="-200" w:right="-420" w:rightChars="-200" w:firstLine="480" w:firstLineChars="200"/>
        <w:rPr>
          <w:rFonts w:ascii="仿宋" w:hAnsi="仿宋" w:eastAsia="仿宋" w:cs="仿宋"/>
          <w:color w:val="000000" w:themeColor="text1"/>
          <w:sz w:val="24"/>
          <w14:textFill>
            <w14:solidFill>
              <w14:schemeClr w14:val="tx1"/>
            </w14:solidFill>
          </w14:textFill>
        </w:rPr>
      </w:pPr>
    </w:p>
    <w:p>
      <w:pPr>
        <w:pStyle w:val="17"/>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pStyle w:val="17"/>
        <w:rPr>
          <w:rFonts w:ascii="仿宋" w:hAnsi="仿宋" w:eastAsia="仿宋" w:cs="仿宋"/>
          <w:color w:val="000000" w:themeColor="text1"/>
          <w14:textFill>
            <w14:solidFill>
              <w14:schemeClr w14:val="tx1"/>
            </w14:solidFill>
          </w14:textFill>
        </w:rPr>
      </w:pP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p>
    <w:p>
      <w:pPr>
        <w:pStyle w:val="80"/>
        <w:spacing w:before="120"/>
        <w:ind w:firstLine="723"/>
        <w:rPr>
          <w:rFonts w:ascii="仿宋" w:hAnsi="仿宋" w:eastAsia="仿宋" w:cs="仿宋"/>
          <w:b/>
          <w:color w:val="000000" w:themeColor="text1"/>
          <w:sz w:val="36"/>
          <w:szCs w:val="20"/>
          <w14:textFill>
            <w14:solidFill>
              <w14:schemeClr w14:val="tx1"/>
            </w14:solidFill>
          </w14:textFill>
        </w:rPr>
      </w:pPr>
    </w:p>
    <w:p>
      <w:pPr>
        <w:pStyle w:val="80"/>
        <w:spacing w:before="120"/>
        <w:ind w:firstLine="723"/>
        <w:rPr>
          <w:rFonts w:ascii="仿宋" w:hAnsi="仿宋" w:eastAsia="仿宋" w:cs="仿宋"/>
          <w:b/>
          <w:color w:val="000000" w:themeColor="text1"/>
          <w:sz w:val="36"/>
          <w:szCs w:val="20"/>
          <w14:textFill>
            <w14:solidFill>
              <w14:schemeClr w14:val="tx1"/>
            </w14:solidFill>
          </w14:textFill>
        </w:rPr>
      </w:pPr>
    </w:p>
    <w:p>
      <w:pPr>
        <w:pStyle w:val="80"/>
        <w:spacing w:before="120"/>
        <w:ind w:firstLine="723"/>
        <w:rPr>
          <w:rFonts w:ascii="仿宋" w:hAnsi="仿宋" w:eastAsia="仿宋" w:cs="仿宋"/>
          <w:b/>
          <w:color w:val="000000" w:themeColor="text1"/>
          <w:sz w:val="36"/>
          <w:szCs w:val="20"/>
          <w14:textFill>
            <w14:solidFill>
              <w14:schemeClr w14:val="tx1"/>
            </w14:solidFill>
          </w14:textFill>
        </w:rPr>
      </w:pP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p>
    <w:p>
      <w:pPr>
        <w:widowControl/>
        <w:adjustRightInd/>
        <w:jc w:val="left"/>
        <w:rPr>
          <w:rFonts w:ascii="仿宋" w:hAnsi="仿宋" w:eastAsia="仿宋" w:cs="仿宋"/>
          <w:b/>
          <w:color w:val="000000" w:themeColor="text1"/>
          <w:sz w:val="36"/>
          <w:szCs w:val="20"/>
          <w14:textFill>
            <w14:solidFill>
              <w14:schemeClr w14:val="tx1"/>
            </w14:solidFill>
          </w14:textFill>
        </w:rPr>
      </w:pPr>
      <w:r>
        <w:rPr>
          <w:rFonts w:ascii="仿宋" w:hAnsi="仿宋" w:eastAsia="仿宋" w:cs="仿宋"/>
          <w:b/>
          <w:color w:val="000000" w:themeColor="text1"/>
          <w:sz w:val="36"/>
          <w:szCs w:val="20"/>
          <w14:textFill>
            <w14:solidFill>
              <w14:schemeClr w14:val="tx1"/>
            </w14:solidFill>
          </w14:textFill>
        </w:rPr>
        <w:br w:type="page"/>
      </w: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r>
        <w:rPr>
          <w:rFonts w:hint="eastAsia" w:ascii="仿宋" w:hAnsi="仿宋" w:eastAsia="仿宋" w:cs="仿宋"/>
          <w:b/>
          <w:color w:val="000000" w:themeColor="text1"/>
          <w:sz w:val="36"/>
          <w:szCs w:val="20"/>
          <w14:textFill>
            <w14:solidFill>
              <w14:schemeClr w14:val="tx1"/>
            </w14:solidFill>
          </w14:textFill>
        </w:rPr>
        <w:t>第六部分</w:t>
      </w:r>
      <w:bookmarkEnd w:id="401"/>
      <w:bookmarkEnd w:id="402"/>
      <w:r>
        <w:rPr>
          <w:rFonts w:hint="eastAsia" w:ascii="仿宋" w:hAnsi="仿宋" w:eastAsia="仿宋" w:cs="仿宋"/>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目录</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（2）联合协议………………………………………………………………（页码）</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（3）中小企业声明函………………………………………………………（页码）</w:t>
      </w:r>
    </w:p>
    <w:p>
      <w:pPr>
        <w:snapToGrid w:val="0"/>
        <w:spacing w:line="360" w:lineRule="auto"/>
        <w:textAlignment w:val="baseline"/>
        <w:rPr>
          <w:rStyle w:val="967"/>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（4）本项目的特定资格要求………………………………………………（页码）</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sz w:val="24"/>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br w:type="page"/>
      </w:r>
      <w:r>
        <w:rPr>
          <w:rFonts w:hint="eastAsia" w:ascii="仿宋" w:hAnsi="仿宋" w:eastAsia="仿宋" w:cs="仿宋"/>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建德市规划和自然资源局、浙江辰光项目管理有限公司：</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我方参与建德市园地林地草地定级和基准地价制定技术服务采购项目【招标编号：JD2023BF-   】政府采购活动，郑重承诺：</w:t>
      </w:r>
    </w:p>
    <w:p>
      <w:pPr>
        <w:snapToGrid w:val="0"/>
        <w:spacing w:line="360" w:lineRule="auto"/>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（三）不存在以下情况：</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投标人名称(电子签名)：</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日期</w:t>
      </w:r>
      <w:r>
        <w:rPr>
          <w:rFonts w:hint="eastAsia" w:ascii="仿宋" w:hAnsi="仿宋" w:eastAsia="仿宋" w:cs="仿宋"/>
          <w:color w:val="000000" w:themeColor="text1"/>
          <w:kern w:val="0"/>
          <w:sz w:val="24"/>
          <w14:textFill>
            <w14:solidFill>
              <w14:schemeClr w14:val="tx1"/>
            </w14:solidFill>
          </w14:textFill>
        </w:rPr>
        <w:t xml:space="preserve">：  年  </w:t>
      </w:r>
      <w:r>
        <w:rPr>
          <w:rFonts w:hint="eastAsia" w:ascii="仿宋" w:hAnsi="仿宋" w:eastAsia="仿宋" w:cs="仿宋"/>
          <w:color w:val="000000" w:themeColor="text1"/>
          <w:kern w:val="0"/>
          <w:sz w:val="24"/>
          <w:lang w:val="zh-CN"/>
          <w14:textFill>
            <w14:solidFill>
              <w14:schemeClr w14:val="tx1"/>
            </w14:solidFill>
          </w14:textFill>
        </w:rPr>
        <w:t>月日</w:t>
      </w: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widowControl/>
        <w:spacing w:line="360" w:lineRule="auto"/>
        <w:ind w:firstLine="643" w:firstLineChars="200"/>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[以联合体形式投标的，提供联合协议（附件6）；本项目不接受联合体投标或者投标人不以联合体形式投标的，则不需要提供]</w:t>
      </w:r>
    </w:p>
    <w:p>
      <w:pPr>
        <w:pStyle w:val="5"/>
        <w:ind w:left="0" w:firstLine="0"/>
        <w:rPr>
          <w:rFonts w:asci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三、中小企业声明函</w:t>
      </w:r>
    </w:p>
    <w:p>
      <w:pPr>
        <w:snapToGrid w:val="0"/>
        <w:spacing w:before="50" w:after="50" w:line="360" w:lineRule="auto"/>
        <w:ind w:firstLine="470" w:firstLineChars="19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本项目专门面向中小企业，服务全部由符合政策要求的中小企业（或小微企业）提供的，提供相应的中小企业声明函（附件5）。 </w:t>
      </w: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四、本项目的特定资格要求</w:t>
      </w:r>
    </w:p>
    <w:p>
      <w:pPr>
        <w:spacing w:line="360" w:lineRule="auto"/>
        <w:jc w:val="center"/>
        <w:rPr>
          <w:rStyle w:val="967"/>
          <w:rFonts w:ascii="仿宋" w:hAnsi="仿宋" w:eastAsia="仿宋" w:cs="仿宋"/>
          <w:b/>
          <w:bCs/>
          <w:color w:val="000000" w:themeColor="text1"/>
          <w:sz w:val="24"/>
          <w:szCs w:val="32"/>
          <w:lang w:val="zh-CN"/>
          <w14:textFill>
            <w14:solidFill>
              <w14:schemeClr w14:val="tx1"/>
            </w14:solidFill>
          </w14:textFill>
        </w:rPr>
      </w:pPr>
      <w:r>
        <w:rPr>
          <w:rStyle w:val="967"/>
          <w:rFonts w:hint="eastAsia" w:ascii="仿宋" w:hAnsi="仿宋" w:eastAsia="仿宋" w:cs="仿宋"/>
          <w:b/>
          <w:bCs/>
          <w:color w:val="000000" w:themeColor="text1"/>
          <w:sz w:val="24"/>
          <w:szCs w:val="32"/>
          <w:lang w:val="zh-CN"/>
          <w14:textFill>
            <w14:solidFill>
              <w14:schemeClr w14:val="tx1"/>
            </w14:solidFill>
          </w14:textFill>
        </w:rPr>
        <w:t>（根据招标公告本项目的特定资格要求提供相应的材料）</w:t>
      </w:r>
    </w:p>
    <w:p>
      <w:pP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pStyle w:val="5"/>
        <w:rPr>
          <w:rFonts w:ascii="仿宋" w:eastAsia="仿宋" w:cs="仿宋"/>
          <w:color w:val="000000" w:themeColor="text1"/>
          <w:kern w:val="0"/>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pStyle w:val="2"/>
      </w:pPr>
    </w:p>
    <w:p>
      <w:pPr>
        <w:rPr>
          <w:rFonts w:ascii="仿宋" w:hAnsi="仿宋" w:eastAsia="仿宋" w:cs="仿宋"/>
          <w:color w:val="000000" w:themeColor="text1"/>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ind w:right="420" w:firstLine="3614" w:firstLineChars="100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 w:hAnsi="仿宋" w:eastAsia="仿宋" w:cs="仿宋"/>
          <w:b/>
          <w:color w:val="000000" w:themeColor="text1"/>
          <w:kern w:val="0"/>
          <w:sz w:val="24"/>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目录</w:t>
      </w:r>
    </w:p>
    <w:p>
      <w:pPr>
        <w:numPr>
          <w:ilvl w:val="0"/>
          <w:numId w:val="4"/>
        </w:numPr>
        <w:snapToGrid w:val="0"/>
        <w:spacing w:line="360" w:lineRule="auto"/>
        <w:ind w:left="479" w:leftChars="22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响应函</w:t>
      </w:r>
      <w:r>
        <w:rPr>
          <w:rFonts w:hint="eastAsia" w:ascii="仿宋" w:hAnsi="仿宋" w:eastAsia="仿宋" w:cs="仿宋"/>
          <w:color w:val="000000" w:themeColor="text1"/>
          <w14:textFill>
            <w14:solidFill>
              <w14:schemeClr w14:val="tx1"/>
            </w14:solidFill>
          </w14:textFill>
        </w:rPr>
        <w:t>…………………………………………………………………………………（页码）</w:t>
      </w:r>
      <w:r>
        <w:rPr>
          <w:rFonts w:hint="eastAsia" w:ascii="仿宋" w:hAnsi="仿宋" w:eastAsia="仿宋" w:cs="仿宋"/>
          <w:color w:val="000000" w:themeColor="text1"/>
          <w:sz w:val="24"/>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（3）分包意向协议………………………………………………………………（页码）</w:t>
      </w:r>
    </w:p>
    <w:p>
      <w:pPr>
        <w:snapToGrid w:val="0"/>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（4）符合性审查资料</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（5）评标标准相应的商务技术资料</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（6）商务技术偏离表</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lang w:val="zh-CN"/>
          <w14:textFill>
            <w14:solidFill>
              <w14:schemeClr w14:val="tx1"/>
            </w14:solidFill>
          </w14:textFill>
        </w:rPr>
        <w:t>）政府采购供应商廉洁自律承诺书</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widowControl/>
        <w:adjustRightInd/>
        <w:jc w:val="left"/>
        <w:rPr>
          <w:rFonts w:ascii="仿宋" w:hAnsi="仿宋" w:eastAsia="仿宋" w:cs="仿宋"/>
          <w:b/>
          <w:color w:val="000000" w:themeColor="text1"/>
          <w:kern w:val="0"/>
          <w:sz w:val="32"/>
          <w:szCs w:val="32"/>
          <w14:textFill>
            <w14:solidFill>
              <w14:schemeClr w14:val="tx1"/>
            </w14:solidFill>
          </w14:textFill>
        </w:rPr>
      </w:pPr>
      <w:r>
        <w:rPr>
          <w:rFonts w:ascii="仿宋" w:hAnsi="仿宋" w:eastAsia="仿宋" w:cs="仿宋"/>
          <w:b/>
          <w:color w:val="000000" w:themeColor="text1"/>
          <w:kern w:val="0"/>
          <w:sz w:val="32"/>
          <w:szCs w:val="32"/>
          <w14:textFill>
            <w14:solidFill>
              <w14:schemeClr w14:val="tx1"/>
            </w14:solidFill>
          </w14:textFill>
        </w:rPr>
        <w:br w:type="page"/>
      </w:r>
    </w:p>
    <w:p>
      <w:pPr>
        <w:snapToGrid w:val="0"/>
        <w:spacing w:line="360" w:lineRule="auto"/>
        <w:jc w:val="center"/>
        <w:outlineLvl w:val="0"/>
        <w:rPr>
          <w:rFonts w:ascii="仿宋" w:hAnsi="仿宋" w:eastAsia="仿宋" w:cs="仿宋"/>
          <w:b/>
          <w:color w:val="000000" w:themeColor="text1"/>
          <w:kern w:val="0"/>
          <w:sz w:val="32"/>
          <w:szCs w:val="32"/>
          <w14:textFill>
            <w14:solidFill>
              <w14:schemeClr w14:val="tx1"/>
            </w14:solidFill>
          </w14:textFill>
        </w:rPr>
      </w:pPr>
    </w:p>
    <w:p>
      <w:pPr>
        <w:snapToGrid w:val="0"/>
        <w:jc w:val="center"/>
        <w:outlineLvl w:val="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一、投标</w:t>
      </w:r>
      <w:r>
        <w:rPr>
          <w:rFonts w:hint="eastAsia" w:ascii="仿宋" w:hAnsi="仿宋" w:eastAsia="仿宋" w:cs="仿宋"/>
          <w:b/>
          <w:color w:val="000000" w:themeColor="text1"/>
          <w:sz w:val="32"/>
          <w:szCs w:val="32"/>
          <w14:textFill>
            <w14:solidFill>
              <w14:schemeClr w14:val="tx1"/>
            </w14:solidFill>
          </w14:textFill>
        </w:rPr>
        <w:t>函</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建德市规划和自然资源局、浙江辰光项目管理有限公司：</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我方参加你方组织的建德市园地林地草地定级和基准地价制定技术服务采购项目【招标编号：JD2023BF-   】招标的有关活动，并对此项目进行投标。为此：</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1、我方承诺投标有效期从提交投标文件的截止之日起天（不少于90天）</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本投标文件在投标有效期满之前均具有约束力。</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2、我方的投标文件包括以下内容：</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2.1资格文件：</w:t>
      </w:r>
    </w:p>
    <w:p>
      <w:pPr>
        <w:numPr>
          <w:ilvl w:val="2"/>
          <w:numId w:val="5"/>
        </w:numPr>
        <w:snapToGrid w:val="0"/>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符合参加政府采购活动应当具备的一般条件的承诺函；</w:t>
      </w:r>
    </w:p>
    <w:p>
      <w:pPr>
        <w:numPr>
          <w:ilvl w:val="2"/>
          <w:numId w:val="5"/>
        </w:numPr>
        <w:snapToGrid w:val="0"/>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zh-CN"/>
          <w14:textFill>
            <w14:solidFill>
              <w14:schemeClr w14:val="tx1"/>
            </w14:solidFill>
          </w14:textFill>
        </w:rPr>
        <w:t>联合协议（如果有）</w:t>
      </w:r>
      <w:r>
        <w:rPr>
          <w:rFonts w:hint="eastAsia" w:ascii="仿宋" w:hAnsi="仿宋" w:eastAsia="仿宋" w:cs="仿宋"/>
          <w:bCs/>
          <w:color w:val="000000" w:themeColor="text1"/>
          <w:sz w:val="24"/>
          <w14:textFill>
            <w14:solidFill>
              <w14:schemeClr w14:val="tx1"/>
            </w14:solidFill>
          </w14:textFill>
        </w:rPr>
        <w:t>；</w:t>
      </w:r>
    </w:p>
    <w:p>
      <w:pPr>
        <w:numPr>
          <w:ilvl w:val="2"/>
          <w:numId w:val="5"/>
        </w:numPr>
        <w:snapToGrid w:val="0"/>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lang w:val="zh-CN"/>
          <w14:textFill>
            <w14:solidFill>
              <w14:schemeClr w14:val="tx1"/>
            </w14:solidFill>
          </w14:textFill>
        </w:rPr>
        <w:t>中小企业声明函</w:t>
      </w:r>
      <w:r>
        <w:rPr>
          <w:rFonts w:hint="eastAsia" w:ascii="仿宋" w:hAnsi="仿宋" w:eastAsia="仿宋" w:cs="仿宋"/>
          <w:bCs/>
          <w:color w:val="000000" w:themeColor="text1"/>
          <w:sz w:val="24"/>
          <w14:textFill>
            <w14:solidFill>
              <w14:schemeClr w14:val="tx1"/>
            </w14:solidFill>
          </w14:textFill>
        </w:rPr>
        <w:t>；</w:t>
      </w:r>
    </w:p>
    <w:p>
      <w:pPr>
        <w:pStyle w:val="2"/>
        <w:ind w:firstLine="720" w:firstLineChars="300"/>
        <w:rPr>
          <w:rFonts w:ascii="仿宋" w:hAnsi="仿宋" w:eastAsia="仿宋" w:cs="仿宋"/>
          <w:bCs/>
          <w:snapToGrid/>
          <w:color w:val="000000" w:themeColor="text1"/>
          <w:kern w:val="2"/>
          <w:sz w:val="24"/>
          <w:szCs w:val="24"/>
          <w:lang w:val="zh-CN"/>
          <w14:textFill>
            <w14:solidFill>
              <w14:schemeClr w14:val="tx1"/>
            </w14:solidFill>
          </w14:textFill>
        </w:rPr>
      </w:pPr>
      <w:r>
        <w:rPr>
          <w:rFonts w:hint="eastAsia" w:ascii="仿宋" w:hAnsi="仿宋" w:eastAsia="仿宋" w:cs="仿宋"/>
          <w:bCs/>
          <w:snapToGrid/>
          <w:color w:val="000000" w:themeColor="text1"/>
          <w:kern w:val="2"/>
          <w:sz w:val="24"/>
          <w:szCs w:val="24"/>
          <w:lang w:val="zh-CN"/>
          <w14:textFill>
            <w14:solidFill>
              <w14:schemeClr w14:val="tx1"/>
            </w14:solidFill>
          </w14:textFill>
        </w:rPr>
        <w:t>2.1.</w:t>
      </w:r>
      <w:r>
        <w:rPr>
          <w:rFonts w:hint="eastAsia" w:ascii="仿宋" w:hAnsi="仿宋" w:eastAsia="仿宋" w:cs="仿宋"/>
          <w:bCs/>
          <w:snapToGrid/>
          <w:color w:val="000000" w:themeColor="text1"/>
          <w:kern w:val="2"/>
          <w:sz w:val="24"/>
          <w:szCs w:val="24"/>
          <w14:textFill>
            <w14:solidFill>
              <w14:schemeClr w14:val="tx1"/>
            </w14:solidFill>
          </w14:textFill>
        </w:rPr>
        <w:t>4</w:t>
      </w:r>
      <w:r>
        <w:rPr>
          <w:rFonts w:hint="eastAsia" w:ascii="仿宋" w:hAnsi="仿宋" w:eastAsia="仿宋" w:cs="仿宋"/>
          <w:bCs/>
          <w:snapToGrid/>
          <w:color w:val="000000" w:themeColor="text1"/>
          <w:kern w:val="2"/>
          <w:sz w:val="24"/>
          <w:szCs w:val="24"/>
          <w:lang w:val="zh-CN"/>
          <w14:textFill>
            <w14:solidFill>
              <w14:schemeClr w14:val="tx1"/>
            </w14:solidFill>
          </w14:textFill>
        </w:rPr>
        <w:t>本项目的特定资格要求。</w:t>
      </w:r>
    </w:p>
    <w:p>
      <w:pPr>
        <w:snapToGrid w:val="0"/>
        <w:spacing w:line="440" w:lineRule="exact"/>
        <w:ind w:left="210" w:leftChars="100"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2商务技术</w:t>
      </w:r>
      <w:r>
        <w:rPr>
          <w:rFonts w:hint="eastAsia" w:ascii="仿宋" w:hAnsi="仿宋" w:eastAsia="仿宋" w:cs="仿宋"/>
          <w:color w:val="000000" w:themeColor="text1"/>
          <w:sz w:val="24"/>
          <w:lang w:val="zh-CN"/>
          <w14:textFill>
            <w14:solidFill>
              <w14:schemeClr w14:val="tx1"/>
            </w14:solidFill>
          </w14:textFill>
        </w:rPr>
        <w:t>文件：</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2.2.1投标函；</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2.2.2授权委托书或法定代表人（单位负责人）身份证明；</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2.2.3符合性审查资料；</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2.2.4评标标准相应的商务技术资料；</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2.2.5商务技术偏离表；</w:t>
      </w:r>
    </w:p>
    <w:p>
      <w:pPr>
        <w:snapToGrid w:val="0"/>
        <w:spacing w:line="440" w:lineRule="exact"/>
        <w:ind w:left="420" w:leftChars="200"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lang w:val="zh-CN"/>
          <w14:textFill>
            <w14:solidFill>
              <w14:schemeClr w14:val="tx1"/>
            </w14:solidFill>
          </w14:textFill>
        </w:rPr>
        <w:t>政府采购供应商廉洁自律承诺书；</w:t>
      </w:r>
    </w:p>
    <w:p>
      <w:pPr>
        <w:snapToGrid w:val="0"/>
        <w:spacing w:line="440" w:lineRule="exact"/>
        <w:ind w:firstLine="960" w:firstLineChars="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7</w:t>
      </w:r>
      <w:r>
        <w:rPr>
          <w:rFonts w:hint="eastAsia" w:ascii="仿宋" w:hAnsi="仿宋" w:eastAsia="仿宋" w:cs="仿宋"/>
          <w:bCs/>
          <w:color w:val="000000" w:themeColor="text1"/>
          <w:sz w:val="24"/>
          <w14:textFill>
            <w14:solidFill>
              <w14:schemeClr w14:val="tx1"/>
            </w14:solidFill>
          </w14:textFill>
        </w:rPr>
        <w:t>分包意向协议（如果有）；</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3报价文件</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2.3.1开标一览表（报价表）；</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3、我方承诺除商务技术偏离表列出的偏离外，我方响应招标文件的全部要求。</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4、如我方中标，我方承诺：</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4.2在签订合同时不向你方提出附加条件；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4.3按照招标文件要求提交履约保证金；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4.4在合同约定的期限内完成合同规定的全部义务。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5、其他补充说明:。</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投标人名称（电子签名）：                        日期：  年   月   日</w:t>
      </w:r>
    </w:p>
    <w:p>
      <w:pPr>
        <w:snapToGrid w:val="0"/>
        <w:spacing w:line="360" w:lineRule="auto"/>
        <w:ind w:left="420" w:leftChars="200" w:firstLine="4200" w:firstLineChars="1750"/>
        <w:rPr>
          <w:rFonts w:ascii="仿宋" w:hAnsi="仿宋" w:eastAsia="仿宋" w:cs="仿宋"/>
          <w:color w:val="000000" w:themeColor="text1"/>
          <w:kern w:val="0"/>
          <w:sz w:val="24"/>
          <w:u w:val="single"/>
          <w:lang w:val="zh-CN"/>
          <w14:textFill>
            <w14:solidFill>
              <w14:schemeClr w14:val="tx1"/>
            </w14:solidFill>
          </w14:textFill>
        </w:rPr>
      </w:pPr>
    </w:p>
    <w:p>
      <w:pPr>
        <w:jc w:val="center"/>
        <w:rPr>
          <w:rFonts w:ascii="仿宋" w:hAnsi="仿宋" w:eastAsia="仿宋" w:cs="仿宋"/>
          <w:b/>
          <w:color w:val="000000" w:themeColor="text1"/>
          <w:kern w:val="0"/>
          <w:sz w:val="32"/>
          <w:szCs w:val="32"/>
          <w:lang w:val="zh-CN"/>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ind w:firstLine="2872" w:firstLineChars="894"/>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授权委托书（适用于非联合体投标）</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建德市规划和自然资源局、浙江辰光项目管理有限公司</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firstLine="57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现</w:t>
      </w:r>
      <w:r>
        <w:rPr>
          <w:rFonts w:hint="eastAsia" w:ascii="仿宋" w:hAnsi="仿宋" w:eastAsia="仿宋" w:cs="仿宋"/>
          <w:color w:val="000000" w:themeColor="text1"/>
          <w:kern w:val="0"/>
          <w:sz w:val="24"/>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14:textFill>
            <w14:solidFill>
              <w14:schemeClr w14:val="tx1"/>
            </w14:solidFill>
          </w14:textFill>
        </w:rPr>
        <w:t>建德市园地林地草地定级和基准地价制定技术服务采购项目【招标编号：JD2023BF-    】</w:t>
      </w:r>
      <w:r>
        <w:rPr>
          <w:rFonts w:hint="eastAsia" w:ascii="仿宋" w:hAnsi="仿宋" w:eastAsia="仿宋" w:cs="仿宋"/>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委托期限</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zh-CN"/>
          <w14:textFill>
            <w14:solidFill>
              <w14:schemeClr w14:val="tx1"/>
            </w14:solidFill>
          </w14:textFill>
        </w:rPr>
        <w:t>自年月日起至年月日止。</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特此告知。</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 w:hAnsi="仿宋" w:eastAsia="仿宋" w:cs="仿宋"/>
          <w:color w:val="000000" w:themeColor="text1"/>
          <w:sz w:val="24"/>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建德市规划和自然资源局、浙江辰光项目管理有限公司</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firstLine="57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现</w:t>
      </w:r>
      <w:r>
        <w:rPr>
          <w:rFonts w:hint="eastAsia" w:ascii="仿宋" w:hAnsi="仿宋" w:eastAsia="仿宋" w:cs="仿宋"/>
          <w:color w:val="000000" w:themeColor="text1"/>
          <w:kern w:val="0"/>
          <w:sz w:val="24"/>
          <w:lang w:val="zh-CN"/>
          <w14:textFill>
            <w14:solidFill>
              <w14:schemeClr w14:val="tx1"/>
            </w14:solidFill>
          </w14:textFill>
        </w:rPr>
        <w:t>委托（姓名）为我方代理人（身份证号码：，手机：），以我方名义处理</w:t>
      </w:r>
      <w:r>
        <w:rPr>
          <w:rFonts w:hint="eastAsia" w:ascii="仿宋" w:hAnsi="仿宋" w:eastAsia="仿宋" w:cs="仿宋"/>
          <w:color w:val="000000" w:themeColor="text1"/>
          <w:sz w:val="24"/>
          <w14:textFill>
            <w14:solidFill>
              <w14:schemeClr w14:val="tx1"/>
            </w14:solidFill>
          </w14:textFill>
        </w:rPr>
        <w:t>建德市园地林地草地定级和基准地价制定技术服务采购项目【招标编号：JD2023BF-  】</w:t>
      </w:r>
      <w:r>
        <w:rPr>
          <w:rFonts w:hint="eastAsia" w:ascii="仿宋" w:hAnsi="仿宋" w:eastAsia="仿宋" w:cs="仿宋"/>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委托期限</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zh-CN"/>
          <w14:textFill>
            <w14:solidFill>
              <w14:schemeClr w14:val="tx1"/>
            </w14:solidFill>
          </w14:textFill>
        </w:rPr>
        <w:t>自年月日起至年月日止。</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特此告知。</w:t>
      </w:r>
    </w:p>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napToGrid w:val="0"/>
        <w:spacing w:line="360" w:lineRule="auto"/>
        <w:ind w:firstLine="5040" w:firstLineChars="21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14:textFill>
            <w14:solidFill>
              <w14:schemeClr w14:val="tx1"/>
            </w14:solidFill>
          </w14:textFill>
        </w:rPr>
        <w:t>的身份证明（适用于法定代表人、单位负责人或者自然人本人代表投标人参加投标）</w:t>
      </w:r>
    </w:p>
    <w:p>
      <w:pPr>
        <w:pStyle w:val="151"/>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正面：                                 反面：</w:t>
            </w:r>
          </w:p>
          <w:p>
            <w:pPr>
              <w:pStyle w:val="151"/>
              <w:adjustRightInd w:val="0"/>
              <w:spacing w:line="360" w:lineRule="auto"/>
              <w:rPr>
                <w:rFonts w:ascii="仿宋" w:hAnsi="仿宋" w:eastAsia="仿宋" w:cs="仿宋"/>
                <w:bCs/>
                <w:color w:val="000000" w:themeColor="text1"/>
                <w:sz w:val="24"/>
                <w14:textFill>
                  <w14:solidFill>
                    <w14:schemeClr w14:val="tx1"/>
                  </w14:solidFill>
                </w14:textFill>
              </w:rPr>
            </w:pPr>
          </w:p>
        </w:tc>
      </w:tr>
    </w:tbl>
    <w:p>
      <w:pPr>
        <w:snapToGrid w:val="0"/>
        <w:spacing w:line="360" w:lineRule="auto"/>
        <w:ind w:firstLine="576"/>
        <w:jc w:val="center"/>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firstLine="576"/>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日期：  年  月  日</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分包意向协议（如果有）</w:t>
      </w:r>
    </w:p>
    <w:p>
      <w:pPr>
        <w:widowControl/>
        <w:spacing w:line="360" w:lineRule="auto"/>
        <w:ind w:firstLine="120" w:firstLineChars="50"/>
        <w:jc w:val="left"/>
        <w:rPr>
          <w:rFonts w:ascii="仿宋" w:hAnsi="仿宋" w:eastAsia="仿宋" w:cs="仿宋"/>
          <w:color w:val="000000" w:themeColor="text1"/>
          <w:sz w:val="24"/>
          <w14:textFill>
            <w14:solidFill>
              <w14:schemeClr w14:val="tx1"/>
            </w14:solidFill>
          </w14:textFill>
        </w:rPr>
      </w:pPr>
      <w:bookmarkStart w:id="550" w:name="_Hlk101169080"/>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sz w:val="24"/>
          <w14:textFill>
            <w14:solidFill>
              <w14:schemeClr w14:val="tx1"/>
            </w14:solidFill>
          </w14:textFill>
        </w:rPr>
        <w:t>成交后以分包方式履行合同的，提供分包意向协议(附件7)；采购人不同意分包或者供应商成交后不以分包方式履行合同的，则不需要提供。</w:t>
      </w:r>
      <w:r>
        <w:rPr>
          <w:rFonts w:hint="eastAsia" w:ascii="仿宋" w:hAnsi="仿宋" w:eastAsia="仿宋" w:cs="仿宋"/>
          <w:color w:val="000000" w:themeColor="text1"/>
          <w:sz w:val="24"/>
          <w14:textFill>
            <w14:solidFill>
              <w14:schemeClr w14:val="tx1"/>
            </w14:solidFill>
          </w14:textFill>
        </w:rPr>
        <w:t>]</w:t>
      </w:r>
    </w:p>
    <w:bookmarkEnd w:id="550"/>
    <w:p>
      <w:pP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三、符合性审查资料</w:t>
      </w:r>
    </w:p>
    <w:p>
      <w:pPr>
        <w:jc w:val="center"/>
        <w:rPr>
          <w:rFonts w:ascii="仿宋" w:hAnsi="仿宋" w:eastAsia="仿宋" w:cs="仿宋"/>
          <w:b/>
          <w:color w:val="000000" w:themeColor="text1"/>
          <w:kern w:val="0"/>
          <w:sz w:val="32"/>
          <w:szCs w:val="32"/>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4991"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投标文件按照招标文件要求签署、盖章。</w:t>
            </w:r>
          </w:p>
        </w:tc>
        <w:tc>
          <w:tcPr>
            <w:tcW w:w="2551"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需要使用电子签名或者签字盖章的投标文件的组成部分</w:t>
            </w:r>
          </w:p>
        </w:tc>
        <w:tc>
          <w:tcPr>
            <w:tcW w:w="1418" w:type="dxa"/>
          </w:tcPr>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见投标文件</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4991"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节能产品认证证书（本项目拟采购的产品不属于政府强制采购的节能产品品目清单范围的，无需提供）</w:t>
            </w:r>
          </w:p>
        </w:tc>
        <w:tc>
          <w:tcPr>
            <w:tcW w:w="1418" w:type="dxa"/>
          </w:tcPr>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见投标文件</w:t>
            </w:r>
          </w:p>
          <w:p>
            <w:pPr>
              <w:pStyle w:val="5"/>
              <w:rPr>
                <w:rFonts w:ascii="仿宋" w:eastAsia="仿宋" w:cs="仿宋"/>
                <w:color w:val="000000" w:themeColor="text1"/>
                <w:lang w:val="en-US"/>
                <w14:textFill>
                  <w14:solidFill>
                    <w14:schemeClr w14:val="tx1"/>
                  </w14:solidFill>
                </w14:textFill>
              </w:rPr>
            </w:pPr>
            <w:r>
              <w:rPr>
                <w:rFonts w:hint="eastAsia" w:ascii="仿宋" w:eastAsia="仿宋" w:cs="仿宋"/>
                <w:b w:val="0"/>
                <w:bCs w:val="0"/>
                <w:color w:val="000000" w:themeColor="text1"/>
                <w:sz w:val="24"/>
                <w:szCs w:val="24"/>
                <w:lang w:val="en-US"/>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4991"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投标函</w:t>
            </w:r>
          </w:p>
        </w:tc>
        <w:tc>
          <w:tcPr>
            <w:tcW w:w="1418" w:type="dxa"/>
          </w:tcPr>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4991"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投标文件满足招标文件的其它实质性要求。</w:t>
            </w:r>
          </w:p>
        </w:tc>
        <w:tc>
          <w:tcPr>
            <w:tcW w:w="2551" w:type="dxa"/>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见投标文件第页</w:t>
            </w:r>
          </w:p>
        </w:tc>
      </w:tr>
    </w:tbl>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pStyle w:val="2"/>
      </w:pPr>
    </w:p>
    <w:p>
      <w:pPr>
        <w:pStyle w:val="3"/>
      </w:pPr>
    </w:p>
    <w:p>
      <w:pPr>
        <w:pStyle w:val="2"/>
      </w:pPr>
    </w:p>
    <w:p>
      <w:pPr>
        <w:pStyle w:val="3"/>
      </w:pPr>
    </w:p>
    <w:p>
      <w:pPr>
        <w:pStyle w:val="2"/>
      </w:pPr>
    </w:p>
    <w:p>
      <w:pPr>
        <w:pStyle w:val="3"/>
      </w:pPr>
    </w:p>
    <w:p>
      <w:pPr>
        <w:pStyle w:val="2"/>
      </w:pPr>
    </w:p>
    <w:p>
      <w:pPr>
        <w:pStyle w:val="3"/>
      </w:pPr>
    </w:p>
    <w:p>
      <w:pPr>
        <w:pStyle w:val="2"/>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四、评标标准相应的商务技术资料</w:t>
      </w:r>
    </w:p>
    <w:p>
      <w:pPr>
        <w:snapToGrid w:val="0"/>
        <w:spacing w:line="360"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3683"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招标文件章节及具体内容</w:t>
            </w:r>
          </w:p>
        </w:tc>
        <w:tc>
          <w:tcPr>
            <w:tcW w:w="3546"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投标文件章节及具体内容</w:t>
            </w:r>
          </w:p>
        </w:tc>
        <w:tc>
          <w:tcPr>
            <w:tcW w:w="1276"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bl>
    <w:p>
      <w:pPr>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pStyle w:val="2"/>
        <w:rPr>
          <w:rFonts w:ascii="仿宋" w:hAnsi="仿宋" w:eastAsia="仿宋" w:cs="仿宋"/>
          <w:b/>
          <w:bCs/>
          <w:color w:val="000000" w:themeColor="text1"/>
          <w:sz w:val="32"/>
          <w:szCs w:val="32"/>
          <w14:textFill>
            <w14:solidFill>
              <w14:schemeClr w14:val="tx1"/>
            </w14:solidFill>
          </w14:textFill>
        </w:rPr>
      </w:pPr>
    </w:p>
    <w:p>
      <w:pPr>
        <w:pStyle w:val="3"/>
        <w:rPr>
          <w:rFonts w:ascii="仿宋" w:hAnsi="仿宋" w:eastAsia="仿宋" w:cs="仿宋"/>
          <w:b/>
          <w:bCs/>
          <w:color w:val="000000" w:themeColor="text1"/>
          <w:sz w:val="32"/>
          <w:szCs w:val="32"/>
          <w14:textFill>
            <w14:solidFill>
              <w14:schemeClr w14:val="tx1"/>
            </w14:solidFill>
          </w14:textFill>
        </w:rPr>
      </w:pPr>
    </w:p>
    <w:p>
      <w:pPr>
        <w:pStyle w:val="2"/>
      </w:pPr>
    </w:p>
    <w:p>
      <w:pPr>
        <w:ind w:firstLine="2891" w:firstLineChars="900"/>
        <w:rPr>
          <w:rFonts w:ascii="仿宋" w:hAnsi="仿宋" w:eastAsia="仿宋" w:cs="仿宋"/>
          <w:b/>
          <w:bCs/>
          <w:color w:val="000000" w:themeColor="text1"/>
          <w:sz w:val="32"/>
          <w:szCs w:val="32"/>
          <w14:textFill>
            <w14:solidFill>
              <w14:schemeClr w14:val="tx1"/>
            </w14:solidFill>
          </w14:textFill>
        </w:rPr>
      </w:pPr>
    </w:p>
    <w:p>
      <w:pPr>
        <w:ind w:firstLine="2891" w:firstLineChars="900"/>
        <w:rPr>
          <w:rFonts w:ascii="仿宋" w:hAnsi="仿宋" w:eastAsia="仿宋" w:cs="仿宋"/>
          <w:b/>
          <w:color w:val="000000" w:themeColor="text1"/>
          <w:kern w:val="0"/>
          <w:sz w:val="32"/>
          <w:szCs w:val="32"/>
          <w14:textFill>
            <w14:solidFill>
              <w14:schemeClr w14:val="tx1"/>
            </w14:solidFill>
          </w14:textFill>
        </w:rPr>
      </w:pPr>
    </w:p>
    <w:p>
      <w:pPr>
        <w:ind w:firstLine="1911" w:firstLineChars="595"/>
        <w:rPr>
          <w:rFonts w:ascii="仿宋" w:hAnsi="仿宋" w:eastAsia="仿宋" w:cs="仿宋"/>
          <w:b/>
          <w:color w:val="000000" w:themeColor="text1"/>
          <w:kern w:val="0"/>
          <w:sz w:val="32"/>
          <w:szCs w:val="32"/>
          <w14:textFill>
            <w14:solidFill>
              <w14:schemeClr w14:val="tx1"/>
            </w14:solidFill>
          </w14:textFill>
        </w:rPr>
      </w:pPr>
    </w:p>
    <w:p>
      <w:pPr>
        <w:ind w:firstLine="1911" w:firstLineChars="595"/>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六、</w:t>
      </w:r>
      <w:r>
        <w:rPr>
          <w:rFonts w:hint="eastAsia" w:ascii="仿宋" w:hAnsi="仿宋" w:eastAsia="仿宋" w:cs="仿宋"/>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建德市规划和自然资源局、浙江辰光项目管理有限公司</w:t>
      </w:r>
      <w:r>
        <w:rPr>
          <w:rFonts w:hint="eastAsia" w:ascii="仿宋" w:hAnsi="仿宋" w:eastAsia="仿宋" w:cs="仿宋"/>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我单位响应你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六、严格遵守《</w:t>
      </w:r>
      <w:r>
        <w:rPr>
          <w:rFonts w:hint="eastAsia" w:ascii="仿宋" w:hAnsi="仿宋" w:eastAsia="仿宋" w:cs="仿宋"/>
          <w:color w:val="000000" w:themeColor="text1"/>
          <w:sz w:val="24"/>
          <w:lang w:val="zh-CN"/>
          <w14:textFill>
            <w14:solidFill>
              <w14:schemeClr w14:val="tx1"/>
            </w14:solidFill>
          </w14:textFill>
        </w:rPr>
        <w:t>中华人民共和国</w:t>
      </w:r>
      <w:r>
        <w:rPr>
          <w:rFonts w:hint="eastAsia" w:ascii="仿宋" w:hAnsi="仿宋" w:eastAsia="仿宋" w:cs="仿宋"/>
          <w:color w:val="000000" w:themeColor="text1"/>
          <w:kern w:val="0"/>
          <w:sz w:val="24"/>
          <w:lang w:val="zh-CN"/>
          <w14:textFill>
            <w14:solidFill>
              <w14:schemeClr w14:val="tx1"/>
            </w14:solidFill>
          </w14:textFill>
        </w:rPr>
        <w:t>政府采购法》《</w:t>
      </w:r>
      <w:r>
        <w:rPr>
          <w:rFonts w:hint="eastAsia" w:ascii="仿宋" w:hAnsi="仿宋" w:eastAsia="仿宋" w:cs="仿宋"/>
          <w:color w:val="000000" w:themeColor="text1"/>
          <w:sz w:val="24"/>
          <w:lang w:val="zh-CN"/>
          <w14:textFill>
            <w14:solidFill>
              <w14:schemeClr w14:val="tx1"/>
            </w14:solidFill>
          </w14:textFill>
        </w:rPr>
        <w:t>中华人民共和国</w:t>
      </w:r>
      <w:r>
        <w:rPr>
          <w:rFonts w:hint="eastAsia" w:ascii="仿宋" w:hAnsi="仿宋" w:eastAsia="仿宋" w:cs="仿宋"/>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法》</w:t>
      </w:r>
      <w:r>
        <w:rPr>
          <w:rFonts w:hint="eastAsia" w:ascii="仿宋" w:hAnsi="仿宋" w:eastAsia="仿宋" w:cs="仿宋"/>
          <w:color w:val="000000" w:themeColor="text1"/>
          <w:sz w:val="24"/>
          <w:lang w:val="zh-CN"/>
          <w14:textFill>
            <w14:solidFill>
              <w14:schemeClr w14:val="tx1"/>
            </w14:solidFill>
          </w14:textFill>
        </w:rPr>
        <w:t>《中华人民共和国民法典》</w:t>
      </w:r>
      <w:r>
        <w:rPr>
          <w:rFonts w:hint="eastAsia" w:ascii="仿宋" w:hAnsi="仿宋" w:eastAsia="仿宋" w:cs="仿宋"/>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如违反上述承诺，你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 w:hAnsi="仿宋" w:eastAsia="仿宋" w:cs="仿宋"/>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 w:hAnsi="仿宋" w:eastAsia="仿宋" w:cs="仿宋"/>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投标人名称（</w:t>
      </w:r>
      <w:r>
        <w:rPr>
          <w:rFonts w:hint="eastAsia" w:ascii="仿宋" w:hAnsi="仿宋" w:eastAsia="仿宋" w:cs="仿宋"/>
          <w:color w:val="000000" w:themeColor="text1"/>
          <w:sz w:val="24"/>
          <w14:textFill>
            <w14:solidFill>
              <w14:schemeClr w14:val="tx1"/>
            </w14:solidFill>
          </w14:textFill>
        </w:rPr>
        <w:t>电子签名</w:t>
      </w:r>
      <w:r>
        <w:rPr>
          <w:rFonts w:hint="eastAsia" w:ascii="仿宋" w:hAnsi="仿宋" w:eastAsia="仿宋" w:cs="仿宋"/>
          <w:color w:val="000000" w:themeColor="text1"/>
          <w:kern w:val="0"/>
          <w:sz w:val="24"/>
          <w:lang w:val="zh-CN"/>
          <w14:textFill>
            <w14:solidFill>
              <w14:schemeClr w14:val="tx1"/>
            </w14:solidFill>
          </w14:textFill>
        </w:rPr>
        <w:t xml:space="preserve">）：                                                                                                                                                                                                               </w:t>
      </w:r>
    </w:p>
    <w:p>
      <w:pPr>
        <w:spacing w:line="360" w:lineRule="auto"/>
        <w:ind w:left="4620" w:leftChars="2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日期</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zh-CN"/>
          <w14:textFill>
            <w14:solidFill>
              <w14:schemeClr w14:val="tx1"/>
            </w14:solidFill>
          </w14:textFill>
        </w:rPr>
        <w:t xml:space="preserve">   年   月   日</w:t>
      </w:r>
    </w:p>
    <w:p>
      <w:pPr>
        <w:spacing w:line="360" w:lineRule="auto"/>
        <w:jc w:val="center"/>
        <w:rPr>
          <w:rFonts w:ascii="仿宋" w:hAnsi="仿宋" w:eastAsia="仿宋" w:cs="仿宋"/>
          <w:b/>
          <w:bCs/>
          <w:color w:val="000000" w:themeColor="text1"/>
          <w:sz w:val="24"/>
          <w14:textFill>
            <w14:solidFill>
              <w14:schemeClr w14:val="tx1"/>
            </w14:solidFill>
          </w14:textFill>
        </w:rPr>
      </w:pPr>
    </w:p>
    <w:p>
      <w:pPr>
        <w:spacing w:line="360" w:lineRule="auto"/>
        <w:jc w:val="center"/>
        <w:rPr>
          <w:rFonts w:ascii="仿宋" w:hAnsi="仿宋" w:eastAsia="仿宋" w:cs="仿宋"/>
          <w:b/>
          <w:bCs/>
          <w:color w:val="000000" w:themeColor="text1"/>
          <w:sz w:val="24"/>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目录</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（1）开标一览表（报价表）………………………………………………………（页码）</w:t>
      </w:r>
    </w:p>
    <w:p>
      <w:pPr>
        <w:snapToGrid w:val="0"/>
        <w:spacing w:line="360" w:lineRule="auto"/>
        <w:ind w:right="480"/>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pStyle w:val="693"/>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before="156" w:after="50" w:line="460" w:lineRule="exact"/>
        <w:jc w:val="center"/>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开标一览表</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建德市规划和自然资源局、浙江辰光项目管理有限公司</w:t>
      </w:r>
      <w:r>
        <w:rPr>
          <w:rFonts w:hint="eastAsia" w:ascii="仿宋" w:hAnsi="仿宋" w:eastAsia="仿宋" w:cs="宋体"/>
          <w:kern w:val="0"/>
          <w:sz w:val="24"/>
          <w:lang w:val="zh-CN"/>
        </w:rPr>
        <w:t>：</w:t>
      </w:r>
    </w:p>
    <w:p>
      <w:pPr>
        <w:snapToGrid w:val="0"/>
        <w:spacing w:line="360" w:lineRule="auto"/>
        <w:ind w:firstLine="482"/>
        <w:rPr>
          <w:rFonts w:ascii="仿宋" w:hAnsi="仿宋" w:eastAsia="仿宋" w:cs="宋体"/>
          <w:kern w:val="0"/>
          <w:sz w:val="24"/>
          <w:lang w:val="zh-CN"/>
        </w:rPr>
      </w:pPr>
      <w:r>
        <w:rPr>
          <w:rFonts w:hint="eastAsia" w:ascii="仿宋" w:hAnsi="仿宋" w:eastAsia="仿宋" w:cs="宋体"/>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0000FF"/>
          <w:sz w:val="24"/>
        </w:rPr>
        <w:t>（项目名称</w:t>
      </w:r>
      <w:r>
        <w:rPr>
          <w:rFonts w:hint="eastAsia" w:ascii="仿宋" w:hAnsi="仿宋" w:eastAsia="仿宋" w:cs="仿宋"/>
          <w:sz w:val="24"/>
        </w:rPr>
        <w:t>建德市园地林地草地定级和基准地价制定技术服务采购项目</w:t>
      </w:r>
      <w:r>
        <w:rPr>
          <w:rFonts w:hint="eastAsia" w:ascii="仿宋" w:hAnsi="仿宋" w:eastAsia="仿宋" w:cs="宋体"/>
          <w:color w:val="0000FF"/>
          <w:sz w:val="24"/>
        </w:rPr>
        <w:t>）</w:t>
      </w:r>
      <w:r>
        <w:rPr>
          <w:rFonts w:hint="eastAsia" w:ascii="仿宋" w:hAnsi="仿宋" w:eastAsia="仿宋" w:cs="宋体"/>
          <w:kern w:val="0"/>
          <w:sz w:val="24"/>
          <w:lang w:val="zh-CN"/>
        </w:rPr>
        <w:t>【招标编号：</w:t>
      </w:r>
      <w:r>
        <w:rPr>
          <w:rFonts w:hint="eastAsia" w:ascii="仿宋" w:hAnsi="仿宋" w:eastAsia="仿宋" w:cs="仿宋"/>
          <w:kern w:val="0"/>
          <w:sz w:val="24"/>
          <w:lang w:val="zh-CN"/>
        </w:rPr>
        <w:t>JD2023BF-</w:t>
      </w:r>
      <w:r>
        <w:rPr>
          <w:rFonts w:hint="eastAsia" w:ascii="仿宋" w:hAnsi="仿宋" w:eastAsia="仿宋" w:cs="宋体"/>
          <w:sz w:val="24"/>
        </w:rPr>
        <w:t>】的实施</w:t>
      </w:r>
      <w:r>
        <w:rPr>
          <w:rFonts w:hint="eastAsia" w:ascii="仿宋" w:hAnsi="仿宋" w:eastAsia="仿宋" w:cs="宋体"/>
          <w:kern w:val="0"/>
          <w:sz w:val="24"/>
          <w:lang w:val="zh-CN"/>
        </w:rPr>
        <w:t>。</w:t>
      </w:r>
    </w:p>
    <w:p>
      <w:pPr>
        <w:autoSpaceDE w:val="0"/>
        <w:autoSpaceDN w:val="0"/>
        <w:rPr>
          <w:rFonts w:ascii="仿宋" w:hAnsi="仿宋" w:eastAsia="仿宋"/>
          <w:b/>
          <w:color w:val="000000" w:themeColor="text1"/>
          <w:kern w:val="0"/>
          <w14:textFill>
            <w14:solidFill>
              <w14:schemeClr w14:val="tx1"/>
            </w14:solidFill>
          </w14:textFill>
        </w:rPr>
      </w:pPr>
    </w:p>
    <w:p>
      <w:pPr>
        <w:spacing w:line="360" w:lineRule="auto"/>
        <w:jc w:val="center"/>
        <w:rPr>
          <w:rFonts w:ascii="仿宋" w:hAnsi="仿宋" w:eastAsia="仿宋" w:cs="宋体"/>
          <w:b/>
          <w:kern w:val="0"/>
          <w:sz w:val="24"/>
          <w:lang w:val="zh-CN"/>
        </w:rPr>
      </w:pPr>
      <w:r>
        <w:rPr>
          <w:rFonts w:hint="eastAsia" w:ascii="仿宋" w:hAnsi="仿宋" w:eastAsia="仿宋" w:cs="宋体"/>
          <w:b/>
          <w:kern w:val="0"/>
          <w:sz w:val="24"/>
          <w:lang w:val="zh-CN"/>
        </w:rPr>
        <w:t>开标一览表（报价表）(单位均为人民币元)</w:t>
      </w:r>
    </w:p>
    <w:tbl>
      <w:tblPr>
        <w:tblStyle w:val="6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24"/>
        <w:gridCol w:w="779"/>
        <w:gridCol w:w="779"/>
        <w:gridCol w:w="1005"/>
        <w:gridCol w:w="108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3"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序号</w:t>
            </w:r>
          </w:p>
        </w:tc>
        <w:tc>
          <w:tcPr>
            <w:tcW w:w="3024"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报价内容</w:t>
            </w:r>
          </w:p>
        </w:tc>
        <w:tc>
          <w:tcPr>
            <w:tcW w:w="779"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单位</w:t>
            </w:r>
          </w:p>
        </w:tc>
        <w:tc>
          <w:tcPr>
            <w:tcW w:w="779"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数量</w:t>
            </w:r>
          </w:p>
        </w:tc>
        <w:tc>
          <w:tcPr>
            <w:tcW w:w="1005"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单价</w:t>
            </w:r>
          </w:p>
        </w:tc>
        <w:tc>
          <w:tcPr>
            <w:tcW w:w="1080"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合价</w:t>
            </w:r>
          </w:p>
        </w:tc>
        <w:tc>
          <w:tcPr>
            <w:tcW w:w="1178" w:type="dxa"/>
            <w:vAlign w:val="center"/>
          </w:tcPr>
          <w:p>
            <w:pPr>
              <w:autoSpaceDE w:val="0"/>
              <w:autoSpaceDN w:val="0"/>
              <w:snapToGrid w:val="0"/>
              <w:jc w:val="center"/>
              <w:rPr>
                <w:rFonts w:ascii="仿宋" w:hAnsi="仿宋" w:eastAsia="仿宋" w:cs="宋体"/>
                <w:b/>
                <w:bCs/>
                <w:kern w:val="0"/>
                <w:sz w:val="24"/>
                <w:lang w:val="zh-CN"/>
              </w:rPr>
            </w:pPr>
            <w:r>
              <w:rPr>
                <w:rFonts w:hint="eastAsia" w:ascii="仿宋" w:hAnsi="仿宋" w:eastAsia="仿宋" w:cs="宋体"/>
                <w:b/>
                <w:bCs/>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vAlign w:val="center"/>
          </w:tcPr>
          <w:p>
            <w:pPr>
              <w:autoSpaceDE w:val="0"/>
              <w:autoSpaceDN w:val="0"/>
              <w:snapToGrid w:val="0"/>
              <w:rPr>
                <w:rFonts w:ascii="仿宋" w:hAnsi="仿宋" w:eastAsia="仿宋" w:cs="宋体"/>
                <w:kern w:val="0"/>
                <w:sz w:val="24"/>
                <w:lang w:val="zh-CN"/>
              </w:rPr>
            </w:pPr>
            <w:r>
              <w:rPr>
                <w:rFonts w:hint="eastAsia" w:ascii="仿宋" w:hAnsi="仿宋" w:eastAsia="仿宋" w:cs="宋体"/>
                <w:kern w:val="0"/>
                <w:sz w:val="24"/>
                <w:lang w:val="zh-CN"/>
              </w:rPr>
              <w:t>一</w:t>
            </w:r>
          </w:p>
        </w:tc>
        <w:tc>
          <w:tcPr>
            <w:tcW w:w="3024" w:type="dxa"/>
            <w:vAlign w:val="center"/>
          </w:tcPr>
          <w:p>
            <w:pPr>
              <w:autoSpaceDE w:val="0"/>
              <w:autoSpaceDN w:val="0"/>
              <w:snapToGrid w:val="0"/>
              <w:rPr>
                <w:rFonts w:ascii="仿宋" w:hAnsi="仿宋" w:eastAsia="仿宋" w:cs="宋体"/>
                <w:kern w:val="0"/>
                <w:sz w:val="24"/>
                <w:lang w:val="zh-CN"/>
              </w:rPr>
            </w:pPr>
            <w:r>
              <w:rPr>
                <w:rFonts w:hint="eastAsia" w:ascii="仿宋" w:hAnsi="仿宋" w:eastAsia="仿宋" w:cs="宋体"/>
                <w:kern w:val="0"/>
                <w:sz w:val="24"/>
                <w:lang w:val="zh-CN"/>
              </w:rPr>
              <w:t>建德市园地林地草地定级和基准地价制定技术服务采购项目</w:t>
            </w:r>
          </w:p>
        </w:tc>
        <w:tc>
          <w:tcPr>
            <w:tcW w:w="779" w:type="dxa"/>
            <w:vAlign w:val="center"/>
          </w:tcPr>
          <w:p>
            <w:pPr>
              <w:autoSpaceDE w:val="0"/>
              <w:autoSpaceDN w:val="0"/>
              <w:snapToGrid w:val="0"/>
              <w:ind w:firstLine="192" w:firstLineChars="100"/>
              <w:rPr>
                <w:rFonts w:ascii="仿宋" w:hAnsi="仿宋" w:eastAsia="仿宋" w:cs="仿宋"/>
                <w:bCs/>
                <w:w w:val="80"/>
                <w:sz w:val="24"/>
                <w:lang w:val="zh-CN"/>
              </w:rPr>
            </w:pPr>
            <w:r>
              <w:rPr>
                <w:rFonts w:hint="eastAsia" w:ascii="仿宋" w:hAnsi="仿宋" w:eastAsia="仿宋" w:cs="仿宋"/>
                <w:bCs/>
                <w:w w:val="80"/>
                <w:sz w:val="24"/>
                <w:lang w:val="zh-CN"/>
              </w:rPr>
              <w:t>年</w:t>
            </w:r>
          </w:p>
        </w:tc>
        <w:tc>
          <w:tcPr>
            <w:tcW w:w="779" w:type="dxa"/>
            <w:vAlign w:val="center"/>
          </w:tcPr>
          <w:p>
            <w:pPr>
              <w:autoSpaceDE w:val="0"/>
              <w:autoSpaceDN w:val="0"/>
              <w:snapToGrid w:val="0"/>
              <w:rPr>
                <w:rFonts w:ascii="仿宋" w:hAnsi="仿宋" w:eastAsia="仿宋" w:cs="仿宋"/>
                <w:bCs/>
                <w:w w:val="80"/>
                <w:sz w:val="24"/>
                <w:lang w:val="zh-CN"/>
              </w:rPr>
            </w:pPr>
          </w:p>
        </w:tc>
        <w:tc>
          <w:tcPr>
            <w:tcW w:w="1005" w:type="dxa"/>
            <w:vAlign w:val="center"/>
          </w:tcPr>
          <w:p>
            <w:pPr>
              <w:autoSpaceDE w:val="0"/>
              <w:autoSpaceDN w:val="0"/>
              <w:snapToGrid w:val="0"/>
              <w:rPr>
                <w:rFonts w:ascii="仿宋" w:hAnsi="仿宋" w:eastAsia="仿宋" w:cs="仿宋"/>
                <w:bCs/>
                <w:w w:val="80"/>
                <w:sz w:val="24"/>
                <w:lang w:val="zh-CN"/>
              </w:rPr>
            </w:pPr>
          </w:p>
        </w:tc>
        <w:tc>
          <w:tcPr>
            <w:tcW w:w="1080" w:type="dxa"/>
            <w:vAlign w:val="center"/>
          </w:tcPr>
          <w:p>
            <w:pPr>
              <w:autoSpaceDE w:val="0"/>
              <w:autoSpaceDN w:val="0"/>
              <w:snapToGrid w:val="0"/>
              <w:rPr>
                <w:rFonts w:ascii="仿宋" w:hAnsi="仿宋" w:eastAsia="仿宋" w:cs="仿宋"/>
                <w:bCs/>
                <w:w w:val="80"/>
                <w:sz w:val="24"/>
                <w:lang w:val="zh-CN"/>
              </w:rPr>
            </w:pPr>
          </w:p>
        </w:tc>
        <w:tc>
          <w:tcPr>
            <w:tcW w:w="1178" w:type="dxa"/>
            <w:vAlign w:val="center"/>
          </w:tcPr>
          <w:p>
            <w:pPr>
              <w:autoSpaceDE w:val="0"/>
              <w:autoSpaceDN w:val="0"/>
              <w:snapToGrid w:val="0"/>
              <w:rPr>
                <w:rFonts w:ascii="仿宋" w:hAnsi="仿宋" w:eastAsia="仿宋" w:cs="仿宋"/>
                <w:bCs/>
                <w:w w:val="8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vAlign w:val="center"/>
          </w:tcPr>
          <w:p>
            <w:pPr>
              <w:autoSpaceDE w:val="0"/>
              <w:autoSpaceDN w:val="0"/>
              <w:snapToGrid w:val="0"/>
              <w:rPr>
                <w:rFonts w:ascii="仿宋" w:hAnsi="仿宋" w:eastAsia="仿宋" w:cs="宋体"/>
                <w:kern w:val="0"/>
                <w:sz w:val="24"/>
                <w:lang w:val="zh-CN"/>
              </w:rPr>
            </w:pPr>
          </w:p>
        </w:tc>
        <w:tc>
          <w:tcPr>
            <w:tcW w:w="3024" w:type="dxa"/>
            <w:vAlign w:val="center"/>
          </w:tcPr>
          <w:p>
            <w:pPr>
              <w:autoSpaceDE w:val="0"/>
              <w:autoSpaceDN w:val="0"/>
              <w:snapToGrid w:val="0"/>
              <w:rPr>
                <w:rFonts w:ascii="仿宋" w:hAnsi="仿宋" w:eastAsia="仿宋" w:cs="宋体"/>
                <w:kern w:val="0"/>
                <w:sz w:val="24"/>
                <w:lang w:val="zh-CN"/>
              </w:rPr>
            </w:pPr>
            <w:r>
              <w:rPr>
                <w:rFonts w:hint="eastAsia" w:ascii="仿宋" w:hAnsi="仿宋" w:eastAsia="仿宋" w:cs="宋体"/>
                <w:kern w:val="0"/>
                <w:sz w:val="24"/>
                <w:lang w:val="zh-CN"/>
              </w:rPr>
              <w:t>报价金额（合价）报价小写</w:t>
            </w:r>
          </w:p>
        </w:tc>
        <w:tc>
          <w:tcPr>
            <w:tcW w:w="4821" w:type="dxa"/>
            <w:gridSpan w:val="5"/>
            <w:vAlign w:val="center"/>
          </w:tcPr>
          <w:p>
            <w:pPr>
              <w:autoSpaceDE w:val="0"/>
              <w:autoSpaceDN w:val="0"/>
              <w:snapToGrid w:val="0"/>
              <w:rPr>
                <w:rFonts w:ascii="仿宋" w:hAnsi="仿宋" w:eastAsia="仿宋" w:cs="仿宋"/>
                <w:bCs/>
                <w:w w:val="80"/>
                <w:sz w:val="24"/>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vAlign w:val="center"/>
          </w:tcPr>
          <w:p>
            <w:pPr>
              <w:autoSpaceDE w:val="0"/>
              <w:autoSpaceDN w:val="0"/>
              <w:snapToGrid w:val="0"/>
              <w:rPr>
                <w:rFonts w:ascii="仿宋" w:hAnsi="仿宋" w:eastAsia="仿宋" w:cs="宋体"/>
                <w:kern w:val="0"/>
                <w:sz w:val="24"/>
                <w:lang w:val="zh-CN"/>
              </w:rPr>
            </w:pPr>
          </w:p>
        </w:tc>
        <w:tc>
          <w:tcPr>
            <w:tcW w:w="3024" w:type="dxa"/>
            <w:vAlign w:val="center"/>
          </w:tcPr>
          <w:p>
            <w:pPr>
              <w:autoSpaceDE w:val="0"/>
              <w:autoSpaceDN w:val="0"/>
              <w:snapToGrid w:val="0"/>
              <w:rPr>
                <w:rFonts w:ascii="仿宋" w:hAnsi="仿宋" w:eastAsia="仿宋" w:cs="宋体"/>
                <w:kern w:val="0"/>
                <w:sz w:val="24"/>
                <w:lang w:val="zh-CN"/>
              </w:rPr>
            </w:pPr>
            <w:r>
              <w:rPr>
                <w:rFonts w:hint="eastAsia" w:ascii="仿宋" w:hAnsi="仿宋" w:eastAsia="仿宋" w:cs="宋体"/>
                <w:kern w:val="0"/>
                <w:sz w:val="24"/>
                <w:lang w:val="zh-CN"/>
              </w:rPr>
              <w:t>报价金额（合价）报价大写</w:t>
            </w:r>
          </w:p>
        </w:tc>
        <w:tc>
          <w:tcPr>
            <w:tcW w:w="4821" w:type="dxa"/>
            <w:gridSpan w:val="5"/>
            <w:vAlign w:val="center"/>
          </w:tcPr>
          <w:p>
            <w:pPr>
              <w:autoSpaceDE w:val="0"/>
              <w:autoSpaceDN w:val="0"/>
              <w:snapToGrid w:val="0"/>
              <w:rPr>
                <w:rFonts w:ascii="仿宋" w:hAnsi="仿宋" w:eastAsia="仿宋" w:cs="仿宋"/>
                <w:b/>
                <w:w w:val="80"/>
                <w:sz w:val="24"/>
                <w:u w:val="single"/>
              </w:rPr>
            </w:pPr>
          </w:p>
        </w:tc>
      </w:tr>
    </w:tbl>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2" w:firstLineChars="200"/>
        <w:rPr>
          <w:rFonts w:ascii="仿宋" w:hAnsi="仿宋" w:eastAsia="仿宋" w:cs="宋体"/>
          <w:b/>
          <w:bCs/>
          <w:color w:val="000000" w:themeColor="text1"/>
          <w:kern w:val="0"/>
          <w:sz w:val="24"/>
          <w:lang w:val="zh-CN"/>
          <w14:textFill>
            <w14:solidFill>
              <w14:schemeClr w14:val="tx1"/>
            </w14:solidFill>
          </w14:textFill>
        </w:rPr>
      </w:pPr>
      <w:r>
        <w:rPr>
          <w:rFonts w:hint="eastAsia" w:ascii="仿宋" w:hAnsi="仿宋" w:eastAsia="仿宋" w:cs="宋体"/>
          <w:b/>
          <w:bCs/>
          <w:color w:val="000000" w:themeColor="text1"/>
          <w:kern w:val="0"/>
          <w:sz w:val="24"/>
          <w:lang w:val="zh-CN"/>
          <w14:textFill>
            <w14:solidFill>
              <w14:schemeClr w14:val="tx1"/>
            </w14:solidFill>
          </w14:textFill>
        </w:rPr>
        <w:t>1、投标人需按本表格式填写，</w:t>
      </w:r>
      <w:r>
        <w:rPr>
          <w:rFonts w:hint="eastAsia" w:ascii="仿宋" w:hAnsi="仿宋" w:eastAsia="仿宋" w:cs="宋体"/>
          <w:b/>
          <w:bCs/>
          <w:color w:val="000000" w:themeColor="text1"/>
          <w:kern w:val="0"/>
          <w:sz w:val="24"/>
          <w14:textFill>
            <w14:solidFill>
              <w14:schemeClr w14:val="tx1"/>
            </w14:solidFill>
          </w14:textFill>
        </w:rPr>
        <w:t>否则视为</w:t>
      </w:r>
      <w:r>
        <w:rPr>
          <w:rFonts w:hint="eastAsia" w:ascii="仿宋" w:hAnsi="仿宋" w:eastAsia="仿宋" w:cs="宋体"/>
          <w:b/>
          <w:bCs/>
          <w:color w:val="000000" w:themeColor="text1"/>
          <w:sz w:val="24"/>
          <w14:textFill>
            <w14:solidFill>
              <w14:schemeClr w14:val="tx1"/>
            </w14:solidFill>
          </w14:textFill>
        </w:rPr>
        <w:t>投标文件含有采购人不能接受的附加条件，投标无效</w:t>
      </w:r>
      <w:r>
        <w:rPr>
          <w:rFonts w:hint="eastAsia" w:ascii="仿宋" w:hAnsi="仿宋" w:eastAsia="仿宋" w:cs="宋体"/>
          <w:b/>
          <w:bCs/>
          <w:color w:val="000000" w:themeColor="text1"/>
          <w:kern w:val="0"/>
          <w:sz w:val="24"/>
          <w:lang w:val="zh-CN"/>
          <w14:textFill>
            <w14:solidFill>
              <w14:schemeClr w14:val="tx1"/>
            </w14:solidFill>
          </w14:textFill>
        </w:rPr>
        <w:t>；。</w:t>
      </w:r>
    </w:p>
    <w:p>
      <w:pPr>
        <w:spacing w:line="360" w:lineRule="auto"/>
        <w:ind w:firstLine="482" w:firstLineChars="200"/>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lang w:val="zh-CN"/>
          <w14:textFill>
            <w14:solidFill>
              <w14:schemeClr w14:val="tx1"/>
            </w14:solidFill>
          </w14:textFill>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仿宋" w:hAnsi="仿宋" w:eastAsia="仿宋" w:cs="宋体"/>
          <w:b/>
          <w:bCs/>
          <w:color w:val="000000" w:themeColor="text1"/>
          <w:kern w:val="0"/>
          <w:sz w:val="24"/>
          <w14:textFill>
            <w14:solidFill>
              <w14:schemeClr w14:val="tx1"/>
            </w14:solidFill>
          </w14:textFill>
        </w:rPr>
        <w:t>否则视为</w:t>
      </w:r>
      <w:r>
        <w:rPr>
          <w:rFonts w:hint="eastAsia" w:ascii="仿宋" w:hAnsi="仿宋" w:eastAsia="仿宋" w:cs="宋体"/>
          <w:b/>
          <w:bCs/>
          <w:color w:val="000000" w:themeColor="text1"/>
          <w:sz w:val="24"/>
          <w14:textFill>
            <w14:solidFill>
              <w14:schemeClr w14:val="tx1"/>
            </w14:solidFill>
          </w14:textFill>
        </w:rPr>
        <w:t>投标文件含有采购人不能接受的附加条件，投标无效</w:t>
      </w:r>
      <w:r>
        <w:rPr>
          <w:rFonts w:hint="eastAsia" w:ascii="仿宋" w:hAnsi="仿宋" w:eastAsia="仿宋" w:cs="宋体"/>
          <w:b/>
          <w:bCs/>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仿宋" w:hAnsi="仿宋" w:eastAsia="仿宋" w:cs="宋体"/>
          <w:b/>
          <w:bCs/>
          <w:color w:val="000000" w:themeColor="text1"/>
          <w:kern w:val="0"/>
          <w:sz w:val="24"/>
          <w14:textFill>
            <w14:solidFill>
              <w14:schemeClr w14:val="tx1"/>
            </w14:solidFill>
          </w14:textFill>
        </w:rPr>
        <w:t>视为</w:t>
      </w:r>
      <w:r>
        <w:rPr>
          <w:rFonts w:hint="eastAsia" w:ascii="仿宋" w:hAnsi="仿宋" w:eastAsia="仿宋" w:cs="宋体"/>
          <w:b/>
          <w:bCs/>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2" w:firstLineChars="200"/>
        <w:jc w:val="left"/>
        <w:rPr>
          <w:rFonts w:ascii="仿宋" w:hAnsi="仿宋" w:eastAsia="仿宋" w:cs="宋体"/>
          <w:b/>
          <w:bCs/>
          <w:color w:val="000000" w:themeColor="text1"/>
          <w:kern w:val="0"/>
          <w:sz w:val="24"/>
          <w:lang w:val="zh-CN"/>
          <w14:textFill>
            <w14:solidFill>
              <w14:schemeClr w14:val="tx1"/>
            </w14:solidFill>
          </w14:textFill>
        </w:rPr>
      </w:pPr>
      <w:r>
        <w:rPr>
          <w:rFonts w:hint="eastAsia" w:ascii="仿宋" w:hAnsi="仿宋" w:eastAsia="仿宋" w:cs="宋体"/>
          <w:b/>
          <w:bCs/>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ascii="仿宋" w:hAnsi="仿宋" w:eastAsia="仿宋" w:cs="宋体"/>
          <w:b/>
          <w:bCs/>
          <w:color w:val="000000" w:themeColor="text1"/>
          <w:kern w:val="0"/>
          <w:sz w:val="24"/>
          <w:lang w:val="zh-CN"/>
          <w14:textFill>
            <w14:solidFill>
              <w14:schemeClr w14:val="tx1"/>
            </w14:solidFill>
          </w14:textFill>
        </w:rPr>
      </w:pPr>
      <w:r>
        <w:rPr>
          <w:rFonts w:ascii="仿宋" w:hAnsi="仿宋" w:eastAsia="仿宋" w:cs="宋体"/>
          <w:b/>
          <w:bCs/>
          <w:color w:val="000000" w:themeColor="text1"/>
          <w:kern w:val="0"/>
          <w:sz w:val="24"/>
          <w:szCs w:val="22"/>
          <w:lang w:val="zh-CN"/>
          <w14:textFill>
            <w14:solidFill>
              <w14:schemeClr w14:val="tx1"/>
            </w14:solidFill>
          </w14:textFill>
        </w:rPr>
        <w:t>4</w:t>
      </w:r>
      <w:r>
        <w:rPr>
          <w:rFonts w:hint="eastAsia" w:ascii="仿宋" w:hAnsi="仿宋" w:eastAsia="仿宋" w:cs="宋体"/>
          <w:b/>
          <w:bCs/>
          <w:color w:val="000000" w:themeColor="text1"/>
          <w:kern w:val="0"/>
          <w:sz w:val="24"/>
          <w:szCs w:val="22"/>
          <w:lang w:val="zh-CN"/>
          <w14:textFill>
            <w14:solidFill>
              <w14:schemeClr w14:val="tx1"/>
            </w14:solidFill>
          </w14:textFill>
        </w:rPr>
        <w:t>、</w:t>
      </w:r>
      <w:r>
        <w:rPr>
          <w:rFonts w:hint="eastAsia" w:ascii="仿宋" w:hAnsi="仿宋" w:eastAsia="仿宋" w:cs="宋体"/>
          <w:b/>
          <w:bCs/>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宋体"/>
          <w:b/>
          <w:kern w:val="0"/>
          <w:sz w:val="24"/>
        </w:rPr>
      </w:pPr>
    </w:p>
    <w:p>
      <w:pPr>
        <w:rPr>
          <w:rFonts w:cs="微软雅黑" w:asciiTheme="minorEastAsia" w:hAnsiTheme="minorEastAsia" w:eastAsiaTheme="minorEastAsia"/>
          <w:b/>
          <w:bCs/>
          <w:color w:val="000000" w:themeColor="text1"/>
          <w:spacing w:val="21"/>
          <w:kern w:val="0"/>
          <w:sz w:val="36"/>
          <w:szCs w:val="36"/>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政府采购支持中小企业信用融资相关事项通知</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widowControl/>
        <w:spacing w:line="440" w:lineRule="exact"/>
        <w:ind w:firstLine="482"/>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一、适用对象</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凡已在浙江政府采购网上注册入库，并取得建德市政府采购合同的中小企业供应商（以下简称“供应商”），均可申请政府采购信用融资。</w:t>
      </w:r>
    </w:p>
    <w:p>
      <w:pPr>
        <w:widowControl/>
        <w:spacing w:line="440" w:lineRule="exact"/>
        <w:ind w:firstLine="482"/>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二、政府采购信用融资操作流程：</w:t>
      </w:r>
    </w:p>
    <w:p>
      <w:pPr>
        <w:widowControl/>
        <w:spacing w:line="440" w:lineRule="exact"/>
        <w:ind w:firstLine="96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（一）线上融资模式（政采云）：</w:t>
      </w:r>
    </w:p>
    <w:p>
      <w:pPr>
        <w:widowControl/>
        <w:spacing w:line="440" w:lineRule="exact"/>
        <w:ind w:firstLine="96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操作路径：登录政采云平台—金融服务中心—融资贷款。</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1.供应商根据合作银行提供的方案，自行选择金融产品，并办理开户等手续；</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2.采购合同签订后，供应商在“政采云”平台向合作银行发出融资申请。</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3.审批通过后，办理放贷手续。</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（二）线下融资模式：</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1.供应商根据合作银行提供的方案，自行选择金融产品，向合作银行提出信用资格预审，并办理开户等手续；</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2.采购合同签订后，供应商向合作银行发出融资申请；</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3.合作银行受理申请后，供应商提供审批材料。合作银行应对申请信用融资的供应商及备案的政府采购合同信息进行核对和审查；</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4.审批通过后，合作银行应按照合作备忘录中约定的审批放款期限和优惠利率及时予以放款。</w:t>
      </w:r>
    </w:p>
    <w:p>
      <w:pPr>
        <w:pStyle w:val="5"/>
        <w:keepNext w:val="0"/>
        <w:keepLines w:val="0"/>
        <w:widowControl/>
        <w:spacing w:line="440" w:lineRule="exact"/>
        <w:ind w:firstLine="960"/>
        <w:rPr>
          <w:rFonts w:ascii="仿宋" w:eastAsia="仿宋" w:cs="仿宋"/>
          <w:color w:val="000000" w:themeColor="text1"/>
          <w14:textFill>
            <w14:solidFill>
              <w14:schemeClr w14:val="tx1"/>
            </w14:solidFill>
          </w14:textFill>
        </w:rPr>
      </w:pPr>
      <w:r>
        <w:rPr>
          <w:rFonts w:hint="eastAsia" w:ascii="仿宋" w:eastAsia="仿宋" w:cs="仿宋"/>
          <w:b w:val="0"/>
          <w:bCs w:val="0"/>
          <w:color w:val="000000" w:themeColor="text1"/>
          <w:sz w:val="24"/>
          <w:szCs w:val="24"/>
          <w14:textFill>
            <w14:solidFill>
              <w14:schemeClr w14:val="tx1"/>
            </w14:solidFill>
          </w14:textFill>
        </w:rPr>
        <w:t>（三）杭州e融平台申请融资</w:t>
      </w:r>
    </w:p>
    <w:p>
      <w:pPr>
        <w:pStyle w:val="5"/>
        <w:keepNext w:val="0"/>
        <w:keepLines w:val="0"/>
        <w:widowControl/>
        <w:spacing w:line="440" w:lineRule="exact"/>
        <w:ind w:firstLine="960"/>
        <w:rPr>
          <w:rFonts w:ascii="仿宋" w:eastAsia="仿宋" w:cs="仿宋"/>
          <w:color w:val="000000" w:themeColor="text1"/>
          <w14:textFill>
            <w14:solidFill>
              <w14:schemeClr w14:val="tx1"/>
            </w14:solidFill>
          </w14:textFill>
        </w:rPr>
      </w:pPr>
      <w:r>
        <w:rPr>
          <w:rFonts w:hint="eastAsia" w:ascii="仿宋" w:eastAsia="仿宋" w:cs="仿宋"/>
          <w:b w:val="0"/>
          <w:bCs w:val="0"/>
          <w:color w:val="000000" w:themeColor="text1"/>
          <w:sz w:val="24"/>
          <w:szCs w:val="24"/>
          <w14:textFill>
            <w14:solidFill>
              <w14:schemeClr w14:val="tx1"/>
            </w14:solidFill>
          </w14:textFill>
        </w:rPr>
        <w:t>供应商通过杭州e融平台政采贷专区，自行选择金融产品，按规定手续办理贷款流程。</w:t>
      </w:r>
    </w:p>
    <w:p>
      <w:pPr>
        <w:widowControl/>
        <w:spacing w:line="440" w:lineRule="exact"/>
        <w:ind w:firstLine="482"/>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三、注意事项</w:t>
      </w:r>
    </w:p>
    <w:p>
      <w:pPr>
        <w:widowControl/>
        <w:spacing w:line="440" w:lineRule="exact"/>
        <w:ind w:firstLine="48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1、对拟用于信用融资的政府采购合同，供应商在签订合同时应当在合同中注明融资银行名称及账号，作为在该银行的唯一收款账号。</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2、供应商弄虚作假或以伪造政府采购合同等方式违规获取政府采购信用融资，或不及时还款，或出现其他违反规定情形的，按融资合同约定承担违约责任；涉嫌犯罪的，移送司法机关处理。</w:t>
      </w:r>
    </w:p>
    <w:p>
      <w:pPr>
        <w:pStyle w:val="4"/>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000000" w:themeColor="text1"/>
          <w14:textFill>
            <w14:solidFill>
              <w14:schemeClr w14:val="tx1"/>
            </w14:solidFill>
          </w14:textFill>
        </w:rPr>
      </w:pPr>
      <w:bookmarkStart w:id="551" w:name="_Toc465665161"/>
      <w:r>
        <w:rPr>
          <w:rFonts w:hint="eastAsia" w:ascii="仿宋" w:hAnsi="仿宋" w:eastAsia="仿宋" w:cs="仿宋"/>
          <w:color w:val="000000" w:themeColor="text1"/>
          <w14:textFill>
            <w14:solidFill>
              <w14:schemeClr w14:val="tx1"/>
            </w14:solidFill>
          </w14:textFill>
        </w:rPr>
        <w:t>附件</w:t>
      </w:r>
      <w:bookmarkEnd w:id="551"/>
    </w:p>
    <w:p>
      <w:pPr>
        <w:spacing w:line="360" w:lineRule="auto"/>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附件1：</w:t>
      </w: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bookmarkStart w:id="552" w:name="OLE_LINK14"/>
      <w:bookmarkStart w:id="553" w:name="OLE_LINK13"/>
      <w:r>
        <w:rPr>
          <w:rFonts w:hint="eastAsia" w:ascii="仿宋" w:hAnsi="仿宋" w:eastAsia="仿宋" w:cs="仿宋"/>
          <w:b/>
          <w:color w:val="000000" w:themeColor="text1"/>
          <w:spacing w:val="6"/>
          <w:sz w:val="32"/>
          <w:szCs w:val="32"/>
          <w14:textFill>
            <w14:solidFill>
              <w14:schemeClr w14:val="tx1"/>
            </w14:solidFill>
          </w14:textFill>
        </w:rPr>
        <w:t>残疾人福利性单位声明函</w:t>
      </w:r>
    </w:p>
    <w:bookmarkEnd w:id="552"/>
    <w:bookmarkEnd w:id="553"/>
    <w:p>
      <w:pPr>
        <w:spacing w:line="360" w:lineRule="auto"/>
        <w:rPr>
          <w:rFonts w:ascii="仿宋" w:hAnsi="仿宋" w:eastAsia="仿宋" w:cs="仿宋"/>
          <w:b/>
          <w:color w:val="000000" w:themeColor="text1"/>
          <w:spacing w:val="6"/>
          <w:sz w:val="30"/>
          <w:szCs w:val="30"/>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投标人名称（电子签名）</w:t>
      </w:r>
      <w:r>
        <w:rPr>
          <w:rFonts w:hint="eastAsia" w:ascii="仿宋" w:hAnsi="仿宋" w:eastAsia="仿宋" w:cs="仿宋"/>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  期：</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20" w:firstLineChars="200"/>
        <w:rPr>
          <w:rFonts w:ascii="仿宋" w:hAnsi="仿宋" w:eastAsia="仿宋" w:cs="仿宋"/>
          <w:color w:val="000000" w:themeColor="text1"/>
          <w14:textFill>
            <w14:solidFill>
              <w14:schemeClr w14:val="tx1"/>
            </w14:solidFill>
          </w14:textFill>
        </w:rPr>
      </w:pPr>
    </w:p>
    <w:p>
      <w:pPr>
        <w:spacing w:line="360" w:lineRule="auto"/>
        <w:ind w:firstLine="420" w:firstLineChars="200"/>
        <w:rPr>
          <w:rFonts w:ascii="仿宋" w:hAnsi="仿宋" w:eastAsia="仿宋" w:cs="仿宋"/>
          <w:color w:val="000000" w:themeColor="text1"/>
          <w14:textFill>
            <w14:solidFill>
              <w14:schemeClr w14:val="tx1"/>
            </w14:solidFill>
          </w14:textFill>
        </w:rPr>
      </w:pPr>
    </w:p>
    <w:p>
      <w:pPr>
        <w:spacing w:line="360" w:lineRule="auto"/>
        <w:ind w:firstLine="420" w:firstLineChars="200"/>
        <w:rPr>
          <w:rFonts w:ascii="仿宋" w:hAnsi="仿宋" w:eastAsia="仿宋" w:cs="仿宋"/>
          <w:color w:val="000000" w:themeColor="text1"/>
          <w14:textFill>
            <w14:solidFill>
              <w14:schemeClr w14:val="tx1"/>
            </w14:solidFill>
          </w14:textFill>
        </w:rPr>
      </w:pPr>
    </w:p>
    <w:p>
      <w:pPr>
        <w:spacing w:line="360" w:lineRule="auto"/>
        <w:ind w:firstLine="420" w:firstLineChars="200"/>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jc w:val="left"/>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附件2：质疑函范本及制作说明</w:t>
      </w: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质疑函范本</w:t>
      </w:r>
    </w:p>
    <w:p>
      <w:pPr>
        <w:snapToGrid w:val="0"/>
        <w:spacing w:beforeLines="100"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一、质疑供应商基本信息</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质疑供应商：</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地址：邮编：</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联系人：联系电话：</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 邮编：</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二、质疑项目基本情况</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质疑项目的名称：</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质疑项目的编号：包号：</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采购人名称：</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采购文件获取日期：</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三、质疑事项具体内容</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质疑事项1：</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事实依据：</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法律依据：</w:t>
      </w:r>
    </w:p>
    <w:p>
      <w:pPr>
        <w:snapToGrid w:val="0"/>
        <w:spacing w:line="360" w:lineRule="auto"/>
        <w:rPr>
          <w:rFonts w:ascii="仿宋" w:hAnsi="仿宋" w:eastAsia="仿宋" w:cs="仿宋"/>
          <w:color w:val="000000" w:themeColor="text1"/>
          <w:sz w:val="24"/>
          <w:u w:val="dotted"/>
          <w14:textFill>
            <w14:solidFill>
              <w14:schemeClr w14:val="tx1"/>
            </w14:solidFill>
          </w14:textFill>
        </w:rPr>
      </w:pP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质疑事项2</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四、与质疑事项相关的质疑请求</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请求：</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签字(签章)：                   公章：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日期：    </w:t>
      </w:r>
    </w:p>
    <w:p>
      <w:pPr>
        <w:spacing w:line="360" w:lineRule="auto"/>
        <w:jc w:val="center"/>
        <w:rPr>
          <w:rFonts w:ascii="仿宋" w:hAnsi="仿宋" w:eastAsia="仿宋" w:cs="仿宋"/>
          <w:b/>
          <w:bCs/>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000000" w:themeColor="text1"/>
          <w:sz w:val="30"/>
          <w:szCs w:val="30"/>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pStyle w:val="62"/>
        <w:ind w:firstLine="667"/>
        <w:rPr>
          <w:rFonts w:ascii="仿宋" w:hAnsi="仿宋" w:eastAsia="仿宋" w:cs="仿宋"/>
          <w:b/>
          <w:color w:val="000000" w:themeColor="text1"/>
          <w:spacing w:val="6"/>
          <w:sz w:val="32"/>
          <w:szCs w:val="32"/>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p>
    <w:p>
      <w:pPr>
        <w:spacing w:line="360" w:lineRule="auto"/>
        <w:jc w:val="left"/>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附件3：投诉书范本及制作说明</w:t>
      </w:r>
    </w:p>
    <w:p>
      <w:pPr>
        <w:spacing w:line="360" w:lineRule="auto"/>
        <w:jc w:val="center"/>
        <w:rPr>
          <w:rFonts w:ascii="仿宋" w:hAnsi="仿宋" w:eastAsia="仿宋" w:cs="仿宋"/>
          <w:b/>
          <w:color w:val="000000" w:themeColor="text1"/>
          <w:sz w:val="24"/>
          <w14:textFill>
            <w14:solidFill>
              <w14:schemeClr w14:val="tx1"/>
            </w14:solidFill>
          </w14:textFill>
        </w:rPr>
      </w:pPr>
    </w:p>
    <w:p>
      <w:pPr>
        <w:spacing w:line="360" w:lineRule="auto"/>
        <w:jc w:val="center"/>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投诉书范本</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一、投诉相关主体基本情况</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投诉人：</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址：邮编：</w:t>
      </w:r>
    </w:p>
    <w:p>
      <w:pPr>
        <w:tabs>
          <w:tab w:val="left" w:pos="6510"/>
        </w:tabs>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法定代表人/主要负责人：</w:t>
      </w:r>
    </w:p>
    <w:p>
      <w:pPr>
        <w:tabs>
          <w:tab w:val="left" w:pos="6510"/>
        </w:tabs>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授权代表：联系电话</w:t>
      </w:r>
      <w:r>
        <w:rPr>
          <w:rFonts w:hint="eastAsia" w:ascii="仿宋" w:hAnsi="仿宋" w:eastAsia="仿宋" w:cs="仿宋"/>
          <w:color w:val="000000" w:themeColor="text1"/>
          <w:sz w:val="24"/>
          <w:u w:val="dotted"/>
          <w14:textFill>
            <w14:solidFill>
              <w14:schemeClr w14:val="tx1"/>
            </w14:solidFill>
          </w14:textFill>
        </w:rPr>
        <w:t xml:space="preserve">：                  </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址：邮编：</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被投诉人1：</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址：邮编：</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联系人：联系电话：</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被投诉人2</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相关供应商：</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址：邮编：</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联系人：联系电话：</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二、投诉项目基本情况</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采购项目名称：</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采购项目编号：包号：</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采购人名称：</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代理机构名称：</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采购文件公告:</w:t>
      </w:r>
      <w:r>
        <w:rPr>
          <w:rFonts w:hint="eastAsia" w:ascii="仿宋" w:hAnsi="仿宋" w:eastAsia="仿宋" w:cs="仿宋"/>
          <w:color w:val="000000" w:themeColor="text1"/>
          <w:sz w:val="24"/>
          <w:u w:val="dotted"/>
          <w14:textFill>
            <w14:solidFill>
              <w14:schemeClr w14:val="tx1"/>
            </w14:solidFill>
          </w14:textFill>
        </w:rPr>
        <w:t xml:space="preserve">是/否 </w:t>
      </w:r>
      <w:r>
        <w:rPr>
          <w:rFonts w:hint="eastAsia" w:ascii="仿宋" w:hAnsi="仿宋" w:eastAsia="仿宋" w:cs="仿宋"/>
          <w:color w:val="000000" w:themeColor="text1"/>
          <w:sz w:val="24"/>
          <w14:textFill>
            <w14:solidFill>
              <w14:schemeClr w14:val="tx1"/>
            </w14:solidFill>
          </w14:textFill>
        </w:rPr>
        <w:t>公告期限：</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采购结果公告:</w:t>
      </w:r>
      <w:r>
        <w:rPr>
          <w:rFonts w:hint="eastAsia" w:ascii="仿宋" w:hAnsi="仿宋" w:eastAsia="仿宋" w:cs="仿宋"/>
          <w:color w:val="000000" w:themeColor="text1"/>
          <w:sz w:val="24"/>
          <w:u w:val="dotted"/>
          <w14:textFill>
            <w14:solidFill>
              <w14:schemeClr w14:val="tx1"/>
            </w14:solidFill>
          </w14:textFill>
        </w:rPr>
        <w:t xml:space="preserve">是/否 </w:t>
      </w:r>
      <w:r>
        <w:rPr>
          <w:rFonts w:hint="eastAsia" w:ascii="仿宋" w:hAnsi="仿宋" w:eastAsia="仿宋" w:cs="仿宋"/>
          <w:color w:val="000000" w:themeColor="text1"/>
          <w:sz w:val="24"/>
          <w14:textFill>
            <w14:solidFill>
              <w14:schemeClr w14:val="tx1"/>
            </w14:solidFill>
          </w14:textFill>
        </w:rPr>
        <w:t>公告期限：</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三、质疑基本情况</w:t>
      </w:r>
    </w:p>
    <w:p>
      <w:pPr>
        <w:spacing w:line="360" w:lineRule="auto"/>
        <w:ind w:firstLine="480" w:firstLineChars="200"/>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投诉人于年月日,向提出质疑，质疑事项为：</w:t>
      </w:r>
    </w:p>
    <w:p>
      <w:pPr>
        <w:spacing w:line="360" w:lineRule="auto"/>
        <w:rPr>
          <w:rFonts w:ascii="仿宋" w:hAnsi="仿宋" w:eastAsia="仿宋" w:cs="仿宋"/>
          <w:color w:val="000000" w:themeColor="text1"/>
          <w:sz w:val="24"/>
          <w:u w:val="dotted"/>
          <w14:textFill>
            <w14:solidFill>
              <w14:schemeClr w14:val="tx1"/>
            </w14:solidFill>
          </w14:textFill>
        </w:rPr>
      </w:pPr>
    </w:p>
    <w:p>
      <w:pPr>
        <w:spacing w:line="360" w:lineRule="auto"/>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dotted"/>
          <w14:textFill>
            <w14:solidFill>
              <w14:schemeClr w14:val="tx1"/>
            </w14:solidFill>
          </w14:textFill>
        </w:rPr>
        <w:t>采购人/代理机构</w:t>
      </w:r>
      <w:r>
        <w:rPr>
          <w:rFonts w:hint="eastAsia" w:ascii="仿宋" w:hAnsi="仿宋" w:eastAsia="仿宋" w:cs="仿宋"/>
          <w:color w:val="000000" w:themeColor="text1"/>
          <w:sz w:val="24"/>
          <w14:textFill>
            <w14:solidFill>
              <w14:schemeClr w14:val="tx1"/>
            </w14:solidFill>
          </w14:textFill>
        </w:rPr>
        <w:t>于年月日,就质疑事项作出了答复/没有在法定期限内作出答复。</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四、投诉事项具体内容</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投诉事项 1：</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事实依据：</w:t>
      </w:r>
    </w:p>
    <w:p>
      <w:pPr>
        <w:spacing w:line="360" w:lineRule="auto"/>
        <w:rPr>
          <w:rFonts w:ascii="仿宋" w:hAnsi="仿宋" w:eastAsia="仿宋" w:cs="仿宋"/>
          <w:color w:val="000000" w:themeColor="text1"/>
          <w:sz w:val="24"/>
          <w:u w:val="dotted"/>
          <w14:textFill>
            <w14:solidFill>
              <w14:schemeClr w14:val="tx1"/>
            </w14:solidFill>
          </w14:textFill>
        </w:rPr>
      </w:pP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法律依据：</w:t>
      </w:r>
    </w:p>
    <w:p>
      <w:pPr>
        <w:spacing w:line="360" w:lineRule="auto"/>
        <w:rPr>
          <w:rFonts w:ascii="仿宋" w:hAnsi="仿宋" w:eastAsia="仿宋" w:cs="仿宋"/>
          <w:color w:val="000000" w:themeColor="text1"/>
          <w:sz w:val="24"/>
          <w:u w:val="dotted"/>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投诉事项2</w:t>
      </w:r>
    </w:p>
    <w:p>
      <w:pPr>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五、与投诉事项相关的投诉请求</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请求：</w:t>
      </w:r>
    </w:p>
    <w:p>
      <w:pPr>
        <w:spacing w:line="360" w:lineRule="auto"/>
        <w:rPr>
          <w:rFonts w:ascii="仿宋" w:hAnsi="仿宋" w:eastAsia="仿宋" w:cs="仿宋"/>
          <w:color w:val="000000" w:themeColor="text1"/>
          <w:sz w:val="24"/>
          <w:u w:val="single"/>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签字(签章)：                   公章：                      </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日期：    </w:t>
      </w: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投诉书制作说明：</w:t>
      </w:r>
    </w:p>
    <w:p>
      <w:pPr>
        <w:widowControl/>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000000" w:themeColor="text1"/>
          <w:sz w:val="24"/>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附件4：</w:t>
      </w:r>
      <w:r>
        <w:rPr>
          <w:rFonts w:hint="eastAsia" w:ascii="仿宋" w:hAnsi="仿宋" w:eastAsia="仿宋" w:cs="仿宋"/>
          <w:b/>
          <w:bCs/>
          <w:color w:val="000000" w:themeColor="text1"/>
          <w:sz w:val="32"/>
          <w:szCs w:val="32"/>
          <w14:textFill>
            <w14:solidFill>
              <w14:schemeClr w14:val="tx1"/>
            </w14:solidFill>
          </w14:textFill>
        </w:rPr>
        <w:t>业务专用章使用说明函</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建德市规划和自然资源局、浙江辰光项目管理有限公司</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我方</w:t>
      </w:r>
      <w:r>
        <w:rPr>
          <w:rFonts w:hint="eastAsia" w:ascii="仿宋" w:hAnsi="仿宋" w:eastAsia="仿宋" w:cs="仿宋"/>
          <w:color w:val="000000" w:themeColor="text1"/>
          <w:sz w:val="24"/>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14:textFill>
            <w14:solidFill>
              <w14:schemeClr w14:val="tx1"/>
            </w14:solidFill>
          </w14:textFill>
        </w:rPr>
        <w:t>在参加</w:t>
      </w:r>
      <w:r>
        <w:rPr>
          <w:rFonts w:hint="eastAsia" w:ascii="仿宋" w:hAnsi="仿宋" w:eastAsia="仿宋" w:cs="仿宋"/>
          <w:color w:val="000000" w:themeColor="text1"/>
          <w:sz w:val="24"/>
          <w14:textFill>
            <w14:solidFill>
              <w14:schemeClr w14:val="tx1"/>
            </w14:solidFill>
          </w14:textFill>
        </w:rPr>
        <w:t>你方组织的建德市园地林地草地定级和基准地价制定技术服务采购项目【招标编号：JD2023BF-  】</w:t>
      </w:r>
      <w:r>
        <w:rPr>
          <w:rFonts w:hint="eastAsia" w:ascii="仿宋" w:hAnsi="仿宋" w:eastAsia="仿宋" w:cs="仿宋"/>
          <w:bCs/>
          <w:color w:val="000000" w:themeColor="text1"/>
          <w:sz w:val="24"/>
          <w14:textFill>
            <w14:solidFill>
              <w14:schemeClr w14:val="tx1"/>
            </w14:solidFill>
          </w14:textFill>
        </w:rPr>
        <w:t>投标活动中作如下说明：</w:t>
      </w:r>
      <w:r>
        <w:rPr>
          <w:rFonts w:hint="eastAsia" w:ascii="仿宋" w:hAnsi="仿宋" w:eastAsia="仿宋" w:cs="仿宋"/>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特此说明。</w:t>
      </w:r>
    </w:p>
    <w:p>
      <w:pPr>
        <w:spacing w:line="360" w:lineRule="auto"/>
        <w:ind w:firstLine="494"/>
        <w:rPr>
          <w:rFonts w:ascii="仿宋" w:hAnsi="仿宋" w:eastAsia="仿宋" w:cs="仿宋"/>
          <w:color w:val="000000" w:themeColor="text1"/>
          <w:sz w:val="24"/>
          <w14:textFill>
            <w14:solidFill>
              <w14:schemeClr w14:val="tx1"/>
            </w14:solidFill>
          </w14:textFill>
        </w:rPr>
      </w:pPr>
    </w:p>
    <w:p>
      <w:pPr>
        <w:spacing w:line="360" w:lineRule="auto"/>
        <w:ind w:firstLine="494"/>
        <w:rPr>
          <w:rFonts w:ascii="仿宋" w:hAnsi="仿宋" w:eastAsia="仿宋" w:cs="仿宋"/>
          <w:color w:val="000000" w:themeColor="text1"/>
          <w:sz w:val="24"/>
          <w14:textFill>
            <w14:solidFill>
              <w14:schemeClr w14:val="tx1"/>
            </w14:solidFill>
          </w14:textFill>
        </w:rPr>
      </w:pPr>
    </w:p>
    <w:p>
      <w:pPr>
        <w:spacing w:line="360" w:lineRule="auto"/>
        <w:ind w:firstLine="494"/>
        <w:rPr>
          <w:rFonts w:ascii="仿宋" w:hAnsi="仿宋" w:eastAsia="仿宋" w:cs="仿宋"/>
          <w:color w:val="000000" w:themeColor="text1"/>
          <w:sz w:val="24"/>
          <w14:textFill>
            <w14:solidFill>
              <w14:schemeClr w14:val="tx1"/>
            </w14:solidFill>
          </w14:textFill>
        </w:rPr>
      </w:pPr>
    </w:p>
    <w:p>
      <w:pPr>
        <w:spacing w:line="360" w:lineRule="auto"/>
        <w:ind w:firstLine="494"/>
        <w:rPr>
          <w:rFonts w:ascii="仿宋" w:hAnsi="仿宋" w:eastAsia="仿宋" w:cs="仿宋"/>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投标单位（法定名称章）：</w:t>
      </w:r>
    </w:p>
    <w:p>
      <w:pPr>
        <w:ind w:right="1440" w:firstLine="494"/>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       年     月     日</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附：</w:t>
      </w:r>
    </w:p>
    <w:p>
      <w:pPr>
        <w:spacing w:line="360" w:lineRule="auto"/>
        <w:rPr>
          <w:rFonts w:ascii="仿宋" w:hAnsi="仿宋" w:eastAsia="仿宋" w:cs="仿宋"/>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3Y6j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CLdjqN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H9hNy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C0f2E3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000000" w:themeColor="text1"/>
          <w:sz w:val="24"/>
          <w14:textFill>
            <w14:solidFill>
              <w14:schemeClr w14:val="tx1"/>
            </w14:solidFill>
          </w14:textFill>
        </w:rPr>
        <w:t>投标单位法定名称章（印模）                投标单位“XX专用章”（印模）</w:t>
      </w: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附件5：</w:t>
      </w:r>
      <w:r>
        <w:rPr>
          <w:rFonts w:hint="eastAsia" w:ascii="仿宋" w:hAnsi="仿宋" w:eastAsia="仿宋" w:cs="仿宋"/>
          <w:b/>
          <w:color w:val="000000" w:themeColor="text1"/>
          <w:sz w:val="32"/>
          <w:szCs w:val="32"/>
          <w14:textFill>
            <w14:solidFill>
              <w14:schemeClr w14:val="tx1"/>
            </w14:solidFill>
          </w14:textFill>
        </w:rPr>
        <w:t>中小企业声明函</w:t>
      </w:r>
    </w:p>
    <w:p>
      <w:pPr>
        <w:spacing w:line="360" w:lineRule="auto"/>
        <w:jc w:val="center"/>
        <w:rPr>
          <w:rFonts w:ascii="宋体" w:hAnsi="宋体" w:cs="宋体"/>
          <w:bCs/>
          <w:color w:val="000000" w:themeColor="text1"/>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中小企业声明函（服务）</w:t>
      </w:r>
    </w:p>
    <w:p>
      <w:pPr>
        <w:widowControl/>
        <w:spacing w:line="360" w:lineRule="auto"/>
        <w:ind w:firstLine="420" w:firstLineChars="200"/>
        <w:rPr>
          <w:rFonts w:ascii="宋体" w:hAnsi="宋体" w:cs="宋体"/>
          <w:bCs/>
          <w:color w:val="000000" w:themeColor="text1"/>
          <w14:textFill>
            <w14:solidFill>
              <w14:schemeClr w14:val="tx1"/>
            </w14:solidFill>
          </w14:textFill>
        </w:rPr>
      </w:pPr>
    </w:p>
    <w:p>
      <w:pPr>
        <w:widowControl/>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本公司（联合体）郑重声明，根据《政府采购促进中小企业发展管理办法》（财库﹝2020﹞46号）的规定，本公司（联合体）参加</w:t>
      </w:r>
      <w:r>
        <w:rPr>
          <w:rFonts w:hint="eastAsia" w:ascii="仿宋" w:hAnsi="仿宋" w:eastAsia="仿宋" w:cs="宋体"/>
          <w:bCs/>
          <w:i/>
          <w:iCs/>
          <w:color w:val="000000" w:themeColor="text1"/>
          <w:sz w:val="24"/>
          <w:u w:val="single"/>
          <w14:textFill>
            <w14:solidFill>
              <w14:schemeClr w14:val="tx1"/>
            </w14:solidFill>
          </w14:textFill>
        </w:rPr>
        <w:t>（单位名称）</w:t>
      </w:r>
      <w:r>
        <w:rPr>
          <w:rFonts w:hint="eastAsia" w:ascii="仿宋" w:hAnsi="仿宋" w:eastAsia="仿宋" w:cs="宋体"/>
          <w:bCs/>
          <w:color w:val="000000" w:themeColor="text1"/>
          <w:sz w:val="24"/>
          <w14:textFill>
            <w14:solidFill>
              <w14:schemeClr w14:val="tx1"/>
            </w14:solidFill>
          </w14:textFill>
        </w:rPr>
        <w:t>的</w:t>
      </w:r>
      <w:r>
        <w:rPr>
          <w:rFonts w:hint="eastAsia" w:ascii="仿宋" w:hAnsi="仿宋" w:eastAsia="仿宋" w:cs="宋体"/>
          <w:bCs/>
          <w:i/>
          <w:iCs/>
          <w:color w:val="000000" w:themeColor="text1"/>
          <w:sz w:val="24"/>
          <w:u w:val="single"/>
          <w14:textFill>
            <w14:solidFill>
              <w14:schemeClr w14:val="tx1"/>
            </w14:solidFill>
          </w14:textFill>
        </w:rPr>
        <w:t>（项目名称）</w:t>
      </w:r>
      <w:r>
        <w:rPr>
          <w:rFonts w:hint="eastAsia" w:ascii="仿宋" w:hAnsi="仿宋" w:eastAsia="仿宋" w:cs="宋体"/>
          <w:bCs/>
          <w:color w:val="000000" w:themeColor="text1"/>
          <w:sz w:val="24"/>
          <w14:textFill>
            <w14:solidFill>
              <w14:schemeClr w14:val="tx1"/>
            </w14:solidFill>
          </w14:textFill>
        </w:rPr>
        <w:t>采购活动，服务全部由符合政策要求的中小企业承接。相关企业（含联合体中的中小企业、签订分包意向协议的中小企业）的具体情况如下：</w:t>
      </w:r>
    </w:p>
    <w:p>
      <w:pPr>
        <w:widowControl/>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w:t>
      </w:r>
      <w:r>
        <w:rPr>
          <w:rFonts w:hint="eastAsia" w:ascii="仿宋" w:hAnsi="仿宋" w:eastAsia="仿宋" w:cs="宋体"/>
          <w:bCs/>
          <w:color w:val="000000" w:themeColor="text1"/>
          <w:sz w:val="24"/>
          <w:u w:val="single"/>
          <w14:textFill>
            <w14:solidFill>
              <w14:schemeClr w14:val="tx1"/>
            </w14:solidFill>
          </w14:textFill>
        </w:rPr>
        <w:t>（</w:t>
      </w:r>
      <w:r>
        <w:rPr>
          <w:rFonts w:hint="eastAsia" w:ascii="仿宋" w:hAnsi="仿宋" w:eastAsia="仿宋" w:cs="宋体"/>
          <w:b/>
          <w:color w:val="000000" w:themeColor="text1"/>
          <w:sz w:val="24"/>
          <w:u w:val="single"/>
          <w14:textFill>
            <w14:solidFill>
              <w14:schemeClr w14:val="tx1"/>
            </w14:solidFill>
          </w14:textFill>
        </w:rPr>
        <w:t>建德市园地林地草地定级和基准地价制定技术服务采购项目</w:t>
      </w:r>
      <w:r>
        <w:rPr>
          <w:rFonts w:hint="eastAsia" w:ascii="仿宋" w:hAnsi="仿宋" w:eastAsia="仿宋" w:cs="宋体"/>
          <w:bCs/>
          <w:color w:val="000000" w:themeColor="text1"/>
          <w:sz w:val="24"/>
          <w:u w:val="single"/>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，属于</w:t>
      </w:r>
      <w:r>
        <w:rPr>
          <w:rFonts w:hint="eastAsia" w:ascii="仿宋" w:hAnsi="仿宋" w:eastAsia="仿宋" w:cs="宋体"/>
          <w:bCs/>
          <w:color w:val="000000" w:themeColor="text1"/>
          <w:sz w:val="24"/>
          <w:u w:val="single"/>
          <w14:textFill>
            <w14:solidFill>
              <w14:schemeClr w14:val="tx1"/>
            </w14:solidFill>
          </w14:textFill>
        </w:rPr>
        <w:t>（</w:t>
      </w:r>
      <w:r>
        <w:rPr>
          <w:rFonts w:hint="eastAsia" w:ascii="仿宋" w:hAnsi="仿宋" w:eastAsia="仿宋" w:cs="宋体"/>
          <w:b/>
          <w:color w:val="000000" w:themeColor="text1"/>
          <w:sz w:val="24"/>
          <w:u w:val="single"/>
          <w14:textFill>
            <w14:solidFill>
              <w14:schemeClr w14:val="tx1"/>
            </w14:solidFill>
          </w14:textFill>
        </w:rPr>
        <w:t>其他未列明行业</w:t>
      </w:r>
      <w:r>
        <w:rPr>
          <w:rFonts w:hint="eastAsia" w:ascii="仿宋" w:hAnsi="仿宋" w:eastAsia="仿宋" w:cs="宋体"/>
          <w:bCs/>
          <w:color w:val="000000" w:themeColor="text1"/>
          <w:sz w:val="24"/>
          <w:u w:val="single"/>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；承接企业为</w:t>
      </w:r>
      <w:r>
        <w:rPr>
          <w:rFonts w:hint="eastAsia" w:ascii="仿宋" w:hAnsi="仿宋" w:eastAsia="仿宋" w:cs="宋体"/>
          <w:bCs/>
          <w:color w:val="000000" w:themeColor="text1"/>
          <w:sz w:val="24"/>
          <w:u w:val="single"/>
          <w14:textFill>
            <w14:solidFill>
              <w14:schemeClr w14:val="tx1"/>
            </w14:solidFill>
          </w14:textFill>
        </w:rPr>
        <w:t>（企业名称）</w:t>
      </w:r>
      <w:r>
        <w:rPr>
          <w:rFonts w:hint="eastAsia" w:ascii="仿宋" w:hAnsi="仿宋" w:eastAsia="仿宋" w:cs="宋体"/>
          <w:bCs/>
          <w:color w:val="000000" w:themeColor="text1"/>
          <w:sz w:val="24"/>
          <w14:textFill>
            <w14:solidFill>
              <w14:schemeClr w14:val="tx1"/>
            </w14:solidFill>
          </w14:textFill>
        </w:rPr>
        <w:t>，从业人员人，营业收入为万元，资产总额为万元，属于（</w:t>
      </w:r>
      <w:r>
        <w:rPr>
          <w:rFonts w:hint="eastAsia" w:ascii="仿宋" w:hAnsi="仿宋" w:eastAsia="仿宋" w:cs="宋体"/>
          <w:bCs/>
          <w:color w:val="000000" w:themeColor="text1"/>
          <w:sz w:val="24"/>
          <w:u w:val="single"/>
          <w14:textFill>
            <w14:solidFill>
              <w14:schemeClr w14:val="tx1"/>
            </w14:solidFill>
          </w14:textFill>
        </w:rPr>
        <w:t>中型企业、小型企业、微型企业</w:t>
      </w:r>
      <w:r>
        <w:rPr>
          <w:rFonts w:hint="eastAsia" w:ascii="仿宋" w:hAnsi="仿宋" w:eastAsia="仿宋" w:cs="宋体"/>
          <w:bCs/>
          <w:color w:val="000000" w:themeColor="text1"/>
          <w:sz w:val="24"/>
          <w14:textFill>
            <w14:solidFill>
              <w14:schemeClr w14:val="tx1"/>
            </w14:solidFill>
          </w14:textFill>
        </w:rPr>
        <w:t>）；</w:t>
      </w:r>
    </w:p>
    <w:p>
      <w:pPr>
        <w:widowControl/>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w:t>
      </w:r>
      <w:r>
        <w:rPr>
          <w:rFonts w:hint="eastAsia" w:ascii="仿宋" w:hAnsi="仿宋" w:eastAsia="仿宋" w:cs="宋体"/>
          <w:bCs/>
          <w:color w:val="000000" w:themeColor="text1"/>
          <w:sz w:val="24"/>
          <w:u w:val="single"/>
          <w14:textFill>
            <w14:solidFill>
              <w14:schemeClr w14:val="tx1"/>
            </w14:solidFill>
          </w14:textFill>
        </w:rPr>
        <w:t>（标的名称）</w:t>
      </w:r>
      <w:r>
        <w:rPr>
          <w:rFonts w:hint="eastAsia" w:ascii="仿宋" w:hAnsi="仿宋" w:eastAsia="仿宋" w:cs="宋体"/>
          <w:bCs/>
          <w:color w:val="000000" w:themeColor="text1"/>
          <w:sz w:val="24"/>
          <w14:textFill>
            <w14:solidFill>
              <w14:schemeClr w14:val="tx1"/>
            </w14:solidFill>
          </w14:textFill>
        </w:rPr>
        <w:t>，属于</w:t>
      </w:r>
      <w:r>
        <w:rPr>
          <w:rFonts w:hint="eastAsia" w:ascii="仿宋" w:hAnsi="仿宋" w:eastAsia="仿宋" w:cs="宋体"/>
          <w:bCs/>
          <w:color w:val="000000" w:themeColor="text1"/>
          <w:sz w:val="24"/>
          <w:u w:val="single"/>
          <w14:textFill>
            <w14:solidFill>
              <w14:schemeClr w14:val="tx1"/>
            </w14:solidFill>
          </w14:textFill>
        </w:rPr>
        <w:t>（采购文件中明确的所属行业）</w:t>
      </w:r>
      <w:r>
        <w:rPr>
          <w:rFonts w:hint="eastAsia" w:ascii="仿宋" w:hAnsi="仿宋" w:eastAsia="仿宋" w:cs="宋体"/>
          <w:bCs/>
          <w:color w:val="000000" w:themeColor="text1"/>
          <w:sz w:val="24"/>
          <w14:textFill>
            <w14:solidFill>
              <w14:schemeClr w14:val="tx1"/>
            </w14:solidFill>
          </w14:textFill>
        </w:rPr>
        <w:t>；承接企业为</w:t>
      </w:r>
      <w:r>
        <w:rPr>
          <w:rFonts w:hint="eastAsia" w:ascii="仿宋" w:hAnsi="仿宋" w:eastAsia="仿宋" w:cs="宋体"/>
          <w:bCs/>
          <w:color w:val="000000" w:themeColor="text1"/>
          <w:sz w:val="24"/>
          <w:u w:val="single"/>
          <w14:textFill>
            <w14:solidFill>
              <w14:schemeClr w14:val="tx1"/>
            </w14:solidFill>
          </w14:textFill>
        </w:rPr>
        <w:t>（企业名称）</w:t>
      </w:r>
      <w:r>
        <w:rPr>
          <w:rFonts w:hint="eastAsia" w:ascii="仿宋" w:hAnsi="仿宋" w:eastAsia="仿宋" w:cs="宋体"/>
          <w:bCs/>
          <w:color w:val="000000" w:themeColor="text1"/>
          <w:sz w:val="24"/>
          <w14:textFill>
            <w14:solidFill>
              <w14:schemeClr w14:val="tx1"/>
            </w14:solidFill>
          </w14:textFill>
        </w:rPr>
        <w:t>，从业人员</w:t>
      </w:r>
      <w:r>
        <w:rPr>
          <w:rFonts w:hint="eastAsia" w:ascii="仿宋" w:hAnsi="仿宋" w:eastAsia="仿宋" w:cs="宋体"/>
          <w:bCs/>
          <w:color w:val="000000" w:themeColor="text1"/>
          <w:sz w:val="24"/>
          <w14:textFill>
            <w14:solidFill>
              <w14:schemeClr w14:val="tx1"/>
            </w14:solidFill>
          </w14:textFill>
        </w:rPr>
        <w:tab/>
      </w:r>
      <w:r>
        <w:rPr>
          <w:rFonts w:hint="eastAsia" w:ascii="仿宋" w:hAnsi="仿宋" w:eastAsia="仿宋" w:cs="宋体"/>
          <w:bCs/>
          <w:color w:val="000000" w:themeColor="text1"/>
          <w:sz w:val="24"/>
          <w14:textFill>
            <w14:solidFill>
              <w14:schemeClr w14:val="tx1"/>
            </w14:solidFill>
          </w14:textFill>
        </w:rPr>
        <w:t>人，营业收入为</w:t>
      </w:r>
      <w:r>
        <w:rPr>
          <w:rFonts w:hint="eastAsia" w:ascii="仿宋" w:hAnsi="仿宋" w:eastAsia="仿宋" w:cs="宋体"/>
          <w:bCs/>
          <w:color w:val="000000" w:themeColor="text1"/>
          <w:sz w:val="24"/>
          <w:u w:val="single"/>
          <w14:textFill>
            <w14:solidFill>
              <w14:schemeClr w14:val="tx1"/>
            </w14:solidFill>
          </w14:textFill>
        </w:rPr>
        <w:tab/>
      </w:r>
      <w:r>
        <w:rPr>
          <w:rFonts w:hint="eastAsia" w:ascii="仿宋" w:hAnsi="仿宋" w:eastAsia="仿宋" w:cs="宋体"/>
          <w:bCs/>
          <w:color w:val="000000" w:themeColor="text1"/>
          <w:sz w:val="24"/>
          <w14:textFill>
            <w14:solidFill>
              <w14:schemeClr w14:val="tx1"/>
            </w14:solidFill>
          </w14:textFill>
        </w:rPr>
        <w:t>万元，资产总额为</w:t>
      </w:r>
      <w:r>
        <w:rPr>
          <w:rFonts w:hint="eastAsia" w:ascii="仿宋" w:hAnsi="仿宋" w:eastAsia="仿宋" w:cs="宋体"/>
          <w:bCs/>
          <w:color w:val="000000" w:themeColor="text1"/>
          <w:sz w:val="24"/>
          <w:u w:val="single"/>
          <w14:textFill>
            <w14:solidFill>
              <w14:schemeClr w14:val="tx1"/>
            </w14:solidFill>
          </w14:textFill>
        </w:rPr>
        <w:tab/>
      </w:r>
      <w:r>
        <w:rPr>
          <w:rFonts w:hint="eastAsia" w:ascii="仿宋" w:hAnsi="仿宋" w:eastAsia="仿宋" w:cs="宋体"/>
          <w:bCs/>
          <w:color w:val="000000" w:themeColor="text1"/>
          <w:sz w:val="24"/>
          <w14:textFill>
            <w14:solidFill>
              <w14:schemeClr w14:val="tx1"/>
            </w14:solidFill>
          </w14:textFill>
        </w:rPr>
        <w:t>万元，属于</w:t>
      </w:r>
      <w:r>
        <w:rPr>
          <w:rFonts w:hint="eastAsia" w:ascii="仿宋" w:hAnsi="仿宋" w:eastAsia="仿宋" w:cs="宋体"/>
          <w:bCs/>
          <w:color w:val="000000" w:themeColor="text1"/>
          <w:sz w:val="24"/>
          <w:u w:val="single"/>
          <w14:textFill>
            <w14:solidFill>
              <w14:schemeClr w14:val="tx1"/>
            </w14:solidFill>
          </w14:textFill>
        </w:rPr>
        <w:t>（中型企业、小型企业、微型企业）</w:t>
      </w:r>
      <w:r>
        <w:rPr>
          <w:rFonts w:hint="eastAsia" w:ascii="仿宋" w:hAnsi="仿宋" w:eastAsia="仿宋" w:cs="宋体"/>
          <w:bCs/>
          <w:color w:val="000000" w:themeColor="text1"/>
          <w:sz w:val="24"/>
          <w14:textFill>
            <w14:solidFill>
              <w14:schemeClr w14:val="tx1"/>
            </w14:solidFill>
          </w14:textFill>
        </w:rPr>
        <w:t>；</w:t>
      </w:r>
    </w:p>
    <w:p>
      <w:pPr>
        <w:widowControl/>
        <w:spacing w:line="360" w:lineRule="auto"/>
        <w:ind w:firstLine="480" w:firstLineChars="200"/>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w:t>
      </w:r>
    </w:p>
    <w:p>
      <w:pPr>
        <w:widowControl/>
        <w:spacing w:line="360" w:lineRule="auto"/>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本企业对上述声明内容的真实性负责。如有虚假，将依法承担相应责任。</w:t>
      </w:r>
    </w:p>
    <w:p>
      <w:pPr>
        <w:widowControl/>
        <w:spacing w:line="360" w:lineRule="auto"/>
        <w:ind w:firstLine="480" w:firstLineChars="200"/>
        <w:rPr>
          <w:rFonts w:ascii="仿宋" w:hAnsi="仿宋" w:eastAsia="仿宋" w:cs="仿宋"/>
          <w:bCs/>
          <w:color w:val="000000" w:themeColor="text1"/>
          <w:sz w:val="24"/>
          <w14:textFill>
            <w14:solidFill>
              <w14:schemeClr w14:val="tx1"/>
            </w14:solidFill>
          </w14:textFill>
        </w:rPr>
      </w:pPr>
    </w:p>
    <w:p>
      <w:pPr>
        <w:widowControl/>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企业名称（盖章）：</w:t>
      </w:r>
    </w:p>
    <w:p>
      <w:pPr>
        <w:widowControl/>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日    期：</w:t>
      </w:r>
    </w:p>
    <w:p>
      <w:pPr>
        <w:widowControl/>
        <w:spacing w:line="360" w:lineRule="auto"/>
        <w:ind w:firstLine="480" w:firstLineChars="200"/>
        <w:rPr>
          <w:rFonts w:ascii="仿宋" w:hAnsi="仿宋" w:eastAsia="仿宋" w:cs="仿宋"/>
          <w:bCs/>
          <w:color w:val="000000" w:themeColor="text1"/>
          <w:sz w:val="24"/>
          <w14:textFill>
            <w14:solidFill>
              <w14:schemeClr w14:val="tx1"/>
            </w14:solidFill>
          </w14:textFill>
        </w:rPr>
      </w:pPr>
    </w:p>
    <w:p>
      <w:pPr>
        <w:spacing w:line="360" w:lineRule="auto"/>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注：1.填写要求：①“标的名称”、“采购文件中明确的所属行业”依据采购文件第二部分供应商须知前附表中“采购标的及其对应的中小企业划分标准所属行业”的指引，</w:t>
      </w:r>
      <w:r>
        <w:rPr>
          <w:rFonts w:hint="eastAsia" w:ascii="仿宋" w:hAnsi="仿宋" w:eastAsia="仿宋" w:cs="仿宋"/>
          <w:b/>
          <w:bCs/>
          <w:color w:val="000000" w:themeColor="text1"/>
          <w:sz w:val="24"/>
          <w14:textFill>
            <w14:solidFill>
              <w14:schemeClr w14:val="tx1"/>
            </w14:solidFill>
          </w14:textFill>
        </w:rPr>
        <w:t>逐一填写，不得缺漏</w:t>
      </w:r>
      <w:r>
        <w:rPr>
          <w:rFonts w:hint="eastAsia" w:ascii="仿宋" w:hAnsi="仿宋" w:eastAsia="仿宋" w:cs="仿宋"/>
          <w:color w:val="000000" w:themeColor="text1"/>
          <w:sz w:val="24"/>
          <w14:textFill>
            <w14:solidFill>
              <w14:schemeClr w14:val="tx1"/>
            </w14:solidFill>
          </w14:textFill>
        </w:rPr>
        <w:t>；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b/>
          <w:bCs/>
          <w:color w:val="000000" w:themeColor="text1"/>
          <w:sz w:val="24"/>
          <w14:textFill>
            <w14:solidFill>
              <w14:schemeClr w14:val="tx1"/>
            </w14:solidFill>
          </w14:textFill>
        </w:rPr>
        <w:t>供应商提供的《中小企业声明函》与实际情况不符的或者未按以上要求填写的，中小企业声明函无效，不享受中小企业扶持政策</w:t>
      </w:r>
      <w:r>
        <w:rPr>
          <w:rFonts w:hint="eastAsia" w:ascii="仿宋" w:hAnsi="仿宋" w:eastAsia="仿宋" w:cs="仿宋"/>
          <w:color w:val="000000" w:themeColor="text1"/>
          <w:sz w:val="24"/>
          <w14:textFill>
            <w14:solidFill>
              <w14:schemeClr w14:val="tx1"/>
            </w14:solidFill>
          </w14:textFill>
        </w:rPr>
        <w:t>。声明内容不实的，属于提供虚假材料谋取中标、成交的，依法承担法律责任。</w:t>
      </w:r>
    </w:p>
    <w:p>
      <w:pPr>
        <w:spacing w:line="360" w:lineRule="auto"/>
        <w:ind w:right="42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jc w:val="center"/>
        <w:rPr>
          <w:rFonts w:ascii="仿宋" w:hAnsi="仿宋" w:eastAsia="仿宋" w:cs="仿宋"/>
          <w:b/>
          <w:color w:val="000000" w:themeColor="text1"/>
          <w:kern w:val="0"/>
          <w:sz w:val="32"/>
          <w:szCs w:val="32"/>
          <w:lang w:val="zh-CN"/>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附件6：</w:t>
      </w:r>
      <w:r>
        <w:rPr>
          <w:rFonts w:hint="eastAsia" w:ascii="仿宋" w:hAnsi="仿宋" w:eastAsia="仿宋" w:cs="仿宋"/>
          <w:b/>
          <w:color w:val="000000" w:themeColor="text1"/>
          <w:kern w:val="0"/>
          <w:sz w:val="32"/>
          <w:szCs w:val="32"/>
          <w:lang w:val="zh-CN"/>
          <w14:textFill>
            <w14:solidFill>
              <w14:schemeClr w14:val="tx1"/>
            </w14:solidFill>
          </w14:textFill>
        </w:rPr>
        <w:t>联合协议</w:t>
      </w:r>
    </w:p>
    <w:p>
      <w:pPr>
        <w:widowControl/>
        <w:spacing w:line="400" w:lineRule="exact"/>
        <w:ind w:firstLine="482"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u w:val="single"/>
          <w14:textFill>
            <w14:solidFill>
              <w14:schemeClr w14:val="tx1"/>
            </w14:solidFill>
          </w14:textFill>
        </w:rPr>
        <w:t>（联合体所有成员名称）</w:t>
      </w:r>
      <w:r>
        <w:rPr>
          <w:rFonts w:hint="eastAsia" w:ascii="仿宋" w:hAnsi="仿宋" w:eastAsia="仿宋" w:cs="仿宋"/>
          <w:color w:val="000000" w:themeColor="text1"/>
          <w:kern w:val="0"/>
          <w:sz w:val="24"/>
          <w14:textFill>
            <w14:solidFill>
              <w14:schemeClr w14:val="tx1"/>
            </w14:solidFill>
          </w14:textFill>
        </w:rPr>
        <w:t>自愿</w:t>
      </w:r>
      <w:r>
        <w:rPr>
          <w:rFonts w:hint="eastAsia" w:ascii="仿宋" w:hAnsi="仿宋" w:eastAsia="仿宋" w:cs="仿宋"/>
          <w:color w:val="000000" w:themeColor="text1"/>
          <w:kern w:val="0"/>
          <w:sz w:val="24"/>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14:textFill>
            <w14:solidFill>
              <w14:schemeClr w14:val="tx1"/>
            </w14:solidFill>
          </w14:textFill>
        </w:rPr>
        <w:t>参加</w:t>
      </w:r>
      <w:r>
        <w:rPr>
          <w:rFonts w:hint="eastAsia" w:ascii="仿宋" w:hAnsi="仿宋" w:eastAsia="仿宋" w:cs="仿宋"/>
          <w:color w:val="000000" w:themeColor="text1"/>
          <w:sz w:val="24"/>
          <w14:textFill>
            <w14:solidFill>
              <w14:schemeClr w14:val="tx1"/>
            </w14:solidFill>
          </w14:textFill>
        </w:rPr>
        <w:t>建德市园地林地草地定级和基准地价制定技术服务采购项目【招标编号：JD2023BF-  】</w:t>
      </w:r>
      <w:r>
        <w:rPr>
          <w:rFonts w:hint="eastAsia" w:ascii="仿宋" w:hAnsi="仿宋" w:eastAsia="仿宋" w:cs="仿宋"/>
          <w:color w:val="000000" w:themeColor="text1"/>
          <w:kern w:val="0"/>
          <w:sz w:val="24"/>
          <w:lang w:val="zh-CN"/>
          <w14:textFill>
            <w14:solidFill>
              <w14:schemeClr w14:val="tx1"/>
            </w14:solidFill>
          </w14:textFill>
        </w:rPr>
        <w:t xml:space="preserve">投标。 </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一、各方一致决定，</w:t>
      </w:r>
      <w:r>
        <w:rPr>
          <w:rFonts w:hint="eastAsia" w:ascii="仿宋" w:hAnsi="仿宋" w:eastAsia="仿宋" w:cs="仿宋"/>
          <w:color w:val="000000" w:themeColor="text1"/>
          <w:kern w:val="0"/>
          <w:sz w:val="24"/>
          <w:u w:val="single"/>
          <w14:textFill>
            <w14:solidFill>
              <w14:schemeClr w14:val="tx1"/>
            </w14:solidFill>
          </w14:textFill>
        </w:rPr>
        <w:t>（某联合体成员名称）</w:t>
      </w:r>
      <w:r>
        <w:rPr>
          <w:rFonts w:hint="eastAsia" w:ascii="仿宋" w:hAnsi="仿宋" w:eastAsia="仿宋" w:cs="仿宋"/>
          <w:color w:val="000000" w:themeColor="text1"/>
          <w:kern w:val="0"/>
          <w:sz w:val="24"/>
          <w14:textFill>
            <w14:solidFill>
              <w14:schemeClr w14:val="tx1"/>
            </w14:solidFill>
          </w14:textFill>
        </w:rPr>
        <w:t>为联合体</w:t>
      </w:r>
      <w:r>
        <w:rPr>
          <w:rFonts w:hint="eastAsia" w:ascii="仿宋" w:hAnsi="仿宋" w:eastAsia="仿宋" w:cs="仿宋"/>
          <w:color w:val="000000" w:themeColor="text1"/>
          <w:kern w:val="0"/>
          <w:sz w:val="24"/>
          <w:lang w:val="zh-CN"/>
          <w14:textFill>
            <w14:solidFill>
              <w14:schemeClr w14:val="tx1"/>
            </w14:solidFill>
          </w14:textFill>
        </w:rPr>
        <w:t>牵头人</w:t>
      </w:r>
      <w:r>
        <w:rPr>
          <w:rFonts w:hint="eastAsia" w:ascii="仿宋" w:hAnsi="仿宋" w:eastAsia="仿宋" w:cs="仿宋"/>
          <w:color w:val="000000" w:themeColor="text1"/>
          <w:sz w:val="24"/>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二、</w:t>
      </w:r>
      <w:r>
        <w:rPr>
          <w:rFonts w:hint="eastAsia" w:ascii="仿宋" w:hAnsi="仿宋" w:eastAsia="仿宋" w:cs="仿宋"/>
          <w:color w:val="000000" w:themeColor="text1"/>
          <w:sz w:val="24"/>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三、本次联合投标中，分工如下：</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bookmarkStart w:id="554" w:name="_Hlk101134295"/>
      <w:r>
        <w:rPr>
          <w:rFonts w:hint="eastAsia" w:ascii="仿宋" w:hAnsi="仿宋" w:eastAsia="仿宋" w:cs="仿宋"/>
          <w:color w:val="000000" w:themeColor="text1"/>
          <w:kern w:val="0"/>
          <w:sz w:val="24"/>
          <w:u w:val="single"/>
          <w14:textFill>
            <w14:solidFill>
              <w14:schemeClr w14:val="tx1"/>
            </w14:solidFill>
          </w14:textFill>
        </w:rPr>
        <w:t>（联合体成员1）</w:t>
      </w:r>
      <w:r>
        <w:rPr>
          <w:rFonts w:hint="eastAsia" w:ascii="仿宋" w:hAnsi="仿宋" w:eastAsia="仿宋" w:cs="仿宋"/>
          <w:color w:val="000000" w:themeColor="text1"/>
          <w:kern w:val="0"/>
          <w:sz w:val="24"/>
          <w:lang w:val="zh-CN"/>
          <w14:textFill>
            <w14:solidFill>
              <w14:schemeClr w14:val="tx1"/>
            </w14:solidFill>
          </w14:textFill>
        </w:rPr>
        <w:t>承担的工作和义务为：；</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u w:val="single"/>
          <w14:textFill>
            <w14:solidFill>
              <w14:schemeClr w14:val="tx1"/>
            </w14:solidFill>
          </w14:textFill>
        </w:rPr>
        <w:t>（联合体成员2）</w:t>
      </w:r>
      <w:r>
        <w:rPr>
          <w:rFonts w:hint="eastAsia" w:ascii="仿宋" w:hAnsi="仿宋" w:eastAsia="仿宋" w:cs="仿宋"/>
          <w:color w:val="000000" w:themeColor="text1"/>
          <w:kern w:val="0"/>
          <w:sz w:val="24"/>
          <w:lang w:val="zh-CN"/>
          <w14:textFill>
            <w14:solidFill>
              <w14:schemeClr w14:val="tx1"/>
            </w14:solidFill>
          </w14:textFill>
        </w:rPr>
        <w:t>承担的工作和义务为：；</w:t>
      </w:r>
    </w:p>
    <w:bookmarkEnd w:id="554"/>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四、联合体成员中小企业合同份额。</w:t>
      </w:r>
    </w:p>
    <w:p>
      <w:pPr>
        <w:snapToGrid w:val="0"/>
        <w:spacing w:line="400" w:lineRule="exact"/>
        <w:ind w:firstLine="576"/>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w:t>
      </w:r>
      <w:r>
        <w:rPr>
          <w:rFonts w:hint="eastAsia" w:ascii="仿宋" w:hAnsi="仿宋" w:eastAsia="仿宋" w:cs="仿宋"/>
          <w:color w:val="000000" w:themeColor="text1"/>
          <w:kern w:val="0"/>
          <w:sz w:val="24"/>
          <w:u w:val="single"/>
          <w14:textFill>
            <w14:solidFill>
              <w14:schemeClr w14:val="tx1"/>
            </w14:solidFill>
          </w14:textFill>
        </w:rPr>
        <w:t>（联合体成员X,……）</w:t>
      </w:r>
      <w:r>
        <w:rPr>
          <w:rFonts w:hint="eastAsia" w:ascii="仿宋" w:hAnsi="仿宋" w:eastAsia="仿宋" w:cs="仿宋"/>
          <w:color w:val="000000" w:themeColor="text1"/>
          <w:kern w:val="0"/>
          <w:sz w:val="24"/>
          <w14:textFill>
            <w14:solidFill>
              <w14:schemeClr w14:val="tx1"/>
            </w14:solidFill>
          </w14:textFill>
        </w:rPr>
        <w:t>提供的全部货物由小微企业制造，其合同份额占到合同总金额%以上；</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color w:val="000000" w:themeColor="text1"/>
          <w:kern w:val="0"/>
          <w:sz w:val="24"/>
          <w14:textFill>
            <w14:solidFill>
              <w14:schemeClr w14:val="tx1"/>
            </w14:solidFill>
          </w14:textFill>
        </w:rPr>
        <w:t>6</w:t>
      </w:r>
      <w:r>
        <w:rPr>
          <w:rFonts w:hint="eastAsia" w:ascii="仿宋" w:hAnsi="仿宋" w:eastAsia="仿宋" w:cs="仿宋"/>
          <w:b/>
          <w:color w:val="000000" w:themeColor="text1"/>
          <w:kern w:val="0"/>
          <w:sz w:val="24"/>
          <w:lang w:val="zh-CN"/>
          <w14:textFill>
            <w14:solidFill>
              <w14:schemeClr w14:val="tx1"/>
            </w14:solidFill>
          </w14:textFill>
        </w:rPr>
        <w:t>%的扣除。供应商</w:t>
      </w:r>
      <w:r>
        <w:rPr>
          <w:rFonts w:hint="eastAsia" w:ascii="仿宋" w:hAnsi="仿宋" w:eastAsia="仿宋" w:cs="仿宋"/>
          <w:b/>
          <w:color w:val="000000" w:themeColor="text1"/>
          <w:sz w:val="24"/>
          <w14:textFill>
            <w14:solidFill>
              <w14:schemeClr w14:val="tx1"/>
            </w14:solidFill>
          </w14:textFill>
        </w:rPr>
        <w:t>拟享受以上价格扣除政策的，填写有关内容。</w:t>
      </w:r>
      <w:r>
        <w:rPr>
          <w:rFonts w:hint="eastAsia" w:ascii="仿宋" w:hAnsi="仿宋" w:eastAsia="仿宋" w:cs="仿宋"/>
          <w:b/>
          <w:color w:val="000000" w:themeColor="text1"/>
          <w:kern w:val="0"/>
          <w:sz w:val="24"/>
          <w:lang w:val="zh-CN"/>
          <w14:textFill>
            <w14:solidFill>
              <w14:schemeClr w14:val="tx1"/>
            </w14:solidFill>
          </w14:textFill>
        </w:rPr>
        <w:t>）</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2、中小企业合同金额达到%，小微企业合同金额达到%</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 w:hAnsi="仿宋" w:eastAsia="仿宋" w:cs="仿宋"/>
          <w:b/>
          <w:bCs/>
          <w:color w:val="000000" w:themeColor="text1"/>
          <w:kern w:val="0"/>
          <w:sz w:val="24"/>
          <w:lang w:val="zh-CN"/>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lang w:val="zh-CN"/>
          <w14:textFill>
            <w14:solidFill>
              <w14:schemeClr w14:val="tx1"/>
            </w14:solidFill>
          </w14:textFill>
        </w:rPr>
        <w:t>）</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五、如果中标，</w:t>
      </w:r>
      <w:r>
        <w:rPr>
          <w:rFonts w:hint="eastAsia" w:ascii="仿宋" w:hAnsi="仿宋" w:eastAsia="仿宋" w:cs="仿宋"/>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六、有关本次联合投标的其他事宜：</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400" w:lineRule="exact"/>
        <w:ind w:firstLine="5040" w:firstLineChars="21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联合体成员名称(电子签名/公章)：</w:t>
      </w:r>
    </w:p>
    <w:p>
      <w:pPr>
        <w:snapToGrid w:val="0"/>
        <w:spacing w:line="40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日期：  年  月   日</w:t>
      </w:r>
    </w:p>
    <w:p>
      <w:pPr>
        <w:spacing w:line="400" w:lineRule="exact"/>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snapToGrid w:val="0"/>
        <w:spacing w:line="440" w:lineRule="exact"/>
        <w:ind w:firstLine="3666" w:firstLineChars="11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附件7：</w:t>
      </w:r>
      <w:r>
        <w:rPr>
          <w:rFonts w:hint="eastAsia" w:ascii="仿宋" w:hAnsi="仿宋" w:eastAsia="仿宋" w:cs="仿宋"/>
          <w:b/>
          <w:color w:val="000000" w:themeColor="text1"/>
          <w:kern w:val="0"/>
          <w:sz w:val="32"/>
          <w:szCs w:val="32"/>
          <w14:textFill>
            <w14:solidFill>
              <w14:schemeClr w14:val="tx1"/>
            </w14:solidFill>
          </w14:textFill>
        </w:rPr>
        <w:t>分包意向协议</w:t>
      </w:r>
    </w:p>
    <w:p>
      <w:pPr>
        <w:widowControl/>
        <w:spacing w:line="440" w:lineRule="exact"/>
        <w:ind w:firstLine="120" w:firstLineChars="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14:textFill>
            <w14:solidFill>
              <w14:schemeClr w14:val="tx1"/>
            </w14:solidFill>
          </w14:textFill>
        </w:rPr>
        <w:t>）</w:t>
      </w:r>
    </w:p>
    <w:p>
      <w:pPr>
        <w:snapToGrid w:val="0"/>
        <w:spacing w:line="44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lang w:val="zh-CN"/>
          <w14:textFill>
            <w14:solidFill>
              <w14:schemeClr w14:val="tx1"/>
            </w14:solidFill>
          </w14:textFill>
        </w:rPr>
        <w:t>若成为</w:t>
      </w:r>
      <w:r>
        <w:rPr>
          <w:rFonts w:hint="eastAsia" w:ascii="仿宋" w:hAnsi="仿宋" w:eastAsia="仿宋" w:cs="仿宋"/>
          <w:color w:val="000000" w:themeColor="text1"/>
          <w:sz w:val="24"/>
          <w14:textFill>
            <w14:solidFill>
              <w14:schemeClr w14:val="tx1"/>
            </w14:solidFill>
          </w14:textFill>
        </w:rPr>
        <w:t>建德市园地林地草地定级和基准地价制定技术服务采购项目【招标编号：JD2023BF-  】</w:t>
      </w:r>
      <w:r>
        <w:rPr>
          <w:rFonts w:hint="eastAsia" w:ascii="仿宋" w:hAnsi="仿宋" w:eastAsia="仿宋" w:cs="仿宋"/>
          <w:color w:val="000000" w:themeColor="text1"/>
          <w:kern w:val="0"/>
          <w:sz w:val="24"/>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与</w:t>
      </w:r>
      <w:r>
        <w:rPr>
          <w:rFonts w:hint="eastAsia" w:ascii="仿宋" w:hAnsi="仿宋" w:eastAsia="仿宋" w:cs="仿宋"/>
          <w:color w:val="000000" w:themeColor="text1"/>
          <w:kern w:val="0"/>
          <w:sz w:val="24"/>
          <w:u w:val="single"/>
          <w14:textFill>
            <w14:solidFill>
              <w14:schemeClr w14:val="tx1"/>
            </w14:solidFill>
          </w14:textFill>
        </w:rPr>
        <w:t>（所有分包供应商名称）</w:t>
      </w:r>
      <w:r>
        <w:rPr>
          <w:rFonts w:hint="eastAsia" w:ascii="仿宋" w:hAnsi="仿宋" w:eastAsia="仿宋" w:cs="仿宋"/>
          <w:color w:val="000000" w:themeColor="text1"/>
          <w:kern w:val="0"/>
          <w:sz w:val="24"/>
          <w14:textFill>
            <w14:solidFill>
              <w14:schemeClr w14:val="tx1"/>
            </w14:solidFill>
          </w14:textFill>
        </w:rPr>
        <w:t>达成分包意向协议</w:t>
      </w:r>
      <w:r>
        <w:rPr>
          <w:rFonts w:hint="eastAsia" w:ascii="仿宋" w:hAnsi="仿宋" w:eastAsia="仿宋" w:cs="仿宋"/>
          <w:color w:val="000000" w:themeColor="text1"/>
          <w:kern w:val="0"/>
          <w:sz w:val="24"/>
          <w:lang w:val="zh-CN"/>
          <w14:textFill>
            <w14:solidFill>
              <w14:schemeClr w14:val="tx1"/>
            </w14:solidFill>
          </w14:textFill>
        </w:rPr>
        <w:t xml:space="preserve">。 </w:t>
      </w:r>
    </w:p>
    <w:p>
      <w:pPr>
        <w:snapToGrid w:val="0"/>
        <w:spacing w:line="44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一、分包标的及数量</w:t>
      </w:r>
    </w:p>
    <w:p>
      <w:pPr>
        <w:snapToGrid w:val="0"/>
        <w:spacing w:line="44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lang w:val="zh-CN"/>
          <w14:textFill>
            <w14:solidFill>
              <w14:schemeClr w14:val="tx1"/>
            </w14:solidFill>
          </w14:textFill>
        </w:rPr>
        <w:t>将</w:t>
      </w:r>
      <w:r>
        <w:rPr>
          <w:rFonts w:hint="eastAsia" w:ascii="仿宋" w:hAnsi="仿宋" w:eastAsia="仿宋" w:cs="仿宋"/>
          <w:color w:val="000000" w:themeColor="text1"/>
          <w:kern w:val="0"/>
          <w:sz w:val="24"/>
          <w:u w:val="single"/>
          <w14:textFill>
            <w14:solidFill>
              <w14:schemeClr w14:val="tx1"/>
            </w14:solidFill>
          </w14:textFill>
        </w:rPr>
        <w:t xml:space="preserve">  XX工作内容   </w:t>
      </w:r>
      <w:r>
        <w:rPr>
          <w:rFonts w:hint="eastAsia" w:ascii="仿宋" w:hAnsi="仿宋" w:eastAsia="仿宋" w:cs="仿宋"/>
          <w:color w:val="000000" w:themeColor="text1"/>
          <w:sz w:val="24"/>
          <w14:textFill>
            <w14:solidFill>
              <w14:schemeClr w14:val="tx1"/>
            </w14:solidFill>
          </w14:textFill>
        </w:rPr>
        <w:t>分包给</w:t>
      </w:r>
      <w:r>
        <w:rPr>
          <w:rFonts w:hint="eastAsia" w:ascii="仿宋" w:hAnsi="仿宋" w:eastAsia="仿宋" w:cs="仿宋"/>
          <w:color w:val="000000" w:themeColor="text1"/>
          <w:kern w:val="0"/>
          <w:sz w:val="24"/>
          <w:u w:val="single"/>
          <w14:textFill>
            <w14:solidFill>
              <w14:schemeClr w14:val="tx1"/>
            </w14:solidFill>
          </w14:textFill>
        </w:rPr>
        <w:t>（分包供应商1名称）</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 w:hAnsi="仿宋" w:eastAsia="仿宋" w:cs="仿宋"/>
          <w:color w:val="000000" w:themeColor="text1"/>
          <w:kern w:val="0"/>
          <w:sz w:val="24"/>
          <w:u w:val="single"/>
          <w14:textFill>
            <w14:solidFill>
              <w14:schemeClr w14:val="tx1"/>
            </w14:solidFill>
          </w14:textFill>
        </w:rPr>
        <w:t>（分包供应商1名称），</w:t>
      </w:r>
      <w:r>
        <w:rPr>
          <w:rFonts w:hint="eastAsia" w:ascii="仿宋" w:hAnsi="仿宋" w:eastAsia="仿宋" w:cs="仿宋"/>
          <w:color w:val="000000" w:themeColor="text1"/>
          <w:kern w:val="0"/>
          <w:sz w:val="24"/>
          <w:lang w:val="zh-CN"/>
          <w14:textFill>
            <w14:solidFill>
              <w14:schemeClr w14:val="tx1"/>
            </w14:solidFill>
          </w14:textFill>
        </w:rPr>
        <w:t>具备承</w:t>
      </w:r>
      <w:r>
        <w:rPr>
          <w:rFonts w:hint="eastAsia" w:ascii="仿宋" w:hAnsi="仿宋" w:eastAsia="仿宋" w:cs="仿宋"/>
          <w:color w:val="000000" w:themeColor="text1"/>
          <w:kern w:val="0"/>
          <w:sz w:val="24"/>
          <w14:textFill>
            <w14:solidFill>
              <w14:schemeClr w14:val="tx1"/>
            </w14:solidFill>
          </w14:textFill>
        </w:rPr>
        <w:t>担</w:t>
      </w:r>
      <w:r>
        <w:rPr>
          <w:rFonts w:hint="eastAsia" w:ascii="仿宋" w:hAnsi="仿宋" w:eastAsia="仿宋" w:cs="仿宋"/>
          <w:color w:val="000000" w:themeColor="text1"/>
          <w:kern w:val="0"/>
          <w:sz w:val="24"/>
          <w:u w:val="single"/>
          <w:lang w:val="zh-CN"/>
          <w14:textFill>
            <w14:solidFill>
              <w14:schemeClr w14:val="tx1"/>
            </w14:solidFill>
          </w14:textFill>
        </w:rPr>
        <w:t>XX工作内容</w:t>
      </w:r>
      <w:r>
        <w:rPr>
          <w:rFonts w:hint="eastAsia" w:ascii="仿宋" w:hAnsi="仿宋" w:eastAsia="仿宋" w:cs="仿宋"/>
          <w:color w:val="000000" w:themeColor="text1"/>
          <w:kern w:val="0"/>
          <w:sz w:val="24"/>
          <w:lang w:val="zh-CN"/>
          <w14:textFill>
            <w14:solidFill>
              <w14:schemeClr w14:val="tx1"/>
            </w14:solidFill>
          </w14:textFill>
        </w:rPr>
        <w:t>相应资质条件且不得再次分包；</w:t>
      </w:r>
    </w:p>
    <w:p>
      <w:pPr>
        <w:pStyle w:val="5"/>
        <w:spacing w:line="440" w:lineRule="exact"/>
        <w:ind w:left="863" w:leftChars="411" w:firstLine="0"/>
        <w:rPr>
          <w:rFonts w:ascii="仿宋" w:eastAsia="仿宋" w:cs="仿宋"/>
          <w:color w:val="000000" w:themeColor="text1"/>
          <w:kern w:val="0"/>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w:t>
      </w:r>
    </w:p>
    <w:p>
      <w:pPr>
        <w:snapToGrid w:val="0"/>
        <w:spacing w:line="44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二、分包供应商中小企业合同份额</w:t>
      </w:r>
    </w:p>
    <w:p>
      <w:pPr>
        <w:snapToGrid w:val="0"/>
        <w:spacing w:line="440" w:lineRule="exact"/>
        <w:ind w:firstLine="576"/>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u w:val="single"/>
          <w14:textFill>
            <w14:solidFill>
              <w14:schemeClr w14:val="tx1"/>
            </w14:solidFill>
          </w14:textFill>
        </w:rPr>
        <w:t>（分包供应商X,……）提供的货物全部由小微企业制造，</w:t>
      </w:r>
      <w:r>
        <w:rPr>
          <w:rFonts w:hint="eastAsia" w:ascii="仿宋" w:hAnsi="仿宋" w:eastAsia="仿宋" w:cs="仿宋"/>
          <w:color w:val="000000" w:themeColor="text1"/>
          <w:kern w:val="0"/>
          <w:sz w:val="24"/>
          <w14:textFill>
            <w14:solidFill>
              <w14:schemeClr w14:val="tx1"/>
            </w14:solidFill>
          </w14:textFill>
        </w:rPr>
        <w:t>其合同份额占到合同总金额%以上</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color w:val="000000" w:themeColor="text1"/>
          <w:kern w:val="0"/>
          <w:sz w:val="24"/>
          <w14:textFill>
            <w14:solidFill>
              <w14:schemeClr w14:val="tx1"/>
            </w14:solidFill>
          </w14:textFill>
        </w:rPr>
        <w:t>6</w:t>
      </w:r>
      <w:r>
        <w:rPr>
          <w:rFonts w:hint="eastAsia" w:ascii="仿宋" w:hAnsi="仿宋" w:eastAsia="仿宋" w:cs="仿宋"/>
          <w:b/>
          <w:color w:val="000000" w:themeColor="text1"/>
          <w:kern w:val="0"/>
          <w:sz w:val="24"/>
          <w:lang w:val="zh-CN"/>
          <w14:textFill>
            <w14:solidFill>
              <w14:schemeClr w14:val="tx1"/>
            </w14:solidFill>
          </w14:textFill>
        </w:rPr>
        <w:t>%的扣除。供应商</w:t>
      </w:r>
      <w:r>
        <w:rPr>
          <w:rFonts w:hint="eastAsia" w:ascii="仿宋" w:hAnsi="仿宋" w:eastAsia="仿宋" w:cs="仿宋"/>
          <w:b/>
          <w:color w:val="000000" w:themeColor="text1"/>
          <w:sz w:val="24"/>
          <w14:textFill>
            <w14:solidFill>
              <w14:schemeClr w14:val="tx1"/>
            </w14:solidFill>
          </w14:textFill>
        </w:rPr>
        <w:t>拟享受以上价格扣除政策的，填写有关内容。</w:t>
      </w:r>
      <w:r>
        <w:rPr>
          <w:rFonts w:hint="eastAsia" w:ascii="仿宋" w:hAnsi="仿宋" w:eastAsia="仿宋" w:cs="仿宋"/>
          <w:b/>
          <w:color w:val="000000" w:themeColor="text1"/>
          <w:kern w:val="0"/>
          <w:sz w:val="24"/>
          <w:lang w:val="zh-CN"/>
          <w14:textFill>
            <w14:solidFill>
              <w14:schemeClr w14:val="tx1"/>
            </w14:solidFill>
          </w14:textFill>
        </w:rPr>
        <w:t>）</w:t>
      </w:r>
    </w:p>
    <w:p>
      <w:pPr>
        <w:spacing w:line="440" w:lineRule="exact"/>
        <w:ind w:firstLine="480" w:firstLineChars="200"/>
        <w:rPr>
          <w:rFonts w:ascii="仿宋" w:hAnsi="仿宋" w:eastAsia="仿宋" w:cs="仿宋"/>
          <w:b/>
          <w:bCs/>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bookmarkStart w:id="555" w:name="_Hlk101133173"/>
      <w:r>
        <w:rPr>
          <w:rFonts w:hint="eastAsia" w:ascii="仿宋" w:hAnsi="仿宋" w:eastAsia="仿宋" w:cs="仿宋"/>
          <w:color w:val="000000" w:themeColor="text1"/>
          <w:sz w:val="24"/>
          <w14:textFill>
            <w14:solidFill>
              <w14:schemeClr w14:val="tx1"/>
            </w14:solidFill>
          </w14:textFill>
        </w:rPr>
        <w:t>中小企业合同金额达到%，小微企业合同金额达到%</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 w:hAnsi="仿宋" w:eastAsia="仿宋" w:cs="仿宋"/>
          <w:b/>
          <w:bCs/>
          <w:color w:val="000000" w:themeColor="text1"/>
          <w:kern w:val="0"/>
          <w:sz w:val="24"/>
          <w:lang w:val="zh-CN"/>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仿宋" w:hAnsi="仿宋" w:eastAsia="仿宋" w:cs="仿宋"/>
          <w:b/>
          <w:color w:val="000000" w:themeColor="text1"/>
          <w:kern w:val="0"/>
          <w:sz w:val="24"/>
          <w:lang w:val="zh-CN"/>
          <w14:textFill>
            <w14:solidFill>
              <w14:schemeClr w14:val="tx1"/>
            </w14:solidFill>
          </w14:textFill>
        </w:rPr>
        <w:t>分包意向协议</w:t>
      </w:r>
      <w:r>
        <w:rPr>
          <w:rFonts w:hint="eastAsia" w:ascii="仿宋" w:hAnsi="仿宋" w:eastAsia="仿宋" w:cs="仿宋"/>
          <w:b/>
          <w:bCs/>
          <w:color w:val="000000" w:themeColor="text1"/>
          <w:sz w:val="24"/>
          <w14:textFill>
            <w14:solidFill>
              <w14:schemeClr w14:val="tx1"/>
            </w14:solidFill>
          </w14:textFill>
        </w:rPr>
        <w:t>中中小企业、小微企业合同金额应当达到的比例要求填写。</w:t>
      </w:r>
      <w:r>
        <w:rPr>
          <w:rFonts w:hint="eastAsia" w:ascii="仿宋" w:hAnsi="仿宋" w:eastAsia="仿宋" w:cs="仿宋"/>
          <w:b/>
          <w:bCs/>
          <w:color w:val="000000" w:themeColor="text1"/>
          <w:kern w:val="0"/>
          <w:sz w:val="24"/>
          <w:lang w:val="zh-CN"/>
          <w14:textFill>
            <w14:solidFill>
              <w14:schemeClr w14:val="tx1"/>
            </w14:solidFill>
          </w14:textFill>
        </w:rPr>
        <w:t>）</w:t>
      </w:r>
      <w:bookmarkEnd w:id="555"/>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三、分包工作履行期限、地点、方式</w:t>
      </w:r>
    </w:p>
    <w:p>
      <w:pPr>
        <w:snapToGrid w:val="0"/>
        <w:spacing w:line="400" w:lineRule="exact"/>
        <w:ind w:firstLine="576"/>
        <w:rPr>
          <w:rFonts w:ascii="仿宋" w:hAnsi="仿宋" w:eastAsia="仿宋" w:cs="仿宋"/>
          <w:color w:val="000000" w:themeColor="text1"/>
          <w:u w:val="single"/>
          <w14:textFill>
            <w14:solidFill>
              <w14:schemeClr w14:val="tx1"/>
            </w14:solidFill>
          </w14:textFill>
        </w:rPr>
      </w:pP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四、质量</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五、价款或者报酬</w:t>
      </w:r>
    </w:p>
    <w:p>
      <w:pPr>
        <w:snapToGrid w:val="0"/>
        <w:spacing w:line="400" w:lineRule="exact"/>
        <w:ind w:left="573" w:leftChars="273"/>
        <w:rPr>
          <w:rFonts w:ascii="仿宋" w:hAnsi="仿宋" w:eastAsia="仿宋" w:cs="仿宋"/>
          <w:color w:val="000000" w:themeColor="text1"/>
          <w:kern w:val="0"/>
          <w:sz w:val="24"/>
          <w:lang w:val="zh-CN"/>
          <w14:textFill>
            <w14:solidFill>
              <w14:schemeClr w14:val="tx1"/>
            </w14:solidFill>
          </w14:textFill>
        </w:rPr>
      </w:pPr>
    </w:p>
    <w:p>
      <w:pPr>
        <w:snapToGrid w:val="0"/>
        <w:spacing w:line="400" w:lineRule="exact"/>
        <w:ind w:left="573" w:leftChars="273"/>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六、违约责任</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七、争议解决的办法</w:t>
      </w:r>
    </w:p>
    <w:p>
      <w:pPr>
        <w:snapToGrid w:val="0"/>
        <w:spacing w:line="400" w:lineRule="exact"/>
        <w:ind w:firstLine="576"/>
        <w:rPr>
          <w:rFonts w:ascii="仿宋" w:hAnsi="仿宋" w:eastAsia="仿宋" w:cs="仿宋"/>
          <w:color w:val="000000" w:themeColor="text1"/>
          <w:kern w:val="0"/>
          <w:sz w:val="24"/>
          <w:lang w:val="zh-CN"/>
          <w14:textFill>
            <w14:solidFill>
              <w14:schemeClr w14:val="tx1"/>
            </w14:solidFill>
          </w14:textFill>
        </w:rPr>
      </w:pPr>
    </w:p>
    <w:p>
      <w:pPr>
        <w:snapToGrid w:val="0"/>
        <w:spacing w:line="400" w:lineRule="exact"/>
        <w:ind w:left="5758" w:leftChars="342" w:hanging="5040" w:hangingChars="21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投标人名称(电子签名)：</w:t>
      </w:r>
    </w:p>
    <w:p>
      <w:pPr>
        <w:snapToGrid w:val="0"/>
        <w:spacing w:line="400" w:lineRule="exact"/>
        <w:ind w:firstLine="5640" w:firstLineChars="235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分包供应商名称：</w:t>
      </w:r>
    </w:p>
    <w:p>
      <w:pPr>
        <w:snapToGrid w:val="0"/>
        <w:spacing w:line="400" w:lineRule="exact"/>
        <w:ind w:firstLine="5760" w:firstLineChars="2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w:t>
      </w:r>
    </w:p>
    <w:p>
      <w:pPr>
        <w:adjustRightInd/>
        <w:spacing w:line="400" w:lineRule="exact"/>
        <w:jc w:val="center"/>
        <w:outlineLvl w:val="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日期：  年  月   日</w:t>
      </w: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微软雅黑"/>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Times New Roman"/>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bookmarkStart w:id="556" w:name="_Toc131845147"/>
    <w:bookmarkStart w:id="557" w:name="_Toc91899912"/>
    <w:bookmarkStart w:id="558" w:name="_Toc164085800"/>
    <w:bookmarkStart w:id="559" w:name="_Toc36110187"/>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i/>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15C89"/>
    <w:multiLevelType w:val="singleLevel"/>
    <w:tmpl w:val="8D215C89"/>
    <w:lvl w:ilvl="0" w:tentative="0">
      <w:start w:val="1"/>
      <w:numFmt w:val="chineseCounting"/>
      <w:suff w:val="nothing"/>
      <w:lvlText w:val="%1、"/>
      <w:lvlJc w:val="left"/>
      <w:rPr>
        <w:rFonts w:hint="eastAsia"/>
      </w:rPr>
    </w:lvl>
  </w:abstractNum>
  <w:abstractNum w:abstractNumId="1">
    <w:nsid w:val="8E020B7A"/>
    <w:multiLevelType w:val="multilevel"/>
    <w:tmpl w:val="8E020B7A"/>
    <w:lvl w:ilvl="0" w:tentative="0">
      <w:start w:val="11"/>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B65961A1"/>
    <w:multiLevelType w:val="singleLevel"/>
    <w:tmpl w:val="B65961A1"/>
    <w:lvl w:ilvl="0" w:tentative="0">
      <w:start w:val="4"/>
      <w:numFmt w:val="chineseCounting"/>
      <w:suff w:val="space"/>
      <w:lvlText w:val="第%1部分"/>
      <w:lvlJc w:val="left"/>
      <w:rPr>
        <w:rFonts w:hint="eastAsia"/>
      </w:rPr>
    </w:lvl>
  </w:abstractNum>
  <w:abstractNum w:abstractNumId="3">
    <w:nsid w:val="DD7EBF0E"/>
    <w:multiLevelType w:val="singleLevel"/>
    <w:tmpl w:val="DD7EBF0E"/>
    <w:lvl w:ilvl="0" w:tentative="0">
      <w:start w:val="1"/>
      <w:numFmt w:val="decimal"/>
      <w:suff w:val="nothing"/>
      <w:lvlText w:val="（%1）"/>
      <w:lvlJc w:val="left"/>
    </w:lvl>
  </w:abstractNum>
  <w:abstractNum w:abstractNumId="4">
    <w:nsid w:val="52B48799"/>
    <w:multiLevelType w:val="multilevel"/>
    <w:tmpl w:val="52B48799"/>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73" w:hanging="453"/>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FkZGZlYzIzNzA3NDQ0ZTVjMDg1Y2YyODA0YT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EBD"/>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674"/>
    <w:rsid w:val="00067821"/>
    <w:rsid w:val="0006785E"/>
    <w:rsid w:val="000679D6"/>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6EF6"/>
    <w:rsid w:val="000A0729"/>
    <w:rsid w:val="000A0E69"/>
    <w:rsid w:val="000A1A52"/>
    <w:rsid w:val="000A1F98"/>
    <w:rsid w:val="000A3D58"/>
    <w:rsid w:val="000A3FE3"/>
    <w:rsid w:val="000A47B0"/>
    <w:rsid w:val="000A4851"/>
    <w:rsid w:val="000A49BB"/>
    <w:rsid w:val="000A4F22"/>
    <w:rsid w:val="000A5674"/>
    <w:rsid w:val="000A5A46"/>
    <w:rsid w:val="000A69AB"/>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2E12"/>
    <w:rsid w:val="000D34C8"/>
    <w:rsid w:val="000D34FD"/>
    <w:rsid w:val="000D3BE5"/>
    <w:rsid w:val="000D3C37"/>
    <w:rsid w:val="000D453A"/>
    <w:rsid w:val="000D4AFA"/>
    <w:rsid w:val="000D5EA6"/>
    <w:rsid w:val="000D5F00"/>
    <w:rsid w:val="000D61EF"/>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235"/>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EB8"/>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A7FE1"/>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0E93"/>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BA2"/>
    <w:rsid w:val="001D1D55"/>
    <w:rsid w:val="001D21EF"/>
    <w:rsid w:val="001D29A4"/>
    <w:rsid w:val="001D2B73"/>
    <w:rsid w:val="001D2C1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0D99"/>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EB1"/>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3E06"/>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365D"/>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587"/>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3C1"/>
    <w:rsid w:val="00396831"/>
    <w:rsid w:val="003971A1"/>
    <w:rsid w:val="003A0F6B"/>
    <w:rsid w:val="003A12B6"/>
    <w:rsid w:val="003A1C44"/>
    <w:rsid w:val="003A20D5"/>
    <w:rsid w:val="003A24CC"/>
    <w:rsid w:val="003A2512"/>
    <w:rsid w:val="003A2A53"/>
    <w:rsid w:val="003A2EE8"/>
    <w:rsid w:val="003A373C"/>
    <w:rsid w:val="003A5292"/>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59D3"/>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5E34"/>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6B0"/>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50A"/>
    <w:rsid w:val="00451709"/>
    <w:rsid w:val="004518FA"/>
    <w:rsid w:val="00451A02"/>
    <w:rsid w:val="004520AB"/>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CF2"/>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B01"/>
    <w:rsid w:val="0050434C"/>
    <w:rsid w:val="0050537D"/>
    <w:rsid w:val="0050591C"/>
    <w:rsid w:val="005059BD"/>
    <w:rsid w:val="005060AE"/>
    <w:rsid w:val="00506E35"/>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2A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97905"/>
    <w:rsid w:val="005A0088"/>
    <w:rsid w:val="005A04F6"/>
    <w:rsid w:val="005A14F0"/>
    <w:rsid w:val="005A1861"/>
    <w:rsid w:val="005A1A31"/>
    <w:rsid w:val="005A361D"/>
    <w:rsid w:val="005A36C2"/>
    <w:rsid w:val="005A3719"/>
    <w:rsid w:val="005A3DD0"/>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085A"/>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918"/>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A5B"/>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11D"/>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4F"/>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F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596"/>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6B7"/>
    <w:rsid w:val="00742D32"/>
    <w:rsid w:val="00742E9B"/>
    <w:rsid w:val="007444E6"/>
    <w:rsid w:val="0074592C"/>
    <w:rsid w:val="00745C91"/>
    <w:rsid w:val="00746098"/>
    <w:rsid w:val="007462F4"/>
    <w:rsid w:val="00746D58"/>
    <w:rsid w:val="00747578"/>
    <w:rsid w:val="007500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0994"/>
    <w:rsid w:val="00770AC4"/>
    <w:rsid w:val="00771CAC"/>
    <w:rsid w:val="00772036"/>
    <w:rsid w:val="00773098"/>
    <w:rsid w:val="007739A3"/>
    <w:rsid w:val="007739FA"/>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1EA"/>
    <w:rsid w:val="00783959"/>
    <w:rsid w:val="00783BA5"/>
    <w:rsid w:val="007844A9"/>
    <w:rsid w:val="00785091"/>
    <w:rsid w:val="00785EFD"/>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08E"/>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C66"/>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1D0"/>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C1"/>
    <w:rsid w:val="00897BFA"/>
    <w:rsid w:val="00897D19"/>
    <w:rsid w:val="008A0044"/>
    <w:rsid w:val="008A0BFE"/>
    <w:rsid w:val="008A1932"/>
    <w:rsid w:val="008A20E3"/>
    <w:rsid w:val="008A21D9"/>
    <w:rsid w:val="008A232D"/>
    <w:rsid w:val="008A2C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614"/>
    <w:rsid w:val="008B5AB9"/>
    <w:rsid w:val="008B5DFD"/>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5FF7"/>
    <w:rsid w:val="008C623D"/>
    <w:rsid w:val="008C65F4"/>
    <w:rsid w:val="008C6683"/>
    <w:rsid w:val="008C6E0C"/>
    <w:rsid w:val="008C7273"/>
    <w:rsid w:val="008C78F8"/>
    <w:rsid w:val="008C7D0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D3D"/>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E1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4A8"/>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CAA"/>
    <w:rsid w:val="00956647"/>
    <w:rsid w:val="00957380"/>
    <w:rsid w:val="00957409"/>
    <w:rsid w:val="00957499"/>
    <w:rsid w:val="009576B4"/>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25"/>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7DE"/>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3B8"/>
    <w:rsid w:val="00A03A7C"/>
    <w:rsid w:val="00A044AA"/>
    <w:rsid w:val="00A0700C"/>
    <w:rsid w:val="00A102F8"/>
    <w:rsid w:val="00A10A20"/>
    <w:rsid w:val="00A117D5"/>
    <w:rsid w:val="00A11C11"/>
    <w:rsid w:val="00A12720"/>
    <w:rsid w:val="00A12C76"/>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240"/>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12D"/>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1C75"/>
    <w:rsid w:val="00AE315E"/>
    <w:rsid w:val="00AE319F"/>
    <w:rsid w:val="00AE31D9"/>
    <w:rsid w:val="00AE3CF0"/>
    <w:rsid w:val="00AE4546"/>
    <w:rsid w:val="00AE6575"/>
    <w:rsid w:val="00AE71EE"/>
    <w:rsid w:val="00AF01E7"/>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959"/>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BB0"/>
    <w:rsid w:val="00B44288"/>
    <w:rsid w:val="00B448BF"/>
    <w:rsid w:val="00B45805"/>
    <w:rsid w:val="00B45A59"/>
    <w:rsid w:val="00B45F9F"/>
    <w:rsid w:val="00B4627C"/>
    <w:rsid w:val="00B4641F"/>
    <w:rsid w:val="00B46793"/>
    <w:rsid w:val="00B46953"/>
    <w:rsid w:val="00B47455"/>
    <w:rsid w:val="00B47979"/>
    <w:rsid w:val="00B47A59"/>
    <w:rsid w:val="00B47ECD"/>
    <w:rsid w:val="00B47FF3"/>
    <w:rsid w:val="00B503C0"/>
    <w:rsid w:val="00B503D6"/>
    <w:rsid w:val="00B51520"/>
    <w:rsid w:val="00B515C3"/>
    <w:rsid w:val="00B517C2"/>
    <w:rsid w:val="00B518CE"/>
    <w:rsid w:val="00B51F56"/>
    <w:rsid w:val="00B52234"/>
    <w:rsid w:val="00B53623"/>
    <w:rsid w:val="00B53D1D"/>
    <w:rsid w:val="00B53E98"/>
    <w:rsid w:val="00B53F9B"/>
    <w:rsid w:val="00B54B19"/>
    <w:rsid w:val="00B55F64"/>
    <w:rsid w:val="00B565C2"/>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130"/>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051"/>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533"/>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65F"/>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187C"/>
    <w:rsid w:val="00D42B0C"/>
    <w:rsid w:val="00D42D6E"/>
    <w:rsid w:val="00D43DEF"/>
    <w:rsid w:val="00D44259"/>
    <w:rsid w:val="00D44407"/>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53"/>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F4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3A7"/>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55"/>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B06"/>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1CC"/>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1EB3"/>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4F8E"/>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4DD3"/>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786"/>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4A7"/>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5E72"/>
    <w:rsid w:val="00F86079"/>
    <w:rsid w:val="00F8610A"/>
    <w:rsid w:val="00F87282"/>
    <w:rsid w:val="00F878CD"/>
    <w:rsid w:val="00F87905"/>
    <w:rsid w:val="00F87A66"/>
    <w:rsid w:val="00F90C1F"/>
    <w:rsid w:val="00F912D9"/>
    <w:rsid w:val="00F914FC"/>
    <w:rsid w:val="00F91A44"/>
    <w:rsid w:val="00F91BFA"/>
    <w:rsid w:val="00F91F8F"/>
    <w:rsid w:val="00F9217B"/>
    <w:rsid w:val="00F97A34"/>
    <w:rsid w:val="00F97E4A"/>
    <w:rsid w:val="00F97EA1"/>
    <w:rsid w:val="00FA003A"/>
    <w:rsid w:val="00FA05C8"/>
    <w:rsid w:val="00FA0678"/>
    <w:rsid w:val="00FA0CE2"/>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9FB"/>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765AB"/>
    <w:rsid w:val="011F6449"/>
    <w:rsid w:val="012137EB"/>
    <w:rsid w:val="01236AFB"/>
    <w:rsid w:val="012B3B04"/>
    <w:rsid w:val="017165B7"/>
    <w:rsid w:val="018A0D56"/>
    <w:rsid w:val="019F7441"/>
    <w:rsid w:val="01B37585"/>
    <w:rsid w:val="01D55165"/>
    <w:rsid w:val="01DF6BF8"/>
    <w:rsid w:val="01EC2C57"/>
    <w:rsid w:val="01FE433E"/>
    <w:rsid w:val="020236B3"/>
    <w:rsid w:val="02386CC9"/>
    <w:rsid w:val="023F2A53"/>
    <w:rsid w:val="024F669D"/>
    <w:rsid w:val="026B2E25"/>
    <w:rsid w:val="02824D4D"/>
    <w:rsid w:val="02B26E88"/>
    <w:rsid w:val="02C30B33"/>
    <w:rsid w:val="02DC4B10"/>
    <w:rsid w:val="02DD76CE"/>
    <w:rsid w:val="02F36323"/>
    <w:rsid w:val="02F5619C"/>
    <w:rsid w:val="02F66A70"/>
    <w:rsid w:val="0326446A"/>
    <w:rsid w:val="032D5555"/>
    <w:rsid w:val="03535009"/>
    <w:rsid w:val="035750F0"/>
    <w:rsid w:val="03604B36"/>
    <w:rsid w:val="036634D2"/>
    <w:rsid w:val="03A422CA"/>
    <w:rsid w:val="03B80F4C"/>
    <w:rsid w:val="03C11104"/>
    <w:rsid w:val="03DD35E4"/>
    <w:rsid w:val="04076900"/>
    <w:rsid w:val="04190476"/>
    <w:rsid w:val="041A5A3B"/>
    <w:rsid w:val="042311BA"/>
    <w:rsid w:val="04277401"/>
    <w:rsid w:val="042B157A"/>
    <w:rsid w:val="044C6E68"/>
    <w:rsid w:val="04581455"/>
    <w:rsid w:val="04854128"/>
    <w:rsid w:val="04895D53"/>
    <w:rsid w:val="048A0C82"/>
    <w:rsid w:val="048F763B"/>
    <w:rsid w:val="049806A8"/>
    <w:rsid w:val="049F330E"/>
    <w:rsid w:val="04AA775C"/>
    <w:rsid w:val="04AB3B8E"/>
    <w:rsid w:val="04AF1889"/>
    <w:rsid w:val="04C832B6"/>
    <w:rsid w:val="04C837FE"/>
    <w:rsid w:val="04E840BF"/>
    <w:rsid w:val="04F66F48"/>
    <w:rsid w:val="05251E14"/>
    <w:rsid w:val="053578FC"/>
    <w:rsid w:val="05452235"/>
    <w:rsid w:val="0562632F"/>
    <w:rsid w:val="0566574C"/>
    <w:rsid w:val="056B77C2"/>
    <w:rsid w:val="05730659"/>
    <w:rsid w:val="0580405B"/>
    <w:rsid w:val="05A16594"/>
    <w:rsid w:val="05A7762D"/>
    <w:rsid w:val="05C37529"/>
    <w:rsid w:val="05CF40C4"/>
    <w:rsid w:val="05DC3F1F"/>
    <w:rsid w:val="05E76E48"/>
    <w:rsid w:val="05F044AE"/>
    <w:rsid w:val="05F41565"/>
    <w:rsid w:val="060519C4"/>
    <w:rsid w:val="060E5941"/>
    <w:rsid w:val="06110FAF"/>
    <w:rsid w:val="061816F7"/>
    <w:rsid w:val="06394283"/>
    <w:rsid w:val="063D75D8"/>
    <w:rsid w:val="06493CA7"/>
    <w:rsid w:val="065A6178"/>
    <w:rsid w:val="066F1CF3"/>
    <w:rsid w:val="06930BB8"/>
    <w:rsid w:val="06AA4622"/>
    <w:rsid w:val="06F23CF7"/>
    <w:rsid w:val="070D6DD5"/>
    <w:rsid w:val="07245D42"/>
    <w:rsid w:val="07264C62"/>
    <w:rsid w:val="075F245C"/>
    <w:rsid w:val="0779354C"/>
    <w:rsid w:val="0781602F"/>
    <w:rsid w:val="07866B35"/>
    <w:rsid w:val="07885862"/>
    <w:rsid w:val="07A53B7C"/>
    <w:rsid w:val="08061376"/>
    <w:rsid w:val="08212A0A"/>
    <w:rsid w:val="082E197B"/>
    <w:rsid w:val="083823C5"/>
    <w:rsid w:val="08452D77"/>
    <w:rsid w:val="08547895"/>
    <w:rsid w:val="085905F8"/>
    <w:rsid w:val="086401F8"/>
    <w:rsid w:val="08751CAA"/>
    <w:rsid w:val="087E4C40"/>
    <w:rsid w:val="087F780C"/>
    <w:rsid w:val="08A106DD"/>
    <w:rsid w:val="08D66AD6"/>
    <w:rsid w:val="08DA33A3"/>
    <w:rsid w:val="08E80F13"/>
    <w:rsid w:val="090315DA"/>
    <w:rsid w:val="09072659"/>
    <w:rsid w:val="091C2EA2"/>
    <w:rsid w:val="091C32AD"/>
    <w:rsid w:val="09335624"/>
    <w:rsid w:val="0944690F"/>
    <w:rsid w:val="09535675"/>
    <w:rsid w:val="095F057D"/>
    <w:rsid w:val="09630EDC"/>
    <w:rsid w:val="09642282"/>
    <w:rsid w:val="09733572"/>
    <w:rsid w:val="09772C16"/>
    <w:rsid w:val="098353B5"/>
    <w:rsid w:val="09A92330"/>
    <w:rsid w:val="09B06B87"/>
    <w:rsid w:val="09C13146"/>
    <w:rsid w:val="09E04166"/>
    <w:rsid w:val="09F71624"/>
    <w:rsid w:val="09FE03F4"/>
    <w:rsid w:val="0A1C0718"/>
    <w:rsid w:val="0A36539C"/>
    <w:rsid w:val="0A3E7710"/>
    <w:rsid w:val="0A5B7E63"/>
    <w:rsid w:val="0A727109"/>
    <w:rsid w:val="0A7F7F97"/>
    <w:rsid w:val="0A897A25"/>
    <w:rsid w:val="0AA374A5"/>
    <w:rsid w:val="0AAB7649"/>
    <w:rsid w:val="0AB76927"/>
    <w:rsid w:val="0ABC5606"/>
    <w:rsid w:val="0AE222D4"/>
    <w:rsid w:val="0AF676FA"/>
    <w:rsid w:val="0B30404E"/>
    <w:rsid w:val="0B494101"/>
    <w:rsid w:val="0B4C6C14"/>
    <w:rsid w:val="0B4E5BBB"/>
    <w:rsid w:val="0B631A88"/>
    <w:rsid w:val="0B683D45"/>
    <w:rsid w:val="0B7F3F11"/>
    <w:rsid w:val="0B884417"/>
    <w:rsid w:val="0B8D2240"/>
    <w:rsid w:val="0B973C6A"/>
    <w:rsid w:val="0B9A4EF6"/>
    <w:rsid w:val="0B9B429E"/>
    <w:rsid w:val="0BE80ADC"/>
    <w:rsid w:val="0BF6188C"/>
    <w:rsid w:val="0BF73C91"/>
    <w:rsid w:val="0C016970"/>
    <w:rsid w:val="0C0701CD"/>
    <w:rsid w:val="0C170175"/>
    <w:rsid w:val="0C25097A"/>
    <w:rsid w:val="0C3B1C9C"/>
    <w:rsid w:val="0C571A41"/>
    <w:rsid w:val="0C5C1171"/>
    <w:rsid w:val="0C5E1CBC"/>
    <w:rsid w:val="0C615B50"/>
    <w:rsid w:val="0C6E02C3"/>
    <w:rsid w:val="0C790C3A"/>
    <w:rsid w:val="0C8445DA"/>
    <w:rsid w:val="0C87121B"/>
    <w:rsid w:val="0CC007F7"/>
    <w:rsid w:val="0CC92714"/>
    <w:rsid w:val="0CFE707A"/>
    <w:rsid w:val="0D063BDA"/>
    <w:rsid w:val="0D08375F"/>
    <w:rsid w:val="0D184CFB"/>
    <w:rsid w:val="0D200E92"/>
    <w:rsid w:val="0D46523D"/>
    <w:rsid w:val="0D4A7419"/>
    <w:rsid w:val="0D756F85"/>
    <w:rsid w:val="0D827401"/>
    <w:rsid w:val="0D84094E"/>
    <w:rsid w:val="0D8A00E9"/>
    <w:rsid w:val="0D8D589E"/>
    <w:rsid w:val="0DA01C73"/>
    <w:rsid w:val="0DCD1019"/>
    <w:rsid w:val="0DD63300"/>
    <w:rsid w:val="0DF50604"/>
    <w:rsid w:val="0DF702FE"/>
    <w:rsid w:val="0E060E51"/>
    <w:rsid w:val="0E2315D2"/>
    <w:rsid w:val="0E364E11"/>
    <w:rsid w:val="0E460DCC"/>
    <w:rsid w:val="0E524C78"/>
    <w:rsid w:val="0E5604B2"/>
    <w:rsid w:val="0E6D5D79"/>
    <w:rsid w:val="0E8536A2"/>
    <w:rsid w:val="0E8F43C2"/>
    <w:rsid w:val="0E9A41E1"/>
    <w:rsid w:val="0E9D0089"/>
    <w:rsid w:val="0EAD0785"/>
    <w:rsid w:val="0EB21234"/>
    <w:rsid w:val="0EB803EE"/>
    <w:rsid w:val="0EF94D4B"/>
    <w:rsid w:val="0F0767AD"/>
    <w:rsid w:val="0F113188"/>
    <w:rsid w:val="0F256C33"/>
    <w:rsid w:val="0F37613E"/>
    <w:rsid w:val="0F4672D5"/>
    <w:rsid w:val="0F4958DC"/>
    <w:rsid w:val="0F515DF7"/>
    <w:rsid w:val="0F57570D"/>
    <w:rsid w:val="0F596BA8"/>
    <w:rsid w:val="0F6248D2"/>
    <w:rsid w:val="0F693536"/>
    <w:rsid w:val="0F7B0511"/>
    <w:rsid w:val="0F7B76D9"/>
    <w:rsid w:val="0F816ACD"/>
    <w:rsid w:val="0F8D51D0"/>
    <w:rsid w:val="0F9832DB"/>
    <w:rsid w:val="0F9F39DA"/>
    <w:rsid w:val="0FBF3FD2"/>
    <w:rsid w:val="0FBF7FF3"/>
    <w:rsid w:val="100F3B6B"/>
    <w:rsid w:val="102604D7"/>
    <w:rsid w:val="105A46BB"/>
    <w:rsid w:val="10646583"/>
    <w:rsid w:val="1079768A"/>
    <w:rsid w:val="107D4B15"/>
    <w:rsid w:val="10863702"/>
    <w:rsid w:val="108A3C80"/>
    <w:rsid w:val="10A143D9"/>
    <w:rsid w:val="10C26171"/>
    <w:rsid w:val="10D17A80"/>
    <w:rsid w:val="10F33360"/>
    <w:rsid w:val="10FC16EA"/>
    <w:rsid w:val="110E10F1"/>
    <w:rsid w:val="110F1D40"/>
    <w:rsid w:val="11266F33"/>
    <w:rsid w:val="113A06B7"/>
    <w:rsid w:val="118253BD"/>
    <w:rsid w:val="118963A1"/>
    <w:rsid w:val="11A96BF0"/>
    <w:rsid w:val="11C6522A"/>
    <w:rsid w:val="11D54941"/>
    <w:rsid w:val="11E104CC"/>
    <w:rsid w:val="11E20309"/>
    <w:rsid w:val="11F80DCF"/>
    <w:rsid w:val="11F85597"/>
    <w:rsid w:val="12255233"/>
    <w:rsid w:val="123A0C48"/>
    <w:rsid w:val="12530213"/>
    <w:rsid w:val="127723A9"/>
    <w:rsid w:val="12862074"/>
    <w:rsid w:val="12883966"/>
    <w:rsid w:val="129E45B4"/>
    <w:rsid w:val="12AF0593"/>
    <w:rsid w:val="12D81596"/>
    <w:rsid w:val="12FE1C75"/>
    <w:rsid w:val="13072A44"/>
    <w:rsid w:val="13554FAD"/>
    <w:rsid w:val="135F4BE2"/>
    <w:rsid w:val="137D0DEC"/>
    <w:rsid w:val="139B1A0A"/>
    <w:rsid w:val="139D25C7"/>
    <w:rsid w:val="13BF3CE4"/>
    <w:rsid w:val="140861EA"/>
    <w:rsid w:val="141008D8"/>
    <w:rsid w:val="14125FE6"/>
    <w:rsid w:val="14420AE0"/>
    <w:rsid w:val="1443778C"/>
    <w:rsid w:val="146D271E"/>
    <w:rsid w:val="14982588"/>
    <w:rsid w:val="149A5AD9"/>
    <w:rsid w:val="14A7619D"/>
    <w:rsid w:val="14C558F7"/>
    <w:rsid w:val="14DF218B"/>
    <w:rsid w:val="14F83400"/>
    <w:rsid w:val="150536C3"/>
    <w:rsid w:val="150C1963"/>
    <w:rsid w:val="151447A0"/>
    <w:rsid w:val="15161464"/>
    <w:rsid w:val="1528635A"/>
    <w:rsid w:val="152D49B5"/>
    <w:rsid w:val="154A6454"/>
    <w:rsid w:val="156669A8"/>
    <w:rsid w:val="15762120"/>
    <w:rsid w:val="158272E5"/>
    <w:rsid w:val="15857852"/>
    <w:rsid w:val="15C22E6B"/>
    <w:rsid w:val="15CC605B"/>
    <w:rsid w:val="15D370F1"/>
    <w:rsid w:val="15EC04AB"/>
    <w:rsid w:val="161C2F50"/>
    <w:rsid w:val="164756E1"/>
    <w:rsid w:val="166F3685"/>
    <w:rsid w:val="167D5E37"/>
    <w:rsid w:val="16A8729C"/>
    <w:rsid w:val="16B33777"/>
    <w:rsid w:val="16B33FF7"/>
    <w:rsid w:val="16BC70A7"/>
    <w:rsid w:val="16C6339E"/>
    <w:rsid w:val="16D740E6"/>
    <w:rsid w:val="16DB47A7"/>
    <w:rsid w:val="17042E02"/>
    <w:rsid w:val="170A15C8"/>
    <w:rsid w:val="172F2D79"/>
    <w:rsid w:val="17393BB1"/>
    <w:rsid w:val="17471E3D"/>
    <w:rsid w:val="174B3D3F"/>
    <w:rsid w:val="17557BEF"/>
    <w:rsid w:val="17D349C1"/>
    <w:rsid w:val="18133B65"/>
    <w:rsid w:val="1830729E"/>
    <w:rsid w:val="18477266"/>
    <w:rsid w:val="18493992"/>
    <w:rsid w:val="18506ACF"/>
    <w:rsid w:val="185D2F9A"/>
    <w:rsid w:val="18616F2E"/>
    <w:rsid w:val="1870062C"/>
    <w:rsid w:val="18817102"/>
    <w:rsid w:val="18830A15"/>
    <w:rsid w:val="18846779"/>
    <w:rsid w:val="18852B28"/>
    <w:rsid w:val="18890E77"/>
    <w:rsid w:val="188B5321"/>
    <w:rsid w:val="18FC2175"/>
    <w:rsid w:val="192F4549"/>
    <w:rsid w:val="193B777F"/>
    <w:rsid w:val="1980756A"/>
    <w:rsid w:val="19921062"/>
    <w:rsid w:val="19932372"/>
    <w:rsid w:val="19A20DD5"/>
    <w:rsid w:val="19AE03F1"/>
    <w:rsid w:val="19C71013"/>
    <w:rsid w:val="1A037B71"/>
    <w:rsid w:val="1A071A03"/>
    <w:rsid w:val="1A16745B"/>
    <w:rsid w:val="1A1E4D29"/>
    <w:rsid w:val="1A1F16AE"/>
    <w:rsid w:val="1A26714F"/>
    <w:rsid w:val="1A321A84"/>
    <w:rsid w:val="1A3B5C77"/>
    <w:rsid w:val="1A5D54D3"/>
    <w:rsid w:val="1A626F8D"/>
    <w:rsid w:val="1A705206"/>
    <w:rsid w:val="1A7B1124"/>
    <w:rsid w:val="1A984BAD"/>
    <w:rsid w:val="1AB8220E"/>
    <w:rsid w:val="1ABA46D4"/>
    <w:rsid w:val="1AE4166C"/>
    <w:rsid w:val="1AF06CFB"/>
    <w:rsid w:val="1AF11B8D"/>
    <w:rsid w:val="1B097CCB"/>
    <w:rsid w:val="1B11359C"/>
    <w:rsid w:val="1B2163CC"/>
    <w:rsid w:val="1B2A271F"/>
    <w:rsid w:val="1B345693"/>
    <w:rsid w:val="1B530544"/>
    <w:rsid w:val="1B713184"/>
    <w:rsid w:val="1B9243D2"/>
    <w:rsid w:val="1B945A89"/>
    <w:rsid w:val="1B9664DC"/>
    <w:rsid w:val="1BA209CF"/>
    <w:rsid w:val="1BB4777D"/>
    <w:rsid w:val="1BD75AB8"/>
    <w:rsid w:val="1BF80698"/>
    <w:rsid w:val="1C03373C"/>
    <w:rsid w:val="1C0459C2"/>
    <w:rsid w:val="1C1B3B4A"/>
    <w:rsid w:val="1C300F03"/>
    <w:rsid w:val="1C38784E"/>
    <w:rsid w:val="1C3A1F70"/>
    <w:rsid w:val="1C8517F5"/>
    <w:rsid w:val="1C88086E"/>
    <w:rsid w:val="1C8A49D9"/>
    <w:rsid w:val="1CC979D3"/>
    <w:rsid w:val="1CE8659D"/>
    <w:rsid w:val="1D266CE1"/>
    <w:rsid w:val="1D3963AF"/>
    <w:rsid w:val="1D396442"/>
    <w:rsid w:val="1D621CC3"/>
    <w:rsid w:val="1D6A673C"/>
    <w:rsid w:val="1D9247AE"/>
    <w:rsid w:val="1DA52039"/>
    <w:rsid w:val="1DB567EC"/>
    <w:rsid w:val="1DF51A98"/>
    <w:rsid w:val="1E3D060F"/>
    <w:rsid w:val="1E3F7D2E"/>
    <w:rsid w:val="1E4134E4"/>
    <w:rsid w:val="1E5062B3"/>
    <w:rsid w:val="1E523514"/>
    <w:rsid w:val="1E6D5515"/>
    <w:rsid w:val="1E714A66"/>
    <w:rsid w:val="1E802593"/>
    <w:rsid w:val="1E82212B"/>
    <w:rsid w:val="1EA703CC"/>
    <w:rsid w:val="1EB53639"/>
    <w:rsid w:val="1EB7330C"/>
    <w:rsid w:val="1EEA530C"/>
    <w:rsid w:val="1F0A0FF3"/>
    <w:rsid w:val="1F1030E0"/>
    <w:rsid w:val="1F2E5690"/>
    <w:rsid w:val="1F5771FF"/>
    <w:rsid w:val="1F686DF4"/>
    <w:rsid w:val="1F721A21"/>
    <w:rsid w:val="1F9D12E5"/>
    <w:rsid w:val="1F9E45C4"/>
    <w:rsid w:val="1FE868A9"/>
    <w:rsid w:val="20034907"/>
    <w:rsid w:val="200B777F"/>
    <w:rsid w:val="200F2F6C"/>
    <w:rsid w:val="20173E4B"/>
    <w:rsid w:val="202C7E22"/>
    <w:rsid w:val="20361ACA"/>
    <w:rsid w:val="20417272"/>
    <w:rsid w:val="204E3B56"/>
    <w:rsid w:val="204E48BC"/>
    <w:rsid w:val="205360FA"/>
    <w:rsid w:val="20662227"/>
    <w:rsid w:val="2084196E"/>
    <w:rsid w:val="208921B3"/>
    <w:rsid w:val="20923DE0"/>
    <w:rsid w:val="20973DEB"/>
    <w:rsid w:val="20A200E4"/>
    <w:rsid w:val="20A86FEA"/>
    <w:rsid w:val="20B06813"/>
    <w:rsid w:val="20B26522"/>
    <w:rsid w:val="20B44310"/>
    <w:rsid w:val="20CB3179"/>
    <w:rsid w:val="20E15A18"/>
    <w:rsid w:val="20E70C92"/>
    <w:rsid w:val="210E39CB"/>
    <w:rsid w:val="211116EB"/>
    <w:rsid w:val="21117C4F"/>
    <w:rsid w:val="21477F39"/>
    <w:rsid w:val="214C3C4D"/>
    <w:rsid w:val="216133FC"/>
    <w:rsid w:val="21645399"/>
    <w:rsid w:val="21696E53"/>
    <w:rsid w:val="21D56769"/>
    <w:rsid w:val="21E52EF3"/>
    <w:rsid w:val="21FB5D7B"/>
    <w:rsid w:val="220129F6"/>
    <w:rsid w:val="2202335D"/>
    <w:rsid w:val="220B1C3D"/>
    <w:rsid w:val="22121F35"/>
    <w:rsid w:val="221D1D20"/>
    <w:rsid w:val="222039B6"/>
    <w:rsid w:val="22223157"/>
    <w:rsid w:val="22334A87"/>
    <w:rsid w:val="224E2666"/>
    <w:rsid w:val="22573150"/>
    <w:rsid w:val="229A2E6F"/>
    <w:rsid w:val="22A55C69"/>
    <w:rsid w:val="22A77C33"/>
    <w:rsid w:val="22B365D8"/>
    <w:rsid w:val="22BE6801"/>
    <w:rsid w:val="231A12C4"/>
    <w:rsid w:val="233500BF"/>
    <w:rsid w:val="23377FF7"/>
    <w:rsid w:val="23550B5F"/>
    <w:rsid w:val="236B425F"/>
    <w:rsid w:val="23793344"/>
    <w:rsid w:val="23836192"/>
    <w:rsid w:val="23901F29"/>
    <w:rsid w:val="239C0061"/>
    <w:rsid w:val="23B908A4"/>
    <w:rsid w:val="23C87E61"/>
    <w:rsid w:val="23E95BEF"/>
    <w:rsid w:val="23F46EA8"/>
    <w:rsid w:val="23FD0064"/>
    <w:rsid w:val="240E7A73"/>
    <w:rsid w:val="24526BF4"/>
    <w:rsid w:val="245375B0"/>
    <w:rsid w:val="24642C0A"/>
    <w:rsid w:val="24697823"/>
    <w:rsid w:val="249D12EE"/>
    <w:rsid w:val="24A07339"/>
    <w:rsid w:val="24AE1DAE"/>
    <w:rsid w:val="24B22173"/>
    <w:rsid w:val="24B95AD9"/>
    <w:rsid w:val="24BE24DA"/>
    <w:rsid w:val="24CF5825"/>
    <w:rsid w:val="24D663E6"/>
    <w:rsid w:val="24D77F2B"/>
    <w:rsid w:val="24EC4023"/>
    <w:rsid w:val="24F40155"/>
    <w:rsid w:val="257162D7"/>
    <w:rsid w:val="258B00E2"/>
    <w:rsid w:val="259F2E44"/>
    <w:rsid w:val="25A658E5"/>
    <w:rsid w:val="25A917A6"/>
    <w:rsid w:val="25BE27CC"/>
    <w:rsid w:val="25C805EC"/>
    <w:rsid w:val="25F034CA"/>
    <w:rsid w:val="25F74A5C"/>
    <w:rsid w:val="25FF318E"/>
    <w:rsid w:val="2628662C"/>
    <w:rsid w:val="262D45DE"/>
    <w:rsid w:val="26451C3D"/>
    <w:rsid w:val="265951C3"/>
    <w:rsid w:val="26656A1C"/>
    <w:rsid w:val="268564DD"/>
    <w:rsid w:val="269E759F"/>
    <w:rsid w:val="26A53EF9"/>
    <w:rsid w:val="26A94201"/>
    <w:rsid w:val="26AC274F"/>
    <w:rsid w:val="26B20955"/>
    <w:rsid w:val="26F4312C"/>
    <w:rsid w:val="27044A29"/>
    <w:rsid w:val="271936D7"/>
    <w:rsid w:val="271D34C8"/>
    <w:rsid w:val="271F6C7E"/>
    <w:rsid w:val="27223D2C"/>
    <w:rsid w:val="27391076"/>
    <w:rsid w:val="27493637"/>
    <w:rsid w:val="274F0899"/>
    <w:rsid w:val="276142BF"/>
    <w:rsid w:val="276F2332"/>
    <w:rsid w:val="27766D17"/>
    <w:rsid w:val="27783712"/>
    <w:rsid w:val="27822108"/>
    <w:rsid w:val="27881DD7"/>
    <w:rsid w:val="27907362"/>
    <w:rsid w:val="27B150B0"/>
    <w:rsid w:val="27BA7B6B"/>
    <w:rsid w:val="282F4953"/>
    <w:rsid w:val="28333E1D"/>
    <w:rsid w:val="28454BD6"/>
    <w:rsid w:val="28455253"/>
    <w:rsid w:val="28551971"/>
    <w:rsid w:val="285B1C53"/>
    <w:rsid w:val="28607F37"/>
    <w:rsid w:val="2864047E"/>
    <w:rsid w:val="287C56BE"/>
    <w:rsid w:val="28810F26"/>
    <w:rsid w:val="289F7086"/>
    <w:rsid w:val="28C32028"/>
    <w:rsid w:val="28CC490F"/>
    <w:rsid w:val="28DE40AA"/>
    <w:rsid w:val="28E24707"/>
    <w:rsid w:val="28E55136"/>
    <w:rsid w:val="28E60A56"/>
    <w:rsid w:val="2909455A"/>
    <w:rsid w:val="29345E77"/>
    <w:rsid w:val="29455AB0"/>
    <w:rsid w:val="29497409"/>
    <w:rsid w:val="294C65AD"/>
    <w:rsid w:val="29806583"/>
    <w:rsid w:val="298B3C4C"/>
    <w:rsid w:val="29AC5A0A"/>
    <w:rsid w:val="29D87355"/>
    <w:rsid w:val="29F26D24"/>
    <w:rsid w:val="2A15033F"/>
    <w:rsid w:val="2A1662C1"/>
    <w:rsid w:val="2A1C7367"/>
    <w:rsid w:val="2A2815FA"/>
    <w:rsid w:val="2A2B4A0D"/>
    <w:rsid w:val="2A331DAD"/>
    <w:rsid w:val="2A3A6487"/>
    <w:rsid w:val="2A6D6092"/>
    <w:rsid w:val="2A7D76B4"/>
    <w:rsid w:val="2A930A9D"/>
    <w:rsid w:val="2A95657C"/>
    <w:rsid w:val="2AF76710"/>
    <w:rsid w:val="2B083783"/>
    <w:rsid w:val="2B0A5203"/>
    <w:rsid w:val="2B1716CE"/>
    <w:rsid w:val="2B437463"/>
    <w:rsid w:val="2B4C6F7E"/>
    <w:rsid w:val="2B7807EE"/>
    <w:rsid w:val="2B886A31"/>
    <w:rsid w:val="2B9E76FA"/>
    <w:rsid w:val="2BBF00EC"/>
    <w:rsid w:val="2BC13D54"/>
    <w:rsid w:val="2BC37CFD"/>
    <w:rsid w:val="2BD5237F"/>
    <w:rsid w:val="2BE40660"/>
    <w:rsid w:val="2BE536CE"/>
    <w:rsid w:val="2BE758D9"/>
    <w:rsid w:val="2C09049E"/>
    <w:rsid w:val="2C0A653C"/>
    <w:rsid w:val="2C0E487F"/>
    <w:rsid w:val="2C0F02F4"/>
    <w:rsid w:val="2C191F85"/>
    <w:rsid w:val="2C45008E"/>
    <w:rsid w:val="2C4A25E4"/>
    <w:rsid w:val="2C58133E"/>
    <w:rsid w:val="2C6C7DEF"/>
    <w:rsid w:val="2CD46C9D"/>
    <w:rsid w:val="2CE82D6F"/>
    <w:rsid w:val="2D204AD1"/>
    <w:rsid w:val="2D343236"/>
    <w:rsid w:val="2D5A6D09"/>
    <w:rsid w:val="2D646EBC"/>
    <w:rsid w:val="2D752F58"/>
    <w:rsid w:val="2DC84F02"/>
    <w:rsid w:val="2DD15014"/>
    <w:rsid w:val="2DDA1BD4"/>
    <w:rsid w:val="2DE928EA"/>
    <w:rsid w:val="2DF5500F"/>
    <w:rsid w:val="2DF72DE4"/>
    <w:rsid w:val="2E0220AF"/>
    <w:rsid w:val="2E150147"/>
    <w:rsid w:val="2E24488E"/>
    <w:rsid w:val="2E2C10ED"/>
    <w:rsid w:val="2E4B082A"/>
    <w:rsid w:val="2E4B3B69"/>
    <w:rsid w:val="2E54221F"/>
    <w:rsid w:val="2E5D4E86"/>
    <w:rsid w:val="2E5D790B"/>
    <w:rsid w:val="2E823422"/>
    <w:rsid w:val="2E8E7B8B"/>
    <w:rsid w:val="2E900048"/>
    <w:rsid w:val="2E9A3C18"/>
    <w:rsid w:val="2EBB0FEE"/>
    <w:rsid w:val="2EC63002"/>
    <w:rsid w:val="2ECE16BB"/>
    <w:rsid w:val="2F0A6B38"/>
    <w:rsid w:val="2F1D5CEB"/>
    <w:rsid w:val="2F236953"/>
    <w:rsid w:val="2F26135D"/>
    <w:rsid w:val="2F266384"/>
    <w:rsid w:val="2F3E34A4"/>
    <w:rsid w:val="2F8F097F"/>
    <w:rsid w:val="2F946CCB"/>
    <w:rsid w:val="2FC33BD3"/>
    <w:rsid w:val="2FD25781"/>
    <w:rsid w:val="2FDF6677"/>
    <w:rsid w:val="2FFD7934"/>
    <w:rsid w:val="301A16BC"/>
    <w:rsid w:val="301A5EE8"/>
    <w:rsid w:val="305A5F59"/>
    <w:rsid w:val="30647339"/>
    <w:rsid w:val="30733ACD"/>
    <w:rsid w:val="308047E6"/>
    <w:rsid w:val="308C3862"/>
    <w:rsid w:val="309379D8"/>
    <w:rsid w:val="30975D70"/>
    <w:rsid w:val="30A270F7"/>
    <w:rsid w:val="30DF1478"/>
    <w:rsid w:val="30E1791C"/>
    <w:rsid w:val="30E97669"/>
    <w:rsid w:val="30EC586F"/>
    <w:rsid w:val="3105779E"/>
    <w:rsid w:val="31112756"/>
    <w:rsid w:val="316E7B6E"/>
    <w:rsid w:val="317E1EDE"/>
    <w:rsid w:val="318E34F2"/>
    <w:rsid w:val="319C6071"/>
    <w:rsid w:val="31AC537E"/>
    <w:rsid w:val="31B048DD"/>
    <w:rsid w:val="31E3679B"/>
    <w:rsid w:val="31E732FD"/>
    <w:rsid w:val="32517576"/>
    <w:rsid w:val="32A47CEB"/>
    <w:rsid w:val="32A76D1A"/>
    <w:rsid w:val="32BE5C2C"/>
    <w:rsid w:val="32FB6478"/>
    <w:rsid w:val="32FD73FC"/>
    <w:rsid w:val="33263B3F"/>
    <w:rsid w:val="336963EB"/>
    <w:rsid w:val="33726391"/>
    <w:rsid w:val="33816EEB"/>
    <w:rsid w:val="338B3346"/>
    <w:rsid w:val="33A42CFD"/>
    <w:rsid w:val="33BC4037"/>
    <w:rsid w:val="33C4261F"/>
    <w:rsid w:val="33C63C91"/>
    <w:rsid w:val="33CE7B7C"/>
    <w:rsid w:val="33EB55CD"/>
    <w:rsid w:val="33EC4C02"/>
    <w:rsid w:val="340D2360"/>
    <w:rsid w:val="3410665D"/>
    <w:rsid w:val="34211214"/>
    <w:rsid w:val="342E63AB"/>
    <w:rsid w:val="345918E6"/>
    <w:rsid w:val="345B6AD0"/>
    <w:rsid w:val="348C0A37"/>
    <w:rsid w:val="34950E68"/>
    <w:rsid w:val="34986E94"/>
    <w:rsid w:val="349A482B"/>
    <w:rsid w:val="34AF62C9"/>
    <w:rsid w:val="34CB4388"/>
    <w:rsid w:val="34D10C41"/>
    <w:rsid w:val="34FA6E12"/>
    <w:rsid w:val="35530223"/>
    <w:rsid w:val="35640D2B"/>
    <w:rsid w:val="356A4759"/>
    <w:rsid w:val="357A6A98"/>
    <w:rsid w:val="358D5588"/>
    <w:rsid w:val="35AA52D2"/>
    <w:rsid w:val="35D80964"/>
    <w:rsid w:val="35DC0A48"/>
    <w:rsid w:val="35EA6A3B"/>
    <w:rsid w:val="360C62D3"/>
    <w:rsid w:val="36140CC0"/>
    <w:rsid w:val="361B1808"/>
    <w:rsid w:val="363A3B40"/>
    <w:rsid w:val="365302AE"/>
    <w:rsid w:val="36607A0A"/>
    <w:rsid w:val="366E227C"/>
    <w:rsid w:val="366F2E0D"/>
    <w:rsid w:val="367B6A5C"/>
    <w:rsid w:val="36A735DC"/>
    <w:rsid w:val="36A74ADA"/>
    <w:rsid w:val="36AD60D5"/>
    <w:rsid w:val="36B224F9"/>
    <w:rsid w:val="36EC0CC9"/>
    <w:rsid w:val="36F86858"/>
    <w:rsid w:val="370D0FD4"/>
    <w:rsid w:val="373F410B"/>
    <w:rsid w:val="374571AC"/>
    <w:rsid w:val="37677ADC"/>
    <w:rsid w:val="377E54C4"/>
    <w:rsid w:val="37B35069"/>
    <w:rsid w:val="37E34E12"/>
    <w:rsid w:val="37EE7094"/>
    <w:rsid w:val="38296C89"/>
    <w:rsid w:val="383002EB"/>
    <w:rsid w:val="38586797"/>
    <w:rsid w:val="386817BB"/>
    <w:rsid w:val="38710670"/>
    <w:rsid w:val="38BC0149"/>
    <w:rsid w:val="38C61C00"/>
    <w:rsid w:val="38D87D1C"/>
    <w:rsid w:val="38E10F32"/>
    <w:rsid w:val="38EF5CE8"/>
    <w:rsid w:val="39053924"/>
    <w:rsid w:val="3946433F"/>
    <w:rsid w:val="39575E9E"/>
    <w:rsid w:val="39636459"/>
    <w:rsid w:val="39647F89"/>
    <w:rsid w:val="396B7F6C"/>
    <w:rsid w:val="39872F73"/>
    <w:rsid w:val="39A32DAC"/>
    <w:rsid w:val="39AF787F"/>
    <w:rsid w:val="39B417A9"/>
    <w:rsid w:val="39FC5695"/>
    <w:rsid w:val="3A006D8E"/>
    <w:rsid w:val="3A1C0AAF"/>
    <w:rsid w:val="3A3651E5"/>
    <w:rsid w:val="3A744481"/>
    <w:rsid w:val="3A8A4678"/>
    <w:rsid w:val="3A8C7BEF"/>
    <w:rsid w:val="3A8E0630"/>
    <w:rsid w:val="3A906246"/>
    <w:rsid w:val="3A9C772F"/>
    <w:rsid w:val="3AD07104"/>
    <w:rsid w:val="3AD8646A"/>
    <w:rsid w:val="3AE61129"/>
    <w:rsid w:val="3AEF7DF1"/>
    <w:rsid w:val="3AEF7F72"/>
    <w:rsid w:val="3B103F54"/>
    <w:rsid w:val="3B155ED3"/>
    <w:rsid w:val="3B2349B7"/>
    <w:rsid w:val="3B410F13"/>
    <w:rsid w:val="3B5E3171"/>
    <w:rsid w:val="3B616CFF"/>
    <w:rsid w:val="3B6259F6"/>
    <w:rsid w:val="3B673FAC"/>
    <w:rsid w:val="3B787F67"/>
    <w:rsid w:val="3B976654"/>
    <w:rsid w:val="3BA50630"/>
    <w:rsid w:val="3BB96BCA"/>
    <w:rsid w:val="3BC01EFC"/>
    <w:rsid w:val="3BCA786A"/>
    <w:rsid w:val="3BD31E2F"/>
    <w:rsid w:val="3BF15831"/>
    <w:rsid w:val="3C105946"/>
    <w:rsid w:val="3C315BF1"/>
    <w:rsid w:val="3C471448"/>
    <w:rsid w:val="3C5F759A"/>
    <w:rsid w:val="3C6C525A"/>
    <w:rsid w:val="3C6D180D"/>
    <w:rsid w:val="3CA23D10"/>
    <w:rsid w:val="3CCE23CB"/>
    <w:rsid w:val="3CD17D17"/>
    <w:rsid w:val="3CEA279F"/>
    <w:rsid w:val="3D3C7F39"/>
    <w:rsid w:val="3D440F09"/>
    <w:rsid w:val="3D4504A0"/>
    <w:rsid w:val="3D8734BB"/>
    <w:rsid w:val="3D9174C1"/>
    <w:rsid w:val="3D9A11D4"/>
    <w:rsid w:val="3DA16D89"/>
    <w:rsid w:val="3DA364BE"/>
    <w:rsid w:val="3DE041CB"/>
    <w:rsid w:val="3E0D48F6"/>
    <w:rsid w:val="3E1868B4"/>
    <w:rsid w:val="3E1A70B4"/>
    <w:rsid w:val="3E265A58"/>
    <w:rsid w:val="3E377251"/>
    <w:rsid w:val="3E42664B"/>
    <w:rsid w:val="3E4B3711"/>
    <w:rsid w:val="3E5A7334"/>
    <w:rsid w:val="3E665082"/>
    <w:rsid w:val="3E7B5D6B"/>
    <w:rsid w:val="3E843E66"/>
    <w:rsid w:val="3E8F51FE"/>
    <w:rsid w:val="3E926F87"/>
    <w:rsid w:val="3E9A59DE"/>
    <w:rsid w:val="3E9C3B05"/>
    <w:rsid w:val="3EAF4836"/>
    <w:rsid w:val="3EC33DFA"/>
    <w:rsid w:val="3EC911EC"/>
    <w:rsid w:val="3ECB4D14"/>
    <w:rsid w:val="3ED92ACB"/>
    <w:rsid w:val="3EEB6205"/>
    <w:rsid w:val="3F024B84"/>
    <w:rsid w:val="3F060E16"/>
    <w:rsid w:val="3F0B2EA0"/>
    <w:rsid w:val="3F1D1096"/>
    <w:rsid w:val="3F275F2C"/>
    <w:rsid w:val="3F2F0234"/>
    <w:rsid w:val="3F6363FE"/>
    <w:rsid w:val="3F6532F2"/>
    <w:rsid w:val="3F756B8F"/>
    <w:rsid w:val="3F95482B"/>
    <w:rsid w:val="3FA7379D"/>
    <w:rsid w:val="3FCC262F"/>
    <w:rsid w:val="3FD17C46"/>
    <w:rsid w:val="3FDC3741"/>
    <w:rsid w:val="3FEE18CE"/>
    <w:rsid w:val="4019356B"/>
    <w:rsid w:val="401F27C9"/>
    <w:rsid w:val="40592157"/>
    <w:rsid w:val="406E1CAE"/>
    <w:rsid w:val="407B27E6"/>
    <w:rsid w:val="408C1680"/>
    <w:rsid w:val="40A0133A"/>
    <w:rsid w:val="40AA3CE4"/>
    <w:rsid w:val="40B6545E"/>
    <w:rsid w:val="40C31A53"/>
    <w:rsid w:val="40D95004"/>
    <w:rsid w:val="40FF545D"/>
    <w:rsid w:val="410067C8"/>
    <w:rsid w:val="414D6FA3"/>
    <w:rsid w:val="416B38CC"/>
    <w:rsid w:val="418D5FD4"/>
    <w:rsid w:val="418F0D2A"/>
    <w:rsid w:val="419D4283"/>
    <w:rsid w:val="41AA4282"/>
    <w:rsid w:val="41AF32FF"/>
    <w:rsid w:val="41D01505"/>
    <w:rsid w:val="41D71F9B"/>
    <w:rsid w:val="41FA16D6"/>
    <w:rsid w:val="42474939"/>
    <w:rsid w:val="424C3C57"/>
    <w:rsid w:val="426043A2"/>
    <w:rsid w:val="42613FF3"/>
    <w:rsid w:val="42660D96"/>
    <w:rsid w:val="428667D2"/>
    <w:rsid w:val="428A5D95"/>
    <w:rsid w:val="428C5B26"/>
    <w:rsid w:val="428E64C3"/>
    <w:rsid w:val="42C024C7"/>
    <w:rsid w:val="42CD1CE0"/>
    <w:rsid w:val="42E1381E"/>
    <w:rsid w:val="42ED6459"/>
    <w:rsid w:val="42F56341"/>
    <w:rsid w:val="42FE58DD"/>
    <w:rsid w:val="43174B3D"/>
    <w:rsid w:val="431C567C"/>
    <w:rsid w:val="432D5ADB"/>
    <w:rsid w:val="434B790E"/>
    <w:rsid w:val="435B2648"/>
    <w:rsid w:val="4360274F"/>
    <w:rsid w:val="43683016"/>
    <w:rsid w:val="43977AB6"/>
    <w:rsid w:val="43A3342B"/>
    <w:rsid w:val="43C77C27"/>
    <w:rsid w:val="43DE09EE"/>
    <w:rsid w:val="44002FAD"/>
    <w:rsid w:val="441B083D"/>
    <w:rsid w:val="441F04C9"/>
    <w:rsid w:val="4427372B"/>
    <w:rsid w:val="449101DD"/>
    <w:rsid w:val="44A96E38"/>
    <w:rsid w:val="44DE1391"/>
    <w:rsid w:val="44DF5201"/>
    <w:rsid w:val="45092CD6"/>
    <w:rsid w:val="450F36EA"/>
    <w:rsid w:val="451B225C"/>
    <w:rsid w:val="452410C9"/>
    <w:rsid w:val="45317DFB"/>
    <w:rsid w:val="456D3CE4"/>
    <w:rsid w:val="45717F01"/>
    <w:rsid w:val="4579042C"/>
    <w:rsid w:val="457F0571"/>
    <w:rsid w:val="45851176"/>
    <w:rsid w:val="45BF61BF"/>
    <w:rsid w:val="45C63B94"/>
    <w:rsid w:val="45EB20B8"/>
    <w:rsid w:val="460E7DA5"/>
    <w:rsid w:val="46422483"/>
    <w:rsid w:val="46472A10"/>
    <w:rsid w:val="4659254A"/>
    <w:rsid w:val="465B0637"/>
    <w:rsid w:val="465E3F0D"/>
    <w:rsid w:val="466A16E6"/>
    <w:rsid w:val="46893F2B"/>
    <w:rsid w:val="46C4686E"/>
    <w:rsid w:val="47086643"/>
    <w:rsid w:val="475A2C17"/>
    <w:rsid w:val="477B778F"/>
    <w:rsid w:val="478203EC"/>
    <w:rsid w:val="478B2DD0"/>
    <w:rsid w:val="47B025FA"/>
    <w:rsid w:val="4809698F"/>
    <w:rsid w:val="4811697D"/>
    <w:rsid w:val="483A5C3C"/>
    <w:rsid w:val="483E4122"/>
    <w:rsid w:val="487A3E25"/>
    <w:rsid w:val="488B5503"/>
    <w:rsid w:val="48937E21"/>
    <w:rsid w:val="489A0361"/>
    <w:rsid w:val="48A75B4F"/>
    <w:rsid w:val="48AF0597"/>
    <w:rsid w:val="48B94FF3"/>
    <w:rsid w:val="48C803D1"/>
    <w:rsid w:val="48E37AAB"/>
    <w:rsid w:val="48FD4B4C"/>
    <w:rsid w:val="490A68E0"/>
    <w:rsid w:val="491055FE"/>
    <w:rsid w:val="491C0184"/>
    <w:rsid w:val="49437E06"/>
    <w:rsid w:val="49481ACB"/>
    <w:rsid w:val="495A0CAC"/>
    <w:rsid w:val="495D6475"/>
    <w:rsid w:val="495F5B3E"/>
    <w:rsid w:val="496F77D7"/>
    <w:rsid w:val="497654FD"/>
    <w:rsid w:val="499A4597"/>
    <w:rsid w:val="49B64211"/>
    <w:rsid w:val="49F6167F"/>
    <w:rsid w:val="4A064FA0"/>
    <w:rsid w:val="4A130980"/>
    <w:rsid w:val="4A16615C"/>
    <w:rsid w:val="4A2E2C6A"/>
    <w:rsid w:val="4A4424D7"/>
    <w:rsid w:val="4A617696"/>
    <w:rsid w:val="4A697CFB"/>
    <w:rsid w:val="4A7F5CBF"/>
    <w:rsid w:val="4A8568AE"/>
    <w:rsid w:val="4A8F0E29"/>
    <w:rsid w:val="4AA616FF"/>
    <w:rsid w:val="4AB82D0F"/>
    <w:rsid w:val="4AB902FA"/>
    <w:rsid w:val="4AEB7664"/>
    <w:rsid w:val="4AFD7C19"/>
    <w:rsid w:val="4B0567D1"/>
    <w:rsid w:val="4B236AAE"/>
    <w:rsid w:val="4B682032"/>
    <w:rsid w:val="4B707271"/>
    <w:rsid w:val="4B83098E"/>
    <w:rsid w:val="4B9739F7"/>
    <w:rsid w:val="4BE63259"/>
    <w:rsid w:val="4BEE2503"/>
    <w:rsid w:val="4C0921F2"/>
    <w:rsid w:val="4C1930A0"/>
    <w:rsid w:val="4C1A1980"/>
    <w:rsid w:val="4C245A30"/>
    <w:rsid w:val="4C4C62F6"/>
    <w:rsid w:val="4C4F0870"/>
    <w:rsid w:val="4C656A0F"/>
    <w:rsid w:val="4C660202"/>
    <w:rsid w:val="4C9149E5"/>
    <w:rsid w:val="4C9849A0"/>
    <w:rsid w:val="4CA11061"/>
    <w:rsid w:val="4CA5038F"/>
    <w:rsid w:val="4CB6685F"/>
    <w:rsid w:val="4CC367FE"/>
    <w:rsid w:val="4CC96309"/>
    <w:rsid w:val="4CD174D7"/>
    <w:rsid w:val="4CFA4CE4"/>
    <w:rsid w:val="4D077F3C"/>
    <w:rsid w:val="4D123355"/>
    <w:rsid w:val="4D1744FE"/>
    <w:rsid w:val="4D274090"/>
    <w:rsid w:val="4D2A3B31"/>
    <w:rsid w:val="4D312C52"/>
    <w:rsid w:val="4D487083"/>
    <w:rsid w:val="4D6A0258"/>
    <w:rsid w:val="4D70384E"/>
    <w:rsid w:val="4D7220BC"/>
    <w:rsid w:val="4D791D20"/>
    <w:rsid w:val="4D8F1DD6"/>
    <w:rsid w:val="4D905305"/>
    <w:rsid w:val="4D964A72"/>
    <w:rsid w:val="4D9C1254"/>
    <w:rsid w:val="4DE4323A"/>
    <w:rsid w:val="4E263853"/>
    <w:rsid w:val="4E793892"/>
    <w:rsid w:val="4E7D6D7D"/>
    <w:rsid w:val="4E800872"/>
    <w:rsid w:val="4E832A53"/>
    <w:rsid w:val="4EA50C1B"/>
    <w:rsid w:val="4EC569ED"/>
    <w:rsid w:val="4ECD4874"/>
    <w:rsid w:val="4ED50EA1"/>
    <w:rsid w:val="4EEC050C"/>
    <w:rsid w:val="4F07654A"/>
    <w:rsid w:val="4F104EC3"/>
    <w:rsid w:val="4F24780C"/>
    <w:rsid w:val="4F445889"/>
    <w:rsid w:val="4F47354A"/>
    <w:rsid w:val="4F555F1E"/>
    <w:rsid w:val="4F7E1357"/>
    <w:rsid w:val="4F911C54"/>
    <w:rsid w:val="4FC1543F"/>
    <w:rsid w:val="4FDE24B2"/>
    <w:rsid w:val="4FE625E0"/>
    <w:rsid w:val="4FF43C08"/>
    <w:rsid w:val="500F0A42"/>
    <w:rsid w:val="5021480F"/>
    <w:rsid w:val="508272AB"/>
    <w:rsid w:val="508C66F8"/>
    <w:rsid w:val="50902753"/>
    <w:rsid w:val="50962ECB"/>
    <w:rsid w:val="509F39FF"/>
    <w:rsid w:val="50A42E38"/>
    <w:rsid w:val="50A4577F"/>
    <w:rsid w:val="50B73D1F"/>
    <w:rsid w:val="50BD5BC9"/>
    <w:rsid w:val="50C11703"/>
    <w:rsid w:val="50C11EEE"/>
    <w:rsid w:val="50C80D4E"/>
    <w:rsid w:val="50E97CFC"/>
    <w:rsid w:val="50FA4028"/>
    <w:rsid w:val="510D65B7"/>
    <w:rsid w:val="511157AB"/>
    <w:rsid w:val="51371E4A"/>
    <w:rsid w:val="5142540C"/>
    <w:rsid w:val="517B21F2"/>
    <w:rsid w:val="517B25FD"/>
    <w:rsid w:val="518832C8"/>
    <w:rsid w:val="51942060"/>
    <w:rsid w:val="51A0432A"/>
    <w:rsid w:val="51A86090"/>
    <w:rsid w:val="51B7396D"/>
    <w:rsid w:val="51BC21CA"/>
    <w:rsid w:val="51D874A6"/>
    <w:rsid w:val="51F42DA3"/>
    <w:rsid w:val="522E4CC3"/>
    <w:rsid w:val="5244713B"/>
    <w:rsid w:val="525E180D"/>
    <w:rsid w:val="52615633"/>
    <w:rsid w:val="52721538"/>
    <w:rsid w:val="52977FD4"/>
    <w:rsid w:val="52A25790"/>
    <w:rsid w:val="52A96B6F"/>
    <w:rsid w:val="52B00917"/>
    <w:rsid w:val="52B45975"/>
    <w:rsid w:val="52BB538B"/>
    <w:rsid w:val="52D47D21"/>
    <w:rsid w:val="52D94AA4"/>
    <w:rsid w:val="52EA3A62"/>
    <w:rsid w:val="52EC6E19"/>
    <w:rsid w:val="52F50BB8"/>
    <w:rsid w:val="53030CC7"/>
    <w:rsid w:val="53097272"/>
    <w:rsid w:val="53430A03"/>
    <w:rsid w:val="53544462"/>
    <w:rsid w:val="5397158E"/>
    <w:rsid w:val="53D26D46"/>
    <w:rsid w:val="53FF0DCE"/>
    <w:rsid w:val="54013861"/>
    <w:rsid w:val="541D24A0"/>
    <w:rsid w:val="54266F00"/>
    <w:rsid w:val="54413194"/>
    <w:rsid w:val="54461244"/>
    <w:rsid w:val="54487265"/>
    <w:rsid w:val="544D6070"/>
    <w:rsid w:val="54605E1E"/>
    <w:rsid w:val="54700C1E"/>
    <w:rsid w:val="548B182B"/>
    <w:rsid w:val="54B3506A"/>
    <w:rsid w:val="54CA0D16"/>
    <w:rsid w:val="54DD4057"/>
    <w:rsid w:val="54E7490F"/>
    <w:rsid w:val="54EC6B14"/>
    <w:rsid w:val="550764A4"/>
    <w:rsid w:val="550A63E5"/>
    <w:rsid w:val="550B2BF6"/>
    <w:rsid w:val="55214EB5"/>
    <w:rsid w:val="552230EA"/>
    <w:rsid w:val="552B174F"/>
    <w:rsid w:val="55364EFD"/>
    <w:rsid w:val="555D4828"/>
    <w:rsid w:val="555E39CA"/>
    <w:rsid w:val="55746AF9"/>
    <w:rsid w:val="557A4C8B"/>
    <w:rsid w:val="5584050A"/>
    <w:rsid w:val="558931E1"/>
    <w:rsid w:val="55923347"/>
    <w:rsid w:val="55925180"/>
    <w:rsid w:val="55983B1B"/>
    <w:rsid w:val="559F61F2"/>
    <w:rsid w:val="55A8376B"/>
    <w:rsid w:val="55D24836"/>
    <w:rsid w:val="55DC29B6"/>
    <w:rsid w:val="55DD4241"/>
    <w:rsid w:val="561D19DF"/>
    <w:rsid w:val="56487BA0"/>
    <w:rsid w:val="566B6D1E"/>
    <w:rsid w:val="56981066"/>
    <w:rsid w:val="56A236DA"/>
    <w:rsid w:val="56A8574D"/>
    <w:rsid w:val="56B440F1"/>
    <w:rsid w:val="56C37E91"/>
    <w:rsid w:val="56E16569"/>
    <w:rsid w:val="56EE46AD"/>
    <w:rsid w:val="57032A2C"/>
    <w:rsid w:val="570945E7"/>
    <w:rsid w:val="570F5219"/>
    <w:rsid w:val="57452864"/>
    <w:rsid w:val="574977CE"/>
    <w:rsid w:val="575A6745"/>
    <w:rsid w:val="575D12B5"/>
    <w:rsid w:val="57610A87"/>
    <w:rsid w:val="576D10A9"/>
    <w:rsid w:val="577B1140"/>
    <w:rsid w:val="577B7F21"/>
    <w:rsid w:val="577F181B"/>
    <w:rsid w:val="578D47FA"/>
    <w:rsid w:val="57921984"/>
    <w:rsid w:val="579737F0"/>
    <w:rsid w:val="57AB7B30"/>
    <w:rsid w:val="57AF5251"/>
    <w:rsid w:val="57B26373"/>
    <w:rsid w:val="57B27F05"/>
    <w:rsid w:val="57B63F04"/>
    <w:rsid w:val="57B65DF0"/>
    <w:rsid w:val="57CD20C2"/>
    <w:rsid w:val="57D675AB"/>
    <w:rsid w:val="57D95FDD"/>
    <w:rsid w:val="57E17F85"/>
    <w:rsid w:val="583542C0"/>
    <w:rsid w:val="5838454E"/>
    <w:rsid w:val="583F3E8F"/>
    <w:rsid w:val="584B3471"/>
    <w:rsid w:val="585316E8"/>
    <w:rsid w:val="58900246"/>
    <w:rsid w:val="58917D2F"/>
    <w:rsid w:val="5894085C"/>
    <w:rsid w:val="58AE4F0C"/>
    <w:rsid w:val="58B85899"/>
    <w:rsid w:val="58C63C68"/>
    <w:rsid w:val="58C70C0A"/>
    <w:rsid w:val="58D5679B"/>
    <w:rsid w:val="58E363A9"/>
    <w:rsid w:val="59105C57"/>
    <w:rsid w:val="592349B3"/>
    <w:rsid w:val="59244959"/>
    <w:rsid w:val="595E1678"/>
    <w:rsid w:val="596D5BD4"/>
    <w:rsid w:val="597E3DD8"/>
    <w:rsid w:val="59834024"/>
    <w:rsid w:val="59B03041"/>
    <w:rsid w:val="59F43F22"/>
    <w:rsid w:val="59F80043"/>
    <w:rsid w:val="5A09252F"/>
    <w:rsid w:val="5A0B2778"/>
    <w:rsid w:val="5A2A7C7B"/>
    <w:rsid w:val="5A3E2560"/>
    <w:rsid w:val="5A5D3B6E"/>
    <w:rsid w:val="5A5D684E"/>
    <w:rsid w:val="5A637A76"/>
    <w:rsid w:val="5A6D33BA"/>
    <w:rsid w:val="5A792B1F"/>
    <w:rsid w:val="5A7C2ADE"/>
    <w:rsid w:val="5A874767"/>
    <w:rsid w:val="5A8913F1"/>
    <w:rsid w:val="5AAD6F28"/>
    <w:rsid w:val="5AB53F94"/>
    <w:rsid w:val="5ACD563D"/>
    <w:rsid w:val="5AD63A24"/>
    <w:rsid w:val="5AEB3E5A"/>
    <w:rsid w:val="5B174C4F"/>
    <w:rsid w:val="5B2E1A1D"/>
    <w:rsid w:val="5B4A24A8"/>
    <w:rsid w:val="5B4C45BE"/>
    <w:rsid w:val="5B7808CB"/>
    <w:rsid w:val="5B7C2699"/>
    <w:rsid w:val="5B843A1C"/>
    <w:rsid w:val="5B873E3F"/>
    <w:rsid w:val="5B9D1F1A"/>
    <w:rsid w:val="5BAD7361"/>
    <w:rsid w:val="5BC27928"/>
    <w:rsid w:val="5C02690E"/>
    <w:rsid w:val="5C180C7F"/>
    <w:rsid w:val="5C196DA7"/>
    <w:rsid w:val="5C2A048C"/>
    <w:rsid w:val="5C80234E"/>
    <w:rsid w:val="5C8A680C"/>
    <w:rsid w:val="5C9800BC"/>
    <w:rsid w:val="5CB80361"/>
    <w:rsid w:val="5D0C4701"/>
    <w:rsid w:val="5D0F0395"/>
    <w:rsid w:val="5D221076"/>
    <w:rsid w:val="5D397964"/>
    <w:rsid w:val="5D3E2291"/>
    <w:rsid w:val="5D4A1228"/>
    <w:rsid w:val="5D5A391C"/>
    <w:rsid w:val="5D5F10C0"/>
    <w:rsid w:val="5D644278"/>
    <w:rsid w:val="5D717078"/>
    <w:rsid w:val="5D72616D"/>
    <w:rsid w:val="5D736A1E"/>
    <w:rsid w:val="5D891B7B"/>
    <w:rsid w:val="5D9A3915"/>
    <w:rsid w:val="5DA6050C"/>
    <w:rsid w:val="5DAD38EE"/>
    <w:rsid w:val="5E006862"/>
    <w:rsid w:val="5E0207B9"/>
    <w:rsid w:val="5E041912"/>
    <w:rsid w:val="5E112D59"/>
    <w:rsid w:val="5E1834A1"/>
    <w:rsid w:val="5E2175E2"/>
    <w:rsid w:val="5E224037"/>
    <w:rsid w:val="5E261785"/>
    <w:rsid w:val="5E372726"/>
    <w:rsid w:val="5E4A7017"/>
    <w:rsid w:val="5E50172C"/>
    <w:rsid w:val="5E552BBA"/>
    <w:rsid w:val="5E587A58"/>
    <w:rsid w:val="5E611C10"/>
    <w:rsid w:val="5E69089E"/>
    <w:rsid w:val="5E6A4482"/>
    <w:rsid w:val="5E84084D"/>
    <w:rsid w:val="5E8F0FA0"/>
    <w:rsid w:val="5ED407A3"/>
    <w:rsid w:val="5EFC7377"/>
    <w:rsid w:val="5F06174D"/>
    <w:rsid w:val="5F13397F"/>
    <w:rsid w:val="5F36603A"/>
    <w:rsid w:val="5F3A3602"/>
    <w:rsid w:val="5F6277C6"/>
    <w:rsid w:val="5F6D0B1D"/>
    <w:rsid w:val="5F8D0B82"/>
    <w:rsid w:val="5F8D54E0"/>
    <w:rsid w:val="5FB4164E"/>
    <w:rsid w:val="5FB42194"/>
    <w:rsid w:val="5FB85ADB"/>
    <w:rsid w:val="5FC74C5F"/>
    <w:rsid w:val="5FCC5339"/>
    <w:rsid w:val="5FE34A5B"/>
    <w:rsid w:val="5FE93541"/>
    <w:rsid w:val="5FEF4982"/>
    <w:rsid w:val="5FFA4E12"/>
    <w:rsid w:val="5FFE1E36"/>
    <w:rsid w:val="60232584"/>
    <w:rsid w:val="604C0D0F"/>
    <w:rsid w:val="607330CE"/>
    <w:rsid w:val="60825176"/>
    <w:rsid w:val="609F2AC4"/>
    <w:rsid w:val="60AC408B"/>
    <w:rsid w:val="60E05AE3"/>
    <w:rsid w:val="60FA2EE8"/>
    <w:rsid w:val="61054A27"/>
    <w:rsid w:val="610A52BC"/>
    <w:rsid w:val="611A0FF5"/>
    <w:rsid w:val="611D2366"/>
    <w:rsid w:val="61330394"/>
    <w:rsid w:val="613B0F6B"/>
    <w:rsid w:val="61421856"/>
    <w:rsid w:val="614770C9"/>
    <w:rsid w:val="615227C4"/>
    <w:rsid w:val="615933FE"/>
    <w:rsid w:val="61597808"/>
    <w:rsid w:val="61654E3F"/>
    <w:rsid w:val="61655CDB"/>
    <w:rsid w:val="617E52AC"/>
    <w:rsid w:val="6182292A"/>
    <w:rsid w:val="619F7F92"/>
    <w:rsid w:val="61BB393C"/>
    <w:rsid w:val="61C6117D"/>
    <w:rsid w:val="61CB7179"/>
    <w:rsid w:val="61D218D0"/>
    <w:rsid w:val="61F5736C"/>
    <w:rsid w:val="61F94C26"/>
    <w:rsid w:val="62000E56"/>
    <w:rsid w:val="62013264"/>
    <w:rsid w:val="62053A53"/>
    <w:rsid w:val="62345E1A"/>
    <w:rsid w:val="62361E5F"/>
    <w:rsid w:val="624F3E49"/>
    <w:rsid w:val="625B0925"/>
    <w:rsid w:val="62632286"/>
    <w:rsid w:val="62727F9C"/>
    <w:rsid w:val="6280045C"/>
    <w:rsid w:val="628250A4"/>
    <w:rsid w:val="62885958"/>
    <w:rsid w:val="62A86B48"/>
    <w:rsid w:val="62D2690D"/>
    <w:rsid w:val="62D32DCD"/>
    <w:rsid w:val="62D6719E"/>
    <w:rsid w:val="62F40B65"/>
    <w:rsid w:val="62F46444"/>
    <w:rsid w:val="62FC0F03"/>
    <w:rsid w:val="62FC2CFE"/>
    <w:rsid w:val="63024505"/>
    <w:rsid w:val="63500C1D"/>
    <w:rsid w:val="635B1DB5"/>
    <w:rsid w:val="63711FED"/>
    <w:rsid w:val="63867A9F"/>
    <w:rsid w:val="63880DDC"/>
    <w:rsid w:val="638A61CF"/>
    <w:rsid w:val="638D750D"/>
    <w:rsid w:val="63A31465"/>
    <w:rsid w:val="63AC6CC0"/>
    <w:rsid w:val="63D135A5"/>
    <w:rsid w:val="64055776"/>
    <w:rsid w:val="64240056"/>
    <w:rsid w:val="643E143A"/>
    <w:rsid w:val="645E38EF"/>
    <w:rsid w:val="648B6EEF"/>
    <w:rsid w:val="64963088"/>
    <w:rsid w:val="64C158BF"/>
    <w:rsid w:val="64CE2EAA"/>
    <w:rsid w:val="64D52505"/>
    <w:rsid w:val="64F2474D"/>
    <w:rsid w:val="64F65E3E"/>
    <w:rsid w:val="650C1EE3"/>
    <w:rsid w:val="653C3090"/>
    <w:rsid w:val="658457DB"/>
    <w:rsid w:val="65854376"/>
    <w:rsid w:val="658767BE"/>
    <w:rsid w:val="65892531"/>
    <w:rsid w:val="65A538B6"/>
    <w:rsid w:val="65B0017A"/>
    <w:rsid w:val="65BE3FAE"/>
    <w:rsid w:val="65BF3B8D"/>
    <w:rsid w:val="65D33518"/>
    <w:rsid w:val="65DB15A1"/>
    <w:rsid w:val="65DB3A73"/>
    <w:rsid w:val="66031B35"/>
    <w:rsid w:val="66195831"/>
    <w:rsid w:val="662E75B1"/>
    <w:rsid w:val="66342C2E"/>
    <w:rsid w:val="663E784C"/>
    <w:rsid w:val="665609B7"/>
    <w:rsid w:val="668B6A45"/>
    <w:rsid w:val="669B07D0"/>
    <w:rsid w:val="66AE0BC3"/>
    <w:rsid w:val="66E328B4"/>
    <w:rsid w:val="66F84F97"/>
    <w:rsid w:val="66FF48D0"/>
    <w:rsid w:val="67135CE8"/>
    <w:rsid w:val="672F3F24"/>
    <w:rsid w:val="673E055F"/>
    <w:rsid w:val="67551CE3"/>
    <w:rsid w:val="67694A84"/>
    <w:rsid w:val="67902011"/>
    <w:rsid w:val="67A22552"/>
    <w:rsid w:val="67B22DCC"/>
    <w:rsid w:val="67BE71AA"/>
    <w:rsid w:val="67D63589"/>
    <w:rsid w:val="67D90273"/>
    <w:rsid w:val="67DE5875"/>
    <w:rsid w:val="67E55852"/>
    <w:rsid w:val="67EB1AB4"/>
    <w:rsid w:val="67F67F0B"/>
    <w:rsid w:val="67FA1285"/>
    <w:rsid w:val="67FF7197"/>
    <w:rsid w:val="68014CBD"/>
    <w:rsid w:val="68055AE3"/>
    <w:rsid w:val="68273FF7"/>
    <w:rsid w:val="683706DE"/>
    <w:rsid w:val="68551F4F"/>
    <w:rsid w:val="68737AFB"/>
    <w:rsid w:val="687C10C9"/>
    <w:rsid w:val="68840C16"/>
    <w:rsid w:val="68876EFB"/>
    <w:rsid w:val="68884654"/>
    <w:rsid w:val="689F444F"/>
    <w:rsid w:val="68A85138"/>
    <w:rsid w:val="68B96DBB"/>
    <w:rsid w:val="68CA2805"/>
    <w:rsid w:val="68E048D2"/>
    <w:rsid w:val="68E31D87"/>
    <w:rsid w:val="68E937A3"/>
    <w:rsid w:val="690A194F"/>
    <w:rsid w:val="691E76C8"/>
    <w:rsid w:val="69366BE8"/>
    <w:rsid w:val="693E15D3"/>
    <w:rsid w:val="69401815"/>
    <w:rsid w:val="69627681"/>
    <w:rsid w:val="69717C20"/>
    <w:rsid w:val="69760009"/>
    <w:rsid w:val="6977531D"/>
    <w:rsid w:val="69B53592"/>
    <w:rsid w:val="69B77073"/>
    <w:rsid w:val="69C064B2"/>
    <w:rsid w:val="69C4572D"/>
    <w:rsid w:val="69CC2BFF"/>
    <w:rsid w:val="69CC5A54"/>
    <w:rsid w:val="69FD55B8"/>
    <w:rsid w:val="6A025FC0"/>
    <w:rsid w:val="6A0B1C62"/>
    <w:rsid w:val="6A2406C8"/>
    <w:rsid w:val="6A290CC8"/>
    <w:rsid w:val="6A343766"/>
    <w:rsid w:val="6A3661C4"/>
    <w:rsid w:val="6A3749C6"/>
    <w:rsid w:val="6A7259FE"/>
    <w:rsid w:val="6A7C4ACE"/>
    <w:rsid w:val="6ADE0BD1"/>
    <w:rsid w:val="6ADF4614"/>
    <w:rsid w:val="6AE96859"/>
    <w:rsid w:val="6AF44665"/>
    <w:rsid w:val="6B147746"/>
    <w:rsid w:val="6B24787C"/>
    <w:rsid w:val="6B460C38"/>
    <w:rsid w:val="6B573233"/>
    <w:rsid w:val="6B583B8B"/>
    <w:rsid w:val="6B5B6274"/>
    <w:rsid w:val="6B8D6867"/>
    <w:rsid w:val="6B935D53"/>
    <w:rsid w:val="6B961BC0"/>
    <w:rsid w:val="6BAC3618"/>
    <w:rsid w:val="6BD10B8D"/>
    <w:rsid w:val="6BF56026"/>
    <w:rsid w:val="6C0E79A8"/>
    <w:rsid w:val="6C196F71"/>
    <w:rsid w:val="6C226FCB"/>
    <w:rsid w:val="6C31226F"/>
    <w:rsid w:val="6C4B170D"/>
    <w:rsid w:val="6C552F0B"/>
    <w:rsid w:val="6C8C67B7"/>
    <w:rsid w:val="6C8D15AB"/>
    <w:rsid w:val="6C9D744C"/>
    <w:rsid w:val="6CA04DB4"/>
    <w:rsid w:val="6CF546C4"/>
    <w:rsid w:val="6D167928"/>
    <w:rsid w:val="6D26299B"/>
    <w:rsid w:val="6D3D22B1"/>
    <w:rsid w:val="6D4772EC"/>
    <w:rsid w:val="6D77332B"/>
    <w:rsid w:val="6D9078AF"/>
    <w:rsid w:val="6DAA3FEF"/>
    <w:rsid w:val="6DC0172B"/>
    <w:rsid w:val="6DCB690C"/>
    <w:rsid w:val="6DD17091"/>
    <w:rsid w:val="6DD41A5B"/>
    <w:rsid w:val="6DF43C2E"/>
    <w:rsid w:val="6DF51CA3"/>
    <w:rsid w:val="6E0B3D57"/>
    <w:rsid w:val="6E49116B"/>
    <w:rsid w:val="6E600263"/>
    <w:rsid w:val="6E717E07"/>
    <w:rsid w:val="6E777A87"/>
    <w:rsid w:val="6E7C509D"/>
    <w:rsid w:val="6E7D7067"/>
    <w:rsid w:val="6E8335BD"/>
    <w:rsid w:val="6E8E12EF"/>
    <w:rsid w:val="6E972936"/>
    <w:rsid w:val="6E9A5523"/>
    <w:rsid w:val="6E9E4CB2"/>
    <w:rsid w:val="6EC152CC"/>
    <w:rsid w:val="6ED446C5"/>
    <w:rsid w:val="6EF54E4F"/>
    <w:rsid w:val="6F0D5D2B"/>
    <w:rsid w:val="6F106433"/>
    <w:rsid w:val="6F2A7D94"/>
    <w:rsid w:val="6F375468"/>
    <w:rsid w:val="6F4440DB"/>
    <w:rsid w:val="6F8331F1"/>
    <w:rsid w:val="6FAE1A09"/>
    <w:rsid w:val="6FD75BF8"/>
    <w:rsid w:val="6FF60E7F"/>
    <w:rsid w:val="6FFF4B71"/>
    <w:rsid w:val="707723D0"/>
    <w:rsid w:val="70F5661B"/>
    <w:rsid w:val="70F57389"/>
    <w:rsid w:val="7101188A"/>
    <w:rsid w:val="71135FF1"/>
    <w:rsid w:val="7127647E"/>
    <w:rsid w:val="71360107"/>
    <w:rsid w:val="713B688E"/>
    <w:rsid w:val="715B5CD9"/>
    <w:rsid w:val="7177062A"/>
    <w:rsid w:val="71835196"/>
    <w:rsid w:val="71AF5789"/>
    <w:rsid w:val="71C30398"/>
    <w:rsid w:val="71D43752"/>
    <w:rsid w:val="71DE0A38"/>
    <w:rsid w:val="71E469FB"/>
    <w:rsid w:val="71F1796A"/>
    <w:rsid w:val="71F17B50"/>
    <w:rsid w:val="72071122"/>
    <w:rsid w:val="72154626"/>
    <w:rsid w:val="72262B5D"/>
    <w:rsid w:val="72283FF7"/>
    <w:rsid w:val="722E7212"/>
    <w:rsid w:val="723A0474"/>
    <w:rsid w:val="725923E4"/>
    <w:rsid w:val="725E3FBA"/>
    <w:rsid w:val="72615834"/>
    <w:rsid w:val="72850298"/>
    <w:rsid w:val="72864BF7"/>
    <w:rsid w:val="729023FC"/>
    <w:rsid w:val="72916C3D"/>
    <w:rsid w:val="72A00CB3"/>
    <w:rsid w:val="72E15E16"/>
    <w:rsid w:val="72F378F8"/>
    <w:rsid w:val="730C5C8F"/>
    <w:rsid w:val="73197DC9"/>
    <w:rsid w:val="731B5C28"/>
    <w:rsid w:val="73350703"/>
    <w:rsid w:val="73543F39"/>
    <w:rsid w:val="738B5D82"/>
    <w:rsid w:val="738C7903"/>
    <w:rsid w:val="73C0646E"/>
    <w:rsid w:val="73C14C41"/>
    <w:rsid w:val="74030675"/>
    <w:rsid w:val="74113261"/>
    <w:rsid w:val="741268A4"/>
    <w:rsid w:val="74133C11"/>
    <w:rsid w:val="741A4C96"/>
    <w:rsid w:val="742222F5"/>
    <w:rsid w:val="74273CFD"/>
    <w:rsid w:val="74476126"/>
    <w:rsid w:val="744A3547"/>
    <w:rsid w:val="74706664"/>
    <w:rsid w:val="747F3682"/>
    <w:rsid w:val="749C4185"/>
    <w:rsid w:val="74F44B35"/>
    <w:rsid w:val="75067759"/>
    <w:rsid w:val="751122B7"/>
    <w:rsid w:val="75134172"/>
    <w:rsid w:val="75150CCC"/>
    <w:rsid w:val="752D5AF1"/>
    <w:rsid w:val="752E6DCD"/>
    <w:rsid w:val="75475CD9"/>
    <w:rsid w:val="754D7793"/>
    <w:rsid w:val="7551380D"/>
    <w:rsid w:val="75600BE5"/>
    <w:rsid w:val="7564475C"/>
    <w:rsid w:val="7583797F"/>
    <w:rsid w:val="75BA64AB"/>
    <w:rsid w:val="75D20F1D"/>
    <w:rsid w:val="75DA2C18"/>
    <w:rsid w:val="75F54412"/>
    <w:rsid w:val="760134BF"/>
    <w:rsid w:val="76191F3F"/>
    <w:rsid w:val="761D08E0"/>
    <w:rsid w:val="76267907"/>
    <w:rsid w:val="765D347C"/>
    <w:rsid w:val="766518D3"/>
    <w:rsid w:val="76777F1C"/>
    <w:rsid w:val="76826699"/>
    <w:rsid w:val="76C87133"/>
    <w:rsid w:val="76CD08D5"/>
    <w:rsid w:val="76CF5992"/>
    <w:rsid w:val="76DB4B92"/>
    <w:rsid w:val="76DF12A6"/>
    <w:rsid w:val="76E45ED5"/>
    <w:rsid w:val="77052AA4"/>
    <w:rsid w:val="770E4D00"/>
    <w:rsid w:val="77136511"/>
    <w:rsid w:val="77340A39"/>
    <w:rsid w:val="77351FD0"/>
    <w:rsid w:val="774637A0"/>
    <w:rsid w:val="77472422"/>
    <w:rsid w:val="777B33FD"/>
    <w:rsid w:val="777F31F2"/>
    <w:rsid w:val="77B43AFA"/>
    <w:rsid w:val="77D1700D"/>
    <w:rsid w:val="77DB4929"/>
    <w:rsid w:val="77EC04CC"/>
    <w:rsid w:val="78235625"/>
    <w:rsid w:val="783B674F"/>
    <w:rsid w:val="784566A9"/>
    <w:rsid w:val="78775729"/>
    <w:rsid w:val="78A42DB0"/>
    <w:rsid w:val="78A656AB"/>
    <w:rsid w:val="78B217AA"/>
    <w:rsid w:val="78B2245C"/>
    <w:rsid w:val="78B52452"/>
    <w:rsid w:val="78B8508F"/>
    <w:rsid w:val="78C7160B"/>
    <w:rsid w:val="78E172CC"/>
    <w:rsid w:val="78EA1D1F"/>
    <w:rsid w:val="7904172F"/>
    <w:rsid w:val="790A7749"/>
    <w:rsid w:val="790F7E27"/>
    <w:rsid w:val="79200D1B"/>
    <w:rsid w:val="792A231A"/>
    <w:rsid w:val="79316829"/>
    <w:rsid w:val="796C6A44"/>
    <w:rsid w:val="797E66A9"/>
    <w:rsid w:val="79986B03"/>
    <w:rsid w:val="79A97383"/>
    <w:rsid w:val="79BA4CCB"/>
    <w:rsid w:val="79C57DF2"/>
    <w:rsid w:val="79C90396"/>
    <w:rsid w:val="79D00993"/>
    <w:rsid w:val="79D52F41"/>
    <w:rsid w:val="79E27E8B"/>
    <w:rsid w:val="79F850CE"/>
    <w:rsid w:val="79FD443C"/>
    <w:rsid w:val="7A1D1975"/>
    <w:rsid w:val="7A1F1FDB"/>
    <w:rsid w:val="7A3E5150"/>
    <w:rsid w:val="7A4670D6"/>
    <w:rsid w:val="7A49786E"/>
    <w:rsid w:val="7A534B63"/>
    <w:rsid w:val="7A615382"/>
    <w:rsid w:val="7A67303B"/>
    <w:rsid w:val="7A6B246A"/>
    <w:rsid w:val="7AAA11E4"/>
    <w:rsid w:val="7AAB1D04"/>
    <w:rsid w:val="7ABA4368"/>
    <w:rsid w:val="7AD05746"/>
    <w:rsid w:val="7AE403BE"/>
    <w:rsid w:val="7B03366C"/>
    <w:rsid w:val="7B03623F"/>
    <w:rsid w:val="7B046B46"/>
    <w:rsid w:val="7B114DBF"/>
    <w:rsid w:val="7B257FFD"/>
    <w:rsid w:val="7B343476"/>
    <w:rsid w:val="7B4E3058"/>
    <w:rsid w:val="7B5A2978"/>
    <w:rsid w:val="7B5A7E4C"/>
    <w:rsid w:val="7B667AF9"/>
    <w:rsid w:val="7B7468F8"/>
    <w:rsid w:val="7B8E7B07"/>
    <w:rsid w:val="7BB83C99"/>
    <w:rsid w:val="7BC241FC"/>
    <w:rsid w:val="7BEE0103"/>
    <w:rsid w:val="7C0A0FE4"/>
    <w:rsid w:val="7C254906"/>
    <w:rsid w:val="7C590818"/>
    <w:rsid w:val="7C701FB9"/>
    <w:rsid w:val="7C7C10F6"/>
    <w:rsid w:val="7C853BEA"/>
    <w:rsid w:val="7C881368"/>
    <w:rsid w:val="7C8A79D2"/>
    <w:rsid w:val="7C8F2CC6"/>
    <w:rsid w:val="7CC22918"/>
    <w:rsid w:val="7CE27788"/>
    <w:rsid w:val="7D0A2A81"/>
    <w:rsid w:val="7D0C32F1"/>
    <w:rsid w:val="7D0F408D"/>
    <w:rsid w:val="7D440E03"/>
    <w:rsid w:val="7D491C6C"/>
    <w:rsid w:val="7D5429C0"/>
    <w:rsid w:val="7D5B7E93"/>
    <w:rsid w:val="7D6E6D43"/>
    <w:rsid w:val="7DB0109D"/>
    <w:rsid w:val="7DB57A34"/>
    <w:rsid w:val="7DB639FC"/>
    <w:rsid w:val="7DBC3708"/>
    <w:rsid w:val="7DE60973"/>
    <w:rsid w:val="7DE74857"/>
    <w:rsid w:val="7DE82A56"/>
    <w:rsid w:val="7DEF0916"/>
    <w:rsid w:val="7E0472CB"/>
    <w:rsid w:val="7E1E5218"/>
    <w:rsid w:val="7E5F69DA"/>
    <w:rsid w:val="7E7E0F36"/>
    <w:rsid w:val="7E9A4E1F"/>
    <w:rsid w:val="7EA7723A"/>
    <w:rsid w:val="7EBC1C60"/>
    <w:rsid w:val="7EF56FBB"/>
    <w:rsid w:val="7F0768EB"/>
    <w:rsid w:val="7F143BEC"/>
    <w:rsid w:val="7F3F5145"/>
    <w:rsid w:val="7F450B87"/>
    <w:rsid w:val="7F715AF2"/>
    <w:rsid w:val="7F886E69"/>
    <w:rsid w:val="7FB07F68"/>
    <w:rsid w:val="7FB42153"/>
    <w:rsid w:val="7FCF181A"/>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195"/>
    <w:qFormat/>
    <w:uiPriority w:val="0"/>
    <w:pPr>
      <w:widowControl/>
      <w:snapToGrid w:val="0"/>
      <w:spacing w:line="480" w:lineRule="exact"/>
      <w:ind w:firstLine="567"/>
    </w:pPr>
    <w:rPr>
      <w:rFonts w:ascii="宋体"/>
      <w:snapToGrid w:val="0"/>
      <w:color w:val="000000"/>
      <w:kern w:val="28"/>
      <w:sz w:val="28"/>
      <w:szCs w:val="20"/>
    </w:rPr>
  </w:style>
  <w:style w:type="paragraph" w:styleId="3">
    <w:name w:val="Body Text Indent"/>
    <w:basedOn w:val="1"/>
    <w:next w:val="2"/>
    <w:link w:val="266"/>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toa heading"/>
    <w:basedOn w:val="1"/>
    <w:next w:val="1"/>
    <w:qFormat/>
    <w:uiPriority w:val="0"/>
    <w:pPr>
      <w:spacing w:before="120"/>
    </w:pPr>
    <w:rPr>
      <w:rFonts w:ascii="Arial"/>
      <w:kern w:val="0"/>
      <w:sz w:val="24"/>
      <w:szCs w:val="20"/>
    </w:rPr>
  </w:style>
  <w:style w:type="paragraph" w:styleId="21">
    <w:name w:val="annotation text"/>
    <w:basedOn w:val="1"/>
    <w:link w:val="345"/>
    <w:qFormat/>
    <w:uiPriority w:val="99"/>
    <w:pPr>
      <w:jc w:val="left"/>
    </w:pPr>
  </w:style>
  <w:style w:type="paragraph" w:styleId="22">
    <w:name w:val="Salutation"/>
    <w:basedOn w:val="1"/>
    <w:next w:val="1"/>
    <w:link w:val="299"/>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431"/>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7"/>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2"/>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303"/>
    <w:qFormat/>
    <w:uiPriority w:val="0"/>
    <w:pPr>
      <w:spacing w:after="120" w:line="480" w:lineRule="auto"/>
    </w:pPr>
  </w:style>
  <w:style w:type="paragraph" w:styleId="57">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8"/>
    <w:qFormat/>
    <w:uiPriority w:val="0"/>
    <w:rPr>
      <w:b/>
      <w:bCs/>
    </w:rPr>
  </w:style>
  <w:style w:type="paragraph" w:styleId="61">
    <w:name w:val="Body Text First Indent"/>
    <w:basedOn w:val="25"/>
    <w:next w:val="1"/>
    <w:link w:val="322"/>
    <w:qFormat/>
    <w:uiPriority w:val="0"/>
    <w:pPr>
      <w:ind w:firstLine="420"/>
    </w:pPr>
    <w:rPr>
      <w:rFonts w:hAnsi="Calibri" w:cs="Times New Roman"/>
      <w:snapToGrid/>
      <w:szCs w:val="20"/>
    </w:rPr>
  </w:style>
  <w:style w:type="paragraph" w:styleId="62">
    <w:name w:val="Body Text First Indent 2"/>
    <w:basedOn w:val="3"/>
    <w:next w:val="1"/>
    <w:link w:val="123"/>
    <w:qFormat/>
    <w:uiPriority w:val="0"/>
    <w:pPr>
      <w:adjustRightInd/>
      <w:spacing w:after="120" w:line="240" w:lineRule="auto"/>
      <w:ind w:left="420" w:leftChars="200" w:firstLine="210"/>
    </w:pPr>
    <w:rPr>
      <w:sz w:val="21"/>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1">
    <w:name w:val="Basistekst Batenburg"/>
    <w:basedOn w:val="82"/>
    <w:qFormat/>
    <w:uiPriority w:val="0"/>
  </w:style>
  <w:style w:type="paragraph" w:customStyle="1" w:styleId="82">
    <w:name w:val="Zsysbasis Batenburg"/>
    <w:next w:val="81"/>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83">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0"/>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2"/>
    <w:link w:val="62"/>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8"/>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9"/>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5"/>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2"/>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0"/>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83"/>
    <w:qFormat/>
    <w:uiPriority w:val="0"/>
    <w:rPr>
      <w:rFonts w:ascii="仿宋_GB2312"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9">
    <w:name w:val="列表段落1"/>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3"/>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59"/>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8"/>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2"/>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7"/>
    <w:qFormat/>
    <w:uiPriority w:val="0"/>
    <w:rPr>
      <w:rFonts w:ascii="黑体" w:hAnsi="Courier New" w:eastAsia="黑体"/>
    </w:rPr>
  </w:style>
  <w:style w:type="character" w:customStyle="1" w:styleId="303">
    <w:name w:val="正文文本 2 Char1"/>
    <w:link w:val="56"/>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7"/>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0"/>
    <w:qFormat/>
    <w:uiPriority w:val="0"/>
    <w:rPr>
      <w:b/>
      <w:bCs/>
      <w:kern w:val="2"/>
      <w:sz w:val="24"/>
      <w:szCs w:val="24"/>
    </w:rPr>
  </w:style>
  <w:style w:type="character" w:customStyle="1" w:styleId="309">
    <w:name w:val="正文文本缩进 2 Char"/>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1"/>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7"/>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3"/>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qFormat/>
    <w:uiPriority w:val="0"/>
    <w:rPr>
      <w:kern w:val="2"/>
      <w:sz w:val="21"/>
      <w:szCs w:val="24"/>
    </w:rPr>
  </w:style>
  <w:style w:type="character" w:customStyle="1" w:styleId="346">
    <w:name w:val="签名 Char"/>
    <w:link w:val="43"/>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basedOn w:val="70"/>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1"/>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1"/>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2"/>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2"/>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7"/>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6"/>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8"/>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3"/>
    <w:next w:val="83"/>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3"/>
    <w:next w:val="83"/>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2"/>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Lines="0" w:afterLines="0"/>
      <w:ind w:left="1680"/>
      <w:outlineLvl w:val="2"/>
    </w:pPr>
  </w:style>
  <w:style w:type="paragraph" w:customStyle="1" w:styleId="659">
    <w:name w:val="章标题"/>
    <w:next w:val="64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2"/>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1"/>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5"/>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9"/>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4"/>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z-窗体底端1"/>
    <w:basedOn w:val="1"/>
    <w:next w:val="1"/>
    <w:qFormat/>
    <w:uiPriority w:val="0"/>
    <w:pPr>
      <w:pBdr>
        <w:top w:val="single" w:color="auto" w:sz="6" w:space="1"/>
      </w:pBdr>
      <w:jc w:val="center"/>
    </w:pPr>
    <w:rPr>
      <w:rFonts w:ascii="Arial"/>
      <w:vanish/>
      <w:sz w:val="16"/>
    </w:rPr>
  </w:style>
  <w:style w:type="paragraph" w:customStyle="1" w:styleId="965">
    <w:name w:val="z-窗体底端11"/>
    <w:basedOn w:val="1"/>
    <w:next w:val="1"/>
    <w:qFormat/>
    <w:uiPriority w:val="0"/>
    <w:pPr>
      <w:pBdr>
        <w:top w:val="single" w:color="auto" w:sz="6" w:space="1"/>
      </w:pBdr>
      <w:jc w:val="center"/>
    </w:pPr>
    <w:rPr>
      <w:rFonts w:ascii="Arial"/>
      <w:vanish/>
      <w:sz w:val="16"/>
    </w:rPr>
  </w:style>
  <w:style w:type="paragraph" w:customStyle="1" w:styleId="966">
    <w:name w:val="List2"/>
    <w:basedOn w:val="1"/>
    <w:qFormat/>
    <w:uiPriority w:val="0"/>
    <w:pPr>
      <w:ind w:left="100" w:leftChars="200" w:hanging="200" w:hangingChars="200"/>
      <w:contextualSpacing/>
      <w:textAlignment w:val="baseline"/>
    </w:pPr>
    <w:rPr>
      <w:szCs w:val="20"/>
    </w:rPr>
  </w:style>
  <w:style w:type="character" w:customStyle="1" w:styleId="967">
    <w:name w:val="NormalCharacter"/>
    <w:qFormat/>
    <w:uiPriority w:val="0"/>
    <w:rPr>
      <w:rFonts w:ascii="Times New Roman" w:hAnsi="Times New Roman" w:eastAsia="宋体" w:cs="Times New Roman"/>
      <w:kern w:val="2"/>
      <w:sz w:val="21"/>
      <w:szCs w:val="24"/>
      <w:lang w:val="en-US" w:eastAsia="zh-CN" w:bidi="ar-SA"/>
    </w:rPr>
  </w:style>
  <w:style w:type="paragraph" w:customStyle="1" w:styleId="968">
    <w:name w:val="_Style 967"/>
    <w:basedOn w:val="3"/>
    <w:next w:val="1"/>
    <w:link w:val="969"/>
    <w:qFormat/>
    <w:uiPriority w:val="0"/>
    <w:pPr>
      <w:adjustRightInd/>
      <w:spacing w:after="120" w:line="240" w:lineRule="auto"/>
      <w:ind w:left="420" w:leftChars="200" w:firstLine="210"/>
    </w:pPr>
    <w:rPr>
      <w:sz w:val="21"/>
    </w:rPr>
  </w:style>
  <w:style w:type="character" w:customStyle="1" w:styleId="969">
    <w:name w:val="正文首行缩进 2 Char"/>
    <w:link w:val="968"/>
    <w:qFormat/>
    <w:uiPriority w:val="0"/>
    <w:rPr>
      <w:rFonts w:ascii="宋体" w:hAnsi="宋体"/>
      <w:kern w:val="2"/>
      <w:sz w:val="21"/>
      <w:szCs w:val="24"/>
    </w:rPr>
  </w:style>
  <w:style w:type="paragraph" w:styleId="97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63</Pages>
  <Words>32321</Words>
  <Characters>34446</Characters>
  <Lines>267</Lines>
  <Paragraphs>75</Paragraphs>
  <TotalTime>2</TotalTime>
  <ScaleCrop>false</ScaleCrop>
  <LinksUpToDate>false</LinksUpToDate>
  <CharactersWithSpaces>36193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2023-07-10T00:20:00Z</dcterms:created>
  <dc:creator>玥</dc:creator>
  <cp:lastModifiedBy>两</cp:lastModifiedBy>
  <cp:lastPrinted>2023-02-27T02:51:00Z</cp:lastPrinted>
  <dcterms:modified xsi:type="dcterms:W3CDTF">2023-07-18T09:35:05Z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6D24278C5CF0453CA52E7C9BD87FBDEB_13</vt:lpwstr>
  </property>
</Properties>
</file>