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4B5FB">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 </w:t>
      </w:r>
    </w:p>
    <w:p w14:paraId="57140D93">
      <w:pPr>
        <w:adjustRightInd/>
        <w:spacing w:line="360" w:lineRule="auto"/>
        <w:jc w:val="center"/>
        <w:rPr>
          <w:rFonts w:ascii="宋体" w:hAnsi="宋体" w:cs="宋体"/>
          <w:sz w:val="48"/>
          <w:szCs w:val="48"/>
        </w:rPr>
      </w:pPr>
      <w:bookmarkStart w:id="514" w:name="_GoBack"/>
      <w:r>
        <w:rPr>
          <w:rFonts w:hint="eastAsia" w:ascii="宋体" w:hAnsi="宋体" w:eastAsia="宋体" w:cs="宋体"/>
          <w:sz w:val="48"/>
          <w:szCs w:val="48"/>
          <w:lang w:val="en-US" w:eastAsia="zh-CN"/>
        </w:rPr>
        <w:t>避灾安置场所视频监控租赁服务项目</w:t>
      </w:r>
      <w:bookmarkEnd w:id="514"/>
      <w:r>
        <w:rPr>
          <w:rFonts w:hint="eastAsia" w:ascii="宋体" w:hAnsi="宋体" w:eastAsia="宋体" w:cs="宋体"/>
          <w:sz w:val="48"/>
          <w:szCs w:val="48"/>
        </w:rPr>
        <w:br w:type="textWrapping"/>
      </w:r>
      <w:r>
        <w:rPr>
          <w:rFonts w:hint="eastAsia" w:ascii="宋体" w:hAnsi="宋体" w:cs="宋体"/>
          <w:sz w:val="48"/>
          <w:szCs w:val="48"/>
        </w:rPr>
        <w:t>招标文件</w:t>
      </w:r>
    </w:p>
    <w:p w14:paraId="26530C2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71B65A8">
      <w:pPr>
        <w:snapToGrid w:val="0"/>
        <w:spacing w:line="360" w:lineRule="auto"/>
        <w:jc w:val="center"/>
        <w:rPr>
          <w:rFonts w:ascii="宋体" w:hAnsi="宋体" w:cs="宋体"/>
          <w:sz w:val="30"/>
          <w:szCs w:val="30"/>
        </w:rPr>
      </w:pPr>
      <w:r>
        <w:rPr>
          <w:rFonts w:hint="eastAsia" w:ascii="宋体" w:hAnsi="宋体" w:cs="宋体"/>
          <w:sz w:val="30"/>
          <w:szCs w:val="30"/>
        </w:rPr>
        <w:t>采购编号</w:t>
      </w:r>
      <w:r>
        <w:rPr>
          <w:rFonts w:hint="eastAsia" w:ascii="宋体" w:hAnsi="宋体" w:cs="宋体"/>
          <w:sz w:val="30"/>
          <w:szCs w:val="30"/>
          <w:lang w:eastAsia="zh-CN"/>
        </w:rPr>
        <w:t>：</w:t>
      </w:r>
      <w:r>
        <w:rPr>
          <w:rFonts w:hint="eastAsia" w:ascii="宋体" w:hAnsi="宋体" w:cs="宋体"/>
          <w:sz w:val="30"/>
          <w:szCs w:val="30"/>
        </w:rPr>
        <w:t>（</w:t>
      </w:r>
      <w:r>
        <w:rPr>
          <w:rFonts w:hint="eastAsia" w:ascii="宋体" w:hAnsi="宋体" w:cs="宋体"/>
          <w:sz w:val="32"/>
          <w:szCs w:val="32"/>
          <w:lang w:eastAsia="zh-CN"/>
        </w:rPr>
        <w:t>HZLKTLCG-2025-</w:t>
      </w:r>
      <w:r>
        <w:rPr>
          <w:rFonts w:hint="eastAsia" w:ascii="宋体" w:hAnsi="宋体" w:cs="宋体"/>
          <w:sz w:val="32"/>
          <w:szCs w:val="32"/>
          <w:lang w:val="en-US" w:eastAsia="zh-CN"/>
        </w:rPr>
        <w:t>25</w:t>
      </w:r>
      <w:r>
        <w:rPr>
          <w:rFonts w:hint="eastAsia" w:ascii="宋体" w:hAnsi="宋体" w:cs="宋体"/>
          <w:sz w:val="30"/>
          <w:szCs w:val="30"/>
        </w:rPr>
        <w:t>）</w:t>
      </w:r>
    </w:p>
    <w:p w14:paraId="6D502079">
      <w:pPr>
        <w:adjustRightInd/>
        <w:spacing w:line="360" w:lineRule="auto"/>
        <w:rPr>
          <w:rFonts w:ascii="宋体" w:hAnsi="宋体" w:cs="宋体"/>
          <w:sz w:val="28"/>
          <w:szCs w:val="20"/>
        </w:rPr>
      </w:pPr>
    </w:p>
    <w:p w14:paraId="671739A7">
      <w:pPr>
        <w:spacing w:line="360" w:lineRule="auto"/>
        <w:jc w:val="center"/>
        <w:rPr>
          <w:rFonts w:ascii="宋体" w:hAnsi="宋体" w:cs="宋体"/>
          <w:b/>
          <w:sz w:val="44"/>
          <w:szCs w:val="44"/>
        </w:rPr>
      </w:pPr>
    </w:p>
    <w:p w14:paraId="64DA4F84">
      <w:pPr>
        <w:spacing w:line="360" w:lineRule="auto"/>
        <w:jc w:val="center"/>
        <w:rPr>
          <w:rFonts w:ascii="宋体" w:hAnsi="宋体" w:cs="宋体"/>
          <w:b/>
          <w:sz w:val="44"/>
          <w:szCs w:val="44"/>
        </w:rPr>
      </w:pPr>
    </w:p>
    <w:p w14:paraId="0FA2BBC8">
      <w:pPr>
        <w:spacing w:line="360" w:lineRule="auto"/>
        <w:jc w:val="center"/>
        <w:rPr>
          <w:rFonts w:ascii="宋体" w:hAnsi="宋体" w:cs="宋体"/>
          <w:sz w:val="24"/>
        </w:rPr>
      </w:pPr>
    </w:p>
    <w:p w14:paraId="76D0DA89">
      <w:pPr>
        <w:spacing w:line="360" w:lineRule="auto"/>
        <w:jc w:val="center"/>
        <w:rPr>
          <w:rFonts w:ascii="宋体" w:hAnsi="宋体" w:cs="宋体"/>
          <w:sz w:val="24"/>
        </w:rPr>
      </w:pPr>
    </w:p>
    <w:p w14:paraId="6866D19A">
      <w:pPr>
        <w:spacing w:line="360" w:lineRule="auto"/>
        <w:rPr>
          <w:rFonts w:ascii="宋体" w:hAnsi="宋体" w:cs="宋体"/>
          <w:sz w:val="32"/>
          <w:szCs w:val="32"/>
        </w:rPr>
      </w:pPr>
    </w:p>
    <w:p w14:paraId="2B7D3616">
      <w:pPr>
        <w:spacing w:line="60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 xml:space="preserve"> </w:t>
      </w:r>
    </w:p>
    <w:p w14:paraId="4B2BEE36">
      <w:pPr>
        <w:spacing w:line="600" w:lineRule="auto"/>
        <w:jc w:val="center"/>
        <w:rPr>
          <w:rFonts w:hint="eastAsia" w:ascii="宋体" w:hAnsi="宋体" w:cs="宋体"/>
          <w:bCs/>
          <w:sz w:val="32"/>
          <w:szCs w:val="32"/>
          <w:lang w:eastAsia="zh-CN"/>
        </w:rPr>
      </w:pPr>
      <w:r>
        <w:rPr>
          <w:rFonts w:hint="eastAsia" w:ascii="宋体" w:hAnsi="宋体" w:cs="宋体"/>
          <w:bCs/>
          <w:sz w:val="32"/>
          <w:szCs w:val="32"/>
          <w:lang w:val="en-US" w:eastAsia="zh-CN"/>
        </w:rPr>
        <w:t xml:space="preserve"> </w:t>
      </w:r>
      <w:r>
        <w:rPr>
          <w:rFonts w:hint="eastAsia" w:ascii="宋体" w:hAnsi="宋体" w:cs="宋体"/>
          <w:bCs/>
          <w:sz w:val="32"/>
          <w:szCs w:val="32"/>
          <w:lang w:eastAsia="zh-CN"/>
        </w:rPr>
        <w:t>采购人：桐庐县应急管理局</w:t>
      </w:r>
      <w:r>
        <w:rPr>
          <w:rFonts w:hint="eastAsia" w:ascii="宋体" w:hAnsi="宋体" w:cs="宋体"/>
          <w:bCs/>
          <w:sz w:val="32"/>
          <w:szCs w:val="32"/>
        </w:rPr>
        <w:t xml:space="preserve">  </w:t>
      </w:r>
    </w:p>
    <w:p w14:paraId="7788589F">
      <w:pPr>
        <w:spacing w:line="60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采购代理机构：杭州龙魁工程管理有限公司</w:t>
      </w:r>
    </w:p>
    <w:p w14:paraId="0BD848FE">
      <w:pPr>
        <w:snapToGrid w:val="0"/>
        <w:spacing w:line="600" w:lineRule="auto"/>
        <w:jc w:val="center"/>
        <w:rPr>
          <w:rFonts w:hint="eastAsia" w:ascii="宋体" w:hAnsi="宋体" w:eastAsia="宋体" w:cs="宋体"/>
          <w:bCs/>
          <w:sz w:val="32"/>
          <w:szCs w:val="32"/>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sz w:val="32"/>
          <w:szCs w:val="32"/>
          <w:lang w:eastAsia="zh-CN"/>
        </w:rPr>
        <w:t>年</w:t>
      </w:r>
      <w:r>
        <w:rPr>
          <w:rFonts w:hint="eastAsia" w:ascii="宋体" w:hAnsi="宋体" w:cs="宋体"/>
          <w:bCs/>
          <w:sz w:val="32"/>
          <w:szCs w:val="32"/>
          <w:lang w:val="en-US" w:eastAsia="zh-CN"/>
        </w:rPr>
        <w:t>七</w:t>
      </w:r>
      <w:r>
        <w:rPr>
          <w:rFonts w:hint="eastAsia" w:ascii="宋体" w:hAnsi="宋体" w:cs="宋体"/>
          <w:bCs/>
          <w:sz w:val="32"/>
          <w:szCs w:val="32"/>
          <w:lang w:eastAsia="zh-CN"/>
        </w:rPr>
        <w:t>月</w:t>
      </w:r>
    </w:p>
    <w:p w14:paraId="7A746048">
      <w:pPr>
        <w:rPr>
          <w:rFonts w:ascii="宋体" w:hAnsi="宋体" w:cs="宋体"/>
          <w:sz w:val="32"/>
          <w:szCs w:val="32"/>
        </w:rPr>
      </w:pPr>
    </w:p>
    <w:p w14:paraId="35D13E32">
      <w:pPr>
        <w:rPr>
          <w:rFonts w:ascii="宋体" w:hAnsi="宋体" w:cs="宋体"/>
          <w:bCs/>
          <w:sz w:val="32"/>
          <w:szCs w:val="32"/>
        </w:rPr>
      </w:pPr>
    </w:p>
    <w:p w14:paraId="5399045A">
      <w:pPr>
        <w:spacing w:line="360" w:lineRule="auto"/>
        <w:rPr>
          <w:rFonts w:ascii="宋体" w:hAnsi="宋体" w:cs="宋体"/>
          <w:b/>
          <w:sz w:val="48"/>
          <w:szCs w:val="48"/>
        </w:rPr>
      </w:pPr>
    </w:p>
    <w:p w14:paraId="0F4D4E39">
      <w:pPr>
        <w:pStyle w:val="11"/>
        <w:sectPr>
          <w:headerReference r:id="rId4" w:type="first"/>
          <w:footerReference r:id="rId6" w:type="first"/>
          <w:headerReference r:id="rId3" w:type="defaul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14:paraId="33BD0CAA"/>
    <w:p w14:paraId="199216FF">
      <w:pPr>
        <w:spacing w:line="360" w:lineRule="auto"/>
        <w:jc w:val="center"/>
        <w:rPr>
          <w:rFonts w:hint="eastAsia" w:ascii="宋体" w:hAnsi="宋体" w:cs="宋体"/>
          <w:b/>
          <w:sz w:val="48"/>
          <w:szCs w:val="48"/>
        </w:rPr>
      </w:pPr>
    </w:p>
    <w:p w14:paraId="2E319E21">
      <w:pPr>
        <w:spacing w:line="360" w:lineRule="auto"/>
        <w:jc w:val="center"/>
        <w:rPr>
          <w:rFonts w:ascii="宋体" w:hAnsi="宋体" w:cs="宋体"/>
          <w:b/>
          <w:sz w:val="48"/>
          <w:szCs w:val="48"/>
        </w:rPr>
      </w:pPr>
      <w:r>
        <w:rPr>
          <w:rFonts w:hint="eastAsia" w:ascii="宋体" w:hAnsi="宋体" w:cs="宋体"/>
          <w:b/>
          <w:sz w:val="48"/>
          <w:szCs w:val="48"/>
        </w:rPr>
        <w:t>目  录</w:t>
      </w:r>
    </w:p>
    <w:p w14:paraId="4D3B88AF">
      <w:pPr>
        <w:spacing w:line="360" w:lineRule="auto"/>
        <w:rPr>
          <w:rFonts w:ascii="宋体" w:hAnsi="宋体" w:cs="宋体"/>
          <w:sz w:val="32"/>
          <w:szCs w:val="32"/>
        </w:rPr>
      </w:pPr>
    </w:p>
    <w:p w14:paraId="3C2C4FD0">
      <w:pPr>
        <w:spacing w:line="360" w:lineRule="auto"/>
        <w:rPr>
          <w:rFonts w:ascii="宋体" w:hAnsi="宋体" w:cs="宋体"/>
          <w:sz w:val="32"/>
          <w:szCs w:val="32"/>
        </w:rPr>
      </w:pPr>
    </w:p>
    <w:p w14:paraId="66715A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69B1B9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1F6AE5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DA9077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D7D12B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2AD85F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8F64E51">
      <w:pPr>
        <w:adjustRightInd/>
        <w:spacing w:line="360" w:lineRule="auto"/>
        <w:jc w:val="both"/>
        <w:outlineLvl w:val="0"/>
        <w:rPr>
          <w:rFonts w:ascii="宋体" w:hAnsi="宋体" w:cs="宋体"/>
          <w:b/>
          <w:sz w:val="36"/>
          <w:szCs w:val="20"/>
        </w:rPr>
      </w:pPr>
      <w:bookmarkStart w:id="0" w:name="_Hlt74729822"/>
      <w:bookmarkEnd w:id="0"/>
      <w:bookmarkStart w:id="1" w:name="_Hlt74728647"/>
      <w:bookmarkEnd w:id="1"/>
      <w:bookmarkStart w:id="2" w:name="_Hlt91233176"/>
      <w:bookmarkEnd w:id="2"/>
      <w:bookmarkStart w:id="3" w:name="_Hlt74649545"/>
      <w:bookmarkEnd w:id="3"/>
      <w:bookmarkStart w:id="4" w:name="_Hlt74707423"/>
      <w:bookmarkEnd w:id="4"/>
      <w:bookmarkStart w:id="5" w:name="第二部分"/>
      <w:bookmarkStart w:id="6" w:name="_Toc91899870"/>
      <w:bookmarkStart w:id="7" w:name="_Toc91899871"/>
    </w:p>
    <w:p w14:paraId="1D6207F8">
      <w:pPr>
        <w:pStyle w:val="15"/>
        <w:sectPr>
          <w:footerReference r:id="rId8" w:type="first"/>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14:paraId="1737F803">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6508C8E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B7AEB5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spacing w:line="360" w:lineRule="auto"/>
        <w:ind w:firstLine="480" w:firstLineChars="200"/>
        <w:textAlignment w:val="auto"/>
        <w:rPr>
          <w:rFonts w:ascii="宋体" w:hAnsi="宋体" w:cs="宋体"/>
          <w:sz w:val="24"/>
          <w:u w:val="single"/>
        </w:rPr>
      </w:pPr>
      <w:r>
        <w:rPr>
          <w:rFonts w:hint="eastAsia" w:ascii="宋体" w:hAnsi="宋体" w:cs="宋体"/>
          <w:sz w:val="24"/>
          <w:u w:val="single"/>
          <w:lang w:eastAsia="zh-CN"/>
        </w:rPr>
        <w:t xml:space="preserve"> </w:t>
      </w:r>
      <w:r>
        <w:rPr>
          <w:rFonts w:hint="eastAsia" w:ascii="宋体" w:hAnsi="宋体" w:cs="宋体"/>
          <w:sz w:val="24"/>
          <w:u w:val="single"/>
        </w:rPr>
        <w:t>避灾安置场所视频监控租赁服务项目</w:t>
      </w:r>
      <w:r>
        <w:rPr>
          <w:rFonts w:hint="eastAsia" w:ascii="宋体" w:hAnsi="宋体" w:cs="宋体"/>
          <w:sz w:val="24"/>
        </w:rPr>
        <w:t>的潜在投标人应在政采云平台（</w:t>
      </w:r>
      <w:r>
        <w:fldChar w:fldCharType="begin"/>
      </w:r>
      <w:r>
        <w:instrText xml:space="preserve"> HYPERLINK "https://www.zcygov.cn/）获取（下载）招标文件，并于2022年%20%20%20月%20%20%20日%20点%20分" </w:instrText>
      </w:r>
      <w:r>
        <w:fldChar w:fldCharType="separate"/>
      </w:r>
      <w:r>
        <w:rPr>
          <w:rStyle w:val="26"/>
          <w:rFonts w:hint="eastAsia" w:ascii="宋体" w:hAnsi="宋体" w:eastAsia="宋体" w:cs="宋体"/>
          <w:snapToGrid/>
          <w:kern w:val="2"/>
          <w:sz w:val="24"/>
          <w:szCs w:val="24"/>
        </w:rPr>
        <w:t>https://www.zcygov.cn</w:t>
      </w:r>
      <w:r>
        <w:rPr>
          <w:rStyle w:val="26"/>
          <w:rFonts w:hint="eastAsia" w:ascii="宋体" w:hAnsi="宋体" w:cs="宋体"/>
          <w:snapToGrid/>
          <w:kern w:val="2"/>
          <w:sz w:val="24"/>
          <w:szCs w:val="24"/>
          <w:lang w:eastAsia="zh-CN"/>
        </w:rPr>
        <w:t>）</w:t>
      </w:r>
      <w:r>
        <w:rPr>
          <w:rStyle w:val="26"/>
          <w:rFonts w:hint="eastAsia" w:ascii="宋体" w:hAnsi="宋体" w:eastAsia="宋体" w:cs="宋体"/>
          <w:snapToGrid/>
          <w:kern w:val="2"/>
          <w:sz w:val="24"/>
          <w:szCs w:val="24"/>
        </w:rPr>
        <w:t>获取（下载）招标文件，并于</w:t>
      </w:r>
      <w:r>
        <w:rPr>
          <w:rFonts w:hint="eastAsia" w:cs="宋体" w:asciiTheme="minorEastAsia" w:hAnsiTheme="minorEastAsia" w:eastAsiaTheme="minorEastAsia"/>
          <w:sz w:val="24"/>
          <w:highlight w:val="none"/>
          <w:u w:val="single"/>
          <w:lang w:eastAsia="zh-CN"/>
        </w:rPr>
        <w:t>2025年 0</w:t>
      </w:r>
      <w:r>
        <w:rPr>
          <w:rFonts w:hint="eastAsia" w:cs="宋体" w:asciiTheme="minorEastAsia" w:hAnsiTheme="minorEastAsia" w:eastAsiaTheme="minorEastAsia"/>
          <w:sz w:val="24"/>
          <w:highlight w:val="none"/>
          <w:u w:val="single"/>
          <w:lang w:val="en-US" w:eastAsia="zh-CN"/>
        </w:rPr>
        <w:t>7</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分</w:t>
      </w:r>
      <w:r>
        <w:rPr>
          <w:rFonts w:hint="eastAsia" w:ascii="宋体" w:hAnsi="宋体" w:cs="宋体"/>
          <w:sz w:val="24"/>
          <w:u w:val="single"/>
        </w:rPr>
        <w:t>00秒</w:t>
      </w:r>
      <w:r>
        <w:rPr>
          <w:rStyle w:val="26"/>
          <w:rFonts w:hint="eastAsia" w:ascii="宋体" w:hAnsi="宋体" w:eastAsia="宋体" w:cs="宋体"/>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6B5FAF8">
      <w:pPr>
        <w:spacing w:line="360" w:lineRule="auto"/>
        <w:rPr>
          <w:rFonts w:ascii="宋体" w:hAnsi="宋体" w:cs="宋体"/>
          <w:b/>
          <w:sz w:val="24"/>
        </w:rPr>
      </w:pPr>
      <w:r>
        <w:rPr>
          <w:rFonts w:hint="eastAsia" w:ascii="宋体" w:hAnsi="宋体" w:cs="宋体"/>
          <w:b/>
          <w:sz w:val="24"/>
        </w:rPr>
        <w:t xml:space="preserve">一、项目基本情况                                            </w:t>
      </w:r>
    </w:p>
    <w:p w14:paraId="02C9563C">
      <w:pPr>
        <w:spacing w:line="360" w:lineRule="auto"/>
        <w:ind w:firstLine="472" w:firstLineChars="196"/>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bCs/>
          <w:sz w:val="24"/>
        </w:rPr>
        <w:t>HZLKTLCG-2025-</w:t>
      </w:r>
      <w:r>
        <w:rPr>
          <w:rFonts w:hint="eastAsia" w:ascii="宋体" w:hAnsi="宋体" w:cs="宋体"/>
          <w:bCs/>
          <w:sz w:val="24"/>
          <w:lang w:val="en-US" w:eastAsia="zh-CN"/>
        </w:rPr>
        <w:t>25</w:t>
      </w:r>
    </w:p>
    <w:p w14:paraId="3AA33AE6">
      <w:pPr>
        <w:spacing w:line="360" w:lineRule="auto"/>
        <w:rPr>
          <w:rFonts w:ascii="宋体" w:hAnsi="宋体" w:cs="宋体"/>
          <w:sz w:val="24"/>
        </w:rPr>
      </w:pPr>
      <w:r>
        <w:rPr>
          <w:rFonts w:hint="eastAsia" w:ascii="宋体" w:hAnsi="宋体" w:cs="宋体"/>
          <w:b/>
          <w:sz w:val="24"/>
        </w:rPr>
        <w:t xml:space="preserve">    项目名称：</w:t>
      </w:r>
      <w:r>
        <w:rPr>
          <w:rFonts w:hint="eastAsia" w:ascii="宋体" w:hAnsi="宋体" w:cs="宋体"/>
          <w:bCs/>
          <w:sz w:val="24"/>
        </w:rPr>
        <w:t>避灾安置场所视频监控租赁服务项目</w:t>
      </w:r>
    </w:p>
    <w:p w14:paraId="3F397731">
      <w:pPr>
        <w:spacing w:line="360" w:lineRule="auto"/>
        <w:rPr>
          <w:rFonts w:hint="default" w:ascii="宋体" w:hAnsi="宋体" w:eastAsia="宋体" w:cs="宋体"/>
          <w:sz w:val="24"/>
          <w:lang w:val="en-US" w:eastAsia="zh-CN"/>
        </w:rPr>
      </w:pPr>
      <w:r>
        <w:rPr>
          <w:rFonts w:hint="eastAsia" w:ascii="宋体" w:hAnsi="宋体" w:cs="宋体"/>
          <w:b/>
          <w:sz w:val="24"/>
        </w:rPr>
        <w:t xml:space="preserve">    预算金额（元）：</w:t>
      </w:r>
      <w:r>
        <w:rPr>
          <w:rFonts w:hint="eastAsia" w:ascii="宋体" w:hAnsi="宋体" w:cs="宋体"/>
          <w:bCs/>
          <w:sz w:val="24"/>
          <w:lang w:val="en-US" w:eastAsia="zh-CN"/>
        </w:rPr>
        <w:t>580000</w:t>
      </w:r>
    </w:p>
    <w:p w14:paraId="6A4C7453">
      <w:pPr>
        <w:spacing w:line="360" w:lineRule="auto"/>
        <w:ind w:left="239" w:leftChars="114" w:firstLine="241" w:firstLineChars="1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Cs/>
          <w:sz w:val="24"/>
          <w:lang w:val="en-US" w:eastAsia="zh-CN"/>
        </w:rPr>
        <w:t>580000</w:t>
      </w:r>
    </w:p>
    <w:p w14:paraId="4BF1C885">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cs="宋体" w:asciiTheme="minorEastAsia" w:hAnsiTheme="minorEastAsia" w:eastAsiaTheme="minorEastAsia"/>
          <w:bCs/>
          <w:sz w:val="24"/>
          <w:lang w:eastAsia="zh-CN"/>
        </w:rPr>
        <w:t xml:space="preserve"> </w:t>
      </w:r>
      <w:r>
        <w:rPr>
          <w:rFonts w:hint="eastAsia" w:ascii="宋体" w:hAnsi="宋体" w:cs="宋体"/>
          <w:bCs/>
          <w:sz w:val="24"/>
        </w:rPr>
        <w:t>具体以招标文件第三部分采购需求为准，供应商可点击本公告下方“浏览采购文件”查看采购需求。</w:t>
      </w:r>
    </w:p>
    <w:p w14:paraId="1FF899C8">
      <w:pPr>
        <w:keepNext w:val="0"/>
        <w:keepLines w:val="0"/>
        <w:pageBreakBefore w:val="0"/>
        <w:kinsoku/>
        <w:wordWrap/>
        <w:overflowPunct/>
        <w:topLinePunct w:val="0"/>
        <w:autoSpaceDE/>
        <w:autoSpaceDN/>
        <w:bidi w:val="0"/>
        <w:snapToGrid w:val="0"/>
        <w:spacing w:beforeLines="0" w:line="360" w:lineRule="auto"/>
        <w:ind w:firstLine="482" w:firstLineChars="200"/>
        <w:rPr>
          <w:rFonts w:hint="eastAsia" w:eastAsia="宋体" w:cs="宋体" w:asciiTheme="minorEastAsia" w:hAnsiTheme="minorEastAsia"/>
          <w:bCs/>
          <w:sz w:val="24"/>
          <w:highlight w:val="yellow"/>
          <w:lang w:val="en-US" w:eastAsia="zh-CN"/>
        </w:rPr>
      </w:pPr>
      <w:r>
        <w:rPr>
          <w:rFonts w:hint="eastAsia" w:hAnsi="宋体" w:cs="宋体"/>
          <w:b/>
          <w:color w:val="auto"/>
          <w:sz w:val="24"/>
          <w:highlight w:val="none"/>
        </w:rPr>
        <w:t>合同履约期限：</w:t>
      </w:r>
      <w:r>
        <w:rPr>
          <w:rFonts w:hint="eastAsia" w:ascii="宋体" w:hAnsi="宋体" w:cs="宋体"/>
          <w:bCs/>
          <w:sz w:val="24"/>
          <w:lang w:eastAsia="zh-CN"/>
        </w:rPr>
        <w:t>合同签订之日起三年</w:t>
      </w:r>
      <w:r>
        <w:rPr>
          <w:rFonts w:hint="eastAsia" w:ascii="宋体" w:hAnsi="宋体" w:cs="宋体"/>
          <w:bCs/>
          <w:sz w:val="24"/>
        </w:rPr>
        <w:t>。</w:t>
      </w:r>
    </w:p>
    <w:p w14:paraId="00BE3C83">
      <w:pPr>
        <w:pStyle w:val="8"/>
        <w:spacing w:line="360" w:lineRule="auto"/>
        <w:ind w:firstLine="480"/>
        <w:rPr>
          <w:rFonts w:hint="eastAsia" w:hAnsi="宋体" w:eastAsia="宋体" w:cs="宋体"/>
          <w:b/>
          <w:sz w:val="24"/>
          <w:lang w:eastAsia="zh-CN"/>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sdt>
            <w:sdtPr>
              <w:rPr>
                <w:rFonts w:hint="eastAsia" w:hAnsi="宋体" w:cs="宋体"/>
                <w:sz w:val="24"/>
              </w:rPr>
              <w:id w:val="-668002043"/>
            </w:sdtPr>
            <w:sdtEndPr>
              <w:rPr>
                <w:rFonts w:hint="eastAsia" w:hAnsi="宋体" w:cs="宋体"/>
                <w:sz w:val="24"/>
              </w:rPr>
            </w:sdtEndPr>
            <w:sdtContent>
              <w:r>
                <w:rPr>
                  <w:rFonts w:hint="eastAsia" w:hAnsi="宋体" w:cs="宋体"/>
                  <w:color w:val="auto"/>
                  <w:kern w:val="0"/>
                  <w:sz w:val="24"/>
                </w:rPr>
                <w:t>☐</w:t>
              </w:r>
            </w:sdtContent>
          </w:sdt>
        </w:sdtContent>
      </w:sdt>
      <w:r>
        <w:rPr>
          <w:rFonts w:hint="eastAsia" w:hAnsi="宋体" w:cs="宋体"/>
          <w:b/>
          <w:color w:val="auto"/>
          <w:sz w:val="24"/>
        </w:rPr>
        <w:t>是，</w:t>
      </w:r>
      <w:sdt>
        <w:sdtPr>
          <w:rPr>
            <w:rFonts w:hint="eastAsia" w:hAnsi="宋体" w:cs="宋体"/>
            <w:color w:val="auto"/>
            <w:kern w:val="0"/>
            <w:sz w:val="24"/>
          </w:rPr>
          <w:id w:val="-1765526721"/>
        </w:sdtPr>
        <w:sdtEndPr>
          <w:rPr>
            <w:rFonts w:hint="eastAsia" w:hAnsi="宋体" w:cs="宋体"/>
            <w:color w:val="auto"/>
            <w:kern w:val="0"/>
            <w:sz w:val="24"/>
          </w:rPr>
        </w:sdtEndPr>
        <w:sdtContent>
          <w:sdt>
            <w:sdtPr>
              <w:rPr>
                <w:rFonts w:hint="eastAsia" w:hAnsi="宋体" w:cs="宋体"/>
                <w:sz w:val="24"/>
              </w:rPr>
              <w:id w:val="147452993"/>
              <w:showingPlcHdr/>
            </w:sdtPr>
            <w:sdtEndPr>
              <w:rPr>
                <w:rFonts w:hint="eastAsia" w:hAnsi="宋体" w:cs="宋体"/>
                <w:sz w:val="24"/>
              </w:rPr>
            </w:sdtEndPr>
            <w:sdtContent>
              <w:r>
                <w:rPr>
                  <w:rFonts w:ascii="Wingdings" w:hAnsi="Wingdings" w:cs="宋体"/>
                  <w:sz w:val="24"/>
                </w:rPr>
                <w:t></w:t>
              </w:r>
            </w:sdtContent>
          </w:sdt>
        </w:sdtContent>
      </w:sdt>
      <w:r>
        <w:rPr>
          <w:rFonts w:hint="eastAsia" w:hAnsi="宋体" w:cs="宋体"/>
          <w:b/>
          <w:color w:val="auto"/>
          <w:sz w:val="24"/>
        </w:rPr>
        <w:t>否</w:t>
      </w:r>
      <w:r>
        <w:rPr>
          <w:rFonts w:hint="eastAsia" w:hAnsi="宋体" w:cs="宋体"/>
          <w:color w:val="auto"/>
          <w:kern w:val="0"/>
          <w:sz w:val="24"/>
        </w:rPr>
        <w:t>。</w:t>
      </w:r>
    </w:p>
    <w:p w14:paraId="54B70A51">
      <w:pPr>
        <w:spacing w:line="360" w:lineRule="auto"/>
        <w:rPr>
          <w:rFonts w:ascii="宋体" w:hAnsi="宋体" w:cs="宋体"/>
          <w:b/>
          <w:sz w:val="24"/>
        </w:rPr>
      </w:pPr>
      <w:r>
        <w:rPr>
          <w:rFonts w:hint="eastAsia" w:ascii="宋体" w:hAnsi="宋体" w:cs="宋体"/>
          <w:b/>
          <w:sz w:val="24"/>
        </w:rPr>
        <w:t>二、申请人的资格要求：</w:t>
      </w:r>
    </w:p>
    <w:p w14:paraId="75ED8FD7">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A68957">
      <w:pPr>
        <w:spacing w:line="360" w:lineRule="auto"/>
        <w:ind w:firstLine="480"/>
        <w:rPr>
          <w:rFonts w:ascii="宋体" w:hAnsi="宋体" w:cs="宋体"/>
          <w:snapToGrid w:val="0"/>
          <w:kern w:val="28"/>
          <w:sz w:val="24"/>
          <w:szCs w:val="20"/>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A08AD1F">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.落实政府采购政策需满足的资格要求：</w:t>
      </w:r>
    </w:p>
    <w:p w14:paraId="43C89CF0">
      <w:pPr>
        <w:spacing w:line="360" w:lineRule="auto"/>
        <w:ind w:firstLine="480" w:firstLineChars="200"/>
        <w:rPr>
          <w:rFonts w:ascii="宋体" w:hAnsi="宋体" w:cs="宋体"/>
          <w:sz w:val="24"/>
        </w:rPr>
      </w:pPr>
      <w:sdt>
        <w:sdtPr>
          <w:rPr>
            <w:rFonts w:hint="eastAsia" w:ascii="宋体" w:hAnsi="宋体" w:cs="宋体"/>
            <w:sz w:val="24"/>
          </w:rPr>
          <w:id w:val="1928616923"/>
        </w:sdtPr>
        <w:sdtEndPr>
          <w:rPr>
            <w:rFonts w:hint="eastAsia" w:ascii="宋体" w:hAnsi="宋体" w:cs="宋体"/>
            <w:sz w:val="24"/>
          </w:rPr>
        </w:sdtEndPr>
        <w:sdtContent>
          <w:sdt>
            <w:sdtPr>
              <w:rPr>
                <w:rFonts w:hint="eastAsia" w:ascii="宋体" w:hAnsi="宋体" w:cs="宋体"/>
                <w:sz w:val="24"/>
              </w:rPr>
              <w:id w:val="147471326"/>
              <w:showingPlcHdr/>
            </w:sdtPr>
            <w:sdtEndPr>
              <w:rPr>
                <w:rFonts w:hint="eastAsia" w:ascii="宋体" w:hAnsi="宋体" w:cs="宋体"/>
                <w:sz w:val="24"/>
              </w:rPr>
            </w:sdtEndPr>
            <w:sdtContent>
              <w:r>
                <w:rPr>
                  <w:rFonts w:ascii="Wingdings" w:hAnsi="Wingdings" w:cs="宋体"/>
                  <w:sz w:val="24"/>
                </w:rPr>
                <w:sym w:font="Wingdings" w:char="00FE"/>
              </w:r>
            </w:sdtContent>
          </w:sdt>
        </w:sdtContent>
      </w:sdt>
      <w:r>
        <w:rPr>
          <w:rFonts w:hint="eastAsia" w:ascii="宋体" w:hAnsi="宋体" w:cs="宋体"/>
          <w:sz w:val="24"/>
        </w:rPr>
        <w:t>无；</w:t>
      </w:r>
    </w:p>
    <w:p w14:paraId="0175FD95">
      <w:pPr>
        <w:spacing w:line="360" w:lineRule="auto"/>
        <w:ind w:firstLine="480" w:firstLineChars="200"/>
        <w:rPr>
          <w:rFonts w:ascii="宋体" w:hAnsi="宋体" w:cs="宋体"/>
          <w:sz w:val="24"/>
        </w:rPr>
      </w:pPr>
      <w:sdt>
        <w:sdtPr>
          <w:rPr>
            <w:rFonts w:hint="eastAsia" w:ascii="宋体" w:hAnsi="宋体" w:cs="宋体"/>
            <w:sz w:val="24"/>
          </w:rPr>
          <w:id w:val="-1024704304"/>
        </w:sdtPr>
        <w:sdtEndPr>
          <w:rPr>
            <w:rFonts w:hint="eastAsia" w:ascii="宋体" w:hAnsi="宋体" w:cs="宋体"/>
            <w:sz w:val="24"/>
          </w:rPr>
        </w:sdtEndPr>
        <w:sdtContent>
          <w:sdt>
            <w:sdtPr>
              <w:rPr>
                <w:rFonts w:hint="eastAsia" w:ascii="宋体" w:hAnsi="宋体" w:cs="宋体"/>
                <w:sz w:val="24"/>
              </w:rPr>
              <w:id w:val="-609534070"/>
            </w:sdtPr>
            <w:sdtEndPr>
              <w:rPr>
                <w:rFonts w:hint="eastAsia" w:ascii="宋体" w:hAnsi="宋体" w:cs="宋体"/>
                <w:sz w:val="24"/>
              </w:rPr>
            </w:sdtEndPr>
            <w:sdtContent>
              <w:sdt>
                <w:sdtPr>
                  <w:rPr>
                    <w:rFonts w:hint="eastAsia" w:ascii="宋体" w:hAnsi="宋体" w:cs="宋体"/>
                    <w:sz w:val="24"/>
                  </w:rPr>
                  <w:id w:val="147476940"/>
                </w:sdtPr>
                <w:sdtEndPr>
                  <w:rPr>
                    <w:rFonts w:hint="eastAsia" w:ascii="宋体" w:hAnsi="宋体" w:cs="宋体"/>
                    <w:sz w:val="24"/>
                  </w:rPr>
                </w:sdtEndPr>
                <w:sdtContent>
                  <w:r>
                    <w:rPr>
                      <w:rFonts w:hint="eastAsia" w:ascii="MS Gothic" w:hAnsi="MS Gothic" w:cs="宋体"/>
                      <w:sz w:val="24"/>
                    </w:rPr>
                    <w:t>☐</w:t>
                  </w:r>
                </w:sdtContent>
              </w:sdt>
            </w:sdtContent>
          </w:sdt>
        </w:sdtContent>
      </w:sdt>
      <w:r>
        <w:rPr>
          <w:rFonts w:hint="eastAsia" w:ascii="宋体" w:hAnsi="宋体" w:cs="宋体"/>
          <w:sz w:val="24"/>
        </w:rPr>
        <w:t>专门面向中小企业</w:t>
      </w:r>
    </w:p>
    <w:p w14:paraId="1C6F12E2">
      <w:pPr>
        <w:spacing w:line="360" w:lineRule="auto"/>
        <w:ind w:firstLine="480" w:firstLineChars="200"/>
        <w:rPr>
          <w:rFonts w:ascii="宋体" w:hAnsi="宋体" w:cs="宋体"/>
          <w:sz w:val="24"/>
        </w:rPr>
      </w:pPr>
      <w:sdt>
        <w:sdtPr>
          <w:rPr>
            <w:rFonts w:hint="eastAsia" w:ascii="宋体" w:hAnsi="宋体" w:cs="宋体"/>
            <w:sz w:val="24"/>
          </w:rPr>
          <w:id w:val="-924730588"/>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货物全部由符合政策要求的中小企业制造，提供中小企业声明函；</w:t>
      </w:r>
    </w:p>
    <w:p w14:paraId="6D1F14EA">
      <w:pPr>
        <w:spacing w:line="360" w:lineRule="auto"/>
        <w:ind w:firstLine="480" w:firstLineChars="200"/>
        <w:rPr>
          <w:rFonts w:ascii="宋体" w:hAnsi="宋体" w:cs="宋体"/>
          <w:sz w:val="24"/>
        </w:rPr>
      </w:pPr>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货物全部由符合政策要求的小微企业制造，提供中小企业声明函；</w:t>
      </w:r>
    </w:p>
    <w:p w14:paraId="7BEEA398">
      <w:pPr>
        <w:spacing w:line="360" w:lineRule="auto"/>
        <w:ind w:firstLine="480" w:firstLineChars="200"/>
        <w:rPr>
          <w:rFonts w:ascii="宋体" w:hAnsi="宋体" w:cs="宋体"/>
          <w:sz w:val="24"/>
        </w:rPr>
      </w:pPr>
      <w:sdt>
        <w:sdtPr>
          <w:rPr>
            <w:rFonts w:hint="eastAsia" w:ascii="宋体" w:hAnsi="宋体" w:cs="宋体"/>
            <w:sz w:val="24"/>
          </w:rPr>
          <w:id w:val="-333685401"/>
        </w:sdtPr>
        <w:sdtEndPr>
          <w:rPr>
            <w:rFonts w:hint="eastAsia" w:ascii="宋体" w:hAnsi="宋体" w:cs="宋体"/>
            <w:sz w:val="24"/>
          </w:rPr>
        </w:sdtEndPr>
        <w:sdtContent>
          <w:sdt>
            <w:sdtPr>
              <w:rPr>
                <w:rFonts w:hint="eastAsia" w:ascii="宋体" w:hAnsi="宋体" w:cs="宋体"/>
                <w:sz w:val="24"/>
              </w:rPr>
              <w:id w:val="-668002045"/>
            </w:sdtPr>
            <w:sdtEndPr>
              <w:rPr>
                <w:rFonts w:hint="eastAsia" w:ascii="宋体" w:hAnsi="宋体" w:cs="宋体"/>
                <w:sz w:val="24"/>
              </w:rPr>
            </w:sdtEndPr>
            <w:sdtContent>
              <w:sdt>
                <w:sdtPr>
                  <w:rPr>
                    <w:rFonts w:hint="eastAsia" w:ascii="宋体" w:hAnsi="宋体" w:cs="宋体"/>
                    <w:sz w:val="24"/>
                  </w:rPr>
                  <w:id w:val="147471721"/>
                </w:sdtPr>
                <w:sdtEndPr>
                  <w:rPr>
                    <w:rFonts w:hint="eastAsia" w:ascii="宋体" w:hAnsi="宋体" w:cs="宋体"/>
                    <w:sz w:val="24"/>
                  </w:rPr>
                </w:sdtEndPr>
                <w:sdtContent>
                  <w:r>
                    <w:rPr>
                      <w:rFonts w:hint="eastAsia" w:ascii="MS Gothic" w:hAnsi="MS Gothic" w:cs="宋体"/>
                      <w:sz w:val="24"/>
                    </w:rPr>
                    <w:t>☐</w:t>
                  </w:r>
                </w:sdtContent>
              </w:sdt>
            </w:sdtContent>
          </w:sdt>
        </w:sdtContent>
      </w:sdt>
      <w:r>
        <w:rPr>
          <w:rFonts w:hint="eastAsia" w:ascii="宋体" w:hAnsi="宋体" w:cs="宋体"/>
          <w:sz w:val="24"/>
        </w:rPr>
        <w:t>服务全部由符合政策要求的中小企业承接，提供中小企业声明函；</w:t>
      </w:r>
    </w:p>
    <w:p w14:paraId="6D348C1E">
      <w:pPr>
        <w:spacing w:line="360" w:lineRule="auto"/>
        <w:ind w:firstLine="480" w:firstLineChars="200"/>
      </w:pPr>
      <w:sdt>
        <w:sdtPr>
          <w:rPr>
            <w:rFonts w:hint="eastAsia" w:ascii="宋体" w:hAnsi="宋体" w:cs="宋体"/>
            <w:sz w:val="24"/>
          </w:rPr>
          <w:id w:val="-2141025358"/>
        </w:sdtPr>
        <w:sdtEndPr>
          <w:rPr>
            <w:rFonts w:hint="eastAsia" w:ascii="宋体" w:hAnsi="宋体" w:cs="宋体"/>
            <w:sz w:val="24"/>
          </w:rPr>
        </w:sdtEndPr>
        <w:sdtContent>
          <w:sdt>
            <w:sdtPr>
              <w:rPr>
                <w:rFonts w:hint="eastAsia" w:ascii="宋体" w:hAnsi="宋体" w:cs="宋体"/>
                <w:sz w:val="24"/>
              </w:rPr>
              <w:id w:val="-668002044"/>
            </w:sdtPr>
            <w:sdtEndPr>
              <w:rPr>
                <w:rFonts w:hint="eastAsia" w:ascii="宋体" w:hAnsi="宋体" w:cs="宋体"/>
                <w:sz w:val="24"/>
              </w:rPr>
            </w:sdtEndPr>
            <w:sdtContent>
              <w:sdt>
                <w:sdtPr>
                  <w:rPr>
                    <w:rFonts w:hint="eastAsia" w:ascii="宋体" w:hAnsi="宋体" w:cs="宋体"/>
                    <w:sz w:val="24"/>
                  </w:rPr>
                  <w:id w:val="147478348"/>
                </w:sdtPr>
                <w:sdtEndPr>
                  <w:rPr>
                    <w:rFonts w:hint="eastAsia" w:ascii="宋体" w:hAnsi="宋体" w:cs="宋体"/>
                    <w:sz w:val="24"/>
                  </w:rPr>
                </w:sdtEndPr>
                <w:sdtContent>
                  <w:sdt>
                    <w:sdtPr>
                      <w:rPr>
                        <w:rFonts w:hint="eastAsia" w:ascii="宋体" w:hAnsi="宋体" w:cs="宋体"/>
                        <w:sz w:val="24"/>
                      </w:rPr>
                      <w:id w:val="147468600"/>
                    </w:sdtPr>
                    <w:sdtEndPr>
                      <w:rPr>
                        <w:rFonts w:hint="eastAsia" w:ascii="宋体" w:hAnsi="宋体" w:cs="宋体"/>
                        <w:sz w:val="24"/>
                      </w:rPr>
                    </w:sdtEndPr>
                    <w:sdtContent>
                      <w:r>
                        <w:rPr>
                          <w:rFonts w:hint="eastAsia" w:ascii="MS Gothic" w:hAnsi="MS Gothic" w:cs="宋体"/>
                          <w:sz w:val="24"/>
                        </w:rPr>
                        <w:t>☐</w:t>
                      </w:r>
                    </w:sdtContent>
                  </w:sdt>
                </w:sdtContent>
              </w:sdt>
            </w:sdtContent>
          </w:sdt>
        </w:sdtContent>
      </w:sdt>
      <w:r>
        <w:rPr>
          <w:rFonts w:hint="eastAsia" w:ascii="宋体" w:hAnsi="宋体" w:cs="宋体"/>
          <w:sz w:val="24"/>
        </w:rPr>
        <w:t>服务全部由符合政策要求的小微企业承接，提供中小企业声明函；</w:t>
      </w:r>
    </w:p>
    <w:p w14:paraId="00B6F7BC">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sz w:val="24"/>
              </w:rPr>
              <w:id w:val="147471968"/>
            </w:sdtPr>
            <w:sdtEndPr>
              <w:rPr>
                <w:rFonts w:hint="eastAsia" w:ascii="宋体" w:hAnsi="宋体" w:cs="宋体"/>
                <w:sz w:val="24"/>
              </w:rPr>
            </w:sdtEndPr>
            <w:sdtContent>
              <w:sdt>
                <w:sdtPr>
                  <w:rPr>
                    <w:rFonts w:hint="eastAsia" w:ascii="宋体" w:hAnsi="宋体" w:cs="宋体"/>
                    <w:sz w:val="24"/>
                  </w:rPr>
                  <w:id w:val="147473444"/>
                </w:sdtPr>
                <w:sdtEndPr>
                  <w:rPr>
                    <w:rFonts w:hint="eastAsia" w:ascii="宋体" w:hAnsi="宋体" w:cs="宋体"/>
                    <w:sz w:val="24"/>
                  </w:rPr>
                </w:sdtEndPr>
                <w:sdtContent>
                  <w:r>
                    <w:rPr>
                      <w:rFonts w:hint="eastAsia" w:ascii="MS Gothic" w:hAnsi="MS Gothic" w:cs="宋体"/>
                      <w:sz w:val="24"/>
                    </w:rPr>
                    <w:t>☐</w:t>
                  </w:r>
                  <w:r>
                    <w:rPr>
                      <w:rFonts w:hint="eastAsia" w:ascii="宋体" w:hAnsi="宋体" w:eastAsia="宋体" w:cs="宋体"/>
                      <w:sz w:val="24"/>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sdtContent>
              </w:sdt>
            </w:sdtContent>
          </w:sdt>
        </w:sdtContent>
      </w:sdt>
    </w:p>
    <w:p w14:paraId="1F495DB1">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 xml:space="preserve">； </w:t>
          </w:r>
        </w:sdtContent>
      </w:sdt>
    </w:p>
    <w:p w14:paraId="4C0D77A1">
      <w:pPr>
        <w:snapToGrid w:val="0"/>
        <w:spacing w:line="360" w:lineRule="auto"/>
        <w:ind w:left="479" w:leftChars="228"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lang w:val="en-US" w:eastAsia="zh-CN"/>
        </w:rPr>
        <w:t>4</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color w:val="auto"/>
          <w:sz w:val="24"/>
          <w:lang w:val="en-US" w:eastAsia="zh-CN"/>
        </w:rPr>
        <w:t>无。</w:t>
      </w:r>
    </w:p>
    <w:p w14:paraId="4053B37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9A4759">
      <w:pPr>
        <w:spacing w:line="360" w:lineRule="auto"/>
        <w:rPr>
          <w:rFonts w:ascii="宋体" w:hAnsi="宋体" w:cs="宋体"/>
          <w:b/>
          <w:sz w:val="24"/>
        </w:rPr>
      </w:pPr>
      <w:r>
        <w:rPr>
          <w:rFonts w:hint="eastAsia" w:ascii="宋体" w:hAnsi="宋体" w:cs="宋体"/>
          <w:b/>
          <w:sz w:val="24"/>
        </w:rPr>
        <w:t xml:space="preserve">三、获取招标文件 </w:t>
      </w:r>
    </w:p>
    <w:p w14:paraId="777412D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none"/>
        </w:rPr>
        <w:t>至</w:t>
      </w:r>
      <w:r>
        <w:rPr>
          <w:rFonts w:hint="eastAsia" w:cs="宋体" w:asciiTheme="minorEastAsia" w:hAnsiTheme="minorEastAsia" w:eastAsiaTheme="minorEastAsia"/>
          <w:sz w:val="24"/>
          <w:highlight w:val="none"/>
          <w:u w:val="single"/>
          <w:lang w:eastAsia="zh-CN"/>
        </w:rPr>
        <w:t>2025年 0</w:t>
      </w:r>
      <w:r>
        <w:rPr>
          <w:rFonts w:hint="eastAsia" w:cs="宋体" w:asciiTheme="minorEastAsia" w:hAnsiTheme="minorEastAsia" w:eastAsiaTheme="minorEastAsia"/>
          <w:sz w:val="24"/>
          <w:highlight w:val="none"/>
          <w:u w:val="single"/>
          <w:lang w:val="en-US" w:eastAsia="zh-CN"/>
        </w:rPr>
        <w:t>7</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分</w:t>
      </w:r>
      <w:r>
        <w:rPr>
          <w:rFonts w:hint="eastAsia" w:ascii="宋体" w:hAnsi="宋体" w:cs="宋体"/>
          <w:sz w:val="24"/>
        </w:rPr>
        <w:t>，每天上午00:00至12:00 ，下午12:00至23:59（北京时间，线上获取法定节假日均可，线下获取文件法定节假日除外）</w:t>
      </w:r>
    </w:p>
    <w:p w14:paraId="1B28E6E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481A61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641416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EA14FA1">
      <w:pPr>
        <w:spacing w:line="360" w:lineRule="auto"/>
        <w:rPr>
          <w:rFonts w:ascii="宋体" w:hAnsi="宋体" w:cs="宋体"/>
          <w:b/>
          <w:sz w:val="24"/>
        </w:rPr>
      </w:pPr>
      <w:r>
        <w:rPr>
          <w:rFonts w:hint="eastAsia" w:ascii="宋体" w:hAnsi="宋体" w:cs="宋体"/>
          <w:b/>
          <w:sz w:val="24"/>
        </w:rPr>
        <w:t>四、提交投标文件截止时间、开标时间和地点</w:t>
      </w:r>
    </w:p>
    <w:p w14:paraId="7F1F494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cs="宋体" w:asciiTheme="minorEastAsia" w:hAnsiTheme="minorEastAsia" w:eastAsiaTheme="minorEastAsia"/>
          <w:sz w:val="24"/>
          <w:highlight w:val="none"/>
          <w:u w:val="single"/>
          <w:lang w:eastAsia="zh-CN"/>
        </w:rPr>
        <w:t>2025年 0</w:t>
      </w:r>
      <w:r>
        <w:rPr>
          <w:rFonts w:hint="eastAsia" w:cs="宋体" w:asciiTheme="minorEastAsia" w:hAnsiTheme="minorEastAsia" w:eastAsiaTheme="minorEastAsia"/>
          <w:sz w:val="24"/>
          <w:highlight w:val="none"/>
          <w:u w:val="single"/>
          <w:lang w:val="en-US" w:eastAsia="zh-CN"/>
        </w:rPr>
        <w:t>7</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分</w:t>
      </w:r>
      <w:r>
        <w:rPr>
          <w:rFonts w:hint="eastAsia" w:ascii="宋体" w:hAnsi="宋体" w:cs="宋体"/>
          <w:sz w:val="24"/>
        </w:rPr>
        <w:t>（北京时间）</w:t>
      </w:r>
    </w:p>
    <w:p w14:paraId="2E5B522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9333C66">
      <w:pPr>
        <w:spacing w:line="360" w:lineRule="auto"/>
        <w:ind w:left="479" w:leftChars="228" w:firstLine="0" w:firstLineChars="0"/>
        <w:rPr>
          <w:rFonts w:ascii="宋体" w:hAnsi="宋体" w:cs="宋体"/>
          <w:sz w:val="24"/>
        </w:rPr>
      </w:pPr>
      <w:r>
        <w:rPr>
          <w:rFonts w:hint="eastAsia" w:ascii="宋体" w:hAnsi="宋体" w:cs="宋体"/>
          <w:b/>
          <w:sz w:val="24"/>
        </w:rPr>
        <w:t>开标时间：</w:t>
      </w:r>
      <w:r>
        <w:rPr>
          <w:rFonts w:hint="eastAsia" w:cs="宋体" w:asciiTheme="minorEastAsia" w:hAnsiTheme="minorEastAsia" w:eastAsiaTheme="minorEastAsia"/>
          <w:sz w:val="24"/>
          <w:highlight w:val="none"/>
          <w:u w:val="single"/>
          <w:lang w:eastAsia="zh-CN"/>
        </w:rPr>
        <w:t>2025年 0</w:t>
      </w:r>
      <w:r>
        <w:rPr>
          <w:rFonts w:hint="eastAsia" w:cs="宋体" w:asciiTheme="minorEastAsia" w:hAnsiTheme="minorEastAsia" w:eastAsiaTheme="minorEastAsia"/>
          <w:sz w:val="24"/>
          <w:highlight w:val="none"/>
          <w:u w:val="single"/>
          <w:lang w:val="en-US" w:eastAsia="zh-CN"/>
        </w:rPr>
        <w:t>7</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分</w:t>
      </w:r>
      <w:r>
        <w:rPr>
          <w:rFonts w:hint="eastAsia" w:cs="宋体" w:asciiTheme="minorEastAsia" w:hAnsiTheme="minorEastAsia" w:eastAsiaTheme="minorEastAsia"/>
          <w:sz w:val="24"/>
          <w:highlight w:val="none"/>
          <w:u w:val="single"/>
          <w:lang w:eastAsia="zh-CN"/>
        </w:rPr>
        <w:br w:type="textWrapping"/>
      </w:r>
      <w:r>
        <w:rPr>
          <w:rFonts w:hint="eastAsia" w:ascii="宋体" w:hAnsi="宋体" w:cs="宋体"/>
          <w:b/>
          <w:sz w:val="24"/>
        </w:rPr>
        <w:t>开标地点（网址）：</w:t>
      </w:r>
      <w:r>
        <w:rPr>
          <w:rFonts w:hint="eastAsia" w:ascii="宋体" w:hAnsi="宋体" w:cs="宋体"/>
          <w:sz w:val="24"/>
        </w:rPr>
        <w:t>政采云平台（https://www.zcygov.cn/）</w:t>
      </w:r>
    </w:p>
    <w:p w14:paraId="356612DD">
      <w:pPr>
        <w:spacing w:line="360" w:lineRule="auto"/>
        <w:rPr>
          <w:rFonts w:ascii="宋体" w:hAnsi="宋体" w:cs="宋体"/>
          <w:sz w:val="24"/>
        </w:rPr>
      </w:pPr>
      <w:r>
        <w:rPr>
          <w:rFonts w:hint="eastAsia" w:ascii="宋体" w:hAnsi="宋体" w:cs="宋体"/>
          <w:b/>
          <w:sz w:val="24"/>
        </w:rPr>
        <w:t xml:space="preserve">五、公告期限 </w:t>
      </w:r>
    </w:p>
    <w:p w14:paraId="50879C4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631803">
      <w:pPr>
        <w:spacing w:line="360" w:lineRule="auto"/>
        <w:rPr>
          <w:rFonts w:ascii="宋体" w:hAnsi="宋体" w:cs="宋体"/>
          <w:b/>
          <w:sz w:val="24"/>
        </w:rPr>
      </w:pPr>
      <w:r>
        <w:rPr>
          <w:rFonts w:hint="eastAsia" w:ascii="宋体" w:hAnsi="宋体" w:cs="宋体"/>
          <w:b/>
          <w:sz w:val="24"/>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888395">
      <w:pPr>
        <w:spacing w:line="360" w:lineRule="auto"/>
        <w:ind w:firstLine="480" w:firstLineChars="200"/>
        <w:rPr>
          <w:rFonts w:ascii="宋体" w:hAnsi="宋体" w:cs="宋体"/>
          <w:sz w:val="24"/>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527830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91132B5">
      <w:pPr>
        <w:spacing w:line="360" w:lineRule="auto"/>
        <w:rPr>
          <w:rFonts w:ascii="宋体" w:hAnsi="宋体" w:cs="宋体"/>
          <w:sz w:val="24"/>
        </w:rPr>
      </w:pPr>
      <w:r>
        <w:rPr>
          <w:rFonts w:hint="eastAsia" w:ascii="宋体" w:hAnsi="宋体" w:cs="宋体"/>
          <w:sz w:val="24"/>
        </w:rPr>
        <w:t xml:space="preserve">    1.采购人信息</w:t>
      </w:r>
    </w:p>
    <w:p w14:paraId="46B886A1">
      <w:pPr>
        <w:spacing w:line="360" w:lineRule="auto"/>
        <w:rPr>
          <w:rFonts w:hint="eastAsia" w:ascii="宋体" w:hAnsi="宋体" w:cs="宋体"/>
          <w:sz w:val="24"/>
          <w:lang w:eastAsia="zh-CN"/>
        </w:rPr>
      </w:pPr>
      <w:r>
        <w:rPr>
          <w:rFonts w:hint="eastAsia" w:ascii="宋体" w:hAnsi="宋体" w:cs="宋体"/>
          <w:sz w:val="24"/>
        </w:rPr>
        <w:t xml:space="preserve">    名    称：</w:t>
      </w:r>
      <w:r>
        <w:rPr>
          <w:rFonts w:hint="eastAsia" w:ascii="宋体" w:hAnsi="宋体" w:cs="宋体"/>
          <w:sz w:val="24"/>
          <w:lang w:eastAsia="zh-CN"/>
        </w:rPr>
        <w:t>桐庐县应急管理局</w:t>
      </w:r>
      <w:r>
        <w:rPr>
          <w:rFonts w:hint="eastAsia" w:ascii="宋体" w:hAnsi="宋体"/>
          <w:sz w:val="24"/>
        </w:rPr>
        <w:t xml:space="preserve"> </w:t>
      </w:r>
    </w:p>
    <w:p w14:paraId="5E53AF60">
      <w:pPr>
        <w:spacing w:line="360" w:lineRule="auto"/>
        <w:rPr>
          <w:rFonts w:ascii="宋体" w:hAnsi="宋体" w:cs="宋体"/>
          <w:sz w:val="24"/>
        </w:rPr>
      </w:pPr>
      <w:r>
        <w:rPr>
          <w:rFonts w:hint="eastAsia" w:ascii="宋体" w:hAnsi="宋体" w:cs="宋体"/>
          <w:sz w:val="24"/>
        </w:rPr>
        <w:t xml:space="preserve">    地    址：桐庐县迎春南路301号</w:t>
      </w:r>
      <w:r>
        <w:rPr>
          <w:rFonts w:hint="eastAsia" w:ascii="宋体" w:hAnsi="宋体"/>
          <w:sz w:val="24"/>
        </w:rPr>
        <w:t xml:space="preserve"> </w:t>
      </w:r>
      <w:r>
        <w:rPr>
          <w:rFonts w:hint="eastAsia" w:ascii="宋体" w:hAnsi="宋体" w:cs="宋体"/>
          <w:sz w:val="24"/>
        </w:rPr>
        <w:t xml:space="preserve">  </w:t>
      </w:r>
    </w:p>
    <w:p w14:paraId="12540011">
      <w:pPr>
        <w:spacing w:line="360" w:lineRule="auto"/>
        <w:ind w:firstLine="480" w:firstLineChars="200"/>
        <w:rPr>
          <w:rFonts w:hint="eastAsia" w:ascii="宋体" w:hAnsi="宋体" w:cs="宋体"/>
          <w:sz w:val="24"/>
          <w:lang w:eastAsia="zh-CN"/>
        </w:rPr>
      </w:pPr>
      <w:r>
        <w:rPr>
          <w:rFonts w:hint="eastAsia" w:ascii="宋体" w:hAnsi="宋体" w:cs="宋体"/>
          <w:sz w:val="24"/>
        </w:rPr>
        <w:t>项目联系人（询问）</w:t>
      </w:r>
      <w:r>
        <w:rPr>
          <w:rFonts w:hint="eastAsia" w:ascii="宋体" w:hAnsi="宋体" w:cs="宋体"/>
          <w:sz w:val="24"/>
          <w:lang w:eastAsia="zh-CN"/>
        </w:rPr>
        <w:t>：</w:t>
      </w:r>
      <w:r>
        <w:rPr>
          <w:rFonts w:hint="default" w:ascii="宋体" w:hAnsi="宋体" w:cs="宋体"/>
          <w:sz w:val="24"/>
          <w:lang w:val="en-US" w:eastAsia="zh-CN"/>
        </w:rPr>
        <w:t>王贤祥</w:t>
      </w:r>
    </w:p>
    <w:p w14:paraId="788D3309">
      <w:pPr>
        <w:spacing w:line="360" w:lineRule="auto"/>
        <w:rPr>
          <w:rFonts w:hint="eastAsia" w:ascii="宋体" w:hAnsi="宋体" w:cs="宋体"/>
          <w:sz w:val="24"/>
          <w:lang w:val="en-US" w:eastAsia="zh-CN"/>
        </w:rPr>
      </w:pPr>
      <w:r>
        <w:rPr>
          <w:rFonts w:hint="eastAsia" w:ascii="宋体" w:hAnsi="宋体" w:cs="宋体"/>
          <w:sz w:val="24"/>
          <w:lang w:eastAsia="zh-CN"/>
        </w:rPr>
        <w:t xml:space="preserve">    项目联系方式（询问）：</w:t>
      </w:r>
      <w:r>
        <w:rPr>
          <w:rFonts w:hint="default" w:ascii="宋体" w:hAnsi="宋体" w:cs="宋体"/>
          <w:sz w:val="24"/>
          <w:lang w:val="en-US" w:eastAsia="zh-CN"/>
        </w:rPr>
        <w:t>15258885682</w:t>
      </w:r>
    </w:p>
    <w:p w14:paraId="3E3B7120">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质疑联系人：夏雨</w:t>
      </w:r>
    </w:p>
    <w:p w14:paraId="21FB1535">
      <w:pPr>
        <w:pStyle w:val="3"/>
        <w:rPr>
          <w:rFonts w:hint="default"/>
          <w:highlight w:val="none"/>
          <w:lang w:val="en-US" w:eastAsia="zh-CN"/>
        </w:rPr>
      </w:pPr>
      <w:r>
        <w:rPr>
          <w:rFonts w:hint="eastAsia"/>
          <w:highlight w:val="none"/>
          <w:lang w:val="en-US" w:eastAsia="zh-CN"/>
        </w:rPr>
        <w:t xml:space="preserve">   </w:t>
      </w:r>
      <w:r>
        <w:rPr>
          <w:rFonts w:hint="eastAsia" w:ascii="宋体" w:hAnsi="宋体" w:eastAsia="宋体" w:cs="宋体"/>
          <w:b w:val="0"/>
          <w:bCs w:val="0"/>
          <w:kern w:val="2"/>
          <w:sz w:val="24"/>
          <w:szCs w:val="24"/>
          <w:highlight w:val="none"/>
          <w:lang w:val="en-US" w:eastAsia="zh-CN" w:bidi="ar-SA"/>
        </w:rPr>
        <w:t>质疑联系方式：15158106420</w:t>
      </w:r>
    </w:p>
    <w:p w14:paraId="4AF99895">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1274F9F4">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杭州龙魁工程管理有限公司</w:t>
      </w:r>
    </w:p>
    <w:p w14:paraId="130C3A5E">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桐庐县城南街道迎春南路61号萧商大厦20楼</w:t>
      </w:r>
      <w:r>
        <w:rPr>
          <w:rFonts w:hint="eastAsia" w:ascii="宋体" w:hAnsi="宋体" w:cs="宋体"/>
          <w:sz w:val="24"/>
        </w:rPr>
        <w:t xml:space="preserve">           </w:t>
      </w:r>
    </w:p>
    <w:p w14:paraId="6B01E777">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王超</w:t>
      </w:r>
      <w:r>
        <w:rPr>
          <w:rFonts w:hint="eastAsia" w:ascii="宋体" w:hAnsi="宋体" w:cs="宋体"/>
          <w:sz w:val="24"/>
        </w:rPr>
        <w:t xml:space="preserve">         </w:t>
      </w:r>
    </w:p>
    <w:p w14:paraId="5AA5127B">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eastAsia="zh-CN"/>
        </w:rPr>
        <w:t>13758248175</w:t>
      </w:r>
      <w:r>
        <w:rPr>
          <w:rFonts w:hint="eastAsia" w:ascii="宋体" w:hAnsi="宋体" w:cs="宋体"/>
          <w:sz w:val="24"/>
        </w:rPr>
        <w:t xml:space="preserve"> </w:t>
      </w:r>
    </w:p>
    <w:p w14:paraId="4ACEE6DC">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 xml:space="preserve">朱明剑 </w:t>
      </w:r>
      <w:r>
        <w:rPr>
          <w:rFonts w:hint="eastAsia" w:ascii="宋体" w:hAnsi="宋体" w:cs="宋体"/>
          <w:sz w:val="24"/>
        </w:rPr>
        <w:t xml:space="preserve">             </w:t>
      </w:r>
    </w:p>
    <w:p w14:paraId="7F9E7735">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18106518131</w:t>
      </w:r>
    </w:p>
    <w:p w14:paraId="3DC11800">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1B25F34A">
      <w:pPr>
        <w:spacing w:line="360" w:lineRule="auto"/>
        <w:ind w:firstLine="480"/>
        <w:rPr>
          <w:rFonts w:hint="eastAsia" w:ascii="宋体" w:hAnsi="宋体" w:cs="宋体"/>
          <w:spacing w:val="-11"/>
          <w:sz w:val="24"/>
        </w:rPr>
      </w:pPr>
      <w:r>
        <w:rPr>
          <w:rFonts w:hint="eastAsia" w:ascii="宋体" w:hAnsi="宋体" w:cs="宋体"/>
          <w:sz w:val="24"/>
        </w:rPr>
        <w:t>名    称：</w:t>
      </w:r>
      <w:r>
        <w:rPr>
          <w:rFonts w:hint="eastAsia" w:ascii="宋体" w:hAnsi="宋体" w:cs="宋体"/>
          <w:spacing w:val="-11"/>
          <w:sz w:val="24"/>
        </w:rPr>
        <w:t>桐庐县财政局政府采购监管科、浙江省政府采购行政裁决服务中心（杭州）</w:t>
      </w:r>
    </w:p>
    <w:p w14:paraId="3422E096">
      <w:pPr>
        <w:spacing w:line="360" w:lineRule="auto"/>
        <w:ind w:firstLine="480" w:firstLineChars="200"/>
        <w:rPr>
          <w:rFonts w:hint="eastAsia" w:ascii="宋体" w:hAnsi="宋体" w:cs="宋体"/>
          <w:sz w:val="24"/>
        </w:rPr>
      </w:pPr>
      <w:r>
        <w:rPr>
          <w:rFonts w:hint="eastAsia" w:ascii="宋体" w:hAnsi="宋体" w:cs="宋体"/>
          <w:sz w:val="24"/>
        </w:rPr>
        <w:t>地    址：杭州市上城区清泰街549号城建综合大楼11楼（快递仅限ems或顺丰）</w:t>
      </w:r>
    </w:p>
    <w:p w14:paraId="774BCD7F">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sz w:val="24"/>
          <w:lang w:eastAsia="zh-CN"/>
        </w:rPr>
        <w:t>朱女士、王女士</w:t>
      </w:r>
      <w:r>
        <w:rPr>
          <w:rFonts w:hint="eastAsia" w:ascii="宋体" w:hAnsi="宋体" w:cs="宋体"/>
          <w:sz w:val="24"/>
        </w:rPr>
        <w:t xml:space="preserve">  </w:t>
      </w:r>
    </w:p>
    <w:p w14:paraId="43012D3B">
      <w:pPr>
        <w:spacing w:line="360" w:lineRule="auto"/>
        <w:ind w:firstLine="480" w:firstLineChars="200"/>
        <w:rPr>
          <w:rFonts w:ascii="宋体" w:hAnsi="宋体" w:cs="宋体"/>
          <w:sz w:val="24"/>
        </w:rPr>
      </w:pPr>
      <w:r>
        <w:rPr>
          <w:rFonts w:hint="eastAsia" w:ascii="宋体" w:hAnsi="宋体" w:cs="宋体"/>
          <w:sz w:val="24"/>
        </w:rPr>
        <w:t xml:space="preserve">监督投诉电话：0571-87227671,0571-87800218     </w:t>
      </w:r>
    </w:p>
    <w:p w14:paraId="0AC11F8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72B214BD">
      <w:pPr>
        <w:spacing w:line="360" w:lineRule="auto"/>
        <w:ind w:firstLine="480" w:firstLineChars="200"/>
        <w:jc w:val="center"/>
        <w:rPr>
          <w:rFonts w:ascii="宋体" w:hAnsi="宋体" w:cs="宋体"/>
          <w:b/>
          <w:sz w:val="36"/>
          <w:szCs w:val="20"/>
        </w:rPr>
      </w:pPr>
      <w:r>
        <w:rPr>
          <w:rFonts w:hint="eastAsia" w:ascii="宋体" w:hAnsi="宋体" w:cs="宋体"/>
          <w:sz w:val="24"/>
        </w:rPr>
        <w:t>CA问题联系电话（人工）：汇信CA 400-888-4636；天谷CA 400-087-8198。</w:t>
      </w:r>
      <w:r>
        <w:rPr>
          <w:rFonts w:hint="eastAsia" w:ascii="宋体" w:hAnsi="宋体" w:cs="宋体"/>
          <w:b/>
          <w:sz w:val="36"/>
          <w:szCs w:val="20"/>
        </w:rPr>
        <w:br w:type="page"/>
      </w:r>
      <w:r>
        <w:rPr>
          <w:rFonts w:hint="eastAsia" w:ascii="宋体" w:hAnsi="宋体" w:cs="宋体"/>
          <w:b/>
          <w:sz w:val="36"/>
          <w:szCs w:val="20"/>
        </w:rPr>
        <w:t>第二部分</w:t>
      </w:r>
      <w:bookmarkEnd w:id="5"/>
      <w:r>
        <w:rPr>
          <w:rFonts w:hint="eastAsia" w:ascii="宋体" w:hAnsi="宋体" w:cs="宋体"/>
          <w:b/>
          <w:sz w:val="36"/>
          <w:szCs w:val="20"/>
        </w:rPr>
        <w:t xml:space="preserve"> 投标人须知</w:t>
      </w:r>
      <w:bookmarkEnd w:id="6"/>
    </w:p>
    <w:p w14:paraId="19BC60DE">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14:paraId="784F1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63F49AB4">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891E69">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14:paraId="03D29876">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本项目的特别规定</w:t>
            </w:r>
          </w:p>
        </w:tc>
      </w:tr>
      <w:tr w14:paraId="7B0C4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218AD1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F4C7D6">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项目属性</w:t>
            </w:r>
          </w:p>
        </w:tc>
        <w:tc>
          <w:tcPr>
            <w:tcW w:w="6506" w:type="dxa"/>
            <w:tcBorders>
              <w:top w:val="single" w:color="000000" w:sz="8" w:space="0"/>
              <w:left w:val="single" w:color="000000" w:sz="2" w:space="0"/>
              <w:bottom w:val="single" w:color="000000" w:sz="8" w:space="0"/>
              <w:right w:val="single" w:color="000000" w:sz="8" w:space="0"/>
            </w:tcBorders>
            <w:vAlign w:val="center"/>
          </w:tcPr>
          <w:p w14:paraId="0C6FC34D">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服务类。</w:t>
            </w:r>
          </w:p>
        </w:tc>
      </w:tr>
      <w:tr w14:paraId="1B329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B80D1CB">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p>
          <w:p w14:paraId="7F0C1463">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CCF0213">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采购标的及其对应的中小企业划分标准所属行业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14:paraId="5F3DA071">
            <w:pPr>
              <w:keepNext w:val="0"/>
              <w:keepLines w:val="0"/>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auto"/>
                <w:kern w:val="0"/>
                <w:sz w:val="24"/>
                <w:szCs w:val="24"/>
              </w:rPr>
              <w:t>（1）标的：</w:t>
            </w:r>
            <w:r>
              <w:rPr>
                <w:rFonts w:hint="eastAsia" w:ascii="宋体" w:hAnsi="宋体" w:cs="宋体"/>
                <w:sz w:val="24"/>
                <w:u w:val="single"/>
                <w:lang w:eastAsia="zh-CN"/>
              </w:rPr>
              <w:t xml:space="preserve"> </w:t>
            </w:r>
            <w:r>
              <w:rPr>
                <w:rFonts w:hint="eastAsia" w:ascii="宋体" w:hAnsi="宋体" w:cs="宋体"/>
                <w:sz w:val="24"/>
                <w:u w:val="single"/>
              </w:rPr>
              <w:t>避灾安置场所视频监控租赁服务项目</w:t>
            </w:r>
            <w:r>
              <w:rPr>
                <w:rFonts w:hint="eastAsia" w:asciiTheme="minorEastAsia" w:hAnsiTheme="minorEastAsia" w:eastAsiaTheme="minorEastAsia" w:cstheme="minorEastAsia"/>
                <w:color w:val="auto"/>
                <w:kern w:val="0"/>
                <w:sz w:val="24"/>
                <w:szCs w:val="24"/>
              </w:rPr>
              <w:t>，属于</w:t>
            </w:r>
            <w:bookmarkStart w:id="8" w:name="OLE_LINK32"/>
            <w:r>
              <w:rPr>
                <w:rFonts w:hint="eastAsia" w:ascii="宋体" w:hAnsi="宋体" w:eastAsia="宋体" w:cs="宋体"/>
                <w:sz w:val="24"/>
                <w:u w:val="single"/>
              </w:rPr>
              <w:t>租赁和商务服务业</w:t>
            </w:r>
            <w:bookmarkEnd w:id="8"/>
            <w:r>
              <w:rPr>
                <w:rFonts w:hint="eastAsia" w:ascii="宋体" w:hAnsi="宋体" w:cs="宋体"/>
                <w:sz w:val="24"/>
                <w:u w:val="single"/>
              </w:rPr>
              <w:t>；</w:t>
            </w:r>
          </w:p>
          <w:p w14:paraId="18B4E64E">
            <w:pPr>
              <w:keepNext w:val="0"/>
              <w:keepLines w:val="0"/>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中小企业划型标准详见：工信部联企业〔2011〕300号</w:t>
            </w:r>
          </w:p>
        </w:tc>
      </w:tr>
      <w:tr w14:paraId="6E5C3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5A65FAF">
            <w:pPr>
              <w:keepNext w:val="0"/>
              <w:keepLines w:val="0"/>
              <w:pageBreakBefore w:val="0"/>
              <w:kinsoku/>
              <w:wordWrap/>
              <w:overflowPunct/>
              <w:topLinePunct w:val="0"/>
              <w:autoSpaceDE/>
              <w:autoSpaceDN/>
              <w:bidi w:val="0"/>
              <w:snapToGrid w:val="0"/>
              <w:spacing w:line="440" w:lineRule="exact"/>
              <w:ind w:firstLine="240" w:firstLineChars="1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C0D43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3C187FD6">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0"/>
                <w:sz w:val="24"/>
                <w:szCs w:val="24"/>
              </w:rPr>
            </w:pPr>
            <w:sdt>
              <w:sdtPr>
                <w:rPr>
                  <w:rFonts w:hint="eastAsia" w:asciiTheme="minorEastAsia" w:hAnsiTheme="minorEastAsia" w:eastAsiaTheme="minorEastAsia" w:cstheme="minorEastAsia"/>
                  <w:kern w:val="0"/>
                  <w:sz w:val="24"/>
                  <w:szCs w:val="24"/>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r>
              <w:rPr>
                <w:rFonts w:hint="eastAsia" w:asciiTheme="minorEastAsia" w:hAnsiTheme="minorEastAsia" w:eastAsiaTheme="minorEastAsia" w:cstheme="minorEastAsia"/>
                <w:kern w:val="0"/>
                <w:sz w:val="24"/>
                <w:szCs w:val="24"/>
              </w:rPr>
              <w:t>本项目不允许采购进口产品。</w:t>
            </w:r>
          </w:p>
          <w:p w14:paraId="629DCE3E">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
                <w:sz w:val="24"/>
                <w:szCs w:val="24"/>
                <w:lang w:val="en-US" w:eastAsia="zh-CN" w:bidi="ar-SA"/>
              </w:rPr>
            </w:pPr>
            <w:sdt>
              <w:sdtPr>
                <w:rPr>
                  <w:rFonts w:hint="eastAsia" w:asciiTheme="minorEastAsia" w:hAnsiTheme="minorEastAsia" w:eastAsiaTheme="minorEastAsia" w:cstheme="minorEastAsia"/>
                  <w:kern w:val="0"/>
                  <w:sz w:val="24"/>
                  <w:szCs w:val="24"/>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t>☐</w:t>
                </w:r>
              </w:sdtContent>
            </w:sdt>
            <w:r>
              <w:rPr>
                <w:rFonts w:hint="eastAsia" w:asciiTheme="minorEastAsia" w:hAnsiTheme="minorEastAsia" w:eastAsiaTheme="minorEastAsia" w:cstheme="minorEastAsia"/>
                <w:kern w:val="0"/>
                <w:sz w:val="24"/>
                <w:szCs w:val="24"/>
              </w:rPr>
              <w:t>可以就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rPr>
              <w:t>采购进口产品。</w:t>
            </w:r>
          </w:p>
        </w:tc>
      </w:tr>
      <w:tr w14:paraId="75518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72BB931">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00EFCC">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14:paraId="37D0B04F">
            <w:pPr>
              <w:keepNext w:val="0"/>
              <w:keepLines w:val="0"/>
              <w:pageBreakBefore w:val="0"/>
              <w:kinsoku/>
              <w:wordWrap/>
              <w:overflowPunct/>
              <w:topLinePunct w:val="0"/>
              <w:autoSpaceDE/>
              <w:autoSpaceDN/>
              <w:bidi w:val="0"/>
              <w:spacing w:line="440" w:lineRule="exact"/>
              <w:textAlignment w:val="auto"/>
              <w:rPr>
                <w:rFonts w:hint="eastAsia" w:ascii="宋体" w:hAnsi="宋体" w:cs="宋体"/>
                <w:color w:val="auto"/>
                <w:sz w:val="24"/>
                <w:highlight w:val="none"/>
              </w:rPr>
            </w:pPr>
            <w:sdt>
              <w:sdtPr>
                <w:rPr>
                  <w:rFonts w:hint="eastAsia" w:asciiTheme="minorEastAsia" w:hAnsiTheme="minorEastAsia" w:eastAsiaTheme="minorEastAsia" w:cstheme="minorEastAsia"/>
                  <w:kern w:val="0"/>
                  <w:sz w:val="24"/>
                  <w:szCs w:val="24"/>
                </w:rPr>
                <w:id w:val="-1477286927"/>
                <w:showingPlcHdr/>
              </w:sdtPr>
              <w:sdtEndPr>
                <w:rPr>
                  <w:rFonts w:hint="eastAsia" w:asciiTheme="minorEastAsia" w:hAnsiTheme="minorEastAsia" w:eastAsiaTheme="minorEastAsia" w:cstheme="minorEastAsia"/>
                  <w:kern w:val="0"/>
                  <w:sz w:val="24"/>
                  <w:szCs w:val="24"/>
                </w:rPr>
              </w:sdtEndPr>
              <w:sdtContent/>
            </w:sdt>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FE069BD">
            <w:pPr>
              <w:keepNext w:val="0"/>
              <w:keepLines w:val="0"/>
              <w:pageBreakBefore w:val="0"/>
              <w:kinsoku/>
              <w:wordWrap/>
              <w:overflowPunct/>
              <w:topLinePunct w:val="0"/>
              <w:autoSpaceDE/>
              <w:autoSpaceDN/>
              <w:bidi w:val="0"/>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0C12523">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color w:val="auto"/>
                <w:sz w:val="24"/>
                <w:highlight w:val="none"/>
              </w:rPr>
              <w:t>注：不得限制大中型企业向小微企业合理分包。</w:t>
            </w:r>
          </w:p>
        </w:tc>
      </w:tr>
      <w:tr w14:paraId="5E54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BCC4214">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8FFE5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14:paraId="21216F57">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
                <w:sz w:val="24"/>
                <w:szCs w:val="24"/>
                <w:lang w:val="en-US" w:eastAsia="zh-CN" w:bidi="ar-SA"/>
              </w:rPr>
            </w:pPr>
            <w:sdt>
              <w:sdtPr>
                <w:rPr>
                  <w:rFonts w:hint="eastAsia" w:asciiTheme="minorEastAsia" w:hAnsiTheme="minorEastAsia" w:eastAsiaTheme="minorEastAsia" w:cstheme="minorEastAsia"/>
                  <w:kern w:val="0"/>
                  <w:sz w:val="24"/>
                  <w:szCs w:val="24"/>
                </w:rPr>
                <w:id w:val="-212966419"/>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sz w:val="24"/>
                <w:szCs w:val="24"/>
              </w:rPr>
              <w:t>不组织。</w:t>
            </w:r>
          </w:p>
        </w:tc>
      </w:tr>
      <w:tr w14:paraId="6C523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F4E831E">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E384DCC">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14:paraId="29E11A01">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kern w:val="2"/>
                <w:sz w:val="24"/>
                <w:szCs w:val="24"/>
                <w:lang w:val="en-US" w:eastAsia="zh-CN" w:bidi="ar-SA"/>
              </w:rPr>
            </w:pPr>
            <w:sdt>
              <w:sdtPr>
                <w:rPr>
                  <w:rFonts w:hint="eastAsia" w:asciiTheme="minorEastAsia" w:hAnsiTheme="minorEastAsia" w:eastAsiaTheme="minorEastAsia" w:cstheme="minorEastAsia"/>
                  <w:kern w:val="0"/>
                  <w:sz w:val="24"/>
                  <w:szCs w:val="24"/>
                </w:rPr>
                <w:id w:val="-1639946486"/>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147480942"/>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sdtContent>
            </w:sdt>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sz w:val="24"/>
                <w:szCs w:val="24"/>
              </w:rPr>
              <w:t>不要求提供。</w:t>
            </w:r>
          </w:p>
        </w:tc>
      </w:tr>
      <w:tr w14:paraId="4847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9" w:hRule="atLeast"/>
        </w:trPr>
        <w:tc>
          <w:tcPr>
            <w:tcW w:w="629" w:type="dxa"/>
            <w:tcBorders>
              <w:top w:val="single" w:color="auto" w:sz="4" w:space="0"/>
              <w:left w:val="single" w:color="auto" w:sz="4" w:space="0"/>
              <w:bottom w:val="single" w:color="auto" w:sz="4" w:space="0"/>
              <w:right w:val="single" w:color="auto" w:sz="4" w:space="0"/>
            </w:tcBorders>
            <w:vAlign w:val="center"/>
          </w:tcPr>
          <w:p w14:paraId="3ABE82C8">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41502D">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14:paraId="66A459C4">
            <w:pPr>
              <w:pStyle w:val="3"/>
              <w:keepNext w:val="0"/>
              <w:keepLines w:val="0"/>
              <w:pageBreakBefore w:val="0"/>
              <w:kinsoku/>
              <w:wordWrap/>
              <w:overflowPunct/>
              <w:topLinePunct w:val="0"/>
              <w:autoSpaceDE/>
              <w:autoSpaceDN/>
              <w:bidi w:val="0"/>
              <w:spacing w:line="440" w:lineRule="exact"/>
              <w:ind w:left="432" w:leftChars="0" w:hanging="432" w:firstLineChars="0"/>
              <w:textAlignment w:val="auto"/>
              <w:rPr>
                <w:rFonts w:hint="eastAsia" w:asciiTheme="minorEastAsia" w:hAnsiTheme="minorEastAsia" w:eastAsiaTheme="minorEastAsia" w:cstheme="minorEastAsia"/>
                <w:b/>
                <w:bCs/>
                <w:kern w:val="2"/>
                <w:sz w:val="24"/>
                <w:szCs w:val="24"/>
                <w:lang w:val="en-US" w:eastAsia="zh-CN" w:bidi="ar-SA"/>
              </w:rPr>
            </w:pPr>
            <w:sdt>
              <w:sdtPr>
                <w:rPr>
                  <w:rFonts w:hint="eastAsia" w:asciiTheme="minorEastAsia" w:hAnsiTheme="minorEastAsia" w:eastAsiaTheme="minorEastAsia" w:cstheme="minorEastAsia"/>
                  <w:kern w:val="0"/>
                  <w:sz w:val="24"/>
                  <w:szCs w:val="24"/>
                </w:rPr>
                <w:id w:val="1174071719"/>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745085441"/>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val="0"/>
                          <w:bCs w:val="0"/>
                          <w:kern w:val="0"/>
                          <w:sz w:val="24"/>
                          <w:szCs w:val="24"/>
                        </w:rPr>
                      </w:sdtEndPr>
                      <w:sdtContent>
                        <w:r>
                          <w:rPr>
                            <w:rFonts w:hint="eastAsia" w:ascii="Wingdings" w:hAnsi="Wingdings" w:eastAsiaTheme="minorEastAsia" w:cstheme="minorEastAsia"/>
                            <w:b w:val="0"/>
                            <w:bCs w:val="0"/>
                            <w:kern w:val="0"/>
                            <w:sz w:val="24"/>
                            <w:szCs w:val="24"/>
                            <w:lang w:val="zh-CN" w:eastAsia="zh-CN" w:bidi="ar-SA"/>
                          </w:rPr>
                          <w:t>þ</w:t>
                        </w:r>
                      </w:sdtContent>
                    </w:sdt>
                    <w:r>
                      <w:rPr>
                        <w:rFonts w:hint="eastAsia" w:asciiTheme="minorEastAsia" w:hAnsiTheme="minorEastAsia" w:eastAsiaTheme="minorEastAsia" w:cstheme="minorEastAsia"/>
                        <w:b w:val="0"/>
                        <w:bCs w:val="0"/>
                        <w:kern w:val="0"/>
                        <w:sz w:val="24"/>
                        <w:szCs w:val="24"/>
                      </w:rPr>
                      <w:t>A</w:t>
                    </w:r>
                    <w:r>
                      <w:rPr>
                        <w:rFonts w:hint="eastAsia" w:asciiTheme="minorEastAsia" w:hAnsiTheme="minorEastAsia" w:eastAsiaTheme="minorEastAsia" w:cstheme="minorEastAsia"/>
                        <w:b w:val="0"/>
                        <w:bCs w:val="0"/>
                        <w:kern w:val="0"/>
                        <w:sz w:val="24"/>
                        <w:szCs w:val="24"/>
                        <w:lang w:val="en-US" w:eastAsia="zh-CN"/>
                      </w:rPr>
                      <w:t>不组织</w:t>
                    </w:r>
                    <w:r>
                      <w:rPr>
                        <w:rFonts w:hint="eastAsia" w:asciiTheme="minorEastAsia" w:hAnsiTheme="minorEastAsia" w:eastAsiaTheme="minorEastAsia" w:cstheme="minorEastAsia"/>
                        <w:b w:val="0"/>
                        <w:bCs w:val="0"/>
                        <w:sz w:val="24"/>
                        <w:szCs w:val="24"/>
                      </w:rPr>
                      <w:t>。</w:t>
                    </w:r>
                  </w:sdtContent>
                </w:sdt>
              </w:sdtContent>
            </w:sdt>
          </w:p>
        </w:tc>
      </w:tr>
      <w:tr w14:paraId="19A7E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77C194B8">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14:paraId="745CCDB8">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14:paraId="2EC13D6C">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（1）资格证明文件：见招标文件第二部分11.1。</w:t>
            </w:r>
          </w:p>
          <w:p w14:paraId="18A60B5E">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kern w:val="0"/>
                <w:sz w:val="24"/>
                <w:szCs w:val="24"/>
                <w:lang w:val="zh-CN"/>
              </w:rPr>
              <w:t>投标人未提供有效的资格证明文件的，视为投标人不具备招标文件中规定的资格要求，投标无效。</w:t>
            </w:r>
          </w:p>
        </w:tc>
      </w:tr>
      <w:tr w14:paraId="4DBC2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44CA175D">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EAA2149">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p>
        </w:tc>
        <w:tc>
          <w:tcPr>
            <w:tcW w:w="6506" w:type="dxa"/>
            <w:tcBorders>
              <w:top w:val="single" w:color="auto" w:sz="4" w:space="0"/>
              <w:left w:val="single" w:color="000000" w:sz="2" w:space="0"/>
              <w:bottom w:val="single" w:color="000000" w:sz="8" w:space="0"/>
              <w:right w:val="single" w:color="000000" w:sz="8" w:space="0"/>
            </w:tcBorders>
            <w:vAlign w:val="center"/>
          </w:tcPr>
          <w:p w14:paraId="697DA8C6">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（2）资信证明文件：根据招标文件第四部分评标标准提供。</w:t>
            </w:r>
          </w:p>
        </w:tc>
      </w:tr>
      <w:tr w14:paraId="59E58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AB2BA7D">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p>
          <w:p w14:paraId="62169F72">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p>
          <w:p w14:paraId="0E1A5754">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5561D34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0935BEA5">
            <w:pPr>
              <w:keepNext w:val="0"/>
              <w:keepLines w:val="0"/>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BA8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D6D1748">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tc>
        <w:tc>
          <w:tcPr>
            <w:tcW w:w="1843" w:type="dxa"/>
            <w:tcBorders>
              <w:top w:val="single" w:color="000000" w:sz="8" w:space="0"/>
              <w:left w:val="single" w:color="auto" w:sz="4" w:space="0"/>
              <w:bottom w:val="single" w:color="000000" w:sz="8" w:space="0"/>
              <w:right w:val="single" w:color="000000" w:sz="8" w:space="0"/>
            </w:tcBorders>
            <w:vAlign w:val="center"/>
          </w:tcPr>
          <w:p w14:paraId="291DDBCA">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14:paraId="6C0E6760">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07CE792">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keepNext w:val="0"/>
              <w:keepLines w:val="0"/>
              <w:pageBreakBefore w:val="0"/>
              <w:kinsoku/>
              <w:wordWrap/>
              <w:overflowPunct/>
              <w:topLinePunct w:val="0"/>
              <w:autoSpaceDE/>
              <w:autoSpaceDN/>
              <w:bidi w:val="0"/>
              <w:snapToGrid w:val="0"/>
              <w:spacing w:line="440" w:lineRule="exact"/>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keepNext w:val="0"/>
              <w:keepLines w:val="0"/>
              <w:pageBreakBefore w:val="0"/>
              <w:kinsoku/>
              <w:wordWrap/>
              <w:overflowPunct/>
              <w:topLinePunct w:val="0"/>
              <w:autoSpaceDE/>
              <w:autoSpaceDN/>
              <w:bidi w:val="0"/>
              <w:snapToGrid w:val="0"/>
              <w:spacing w:line="440" w:lineRule="exact"/>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keepNext w:val="0"/>
              <w:keepLines w:val="0"/>
              <w:pageBreakBefore w:val="0"/>
              <w:kinsoku/>
              <w:wordWrap/>
              <w:overflowPunct/>
              <w:topLinePunct w:val="0"/>
              <w:autoSpaceDE/>
              <w:autoSpaceDN/>
              <w:bidi w:val="0"/>
              <w:spacing w:line="440" w:lineRule="exact"/>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6B1B87B">
            <w:pPr>
              <w:keepNext w:val="0"/>
              <w:keepLines w:val="0"/>
              <w:pageBreakBefore w:val="0"/>
              <w:kinsoku/>
              <w:wordWrap/>
              <w:overflowPunct/>
              <w:topLinePunct w:val="0"/>
              <w:autoSpaceDE/>
              <w:autoSpaceDN/>
              <w:bidi w:val="0"/>
              <w:spacing w:line="440" w:lineRule="exact"/>
              <w:ind w:firstLine="241" w:firstLineChars="100"/>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F146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95" w:hRule="atLeast"/>
        </w:trPr>
        <w:tc>
          <w:tcPr>
            <w:tcW w:w="629" w:type="dxa"/>
            <w:tcBorders>
              <w:top w:val="single" w:color="auto" w:sz="4" w:space="0"/>
              <w:left w:val="single" w:color="000000" w:sz="8" w:space="0"/>
              <w:right w:val="single" w:color="000000" w:sz="2" w:space="0"/>
            </w:tcBorders>
            <w:vAlign w:val="center"/>
          </w:tcPr>
          <w:p w14:paraId="2DADF5AB">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0302135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14:paraId="089DD3B5">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napToGrid w:val="0"/>
                <w:kern w:val="28"/>
                <w:sz w:val="24"/>
                <w:szCs w:val="24"/>
              </w:rPr>
            </w:pPr>
            <w:r>
              <w:rPr>
                <w:rFonts w:hint="eastAsia" w:asciiTheme="minorEastAsia" w:hAnsiTheme="minorEastAsia" w:eastAsiaTheme="minorEastAsia" w:cstheme="minorEastAsia"/>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6E2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806EDE0">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ADE796">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14:paraId="555B352F">
            <w:pPr>
              <w:pStyle w:val="12"/>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备份投标文件送达地点：</w:t>
            </w:r>
            <w:r>
              <w:rPr>
                <w:rFonts w:hint="eastAsia" w:asciiTheme="minorEastAsia" w:hAnsiTheme="minorEastAsia" w:eastAsiaTheme="minorEastAsia" w:cstheme="minorEastAsia"/>
                <w:kern w:val="28"/>
                <w:sz w:val="24"/>
                <w:szCs w:val="24"/>
                <w:u w:val="single"/>
                <w:lang w:val="en-US" w:eastAsia="zh-CN"/>
              </w:rPr>
              <w:t>杭州市</w:t>
            </w:r>
            <w:r>
              <w:rPr>
                <w:rFonts w:hint="eastAsia" w:asciiTheme="minorEastAsia" w:hAnsiTheme="minorEastAsia" w:eastAsiaTheme="minorEastAsia" w:cstheme="minorEastAsia"/>
                <w:sz w:val="24"/>
                <w:szCs w:val="24"/>
                <w:u w:val="single"/>
                <w:lang w:eastAsia="zh-CN"/>
              </w:rPr>
              <w:t>桐庐县城南街道迎春南路61号萧商大厦20楼</w:t>
            </w:r>
            <w:r>
              <w:rPr>
                <w:rFonts w:hint="eastAsia" w:asciiTheme="minorEastAsia" w:hAnsiTheme="minorEastAsia" w:eastAsiaTheme="minorEastAsia" w:cstheme="minorEastAsia"/>
                <w:kern w:val="28"/>
                <w:sz w:val="24"/>
                <w:szCs w:val="24"/>
              </w:rPr>
              <w:t>；备份投标文件签收人员：</w:t>
            </w:r>
            <w:r>
              <w:rPr>
                <w:rFonts w:hint="eastAsia" w:asciiTheme="minorEastAsia" w:hAnsiTheme="minorEastAsia" w:eastAsiaTheme="minorEastAsia" w:cstheme="minorEastAsia"/>
                <w:kern w:val="28"/>
                <w:sz w:val="24"/>
                <w:szCs w:val="24"/>
                <w:u w:val="single"/>
                <w:lang w:eastAsia="zh-CN"/>
              </w:rPr>
              <w:t>王超</w:t>
            </w:r>
            <w:r>
              <w:rPr>
                <w:rFonts w:hint="eastAsia" w:asciiTheme="minorEastAsia" w:hAnsiTheme="minorEastAsia" w:eastAsiaTheme="minorEastAsia" w:cstheme="minorEastAsia"/>
                <w:kern w:val="28"/>
                <w:sz w:val="24"/>
                <w:szCs w:val="24"/>
              </w:rPr>
              <w:t>，联系电话：</w:t>
            </w:r>
            <w:r>
              <w:rPr>
                <w:rFonts w:hint="eastAsia" w:asciiTheme="minorEastAsia" w:hAnsiTheme="minorEastAsia" w:eastAsiaTheme="minorEastAsia" w:cstheme="minorEastAsia"/>
                <w:sz w:val="24"/>
                <w:szCs w:val="24"/>
                <w:u w:val="single"/>
                <w:lang w:eastAsia="zh-CN"/>
              </w:rPr>
              <w:t>13758248175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w:t>
            </w:r>
            <w:r>
              <w:rPr>
                <w:rFonts w:hint="eastAsia" w:asciiTheme="minorEastAsia" w:hAnsiTheme="minorEastAsia" w:eastAsiaTheme="minorEastAsia" w:cstheme="minorEastAsia"/>
                <w:b/>
                <w:sz w:val="24"/>
                <w:szCs w:val="24"/>
                <w:lang w:eastAsia="zh-CN"/>
              </w:rPr>
              <w:t>代理</w:t>
            </w:r>
            <w:r>
              <w:rPr>
                <w:rFonts w:hint="eastAsia" w:asciiTheme="minorEastAsia" w:hAnsiTheme="minorEastAsia" w:eastAsiaTheme="minorEastAsia" w:cstheme="minorEastAsia"/>
                <w:b/>
                <w:sz w:val="24"/>
                <w:szCs w:val="24"/>
              </w:rPr>
              <w:t>机构不强制或变相强制投标人提交备份投标文件。</w:t>
            </w:r>
          </w:p>
        </w:tc>
      </w:tr>
      <w:tr w14:paraId="3E4FA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trPr>
        <w:tc>
          <w:tcPr>
            <w:tcW w:w="629" w:type="dxa"/>
            <w:vMerge w:val="restart"/>
            <w:tcBorders>
              <w:top w:val="single" w:color="auto" w:sz="4" w:space="0"/>
              <w:left w:val="single" w:color="000000" w:sz="8" w:space="0"/>
              <w:right w:val="single" w:color="000000" w:sz="2" w:space="0"/>
            </w:tcBorders>
            <w:vAlign w:val="center"/>
          </w:tcPr>
          <w:p w14:paraId="2BEAA206">
            <w:pPr>
              <w:keepNext w:val="0"/>
              <w:keepLines w:val="0"/>
              <w:pageBreakBefore w:val="0"/>
              <w:kinsoku/>
              <w:wordWrap/>
              <w:overflowPunct/>
              <w:topLinePunct w:val="0"/>
              <w:autoSpaceDE/>
              <w:autoSpaceDN/>
              <w:bidi w:val="0"/>
              <w:snapToGrid w:val="0"/>
              <w:spacing w:line="44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150F4F0B">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14:paraId="4225E698">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8"/>
                <w:sz w:val="24"/>
                <w:szCs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B4E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2" w:hRule="atLeast"/>
        </w:trPr>
        <w:tc>
          <w:tcPr>
            <w:tcW w:w="629" w:type="dxa"/>
            <w:vMerge w:val="continue"/>
            <w:tcBorders>
              <w:left w:val="single" w:color="000000" w:sz="8" w:space="0"/>
              <w:bottom w:val="single" w:color="auto" w:sz="4" w:space="0"/>
              <w:right w:val="single" w:color="000000" w:sz="2" w:space="0"/>
            </w:tcBorders>
            <w:vAlign w:val="center"/>
          </w:tcPr>
          <w:p w14:paraId="7E5C9E1C">
            <w:pPr>
              <w:pStyle w:val="12"/>
              <w:keepNext w:val="0"/>
              <w:keepLines w:val="0"/>
              <w:pageBreakBefore w:val="0"/>
              <w:kinsoku/>
              <w:wordWrap/>
              <w:overflowPunct/>
              <w:topLinePunct w:val="0"/>
              <w:autoSpaceDE/>
              <w:autoSpaceDN/>
              <w:bidi w:val="0"/>
              <w:spacing w:line="440" w:lineRule="exact"/>
              <w:textAlignment w:val="auto"/>
            </w:pPr>
          </w:p>
        </w:tc>
        <w:tc>
          <w:tcPr>
            <w:tcW w:w="1843" w:type="dxa"/>
            <w:vMerge w:val="continue"/>
            <w:tcBorders>
              <w:left w:val="single" w:color="000000" w:sz="2" w:space="0"/>
              <w:bottom w:val="single" w:color="000000" w:sz="8" w:space="0"/>
              <w:right w:val="single" w:color="000000" w:sz="8" w:space="0"/>
            </w:tcBorders>
            <w:vAlign w:val="center"/>
          </w:tcPr>
          <w:p w14:paraId="4DC50348">
            <w:pPr>
              <w:pStyle w:val="12"/>
              <w:keepNext w:val="0"/>
              <w:keepLines w:val="0"/>
              <w:pageBreakBefore w:val="0"/>
              <w:kinsoku/>
              <w:wordWrap/>
              <w:overflowPunct/>
              <w:topLinePunct w:val="0"/>
              <w:autoSpaceDE/>
              <w:autoSpaceDN/>
              <w:bidi w:val="0"/>
              <w:spacing w:line="440" w:lineRule="exact"/>
              <w:textAlignment w:val="auto"/>
            </w:pPr>
          </w:p>
        </w:tc>
        <w:tc>
          <w:tcPr>
            <w:tcW w:w="6506" w:type="dxa"/>
            <w:tcBorders>
              <w:top w:val="single" w:color="000000" w:sz="8" w:space="0"/>
              <w:left w:val="single" w:color="000000" w:sz="2" w:space="0"/>
              <w:bottom w:val="single" w:color="000000" w:sz="8" w:space="0"/>
              <w:right w:val="single" w:color="000000" w:sz="8" w:space="0"/>
            </w:tcBorders>
            <w:vAlign w:val="center"/>
          </w:tcPr>
          <w:p w14:paraId="4905BD63">
            <w:pPr>
              <w:keepNext w:val="0"/>
              <w:keepLines w:val="0"/>
              <w:pageBreakBefore w:val="0"/>
              <w:kinsoku/>
              <w:wordWrap/>
              <w:overflowPunct/>
              <w:topLinePunct w:val="0"/>
              <w:autoSpaceDE/>
              <w:autoSpaceDN/>
              <w:bidi w:val="0"/>
              <w:spacing w:line="440" w:lineRule="exac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8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5D70791">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8"/>
                <w:sz w:val="24"/>
                <w:szCs w:val="24"/>
              </w:rPr>
            </w:pPr>
            <w:sdt>
              <w:sdtPr>
                <w:rPr>
                  <w:rFonts w:hint="eastAsia" w:cs="Arial" w:asciiTheme="minorEastAsia" w:hAnsiTheme="minorEastAsia" w:eastAsiaTheme="minorEastAsia"/>
                  <w:color w:val="auto"/>
                  <w:kern w:val="0"/>
                  <w:sz w:val="24"/>
                  <w:highlight w:val="none"/>
                </w:rPr>
                <w:id w:val="14747623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C562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9" w:hRule="atLeast"/>
        </w:trPr>
        <w:tc>
          <w:tcPr>
            <w:tcW w:w="629" w:type="dxa"/>
            <w:vMerge w:val="continue"/>
            <w:tcBorders>
              <w:left w:val="single" w:color="000000" w:sz="8" w:space="0"/>
              <w:bottom w:val="single" w:color="auto" w:sz="4" w:space="0"/>
              <w:right w:val="single" w:color="000000" w:sz="2" w:space="0"/>
            </w:tcBorders>
            <w:vAlign w:val="center"/>
          </w:tcPr>
          <w:p w14:paraId="512188F7">
            <w:pPr>
              <w:keepNext w:val="0"/>
              <w:keepLines w:val="0"/>
              <w:pageBreakBefore w:val="0"/>
              <w:kinsoku/>
              <w:wordWrap/>
              <w:overflowPunct/>
              <w:topLinePunct w:val="0"/>
              <w:autoSpaceDE/>
              <w:autoSpaceDN/>
              <w:bidi w:val="0"/>
              <w:spacing w:line="440" w:lineRule="exact"/>
              <w:textAlignment w:val="auto"/>
            </w:pPr>
          </w:p>
        </w:tc>
        <w:tc>
          <w:tcPr>
            <w:tcW w:w="1843" w:type="dxa"/>
            <w:vMerge w:val="continue"/>
            <w:tcBorders>
              <w:left w:val="single" w:color="000000" w:sz="2" w:space="0"/>
              <w:bottom w:val="single" w:color="000000" w:sz="8" w:space="0"/>
              <w:right w:val="single" w:color="000000" w:sz="8" w:space="0"/>
            </w:tcBorders>
            <w:vAlign w:val="center"/>
          </w:tcPr>
          <w:p w14:paraId="3AB83DF2">
            <w:pPr>
              <w:keepNext w:val="0"/>
              <w:keepLines w:val="0"/>
              <w:pageBreakBefore w:val="0"/>
              <w:kinsoku/>
              <w:wordWrap/>
              <w:overflowPunct/>
              <w:topLinePunct w:val="0"/>
              <w:autoSpaceDE/>
              <w:autoSpaceDN/>
              <w:bidi w:val="0"/>
              <w:spacing w:line="440" w:lineRule="exact"/>
              <w:textAlignment w:val="auto"/>
            </w:pPr>
          </w:p>
        </w:tc>
        <w:tc>
          <w:tcPr>
            <w:tcW w:w="6506" w:type="dxa"/>
            <w:tcBorders>
              <w:top w:val="single" w:color="000000" w:sz="8" w:space="0"/>
              <w:left w:val="single" w:color="000000" w:sz="2" w:space="0"/>
              <w:bottom w:val="single" w:color="000000" w:sz="8" w:space="0"/>
              <w:right w:val="single" w:color="000000" w:sz="8" w:space="0"/>
            </w:tcBorders>
            <w:vAlign w:val="center"/>
          </w:tcPr>
          <w:p w14:paraId="2E2ABBC7">
            <w:pPr>
              <w:keepNext w:val="0"/>
              <w:keepLines w:val="0"/>
              <w:pageBreakBefore w:val="0"/>
              <w:kinsoku/>
              <w:wordWrap/>
              <w:overflowPunct/>
              <w:topLinePunct w:val="0"/>
              <w:autoSpaceDE/>
              <w:autoSpaceDN/>
              <w:bidi w:val="0"/>
              <w:spacing w:line="440" w:lineRule="exact"/>
              <w:textAlignment w:val="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rPr>
              <w:t>中标后，中标</w:t>
            </w:r>
            <w:r>
              <w:rPr>
                <w:rFonts w:hint="eastAsia" w:ascii="宋体" w:hAnsi="宋体" w:eastAsia="宋体" w:cs="宋体"/>
                <w:color w:val="auto"/>
                <w:kern w:val="0"/>
                <w:sz w:val="24"/>
                <w:highlight w:val="none"/>
                <w:lang w:eastAsia="zh-CN"/>
              </w:rPr>
              <w:t>人须</w:t>
            </w:r>
            <w:r>
              <w:rPr>
                <w:rFonts w:hint="eastAsia" w:ascii="宋体" w:hAnsi="宋体" w:eastAsia="宋体" w:cs="宋体"/>
                <w:color w:val="auto"/>
                <w:kern w:val="0"/>
                <w:sz w:val="24"/>
                <w:highlight w:val="none"/>
              </w:rPr>
              <w:t>向</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代理机构)提供4份（一正三副）纸质版投标文件（胶装）。</w:t>
            </w:r>
          </w:p>
        </w:tc>
      </w:tr>
      <w:tr w14:paraId="176A7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trPr>
        <w:tc>
          <w:tcPr>
            <w:tcW w:w="629" w:type="dxa"/>
            <w:tcBorders>
              <w:left w:val="single" w:color="000000" w:sz="8" w:space="0"/>
              <w:bottom w:val="single" w:color="auto" w:sz="4" w:space="0"/>
              <w:right w:val="single" w:color="000000" w:sz="2" w:space="0"/>
            </w:tcBorders>
            <w:vAlign w:val="center"/>
          </w:tcPr>
          <w:p w14:paraId="1129EC01">
            <w:pPr>
              <w:keepNext w:val="0"/>
              <w:keepLines w:val="0"/>
              <w:pageBreakBefore w:val="0"/>
              <w:kinsoku/>
              <w:wordWrap/>
              <w:overflowPunct/>
              <w:topLinePunct w:val="0"/>
              <w:autoSpaceDE/>
              <w:autoSpaceDN/>
              <w:bidi w:val="0"/>
              <w:snapToGrid w:val="0"/>
              <w:spacing w:line="440" w:lineRule="exact"/>
              <w:jc w:val="center"/>
              <w:textAlignment w:val="auto"/>
              <w:rPr>
                <w:rFonts w:hint="default" w:eastAsia="宋体"/>
                <w:lang w:val="en-US" w:eastAsia="zh-CN"/>
              </w:rPr>
            </w:pPr>
            <w:r>
              <w:rPr>
                <w:rFonts w:hint="eastAsia" w:asciiTheme="minorEastAsia" w:hAnsiTheme="minorEastAsia" w:eastAsiaTheme="minorEastAsia" w:cstheme="minorEastAsia"/>
                <w:sz w:val="24"/>
                <w:szCs w:val="24"/>
                <w:lang w:val="en-US" w:eastAsia="zh-CN"/>
              </w:rPr>
              <w:t>14</w:t>
            </w:r>
          </w:p>
        </w:tc>
        <w:tc>
          <w:tcPr>
            <w:tcW w:w="1843" w:type="dxa"/>
            <w:tcBorders>
              <w:left w:val="single" w:color="000000" w:sz="2" w:space="0"/>
              <w:bottom w:val="single" w:color="000000" w:sz="8" w:space="0"/>
              <w:right w:val="single" w:color="000000" w:sz="8" w:space="0"/>
            </w:tcBorders>
            <w:vAlign w:val="center"/>
          </w:tcPr>
          <w:p w14:paraId="26923916">
            <w:pPr>
              <w:keepNext w:val="0"/>
              <w:keepLines w:val="0"/>
              <w:pageBreakBefore w:val="0"/>
              <w:kinsoku/>
              <w:wordWrap/>
              <w:overflowPunct/>
              <w:topLinePunct w:val="0"/>
              <w:autoSpaceDE/>
              <w:autoSpaceDN/>
              <w:bidi w:val="0"/>
              <w:snapToGrid w:val="0"/>
              <w:spacing w:line="440" w:lineRule="exact"/>
              <w:jc w:val="center"/>
              <w:textAlignment w:val="auto"/>
            </w:pPr>
            <w:r>
              <w:rPr>
                <w:rFonts w:hint="eastAsia" w:cs="仿宋_GB2312" w:asciiTheme="minorEastAsia" w:hAnsiTheme="minorEastAsia" w:eastAsiaTheme="minorEastAsia"/>
                <w:b/>
                <w:color w:val="auto"/>
                <w:sz w:val="24"/>
                <w:highlight w:val="none"/>
                <w:lang w:val="en" w:eastAsia="zh-CN"/>
              </w:rPr>
              <w:t>成交候选人数量</w:t>
            </w:r>
          </w:p>
        </w:tc>
        <w:tc>
          <w:tcPr>
            <w:tcW w:w="6506" w:type="dxa"/>
            <w:tcBorders>
              <w:top w:val="single" w:color="000000" w:sz="8" w:space="0"/>
              <w:left w:val="single" w:color="000000" w:sz="2" w:space="0"/>
              <w:bottom w:val="single" w:color="000000" w:sz="8" w:space="0"/>
              <w:right w:val="single" w:color="000000" w:sz="8" w:space="0"/>
            </w:tcBorders>
            <w:vAlign w:val="center"/>
          </w:tcPr>
          <w:p w14:paraId="6A99CDB2">
            <w:pPr>
              <w:keepNext w:val="0"/>
              <w:keepLines w:val="0"/>
              <w:pageBreakBefore w:val="0"/>
              <w:kinsoku/>
              <w:wordWrap/>
              <w:overflowPunct/>
              <w:topLinePunct w:val="0"/>
              <w:autoSpaceDE/>
              <w:autoSpaceDN/>
              <w:bidi w:val="0"/>
              <w:spacing w:line="440" w:lineRule="exact"/>
              <w:textAlignment w:val="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1个  </w:t>
            </w:r>
            <w:r>
              <w:rPr>
                <w:rFonts w:hint="eastAsia" w:ascii="宋体" w:hAnsi="宋体" w:eastAsia="宋体" w:cs="宋体"/>
                <w:color w:val="auto"/>
                <w:kern w:val="0"/>
                <w:sz w:val="24"/>
                <w:highlight w:val="none"/>
                <w:lang w:val="en" w:eastAsia="zh-CN"/>
              </w:rPr>
              <w:t>。</w:t>
            </w:r>
          </w:p>
        </w:tc>
      </w:tr>
      <w:tr w14:paraId="405D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931EB15">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83A5B09">
            <w:pPr>
              <w:keepNext w:val="0"/>
              <w:keepLines w:val="0"/>
              <w:pageBreakBefore w:val="0"/>
              <w:kinsoku/>
              <w:wordWrap/>
              <w:overflowPunct/>
              <w:topLinePunct w:val="0"/>
              <w:autoSpaceDE/>
              <w:autoSpaceDN/>
              <w:bidi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代理费用收取方式及标准</w:t>
            </w:r>
          </w:p>
        </w:tc>
        <w:tc>
          <w:tcPr>
            <w:tcW w:w="6506" w:type="dxa"/>
            <w:tcBorders>
              <w:top w:val="single" w:color="000000" w:sz="8" w:space="0"/>
              <w:left w:val="single" w:color="000000" w:sz="2" w:space="0"/>
              <w:bottom w:val="single" w:color="000000" w:sz="8" w:space="0"/>
              <w:right w:val="single" w:color="000000" w:sz="8" w:space="0"/>
            </w:tcBorders>
            <w:vAlign w:val="center"/>
          </w:tcPr>
          <w:p w14:paraId="0ADF5C4A">
            <w:pPr>
              <w:keepNext w:val="0"/>
              <w:keepLines w:val="0"/>
              <w:pageBreakBefore w:val="0"/>
              <w:widowControl/>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snapToGrid w:val="0"/>
                <w:kern w:val="28"/>
                <w:sz w:val="24"/>
                <w:szCs w:val="24"/>
              </w:rPr>
            </w:pPr>
            <w:r>
              <w:rPr>
                <w:rFonts w:hint="eastAsia" w:asciiTheme="minorEastAsia" w:hAnsiTheme="minorEastAsia" w:eastAsiaTheme="minorEastAsia" w:cstheme="minorEastAsia"/>
                <w:bCs/>
                <w:sz w:val="24"/>
                <w:szCs w:val="24"/>
                <w:highlight w:val="none"/>
              </w:rPr>
              <w:t>本次采购的招标代理服务费</w:t>
            </w:r>
            <w:r>
              <w:rPr>
                <w:rFonts w:hint="eastAsia" w:asciiTheme="minorEastAsia" w:hAnsiTheme="minorEastAsia" w:eastAsiaTheme="minorEastAsia" w:cstheme="minorEastAsia"/>
                <w:snapToGrid w:val="0"/>
                <w:kern w:val="28"/>
                <w:sz w:val="24"/>
                <w:szCs w:val="24"/>
                <w:highlight w:val="none"/>
              </w:rPr>
              <w:t>按</w:t>
            </w:r>
            <w:r>
              <w:rPr>
                <w:rFonts w:hint="eastAsia" w:asciiTheme="minorEastAsia" w:hAnsiTheme="minorEastAsia" w:eastAsiaTheme="minorEastAsia" w:cstheme="minorEastAsia"/>
                <w:snapToGrid w:val="0"/>
                <w:kern w:val="28"/>
                <w:sz w:val="24"/>
                <w:szCs w:val="24"/>
                <w:highlight w:val="none"/>
                <w:lang w:val="en-US" w:eastAsia="zh-CN"/>
              </w:rPr>
              <w:t>照桐庐县政务中介服务平台中选金额7500元计取</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rPr>
              <w:t>由中标（成交）供应商在领取中标通知书前一次性支付给代理公司，上述费用应含在投标报价中（不得单独列项），供应商在投标报价中考虑上述费用。</w:t>
            </w:r>
          </w:p>
        </w:tc>
      </w:tr>
      <w:bookmarkEnd w:id="7"/>
    </w:tbl>
    <w:p w14:paraId="1D6CFF78">
      <w:pPr>
        <w:adjustRightInd/>
        <w:spacing w:line="360" w:lineRule="auto"/>
        <w:ind w:firstLine="3845" w:firstLineChars="1197"/>
        <w:outlineLvl w:val="0"/>
        <w:rPr>
          <w:rFonts w:ascii="宋体" w:hAnsi="宋体" w:cs="宋体"/>
          <w:b/>
          <w:sz w:val="32"/>
          <w:szCs w:val="20"/>
        </w:rPr>
      </w:pPr>
      <w:bookmarkStart w:id="9" w:name="_Toc164416483"/>
      <w:bookmarkStart w:id="10" w:name="第三部分"/>
      <w:r>
        <w:rPr>
          <w:rFonts w:hint="eastAsia" w:ascii="宋体" w:hAnsi="宋体" w:cs="宋体"/>
          <w:b/>
          <w:sz w:val="32"/>
          <w:szCs w:val="20"/>
        </w:rPr>
        <w:t>一、总则</w:t>
      </w:r>
    </w:p>
    <w:p w14:paraId="3AB0959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05CB93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563973C">
      <w:pPr>
        <w:adjustRightInd/>
        <w:spacing w:line="360" w:lineRule="auto"/>
        <w:outlineLvl w:val="0"/>
        <w:rPr>
          <w:rFonts w:ascii="宋体" w:hAnsi="宋体" w:cs="宋体"/>
          <w:b/>
          <w:sz w:val="24"/>
        </w:rPr>
      </w:pPr>
      <w:r>
        <w:rPr>
          <w:rFonts w:hint="eastAsia" w:ascii="宋体" w:hAnsi="宋体" w:cs="宋体"/>
          <w:b/>
          <w:sz w:val="24"/>
        </w:rPr>
        <w:t xml:space="preserve">   2.定义</w:t>
      </w:r>
    </w:p>
    <w:p w14:paraId="34EC9C0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136BFC4">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099AA52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A9FB25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30A825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48B365">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6935BB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BF450E7">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7F5139E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CF9F74C">
      <w:pPr>
        <w:spacing w:line="360" w:lineRule="auto"/>
        <w:ind w:firstLine="240" w:firstLineChars="100"/>
        <w:rPr>
          <w:rFonts w:ascii="宋体" w:hAnsi="宋体" w:cs="宋体"/>
          <w:sz w:val="24"/>
        </w:rPr>
      </w:pPr>
      <w:r>
        <w:rPr>
          <w:rFonts w:hint="eastAsia" w:ascii="宋体" w:hAnsi="宋体" w:cs="宋体"/>
          <w:sz w:val="24"/>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3DA694">
      <w:pPr>
        <w:spacing w:line="360" w:lineRule="auto"/>
        <w:ind w:firstLine="240" w:firstLineChars="100"/>
        <w:rPr>
          <w:rFonts w:ascii="宋体" w:hAnsi="宋体" w:cs="宋体"/>
          <w:sz w:val="24"/>
        </w:rPr>
      </w:pPr>
      <w:r>
        <w:rPr>
          <w:rFonts w:hint="eastAsia" w:ascii="宋体" w:hAnsi="宋体" w:cs="宋体"/>
          <w:sz w:val="24"/>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B0AD701">
      <w:pPr>
        <w:spacing w:line="360" w:lineRule="auto"/>
        <w:rPr>
          <w:rFonts w:ascii="宋体" w:hAnsi="宋体" w:cs="宋体"/>
          <w:b/>
          <w:sz w:val="24"/>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1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1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2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2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6203B32">
      <w:pPr>
        <w:pStyle w:val="29"/>
        <w:shd w:val="clear" w:color="auto" w:fill="FFFFFF"/>
        <w:snapToGrid w:val="0"/>
        <w:spacing w:after="240" w:afterAutospacing="0" w:line="360" w:lineRule="auto"/>
        <w:ind w:firstLine="400"/>
        <w:contextualSpacing/>
      </w:pPr>
      <w:r>
        <w:rPr>
          <w:rFonts w:hint="eastAsia"/>
          <w:color w:val="auto"/>
          <w:highlight w:val="none"/>
        </w:rPr>
        <w:t>投诉书范本及制作说明详见附件3。</w:t>
      </w:r>
    </w:p>
    <w:p w14:paraId="1F80C0BD">
      <w:pPr>
        <w:pStyle w:val="29"/>
        <w:shd w:val="clear" w:color="auto" w:fill="FFFFFF"/>
        <w:snapToGrid w:val="0"/>
        <w:spacing w:after="240" w:afterAutospacing="0" w:line="360" w:lineRule="auto"/>
        <w:ind w:firstLine="400"/>
        <w:contextualSpacing/>
      </w:pPr>
    </w:p>
    <w:p w14:paraId="0A7037B2">
      <w:pPr>
        <w:pStyle w:val="29"/>
        <w:shd w:val="clear" w:color="auto" w:fill="FFFFFF"/>
        <w:snapToGrid w:val="0"/>
        <w:spacing w:after="240" w:afterAutospacing="0" w:line="360" w:lineRule="auto"/>
        <w:ind w:firstLine="400"/>
        <w:contextualSpacing/>
        <w:jc w:val="center"/>
        <w:rPr>
          <w:b/>
          <w:sz w:val="30"/>
          <w:szCs w:val="20"/>
        </w:rPr>
      </w:pPr>
      <w:r>
        <w:rPr>
          <w:rFonts w:hint="eastAsia"/>
          <w:b/>
          <w:sz w:val="30"/>
          <w:szCs w:val="20"/>
        </w:rPr>
        <w:t>二、招标文件的构成、澄清、修改</w:t>
      </w:r>
    </w:p>
    <w:p w14:paraId="781E4775">
      <w:pPr>
        <w:pStyle w:val="12"/>
        <w:spacing w:line="360" w:lineRule="auto"/>
        <w:rPr>
          <w:rFonts w:hAnsi="宋体" w:cs="宋体"/>
          <w:b/>
          <w:sz w:val="24"/>
          <w:szCs w:val="24"/>
        </w:rPr>
      </w:pPr>
      <w:r>
        <w:rPr>
          <w:rFonts w:hint="eastAsia" w:hAnsi="宋体" w:cs="宋体"/>
          <w:b/>
          <w:sz w:val="24"/>
          <w:szCs w:val="24"/>
        </w:rPr>
        <w:t>5．招标文件的构成</w:t>
      </w:r>
    </w:p>
    <w:p w14:paraId="02B58920">
      <w:pPr>
        <w:pStyle w:val="1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002C915">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0FE3034">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48729EF">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4250DF8">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746EBC7">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F54FF00">
      <w:pPr>
        <w:pStyle w:val="1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37A0E1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EFDE43B">
      <w:pPr>
        <w:pStyle w:val="12"/>
        <w:spacing w:line="360" w:lineRule="auto"/>
        <w:rPr>
          <w:rFonts w:hAnsi="宋体" w:cs="宋体"/>
          <w:b/>
          <w:sz w:val="24"/>
          <w:szCs w:val="24"/>
        </w:rPr>
      </w:pPr>
      <w:r>
        <w:rPr>
          <w:rFonts w:hint="eastAsia" w:hAnsi="宋体" w:cs="宋体"/>
          <w:b/>
          <w:sz w:val="24"/>
          <w:szCs w:val="24"/>
        </w:rPr>
        <w:t>6. 招标文件的澄清、修改</w:t>
      </w:r>
    </w:p>
    <w:p w14:paraId="533B99E2">
      <w:pPr>
        <w:pStyle w:val="3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CE4A0D6">
      <w:pPr>
        <w:pStyle w:val="30"/>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F0211E">
      <w:pPr>
        <w:adjustRightInd/>
        <w:spacing w:line="360" w:lineRule="auto"/>
        <w:jc w:val="center"/>
        <w:outlineLvl w:val="0"/>
        <w:rPr>
          <w:rFonts w:hint="eastAsia" w:ascii="宋体" w:hAnsi="宋体" w:cs="宋体"/>
          <w:b/>
          <w:sz w:val="30"/>
          <w:szCs w:val="20"/>
        </w:rPr>
      </w:pPr>
    </w:p>
    <w:p w14:paraId="20D4222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3FCD728">
      <w:pPr>
        <w:pStyle w:val="12"/>
        <w:spacing w:line="360" w:lineRule="auto"/>
        <w:rPr>
          <w:rFonts w:hAnsi="宋体" w:cs="宋体"/>
          <w:b/>
          <w:sz w:val="24"/>
          <w:szCs w:val="24"/>
        </w:rPr>
      </w:pPr>
      <w:r>
        <w:rPr>
          <w:rFonts w:hint="eastAsia" w:hAnsi="宋体" w:cs="宋体"/>
          <w:b/>
          <w:sz w:val="24"/>
          <w:szCs w:val="24"/>
        </w:rPr>
        <w:t>7. 招标文件的获取</w:t>
      </w:r>
    </w:p>
    <w:p w14:paraId="29394F4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AB672E1">
      <w:pPr>
        <w:pStyle w:val="12"/>
        <w:spacing w:line="360" w:lineRule="auto"/>
        <w:rPr>
          <w:rFonts w:hAnsi="宋体" w:cs="宋体"/>
          <w:b/>
          <w:sz w:val="24"/>
          <w:szCs w:val="24"/>
        </w:rPr>
      </w:pPr>
      <w:r>
        <w:rPr>
          <w:rFonts w:hint="eastAsia" w:hAnsi="宋体" w:cs="宋体"/>
          <w:b/>
          <w:sz w:val="24"/>
          <w:szCs w:val="24"/>
        </w:rPr>
        <w:t>8.开标前答疑会或现场考察</w:t>
      </w:r>
    </w:p>
    <w:p w14:paraId="15A39F4E">
      <w:pPr>
        <w:pStyle w:val="1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846530C">
      <w:pPr>
        <w:pStyle w:val="12"/>
        <w:spacing w:line="360" w:lineRule="auto"/>
        <w:rPr>
          <w:rFonts w:hAnsi="宋体" w:cs="宋体"/>
          <w:b/>
          <w:szCs w:val="24"/>
        </w:rPr>
      </w:pPr>
      <w:r>
        <w:rPr>
          <w:rFonts w:hint="eastAsia" w:hAnsi="宋体" w:cs="宋体"/>
          <w:b/>
          <w:kern w:val="28"/>
          <w:sz w:val="24"/>
          <w:szCs w:val="24"/>
        </w:rPr>
        <w:t>9.投标保证金</w:t>
      </w:r>
    </w:p>
    <w:p w14:paraId="04A1B7A5">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3D0EA38">
      <w:pPr>
        <w:pStyle w:val="12"/>
        <w:spacing w:line="360" w:lineRule="auto"/>
        <w:rPr>
          <w:rFonts w:hAnsi="宋体" w:cs="宋体"/>
          <w:b/>
          <w:sz w:val="24"/>
          <w:szCs w:val="24"/>
        </w:rPr>
      </w:pPr>
      <w:r>
        <w:rPr>
          <w:rFonts w:hint="eastAsia" w:hAnsi="宋体" w:cs="宋体"/>
          <w:b/>
          <w:sz w:val="24"/>
          <w:szCs w:val="24"/>
        </w:rPr>
        <w:t>10. 投标文件的语言</w:t>
      </w:r>
    </w:p>
    <w:p w14:paraId="0E8327D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2AABCB0">
      <w:pPr>
        <w:pStyle w:val="12"/>
        <w:spacing w:line="360" w:lineRule="auto"/>
        <w:rPr>
          <w:rFonts w:hAnsi="宋体" w:cs="宋体"/>
          <w:b/>
          <w:sz w:val="24"/>
          <w:szCs w:val="24"/>
        </w:rPr>
      </w:pPr>
      <w:r>
        <w:rPr>
          <w:rFonts w:hint="eastAsia" w:hAnsi="宋体" w:cs="宋体"/>
          <w:b/>
          <w:sz w:val="24"/>
          <w:szCs w:val="24"/>
        </w:rPr>
        <w:t>11. 投标文件的组成</w:t>
      </w:r>
    </w:p>
    <w:p w14:paraId="48601AE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1B1447F">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11.1.1提供有效的营业执照副本并加盖公章（或事业单位法人登记证或其他工商等登记证明材料）</w:t>
      </w:r>
      <w:r>
        <w:rPr>
          <w:rFonts w:hint="eastAsia" w:ascii="宋体" w:hAnsi="宋体" w:cs="宋体"/>
          <w:sz w:val="24"/>
          <w:lang w:eastAsia="zh-CN"/>
        </w:rPr>
        <w:t>；</w:t>
      </w:r>
    </w:p>
    <w:p w14:paraId="0110F3F6">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14:paraId="26AB9764">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14:paraId="0330904A">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018C68ED">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p>
    <w:p w14:paraId="5CE48168">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7A4A6F0">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35FCC1A0">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3FA7709E">
      <w:pPr>
        <w:snapToGrid w:val="0"/>
        <w:spacing w:line="360" w:lineRule="auto"/>
        <w:ind w:firstLine="960" w:firstLineChars="400"/>
        <w:rPr>
          <w:rFonts w:ascii="宋体" w:hAnsi="宋体" w:cs="宋体"/>
          <w:sz w:val="24"/>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7B6EC6">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符合性审查资料；</w:t>
      </w:r>
    </w:p>
    <w:p w14:paraId="1BAB1D07">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评标标准相应的商务技术资料；</w:t>
      </w:r>
    </w:p>
    <w:p w14:paraId="0377D710">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34BC610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76F871C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57BC814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A8732E9">
      <w:pPr>
        <w:snapToGrid w:val="0"/>
        <w:spacing w:line="360" w:lineRule="auto"/>
        <w:ind w:firstLine="960" w:firstLineChars="400"/>
        <w:rPr>
          <w:rFonts w:ascii="宋体" w:hAnsi="宋体" w:cs="仿宋_GB2312"/>
          <w:color w:val="auto"/>
          <w:sz w:val="24"/>
        </w:rPr>
      </w:pPr>
      <w:r>
        <w:rPr>
          <w:rFonts w:ascii="宋体" w:hAnsi="宋体" w:cs="仿宋_GB2312"/>
          <w:color w:val="auto"/>
          <w:sz w:val="24"/>
        </w:rPr>
        <w:t>11.3.</w:t>
      </w:r>
      <w:r>
        <w:rPr>
          <w:rFonts w:hint="eastAsia" w:ascii="宋体" w:hAnsi="宋体" w:cs="仿宋_GB2312"/>
          <w:color w:val="auto"/>
          <w:sz w:val="24"/>
        </w:rPr>
        <w:t>2</w:t>
      </w:r>
      <w:r>
        <w:rPr>
          <w:rFonts w:ascii="宋体" w:hAnsi="宋体" w:cs="仿宋_GB2312"/>
          <w:color w:val="auto"/>
          <w:sz w:val="24"/>
        </w:rPr>
        <w:t>中小企业声明函。</w:t>
      </w:r>
    </w:p>
    <w:p w14:paraId="4FE261E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A6FC12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83EB5B1">
      <w:pPr>
        <w:pStyle w:val="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39C420">
      <w:pPr>
        <w:spacing w:line="360" w:lineRule="auto"/>
        <w:ind w:firstLine="480" w:firstLineChars="200"/>
        <w:rPr>
          <w:rFonts w:ascii="宋体" w:hAnsi="宋体" w:cs="宋体"/>
          <w:kern w:val="0"/>
          <w:sz w:val="24"/>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495AF8">
      <w:pPr>
        <w:snapToGrid w:val="0"/>
        <w:spacing w:line="360" w:lineRule="auto"/>
        <w:rPr>
          <w:rFonts w:ascii="宋体" w:hAnsi="宋体" w:cs="宋体"/>
          <w:b/>
          <w:sz w:val="24"/>
        </w:rPr>
      </w:pPr>
      <w:r>
        <w:rPr>
          <w:rFonts w:hint="eastAsia" w:ascii="宋体" w:hAnsi="宋体" w:cs="宋体"/>
          <w:b/>
          <w:sz w:val="24"/>
        </w:rPr>
        <w:t>13.投标文件的签署、盖章</w:t>
      </w:r>
    </w:p>
    <w:p w14:paraId="3B93CB6D">
      <w:pPr>
        <w:pStyle w:val="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9CBB9">
      <w:pPr>
        <w:pStyle w:val="30"/>
        <w:snapToGrid w:val="0"/>
        <w:spacing w:before="0"/>
        <w:ind w:firstLine="480"/>
        <w:rPr>
          <w:rFonts w:ascii="宋体" w:hAnsi="宋体" w:cs="宋体"/>
          <w:szCs w:val="24"/>
        </w:rPr>
      </w:pPr>
      <w:r>
        <w:rPr>
          <w:rFonts w:hint="eastAsia" w:ascii="宋体" w:hAnsi="宋体" w:cs="宋体"/>
          <w:color w:val="auto"/>
          <w:highlight w:val="none"/>
        </w:rPr>
        <w:t>13.3招标文件对投标文件签署、盖章的要求适用于电子签名。</w:t>
      </w:r>
    </w:p>
    <w:p w14:paraId="08CA40EE">
      <w:pPr>
        <w:pStyle w:val="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5BCDF5B">
      <w:pPr>
        <w:pStyle w:val="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57D1DC">
      <w:pPr>
        <w:pStyle w:val="30"/>
        <w:spacing w:before="0"/>
        <w:ind w:firstLine="480"/>
        <w:rPr>
          <w:rFonts w:ascii="宋体" w:hAnsi="宋体" w:cs="宋体"/>
          <w:szCs w:val="24"/>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45C950C">
      <w:pPr>
        <w:pStyle w:val="12"/>
        <w:spacing w:line="360" w:lineRule="auto"/>
        <w:rPr>
          <w:rFonts w:hAnsi="宋体" w:cs="宋体"/>
          <w:b/>
          <w:sz w:val="24"/>
          <w:szCs w:val="24"/>
        </w:rPr>
      </w:pPr>
      <w:r>
        <w:rPr>
          <w:rFonts w:hint="eastAsia" w:hAnsi="宋体" w:cs="宋体"/>
          <w:b/>
          <w:sz w:val="24"/>
          <w:szCs w:val="24"/>
        </w:rPr>
        <w:t>15.备份投标文件</w:t>
      </w:r>
    </w:p>
    <w:p w14:paraId="42A04E0C">
      <w:pPr>
        <w:pStyle w:val="1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1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B63B54A">
      <w:pPr>
        <w:pStyle w:val="12"/>
        <w:spacing w:line="360" w:lineRule="auto"/>
        <w:ind w:firstLine="479" w:firstLineChars="199"/>
        <w:rPr>
          <w:rFonts w:hAnsi="宋体" w:cs="宋体"/>
          <w:b/>
          <w:sz w:val="24"/>
          <w:szCs w:val="24"/>
        </w:rPr>
      </w:pPr>
      <w:r>
        <w:rPr>
          <w:rFonts w:hint="eastAsia" w:hAnsi="宋体" w:cs="宋体"/>
          <w:b/>
          <w:color w:val="auto"/>
          <w:sz w:val="24"/>
          <w:szCs w:val="24"/>
          <w:highlight w:val="none"/>
        </w:rPr>
        <w:t>15.5投标人仅提交备份投标文件，未在电子交易平台传输递交投标文件的，投标无效。</w:t>
      </w:r>
    </w:p>
    <w:p w14:paraId="11BB8DAF">
      <w:pPr>
        <w:pStyle w:val="30"/>
        <w:spacing w:before="0"/>
        <w:ind w:firstLine="0" w:firstLineChars="0"/>
        <w:rPr>
          <w:rFonts w:ascii="宋体" w:hAnsi="宋体" w:cs="宋体"/>
          <w:b/>
          <w:szCs w:val="24"/>
        </w:rPr>
      </w:pPr>
      <w:r>
        <w:rPr>
          <w:rFonts w:hint="eastAsia" w:ascii="宋体" w:hAnsi="宋体" w:cs="宋体"/>
          <w:b/>
          <w:szCs w:val="24"/>
        </w:rPr>
        <w:t>16.投标文件的无效处理</w:t>
      </w:r>
    </w:p>
    <w:p w14:paraId="55D6199D">
      <w:pPr>
        <w:pStyle w:val="11"/>
        <w:spacing w:line="360" w:lineRule="auto"/>
        <w:ind w:firstLine="360" w:firstLineChars="150"/>
        <w:rPr>
          <w:rFonts w:cs="宋体"/>
          <w:szCs w:val="21"/>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FC7ED7">
      <w:pPr>
        <w:pStyle w:val="30"/>
        <w:spacing w:before="0"/>
        <w:ind w:firstLine="0" w:firstLineChars="0"/>
        <w:rPr>
          <w:rFonts w:ascii="宋体" w:hAnsi="宋体" w:cs="宋体"/>
          <w:b/>
          <w:szCs w:val="24"/>
        </w:rPr>
      </w:pPr>
      <w:r>
        <w:rPr>
          <w:rFonts w:hint="eastAsia" w:ascii="宋体" w:hAnsi="宋体" w:cs="宋体"/>
          <w:b/>
          <w:szCs w:val="24"/>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1C5A556">
      <w:pPr>
        <w:pStyle w:val="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3A33111">
      <w:pPr>
        <w:pStyle w:val="30"/>
        <w:spacing w:before="0"/>
        <w:ind w:firstLine="1928" w:firstLineChars="600"/>
        <w:rPr>
          <w:rFonts w:hint="eastAsia" w:ascii="宋体" w:hAnsi="宋体" w:cs="宋体"/>
          <w:b/>
          <w:sz w:val="32"/>
        </w:rPr>
      </w:pPr>
    </w:p>
    <w:p w14:paraId="13C2DE19">
      <w:pPr>
        <w:pStyle w:val="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1C3D3F8">
      <w:pPr>
        <w:pStyle w:val="3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1DBAA014">
      <w:pPr>
        <w:pStyle w:val="31"/>
        <w:spacing w:before="0" w:line="360" w:lineRule="auto"/>
        <w:ind w:left="0" w:firstLine="480" w:firstLineChars="200"/>
        <w:contextualSpacing/>
        <w:rPr>
          <w:rFonts w:ascii="宋体" w:hAnsi="宋体" w:cs="宋体"/>
          <w:b/>
          <w:bCs/>
          <w:sz w:val="24"/>
        </w:rPr>
      </w:pPr>
      <w:r>
        <w:rPr>
          <w:rFonts w:hint="eastAsia" w:ascii="宋体" w:hAnsi="宋体" w:cs="宋体"/>
          <w:sz w:val="24"/>
        </w:rPr>
        <w:t>18.1采购机构按照招标文件规定的时间通过电子交易平台组织开标，所有投标人均应当准时在线参加。</w:t>
      </w:r>
      <w:r>
        <w:rPr>
          <w:rFonts w:hint="eastAsia" w:ascii="宋体" w:hAnsi="宋体" w:cs="宋体"/>
          <w:b/>
          <w:bCs/>
          <w:sz w:val="24"/>
        </w:rPr>
        <w:t>投标人不足3家的，不得开标。</w:t>
      </w:r>
    </w:p>
    <w:p w14:paraId="0E629F21">
      <w:pPr>
        <w:pStyle w:val="3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1DE24413">
      <w:pPr>
        <w:pStyle w:val="3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B319F07">
      <w:pPr>
        <w:pStyle w:val="31"/>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8F2A2E6">
      <w:pPr>
        <w:pStyle w:val="30"/>
        <w:spacing w:before="0"/>
        <w:ind w:firstLine="480"/>
        <w:rPr>
          <w:rFonts w:ascii="宋体" w:hAnsi="宋体" w:cs="宋体"/>
          <w:b/>
          <w:bCs/>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2A42D99">
      <w:pPr>
        <w:pStyle w:val="30"/>
        <w:spacing w:before="0"/>
        <w:ind w:firstLine="0" w:firstLineChars="0"/>
        <w:rPr>
          <w:rFonts w:ascii="宋体" w:hAnsi="宋体" w:cs="宋体"/>
          <w:b/>
          <w:szCs w:val="24"/>
        </w:rPr>
      </w:pPr>
      <w:r>
        <w:rPr>
          <w:rFonts w:hint="eastAsia" w:ascii="宋体" w:hAnsi="宋体" w:cs="宋体"/>
          <w:b/>
          <w:szCs w:val="24"/>
        </w:rPr>
        <w:t>20、信用信息查询</w:t>
      </w:r>
    </w:p>
    <w:p w14:paraId="385E7C5D">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CFC9284">
      <w:pPr>
        <w:pStyle w:val="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4662166">
      <w:pPr>
        <w:snapToGrid w:val="0"/>
        <w:spacing w:line="360" w:lineRule="auto"/>
        <w:jc w:val="center"/>
        <w:outlineLvl w:val="0"/>
        <w:rPr>
          <w:rFonts w:hint="eastAsia" w:ascii="宋体" w:hAnsi="宋体" w:cs="宋体"/>
          <w:b/>
          <w:sz w:val="36"/>
          <w:szCs w:val="36"/>
        </w:rPr>
      </w:pPr>
    </w:p>
    <w:p w14:paraId="51A14F2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CB84C5F">
      <w:pPr>
        <w:spacing w:line="360" w:lineRule="auto"/>
        <w:rPr>
          <w:rFonts w:ascii="宋体" w:hAnsi="宋体" w:cs="宋体"/>
          <w:b/>
          <w:sz w:val="24"/>
        </w:rPr>
      </w:pPr>
      <w:bookmarkStart w:id="11" w:name="_Toc91899903"/>
      <w:r>
        <w:rPr>
          <w:rFonts w:hint="eastAsia" w:ascii="宋体" w:hAnsi="宋体" w:cs="宋体"/>
          <w:b/>
          <w:sz w:val="24"/>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906505">
      <w:pPr>
        <w:spacing w:line="360" w:lineRule="auto"/>
        <w:rPr>
          <w:rFonts w:ascii="宋体" w:hAnsi="宋体" w:cs="宋体"/>
          <w:b/>
          <w:sz w:val="24"/>
        </w:rPr>
      </w:pPr>
    </w:p>
    <w:p w14:paraId="471E7A2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2FCFC40">
      <w:pPr>
        <w:pStyle w:val="11"/>
        <w:spacing w:line="360" w:lineRule="auto"/>
        <w:ind w:left="479" w:hanging="479" w:hangingChars="199"/>
        <w:rPr>
          <w:rFonts w:cs="宋体"/>
          <w:b/>
        </w:rPr>
      </w:pPr>
      <w:r>
        <w:rPr>
          <w:rFonts w:hint="eastAsia" w:cs="宋体"/>
          <w:b/>
        </w:rPr>
        <w:t>22. 确定中标供应商</w:t>
      </w:r>
    </w:p>
    <w:p w14:paraId="634B889C">
      <w:pPr>
        <w:pStyle w:val="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4B05BD">
      <w:pPr>
        <w:pStyle w:val="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33847E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hint="eastAsia" w:ascii="宋体" w:hAnsi="宋体" w:eastAsia="宋体" w:cs="宋体"/>
          <w:color w:val="auto"/>
          <w:sz w:val="24"/>
          <w:highlight w:val="none"/>
        </w:rPr>
        <w:t>由于中标、成交供应商原因导致重新采购的，应当承担支付代理费和专家评审费等费用在内的赔偿责任。</w:t>
      </w:r>
    </w:p>
    <w:p w14:paraId="19AF5D1D">
      <w:pPr>
        <w:pStyle w:val="27"/>
        <w:rPr>
          <w:rFonts w:hint="eastAsia"/>
        </w:rPr>
      </w:pPr>
    </w:p>
    <w:p w14:paraId="575AA81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7E55A7C">
      <w:pPr>
        <w:pStyle w:val="11"/>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合同主要条款详见第五部分拟签订的合同文本。（具体合同文本以实际签署的为准）</w:t>
      </w:r>
    </w:p>
    <w:p w14:paraId="2D71391C">
      <w:pPr>
        <w:pStyle w:val="11"/>
        <w:spacing w:line="360" w:lineRule="auto"/>
        <w:ind w:left="479" w:hanging="479" w:hangingChars="199"/>
        <w:rPr>
          <w:rFonts w:cs="宋体"/>
          <w:b/>
        </w:rPr>
      </w:pPr>
      <w:r>
        <w:rPr>
          <w:rFonts w:hint="eastAsia" w:cs="宋体"/>
          <w:b/>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D3E2D23">
      <w:pPr>
        <w:pStyle w:val="11"/>
        <w:spacing w:line="360" w:lineRule="auto"/>
        <w:ind w:left="479" w:hanging="477" w:hangingChars="199"/>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3B2EA54">
      <w:pPr>
        <w:pStyle w:val="11"/>
        <w:spacing w:line="360" w:lineRule="auto"/>
        <w:ind w:left="479" w:hanging="479" w:hangingChars="199"/>
        <w:rPr>
          <w:rFonts w:cs="宋体"/>
          <w:b/>
        </w:rPr>
      </w:pPr>
      <w:r>
        <w:rPr>
          <w:rFonts w:hint="eastAsia" w:cs="宋体"/>
          <w:b/>
        </w:rPr>
        <w:t>26. 履约保证金</w:t>
      </w:r>
    </w:p>
    <w:p w14:paraId="20F9E6A8">
      <w:pPr>
        <w:snapToGrid w:val="0"/>
        <w:spacing w:line="360" w:lineRule="auto"/>
        <w:ind w:firstLine="480" w:firstLineChars="200"/>
        <w:jc w:val="both"/>
        <w:rPr>
          <w:rFonts w:hint="eastAsia" w:ascii="宋体" w:hAnsi="宋体" w:cs="宋体"/>
          <w:kern w:val="2"/>
          <w:sz w:val="24"/>
          <w:szCs w:val="20"/>
          <w:lang w:val="en-US" w:eastAsia="zh-CN" w:bidi="ar-SA"/>
        </w:rPr>
      </w:pPr>
      <w:r>
        <w:rPr>
          <w:rFonts w:hint="eastAsia" w:ascii="宋体" w:hAnsi="宋体" w:cs="宋体"/>
          <w:kern w:val="2"/>
          <w:sz w:val="24"/>
          <w:szCs w:val="20"/>
          <w:lang w:val="en-US" w:eastAsia="zh-CN" w:bidi="ar-SA"/>
        </w:rPr>
        <w:t>本项目无需缴纳履约保证金。</w:t>
      </w:r>
    </w:p>
    <w:p w14:paraId="50DFAF70">
      <w:pPr>
        <w:snapToGrid w:val="0"/>
        <w:spacing w:line="360" w:lineRule="auto"/>
        <w:ind w:firstLine="643" w:firstLineChars="200"/>
        <w:jc w:val="center"/>
        <w:rPr>
          <w:rFonts w:hint="eastAsia" w:ascii="宋体" w:hAnsi="宋体" w:cs="宋体"/>
          <w:b/>
          <w:sz w:val="32"/>
        </w:rPr>
      </w:pPr>
    </w:p>
    <w:p w14:paraId="5A745BE3">
      <w:pPr>
        <w:snapToGrid w:val="0"/>
        <w:spacing w:line="360" w:lineRule="auto"/>
        <w:ind w:firstLine="643" w:firstLineChars="200"/>
        <w:jc w:val="center"/>
        <w:rPr>
          <w:rFonts w:ascii="宋体" w:hAnsi="宋体" w:cs="宋体"/>
          <w:b/>
          <w:sz w:val="24"/>
        </w:rPr>
      </w:pPr>
      <w:r>
        <w:rPr>
          <w:rFonts w:hint="eastAsia" w:ascii="宋体" w:hAnsi="宋体" w:cs="宋体"/>
          <w:b/>
          <w:sz w:val="32"/>
        </w:rPr>
        <w:t>八、电子交易活动的中止</w:t>
      </w:r>
    </w:p>
    <w:p w14:paraId="6E667E69">
      <w:pPr>
        <w:pStyle w:val="30"/>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D3CABEC">
      <w:pPr>
        <w:pStyle w:val="30"/>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503B784C">
      <w:pPr>
        <w:pStyle w:val="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E12D974">
      <w:pPr>
        <w:pStyle w:val="30"/>
        <w:snapToGrid w:val="0"/>
        <w:spacing w:before="0"/>
        <w:ind w:firstLine="480"/>
        <w:rPr>
          <w:rFonts w:ascii="宋体" w:hAnsi="宋体" w:cs="宋体"/>
        </w:rPr>
      </w:pPr>
      <w:r>
        <w:rPr>
          <w:rFonts w:hint="eastAsia" w:ascii="宋体" w:hAnsi="宋体" w:cs="宋体"/>
        </w:rPr>
        <w:t>27.3电子交易平台发现严重安全漏洞，有潜在泄密危险的；</w:t>
      </w:r>
    </w:p>
    <w:p w14:paraId="0375FBDE">
      <w:pPr>
        <w:pStyle w:val="30"/>
        <w:snapToGrid w:val="0"/>
        <w:spacing w:before="0"/>
        <w:ind w:firstLine="480"/>
        <w:rPr>
          <w:rFonts w:ascii="宋体" w:hAnsi="宋体" w:cs="宋体"/>
        </w:rPr>
      </w:pPr>
      <w:r>
        <w:rPr>
          <w:rFonts w:hint="eastAsia" w:ascii="宋体" w:hAnsi="宋体" w:cs="宋体"/>
        </w:rPr>
        <w:t xml:space="preserve">27.4病毒发作导致不能进行正常操作的； </w:t>
      </w:r>
    </w:p>
    <w:p w14:paraId="281D858E">
      <w:pPr>
        <w:pStyle w:val="30"/>
        <w:snapToGrid w:val="0"/>
        <w:spacing w:before="0"/>
        <w:ind w:firstLine="480"/>
        <w:rPr>
          <w:rFonts w:ascii="宋体" w:hAnsi="宋体" w:cs="宋体"/>
        </w:rPr>
      </w:pPr>
      <w:r>
        <w:rPr>
          <w:rFonts w:hint="eastAsia" w:ascii="宋体" w:hAnsi="宋体" w:cs="宋体"/>
        </w:rPr>
        <w:t>27.5其他无法保证电子交易的公平、公正和安全的情况。</w:t>
      </w:r>
    </w:p>
    <w:p w14:paraId="0089D4DA">
      <w:pPr>
        <w:pStyle w:val="30"/>
        <w:snapToGrid w:val="0"/>
        <w:spacing w:before="0"/>
        <w:ind w:firstLine="0" w:firstLineChars="0"/>
        <w:rPr>
          <w:rFonts w:ascii="宋体" w:hAnsi="宋体" w:cs="宋体"/>
          <w:sz w:val="24"/>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196027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E0477CA">
      <w:pPr>
        <w:pStyle w:val="11"/>
        <w:spacing w:line="360" w:lineRule="auto"/>
        <w:ind w:firstLine="0" w:firstLineChars="0"/>
        <w:rPr>
          <w:rFonts w:cs="宋体"/>
          <w:b/>
        </w:rPr>
      </w:pPr>
      <w:r>
        <w:rPr>
          <w:rFonts w:hint="eastAsia" w:cs="宋体"/>
          <w:b/>
        </w:rPr>
        <w:t>29.验收</w:t>
      </w:r>
    </w:p>
    <w:p w14:paraId="6901797B">
      <w:pPr>
        <w:tabs>
          <w:tab w:val="left" w:pos="0"/>
        </w:tabs>
        <w:spacing w:line="360" w:lineRule="auto"/>
        <w:ind w:firstLine="480"/>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19F1BB">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AD305C0">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84E93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29.4</w:t>
      </w:r>
      <w:bookmarkEnd w:id="11"/>
      <w:bookmarkStart w:id="13" w:name="_Hlt74714665"/>
      <w:bookmarkEnd w:id="13"/>
      <w:bookmarkStart w:id="14" w:name="_Hlt68073093"/>
      <w:bookmarkEnd w:id="14"/>
      <w:bookmarkStart w:id="15" w:name="_Hlt68072998"/>
      <w:bookmarkEnd w:id="15"/>
      <w:bookmarkStart w:id="16" w:name="_Hlt75236101"/>
      <w:bookmarkEnd w:id="16"/>
      <w:bookmarkStart w:id="17" w:name="_Hlt74729768"/>
      <w:bookmarkEnd w:id="17"/>
      <w:bookmarkStart w:id="18" w:name="_Hlt68072990"/>
      <w:bookmarkEnd w:id="18"/>
      <w:bookmarkStart w:id="19" w:name="_Hlt74730295"/>
      <w:bookmarkEnd w:id="19"/>
      <w:bookmarkStart w:id="20" w:name="_Hlt68403820"/>
      <w:bookmarkEnd w:id="20"/>
      <w:bookmarkStart w:id="21" w:name="_Hlt68057669"/>
      <w:bookmarkEnd w:id="21"/>
      <w:bookmarkStart w:id="22" w:name="_Hlt75236290"/>
      <w:bookmarkEnd w:id="22"/>
      <w:bookmarkStart w:id="23" w:name="_Hlt75236011"/>
      <w:bookmarkEnd w:id="23"/>
      <w:bookmarkStart w:id="24" w:name="_Hlt74707468"/>
      <w:bookmarkEnd w:id="24"/>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57EE09">
      <w:pPr>
        <w:tabs>
          <w:tab w:val="left" w:pos="0"/>
        </w:tabs>
        <w:spacing w:line="360" w:lineRule="auto"/>
        <w:ind w:firstLine="480"/>
        <w:rPr>
          <w:rFonts w:ascii="宋体" w:hAnsi="宋体" w:cs="宋体"/>
          <w:kern w:val="0"/>
          <w:sz w:val="24"/>
        </w:rPr>
        <w:sectPr>
          <w:footerReference r:id="rId10" w:type="firs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9"/>
    <w:bookmarkEnd w:id="10"/>
    <w:p w14:paraId="2B724FCC">
      <w:pPr>
        <w:tabs>
          <w:tab w:val="left" w:pos="0"/>
        </w:tabs>
        <w:spacing w:line="360" w:lineRule="auto"/>
        <w:ind w:firstLine="2262" w:firstLineChars="626"/>
        <w:rPr>
          <w:rFonts w:hint="eastAsia" w:ascii="宋体" w:hAnsi="宋体" w:cs="宋体"/>
          <w:b/>
          <w:bCs/>
          <w:kern w:val="0"/>
          <w:sz w:val="36"/>
          <w:szCs w:val="36"/>
        </w:rPr>
      </w:pPr>
      <w:bookmarkStart w:id="25" w:name="第四部分"/>
      <w:r>
        <w:rPr>
          <w:rFonts w:hint="eastAsia" w:ascii="宋体" w:hAnsi="宋体" w:cs="宋体"/>
          <w:b/>
          <w:bCs/>
          <w:kern w:val="0"/>
          <w:sz w:val="36"/>
          <w:szCs w:val="36"/>
        </w:rPr>
        <w:t>第三部分   采购需求</w:t>
      </w:r>
    </w:p>
    <w:p w14:paraId="7997124A">
      <w:pPr>
        <w:pStyle w:val="10"/>
        <w:spacing w:after="0" w:line="360" w:lineRule="auto"/>
        <w:rPr>
          <w:rFonts w:hint="default" w:cs="宋体"/>
          <w:b/>
          <w:sz w:val="28"/>
          <w:szCs w:val="28"/>
          <w:lang w:val="en-US" w:eastAsia="zh-CN"/>
        </w:rPr>
      </w:pPr>
      <w:r>
        <w:rPr>
          <w:rFonts w:hint="eastAsia" w:cs="宋体"/>
          <w:b/>
          <w:sz w:val="28"/>
          <w:szCs w:val="28"/>
          <w:lang w:val="zh-CN" w:eastAsia="zh-CN"/>
        </w:rPr>
        <w:t>一、</w:t>
      </w:r>
      <w:bookmarkStart w:id="26" w:name="_Toc26966"/>
      <w:bookmarkStart w:id="27" w:name="_Toc4726"/>
      <w:bookmarkStart w:id="28" w:name="_Toc35898826"/>
      <w:r>
        <w:rPr>
          <w:rFonts w:hint="eastAsia" w:cs="宋体"/>
          <w:b/>
          <w:sz w:val="28"/>
          <w:szCs w:val="28"/>
          <w:lang w:val="zh-CN" w:eastAsia="zh-CN"/>
        </w:rPr>
        <w:t>建设目标</w:t>
      </w:r>
      <w:bookmarkEnd w:id="26"/>
      <w:bookmarkEnd w:id="27"/>
      <w:bookmarkEnd w:id="28"/>
    </w:p>
    <w:p w14:paraId="36FA9293">
      <w:pPr>
        <w:spacing w:line="360" w:lineRule="auto"/>
        <w:ind w:firstLine="480" w:firstLineChars="200"/>
        <w:rPr>
          <w:rFonts w:hint="eastAsia" w:ascii="宋体" w:hAnsi="宋体" w:cs="宋体"/>
          <w:kern w:val="0"/>
          <w:sz w:val="24"/>
          <w:lang w:val="zh-CN"/>
        </w:rPr>
      </w:pPr>
      <w:bookmarkStart w:id="29" w:name="_Toc11487"/>
      <w:r>
        <w:rPr>
          <w:rFonts w:hint="eastAsia" w:ascii="宋体" w:hAnsi="宋体" w:cs="宋体"/>
          <w:kern w:val="0"/>
          <w:sz w:val="24"/>
          <w:lang w:val="zh-CN"/>
        </w:rPr>
        <w:t>加强避灾安置场所建设是贯彻落实习近平总书记关于防灾减灾救灾“三个不怕”和“四个宁可”要求，实现“不死人、少伤人、少损失”工作目标的重要举措，为进一步提升我县灾害防控能力，提升基层防灾减灾救灾数字化水平，根据省应急管理厅要求进行本项目建设。</w:t>
      </w:r>
    </w:p>
    <w:bookmarkEnd w:id="29"/>
    <w:p w14:paraId="027928B4">
      <w:pPr>
        <w:pStyle w:val="10"/>
        <w:spacing w:after="0" w:line="360" w:lineRule="auto"/>
        <w:rPr>
          <w:rFonts w:hint="eastAsia" w:cs="宋体"/>
          <w:b/>
          <w:sz w:val="28"/>
          <w:szCs w:val="28"/>
          <w:lang w:val="zh-CN"/>
        </w:rPr>
      </w:pPr>
      <w:bookmarkStart w:id="30" w:name="_Toc5864"/>
      <w:bookmarkStart w:id="31" w:name="_Toc21638"/>
      <w:bookmarkStart w:id="32" w:name="_Toc35898827"/>
      <w:r>
        <w:rPr>
          <w:rFonts w:hint="eastAsia" w:cs="宋体"/>
          <w:b/>
          <w:sz w:val="28"/>
          <w:szCs w:val="28"/>
          <w:lang w:val="en-US" w:eastAsia="zh-CN"/>
        </w:rPr>
        <w:t>二、</w:t>
      </w:r>
      <w:r>
        <w:rPr>
          <w:rFonts w:hint="eastAsia" w:cs="宋体"/>
          <w:b/>
          <w:sz w:val="28"/>
          <w:szCs w:val="28"/>
          <w:lang w:val="zh-CN"/>
        </w:rPr>
        <w:t>建设规模</w:t>
      </w:r>
      <w:bookmarkEnd w:id="30"/>
      <w:bookmarkEnd w:id="31"/>
      <w:bookmarkEnd w:id="32"/>
    </w:p>
    <w:p w14:paraId="66E4AE78">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对现有全县209个避灾安置场所监控点位进行更新，对后台存储能力进行扩容至90天。</w:t>
      </w:r>
    </w:p>
    <w:p w14:paraId="78EB1CEB">
      <w:pPr>
        <w:pStyle w:val="10"/>
        <w:spacing w:after="0" w:line="360" w:lineRule="auto"/>
        <w:rPr>
          <w:rFonts w:hint="eastAsia" w:cs="宋体"/>
          <w:b/>
          <w:sz w:val="28"/>
          <w:szCs w:val="28"/>
          <w:lang w:val="zh-CN"/>
        </w:rPr>
      </w:pPr>
      <w:r>
        <w:rPr>
          <w:rFonts w:hint="eastAsia" w:cs="宋体"/>
          <w:b/>
          <w:sz w:val="28"/>
          <w:szCs w:val="28"/>
          <w:lang w:val="en-US" w:eastAsia="zh-CN"/>
        </w:rPr>
        <w:t>三</w:t>
      </w:r>
      <w:r>
        <w:rPr>
          <w:rFonts w:hint="eastAsia" w:cs="宋体"/>
          <w:b/>
          <w:sz w:val="28"/>
          <w:szCs w:val="28"/>
          <w:lang w:val="zh-CN"/>
        </w:rPr>
        <w:t>、</w:t>
      </w:r>
      <w:r>
        <w:rPr>
          <w:rFonts w:hint="eastAsia" w:cs="宋体"/>
          <w:b/>
          <w:sz w:val="28"/>
          <w:szCs w:val="28"/>
          <w:lang w:val="en-US" w:eastAsia="zh-CN"/>
        </w:rPr>
        <w:t>项目建设内容</w:t>
      </w:r>
      <w:r>
        <w:rPr>
          <w:rFonts w:hint="eastAsia" w:cs="宋体"/>
          <w:b/>
          <w:sz w:val="28"/>
          <w:szCs w:val="28"/>
          <w:lang w:val="zh-CN"/>
        </w:rPr>
        <w:t>一览表</w:t>
      </w:r>
    </w:p>
    <w:tbl>
      <w:tblPr>
        <w:tblStyle w:val="22"/>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2347"/>
        <w:gridCol w:w="1178"/>
        <w:gridCol w:w="2014"/>
      </w:tblGrid>
      <w:tr w14:paraId="2646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4" w:type="pct"/>
            <w:tcBorders>
              <w:top w:val="single" w:color="auto" w:sz="4" w:space="0"/>
              <w:left w:val="single" w:color="auto" w:sz="4" w:space="0"/>
              <w:bottom w:val="single" w:color="auto" w:sz="4" w:space="0"/>
              <w:right w:val="single" w:color="auto" w:sz="4" w:space="0"/>
            </w:tcBorders>
            <w:vAlign w:val="center"/>
          </w:tcPr>
          <w:p w14:paraId="22EB6372">
            <w:pPr>
              <w:pStyle w:val="10"/>
              <w:bidi w:val="0"/>
              <w:spacing w:line="240" w:lineRule="auto"/>
              <w:jc w:val="center"/>
              <w:rPr>
                <w:b/>
                <w:bCs/>
                <w:sz w:val="24"/>
                <w:szCs w:val="21"/>
              </w:rPr>
            </w:pPr>
            <w:r>
              <w:rPr>
                <w:rFonts w:hint="eastAsia"/>
                <w:b/>
                <w:bCs/>
                <w:sz w:val="24"/>
                <w:szCs w:val="21"/>
              </w:rPr>
              <w:t>采购内容</w:t>
            </w:r>
          </w:p>
        </w:tc>
        <w:tc>
          <w:tcPr>
            <w:tcW w:w="1404" w:type="pct"/>
            <w:tcBorders>
              <w:top w:val="single" w:color="auto" w:sz="4" w:space="0"/>
              <w:left w:val="single" w:color="auto" w:sz="4" w:space="0"/>
              <w:bottom w:val="single" w:color="auto" w:sz="4" w:space="0"/>
              <w:right w:val="single" w:color="auto" w:sz="4" w:space="0"/>
            </w:tcBorders>
            <w:vAlign w:val="center"/>
          </w:tcPr>
          <w:p w14:paraId="035B8772">
            <w:pPr>
              <w:pStyle w:val="10"/>
              <w:bidi w:val="0"/>
              <w:spacing w:line="240" w:lineRule="auto"/>
              <w:jc w:val="center"/>
              <w:rPr>
                <w:rFonts w:hint="default"/>
                <w:b/>
                <w:bCs/>
                <w:sz w:val="24"/>
                <w:szCs w:val="21"/>
                <w:lang w:val="en-US" w:eastAsia="zh-CN"/>
              </w:rPr>
            </w:pPr>
            <w:r>
              <w:rPr>
                <w:rFonts w:hint="eastAsia"/>
                <w:b/>
                <w:bCs/>
                <w:sz w:val="24"/>
                <w:szCs w:val="21"/>
                <w:lang w:val="en-US" w:eastAsia="zh-CN"/>
              </w:rPr>
              <w:t>监控类型</w:t>
            </w:r>
          </w:p>
        </w:tc>
        <w:tc>
          <w:tcPr>
            <w:tcW w:w="705" w:type="pct"/>
            <w:tcBorders>
              <w:top w:val="single" w:color="auto" w:sz="4" w:space="0"/>
              <w:left w:val="single" w:color="auto" w:sz="4" w:space="0"/>
              <w:bottom w:val="single" w:color="auto" w:sz="4" w:space="0"/>
              <w:right w:val="single" w:color="auto" w:sz="4" w:space="0"/>
            </w:tcBorders>
            <w:vAlign w:val="center"/>
          </w:tcPr>
          <w:p w14:paraId="72A0E613">
            <w:pPr>
              <w:pStyle w:val="10"/>
              <w:bidi w:val="0"/>
              <w:spacing w:line="240" w:lineRule="auto"/>
              <w:jc w:val="center"/>
              <w:rPr>
                <w:b/>
                <w:bCs/>
                <w:sz w:val="24"/>
                <w:szCs w:val="21"/>
              </w:rPr>
            </w:pPr>
            <w:r>
              <w:rPr>
                <w:rFonts w:hint="eastAsia"/>
                <w:b/>
                <w:bCs/>
                <w:sz w:val="24"/>
                <w:szCs w:val="21"/>
              </w:rPr>
              <w:t>数量</w:t>
            </w:r>
          </w:p>
        </w:tc>
        <w:tc>
          <w:tcPr>
            <w:tcW w:w="1205" w:type="pct"/>
            <w:tcBorders>
              <w:top w:val="single" w:color="auto" w:sz="4" w:space="0"/>
              <w:left w:val="single" w:color="auto" w:sz="4" w:space="0"/>
              <w:bottom w:val="single" w:color="auto" w:sz="4" w:space="0"/>
              <w:right w:val="single" w:color="auto" w:sz="4" w:space="0"/>
            </w:tcBorders>
            <w:vAlign w:val="center"/>
          </w:tcPr>
          <w:p w14:paraId="3E236700">
            <w:pPr>
              <w:pStyle w:val="10"/>
              <w:bidi w:val="0"/>
              <w:spacing w:line="240" w:lineRule="auto"/>
              <w:jc w:val="center"/>
              <w:rPr>
                <w:rFonts w:hint="eastAsia"/>
                <w:b/>
                <w:bCs/>
                <w:sz w:val="24"/>
                <w:szCs w:val="21"/>
                <w:lang w:val="en-US" w:eastAsia="zh-CN"/>
              </w:rPr>
            </w:pPr>
            <w:r>
              <w:rPr>
                <w:rFonts w:hint="eastAsia"/>
                <w:b/>
                <w:bCs/>
                <w:sz w:val="24"/>
                <w:szCs w:val="21"/>
              </w:rPr>
              <w:t>服务期</w:t>
            </w:r>
          </w:p>
        </w:tc>
      </w:tr>
      <w:tr w14:paraId="3CAB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684" w:type="pct"/>
            <w:vMerge w:val="restart"/>
            <w:tcBorders>
              <w:top w:val="single" w:color="auto" w:sz="4" w:space="0"/>
              <w:left w:val="single" w:color="auto" w:sz="4" w:space="0"/>
              <w:right w:val="single" w:color="auto" w:sz="4" w:space="0"/>
            </w:tcBorders>
            <w:vAlign w:val="center"/>
          </w:tcPr>
          <w:p w14:paraId="4A6FD0B9">
            <w:pPr>
              <w:pStyle w:val="10"/>
              <w:bidi w:val="0"/>
              <w:spacing w:line="240" w:lineRule="auto"/>
              <w:jc w:val="center"/>
              <w:rPr>
                <w:rFonts w:hint="eastAsia"/>
                <w:sz w:val="24"/>
                <w:szCs w:val="21"/>
                <w:lang w:val="zh-CN" w:eastAsia="zh-CN"/>
              </w:rPr>
            </w:pPr>
            <w:r>
              <w:rPr>
                <w:rFonts w:hint="eastAsia" w:ascii="宋体" w:hAnsi="宋体" w:eastAsia="宋体" w:cs="宋体"/>
                <w:sz w:val="24"/>
                <w:lang w:val="en-US" w:eastAsia="zh-CN"/>
              </w:rPr>
              <w:t>避灾安置场所视频监控租赁服务项目</w:t>
            </w:r>
          </w:p>
        </w:tc>
        <w:tc>
          <w:tcPr>
            <w:tcW w:w="1404" w:type="pct"/>
            <w:tcBorders>
              <w:top w:val="single" w:color="auto" w:sz="4" w:space="0"/>
              <w:left w:val="single" w:color="auto" w:sz="4" w:space="0"/>
              <w:bottom w:val="single" w:color="auto" w:sz="4" w:space="0"/>
              <w:right w:val="single" w:color="auto" w:sz="4" w:space="0"/>
            </w:tcBorders>
            <w:vAlign w:val="center"/>
          </w:tcPr>
          <w:p w14:paraId="64D6741E">
            <w:pPr>
              <w:pStyle w:val="10"/>
              <w:bidi w:val="0"/>
              <w:spacing w:line="240" w:lineRule="auto"/>
              <w:jc w:val="center"/>
              <w:rPr>
                <w:rFonts w:hint="eastAsia"/>
                <w:sz w:val="24"/>
                <w:szCs w:val="21"/>
                <w:lang w:val="en-US" w:eastAsia="zh-CN"/>
              </w:rPr>
            </w:pPr>
            <w:r>
              <w:rPr>
                <w:rFonts w:hint="eastAsia"/>
                <w:sz w:val="24"/>
                <w:szCs w:val="21"/>
                <w:lang w:val="en-US" w:eastAsia="zh-CN"/>
              </w:rPr>
              <w:t>半球摄像机</w:t>
            </w:r>
          </w:p>
        </w:tc>
        <w:tc>
          <w:tcPr>
            <w:tcW w:w="705" w:type="pct"/>
            <w:tcBorders>
              <w:top w:val="single" w:color="auto" w:sz="4" w:space="0"/>
              <w:left w:val="single" w:color="auto" w:sz="4" w:space="0"/>
              <w:bottom w:val="single" w:color="auto" w:sz="4" w:space="0"/>
              <w:right w:val="single" w:color="auto" w:sz="4" w:space="0"/>
            </w:tcBorders>
            <w:vAlign w:val="center"/>
          </w:tcPr>
          <w:p w14:paraId="1F535F2B">
            <w:pPr>
              <w:pStyle w:val="10"/>
              <w:bidi w:val="0"/>
              <w:spacing w:line="240" w:lineRule="auto"/>
              <w:jc w:val="center"/>
              <w:rPr>
                <w:sz w:val="24"/>
                <w:szCs w:val="21"/>
              </w:rPr>
            </w:pPr>
            <w:r>
              <w:rPr>
                <w:rFonts w:hint="eastAsia"/>
                <w:sz w:val="24"/>
                <w:szCs w:val="21"/>
                <w:lang w:val="en-US" w:eastAsia="zh-CN"/>
              </w:rPr>
              <w:t>179</w:t>
            </w:r>
            <w:r>
              <w:rPr>
                <w:rFonts w:hint="eastAsia"/>
                <w:sz w:val="24"/>
                <w:szCs w:val="21"/>
              </w:rPr>
              <w:t>个</w:t>
            </w:r>
          </w:p>
        </w:tc>
        <w:tc>
          <w:tcPr>
            <w:tcW w:w="1205" w:type="pct"/>
            <w:tcBorders>
              <w:top w:val="single" w:color="auto" w:sz="4" w:space="0"/>
              <w:left w:val="single" w:color="auto" w:sz="4" w:space="0"/>
              <w:bottom w:val="single" w:color="auto" w:sz="4" w:space="0"/>
              <w:right w:val="single" w:color="auto" w:sz="4" w:space="0"/>
            </w:tcBorders>
            <w:vAlign w:val="center"/>
          </w:tcPr>
          <w:p w14:paraId="011DDEC6">
            <w:pPr>
              <w:pStyle w:val="10"/>
              <w:bidi w:val="0"/>
              <w:spacing w:line="240" w:lineRule="auto"/>
              <w:jc w:val="center"/>
              <w:rPr>
                <w:rFonts w:hint="eastAsia"/>
                <w:sz w:val="24"/>
                <w:szCs w:val="21"/>
                <w:lang w:val="en-US" w:eastAsia="zh-CN"/>
              </w:rPr>
            </w:pPr>
            <w:r>
              <w:rPr>
                <w:rFonts w:hint="eastAsia"/>
                <w:sz w:val="24"/>
                <w:szCs w:val="21"/>
                <w:lang w:val="en-US" w:eastAsia="zh-CN"/>
              </w:rPr>
              <w:t>三</w:t>
            </w:r>
            <w:r>
              <w:rPr>
                <w:rFonts w:hint="eastAsia"/>
                <w:sz w:val="24"/>
                <w:szCs w:val="21"/>
              </w:rPr>
              <w:t>年</w:t>
            </w:r>
          </w:p>
        </w:tc>
      </w:tr>
      <w:tr w14:paraId="080D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684" w:type="pct"/>
            <w:vMerge w:val="continue"/>
            <w:tcBorders>
              <w:left w:val="single" w:color="auto" w:sz="4" w:space="0"/>
              <w:right w:val="single" w:color="auto" w:sz="4" w:space="0"/>
            </w:tcBorders>
            <w:vAlign w:val="center"/>
          </w:tcPr>
          <w:p w14:paraId="5F91AF7B">
            <w:pPr>
              <w:pStyle w:val="10"/>
              <w:bidi w:val="0"/>
              <w:spacing w:line="240" w:lineRule="auto"/>
              <w:jc w:val="center"/>
              <w:rPr>
                <w:rFonts w:hint="eastAsia"/>
                <w:sz w:val="24"/>
                <w:szCs w:val="21"/>
                <w:lang w:val="en-US" w:eastAsia="zh-CN"/>
              </w:rPr>
            </w:pPr>
          </w:p>
        </w:tc>
        <w:tc>
          <w:tcPr>
            <w:tcW w:w="1404" w:type="pct"/>
            <w:tcBorders>
              <w:top w:val="single" w:color="auto" w:sz="4" w:space="0"/>
              <w:left w:val="single" w:color="auto" w:sz="4" w:space="0"/>
              <w:bottom w:val="single" w:color="auto" w:sz="4" w:space="0"/>
              <w:right w:val="single" w:color="auto" w:sz="4" w:space="0"/>
            </w:tcBorders>
            <w:vAlign w:val="center"/>
          </w:tcPr>
          <w:p w14:paraId="09FC7267">
            <w:pPr>
              <w:pStyle w:val="10"/>
              <w:bidi w:val="0"/>
              <w:spacing w:line="240" w:lineRule="auto"/>
              <w:jc w:val="center"/>
              <w:rPr>
                <w:rFonts w:hint="default"/>
                <w:sz w:val="24"/>
                <w:szCs w:val="21"/>
                <w:lang w:val="en-US" w:eastAsia="zh-CN"/>
              </w:rPr>
            </w:pPr>
            <w:r>
              <w:rPr>
                <w:rFonts w:hint="eastAsia"/>
                <w:sz w:val="24"/>
                <w:szCs w:val="21"/>
                <w:lang w:val="en-US" w:eastAsia="zh-CN"/>
              </w:rPr>
              <w:t>球型摄像机</w:t>
            </w:r>
          </w:p>
        </w:tc>
        <w:tc>
          <w:tcPr>
            <w:tcW w:w="705" w:type="pct"/>
            <w:tcBorders>
              <w:top w:val="single" w:color="auto" w:sz="4" w:space="0"/>
              <w:left w:val="single" w:color="auto" w:sz="4" w:space="0"/>
              <w:bottom w:val="single" w:color="auto" w:sz="4" w:space="0"/>
              <w:right w:val="single" w:color="auto" w:sz="4" w:space="0"/>
            </w:tcBorders>
            <w:vAlign w:val="center"/>
          </w:tcPr>
          <w:p w14:paraId="67C0D9F2">
            <w:pPr>
              <w:pStyle w:val="10"/>
              <w:bidi w:val="0"/>
              <w:spacing w:line="240" w:lineRule="auto"/>
              <w:jc w:val="center"/>
              <w:rPr>
                <w:rFonts w:hint="default"/>
                <w:sz w:val="24"/>
                <w:szCs w:val="21"/>
                <w:lang w:val="en-US" w:eastAsia="zh-CN"/>
              </w:rPr>
            </w:pPr>
            <w:r>
              <w:rPr>
                <w:rFonts w:hint="eastAsia"/>
                <w:sz w:val="24"/>
                <w:szCs w:val="21"/>
                <w:lang w:val="en-US" w:eastAsia="zh-CN"/>
              </w:rPr>
              <w:t>30个</w:t>
            </w:r>
          </w:p>
        </w:tc>
        <w:tc>
          <w:tcPr>
            <w:tcW w:w="1205" w:type="pct"/>
            <w:tcBorders>
              <w:top w:val="single" w:color="auto" w:sz="4" w:space="0"/>
              <w:left w:val="single" w:color="auto" w:sz="4" w:space="0"/>
              <w:bottom w:val="single" w:color="auto" w:sz="4" w:space="0"/>
              <w:right w:val="single" w:color="auto" w:sz="4" w:space="0"/>
            </w:tcBorders>
            <w:vAlign w:val="center"/>
          </w:tcPr>
          <w:p w14:paraId="37C5F370">
            <w:pPr>
              <w:pStyle w:val="10"/>
              <w:bidi w:val="0"/>
              <w:spacing w:line="240" w:lineRule="auto"/>
              <w:jc w:val="center"/>
              <w:rPr>
                <w:rFonts w:hint="eastAsia"/>
                <w:sz w:val="24"/>
                <w:szCs w:val="21"/>
                <w:lang w:val="en-US" w:eastAsia="zh-CN"/>
              </w:rPr>
            </w:pPr>
            <w:r>
              <w:rPr>
                <w:rFonts w:hint="eastAsia"/>
                <w:sz w:val="24"/>
                <w:szCs w:val="21"/>
                <w:lang w:val="en-US" w:eastAsia="zh-CN"/>
              </w:rPr>
              <w:t>三</w:t>
            </w:r>
            <w:r>
              <w:rPr>
                <w:rFonts w:hint="eastAsia"/>
                <w:sz w:val="24"/>
                <w:szCs w:val="21"/>
              </w:rPr>
              <w:t>年</w:t>
            </w:r>
          </w:p>
        </w:tc>
      </w:tr>
    </w:tbl>
    <w:p w14:paraId="4609A293">
      <w:pPr>
        <w:pStyle w:val="10"/>
        <w:bidi w:val="0"/>
        <w:spacing w:line="24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服务配置清单：</w:t>
      </w:r>
    </w:p>
    <w:tbl>
      <w:tblPr>
        <w:tblStyle w:val="22"/>
        <w:tblW w:w="4998" w:type="pct"/>
        <w:tblInd w:w="0" w:type="dxa"/>
        <w:tblLayout w:type="autofit"/>
        <w:tblCellMar>
          <w:top w:w="0" w:type="dxa"/>
          <w:left w:w="108" w:type="dxa"/>
          <w:bottom w:w="0" w:type="dxa"/>
          <w:right w:w="108" w:type="dxa"/>
        </w:tblCellMar>
      </w:tblPr>
      <w:tblGrid>
        <w:gridCol w:w="522"/>
        <w:gridCol w:w="1487"/>
        <w:gridCol w:w="5290"/>
        <w:gridCol w:w="546"/>
        <w:gridCol w:w="647"/>
      </w:tblGrid>
      <w:tr w14:paraId="1EFABA59">
        <w:tblPrEx>
          <w:tblCellMar>
            <w:top w:w="0" w:type="dxa"/>
            <w:left w:w="108" w:type="dxa"/>
            <w:bottom w:w="0" w:type="dxa"/>
            <w:right w:w="108" w:type="dxa"/>
          </w:tblCellMar>
        </w:tblPrEx>
        <w:trPr>
          <w:trHeight w:val="588" w:hRule="atLeast"/>
        </w:trPr>
        <w:tc>
          <w:tcPr>
            <w:tcW w:w="312" w:type="pct"/>
            <w:tcBorders>
              <w:top w:val="single" w:color="auto" w:sz="8" w:space="0"/>
              <w:left w:val="single" w:color="auto" w:sz="8" w:space="0"/>
              <w:bottom w:val="single" w:color="auto" w:sz="4" w:space="0"/>
              <w:right w:val="single" w:color="auto" w:sz="8" w:space="0"/>
            </w:tcBorders>
            <w:shd w:val="clear" w:color="auto" w:fill="auto"/>
            <w:vAlign w:val="center"/>
          </w:tcPr>
          <w:p w14:paraId="63D9B50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类别</w:t>
            </w:r>
          </w:p>
        </w:tc>
        <w:tc>
          <w:tcPr>
            <w:tcW w:w="879" w:type="pct"/>
            <w:tcBorders>
              <w:top w:val="single" w:color="auto" w:sz="8" w:space="0"/>
              <w:left w:val="nil"/>
              <w:bottom w:val="single" w:color="auto" w:sz="4" w:space="0"/>
              <w:right w:val="single" w:color="auto" w:sz="8" w:space="0"/>
            </w:tcBorders>
            <w:shd w:val="clear" w:color="auto" w:fill="auto"/>
            <w:vAlign w:val="center"/>
          </w:tcPr>
          <w:p w14:paraId="74221C1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名称（模块/型号）</w:t>
            </w:r>
          </w:p>
        </w:tc>
        <w:tc>
          <w:tcPr>
            <w:tcW w:w="3117" w:type="pct"/>
            <w:tcBorders>
              <w:top w:val="single" w:color="auto" w:sz="8" w:space="0"/>
              <w:left w:val="nil"/>
              <w:bottom w:val="single" w:color="auto" w:sz="4" w:space="0"/>
              <w:right w:val="single" w:color="auto" w:sz="8" w:space="0"/>
            </w:tcBorders>
            <w:shd w:val="clear" w:color="auto" w:fill="auto"/>
            <w:vAlign w:val="center"/>
          </w:tcPr>
          <w:p w14:paraId="48731B8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性能指标参数</w:t>
            </w:r>
          </w:p>
        </w:tc>
        <w:tc>
          <w:tcPr>
            <w:tcW w:w="304" w:type="pct"/>
            <w:tcBorders>
              <w:top w:val="single" w:color="auto" w:sz="8" w:space="0"/>
              <w:left w:val="nil"/>
              <w:bottom w:val="single" w:color="auto" w:sz="4" w:space="0"/>
              <w:right w:val="single" w:color="auto" w:sz="8" w:space="0"/>
            </w:tcBorders>
            <w:shd w:val="clear" w:color="auto" w:fill="auto"/>
            <w:vAlign w:val="center"/>
          </w:tcPr>
          <w:p w14:paraId="364F15F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c>
          <w:tcPr>
            <w:tcW w:w="385" w:type="pct"/>
            <w:tcBorders>
              <w:top w:val="single" w:color="auto" w:sz="8" w:space="0"/>
              <w:left w:val="nil"/>
              <w:bottom w:val="single" w:color="auto" w:sz="4" w:space="0"/>
              <w:right w:val="single" w:color="auto" w:sz="8" w:space="0"/>
            </w:tcBorders>
            <w:shd w:val="clear" w:color="auto" w:fill="auto"/>
            <w:vAlign w:val="center"/>
          </w:tcPr>
          <w:p w14:paraId="735B28E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r>
      <w:tr w14:paraId="6D6CE725">
        <w:tblPrEx>
          <w:tblCellMar>
            <w:top w:w="0" w:type="dxa"/>
            <w:left w:w="108" w:type="dxa"/>
            <w:bottom w:w="0" w:type="dxa"/>
            <w:right w:w="108" w:type="dxa"/>
          </w:tblCellMar>
        </w:tblPrEx>
        <w:trPr>
          <w:trHeight w:val="377" w:hRule="atLeast"/>
        </w:trPr>
        <w:tc>
          <w:tcPr>
            <w:tcW w:w="3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CE3410">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硬件配置要求</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4623B4DF">
            <w:pPr>
              <w:widowControl/>
              <w:jc w:val="center"/>
              <w:rPr>
                <w:rFonts w:ascii="宋体" w:hAnsi="宋体" w:eastAsia="宋体" w:cs="宋体"/>
                <w:color w:val="000000"/>
                <w:kern w:val="0"/>
                <w:sz w:val="24"/>
                <w:szCs w:val="24"/>
              </w:rPr>
            </w:pPr>
            <w:r>
              <w:rPr>
                <w:rFonts w:hint="eastAsia"/>
                <w:sz w:val="24"/>
                <w:szCs w:val="24"/>
                <w:lang w:val="en-US" w:eastAsia="zh-CN"/>
              </w:rPr>
              <w:t>半球</w:t>
            </w:r>
            <w:r>
              <w:rPr>
                <w:rFonts w:hint="eastAsia"/>
                <w:sz w:val="24"/>
                <w:szCs w:val="24"/>
              </w:rPr>
              <w:t>摄像机（含支架）</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14:paraId="2724A05E">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一、村级避灾安置场所</w:t>
            </w:r>
          </w:p>
          <w:p w14:paraId="5D58A271">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1、半球型网络摄像机</w:t>
            </w:r>
          </w:p>
          <w:p w14:paraId="4C82A35D">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2、监控摄像机必须能够全天候工作，白天和夜间都可以拍摄清晰的视频；</w:t>
            </w:r>
          </w:p>
          <w:p w14:paraId="433EBFF3">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3、所配云台解码器应具有开放的兼容的控制协议以及标准控制接口；</w:t>
            </w:r>
          </w:p>
          <w:p w14:paraId="42E9838C">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4、支持H.264、H.265、MJPEG视频编码格式；</w:t>
            </w:r>
          </w:p>
          <w:p w14:paraId="5981329E">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5、分辨率应不小于2560x1440；</w:t>
            </w:r>
          </w:p>
          <w:p w14:paraId="57583212">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6、内置白光补光灯，最远可达30米，白天或夜晚均可输出彩色视频图像；</w:t>
            </w:r>
          </w:p>
          <w:p w14:paraId="35EFBEF0">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7、最低照度彩色：0.0005lx；</w:t>
            </w:r>
          </w:p>
          <w:p w14:paraId="3558B5DA">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8、同一静止场景相同图像质量下，在H.265编码方式时，开启智能编码功能和不开启智能编码相比，码率节约85%；</w:t>
            </w:r>
          </w:p>
          <w:p w14:paraId="71C3B118">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9、防护等级IP67；</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04D0A57E">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179</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1869A85">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台</w:t>
            </w:r>
          </w:p>
        </w:tc>
      </w:tr>
      <w:tr w14:paraId="0E3B0BB7">
        <w:tblPrEx>
          <w:tblCellMar>
            <w:top w:w="0" w:type="dxa"/>
            <w:left w:w="108" w:type="dxa"/>
            <w:bottom w:w="0" w:type="dxa"/>
            <w:right w:w="108" w:type="dxa"/>
          </w:tblCellMar>
        </w:tblPrEx>
        <w:trPr>
          <w:trHeight w:val="60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14:paraId="1D363C6E">
            <w:pPr>
              <w:widowControl/>
              <w:jc w:val="left"/>
              <w:rPr>
                <w:rFonts w:ascii="宋体" w:hAnsi="宋体" w:eastAsia="宋体" w:cs="宋体"/>
                <w:color w:val="000000"/>
                <w:kern w:val="0"/>
                <w:sz w:val="22"/>
                <w:szCs w:val="22"/>
              </w:rPr>
            </w:pP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639EBCDC">
            <w:pPr>
              <w:pStyle w:val="43"/>
              <w:ind w:firstLine="0" w:firstLineChars="0"/>
              <w:jc w:val="center"/>
              <w:rPr>
                <w:rFonts w:ascii="宋体" w:hAnsi="宋体" w:eastAsia="宋体" w:cs="宋体"/>
                <w:color w:val="000000"/>
                <w:kern w:val="0"/>
                <w:sz w:val="24"/>
                <w:szCs w:val="24"/>
              </w:rPr>
            </w:pPr>
            <w:r>
              <w:rPr>
                <w:rFonts w:hint="eastAsia"/>
                <w:sz w:val="24"/>
                <w:szCs w:val="24"/>
                <w:lang w:val="en-US" w:eastAsia="zh-CN"/>
              </w:rPr>
              <w:t>球型</w:t>
            </w:r>
            <w:r>
              <w:rPr>
                <w:rFonts w:hint="eastAsia"/>
                <w:sz w:val="24"/>
                <w:szCs w:val="24"/>
              </w:rPr>
              <w:t>摄像机（含支架）</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14:paraId="2418C2B5">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二、县级及乡镇级避灾安置场所</w:t>
            </w:r>
          </w:p>
          <w:p w14:paraId="02A31404">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1、臻全彩全景智能枪球</w:t>
            </w:r>
          </w:p>
          <w:p w14:paraId="6B736D54">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2、监控摄像机必须能够全天候工作，白天和夜间都可以拍摄清晰的视频；</w:t>
            </w:r>
          </w:p>
          <w:p w14:paraId="17F1B5FA">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3、所配云台解码器应具有开放的兼容的控制协议以及标准控制接口；</w:t>
            </w:r>
          </w:p>
          <w:p w14:paraId="0E032100">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4、支持H.264、H.265、MJPEG视频编码格式；</w:t>
            </w:r>
          </w:p>
          <w:p w14:paraId="52C98948">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5、细节摄像机：分辨率不低于2560x1440;全景摄像机：分辨率不低于2560x1440；</w:t>
            </w:r>
          </w:p>
          <w:p w14:paraId="7007A02A">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6、支持高效补光阵列，全景红外照射距离最远可达30 m，细节补光照射距离最远可达红外150 m；</w:t>
            </w:r>
          </w:p>
          <w:p w14:paraId="135E84CE">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7、最低照度彩色：0.000</w:t>
            </w:r>
            <w:r>
              <w:rPr>
                <w:rFonts w:hint="eastAsia" w:cs="Times New Roman"/>
                <w:sz w:val="24"/>
                <w:szCs w:val="24"/>
                <w:highlight w:val="none"/>
                <w:lang w:val="en-US" w:eastAsia="zh-CN"/>
              </w:rPr>
              <w:t>5</w:t>
            </w:r>
            <w:r>
              <w:rPr>
                <w:rFonts w:hint="eastAsia" w:ascii="Times New Roman" w:hAnsi="Times New Roman" w:cs="Times New Roman"/>
                <w:sz w:val="24"/>
                <w:szCs w:val="24"/>
                <w:highlight w:val="none"/>
              </w:rPr>
              <w:t>lx；</w:t>
            </w:r>
          </w:p>
          <w:p w14:paraId="32A3AA00">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8、应不小于23倍光学变倍，16倍数字变倍；</w:t>
            </w:r>
          </w:p>
          <w:p w14:paraId="4CACDDDE">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9、支持水平手控速度不小于160°/S，垂直速度不小于120°/S，云台定位精度为±0.1°;水平旋转范围为360°连续旋转，垂直旋转范围为-15°~90°；</w:t>
            </w:r>
          </w:p>
          <w:p w14:paraId="2294B3E3">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10、防护等级IP67；</w:t>
            </w:r>
          </w:p>
          <w:p w14:paraId="3E785AFF">
            <w:pPr>
              <w:pStyle w:val="43"/>
              <w:ind w:firstLine="0" w:firstLineChars="0"/>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11、需具备智能分析抗干扰功能，当篮球、小狗、树叶等非人或车辆目标经过检测区域时，不会触发报警。</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1EFD42C3">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30</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5582A46">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台</w:t>
            </w:r>
          </w:p>
        </w:tc>
      </w:tr>
      <w:tr w14:paraId="2DB4009A">
        <w:tblPrEx>
          <w:tblCellMar>
            <w:top w:w="0" w:type="dxa"/>
            <w:left w:w="108" w:type="dxa"/>
            <w:bottom w:w="0" w:type="dxa"/>
            <w:right w:w="108" w:type="dxa"/>
          </w:tblCellMar>
        </w:tblPrEx>
        <w:trPr>
          <w:trHeight w:val="600" w:hRule="atLeast"/>
        </w:trPr>
        <w:tc>
          <w:tcPr>
            <w:tcW w:w="312" w:type="pct"/>
            <w:vMerge w:val="restart"/>
            <w:tcBorders>
              <w:top w:val="single" w:color="auto" w:sz="4" w:space="0"/>
              <w:left w:val="single" w:color="auto" w:sz="4" w:space="0"/>
              <w:bottom w:val="single" w:color="auto" w:sz="4" w:space="0"/>
              <w:right w:val="single" w:color="auto" w:sz="4" w:space="0"/>
            </w:tcBorders>
            <w:vAlign w:val="center"/>
          </w:tcPr>
          <w:p w14:paraId="7A391B4C">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其他配套要求</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615D96F6">
            <w:pPr>
              <w:pStyle w:val="43"/>
              <w:ind w:firstLine="0" w:firstLineChars="0"/>
              <w:jc w:val="center"/>
              <w:rPr>
                <w:rFonts w:hint="eastAsia" w:eastAsia="仿宋_GB2312"/>
                <w:sz w:val="24"/>
                <w:szCs w:val="24"/>
                <w:lang w:val="en-US" w:eastAsia="zh-CN"/>
              </w:rPr>
            </w:pPr>
            <w:r>
              <w:rPr>
                <w:rFonts w:hint="eastAsia"/>
                <w:sz w:val="24"/>
                <w:szCs w:val="24"/>
                <w:lang w:val="en-US" w:eastAsia="zh-CN"/>
              </w:rPr>
              <w:t>网络</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14:paraId="6B9E8FB1">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1、不低于100M；</w:t>
            </w:r>
          </w:p>
          <w:p w14:paraId="6BAD6798">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2、为保障视频数据传输稳定性和可靠性，采取专线\VPN方式联网；</w:t>
            </w:r>
          </w:p>
          <w:p w14:paraId="28BB80B9">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3、宽带满足GB28181-2016/2016协议要求；</w:t>
            </w:r>
          </w:p>
          <w:p w14:paraId="2EF10FD5">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4、信息经由IP网络传输时，端到端的信息延迟时间应满足GB28181-2016/2016协议内要求：前端设备与信号直接接入的监控中心相应设备间端到端的信息延迟时间应不大于2S；</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45031C11">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209</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5A09EF8">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条/年</w:t>
            </w:r>
          </w:p>
        </w:tc>
      </w:tr>
      <w:tr w14:paraId="6B69CA09">
        <w:tblPrEx>
          <w:tblCellMar>
            <w:top w:w="0" w:type="dxa"/>
            <w:left w:w="108" w:type="dxa"/>
            <w:bottom w:w="0" w:type="dxa"/>
            <w:right w:w="108" w:type="dxa"/>
          </w:tblCellMar>
        </w:tblPrEx>
        <w:trPr>
          <w:trHeight w:val="600" w:hRule="atLeast"/>
        </w:trPr>
        <w:tc>
          <w:tcPr>
            <w:tcW w:w="312" w:type="pct"/>
            <w:vMerge w:val="continue"/>
            <w:tcBorders>
              <w:left w:val="single" w:color="auto" w:sz="4" w:space="0"/>
              <w:right w:val="single" w:color="auto" w:sz="4" w:space="0"/>
            </w:tcBorders>
            <w:vAlign w:val="center"/>
          </w:tcPr>
          <w:p w14:paraId="5DCC276A">
            <w:pPr>
              <w:widowControl/>
              <w:jc w:val="left"/>
              <w:rPr>
                <w:rFonts w:hint="eastAsia" w:ascii="宋体" w:hAnsi="宋体" w:eastAsia="宋体" w:cs="宋体"/>
                <w:color w:val="000000"/>
                <w:kern w:val="0"/>
                <w:sz w:val="22"/>
                <w:szCs w:val="22"/>
                <w:lang w:val="en-US" w:eastAsia="zh-CN"/>
              </w:rPr>
            </w:pP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293748E4">
            <w:pPr>
              <w:pStyle w:val="43"/>
              <w:ind w:firstLine="0" w:firstLineChars="0"/>
              <w:jc w:val="center"/>
              <w:rPr>
                <w:rFonts w:hint="default"/>
                <w:sz w:val="24"/>
                <w:szCs w:val="24"/>
                <w:lang w:val="en-US" w:eastAsia="zh-CN"/>
              </w:rPr>
            </w:pPr>
            <w:r>
              <w:rPr>
                <w:rFonts w:hint="eastAsia"/>
                <w:sz w:val="24"/>
                <w:szCs w:val="24"/>
                <w:lang w:val="en-US" w:eastAsia="zh-CN"/>
              </w:rPr>
              <w:t>上联网络</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14:paraId="60D75C96">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1、不低于100</w:t>
            </w:r>
            <w:r>
              <w:rPr>
                <w:rFonts w:hint="eastAsia" w:cs="Times New Roman"/>
                <w:sz w:val="24"/>
                <w:szCs w:val="24"/>
                <w:highlight w:val="none"/>
                <w:lang w:val="en-US" w:eastAsia="zh-CN"/>
              </w:rPr>
              <w:t>0</w:t>
            </w:r>
            <w:r>
              <w:rPr>
                <w:rFonts w:hint="eastAsia" w:ascii="Times New Roman" w:hAnsi="Times New Roman" w:cs="Times New Roman"/>
                <w:sz w:val="24"/>
                <w:szCs w:val="24"/>
                <w:highlight w:val="none"/>
              </w:rPr>
              <w:t>M；</w:t>
            </w:r>
          </w:p>
          <w:p w14:paraId="30A8E853">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2、为保障视频数据传输稳定性和可靠性，采取专线\VPN方式联网；</w:t>
            </w:r>
          </w:p>
          <w:p w14:paraId="482749BA">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3、宽带满足GB28181-2016/2016协议要求；</w:t>
            </w:r>
          </w:p>
          <w:p w14:paraId="09BE67D2">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4、信息经由IP网络传输时，端到端的信息延迟时间应满足GB28181-2016/2016协议内要求：前端设备与信号直接接入的监控中心相应设备间端到端的信息延迟时间应不大于2S；</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039905F7">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5BE107C">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条</w:t>
            </w:r>
            <w:r>
              <w:rPr>
                <w:rFonts w:hint="default"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lang w:val="en-US" w:eastAsia="zh-CN"/>
              </w:rPr>
              <w:t>年</w:t>
            </w:r>
          </w:p>
        </w:tc>
      </w:tr>
      <w:tr w14:paraId="6ED215E7">
        <w:tblPrEx>
          <w:tblCellMar>
            <w:top w:w="0" w:type="dxa"/>
            <w:left w:w="108" w:type="dxa"/>
            <w:bottom w:w="0" w:type="dxa"/>
            <w:right w:w="108" w:type="dxa"/>
          </w:tblCellMar>
        </w:tblPrEx>
        <w:trPr>
          <w:trHeight w:val="60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14:paraId="62DC1B0A">
            <w:pPr>
              <w:widowControl/>
              <w:jc w:val="left"/>
              <w:rPr>
                <w:rFonts w:ascii="宋体" w:hAnsi="宋体" w:eastAsia="宋体" w:cs="宋体"/>
                <w:color w:val="000000"/>
                <w:kern w:val="0"/>
                <w:sz w:val="22"/>
                <w:szCs w:val="22"/>
              </w:rPr>
            </w:pP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6C914B7A">
            <w:pPr>
              <w:pStyle w:val="43"/>
              <w:ind w:firstLine="0" w:firstLineChars="0"/>
              <w:jc w:val="center"/>
              <w:rPr>
                <w:rFonts w:hint="eastAsia"/>
                <w:sz w:val="20"/>
                <w:szCs w:val="20"/>
              </w:rPr>
            </w:pPr>
            <w:r>
              <w:rPr>
                <w:rFonts w:hint="eastAsia"/>
                <w:sz w:val="24"/>
                <w:szCs w:val="24"/>
                <w:highlight w:val="none"/>
              </w:rPr>
              <w:t>项目设备维护</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14:paraId="2517F254">
            <w:pPr>
              <w:pStyle w:val="43"/>
              <w:ind w:firstLine="0" w:firstLineChars="0"/>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rPr>
              <w:t>1、各项设备的日常维护</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包含所有与本项目视频监控系统前端相关的摄像机、线路、电源等设备的故障维修、设备更新</w:t>
            </w:r>
            <w:r>
              <w:rPr>
                <w:rFonts w:hint="eastAsia" w:ascii="Times New Roman" w:hAnsi="Times New Roman" w:cs="Times New Roman"/>
                <w:sz w:val="24"/>
                <w:szCs w:val="24"/>
                <w:highlight w:val="none"/>
                <w:lang w:eastAsia="zh-CN"/>
              </w:rPr>
              <w:t>）</w:t>
            </w:r>
          </w:p>
          <w:p w14:paraId="0B8F2859">
            <w:pPr>
              <w:pStyle w:val="43"/>
              <w:ind w:firstLine="0" w:firstLineChars="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2、摄像机、网络或相关设备出现故障，保证4小时内维修好。</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47A78526">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1</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0F5EC85">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项</w:t>
            </w:r>
          </w:p>
        </w:tc>
      </w:tr>
      <w:tr w14:paraId="04BAD7D6">
        <w:tblPrEx>
          <w:tblCellMar>
            <w:top w:w="0" w:type="dxa"/>
            <w:left w:w="108" w:type="dxa"/>
            <w:bottom w:w="0" w:type="dxa"/>
            <w:right w:w="108" w:type="dxa"/>
          </w:tblCellMar>
        </w:tblPrEx>
        <w:trPr>
          <w:trHeight w:val="60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14:paraId="0D6BF504">
            <w:pPr>
              <w:widowControl/>
              <w:jc w:val="left"/>
              <w:rPr>
                <w:rFonts w:ascii="宋体" w:hAnsi="宋体" w:eastAsia="宋体" w:cs="宋体"/>
                <w:color w:val="000000"/>
                <w:kern w:val="0"/>
                <w:sz w:val="22"/>
                <w:szCs w:val="22"/>
              </w:rPr>
            </w:pP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537C6BC8">
            <w:pPr>
              <w:pStyle w:val="43"/>
              <w:ind w:firstLine="0" w:firstLineChars="0"/>
              <w:jc w:val="center"/>
              <w:rPr>
                <w:rFonts w:hint="eastAsia"/>
                <w:sz w:val="20"/>
                <w:szCs w:val="20"/>
              </w:rPr>
            </w:pPr>
            <w:r>
              <w:rPr>
                <w:rFonts w:hint="eastAsia"/>
                <w:sz w:val="24"/>
                <w:szCs w:val="24"/>
                <w:highlight w:val="none"/>
              </w:rPr>
              <w:t>监控信号接入及推送</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14:paraId="645925DA">
            <w:pPr>
              <w:pStyle w:val="43"/>
              <w:rPr>
                <w:rFonts w:hint="eastAsia"/>
                <w:sz w:val="24"/>
                <w:szCs w:val="24"/>
                <w:highlight w:val="none"/>
              </w:rPr>
            </w:pPr>
            <w:r>
              <w:rPr>
                <w:rFonts w:hint="eastAsia"/>
                <w:sz w:val="24"/>
                <w:szCs w:val="24"/>
                <w:highlight w:val="none"/>
              </w:rPr>
              <w:t>1、通过GB/T28181-2016协议实现</w:t>
            </w:r>
            <w:r>
              <w:rPr>
                <w:rFonts w:hint="eastAsia"/>
                <w:color w:val="auto"/>
                <w:sz w:val="24"/>
                <w:szCs w:val="24"/>
                <w:highlight w:val="none"/>
              </w:rPr>
              <w:t>将</w:t>
            </w:r>
            <w:r>
              <w:rPr>
                <w:rFonts w:hint="eastAsia"/>
                <w:color w:val="auto"/>
                <w:sz w:val="24"/>
                <w:szCs w:val="24"/>
                <w:highlight w:val="none"/>
                <w:lang w:val="en-US" w:eastAsia="zh-CN"/>
              </w:rPr>
              <w:t>209</w:t>
            </w:r>
            <w:r>
              <w:rPr>
                <w:rFonts w:hint="eastAsia"/>
                <w:sz w:val="24"/>
                <w:szCs w:val="24"/>
                <w:highlight w:val="none"/>
              </w:rPr>
              <w:t>路避灾安置场所的视频监控接至县应急管理局现有的可视化调度指挥平台（海康，ISC）；</w:t>
            </w:r>
          </w:p>
          <w:p w14:paraId="4B2D99B4">
            <w:pPr>
              <w:pStyle w:val="43"/>
              <w:ind w:firstLine="0" w:firstLineChars="0"/>
              <w:rPr>
                <w:rFonts w:hint="eastAsia"/>
                <w:sz w:val="20"/>
                <w:szCs w:val="20"/>
              </w:rPr>
            </w:pPr>
            <w:r>
              <w:rPr>
                <w:rFonts w:hint="eastAsia"/>
                <w:sz w:val="24"/>
                <w:szCs w:val="24"/>
                <w:highlight w:val="none"/>
              </w:rPr>
              <w:t>2、负责与省、市平台对接，通过GB/T28181-2016协议将接入应急管理局可视化平台的</w:t>
            </w:r>
            <w:r>
              <w:rPr>
                <w:rFonts w:hint="eastAsia"/>
                <w:color w:val="auto"/>
                <w:sz w:val="24"/>
                <w:szCs w:val="24"/>
                <w:highlight w:val="none"/>
                <w:lang w:val="en-US" w:eastAsia="zh-CN"/>
              </w:rPr>
              <w:t>209</w:t>
            </w:r>
            <w:r>
              <w:rPr>
                <w:rFonts w:hint="eastAsia"/>
                <w:color w:val="auto"/>
                <w:sz w:val="24"/>
                <w:szCs w:val="24"/>
                <w:highlight w:val="none"/>
              </w:rPr>
              <w:t>路</w:t>
            </w:r>
            <w:r>
              <w:rPr>
                <w:rFonts w:hint="eastAsia"/>
                <w:sz w:val="24"/>
                <w:szCs w:val="24"/>
                <w:highlight w:val="none"/>
              </w:rPr>
              <w:t>视频监控推送至省市要求的平台，完成省市布置的任务。</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6BD5DC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1</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93B155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项</w:t>
            </w:r>
          </w:p>
        </w:tc>
      </w:tr>
      <w:tr w14:paraId="186AB414">
        <w:tblPrEx>
          <w:tblCellMar>
            <w:top w:w="0" w:type="dxa"/>
            <w:left w:w="108" w:type="dxa"/>
            <w:bottom w:w="0" w:type="dxa"/>
            <w:right w:w="108" w:type="dxa"/>
          </w:tblCellMar>
        </w:tblPrEx>
        <w:trPr>
          <w:trHeight w:val="60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14:paraId="659E7A27">
            <w:pPr>
              <w:widowControl/>
              <w:jc w:val="left"/>
              <w:rPr>
                <w:rFonts w:ascii="宋体" w:hAnsi="宋体" w:eastAsia="宋体" w:cs="宋体"/>
                <w:color w:val="000000"/>
                <w:kern w:val="0"/>
                <w:sz w:val="22"/>
                <w:szCs w:val="22"/>
              </w:rPr>
            </w:pP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270760C7">
            <w:pPr>
              <w:pStyle w:val="43"/>
              <w:ind w:firstLine="0" w:firstLineChars="0"/>
              <w:jc w:val="center"/>
              <w:rPr>
                <w:rFonts w:hint="eastAsia"/>
                <w:sz w:val="20"/>
                <w:szCs w:val="20"/>
              </w:rPr>
            </w:pPr>
            <w:r>
              <w:rPr>
                <w:rFonts w:hint="eastAsia"/>
                <w:sz w:val="24"/>
                <w:szCs w:val="24"/>
                <w:highlight w:val="none"/>
              </w:rPr>
              <w:t>视频存储服务</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14:paraId="4700EB3A">
            <w:pPr>
              <w:pStyle w:val="43"/>
              <w:ind w:firstLine="0" w:firstLineChars="0"/>
              <w:rPr>
                <w:rFonts w:hint="eastAsia"/>
                <w:sz w:val="20"/>
                <w:szCs w:val="20"/>
              </w:rPr>
            </w:pPr>
            <w:r>
              <w:rPr>
                <w:rFonts w:hint="eastAsia"/>
                <w:sz w:val="24"/>
                <w:szCs w:val="24"/>
                <w:highlight w:val="none"/>
              </w:rPr>
              <w:t>监控视频存储时间不低于</w:t>
            </w:r>
            <w:r>
              <w:rPr>
                <w:rFonts w:hint="eastAsia"/>
                <w:sz w:val="24"/>
                <w:szCs w:val="24"/>
                <w:highlight w:val="none"/>
                <w:lang w:val="en-US" w:eastAsia="zh-CN"/>
              </w:rPr>
              <w:t>9</w:t>
            </w:r>
            <w:r>
              <w:rPr>
                <w:rFonts w:hint="eastAsia"/>
                <w:sz w:val="24"/>
                <w:szCs w:val="24"/>
                <w:highlight w:val="none"/>
              </w:rPr>
              <w:t>0天。</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8CFB947">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bidi="ar-SA"/>
              </w:rPr>
              <w:t>1</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1D61C8A">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bidi="ar-SA"/>
              </w:rPr>
              <w:t>项</w:t>
            </w:r>
          </w:p>
        </w:tc>
      </w:tr>
    </w:tbl>
    <w:p w14:paraId="6CCF6DFF">
      <w:pPr>
        <w:spacing w:line="360" w:lineRule="auto"/>
        <w:ind w:firstLine="480" w:firstLineChars="200"/>
        <w:jc w:val="left"/>
        <w:rPr>
          <w:rFonts w:hint="eastAsia" w:ascii="宋体" w:hAnsi="宋体"/>
          <w:sz w:val="24"/>
          <w:lang w:val="zh-CN"/>
        </w:rPr>
      </w:pPr>
      <w:r>
        <w:rPr>
          <w:rFonts w:hint="eastAsia" w:ascii="宋体" w:hAnsi="宋体"/>
          <w:sz w:val="24"/>
          <w:lang w:val="en-US" w:eastAsia="zh-CN"/>
        </w:rPr>
        <w:t>备注：本项目为属于购买服务项目，所有软、硬件(如线缆、软件、硬件、模块等，包括未列出而系统实施又必需的软件、硬件)需配齐、安装，以构成一套完整实用系统。</w:t>
      </w:r>
    </w:p>
    <w:p w14:paraId="7636A5CC">
      <w:pPr>
        <w:pStyle w:val="10"/>
        <w:spacing w:after="0" w:line="360" w:lineRule="auto"/>
        <w:rPr>
          <w:rFonts w:hint="eastAsia" w:cs="宋体"/>
          <w:b/>
          <w:sz w:val="28"/>
          <w:szCs w:val="28"/>
          <w:lang w:val="zh-CN"/>
        </w:rPr>
      </w:pPr>
      <w:r>
        <w:rPr>
          <w:rFonts w:hint="eastAsia" w:cs="宋体"/>
          <w:b/>
          <w:sz w:val="28"/>
          <w:szCs w:val="28"/>
          <w:lang w:val="en-US" w:eastAsia="zh-CN"/>
        </w:rPr>
        <w:t>四</w:t>
      </w:r>
      <w:r>
        <w:rPr>
          <w:rFonts w:hint="eastAsia" w:cs="宋体"/>
          <w:b/>
          <w:sz w:val="28"/>
          <w:szCs w:val="28"/>
          <w:lang w:val="zh-CN"/>
        </w:rPr>
        <w:t>、服务期</w:t>
      </w:r>
    </w:p>
    <w:p w14:paraId="061FA6A1">
      <w:pPr>
        <w:spacing w:line="360" w:lineRule="auto"/>
        <w:ind w:firstLine="480" w:firstLineChars="200"/>
        <w:jc w:val="left"/>
        <w:rPr>
          <w:rFonts w:hint="eastAsia" w:cs="宋体"/>
          <w:b/>
          <w:sz w:val="28"/>
          <w:szCs w:val="28"/>
          <w:lang w:val="zh-CN"/>
        </w:rPr>
      </w:pPr>
      <w:r>
        <w:rPr>
          <w:rFonts w:ascii="宋体" w:hAnsi="宋体"/>
          <w:sz w:val="24"/>
        </w:rPr>
        <w:t>合同签订生效之日起</w:t>
      </w:r>
      <w:r>
        <w:rPr>
          <w:rFonts w:hint="eastAsia" w:ascii="宋体" w:hAnsi="宋体"/>
          <w:sz w:val="24"/>
          <w:lang w:val="en-US" w:eastAsia="zh-CN"/>
        </w:rPr>
        <w:t>三</w:t>
      </w:r>
      <w:r>
        <w:rPr>
          <w:rFonts w:hint="eastAsia" w:ascii="宋体" w:hAnsi="宋体"/>
          <w:sz w:val="24"/>
          <w:lang w:val="zh-CN"/>
        </w:rPr>
        <w:t>年。</w:t>
      </w:r>
    </w:p>
    <w:p w14:paraId="42C3870E">
      <w:pPr>
        <w:pStyle w:val="10"/>
        <w:spacing w:after="0" w:line="360" w:lineRule="auto"/>
        <w:rPr>
          <w:rFonts w:hint="eastAsia" w:cs="宋体"/>
          <w:b/>
          <w:sz w:val="28"/>
          <w:szCs w:val="28"/>
          <w:lang w:val="zh-CN"/>
        </w:rPr>
      </w:pPr>
      <w:r>
        <w:rPr>
          <w:rFonts w:hint="eastAsia" w:cs="宋体"/>
          <w:b/>
          <w:sz w:val="28"/>
          <w:szCs w:val="28"/>
          <w:lang w:val="en-US" w:eastAsia="zh-CN"/>
        </w:rPr>
        <w:t>五</w:t>
      </w:r>
      <w:r>
        <w:rPr>
          <w:rFonts w:hint="eastAsia" w:cs="宋体"/>
          <w:b/>
          <w:sz w:val="28"/>
          <w:szCs w:val="28"/>
          <w:lang w:val="zh-CN"/>
        </w:rPr>
        <w:t>、服务要求</w:t>
      </w:r>
    </w:p>
    <w:p w14:paraId="6601B378">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（一）设置运维机构 </w:t>
      </w:r>
    </w:p>
    <w:p w14:paraId="4806A159">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运营维护涉及硬件设备、应用软件系统等多方面的维护，要求运维人员具备相当的专业水准，从专业性和实际操作难度评估，要求专业运维机构进行日常维护。 </w:t>
      </w:r>
    </w:p>
    <w:p w14:paraId="31C0E635">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在设置运维机构的同时，还需要构建融合流程、人、技术的运维管理体系，实现下列运维管理目标：</w:t>
      </w:r>
    </w:p>
    <w:p w14:paraId="15107D7B">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（1） 树立面向业务服务的运维管理理念和建立科学的绩效考核指标，从粗放管理向精细管理提升； </w:t>
      </w:r>
    </w:p>
    <w:p w14:paraId="3A7FF9D7">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（2） 实行集中统一的运维管理模式，从分散管理向集中管理转变； </w:t>
      </w:r>
    </w:p>
    <w:p w14:paraId="5DAA1272">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（3） 规范运行维护管理流程，从职能管理向流程管理提升； </w:t>
      </w:r>
    </w:p>
    <w:p w14:paraId="0F759038">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（4） 应用先进科学的技术工具，从被动管理向主动管理转化。 </w:t>
      </w:r>
    </w:p>
    <w:p w14:paraId="5966FC24">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（二）运维方式 </w:t>
      </w:r>
    </w:p>
    <w:p w14:paraId="1F00D7D6">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本次项目的运维工作主要包括硬件设备、传输链路维护、应用软件维护、数据维护等方面。 </w:t>
      </w:r>
    </w:p>
    <w:p w14:paraId="076D0ABA">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（1） 硬件设备和传输链路维护 </w:t>
      </w:r>
    </w:p>
    <w:p w14:paraId="5D9D68EF">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主要包括所配置的服务器、存储、数据库、网络设备、传输链路的日常维护、安全检查、故障检测等内容。其中日常运维工作应以专职运维机构人员为主，设备技术性维护主要依靠设备厂商完成。 </w:t>
      </w:r>
    </w:p>
    <w:p w14:paraId="1F228673">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（2） 应用软件维护 </w:t>
      </w:r>
    </w:p>
    <w:p w14:paraId="0AE621A7">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主要包括系统试运行期的休整性维护以及运行过程中的适应性维护和完善性维护等内容。在应用系统保证期内，由专职运维机构负责组织软件供货商进行维护；  </w:t>
      </w:r>
    </w:p>
    <w:p w14:paraId="10F4B6DF">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（3） 数据维护 </w:t>
      </w:r>
    </w:p>
    <w:p w14:paraId="7F9BFBFD">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主要包括相关数据的定期存档、备份及恢复等内容。这部分工作主要由专职运维人员完成，设备厂家进行技术支持。 </w:t>
      </w:r>
    </w:p>
    <w:p w14:paraId="77F28528">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（三）运维服务基本要求 </w:t>
      </w:r>
    </w:p>
    <w:p w14:paraId="66DDE480">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1、服务单位应保证其提供的货物是全新、未使用过的、无缺陷的、符合国家相关标准的，或是无潜在缺陷或使用符合要求的材料。</w:t>
      </w:r>
    </w:p>
    <w:p w14:paraId="5CF8713E">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2、本项目监控前端点位、线路、供电、存储、平台等主要设备产品自项目验收合格之日起提供 3 年免费维护期。 </w:t>
      </w:r>
    </w:p>
    <w:p w14:paraId="6C982D32">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3、本项目全部采用主动运维模式。服务商需每天对平台进行巡查，一般故障必须 30 分钟响应、2 小时内处置完成（遇到自然灾害等不可抗拒事故除外）。 </w:t>
      </w:r>
    </w:p>
    <w:p w14:paraId="7A8F7029">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硬件设备不能修复的，采取提供备品、备件或备机等措施，以保证用户单位的正常使用；</w:t>
      </w:r>
    </w:p>
    <w:p w14:paraId="4A095D8B">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4、本项目涉及硬件设备、软件系统、数据库几方面。相关的要求有： </w:t>
      </w:r>
    </w:p>
    <w:p w14:paraId="4B5E366D">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（1）硬件设备检测频率每月一次； </w:t>
      </w:r>
    </w:p>
    <w:p w14:paraId="0A3C05E6">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（2）系统运行性能指标测试每周一次； </w:t>
      </w:r>
    </w:p>
    <w:p w14:paraId="3CEC6096">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（3）系统软件测试每月一次； </w:t>
      </w:r>
    </w:p>
    <w:p w14:paraId="1F0C8725">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 xml:space="preserve">（4）数据存档每周一次。 </w:t>
      </w:r>
    </w:p>
    <w:p w14:paraId="43734D52">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5、安排专门的售后服务小组提供售后服务。提供 7*24 小时，每年 365 天的最高级技术支持热线服务随时解答用户技术问题，根据故障报告内容进行电话指导。</w:t>
      </w:r>
    </w:p>
    <w:p w14:paraId="08FFF037">
      <w:pPr>
        <w:spacing w:line="360" w:lineRule="auto"/>
        <w:ind w:firstLine="480" w:firstLineChars="200"/>
        <w:jc w:val="left"/>
        <w:rPr>
          <w:rFonts w:hint="eastAsia" w:ascii="宋体" w:hAnsi="宋体"/>
          <w:color w:val="FF0000"/>
          <w:sz w:val="24"/>
          <w:lang w:val="en-US" w:eastAsia="zh-CN"/>
        </w:rPr>
      </w:pPr>
      <w:r>
        <w:rPr>
          <w:rFonts w:hint="eastAsia" w:ascii="宋体" w:hAnsi="宋体"/>
          <w:color w:val="auto"/>
          <w:sz w:val="24"/>
          <w:lang w:val="en-US" w:eastAsia="zh-CN"/>
        </w:rPr>
        <w:t xml:space="preserve">6、如遇有特别活动或重大节日须中标人协助保障时，承诺派专业的工程师进行协助。 </w:t>
      </w:r>
    </w:p>
    <w:p w14:paraId="401006C6">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7</w:t>
      </w:r>
      <w:r>
        <w:rPr>
          <w:rFonts w:hint="eastAsia" w:ascii="宋体" w:hAnsi="宋体"/>
          <w:color w:val="auto"/>
          <w:sz w:val="24"/>
          <w:lang w:val="zh-CN"/>
        </w:rPr>
        <w:t>、服务商无故不响应采购人1次或服务质量不合格，</w:t>
      </w:r>
      <w:r>
        <w:rPr>
          <w:rFonts w:hint="eastAsia" w:ascii="宋体" w:hAnsi="宋体"/>
          <w:color w:val="auto"/>
          <w:sz w:val="24"/>
          <w:lang w:val="en-US" w:eastAsia="zh-CN"/>
        </w:rPr>
        <w:t>给予警告整改处分。</w:t>
      </w:r>
      <w:r>
        <w:rPr>
          <w:rFonts w:hint="eastAsia" w:ascii="宋体" w:hAnsi="宋体"/>
          <w:color w:val="auto"/>
          <w:sz w:val="24"/>
          <w:lang w:val="zh-CN"/>
        </w:rPr>
        <w:t>无故不响应采购人</w:t>
      </w:r>
      <w:r>
        <w:rPr>
          <w:rFonts w:hint="eastAsia" w:ascii="宋体" w:hAnsi="宋体"/>
          <w:color w:val="auto"/>
          <w:sz w:val="24"/>
          <w:lang w:val="en-US" w:eastAsia="zh-CN"/>
        </w:rPr>
        <w:t>2</w:t>
      </w:r>
      <w:r>
        <w:rPr>
          <w:rFonts w:hint="eastAsia" w:ascii="宋体" w:hAnsi="宋体"/>
          <w:color w:val="auto"/>
          <w:sz w:val="24"/>
          <w:lang w:val="zh-CN"/>
        </w:rPr>
        <w:t>次</w:t>
      </w:r>
      <w:r>
        <w:rPr>
          <w:rFonts w:hint="eastAsia" w:ascii="宋体" w:hAnsi="宋体"/>
          <w:color w:val="auto"/>
          <w:sz w:val="24"/>
          <w:lang w:val="en-US" w:eastAsia="zh-CN"/>
        </w:rPr>
        <w:t>及以上</w:t>
      </w:r>
      <w:r>
        <w:rPr>
          <w:rFonts w:hint="eastAsia" w:ascii="宋体" w:hAnsi="宋体"/>
          <w:color w:val="auto"/>
          <w:sz w:val="24"/>
          <w:lang w:val="zh-CN"/>
        </w:rPr>
        <w:t>或服务质量不合格，</w:t>
      </w:r>
      <w:r>
        <w:rPr>
          <w:rFonts w:hint="eastAsia" w:ascii="宋体" w:hAnsi="宋体"/>
          <w:color w:val="auto"/>
          <w:sz w:val="24"/>
          <w:lang w:val="en-US" w:eastAsia="zh-CN"/>
        </w:rPr>
        <w:t>给予</w:t>
      </w:r>
      <w:r>
        <w:rPr>
          <w:rFonts w:hint="eastAsia" w:ascii="宋体" w:hAnsi="宋体"/>
          <w:color w:val="auto"/>
          <w:sz w:val="24"/>
          <w:lang w:val="zh-CN"/>
        </w:rPr>
        <w:t>每次扣除</w:t>
      </w:r>
      <w:r>
        <w:rPr>
          <w:rFonts w:hint="eastAsia" w:ascii="宋体" w:hAnsi="宋体"/>
          <w:color w:val="auto"/>
          <w:sz w:val="24"/>
          <w:lang w:val="en-US" w:eastAsia="zh-CN"/>
        </w:rPr>
        <w:t>1</w:t>
      </w:r>
      <w:r>
        <w:rPr>
          <w:rFonts w:hint="eastAsia" w:ascii="宋体" w:hAnsi="宋体"/>
          <w:color w:val="auto"/>
          <w:sz w:val="24"/>
          <w:lang w:val="zh-CN"/>
        </w:rPr>
        <w:t>500元。无故不响应采购人</w:t>
      </w:r>
      <w:r>
        <w:rPr>
          <w:rFonts w:hint="eastAsia" w:ascii="宋体" w:hAnsi="宋体"/>
          <w:color w:val="auto"/>
          <w:sz w:val="24"/>
          <w:lang w:val="en-US" w:eastAsia="zh-CN"/>
        </w:rPr>
        <w:t>5</w:t>
      </w:r>
      <w:r>
        <w:rPr>
          <w:rFonts w:hint="eastAsia" w:ascii="宋体" w:hAnsi="宋体"/>
          <w:color w:val="auto"/>
          <w:sz w:val="24"/>
          <w:lang w:val="zh-CN"/>
        </w:rPr>
        <w:t>次</w:t>
      </w:r>
      <w:r>
        <w:rPr>
          <w:rFonts w:hint="eastAsia" w:ascii="宋体" w:hAnsi="宋体"/>
          <w:color w:val="auto"/>
          <w:sz w:val="24"/>
          <w:lang w:val="en-US" w:eastAsia="zh-CN"/>
        </w:rPr>
        <w:t>及以上</w:t>
      </w:r>
      <w:r>
        <w:rPr>
          <w:rFonts w:hint="eastAsia" w:ascii="宋体" w:hAnsi="宋体"/>
          <w:color w:val="auto"/>
          <w:sz w:val="24"/>
          <w:lang w:val="zh-CN"/>
        </w:rPr>
        <w:t>或服务质量不合格，</w:t>
      </w:r>
      <w:r>
        <w:rPr>
          <w:rFonts w:hint="eastAsia" w:ascii="宋体" w:hAnsi="宋体"/>
          <w:color w:val="auto"/>
          <w:sz w:val="24"/>
          <w:lang w:val="en-US" w:eastAsia="zh-CN"/>
        </w:rPr>
        <w:t>给予</w:t>
      </w:r>
      <w:r>
        <w:rPr>
          <w:rFonts w:hint="eastAsia" w:ascii="宋体" w:hAnsi="宋体"/>
          <w:color w:val="auto"/>
          <w:sz w:val="24"/>
          <w:lang w:val="zh-CN"/>
        </w:rPr>
        <w:t>每次扣除5</w:t>
      </w:r>
      <w:r>
        <w:rPr>
          <w:rFonts w:hint="eastAsia" w:ascii="宋体" w:hAnsi="宋体"/>
          <w:color w:val="auto"/>
          <w:sz w:val="24"/>
          <w:lang w:val="en-US" w:eastAsia="zh-CN"/>
        </w:rPr>
        <w:t>0</w:t>
      </w:r>
      <w:r>
        <w:rPr>
          <w:rFonts w:hint="eastAsia" w:ascii="宋体" w:hAnsi="宋体"/>
          <w:color w:val="auto"/>
          <w:sz w:val="24"/>
          <w:lang w:val="zh-CN"/>
        </w:rPr>
        <w:t>00元。</w:t>
      </w:r>
      <w:r>
        <w:rPr>
          <w:rFonts w:hint="eastAsia" w:ascii="宋体" w:hAnsi="宋体"/>
          <w:color w:val="auto"/>
          <w:sz w:val="24"/>
          <w:lang w:val="en-US" w:eastAsia="zh-CN"/>
        </w:rPr>
        <w:t>以上次数累计周期为一年，当年扣除金额在支付当年合同款时予以扣除。</w:t>
      </w:r>
    </w:p>
    <w:p w14:paraId="42AB7DB3">
      <w:pPr>
        <w:spacing w:line="360" w:lineRule="auto"/>
        <w:ind w:firstLine="480" w:firstLineChars="200"/>
        <w:jc w:val="left"/>
        <w:rPr>
          <w:rFonts w:hint="default" w:ascii="宋体" w:hAnsi="宋体"/>
          <w:color w:val="auto"/>
          <w:sz w:val="24"/>
          <w:lang w:val="en-US" w:eastAsia="zh-CN"/>
        </w:rPr>
      </w:pPr>
      <w:r>
        <w:rPr>
          <w:rFonts w:hint="eastAsia" w:ascii="宋体" w:hAnsi="宋体"/>
          <w:color w:val="auto"/>
          <w:sz w:val="24"/>
          <w:lang w:val="en-US" w:eastAsia="zh-CN"/>
        </w:rPr>
        <w:t>8、运维过程中若被省、市、县或其他相关部门通报的一次扣3000元，不及时按照采购人要求整改的一次扣5000元。以上次数累计周期为一年，当年扣除金额在支付当年合同款时予以扣除。</w:t>
      </w:r>
    </w:p>
    <w:p w14:paraId="33538671">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9、如因选址问题或遇特殊情况，中标单位承诺给予采购人免费移机（移机总数不超5%）。</w:t>
      </w:r>
    </w:p>
    <w:p w14:paraId="4A3E408B">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10、若所涉及视频点位所在的工程地需进行除险加固等原因的，中标人应无条件免费配合采购人对设备进行拆除及恢复的工作。</w:t>
      </w:r>
    </w:p>
    <w:p w14:paraId="4B3E5A59">
      <w:pPr>
        <w:spacing w:line="360" w:lineRule="auto"/>
        <w:ind w:firstLine="480" w:firstLineChars="200"/>
        <w:jc w:val="left"/>
        <w:rPr>
          <w:rFonts w:hint="default" w:ascii="宋体" w:hAnsi="宋体"/>
          <w:color w:val="auto"/>
          <w:sz w:val="24"/>
          <w:lang w:val="en-US"/>
        </w:rPr>
      </w:pPr>
      <w:r>
        <w:rPr>
          <w:rFonts w:hint="eastAsia" w:ascii="宋体" w:hAnsi="宋体"/>
          <w:color w:val="auto"/>
          <w:sz w:val="24"/>
          <w:lang w:val="en-US" w:eastAsia="zh-CN"/>
        </w:rPr>
        <w:t>11、采购人各类应急任务，如重大活动保卫、各级应急演练、重大案事件等活动的保障，包含前后端设备调试、检查、清洁等，应即时响应，1小时内到达现场。</w:t>
      </w:r>
    </w:p>
    <w:p w14:paraId="75A66FE4">
      <w:pPr>
        <w:pStyle w:val="10"/>
        <w:spacing w:after="0" w:line="360" w:lineRule="auto"/>
        <w:rPr>
          <w:rFonts w:hint="eastAsia" w:cs="宋体"/>
          <w:b/>
          <w:sz w:val="28"/>
          <w:szCs w:val="28"/>
          <w:lang w:val="en-US" w:eastAsia="zh-CN"/>
        </w:rPr>
      </w:pPr>
      <w:r>
        <w:rPr>
          <w:rFonts w:hint="eastAsia" w:cs="宋体"/>
          <w:b/>
          <w:sz w:val="28"/>
          <w:szCs w:val="28"/>
          <w:lang w:val="en-US" w:eastAsia="zh-CN"/>
        </w:rPr>
        <w:t>六、商务条款</w:t>
      </w:r>
    </w:p>
    <w:p w14:paraId="5DE13C41">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sz w:val="24"/>
          <w:szCs w:val="24"/>
        </w:rPr>
        <w:t>1、</w:t>
      </w:r>
      <w:r>
        <w:rPr>
          <w:rFonts w:hint="eastAsia" w:ascii="宋体" w:hAnsi="宋体" w:cs="宋体"/>
          <w:bCs/>
          <w:color w:val="000000"/>
          <w:sz w:val="24"/>
          <w:szCs w:val="24"/>
        </w:rPr>
        <w:t>报价范围包括：产品购置费、运输费、安装调试费、辅料费、光纤使用或租赁费、技术、售后服务、质保及后期维护费用、招标代理服务费和税金等一切费用，即供应商所投报的投标报价为供应商所能承受的整个项目的一次性最终最低报价，如有漏项，视同已包含在其它项目中，合同总价和综合单价不做调整。</w:t>
      </w:r>
    </w:p>
    <w:p w14:paraId="77EA3934">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lang w:val="en-US" w:eastAsia="zh-CN"/>
        </w:rPr>
        <w:t>2、</w:t>
      </w:r>
      <w:r>
        <w:rPr>
          <w:rFonts w:hint="eastAsia" w:ascii="宋体" w:hAnsi="宋体" w:cs="宋体"/>
          <w:bCs/>
          <w:color w:val="000000"/>
          <w:sz w:val="24"/>
          <w:szCs w:val="24"/>
        </w:rPr>
        <w:t>本项目中标方管理服务包含跟本项目有关的一切费用和协调事项，中标后，不得以不了解采购文件、施工现场和周围环境等情况为借口，而提出额外补偿等要求。</w:t>
      </w:r>
    </w:p>
    <w:p w14:paraId="3C3F50F1">
      <w:pPr>
        <w:adjustRightInd w:val="0"/>
        <w:snapToGrid w:val="0"/>
        <w:spacing w:line="360" w:lineRule="auto"/>
        <w:ind w:firstLine="480" w:firstLineChars="200"/>
        <w:rPr>
          <w:rFonts w:hint="eastAsia"/>
          <w:lang w:val="zh-CN"/>
        </w:rPr>
      </w:pPr>
      <w:r>
        <w:rPr>
          <w:rFonts w:hint="eastAsia" w:ascii="宋体" w:hAnsi="宋体" w:cs="宋体"/>
          <w:sz w:val="24"/>
          <w:szCs w:val="24"/>
          <w:lang w:val="en-US" w:eastAsia="zh-CN"/>
        </w:rPr>
        <w:t>3、</w:t>
      </w:r>
      <w:r>
        <w:rPr>
          <w:rFonts w:hint="eastAsia" w:ascii="宋体" w:hAnsi="宋体" w:cs="宋体"/>
          <w:sz w:val="24"/>
          <w:szCs w:val="24"/>
        </w:rPr>
        <w:t>完工期：中标供应商收到中标通知书并签订合同后</w:t>
      </w:r>
      <w:r>
        <w:rPr>
          <w:rFonts w:hint="eastAsia" w:ascii="宋体" w:hAnsi="宋体" w:cs="宋体"/>
          <w:b w:val="0"/>
          <w:bCs w:val="0"/>
          <w:color w:val="auto"/>
          <w:sz w:val="24"/>
          <w:szCs w:val="24"/>
          <w:highlight w:val="none"/>
          <w:lang w:val="en-US" w:eastAsia="zh-CN"/>
        </w:rPr>
        <w:t>30</w:t>
      </w:r>
      <w:r>
        <w:rPr>
          <w:rFonts w:hint="eastAsia" w:ascii="宋体" w:hAnsi="宋体" w:cs="宋体"/>
          <w:b w:val="0"/>
          <w:bCs w:val="0"/>
          <w:color w:val="auto"/>
          <w:sz w:val="24"/>
          <w:szCs w:val="24"/>
          <w:highlight w:val="none"/>
        </w:rPr>
        <w:t>日内</w:t>
      </w:r>
      <w:r>
        <w:rPr>
          <w:rFonts w:hint="eastAsia" w:ascii="宋体" w:hAnsi="宋体" w:cs="宋体"/>
          <w:sz w:val="24"/>
          <w:szCs w:val="24"/>
        </w:rPr>
        <w:t>完成本项目安装调试并接</w:t>
      </w:r>
      <w:r>
        <w:rPr>
          <w:rFonts w:hint="eastAsia" w:ascii="宋体" w:hAnsi="宋体" w:cs="宋体"/>
          <w:sz w:val="24"/>
          <w:szCs w:val="24"/>
          <w:lang w:val="en-US" w:eastAsia="zh-CN"/>
        </w:rPr>
        <w:t>市</w:t>
      </w:r>
      <w:r>
        <w:rPr>
          <w:rFonts w:hint="eastAsia" w:ascii="宋体" w:hAnsi="宋体" w:cs="宋体"/>
          <w:sz w:val="24"/>
          <w:szCs w:val="24"/>
        </w:rPr>
        <w:t>局平台。</w:t>
      </w:r>
    </w:p>
    <w:p w14:paraId="195E60F3">
      <w:pPr>
        <w:pStyle w:val="10"/>
        <w:spacing w:after="0" w:line="360" w:lineRule="auto"/>
        <w:rPr>
          <w:rFonts w:hint="eastAsia" w:cs="宋体"/>
          <w:b/>
          <w:sz w:val="28"/>
          <w:szCs w:val="28"/>
        </w:rPr>
      </w:pPr>
      <w:r>
        <w:rPr>
          <w:rFonts w:hint="eastAsia" w:cs="宋体"/>
          <w:b/>
          <w:sz w:val="28"/>
          <w:szCs w:val="28"/>
          <w:lang w:val="en-US" w:eastAsia="zh-CN"/>
        </w:rPr>
        <w:t>七</w:t>
      </w:r>
      <w:r>
        <w:rPr>
          <w:rFonts w:hint="eastAsia" w:cs="宋体"/>
          <w:b/>
          <w:sz w:val="28"/>
          <w:szCs w:val="28"/>
          <w:lang w:val="zh-CN"/>
        </w:rPr>
        <w:t>、付款方式</w:t>
      </w:r>
    </w:p>
    <w:p w14:paraId="11FD7AA0">
      <w:pPr>
        <w:adjustRightInd w:val="0"/>
        <w:snapToGrid w:val="0"/>
        <w:spacing w:line="360" w:lineRule="auto"/>
        <w:ind w:firstLine="480" w:firstLineChars="200"/>
        <w:rPr>
          <w:rFonts w:hint="eastAsia"/>
          <w:sz w:val="24"/>
          <w:szCs w:val="24"/>
        </w:rPr>
      </w:pPr>
      <w:r>
        <w:rPr>
          <w:rFonts w:hint="eastAsia"/>
          <w:sz w:val="24"/>
          <w:szCs w:val="24"/>
          <w:lang w:val="zh-CN"/>
        </w:rPr>
        <w:t xml:space="preserve"> 本项目不支付预付款，待</w:t>
      </w:r>
      <w:r>
        <w:rPr>
          <w:rFonts w:hint="eastAsia"/>
          <w:sz w:val="24"/>
          <w:szCs w:val="24"/>
        </w:rPr>
        <w:t>所有设备安装调试完成，由采购人项目验收合格后支付</w:t>
      </w:r>
      <w:r>
        <w:rPr>
          <w:rFonts w:hint="eastAsia"/>
          <w:sz w:val="24"/>
          <w:szCs w:val="24"/>
          <w:lang w:eastAsia="zh-CN"/>
        </w:rPr>
        <w:t>第一年费用</w:t>
      </w:r>
      <w:r>
        <w:rPr>
          <w:rFonts w:hint="eastAsia"/>
          <w:sz w:val="24"/>
          <w:szCs w:val="24"/>
          <w:lang w:val="en-US" w:eastAsia="zh-CN"/>
        </w:rPr>
        <w:t>12.9万元</w:t>
      </w:r>
      <w:r>
        <w:rPr>
          <w:rFonts w:hint="eastAsia"/>
          <w:sz w:val="24"/>
          <w:szCs w:val="24"/>
        </w:rPr>
        <w:t>；</w:t>
      </w:r>
      <w:r>
        <w:rPr>
          <w:rFonts w:hint="eastAsia"/>
          <w:sz w:val="24"/>
          <w:szCs w:val="24"/>
          <w:lang w:val="en-US" w:eastAsia="zh-CN"/>
        </w:rPr>
        <w:t>服务期满两年后10个工作日内</w:t>
      </w:r>
      <w:r>
        <w:rPr>
          <w:rFonts w:hint="eastAsia"/>
          <w:sz w:val="24"/>
          <w:szCs w:val="24"/>
        </w:rPr>
        <w:t>支付</w:t>
      </w:r>
      <w:r>
        <w:rPr>
          <w:rFonts w:hint="eastAsia"/>
          <w:sz w:val="24"/>
          <w:szCs w:val="24"/>
          <w:lang w:val="en-US" w:eastAsia="zh-CN"/>
        </w:rPr>
        <w:t>合</w:t>
      </w:r>
      <w:r>
        <w:rPr>
          <w:rFonts w:hint="eastAsia"/>
          <w:sz w:val="24"/>
          <w:szCs w:val="24"/>
        </w:rPr>
        <w:t>同价款的</w:t>
      </w:r>
      <w:r>
        <w:rPr>
          <w:rFonts w:hint="eastAsia"/>
          <w:sz w:val="24"/>
          <w:szCs w:val="24"/>
          <w:lang w:val="en-US" w:eastAsia="zh-CN"/>
        </w:rPr>
        <w:t>40</w:t>
      </w:r>
      <w:r>
        <w:rPr>
          <w:rFonts w:hint="eastAsia"/>
          <w:sz w:val="24"/>
          <w:szCs w:val="24"/>
        </w:rPr>
        <w:t>%</w:t>
      </w:r>
      <w:r>
        <w:rPr>
          <w:rFonts w:hint="eastAsia"/>
          <w:sz w:val="24"/>
          <w:szCs w:val="24"/>
          <w:lang w:eastAsia="zh-CN"/>
        </w:rPr>
        <w:t>，</w:t>
      </w:r>
      <w:r>
        <w:rPr>
          <w:rFonts w:hint="eastAsia"/>
          <w:sz w:val="24"/>
          <w:szCs w:val="24"/>
          <w:lang w:val="en-US" w:eastAsia="zh-CN"/>
        </w:rPr>
        <w:t>服务期满三年后10个工作日内</w:t>
      </w:r>
      <w:r>
        <w:rPr>
          <w:rFonts w:hint="eastAsia"/>
          <w:sz w:val="24"/>
          <w:szCs w:val="24"/>
        </w:rPr>
        <w:t>支付</w:t>
      </w:r>
      <w:r>
        <w:rPr>
          <w:rFonts w:hint="eastAsia"/>
          <w:sz w:val="24"/>
          <w:szCs w:val="24"/>
          <w:lang w:val="en-US" w:eastAsia="zh-CN"/>
        </w:rPr>
        <w:t>剩余</w:t>
      </w:r>
      <w:r>
        <w:rPr>
          <w:rFonts w:hint="eastAsia"/>
          <w:sz w:val="24"/>
          <w:szCs w:val="24"/>
        </w:rPr>
        <w:t>价款。</w:t>
      </w:r>
      <w:r>
        <w:rPr>
          <w:rFonts w:hint="eastAsia"/>
          <w:sz w:val="24"/>
          <w:szCs w:val="24"/>
          <w:lang w:eastAsia="zh-CN"/>
        </w:rPr>
        <w:t>（</w:t>
      </w:r>
      <w:r>
        <w:rPr>
          <w:rFonts w:hint="eastAsia"/>
          <w:sz w:val="24"/>
          <w:szCs w:val="24"/>
          <w:lang w:val="en-US" w:eastAsia="zh-CN"/>
        </w:rPr>
        <w:t>如因服务质量不合格等原因的扣除款在支付当年合同款时予以扣除）。</w:t>
      </w:r>
    </w:p>
    <w:p w14:paraId="08D007F8">
      <w:pPr>
        <w:snapToGrid w:val="0"/>
        <w:spacing w:line="360" w:lineRule="auto"/>
        <w:jc w:val="center"/>
        <w:rPr>
          <w:rFonts w:hint="eastAsia" w:ascii="宋体" w:hAnsi="宋体" w:cs="宋体"/>
          <w:b/>
          <w:sz w:val="36"/>
          <w:szCs w:val="36"/>
        </w:rPr>
      </w:pPr>
      <w:r>
        <w:rPr>
          <w:rFonts w:hint="eastAsia" w:ascii="宋体" w:hAnsi="宋体" w:cs="宋体"/>
          <w:b/>
          <w:sz w:val="24"/>
        </w:rPr>
        <w:br w:type="page"/>
      </w:r>
    </w:p>
    <w:p w14:paraId="289E42B1">
      <w:pPr>
        <w:snapToGrid w:val="0"/>
        <w:spacing w:line="360" w:lineRule="auto"/>
        <w:jc w:val="center"/>
        <w:rPr>
          <w:rFonts w:hint="eastAsia" w:ascii="宋体" w:hAnsi="宋体" w:cs="宋体"/>
          <w:b/>
          <w:sz w:val="36"/>
          <w:szCs w:val="36"/>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1014618C">
      <w:pPr>
        <w:pStyle w:val="12"/>
        <w:rPr>
          <w:rFonts w:hint="eastAsia"/>
        </w:rPr>
      </w:pPr>
    </w:p>
    <w:p w14:paraId="6049CD1D">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3" w:name="_Toc184312095"/>
      <w:bookmarkEnd w:id="33"/>
      <w:bookmarkStart w:id="34" w:name="_Toc184312121"/>
      <w:bookmarkEnd w:id="34"/>
      <w:bookmarkStart w:id="35" w:name="_Toc184310273"/>
      <w:bookmarkEnd w:id="35"/>
      <w:bookmarkStart w:id="36" w:name="_Toc184312081"/>
      <w:bookmarkEnd w:id="36"/>
      <w:bookmarkStart w:id="37" w:name="_Toc184313260"/>
      <w:bookmarkEnd w:id="37"/>
      <w:bookmarkStart w:id="38" w:name="_Toc184314419"/>
      <w:bookmarkEnd w:id="38"/>
      <w:bookmarkStart w:id="39" w:name="_Toc184314434"/>
      <w:bookmarkEnd w:id="39"/>
      <w:bookmarkStart w:id="40" w:name="_Toc184313259"/>
      <w:bookmarkEnd w:id="40"/>
      <w:bookmarkStart w:id="41" w:name="_Toc184313299"/>
      <w:bookmarkEnd w:id="41"/>
      <w:bookmarkStart w:id="42" w:name="_Toc184310343"/>
      <w:bookmarkEnd w:id="42"/>
      <w:bookmarkStart w:id="43" w:name="_Toc184312096"/>
      <w:bookmarkEnd w:id="43"/>
      <w:bookmarkStart w:id="44" w:name="_Toc184314482"/>
      <w:bookmarkEnd w:id="44"/>
      <w:bookmarkStart w:id="45" w:name="_Toc184308083"/>
      <w:bookmarkEnd w:id="45"/>
      <w:bookmarkStart w:id="46" w:name="_Toc184313293"/>
      <w:bookmarkEnd w:id="46"/>
      <w:bookmarkStart w:id="47" w:name="_Toc184313292"/>
      <w:bookmarkEnd w:id="47"/>
      <w:bookmarkStart w:id="48" w:name="_Toc184308042"/>
      <w:bookmarkEnd w:id="48"/>
      <w:bookmarkStart w:id="49" w:name="_Toc184308051"/>
      <w:bookmarkEnd w:id="49"/>
      <w:bookmarkStart w:id="50" w:name="_Toc184314445"/>
      <w:bookmarkEnd w:id="50"/>
      <w:bookmarkStart w:id="51" w:name="_Toc184308091"/>
      <w:bookmarkEnd w:id="51"/>
      <w:bookmarkStart w:id="52" w:name="_Toc184312068"/>
      <w:bookmarkEnd w:id="52"/>
      <w:bookmarkStart w:id="53" w:name="_Toc184314427"/>
      <w:bookmarkEnd w:id="53"/>
      <w:bookmarkStart w:id="54" w:name="_Toc184313298"/>
      <w:bookmarkEnd w:id="54"/>
      <w:bookmarkStart w:id="55" w:name="_Toc184310328"/>
      <w:bookmarkEnd w:id="55"/>
      <w:bookmarkStart w:id="56" w:name="_Toc184308099"/>
      <w:bookmarkEnd w:id="56"/>
      <w:bookmarkStart w:id="57" w:name="_Toc184312087"/>
      <w:bookmarkEnd w:id="57"/>
      <w:bookmarkStart w:id="58" w:name="_Toc184313273"/>
      <w:bookmarkEnd w:id="58"/>
      <w:bookmarkStart w:id="59" w:name="_Toc184308079"/>
      <w:bookmarkEnd w:id="59"/>
      <w:bookmarkStart w:id="60" w:name="_Toc184314464"/>
      <w:bookmarkEnd w:id="60"/>
      <w:bookmarkStart w:id="61" w:name="_Toc184308081"/>
      <w:bookmarkEnd w:id="61"/>
      <w:bookmarkStart w:id="62" w:name="_Toc184313238"/>
      <w:bookmarkEnd w:id="62"/>
      <w:bookmarkStart w:id="63" w:name="_Toc184313240"/>
      <w:bookmarkEnd w:id="63"/>
      <w:bookmarkStart w:id="64" w:name="_Toc184314446"/>
      <w:bookmarkEnd w:id="64"/>
      <w:bookmarkStart w:id="65" w:name="_Toc184314418"/>
      <w:bookmarkEnd w:id="65"/>
      <w:bookmarkStart w:id="66" w:name="_Toc184308096"/>
      <w:bookmarkEnd w:id="66"/>
      <w:bookmarkStart w:id="67" w:name="_Toc184313266"/>
      <w:bookmarkEnd w:id="67"/>
      <w:bookmarkStart w:id="68" w:name="_Toc184314454"/>
      <w:bookmarkEnd w:id="68"/>
      <w:bookmarkStart w:id="69" w:name="_Toc184314468"/>
      <w:bookmarkEnd w:id="69"/>
      <w:bookmarkStart w:id="70" w:name="_Toc184314448"/>
      <w:bookmarkEnd w:id="70"/>
      <w:bookmarkStart w:id="71" w:name="_Toc184308056"/>
      <w:bookmarkEnd w:id="71"/>
      <w:bookmarkStart w:id="72" w:name="_Toc184313288"/>
      <w:bookmarkEnd w:id="72"/>
      <w:bookmarkStart w:id="73" w:name="_Toc184310333"/>
      <w:bookmarkEnd w:id="73"/>
      <w:bookmarkStart w:id="74" w:name="_Toc184308080"/>
      <w:bookmarkEnd w:id="74"/>
      <w:bookmarkStart w:id="75" w:name="_Toc184310330"/>
      <w:bookmarkEnd w:id="75"/>
      <w:bookmarkStart w:id="76" w:name="_Toc184312101"/>
      <w:bookmarkEnd w:id="76"/>
      <w:bookmarkStart w:id="77" w:name="_Toc184310338"/>
      <w:bookmarkEnd w:id="77"/>
      <w:bookmarkStart w:id="78" w:name="_Toc184308058"/>
      <w:bookmarkEnd w:id="78"/>
      <w:bookmarkStart w:id="79" w:name="_Toc184314428"/>
      <w:bookmarkEnd w:id="79"/>
      <w:bookmarkStart w:id="80" w:name="_Toc184312115"/>
      <w:bookmarkEnd w:id="80"/>
      <w:bookmarkStart w:id="81" w:name="_Toc184314473"/>
      <w:bookmarkEnd w:id="81"/>
      <w:bookmarkStart w:id="82" w:name="_Toc184308090"/>
      <w:bookmarkEnd w:id="82"/>
      <w:bookmarkStart w:id="83" w:name="_Toc184314443"/>
      <w:bookmarkEnd w:id="83"/>
      <w:bookmarkStart w:id="84" w:name="_Toc184313286"/>
      <w:bookmarkEnd w:id="84"/>
      <w:bookmarkStart w:id="85" w:name="_Toc184314462"/>
      <w:bookmarkEnd w:id="85"/>
      <w:bookmarkStart w:id="86" w:name="_Toc184308038"/>
      <w:bookmarkEnd w:id="86"/>
      <w:bookmarkStart w:id="87" w:name="_Toc184312070"/>
      <w:bookmarkEnd w:id="87"/>
      <w:bookmarkStart w:id="88" w:name="_Toc184308067"/>
      <w:bookmarkEnd w:id="88"/>
      <w:bookmarkStart w:id="89" w:name="_Toc184314470"/>
      <w:bookmarkEnd w:id="89"/>
      <w:bookmarkStart w:id="90" w:name="_Toc184310278"/>
      <w:bookmarkEnd w:id="90"/>
      <w:bookmarkStart w:id="91" w:name="_Toc184310311"/>
      <w:bookmarkEnd w:id="91"/>
      <w:bookmarkStart w:id="92" w:name="_Toc184310277"/>
      <w:bookmarkEnd w:id="92"/>
      <w:bookmarkStart w:id="93" w:name="_Toc184308060"/>
      <w:bookmarkEnd w:id="93"/>
      <w:bookmarkStart w:id="94" w:name="_Toc184314421"/>
      <w:bookmarkEnd w:id="94"/>
      <w:bookmarkStart w:id="95" w:name="_Toc184312134"/>
      <w:bookmarkEnd w:id="95"/>
      <w:bookmarkStart w:id="96" w:name="_Toc184312137"/>
      <w:bookmarkEnd w:id="96"/>
      <w:bookmarkStart w:id="97" w:name="_Toc184314459"/>
      <w:bookmarkEnd w:id="97"/>
      <w:bookmarkStart w:id="98" w:name="_Toc184310307"/>
      <w:bookmarkEnd w:id="98"/>
      <w:bookmarkStart w:id="99" w:name="_Toc184312102"/>
      <w:bookmarkEnd w:id="99"/>
      <w:bookmarkStart w:id="100" w:name="_Toc184310331"/>
      <w:bookmarkEnd w:id="100"/>
      <w:bookmarkStart w:id="101" w:name="_Toc184314436"/>
      <w:bookmarkEnd w:id="101"/>
      <w:bookmarkStart w:id="102" w:name="_Toc184308075"/>
      <w:bookmarkEnd w:id="102"/>
      <w:bookmarkStart w:id="103" w:name="_Toc184314430"/>
      <w:bookmarkEnd w:id="103"/>
      <w:bookmarkStart w:id="104" w:name="_Toc184312131"/>
      <w:bookmarkEnd w:id="104"/>
      <w:bookmarkStart w:id="105" w:name="_Toc184313263"/>
      <w:bookmarkEnd w:id="105"/>
      <w:bookmarkStart w:id="106" w:name="_Toc184312080"/>
      <w:bookmarkEnd w:id="106"/>
      <w:bookmarkStart w:id="107" w:name="_Toc184308071"/>
      <w:bookmarkEnd w:id="107"/>
      <w:bookmarkStart w:id="108" w:name="_Toc184314441"/>
      <w:bookmarkEnd w:id="108"/>
      <w:bookmarkStart w:id="109" w:name="_Toc184308105"/>
      <w:bookmarkEnd w:id="109"/>
      <w:bookmarkStart w:id="110" w:name="_Toc184314460"/>
      <w:bookmarkEnd w:id="110"/>
      <w:bookmarkStart w:id="111" w:name="_Toc184313271"/>
      <w:bookmarkEnd w:id="111"/>
      <w:bookmarkStart w:id="112" w:name="_Toc184313283"/>
      <w:bookmarkEnd w:id="112"/>
      <w:bookmarkStart w:id="113" w:name="_Toc184313265"/>
      <w:bookmarkEnd w:id="113"/>
      <w:bookmarkStart w:id="114" w:name="_Toc184313296"/>
      <w:bookmarkEnd w:id="114"/>
      <w:bookmarkStart w:id="115" w:name="_Toc184310322"/>
      <w:bookmarkEnd w:id="115"/>
      <w:bookmarkStart w:id="116" w:name="_Toc184310286"/>
      <w:bookmarkEnd w:id="116"/>
      <w:bookmarkStart w:id="117" w:name="_Toc184312119"/>
      <w:bookmarkEnd w:id="117"/>
      <w:bookmarkStart w:id="118" w:name="_Toc184312082"/>
      <w:bookmarkEnd w:id="118"/>
      <w:bookmarkStart w:id="119" w:name="_Toc184308064"/>
      <w:bookmarkEnd w:id="119"/>
      <w:bookmarkStart w:id="120" w:name="_Toc184313282"/>
      <w:bookmarkEnd w:id="120"/>
      <w:bookmarkStart w:id="121" w:name="_Toc184314457"/>
      <w:bookmarkEnd w:id="121"/>
      <w:bookmarkStart w:id="122" w:name="_Toc184308097"/>
      <w:bookmarkEnd w:id="122"/>
      <w:bookmarkStart w:id="123" w:name="_Toc184314479"/>
      <w:bookmarkEnd w:id="123"/>
      <w:bookmarkStart w:id="124" w:name="_Toc184310318"/>
      <w:bookmarkEnd w:id="124"/>
      <w:bookmarkStart w:id="125" w:name="_Toc184312127"/>
      <w:bookmarkEnd w:id="125"/>
      <w:bookmarkStart w:id="126" w:name="_Toc184314440"/>
      <w:bookmarkEnd w:id="126"/>
      <w:bookmarkStart w:id="127" w:name="_Toc184308073"/>
      <w:bookmarkEnd w:id="127"/>
      <w:bookmarkStart w:id="128" w:name="_Toc184308085"/>
      <w:bookmarkEnd w:id="128"/>
      <w:bookmarkStart w:id="129" w:name="_Toc184310299"/>
      <w:bookmarkEnd w:id="129"/>
      <w:bookmarkStart w:id="130" w:name="_Toc184313239"/>
      <w:bookmarkEnd w:id="130"/>
      <w:bookmarkStart w:id="131" w:name="_Toc184312133"/>
      <w:bookmarkEnd w:id="131"/>
      <w:bookmarkStart w:id="132" w:name="_Toc184314417"/>
      <w:bookmarkEnd w:id="132"/>
      <w:bookmarkStart w:id="133" w:name="_Toc184310298"/>
      <w:bookmarkEnd w:id="133"/>
      <w:bookmarkStart w:id="134" w:name="_Toc184312092"/>
      <w:bookmarkEnd w:id="134"/>
      <w:bookmarkStart w:id="135" w:name="_Toc184314439"/>
      <w:bookmarkEnd w:id="135"/>
      <w:bookmarkStart w:id="136" w:name="_Toc184312077"/>
      <w:bookmarkEnd w:id="136"/>
      <w:bookmarkStart w:id="137" w:name="_Toc184313251"/>
      <w:bookmarkEnd w:id="137"/>
      <w:bookmarkStart w:id="138" w:name="_Toc184313249"/>
      <w:bookmarkEnd w:id="138"/>
      <w:bookmarkStart w:id="139" w:name="_Toc184310314"/>
      <w:bookmarkEnd w:id="139"/>
      <w:bookmarkStart w:id="140" w:name="_Toc184312135"/>
      <w:bookmarkEnd w:id="140"/>
      <w:bookmarkStart w:id="141" w:name="_Toc184312110"/>
      <w:bookmarkEnd w:id="141"/>
      <w:bookmarkStart w:id="142" w:name="_Toc184310312"/>
      <w:bookmarkEnd w:id="142"/>
      <w:bookmarkStart w:id="143" w:name="_Toc184313306"/>
      <w:bookmarkEnd w:id="143"/>
      <w:bookmarkStart w:id="144" w:name="_Toc184313257"/>
      <w:bookmarkEnd w:id="144"/>
      <w:bookmarkStart w:id="145" w:name="_Toc184310313"/>
      <w:bookmarkEnd w:id="145"/>
      <w:bookmarkStart w:id="146" w:name="_Toc184310334"/>
      <w:bookmarkEnd w:id="146"/>
      <w:bookmarkStart w:id="147" w:name="_Toc184313295"/>
      <w:bookmarkEnd w:id="147"/>
      <w:bookmarkStart w:id="148" w:name="_Toc184313277"/>
      <w:bookmarkEnd w:id="148"/>
      <w:bookmarkStart w:id="149" w:name="_Toc184313290"/>
      <w:bookmarkEnd w:id="149"/>
      <w:bookmarkStart w:id="150" w:name="_Toc184308069"/>
      <w:bookmarkEnd w:id="150"/>
      <w:bookmarkStart w:id="151" w:name="_Toc184314453"/>
      <w:bookmarkEnd w:id="151"/>
      <w:bookmarkStart w:id="152" w:name="_Toc184313269"/>
      <w:bookmarkEnd w:id="152"/>
      <w:bookmarkStart w:id="153" w:name="_Toc184313284"/>
      <w:bookmarkEnd w:id="153"/>
      <w:bookmarkStart w:id="154" w:name="_Toc184308088"/>
      <w:bookmarkEnd w:id="154"/>
      <w:bookmarkStart w:id="155" w:name="_Toc184310289"/>
      <w:bookmarkEnd w:id="155"/>
      <w:bookmarkStart w:id="156" w:name="_Toc184314452"/>
      <w:bookmarkEnd w:id="156"/>
      <w:bookmarkStart w:id="157" w:name="_Toc184314410"/>
      <w:bookmarkEnd w:id="157"/>
      <w:bookmarkStart w:id="158" w:name="_Toc184308070"/>
      <w:bookmarkEnd w:id="158"/>
      <w:bookmarkStart w:id="159" w:name="_Toc184312069"/>
      <w:bookmarkEnd w:id="159"/>
      <w:bookmarkStart w:id="160" w:name="_Toc184312128"/>
      <w:bookmarkEnd w:id="160"/>
      <w:bookmarkStart w:id="161" w:name="_Toc184314455"/>
      <w:bookmarkEnd w:id="161"/>
      <w:bookmarkStart w:id="162" w:name="_Toc184308074"/>
      <w:bookmarkEnd w:id="162"/>
      <w:bookmarkStart w:id="163" w:name="_Toc184310281"/>
      <w:bookmarkEnd w:id="163"/>
      <w:bookmarkStart w:id="164" w:name="_Toc184310293"/>
      <w:bookmarkEnd w:id="164"/>
      <w:bookmarkStart w:id="165" w:name="_Toc184312088"/>
      <w:bookmarkEnd w:id="165"/>
      <w:bookmarkStart w:id="166" w:name="_Toc184310339"/>
      <w:bookmarkEnd w:id="166"/>
      <w:bookmarkStart w:id="167" w:name="_Toc184312104"/>
      <w:bookmarkEnd w:id="167"/>
      <w:bookmarkStart w:id="168" w:name="_Toc184313246"/>
      <w:bookmarkEnd w:id="168"/>
      <w:bookmarkStart w:id="169" w:name="_Toc184312125"/>
      <w:bookmarkEnd w:id="169"/>
      <w:bookmarkStart w:id="170" w:name="_Toc184314450"/>
      <w:bookmarkEnd w:id="170"/>
      <w:bookmarkStart w:id="171" w:name="_Toc184310272"/>
      <w:bookmarkEnd w:id="171"/>
      <w:bookmarkStart w:id="172" w:name="_Toc184312085"/>
      <w:bookmarkEnd w:id="172"/>
      <w:bookmarkStart w:id="173" w:name="_Toc184308057"/>
      <w:bookmarkEnd w:id="173"/>
      <w:bookmarkStart w:id="174" w:name="_Toc184310276"/>
      <w:bookmarkEnd w:id="174"/>
      <w:bookmarkStart w:id="175" w:name="_Toc184308037"/>
      <w:bookmarkEnd w:id="175"/>
      <w:bookmarkStart w:id="176" w:name="_Toc184314465"/>
      <w:bookmarkEnd w:id="176"/>
      <w:bookmarkStart w:id="177" w:name="_Toc184310288"/>
      <w:bookmarkEnd w:id="177"/>
      <w:bookmarkStart w:id="178" w:name="_Toc184312072"/>
      <w:bookmarkEnd w:id="178"/>
      <w:bookmarkStart w:id="179" w:name="_Toc184313255"/>
      <w:bookmarkEnd w:id="179"/>
      <w:bookmarkStart w:id="180" w:name="_Toc184310292"/>
      <w:bookmarkEnd w:id="180"/>
      <w:bookmarkStart w:id="181" w:name="_Toc184310310"/>
      <w:bookmarkEnd w:id="181"/>
      <w:bookmarkStart w:id="182" w:name="_Toc184314466"/>
      <w:bookmarkEnd w:id="182"/>
      <w:bookmarkStart w:id="183" w:name="_Toc184312097"/>
      <w:bookmarkEnd w:id="183"/>
      <w:bookmarkStart w:id="184" w:name="_Toc184308063"/>
      <w:bookmarkEnd w:id="184"/>
      <w:bookmarkStart w:id="185" w:name="_Toc184314475"/>
      <w:bookmarkEnd w:id="185"/>
      <w:bookmarkStart w:id="186" w:name="_Toc184314414"/>
      <w:bookmarkEnd w:id="186"/>
      <w:bookmarkStart w:id="187" w:name="_Toc184308103"/>
      <w:bookmarkEnd w:id="187"/>
      <w:bookmarkStart w:id="188" w:name="_Toc184308047"/>
      <w:bookmarkEnd w:id="188"/>
      <w:bookmarkStart w:id="189" w:name="_Toc184313244"/>
      <w:bookmarkEnd w:id="189"/>
      <w:bookmarkStart w:id="190" w:name="_Toc184310303"/>
      <w:bookmarkEnd w:id="190"/>
      <w:bookmarkStart w:id="191" w:name="_Toc184308043"/>
      <w:bookmarkEnd w:id="191"/>
      <w:bookmarkStart w:id="192" w:name="_Toc184310285"/>
      <w:bookmarkEnd w:id="192"/>
      <w:bookmarkStart w:id="193" w:name="_Toc184310321"/>
      <w:bookmarkEnd w:id="193"/>
      <w:bookmarkStart w:id="194" w:name="_Toc184312074"/>
      <w:bookmarkEnd w:id="194"/>
      <w:bookmarkStart w:id="195" w:name="_Toc184314474"/>
      <w:bookmarkEnd w:id="195"/>
      <w:bookmarkStart w:id="196" w:name="_Toc184310342"/>
      <w:bookmarkEnd w:id="196"/>
      <w:bookmarkStart w:id="197" w:name="_Toc184308087"/>
      <w:bookmarkEnd w:id="197"/>
      <w:bookmarkStart w:id="198" w:name="_Toc184314463"/>
      <w:bookmarkEnd w:id="198"/>
      <w:bookmarkStart w:id="199" w:name="_Toc184313272"/>
      <w:bookmarkEnd w:id="199"/>
      <w:bookmarkStart w:id="200" w:name="_Toc184310329"/>
      <w:bookmarkEnd w:id="200"/>
      <w:bookmarkStart w:id="201" w:name="_Toc184313287"/>
      <w:bookmarkEnd w:id="201"/>
      <w:bookmarkStart w:id="202" w:name="_Toc184314422"/>
      <w:bookmarkEnd w:id="202"/>
      <w:bookmarkStart w:id="203" w:name="_Toc184308093"/>
      <w:bookmarkEnd w:id="203"/>
      <w:bookmarkStart w:id="204" w:name="_Toc184312113"/>
      <w:bookmarkEnd w:id="204"/>
      <w:bookmarkStart w:id="205" w:name="_Toc184312089"/>
      <w:bookmarkEnd w:id="205"/>
      <w:bookmarkStart w:id="206" w:name="_Toc184313264"/>
      <w:bookmarkEnd w:id="206"/>
      <w:bookmarkStart w:id="207" w:name="_Toc184308048"/>
      <w:bookmarkEnd w:id="207"/>
      <w:bookmarkStart w:id="208" w:name="_Toc184312114"/>
      <w:bookmarkEnd w:id="208"/>
      <w:bookmarkStart w:id="209" w:name="_Toc184308059"/>
      <w:bookmarkEnd w:id="209"/>
      <w:bookmarkStart w:id="210" w:name="_Toc184314472"/>
      <w:bookmarkEnd w:id="210"/>
      <w:bookmarkStart w:id="211" w:name="_Toc184308072"/>
      <w:bookmarkEnd w:id="211"/>
      <w:bookmarkStart w:id="212" w:name="_Toc184308055"/>
      <w:bookmarkEnd w:id="212"/>
      <w:bookmarkStart w:id="213" w:name="_Toc184312116"/>
      <w:bookmarkEnd w:id="213"/>
      <w:bookmarkStart w:id="214" w:name="_Toc184308045"/>
      <w:bookmarkEnd w:id="214"/>
      <w:bookmarkStart w:id="215" w:name="_Toc184314425"/>
      <w:bookmarkEnd w:id="215"/>
      <w:bookmarkStart w:id="216" w:name="_Toc184313302"/>
      <w:bookmarkEnd w:id="216"/>
      <w:bookmarkStart w:id="217" w:name="_Toc184310290"/>
      <w:bookmarkEnd w:id="217"/>
      <w:bookmarkStart w:id="218" w:name="_Toc184314416"/>
      <w:bookmarkEnd w:id="218"/>
      <w:bookmarkStart w:id="219" w:name="_Toc184313304"/>
      <w:bookmarkEnd w:id="219"/>
      <w:bookmarkStart w:id="220" w:name="_Toc184313297"/>
      <w:bookmarkEnd w:id="220"/>
      <w:bookmarkStart w:id="221" w:name="_Toc184308044"/>
      <w:bookmarkEnd w:id="221"/>
      <w:bookmarkStart w:id="222" w:name="_Toc184310340"/>
      <w:bookmarkEnd w:id="222"/>
      <w:bookmarkStart w:id="223" w:name="_Toc184312138"/>
      <w:bookmarkEnd w:id="223"/>
      <w:bookmarkStart w:id="224" w:name="_Toc184314429"/>
      <w:bookmarkEnd w:id="224"/>
      <w:bookmarkStart w:id="225" w:name="_Toc184308052"/>
      <w:bookmarkEnd w:id="225"/>
      <w:bookmarkStart w:id="226" w:name="_Toc184314432"/>
      <w:bookmarkEnd w:id="226"/>
      <w:bookmarkStart w:id="227" w:name="_Toc184310316"/>
      <w:bookmarkEnd w:id="227"/>
      <w:bookmarkStart w:id="228" w:name="_Toc184308101"/>
      <w:bookmarkEnd w:id="228"/>
      <w:bookmarkStart w:id="229" w:name="_Toc184314471"/>
      <w:bookmarkEnd w:id="229"/>
      <w:bookmarkStart w:id="230" w:name="_Toc184308046"/>
      <w:bookmarkEnd w:id="230"/>
      <w:bookmarkStart w:id="231" w:name="_Toc184313275"/>
      <w:bookmarkEnd w:id="231"/>
      <w:bookmarkStart w:id="232" w:name="_Toc184310344"/>
      <w:bookmarkEnd w:id="232"/>
      <w:bookmarkStart w:id="233" w:name="_Toc184314469"/>
      <w:bookmarkEnd w:id="233"/>
      <w:bookmarkStart w:id="234" w:name="_Toc184314456"/>
      <w:bookmarkEnd w:id="234"/>
      <w:bookmarkStart w:id="235" w:name="_Toc184314424"/>
      <w:bookmarkEnd w:id="235"/>
      <w:bookmarkStart w:id="236" w:name="_Toc184312086"/>
      <w:bookmarkEnd w:id="236"/>
      <w:bookmarkStart w:id="237" w:name="_Toc184308104"/>
      <w:bookmarkEnd w:id="237"/>
      <w:bookmarkStart w:id="238" w:name="_Toc184308054"/>
      <w:bookmarkEnd w:id="238"/>
      <w:bookmarkStart w:id="239" w:name="_Toc184312107"/>
      <w:bookmarkEnd w:id="239"/>
      <w:bookmarkStart w:id="240" w:name="_Toc184314415"/>
      <w:bookmarkEnd w:id="240"/>
      <w:bookmarkStart w:id="241" w:name="_Toc184308053"/>
      <w:bookmarkEnd w:id="241"/>
      <w:bookmarkStart w:id="242" w:name="_Toc184312100"/>
      <w:bookmarkEnd w:id="242"/>
      <w:bookmarkStart w:id="243" w:name="_Toc184310306"/>
      <w:bookmarkEnd w:id="243"/>
      <w:bookmarkStart w:id="244" w:name="_Toc184313256"/>
      <w:bookmarkEnd w:id="244"/>
      <w:bookmarkStart w:id="245" w:name="_Toc184313270"/>
      <w:bookmarkEnd w:id="245"/>
      <w:bookmarkStart w:id="246" w:name="_Toc184312071"/>
      <w:bookmarkEnd w:id="246"/>
      <w:bookmarkStart w:id="247" w:name="_Toc184314458"/>
      <w:bookmarkEnd w:id="247"/>
      <w:bookmarkStart w:id="248" w:name="_Toc184312083"/>
      <w:bookmarkEnd w:id="248"/>
      <w:bookmarkStart w:id="249" w:name="_Toc184310324"/>
      <w:bookmarkEnd w:id="249"/>
      <w:bookmarkStart w:id="250" w:name="_Toc184314412"/>
      <w:bookmarkEnd w:id="250"/>
      <w:bookmarkStart w:id="251" w:name="_Toc184308078"/>
      <w:bookmarkEnd w:id="251"/>
      <w:bookmarkStart w:id="252" w:name="_Toc184310287"/>
      <w:bookmarkEnd w:id="252"/>
      <w:bookmarkStart w:id="253" w:name="_Toc184310294"/>
      <w:bookmarkEnd w:id="253"/>
      <w:bookmarkStart w:id="254" w:name="_Toc184313254"/>
      <w:bookmarkEnd w:id="254"/>
      <w:bookmarkStart w:id="255" w:name="_Toc184312124"/>
      <w:bookmarkEnd w:id="255"/>
      <w:bookmarkStart w:id="256" w:name="_Toc184312093"/>
      <w:bookmarkEnd w:id="256"/>
      <w:bookmarkStart w:id="257" w:name="_Toc184308094"/>
      <w:bookmarkEnd w:id="257"/>
      <w:bookmarkStart w:id="258" w:name="_Toc184313261"/>
      <w:bookmarkEnd w:id="258"/>
      <w:bookmarkStart w:id="259" w:name="_Toc184308082"/>
      <w:bookmarkEnd w:id="259"/>
      <w:bookmarkStart w:id="260" w:name="_Toc184314442"/>
      <w:bookmarkEnd w:id="260"/>
      <w:bookmarkStart w:id="261" w:name="_Toc184313242"/>
      <w:bookmarkEnd w:id="261"/>
      <w:bookmarkStart w:id="262" w:name="_Toc184310274"/>
      <w:bookmarkEnd w:id="262"/>
      <w:bookmarkStart w:id="263" w:name="_Toc184308049"/>
      <w:bookmarkEnd w:id="263"/>
      <w:bookmarkStart w:id="264" w:name="_Toc184313280"/>
      <w:bookmarkEnd w:id="264"/>
      <w:bookmarkStart w:id="265" w:name="_Toc184312105"/>
      <w:bookmarkEnd w:id="265"/>
      <w:bookmarkStart w:id="266" w:name="_Toc184312120"/>
      <w:bookmarkEnd w:id="266"/>
      <w:bookmarkStart w:id="267" w:name="_Toc184310319"/>
      <w:bookmarkEnd w:id="267"/>
      <w:bookmarkStart w:id="268" w:name="_Toc184310283"/>
      <w:bookmarkEnd w:id="268"/>
      <w:bookmarkStart w:id="269" w:name="_Toc184313250"/>
      <w:bookmarkEnd w:id="269"/>
      <w:bookmarkStart w:id="270" w:name="_Toc184312139"/>
      <w:bookmarkEnd w:id="270"/>
      <w:bookmarkStart w:id="271" w:name="_Toc184314438"/>
      <w:bookmarkEnd w:id="271"/>
      <w:bookmarkStart w:id="272" w:name="_Toc184314477"/>
      <w:bookmarkEnd w:id="272"/>
      <w:bookmarkStart w:id="273" w:name="_Toc184310297"/>
      <w:bookmarkEnd w:id="273"/>
      <w:bookmarkStart w:id="274" w:name="_Toc184313281"/>
      <w:bookmarkEnd w:id="274"/>
      <w:bookmarkStart w:id="275" w:name="_Toc184310336"/>
      <w:bookmarkEnd w:id="275"/>
      <w:bookmarkStart w:id="276" w:name="_Toc184314420"/>
      <w:bookmarkEnd w:id="276"/>
      <w:bookmarkStart w:id="277" w:name="_Toc184313308"/>
      <w:bookmarkEnd w:id="277"/>
      <w:bookmarkStart w:id="278" w:name="_Toc184312112"/>
      <w:bookmarkEnd w:id="278"/>
      <w:bookmarkStart w:id="279" w:name="_Toc184314481"/>
      <w:bookmarkEnd w:id="279"/>
      <w:bookmarkStart w:id="280" w:name="_Toc184312117"/>
      <w:bookmarkEnd w:id="280"/>
      <w:bookmarkStart w:id="281" w:name="_Toc184308092"/>
      <w:bookmarkEnd w:id="281"/>
      <w:bookmarkStart w:id="282" w:name="_Toc184313248"/>
      <w:bookmarkEnd w:id="282"/>
      <w:bookmarkStart w:id="283" w:name="_Toc184313305"/>
      <w:bookmarkEnd w:id="283"/>
      <w:bookmarkStart w:id="284" w:name="_Toc184308041"/>
      <w:bookmarkEnd w:id="284"/>
      <w:bookmarkStart w:id="285" w:name="_Toc184308076"/>
      <w:bookmarkEnd w:id="285"/>
      <w:bookmarkStart w:id="286" w:name="_Toc184310335"/>
      <w:bookmarkEnd w:id="286"/>
      <w:bookmarkStart w:id="287" w:name="_Toc184308036"/>
      <w:bookmarkEnd w:id="287"/>
      <w:bookmarkStart w:id="288" w:name="_Toc184310291"/>
      <w:bookmarkEnd w:id="288"/>
      <w:bookmarkStart w:id="289" w:name="_Toc184314447"/>
      <w:bookmarkEnd w:id="289"/>
      <w:bookmarkStart w:id="290" w:name="_Toc184308066"/>
      <w:bookmarkEnd w:id="290"/>
      <w:bookmarkStart w:id="291" w:name="_Toc184313245"/>
      <w:bookmarkEnd w:id="291"/>
      <w:bookmarkStart w:id="292" w:name="_Toc184308102"/>
      <w:bookmarkEnd w:id="292"/>
      <w:bookmarkStart w:id="293" w:name="_Toc184312084"/>
      <w:bookmarkEnd w:id="293"/>
      <w:bookmarkStart w:id="294" w:name="_Toc184312132"/>
      <w:bookmarkEnd w:id="294"/>
      <w:bookmarkStart w:id="295" w:name="_Toc184314426"/>
      <w:bookmarkEnd w:id="295"/>
      <w:bookmarkStart w:id="296" w:name="_Toc184310317"/>
      <w:bookmarkEnd w:id="296"/>
      <w:bookmarkStart w:id="297" w:name="_Toc184314451"/>
      <w:bookmarkEnd w:id="297"/>
      <w:bookmarkStart w:id="298" w:name="_Toc184308095"/>
      <w:bookmarkEnd w:id="298"/>
      <w:bookmarkStart w:id="299" w:name="_Toc184312090"/>
      <w:bookmarkEnd w:id="299"/>
      <w:bookmarkStart w:id="300" w:name="_Toc184313262"/>
      <w:bookmarkEnd w:id="300"/>
      <w:bookmarkStart w:id="301" w:name="_Toc184310295"/>
      <w:bookmarkEnd w:id="301"/>
      <w:bookmarkStart w:id="302" w:name="_Toc184313276"/>
      <w:bookmarkEnd w:id="302"/>
      <w:bookmarkStart w:id="303" w:name="_Toc184308086"/>
      <w:bookmarkEnd w:id="303"/>
      <w:bookmarkStart w:id="304" w:name="_Toc184308108"/>
      <w:bookmarkEnd w:id="304"/>
      <w:bookmarkStart w:id="305" w:name="_Toc184313310"/>
      <w:bookmarkEnd w:id="305"/>
      <w:bookmarkStart w:id="306" w:name="_Toc184314437"/>
      <w:bookmarkEnd w:id="306"/>
      <w:bookmarkStart w:id="307" w:name="_Toc184313274"/>
      <w:bookmarkEnd w:id="307"/>
      <w:bookmarkStart w:id="308" w:name="_Toc184313309"/>
      <w:bookmarkEnd w:id="308"/>
      <w:bookmarkStart w:id="309" w:name="_Toc184310341"/>
      <w:bookmarkEnd w:id="309"/>
      <w:bookmarkStart w:id="310" w:name="_Toc184312108"/>
      <w:bookmarkEnd w:id="310"/>
      <w:bookmarkStart w:id="311" w:name="_Toc184312136"/>
      <w:bookmarkEnd w:id="311"/>
      <w:bookmarkStart w:id="312" w:name="_Toc184308098"/>
      <w:bookmarkEnd w:id="312"/>
      <w:bookmarkStart w:id="313" w:name="_Toc184312109"/>
      <w:bookmarkEnd w:id="313"/>
      <w:bookmarkStart w:id="314" w:name="_Toc184310284"/>
      <w:bookmarkEnd w:id="314"/>
      <w:bookmarkStart w:id="315" w:name="_Toc184310337"/>
      <w:bookmarkEnd w:id="315"/>
      <w:bookmarkStart w:id="316" w:name="_Toc184312099"/>
      <w:bookmarkEnd w:id="316"/>
      <w:bookmarkStart w:id="317" w:name="_Toc184312130"/>
      <w:bookmarkEnd w:id="317"/>
      <w:bookmarkStart w:id="318" w:name="_Toc184308107"/>
      <w:bookmarkEnd w:id="318"/>
      <w:bookmarkStart w:id="319" w:name="_Toc184313253"/>
      <w:bookmarkEnd w:id="319"/>
      <w:bookmarkStart w:id="320" w:name="_Toc184308100"/>
      <w:bookmarkEnd w:id="320"/>
      <w:bookmarkStart w:id="321" w:name="_Toc184312075"/>
      <w:bookmarkEnd w:id="321"/>
      <w:bookmarkStart w:id="322" w:name="_Toc184313300"/>
      <w:bookmarkEnd w:id="322"/>
      <w:bookmarkStart w:id="323" w:name="_Toc184313252"/>
      <w:bookmarkEnd w:id="323"/>
      <w:bookmarkStart w:id="324" w:name="_Toc184313243"/>
      <w:bookmarkEnd w:id="324"/>
      <w:bookmarkStart w:id="325" w:name="_Toc184314449"/>
      <w:bookmarkEnd w:id="325"/>
      <w:bookmarkStart w:id="326" w:name="_Toc184312076"/>
      <w:bookmarkEnd w:id="326"/>
      <w:bookmarkStart w:id="327" w:name="_Toc184314444"/>
      <w:bookmarkEnd w:id="327"/>
      <w:bookmarkStart w:id="328" w:name="_Toc184310325"/>
      <w:bookmarkEnd w:id="328"/>
      <w:bookmarkStart w:id="329" w:name="_Toc184313301"/>
      <w:bookmarkEnd w:id="329"/>
      <w:bookmarkStart w:id="330" w:name="_Toc184310300"/>
      <w:bookmarkEnd w:id="330"/>
      <w:bookmarkStart w:id="331" w:name="_Toc184312067"/>
      <w:bookmarkEnd w:id="331"/>
      <w:bookmarkStart w:id="332" w:name="_Toc184312079"/>
      <w:bookmarkEnd w:id="332"/>
      <w:bookmarkStart w:id="333" w:name="_Toc184308077"/>
      <w:bookmarkEnd w:id="333"/>
      <w:bookmarkStart w:id="334" w:name="_Toc184310301"/>
      <w:bookmarkEnd w:id="334"/>
      <w:bookmarkStart w:id="335" w:name="_Toc184312091"/>
      <w:bookmarkEnd w:id="335"/>
      <w:bookmarkStart w:id="336" w:name="_Toc184310282"/>
      <w:bookmarkEnd w:id="336"/>
      <w:bookmarkStart w:id="337" w:name="_Toc184314461"/>
      <w:bookmarkEnd w:id="337"/>
      <w:bookmarkStart w:id="338" w:name="_Toc184310305"/>
      <w:bookmarkEnd w:id="338"/>
      <w:bookmarkStart w:id="339" w:name="_Toc184314467"/>
      <w:bookmarkEnd w:id="339"/>
      <w:bookmarkStart w:id="340" w:name="_Toc184313307"/>
      <w:bookmarkEnd w:id="340"/>
      <w:bookmarkStart w:id="341" w:name="_Toc184313278"/>
      <w:bookmarkEnd w:id="341"/>
      <w:bookmarkStart w:id="342" w:name="_Toc184308040"/>
      <w:bookmarkEnd w:id="342"/>
      <w:bookmarkStart w:id="343" w:name="_Toc184310309"/>
      <w:bookmarkEnd w:id="343"/>
      <w:bookmarkStart w:id="344" w:name="_Toc184312094"/>
      <w:bookmarkEnd w:id="344"/>
      <w:bookmarkStart w:id="345" w:name="_Toc184313241"/>
      <w:bookmarkEnd w:id="345"/>
      <w:bookmarkStart w:id="346" w:name="_Toc184310332"/>
      <w:bookmarkEnd w:id="346"/>
      <w:bookmarkStart w:id="347" w:name="_Toc184313291"/>
      <w:bookmarkEnd w:id="347"/>
      <w:bookmarkStart w:id="348" w:name="_Toc184308061"/>
      <w:bookmarkEnd w:id="348"/>
      <w:bookmarkStart w:id="349" w:name="_Toc184312078"/>
      <w:bookmarkEnd w:id="349"/>
      <w:bookmarkStart w:id="350" w:name="_Toc184312129"/>
      <w:bookmarkEnd w:id="350"/>
      <w:bookmarkStart w:id="351" w:name="_Toc184312126"/>
      <w:bookmarkEnd w:id="351"/>
      <w:bookmarkStart w:id="352" w:name="_Toc184312098"/>
      <w:bookmarkEnd w:id="352"/>
      <w:bookmarkStart w:id="353" w:name="_Toc184313303"/>
      <w:bookmarkEnd w:id="353"/>
      <w:bookmarkStart w:id="354" w:name="_Toc184312106"/>
      <w:bookmarkEnd w:id="354"/>
      <w:bookmarkStart w:id="355" w:name="_Toc184313289"/>
      <w:bookmarkEnd w:id="355"/>
      <w:bookmarkStart w:id="356" w:name="_Toc184313294"/>
      <w:bookmarkEnd w:id="356"/>
      <w:bookmarkStart w:id="357" w:name="_Toc184314411"/>
      <w:bookmarkEnd w:id="357"/>
      <w:bookmarkStart w:id="358" w:name="_Toc184312111"/>
      <w:bookmarkEnd w:id="358"/>
      <w:bookmarkStart w:id="359" w:name="_Toc184310296"/>
      <w:bookmarkEnd w:id="359"/>
      <w:bookmarkStart w:id="360" w:name="_Toc184308065"/>
      <w:bookmarkEnd w:id="360"/>
      <w:bookmarkStart w:id="361" w:name="_Toc184310323"/>
      <w:bookmarkEnd w:id="361"/>
      <w:bookmarkStart w:id="362" w:name="_Toc184314480"/>
      <w:bookmarkEnd w:id="362"/>
      <w:bookmarkStart w:id="363" w:name="_Toc184310327"/>
      <w:bookmarkEnd w:id="363"/>
      <w:bookmarkStart w:id="364" w:name="_Toc184308050"/>
      <w:bookmarkEnd w:id="364"/>
      <w:bookmarkStart w:id="365" w:name="_Toc184313285"/>
      <w:bookmarkEnd w:id="365"/>
      <w:bookmarkStart w:id="366" w:name="_Toc184314431"/>
      <w:bookmarkEnd w:id="366"/>
      <w:bookmarkStart w:id="367" w:name="_Toc184308068"/>
      <w:bookmarkEnd w:id="367"/>
      <w:bookmarkStart w:id="368" w:name="_Toc184314433"/>
      <w:bookmarkEnd w:id="368"/>
      <w:bookmarkStart w:id="369" w:name="_Toc184310315"/>
      <w:bookmarkEnd w:id="369"/>
      <w:bookmarkStart w:id="370" w:name="_Toc184314413"/>
      <w:bookmarkEnd w:id="370"/>
      <w:bookmarkStart w:id="371" w:name="_Toc184312103"/>
      <w:bookmarkEnd w:id="371"/>
      <w:bookmarkStart w:id="372" w:name="_Toc184310304"/>
      <w:bookmarkEnd w:id="372"/>
      <w:bookmarkStart w:id="373" w:name="_Toc184310280"/>
      <w:bookmarkEnd w:id="373"/>
      <w:bookmarkStart w:id="374" w:name="_Toc184312118"/>
      <w:bookmarkEnd w:id="374"/>
      <w:bookmarkStart w:id="375" w:name="_Toc184313258"/>
      <w:bookmarkEnd w:id="375"/>
      <w:bookmarkStart w:id="376" w:name="_Toc184313267"/>
      <w:bookmarkEnd w:id="376"/>
      <w:bookmarkStart w:id="377" w:name="_Toc184308106"/>
      <w:bookmarkEnd w:id="377"/>
      <w:bookmarkStart w:id="378" w:name="_Toc184314423"/>
      <w:bookmarkEnd w:id="378"/>
      <w:bookmarkStart w:id="379" w:name="_Toc184310326"/>
      <w:bookmarkEnd w:id="379"/>
      <w:bookmarkStart w:id="380" w:name="_Toc184308062"/>
      <w:bookmarkEnd w:id="380"/>
      <w:bookmarkStart w:id="381" w:name="_Toc184312122"/>
      <w:bookmarkEnd w:id="381"/>
      <w:bookmarkStart w:id="382" w:name="_Toc184310308"/>
      <w:bookmarkEnd w:id="382"/>
      <w:bookmarkStart w:id="383" w:name="_Toc184314476"/>
      <w:bookmarkEnd w:id="383"/>
      <w:bookmarkStart w:id="384" w:name="_Toc184314478"/>
      <w:bookmarkEnd w:id="384"/>
      <w:bookmarkStart w:id="385" w:name="_Toc184313247"/>
      <w:bookmarkEnd w:id="385"/>
      <w:bookmarkStart w:id="386" w:name="_Toc184312123"/>
      <w:bookmarkEnd w:id="386"/>
      <w:bookmarkStart w:id="387" w:name="_Toc184313279"/>
      <w:bookmarkEnd w:id="387"/>
      <w:bookmarkStart w:id="388" w:name="_Toc184308084"/>
      <w:bookmarkEnd w:id="388"/>
      <w:bookmarkStart w:id="389" w:name="_Toc184310279"/>
      <w:bookmarkEnd w:id="389"/>
      <w:bookmarkStart w:id="390" w:name="_Toc184313268"/>
      <w:bookmarkEnd w:id="390"/>
      <w:bookmarkStart w:id="391" w:name="_Toc184310275"/>
      <w:bookmarkEnd w:id="391"/>
      <w:bookmarkStart w:id="392" w:name="_Toc184310320"/>
      <w:bookmarkEnd w:id="392"/>
      <w:bookmarkStart w:id="393" w:name="_Toc184308089"/>
      <w:bookmarkEnd w:id="393"/>
      <w:bookmarkStart w:id="394" w:name="_Toc184314435"/>
      <w:bookmarkEnd w:id="394"/>
      <w:bookmarkStart w:id="395" w:name="_Toc184308039"/>
      <w:bookmarkEnd w:id="395"/>
      <w:bookmarkStart w:id="396" w:name="_Toc184310302"/>
      <w:bookmarkEnd w:id="396"/>
      <w:bookmarkStart w:id="397" w:name="_Toc184312073"/>
      <w:bookmarkEnd w:id="397"/>
      <w:r>
        <w:rPr>
          <w:rFonts w:hint="eastAsia" w:ascii="宋体" w:hAnsi="宋体" w:cs="宋体"/>
          <w:b/>
          <w:sz w:val="36"/>
          <w:szCs w:val="36"/>
        </w:rPr>
        <w:t>评标办法</w:t>
      </w:r>
    </w:p>
    <w:p w14:paraId="06286A70">
      <w:pPr>
        <w:snapToGrid w:val="0"/>
        <w:spacing w:line="240" w:lineRule="auto"/>
        <w:jc w:val="center"/>
        <w:rPr>
          <w:rFonts w:ascii="宋体" w:hAnsi="宋体" w:cs="宋体"/>
          <w:b/>
          <w:sz w:val="32"/>
          <w:szCs w:val="20"/>
        </w:rPr>
      </w:pPr>
      <w:r>
        <w:rPr>
          <w:rFonts w:hint="eastAsia" w:ascii="宋体" w:hAnsi="宋体" w:cs="宋体"/>
          <w:b/>
          <w:sz w:val="32"/>
          <w:szCs w:val="20"/>
        </w:rPr>
        <w:t>评标办法前附表</w:t>
      </w:r>
    </w:p>
    <w:tbl>
      <w:tblPr>
        <w:tblStyle w:val="22"/>
        <w:tblpPr w:leftFromText="180" w:rightFromText="180" w:vertAnchor="text" w:horzAnchor="page" w:tblpXSpec="center" w:tblpY="401"/>
        <w:tblOverlap w:val="never"/>
        <w:tblW w:w="10115" w:type="dxa"/>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
        <w:gridCol w:w="6014"/>
        <w:gridCol w:w="626"/>
        <w:gridCol w:w="948"/>
        <w:gridCol w:w="2007"/>
      </w:tblGrid>
      <w:tr w14:paraId="3956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520" w:type="dxa"/>
            <w:noWrap w:val="0"/>
            <w:vAlign w:val="center"/>
          </w:tcPr>
          <w:p w14:paraId="1E6C263D">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序号</w:t>
            </w:r>
          </w:p>
        </w:tc>
        <w:tc>
          <w:tcPr>
            <w:tcW w:w="6014" w:type="dxa"/>
            <w:noWrap w:val="0"/>
            <w:vAlign w:val="center"/>
          </w:tcPr>
          <w:p w14:paraId="3A094A8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评标标准</w:t>
            </w:r>
          </w:p>
        </w:tc>
        <w:tc>
          <w:tcPr>
            <w:tcW w:w="626" w:type="dxa"/>
            <w:noWrap w:val="0"/>
            <w:vAlign w:val="center"/>
          </w:tcPr>
          <w:p w14:paraId="700742B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权重</w:t>
            </w:r>
          </w:p>
        </w:tc>
        <w:tc>
          <w:tcPr>
            <w:tcW w:w="948" w:type="dxa"/>
            <w:noWrap w:val="0"/>
            <w:vAlign w:val="center"/>
          </w:tcPr>
          <w:p w14:paraId="47A08E7D">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主观分/客观分属性</w:t>
            </w:r>
          </w:p>
        </w:tc>
        <w:tc>
          <w:tcPr>
            <w:tcW w:w="2007" w:type="dxa"/>
            <w:noWrap w:val="0"/>
            <w:vAlign w:val="center"/>
          </w:tcPr>
          <w:p w14:paraId="10836C88">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投标文件中评标标准相应的商务技术资料目录</w:t>
            </w:r>
          </w:p>
        </w:tc>
      </w:tr>
      <w:tr w14:paraId="071F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9" w:hRule="atLeast"/>
        </w:trPr>
        <w:tc>
          <w:tcPr>
            <w:tcW w:w="520" w:type="dxa"/>
            <w:noWrap w:val="0"/>
            <w:vAlign w:val="center"/>
          </w:tcPr>
          <w:p w14:paraId="4E0BE1C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w:t>
            </w:r>
          </w:p>
        </w:tc>
        <w:tc>
          <w:tcPr>
            <w:tcW w:w="6014" w:type="dxa"/>
            <w:noWrap w:val="0"/>
            <w:vAlign w:val="center"/>
          </w:tcPr>
          <w:p w14:paraId="4B393107">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2022年1月1日以来投标人承接过类似业绩案例的，每个案例得0.5分，最高得2分。</w:t>
            </w:r>
          </w:p>
          <w:p w14:paraId="69FB072B">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en-GB" w:eastAsia="zh-CN"/>
              </w:rPr>
            </w:pPr>
            <w:r>
              <w:rPr>
                <w:rFonts w:hint="eastAsia" w:asciiTheme="minorEastAsia" w:hAnsiTheme="minorEastAsia" w:eastAsiaTheme="minorEastAsia" w:cstheme="minorEastAsia"/>
                <w:kern w:val="0"/>
                <w:sz w:val="24"/>
                <w:szCs w:val="24"/>
                <w:highlight w:val="none"/>
                <w:lang w:val="zh-CN" w:eastAsia="zh-CN"/>
              </w:rPr>
              <w:t>注：业绩证明材料应同时提供中标通知书和合同</w:t>
            </w:r>
            <w:r>
              <w:rPr>
                <w:rFonts w:hint="eastAsia" w:asciiTheme="minorEastAsia" w:hAnsiTheme="minorEastAsia" w:eastAsiaTheme="minorEastAsia" w:cstheme="minorEastAsia"/>
                <w:kern w:val="0"/>
                <w:sz w:val="24"/>
                <w:szCs w:val="24"/>
                <w:highlight w:val="none"/>
                <w:lang w:val="en-US" w:eastAsia="zh-CN"/>
              </w:rPr>
              <w:t>扫描</w:t>
            </w:r>
            <w:r>
              <w:rPr>
                <w:rFonts w:hint="eastAsia" w:asciiTheme="minorEastAsia" w:hAnsiTheme="minorEastAsia" w:eastAsiaTheme="minorEastAsia" w:cstheme="minorEastAsia"/>
                <w:kern w:val="0"/>
                <w:sz w:val="24"/>
                <w:szCs w:val="24"/>
                <w:highlight w:val="none"/>
                <w:lang w:val="zh-CN" w:eastAsia="zh-CN"/>
              </w:rPr>
              <w:t>件，否则不得分。</w:t>
            </w:r>
          </w:p>
        </w:tc>
        <w:tc>
          <w:tcPr>
            <w:tcW w:w="626" w:type="dxa"/>
            <w:noWrap w:val="0"/>
            <w:vAlign w:val="center"/>
          </w:tcPr>
          <w:p w14:paraId="0AB00631">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w:t>
            </w:r>
          </w:p>
        </w:tc>
        <w:tc>
          <w:tcPr>
            <w:tcW w:w="948" w:type="dxa"/>
            <w:noWrap w:val="0"/>
            <w:vAlign w:val="center"/>
          </w:tcPr>
          <w:p w14:paraId="74E2A5C9">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客观</w:t>
            </w:r>
            <w:r>
              <w:rPr>
                <w:rFonts w:hint="eastAsia" w:asciiTheme="minorEastAsia" w:hAnsiTheme="minorEastAsia" w:eastAsiaTheme="minorEastAsia" w:cstheme="minorEastAsia"/>
                <w:kern w:val="0"/>
                <w:sz w:val="24"/>
                <w:szCs w:val="24"/>
                <w:highlight w:val="none"/>
                <w:lang w:val="en-US" w:eastAsia="zh-CN"/>
              </w:rPr>
              <w:t>分</w:t>
            </w:r>
          </w:p>
        </w:tc>
        <w:tc>
          <w:tcPr>
            <w:tcW w:w="2007" w:type="dxa"/>
            <w:noWrap w:val="0"/>
            <w:vAlign w:val="center"/>
          </w:tcPr>
          <w:p w14:paraId="4478EC31">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GB" w:eastAsia="zh-CN"/>
              </w:rPr>
            </w:pPr>
            <w:r>
              <w:rPr>
                <w:rFonts w:hint="eastAsia" w:asciiTheme="minorEastAsia" w:hAnsiTheme="minorEastAsia" w:eastAsiaTheme="minorEastAsia" w:cstheme="minorEastAsia"/>
                <w:kern w:val="0"/>
                <w:sz w:val="24"/>
                <w:szCs w:val="24"/>
                <w:highlight w:val="none"/>
                <w:lang w:val="en-GB" w:eastAsia="zh-CN"/>
              </w:rPr>
              <w:t>类似业绩</w:t>
            </w:r>
          </w:p>
        </w:tc>
      </w:tr>
      <w:tr w14:paraId="42D8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520" w:type="dxa"/>
            <w:noWrap w:val="0"/>
            <w:vAlign w:val="center"/>
          </w:tcPr>
          <w:p w14:paraId="6E29B42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w:t>
            </w:r>
          </w:p>
        </w:tc>
        <w:tc>
          <w:tcPr>
            <w:tcW w:w="6014" w:type="dxa"/>
            <w:noWrap w:val="0"/>
            <w:vAlign w:val="center"/>
          </w:tcPr>
          <w:p w14:paraId="49282179">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投标人具有有效期内的环境管理体系认证、职业健康安全管理体系认证、质量管理体系认证、信息安全管理体系认证证书、</w:t>
            </w:r>
            <w:r>
              <w:rPr>
                <w:rFonts w:hint="eastAsia" w:ascii="宋体" w:hAnsi="宋体" w:cs="宋体"/>
                <w:kern w:val="0"/>
                <w:sz w:val="24"/>
                <w:szCs w:val="24"/>
                <w:highlight w:val="none"/>
                <w:lang w:eastAsia="zh-CN"/>
              </w:rPr>
              <w:t>信息技术服务标准证书</w:t>
            </w:r>
            <w:r>
              <w:rPr>
                <w:rFonts w:hint="eastAsia" w:asciiTheme="minorEastAsia" w:hAnsiTheme="minorEastAsia" w:eastAsiaTheme="minorEastAsia" w:cstheme="minorEastAsia"/>
                <w:kern w:val="0"/>
                <w:sz w:val="24"/>
                <w:szCs w:val="24"/>
                <w:highlight w:val="none"/>
                <w:lang w:val="zh-CN" w:eastAsia="zh-CN"/>
              </w:rPr>
              <w:t>，每提供一个得1分，最高得</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lang w:val="zh-CN" w:eastAsia="zh-CN"/>
              </w:rPr>
              <w:t>分。</w:t>
            </w:r>
          </w:p>
          <w:p w14:paraId="640474E5">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证明材料：提供</w:t>
            </w:r>
            <w:r>
              <w:rPr>
                <w:rFonts w:hint="eastAsia" w:asciiTheme="minorEastAsia" w:hAnsiTheme="minorEastAsia" w:eastAsiaTheme="minorEastAsia" w:cstheme="minorEastAsia"/>
                <w:kern w:val="0"/>
                <w:sz w:val="24"/>
                <w:szCs w:val="24"/>
                <w:highlight w:val="none"/>
                <w:lang w:val="en-US" w:eastAsia="zh-CN"/>
              </w:rPr>
              <w:t>有效的</w:t>
            </w:r>
            <w:r>
              <w:rPr>
                <w:rFonts w:hint="eastAsia" w:asciiTheme="minorEastAsia" w:hAnsiTheme="minorEastAsia" w:eastAsiaTheme="minorEastAsia" w:cstheme="minorEastAsia"/>
                <w:kern w:val="0"/>
                <w:sz w:val="24"/>
                <w:szCs w:val="24"/>
                <w:highlight w:val="none"/>
                <w:lang w:val="zh-CN" w:eastAsia="zh-CN"/>
              </w:rPr>
              <w:t>证书</w:t>
            </w:r>
            <w:r>
              <w:rPr>
                <w:rFonts w:hint="eastAsia" w:asciiTheme="minorEastAsia" w:hAnsiTheme="minorEastAsia" w:eastAsiaTheme="minorEastAsia" w:cstheme="minorEastAsia"/>
                <w:kern w:val="0"/>
                <w:sz w:val="24"/>
                <w:szCs w:val="24"/>
                <w:highlight w:val="none"/>
                <w:lang w:val="en-US" w:eastAsia="zh-CN"/>
              </w:rPr>
              <w:t>扫描件</w:t>
            </w:r>
            <w:r>
              <w:rPr>
                <w:rFonts w:hint="eastAsia" w:asciiTheme="minorEastAsia" w:hAnsiTheme="minorEastAsia" w:eastAsiaTheme="minorEastAsia" w:cstheme="minorEastAsia"/>
                <w:kern w:val="0"/>
                <w:sz w:val="24"/>
                <w:szCs w:val="24"/>
                <w:highlight w:val="none"/>
                <w:lang w:val="zh-CN" w:eastAsia="zh-CN"/>
              </w:rPr>
              <w:t>。</w:t>
            </w:r>
          </w:p>
        </w:tc>
        <w:tc>
          <w:tcPr>
            <w:tcW w:w="626" w:type="dxa"/>
            <w:noWrap w:val="0"/>
            <w:vAlign w:val="center"/>
          </w:tcPr>
          <w:p w14:paraId="3335AE65">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w:t>
            </w:r>
          </w:p>
        </w:tc>
        <w:tc>
          <w:tcPr>
            <w:tcW w:w="948" w:type="dxa"/>
            <w:noWrap w:val="0"/>
            <w:vAlign w:val="center"/>
          </w:tcPr>
          <w:p w14:paraId="2EB621AF">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客观</w:t>
            </w:r>
            <w:r>
              <w:rPr>
                <w:rFonts w:hint="eastAsia" w:asciiTheme="minorEastAsia" w:hAnsiTheme="minorEastAsia" w:eastAsiaTheme="minorEastAsia" w:cstheme="minorEastAsia"/>
                <w:kern w:val="0"/>
                <w:sz w:val="24"/>
                <w:szCs w:val="24"/>
                <w:highlight w:val="none"/>
                <w:lang w:val="en-US" w:eastAsia="zh-CN"/>
              </w:rPr>
              <w:t>分</w:t>
            </w:r>
          </w:p>
        </w:tc>
        <w:tc>
          <w:tcPr>
            <w:tcW w:w="2007" w:type="dxa"/>
            <w:noWrap w:val="0"/>
            <w:vAlign w:val="center"/>
          </w:tcPr>
          <w:p w14:paraId="7344F6E7">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企业体系认证</w:t>
            </w:r>
          </w:p>
        </w:tc>
      </w:tr>
      <w:tr w14:paraId="76C7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520" w:type="dxa"/>
            <w:noWrap w:val="0"/>
            <w:vAlign w:val="center"/>
          </w:tcPr>
          <w:p w14:paraId="4AE4623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w:t>
            </w:r>
          </w:p>
        </w:tc>
        <w:tc>
          <w:tcPr>
            <w:tcW w:w="6014" w:type="dxa"/>
            <w:noWrap w:val="0"/>
            <w:vAlign w:val="center"/>
          </w:tcPr>
          <w:p w14:paraId="2480FCA5">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投标人技术要求是否能够满足招标文件要求，包括所投标产品的规格、详细配置、主要技术参数等。全部符合招标文件要求的得10分，技术指标有负偏离的每一项减1分，扣完为止。（0-10分）</w:t>
            </w:r>
          </w:p>
        </w:tc>
        <w:tc>
          <w:tcPr>
            <w:tcW w:w="626" w:type="dxa"/>
            <w:noWrap w:val="0"/>
            <w:vAlign w:val="center"/>
          </w:tcPr>
          <w:p w14:paraId="6AFE4371">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10</w:t>
            </w:r>
          </w:p>
        </w:tc>
        <w:tc>
          <w:tcPr>
            <w:tcW w:w="948" w:type="dxa"/>
            <w:noWrap w:val="0"/>
            <w:vAlign w:val="center"/>
          </w:tcPr>
          <w:p w14:paraId="5722B597">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客观</w:t>
            </w:r>
            <w:r>
              <w:rPr>
                <w:rFonts w:hint="eastAsia" w:asciiTheme="minorEastAsia" w:hAnsiTheme="minorEastAsia" w:eastAsiaTheme="minorEastAsia" w:cstheme="minorEastAsia"/>
                <w:kern w:val="0"/>
                <w:sz w:val="24"/>
                <w:szCs w:val="24"/>
                <w:highlight w:val="none"/>
                <w:lang w:val="en-US" w:eastAsia="zh-CN"/>
              </w:rPr>
              <w:t>分</w:t>
            </w:r>
          </w:p>
        </w:tc>
        <w:tc>
          <w:tcPr>
            <w:tcW w:w="2007" w:type="dxa"/>
            <w:noWrap w:val="0"/>
            <w:vAlign w:val="center"/>
          </w:tcPr>
          <w:p w14:paraId="54CDCD19">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偏离情况</w:t>
            </w:r>
          </w:p>
        </w:tc>
      </w:tr>
      <w:tr w14:paraId="5895B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520" w:type="dxa"/>
            <w:vMerge w:val="restart"/>
            <w:noWrap w:val="0"/>
            <w:vAlign w:val="center"/>
          </w:tcPr>
          <w:p w14:paraId="5F65CEC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w:t>
            </w:r>
          </w:p>
        </w:tc>
        <w:tc>
          <w:tcPr>
            <w:tcW w:w="6014" w:type="dxa"/>
            <w:noWrap w:val="0"/>
            <w:vAlign w:val="center"/>
          </w:tcPr>
          <w:p w14:paraId="630780F2">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1、拟派本项目负责人具有信息类或工程类或通信类高级及以上职称的，得</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分；（投标人须提供职称证扫描件</w:t>
            </w:r>
            <w:r>
              <w:rPr>
                <w:rFonts w:hint="eastAsia" w:asciiTheme="minorEastAsia" w:hAnsiTheme="minorEastAsia" w:eastAsiaTheme="minorEastAsia" w:cstheme="minorEastAsia"/>
                <w:kern w:val="0"/>
                <w:sz w:val="24"/>
                <w:szCs w:val="24"/>
                <w:highlight w:val="none"/>
                <w:lang w:val="en-US" w:eastAsia="zh-CN"/>
              </w:rPr>
              <w:t>以及</w:t>
            </w:r>
            <w:r>
              <w:rPr>
                <w:rFonts w:hint="eastAsia" w:asciiTheme="minorEastAsia" w:hAnsiTheme="minorEastAsia" w:eastAsiaTheme="minorEastAsia" w:cstheme="minorEastAsia"/>
                <w:kern w:val="0"/>
                <w:sz w:val="24"/>
                <w:szCs w:val="24"/>
                <w:highlight w:val="none"/>
              </w:rPr>
              <w:t>在本单位近3个月社保证明，不提供不得分）</w:t>
            </w:r>
          </w:p>
        </w:tc>
        <w:tc>
          <w:tcPr>
            <w:tcW w:w="626" w:type="dxa"/>
            <w:noWrap w:val="0"/>
            <w:vAlign w:val="center"/>
          </w:tcPr>
          <w:p w14:paraId="3240458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w:t>
            </w:r>
          </w:p>
        </w:tc>
        <w:tc>
          <w:tcPr>
            <w:tcW w:w="948" w:type="dxa"/>
            <w:vMerge w:val="restart"/>
            <w:noWrap w:val="0"/>
            <w:vAlign w:val="center"/>
          </w:tcPr>
          <w:p w14:paraId="116D13F7">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客观</w:t>
            </w:r>
            <w:r>
              <w:rPr>
                <w:rFonts w:hint="eastAsia" w:asciiTheme="minorEastAsia" w:hAnsiTheme="minorEastAsia" w:eastAsiaTheme="minorEastAsia" w:cstheme="minorEastAsia"/>
                <w:kern w:val="0"/>
                <w:sz w:val="24"/>
                <w:szCs w:val="24"/>
                <w:highlight w:val="none"/>
                <w:lang w:val="en-US" w:eastAsia="zh-CN"/>
              </w:rPr>
              <w:t>分</w:t>
            </w:r>
          </w:p>
        </w:tc>
        <w:tc>
          <w:tcPr>
            <w:tcW w:w="2007" w:type="dxa"/>
            <w:vMerge w:val="restart"/>
            <w:noWrap w:val="0"/>
            <w:vAlign w:val="center"/>
          </w:tcPr>
          <w:p w14:paraId="4354808C">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拟投入本项目的班组成员情况</w:t>
            </w:r>
          </w:p>
        </w:tc>
      </w:tr>
      <w:tr w14:paraId="57ADC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2" w:hRule="atLeast"/>
        </w:trPr>
        <w:tc>
          <w:tcPr>
            <w:tcW w:w="520" w:type="dxa"/>
            <w:vMerge w:val="continue"/>
            <w:noWrap w:val="0"/>
            <w:vAlign w:val="center"/>
          </w:tcPr>
          <w:p w14:paraId="4585D953">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rPr>
            </w:pPr>
          </w:p>
        </w:tc>
        <w:tc>
          <w:tcPr>
            <w:tcW w:w="6014" w:type="dxa"/>
            <w:noWrap w:val="0"/>
            <w:vAlign w:val="center"/>
          </w:tcPr>
          <w:p w14:paraId="03AA26C8">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2、拟派本项目技术负责人具有信息类或工程类或通信类高级及以上职称的，得</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分；具有信息类或工程类或通信类</w:t>
            </w:r>
            <w:r>
              <w:rPr>
                <w:rFonts w:hint="eastAsia" w:asciiTheme="minorEastAsia" w:hAnsiTheme="minorEastAsia" w:eastAsiaTheme="minorEastAsia" w:cstheme="minorEastAsia"/>
                <w:kern w:val="0"/>
                <w:sz w:val="24"/>
                <w:szCs w:val="24"/>
                <w:highlight w:val="none"/>
                <w:lang w:val="en-US" w:eastAsia="zh-CN"/>
              </w:rPr>
              <w:t>中级</w:t>
            </w:r>
            <w:r>
              <w:rPr>
                <w:rFonts w:hint="eastAsia" w:asciiTheme="minorEastAsia" w:hAnsiTheme="minorEastAsia" w:eastAsiaTheme="minorEastAsia" w:cstheme="minorEastAsia"/>
                <w:kern w:val="0"/>
                <w:sz w:val="24"/>
                <w:szCs w:val="24"/>
                <w:highlight w:val="none"/>
              </w:rPr>
              <w:t>职称的得1</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分；（投标人须提供职称证扫描件</w:t>
            </w:r>
            <w:r>
              <w:rPr>
                <w:rFonts w:hint="eastAsia" w:asciiTheme="minorEastAsia" w:hAnsiTheme="minorEastAsia" w:eastAsiaTheme="minorEastAsia" w:cstheme="minorEastAsia"/>
                <w:kern w:val="0"/>
                <w:sz w:val="24"/>
                <w:szCs w:val="24"/>
                <w:highlight w:val="none"/>
                <w:lang w:val="en-US" w:eastAsia="zh-CN"/>
              </w:rPr>
              <w:t>以及</w:t>
            </w:r>
            <w:r>
              <w:rPr>
                <w:rFonts w:hint="eastAsia" w:asciiTheme="minorEastAsia" w:hAnsiTheme="minorEastAsia" w:eastAsiaTheme="minorEastAsia" w:cstheme="minorEastAsia"/>
                <w:kern w:val="0"/>
                <w:sz w:val="24"/>
                <w:szCs w:val="24"/>
                <w:highlight w:val="none"/>
              </w:rPr>
              <w:t>在本单位近3个月社保证明，不提供不得分）</w:t>
            </w:r>
          </w:p>
        </w:tc>
        <w:tc>
          <w:tcPr>
            <w:tcW w:w="626" w:type="dxa"/>
            <w:noWrap w:val="0"/>
            <w:vAlign w:val="center"/>
          </w:tcPr>
          <w:p w14:paraId="0C9EAF12">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w:t>
            </w:r>
          </w:p>
        </w:tc>
        <w:tc>
          <w:tcPr>
            <w:tcW w:w="948" w:type="dxa"/>
            <w:vMerge w:val="continue"/>
            <w:noWrap w:val="0"/>
            <w:vAlign w:val="center"/>
          </w:tcPr>
          <w:p w14:paraId="667177BE">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p>
        </w:tc>
        <w:tc>
          <w:tcPr>
            <w:tcW w:w="2007" w:type="dxa"/>
            <w:vMerge w:val="continue"/>
            <w:noWrap w:val="0"/>
            <w:vAlign w:val="center"/>
          </w:tcPr>
          <w:p w14:paraId="22DFBDA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p>
        </w:tc>
      </w:tr>
      <w:tr w14:paraId="0C808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520" w:type="dxa"/>
            <w:vMerge w:val="continue"/>
            <w:noWrap w:val="0"/>
            <w:vAlign w:val="center"/>
          </w:tcPr>
          <w:p w14:paraId="2436C1FB">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p>
        </w:tc>
        <w:tc>
          <w:tcPr>
            <w:tcW w:w="6014" w:type="dxa"/>
            <w:noWrap w:val="0"/>
            <w:vAlign w:val="center"/>
          </w:tcPr>
          <w:p w14:paraId="196D3B6D">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3、项目团队中（除项目负责人和技术负责人）具有网络工程师、电工作业证、登高作业证的、安全员证的，每提供一种证书得1分，最多得4分，同一人具有多个证书不重复计分；（投标人须提供证书扫描件</w:t>
            </w:r>
            <w:r>
              <w:rPr>
                <w:rFonts w:hint="eastAsia" w:asciiTheme="minorEastAsia" w:hAnsiTheme="minorEastAsia" w:eastAsiaTheme="minorEastAsia" w:cstheme="minorEastAsia"/>
                <w:kern w:val="0"/>
                <w:sz w:val="24"/>
                <w:szCs w:val="24"/>
                <w:highlight w:val="none"/>
                <w:lang w:val="en-US" w:eastAsia="zh-CN"/>
              </w:rPr>
              <w:t>以及</w:t>
            </w:r>
            <w:r>
              <w:rPr>
                <w:rFonts w:hint="eastAsia" w:asciiTheme="minorEastAsia" w:hAnsiTheme="minorEastAsia" w:eastAsiaTheme="minorEastAsia" w:cstheme="minorEastAsia"/>
                <w:kern w:val="0"/>
                <w:sz w:val="24"/>
                <w:szCs w:val="24"/>
                <w:highlight w:val="none"/>
              </w:rPr>
              <w:t>在本单位近3个月社保证明，不提供不得分）</w:t>
            </w:r>
          </w:p>
        </w:tc>
        <w:tc>
          <w:tcPr>
            <w:tcW w:w="626" w:type="dxa"/>
            <w:noWrap w:val="0"/>
            <w:vAlign w:val="center"/>
          </w:tcPr>
          <w:p w14:paraId="66E9DD1C">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w:t>
            </w:r>
          </w:p>
        </w:tc>
        <w:tc>
          <w:tcPr>
            <w:tcW w:w="948" w:type="dxa"/>
            <w:vMerge w:val="continue"/>
            <w:noWrap w:val="0"/>
            <w:vAlign w:val="center"/>
          </w:tcPr>
          <w:p w14:paraId="03893F97">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p>
        </w:tc>
        <w:tc>
          <w:tcPr>
            <w:tcW w:w="2007" w:type="dxa"/>
            <w:vMerge w:val="continue"/>
            <w:noWrap w:val="0"/>
            <w:vAlign w:val="center"/>
          </w:tcPr>
          <w:p w14:paraId="655D5E13">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p>
        </w:tc>
      </w:tr>
      <w:tr w14:paraId="43E5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520" w:type="dxa"/>
            <w:noWrap w:val="0"/>
            <w:vAlign w:val="center"/>
          </w:tcPr>
          <w:p w14:paraId="68552779">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w:t>
            </w:r>
          </w:p>
        </w:tc>
        <w:tc>
          <w:tcPr>
            <w:tcW w:w="6014" w:type="dxa"/>
            <w:noWrap w:val="0"/>
            <w:vAlign w:val="top"/>
          </w:tcPr>
          <w:p w14:paraId="56F49910">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投标人</w:t>
            </w:r>
            <w:r>
              <w:rPr>
                <w:rFonts w:hint="eastAsia" w:asciiTheme="minorEastAsia" w:hAnsiTheme="minorEastAsia" w:eastAsiaTheme="minorEastAsia" w:cstheme="minorEastAsia"/>
                <w:kern w:val="0"/>
                <w:sz w:val="24"/>
                <w:szCs w:val="24"/>
                <w:highlight w:val="none"/>
              </w:rPr>
              <w:t>售后服务车辆配置：本项目要求</w:t>
            </w:r>
            <w:r>
              <w:rPr>
                <w:rFonts w:hint="eastAsia" w:asciiTheme="minorEastAsia" w:hAnsiTheme="minorEastAsia" w:eastAsiaTheme="minorEastAsia" w:cstheme="minorEastAsia"/>
                <w:kern w:val="0"/>
                <w:sz w:val="24"/>
                <w:szCs w:val="24"/>
                <w:highlight w:val="none"/>
                <w:lang w:val="en-US" w:eastAsia="zh-CN"/>
              </w:rPr>
              <w:t>投标人的</w:t>
            </w:r>
            <w:r>
              <w:rPr>
                <w:rFonts w:hint="eastAsia" w:asciiTheme="minorEastAsia" w:hAnsiTheme="minorEastAsia" w:eastAsiaTheme="minorEastAsia" w:cstheme="minorEastAsia"/>
                <w:kern w:val="0"/>
                <w:sz w:val="24"/>
                <w:szCs w:val="24"/>
                <w:highlight w:val="none"/>
              </w:rPr>
              <w:t>售后运维车辆数量 8辆及以上得5分，5-7 辆得3分，1-4辆得2分，不提供不得分（提供有效期内的行驶证扫描件，车辆照片（含车牌）</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否则不得分</w:t>
            </w:r>
            <w:r>
              <w:rPr>
                <w:rFonts w:hint="eastAsia" w:asciiTheme="minorEastAsia" w:hAnsiTheme="minorEastAsia" w:eastAsiaTheme="minorEastAsia" w:cstheme="minorEastAsia"/>
                <w:kern w:val="0"/>
                <w:sz w:val="24"/>
                <w:szCs w:val="24"/>
                <w:highlight w:val="none"/>
              </w:rPr>
              <w:t>）。</w:t>
            </w:r>
          </w:p>
        </w:tc>
        <w:tc>
          <w:tcPr>
            <w:tcW w:w="626" w:type="dxa"/>
            <w:noWrap w:val="0"/>
            <w:vAlign w:val="center"/>
          </w:tcPr>
          <w:p w14:paraId="53C8B2AF">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w:t>
            </w:r>
          </w:p>
        </w:tc>
        <w:tc>
          <w:tcPr>
            <w:tcW w:w="948" w:type="dxa"/>
            <w:noWrap w:val="0"/>
            <w:vAlign w:val="center"/>
          </w:tcPr>
          <w:p w14:paraId="0BBB25FE">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客观</w:t>
            </w:r>
            <w:r>
              <w:rPr>
                <w:rFonts w:hint="eastAsia" w:asciiTheme="minorEastAsia" w:hAnsiTheme="minorEastAsia" w:eastAsiaTheme="minorEastAsia" w:cstheme="minorEastAsia"/>
                <w:kern w:val="0"/>
                <w:sz w:val="24"/>
                <w:szCs w:val="24"/>
                <w:highlight w:val="none"/>
                <w:lang w:val="en-US" w:eastAsia="zh-CN"/>
              </w:rPr>
              <w:t>分</w:t>
            </w:r>
          </w:p>
        </w:tc>
        <w:tc>
          <w:tcPr>
            <w:tcW w:w="2007" w:type="dxa"/>
            <w:noWrap w:val="0"/>
            <w:vAlign w:val="center"/>
          </w:tcPr>
          <w:p w14:paraId="7985AC31">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zh-CN" w:eastAsia="zh-CN"/>
              </w:rPr>
              <w:t>拟投入</w:t>
            </w:r>
            <w:r>
              <w:rPr>
                <w:rFonts w:hint="eastAsia" w:asciiTheme="minorEastAsia" w:hAnsiTheme="minorEastAsia" w:eastAsiaTheme="minorEastAsia" w:cstheme="minorEastAsia"/>
                <w:kern w:val="0"/>
                <w:sz w:val="24"/>
                <w:szCs w:val="24"/>
                <w:highlight w:val="none"/>
                <w:lang w:val="en-US" w:eastAsia="zh-CN"/>
              </w:rPr>
              <w:t>车辆情况</w:t>
            </w:r>
          </w:p>
        </w:tc>
      </w:tr>
      <w:tr w14:paraId="1478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520" w:type="dxa"/>
            <w:vMerge w:val="restart"/>
            <w:noWrap w:val="0"/>
            <w:vAlign w:val="center"/>
          </w:tcPr>
          <w:p w14:paraId="44FD4076">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6</w:t>
            </w:r>
          </w:p>
        </w:tc>
        <w:tc>
          <w:tcPr>
            <w:tcW w:w="6014" w:type="dxa"/>
            <w:noWrap w:val="0"/>
            <w:vAlign w:val="top"/>
          </w:tcPr>
          <w:p w14:paraId="717FED40">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en-US" w:eastAsia="zh-CN"/>
              </w:rPr>
              <w:t>投标人</w:t>
            </w:r>
            <w:r>
              <w:rPr>
                <w:rFonts w:hint="eastAsia" w:asciiTheme="minorEastAsia" w:hAnsiTheme="minorEastAsia" w:eastAsiaTheme="minorEastAsia" w:cstheme="minorEastAsia"/>
                <w:kern w:val="0"/>
                <w:sz w:val="24"/>
                <w:szCs w:val="24"/>
                <w:highlight w:val="none"/>
              </w:rPr>
              <w:t>对视频监控系统和系统平台的现状分析</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内容充实，表述清晰，合理可行得</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分；内容较充实，表述较清晰，比较合理得</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分；内容</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充实，表述</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清晰，</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合理得</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内容和表述一般，基本合理得</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内容和表述</w:t>
            </w:r>
            <w:r>
              <w:rPr>
                <w:rFonts w:hint="eastAsia" w:asciiTheme="minorEastAsia" w:hAnsiTheme="minorEastAsia" w:eastAsiaTheme="minorEastAsia" w:cstheme="minorEastAsia"/>
                <w:kern w:val="0"/>
                <w:sz w:val="24"/>
                <w:szCs w:val="24"/>
                <w:highlight w:val="none"/>
                <w:lang w:val="en-US" w:eastAsia="zh-CN"/>
              </w:rPr>
              <w:t>欠缺</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不</w:t>
            </w:r>
            <w:r>
              <w:rPr>
                <w:rFonts w:hint="eastAsia" w:asciiTheme="minorEastAsia" w:hAnsiTheme="minorEastAsia" w:eastAsiaTheme="minorEastAsia" w:cstheme="minorEastAsia"/>
                <w:kern w:val="0"/>
                <w:sz w:val="24"/>
                <w:szCs w:val="24"/>
                <w:highlight w:val="none"/>
              </w:rPr>
              <w:t>合理</w:t>
            </w:r>
            <w:r>
              <w:rPr>
                <w:rFonts w:hint="eastAsia" w:asciiTheme="minorEastAsia" w:hAnsiTheme="minorEastAsia" w:eastAsiaTheme="minorEastAsia" w:cstheme="minorEastAsia"/>
                <w:kern w:val="0"/>
                <w:sz w:val="24"/>
                <w:szCs w:val="24"/>
                <w:highlight w:val="none"/>
                <w:lang w:eastAsia="zh-CN"/>
              </w:rPr>
              <w:t>的不得分</w:t>
            </w:r>
            <w:r>
              <w:rPr>
                <w:rFonts w:hint="eastAsia" w:asciiTheme="minorEastAsia" w:hAnsiTheme="minorEastAsia" w:eastAsiaTheme="minorEastAsia" w:cstheme="minorEastAsia"/>
                <w:kern w:val="0"/>
                <w:sz w:val="24"/>
                <w:szCs w:val="24"/>
                <w:highlight w:val="none"/>
              </w:rPr>
              <w:t>。</w:t>
            </w:r>
          </w:p>
        </w:tc>
        <w:tc>
          <w:tcPr>
            <w:tcW w:w="626" w:type="dxa"/>
            <w:noWrap w:val="0"/>
            <w:vAlign w:val="center"/>
          </w:tcPr>
          <w:p w14:paraId="078A358F">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4</w:t>
            </w:r>
          </w:p>
        </w:tc>
        <w:tc>
          <w:tcPr>
            <w:tcW w:w="948" w:type="dxa"/>
            <w:vMerge w:val="restart"/>
            <w:noWrap w:val="0"/>
            <w:vAlign w:val="center"/>
          </w:tcPr>
          <w:p w14:paraId="48DEF1EC">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主观分</w:t>
            </w:r>
          </w:p>
        </w:tc>
        <w:tc>
          <w:tcPr>
            <w:tcW w:w="2007" w:type="dxa"/>
            <w:vMerge w:val="restart"/>
            <w:noWrap w:val="0"/>
            <w:vAlign w:val="center"/>
          </w:tcPr>
          <w:p w14:paraId="4500C5AD">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技术方案</w:t>
            </w:r>
          </w:p>
        </w:tc>
      </w:tr>
      <w:tr w14:paraId="7B60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520" w:type="dxa"/>
            <w:vMerge w:val="continue"/>
            <w:noWrap w:val="0"/>
            <w:vAlign w:val="center"/>
          </w:tcPr>
          <w:p w14:paraId="4DCD841C">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rPr>
            </w:pPr>
          </w:p>
        </w:tc>
        <w:tc>
          <w:tcPr>
            <w:tcW w:w="6014" w:type="dxa"/>
            <w:noWrap w:val="0"/>
            <w:vAlign w:val="top"/>
          </w:tcPr>
          <w:p w14:paraId="41CCB04A">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en-US" w:eastAsia="zh-CN"/>
              </w:rPr>
              <w:t>投标人</w:t>
            </w:r>
            <w:r>
              <w:rPr>
                <w:rFonts w:hint="eastAsia" w:asciiTheme="minorEastAsia" w:hAnsiTheme="minorEastAsia" w:eastAsiaTheme="minorEastAsia" w:cstheme="minorEastAsia"/>
                <w:kern w:val="0"/>
                <w:sz w:val="24"/>
                <w:szCs w:val="24"/>
                <w:highlight w:val="none"/>
              </w:rPr>
              <w:t>提出的系统建设总体思路、建设原则、采用的技术特点及系统各功能模块介绍等情况</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内容充实，表述清晰，合理可行得</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分；内容较充实，表述较清晰，比较合理得</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分；内容</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充实，表述</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清晰，</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合理得</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内容和表述一般，基本合理得</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内容和表述</w:t>
            </w:r>
            <w:r>
              <w:rPr>
                <w:rFonts w:hint="eastAsia" w:asciiTheme="minorEastAsia" w:hAnsiTheme="minorEastAsia" w:eastAsiaTheme="minorEastAsia" w:cstheme="minorEastAsia"/>
                <w:kern w:val="0"/>
                <w:sz w:val="24"/>
                <w:szCs w:val="24"/>
                <w:highlight w:val="none"/>
                <w:lang w:val="en-US" w:eastAsia="zh-CN"/>
              </w:rPr>
              <w:t>欠缺</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不</w:t>
            </w:r>
            <w:r>
              <w:rPr>
                <w:rFonts w:hint="eastAsia" w:asciiTheme="minorEastAsia" w:hAnsiTheme="minorEastAsia" w:eastAsiaTheme="minorEastAsia" w:cstheme="minorEastAsia"/>
                <w:kern w:val="0"/>
                <w:sz w:val="24"/>
                <w:szCs w:val="24"/>
                <w:highlight w:val="none"/>
              </w:rPr>
              <w:t>合理</w:t>
            </w:r>
            <w:r>
              <w:rPr>
                <w:rFonts w:hint="eastAsia" w:asciiTheme="minorEastAsia" w:hAnsiTheme="minorEastAsia" w:eastAsiaTheme="minorEastAsia" w:cstheme="minorEastAsia"/>
                <w:kern w:val="0"/>
                <w:sz w:val="24"/>
                <w:szCs w:val="24"/>
                <w:highlight w:val="none"/>
                <w:lang w:eastAsia="zh-CN"/>
              </w:rPr>
              <w:t>的不得分</w:t>
            </w:r>
            <w:r>
              <w:rPr>
                <w:rFonts w:hint="eastAsia" w:asciiTheme="minorEastAsia" w:hAnsiTheme="minorEastAsia" w:eastAsiaTheme="minorEastAsia" w:cstheme="minorEastAsia"/>
                <w:kern w:val="0"/>
                <w:sz w:val="24"/>
                <w:szCs w:val="24"/>
                <w:highlight w:val="none"/>
              </w:rPr>
              <w:t>。</w:t>
            </w:r>
          </w:p>
        </w:tc>
        <w:tc>
          <w:tcPr>
            <w:tcW w:w="626" w:type="dxa"/>
            <w:noWrap w:val="0"/>
            <w:vAlign w:val="center"/>
          </w:tcPr>
          <w:p w14:paraId="577B8DC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4</w:t>
            </w:r>
          </w:p>
        </w:tc>
        <w:tc>
          <w:tcPr>
            <w:tcW w:w="948" w:type="dxa"/>
            <w:vMerge w:val="continue"/>
            <w:noWrap w:val="0"/>
            <w:vAlign w:val="center"/>
          </w:tcPr>
          <w:p w14:paraId="118070A3">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p>
        </w:tc>
        <w:tc>
          <w:tcPr>
            <w:tcW w:w="2007" w:type="dxa"/>
            <w:vMerge w:val="continue"/>
            <w:noWrap w:val="0"/>
            <w:vAlign w:val="center"/>
          </w:tcPr>
          <w:p w14:paraId="0C4912CC">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p>
        </w:tc>
      </w:tr>
      <w:tr w14:paraId="7D745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520" w:type="dxa"/>
            <w:vMerge w:val="continue"/>
            <w:noWrap w:val="0"/>
            <w:vAlign w:val="center"/>
          </w:tcPr>
          <w:p w14:paraId="57C69047">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p>
        </w:tc>
        <w:tc>
          <w:tcPr>
            <w:tcW w:w="6014" w:type="dxa"/>
            <w:noWrap w:val="0"/>
            <w:vAlign w:val="top"/>
          </w:tcPr>
          <w:p w14:paraId="398D7173">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en-US" w:eastAsia="zh-CN"/>
              </w:rPr>
              <w:t>投标人针对</w:t>
            </w:r>
            <w:r>
              <w:rPr>
                <w:rFonts w:hint="eastAsia" w:asciiTheme="minorEastAsia" w:hAnsiTheme="minorEastAsia" w:eastAsiaTheme="minorEastAsia" w:cstheme="minorEastAsia"/>
                <w:kern w:val="0"/>
                <w:sz w:val="24"/>
                <w:szCs w:val="24"/>
                <w:highlight w:val="none"/>
              </w:rPr>
              <w:t>本项目所建设系统与现有各系统之间的衔接及整合方案</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内容充实，表述清晰，合理可行得</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分；内容较充实，表述较清晰，比较合理得</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分；内容</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充实，表述</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清晰，</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合理得</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内容和表述一般，基本合理得</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内容和表述</w:t>
            </w:r>
            <w:r>
              <w:rPr>
                <w:rFonts w:hint="eastAsia" w:asciiTheme="minorEastAsia" w:hAnsiTheme="minorEastAsia" w:eastAsiaTheme="minorEastAsia" w:cstheme="minorEastAsia"/>
                <w:kern w:val="0"/>
                <w:sz w:val="24"/>
                <w:szCs w:val="24"/>
                <w:highlight w:val="none"/>
                <w:lang w:val="en-US" w:eastAsia="zh-CN"/>
              </w:rPr>
              <w:t>欠缺</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不</w:t>
            </w:r>
            <w:r>
              <w:rPr>
                <w:rFonts w:hint="eastAsia" w:asciiTheme="minorEastAsia" w:hAnsiTheme="minorEastAsia" w:eastAsiaTheme="minorEastAsia" w:cstheme="minorEastAsia"/>
                <w:kern w:val="0"/>
                <w:sz w:val="24"/>
                <w:szCs w:val="24"/>
                <w:highlight w:val="none"/>
              </w:rPr>
              <w:t>合理</w:t>
            </w:r>
            <w:r>
              <w:rPr>
                <w:rFonts w:hint="eastAsia" w:asciiTheme="minorEastAsia" w:hAnsiTheme="minorEastAsia" w:eastAsiaTheme="minorEastAsia" w:cstheme="minorEastAsia"/>
                <w:kern w:val="0"/>
                <w:sz w:val="24"/>
                <w:szCs w:val="24"/>
                <w:highlight w:val="none"/>
                <w:lang w:eastAsia="zh-CN"/>
              </w:rPr>
              <w:t>的不得分</w:t>
            </w:r>
            <w:r>
              <w:rPr>
                <w:rFonts w:hint="eastAsia" w:asciiTheme="minorEastAsia" w:hAnsiTheme="minorEastAsia" w:eastAsiaTheme="minorEastAsia" w:cstheme="minorEastAsia"/>
                <w:kern w:val="0"/>
                <w:sz w:val="24"/>
                <w:szCs w:val="24"/>
                <w:highlight w:val="none"/>
              </w:rPr>
              <w:t>。</w:t>
            </w:r>
          </w:p>
        </w:tc>
        <w:tc>
          <w:tcPr>
            <w:tcW w:w="626" w:type="dxa"/>
            <w:noWrap w:val="0"/>
            <w:vAlign w:val="center"/>
          </w:tcPr>
          <w:p w14:paraId="044065A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4</w:t>
            </w:r>
          </w:p>
        </w:tc>
        <w:tc>
          <w:tcPr>
            <w:tcW w:w="948" w:type="dxa"/>
            <w:vMerge w:val="continue"/>
            <w:noWrap w:val="0"/>
            <w:vAlign w:val="center"/>
          </w:tcPr>
          <w:p w14:paraId="6B981800">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p>
        </w:tc>
        <w:tc>
          <w:tcPr>
            <w:tcW w:w="2007" w:type="dxa"/>
            <w:vMerge w:val="continue"/>
            <w:noWrap w:val="0"/>
            <w:vAlign w:val="center"/>
          </w:tcPr>
          <w:p w14:paraId="77E07B81">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p>
        </w:tc>
      </w:tr>
      <w:tr w14:paraId="7A37C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trPr>
        <w:tc>
          <w:tcPr>
            <w:tcW w:w="520" w:type="dxa"/>
            <w:vMerge w:val="restart"/>
            <w:noWrap w:val="0"/>
            <w:vAlign w:val="center"/>
          </w:tcPr>
          <w:p w14:paraId="5D119DAE">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7</w:t>
            </w:r>
          </w:p>
        </w:tc>
        <w:tc>
          <w:tcPr>
            <w:tcW w:w="6014" w:type="dxa"/>
            <w:noWrap w:val="0"/>
            <w:vAlign w:val="center"/>
          </w:tcPr>
          <w:p w14:paraId="5029134E">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工期保证措施：根据投标人对供货时间、工程进度的控制、对进度影响因素考虑周全程度和响应程度等的措施进行评审。工期保证措施</w:t>
            </w:r>
            <w:r>
              <w:rPr>
                <w:rFonts w:hint="eastAsia" w:asciiTheme="minorEastAsia" w:hAnsiTheme="minorEastAsia" w:eastAsiaTheme="minorEastAsia" w:cstheme="minorEastAsia"/>
                <w:kern w:val="0"/>
                <w:sz w:val="24"/>
                <w:szCs w:val="24"/>
                <w:highlight w:val="none"/>
                <w:lang w:val="en-US" w:eastAsia="zh-CN"/>
              </w:rPr>
              <w:t>科学合理，</w:t>
            </w:r>
            <w:r>
              <w:rPr>
                <w:rFonts w:hint="eastAsia" w:asciiTheme="minorEastAsia" w:hAnsiTheme="minorEastAsia" w:eastAsiaTheme="minorEastAsia" w:cstheme="minorEastAsia"/>
                <w:kern w:val="0"/>
                <w:sz w:val="24"/>
                <w:szCs w:val="24"/>
                <w:highlight w:val="none"/>
              </w:rPr>
              <w:t>完全符合本项目的得</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基本</w:t>
            </w:r>
            <w:r>
              <w:rPr>
                <w:rFonts w:hint="eastAsia" w:asciiTheme="minorEastAsia" w:hAnsiTheme="minorEastAsia" w:eastAsiaTheme="minorEastAsia" w:cstheme="minorEastAsia"/>
                <w:kern w:val="0"/>
                <w:sz w:val="24"/>
                <w:szCs w:val="24"/>
                <w:highlight w:val="none"/>
              </w:rPr>
              <w:t>符合本项目需求的得</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大部分满足本项目的得2分，一般满足本项目的得1分，</w:t>
            </w:r>
            <w:r>
              <w:rPr>
                <w:rFonts w:hint="eastAsia" w:asciiTheme="minorEastAsia" w:hAnsiTheme="minorEastAsia" w:eastAsiaTheme="minorEastAsia" w:cstheme="minorEastAsia"/>
                <w:kern w:val="0"/>
                <w:sz w:val="24"/>
                <w:szCs w:val="24"/>
                <w:highlight w:val="none"/>
              </w:rPr>
              <w:t>不符合本项目需求</w:t>
            </w:r>
            <w:r>
              <w:rPr>
                <w:rFonts w:hint="eastAsia" w:asciiTheme="minorEastAsia" w:hAnsiTheme="minorEastAsia" w:eastAsiaTheme="minorEastAsia" w:cstheme="minorEastAsia"/>
                <w:kern w:val="0"/>
                <w:sz w:val="24"/>
                <w:szCs w:val="24"/>
                <w:highlight w:val="none"/>
                <w:lang w:eastAsia="zh-CN"/>
              </w:rPr>
              <w:t>的不得分</w:t>
            </w:r>
            <w:r>
              <w:rPr>
                <w:rFonts w:hint="eastAsia" w:asciiTheme="minorEastAsia" w:hAnsiTheme="minorEastAsia" w:eastAsiaTheme="minorEastAsia" w:cstheme="minorEastAsia"/>
                <w:kern w:val="0"/>
                <w:sz w:val="24"/>
                <w:szCs w:val="24"/>
                <w:highlight w:val="none"/>
              </w:rPr>
              <w:t>。</w:t>
            </w:r>
          </w:p>
        </w:tc>
        <w:tc>
          <w:tcPr>
            <w:tcW w:w="626" w:type="dxa"/>
            <w:noWrap w:val="0"/>
            <w:vAlign w:val="center"/>
          </w:tcPr>
          <w:p w14:paraId="1F9C0E0D">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4</w:t>
            </w:r>
          </w:p>
        </w:tc>
        <w:tc>
          <w:tcPr>
            <w:tcW w:w="948" w:type="dxa"/>
            <w:vMerge w:val="restart"/>
            <w:noWrap w:val="0"/>
            <w:vAlign w:val="center"/>
          </w:tcPr>
          <w:p w14:paraId="73C07B1B">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主观分</w:t>
            </w:r>
          </w:p>
        </w:tc>
        <w:tc>
          <w:tcPr>
            <w:tcW w:w="2007" w:type="dxa"/>
            <w:vMerge w:val="restart"/>
            <w:noWrap w:val="0"/>
            <w:vAlign w:val="center"/>
          </w:tcPr>
          <w:p w14:paraId="15EFCC70">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实施方案</w:t>
            </w:r>
          </w:p>
        </w:tc>
      </w:tr>
      <w:tr w14:paraId="03F81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trPr>
        <w:tc>
          <w:tcPr>
            <w:tcW w:w="520" w:type="dxa"/>
            <w:vMerge w:val="continue"/>
            <w:noWrap w:val="0"/>
            <w:vAlign w:val="center"/>
          </w:tcPr>
          <w:p w14:paraId="63BC361A">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p>
        </w:tc>
        <w:tc>
          <w:tcPr>
            <w:tcW w:w="6014" w:type="dxa"/>
            <w:noWrap w:val="0"/>
            <w:vAlign w:val="center"/>
          </w:tcPr>
          <w:p w14:paraId="50306B3F">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质量保证措施：根据投标人对供货的质量、供货的方案、可靠性及技术保障的措施叙述科学合理进行评审。方案合理</w:t>
            </w:r>
            <w:r>
              <w:rPr>
                <w:rFonts w:hint="eastAsia" w:asciiTheme="minorEastAsia" w:hAnsiTheme="minorEastAsia" w:eastAsiaTheme="minorEastAsia" w:cstheme="minorEastAsia"/>
                <w:kern w:val="0"/>
                <w:sz w:val="24"/>
                <w:szCs w:val="24"/>
                <w:highlight w:val="none"/>
                <w:lang w:val="en-US" w:eastAsia="zh-CN"/>
              </w:rPr>
              <w:t>可靠</w:t>
            </w:r>
            <w:r>
              <w:rPr>
                <w:rFonts w:hint="eastAsia" w:asciiTheme="minorEastAsia" w:hAnsiTheme="minorEastAsia" w:eastAsiaTheme="minorEastAsia" w:cstheme="minorEastAsia"/>
                <w:kern w:val="0"/>
                <w:sz w:val="24"/>
                <w:szCs w:val="24"/>
                <w:highlight w:val="none"/>
              </w:rPr>
              <w:t>、符合要求</w:t>
            </w:r>
            <w:r>
              <w:rPr>
                <w:rFonts w:hint="eastAsia" w:asciiTheme="minorEastAsia" w:hAnsiTheme="minorEastAsia" w:eastAsiaTheme="minorEastAsia" w:cstheme="minorEastAsia"/>
                <w:kern w:val="0"/>
                <w:sz w:val="24"/>
                <w:szCs w:val="24"/>
                <w:highlight w:val="none"/>
                <w:lang w:val="en-US" w:eastAsia="zh-CN"/>
              </w:rPr>
              <w:t>得4分；方案</w:t>
            </w:r>
            <w:r>
              <w:rPr>
                <w:rFonts w:hint="eastAsia" w:asciiTheme="minorEastAsia" w:hAnsiTheme="minorEastAsia" w:eastAsiaTheme="minorEastAsia" w:cstheme="minorEastAsia"/>
                <w:kern w:val="0"/>
                <w:sz w:val="24"/>
                <w:szCs w:val="24"/>
                <w:highlight w:val="none"/>
              </w:rPr>
              <w:t>阐述</w:t>
            </w:r>
            <w:r>
              <w:rPr>
                <w:rFonts w:hint="eastAsia" w:asciiTheme="minorEastAsia" w:hAnsiTheme="minorEastAsia" w:eastAsiaTheme="minorEastAsia" w:cstheme="minorEastAsia"/>
                <w:kern w:val="0"/>
                <w:sz w:val="24"/>
                <w:szCs w:val="24"/>
                <w:highlight w:val="none"/>
                <w:lang w:val="en-US" w:eastAsia="zh-CN"/>
              </w:rPr>
              <w:t>较</w:t>
            </w:r>
            <w:r>
              <w:rPr>
                <w:rFonts w:hint="eastAsia" w:asciiTheme="minorEastAsia" w:hAnsiTheme="minorEastAsia" w:eastAsiaTheme="minorEastAsia" w:cstheme="minorEastAsia"/>
                <w:kern w:val="0"/>
                <w:sz w:val="24"/>
                <w:szCs w:val="24"/>
                <w:highlight w:val="none"/>
              </w:rPr>
              <w:t>合理</w:t>
            </w:r>
            <w:r>
              <w:rPr>
                <w:rFonts w:hint="eastAsia" w:asciiTheme="minorEastAsia" w:hAnsiTheme="minorEastAsia" w:eastAsiaTheme="minorEastAsia" w:cstheme="minorEastAsia"/>
                <w:kern w:val="0"/>
                <w:sz w:val="24"/>
                <w:szCs w:val="24"/>
                <w:highlight w:val="none"/>
                <w:lang w:val="en-US" w:eastAsia="zh-CN"/>
              </w:rPr>
              <w:t>可靠</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较</w:t>
            </w:r>
            <w:r>
              <w:rPr>
                <w:rFonts w:hint="eastAsia" w:asciiTheme="minorEastAsia" w:hAnsiTheme="minorEastAsia" w:eastAsiaTheme="minorEastAsia" w:cstheme="minorEastAsia"/>
                <w:kern w:val="0"/>
                <w:sz w:val="24"/>
                <w:szCs w:val="24"/>
                <w:highlight w:val="none"/>
              </w:rPr>
              <w:t>符合要求</w:t>
            </w:r>
            <w:r>
              <w:rPr>
                <w:rFonts w:hint="eastAsia" w:asciiTheme="minorEastAsia" w:hAnsiTheme="minorEastAsia" w:eastAsiaTheme="minorEastAsia" w:cstheme="minorEastAsia"/>
                <w:kern w:val="0"/>
                <w:sz w:val="24"/>
                <w:szCs w:val="24"/>
                <w:highlight w:val="none"/>
                <w:lang w:val="en-US" w:eastAsia="zh-CN"/>
              </w:rPr>
              <w:t>得3分；方案</w:t>
            </w:r>
            <w:r>
              <w:rPr>
                <w:rFonts w:hint="eastAsia" w:asciiTheme="minorEastAsia" w:hAnsiTheme="minorEastAsia" w:eastAsiaTheme="minorEastAsia" w:cstheme="minorEastAsia"/>
                <w:kern w:val="0"/>
                <w:sz w:val="24"/>
                <w:szCs w:val="24"/>
                <w:highlight w:val="none"/>
              </w:rPr>
              <w:t>阐述</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合理</w:t>
            </w:r>
            <w:r>
              <w:rPr>
                <w:rFonts w:hint="eastAsia" w:asciiTheme="minorEastAsia" w:hAnsiTheme="minorEastAsia" w:eastAsiaTheme="minorEastAsia" w:cstheme="minorEastAsia"/>
                <w:kern w:val="0"/>
                <w:sz w:val="24"/>
                <w:szCs w:val="24"/>
                <w:highlight w:val="none"/>
                <w:lang w:val="en-US" w:eastAsia="zh-CN"/>
              </w:rPr>
              <w:t>可靠</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相对</w:t>
            </w:r>
            <w:r>
              <w:rPr>
                <w:rFonts w:hint="eastAsia" w:asciiTheme="minorEastAsia" w:hAnsiTheme="minorEastAsia" w:eastAsiaTheme="minorEastAsia" w:cstheme="minorEastAsia"/>
                <w:kern w:val="0"/>
                <w:sz w:val="24"/>
                <w:szCs w:val="24"/>
                <w:highlight w:val="none"/>
              </w:rPr>
              <w:t>符合要求</w:t>
            </w:r>
            <w:r>
              <w:rPr>
                <w:rFonts w:hint="eastAsia" w:asciiTheme="minorEastAsia" w:hAnsiTheme="minorEastAsia" w:eastAsiaTheme="minorEastAsia" w:cstheme="minorEastAsia"/>
                <w:kern w:val="0"/>
                <w:sz w:val="24"/>
                <w:szCs w:val="24"/>
                <w:highlight w:val="none"/>
                <w:lang w:val="en-US" w:eastAsia="zh-CN"/>
              </w:rPr>
              <w:t>得2分；方案</w:t>
            </w:r>
            <w:r>
              <w:rPr>
                <w:rFonts w:hint="eastAsia" w:asciiTheme="minorEastAsia" w:hAnsiTheme="minorEastAsia" w:eastAsiaTheme="minorEastAsia" w:cstheme="minorEastAsia"/>
                <w:kern w:val="0"/>
                <w:sz w:val="24"/>
                <w:szCs w:val="24"/>
                <w:highlight w:val="none"/>
              </w:rPr>
              <w:t>阐述</w:t>
            </w:r>
            <w:r>
              <w:rPr>
                <w:rFonts w:hint="eastAsia" w:asciiTheme="minorEastAsia" w:hAnsiTheme="minorEastAsia" w:eastAsiaTheme="minorEastAsia" w:cstheme="minorEastAsia"/>
                <w:kern w:val="0"/>
                <w:sz w:val="24"/>
                <w:szCs w:val="24"/>
                <w:highlight w:val="none"/>
                <w:lang w:val="en-US" w:eastAsia="zh-CN"/>
              </w:rPr>
              <w:t>基本</w:t>
            </w:r>
            <w:r>
              <w:rPr>
                <w:rFonts w:hint="eastAsia" w:asciiTheme="minorEastAsia" w:hAnsiTheme="minorEastAsia" w:eastAsiaTheme="minorEastAsia" w:cstheme="minorEastAsia"/>
                <w:kern w:val="0"/>
                <w:sz w:val="24"/>
                <w:szCs w:val="24"/>
                <w:highlight w:val="none"/>
              </w:rPr>
              <w:t>合理</w:t>
            </w:r>
            <w:r>
              <w:rPr>
                <w:rFonts w:hint="eastAsia" w:asciiTheme="minorEastAsia" w:hAnsiTheme="minorEastAsia" w:eastAsiaTheme="minorEastAsia" w:cstheme="minorEastAsia"/>
                <w:kern w:val="0"/>
                <w:sz w:val="24"/>
                <w:szCs w:val="24"/>
                <w:highlight w:val="none"/>
                <w:lang w:val="en-US" w:eastAsia="zh-CN"/>
              </w:rPr>
              <w:t>可靠</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基本</w:t>
            </w:r>
            <w:r>
              <w:rPr>
                <w:rFonts w:hint="eastAsia" w:asciiTheme="minorEastAsia" w:hAnsiTheme="minorEastAsia" w:eastAsiaTheme="minorEastAsia" w:cstheme="minorEastAsia"/>
                <w:kern w:val="0"/>
                <w:sz w:val="24"/>
                <w:szCs w:val="24"/>
                <w:highlight w:val="none"/>
              </w:rPr>
              <w:t>符合要求</w:t>
            </w:r>
            <w:r>
              <w:rPr>
                <w:rFonts w:hint="eastAsia" w:asciiTheme="minorEastAsia" w:hAnsiTheme="minorEastAsia" w:eastAsiaTheme="minorEastAsia" w:cstheme="minorEastAsia"/>
                <w:kern w:val="0"/>
                <w:sz w:val="24"/>
                <w:szCs w:val="24"/>
                <w:highlight w:val="none"/>
                <w:lang w:val="en-US" w:eastAsia="zh-CN"/>
              </w:rPr>
              <w:t>得1分；方案</w:t>
            </w:r>
            <w:r>
              <w:rPr>
                <w:rFonts w:hint="eastAsia" w:asciiTheme="minorEastAsia" w:hAnsiTheme="minorEastAsia" w:eastAsiaTheme="minorEastAsia" w:cstheme="minorEastAsia"/>
                <w:kern w:val="0"/>
                <w:sz w:val="24"/>
                <w:szCs w:val="24"/>
                <w:highlight w:val="none"/>
              </w:rPr>
              <w:t>阐述</w:t>
            </w:r>
            <w:r>
              <w:rPr>
                <w:rFonts w:hint="eastAsia" w:asciiTheme="minorEastAsia" w:hAnsiTheme="minorEastAsia" w:eastAsiaTheme="minorEastAsia" w:cstheme="minorEastAsia"/>
                <w:kern w:val="0"/>
                <w:sz w:val="24"/>
                <w:szCs w:val="24"/>
                <w:highlight w:val="none"/>
                <w:lang w:val="en-US" w:eastAsia="zh-CN"/>
              </w:rPr>
              <w:t>不合理和不符合要求不得分。</w:t>
            </w:r>
          </w:p>
        </w:tc>
        <w:tc>
          <w:tcPr>
            <w:tcW w:w="626" w:type="dxa"/>
            <w:noWrap w:val="0"/>
            <w:vAlign w:val="center"/>
          </w:tcPr>
          <w:p w14:paraId="4191360B">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4</w:t>
            </w:r>
          </w:p>
        </w:tc>
        <w:tc>
          <w:tcPr>
            <w:tcW w:w="948" w:type="dxa"/>
            <w:vMerge w:val="continue"/>
            <w:noWrap w:val="0"/>
            <w:vAlign w:val="center"/>
          </w:tcPr>
          <w:p w14:paraId="3520C949">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p>
        </w:tc>
        <w:tc>
          <w:tcPr>
            <w:tcW w:w="2007" w:type="dxa"/>
            <w:vMerge w:val="continue"/>
            <w:noWrap w:val="0"/>
            <w:vAlign w:val="center"/>
          </w:tcPr>
          <w:p w14:paraId="1846BAF0">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p>
        </w:tc>
      </w:tr>
      <w:tr w14:paraId="1E8C5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520" w:type="dxa"/>
            <w:vMerge w:val="restart"/>
            <w:noWrap w:val="0"/>
            <w:vAlign w:val="center"/>
          </w:tcPr>
          <w:p w14:paraId="30D62EB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8</w:t>
            </w:r>
          </w:p>
        </w:tc>
        <w:tc>
          <w:tcPr>
            <w:tcW w:w="6014" w:type="dxa"/>
            <w:noWrap w:val="0"/>
            <w:vAlign w:val="center"/>
          </w:tcPr>
          <w:p w14:paraId="11F8C6D6">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根据售后服务承诺的可行性、完整性和可操作性，售后服务方案（包括售后服务流程、售后服务方式、售后技术支持能力等）情况进行评审。</w:t>
            </w:r>
            <w:r>
              <w:rPr>
                <w:rFonts w:hint="eastAsia" w:asciiTheme="minorEastAsia" w:hAnsiTheme="minorEastAsia" w:eastAsiaTheme="minorEastAsia" w:cstheme="minorEastAsia"/>
                <w:kern w:val="0"/>
                <w:sz w:val="24"/>
                <w:szCs w:val="24"/>
                <w:highlight w:val="none"/>
                <w:lang w:val="en-US" w:eastAsia="zh-CN"/>
              </w:rPr>
              <w:t>方案可行、完整，可操作性高得4分；方案较可行、完整，可操作性较高得3分；方案相对可行、完整，可操作性相对高得2分；方案基本可行、完整，可操作性一般得1分；方案不可行和无可操作性不得分。</w:t>
            </w:r>
          </w:p>
        </w:tc>
        <w:tc>
          <w:tcPr>
            <w:tcW w:w="626" w:type="dxa"/>
            <w:noWrap w:val="0"/>
            <w:vAlign w:val="center"/>
          </w:tcPr>
          <w:p w14:paraId="2CA5D890">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4</w:t>
            </w:r>
          </w:p>
        </w:tc>
        <w:tc>
          <w:tcPr>
            <w:tcW w:w="948" w:type="dxa"/>
            <w:vMerge w:val="restart"/>
            <w:noWrap w:val="0"/>
            <w:vAlign w:val="center"/>
          </w:tcPr>
          <w:p w14:paraId="23118A84">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主观分</w:t>
            </w:r>
          </w:p>
        </w:tc>
        <w:tc>
          <w:tcPr>
            <w:tcW w:w="2007" w:type="dxa"/>
            <w:vMerge w:val="restart"/>
            <w:noWrap w:val="0"/>
            <w:vAlign w:val="center"/>
          </w:tcPr>
          <w:p w14:paraId="5A0B8F42">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售后服务</w:t>
            </w:r>
          </w:p>
        </w:tc>
      </w:tr>
      <w:tr w14:paraId="2FCE3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520" w:type="dxa"/>
            <w:vMerge w:val="continue"/>
            <w:noWrap w:val="0"/>
            <w:vAlign w:val="center"/>
          </w:tcPr>
          <w:p w14:paraId="33D70D07">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rPr>
            </w:pPr>
          </w:p>
        </w:tc>
        <w:tc>
          <w:tcPr>
            <w:tcW w:w="6014" w:type="dxa"/>
            <w:noWrap w:val="0"/>
            <w:vAlign w:val="center"/>
          </w:tcPr>
          <w:p w14:paraId="72CC8D85">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投标人承诺提供应急服务的</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并提供应急服务方案，方案可行、完整，可操作性高得4分；方案较可行、完整，可操作性较高得3分；方案相对可行、完整，可操作性相对高得2分；方案基本可行、完整，可操作性一般得1分；方案不可行和无可操作性不得分。</w:t>
            </w:r>
          </w:p>
        </w:tc>
        <w:tc>
          <w:tcPr>
            <w:tcW w:w="626" w:type="dxa"/>
            <w:noWrap w:val="0"/>
            <w:vAlign w:val="center"/>
          </w:tcPr>
          <w:p w14:paraId="6FE8EE03">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en-US" w:eastAsia="zh-CN"/>
              </w:rPr>
              <w:t>4</w:t>
            </w:r>
          </w:p>
        </w:tc>
        <w:tc>
          <w:tcPr>
            <w:tcW w:w="948" w:type="dxa"/>
            <w:vMerge w:val="continue"/>
            <w:noWrap w:val="0"/>
            <w:vAlign w:val="center"/>
          </w:tcPr>
          <w:p w14:paraId="0E102A32">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p>
        </w:tc>
        <w:tc>
          <w:tcPr>
            <w:tcW w:w="2007" w:type="dxa"/>
            <w:vMerge w:val="continue"/>
            <w:noWrap w:val="0"/>
            <w:vAlign w:val="center"/>
          </w:tcPr>
          <w:p w14:paraId="3C88FCF2">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p>
        </w:tc>
      </w:tr>
      <w:tr w14:paraId="0E07B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520" w:type="dxa"/>
            <w:noWrap w:val="0"/>
            <w:vAlign w:val="center"/>
          </w:tcPr>
          <w:p w14:paraId="75A4D3D5">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9</w:t>
            </w:r>
          </w:p>
        </w:tc>
        <w:tc>
          <w:tcPr>
            <w:tcW w:w="6014" w:type="dxa"/>
            <w:noWrap w:val="0"/>
            <w:vAlign w:val="center"/>
          </w:tcPr>
          <w:p w14:paraId="39F18F59">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根据本项目的现状及实际情况，提出合理化建议</w:t>
            </w:r>
            <w:r>
              <w:rPr>
                <w:rFonts w:hint="eastAsia" w:asciiTheme="minorEastAsia" w:hAnsiTheme="minorEastAsia" w:eastAsiaTheme="minorEastAsia" w:cstheme="minorEastAsia"/>
                <w:kern w:val="0"/>
                <w:sz w:val="24"/>
                <w:szCs w:val="24"/>
                <w:highlight w:val="none"/>
                <w:lang w:val="en-US" w:eastAsia="zh-CN"/>
              </w:rPr>
              <w:t>方案</w:t>
            </w:r>
            <w:r>
              <w:rPr>
                <w:rFonts w:hint="eastAsia" w:asciiTheme="minorEastAsia" w:hAnsiTheme="minorEastAsia" w:eastAsiaTheme="minorEastAsia" w:cstheme="minorEastAsia"/>
                <w:kern w:val="0"/>
                <w:sz w:val="24"/>
                <w:szCs w:val="24"/>
                <w:highlight w:val="none"/>
              </w:rPr>
              <w:t>，根据</w:t>
            </w:r>
            <w:r>
              <w:rPr>
                <w:rFonts w:hint="eastAsia" w:asciiTheme="minorEastAsia" w:hAnsiTheme="minorEastAsia" w:eastAsiaTheme="minorEastAsia" w:cstheme="minorEastAsia"/>
                <w:kern w:val="0"/>
                <w:sz w:val="24"/>
                <w:szCs w:val="24"/>
                <w:highlight w:val="none"/>
                <w:lang w:val="en-US" w:eastAsia="zh-CN"/>
              </w:rPr>
              <w:t>建议</w:t>
            </w:r>
            <w:r>
              <w:rPr>
                <w:rFonts w:hint="eastAsia" w:asciiTheme="minorEastAsia" w:hAnsiTheme="minorEastAsia" w:eastAsiaTheme="minorEastAsia" w:cstheme="minorEastAsia"/>
                <w:kern w:val="0"/>
                <w:sz w:val="24"/>
                <w:szCs w:val="24"/>
                <w:highlight w:val="none"/>
              </w:rPr>
              <w:t>内容进行评审。</w:t>
            </w:r>
            <w:r>
              <w:rPr>
                <w:rFonts w:hint="eastAsia" w:asciiTheme="minorEastAsia" w:hAnsiTheme="minorEastAsia" w:eastAsiaTheme="minorEastAsia" w:cstheme="minorEastAsia"/>
                <w:kern w:val="0"/>
                <w:sz w:val="24"/>
                <w:szCs w:val="24"/>
                <w:highlight w:val="none"/>
                <w:lang w:val="en-US" w:eastAsia="zh-CN"/>
              </w:rPr>
              <w:t>方案可行、完整，可操作性高得4分；方案较可行、完整，可操作性较高得3分；方案相对可行、完整，可操作性相对高得2分；方案基本可行、完整，可操作性一般得1分；方案不可行和无可操作性不得分。</w:t>
            </w:r>
          </w:p>
        </w:tc>
        <w:tc>
          <w:tcPr>
            <w:tcW w:w="626" w:type="dxa"/>
            <w:noWrap w:val="0"/>
            <w:vAlign w:val="center"/>
          </w:tcPr>
          <w:p w14:paraId="4737278D">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w:t>
            </w:r>
          </w:p>
        </w:tc>
        <w:tc>
          <w:tcPr>
            <w:tcW w:w="948" w:type="dxa"/>
            <w:noWrap w:val="0"/>
            <w:vAlign w:val="center"/>
          </w:tcPr>
          <w:p w14:paraId="6B3CE598">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主观分</w:t>
            </w:r>
          </w:p>
        </w:tc>
        <w:tc>
          <w:tcPr>
            <w:tcW w:w="2007" w:type="dxa"/>
            <w:noWrap w:val="0"/>
            <w:vAlign w:val="center"/>
          </w:tcPr>
          <w:p w14:paraId="4EDB0093">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合理化建议</w:t>
            </w:r>
          </w:p>
        </w:tc>
      </w:tr>
      <w:tr w14:paraId="39E3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520" w:type="dxa"/>
            <w:noWrap w:val="0"/>
            <w:vAlign w:val="center"/>
          </w:tcPr>
          <w:p w14:paraId="73B2278F">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10</w:t>
            </w:r>
          </w:p>
        </w:tc>
        <w:tc>
          <w:tcPr>
            <w:tcW w:w="6014" w:type="dxa"/>
            <w:noWrap w:val="0"/>
            <w:vAlign w:val="center"/>
          </w:tcPr>
          <w:p w14:paraId="735DD8A7">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根据投标人提出的试运行、验收方案的合理性、可行性等情况进行</w:t>
            </w:r>
            <w:r>
              <w:rPr>
                <w:rFonts w:hint="eastAsia" w:asciiTheme="minorEastAsia" w:hAnsiTheme="minorEastAsia" w:eastAsiaTheme="minorEastAsia" w:cstheme="minorEastAsia"/>
                <w:kern w:val="0"/>
                <w:sz w:val="24"/>
                <w:szCs w:val="24"/>
                <w:highlight w:val="none"/>
                <w:lang w:eastAsia="zh-CN"/>
              </w:rPr>
              <w:t>评审。</w:t>
            </w:r>
            <w:r>
              <w:rPr>
                <w:rFonts w:hint="eastAsia" w:asciiTheme="minorEastAsia" w:hAnsiTheme="minorEastAsia" w:eastAsiaTheme="minorEastAsia" w:cstheme="minorEastAsia"/>
                <w:kern w:val="0"/>
                <w:sz w:val="24"/>
                <w:szCs w:val="24"/>
                <w:highlight w:val="none"/>
                <w:lang w:val="en-US" w:eastAsia="zh-CN"/>
              </w:rPr>
              <w:t>方案可行、完整，可操作性高得4分；方案较可行、完整，可操作性较高得3分；方案相对可行、完整，可操作性相对高得2分；方案基本可行、完整，可操作性一般得1分；方案不可行和无可操作性不得分。</w:t>
            </w:r>
          </w:p>
        </w:tc>
        <w:tc>
          <w:tcPr>
            <w:tcW w:w="626" w:type="dxa"/>
            <w:noWrap w:val="0"/>
            <w:vAlign w:val="center"/>
          </w:tcPr>
          <w:p w14:paraId="4E39EA05">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w:t>
            </w:r>
          </w:p>
        </w:tc>
        <w:tc>
          <w:tcPr>
            <w:tcW w:w="948" w:type="dxa"/>
            <w:noWrap w:val="0"/>
            <w:vAlign w:val="center"/>
          </w:tcPr>
          <w:p w14:paraId="2411BEE5">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主观分</w:t>
            </w:r>
          </w:p>
        </w:tc>
        <w:tc>
          <w:tcPr>
            <w:tcW w:w="2007" w:type="dxa"/>
            <w:noWrap w:val="0"/>
            <w:vAlign w:val="center"/>
          </w:tcPr>
          <w:p w14:paraId="276A893B">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验收方案</w:t>
            </w:r>
          </w:p>
        </w:tc>
      </w:tr>
      <w:tr w14:paraId="2C07A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trPr>
        <w:tc>
          <w:tcPr>
            <w:tcW w:w="520" w:type="dxa"/>
            <w:noWrap w:val="0"/>
            <w:vAlign w:val="center"/>
          </w:tcPr>
          <w:p w14:paraId="61C2E915">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11</w:t>
            </w:r>
          </w:p>
        </w:tc>
        <w:tc>
          <w:tcPr>
            <w:tcW w:w="6014" w:type="dxa"/>
            <w:noWrap w:val="0"/>
            <w:vAlign w:val="center"/>
          </w:tcPr>
          <w:p w14:paraId="5A89F07E">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en-US" w:eastAsia="zh-CN"/>
              </w:rPr>
              <w:t>投标人</w:t>
            </w:r>
            <w:r>
              <w:rPr>
                <w:rFonts w:hint="eastAsia" w:asciiTheme="minorEastAsia" w:hAnsiTheme="minorEastAsia" w:eastAsiaTheme="minorEastAsia" w:cstheme="minorEastAsia"/>
                <w:kern w:val="0"/>
                <w:sz w:val="24"/>
                <w:szCs w:val="24"/>
                <w:highlight w:val="none"/>
              </w:rPr>
              <w:t>针对本项目的</w:t>
            </w:r>
            <w:r>
              <w:rPr>
                <w:rFonts w:hint="eastAsia" w:asciiTheme="minorEastAsia" w:hAnsiTheme="minorEastAsia" w:eastAsiaTheme="minorEastAsia" w:cstheme="minorEastAsia"/>
                <w:kern w:val="0"/>
                <w:sz w:val="24"/>
                <w:szCs w:val="24"/>
                <w:highlight w:val="none"/>
                <w:lang w:val="zh-CN"/>
              </w:rPr>
              <w:t>重点难点分析及应对措施</w:t>
            </w:r>
            <w:r>
              <w:rPr>
                <w:rFonts w:hint="eastAsia" w:asciiTheme="minorEastAsia" w:hAnsiTheme="minorEastAsia" w:eastAsiaTheme="minorEastAsia" w:cstheme="minorEastAsia"/>
                <w:kern w:val="0"/>
                <w:sz w:val="24"/>
                <w:szCs w:val="24"/>
                <w:highlight w:val="none"/>
              </w:rPr>
              <w:t>，进行重点的详细描述，</w:t>
            </w:r>
            <w:r>
              <w:rPr>
                <w:rFonts w:hint="eastAsia" w:asciiTheme="minorEastAsia" w:hAnsiTheme="minorEastAsia" w:eastAsiaTheme="minorEastAsia" w:cstheme="minorEastAsia"/>
                <w:kern w:val="0"/>
                <w:sz w:val="24"/>
                <w:szCs w:val="24"/>
                <w:highlight w:val="none"/>
                <w:lang w:val="en-US" w:eastAsia="zh-CN"/>
              </w:rPr>
              <w:t>方案可行、完整，可操作性高得4分；方案较可行、完整，可操作性较高得3分；方案相对可行、完整，可操作性相对高得2分；方案基本可行、完整，可操作性一般得1分；方案不可行和无可操作性不得分。</w:t>
            </w:r>
          </w:p>
        </w:tc>
        <w:tc>
          <w:tcPr>
            <w:tcW w:w="626" w:type="dxa"/>
            <w:noWrap w:val="0"/>
            <w:vAlign w:val="center"/>
          </w:tcPr>
          <w:p w14:paraId="5898C74C">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w:t>
            </w:r>
          </w:p>
        </w:tc>
        <w:tc>
          <w:tcPr>
            <w:tcW w:w="948" w:type="dxa"/>
            <w:noWrap w:val="0"/>
            <w:vAlign w:val="center"/>
          </w:tcPr>
          <w:p w14:paraId="4B5C3D0A">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主观分</w:t>
            </w:r>
          </w:p>
        </w:tc>
        <w:tc>
          <w:tcPr>
            <w:tcW w:w="2007" w:type="dxa"/>
            <w:noWrap w:val="0"/>
            <w:vAlign w:val="center"/>
          </w:tcPr>
          <w:p w14:paraId="359B8600">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重点难点分析</w:t>
            </w:r>
          </w:p>
        </w:tc>
      </w:tr>
      <w:tr w14:paraId="1E013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trPr>
        <w:tc>
          <w:tcPr>
            <w:tcW w:w="520" w:type="dxa"/>
            <w:noWrap w:val="0"/>
            <w:vAlign w:val="center"/>
          </w:tcPr>
          <w:p w14:paraId="39EC644A">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12</w:t>
            </w:r>
          </w:p>
        </w:tc>
        <w:tc>
          <w:tcPr>
            <w:tcW w:w="6014" w:type="dxa"/>
            <w:noWrap w:val="0"/>
            <w:vAlign w:val="center"/>
          </w:tcPr>
          <w:p w14:paraId="44F5539C">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投标人提供针对用户实际情况制定的项目培训方案，包括培训计划、培训需求和目标、统一技术培训、课程内容、培训方式、培训师资力量等内容</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方案可行、完整，可操作性高得4分；方案较可行、完整，可操作性较高得3分；方案相对可行、完整，可操作性相对高得2分；方案基本可行、完整，可操作性一般得1分；方案不可行和无可操作性不得分。</w:t>
            </w:r>
          </w:p>
        </w:tc>
        <w:tc>
          <w:tcPr>
            <w:tcW w:w="626" w:type="dxa"/>
            <w:noWrap w:val="0"/>
            <w:vAlign w:val="center"/>
          </w:tcPr>
          <w:p w14:paraId="35EC10C0">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w:t>
            </w:r>
          </w:p>
        </w:tc>
        <w:tc>
          <w:tcPr>
            <w:tcW w:w="948" w:type="dxa"/>
            <w:noWrap w:val="0"/>
            <w:vAlign w:val="center"/>
          </w:tcPr>
          <w:p w14:paraId="760A04AA">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主观分</w:t>
            </w:r>
          </w:p>
        </w:tc>
        <w:tc>
          <w:tcPr>
            <w:tcW w:w="2007" w:type="dxa"/>
            <w:noWrap w:val="0"/>
            <w:vAlign w:val="center"/>
          </w:tcPr>
          <w:p w14:paraId="55AC5094">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培训方案</w:t>
            </w:r>
          </w:p>
        </w:tc>
      </w:tr>
      <w:tr w14:paraId="0B743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2" w:hRule="atLeast"/>
        </w:trPr>
        <w:tc>
          <w:tcPr>
            <w:tcW w:w="520" w:type="dxa"/>
            <w:noWrap w:val="0"/>
            <w:vAlign w:val="center"/>
          </w:tcPr>
          <w:p w14:paraId="17A7C630">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w:t>
            </w:r>
          </w:p>
        </w:tc>
        <w:tc>
          <w:tcPr>
            <w:tcW w:w="6014" w:type="dxa"/>
            <w:noWrap w:val="0"/>
            <w:vAlign w:val="center"/>
          </w:tcPr>
          <w:p w14:paraId="04386EA9">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投标人承诺中标后与采购人签署保密协议，对在项目实施期间所获得的采购人的情报和资料有保密义务，</w:t>
            </w:r>
            <w:r>
              <w:rPr>
                <w:rFonts w:hint="eastAsia" w:asciiTheme="minorEastAsia" w:hAnsiTheme="minorEastAsia" w:eastAsiaTheme="minorEastAsia" w:cstheme="minorEastAsia"/>
                <w:kern w:val="0"/>
                <w:sz w:val="24"/>
                <w:szCs w:val="24"/>
                <w:highlight w:val="none"/>
                <w:lang w:eastAsia="zh-CN"/>
              </w:rPr>
              <w:t>泄露秘密</w:t>
            </w:r>
            <w:r>
              <w:rPr>
                <w:rFonts w:hint="eastAsia" w:asciiTheme="minorEastAsia" w:hAnsiTheme="minorEastAsia" w:eastAsiaTheme="minorEastAsia" w:cstheme="minorEastAsia"/>
                <w:kern w:val="0"/>
                <w:sz w:val="24"/>
                <w:szCs w:val="24"/>
                <w:highlight w:val="none"/>
              </w:rPr>
              <w:t>应承担的责任，造成采购人损失的应予赔偿，涉嫌犯罪的依法追究刑事责任，提供承诺并符合要求的得2分，未提供不得分。</w:t>
            </w:r>
          </w:p>
        </w:tc>
        <w:tc>
          <w:tcPr>
            <w:tcW w:w="626" w:type="dxa"/>
            <w:noWrap w:val="0"/>
            <w:vAlign w:val="center"/>
          </w:tcPr>
          <w:p w14:paraId="1088BB63">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w:t>
            </w:r>
          </w:p>
        </w:tc>
        <w:tc>
          <w:tcPr>
            <w:tcW w:w="948" w:type="dxa"/>
            <w:noWrap w:val="0"/>
            <w:vAlign w:val="center"/>
          </w:tcPr>
          <w:p w14:paraId="33FD9F1B">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主观分</w:t>
            </w:r>
          </w:p>
        </w:tc>
        <w:tc>
          <w:tcPr>
            <w:tcW w:w="2007" w:type="dxa"/>
            <w:noWrap w:val="0"/>
            <w:vAlign w:val="center"/>
          </w:tcPr>
          <w:p w14:paraId="04E6EF48">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保密协议</w:t>
            </w:r>
          </w:p>
        </w:tc>
      </w:tr>
      <w:tr w14:paraId="0E245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520" w:type="dxa"/>
            <w:noWrap w:val="0"/>
            <w:vAlign w:val="center"/>
          </w:tcPr>
          <w:p w14:paraId="69B458B4">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14</w:t>
            </w:r>
          </w:p>
        </w:tc>
        <w:tc>
          <w:tcPr>
            <w:tcW w:w="6014" w:type="dxa"/>
            <w:noWrap w:val="0"/>
            <w:vAlign w:val="center"/>
          </w:tcPr>
          <w:p w14:paraId="5884E867">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备品备件方案是否科学合理，是否为本项目提供足够数量的备品及维修备件。提供足够数量的备品备件的得2分；备品备件方案较差，数量无法保障的不得分。</w:t>
            </w:r>
          </w:p>
        </w:tc>
        <w:tc>
          <w:tcPr>
            <w:tcW w:w="626" w:type="dxa"/>
            <w:noWrap w:val="0"/>
            <w:vAlign w:val="center"/>
          </w:tcPr>
          <w:p w14:paraId="32C418F3">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w:t>
            </w:r>
          </w:p>
        </w:tc>
        <w:tc>
          <w:tcPr>
            <w:tcW w:w="948" w:type="dxa"/>
            <w:noWrap w:val="0"/>
            <w:vAlign w:val="center"/>
          </w:tcPr>
          <w:p w14:paraId="656F1FF1">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主观分</w:t>
            </w:r>
          </w:p>
        </w:tc>
        <w:tc>
          <w:tcPr>
            <w:tcW w:w="2007" w:type="dxa"/>
            <w:noWrap w:val="0"/>
            <w:vAlign w:val="center"/>
          </w:tcPr>
          <w:p w14:paraId="223D00B3">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rPr>
              <w:t>备品备件</w:t>
            </w:r>
          </w:p>
        </w:tc>
      </w:tr>
      <w:tr w14:paraId="5B1D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20" w:type="dxa"/>
            <w:noWrap w:val="0"/>
            <w:vAlign w:val="center"/>
          </w:tcPr>
          <w:p w14:paraId="523B8225">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15</w:t>
            </w:r>
          </w:p>
        </w:tc>
        <w:tc>
          <w:tcPr>
            <w:tcW w:w="6014" w:type="dxa"/>
            <w:noWrap w:val="0"/>
            <w:vAlign w:val="center"/>
          </w:tcPr>
          <w:p w14:paraId="57F254E0">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kern w:val="0"/>
                <w:sz w:val="24"/>
                <w:szCs w:val="24"/>
                <w:highlight w:val="none"/>
                <w:lang w:val="en-US" w:eastAsia="zh-CN"/>
              </w:rPr>
              <w:t>20</w:t>
            </w:r>
            <w:r>
              <w:rPr>
                <w:rFonts w:hint="eastAsia" w:asciiTheme="minorEastAsia" w:hAnsiTheme="minorEastAsia" w:eastAsiaTheme="minorEastAsia" w:cstheme="minorEastAsia"/>
                <w:kern w:val="0"/>
                <w:sz w:val="24"/>
                <w:szCs w:val="24"/>
                <w:highlight w:val="none"/>
              </w:rPr>
              <w:t>］的计算公式计算。</w:t>
            </w:r>
          </w:p>
          <w:p w14:paraId="28667190">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评标过程中，不得去掉报价中的最高报价和最低报价。</w:t>
            </w:r>
          </w:p>
          <w:p w14:paraId="2EB8DC2A">
            <w:pPr>
              <w:keepNext w:val="0"/>
              <w:keepLines w:val="0"/>
              <w:pageBreakBefore w:val="0"/>
              <w:widowControl/>
              <w:kinsoku/>
              <w:wordWrap/>
              <w:overflowPunct/>
              <w:topLinePunct w:val="0"/>
              <w:autoSpaceDE/>
              <w:autoSpaceDN/>
              <w:bidi w:val="0"/>
              <w:adjustRightInd/>
              <w:snapToGrid/>
              <w:spacing w:beforeLines="0" w:line="380" w:lineRule="exact"/>
              <w:jc w:val="both"/>
              <w:textAlignment w:val="top"/>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rPr>
              <w:t>%的扣除，用扣除后的价格参与评审。</w:t>
            </w:r>
          </w:p>
        </w:tc>
        <w:tc>
          <w:tcPr>
            <w:tcW w:w="626" w:type="dxa"/>
            <w:noWrap w:val="0"/>
            <w:vAlign w:val="center"/>
          </w:tcPr>
          <w:p w14:paraId="56CE7065">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20</w:t>
            </w:r>
          </w:p>
        </w:tc>
        <w:tc>
          <w:tcPr>
            <w:tcW w:w="948" w:type="dxa"/>
            <w:noWrap w:val="0"/>
            <w:vAlign w:val="center"/>
          </w:tcPr>
          <w:p w14:paraId="7DB662D1">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w:t>
            </w:r>
          </w:p>
        </w:tc>
        <w:tc>
          <w:tcPr>
            <w:tcW w:w="2007" w:type="dxa"/>
            <w:noWrap w:val="0"/>
            <w:vAlign w:val="center"/>
          </w:tcPr>
          <w:p w14:paraId="59377124">
            <w:pPr>
              <w:keepNext w:val="0"/>
              <w:keepLines w:val="0"/>
              <w:pageBreakBefore w:val="0"/>
              <w:widowControl/>
              <w:kinsoku/>
              <w:wordWrap/>
              <w:overflowPunct/>
              <w:topLinePunct w:val="0"/>
              <w:autoSpaceDE/>
              <w:autoSpaceDN/>
              <w:bidi w:val="0"/>
              <w:adjustRightInd/>
              <w:snapToGrid/>
              <w:spacing w:beforeLines="0" w:line="380" w:lineRule="exact"/>
              <w:jc w:val="center"/>
              <w:textAlignment w:val="top"/>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投标报价</w:t>
            </w:r>
          </w:p>
        </w:tc>
      </w:tr>
    </w:tbl>
    <w:p w14:paraId="4C68F7D8">
      <w:pPr>
        <w:rPr>
          <w:rFonts w:hint="eastAsia" w:asciiTheme="minorEastAsia" w:hAnsiTheme="minorEastAsia" w:eastAsiaTheme="minorEastAsia" w:cstheme="minorEastAsia"/>
          <w:sz w:val="24"/>
          <w:szCs w:val="24"/>
        </w:rPr>
      </w:pPr>
    </w:p>
    <w:p w14:paraId="7D419D79">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highlight w:val="none"/>
          <w:shd w:val="clear" w:color="auto" w:fill="FFFFFF"/>
        </w:rPr>
        <w:t> *</w:t>
      </w:r>
      <w:r>
        <w:rPr>
          <w:rFonts w:hint="eastAsia" w:asciiTheme="minorEastAsia" w:hAnsiTheme="minorEastAsia" w:eastAsiaTheme="minorEastAsia" w:cstheme="minorEastAsia"/>
          <w:b/>
          <w:color w:val="auto"/>
          <w:sz w:val="24"/>
          <w:szCs w:val="24"/>
          <w:highlight w:val="none"/>
        </w:rPr>
        <w:t>备注：</w:t>
      </w:r>
      <w:r>
        <w:rPr>
          <w:rFonts w:hint="eastAsia" w:asciiTheme="minorEastAsia" w:hAnsiTheme="minorEastAsia" w:eastAsiaTheme="minorEastAsia" w:cstheme="minorEastAsia"/>
          <w:color w:val="auto"/>
          <w:sz w:val="24"/>
          <w:szCs w:val="24"/>
          <w:highlight w:val="none"/>
        </w:rPr>
        <w:t>投标人编制投标文件（商务技术文件部分）时，建议按此目录（序号和内容）提供评标标准相应的商务技术资料。 </w:t>
      </w:r>
    </w:p>
    <w:bookmarkEnd w:id="25"/>
    <w:p w14:paraId="3362E634">
      <w:pPr>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b/>
          <w:color w:val="auto"/>
          <w:sz w:val="24"/>
          <w:szCs w:val="24"/>
          <w:highlight w:val="none"/>
        </w:rPr>
      </w:pPr>
      <w:bookmarkStart w:id="398" w:name="_Toc86217003"/>
      <w:bookmarkStart w:id="399" w:name="第五部分"/>
      <w:r>
        <w:rPr>
          <w:rFonts w:hint="eastAsia" w:asciiTheme="minorEastAsia" w:hAnsiTheme="minorEastAsia" w:eastAsiaTheme="minorEastAsia" w:cstheme="minorEastAsia"/>
          <w:b/>
          <w:color w:val="auto"/>
          <w:sz w:val="24"/>
          <w:szCs w:val="24"/>
          <w:highlight w:val="none"/>
        </w:rPr>
        <w:t>一、评标方法</w:t>
      </w:r>
    </w:p>
    <w:p w14:paraId="3FF64587">
      <w:pPr>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16DECDE5">
      <w:pPr>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二、评标标准</w:t>
      </w:r>
    </w:p>
    <w:p w14:paraId="70896402">
      <w:pPr>
        <w:pageBreakBefore w:val="0"/>
        <w:kinsoku/>
        <w:wordWrap/>
        <w:overflowPunct/>
        <w:topLinePunct w:val="0"/>
        <w:autoSpaceDE/>
        <w:autoSpaceDN/>
        <w:bidi w:val="0"/>
        <w:spacing w:line="440" w:lineRule="exact"/>
        <w:ind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评标标准：</w:t>
      </w:r>
      <w:r>
        <w:rPr>
          <w:rFonts w:hint="eastAsia" w:asciiTheme="minorEastAsia" w:hAnsiTheme="minorEastAsia" w:eastAsiaTheme="minorEastAsia" w:cstheme="minorEastAsia"/>
          <w:color w:val="auto"/>
          <w:kern w:val="0"/>
          <w:sz w:val="24"/>
          <w:szCs w:val="24"/>
          <w:highlight w:val="none"/>
        </w:rPr>
        <w:t>见评标办法前附表。</w:t>
      </w:r>
    </w:p>
    <w:p w14:paraId="72F4DF3D">
      <w:pPr>
        <w:pageBreakBefore w:val="0"/>
        <w:kinsoku/>
        <w:wordWrap/>
        <w:overflowPunct/>
        <w:topLinePunct w:val="0"/>
        <w:autoSpaceDE/>
        <w:autoSpaceDN/>
        <w:bidi w:val="0"/>
        <w:spacing w:line="440" w:lineRule="exact"/>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三、评标程序</w:t>
      </w:r>
    </w:p>
    <w:p w14:paraId="67153BC6">
      <w:pPr>
        <w:pageBreakBefore w:val="0"/>
        <w:kinsoku/>
        <w:wordWrap/>
        <w:overflowPunct/>
        <w:topLinePunct w:val="0"/>
        <w:autoSpaceDE/>
        <w:autoSpaceDN/>
        <w:bidi w:val="0"/>
        <w:spacing w:line="440" w:lineRule="exact"/>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54B5607">
      <w:pPr>
        <w:pageBreakBefore w:val="0"/>
        <w:kinsoku/>
        <w:wordWrap/>
        <w:overflowPunct/>
        <w:topLinePunct w:val="0"/>
        <w:autoSpaceDE/>
        <w:autoSpaceDN/>
        <w:bidi w:val="0"/>
        <w:spacing w:line="440" w:lineRule="exact"/>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0F9E20F5">
      <w:pPr>
        <w:pageBreakBefore w:val="0"/>
        <w:kinsoku/>
        <w:wordWrap/>
        <w:overflowPunct/>
        <w:topLinePunct w:val="0"/>
        <w:autoSpaceDE/>
        <w:autoSpaceDN/>
        <w:bidi w:val="0"/>
        <w:spacing w:line="440" w:lineRule="exact"/>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评标委员会各成员应当独立对每个投标人的商务和技术文件进行评价，并汇总商务技术得分情况。</w:t>
      </w:r>
    </w:p>
    <w:p w14:paraId="71C988A2">
      <w:pPr>
        <w:pageBreakBefore w:val="0"/>
        <w:kinsoku/>
        <w:wordWrap/>
        <w:overflowPunct/>
        <w:topLinePunct w:val="0"/>
        <w:autoSpaceDE/>
        <w:autoSpaceDN/>
        <w:bidi w:val="0"/>
        <w:spacing w:line="440" w:lineRule="exact"/>
        <w:ind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3.4报价评审。</w:t>
      </w:r>
    </w:p>
    <w:p w14:paraId="3131978F">
      <w:pPr>
        <w:pStyle w:val="30"/>
        <w:pageBreakBefore w:val="0"/>
        <w:kinsoku/>
        <w:wordWrap/>
        <w:overflowPunct/>
        <w:topLinePunct w:val="0"/>
        <w:autoSpaceDE/>
        <w:autoSpaceDN/>
        <w:bidi w:val="0"/>
        <w:spacing w:before="0" w:line="440" w:lineRule="exact"/>
        <w:ind w:firstLine="508" w:firstLineChars="212"/>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3.4.1投标文件报价出现前后不一致的，按照下列规定修正：</w:t>
      </w:r>
    </w:p>
    <w:p w14:paraId="49DA3F7B">
      <w:pPr>
        <w:pStyle w:val="30"/>
        <w:pageBreakBefore w:val="0"/>
        <w:kinsoku/>
        <w:wordWrap/>
        <w:overflowPunct/>
        <w:topLinePunct w:val="0"/>
        <w:autoSpaceDE/>
        <w:autoSpaceDN/>
        <w:bidi w:val="0"/>
        <w:spacing w:before="0" w:line="440" w:lineRule="exact"/>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3.4.1.1投标文件中开标一览表(报价表)内容与投标文件中相应内容不一致的，以开标一览表(报价表)为准;</w:t>
      </w:r>
    </w:p>
    <w:p w14:paraId="639F5E79">
      <w:pPr>
        <w:pStyle w:val="30"/>
        <w:pageBreakBefore w:val="0"/>
        <w:kinsoku/>
        <w:wordWrap/>
        <w:overflowPunct/>
        <w:topLinePunct w:val="0"/>
        <w:autoSpaceDE/>
        <w:autoSpaceDN/>
        <w:bidi w:val="0"/>
        <w:spacing w:before="0" w:line="440" w:lineRule="exact"/>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3.4.1.2大写金额和小写金额不一致的，以大写金额为准;</w:t>
      </w:r>
    </w:p>
    <w:p w14:paraId="785F5427">
      <w:pPr>
        <w:pStyle w:val="30"/>
        <w:pageBreakBefore w:val="0"/>
        <w:kinsoku/>
        <w:wordWrap/>
        <w:overflowPunct/>
        <w:topLinePunct w:val="0"/>
        <w:autoSpaceDE/>
        <w:autoSpaceDN/>
        <w:bidi w:val="0"/>
        <w:spacing w:before="0" w:line="440" w:lineRule="exact"/>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3.4.1.3单价金额小数点或者百分比有明显错位的，以开标一览表的总价为准，并修改单价;</w:t>
      </w:r>
    </w:p>
    <w:p w14:paraId="323DAB6B">
      <w:pPr>
        <w:pStyle w:val="30"/>
        <w:pageBreakBefore w:val="0"/>
        <w:kinsoku/>
        <w:wordWrap/>
        <w:overflowPunct/>
        <w:topLinePunct w:val="0"/>
        <w:autoSpaceDE/>
        <w:autoSpaceDN/>
        <w:bidi w:val="0"/>
        <w:spacing w:before="0" w:line="440" w:lineRule="exact"/>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3.4.1.4总价金额与按单价汇总金额不一致的，以单价金额计算结果为准。</w:t>
      </w:r>
    </w:p>
    <w:p w14:paraId="1AE627D3">
      <w:pPr>
        <w:pStyle w:val="30"/>
        <w:pageBreakBefore w:val="0"/>
        <w:kinsoku/>
        <w:wordWrap/>
        <w:overflowPunct/>
        <w:topLinePunct w:val="0"/>
        <w:autoSpaceDE/>
        <w:autoSpaceDN/>
        <w:bidi w:val="0"/>
        <w:spacing w:before="0" w:line="440" w:lineRule="exact"/>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pageBreakBefore w:val="0"/>
        <w:kinsoku/>
        <w:wordWrap/>
        <w:overflowPunct/>
        <w:topLinePunct w:val="0"/>
        <w:autoSpaceDE/>
        <w:autoSpaceDN/>
        <w:bidi w:val="0"/>
        <w:snapToGri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3.4.2投标文件出现不是唯一的、有选择性投标报价的，投标无效。</w:t>
      </w:r>
    </w:p>
    <w:p w14:paraId="1ADF56ED">
      <w:pPr>
        <w:pageBreakBefore w:val="0"/>
        <w:kinsoku/>
        <w:wordWrap/>
        <w:overflowPunct/>
        <w:topLinePunct w:val="0"/>
        <w:autoSpaceDE/>
        <w:autoSpaceDN/>
        <w:bidi w:val="0"/>
        <w:snapToGri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3.4.3投标报价超过招标文件中规定的预算金额或者最高限价的，投标无效。</w:t>
      </w:r>
    </w:p>
    <w:p w14:paraId="28748C96">
      <w:pPr>
        <w:pStyle w:val="30"/>
        <w:pageBreakBefore w:val="0"/>
        <w:kinsoku/>
        <w:wordWrap/>
        <w:overflowPunct/>
        <w:topLinePunct w:val="0"/>
        <w:autoSpaceDE/>
        <w:autoSpaceDN/>
        <w:bidi w:val="0"/>
        <w:spacing w:before="0" w:line="440" w:lineRule="exact"/>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30"/>
        <w:pageBreakBefore w:val="0"/>
        <w:kinsoku/>
        <w:wordWrap/>
        <w:overflowPunct/>
        <w:topLinePunct w:val="0"/>
        <w:autoSpaceDE/>
        <w:autoSpaceDN/>
        <w:bidi w:val="0"/>
        <w:spacing w:before="0" w:line="440" w:lineRule="exact"/>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color w:val="auto"/>
          <w:kern w:val="0"/>
          <w:sz w:val="24"/>
          <w:szCs w:val="24"/>
          <w:highlight w:val="none"/>
          <w:lang w:val="en" w:eastAsia="zh-CN"/>
        </w:rPr>
        <w:t>本项目推荐的中标候选人数量：</w:t>
      </w:r>
      <w:r>
        <w:rPr>
          <w:rFonts w:hint="eastAsia" w:asciiTheme="minorEastAsia" w:hAnsiTheme="minorEastAsia" w:eastAsiaTheme="minorEastAsia" w:cstheme="minorEastAsia"/>
          <w:color w:val="auto"/>
          <w:kern w:val="0"/>
          <w:sz w:val="24"/>
          <w:szCs w:val="24"/>
          <w:highlight w:val="none"/>
          <w:u w:val="single"/>
          <w:lang w:val="en-US" w:eastAsia="zh-CN"/>
        </w:rPr>
        <w:t xml:space="preserve">   1个 </w:t>
      </w:r>
      <w:r>
        <w:rPr>
          <w:rFonts w:hint="eastAsia" w:asciiTheme="minorEastAsia" w:hAnsiTheme="minorEastAsia" w:eastAsiaTheme="minorEastAsia" w:cstheme="minorEastAsia"/>
          <w:color w:val="auto"/>
          <w:kern w:val="0"/>
          <w:sz w:val="24"/>
          <w:szCs w:val="24"/>
          <w:highlight w:val="none"/>
          <w:lang w:val="en" w:eastAsia="zh-CN"/>
        </w:rPr>
        <w:t>。</w:t>
      </w:r>
    </w:p>
    <w:p w14:paraId="1A32EC83">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pageBreakBefore w:val="0"/>
        <w:kinsoku/>
        <w:wordWrap/>
        <w:overflowPunct/>
        <w:topLinePunct w:val="0"/>
        <w:autoSpaceDE/>
        <w:autoSpaceDN/>
        <w:bidi w:val="0"/>
        <w:spacing w:line="440" w:lineRule="exact"/>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pageBreakBefore w:val="0"/>
        <w:widowControl/>
        <w:shd w:val="clear" w:color="auto" w:fill="FFFFFF"/>
        <w:kinsoku/>
        <w:wordWrap/>
        <w:overflowPunct/>
        <w:topLinePunct w:val="0"/>
        <w:autoSpaceDE/>
        <w:autoSpaceDN/>
        <w:bidi w:val="0"/>
        <w:adjustRightInd/>
        <w:spacing w:after="225" w:line="44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四、评标中的其他事项</w:t>
      </w:r>
    </w:p>
    <w:p w14:paraId="6CEA2D94">
      <w:pPr>
        <w:pStyle w:val="30"/>
        <w:pageBreakBefore w:val="0"/>
        <w:kinsoku/>
        <w:wordWrap/>
        <w:overflowPunct/>
        <w:topLinePunct w:val="0"/>
        <w:autoSpaceDE/>
        <w:autoSpaceDN/>
        <w:bidi w:val="0"/>
        <w:spacing w:before="0" w:line="440" w:lineRule="exact"/>
        <w:ind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4.1投标人澄清、说明或者补正。</w:t>
      </w:r>
      <w:r>
        <w:rPr>
          <w:rFonts w:hint="eastAsia" w:asciiTheme="minorEastAsia" w:hAnsiTheme="minorEastAsia" w:eastAsiaTheme="minorEastAsia" w:cstheme="minorEastAsia"/>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11"/>
        <w:pageBreakBefore w:val="0"/>
        <w:kinsoku/>
        <w:wordWrap/>
        <w:overflowPunct/>
        <w:topLinePunct w:val="0"/>
        <w:autoSpaceDE/>
        <w:autoSpaceDN/>
        <w:bidi w:val="0"/>
        <w:spacing w:line="440" w:lineRule="exact"/>
        <w:ind w:left="954" w:leftChars="226" w:hanging="479"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4.2投标无效。</w:t>
      </w:r>
      <w:r>
        <w:rPr>
          <w:rFonts w:hint="eastAsia" w:asciiTheme="minorEastAsia" w:hAnsiTheme="minorEastAsia" w:eastAsiaTheme="minorEastAsia" w:cstheme="minorEastAsia"/>
          <w:color w:val="auto"/>
          <w:sz w:val="24"/>
          <w:szCs w:val="24"/>
          <w:highlight w:val="none"/>
        </w:rPr>
        <w:t>有下列情形之一的，投标无效：</w:t>
      </w:r>
    </w:p>
    <w:p w14:paraId="513AD5BF">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3E7459F8">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5EDF0524">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21FF4B1D">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560148EF">
      <w:pPr>
        <w:pageBreakBefore w:val="0"/>
        <w:kinsoku/>
        <w:wordWrap/>
        <w:overflowPunct/>
        <w:topLinePunct w:val="0"/>
        <w:autoSpaceDE/>
        <w:autoSpaceDN/>
        <w:bidi w:val="0"/>
        <w:snapToGrid w:val="0"/>
        <w:spacing w:line="440" w:lineRule="exact"/>
        <w:ind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0856FA22">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0B4AA017">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投标人对根据修正原则修正后的报价不确认的；</w:t>
      </w:r>
    </w:p>
    <w:p w14:paraId="3AD93D1E">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投标人提供虚假材料投标的；</w:t>
      </w:r>
    </w:p>
    <w:p w14:paraId="48FAF0B8">
      <w:pPr>
        <w:pageBreakBefore w:val="0"/>
        <w:kinsoku/>
        <w:wordWrap/>
        <w:overflowPunct/>
        <w:topLinePunct w:val="0"/>
        <w:autoSpaceDE/>
        <w:autoSpaceDN/>
        <w:bidi w:val="0"/>
        <w:spacing w:line="440" w:lineRule="exact"/>
        <w:ind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投标人有恶意串通、妨碍其他投标人的竞争行为、损害采购人或者其他投标人的合法权益情形的；</w:t>
      </w:r>
    </w:p>
    <w:p w14:paraId="14A9C99E">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投标人仅提交备份投标文件，未在电子交易平台传输递交投标文件的，投标无效；</w:t>
      </w:r>
    </w:p>
    <w:p w14:paraId="7AA3D7B1">
      <w:pPr>
        <w:pStyle w:val="3"/>
        <w:pageBreakBefore w:val="0"/>
        <w:kinsoku/>
        <w:wordWrap/>
        <w:overflowPunct/>
        <w:topLinePunct w:val="0"/>
        <w:autoSpaceDE/>
        <w:autoSpaceDN/>
        <w:bidi w:val="0"/>
        <w:spacing w:line="440" w:lineRule="exact"/>
        <w:ind w:left="862" w:leftChars="205"/>
        <w:textAlignment w:val="auto"/>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66635920">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法律、法规、规章（适用本市的）及省级以上规范性文件（适用本市的）规定的其他无效情形。</w:t>
      </w:r>
    </w:p>
    <w:p w14:paraId="3D4A9190">
      <w:pPr>
        <w:pStyle w:val="11"/>
        <w:pageBreakBefore w:val="0"/>
        <w:kinsoku/>
        <w:wordWrap/>
        <w:overflowPunct/>
        <w:topLinePunct w:val="0"/>
        <w:autoSpaceDE/>
        <w:autoSpaceDN/>
        <w:bidi w:val="0"/>
        <w:snapToGrid w:val="0"/>
        <w:spacing w:line="440" w:lineRule="exact"/>
        <w:ind w:firstLine="472"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5.废标。</w:t>
      </w:r>
      <w:r>
        <w:rPr>
          <w:rFonts w:hint="eastAsia" w:asciiTheme="minorEastAsia" w:hAnsiTheme="minorEastAsia" w:eastAsiaTheme="minorEastAsia" w:cstheme="minorEastAsia"/>
          <w:color w:val="auto"/>
          <w:sz w:val="24"/>
          <w:szCs w:val="24"/>
          <w:highlight w:val="none"/>
        </w:rPr>
        <w:t>根据《中华人民共和国政府采购法》第三十六条之规定，在采购中，出现下列情形之一的，应予废标：</w:t>
      </w:r>
    </w:p>
    <w:p w14:paraId="037FCDD3">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5.1符合专业条件的供应商或者对招标文件作实质响应的供应商不足3家的；</w:t>
      </w:r>
    </w:p>
    <w:p w14:paraId="436BE7F6">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5.2出现影响采购公正的违法、违规行为的；</w:t>
      </w:r>
    </w:p>
    <w:p w14:paraId="3861788E">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5.3投标人的报价均超过了采购预算，采购人不能支付的；</w:t>
      </w:r>
    </w:p>
    <w:p w14:paraId="2C8A1F44">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5.4因重大变故，采购任务取消的。</w:t>
      </w:r>
    </w:p>
    <w:p w14:paraId="0F20D232">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应当将废标理由通知所有投标人。</w:t>
      </w:r>
    </w:p>
    <w:p w14:paraId="728F5DB1">
      <w:pPr>
        <w:pStyle w:val="11"/>
        <w:pageBreakBefore w:val="0"/>
        <w:kinsoku/>
        <w:wordWrap/>
        <w:overflowPunct/>
        <w:topLinePunct w:val="0"/>
        <w:autoSpaceDE/>
        <w:autoSpaceDN/>
        <w:bidi w:val="0"/>
        <w:snapToGrid w:val="0"/>
        <w:spacing w:line="440" w:lineRule="exact"/>
        <w:ind w:firstLine="590" w:firstLineChars="24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6.修改招标文件，重新组织采购活动。</w:t>
      </w:r>
      <w:r>
        <w:rPr>
          <w:rFonts w:hint="eastAsia" w:asciiTheme="minorEastAsia" w:hAnsiTheme="minorEastAsia" w:eastAsiaTheme="minorEastAsia" w:cstheme="minorEastAsia"/>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沟通并作书面记录。采购人、</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确认后，将修改招标文件，重新组织采购活动。</w:t>
      </w:r>
    </w:p>
    <w:p w14:paraId="4F2DA9DA">
      <w:pPr>
        <w:pStyle w:val="11"/>
        <w:pageBreakBefore w:val="0"/>
        <w:kinsoku/>
        <w:wordWrap/>
        <w:overflowPunct/>
        <w:topLinePunct w:val="0"/>
        <w:autoSpaceDE/>
        <w:autoSpaceDN/>
        <w:bidi w:val="0"/>
        <w:snapToGrid w:val="0"/>
        <w:spacing w:line="44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7.重新开展采购。</w:t>
      </w:r>
      <w:r>
        <w:rPr>
          <w:rFonts w:hint="eastAsia" w:asciiTheme="minorEastAsia" w:hAnsiTheme="minorEastAsia" w:eastAsiaTheme="minorEastAsia" w:cstheme="minorEastAsia"/>
          <w:color w:val="auto"/>
          <w:sz w:val="24"/>
          <w:szCs w:val="24"/>
          <w:highlight w:val="none"/>
        </w:rPr>
        <w:t>有政府采购法第七十一条、第七十二条规定的违法行为之一，影响或者可能影响中标结果的，依照下列规定处理：</w:t>
      </w:r>
    </w:p>
    <w:p w14:paraId="62D94D34">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7.1未确定中标供应商的，终止本次政府采购活动，重新开展政府采购活动。</w:t>
      </w:r>
    </w:p>
    <w:p w14:paraId="2169EE18">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52BC1C79">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7.3政府采购合同已签订但尚未履行的，撤销合同，从合格的中标候选人中另行确定中标供应商；没有合格的中标候选人的，重新开展政府采购活动。</w:t>
      </w:r>
    </w:p>
    <w:p w14:paraId="0C0B7240">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7.4政府采购合同已经履行，给采购人、供应商造成损失的，由责任人承担赔偿责任。</w:t>
      </w:r>
    </w:p>
    <w:p w14:paraId="62A6C03C">
      <w:pPr>
        <w:pStyle w:val="11"/>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437B466">
      <w:pPr>
        <w:spacing w:line="360" w:lineRule="auto"/>
        <w:jc w:val="center"/>
        <w:outlineLvl w:val="0"/>
        <w:rPr>
          <w:rFonts w:hint="eastAsia" w:asciiTheme="minorEastAsia" w:hAnsiTheme="minorEastAsia" w:eastAsiaTheme="minorEastAsia" w:cstheme="minorEastAsia"/>
          <w:b/>
          <w:sz w:val="24"/>
          <w:szCs w:val="24"/>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0F7684A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56968F6B">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（仅供参考，具体以合同签订为准）</w:t>
      </w:r>
    </w:p>
    <w:p w14:paraId="4A9A4E3A">
      <w:pPr>
        <w:spacing w:line="480" w:lineRule="auto"/>
        <w:jc w:val="center"/>
        <w:rPr>
          <w:rFonts w:ascii="宋体" w:hAnsi="宋体" w:cs="宋体"/>
          <w:b/>
          <w:sz w:val="28"/>
          <w:szCs w:val="28"/>
        </w:rPr>
      </w:pPr>
    </w:p>
    <w:p w14:paraId="3822B199">
      <w:pPr>
        <w:spacing w:line="480" w:lineRule="auto"/>
        <w:rPr>
          <w:rFonts w:ascii="宋体" w:hAnsi="宋体" w:cs="宋体"/>
          <w:b/>
          <w:sz w:val="24"/>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3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33"/>
        <w:spacing w:before="120" w:line="22" w:lineRule="atLeast"/>
        <w:rPr>
          <w:rFonts w:ascii="宋体" w:hAnsi="宋体" w:eastAsia="宋体" w:cs="宋体"/>
          <w:color w:val="auto"/>
          <w:szCs w:val="24"/>
          <w:highlight w:val="none"/>
        </w:rPr>
      </w:pPr>
    </w:p>
    <w:p w14:paraId="5912128F">
      <w:pPr>
        <w:pStyle w:val="33"/>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0" w:name="_Toc19273"/>
      <w:bookmarkStart w:id="401" w:name="_Toc20421"/>
      <w:bookmarkStart w:id="402" w:name="_Toc15367"/>
      <w:bookmarkStart w:id="403" w:name="_Toc22967"/>
      <w:bookmarkStart w:id="404"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5" w:name="_Toc6311"/>
      <w:bookmarkStart w:id="406" w:name="_Toc18585"/>
      <w:bookmarkStart w:id="407" w:name="_Toc2918"/>
      <w:bookmarkStart w:id="408" w:name="_Toc6773"/>
      <w:bookmarkStart w:id="409"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bookmarkStart w:id="410" w:name="_Toc21124"/>
      <w:bookmarkStart w:id="411" w:name="_Toc5635"/>
      <w:bookmarkStart w:id="412" w:name="_Toc13918"/>
      <w:bookmarkStart w:id="413" w:name="_Toc4929"/>
      <w:bookmarkStart w:id="414" w:name="_Toc1386"/>
      <w:r>
        <w:rPr>
          <w:rFonts w:ascii="宋体" w:hAnsi="宋体"/>
          <w:b/>
          <w:color w:val="auto"/>
          <w:sz w:val="24"/>
          <w:highlight w:val="none"/>
        </w:rPr>
        <w:t>1.3 价款</w:t>
      </w:r>
      <w:bookmarkEnd w:id="410"/>
      <w:bookmarkEnd w:id="411"/>
      <w:bookmarkEnd w:id="412"/>
      <w:bookmarkEnd w:id="413"/>
      <w:bookmarkEnd w:id="414"/>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F5CCC91">
      <w:pPr>
        <w:pStyle w:val="42"/>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4760"/>
      <w:bookmarkStart w:id="419" w:name="_Toc8772"/>
      <w:bookmarkStart w:id="420" w:name="_Toc31421"/>
      <w:bookmarkStart w:id="421" w:name="_Toc11108"/>
      <w:bookmarkStart w:id="422" w:name="_Toc3625"/>
      <w:r>
        <w:rPr>
          <w:rFonts w:hint="eastAsia"/>
          <w:b/>
          <w:color w:val="auto"/>
          <w:highlight w:val="none"/>
        </w:rPr>
        <w:t>1.4履约保证金</w:t>
      </w:r>
    </w:p>
    <w:p w14:paraId="74D47AFB">
      <w:pPr>
        <w:pStyle w:val="4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4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bookmarkStart w:id="423" w:name="_Toc2375"/>
      <w:bookmarkStart w:id="424" w:name="_Toc24662"/>
      <w:bookmarkStart w:id="425" w:name="_Toc5698"/>
      <w:bookmarkStart w:id="426" w:name="_Toc3079"/>
      <w:bookmarkStart w:id="427" w:name="_Toc8586"/>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9497"/>
      <w:bookmarkStart w:id="429" w:name="_Toc32454"/>
      <w:bookmarkStart w:id="430" w:name="_Toc26807"/>
      <w:bookmarkStart w:id="431" w:name="_Toc30329"/>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r>
        <w:rPr>
          <w:rFonts w:hint="eastAsia" w:ascii="宋体" w:hAnsi="宋体"/>
          <w:sz w:val="24"/>
        </w:rPr>
        <w:t>向</w:t>
      </w:r>
      <w:r>
        <w:rPr>
          <w:rFonts w:hint="eastAsia" w:ascii="宋体" w:hAnsi="宋体"/>
          <w:sz w:val="24"/>
          <w:u w:val="single"/>
          <w:lang w:val="en-US" w:eastAsia="zh-CN"/>
        </w:rPr>
        <w:t xml:space="preserve"> </w:t>
      </w:r>
      <w:r>
        <w:rPr>
          <w:rFonts w:hint="eastAsia" w:ascii="宋体" w:hAnsi="宋体" w:cs="宋体"/>
          <w:b/>
          <w:i/>
          <w:color w:val="auto"/>
          <w:sz w:val="24"/>
          <w:highlight w:val="none"/>
          <w:u w:val="single"/>
          <w:lang w:val="en-US" w:eastAsia="zh-CN"/>
        </w:rPr>
        <w:t xml:space="preserve">桐庐县 </w:t>
      </w:r>
      <w:r>
        <w:rPr>
          <w:rFonts w:hint="eastAsia" w:ascii="宋体" w:hAnsi="宋体"/>
          <w:sz w:val="24"/>
        </w:rPr>
        <w:t>人民法院起诉</w:t>
      </w:r>
      <w:r>
        <w:rPr>
          <w:rFonts w:hint="eastAsia" w:ascii="宋体" w:hAnsi="宋体" w:cs="宋体"/>
          <w:color w:val="auto"/>
          <w:sz w:val="24"/>
          <w:highlight w:val="none"/>
        </w:rPr>
        <w:t>：</w:t>
      </w:r>
    </w:p>
    <w:p w14:paraId="08261CC6">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7C14B678">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D2596D0">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w:t>
      </w:r>
    </w:p>
    <w:p w14:paraId="75860C7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F986B52">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47BC88E">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517DB3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2263F8">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53064A9">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8651FC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EB05624">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33DEFF9">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3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31297"/>
      <w:bookmarkStart w:id="440" w:name="_Toc5228"/>
      <w:bookmarkStart w:id="441" w:name="_Toc14021"/>
      <w:bookmarkStart w:id="442" w:name="_Toc19680"/>
      <w:bookmarkStart w:id="443" w:name="_Toc25079"/>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23289"/>
      <w:bookmarkStart w:id="445" w:name="_Toc19539"/>
      <w:bookmarkStart w:id="446" w:name="_Toc16752"/>
      <w:bookmarkStart w:id="447" w:name="_Toc3769"/>
      <w:bookmarkStart w:id="448" w:name="_Toc3140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4133"/>
      <w:bookmarkStart w:id="450" w:name="_Toc12412"/>
      <w:bookmarkStart w:id="451" w:name="_Toc9161"/>
      <w:bookmarkStart w:id="452" w:name="_Toc27945"/>
      <w:bookmarkStart w:id="453" w:name="_Toc13673"/>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2670"/>
      <w:bookmarkStart w:id="455" w:name="_Toc31233"/>
      <w:bookmarkStart w:id="456" w:name="_Toc15447"/>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8990"/>
      <w:bookmarkStart w:id="460" w:name="_Toc30507"/>
      <w:bookmarkStart w:id="461" w:name="_Toc16163"/>
      <w:bookmarkStart w:id="462" w:name="_Toc13154"/>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42"/>
      <w:bookmarkStart w:id="468" w:name="_Toc10663"/>
      <w:bookmarkStart w:id="469" w:name="_Toc26689"/>
      <w:bookmarkStart w:id="470" w:name="_Toc21830"/>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4720"/>
      <w:bookmarkStart w:id="473" w:name="_Toc25571"/>
      <w:bookmarkStart w:id="474" w:name="_Toc26633"/>
      <w:bookmarkStart w:id="475" w:name="_Toc14371"/>
      <w:bookmarkStart w:id="476" w:name="_Toc32494"/>
      <w:r>
        <w:rPr>
          <w:rFonts w:ascii="宋体" w:hAnsi="宋体"/>
          <w:b/>
          <w:color w:val="auto"/>
          <w:sz w:val="24"/>
          <w:highlight w:val="none"/>
        </w:rPr>
        <w:t>2.11 不可抗力</w:t>
      </w:r>
      <w:bookmarkEnd w:id="472"/>
      <w:bookmarkEnd w:id="473"/>
      <w:bookmarkEnd w:id="474"/>
      <w:bookmarkEnd w:id="475"/>
      <w:bookmarkEnd w:id="476"/>
    </w:p>
    <w:p w14:paraId="7D17EE6D">
      <w:pPr>
        <w:spacing w:line="560" w:lineRule="exact"/>
        <w:ind w:firstLine="480" w:firstLineChars="200"/>
        <w:rPr>
          <w:rFonts w:ascii="宋体" w:hAnsi="宋体"/>
          <w:color w:val="auto"/>
          <w:sz w:val="24"/>
          <w:highlight w:val="none"/>
        </w:rPr>
      </w:pPr>
      <w:bookmarkStart w:id="477" w:name="_Toc24465"/>
      <w:bookmarkStart w:id="478" w:name="_Toc3638"/>
      <w:bookmarkStart w:id="479" w:name="_Toc23854"/>
      <w:bookmarkStart w:id="480" w:name="_Toc25783"/>
      <w:bookmarkStart w:id="481" w:name="_Toc14115"/>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32C81D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3C5E6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hint="eastAsia" w:ascii="宋体" w:hAnsi="宋体"/>
          <w:b/>
          <w:i/>
          <w:color w:val="auto"/>
          <w:sz w:val="24"/>
          <w:highlight w:val="none"/>
          <w:u w:val="single"/>
          <w:lang w:val="en-US" w:eastAsia="zh-CN"/>
        </w:rPr>
        <w:t>30天内</w:t>
      </w:r>
      <w:r>
        <w:rPr>
          <w:rFonts w:ascii="宋体" w:hAnsi="宋体"/>
          <w:color w:val="auto"/>
          <w:sz w:val="24"/>
          <w:highlight w:val="none"/>
        </w:rPr>
        <w:t>以书面形式变更合同</w:t>
      </w:r>
      <w:r>
        <w:rPr>
          <w:rFonts w:hint="eastAsia" w:ascii="宋体" w:hAnsi="宋体"/>
          <w:color w:val="auto"/>
          <w:sz w:val="24"/>
          <w:highlight w:val="none"/>
        </w:rPr>
        <w:t>；</w:t>
      </w:r>
    </w:p>
    <w:p w14:paraId="0EC6160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b/>
          <w:i/>
          <w:color w:val="auto"/>
          <w:sz w:val="24"/>
          <w:highlight w:val="none"/>
          <w:u w:val="single"/>
          <w:lang w:val="en-US" w:eastAsia="zh-CN"/>
        </w:rPr>
        <w:t>15天内</w:t>
      </w:r>
      <w:r>
        <w:rPr>
          <w:rFonts w:ascii="宋体" w:hAnsi="宋体"/>
          <w:color w:val="auto"/>
          <w:sz w:val="24"/>
          <w:highlight w:val="none"/>
        </w:rPr>
        <w:t>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b/>
          <w:i/>
          <w:color w:val="auto"/>
          <w:sz w:val="24"/>
          <w:highlight w:val="none"/>
          <w:u w:val="single"/>
          <w:lang w:val="en-US" w:eastAsia="zh-CN"/>
        </w:rPr>
        <w:t>15天内</w:t>
      </w:r>
      <w:r>
        <w:rPr>
          <w:rFonts w:ascii="宋体" w:hAnsi="宋体"/>
          <w:color w:val="auto"/>
          <w:sz w:val="24"/>
          <w:highlight w:val="none"/>
        </w:rPr>
        <w:t>，将有关部门出具的证明文件送达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6883"/>
      <w:bookmarkStart w:id="483" w:name="_Toc30105"/>
      <w:bookmarkStart w:id="484" w:name="_Toc7315"/>
      <w:bookmarkStart w:id="485" w:name="_Toc25525"/>
      <w:bookmarkStart w:id="486" w:name="_Toc14814"/>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14:paraId="0AE914E8">
      <w:pPr>
        <w:tabs>
          <w:tab w:val="left" w:pos="360"/>
          <w:tab w:val="left" w:pos="540"/>
          <w:tab w:val="left" w:pos="1080"/>
        </w:tabs>
        <w:spacing w:line="560" w:lineRule="exact"/>
        <w:ind w:firstLine="480" w:firstLineChars="200"/>
        <w:rPr>
          <w:rFonts w:ascii="宋体" w:hAnsi="宋体"/>
          <w:color w:val="auto"/>
          <w:sz w:val="24"/>
          <w:highlight w:val="none"/>
        </w:rPr>
      </w:pPr>
      <w:bookmarkStart w:id="493" w:name="_Toc12666"/>
      <w:bookmarkStart w:id="494" w:name="_Toc9808"/>
      <w:bookmarkStart w:id="495" w:name="_Toc2308"/>
      <w:bookmarkStart w:id="496" w:name="_Toc25198"/>
      <w:bookmarkStart w:id="497" w:name="_Toc31892"/>
      <w:r>
        <w:rPr>
          <w:rFonts w:ascii="宋体" w:hAnsi="宋体"/>
          <w:color w:val="auto"/>
          <w:sz w:val="24"/>
          <w:highlight w:val="none"/>
        </w:rPr>
        <w:t xml:space="preserve">2.15.1 </w:t>
      </w:r>
      <w:r>
        <w:rPr>
          <w:rFonts w:hint="eastAsia" w:ascii="宋体" w:hAnsi="宋体"/>
          <w:color w:val="auto"/>
          <w:sz w:val="24"/>
          <w:highlight w:val="none"/>
        </w:rPr>
        <w:t>乙方按照</w:t>
      </w:r>
      <w:r>
        <w:rPr>
          <w:rFonts w:hint="eastAsia" w:ascii="宋体" w:hAnsi="宋体"/>
          <w:b/>
          <w:i/>
          <w:color w:val="auto"/>
          <w:sz w:val="24"/>
          <w:highlight w:val="none"/>
          <w:u w:val="single"/>
          <w:lang w:val="en-US" w:eastAsia="zh-CN"/>
        </w:rPr>
        <w:t>甲方的要求</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hint="eastAsia" w:ascii="宋体" w:hAnsi="宋体"/>
          <w:b/>
          <w:i/>
          <w:color w:val="auto"/>
          <w:sz w:val="24"/>
          <w:highlight w:val="none"/>
          <w:u w:val="single"/>
          <w:lang w:val="en-US" w:eastAsia="zh-CN"/>
        </w:rPr>
        <w:t>相关规定</w:t>
      </w:r>
      <w:r>
        <w:rPr>
          <w:rFonts w:ascii="宋体" w:hAnsi="宋体"/>
          <w:color w:val="auto"/>
          <w:sz w:val="24"/>
          <w:highlight w:val="none"/>
        </w:rPr>
        <w:t>进行定期验收</w:t>
      </w:r>
      <w:r>
        <w:rPr>
          <w:rFonts w:hint="eastAsia" w:ascii="宋体" w:hAnsi="宋体"/>
          <w:color w:val="auto"/>
          <w:sz w:val="24"/>
          <w:highlight w:val="none"/>
        </w:rPr>
        <w:t>；</w:t>
      </w:r>
    </w:p>
    <w:p w14:paraId="43CB7E3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11C0F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12254"/>
      <w:bookmarkStart w:id="502" w:name="_Toc28906"/>
      <w:bookmarkStart w:id="503" w:name="_Toc27644"/>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w:t>
      </w:r>
      <w:r>
        <w:rPr>
          <w:rFonts w:hint="eastAsia" w:ascii="宋体" w:hAnsi="宋体"/>
          <w:color w:val="auto"/>
          <w:sz w:val="24"/>
          <w:highlight w:val="none"/>
          <w:lang w:eastAsia="zh-CN"/>
        </w:rPr>
        <w:t>书写</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261FC83">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rPr>
              <w:t>按项目服务要求提供服务</w:t>
            </w:r>
            <w:r>
              <w:rPr>
                <w:rFonts w:hint="eastAsia" w:ascii="宋体" w:hAnsi="宋体" w:cs="宋体"/>
                <w:sz w:val="24"/>
                <w:lang w:eastAsia="zh-CN"/>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75F6F49">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AE3F9EA">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761C5ED">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详见</w:t>
            </w:r>
            <w:r>
              <w:rPr>
                <w:rFonts w:hint="eastAsia" w:ascii="宋体" w:hAnsi="宋体" w:cs="宋体"/>
                <w:color w:val="auto"/>
                <w:sz w:val="24"/>
                <w:highlight w:val="none"/>
                <w:lang w:val="en-US" w:eastAsia="zh-CN"/>
              </w:rPr>
              <w:t>1.6.2</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B94E5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rPr>
              <w:t>按相关标准</w:t>
            </w:r>
            <w:r>
              <w:rPr>
                <w:rFonts w:hint="eastAsia" w:ascii="宋体" w:hAnsi="宋体" w:cs="宋体"/>
                <w:sz w:val="24"/>
                <w:lang w:val="en-US" w:eastAsia="zh-CN"/>
              </w:rPr>
              <w:t>执行</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43CE10F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highlight w:val="none"/>
                <w:lang w:val="en-US" w:eastAsia="zh-CN"/>
              </w:rPr>
              <w:t>合同壹式陆份，甲方执贰份、乙方执贰份、监管及代理机构执壹份，</w:t>
            </w:r>
            <w:r>
              <w:rPr>
                <w:rFonts w:ascii="宋体" w:hAnsi="宋体"/>
                <w:color w:val="auto"/>
                <w:sz w:val="24"/>
                <w:highlight w:val="none"/>
              </w:rPr>
              <w:t>每份均具有同等法律效力</w:t>
            </w:r>
          </w:p>
        </w:tc>
      </w:tr>
    </w:tbl>
    <w:p w14:paraId="67C8C150">
      <w:pPr>
        <w:snapToGrid w:val="0"/>
        <w:spacing w:line="360" w:lineRule="auto"/>
        <w:ind w:right="23" w:rightChars="11" w:firstLine="456" w:firstLineChars="200"/>
        <w:jc w:val="right"/>
        <w:rPr>
          <w:rFonts w:ascii="宋体" w:hAnsi="宋体" w:cs="宋体"/>
          <w:spacing w:val="-6"/>
          <w:sz w:val="24"/>
        </w:rPr>
      </w:pPr>
    </w:p>
    <w:p w14:paraId="0D385D20"/>
    <w:p w14:paraId="6C8DB486">
      <w:pPr>
        <w:pStyle w:val="17"/>
      </w:pPr>
    </w:p>
    <w:p w14:paraId="2E6FF622">
      <w:pPr>
        <w:rPr>
          <w:rFonts w:hint="eastAsia" w:ascii="宋体" w:hAnsi="宋体" w:cs="宋体"/>
          <w:b/>
          <w:sz w:val="36"/>
          <w:szCs w:val="20"/>
        </w:rPr>
      </w:pPr>
      <w:r>
        <w:rPr>
          <w:rFonts w:hint="eastAsia" w:ascii="宋体" w:hAnsi="宋体" w:cs="宋体"/>
          <w:b/>
          <w:sz w:val="36"/>
          <w:szCs w:val="20"/>
        </w:rPr>
        <w:br w:type="page"/>
      </w:r>
    </w:p>
    <w:p w14:paraId="609B16C7">
      <w:pPr>
        <w:rPr>
          <w:rFonts w:hint="eastAsia" w:ascii="宋体" w:hAnsi="宋体" w:cs="宋体"/>
          <w:b/>
          <w:sz w:val="36"/>
          <w:szCs w:val="20"/>
        </w:rPr>
      </w:pPr>
    </w:p>
    <w:p w14:paraId="5A7DAAA4">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8"/>
      <w:bookmarkEnd w:id="399"/>
      <w:r>
        <w:rPr>
          <w:rFonts w:hint="eastAsia" w:ascii="宋体" w:hAnsi="宋体" w:cs="宋体"/>
          <w:b/>
          <w:sz w:val="36"/>
          <w:szCs w:val="20"/>
        </w:rPr>
        <w:t>应提交的有关格式范例</w:t>
      </w:r>
    </w:p>
    <w:p w14:paraId="6678D257">
      <w:pPr>
        <w:spacing w:line="360" w:lineRule="auto"/>
        <w:jc w:val="center"/>
        <w:outlineLvl w:val="0"/>
        <w:rPr>
          <w:rFonts w:ascii="宋体" w:hAnsi="宋体" w:cs="宋体"/>
          <w:b/>
          <w:kern w:val="0"/>
          <w:sz w:val="36"/>
          <w:szCs w:val="36"/>
        </w:rPr>
      </w:pPr>
    </w:p>
    <w:p w14:paraId="2178F0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843DB6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B3063D5">
      <w:pPr>
        <w:spacing w:line="360" w:lineRule="auto"/>
        <w:jc w:val="center"/>
        <w:outlineLvl w:val="0"/>
        <w:rPr>
          <w:rFonts w:ascii="宋体" w:hAnsi="宋体" w:cs="宋体"/>
          <w:b/>
          <w:kern w:val="0"/>
          <w:sz w:val="36"/>
          <w:szCs w:val="36"/>
        </w:rPr>
      </w:pPr>
    </w:p>
    <w:p w14:paraId="0B9D88A8">
      <w:pPr>
        <w:snapToGrid w:val="0"/>
        <w:spacing w:line="360" w:lineRule="auto"/>
        <w:rPr>
          <w:rFonts w:ascii="宋体" w:hAnsi="宋体" w:cs="宋体"/>
          <w:sz w:val="24"/>
        </w:rPr>
      </w:pPr>
      <w:r>
        <w:rPr>
          <w:rFonts w:hint="eastAsia" w:ascii="宋体" w:hAnsi="宋体" w:cs="宋体"/>
          <w:sz w:val="24"/>
        </w:rPr>
        <w:t>（1）提供有效的营业执照副本并加盖公章（或事业单位法人登记证或其他工商等登记证明材料）……………………………………………………………………………</w:t>
      </w:r>
      <w:r>
        <w:rPr>
          <w:rFonts w:hint="eastAsia" w:ascii="宋体" w:hAnsi="宋体" w:cs="宋体"/>
          <w:sz w:val="24"/>
          <w:lang w:val="en-US" w:eastAsia="zh-CN"/>
        </w:rPr>
        <w:t xml:space="preserve"> </w:t>
      </w:r>
      <w:r>
        <w:rPr>
          <w:rFonts w:hint="eastAsia" w:ascii="宋体" w:hAnsi="宋体" w:cs="宋体"/>
          <w:sz w:val="24"/>
        </w:rPr>
        <w:t>（页码）</w:t>
      </w:r>
    </w:p>
    <w:p w14:paraId="01B78FDB">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联合协议（如有）</w:t>
      </w:r>
      <w:r>
        <w:rPr>
          <w:rFonts w:hint="eastAsia" w:ascii="宋体" w:hAnsi="宋体" w:cs="宋体"/>
          <w:sz w:val="24"/>
        </w:rPr>
        <w:t>………………………………………………………………（页码）</w:t>
      </w:r>
    </w:p>
    <w:p w14:paraId="2CA69C16">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40BE70E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r>
        <w:rPr>
          <w:rFonts w:hint="eastAsia" w:ascii="宋体" w:hAnsi="宋体" w:cs="宋体"/>
          <w:sz w:val="24"/>
        </w:rPr>
        <w:t>………………………………………………（页码）</w:t>
      </w:r>
    </w:p>
    <w:p w14:paraId="2498BFFB">
      <w:pPr>
        <w:spacing w:line="360" w:lineRule="auto"/>
        <w:ind w:firstLine="480" w:firstLineChars="200"/>
        <w:rPr>
          <w:rFonts w:ascii="宋体" w:hAnsi="宋体" w:cs="宋体"/>
          <w:sz w:val="24"/>
        </w:rPr>
      </w:pPr>
    </w:p>
    <w:p w14:paraId="3CF1E593">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5A32FA2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6A453BBE">
      <w:pPr>
        <w:snapToGrid w:val="0"/>
        <w:spacing w:line="360" w:lineRule="auto"/>
        <w:rPr>
          <w:rFonts w:ascii="宋体" w:hAnsi="宋体" w:cs="宋体"/>
          <w:sz w:val="24"/>
        </w:rPr>
      </w:pPr>
      <w:r>
        <w:rPr>
          <w:rFonts w:hint="eastAsia" w:ascii="宋体" w:hAnsi="宋体" w:cs="宋体"/>
          <w:sz w:val="24"/>
        </w:rPr>
        <w:t>（采购人）、（采购代理机构）：</w:t>
      </w:r>
    </w:p>
    <w:p w14:paraId="04C4D61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F8F78A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9E74EB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5D8B12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BDAD5D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385BB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E0E5B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2091C5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7FE09A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531C6E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DFCBF7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F1215A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E48504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6752402">
      <w:pPr>
        <w:snapToGrid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6890CC6B">
      <w:pPr>
        <w:snapToGrid w:val="0"/>
        <w:spacing w:line="360" w:lineRule="auto"/>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7D9BF131">
      <w:pPr>
        <w:snapToGrid w:val="0"/>
        <w:spacing w:line="360" w:lineRule="auto"/>
        <w:ind w:right="480"/>
        <w:jc w:val="center"/>
        <w:rPr>
          <w:rFonts w:ascii="宋体" w:hAnsi="宋体" w:cs="宋体"/>
          <w:b/>
          <w:kern w:val="0"/>
          <w:sz w:val="32"/>
          <w:szCs w:val="32"/>
        </w:rPr>
      </w:pPr>
    </w:p>
    <w:p w14:paraId="58ED11B6">
      <w:pPr>
        <w:snapToGrid w:val="0"/>
        <w:spacing w:line="360" w:lineRule="auto"/>
        <w:ind w:right="480"/>
        <w:jc w:val="center"/>
        <w:rPr>
          <w:rFonts w:ascii="宋体" w:hAnsi="宋体" w:cs="宋体"/>
          <w:b/>
          <w:kern w:val="0"/>
          <w:sz w:val="32"/>
          <w:szCs w:val="32"/>
        </w:rPr>
      </w:pPr>
    </w:p>
    <w:p w14:paraId="20F80E51">
      <w:pPr>
        <w:snapToGrid w:val="0"/>
        <w:spacing w:line="360" w:lineRule="auto"/>
        <w:ind w:right="480"/>
        <w:jc w:val="center"/>
        <w:rPr>
          <w:rFonts w:ascii="宋体" w:hAnsi="宋体" w:cs="宋体"/>
          <w:b/>
          <w:kern w:val="0"/>
          <w:sz w:val="32"/>
          <w:szCs w:val="32"/>
        </w:rPr>
      </w:pPr>
    </w:p>
    <w:p w14:paraId="74DC92FA">
      <w:pPr>
        <w:rPr>
          <w:rFonts w:ascii="宋体" w:hAnsi="宋体" w:cs="宋体"/>
        </w:rPr>
      </w:pPr>
    </w:p>
    <w:p w14:paraId="4A765847">
      <w:pPr>
        <w:snapToGrid w:val="0"/>
        <w:spacing w:line="360" w:lineRule="auto"/>
        <w:ind w:right="480"/>
        <w:jc w:val="center"/>
        <w:rPr>
          <w:rFonts w:ascii="宋体" w:hAnsi="宋体" w:cs="宋体"/>
          <w:b/>
          <w:kern w:val="0"/>
          <w:sz w:val="32"/>
          <w:szCs w:val="32"/>
        </w:rPr>
      </w:pPr>
    </w:p>
    <w:p w14:paraId="1D9167BE">
      <w:pPr>
        <w:snapToGrid w:val="0"/>
        <w:spacing w:line="360" w:lineRule="auto"/>
        <w:ind w:right="480"/>
        <w:jc w:val="center"/>
        <w:rPr>
          <w:rFonts w:ascii="宋体" w:hAnsi="宋体" w:cs="宋体"/>
          <w:b/>
          <w:kern w:val="0"/>
          <w:sz w:val="32"/>
          <w:szCs w:val="32"/>
        </w:rPr>
      </w:pPr>
    </w:p>
    <w:p w14:paraId="6147EEA9">
      <w:pPr>
        <w:snapToGrid w:val="0"/>
        <w:spacing w:line="360" w:lineRule="auto"/>
        <w:ind w:right="480"/>
        <w:jc w:val="center"/>
        <w:rPr>
          <w:rFonts w:ascii="宋体" w:hAnsi="宋体" w:cs="宋体"/>
          <w:b/>
          <w:kern w:val="0"/>
          <w:sz w:val="32"/>
          <w:szCs w:val="32"/>
        </w:rPr>
      </w:pPr>
    </w:p>
    <w:p w14:paraId="0B267990">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二、联合协议</w:t>
      </w:r>
    </w:p>
    <w:p w14:paraId="6CD2A8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09F0390">
      <w:pPr>
        <w:snapToGrid w:val="0"/>
        <w:spacing w:line="360" w:lineRule="auto"/>
        <w:ind w:right="480"/>
        <w:jc w:val="center"/>
        <w:rPr>
          <w:rFonts w:ascii="宋体" w:hAnsi="宋体" w:cs="宋体"/>
          <w:b/>
          <w:kern w:val="0"/>
          <w:sz w:val="32"/>
          <w:szCs w:val="32"/>
        </w:rPr>
      </w:pPr>
    </w:p>
    <w:p w14:paraId="7AA6D66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14:paraId="14559AF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218843">
      <w:pPr>
        <w:snapToGrid w:val="0"/>
        <w:spacing w:before="50" w:after="50" w:line="360" w:lineRule="auto"/>
        <w:jc w:val="center"/>
        <w:rPr>
          <w:rFonts w:ascii="宋体" w:hAnsi="宋体" w:cs="宋体"/>
          <w:b/>
          <w:sz w:val="24"/>
        </w:rPr>
      </w:pPr>
    </w:p>
    <w:p w14:paraId="33C4ACB8">
      <w:pPr>
        <w:widowControl/>
        <w:spacing w:line="360" w:lineRule="auto"/>
        <w:jc w:val="both"/>
        <w:rPr>
          <w:rFonts w:ascii="宋体" w:hAnsi="宋体" w:cs="宋体"/>
          <w:b/>
          <w:kern w:val="0"/>
          <w:sz w:val="32"/>
          <w:szCs w:val="32"/>
        </w:rPr>
      </w:pPr>
    </w:p>
    <w:p w14:paraId="39D3675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、本项目的特定资格要求</w:t>
      </w:r>
    </w:p>
    <w:p w14:paraId="4DE8F0A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CC406FE">
      <w:pPr>
        <w:rPr>
          <w:rFonts w:ascii="宋体" w:hAnsi="宋体" w:cs="宋体"/>
        </w:rPr>
      </w:pPr>
    </w:p>
    <w:p w14:paraId="582DCE0E">
      <w:pPr>
        <w:snapToGrid w:val="0"/>
        <w:spacing w:line="360" w:lineRule="auto"/>
        <w:ind w:right="480"/>
        <w:jc w:val="center"/>
        <w:rPr>
          <w:rFonts w:hint="eastAsia" w:ascii="宋体" w:hAnsi="宋体" w:cs="宋体"/>
          <w:b/>
          <w:kern w:val="0"/>
          <w:sz w:val="32"/>
          <w:szCs w:val="32"/>
          <w:lang w:eastAsia="zh-CN"/>
        </w:rPr>
        <w:sectPr>
          <w:headerReference r:id="rId12" w:type="first"/>
          <w:footerReference r:id="rId14" w:type="first"/>
          <w:headerReference r:id="rId11" w:type="default"/>
          <w:footerReference r:id="rId13"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AAB9EAB">
      <w:pPr>
        <w:spacing w:line="360" w:lineRule="auto"/>
        <w:ind w:right="420"/>
        <w:jc w:val="center"/>
        <w:rPr>
          <w:rFonts w:hint="eastAsia" w:ascii="宋体" w:hAnsi="宋体" w:cs="宋体"/>
          <w:b/>
          <w:kern w:val="0"/>
          <w:sz w:val="36"/>
          <w:szCs w:val="36"/>
        </w:rPr>
      </w:pPr>
    </w:p>
    <w:p w14:paraId="53036091">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0AFB7C0F">
      <w:pPr>
        <w:spacing w:line="360" w:lineRule="auto"/>
        <w:jc w:val="center"/>
        <w:outlineLvl w:val="0"/>
        <w:rPr>
          <w:rFonts w:ascii="宋体" w:hAnsi="宋体" w:cs="宋体"/>
          <w:b/>
          <w:kern w:val="0"/>
          <w:sz w:val="24"/>
        </w:rPr>
      </w:pPr>
    </w:p>
    <w:p w14:paraId="299A3F8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BE298F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C7F738">
      <w:pPr>
        <w:snapToGrid w:val="0"/>
        <w:spacing w:line="360" w:lineRule="auto"/>
        <w:ind w:left="479" w:leftChars="228" w:firstLine="0" w:firstLineChars="0"/>
        <w:rPr>
          <w:rFonts w:ascii="宋体" w:hAnsi="宋体" w:cs="宋体"/>
        </w:rPr>
      </w:pPr>
      <w:r>
        <w:rPr>
          <w:rFonts w:hint="eastAsia" w:ascii="宋体" w:hAnsi="宋体" w:cs="宋体"/>
          <w:sz w:val="24"/>
        </w:rPr>
        <w:t>（3）</w:t>
      </w:r>
      <w:r>
        <w:rPr>
          <w:rFonts w:hint="eastAsia" w:ascii="宋体" w:hAnsi="宋体" w:cs="宋体"/>
          <w:sz w:val="24"/>
          <w:lang w:eastAsia="zh-CN"/>
        </w:rPr>
        <w:t>分包意向协议（如果有）</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）符合性审查资料</w:t>
      </w:r>
      <w:r>
        <w:rPr>
          <w:rFonts w:hint="eastAsia" w:ascii="宋体" w:hAnsi="宋体" w:cs="宋体"/>
        </w:rPr>
        <w:t>………………………………………………………………………（页码）</w:t>
      </w:r>
    </w:p>
    <w:p w14:paraId="2F361BD0">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w:t>
      </w:r>
      <w:r>
        <w:rPr>
          <w:rFonts w:hint="eastAsia" w:ascii="宋体" w:hAnsi="宋体" w:cs="宋体"/>
        </w:rPr>
        <w:t>……………………………………………………（页码）</w:t>
      </w:r>
    </w:p>
    <w:p w14:paraId="40DDA62A">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47C66C1D">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3B198A5C">
      <w:pPr>
        <w:snapToGrid w:val="0"/>
        <w:spacing w:line="360" w:lineRule="auto"/>
        <w:jc w:val="center"/>
        <w:rPr>
          <w:rFonts w:ascii="宋体" w:hAnsi="宋体" w:cs="宋体"/>
          <w:b/>
          <w:kern w:val="0"/>
          <w:sz w:val="32"/>
          <w:szCs w:val="32"/>
          <w:lang w:val="zh-CN"/>
        </w:rPr>
      </w:pPr>
    </w:p>
    <w:p w14:paraId="6B628194">
      <w:pPr>
        <w:snapToGrid w:val="0"/>
        <w:spacing w:line="360" w:lineRule="auto"/>
        <w:jc w:val="center"/>
        <w:rPr>
          <w:rFonts w:ascii="宋体" w:hAnsi="宋体" w:cs="宋体"/>
          <w:b/>
          <w:kern w:val="0"/>
          <w:sz w:val="32"/>
          <w:szCs w:val="32"/>
          <w:lang w:val="zh-CN"/>
        </w:rPr>
      </w:pPr>
    </w:p>
    <w:p w14:paraId="5FA363C8">
      <w:pPr>
        <w:snapToGrid w:val="0"/>
        <w:spacing w:line="360" w:lineRule="auto"/>
        <w:jc w:val="center"/>
        <w:rPr>
          <w:rFonts w:ascii="宋体" w:hAnsi="宋体" w:cs="宋体"/>
          <w:b/>
          <w:kern w:val="0"/>
          <w:sz w:val="32"/>
          <w:szCs w:val="32"/>
          <w:lang w:val="zh-CN"/>
        </w:rPr>
      </w:pPr>
    </w:p>
    <w:p w14:paraId="6FE3A280">
      <w:pPr>
        <w:snapToGrid w:val="0"/>
        <w:spacing w:line="360" w:lineRule="auto"/>
        <w:jc w:val="center"/>
        <w:rPr>
          <w:rFonts w:ascii="宋体" w:hAnsi="宋体" w:cs="宋体"/>
          <w:b/>
          <w:kern w:val="0"/>
          <w:sz w:val="32"/>
          <w:szCs w:val="32"/>
          <w:lang w:val="zh-CN"/>
        </w:rPr>
      </w:pPr>
    </w:p>
    <w:p w14:paraId="2BEF7D5B">
      <w:pPr>
        <w:snapToGrid w:val="0"/>
        <w:spacing w:line="360" w:lineRule="auto"/>
        <w:jc w:val="center"/>
        <w:rPr>
          <w:rFonts w:ascii="宋体" w:hAnsi="宋体" w:cs="宋体"/>
          <w:b/>
          <w:kern w:val="0"/>
          <w:sz w:val="32"/>
          <w:szCs w:val="32"/>
          <w:lang w:val="zh-CN"/>
        </w:rPr>
      </w:pPr>
    </w:p>
    <w:p w14:paraId="65EF7D05">
      <w:pPr>
        <w:snapToGrid w:val="0"/>
        <w:spacing w:line="360" w:lineRule="auto"/>
        <w:jc w:val="center"/>
        <w:outlineLvl w:val="0"/>
        <w:rPr>
          <w:rFonts w:ascii="宋体" w:hAnsi="宋体" w:cs="宋体"/>
          <w:b/>
          <w:kern w:val="0"/>
          <w:sz w:val="32"/>
          <w:szCs w:val="32"/>
        </w:rPr>
      </w:pPr>
    </w:p>
    <w:p w14:paraId="3D53775F">
      <w:pPr>
        <w:snapToGrid w:val="0"/>
        <w:spacing w:line="360" w:lineRule="auto"/>
        <w:jc w:val="center"/>
        <w:outlineLvl w:val="0"/>
        <w:rPr>
          <w:rFonts w:ascii="宋体" w:hAnsi="宋体" w:cs="宋体"/>
          <w:b/>
          <w:kern w:val="0"/>
          <w:sz w:val="32"/>
          <w:szCs w:val="32"/>
        </w:rPr>
      </w:pPr>
    </w:p>
    <w:p w14:paraId="65A3E936">
      <w:pPr>
        <w:rPr>
          <w:rFonts w:ascii="宋体" w:hAnsi="宋体" w:cs="宋体"/>
        </w:rPr>
      </w:pPr>
    </w:p>
    <w:p w14:paraId="534884C5">
      <w:pPr>
        <w:snapToGrid w:val="0"/>
        <w:spacing w:line="360" w:lineRule="auto"/>
        <w:jc w:val="center"/>
        <w:outlineLvl w:val="0"/>
        <w:rPr>
          <w:rFonts w:ascii="宋体" w:hAnsi="宋体" w:cs="宋体"/>
          <w:b/>
          <w:kern w:val="0"/>
          <w:sz w:val="32"/>
          <w:szCs w:val="32"/>
        </w:rPr>
      </w:pPr>
    </w:p>
    <w:p w14:paraId="2F35622E">
      <w:pPr>
        <w:snapToGrid w:val="0"/>
        <w:spacing w:line="360" w:lineRule="auto"/>
        <w:jc w:val="center"/>
        <w:outlineLvl w:val="0"/>
        <w:rPr>
          <w:rFonts w:ascii="宋体" w:hAnsi="宋体" w:cs="宋体"/>
          <w:b/>
          <w:kern w:val="0"/>
          <w:sz w:val="32"/>
          <w:szCs w:val="32"/>
        </w:rPr>
      </w:pPr>
    </w:p>
    <w:p w14:paraId="76CC2D40">
      <w:pPr>
        <w:snapToGrid w:val="0"/>
        <w:spacing w:line="360" w:lineRule="auto"/>
        <w:jc w:val="center"/>
        <w:outlineLvl w:val="0"/>
        <w:rPr>
          <w:rFonts w:ascii="宋体" w:hAnsi="宋体" w:cs="宋体"/>
          <w:b/>
          <w:kern w:val="0"/>
          <w:sz w:val="32"/>
          <w:szCs w:val="32"/>
        </w:rPr>
      </w:pPr>
    </w:p>
    <w:p w14:paraId="032C702D">
      <w:pPr>
        <w:pStyle w:val="20"/>
        <w:rPr>
          <w:rFonts w:ascii="宋体" w:hAnsi="宋体" w:cs="宋体"/>
          <w:b/>
          <w:kern w:val="0"/>
          <w:sz w:val="32"/>
          <w:szCs w:val="32"/>
        </w:rPr>
      </w:pPr>
    </w:p>
    <w:p w14:paraId="2C729E7D">
      <w:pPr>
        <w:pStyle w:val="19"/>
        <w:rPr>
          <w:rFonts w:ascii="宋体" w:hAnsi="宋体" w:cs="宋体"/>
          <w:b/>
          <w:kern w:val="0"/>
          <w:sz w:val="32"/>
          <w:szCs w:val="32"/>
        </w:rPr>
      </w:pPr>
    </w:p>
    <w:p w14:paraId="59F98F50">
      <w:pPr>
        <w:pStyle w:val="17"/>
      </w:pPr>
    </w:p>
    <w:p w14:paraId="4DE54081">
      <w:pPr>
        <w:snapToGrid w:val="0"/>
        <w:spacing w:line="360" w:lineRule="auto"/>
        <w:jc w:val="both"/>
        <w:outlineLvl w:val="0"/>
        <w:rPr>
          <w:rFonts w:ascii="宋体" w:hAnsi="宋体" w:cs="宋体"/>
          <w:b/>
          <w:kern w:val="0"/>
          <w:sz w:val="32"/>
          <w:szCs w:val="32"/>
        </w:rPr>
      </w:pPr>
    </w:p>
    <w:p w14:paraId="337938C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8537F6C">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sz w:val="24"/>
        </w:rPr>
      </w:pPr>
      <w:r>
        <w:rPr>
          <w:rFonts w:hint="eastAsia" w:ascii="宋体" w:hAnsi="宋体" w:cs="宋体"/>
          <w:sz w:val="24"/>
        </w:rPr>
        <w:t>（采购人）、（采购代理机构）：</w:t>
      </w:r>
    </w:p>
    <w:p w14:paraId="0986F6D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082A13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highlight w:val="yellow"/>
          <w:u w:val="single"/>
          <w:lang w:val="en-US" w:eastAsia="zh-CN"/>
        </w:rPr>
        <w:t xml:space="preserve">     </w:t>
      </w:r>
      <w:r>
        <w:rPr>
          <w:rFonts w:hint="eastAsia" w:ascii="宋体" w:hAnsi="宋体" w:cs="宋体"/>
          <w:sz w:val="24"/>
          <w:highlight w:val="yellow"/>
        </w:rPr>
        <w:t>天</w:t>
      </w:r>
      <w:r>
        <w:rPr>
          <w:rFonts w:hint="eastAsia" w:ascii="宋体" w:hAnsi="宋体" w:cs="宋体"/>
          <w:sz w:val="24"/>
        </w:rPr>
        <w:t>（不少于90天）</w:t>
      </w:r>
      <w:r>
        <w:rPr>
          <w:rFonts w:hint="eastAsia" w:ascii="宋体" w:hAnsi="宋体" w:cs="宋体"/>
        </w:rPr>
        <w:t>，</w:t>
      </w:r>
      <w:r>
        <w:rPr>
          <w:rFonts w:hint="eastAsia" w:ascii="宋体" w:hAnsi="宋体" w:cs="宋体"/>
          <w:sz w:val="24"/>
        </w:rPr>
        <w:t>本投标文件在投标有效期满之前均具有约束力。</w:t>
      </w:r>
    </w:p>
    <w:p w14:paraId="2F0B7C8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2、我方的投标文件包括以下内容：</w:t>
      </w:r>
    </w:p>
    <w:p w14:paraId="3A24C581">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2.1资格文件：</w:t>
      </w:r>
    </w:p>
    <w:p w14:paraId="43FD83F9">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2.1.1提供有效的营业执照副本并加盖公章（或事业单位法人登记证或其他工商等登记证明材料）；</w:t>
      </w:r>
    </w:p>
    <w:p w14:paraId="0FD6FFC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cs="宋体"/>
          <w:sz w:val="24"/>
        </w:rPr>
      </w:pPr>
      <w:r>
        <w:rPr>
          <w:rFonts w:hint="eastAsia" w:ascii="宋体" w:hAnsi="宋体" w:cs="宋体"/>
          <w:sz w:val="24"/>
        </w:rPr>
        <w:t>2.1.2符合参加政府采购活动应当具备的一般条件的承诺函；</w:t>
      </w:r>
    </w:p>
    <w:p w14:paraId="4334E4D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14:paraId="6B6C1556">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71ABBFD8">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eastAsia="宋体" w:cs="宋体"/>
          <w:sz w:val="24"/>
          <w:lang w:eastAsia="zh-CN"/>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p>
    <w:p w14:paraId="6527054A">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7403E9D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2.2.1投标函；</w:t>
      </w:r>
    </w:p>
    <w:p w14:paraId="10A15438">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cs="宋体"/>
          <w:sz w:val="24"/>
        </w:rPr>
      </w:pPr>
      <w:r>
        <w:rPr>
          <w:rFonts w:hint="eastAsia" w:ascii="宋体" w:hAnsi="宋体" w:cs="宋体"/>
          <w:sz w:val="24"/>
        </w:rPr>
        <w:t>2.2.2授权委托书或法定代表人（单位负责人）身份证明；</w:t>
      </w:r>
    </w:p>
    <w:p w14:paraId="256C6F6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2.2.3分包意向协议（如果有)；</w:t>
      </w:r>
    </w:p>
    <w:p w14:paraId="27F94220">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符合性审查资料；</w:t>
      </w:r>
    </w:p>
    <w:p w14:paraId="63AEE953">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评标标准相应的商务技术资料；</w:t>
      </w:r>
    </w:p>
    <w:p w14:paraId="4931A92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343177A5">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A042CC2">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91FAEC5">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2.3.1开标一览表（报价表）；</w:t>
      </w:r>
    </w:p>
    <w:p w14:paraId="70534F2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2.3.2中小企业声明函（如果有）。</w:t>
      </w:r>
    </w:p>
    <w:p w14:paraId="4147501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3、我方承诺除商务技术偏离表列出的偏离外，我方响应招标文件的全部要求。</w:t>
      </w:r>
    </w:p>
    <w:p w14:paraId="44BC8EC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4、如我方中标，我方承诺：</w:t>
      </w:r>
    </w:p>
    <w:p w14:paraId="40699045">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9D2E19C">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14:paraId="68AC9071">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4.3在合同约定的期限内完成合同规定的全部义务。 </w:t>
      </w:r>
    </w:p>
    <w:p w14:paraId="150AA33F">
      <w:pPr>
        <w:keepNext w:val="0"/>
        <w:keepLines w:val="0"/>
        <w:pageBreakBefore w:val="0"/>
        <w:widowControl w:val="0"/>
        <w:numPr>
          <w:ilvl w:val="0"/>
          <w:numId w:val="2"/>
        </w:numPr>
        <w:kinsoku/>
        <w:wordWrap/>
        <w:overflowPunct/>
        <w:topLinePunct w:val="0"/>
        <w:autoSpaceDE/>
        <w:autoSpaceDN/>
        <w:bidi w:val="0"/>
        <w:adjustRightInd w:val="0"/>
        <w:snapToGrid w:val="0"/>
        <w:spacing w:line="460" w:lineRule="exact"/>
        <w:ind w:left="210" w:leftChars="100" w:firstLine="480" w:firstLineChars="200"/>
        <w:textAlignment w:val="auto"/>
        <w:rPr>
          <w:rFonts w:hint="eastAsia" w:ascii="宋体" w:hAnsi="宋体" w:cs="宋体"/>
          <w:sz w:val="24"/>
        </w:rPr>
      </w:pPr>
      <w:r>
        <w:rPr>
          <w:rFonts w:hint="eastAsia" w:ascii="宋体" w:hAnsi="宋体" w:cs="宋体"/>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7F970FE">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3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048D0DD8">
      <w:pPr>
        <w:keepNext w:val="0"/>
        <w:keepLines w:val="0"/>
        <w:pageBreakBefore w:val="0"/>
        <w:widowControl w:val="0"/>
        <w:kinsoku/>
        <w:wordWrap/>
        <w:overflowPunct/>
        <w:topLinePunct w:val="0"/>
        <w:autoSpaceDE/>
        <w:autoSpaceDN/>
        <w:bidi w:val="0"/>
        <w:adjustRightInd w:val="0"/>
        <w:spacing w:line="460" w:lineRule="exact"/>
        <w:ind w:firstLine="3600" w:firstLineChars="1500"/>
        <w:textAlignment w:val="auto"/>
        <w:rPr>
          <w:rFonts w:ascii="宋体" w:hAnsi="宋体" w:cs="宋体"/>
          <w:sz w:val="24"/>
        </w:rPr>
      </w:pPr>
      <w:r>
        <w:rPr>
          <w:rFonts w:hint="eastAsia" w:ascii="宋体" w:hAnsi="宋体" w:cs="宋体"/>
          <w:sz w:val="24"/>
        </w:rPr>
        <w:t xml:space="preserve">投标人名称（电子签名）：                          </w:t>
      </w:r>
    </w:p>
    <w:p w14:paraId="20ED07E9">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ascii="宋体" w:hAnsi="宋体" w:cs="宋体"/>
          <w:sz w:val="24"/>
        </w:rPr>
      </w:pPr>
      <w:r>
        <w:rPr>
          <w:rFonts w:hint="eastAsia" w:ascii="宋体" w:hAnsi="宋体" w:cs="宋体"/>
          <w:sz w:val="24"/>
        </w:rPr>
        <w:t xml:space="preserve">     日期：  年   月   日</w:t>
      </w:r>
    </w:p>
    <w:p w14:paraId="56FE258A">
      <w:pPr>
        <w:keepNext w:val="0"/>
        <w:keepLines w:val="0"/>
        <w:pageBreakBefore w:val="0"/>
        <w:widowControl w:val="0"/>
        <w:kinsoku/>
        <w:wordWrap/>
        <w:overflowPunct/>
        <w:topLinePunct w:val="0"/>
        <w:autoSpaceDE/>
        <w:autoSpaceDN/>
        <w:bidi w:val="0"/>
        <w:adjustRightInd w:val="0"/>
        <w:spacing w:line="460" w:lineRule="exact"/>
        <w:ind w:right="420"/>
        <w:textAlignment w:val="auto"/>
        <w:rPr>
          <w:rFonts w:ascii="宋体" w:hAnsi="宋体" w:cs="宋体"/>
          <w:sz w:val="24"/>
        </w:rPr>
      </w:pPr>
      <w:r>
        <w:rPr>
          <w:rFonts w:hint="eastAsia" w:ascii="宋体" w:hAnsi="宋体" w:cs="宋体"/>
          <w:sz w:val="24"/>
        </w:rPr>
        <w:t>注：按本格式和要求提供。</w:t>
      </w:r>
    </w:p>
    <w:p w14:paraId="33BB02F2">
      <w:pPr>
        <w:jc w:val="both"/>
        <w:rPr>
          <w:rFonts w:hint="eastAsia" w:ascii="宋体" w:hAnsi="宋体" w:cs="宋体"/>
          <w:b/>
          <w:kern w:val="0"/>
          <w:sz w:val="32"/>
          <w:szCs w:val="32"/>
          <w:lang w:val="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539B88FE">
      <w:pPr>
        <w:pStyle w:val="27"/>
        <w:rPr>
          <w:rFonts w:hint="eastAsia"/>
          <w:lang w:val="zh-CN"/>
        </w:rPr>
      </w:pPr>
    </w:p>
    <w:p w14:paraId="1AB7E96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C2E7121">
      <w:pPr>
        <w:snapToGrid w:val="0"/>
        <w:spacing w:line="360" w:lineRule="auto"/>
        <w:rPr>
          <w:rFonts w:ascii="宋体" w:hAnsi="宋体" w:cs="宋体"/>
          <w:sz w:val="24"/>
        </w:rPr>
      </w:pP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3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3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34"/>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122163">
      <w:pPr>
        <w:jc w:val="both"/>
        <w:rPr>
          <w:rFonts w:hint="eastAsia" w:ascii="宋体" w:hAnsi="宋体" w:cs="宋体"/>
          <w:b/>
          <w:kern w:val="0"/>
          <w:sz w:val="32"/>
          <w:szCs w:val="32"/>
        </w:rPr>
      </w:pPr>
    </w:p>
    <w:p w14:paraId="1461AF5D">
      <w:pPr>
        <w:jc w:val="both"/>
        <w:rPr>
          <w:rFonts w:hint="eastAsia" w:ascii="宋体" w:hAnsi="宋体" w:cs="宋体"/>
          <w:b/>
          <w:kern w:val="0"/>
          <w:sz w:val="32"/>
          <w:szCs w:val="32"/>
        </w:rPr>
      </w:pPr>
    </w:p>
    <w:p w14:paraId="075875BE">
      <w:pPr>
        <w:snapToGrid w:val="0"/>
        <w:spacing w:line="360" w:lineRule="auto"/>
        <w:ind w:firstLine="3534" w:firstLineChars="1100"/>
        <w:rPr>
          <w:rFonts w:hint="eastAsia" w:ascii="宋体" w:hAnsi="宋体" w:cs="宋体"/>
          <w:b/>
          <w:color w:val="auto"/>
          <w:kern w:val="0"/>
          <w:sz w:val="32"/>
          <w:szCs w:val="32"/>
          <w:highlight w:val="none"/>
        </w:r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6D0BB23">
      <w:pPr>
        <w:jc w:val="center"/>
        <w:rPr>
          <w:rFonts w:hint="eastAsia" w:ascii="宋体" w:hAnsi="宋体" w:cs="宋体"/>
          <w:b/>
          <w:kern w:val="0"/>
          <w:sz w:val="32"/>
          <w:szCs w:val="32"/>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16E8F2B">
      <w:pPr>
        <w:jc w:val="center"/>
        <w:rPr>
          <w:rFonts w:hint="eastAsia" w:ascii="宋体" w:hAnsi="宋体" w:cs="宋体"/>
          <w:b/>
          <w:kern w:val="0"/>
          <w:sz w:val="32"/>
          <w:szCs w:val="32"/>
        </w:rPr>
      </w:pPr>
    </w:p>
    <w:p w14:paraId="15D8EB11">
      <w:pPr>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、符合性审查资料</w:t>
      </w:r>
    </w:p>
    <w:p w14:paraId="3F627C83">
      <w:pPr>
        <w:jc w:val="center"/>
        <w:rPr>
          <w:rFonts w:ascii="宋体" w:hAnsi="宋体" w:cs="宋体"/>
          <w:b/>
          <w:kern w:val="0"/>
          <w:sz w:val="32"/>
          <w:szCs w:val="32"/>
        </w:rPr>
      </w:pP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hint="default" w:ascii="宋体" w:hAnsi="宋体" w:cs="宋体"/>
                <w:color w:val="auto"/>
                <w:sz w:val="24"/>
                <w:highlight w:val="none"/>
                <w:lang w:val="en-US"/>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hint="default" w:ascii="宋体" w:hAnsi="宋体" w:cs="宋体"/>
                <w:color w:val="auto"/>
                <w:sz w:val="24"/>
                <w:highlight w:val="none"/>
                <w:lang w:val="en-US"/>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8C288FB">
      <w:pPr>
        <w:spacing w:line="360" w:lineRule="auto"/>
        <w:ind w:right="420"/>
        <w:rPr>
          <w:rFonts w:ascii="宋体" w:hAnsi="宋体" w:cs="宋体"/>
          <w:sz w:val="24"/>
        </w:rPr>
      </w:pPr>
      <w:r>
        <w:rPr>
          <w:rFonts w:hint="eastAsia" w:ascii="宋体" w:hAnsi="宋体" w:eastAsia="宋体" w:cs="宋体"/>
          <w:color w:val="auto"/>
          <w:sz w:val="24"/>
          <w:highlight w:val="none"/>
        </w:rPr>
        <w:t>2、招标文件中实质性要求必须明确响应。</w:t>
      </w:r>
    </w:p>
    <w:p w14:paraId="573A4CDE">
      <w:pPr>
        <w:jc w:val="center"/>
        <w:rPr>
          <w:rFonts w:ascii="宋体" w:hAnsi="宋体" w:cs="宋体"/>
          <w:b/>
          <w:kern w:val="0"/>
          <w:sz w:val="32"/>
          <w:szCs w:val="32"/>
        </w:rPr>
      </w:pPr>
    </w:p>
    <w:p w14:paraId="707FC2B4">
      <w:pPr>
        <w:jc w:val="center"/>
        <w:rPr>
          <w:rFonts w:ascii="宋体" w:hAnsi="宋体" w:cs="宋体"/>
          <w:b/>
          <w:kern w:val="0"/>
          <w:sz w:val="32"/>
          <w:szCs w:val="32"/>
        </w:rPr>
      </w:pPr>
    </w:p>
    <w:p w14:paraId="3B1FFA93">
      <w:pPr>
        <w:jc w:val="center"/>
        <w:rPr>
          <w:rFonts w:ascii="宋体" w:hAnsi="宋体" w:cs="宋体"/>
          <w:b/>
          <w:kern w:val="0"/>
          <w:sz w:val="32"/>
          <w:szCs w:val="32"/>
        </w:rPr>
      </w:pPr>
    </w:p>
    <w:p w14:paraId="23934160">
      <w:pPr>
        <w:jc w:val="both"/>
        <w:rPr>
          <w:rFonts w:ascii="宋体" w:hAnsi="宋体" w:cs="宋体"/>
          <w:b/>
          <w:kern w:val="0"/>
          <w:sz w:val="32"/>
          <w:szCs w:val="32"/>
        </w:rPr>
      </w:pPr>
    </w:p>
    <w:p w14:paraId="12AB4A11">
      <w:pPr>
        <w:jc w:val="center"/>
        <w:rPr>
          <w:rFonts w:hint="eastAsia" w:ascii="宋体" w:hAnsi="宋体" w:cs="宋体"/>
          <w:b/>
          <w:kern w:val="0"/>
          <w:sz w:val="32"/>
          <w:szCs w:val="32"/>
          <w:lang w:eastAsia="zh-CN"/>
        </w:rPr>
      </w:pPr>
    </w:p>
    <w:p w14:paraId="3FFB8F0C">
      <w:pPr>
        <w:jc w:val="center"/>
        <w:rPr>
          <w:rFonts w:hint="eastAsia" w:ascii="宋体" w:hAnsi="宋体" w:cs="宋体"/>
          <w:b/>
          <w:kern w:val="0"/>
          <w:sz w:val="32"/>
          <w:szCs w:val="32"/>
          <w:lang w:eastAsia="zh-CN"/>
        </w:rPr>
      </w:pPr>
    </w:p>
    <w:p w14:paraId="014855EF">
      <w:pPr>
        <w:jc w:val="center"/>
        <w:rPr>
          <w:rFonts w:hint="eastAsia" w:ascii="宋体" w:hAnsi="宋体" w:cs="宋体"/>
          <w:b/>
          <w:kern w:val="0"/>
          <w:sz w:val="32"/>
          <w:szCs w:val="32"/>
          <w:lang w:eastAsia="zh-CN"/>
        </w:rPr>
      </w:pPr>
    </w:p>
    <w:p w14:paraId="30875423">
      <w:pPr>
        <w:jc w:val="center"/>
        <w:rPr>
          <w:rFonts w:hint="eastAsia" w:ascii="宋体" w:hAnsi="宋体" w:cs="宋体"/>
          <w:b/>
          <w:kern w:val="0"/>
          <w:sz w:val="32"/>
          <w:szCs w:val="32"/>
          <w:lang w:eastAsia="zh-CN"/>
        </w:rPr>
      </w:pPr>
    </w:p>
    <w:p w14:paraId="104A5F59">
      <w:pPr>
        <w:jc w:val="center"/>
        <w:rPr>
          <w:rFonts w:hint="eastAsia" w:ascii="宋体" w:hAnsi="宋体" w:cs="宋体"/>
          <w:b/>
          <w:kern w:val="0"/>
          <w:sz w:val="32"/>
          <w:szCs w:val="32"/>
          <w:lang w:eastAsia="zh-CN"/>
        </w:rPr>
      </w:pPr>
    </w:p>
    <w:p w14:paraId="693EB69B">
      <w:pPr>
        <w:jc w:val="center"/>
        <w:rPr>
          <w:rFonts w:hint="eastAsia" w:ascii="宋体" w:hAnsi="宋体" w:cs="宋体"/>
          <w:b/>
          <w:kern w:val="0"/>
          <w:sz w:val="32"/>
          <w:szCs w:val="32"/>
          <w:lang w:eastAsia="zh-CN"/>
        </w:rPr>
      </w:pPr>
    </w:p>
    <w:p w14:paraId="18D335E2">
      <w:pPr>
        <w:jc w:val="center"/>
        <w:rPr>
          <w:rFonts w:hint="eastAsia" w:ascii="宋体" w:hAnsi="宋体" w:cs="宋体"/>
          <w:b/>
          <w:kern w:val="0"/>
          <w:sz w:val="32"/>
          <w:szCs w:val="32"/>
          <w:lang w:eastAsia="zh-CN"/>
        </w:rPr>
      </w:pPr>
    </w:p>
    <w:p w14:paraId="600DB373">
      <w:pPr>
        <w:jc w:val="center"/>
        <w:rPr>
          <w:rFonts w:hint="eastAsia" w:ascii="宋体" w:hAnsi="宋体" w:cs="宋体"/>
          <w:b/>
          <w:kern w:val="0"/>
          <w:sz w:val="32"/>
          <w:szCs w:val="32"/>
          <w:lang w:eastAsia="zh-CN"/>
        </w:rPr>
      </w:pPr>
    </w:p>
    <w:p w14:paraId="7D6C4DCE">
      <w:pPr>
        <w:jc w:val="center"/>
        <w:rPr>
          <w:rFonts w:hint="eastAsia" w:ascii="宋体" w:hAnsi="宋体" w:cs="宋体"/>
          <w:b/>
          <w:kern w:val="0"/>
          <w:sz w:val="32"/>
          <w:szCs w:val="32"/>
          <w:lang w:eastAsia="zh-CN"/>
        </w:rPr>
      </w:pPr>
    </w:p>
    <w:p w14:paraId="2BB9ED18">
      <w:pPr>
        <w:jc w:val="center"/>
        <w:rPr>
          <w:rFonts w:hint="eastAsia" w:ascii="宋体" w:hAnsi="宋体" w:cs="宋体"/>
          <w:b/>
          <w:kern w:val="0"/>
          <w:sz w:val="32"/>
          <w:szCs w:val="32"/>
          <w:lang w:eastAsia="zh-CN"/>
        </w:rPr>
      </w:pPr>
    </w:p>
    <w:p w14:paraId="42371C6F">
      <w:pPr>
        <w:jc w:val="center"/>
        <w:rPr>
          <w:rFonts w:hint="eastAsia" w:ascii="宋体" w:hAnsi="宋体" w:cs="宋体"/>
          <w:b/>
          <w:kern w:val="0"/>
          <w:sz w:val="32"/>
          <w:szCs w:val="32"/>
          <w:lang w:eastAsia="zh-CN"/>
        </w:rPr>
      </w:pPr>
    </w:p>
    <w:p w14:paraId="149CB428">
      <w:pPr>
        <w:jc w:val="center"/>
        <w:rPr>
          <w:rFonts w:hint="eastAsia" w:ascii="宋体" w:hAnsi="宋体" w:cs="宋体"/>
          <w:b/>
          <w:kern w:val="0"/>
          <w:sz w:val="32"/>
          <w:szCs w:val="32"/>
          <w:lang w:eastAsia="zh-CN"/>
        </w:rPr>
      </w:pPr>
    </w:p>
    <w:p w14:paraId="49CADDBF">
      <w:pPr>
        <w:jc w:val="center"/>
        <w:rPr>
          <w:rFonts w:ascii="宋体" w:hAnsi="宋体" w:cs="宋体"/>
        </w:rPr>
      </w:pPr>
      <w:r>
        <w:rPr>
          <w:rFonts w:hint="eastAsia" w:ascii="宋体" w:hAnsi="宋体" w:cs="宋体"/>
          <w:b/>
          <w:kern w:val="0"/>
          <w:sz w:val="32"/>
          <w:szCs w:val="32"/>
          <w:lang w:eastAsia="zh-CN"/>
        </w:rPr>
        <w:t>五</w:t>
      </w:r>
      <w:r>
        <w:rPr>
          <w:rFonts w:hint="eastAsia" w:ascii="宋体" w:hAnsi="宋体" w:cs="宋体"/>
          <w:b/>
          <w:kern w:val="0"/>
          <w:sz w:val="32"/>
          <w:szCs w:val="32"/>
        </w:rPr>
        <w:t>、评标标准相应的商务技术资料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2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41F6EB2">
      <w:pPr>
        <w:jc w:val="center"/>
        <w:rPr>
          <w:rFonts w:ascii="宋体" w:hAnsi="宋体" w:cs="宋体"/>
          <w:b/>
          <w:kern w:val="0"/>
          <w:sz w:val="32"/>
          <w:szCs w:val="32"/>
        </w:rPr>
      </w:pPr>
    </w:p>
    <w:p w14:paraId="3F1E881C">
      <w:pPr>
        <w:jc w:val="center"/>
        <w:rPr>
          <w:rFonts w:ascii="宋体" w:hAnsi="宋体" w:cs="宋体"/>
          <w:b/>
          <w:kern w:val="0"/>
          <w:sz w:val="32"/>
          <w:szCs w:val="32"/>
        </w:rPr>
      </w:pPr>
    </w:p>
    <w:p w14:paraId="6E5B3ACB">
      <w:pPr>
        <w:jc w:val="center"/>
        <w:rPr>
          <w:rFonts w:ascii="宋体" w:hAnsi="宋体" w:cs="宋体"/>
          <w:b/>
          <w:kern w:val="0"/>
          <w:sz w:val="32"/>
          <w:szCs w:val="32"/>
        </w:rPr>
      </w:pPr>
    </w:p>
    <w:p w14:paraId="1F5B6E22">
      <w:pPr>
        <w:jc w:val="both"/>
        <w:rPr>
          <w:rFonts w:ascii="宋体" w:hAnsi="宋体" w:cs="宋体"/>
          <w:b/>
          <w:kern w:val="0"/>
          <w:sz w:val="32"/>
          <w:szCs w:val="32"/>
        </w:rPr>
      </w:pPr>
    </w:p>
    <w:p w14:paraId="12BE29E3">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60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BF1F05">
            <w:pPr>
              <w:jc w:val="center"/>
              <w:rPr>
                <w:rFonts w:ascii="宋体" w:hAnsi="宋体" w:cs="宋体"/>
                <w:b/>
                <w:bCs/>
                <w:sz w:val="24"/>
              </w:rPr>
            </w:pPr>
            <w:r>
              <w:rPr>
                <w:rFonts w:hint="eastAsia" w:ascii="宋体" w:hAnsi="宋体" w:cs="宋体"/>
                <w:b/>
                <w:bCs/>
                <w:sz w:val="24"/>
              </w:rPr>
              <w:t>序号</w:t>
            </w:r>
          </w:p>
        </w:tc>
        <w:tc>
          <w:tcPr>
            <w:tcW w:w="3683" w:type="dxa"/>
          </w:tcPr>
          <w:p w14:paraId="2FB31CC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F764EF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8FC1FF2">
            <w:pPr>
              <w:jc w:val="center"/>
              <w:rPr>
                <w:rFonts w:ascii="宋体" w:hAnsi="宋体" w:cs="宋体"/>
                <w:b/>
                <w:bCs/>
                <w:sz w:val="24"/>
              </w:rPr>
            </w:pPr>
            <w:r>
              <w:rPr>
                <w:rFonts w:hint="eastAsia" w:ascii="宋体" w:hAnsi="宋体" w:cs="宋体"/>
                <w:b/>
                <w:bCs/>
                <w:sz w:val="24"/>
              </w:rPr>
              <w:t>偏离说明</w:t>
            </w:r>
          </w:p>
        </w:tc>
      </w:tr>
      <w:tr w14:paraId="6819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B6B2D8">
            <w:pPr>
              <w:jc w:val="center"/>
              <w:rPr>
                <w:rFonts w:ascii="宋体" w:hAnsi="宋体" w:cs="宋体"/>
                <w:kern w:val="0"/>
                <w:sz w:val="24"/>
              </w:rPr>
            </w:pPr>
            <w:r>
              <w:rPr>
                <w:rFonts w:hint="eastAsia" w:ascii="宋体" w:hAnsi="宋体" w:cs="宋体"/>
                <w:kern w:val="0"/>
                <w:sz w:val="24"/>
              </w:rPr>
              <w:t>1</w:t>
            </w:r>
          </w:p>
        </w:tc>
        <w:tc>
          <w:tcPr>
            <w:tcW w:w="3683" w:type="dxa"/>
          </w:tcPr>
          <w:p w14:paraId="5C65C9AD">
            <w:pPr>
              <w:jc w:val="center"/>
              <w:rPr>
                <w:rFonts w:ascii="宋体" w:hAnsi="宋体" w:cs="宋体"/>
                <w:b/>
                <w:kern w:val="0"/>
                <w:sz w:val="32"/>
                <w:szCs w:val="32"/>
              </w:rPr>
            </w:pPr>
          </w:p>
        </w:tc>
        <w:tc>
          <w:tcPr>
            <w:tcW w:w="3546" w:type="dxa"/>
          </w:tcPr>
          <w:p w14:paraId="2A28477C">
            <w:pPr>
              <w:jc w:val="center"/>
              <w:rPr>
                <w:rFonts w:ascii="宋体" w:hAnsi="宋体" w:cs="宋体"/>
                <w:b/>
                <w:kern w:val="0"/>
                <w:sz w:val="32"/>
                <w:szCs w:val="32"/>
              </w:rPr>
            </w:pPr>
          </w:p>
        </w:tc>
        <w:tc>
          <w:tcPr>
            <w:tcW w:w="1276" w:type="dxa"/>
          </w:tcPr>
          <w:p w14:paraId="03BC798A">
            <w:pPr>
              <w:jc w:val="center"/>
              <w:rPr>
                <w:rFonts w:ascii="宋体" w:hAnsi="宋体" w:cs="宋体"/>
                <w:b/>
                <w:kern w:val="0"/>
                <w:sz w:val="32"/>
                <w:szCs w:val="32"/>
              </w:rPr>
            </w:pPr>
          </w:p>
        </w:tc>
      </w:tr>
      <w:tr w14:paraId="4C4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9D2B97">
            <w:pPr>
              <w:jc w:val="center"/>
              <w:rPr>
                <w:rFonts w:ascii="宋体" w:hAnsi="宋体" w:cs="宋体"/>
                <w:kern w:val="0"/>
                <w:sz w:val="24"/>
              </w:rPr>
            </w:pPr>
            <w:r>
              <w:rPr>
                <w:rFonts w:hint="eastAsia" w:ascii="宋体" w:hAnsi="宋体" w:cs="宋体"/>
                <w:kern w:val="0"/>
                <w:sz w:val="24"/>
              </w:rPr>
              <w:t>2</w:t>
            </w:r>
          </w:p>
        </w:tc>
        <w:tc>
          <w:tcPr>
            <w:tcW w:w="3683" w:type="dxa"/>
          </w:tcPr>
          <w:p w14:paraId="0ED2E0B6">
            <w:pPr>
              <w:jc w:val="center"/>
              <w:rPr>
                <w:rFonts w:ascii="宋体" w:hAnsi="宋体" w:cs="宋体"/>
                <w:b/>
                <w:kern w:val="0"/>
                <w:sz w:val="32"/>
                <w:szCs w:val="32"/>
              </w:rPr>
            </w:pPr>
          </w:p>
        </w:tc>
        <w:tc>
          <w:tcPr>
            <w:tcW w:w="3546" w:type="dxa"/>
          </w:tcPr>
          <w:p w14:paraId="6014F5BE">
            <w:pPr>
              <w:jc w:val="center"/>
              <w:rPr>
                <w:rFonts w:ascii="宋体" w:hAnsi="宋体" w:cs="宋体"/>
                <w:b/>
                <w:kern w:val="0"/>
                <w:sz w:val="32"/>
                <w:szCs w:val="32"/>
              </w:rPr>
            </w:pPr>
          </w:p>
        </w:tc>
        <w:tc>
          <w:tcPr>
            <w:tcW w:w="1276" w:type="dxa"/>
          </w:tcPr>
          <w:p w14:paraId="633B32C0">
            <w:pPr>
              <w:jc w:val="center"/>
              <w:rPr>
                <w:rFonts w:ascii="宋体" w:hAnsi="宋体" w:cs="宋体"/>
                <w:b/>
                <w:kern w:val="0"/>
                <w:sz w:val="32"/>
                <w:szCs w:val="32"/>
              </w:rPr>
            </w:pPr>
          </w:p>
        </w:tc>
      </w:tr>
      <w:tr w14:paraId="7D58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2EA823">
            <w:pPr>
              <w:jc w:val="center"/>
              <w:rPr>
                <w:rFonts w:ascii="宋体" w:hAnsi="宋体" w:cs="宋体"/>
                <w:kern w:val="0"/>
                <w:sz w:val="24"/>
              </w:rPr>
            </w:pPr>
            <w:r>
              <w:rPr>
                <w:rFonts w:hint="eastAsia" w:ascii="宋体" w:hAnsi="宋体" w:cs="宋体"/>
                <w:kern w:val="0"/>
                <w:sz w:val="24"/>
              </w:rPr>
              <w:t>……</w:t>
            </w:r>
          </w:p>
        </w:tc>
        <w:tc>
          <w:tcPr>
            <w:tcW w:w="3683" w:type="dxa"/>
          </w:tcPr>
          <w:p w14:paraId="1FAA9DCA">
            <w:pPr>
              <w:jc w:val="center"/>
              <w:rPr>
                <w:rFonts w:ascii="宋体" w:hAnsi="宋体" w:cs="宋体"/>
                <w:b/>
                <w:kern w:val="0"/>
                <w:sz w:val="32"/>
                <w:szCs w:val="32"/>
              </w:rPr>
            </w:pPr>
          </w:p>
        </w:tc>
        <w:tc>
          <w:tcPr>
            <w:tcW w:w="3546" w:type="dxa"/>
          </w:tcPr>
          <w:p w14:paraId="1093670C">
            <w:pPr>
              <w:jc w:val="center"/>
              <w:rPr>
                <w:rFonts w:ascii="宋体" w:hAnsi="宋体" w:cs="宋体"/>
                <w:b/>
                <w:kern w:val="0"/>
                <w:sz w:val="32"/>
                <w:szCs w:val="32"/>
              </w:rPr>
            </w:pPr>
          </w:p>
        </w:tc>
        <w:tc>
          <w:tcPr>
            <w:tcW w:w="1276" w:type="dxa"/>
          </w:tcPr>
          <w:p w14:paraId="44084F9A">
            <w:pPr>
              <w:jc w:val="center"/>
              <w:rPr>
                <w:rFonts w:ascii="宋体" w:hAnsi="宋体" w:cs="宋体"/>
                <w:b/>
                <w:kern w:val="0"/>
                <w:sz w:val="32"/>
                <w:szCs w:val="32"/>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EE8047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C85CD20">
      <w:pPr>
        <w:jc w:val="center"/>
        <w:rPr>
          <w:rFonts w:ascii="宋体" w:hAnsi="宋体" w:cs="宋体"/>
          <w:b/>
          <w:kern w:val="0"/>
          <w:sz w:val="32"/>
          <w:szCs w:val="32"/>
        </w:rPr>
      </w:pPr>
    </w:p>
    <w:p w14:paraId="2CA3BD12">
      <w:pPr>
        <w:jc w:val="center"/>
        <w:rPr>
          <w:rFonts w:ascii="宋体" w:hAnsi="宋体" w:cs="宋体"/>
          <w:b/>
          <w:kern w:val="0"/>
          <w:sz w:val="32"/>
          <w:szCs w:val="32"/>
        </w:rPr>
      </w:pPr>
    </w:p>
    <w:p w14:paraId="5BB80071">
      <w:pPr>
        <w:jc w:val="center"/>
        <w:rPr>
          <w:rFonts w:ascii="宋体" w:hAnsi="宋体" w:cs="宋体"/>
          <w:b/>
          <w:kern w:val="0"/>
          <w:sz w:val="32"/>
          <w:szCs w:val="32"/>
        </w:rPr>
      </w:pPr>
    </w:p>
    <w:p w14:paraId="3F164A6C">
      <w:pPr>
        <w:jc w:val="center"/>
        <w:rPr>
          <w:rFonts w:ascii="宋体" w:hAnsi="宋体" w:cs="宋体"/>
          <w:b/>
          <w:kern w:val="0"/>
          <w:sz w:val="32"/>
          <w:szCs w:val="32"/>
        </w:rPr>
      </w:pPr>
    </w:p>
    <w:p w14:paraId="470DF944">
      <w:pPr>
        <w:jc w:val="center"/>
        <w:rPr>
          <w:rFonts w:ascii="宋体" w:hAnsi="宋体" w:cs="宋体"/>
          <w:b/>
          <w:kern w:val="0"/>
          <w:sz w:val="32"/>
          <w:szCs w:val="32"/>
        </w:rPr>
      </w:pPr>
    </w:p>
    <w:p w14:paraId="36ED71B6">
      <w:pPr>
        <w:jc w:val="center"/>
        <w:rPr>
          <w:rFonts w:ascii="宋体" w:hAnsi="宋体" w:cs="宋体"/>
          <w:b/>
          <w:kern w:val="0"/>
          <w:sz w:val="32"/>
          <w:szCs w:val="32"/>
        </w:rPr>
      </w:pPr>
    </w:p>
    <w:p w14:paraId="1AA9373D">
      <w:pPr>
        <w:jc w:val="center"/>
        <w:rPr>
          <w:rFonts w:ascii="宋体" w:hAnsi="宋体" w:cs="宋体"/>
          <w:b/>
          <w:kern w:val="0"/>
          <w:sz w:val="32"/>
          <w:szCs w:val="32"/>
        </w:rPr>
      </w:pPr>
    </w:p>
    <w:p w14:paraId="683EE430">
      <w:pPr>
        <w:jc w:val="center"/>
        <w:rPr>
          <w:rFonts w:ascii="宋体" w:hAnsi="宋体" w:cs="宋体"/>
          <w:b/>
          <w:kern w:val="0"/>
          <w:sz w:val="32"/>
          <w:szCs w:val="32"/>
        </w:rPr>
      </w:pPr>
    </w:p>
    <w:p w14:paraId="7EC47C5B">
      <w:pPr>
        <w:rPr>
          <w:rFonts w:hint="eastAsia" w:ascii="宋体" w:hAnsi="宋体" w:cs="宋体"/>
          <w:b/>
          <w:kern w:val="0"/>
          <w:sz w:val="32"/>
          <w:szCs w:val="32"/>
        </w:rPr>
      </w:pPr>
    </w:p>
    <w:p w14:paraId="6F7AE151">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C7EFBC">
      <w:pPr>
        <w:snapToGrid w:val="0"/>
        <w:spacing w:line="360" w:lineRule="auto"/>
        <w:rPr>
          <w:rFonts w:ascii="宋体" w:hAnsi="宋体" w:cs="宋体"/>
          <w:sz w:val="24"/>
        </w:rPr>
      </w:pPr>
    </w:p>
    <w:p w14:paraId="1D9F971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84823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3C971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FF3B6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5A6FB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F7611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ECF921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1B8518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ADD7DD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1A0324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进行项目建设或其他经营活动，并通报监管部门。由此引起的相应损失均由我单位承担。</w:t>
      </w:r>
    </w:p>
    <w:p w14:paraId="77AF54E6">
      <w:pPr>
        <w:autoSpaceDE w:val="0"/>
        <w:autoSpaceDN w:val="0"/>
        <w:spacing w:line="360" w:lineRule="auto"/>
        <w:ind w:left="2"/>
        <w:jc w:val="left"/>
        <w:rPr>
          <w:rFonts w:ascii="宋体" w:hAnsi="宋体" w:cs="宋体"/>
          <w:kern w:val="0"/>
          <w:sz w:val="24"/>
          <w:lang w:val="zh-CN"/>
        </w:rPr>
      </w:pPr>
    </w:p>
    <w:p w14:paraId="5EDA1593">
      <w:pPr>
        <w:autoSpaceDE w:val="0"/>
        <w:autoSpaceDN w:val="0"/>
        <w:spacing w:line="360" w:lineRule="auto"/>
        <w:ind w:left="2"/>
        <w:jc w:val="left"/>
        <w:rPr>
          <w:rFonts w:ascii="宋体" w:hAnsi="宋体" w:cs="宋体"/>
          <w:kern w:val="0"/>
          <w:sz w:val="24"/>
          <w:lang w:val="zh-CN"/>
        </w:rPr>
      </w:pPr>
    </w:p>
    <w:p w14:paraId="4CC3E0BA">
      <w:pPr>
        <w:autoSpaceDE w:val="0"/>
        <w:autoSpaceDN w:val="0"/>
        <w:spacing w:line="360" w:lineRule="auto"/>
        <w:ind w:left="2"/>
        <w:jc w:val="left"/>
        <w:rPr>
          <w:rFonts w:ascii="宋体" w:hAnsi="宋体" w:cs="宋体"/>
          <w:kern w:val="0"/>
          <w:sz w:val="24"/>
          <w:lang w:val="zh-CN"/>
        </w:rPr>
      </w:pPr>
    </w:p>
    <w:p w14:paraId="7135D57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435FD4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54D503C">
      <w:pPr>
        <w:spacing w:line="360" w:lineRule="auto"/>
        <w:ind w:right="420"/>
        <w:rPr>
          <w:rFonts w:ascii="宋体" w:hAnsi="宋体" w:cs="宋体"/>
          <w:sz w:val="24"/>
        </w:rPr>
      </w:pPr>
      <w:r>
        <w:rPr>
          <w:rFonts w:hint="eastAsia" w:ascii="宋体" w:hAnsi="宋体" w:cs="宋体"/>
          <w:sz w:val="24"/>
        </w:rPr>
        <w:t>注：按本格式和要求提供。</w:t>
      </w:r>
    </w:p>
    <w:p w14:paraId="1F21EC7F">
      <w:pPr>
        <w:spacing w:line="360" w:lineRule="auto"/>
        <w:jc w:val="center"/>
        <w:rPr>
          <w:rFonts w:ascii="宋体" w:hAnsi="宋体" w:cs="宋体"/>
          <w:b/>
          <w:bCs/>
          <w:sz w:val="24"/>
        </w:rPr>
      </w:pPr>
    </w:p>
    <w:p w14:paraId="21147D05">
      <w:pPr>
        <w:spacing w:line="360" w:lineRule="auto"/>
        <w:jc w:val="center"/>
        <w:rPr>
          <w:rFonts w:ascii="宋体" w:hAnsi="宋体" w:cs="宋体"/>
          <w:b/>
          <w:bCs/>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57D141BA">
      <w:pPr>
        <w:spacing w:line="360" w:lineRule="auto"/>
        <w:jc w:val="center"/>
        <w:outlineLvl w:val="0"/>
        <w:rPr>
          <w:rFonts w:hint="eastAsia" w:ascii="宋体" w:hAnsi="宋体" w:cs="宋体"/>
          <w:b/>
          <w:kern w:val="0"/>
          <w:sz w:val="36"/>
          <w:szCs w:val="36"/>
        </w:rPr>
      </w:pPr>
    </w:p>
    <w:p w14:paraId="55BC141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F27B31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A094EC">
      <w:pPr>
        <w:spacing w:line="360" w:lineRule="auto"/>
        <w:jc w:val="center"/>
        <w:outlineLvl w:val="0"/>
        <w:rPr>
          <w:rFonts w:ascii="宋体" w:hAnsi="宋体" w:cs="宋体"/>
          <w:b/>
          <w:kern w:val="0"/>
          <w:sz w:val="36"/>
          <w:szCs w:val="36"/>
        </w:rPr>
      </w:pPr>
    </w:p>
    <w:p w14:paraId="43714EBB">
      <w:pPr>
        <w:snapToGrid w:val="0"/>
        <w:spacing w:line="360" w:lineRule="auto"/>
        <w:rPr>
          <w:rFonts w:ascii="宋体" w:hAnsi="宋体" w:cs="宋体"/>
          <w:sz w:val="24"/>
        </w:rPr>
      </w:pPr>
      <w:r>
        <w:rPr>
          <w:rFonts w:hint="eastAsia" w:ascii="宋体" w:hAnsi="宋体" w:cs="宋体"/>
          <w:sz w:val="24"/>
        </w:rPr>
        <w:t>（1）开标一览表（报价表）………………………………………………………（页码）</w:t>
      </w:r>
    </w:p>
    <w:p w14:paraId="5BD6E6FC">
      <w:pPr>
        <w:snapToGrid w:val="0"/>
        <w:spacing w:line="360" w:lineRule="auto"/>
        <w:rPr>
          <w:rFonts w:ascii="宋体" w:hAnsi="宋体" w:cs="宋体"/>
          <w:sz w:val="24"/>
        </w:rPr>
      </w:pPr>
      <w:r>
        <w:rPr>
          <w:rFonts w:hint="eastAsia" w:ascii="宋体" w:hAnsi="宋体" w:cs="宋体"/>
          <w:sz w:val="24"/>
        </w:rPr>
        <w:t>（2）中小企业声明函………………………………………………………………（页码）</w:t>
      </w:r>
    </w:p>
    <w:p w14:paraId="350B460E">
      <w:pPr>
        <w:snapToGrid w:val="0"/>
        <w:spacing w:line="360" w:lineRule="auto"/>
        <w:ind w:right="480"/>
        <w:jc w:val="center"/>
        <w:rPr>
          <w:rFonts w:ascii="宋体" w:hAnsi="宋体" w:cs="宋体"/>
          <w:b/>
          <w:kern w:val="0"/>
          <w:sz w:val="32"/>
          <w:szCs w:val="32"/>
        </w:rPr>
      </w:pPr>
    </w:p>
    <w:p w14:paraId="2B9455D4">
      <w:pPr>
        <w:snapToGrid w:val="0"/>
        <w:spacing w:line="360" w:lineRule="auto"/>
        <w:ind w:right="480"/>
        <w:jc w:val="center"/>
        <w:rPr>
          <w:rFonts w:ascii="宋体" w:hAnsi="宋体" w:cs="宋体"/>
          <w:b/>
          <w:kern w:val="0"/>
          <w:sz w:val="32"/>
          <w:szCs w:val="32"/>
        </w:rPr>
      </w:pPr>
    </w:p>
    <w:p w14:paraId="2C99B3F5">
      <w:pPr>
        <w:snapToGrid w:val="0"/>
        <w:spacing w:line="360" w:lineRule="auto"/>
        <w:ind w:right="480"/>
        <w:jc w:val="center"/>
        <w:rPr>
          <w:rFonts w:ascii="宋体" w:hAnsi="宋体" w:cs="宋体"/>
          <w:b/>
          <w:kern w:val="0"/>
          <w:sz w:val="32"/>
          <w:szCs w:val="32"/>
        </w:rPr>
      </w:pPr>
    </w:p>
    <w:p w14:paraId="2BE8825A">
      <w:pPr>
        <w:snapToGrid w:val="0"/>
        <w:spacing w:line="360" w:lineRule="auto"/>
        <w:ind w:right="480"/>
        <w:jc w:val="center"/>
        <w:rPr>
          <w:rFonts w:ascii="宋体" w:hAnsi="宋体" w:cs="宋体"/>
          <w:b/>
          <w:kern w:val="0"/>
          <w:sz w:val="32"/>
          <w:szCs w:val="32"/>
        </w:rPr>
      </w:pPr>
    </w:p>
    <w:p w14:paraId="727D24C7">
      <w:pPr>
        <w:snapToGrid w:val="0"/>
        <w:spacing w:line="360" w:lineRule="auto"/>
        <w:ind w:right="480"/>
        <w:jc w:val="center"/>
        <w:rPr>
          <w:rFonts w:ascii="宋体" w:hAnsi="宋体" w:cs="宋体"/>
          <w:b/>
          <w:kern w:val="0"/>
          <w:sz w:val="32"/>
          <w:szCs w:val="32"/>
        </w:rPr>
      </w:pPr>
    </w:p>
    <w:p w14:paraId="25375BEA">
      <w:pPr>
        <w:snapToGrid w:val="0"/>
        <w:spacing w:line="360" w:lineRule="auto"/>
        <w:ind w:right="480"/>
        <w:jc w:val="center"/>
        <w:rPr>
          <w:rFonts w:ascii="宋体" w:hAnsi="宋体" w:cs="宋体"/>
          <w:b/>
          <w:kern w:val="0"/>
          <w:sz w:val="32"/>
          <w:szCs w:val="32"/>
        </w:rPr>
      </w:pPr>
    </w:p>
    <w:p w14:paraId="3E6FBAC6">
      <w:pPr>
        <w:snapToGrid w:val="0"/>
        <w:spacing w:line="360" w:lineRule="auto"/>
        <w:ind w:right="480"/>
        <w:jc w:val="center"/>
        <w:rPr>
          <w:rFonts w:ascii="宋体" w:hAnsi="宋体" w:cs="宋体"/>
          <w:b/>
          <w:kern w:val="0"/>
          <w:sz w:val="32"/>
          <w:szCs w:val="32"/>
        </w:rPr>
      </w:pPr>
    </w:p>
    <w:p w14:paraId="37D9189D">
      <w:pPr>
        <w:snapToGrid w:val="0"/>
        <w:spacing w:line="360" w:lineRule="auto"/>
        <w:ind w:right="480"/>
        <w:jc w:val="center"/>
        <w:rPr>
          <w:rFonts w:ascii="宋体" w:hAnsi="宋体" w:cs="宋体"/>
          <w:b/>
          <w:kern w:val="0"/>
          <w:sz w:val="32"/>
          <w:szCs w:val="32"/>
        </w:rPr>
      </w:pPr>
    </w:p>
    <w:p w14:paraId="5EECCA07">
      <w:pPr>
        <w:snapToGrid w:val="0"/>
        <w:spacing w:line="360" w:lineRule="auto"/>
        <w:ind w:right="480"/>
        <w:jc w:val="center"/>
        <w:rPr>
          <w:rFonts w:ascii="宋体" w:hAnsi="宋体" w:cs="宋体"/>
          <w:b/>
          <w:kern w:val="0"/>
          <w:sz w:val="32"/>
          <w:szCs w:val="32"/>
        </w:rPr>
      </w:pPr>
    </w:p>
    <w:p w14:paraId="024A5AB1">
      <w:pPr>
        <w:snapToGrid w:val="0"/>
        <w:spacing w:line="360" w:lineRule="auto"/>
        <w:ind w:right="480"/>
        <w:jc w:val="center"/>
        <w:rPr>
          <w:rFonts w:ascii="宋体" w:hAnsi="宋体" w:cs="宋体"/>
          <w:b/>
          <w:kern w:val="0"/>
          <w:sz w:val="32"/>
          <w:szCs w:val="32"/>
        </w:rPr>
      </w:pPr>
    </w:p>
    <w:p w14:paraId="16B55407">
      <w:pPr>
        <w:snapToGrid w:val="0"/>
        <w:spacing w:line="360" w:lineRule="auto"/>
        <w:ind w:right="480"/>
        <w:jc w:val="center"/>
        <w:rPr>
          <w:rFonts w:ascii="宋体" w:hAnsi="宋体" w:cs="宋体"/>
          <w:b/>
          <w:kern w:val="0"/>
          <w:sz w:val="32"/>
          <w:szCs w:val="32"/>
        </w:rPr>
      </w:pPr>
    </w:p>
    <w:p w14:paraId="2B72F4F6">
      <w:pPr>
        <w:snapToGrid w:val="0"/>
        <w:spacing w:line="360" w:lineRule="auto"/>
        <w:ind w:right="480"/>
        <w:jc w:val="center"/>
        <w:rPr>
          <w:rFonts w:ascii="宋体" w:hAnsi="宋体" w:cs="宋体"/>
          <w:b/>
          <w:kern w:val="0"/>
          <w:sz w:val="32"/>
          <w:szCs w:val="32"/>
        </w:rPr>
      </w:pPr>
    </w:p>
    <w:p w14:paraId="3A964BA2">
      <w:pPr>
        <w:snapToGrid w:val="0"/>
        <w:spacing w:line="360" w:lineRule="auto"/>
        <w:ind w:right="480"/>
        <w:jc w:val="center"/>
        <w:rPr>
          <w:rFonts w:ascii="宋体" w:hAnsi="宋体" w:cs="宋体"/>
          <w:b/>
          <w:kern w:val="0"/>
          <w:sz w:val="32"/>
          <w:szCs w:val="32"/>
        </w:rPr>
      </w:pPr>
    </w:p>
    <w:p w14:paraId="4109AD82">
      <w:pPr>
        <w:snapToGrid w:val="0"/>
        <w:spacing w:line="360" w:lineRule="auto"/>
        <w:ind w:right="480"/>
        <w:jc w:val="center"/>
        <w:rPr>
          <w:rFonts w:ascii="宋体" w:hAnsi="宋体" w:cs="宋体"/>
          <w:b/>
          <w:kern w:val="0"/>
          <w:sz w:val="32"/>
          <w:szCs w:val="32"/>
        </w:rPr>
      </w:pPr>
    </w:p>
    <w:p w14:paraId="4A977881">
      <w:pPr>
        <w:snapToGrid w:val="0"/>
        <w:spacing w:line="360" w:lineRule="auto"/>
        <w:ind w:right="480"/>
        <w:jc w:val="center"/>
        <w:rPr>
          <w:rFonts w:ascii="宋体" w:hAnsi="宋体" w:cs="宋体"/>
          <w:b/>
          <w:kern w:val="0"/>
          <w:sz w:val="32"/>
          <w:szCs w:val="32"/>
        </w:rPr>
      </w:pPr>
    </w:p>
    <w:p w14:paraId="02692DFA">
      <w:pPr>
        <w:pStyle w:val="3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8C5F3AA">
      <w:pPr>
        <w:pStyle w:val="3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86184B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8A9FE5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C34F25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2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2337FE2D">
      <w:pPr>
        <w:spacing w:line="360" w:lineRule="auto"/>
        <w:jc w:val="center"/>
        <w:rPr>
          <w:rFonts w:ascii="宋体" w:hAnsi="宋体" w:cs="宋体"/>
          <w:b/>
          <w:kern w:val="0"/>
          <w:sz w:val="24"/>
          <w:lang w:val="zh-CN"/>
        </w:rPr>
      </w:pPr>
    </w:p>
    <w:p w14:paraId="6DA83538">
      <w:pPr>
        <w:spacing w:line="360" w:lineRule="auto"/>
        <w:jc w:val="left"/>
        <w:rPr>
          <w:rFonts w:ascii="宋体" w:hAnsi="宋体" w:cs="宋体"/>
          <w:b/>
          <w:kern w:val="0"/>
          <w:sz w:val="24"/>
          <w:lang w:val="zh-CN"/>
        </w:rPr>
      </w:pPr>
      <w:r>
        <w:rPr>
          <w:rFonts w:hint="eastAsia" w:ascii="宋体" w:hAnsi="宋体" w:cs="宋体"/>
          <w:b/>
          <w:kern w:val="0"/>
          <w:sz w:val="24"/>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4C0BA5">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3、特别提示：采购代理机构将对项目名称和项目编号，中标供应商名称、地址和中标金额，主要中标标的名称、服务范围、服务要求、服务时间、服务标准等予以公示。</w:t>
      </w:r>
    </w:p>
    <w:p w14:paraId="770E4AB2">
      <w:pPr>
        <w:spacing w:line="360" w:lineRule="auto"/>
        <w:ind w:left="4620" w:leftChars="2200"/>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投标人全称（电子签章）：</w:t>
      </w:r>
    </w:p>
    <w:p w14:paraId="17DFBE46">
      <w:pPr>
        <w:spacing w:line="360" w:lineRule="auto"/>
        <w:ind w:left="4620" w:leftChars="2200"/>
        <w:jc w:val="center"/>
        <w:rPr>
          <w:rFonts w:hint="eastAsia" w:ascii="宋体" w:hAnsi="宋体" w:cs="宋体"/>
          <w:kern w:val="0"/>
          <w:sz w:val="24"/>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EAE9FDB"/>
    <w:p w14:paraId="508AF8B0">
      <w:pPr>
        <w:pStyle w:val="3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9B95D6">
      <w:pPr>
        <w:widowControl/>
        <w:spacing w:line="360" w:lineRule="auto"/>
        <w:ind w:firstLine="120" w:firstLineChars="50"/>
        <w:jc w:val="left"/>
        <w:rPr>
          <w:rFonts w:ascii="宋体" w:hAnsi="宋体" w:cs="宋体"/>
          <w:b/>
          <w:sz w:val="24"/>
        </w:rPr>
      </w:pPr>
      <w:r>
        <w:rPr>
          <w:rFonts w:hint="eastAsia" w:ascii="宋体" w:hAnsi="宋体" w:cs="宋体"/>
          <w:b/>
          <w:sz w:val="24"/>
        </w:rPr>
        <w:t>]</w:t>
      </w:r>
    </w:p>
    <w:p w14:paraId="6B0BAF06">
      <w:pPr>
        <w:pStyle w:val="36"/>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FB8E620">
      <w:pPr>
        <w:spacing w:line="360" w:lineRule="auto"/>
        <w:ind w:right="420" w:firstLine="3614" w:firstLineChars="1000"/>
        <w:rPr>
          <w:rFonts w:ascii="宋体" w:hAnsi="宋体" w:cs="宋体"/>
          <w:b/>
          <w:kern w:val="0"/>
          <w:sz w:val="36"/>
          <w:szCs w:val="36"/>
        </w:rPr>
      </w:pPr>
    </w:p>
    <w:p w14:paraId="73327E69">
      <w:pPr>
        <w:spacing w:line="360" w:lineRule="auto"/>
        <w:ind w:right="420" w:firstLine="3614" w:firstLineChars="1000"/>
        <w:rPr>
          <w:rFonts w:ascii="宋体" w:hAnsi="宋体" w:cs="宋体"/>
          <w:b/>
          <w:kern w:val="0"/>
          <w:sz w:val="36"/>
          <w:szCs w:val="36"/>
        </w:rPr>
      </w:pPr>
    </w:p>
    <w:p w14:paraId="4757F0BD">
      <w:pPr>
        <w:spacing w:line="360" w:lineRule="auto"/>
        <w:ind w:right="420" w:firstLine="3614" w:firstLineChars="1000"/>
        <w:rPr>
          <w:rFonts w:ascii="宋体" w:hAnsi="宋体" w:cs="宋体"/>
          <w:b/>
          <w:kern w:val="0"/>
          <w:sz w:val="36"/>
          <w:szCs w:val="36"/>
        </w:rPr>
      </w:pPr>
    </w:p>
    <w:p w14:paraId="66837217">
      <w:pPr>
        <w:spacing w:line="360" w:lineRule="auto"/>
        <w:ind w:right="420" w:firstLine="3614" w:firstLineChars="1000"/>
        <w:rPr>
          <w:rFonts w:ascii="宋体" w:hAnsi="宋体" w:cs="宋体"/>
          <w:b/>
          <w:kern w:val="0"/>
          <w:sz w:val="36"/>
          <w:szCs w:val="36"/>
        </w:rPr>
      </w:pPr>
    </w:p>
    <w:p w14:paraId="18636B6D">
      <w:pPr>
        <w:spacing w:line="360" w:lineRule="auto"/>
        <w:ind w:right="420" w:firstLine="3614" w:firstLineChars="1000"/>
        <w:rPr>
          <w:rFonts w:ascii="宋体" w:hAnsi="宋体" w:cs="宋体"/>
          <w:b/>
          <w:kern w:val="0"/>
          <w:sz w:val="36"/>
          <w:szCs w:val="36"/>
        </w:rPr>
      </w:pPr>
    </w:p>
    <w:p w14:paraId="2E23B7B1">
      <w:pPr>
        <w:spacing w:line="360" w:lineRule="auto"/>
        <w:ind w:right="420" w:firstLine="3614" w:firstLineChars="1000"/>
        <w:rPr>
          <w:rFonts w:ascii="宋体" w:hAnsi="宋体" w:cs="宋体"/>
          <w:b/>
          <w:kern w:val="0"/>
          <w:sz w:val="36"/>
          <w:szCs w:val="36"/>
        </w:rPr>
      </w:pPr>
    </w:p>
    <w:p w14:paraId="37163BA3">
      <w:pPr>
        <w:spacing w:line="360" w:lineRule="auto"/>
        <w:ind w:right="420" w:firstLine="3614" w:firstLineChars="1000"/>
        <w:rPr>
          <w:rFonts w:ascii="宋体" w:hAnsi="宋体" w:cs="宋体"/>
          <w:b/>
          <w:kern w:val="0"/>
          <w:sz w:val="36"/>
          <w:szCs w:val="36"/>
        </w:rPr>
      </w:pPr>
    </w:p>
    <w:p w14:paraId="27A816EB">
      <w:pPr>
        <w:spacing w:line="360" w:lineRule="auto"/>
        <w:ind w:right="420" w:firstLine="3614" w:firstLineChars="1000"/>
        <w:rPr>
          <w:rFonts w:ascii="宋体" w:hAnsi="宋体" w:cs="宋体"/>
          <w:b/>
          <w:kern w:val="0"/>
          <w:sz w:val="36"/>
          <w:szCs w:val="36"/>
        </w:rPr>
      </w:pPr>
    </w:p>
    <w:p w14:paraId="3B0B011A">
      <w:pPr>
        <w:spacing w:line="360" w:lineRule="auto"/>
        <w:ind w:right="420" w:firstLine="3614" w:firstLineChars="1000"/>
        <w:rPr>
          <w:rFonts w:ascii="宋体" w:hAnsi="宋体" w:cs="宋体"/>
          <w:b/>
          <w:kern w:val="0"/>
          <w:sz w:val="36"/>
          <w:szCs w:val="36"/>
        </w:rPr>
      </w:pPr>
    </w:p>
    <w:p w14:paraId="4CD5A80F">
      <w:pPr>
        <w:spacing w:line="360" w:lineRule="auto"/>
        <w:ind w:right="420" w:firstLine="3614" w:firstLineChars="1000"/>
        <w:rPr>
          <w:rFonts w:ascii="宋体" w:hAnsi="宋体" w:cs="宋体"/>
          <w:b/>
          <w:kern w:val="0"/>
          <w:sz w:val="36"/>
          <w:szCs w:val="36"/>
        </w:rPr>
      </w:pPr>
    </w:p>
    <w:p w14:paraId="6AE323E1">
      <w:pPr>
        <w:spacing w:line="360" w:lineRule="auto"/>
        <w:ind w:right="420" w:firstLine="3614" w:firstLineChars="1000"/>
        <w:rPr>
          <w:rFonts w:ascii="宋体" w:hAnsi="宋体" w:cs="宋体"/>
          <w:b/>
          <w:kern w:val="0"/>
          <w:sz w:val="36"/>
          <w:szCs w:val="36"/>
        </w:rPr>
      </w:pPr>
    </w:p>
    <w:p w14:paraId="720DCF6F">
      <w:pPr>
        <w:spacing w:line="360" w:lineRule="auto"/>
        <w:ind w:right="420" w:firstLine="3614" w:firstLineChars="1000"/>
        <w:rPr>
          <w:rFonts w:ascii="宋体" w:hAnsi="宋体" w:cs="宋体"/>
          <w:b/>
          <w:kern w:val="0"/>
          <w:sz w:val="36"/>
          <w:szCs w:val="36"/>
        </w:rPr>
      </w:pPr>
    </w:p>
    <w:p w14:paraId="7A8DB141">
      <w:pPr>
        <w:spacing w:line="360" w:lineRule="auto"/>
        <w:ind w:right="420" w:firstLine="3614" w:firstLineChars="1000"/>
        <w:rPr>
          <w:rFonts w:ascii="宋体" w:hAnsi="宋体" w:cs="宋体"/>
          <w:b/>
          <w:kern w:val="0"/>
          <w:sz w:val="36"/>
          <w:szCs w:val="36"/>
        </w:rPr>
      </w:pPr>
    </w:p>
    <w:p w14:paraId="1E2FA3D7">
      <w:pPr>
        <w:spacing w:line="360" w:lineRule="auto"/>
        <w:ind w:right="420" w:firstLine="3614" w:firstLineChars="1000"/>
        <w:rPr>
          <w:rFonts w:ascii="宋体" w:hAnsi="宋体" w:cs="宋体"/>
          <w:b/>
          <w:kern w:val="0"/>
          <w:sz w:val="36"/>
          <w:szCs w:val="36"/>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6A4DF02">
      <w:pPr>
        <w:spacing w:line="360" w:lineRule="auto"/>
        <w:jc w:val="left"/>
        <w:rPr>
          <w:rFonts w:hint="eastAsia" w:ascii="宋体" w:hAnsi="宋体" w:cs="宋体"/>
          <w:b/>
          <w:color w:val="auto"/>
          <w:spacing w:val="6"/>
          <w:sz w:val="32"/>
          <w:szCs w:val="32"/>
          <w:highlight w:val="none"/>
        </w:rPr>
      </w:pPr>
    </w:p>
    <w:p w14:paraId="5F60C2BC">
      <w:pPr>
        <w:spacing w:line="360" w:lineRule="auto"/>
        <w:jc w:val="left"/>
        <w:rPr>
          <w:rFonts w:hint="eastAsia" w:ascii="宋体" w:hAnsi="宋体" w:cs="宋体"/>
          <w:b/>
          <w:color w:val="auto"/>
          <w:spacing w:val="6"/>
          <w:sz w:val="32"/>
          <w:szCs w:val="32"/>
          <w:highlight w:val="none"/>
        </w:rPr>
      </w:pPr>
    </w:p>
    <w:p w14:paraId="17C488ED">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71AE2F0">
      <w:pPr>
        <w:spacing w:line="360" w:lineRule="auto"/>
        <w:jc w:val="left"/>
        <w:rPr>
          <w:rFonts w:hint="eastAsia" w:ascii="宋体" w:hAnsi="宋体" w:cs="宋体"/>
          <w:b/>
          <w:color w:val="auto"/>
          <w:spacing w:val="6"/>
          <w:sz w:val="32"/>
          <w:szCs w:val="32"/>
          <w:highlight w:val="none"/>
        </w:rPr>
      </w:pPr>
    </w:p>
    <w:p w14:paraId="215691F5">
      <w:pPr>
        <w:spacing w:line="360" w:lineRule="auto"/>
        <w:jc w:val="left"/>
        <w:rPr>
          <w:rFonts w:hint="eastAsia" w:ascii="宋体" w:hAnsi="宋体" w:cs="宋体"/>
          <w:b/>
          <w:color w:val="auto"/>
          <w:spacing w:val="6"/>
          <w:sz w:val="32"/>
          <w:szCs w:val="32"/>
          <w:highlight w:val="none"/>
        </w:rPr>
      </w:pPr>
    </w:p>
    <w:p w14:paraId="7E447C8D">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FACFCFF">
      <w:pPr>
        <w:autoSpaceDE w:val="0"/>
        <w:autoSpaceDN w:val="0"/>
        <w:jc w:val="center"/>
        <w:rPr>
          <w:rFonts w:hint="eastAsia" w:ascii="宋体" w:hAnsi="宋体" w:cs="宋体"/>
          <w:b/>
          <w:color w:val="auto"/>
          <w:spacing w:val="6"/>
          <w:sz w:val="32"/>
          <w:szCs w:val="32"/>
          <w:highlight w:val="none"/>
        </w:rPr>
      </w:pPr>
    </w:p>
    <w:p w14:paraId="73DDD40D">
      <w:pPr>
        <w:autoSpaceDE w:val="0"/>
        <w:autoSpaceDN w:val="0"/>
        <w:jc w:val="center"/>
        <w:rPr>
          <w:rFonts w:hint="eastAsia" w:ascii="宋体" w:hAnsi="宋体" w:cs="宋体"/>
          <w:b/>
          <w:color w:val="auto"/>
          <w:spacing w:val="6"/>
          <w:sz w:val="32"/>
          <w:szCs w:val="32"/>
          <w:highlight w:val="none"/>
        </w:rPr>
      </w:pPr>
    </w:p>
    <w:p w14:paraId="0EEE9281">
      <w:pPr>
        <w:autoSpaceDE w:val="0"/>
        <w:autoSpaceDN w:val="0"/>
        <w:jc w:val="center"/>
        <w:rPr>
          <w:rFonts w:hint="eastAsia" w:ascii="宋体" w:hAnsi="宋体" w:cs="宋体"/>
          <w:b/>
          <w:color w:val="auto"/>
          <w:spacing w:val="6"/>
          <w:sz w:val="32"/>
          <w:szCs w:val="32"/>
          <w:highlight w:val="none"/>
        </w:rPr>
      </w:pPr>
    </w:p>
    <w:p w14:paraId="638E37CF">
      <w:pPr>
        <w:autoSpaceDE w:val="0"/>
        <w:autoSpaceDN w:val="0"/>
        <w:jc w:val="center"/>
        <w:rPr>
          <w:rFonts w:hint="eastAsia" w:ascii="宋体" w:hAnsi="宋体" w:cs="宋体"/>
          <w:b/>
          <w:color w:val="auto"/>
          <w:spacing w:val="6"/>
          <w:sz w:val="32"/>
          <w:szCs w:val="32"/>
          <w:highlight w:val="none"/>
        </w:rPr>
      </w:pPr>
    </w:p>
    <w:p w14:paraId="63AD62F8">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6C9394C">
      <w:pPr>
        <w:autoSpaceDE w:val="0"/>
        <w:autoSpaceDN w:val="0"/>
        <w:jc w:val="center"/>
        <w:rPr>
          <w:rFonts w:hint="eastAsia" w:ascii="宋体" w:hAnsi="宋体" w:cs="宋体"/>
          <w:b/>
          <w:color w:val="auto"/>
          <w:spacing w:val="6"/>
          <w:sz w:val="32"/>
          <w:szCs w:val="32"/>
          <w:highlight w:val="none"/>
        </w:rPr>
      </w:pPr>
    </w:p>
    <w:p w14:paraId="1006538C">
      <w:pPr>
        <w:autoSpaceDE w:val="0"/>
        <w:autoSpaceDN w:val="0"/>
        <w:jc w:val="center"/>
        <w:rPr>
          <w:rFonts w:hint="eastAsia" w:ascii="宋体" w:hAnsi="宋体" w:cs="宋体"/>
          <w:b/>
          <w:color w:val="auto"/>
          <w:spacing w:val="6"/>
          <w:sz w:val="32"/>
          <w:szCs w:val="32"/>
          <w:highlight w:val="none"/>
        </w:rPr>
      </w:pPr>
    </w:p>
    <w:p w14:paraId="75AE9ED6">
      <w:pPr>
        <w:autoSpaceDE w:val="0"/>
        <w:autoSpaceDN w:val="0"/>
        <w:jc w:val="center"/>
        <w:rPr>
          <w:rFonts w:hint="eastAsia" w:ascii="宋体" w:hAnsi="宋体" w:cs="宋体"/>
          <w:b/>
          <w:color w:val="auto"/>
          <w:spacing w:val="6"/>
          <w:sz w:val="32"/>
          <w:szCs w:val="32"/>
          <w:highlight w:val="none"/>
        </w:rPr>
      </w:pPr>
    </w:p>
    <w:p w14:paraId="2C70625C">
      <w:pPr>
        <w:autoSpaceDE w:val="0"/>
        <w:autoSpaceDN w:val="0"/>
        <w:jc w:val="center"/>
        <w:rPr>
          <w:rFonts w:hint="eastAsia" w:ascii="宋体" w:hAnsi="宋体" w:cs="宋体"/>
          <w:b/>
          <w:color w:val="auto"/>
          <w:spacing w:val="6"/>
          <w:sz w:val="32"/>
          <w:szCs w:val="32"/>
          <w:highlight w:val="none"/>
        </w:rPr>
      </w:pPr>
    </w:p>
    <w:p w14:paraId="3AFE216C">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sectPr>
          <w:headerReference r:id="rId20" w:type="first"/>
          <w:footerReference r:id="rId22" w:type="first"/>
          <w:headerReference r:id="rId19" w:type="default"/>
          <w:footerReference r:id="rId21"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652F0947">
      <w:pPr>
        <w:pStyle w:val="27"/>
      </w:pPr>
    </w:p>
    <w:p w14:paraId="73B76741">
      <w:pPr>
        <w:autoSpaceDE w:val="0"/>
        <w:autoSpaceDN w:val="0"/>
        <w:jc w:val="both"/>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23DF8C47">
      <w:pPr>
        <w:spacing w:line="360" w:lineRule="auto"/>
        <w:jc w:val="left"/>
        <w:outlineLvl w:val="0"/>
        <w:rPr>
          <w:rFonts w:hint="eastAsia" w:ascii="宋体" w:hAnsi="宋体" w:cs="宋体"/>
          <w:b/>
          <w:color w:val="auto"/>
          <w:sz w:val="36"/>
          <w:szCs w:val="20"/>
          <w:highlight w:val="none"/>
        </w:rPr>
      </w:pPr>
    </w:p>
    <w:p w14:paraId="06661D54">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E4684BC">
      <w:pPr>
        <w:spacing w:line="360" w:lineRule="auto"/>
        <w:ind w:right="420"/>
        <w:rPr>
          <w:rFonts w:ascii="宋体" w:hAnsi="宋体" w:cs="宋体"/>
          <w:b/>
          <w:kern w:val="0"/>
          <w:sz w:val="36"/>
          <w:szCs w:val="36"/>
        </w:rPr>
      </w:pPr>
    </w:p>
    <w:p w14:paraId="4ECBC784">
      <w:pPr>
        <w:pStyle w:val="19"/>
        <w:keepNext w:val="0"/>
        <w:keepLines w:val="0"/>
        <w:pageBreakBefore w:val="0"/>
        <w:widowControl w:val="0"/>
        <w:kinsoku/>
        <w:wordWrap/>
        <w:overflowPunct/>
        <w:topLinePunct w:val="0"/>
        <w:bidi w:val="0"/>
        <w:adjustRightInd w:val="0"/>
        <w:snapToGrid/>
        <w:spacing w:line="430" w:lineRule="exact"/>
        <w:ind w:left="0" w:leftChars="0" w:firstLine="0" w:firstLineChars="0"/>
        <w:textAlignment w:val="auto"/>
        <w:rPr>
          <w:rFonts w:hint="eastAsia"/>
          <w:lang w:eastAsia="zh-CN"/>
        </w:rPr>
      </w:pPr>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002039"/>
      <w:docPartObj>
        <w:docPartGallery w:val="autotext"/>
      </w:docPartObj>
    </w:sdtPr>
    <w:sdtContent>
      <w:p w14:paraId="1BD10E55">
        <w:pPr>
          <w:pStyle w:val="1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14:paraId="6CA9BC87">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DFBA">
    <w:pPr>
      <w:rPr>
        <w:rFonts w:ascii="FangSong_GB2312" w:eastAsia="FangSong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9CAA1">
                          <w:pPr>
                            <w:pStyle w:val="13"/>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E69CAA1">
                    <w:pPr>
                      <w:pStyle w:val="13"/>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5284F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75284F0"/>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1573">
    <w:pPr>
      <w:pStyle w:val="13"/>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4750A">
                          <w:pPr>
                            <w:pStyle w:val="13"/>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4D4750A">
                    <w:pPr>
                      <w:pStyle w:val="13"/>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5A0C0B9C">
    <w:pPr>
      <w:pStyle w:val="13"/>
      <w:rPr>
        <w:rFonts w:ascii="FangSong_GB2312" w:eastAsia="FangSong_GB2312"/>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AA04">
    <w:pPr>
      <w:pStyle w:val="13"/>
      <w:rPr>
        <w:rFonts w:ascii="FangSong_GB2312" w:eastAsia="FangSong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46A4D">
                          <w:pPr>
                            <w:pStyle w:val="13"/>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1946A4D">
                    <w:pPr>
                      <w:pStyle w:val="13"/>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79D4D4">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079D4D4">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70D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74C293">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774C293">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979"/>
      <w:docPartObj>
        <w:docPartGallery w:val="autotext"/>
      </w:docPartObj>
    </w:sdtPr>
    <w:sdtContent>
      <w:p w14:paraId="45E180B3">
        <w:pPr>
          <w:pStyle w:val="1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14:paraId="4B96587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BB3">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E1F9CE">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EE1F9CE">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57E70">
    <w:pPr>
      <w:pStyle w:val="13"/>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02BC7">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002BC7">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1278BB44">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DCAE">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80D1">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6E80D1">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B3F8AA">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FB3F8AA">
                    <w:pPr>
                      <w:pStyle w:val="13"/>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7776">
    <w:pPr>
      <w:rPr>
        <w:rFonts w:ascii="FangSong_GB2312" w:eastAsia="FangSong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C3509">
                          <w:pPr>
                            <w:pStyle w:val="13"/>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8C3509">
                    <w:pPr>
                      <w:pStyle w:val="13"/>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ED812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6ED8127"/>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D2EE">
    <w:pPr>
      <w:rPr>
        <w:rFonts w:ascii="FangSong_GB2312" w:eastAsia="FangSong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86010">
                          <w:pPr>
                            <w:pStyle w:val="13"/>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A686010">
                    <w:pPr>
                      <w:pStyle w:val="13"/>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CFDC75">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CCFDC75">
                    <w:pPr>
                      <w:pStyle w:val="13"/>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8A5F">
    <w:pPr>
      <w:rPr>
        <w:rFonts w:ascii="FangSong_GB2312" w:eastAsia="FangSong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6F832">
                          <w:pPr>
                            <w:pStyle w:val="13"/>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C6F832">
                    <w:pPr>
                      <w:pStyle w:val="13"/>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007C5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9007C5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1AD5">
    <w:pPr>
      <w:pStyle w:val="18"/>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5E6F">
    <w:pPr>
      <w:pStyle w:val="14"/>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8A35">
    <w:pPr>
      <w:pStyle w:val="14"/>
      <w:pBdr>
        <w:bottom w:val="none" w:color="auto" w:sz="0" w:space="1"/>
      </w:pBdr>
      <w:jc w:val="both"/>
      <w:rPr>
        <w:rFonts w:ascii="FangSong_GB2312" w:eastAsia="FangSong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9F2A">
    <w:pPr>
      <w:pStyle w:val="1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B53B">
    <w:pPr>
      <w:pStyle w:val="14"/>
      <w:pBdr>
        <w:bottom w:val="none" w:color="auto" w:sz="0" w:space="1"/>
      </w:pBdr>
      <w:jc w:val="right"/>
      <w:rPr>
        <w:rFonts w:ascii="FangSong_GB2312" w:eastAsia="FangSong_GB2312"/>
        <w:b/>
        <w:i/>
        <w:u w:val="single"/>
      </w:rPr>
    </w:pPr>
  </w:p>
  <w:p w14:paraId="7566335B">
    <w:pPr>
      <w:pBdr>
        <w:bottom w:val="none" w:color="auto" w:sz="0" w:space="0"/>
      </w:pBd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05E2">
    <w:pPr>
      <w:pStyle w:val="14"/>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5FC4">
    <w:pPr>
      <w:pStyle w:val="14"/>
      <w:pBdr>
        <w:bottom w:val="none" w:color="auto" w:sz="0" w:space="1"/>
      </w:pBdr>
      <w:jc w:val="both"/>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6891">
    <w:pPr>
      <w:pStyle w:val="14"/>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C1CB4"/>
    <w:multiLevelType w:val="singleLevel"/>
    <w:tmpl w:val="476C1CB4"/>
    <w:lvl w:ilvl="0" w:tentative="0">
      <w:start w:val="5"/>
      <w:numFmt w:val="decimal"/>
      <w:suff w:val="nothing"/>
      <w:lvlText w:val="%1、"/>
      <w:lvlJc w:val="left"/>
    </w:lvl>
  </w:abstractNum>
  <w:abstractNum w:abstractNumId="1">
    <w:nsid w:val="7541FFA2"/>
    <w:multiLevelType w:val="singleLevel"/>
    <w:tmpl w:val="7541FFA2"/>
    <w:lvl w:ilvl="0" w:tentative="0">
      <w:start w:val="1"/>
      <w:numFmt w:val="decimal"/>
      <w:pStyle w:val="5"/>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zNlZjU4MDc3ZDUxMmFiOTU0ZDE3Njc1YTdkMjEifQ=="/>
    <w:docVar w:name="KSO_WPS_MARK_KEY" w:val="6393bf61-39e5-4445-ad96-7f519ccff1dd"/>
  </w:docVars>
  <w:rsids>
    <w:rsidRoot w:val="00000000"/>
    <w:rsid w:val="00296707"/>
    <w:rsid w:val="0041082A"/>
    <w:rsid w:val="009A150A"/>
    <w:rsid w:val="00B92181"/>
    <w:rsid w:val="00F22F9D"/>
    <w:rsid w:val="02054F52"/>
    <w:rsid w:val="02145195"/>
    <w:rsid w:val="027D2D3A"/>
    <w:rsid w:val="028077D7"/>
    <w:rsid w:val="028440C8"/>
    <w:rsid w:val="0295277A"/>
    <w:rsid w:val="031B3B28"/>
    <w:rsid w:val="03415FA4"/>
    <w:rsid w:val="038B1487"/>
    <w:rsid w:val="03BB4BA1"/>
    <w:rsid w:val="0414147C"/>
    <w:rsid w:val="041E22FB"/>
    <w:rsid w:val="04294F27"/>
    <w:rsid w:val="0449381C"/>
    <w:rsid w:val="04934A97"/>
    <w:rsid w:val="04A7575A"/>
    <w:rsid w:val="04B63834"/>
    <w:rsid w:val="05087233"/>
    <w:rsid w:val="052027CE"/>
    <w:rsid w:val="05283431"/>
    <w:rsid w:val="052B2F21"/>
    <w:rsid w:val="0532138B"/>
    <w:rsid w:val="05575AC4"/>
    <w:rsid w:val="0561128A"/>
    <w:rsid w:val="05F652DD"/>
    <w:rsid w:val="061B2F96"/>
    <w:rsid w:val="06456265"/>
    <w:rsid w:val="064E336B"/>
    <w:rsid w:val="0708176C"/>
    <w:rsid w:val="07342561"/>
    <w:rsid w:val="07A82607"/>
    <w:rsid w:val="07F65A68"/>
    <w:rsid w:val="081C4DA3"/>
    <w:rsid w:val="0828199A"/>
    <w:rsid w:val="088928C1"/>
    <w:rsid w:val="088968DD"/>
    <w:rsid w:val="08E27D9B"/>
    <w:rsid w:val="090441B5"/>
    <w:rsid w:val="090715AF"/>
    <w:rsid w:val="09173EE8"/>
    <w:rsid w:val="098552F6"/>
    <w:rsid w:val="09B15709"/>
    <w:rsid w:val="09DF42DA"/>
    <w:rsid w:val="0A0A1357"/>
    <w:rsid w:val="0A9B6453"/>
    <w:rsid w:val="0AD11063"/>
    <w:rsid w:val="0AF142C5"/>
    <w:rsid w:val="0B532920"/>
    <w:rsid w:val="0B902D69"/>
    <w:rsid w:val="0BC83278"/>
    <w:rsid w:val="0C1E10EA"/>
    <w:rsid w:val="0C7B320A"/>
    <w:rsid w:val="0D907DC5"/>
    <w:rsid w:val="0D954907"/>
    <w:rsid w:val="0D984ECC"/>
    <w:rsid w:val="0DAF1561"/>
    <w:rsid w:val="0DBA7538"/>
    <w:rsid w:val="0DE87C01"/>
    <w:rsid w:val="0DFA7A09"/>
    <w:rsid w:val="0E012A71"/>
    <w:rsid w:val="0E4C07DD"/>
    <w:rsid w:val="0EC50F67"/>
    <w:rsid w:val="0F1D7D7F"/>
    <w:rsid w:val="0F6B0AEA"/>
    <w:rsid w:val="0F7554C5"/>
    <w:rsid w:val="0F8C5107"/>
    <w:rsid w:val="0FA72B37"/>
    <w:rsid w:val="0FC226D4"/>
    <w:rsid w:val="0FD30355"/>
    <w:rsid w:val="101822F4"/>
    <w:rsid w:val="102173FB"/>
    <w:rsid w:val="102979E9"/>
    <w:rsid w:val="10686DD7"/>
    <w:rsid w:val="107734BE"/>
    <w:rsid w:val="107A6B0B"/>
    <w:rsid w:val="10ED35FA"/>
    <w:rsid w:val="1108127B"/>
    <w:rsid w:val="111927C8"/>
    <w:rsid w:val="1122167C"/>
    <w:rsid w:val="1154735C"/>
    <w:rsid w:val="11AA510E"/>
    <w:rsid w:val="11AE4CBE"/>
    <w:rsid w:val="11BD13A5"/>
    <w:rsid w:val="11DC5CCF"/>
    <w:rsid w:val="11F058CE"/>
    <w:rsid w:val="122C79B9"/>
    <w:rsid w:val="12951598"/>
    <w:rsid w:val="12E36BE9"/>
    <w:rsid w:val="13054DB2"/>
    <w:rsid w:val="13A7782B"/>
    <w:rsid w:val="13ED41C3"/>
    <w:rsid w:val="13FE35A6"/>
    <w:rsid w:val="14504752"/>
    <w:rsid w:val="149F2FE4"/>
    <w:rsid w:val="14A405FA"/>
    <w:rsid w:val="14C173FE"/>
    <w:rsid w:val="15FF3D3A"/>
    <w:rsid w:val="160C46A9"/>
    <w:rsid w:val="16612C47"/>
    <w:rsid w:val="16733D65"/>
    <w:rsid w:val="16E7773C"/>
    <w:rsid w:val="17D631C0"/>
    <w:rsid w:val="17D905BB"/>
    <w:rsid w:val="180A2E6A"/>
    <w:rsid w:val="18B74DA0"/>
    <w:rsid w:val="18D25736"/>
    <w:rsid w:val="18DF1DBE"/>
    <w:rsid w:val="192B765F"/>
    <w:rsid w:val="194530B9"/>
    <w:rsid w:val="197E0744"/>
    <w:rsid w:val="198253AE"/>
    <w:rsid w:val="19AA220F"/>
    <w:rsid w:val="19CD414F"/>
    <w:rsid w:val="19DB6544"/>
    <w:rsid w:val="1A0E09F0"/>
    <w:rsid w:val="1AB772D9"/>
    <w:rsid w:val="1ACC4407"/>
    <w:rsid w:val="1B1464DA"/>
    <w:rsid w:val="1B1C538E"/>
    <w:rsid w:val="1B55319F"/>
    <w:rsid w:val="1B577675"/>
    <w:rsid w:val="1BA17641"/>
    <w:rsid w:val="1BA535D6"/>
    <w:rsid w:val="1BBF325C"/>
    <w:rsid w:val="1BF139C8"/>
    <w:rsid w:val="1CA078F9"/>
    <w:rsid w:val="1CAB69CA"/>
    <w:rsid w:val="1CD51C99"/>
    <w:rsid w:val="1CF2284B"/>
    <w:rsid w:val="1D4E37F9"/>
    <w:rsid w:val="1D644DCB"/>
    <w:rsid w:val="1D6D1ED1"/>
    <w:rsid w:val="1DAE415E"/>
    <w:rsid w:val="1DD22755"/>
    <w:rsid w:val="1DD51824"/>
    <w:rsid w:val="1E332BE6"/>
    <w:rsid w:val="1E9E642F"/>
    <w:rsid w:val="1E9F11B1"/>
    <w:rsid w:val="1EB96A28"/>
    <w:rsid w:val="1EBA1146"/>
    <w:rsid w:val="1F2111C5"/>
    <w:rsid w:val="1F90634B"/>
    <w:rsid w:val="20250841"/>
    <w:rsid w:val="20A756FA"/>
    <w:rsid w:val="20AD2576"/>
    <w:rsid w:val="20AE4CDA"/>
    <w:rsid w:val="20D61B3B"/>
    <w:rsid w:val="21026DD4"/>
    <w:rsid w:val="21130A2A"/>
    <w:rsid w:val="213276BA"/>
    <w:rsid w:val="21471BB1"/>
    <w:rsid w:val="215313DE"/>
    <w:rsid w:val="21A63C04"/>
    <w:rsid w:val="21B31E7D"/>
    <w:rsid w:val="21B55BF5"/>
    <w:rsid w:val="21BF0821"/>
    <w:rsid w:val="21F77FBB"/>
    <w:rsid w:val="221E19EC"/>
    <w:rsid w:val="22721D38"/>
    <w:rsid w:val="22FB7F7F"/>
    <w:rsid w:val="23A351B6"/>
    <w:rsid w:val="24376D95"/>
    <w:rsid w:val="24743B45"/>
    <w:rsid w:val="24CF3471"/>
    <w:rsid w:val="253A3A22"/>
    <w:rsid w:val="261A696E"/>
    <w:rsid w:val="26413EFB"/>
    <w:rsid w:val="26667E05"/>
    <w:rsid w:val="2677791D"/>
    <w:rsid w:val="269E134D"/>
    <w:rsid w:val="26AB75C6"/>
    <w:rsid w:val="26C012C4"/>
    <w:rsid w:val="26CD44A1"/>
    <w:rsid w:val="2766219B"/>
    <w:rsid w:val="276D6929"/>
    <w:rsid w:val="279A1B15"/>
    <w:rsid w:val="27A65E16"/>
    <w:rsid w:val="27B0758A"/>
    <w:rsid w:val="27E17743"/>
    <w:rsid w:val="27F8683B"/>
    <w:rsid w:val="284952E9"/>
    <w:rsid w:val="286640ED"/>
    <w:rsid w:val="28CD1810"/>
    <w:rsid w:val="291D29FD"/>
    <w:rsid w:val="296A5517"/>
    <w:rsid w:val="296C74E1"/>
    <w:rsid w:val="2972614A"/>
    <w:rsid w:val="29E8373F"/>
    <w:rsid w:val="2A1F09F7"/>
    <w:rsid w:val="2A222295"/>
    <w:rsid w:val="2A8245D0"/>
    <w:rsid w:val="2AD54C9A"/>
    <w:rsid w:val="2ADF655B"/>
    <w:rsid w:val="2B0E1984"/>
    <w:rsid w:val="2B2A31B0"/>
    <w:rsid w:val="2B656AA6"/>
    <w:rsid w:val="2B996587"/>
    <w:rsid w:val="2BC50494"/>
    <w:rsid w:val="2CC17B44"/>
    <w:rsid w:val="2CF75313"/>
    <w:rsid w:val="2D3D22C5"/>
    <w:rsid w:val="2D4A5D8B"/>
    <w:rsid w:val="2D7828F8"/>
    <w:rsid w:val="2DCC67A0"/>
    <w:rsid w:val="2DCE15AF"/>
    <w:rsid w:val="2DE312CD"/>
    <w:rsid w:val="2DE955A4"/>
    <w:rsid w:val="2E0A72C8"/>
    <w:rsid w:val="2E0B376C"/>
    <w:rsid w:val="2E0C3D03"/>
    <w:rsid w:val="2E0E0B66"/>
    <w:rsid w:val="2E0F2B31"/>
    <w:rsid w:val="2E5C5D76"/>
    <w:rsid w:val="2E7C0A3B"/>
    <w:rsid w:val="2EA9088F"/>
    <w:rsid w:val="2EBF6305"/>
    <w:rsid w:val="2ED718A0"/>
    <w:rsid w:val="2F083808"/>
    <w:rsid w:val="2F3960B7"/>
    <w:rsid w:val="2F7860E8"/>
    <w:rsid w:val="30071D11"/>
    <w:rsid w:val="30847806"/>
    <w:rsid w:val="30A367D5"/>
    <w:rsid w:val="30BF439A"/>
    <w:rsid w:val="30DA7426"/>
    <w:rsid w:val="310E3CB0"/>
    <w:rsid w:val="312E32CE"/>
    <w:rsid w:val="31426E89"/>
    <w:rsid w:val="314F1BC2"/>
    <w:rsid w:val="3163741B"/>
    <w:rsid w:val="31AD0696"/>
    <w:rsid w:val="320329AC"/>
    <w:rsid w:val="326571C3"/>
    <w:rsid w:val="32B048E2"/>
    <w:rsid w:val="3325409E"/>
    <w:rsid w:val="33294694"/>
    <w:rsid w:val="33370B5F"/>
    <w:rsid w:val="334C63C2"/>
    <w:rsid w:val="3355548A"/>
    <w:rsid w:val="337F42B4"/>
    <w:rsid w:val="33BA7ED7"/>
    <w:rsid w:val="33C512BF"/>
    <w:rsid w:val="33CA5530"/>
    <w:rsid w:val="33E52369"/>
    <w:rsid w:val="342A06C4"/>
    <w:rsid w:val="343926B5"/>
    <w:rsid w:val="34607C42"/>
    <w:rsid w:val="34703AAA"/>
    <w:rsid w:val="34AE4E51"/>
    <w:rsid w:val="34E940DB"/>
    <w:rsid w:val="350F37C2"/>
    <w:rsid w:val="358D0F0B"/>
    <w:rsid w:val="359978AF"/>
    <w:rsid w:val="36533F02"/>
    <w:rsid w:val="367E2601"/>
    <w:rsid w:val="368F480F"/>
    <w:rsid w:val="36A2696C"/>
    <w:rsid w:val="36DD1A1E"/>
    <w:rsid w:val="36DD37CC"/>
    <w:rsid w:val="36EA7C97"/>
    <w:rsid w:val="372E4027"/>
    <w:rsid w:val="37524E82"/>
    <w:rsid w:val="37691B50"/>
    <w:rsid w:val="376D0FF4"/>
    <w:rsid w:val="37744822"/>
    <w:rsid w:val="378325C5"/>
    <w:rsid w:val="37B409D1"/>
    <w:rsid w:val="37C156A2"/>
    <w:rsid w:val="37EF1A09"/>
    <w:rsid w:val="37FC4126"/>
    <w:rsid w:val="38351008"/>
    <w:rsid w:val="386121DB"/>
    <w:rsid w:val="389820A0"/>
    <w:rsid w:val="392456E2"/>
    <w:rsid w:val="39437493"/>
    <w:rsid w:val="39586085"/>
    <w:rsid w:val="39700D1C"/>
    <w:rsid w:val="39B051C8"/>
    <w:rsid w:val="3A3A2CE3"/>
    <w:rsid w:val="3A817F59"/>
    <w:rsid w:val="3ADE5D64"/>
    <w:rsid w:val="3AEA64B7"/>
    <w:rsid w:val="3B082DE1"/>
    <w:rsid w:val="3B2B1381"/>
    <w:rsid w:val="3B891DAB"/>
    <w:rsid w:val="3BC82C9D"/>
    <w:rsid w:val="3BC92571"/>
    <w:rsid w:val="3C447E49"/>
    <w:rsid w:val="3C4B567C"/>
    <w:rsid w:val="3C5502A8"/>
    <w:rsid w:val="3C682428"/>
    <w:rsid w:val="3CDB07AE"/>
    <w:rsid w:val="3D05582A"/>
    <w:rsid w:val="3D0A35BE"/>
    <w:rsid w:val="3D164601"/>
    <w:rsid w:val="3D1B607F"/>
    <w:rsid w:val="3D37175C"/>
    <w:rsid w:val="3DDA544A"/>
    <w:rsid w:val="3E353EED"/>
    <w:rsid w:val="3E611186"/>
    <w:rsid w:val="3E816A37"/>
    <w:rsid w:val="3EC7548D"/>
    <w:rsid w:val="3F012022"/>
    <w:rsid w:val="3F494B7A"/>
    <w:rsid w:val="407451A1"/>
    <w:rsid w:val="40FA0340"/>
    <w:rsid w:val="410D73A4"/>
    <w:rsid w:val="411C3143"/>
    <w:rsid w:val="4134048C"/>
    <w:rsid w:val="414C3A28"/>
    <w:rsid w:val="41931657"/>
    <w:rsid w:val="41D72026"/>
    <w:rsid w:val="41E53E7C"/>
    <w:rsid w:val="42113EEA"/>
    <w:rsid w:val="424741EF"/>
    <w:rsid w:val="4253528A"/>
    <w:rsid w:val="4280659A"/>
    <w:rsid w:val="432033BE"/>
    <w:rsid w:val="432D7889"/>
    <w:rsid w:val="43F565F9"/>
    <w:rsid w:val="441B3B85"/>
    <w:rsid w:val="441B5933"/>
    <w:rsid w:val="44307631"/>
    <w:rsid w:val="44410319"/>
    <w:rsid w:val="448F7DDB"/>
    <w:rsid w:val="4585575A"/>
    <w:rsid w:val="458B0897"/>
    <w:rsid w:val="45941E41"/>
    <w:rsid w:val="4622468B"/>
    <w:rsid w:val="46647A66"/>
    <w:rsid w:val="466510E8"/>
    <w:rsid w:val="46BB2063"/>
    <w:rsid w:val="46D87B0C"/>
    <w:rsid w:val="47083327"/>
    <w:rsid w:val="47BC11DC"/>
    <w:rsid w:val="48484C47"/>
    <w:rsid w:val="484C6A03"/>
    <w:rsid w:val="48741AB6"/>
    <w:rsid w:val="48C540C0"/>
    <w:rsid w:val="49557B3A"/>
    <w:rsid w:val="49C34AA3"/>
    <w:rsid w:val="4A113A61"/>
    <w:rsid w:val="4A6B78A3"/>
    <w:rsid w:val="4AC46D25"/>
    <w:rsid w:val="4B166E55"/>
    <w:rsid w:val="4BB70638"/>
    <w:rsid w:val="4C207F8B"/>
    <w:rsid w:val="4C4F261E"/>
    <w:rsid w:val="4C5E52E6"/>
    <w:rsid w:val="4C6A7458"/>
    <w:rsid w:val="4C7C718B"/>
    <w:rsid w:val="4CA23096"/>
    <w:rsid w:val="4D5B4FF3"/>
    <w:rsid w:val="4D975A19"/>
    <w:rsid w:val="4E30022D"/>
    <w:rsid w:val="4E3221F7"/>
    <w:rsid w:val="4E323FA5"/>
    <w:rsid w:val="4E611F81"/>
    <w:rsid w:val="4EB26E94"/>
    <w:rsid w:val="4ECD0181"/>
    <w:rsid w:val="4F6665FD"/>
    <w:rsid w:val="4F870321"/>
    <w:rsid w:val="4F871FB3"/>
    <w:rsid w:val="4F895E47"/>
    <w:rsid w:val="50131BB5"/>
    <w:rsid w:val="501F49FD"/>
    <w:rsid w:val="50276A30"/>
    <w:rsid w:val="50772144"/>
    <w:rsid w:val="50792360"/>
    <w:rsid w:val="50B67110"/>
    <w:rsid w:val="50DB402B"/>
    <w:rsid w:val="50F16DDD"/>
    <w:rsid w:val="511856D5"/>
    <w:rsid w:val="5146423C"/>
    <w:rsid w:val="51472584"/>
    <w:rsid w:val="516C5A20"/>
    <w:rsid w:val="51842D6A"/>
    <w:rsid w:val="521A547C"/>
    <w:rsid w:val="522A286E"/>
    <w:rsid w:val="522E2CD6"/>
    <w:rsid w:val="52AD4542"/>
    <w:rsid w:val="52D240DA"/>
    <w:rsid w:val="52ED0DE3"/>
    <w:rsid w:val="52F061DD"/>
    <w:rsid w:val="53185E60"/>
    <w:rsid w:val="5322283B"/>
    <w:rsid w:val="533802B0"/>
    <w:rsid w:val="537B019D"/>
    <w:rsid w:val="539D0113"/>
    <w:rsid w:val="540E7263"/>
    <w:rsid w:val="548C09CC"/>
    <w:rsid w:val="54AF2D33"/>
    <w:rsid w:val="55000C8A"/>
    <w:rsid w:val="550C7E08"/>
    <w:rsid w:val="557D0FD7"/>
    <w:rsid w:val="55B856D8"/>
    <w:rsid w:val="55C0633B"/>
    <w:rsid w:val="561B17C3"/>
    <w:rsid w:val="56436C26"/>
    <w:rsid w:val="5644044F"/>
    <w:rsid w:val="56671875"/>
    <w:rsid w:val="567424FA"/>
    <w:rsid w:val="56C0469B"/>
    <w:rsid w:val="571526B6"/>
    <w:rsid w:val="575136EE"/>
    <w:rsid w:val="576A0C54"/>
    <w:rsid w:val="57835872"/>
    <w:rsid w:val="57D57184"/>
    <w:rsid w:val="57E5108F"/>
    <w:rsid w:val="5838665C"/>
    <w:rsid w:val="585A4825"/>
    <w:rsid w:val="58FB3120"/>
    <w:rsid w:val="59162E41"/>
    <w:rsid w:val="59B3653F"/>
    <w:rsid w:val="59E20F76"/>
    <w:rsid w:val="5B61411C"/>
    <w:rsid w:val="5B6360E6"/>
    <w:rsid w:val="5B751975"/>
    <w:rsid w:val="5B812223"/>
    <w:rsid w:val="5B871DD5"/>
    <w:rsid w:val="5BD859BB"/>
    <w:rsid w:val="5BED3C02"/>
    <w:rsid w:val="5BEF797A"/>
    <w:rsid w:val="5BFF4CBE"/>
    <w:rsid w:val="5C084598"/>
    <w:rsid w:val="5C182A2D"/>
    <w:rsid w:val="5C292E8C"/>
    <w:rsid w:val="5C312638"/>
    <w:rsid w:val="5C3E7FB9"/>
    <w:rsid w:val="5CD03307"/>
    <w:rsid w:val="5CD728E8"/>
    <w:rsid w:val="5CED3EB9"/>
    <w:rsid w:val="5D526412"/>
    <w:rsid w:val="5D5F6439"/>
    <w:rsid w:val="5DB1138B"/>
    <w:rsid w:val="5DC42740"/>
    <w:rsid w:val="5DDD2180"/>
    <w:rsid w:val="5E08087F"/>
    <w:rsid w:val="5E2F22B0"/>
    <w:rsid w:val="5E385608"/>
    <w:rsid w:val="5E6A153A"/>
    <w:rsid w:val="5E767205"/>
    <w:rsid w:val="5F0152CA"/>
    <w:rsid w:val="5F062D3D"/>
    <w:rsid w:val="5F70492E"/>
    <w:rsid w:val="5F9436B0"/>
    <w:rsid w:val="601B2AEB"/>
    <w:rsid w:val="60560DA2"/>
    <w:rsid w:val="60E455D3"/>
    <w:rsid w:val="619D5782"/>
    <w:rsid w:val="61AF3E33"/>
    <w:rsid w:val="61B07526"/>
    <w:rsid w:val="61C251E9"/>
    <w:rsid w:val="61C7294C"/>
    <w:rsid w:val="61D1349A"/>
    <w:rsid w:val="61D45648"/>
    <w:rsid w:val="61FE3746"/>
    <w:rsid w:val="61FF0033"/>
    <w:rsid w:val="621D48D8"/>
    <w:rsid w:val="62AC3ECF"/>
    <w:rsid w:val="63171F8A"/>
    <w:rsid w:val="632223E3"/>
    <w:rsid w:val="633B1C51"/>
    <w:rsid w:val="6341070D"/>
    <w:rsid w:val="63535997"/>
    <w:rsid w:val="63DD5227"/>
    <w:rsid w:val="63E37E16"/>
    <w:rsid w:val="63EA73A4"/>
    <w:rsid w:val="63FE69AC"/>
    <w:rsid w:val="640D6230"/>
    <w:rsid w:val="642B176B"/>
    <w:rsid w:val="64AA2690"/>
    <w:rsid w:val="64B40B67"/>
    <w:rsid w:val="64E33DF4"/>
    <w:rsid w:val="65D17CDB"/>
    <w:rsid w:val="661E1587"/>
    <w:rsid w:val="663C37BC"/>
    <w:rsid w:val="66E14363"/>
    <w:rsid w:val="66F83B86"/>
    <w:rsid w:val="672E75A8"/>
    <w:rsid w:val="67472418"/>
    <w:rsid w:val="678F5EF4"/>
    <w:rsid w:val="67D6379C"/>
    <w:rsid w:val="67E934CF"/>
    <w:rsid w:val="68536CFD"/>
    <w:rsid w:val="68844ECD"/>
    <w:rsid w:val="692E7D33"/>
    <w:rsid w:val="69561038"/>
    <w:rsid w:val="69731BEA"/>
    <w:rsid w:val="6982054A"/>
    <w:rsid w:val="69E91EAC"/>
    <w:rsid w:val="6A9C6F1F"/>
    <w:rsid w:val="6ABC4ECB"/>
    <w:rsid w:val="6AC41FD2"/>
    <w:rsid w:val="6BBA58AE"/>
    <w:rsid w:val="6C042FCD"/>
    <w:rsid w:val="6C0B610A"/>
    <w:rsid w:val="6C111246"/>
    <w:rsid w:val="6C8E0AE9"/>
    <w:rsid w:val="6CAD71C1"/>
    <w:rsid w:val="6CDA5ADC"/>
    <w:rsid w:val="6CE17758"/>
    <w:rsid w:val="6CE40709"/>
    <w:rsid w:val="6D401191"/>
    <w:rsid w:val="6D561607"/>
    <w:rsid w:val="6DAE1443"/>
    <w:rsid w:val="6DBB3A8B"/>
    <w:rsid w:val="6DFF1C9E"/>
    <w:rsid w:val="6EA63EC8"/>
    <w:rsid w:val="6F3F3691"/>
    <w:rsid w:val="6F6F075E"/>
    <w:rsid w:val="6F8C7562"/>
    <w:rsid w:val="70512559"/>
    <w:rsid w:val="70640D96"/>
    <w:rsid w:val="70654B19"/>
    <w:rsid w:val="70814BED"/>
    <w:rsid w:val="70AE52B6"/>
    <w:rsid w:val="71180999"/>
    <w:rsid w:val="715A1838"/>
    <w:rsid w:val="718F4844"/>
    <w:rsid w:val="71922E29"/>
    <w:rsid w:val="719A3A8C"/>
    <w:rsid w:val="719B1CDE"/>
    <w:rsid w:val="7214383E"/>
    <w:rsid w:val="721F290F"/>
    <w:rsid w:val="727270AB"/>
    <w:rsid w:val="729329B5"/>
    <w:rsid w:val="72DA05E4"/>
    <w:rsid w:val="72FD0776"/>
    <w:rsid w:val="73013DC3"/>
    <w:rsid w:val="730833A3"/>
    <w:rsid w:val="7309711B"/>
    <w:rsid w:val="73137F9A"/>
    <w:rsid w:val="73185FA3"/>
    <w:rsid w:val="735C36EF"/>
    <w:rsid w:val="735C3DAB"/>
    <w:rsid w:val="73610D05"/>
    <w:rsid w:val="73905147"/>
    <w:rsid w:val="74583EB6"/>
    <w:rsid w:val="74640AAD"/>
    <w:rsid w:val="74BC2D03"/>
    <w:rsid w:val="74C07CAE"/>
    <w:rsid w:val="74D75448"/>
    <w:rsid w:val="752E2E69"/>
    <w:rsid w:val="75610B49"/>
    <w:rsid w:val="75873FED"/>
    <w:rsid w:val="758D4761"/>
    <w:rsid w:val="759D75C8"/>
    <w:rsid w:val="75DB4D9F"/>
    <w:rsid w:val="763224E5"/>
    <w:rsid w:val="763C15B6"/>
    <w:rsid w:val="766F3739"/>
    <w:rsid w:val="76A01B45"/>
    <w:rsid w:val="77277B70"/>
    <w:rsid w:val="773109EF"/>
    <w:rsid w:val="773D7394"/>
    <w:rsid w:val="77846D70"/>
    <w:rsid w:val="778D677C"/>
    <w:rsid w:val="7851759A"/>
    <w:rsid w:val="78832867"/>
    <w:rsid w:val="78A6284A"/>
    <w:rsid w:val="78C20BD1"/>
    <w:rsid w:val="78CF4963"/>
    <w:rsid w:val="79246A5D"/>
    <w:rsid w:val="79537342"/>
    <w:rsid w:val="79703A50"/>
    <w:rsid w:val="797352EE"/>
    <w:rsid w:val="79815C5D"/>
    <w:rsid w:val="79B17BC5"/>
    <w:rsid w:val="79E461EC"/>
    <w:rsid w:val="7A2465E9"/>
    <w:rsid w:val="7A580462"/>
    <w:rsid w:val="7A6A4943"/>
    <w:rsid w:val="7AA5772A"/>
    <w:rsid w:val="7B2A5E81"/>
    <w:rsid w:val="7B931C78"/>
    <w:rsid w:val="7BD02338"/>
    <w:rsid w:val="7BE81FC4"/>
    <w:rsid w:val="7C134B67"/>
    <w:rsid w:val="7C29438A"/>
    <w:rsid w:val="7C445DA6"/>
    <w:rsid w:val="7C861DC8"/>
    <w:rsid w:val="7CFB1883"/>
    <w:rsid w:val="7D0F1BE7"/>
    <w:rsid w:val="7D9B444F"/>
    <w:rsid w:val="7DA90769"/>
    <w:rsid w:val="7E292420"/>
    <w:rsid w:val="7E413C0D"/>
    <w:rsid w:val="7E933D3D"/>
    <w:rsid w:val="7EA11AD6"/>
    <w:rsid w:val="7EC14D4E"/>
    <w:rsid w:val="7ECA59B1"/>
    <w:rsid w:val="7EEF18BB"/>
    <w:rsid w:val="7F0D7F93"/>
    <w:rsid w:val="7F0F1615"/>
    <w:rsid w:val="7F7A1508"/>
    <w:rsid w:val="7F961D37"/>
    <w:rsid w:val="7FC45FDB"/>
    <w:rsid w:val="7FF6305A"/>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List Number"/>
    <w:basedOn w:val="1"/>
    <w:next w:val="6"/>
    <w:qFormat/>
    <w:uiPriority w:val="0"/>
    <w:pPr>
      <w:numPr>
        <w:ilvl w:val="0"/>
        <w:numId w:val="1"/>
      </w:numPr>
    </w:pPr>
  </w:style>
  <w:style w:type="paragraph" w:styleId="6">
    <w:name w:val="Balloon Text"/>
    <w:basedOn w:val="1"/>
    <w:next w:val="7"/>
    <w:semiHidden/>
    <w:qFormat/>
    <w:uiPriority w:val="0"/>
    <w:rPr>
      <w:sz w:val="18"/>
      <w:szCs w:val="18"/>
    </w:rPr>
  </w:style>
  <w:style w:type="paragraph" w:styleId="7">
    <w:name w:val="toc 8"/>
    <w:basedOn w:val="1"/>
    <w:next w:val="1"/>
    <w:semiHidden/>
    <w:qFormat/>
    <w:uiPriority w:val="0"/>
    <w:pPr>
      <w:ind w:left="1470"/>
      <w:jc w:val="left"/>
    </w:pPr>
    <w:rPr>
      <w:sz w:val="18"/>
      <w:szCs w:val="18"/>
    </w:rPr>
  </w:style>
  <w:style w:type="paragraph" w:styleId="8">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semiHidden/>
    <w:unhideWhenUsed/>
    <w:qFormat/>
    <w:uiPriority w:val="99"/>
    <w:pPr>
      <w:jc w:val="left"/>
    </w:pPr>
  </w:style>
  <w:style w:type="paragraph" w:styleId="10">
    <w:name w:val="Body Text"/>
    <w:basedOn w:val="1"/>
    <w:next w:val="1"/>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Indent"/>
    <w:basedOn w:val="1"/>
    <w:next w:val="1"/>
    <w:qFormat/>
    <w:uiPriority w:val="0"/>
    <w:pPr>
      <w:spacing w:line="480" w:lineRule="exact"/>
      <w:ind w:firstLine="480" w:firstLineChars="200"/>
    </w:pPr>
    <w:rPr>
      <w:rFonts w:ascii="宋体" w:hAnsi="宋体"/>
      <w:sz w:val="24"/>
    </w:rPr>
  </w:style>
  <w:style w:type="paragraph" w:styleId="12">
    <w:name w:val="Plain Text"/>
    <w:basedOn w:val="1"/>
    <w:next w:val="1"/>
    <w:autoRedefine/>
    <w:qFormat/>
    <w:uiPriority w:val="0"/>
    <w:rPr>
      <w:rFonts w:ascii="宋体" w:hAnsi="Courier New" w:cs="Arial"/>
      <w:snapToGrid w:val="0"/>
      <w:szCs w:val="21"/>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Subtitle"/>
    <w:basedOn w:val="1"/>
    <w:next w:val="1"/>
    <w:qFormat/>
    <w:uiPriority w:val="0"/>
    <w:pPr>
      <w:spacing w:beforeLines="0" w:after="60" w:line="312" w:lineRule="auto"/>
      <w:jc w:val="center"/>
      <w:outlineLvl w:val="1"/>
    </w:pPr>
    <w:rPr>
      <w:rFonts w:ascii="Cambria" w:hAnsi="Cambria"/>
      <w:b/>
      <w:bCs/>
      <w:kern w:val="28"/>
      <w:sz w:val="32"/>
      <w:szCs w:val="32"/>
    </w:rPr>
  </w:style>
  <w:style w:type="paragraph" w:styleId="17">
    <w:name w:val="toc 6"/>
    <w:basedOn w:val="1"/>
    <w:next w:val="1"/>
    <w:autoRedefine/>
    <w:qFormat/>
    <w:uiPriority w:val="0"/>
    <w:pPr>
      <w:ind w:left="2100" w:leftChars="1000"/>
    </w:pPr>
  </w:style>
  <w:style w:type="paragraph" w:styleId="18">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9">
    <w:name w:val="Body Text First Indent"/>
    <w:basedOn w:val="10"/>
    <w:next w:val="17"/>
    <w:autoRedefine/>
    <w:qFormat/>
    <w:uiPriority w:val="0"/>
    <w:pPr>
      <w:ind w:firstLine="420"/>
    </w:pPr>
    <w:rPr>
      <w:rFonts w:hAnsi="Calibri" w:cs="Times New Roman"/>
      <w:snapToGrid/>
      <w:szCs w:val="20"/>
    </w:rPr>
  </w:style>
  <w:style w:type="paragraph" w:styleId="20">
    <w:name w:val="Body Text First Indent 2"/>
    <w:basedOn w:val="11"/>
    <w:next w:val="21"/>
    <w:autoRedefine/>
    <w:qFormat/>
    <w:uiPriority w:val="0"/>
    <w:pPr>
      <w:adjustRightInd/>
      <w:spacing w:after="120" w:line="240" w:lineRule="auto"/>
      <w:ind w:left="420" w:leftChars="200" w:firstLine="210"/>
    </w:pPr>
    <w:rPr>
      <w:sz w:val="21"/>
    </w:rPr>
  </w:style>
  <w:style w:type="paragraph" w:customStyle="1" w:styleId="21">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rPr>
      <w:rFonts w:ascii="Arial" w:hAnsi="Arial" w:eastAsia="黑体" w:cs="Arial"/>
      <w:snapToGrid w:val="0"/>
      <w:kern w:val="0"/>
      <w:szCs w:val="21"/>
    </w:rPr>
  </w:style>
  <w:style w:type="character" w:styleId="26">
    <w:name w:val="Hyperlink"/>
    <w:autoRedefine/>
    <w:qFormat/>
    <w:uiPriority w:val="99"/>
    <w:rPr>
      <w:rFonts w:ascii="Arial" w:hAnsi="Arial" w:eastAsia="黑体" w:cs="Arial"/>
      <w:snapToGrid w:val="0"/>
      <w:color w:val="000000"/>
      <w:kern w:val="0"/>
      <w:sz w:val="18"/>
      <w:szCs w:val="18"/>
      <w:u w:val="none"/>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2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正文2"/>
    <w:basedOn w:val="1"/>
    <w:autoRedefine/>
    <w:qFormat/>
    <w:uiPriority w:val="0"/>
    <w:pPr>
      <w:spacing w:before="156" w:line="360" w:lineRule="auto"/>
      <w:ind w:firstLine="510" w:firstLineChars="200"/>
    </w:pPr>
    <w:rPr>
      <w:sz w:val="24"/>
      <w:szCs w:val="20"/>
    </w:rPr>
  </w:style>
  <w:style w:type="paragraph" w:customStyle="1" w:styleId="3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正文缩进1"/>
    <w:basedOn w:val="1"/>
    <w:next w:val="1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34">
    <w:name w:val="纯文本_0_0"/>
    <w:basedOn w:val="35"/>
    <w:autoRedefine/>
    <w:qFormat/>
    <w:uiPriority w:val="0"/>
    <w:rPr>
      <w:rFonts w:ascii="宋体" w:hAnsi="Courier New"/>
      <w:szCs w:val="21"/>
    </w:rPr>
  </w:style>
  <w:style w:type="paragraph" w:customStyle="1" w:styleId="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7">
    <w:name w:val="NormalCharacter"/>
    <w:link w:val="38"/>
    <w:autoRedefine/>
    <w:qFormat/>
    <w:uiPriority w:val="0"/>
    <w:rPr>
      <w:rFonts w:ascii="Calibri"/>
      <w:szCs w:val="22"/>
    </w:rPr>
  </w:style>
  <w:style w:type="paragraph" w:customStyle="1" w:styleId="38">
    <w:name w:val="UserStyle_127"/>
    <w:basedOn w:val="1"/>
    <w:link w:val="37"/>
    <w:autoRedefine/>
    <w:qFormat/>
    <w:uiPriority w:val="0"/>
    <w:pPr>
      <w:spacing w:after="160" w:line="240" w:lineRule="exact"/>
      <w:jc w:val="left"/>
    </w:pPr>
    <w:rPr>
      <w:rFonts w:ascii="Calibri"/>
      <w:szCs w:val="22"/>
    </w:rPr>
  </w:style>
  <w:style w:type="paragraph" w:customStyle="1" w:styleId="39">
    <w:name w:val="UserStyle_126"/>
    <w:basedOn w:val="1"/>
    <w:link w:val="37"/>
    <w:autoRedefine/>
    <w:qFormat/>
    <w:uiPriority w:val="0"/>
    <w:pPr>
      <w:ind w:right="0" w:rightChars="0"/>
      <w:textAlignment w:val="baseline"/>
    </w:pPr>
    <w:rPr>
      <w:rFonts w:ascii="仿宋_GB2312" w:hAnsi="Calibri" w:eastAsia="仿宋_GB2312"/>
      <w:b/>
      <w:sz w:val="32"/>
      <w:szCs w:val="32"/>
    </w:rPr>
  </w:style>
  <w:style w:type="paragraph" w:customStyle="1" w:styleId="40">
    <w:name w:val="招标-标题1"/>
    <w:basedOn w:val="1"/>
    <w:qFormat/>
    <w:uiPriority w:val="0"/>
    <w:pPr>
      <w:spacing w:line="300" w:lineRule="auto"/>
      <w:ind w:left="560"/>
    </w:pPr>
    <w:rPr>
      <w:rFonts w:ascii="宋体" w:hAnsi="宋体" w:eastAsia="宋体"/>
      <w:b/>
      <w:bCs/>
      <w:szCs w:val="21"/>
    </w:rPr>
  </w:style>
  <w:style w:type="paragraph" w:customStyle="1" w:styleId="41">
    <w:name w:val="列表段落1"/>
    <w:basedOn w:val="1"/>
    <w:qFormat/>
    <w:uiPriority w:val="34"/>
    <w:pPr>
      <w:adjustRightInd/>
      <w:ind w:right="238" w:firstLine="420"/>
    </w:pPr>
    <w:rPr>
      <w:rFonts w:ascii="Calibri" w:hAnsi="Calibri"/>
      <w:sz w:val="24"/>
    </w:rPr>
  </w:style>
  <w:style w:type="paragraph" w:customStyle="1" w:styleId="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3">
    <w:name w:val="表格内文字格式"/>
    <w:basedOn w:val="1"/>
    <w:qFormat/>
    <w:uiPriority w:val="0"/>
    <w:pPr>
      <w:adjustRightInd w:val="0"/>
      <w:snapToGrid w:val="0"/>
      <w:spacing w:line="240" w:lineRule="auto"/>
      <w:ind w:firstLine="0" w:firstLineChars="0"/>
    </w:pPr>
    <w:rPr>
      <w:rFonts w:ascii="Times New Roman" w:hAnsi="Times New Roman"/>
      <w:sz w:val="21"/>
      <w:szCs w:val="21"/>
    </w:rPr>
  </w:style>
  <w:style w:type="paragraph" w:customStyle="1" w:styleId="44">
    <w:name w:val="表格文字"/>
    <w:basedOn w:val="1"/>
    <w:next w:val="10"/>
    <w:qFormat/>
    <w:uiPriority w:val="0"/>
    <w:pPr>
      <w:jc w:val="left"/>
      <w:textAlignment w:val="top"/>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13643</Words>
  <Characters>14749</Characters>
  <Lines>0</Lines>
  <Paragraphs>0</Paragraphs>
  <TotalTime>65</TotalTime>
  <ScaleCrop>false</ScaleCrop>
  <LinksUpToDate>false</LinksUpToDate>
  <CharactersWithSpaces>15097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2024-02-21T08:07:00Z</dcterms:created>
  <dc:creator>Administrator</dc:creator>
  <cp:lastModifiedBy>王超</cp:lastModifiedBy>
  <cp:lastPrinted>2024-02-22T01:55:00Z</cp:lastPrinted>
  <dcterms:modified xsi:type="dcterms:W3CDTF">2025-07-09T03:02:58Z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6954B88F8BFE413A9D563A9C84EAB2CD_13</vt:lpwstr>
  </property>
  <property fmtid="{D5CDD505-2E9C-101B-9397-08002B2CF9AE}" pid="4" name="KSOTemplateDocerSaveRecord">
    <vt:lpwstr>eyJoZGlkIjoiOWI3YzNlZjU4MDc3ZDUxMmFiOTU0ZDE3Njc1YTdkMjEiLCJ1c2VySWQiOiIzNjEzOTk2ODAifQ==</vt:lpwstr>
  </property>
</Properties>
</file>