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ascii="宋体" w:hAnsi="宋体" w:cs="宋体"/>
          <w:sz w:val="48"/>
          <w:szCs w:val="48"/>
        </w:rPr>
      </w:pPr>
    </w:p>
    <w:p>
      <w:pPr>
        <w:adjustRightInd/>
        <w:spacing w:line="360" w:lineRule="auto"/>
        <w:jc w:val="center"/>
        <w:rPr>
          <w:rFonts w:hint="eastAsia" w:cs="宋体" w:asciiTheme="minorEastAsia" w:hAnsiTheme="minorEastAsia" w:eastAsiaTheme="minorEastAsia"/>
          <w:b/>
          <w:bCs/>
          <w:color w:val="000000" w:themeColor="text1"/>
          <w:sz w:val="52"/>
          <w:szCs w:val="52"/>
          <w:lang w:eastAsia="zh-CN"/>
          <w14:textFill>
            <w14:solidFill>
              <w14:schemeClr w14:val="tx1"/>
            </w14:solidFill>
          </w14:textFill>
        </w:rPr>
      </w:pPr>
      <w:r>
        <w:rPr>
          <w:rFonts w:hint="eastAsia" w:cs="宋体" w:asciiTheme="minorEastAsia" w:hAnsiTheme="minorEastAsia" w:eastAsiaTheme="minorEastAsia"/>
          <w:b/>
          <w:bCs/>
          <w:color w:val="000000" w:themeColor="text1"/>
          <w:sz w:val="48"/>
          <w:szCs w:val="48"/>
          <w:lang w:eastAsia="zh-CN"/>
          <w14:textFill>
            <w14:solidFill>
              <w14:schemeClr w14:val="tx1"/>
            </w14:solidFill>
          </w14:textFill>
        </w:rPr>
        <w:t>桐庐县房地产管理处（直管公房、保障性住房及房改房）日常零星维修项目</w:t>
      </w:r>
    </w:p>
    <w:p>
      <w:pPr>
        <w:adjustRightInd/>
        <w:spacing w:line="360" w:lineRule="auto"/>
        <w:jc w:val="center"/>
        <w:rPr>
          <w:rFonts w:ascii="宋体" w:hAnsi="宋体" w:cs="宋体"/>
          <w:sz w:val="48"/>
          <w:szCs w:val="48"/>
        </w:rPr>
      </w:pPr>
      <w:r>
        <w:rPr>
          <w:rFonts w:hint="eastAsia" w:ascii="宋体" w:hAnsi="宋体" w:cs="宋体"/>
          <w:sz w:val="48"/>
          <w:szCs w:val="48"/>
        </w:rPr>
        <w:t>招标文件</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ascii="宋体" w:hAnsi="宋体" w:cs="宋体"/>
          <w:sz w:val="30"/>
          <w:szCs w:val="30"/>
        </w:rPr>
      </w:pPr>
      <w:r>
        <w:rPr>
          <w:rFonts w:hint="eastAsia" w:ascii="宋体" w:hAnsi="宋体" w:cs="宋体"/>
          <w:sz w:val="30"/>
          <w:szCs w:val="30"/>
        </w:rPr>
        <w:t>采购编号:（</w:t>
      </w:r>
      <w:r>
        <w:rPr>
          <w:rFonts w:hint="eastAsia" w:ascii="宋体" w:hAnsi="宋体" w:cs="宋体"/>
          <w:sz w:val="30"/>
          <w:szCs w:val="30"/>
          <w:lang w:eastAsia="zh-CN"/>
        </w:rPr>
        <w:t>HZLKTLCG-2024-02</w:t>
      </w:r>
      <w:r>
        <w:rPr>
          <w:rFonts w:hint="eastAsia" w:ascii="宋体" w:hAnsi="宋体" w:cs="宋体"/>
          <w:sz w:val="30"/>
          <w:szCs w:val="30"/>
        </w:rPr>
        <w:t>）</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pacing w:line="600" w:lineRule="auto"/>
        <w:jc w:val="center"/>
        <w:rPr>
          <w:rFonts w:hint="eastAsia" w:ascii="宋体" w:hAnsi="宋体" w:eastAsia="宋体" w:cs="宋体"/>
          <w:sz w:val="32"/>
          <w:szCs w:val="32"/>
          <w:lang w:eastAsia="zh-CN"/>
        </w:rPr>
      </w:pPr>
      <w:r>
        <w:rPr>
          <w:rFonts w:hint="eastAsia" w:ascii="宋体" w:hAnsi="宋体" w:cs="宋体"/>
          <w:sz w:val="32"/>
          <w:szCs w:val="32"/>
        </w:rPr>
        <w:t>采购人：</w:t>
      </w:r>
      <w:r>
        <w:rPr>
          <w:rFonts w:hint="eastAsia" w:ascii="宋体" w:hAnsi="宋体" w:cs="宋体"/>
          <w:sz w:val="32"/>
          <w:szCs w:val="32"/>
          <w:lang w:eastAsia="zh-CN"/>
        </w:rPr>
        <w:t>桐庐县房地产管理处</w:t>
      </w:r>
    </w:p>
    <w:p>
      <w:pPr>
        <w:spacing w:line="600" w:lineRule="auto"/>
        <w:jc w:val="center"/>
        <w:rPr>
          <w:rFonts w:hint="eastAsia" w:ascii="宋体" w:hAnsi="宋体" w:eastAsia="宋体" w:cs="宋体"/>
          <w:bCs/>
          <w:sz w:val="32"/>
          <w:szCs w:val="32"/>
          <w:lang w:eastAsia="zh-CN"/>
        </w:rPr>
      </w:pPr>
      <w:r>
        <w:rPr>
          <w:rFonts w:hint="eastAsia" w:ascii="宋体" w:hAnsi="宋体" w:cs="宋体"/>
          <w:bCs/>
          <w:sz w:val="32"/>
          <w:szCs w:val="32"/>
        </w:rPr>
        <w:t>采购代理机构：</w:t>
      </w:r>
      <w:r>
        <w:rPr>
          <w:rFonts w:hint="eastAsia" w:ascii="宋体" w:hAnsi="宋体" w:cs="宋体"/>
          <w:bCs/>
          <w:sz w:val="32"/>
          <w:szCs w:val="32"/>
          <w:lang w:eastAsia="zh-CN"/>
        </w:rPr>
        <w:t>杭州龙魁工程管理有限公司</w:t>
      </w:r>
    </w:p>
    <w:p>
      <w:pPr>
        <w:snapToGrid w:val="0"/>
        <w:spacing w:line="600" w:lineRule="auto"/>
        <w:jc w:val="center"/>
        <w:rPr>
          <w:rFonts w:hint="eastAsia" w:ascii="宋体" w:hAnsi="宋体" w:eastAsia="宋体" w:cs="宋体"/>
          <w:bCs/>
          <w:sz w:val="32"/>
          <w:szCs w:val="32"/>
          <w:lang w:eastAsia="zh-CN"/>
        </w:rPr>
      </w:pPr>
      <w:r>
        <w:rPr>
          <w:rFonts w:hint="eastAsia" w:ascii="宋体" w:hAnsi="宋体" w:cs="宋体"/>
          <w:bCs/>
          <w:sz w:val="32"/>
          <w:szCs w:val="32"/>
          <w:lang w:eastAsia="zh-CN"/>
        </w:rPr>
        <w:t>202</w:t>
      </w:r>
      <w:r>
        <w:rPr>
          <w:rFonts w:hint="eastAsia" w:ascii="宋体" w:hAnsi="宋体" w:cs="宋体"/>
          <w:bCs/>
          <w:sz w:val="32"/>
          <w:szCs w:val="32"/>
          <w:lang w:val="en-US" w:eastAsia="zh-CN"/>
        </w:rPr>
        <w:t>4</w:t>
      </w:r>
      <w:r>
        <w:rPr>
          <w:rFonts w:hint="eastAsia" w:ascii="宋体" w:hAnsi="宋体" w:cs="宋体"/>
          <w:bCs/>
          <w:sz w:val="32"/>
          <w:szCs w:val="32"/>
          <w:lang w:eastAsia="zh-CN"/>
        </w:rPr>
        <w:t>年</w:t>
      </w:r>
      <w:r>
        <w:rPr>
          <w:rFonts w:hint="eastAsia" w:ascii="宋体" w:hAnsi="宋体" w:cs="宋体"/>
          <w:bCs/>
          <w:sz w:val="32"/>
          <w:szCs w:val="32"/>
          <w:lang w:val="en-US" w:eastAsia="zh-CN"/>
        </w:rPr>
        <w:t>05</w:t>
      </w:r>
      <w:r>
        <w:rPr>
          <w:rFonts w:hint="eastAsia" w:ascii="宋体" w:hAnsi="宋体" w:cs="宋体"/>
          <w:bCs/>
          <w:sz w:val="32"/>
          <w:szCs w:val="32"/>
          <w:lang w:eastAsia="zh-CN"/>
        </w:rPr>
        <w:t>月</w:t>
      </w:r>
      <w:bookmarkStart w:id="395" w:name="_GoBack"/>
      <w:bookmarkEnd w:id="395"/>
    </w:p>
    <w:p>
      <w:pPr>
        <w:rPr>
          <w:rFonts w:ascii="宋体" w:hAnsi="宋体" w:cs="宋体"/>
          <w:sz w:val="32"/>
          <w:szCs w:val="32"/>
        </w:rPr>
      </w:pPr>
    </w:p>
    <w:p>
      <w:pPr>
        <w:rPr>
          <w:rFonts w:ascii="宋体" w:hAnsi="宋体" w:cs="宋体"/>
          <w:bCs/>
          <w:sz w:val="32"/>
          <w:szCs w:val="32"/>
        </w:rPr>
      </w:pPr>
    </w:p>
    <w:p>
      <w:pPr>
        <w:spacing w:line="360" w:lineRule="auto"/>
        <w:rPr>
          <w:rFonts w:ascii="宋体" w:hAnsi="宋体" w:cs="宋体"/>
          <w:b/>
          <w:sz w:val="48"/>
          <w:szCs w:val="48"/>
        </w:rPr>
      </w:pPr>
    </w:p>
    <w:p>
      <w:pPr>
        <w:pStyle w:val="8"/>
        <w:sectPr>
          <w:headerReference r:id="rId4" w:type="first"/>
          <w:footerReference r:id="rId6" w:type="first"/>
          <w:headerReference r:id="rId3" w:type="default"/>
          <w:footerReference r:id="rId5" w:type="default"/>
          <w:pgSz w:w="11906" w:h="16838"/>
          <w:pgMar w:top="1440" w:right="1418" w:bottom="1440" w:left="1418" w:header="851" w:footer="992" w:gutter="0"/>
          <w:pgBorders>
            <w:top w:val="none" w:sz="0" w:space="0"/>
            <w:left w:val="none" w:sz="0" w:space="0"/>
            <w:bottom w:val="none" w:sz="0" w:space="0"/>
            <w:right w:val="none" w:sz="0" w:space="0"/>
          </w:pgBorders>
          <w:pgNumType w:start="1"/>
          <w:cols w:space="0" w:num="1"/>
          <w:titlePg/>
          <w:docGrid w:linePitch="312" w:charSpace="0"/>
        </w:sectPr>
      </w:pPr>
    </w:p>
    <w:p/>
    <w:p>
      <w:pPr>
        <w:spacing w:line="360" w:lineRule="auto"/>
        <w:jc w:val="center"/>
        <w:rPr>
          <w:rFonts w:hint="eastAsia" w:ascii="宋体" w:hAnsi="宋体" w:cs="宋体"/>
          <w:b/>
          <w:sz w:val="48"/>
          <w:szCs w:val="48"/>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adjustRightInd/>
        <w:spacing w:line="360" w:lineRule="auto"/>
        <w:jc w:val="both"/>
        <w:outlineLvl w:val="0"/>
        <w:rPr>
          <w:rFonts w:ascii="宋体" w:hAnsi="宋体" w:cs="宋体"/>
          <w:b/>
          <w:sz w:val="36"/>
          <w:szCs w:val="20"/>
        </w:rPr>
      </w:pPr>
      <w:bookmarkStart w:id="0" w:name="_Hlt74707423"/>
      <w:bookmarkEnd w:id="0"/>
      <w:bookmarkStart w:id="1" w:name="_Hlt74729822"/>
      <w:bookmarkEnd w:id="1"/>
      <w:bookmarkStart w:id="2" w:name="_Hlt74649545"/>
      <w:bookmarkEnd w:id="2"/>
      <w:bookmarkStart w:id="3" w:name="_Hlt74728647"/>
      <w:bookmarkEnd w:id="3"/>
      <w:bookmarkStart w:id="4" w:name="_Hlt91233176"/>
      <w:bookmarkEnd w:id="4"/>
      <w:bookmarkStart w:id="5" w:name="第二部分"/>
      <w:bookmarkStart w:id="6" w:name="_Toc91899870"/>
      <w:bookmarkStart w:id="7" w:name="_Toc91899871"/>
    </w:p>
    <w:p>
      <w:pPr>
        <w:pStyle w:val="12"/>
        <w:sectPr>
          <w:footerReference r:id="rId8" w:type="first"/>
          <w:footerReference r:id="rId7" w:type="default"/>
          <w:pgSz w:w="11906" w:h="16838"/>
          <w:pgMar w:top="1440" w:right="1418" w:bottom="1440" w:left="1418" w:header="851" w:footer="992" w:gutter="0"/>
          <w:pgBorders>
            <w:top w:val="none" w:sz="0" w:space="0"/>
            <w:left w:val="none" w:sz="0" w:space="0"/>
            <w:bottom w:val="none" w:sz="0" w:space="0"/>
            <w:right w:val="none" w:sz="0" w:space="0"/>
          </w:pgBorders>
          <w:pgNumType w:start="1"/>
          <w:cols w:space="0" w:num="1"/>
          <w:titlePg/>
          <w:docGrid w:linePitch="312" w:charSpace="0"/>
        </w:sectPr>
      </w:pP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pacing w:line="440" w:lineRule="exact"/>
        <w:ind w:firstLine="480" w:firstLineChars="200"/>
        <w:textAlignment w:val="auto"/>
        <w:rPr>
          <w:rFonts w:ascii="宋体" w:hAnsi="宋体" w:cs="宋体"/>
          <w:sz w:val="24"/>
          <w:u w:val="single"/>
        </w:rPr>
      </w:pPr>
      <w:r>
        <w:rPr>
          <w:rFonts w:hint="eastAsia" w:ascii="宋体" w:hAnsi="宋体" w:cs="宋体"/>
          <w:sz w:val="24"/>
          <w:u w:val="single"/>
          <w:lang w:eastAsia="zh-CN"/>
        </w:rPr>
        <w:t>桐庐县房地产管理处（直管公房、保障性住房及房改房）日常零星维修项目</w:t>
      </w:r>
      <w:r>
        <w:rPr>
          <w:rFonts w:hint="eastAsia" w:ascii="宋体" w:hAnsi="宋体" w:cs="宋体"/>
          <w:sz w:val="24"/>
        </w:rPr>
        <w:t>的潜在投标人应在政采云平台（</w:t>
      </w:r>
      <w:r>
        <w:fldChar w:fldCharType="begin"/>
      </w:r>
      <w:r>
        <w:instrText xml:space="preserve"> HYPERLINK "https://www.zcygov.cn/）获取（下载）招标文件，并于2022年%20%20%20月%20%20%20日%20点%20分" </w:instrText>
      </w:r>
      <w:r>
        <w:fldChar w:fldCharType="separate"/>
      </w:r>
      <w:r>
        <w:rPr>
          <w:rStyle w:val="21"/>
          <w:rFonts w:hint="eastAsia" w:ascii="宋体" w:hAnsi="宋体" w:eastAsia="宋体" w:cs="宋体"/>
          <w:snapToGrid/>
          <w:kern w:val="2"/>
          <w:sz w:val="24"/>
          <w:szCs w:val="24"/>
        </w:rPr>
        <w:t>https://www.zcygov.cn/）获取（下载）招标文件，并于</w:t>
      </w:r>
      <w:r>
        <w:rPr>
          <w:rFonts w:hint="eastAsia" w:cs="宋体" w:asciiTheme="minorEastAsia" w:hAnsiTheme="minorEastAsia" w:eastAsiaTheme="minorEastAsia"/>
          <w:sz w:val="24"/>
          <w:highlight w:val="yellow"/>
          <w:u w:val="single"/>
          <w:lang w:eastAsia="zh-CN"/>
        </w:rPr>
        <w:t>2024年0</w:t>
      </w:r>
      <w:r>
        <w:rPr>
          <w:rFonts w:hint="eastAsia" w:cs="宋体" w:asciiTheme="minorEastAsia" w:hAnsiTheme="minorEastAsia" w:eastAsiaTheme="minorEastAsia"/>
          <w:sz w:val="24"/>
          <w:highlight w:val="yellow"/>
          <w:u w:val="single"/>
          <w:lang w:val="en-US" w:eastAsia="zh-CN"/>
        </w:rPr>
        <w:t>6</w:t>
      </w:r>
      <w:r>
        <w:rPr>
          <w:rFonts w:hint="eastAsia" w:cs="宋体" w:asciiTheme="minorEastAsia" w:hAnsiTheme="minorEastAsia" w:eastAsiaTheme="minorEastAsia"/>
          <w:sz w:val="24"/>
          <w:highlight w:val="yellow"/>
          <w:u w:val="single"/>
          <w:lang w:eastAsia="zh-CN"/>
        </w:rPr>
        <w:t>月</w:t>
      </w:r>
      <w:r>
        <w:rPr>
          <w:rFonts w:hint="eastAsia" w:cs="宋体" w:asciiTheme="minorEastAsia" w:hAnsiTheme="minorEastAsia" w:eastAsiaTheme="minorEastAsia"/>
          <w:sz w:val="24"/>
          <w:highlight w:val="yellow"/>
          <w:u w:val="single"/>
          <w:lang w:val="en-US" w:eastAsia="zh-CN"/>
        </w:rPr>
        <w:t>19</w:t>
      </w:r>
      <w:r>
        <w:rPr>
          <w:rFonts w:hint="eastAsia" w:cs="宋体" w:asciiTheme="minorEastAsia" w:hAnsiTheme="minorEastAsia" w:eastAsiaTheme="minorEastAsia"/>
          <w:sz w:val="24"/>
          <w:highlight w:val="yellow"/>
          <w:u w:val="single"/>
          <w:lang w:eastAsia="zh-CN"/>
        </w:rPr>
        <w:t>日</w:t>
      </w:r>
      <w:r>
        <w:rPr>
          <w:rFonts w:hint="eastAsia" w:cs="宋体" w:asciiTheme="minorEastAsia" w:hAnsiTheme="minorEastAsia" w:eastAsiaTheme="minorEastAsia"/>
          <w:sz w:val="24"/>
          <w:highlight w:val="yellow"/>
          <w:u w:val="single"/>
          <w:lang w:val="en-US" w:eastAsia="zh-CN"/>
        </w:rPr>
        <w:t>09</w:t>
      </w:r>
      <w:r>
        <w:rPr>
          <w:rFonts w:hint="eastAsia" w:cs="宋体" w:asciiTheme="minorEastAsia" w:hAnsiTheme="minorEastAsia" w:eastAsiaTheme="minorEastAsia"/>
          <w:sz w:val="24"/>
          <w:highlight w:val="yellow"/>
          <w:u w:val="single"/>
          <w:lang w:eastAsia="zh-CN"/>
        </w:rPr>
        <w:t>点</w:t>
      </w:r>
      <w:r>
        <w:rPr>
          <w:rFonts w:hint="eastAsia" w:cs="宋体" w:asciiTheme="minorEastAsia" w:hAnsiTheme="minorEastAsia" w:eastAsiaTheme="minorEastAsia"/>
          <w:sz w:val="24"/>
          <w:highlight w:val="yellow"/>
          <w:u w:val="single"/>
          <w:lang w:val="en-US" w:eastAsia="zh-CN"/>
        </w:rPr>
        <w:t>30</w:t>
      </w:r>
      <w:r>
        <w:rPr>
          <w:rFonts w:hint="eastAsia" w:cs="宋体" w:asciiTheme="minorEastAsia" w:hAnsiTheme="minorEastAsia" w:eastAsiaTheme="minorEastAsia"/>
          <w:sz w:val="24"/>
          <w:highlight w:val="yellow"/>
          <w:u w:val="single"/>
          <w:lang w:eastAsia="zh-CN"/>
        </w:rPr>
        <w:t>分</w:t>
      </w:r>
      <w:r>
        <w:rPr>
          <w:rStyle w:val="21"/>
          <w:rFonts w:hint="eastAsia" w:ascii="宋体" w:hAnsi="宋体" w:eastAsia="宋体" w:cs="宋体"/>
          <w:snapToGrid/>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b/>
          <w:sz w:val="24"/>
        </w:rPr>
      </w:pPr>
      <w:r>
        <w:rPr>
          <w:rFonts w:hint="eastAsia" w:ascii="宋体" w:hAnsi="宋体" w:cs="宋体"/>
          <w:b/>
          <w:sz w:val="24"/>
        </w:rPr>
        <w:t xml:space="preserve">一、项目基本情况                                            </w:t>
      </w:r>
    </w:p>
    <w:p>
      <w:pPr>
        <w:keepNext w:val="0"/>
        <w:keepLines w:val="0"/>
        <w:pageBreakBefore w:val="0"/>
        <w:kinsoku/>
        <w:wordWrap/>
        <w:overflowPunct/>
        <w:topLinePunct w:val="0"/>
        <w:autoSpaceDE/>
        <w:autoSpaceDN/>
        <w:bidi w:val="0"/>
        <w:adjustRightInd w:val="0"/>
        <w:spacing w:line="440" w:lineRule="exact"/>
        <w:ind w:firstLine="472" w:firstLineChars="196"/>
        <w:textAlignment w:val="auto"/>
        <w:rPr>
          <w:rFonts w:hint="eastAsia" w:ascii="宋体" w:hAnsi="宋体" w:eastAsia="宋体" w:cs="宋体"/>
          <w:sz w:val="24"/>
          <w:lang w:eastAsia="zh-CN"/>
        </w:rPr>
      </w:pPr>
      <w:r>
        <w:rPr>
          <w:rFonts w:hint="eastAsia" w:ascii="宋体" w:hAnsi="宋体" w:cs="宋体"/>
          <w:b/>
          <w:sz w:val="24"/>
        </w:rPr>
        <w:t>项目编号：</w:t>
      </w:r>
      <w:r>
        <w:rPr>
          <w:rFonts w:hint="eastAsia" w:ascii="宋体" w:hAnsi="宋体" w:cs="宋体"/>
          <w:sz w:val="24"/>
          <w:lang w:eastAsia="zh-CN"/>
        </w:rPr>
        <w:t>HZLKTLCG-2024-02</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b/>
          <w:sz w:val="24"/>
        </w:rPr>
        <w:t xml:space="preserve">    项目名称：</w:t>
      </w:r>
      <w:r>
        <w:rPr>
          <w:rFonts w:hint="eastAsia" w:ascii="宋体" w:hAnsi="宋体" w:cs="宋体"/>
          <w:sz w:val="24"/>
          <w:lang w:eastAsia="zh-CN"/>
        </w:rPr>
        <w:t>桐庐县房地产管理处（直管公房、保障性住房及房改房）日常零星维修项目</w:t>
      </w:r>
    </w:p>
    <w:p>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lang w:eastAsia="zh-CN"/>
        </w:rPr>
      </w:pPr>
      <w:r>
        <w:rPr>
          <w:rFonts w:hint="eastAsia" w:ascii="宋体" w:hAnsi="宋体" w:cs="宋体"/>
          <w:b/>
          <w:sz w:val="24"/>
        </w:rPr>
        <w:t xml:space="preserve">    预算金额（元）：</w:t>
      </w:r>
      <w:r>
        <w:rPr>
          <w:rFonts w:hint="eastAsia" w:ascii="宋体" w:hAnsi="宋体" w:cs="宋体"/>
          <w:sz w:val="24"/>
          <w:lang w:eastAsia="zh-CN"/>
        </w:rPr>
        <w:t>1400000</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default" w:ascii="宋体" w:hAnsi="宋体" w:eastAsia="宋体" w:cs="宋体"/>
          <w:sz w:val="24"/>
          <w:lang w:val="en-US" w:eastAsia="zh-CN"/>
        </w:rPr>
      </w:pPr>
      <w:r>
        <w:rPr>
          <w:rFonts w:hint="eastAsia" w:ascii="宋体" w:hAnsi="宋体" w:cs="宋体"/>
          <w:b/>
          <w:sz w:val="24"/>
        </w:rPr>
        <w:t>最高限价（折扣系数）：</w:t>
      </w:r>
      <w:r>
        <w:rPr>
          <w:rFonts w:hint="eastAsia" w:ascii="宋体" w:hAnsi="宋体" w:cs="宋体"/>
          <w:sz w:val="24"/>
          <w:lang w:val="en-US" w:eastAsia="zh-CN"/>
        </w:rPr>
        <w:t>100%</w:t>
      </w:r>
    </w:p>
    <w:p>
      <w:pPr>
        <w:pStyle w:val="5"/>
        <w:keepNext w:val="0"/>
        <w:keepLines w:val="0"/>
        <w:pageBreakBefore w:val="0"/>
        <w:kinsoku/>
        <w:wordWrap/>
        <w:overflowPunct/>
        <w:topLinePunct w:val="0"/>
        <w:autoSpaceDE/>
        <w:autoSpaceDN/>
        <w:bidi w:val="0"/>
        <w:adjustRightInd w:val="0"/>
        <w:spacing w:line="440" w:lineRule="exact"/>
        <w:ind w:firstLine="480"/>
        <w:textAlignment w:val="auto"/>
        <w:rPr>
          <w:rFonts w:hint="eastAsia" w:hAnsi="宋体" w:cs="宋体"/>
          <w:b/>
          <w:color w:val="auto"/>
          <w:sz w:val="24"/>
        </w:rPr>
      </w:pPr>
      <w:r>
        <w:rPr>
          <w:rFonts w:hint="eastAsia" w:hAnsi="宋体" w:cs="宋体"/>
          <w:b/>
          <w:color w:val="auto"/>
          <w:sz w:val="24"/>
        </w:rPr>
        <w:t>采购需求：</w:t>
      </w:r>
    </w:p>
    <w:tbl>
      <w:tblPr>
        <w:tblStyle w:val="17"/>
        <w:tblpPr w:leftFromText="180" w:rightFromText="180" w:vertAnchor="text" w:horzAnchor="page" w:tblpXSpec="center" w:tblpY="218"/>
        <w:tblOverlap w:val="never"/>
        <w:tblW w:w="10643" w:type="dxa"/>
        <w:jc w:val="center"/>
        <w:tblLayout w:type="fixed"/>
        <w:tblCellMar>
          <w:top w:w="0" w:type="dxa"/>
          <w:left w:w="0" w:type="dxa"/>
          <w:bottom w:w="0" w:type="dxa"/>
          <w:right w:w="0" w:type="dxa"/>
        </w:tblCellMar>
      </w:tblPr>
      <w:tblGrid>
        <w:gridCol w:w="766"/>
        <w:gridCol w:w="2886"/>
        <w:gridCol w:w="4377"/>
        <w:gridCol w:w="1462"/>
        <w:gridCol w:w="1152"/>
      </w:tblGrid>
      <w:tr>
        <w:tblPrEx>
          <w:tblCellMar>
            <w:top w:w="0" w:type="dxa"/>
            <w:left w:w="0" w:type="dxa"/>
            <w:bottom w:w="0" w:type="dxa"/>
            <w:right w:w="0" w:type="dxa"/>
          </w:tblCellMar>
        </w:tblPrEx>
        <w:trPr>
          <w:trHeight w:val="836" w:hRule="exact"/>
          <w:jc w:val="center"/>
        </w:trPr>
        <w:tc>
          <w:tcPr>
            <w:tcW w:w="766" w:type="dxa"/>
            <w:tcBorders>
              <w:top w:val="single" w:color="auto" w:sz="4" w:space="0"/>
              <w:left w:val="single" w:color="auto" w:sz="4" w:space="0"/>
              <w:bottom w:val="nil"/>
              <w:right w:val="nil"/>
            </w:tcBorders>
            <w:shd w:val="clear" w:color="auto" w:fill="FFFFFF"/>
            <w:noWrap w:val="0"/>
            <w:vAlign w:val="bottom"/>
          </w:tcPr>
          <w:p>
            <w:pPr>
              <w:keepNext w:val="0"/>
              <w:keepLines w:val="0"/>
              <w:pageBreakBefore w:val="0"/>
              <w:shd w:val="clear" w:color="auto" w:fill="FFFFFF"/>
              <w:kinsoku/>
              <w:wordWrap/>
              <w:overflowPunct/>
              <w:topLinePunct w:val="0"/>
              <w:autoSpaceDE/>
              <w:autoSpaceDN/>
              <w:bidi w:val="0"/>
              <w:adjustRightInd w:val="0"/>
              <w:spacing w:after="180" w:line="440" w:lineRule="exact"/>
              <w:jc w:val="center"/>
              <w:textAlignment w:val="auto"/>
              <w:rPr>
                <w:rFonts w:ascii="宋体" w:hAnsi="宋体" w:cs="宋体"/>
                <w:sz w:val="24"/>
              </w:rPr>
            </w:pPr>
            <w:r>
              <w:rPr>
                <w:rFonts w:ascii="宋体" w:hAnsi="宋体" w:cs="宋体"/>
                <w:sz w:val="24"/>
              </w:rPr>
              <w:t>标项</w:t>
            </w:r>
          </w:p>
        </w:tc>
        <w:tc>
          <w:tcPr>
            <w:tcW w:w="2886" w:type="dxa"/>
            <w:tcBorders>
              <w:top w:val="single" w:color="auto" w:sz="4" w:space="0"/>
              <w:left w:val="single" w:color="auto" w:sz="4" w:space="0"/>
              <w:bottom w:val="nil"/>
              <w:right w:val="nil"/>
            </w:tcBorders>
            <w:shd w:val="clear" w:color="auto" w:fill="FFFFFF"/>
            <w:noWrap w:val="0"/>
            <w:vAlign w:val="center"/>
          </w:tcPr>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rPr>
            </w:pPr>
            <w:r>
              <w:rPr>
                <w:rFonts w:ascii="宋体" w:hAnsi="宋体" w:cs="宋体"/>
                <w:sz w:val="24"/>
              </w:rPr>
              <w:t>标项名称</w:t>
            </w:r>
          </w:p>
        </w:tc>
        <w:tc>
          <w:tcPr>
            <w:tcW w:w="4377" w:type="dxa"/>
            <w:tcBorders>
              <w:top w:val="single" w:color="auto" w:sz="4" w:space="0"/>
              <w:left w:val="single" w:color="auto" w:sz="4" w:space="0"/>
              <w:bottom w:val="nil"/>
              <w:right w:val="nil"/>
            </w:tcBorders>
            <w:shd w:val="clear" w:color="auto" w:fill="FFFFFF"/>
            <w:noWrap w:val="0"/>
            <w:vAlign w:val="center"/>
          </w:tcPr>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rPr>
            </w:pPr>
            <w:r>
              <w:rPr>
                <w:rFonts w:ascii="宋体" w:hAnsi="宋体" w:cs="宋体"/>
                <w:sz w:val="24"/>
              </w:rPr>
              <w:t>采购内容</w:t>
            </w:r>
          </w:p>
        </w:tc>
        <w:tc>
          <w:tcPr>
            <w:tcW w:w="1462" w:type="dxa"/>
            <w:tcBorders>
              <w:top w:val="single" w:color="auto" w:sz="4" w:space="0"/>
              <w:left w:val="single" w:color="auto" w:sz="4" w:space="0"/>
              <w:bottom w:val="nil"/>
              <w:right w:val="nil"/>
            </w:tcBorders>
            <w:shd w:val="clear" w:color="auto" w:fill="FFFFFF"/>
            <w:noWrap w:val="0"/>
            <w:vAlign w:val="center"/>
          </w:tcPr>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rPr>
            </w:pPr>
            <w:r>
              <w:rPr>
                <w:rFonts w:ascii="宋体" w:hAnsi="宋体" w:cs="宋体"/>
                <w:sz w:val="24"/>
              </w:rPr>
              <w:t>最高限价</w:t>
            </w:r>
          </w:p>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rPr>
            </w:pPr>
            <w:r>
              <w:rPr>
                <w:rFonts w:ascii="宋体" w:hAnsi="宋体" w:cs="宋体"/>
                <w:sz w:val="24"/>
              </w:rPr>
              <w:t>（折扣</w:t>
            </w:r>
            <w:r>
              <w:rPr>
                <w:rFonts w:hint="eastAsia" w:ascii="宋体" w:hAnsi="宋体" w:cs="宋体"/>
                <w:sz w:val="24"/>
                <w:lang w:eastAsia="zh-CN"/>
              </w:rPr>
              <w:t>系数</w:t>
            </w:r>
            <w:r>
              <w:rPr>
                <w:rFonts w:ascii="宋体" w:hAnsi="宋体" w:cs="宋体"/>
                <w:sz w:val="24"/>
              </w:rPr>
              <w:t xml:space="preserve">）            </w:t>
            </w:r>
          </w:p>
        </w:tc>
        <w:tc>
          <w:tcPr>
            <w:tcW w:w="1152" w:type="dxa"/>
            <w:tcBorders>
              <w:top w:val="single" w:color="auto" w:sz="4" w:space="0"/>
              <w:left w:val="single" w:color="auto" w:sz="4" w:space="0"/>
              <w:bottom w:val="nil"/>
              <w:right w:val="single" w:color="auto" w:sz="4" w:space="0"/>
            </w:tcBorders>
            <w:shd w:val="clear" w:color="auto" w:fill="FFFFFF"/>
            <w:noWrap w:val="0"/>
            <w:vAlign w:val="top"/>
          </w:tcPr>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eastAsia="宋体" w:cs="宋体"/>
                <w:sz w:val="24"/>
              </w:rPr>
            </w:pPr>
            <w:r>
              <w:rPr>
                <w:rFonts w:ascii="宋体" w:hAnsi="宋体" w:eastAsia="宋体" w:cs="宋体"/>
                <w:sz w:val="24"/>
              </w:rPr>
              <w:t>预算价</w:t>
            </w:r>
          </w:p>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vertAlign w:val="superscript"/>
              </w:rPr>
            </w:pPr>
            <w:r>
              <w:rPr>
                <w:rFonts w:ascii="宋体" w:hAnsi="宋体" w:eastAsia="宋体" w:cs="宋体"/>
                <w:sz w:val="24"/>
              </w:rPr>
              <w:t>（万元）</w:t>
            </w:r>
          </w:p>
        </w:tc>
      </w:tr>
      <w:tr>
        <w:tblPrEx>
          <w:tblCellMar>
            <w:top w:w="0" w:type="dxa"/>
            <w:left w:w="0" w:type="dxa"/>
            <w:bottom w:w="0" w:type="dxa"/>
            <w:right w:w="0" w:type="dxa"/>
          </w:tblCellMar>
        </w:tblPrEx>
        <w:trPr>
          <w:trHeight w:val="1961" w:hRule="exact"/>
          <w:jc w:val="center"/>
        </w:trPr>
        <w:tc>
          <w:tcPr>
            <w:tcW w:w="766" w:type="dxa"/>
            <w:tcBorders>
              <w:top w:val="single" w:color="auto" w:sz="4" w:space="0"/>
              <w:left w:val="single" w:color="auto" w:sz="4" w:space="0"/>
              <w:bottom w:val="single" w:color="auto" w:sz="4" w:space="0"/>
              <w:right w:val="nil"/>
            </w:tcBorders>
            <w:shd w:val="clear" w:color="auto" w:fill="FFFFFF"/>
            <w:noWrap w:val="0"/>
            <w:vAlign w:val="center"/>
          </w:tcPr>
          <w:p>
            <w:pPr>
              <w:keepNext w:val="0"/>
              <w:keepLines w:val="0"/>
              <w:pageBreakBefore w:val="0"/>
              <w:shd w:val="clear" w:color="auto" w:fill="FFFFFF"/>
              <w:kinsoku/>
              <w:wordWrap/>
              <w:overflowPunct/>
              <w:topLinePunct w:val="0"/>
              <w:autoSpaceDE/>
              <w:autoSpaceDN/>
              <w:bidi w:val="0"/>
              <w:adjustRightInd w:val="0"/>
              <w:spacing w:line="440" w:lineRule="exact"/>
              <w:ind w:left="260"/>
              <w:jc w:val="left"/>
              <w:textAlignment w:val="auto"/>
              <w:rPr>
                <w:rFonts w:ascii="宋体" w:hAnsi="宋体" w:cs="宋体"/>
                <w:sz w:val="24"/>
              </w:rPr>
            </w:pPr>
            <w:r>
              <w:rPr>
                <w:rFonts w:ascii="宋体" w:hAnsi="宋体" w:cs="宋体"/>
                <w:sz w:val="24"/>
              </w:rPr>
              <w:t>1</w:t>
            </w:r>
          </w:p>
        </w:tc>
        <w:tc>
          <w:tcPr>
            <w:tcW w:w="2886" w:type="dxa"/>
            <w:tcBorders>
              <w:top w:val="single" w:color="auto" w:sz="4" w:space="0"/>
              <w:left w:val="single" w:color="auto" w:sz="4" w:space="0"/>
              <w:bottom w:val="single" w:color="auto" w:sz="4" w:space="0"/>
              <w:right w:val="nil"/>
            </w:tcBorders>
            <w:shd w:val="clear" w:color="auto" w:fill="FFFFFF"/>
            <w:noWrap w:val="0"/>
            <w:vAlign w:val="center"/>
          </w:tcPr>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rPr>
            </w:pPr>
            <w:r>
              <w:rPr>
                <w:rFonts w:hint="eastAsia" w:ascii="宋体" w:hAnsi="宋体" w:cs="宋体"/>
                <w:sz w:val="24"/>
              </w:rPr>
              <w:t>桐庐县房地产管理处（直管公房、保障性住房及房改房）日常零星维修项目</w:t>
            </w:r>
          </w:p>
        </w:tc>
        <w:tc>
          <w:tcPr>
            <w:tcW w:w="4377" w:type="dxa"/>
            <w:tcBorders>
              <w:top w:val="single" w:color="auto" w:sz="4" w:space="0"/>
              <w:left w:val="single" w:color="auto" w:sz="4" w:space="0"/>
              <w:bottom w:val="single" w:color="auto" w:sz="4" w:space="0"/>
              <w:right w:val="nil"/>
            </w:tcBorders>
            <w:shd w:val="clear" w:color="auto" w:fill="FFFFFF"/>
            <w:noWrap w:val="0"/>
            <w:vAlign w:val="bottom"/>
          </w:tcPr>
          <w:p>
            <w:pPr>
              <w:keepNext w:val="0"/>
              <w:keepLines w:val="0"/>
              <w:pageBreakBefore w:val="0"/>
              <w:shd w:val="clear" w:color="auto" w:fill="FFFFFF"/>
              <w:kinsoku/>
              <w:wordWrap/>
              <w:overflowPunct/>
              <w:topLinePunct w:val="0"/>
              <w:autoSpaceDE/>
              <w:autoSpaceDN/>
              <w:bidi w:val="0"/>
              <w:adjustRightInd w:val="0"/>
              <w:spacing w:line="440" w:lineRule="exact"/>
              <w:jc w:val="both"/>
              <w:textAlignment w:val="auto"/>
              <w:rPr>
                <w:rFonts w:ascii="宋体" w:hAnsi="宋体" w:cs="宋体"/>
                <w:sz w:val="24"/>
              </w:rPr>
            </w:pPr>
            <w:r>
              <w:rPr>
                <w:rFonts w:ascii="宋体" w:hAnsi="宋体" w:cs="宋体"/>
                <w:sz w:val="24"/>
              </w:rPr>
              <w:t>桐庐县直管公房、保障性住房及房改房的日常房屋修补、楼道粉刷、地面修补、下水管道更换、屋顶及地下室防水治理、装修维修等零星维修</w:t>
            </w:r>
          </w:p>
        </w:tc>
        <w:tc>
          <w:tcPr>
            <w:tcW w:w="1462" w:type="dxa"/>
            <w:tcBorders>
              <w:top w:val="single" w:color="auto" w:sz="4" w:space="0"/>
              <w:left w:val="single" w:color="auto" w:sz="4" w:space="0"/>
              <w:bottom w:val="single" w:color="auto" w:sz="4" w:space="0"/>
              <w:right w:val="nil"/>
            </w:tcBorders>
            <w:shd w:val="clear" w:color="auto" w:fill="FFFFFF"/>
            <w:noWrap w:val="0"/>
            <w:vAlign w:val="center"/>
          </w:tcPr>
          <w:p>
            <w:pPr>
              <w:keepNext w:val="0"/>
              <w:keepLines w:val="0"/>
              <w:pageBreakBefore w:val="0"/>
              <w:shd w:val="clear" w:color="auto" w:fill="FFFFFF"/>
              <w:kinsoku/>
              <w:wordWrap/>
              <w:overflowPunct/>
              <w:topLinePunct w:val="0"/>
              <w:autoSpaceDE/>
              <w:autoSpaceDN/>
              <w:bidi w:val="0"/>
              <w:adjustRightInd w:val="0"/>
              <w:spacing w:line="440" w:lineRule="exact"/>
              <w:jc w:val="center"/>
              <w:textAlignment w:val="auto"/>
              <w:rPr>
                <w:rFonts w:ascii="宋体" w:hAnsi="宋体" w:cs="宋体"/>
                <w:sz w:val="24"/>
              </w:rPr>
            </w:pPr>
            <w:r>
              <w:rPr>
                <w:rFonts w:ascii="宋体" w:hAnsi="宋体" w:cs="宋体"/>
                <w:sz w:val="24"/>
              </w:rPr>
              <w:t>100%</w:t>
            </w:r>
          </w:p>
        </w:tc>
        <w:tc>
          <w:tcPr>
            <w:tcW w:w="115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pacing w:line="440" w:lineRule="exact"/>
              <w:jc w:val="center"/>
              <w:textAlignment w:val="auto"/>
              <w:rPr>
                <w:rFonts w:hint="default" w:ascii="宋体" w:hAnsi="宋体" w:eastAsia="宋体" w:cs="宋体"/>
                <w:lang w:val="en-US" w:eastAsia="zh-CN"/>
              </w:rPr>
            </w:pPr>
            <w:r>
              <w:rPr>
                <w:rFonts w:hint="eastAsia" w:ascii="宋体" w:hAnsi="宋体" w:cs="宋体"/>
                <w:sz w:val="24"/>
                <w:lang w:val="en-US" w:eastAsia="zh-CN"/>
              </w:rPr>
              <w:t>140</w:t>
            </w:r>
          </w:p>
        </w:tc>
      </w:tr>
    </w:tbl>
    <w:p>
      <w:pPr>
        <w:pStyle w:val="5"/>
        <w:keepNext w:val="0"/>
        <w:keepLines w:val="0"/>
        <w:pageBreakBefore w:val="0"/>
        <w:kinsoku/>
        <w:wordWrap/>
        <w:overflowPunct/>
        <w:topLinePunct w:val="0"/>
        <w:autoSpaceDE/>
        <w:autoSpaceDN/>
        <w:bidi w:val="0"/>
        <w:adjustRightInd w:val="0"/>
        <w:spacing w:line="440" w:lineRule="exact"/>
        <w:ind w:firstLine="480"/>
        <w:textAlignment w:val="auto"/>
        <w:rPr>
          <w:rFonts w:hint="eastAsia" w:hAnsi="宋体" w:cs="宋体"/>
          <w:b/>
          <w:color w:val="auto"/>
          <w:sz w:val="24"/>
        </w:rPr>
      </w:pPr>
      <w:r>
        <w:rPr>
          <w:rFonts w:hint="eastAsia" w:hAnsi="宋体" w:cs="宋体"/>
          <w:b/>
          <w:color w:val="auto"/>
          <w:sz w:val="24"/>
        </w:rPr>
        <w:t>合同履约期限：</w:t>
      </w:r>
    </w:p>
    <w:p>
      <w:pPr>
        <w:pStyle w:val="5"/>
        <w:keepNext w:val="0"/>
        <w:keepLines w:val="0"/>
        <w:pageBreakBefore w:val="0"/>
        <w:numPr>
          <w:ilvl w:val="0"/>
          <w:numId w:val="1"/>
        </w:numPr>
        <w:kinsoku/>
        <w:wordWrap/>
        <w:overflowPunct/>
        <w:topLinePunct w:val="0"/>
        <w:autoSpaceDE/>
        <w:autoSpaceDN/>
        <w:bidi w:val="0"/>
        <w:adjustRightInd w:val="0"/>
        <w:spacing w:line="440" w:lineRule="exact"/>
        <w:ind w:firstLine="480"/>
        <w:textAlignment w:val="auto"/>
        <w:rPr>
          <w:rFonts w:hint="eastAsia" w:cs="宋体" w:asciiTheme="minorEastAsia" w:hAnsiTheme="minorEastAsia" w:eastAsiaTheme="minorEastAsia"/>
          <w:bCs/>
          <w:color w:val="auto"/>
          <w:sz w:val="24"/>
          <w:lang w:val="en-US" w:eastAsia="zh-CN"/>
        </w:rPr>
      </w:pPr>
      <w:r>
        <w:rPr>
          <w:rFonts w:hint="eastAsia" w:cs="宋体" w:asciiTheme="minorEastAsia" w:hAnsiTheme="minorEastAsia" w:eastAsiaTheme="minorEastAsia"/>
          <w:bCs/>
          <w:color w:val="auto"/>
          <w:sz w:val="24"/>
          <w:lang w:val="en-US" w:eastAsia="zh-CN"/>
        </w:rPr>
        <w:t>自合同签订起一年，或履约期限内工程量按实结算，最高不超过140万元（房改房维修工程费用不计入本合同份额）。年度合同期满后，采购人根据合同履行情况可选择与中标供应商续签一年合同，且合同价款不予调整（按中标价）。</w:t>
      </w:r>
    </w:p>
    <w:p>
      <w:pPr>
        <w:pStyle w:val="5"/>
        <w:keepNext w:val="0"/>
        <w:keepLines w:val="0"/>
        <w:pageBreakBefore w:val="0"/>
        <w:numPr>
          <w:ilvl w:val="0"/>
          <w:numId w:val="0"/>
        </w:numPr>
        <w:kinsoku/>
        <w:wordWrap/>
        <w:overflowPunct/>
        <w:topLinePunct w:val="0"/>
        <w:autoSpaceDE/>
        <w:autoSpaceDN/>
        <w:bidi w:val="0"/>
        <w:adjustRightInd w:val="0"/>
        <w:spacing w:line="440" w:lineRule="exact"/>
        <w:ind w:firstLine="480" w:firstLineChars="200"/>
        <w:textAlignment w:val="auto"/>
        <w:rPr>
          <w:rFonts w:hint="eastAsia" w:cs="宋体" w:asciiTheme="minorEastAsia" w:hAnsiTheme="minorEastAsia" w:eastAsiaTheme="minorEastAsia"/>
          <w:bCs/>
          <w:color w:val="auto"/>
          <w:sz w:val="24"/>
          <w:lang w:val="en-US" w:eastAsia="zh-CN"/>
        </w:rPr>
      </w:pPr>
      <w:r>
        <w:rPr>
          <w:rFonts w:hint="eastAsia" w:cs="宋体" w:asciiTheme="minorEastAsia" w:hAnsiTheme="minorEastAsia" w:eastAsiaTheme="minorEastAsia"/>
          <w:bCs/>
          <w:color w:val="auto"/>
          <w:sz w:val="24"/>
          <w:lang w:val="en-US" w:eastAsia="zh-CN"/>
        </w:rPr>
        <w:t>2、本次招标预算金额为一年零星维修费用。</w:t>
      </w:r>
    </w:p>
    <w:p>
      <w:pPr>
        <w:pStyle w:val="5"/>
        <w:keepNext w:val="0"/>
        <w:keepLines w:val="0"/>
        <w:pageBreakBefore w:val="0"/>
        <w:kinsoku/>
        <w:wordWrap/>
        <w:overflowPunct/>
        <w:topLinePunct w:val="0"/>
        <w:autoSpaceDE/>
        <w:autoSpaceDN/>
        <w:bidi w:val="0"/>
        <w:adjustRightInd w:val="0"/>
        <w:spacing w:line="440" w:lineRule="exact"/>
        <w:ind w:firstLine="480"/>
        <w:textAlignment w:val="auto"/>
        <w:rPr>
          <w:rFonts w:hint="default" w:cs="宋体" w:asciiTheme="minorEastAsia" w:hAnsiTheme="minorEastAsia" w:eastAsiaTheme="minorEastAsia"/>
          <w:bCs/>
          <w:color w:val="auto"/>
          <w:sz w:val="24"/>
          <w:lang w:val="en-US" w:eastAsia="zh-CN"/>
        </w:rPr>
      </w:pPr>
      <w:r>
        <w:rPr>
          <w:rFonts w:hint="eastAsia" w:cs="宋体" w:asciiTheme="minorEastAsia" w:hAnsiTheme="minorEastAsia" w:eastAsiaTheme="minorEastAsia"/>
          <w:bCs/>
          <w:color w:val="auto"/>
          <w:sz w:val="24"/>
          <w:lang w:val="en-US" w:eastAsia="zh-CN"/>
        </w:rPr>
        <w:t>3、一年合同期满因采购人未获得县财政预算批复，采购人应提前30天书面通知供应商，合同到期终止不再延续。</w:t>
      </w:r>
    </w:p>
    <w:p>
      <w:pPr>
        <w:pStyle w:val="5"/>
        <w:keepNext w:val="0"/>
        <w:keepLines w:val="0"/>
        <w:pageBreakBefore w:val="0"/>
        <w:kinsoku/>
        <w:wordWrap/>
        <w:overflowPunct/>
        <w:topLinePunct w:val="0"/>
        <w:autoSpaceDE/>
        <w:autoSpaceDN/>
        <w:bidi w:val="0"/>
        <w:adjustRightInd w:val="0"/>
        <w:spacing w:line="440" w:lineRule="exact"/>
        <w:ind w:firstLine="480"/>
        <w:textAlignment w:val="auto"/>
        <w:rPr>
          <w:rFonts w:hint="eastAsia" w:hAnsi="宋体" w:eastAsia="宋体" w:cs="宋体"/>
          <w:b/>
          <w:sz w:val="24"/>
          <w:lang w:eastAsia="zh-CN"/>
        </w:rPr>
      </w:pPr>
      <w:r>
        <w:rPr>
          <w:rFonts w:hint="eastAsia" w:hAnsi="宋体" w:cs="宋体"/>
          <w:b/>
          <w:color w:val="auto"/>
          <w:sz w:val="24"/>
        </w:rPr>
        <w:t>本项目接受联合体投标：</w:t>
      </w:r>
      <w:sdt>
        <w:sdtPr>
          <w:rPr>
            <w:rFonts w:hint="eastAsia" w:hAnsi="宋体" w:cs="宋体"/>
            <w:color w:val="auto"/>
            <w:kern w:val="0"/>
            <w:sz w:val="24"/>
          </w:rPr>
          <w:id w:val="2035453831"/>
        </w:sdtPr>
        <w:sdtEndPr>
          <w:rPr>
            <w:rFonts w:hint="eastAsia" w:hAnsi="宋体" w:cs="宋体"/>
            <w:color w:val="auto"/>
            <w:kern w:val="0"/>
            <w:sz w:val="24"/>
          </w:rPr>
        </w:sdtEndPr>
        <w:sdtContent>
          <w:sdt>
            <w:sdtPr>
              <w:rPr>
                <w:rFonts w:hint="eastAsia" w:hAnsi="宋体" w:cs="宋体"/>
                <w:sz w:val="24"/>
              </w:rPr>
              <w:id w:val="-668002043"/>
            </w:sdtPr>
            <w:sdtEndPr>
              <w:rPr>
                <w:rFonts w:hint="eastAsia" w:hAnsi="宋体" w:cs="宋体"/>
                <w:sz w:val="24"/>
              </w:rPr>
            </w:sdtEndPr>
            <w:sdtContent>
              <w:r>
                <w:rPr>
                  <w:rFonts w:hint="eastAsia" w:ascii="MS Gothic" w:hAnsi="MS Gothic" w:eastAsia="宋体" w:cs="宋体"/>
                  <w:snapToGrid w:val="0"/>
                  <w:color w:val="auto"/>
                  <w:kern w:val="0"/>
                  <w:sz w:val="24"/>
                  <w:szCs w:val="20"/>
                  <w:highlight w:val="none"/>
                  <w:lang w:val="en-US" w:eastAsia="zh-CN" w:bidi="ar-SA"/>
                </w:rPr>
                <w:t>☐</w:t>
              </w:r>
              <w:r>
                <w:rPr>
                  <w:rFonts w:hint="eastAsia" w:hAnsi="宋体" w:cs="宋体"/>
                  <w:b/>
                  <w:color w:val="auto"/>
                  <w:sz w:val="24"/>
                  <w:highlight w:val="none"/>
                </w:rPr>
                <w:t>是，</w:t>
              </w:r>
              <w:r>
                <w:rPr>
                  <w:rFonts w:hint="eastAsia" w:ascii="Wingdings" w:hAnsi="Wingdings" w:eastAsia="宋体" w:cs="宋体"/>
                  <w:snapToGrid w:val="0"/>
                  <w:color w:val="auto"/>
                  <w:kern w:val="0"/>
                  <w:sz w:val="24"/>
                  <w:szCs w:val="20"/>
                  <w:highlight w:val="none"/>
                  <w:lang w:val="en-US" w:eastAsia="zh-CN" w:bidi="ar-SA"/>
                </w:rPr>
                <w:t>þ</w:t>
              </w:r>
              <w:r>
                <w:rPr>
                  <w:rFonts w:hint="eastAsia" w:hAnsi="宋体" w:cs="宋体"/>
                  <w:b/>
                  <w:color w:val="auto"/>
                  <w:sz w:val="24"/>
                  <w:highlight w:val="none"/>
                </w:rPr>
                <w:t>否</w:t>
              </w:r>
              <w:r>
                <w:rPr>
                  <w:rFonts w:hint="eastAsia" w:hAnsi="宋体" w:cs="宋体"/>
                  <w:color w:val="auto"/>
                  <w:kern w:val="0"/>
                  <w:sz w:val="24"/>
                  <w:highlight w:val="none"/>
                </w:rPr>
                <w:t>。</w:t>
              </w:r>
            </w:sdtContent>
          </w:sdt>
        </w:sdtContent>
      </w:sdt>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b/>
          <w:sz w:val="24"/>
        </w:rPr>
      </w:pPr>
      <w:r>
        <w:rPr>
          <w:rFonts w:hint="eastAsia" w:ascii="宋体" w:hAnsi="宋体" w:cs="宋体"/>
          <w:b/>
          <w:sz w:val="24"/>
        </w:rPr>
        <w:t>二、申请人的资格要求：</w:t>
      </w:r>
    </w:p>
    <w:p>
      <w:pPr>
        <w:keepNext w:val="0"/>
        <w:keepLines w:val="0"/>
        <w:pageBreakBefore w:val="0"/>
        <w:kinsoku/>
        <w:wordWrap/>
        <w:overflowPunct/>
        <w:topLinePunct w:val="0"/>
        <w:autoSpaceDE/>
        <w:autoSpaceDN/>
        <w:bidi w:val="0"/>
        <w:adjustRightInd w:val="0"/>
        <w:spacing w:line="440" w:lineRule="exact"/>
        <w:ind w:firstLine="480"/>
        <w:textAlignment w:val="auto"/>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napToGrid w:val="0"/>
          <w:kern w:val="28"/>
          <w:sz w:val="24"/>
          <w:szCs w:val="20"/>
        </w:rPr>
      </w:pPr>
      <w:r>
        <w:rPr>
          <w:rFonts w:hint="eastAsia" w:ascii="宋体" w:hAnsi="宋体" w:cs="宋体"/>
          <w:snapToGrid w:val="0"/>
          <w:kern w:val="28"/>
          <w:sz w:val="24"/>
          <w:szCs w:val="20"/>
        </w:rPr>
        <w:t>2.落实政府采购政策需满足的资格要求：</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sdt>
        <w:sdtPr>
          <w:rPr>
            <w:rFonts w:hint="eastAsia" w:ascii="宋体" w:hAnsi="宋体" w:cs="宋体"/>
            <w:sz w:val="24"/>
          </w:rPr>
          <w:id w:val="1928616923"/>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无；</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sdt>
        <w:sdtPr>
          <w:rPr>
            <w:rFonts w:hint="eastAsia" w:ascii="宋体" w:hAnsi="宋体" w:cs="宋体"/>
            <w:sz w:val="24"/>
          </w:rPr>
          <w:id w:val="-1024704304"/>
        </w:sdtPr>
        <w:sdtEndPr>
          <w:rPr>
            <w:rFonts w:hint="eastAsia" w:ascii="宋体" w:hAnsi="宋体" w:cs="宋体"/>
            <w:sz w:val="24"/>
          </w:rPr>
        </w:sdtEndPr>
        <w:sdtContent>
          <w:r>
            <w:rPr>
              <w:rFonts w:hint="eastAsia" w:ascii="宋体" w:hAnsi="宋体" w:cs="宋体"/>
              <w:color w:val="auto"/>
              <w:kern w:val="0"/>
              <w:sz w:val="24"/>
              <w:highlight w:val="none"/>
            </w:rPr>
            <w:sym w:font="Wingdings" w:char="F0FE"/>
          </w:r>
        </w:sdtContent>
      </w:sdt>
      <w:r>
        <w:rPr>
          <w:rFonts w:hint="eastAsia" w:ascii="宋体" w:hAnsi="宋体" w:cs="宋体"/>
          <w:sz w:val="24"/>
        </w:rPr>
        <w:t>专门面向中小企业</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sdt>
        <w:sdtPr>
          <w:rPr>
            <w:rFonts w:hint="eastAsia" w:ascii="宋体" w:hAnsi="宋体" w:cs="宋体"/>
            <w:sz w:val="24"/>
          </w:rPr>
          <w:id w:val="-924730588"/>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货物全部由符合政策要求的中小企业制造，提供中小企业声明函；</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sdt>
        <w:sdtPr>
          <w:rPr>
            <w:rFonts w:hint="eastAsia" w:ascii="宋体" w:hAnsi="宋体" w:cs="宋体"/>
            <w:sz w:val="24"/>
          </w:rPr>
          <w:id w:val="-1152604937"/>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货物全部由符合政策要求的小微企业制造，提供中小企业声明函；</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sdt>
        <w:sdtPr>
          <w:rPr>
            <w:rFonts w:hint="eastAsia" w:ascii="宋体" w:hAnsi="宋体" w:cs="宋体"/>
            <w:sz w:val="24"/>
          </w:rPr>
          <w:id w:val="-333685401"/>
        </w:sdtPr>
        <w:sdtEndPr>
          <w:rPr>
            <w:rFonts w:hint="eastAsia" w:ascii="宋体" w:hAnsi="宋体" w:cs="宋体"/>
            <w:sz w:val="24"/>
          </w:rPr>
        </w:sdtEndPr>
        <w:sdtContent>
          <w:sdt>
            <w:sdtPr>
              <w:rPr>
                <w:rFonts w:hint="eastAsia" w:ascii="宋体" w:hAnsi="宋体" w:cs="宋体"/>
                <w:sz w:val="24"/>
              </w:rPr>
              <w:id w:val="-668002045"/>
            </w:sdtPr>
            <w:sdtEndPr>
              <w:rPr>
                <w:rFonts w:hint="eastAsia" w:ascii="宋体" w:hAnsi="宋体" w:cs="宋体"/>
                <w:sz w:val="24"/>
              </w:rPr>
            </w:sdtEndPr>
            <w:sdtContent>
              <w:r>
                <w:rPr>
                  <w:rFonts w:hint="eastAsia" w:ascii="宋体" w:hAnsi="宋体" w:cs="宋体"/>
                  <w:color w:val="auto"/>
                  <w:kern w:val="0"/>
                  <w:sz w:val="24"/>
                  <w:highlight w:val="none"/>
                </w:rPr>
                <w:sym w:font="Wingdings" w:char="F0FE"/>
              </w:r>
            </w:sdtContent>
          </w:sdt>
        </w:sdtContent>
      </w:sdt>
      <w:r>
        <w:rPr>
          <w:rFonts w:hint="eastAsia" w:ascii="宋体" w:hAnsi="宋体" w:cs="宋体"/>
          <w:sz w:val="24"/>
        </w:rPr>
        <w:t>服务全部由符合政策要求的中小企业承接，提供中小企业声明函；</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pPr>
      <w:sdt>
        <w:sdtPr>
          <w:rPr>
            <w:rFonts w:hint="eastAsia" w:ascii="宋体" w:hAnsi="宋体" w:cs="宋体"/>
            <w:sz w:val="24"/>
          </w:rPr>
          <w:id w:val="-2141025358"/>
        </w:sdtPr>
        <w:sdtEndPr>
          <w:rPr>
            <w:rFonts w:hint="eastAsia" w:ascii="宋体" w:hAnsi="宋体" w:cs="宋体"/>
            <w:sz w:val="24"/>
          </w:rPr>
        </w:sdtEndPr>
        <w:sdtContent>
          <w:sdt>
            <w:sdtPr>
              <w:rPr>
                <w:rFonts w:hint="eastAsia" w:ascii="宋体" w:hAnsi="宋体" w:cs="宋体"/>
                <w:sz w:val="24"/>
              </w:rPr>
              <w:id w:val="-668002044"/>
            </w:sdtPr>
            <w:sdtEndPr>
              <w:rPr>
                <w:rFonts w:hint="eastAsia" w:ascii="宋体" w:hAnsi="宋体" w:cs="宋体"/>
                <w:sz w:val="24"/>
              </w:rPr>
            </w:sdtEndPr>
            <w:sdtContent>
              <w:r>
                <w:rPr>
                  <w:rFonts w:hint="eastAsia" w:ascii="宋体" w:hAnsi="宋体" w:cs="宋体"/>
                  <w:color w:val="auto"/>
                  <w:kern w:val="0"/>
                  <w:sz w:val="24"/>
                  <w:highlight w:val="none"/>
                </w:rPr>
                <w:sym w:font="Wingdings" w:char="F0FE"/>
              </w:r>
            </w:sdtContent>
          </w:sdt>
        </w:sdtContent>
      </w:sdt>
      <w:r>
        <w:rPr>
          <w:rFonts w:hint="eastAsia" w:ascii="宋体" w:hAnsi="宋体" w:cs="宋体"/>
          <w:sz w:val="24"/>
        </w:rPr>
        <w:t>服务全部由符合政策要求的小微企业承接，提供中小企业声明函；</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sdt>
            <w:sdtPr>
              <w:rPr>
                <w:rFonts w:hint="eastAsia" w:ascii="宋体" w:hAnsi="宋体" w:cs="宋体"/>
                <w:sz w:val="24"/>
              </w:rPr>
              <w:id w:val="-609534070"/>
            </w:sdtPr>
            <w:sdtEndPr>
              <w:rPr>
                <w:rFonts w:hint="eastAsia" w:ascii="宋体" w:hAnsi="宋体" w:cs="宋体"/>
                <w:sz w:val="24"/>
              </w:rPr>
            </w:sdtEndPr>
            <w:sdtContent>
              <w:r>
                <w:rPr>
                  <w:rFonts w:hint="eastAsia" w:ascii="宋体" w:hAnsi="宋体" w:cs="宋体"/>
                  <w:color w:val="auto"/>
                  <w:kern w:val="0"/>
                  <w:sz w:val="24"/>
                  <w:highlight w:val="none"/>
                </w:rPr>
                <w:t>☐</w:t>
              </w:r>
            </w:sdtContent>
          </w:sdt>
        </w:sdtContent>
      </w:sdt>
      <w:r>
        <w:rPr>
          <w:rFonts w:hint="eastAsia" w:ascii="宋体" w:hAnsi="宋体" w:cs="宋体"/>
          <w:sz w:val="24"/>
        </w:rPr>
        <w:t>要求以联合体形式参加，提供联合协议和中小企业声明函，联合协议中中小企业合同金额应当达到%，小微企业合同金额应当达到%;</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 ，小微企业合同金额应当达到%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pPr>
        <w:keepNext w:val="0"/>
        <w:keepLines w:val="0"/>
        <w:pageBreakBefore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highlight w:val="yellow"/>
        </w:rPr>
      </w:pPr>
      <w:r>
        <w:rPr>
          <w:rFonts w:hint="eastAsia" w:ascii="宋体" w:hAnsi="宋体" w:cs="宋体"/>
          <w:color w:val="auto"/>
          <w:sz w:val="24"/>
        </w:rPr>
        <w:t>3.本项目的特定资格要求：</w:t>
      </w:r>
      <w:r>
        <w:rPr>
          <w:rFonts w:hint="eastAsia" w:ascii="宋体" w:hAnsi="宋体" w:cs="宋体"/>
          <w:color w:val="auto"/>
          <w:sz w:val="24"/>
          <w:highlight w:val="yellow"/>
          <w:lang w:eastAsia="zh-CN"/>
        </w:rPr>
        <w:t>具备建筑工程施工总承包三级及以上资质的独立法人，且具有有效的安全生产许可证；</w:t>
      </w:r>
    </w:p>
    <w:p>
      <w:pPr>
        <w:keepNext w:val="0"/>
        <w:keepLines w:val="0"/>
        <w:pageBreakBefore w:val="0"/>
        <w:kinsoku/>
        <w:wordWrap/>
        <w:overflowPunct/>
        <w:topLinePunct w:val="0"/>
        <w:autoSpaceDE/>
        <w:autoSpaceDN/>
        <w:bidi w:val="0"/>
        <w:adjustRightInd w:val="0"/>
        <w:snapToGrid w:val="0"/>
        <w:spacing w:line="440" w:lineRule="exact"/>
        <w:ind w:firstLine="480" w:firstLineChars="200"/>
        <w:textAlignment w:val="auto"/>
        <w:rPr>
          <w:rFonts w:ascii="宋体" w:hAnsi="宋体" w:cs="宋体"/>
          <w:sz w:val="24"/>
        </w:rPr>
      </w:pPr>
      <w:r>
        <w:rPr>
          <w:rFonts w:hint="eastAsia" w:ascii="宋体" w:hAnsi="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b/>
          <w:sz w:val="24"/>
        </w:rPr>
      </w:pPr>
      <w:r>
        <w:rPr>
          <w:rFonts w:hint="eastAsia" w:ascii="宋体" w:hAnsi="宋体" w:cs="宋体"/>
          <w:b/>
          <w:sz w:val="24"/>
        </w:rPr>
        <w:t xml:space="preserve">三、获取招标文件 </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sz w:val="24"/>
        </w:rPr>
      </w:pPr>
      <w:r>
        <w:rPr>
          <w:rFonts w:hint="eastAsia" w:ascii="宋体" w:hAnsi="宋体" w:cs="宋体"/>
          <w:b/>
          <w:sz w:val="24"/>
        </w:rPr>
        <w:t>时间：</w:t>
      </w:r>
      <w:r>
        <w:rPr>
          <w:rFonts w:hint="eastAsia" w:ascii="宋体" w:hAnsi="宋体" w:cs="宋体"/>
          <w:sz w:val="24"/>
        </w:rPr>
        <w:t>/</w:t>
      </w:r>
      <w:r>
        <w:rPr>
          <w:rFonts w:hint="eastAsia" w:ascii="宋体" w:hAnsi="宋体" w:cs="宋体"/>
          <w:sz w:val="24"/>
          <w:highlight w:val="yellow"/>
        </w:rPr>
        <w:t>至</w:t>
      </w:r>
      <w:r>
        <w:rPr>
          <w:rFonts w:hint="eastAsia" w:ascii="宋体" w:hAnsi="宋体" w:cs="宋体"/>
          <w:sz w:val="24"/>
          <w:highlight w:val="yellow"/>
          <w:u w:val="single"/>
          <w:lang w:eastAsia="zh-CN"/>
        </w:rPr>
        <w:t>202</w:t>
      </w:r>
      <w:r>
        <w:rPr>
          <w:rFonts w:hint="eastAsia" w:ascii="宋体" w:hAnsi="宋体" w:cs="宋体"/>
          <w:sz w:val="24"/>
          <w:highlight w:val="yellow"/>
          <w:u w:val="single"/>
          <w:lang w:val="en-US" w:eastAsia="zh-CN"/>
        </w:rPr>
        <w:t>4</w:t>
      </w:r>
      <w:r>
        <w:rPr>
          <w:rFonts w:hint="eastAsia" w:ascii="宋体" w:hAnsi="宋体" w:cs="宋体"/>
          <w:sz w:val="24"/>
          <w:highlight w:val="yellow"/>
          <w:u w:val="single"/>
          <w:lang w:eastAsia="zh-CN"/>
        </w:rPr>
        <w:t>年</w:t>
      </w:r>
      <w:r>
        <w:rPr>
          <w:rFonts w:hint="eastAsia" w:ascii="宋体" w:hAnsi="宋体" w:cs="宋体"/>
          <w:sz w:val="24"/>
          <w:highlight w:val="yellow"/>
          <w:u w:val="single"/>
          <w:lang w:val="en-US" w:eastAsia="zh-CN"/>
        </w:rPr>
        <w:t>06</w:t>
      </w:r>
      <w:r>
        <w:rPr>
          <w:rFonts w:hint="eastAsia" w:ascii="宋体" w:hAnsi="宋体" w:cs="宋体"/>
          <w:sz w:val="24"/>
          <w:highlight w:val="yellow"/>
          <w:u w:val="single"/>
          <w:lang w:eastAsia="zh-CN"/>
        </w:rPr>
        <w:t>月</w:t>
      </w:r>
      <w:r>
        <w:rPr>
          <w:rFonts w:hint="eastAsia" w:ascii="宋体" w:hAnsi="宋体" w:cs="宋体"/>
          <w:sz w:val="24"/>
          <w:highlight w:val="yellow"/>
          <w:u w:val="single"/>
          <w:lang w:val="en-US" w:eastAsia="zh-CN"/>
        </w:rPr>
        <w:t>19</w:t>
      </w:r>
      <w:r>
        <w:rPr>
          <w:rFonts w:hint="eastAsia" w:ascii="宋体" w:hAnsi="宋体" w:cs="宋体"/>
          <w:sz w:val="24"/>
          <w:highlight w:val="yellow"/>
          <w:u w:val="single"/>
          <w:lang w:eastAsia="zh-CN"/>
        </w:rPr>
        <w:t>日</w:t>
      </w:r>
      <w:r>
        <w:rPr>
          <w:rFonts w:hint="eastAsia" w:ascii="宋体" w:hAnsi="宋体" w:cs="宋体"/>
          <w:sz w:val="24"/>
        </w:rPr>
        <w:t>，每天上午00:00至12:00 ，下午12:00至23:59（北京时间，线上获取法定节假日均可，线下获取文件法定节假日除外）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b/>
          <w:sz w:val="24"/>
        </w:rPr>
      </w:pPr>
      <w:r>
        <w:rPr>
          <w:rFonts w:hint="eastAsia" w:ascii="宋体" w:hAnsi="宋体" w:cs="宋体"/>
          <w:b/>
          <w:sz w:val="24"/>
        </w:rPr>
        <w:t>四、提交投标文件截止时间、开标时间和地点</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sz w:val="24"/>
        </w:rPr>
      </w:pPr>
      <w:r>
        <w:rPr>
          <w:rFonts w:hint="eastAsia" w:ascii="宋体" w:hAnsi="宋体" w:cs="宋体"/>
          <w:b/>
          <w:sz w:val="24"/>
        </w:rPr>
        <w:t>提交投标文件截止时间：</w:t>
      </w:r>
      <w:r>
        <w:rPr>
          <w:rFonts w:hint="eastAsia" w:ascii="宋体" w:hAnsi="宋体" w:cs="宋体"/>
          <w:sz w:val="24"/>
          <w:highlight w:val="yellow"/>
          <w:u w:val="single"/>
          <w:lang w:eastAsia="zh-CN"/>
        </w:rPr>
        <w:t>2024年0</w:t>
      </w:r>
      <w:r>
        <w:rPr>
          <w:rFonts w:hint="eastAsia" w:ascii="宋体" w:hAnsi="宋体" w:cs="宋体"/>
          <w:sz w:val="24"/>
          <w:highlight w:val="yellow"/>
          <w:u w:val="single"/>
          <w:lang w:val="en-US" w:eastAsia="zh-CN"/>
        </w:rPr>
        <w:t>6</w:t>
      </w:r>
      <w:r>
        <w:rPr>
          <w:rFonts w:hint="eastAsia" w:ascii="宋体" w:hAnsi="宋体" w:cs="宋体"/>
          <w:sz w:val="24"/>
          <w:highlight w:val="yellow"/>
          <w:u w:val="single"/>
          <w:lang w:eastAsia="zh-CN"/>
        </w:rPr>
        <w:t>月</w:t>
      </w:r>
      <w:r>
        <w:rPr>
          <w:rFonts w:hint="eastAsia" w:ascii="宋体" w:hAnsi="宋体" w:cs="宋体"/>
          <w:sz w:val="24"/>
          <w:highlight w:val="yellow"/>
          <w:u w:val="single"/>
          <w:lang w:val="en-US" w:eastAsia="zh-CN"/>
        </w:rPr>
        <w:t>19</w:t>
      </w:r>
      <w:r>
        <w:rPr>
          <w:rFonts w:hint="eastAsia" w:ascii="宋体" w:hAnsi="宋体" w:cs="宋体"/>
          <w:sz w:val="24"/>
          <w:highlight w:val="yellow"/>
          <w:u w:val="single"/>
          <w:lang w:eastAsia="zh-CN"/>
        </w:rPr>
        <w:t>日</w:t>
      </w:r>
      <w:r>
        <w:rPr>
          <w:rFonts w:hint="eastAsia" w:ascii="宋体" w:hAnsi="宋体" w:cs="宋体"/>
          <w:sz w:val="24"/>
          <w:highlight w:val="yellow"/>
          <w:u w:val="single"/>
          <w:lang w:val="en-US" w:eastAsia="zh-CN"/>
        </w:rPr>
        <w:t>09</w:t>
      </w:r>
      <w:r>
        <w:rPr>
          <w:rFonts w:hint="eastAsia" w:ascii="宋体" w:hAnsi="宋体" w:cs="宋体"/>
          <w:sz w:val="24"/>
          <w:highlight w:val="yellow"/>
          <w:u w:val="single"/>
          <w:lang w:eastAsia="zh-CN"/>
        </w:rPr>
        <w:t>点</w:t>
      </w:r>
      <w:r>
        <w:rPr>
          <w:rFonts w:hint="eastAsia" w:ascii="宋体" w:hAnsi="宋体" w:cs="宋体"/>
          <w:sz w:val="24"/>
          <w:highlight w:val="yellow"/>
          <w:u w:val="single"/>
          <w:lang w:val="en-US" w:eastAsia="zh-CN"/>
        </w:rPr>
        <w:t>30</w:t>
      </w:r>
      <w:r>
        <w:rPr>
          <w:rFonts w:hint="eastAsia" w:ascii="宋体" w:hAnsi="宋体" w:cs="宋体"/>
          <w:sz w:val="24"/>
          <w:highlight w:val="yellow"/>
          <w:u w:val="single"/>
          <w:lang w:eastAsia="zh-CN"/>
        </w:rPr>
        <w:t>分</w:t>
      </w:r>
      <w:r>
        <w:rPr>
          <w:rFonts w:hint="eastAsia" w:ascii="宋体" w:hAnsi="宋体" w:cs="宋体"/>
          <w:sz w:val="24"/>
        </w:rPr>
        <w:t>（北京时间）</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宋体" w:hAnsi="宋体" w:eastAsia="宋体" w:cs="宋体"/>
          <w:sz w:val="24"/>
          <w:u w:val="single"/>
          <w:lang w:eastAsia="zh-CN"/>
        </w:rPr>
      </w:pPr>
      <w:r>
        <w:rPr>
          <w:rFonts w:hint="eastAsia" w:ascii="宋体" w:hAnsi="宋体" w:cs="宋体"/>
          <w:b/>
          <w:sz w:val="24"/>
        </w:rPr>
        <w:t>开标时间：</w:t>
      </w:r>
      <w:r>
        <w:rPr>
          <w:rFonts w:hint="eastAsia" w:ascii="宋体" w:hAnsi="宋体" w:cs="宋体"/>
          <w:sz w:val="24"/>
          <w:highlight w:val="yellow"/>
          <w:u w:val="single"/>
          <w:lang w:eastAsia="zh-CN"/>
        </w:rPr>
        <w:t>2024年0</w:t>
      </w:r>
      <w:r>
        <w:rPr>
          <w:rFonts w:hint="eastAsia" w:ascii="宋体" w:hAnsi="宋体" w:cs="宋体"/>
          <w:sz w:val="24"/>
          <w:highlight w:val="yellow"/>
          <w:u w:val="single"/>
          <w:lang w:val="en-US" w:eastAsia="zh-CN"/>
        </w:rPr>
        <w:t>6</w:t>
      </w:r>
      <w:r>
        <w:rPr>
          <w:rFonts w:hint="eastAsia" w:ascii="宋体" w:hAnsi="宋体" w:cs="宋体"/>
          <w:sz w:val="24"/>
          <w:highlight w:val="yellow"/>
          <w:u w:val="single"/>
          <w:lang w:eastAsia="zh-CN"/>
        </w:rPr>
        <w:t>月</w:t>
      </w:r>
      <w:r>
        <w:rPr>
          <w:rFonts w:hint="eastAsia" w:ascii="宋体" w:hAnsi="宋体" w:cs="宋体"/>
          <w:sz w:val="24"/>
          <w:highlight w:val="yellow"/>
          <w:u w:val="single"/>
          <w:lang w:val="en-US" w:eastAsia="zh-CN"/>
        </w:rPr>
        <w:t>19</w:t>
      </w:r>
      <w:r>
        <w:rPr>
          <w:rFonts w:hint="eastAsia" w:ascii="宋体" w:hAnsi="宋体" w:cs="宋体"/>
          <w:sz w:val="24"/>
          <w:highlight w:val="yellow"/>
          <w:u w:val="single"/>
          <w:lang w:eastAsia="zh-CN"/>
        </w:rPr>
        <w:t>日</w:t>
      </w:r>
      <w:r>
        <w:rPr>
          <w:rFonts w:hint="eastAsia" w:ascii="宋体" w:hAnsi="宋体" w:cs="宋体"/>
          <w:sz w:val="24"/>
          <w:highlight w:val="yellow"/>
          <w:u w:val="single"/>
          <w:lang w:val="en-US" w:eastAsia="zh-CN"/>
        </w:rPr>
        <w:t>09</w:t>
      </w:r>
      <w:r>
        <w:rPr>
          <w:rFonts w:hint="eastAsia" w:ascii="宋体" w:hAnsi="宋体" w:cs="宋体"/>
          <w:sz w:val="24"/>
          <w:highlight w:val="yellow"/>
          <w:u w:val="single"/>
          <w:lang w:eastAsia="zh-CN"/>
        </w:rPr>
        <w:t>点</w:t>
      </w:r>
      <w:r>
        <w:rPr>
          <w:rFonts w:hint="eastAsia" w:ascii="宋体" w:hAnsi="宋体" w:cs="宋体"/>
          <w:sz w:val="24"/>
          <w:highlight w:val="yellow"/>
          <w:u w:val="single"/>
          <w:lang w:val="en-US" w:eastAsia="zh-CN"/>
        </w:rPr>
        <w:t>30</w:t>
      </w:r>
      <w:r>
        <w:rPr>
          <w:rFonts w:hint="eastAsia" w:ascii="宋体" w:hAnsi="宋体" w:cs="宋体"/>
          <w:sz w:val="24"/>
          <w:highlight w:val="yellow"/>
          <w:u w:val="single"/>
          <w:lang w:eastAsia="zh-CN"/>
        </w:rPr>
        <w:t>分</w:t>
      </w:r>
    </w:p>
    <w:p>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b/>
          <w:sz w:val="24"/>
        </w:rPr>
        <w:t xml:space="preserve">五、公告期限 </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自本公告发布之日起5个工作日。</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b/>
          <w:sz w:val="24"/>
        </w:rPr>
      </w:pPr>
      <w:r>
        <w:rPr>
          <w:rFonts w:hint="eastAsia" w:ascii="宋体" w:hAnsi="宋体" w:cs="宋体"/>
          <w:b/>
          <w:sz w:val="24"/>
        </w:rPr>
        <w:t>六、其他补充事宜</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b/>
          <w:sz w:val="24"/>
        </w:rPr>
      </w:pPr>
      <w:r>
        <w:rPr>
          <w:rFonts w:hint="eastAsia" w:ascii="宋体" w:hAnsi="宋体" w:cs="宋体"/>
          <w:b/>
          <w:sz w:val="24"/>
        </w:rPr>
        <w:t>七、对本次采购提出询问、质疑、投诉，请按以下方式联系</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1.采购人信息</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名    称：</w:t>
      </w:r>
      <w:r>
        <w:rPr>
          <w:rFonts w:hint="eastAsia" w:ascii="宋体" w:hAnsi="宋体" w:cs="宋体"/>
          <w:sz w:val="24"/>
          <w:lang w:eastAsia="zh-CN"/>
        </w:rPr>
        <w:t>桐庐县房地产管理处</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地    址：</w:t>
      </w:r>
      <w:r>
        <w:rPr>
          <w:rFonts w:hint="eastAsia" w:ascii="宋体" w:hAnsi="宋体" w:cs="宋体"/>
          <w:sz w:val="24"/>
          <w:lang w:eastAsia="zh-CN"/>
        </w:rPr>
        <w:t>桐庐县开元街12号</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项目联系人（询问）</w:t>
      </w:r>
      <w:r>
        <w:rPr>
          <w:rFonts w:hint="eastAsia" w:ascii="宋体" w:hAnsi="宋体" w:cs="宋体"/>
          <w:sz w:val="24"/>
          <w:lang w:eastAsia="zh-CN"/>
        </w:rPr>
        <w:t>：邓金罗</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textAlignment w:val="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13515819851</w:t>
      </w:r>
    </w:p>
    <w:p>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宋体" w:hAnsi="宋体" w:cs="宋体"/>
          <w:color w:val="auto"/>
          <w:sz w:val="24"/>
          <w:lang w:val="en-US" w:eastAsia="zh-CN"/>
        </w:rPr>
      </w:pPr>
      <w:r>
        <w:rPr>
          <w:rFonts w:hint="eastAsia" w:ascii="宋体" w:hAnsi="宋体" w:cs="宋体"/>
          <w:color w:val="auto"/>
          <w:sz w:val="24"/>
        </w:rPr>
        <w:t>质疑联系人：邬琪</w:t>
      </w:r>
    </w:p>
    <w:p>
      <w:pPr>
        <w:keepNext w:val="0"/>
        <w:keepLines w:val="0"/>
        <w:pageBreakBefore w:val="0"/>
        <w:kinsoku/>
        <w:wordWrap/>
        <w:overflowPunct/>
        <w:topLinePunct w:val="0"/>
        <w:autoSpaceDE/>
        <w:autoSpaceDN/>
        <w:bidi w:val="0"/>
        <w:adjustRightInd w:val="0"/>
        <w:spacing w:line="440" w:lineRule="exact"/>
        <w:ind w:firstLine="480"/>
        <w:textAlignment w:val="auto"/>
        <w:rPr>
          <w:rFonts w:hint="default" w:ascii="宋体" w:hAnsi="宋体" w:eastAsia="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15967152320</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 xml:space="preserve">2.采购代理机构信息            </w:t>
      </w:r>
    </w:p>
    <w:p>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宋体" w:hAnsi="宋体" w:eastAsia="宋体" w:cs="宋体"/>
          <w:sz w:val="24"/>
          <w:lang w:eastAsia="zh-CN"/>
        </w:rPr>
      </w:pPr>
      <w:r>
        <w:rPr>
          <w:rFonts w:hint="eastAsia" w:ascii="宋体" w:hAnsi="宋体" w:cs="宋体"/>
          <w:sz w:val="24"/>
        </w:rPr>
        <w:t>名    称：</w:t>
      </w:r>
      <w:r>
        <w:rPr>
          <w:rFonts w:hint="eastAsia" w:ascii="宋体" w:hAnsi="宋体" w:cs="宋体"/>
          <w:sz w:val="24"/>
          <w:lang w:eastAsia="zh-CN"/>
        </w:rPr>
        <w:t>杭州龙魁工程管理有限公司</w:t>
      </w:r>
    </w:p>
    <w:p>
      <w:pPr>
        <w:keepNext w:val="0"/>
        <w:keepLines w:val="0"/>
        <w:pageBreakBefore w:val="0"/>
        <w:kinsoku/>
        <w:wordWrap/>
        <w:overflowPunct/>
        <w:topLinePunct w:val="0"/>
        <w:autoSpaceDE/>
        <w:autoSpaceDN/>
        <w:bidi w:val="0"/>
        <w:adjustRightInd w:val="0"/>
        <w:spacing w:line="440" w:lineRule="exact"/>
        <w:ind w:firstLine="480"/>
        <w:textAlignment w:val="auto"/>
        <w:rPr>
          <w:rFonts w:ascii="宋体" w:hAnsi="宋体" w:cs="宋体"/>
          <w:sz w:val="24"/>
        </w:rPr>
      </w:pPr>
      <w:r>
        <w:rPr>
          <w:rFonts w:hint="eastAsia" w:ascii="宋体" w:hAnsi="宋体" w:cs="宋体"/>
          <w:sz w:val="24"/>
        </w:rPr>
        <w:t>地    址：</w:t>
      </w:r>
      <w:r>
        <w:rPr>
          <w:rFonts w:hint="eastAsia" w:ascii="宋体" w:hAnsi="宋体" w:cs="宋体"/>
          <w:sz w:val="24"/>
          <w:lang w:eastAsia="zh-CN"/>
        </w:rPr>
        <w:t>桐庐县城南街道迎春南路61号萧商大厦20楼</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eastAsia="zh-CN"/>
        </w:rPr>
        <w:t>王超</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项目联系方式（询问）：</w:t>
      </w:r>
      <w:r>
        <w:rPr>
          <w:rFonts w:hint="eastAsia" w:ascii="宋体" w:hAnsi="宋体" w:cs="宋体"/>
          <w:sz w:val="24"/>
          <w:lang w:eastAsia="zh-CN"/>
        </w:rPr>
        <w:t>13758248175</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质疑联系人：</w:t>
      </w:r>
      <w:r>
        <w:rPr>
          <w:rFonts w:hint="eastAsia" w:ascii="宋体" w:hAnsi="宋体" w:cs="宋体"/>
          <w:sz w:val="24"/>
          <w:lang w:eastAsia="zh-CN"/>
        </w:rPr>
        <w:t xml:space="preserve">朱明剑 </w:t>
      </w:r>
      <w:r>
        <w:rPr>
          <w:rFonts w:hint="eastAsia" w:ascii="宋体" w:hAnsi="宋体" w:cs="宋体"/>
          <w:sz w:val="24"/>
        </w:rPr>
        <w:t xml:space="preserve">             </w:t>
      </w:r>
    </w:p>
    <w:p>
      <w:pPr>
        <w:keepNext w:val="0"/>
        <w:keepLines w:val="0"/>
        <w:pageBreakBefore w:val="0"/>
        <w:kinsoku/>
        <w:wordWrap/>
        <w:overflowPunct/>
        <w:topLinePunct w:val="0"/>
        <w:autoSpaceDE/>
        <w:autoSpaceDN/>
        <w:bidi w:val="0"/>
        <w:adjustRightInd w:val="0"/>
        <w:spacing w:line="440" w:lineRule="exact"/>
        <w:textAlignment w:val="auto"/>
        <w:rPr>
          <w:rFonts w:hint="default" w:ascii="宋体" w:hAnsi="宋体" w:eastAsia="宋体" w:cs="宋体"/>
          <w:sz w:val="24"/>
          <w:lang w:val="en-US" w:eastAsia="zh-CN"/>
        </w:rPr>
      </w:pPr>
      <w:r>
        <w:rPr>
          <w:rFonts w:hint="eastAsia" w:ascii="宋体" w:hAnsi="宋体" w:cs="宋体"/>
          <w:sz w:val="24"/>
        </w:rPr>
        <w:t xml:space="preserve">    质疑联系方式：</w:t>
      </w:r>
      <w:r>
        <w:rPr>
          <w:rFonts w:hint="eastAsia" w:ascii="宋体" w:hAnsi="宋体" w:cs="宋体"/>
          <w:sz w:val="24"/>
          <w:lang w:val="en-US" w:eastAsia="zh-CN"/>
        </w:rPr>
        <w:t>18106518131</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 xml:space="preserve">3.同级政府采购监督管理部门            </w:t>
      </w:r>
    </w:p>
    <w:p>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宋体" w:hAnsi="宋体" w:cs="宋体"/>
          <w:sz w:val="24"/>
        </w:rPr>
      </w:pPr>
      <w:r>
        <w:rPr>
          <w:rFonts w:hint="eastAsia" w:ascii="宋体" w:hAnsi="宋体" w:cs="宋体"/>
          <w:sz w:val="24"/>
        </w:rPr>
        <w:t>名    称：桐庐县财政局、浙江省政府采购行政裁决服务中心（杭州）</w:t>
      </w:r>
    </w:p>
    <w:p>
      <w:pPr>
        <w:keepNext w:val="0"/>
        <w:keepLines w:val="0"/>
        <w:pageBreakBefore w:val="0"/>
        <w:kinsoku/>
        <w:wordWrap/>
        <w:overflowPunct/>
        <w:topLinePunct w:val="0"/>
        <w:autoSpaceDE/>
        <w:autoSpaceDN/>
        <w:bidi w:val="0"/>
        <w:adjustRightInd w:val="0"/>
        <w:spacing w:line="440" w:lineRule="exact"/>
        <w:ind w:firstLine="480"/>
        <w:textAlignment w:val="auto"/>
        <w:rPr>
          <w:rFonts w:ascii="宋体" w:hAnsi="宋体" w:cs="宋体"/>
          <w:spacing w:val="-11"/>
          <w:sz w:val="24"/>
        </w:rPr>
      </w:pPr>
      <w:r>
        <w:rPr>
          <w:rFonts w:hint="eastAsia" w:ascii="宋体" w:hAnsi="宋体" w:cs="宋体"/>
          <w:sz w:val="24"/>
        </w:rPr>
        <w:t>地    址：</w:t>
      </w:r>
      <w:r>
        <w:rPr>
          <w:rFonts w:hint="eastAsia" w:ascii="宋体" w:hAnsi="宋体" w:cs="宋体"/>
          <w:spacing w:val="-11"/>
          <w:sz w:val="24"/>
        </w:rPr>
        <w:t>杭州市上城区四季青街道新业路市民之家G03办公室（快递仅限ems或顺丰）</w:t>
      </w:r>
    </w:p>
    <w:p>
      <w:pPr>
        <w:keepNext w:val="0"/>
        <w:keepLines w:val="0"/>
        <w:pageBreakBefore w:val="0"/>
        <w:kinsoku/>
        <w:wordWrap/>
        <w:overflowPunct/>
        <w:topLinePunct w:val="0"/>
        <w:autoSpaceDE/>
        <w:autoSpaceDN/>
        <w:bidi w:val="0"/>
        <w:adjustRightInd w:val="0"/>
        <w:spacing w:line="440" w:lineRule="exact"/>
        <w:textAlignment w:val="auto"/>
        <w:rPr>
          <w:rFonts w:ascii="宋体" w:hAnsi="宋体" w:cs="宋体"/>
          <w:sz w:val="24"/>
        </w:rPr>
      </w:pPr>
      <w:r>
        <w:rPr>
          <w:rFonts w:hint="eastAsia" w:ascii="宋体" w:hAnsi="宋体" w:cs="宋体"/>
          <w:sz w:val="24"/>
        </w:rPr>
        <w:t xml:space="preserve">    联系人 ：朱女士、王女士  </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 xml:space="preserve">监督投诉电话：0571-85252453         </w:t>
      </w: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p>
    <w:p>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keepNext w:val="0"/>
        <w:keepLines w:val="0"/>
        <w:pageBreakBefore w:val="0"/>
        <w:kinsoku/>
        <w:wordWrap/>
        <w:overflowPunct/>
        <w:topLinePunct w:val="0"/>
        <w:autoSpaceDE/>
        <w:autoSpaceDN/>
        <w:bidi w:val="0"/>
        <w:adjustRightInd w:val="0"/>
        <w:spacing w:line="440" w:lineRule="exact"/>
        <w:ind w:firstLine="480" w:firstLineChars="200"/>
        <w:jc w:val="center"/>
        <w:textAlignment w:val="auto"/>
        <w:rPr>
          <w:rFonts w:ascii="宋体" w:hAnsi="宋体" w:cs="宋体"/>
          <w:b/>
          <w:sz w:val="36"/>
          <w:szCs w:val="20"/>
        </w:rPr>
      </w:pPr>
      <w:r>
        <w:rPr>
          <w:rFonts w:hint="eastAsia" w:ascii="宋体" w:hAnsi="宋体" w:cs="宋体"/>
          <w:sz w:val="24"/>
        </w:rPr>
        <w:t>CA问题联系电话（人工）：汇信CA 400-888-4636；天谷CA 400-087-8198。</w:t>
      </w:r>
      <w:r>
        <w:rPr>
          <w:rFonts w:hint="eastAsia" w:ascii="宋体" w:hAnsi="宋体" w:cs="宋体"/>
          <w:b/>
          <w:sz w:val="36"/>
          <w:szCs w:val="20"/>
        </w:rPr>
        <w:br w:type="page"/>
      </w:r>
      <w:r>
        <w:rPr>
          <w:rFonts w:hint="eastAsia" w:ascii="宋体" w:hAnsi="宋体" w:cs="宋体"/>
          <w:b/>
          <w:sz w:val="36"/>
          <w:szCs w:val="20"/>
        </w:rPr>
        <w:t>第二部分</w:t>
      </w:r>
      <w:bookmarkEnd w:id="5"/>
      <w:r>
        <w:rPr>
          <w:rFonts w:hint="eastAsia" w:ascii="宋体" w:hAnsi="宋体" w:cs="宋体"/>
          <w:b/>
          <w:sz w:val="36"/>
          <w:szCs w:val="20"/>
        </w:rPr>
        <w:t xml:space="preserve"> 投标人须知</w:t>
      </w:r>
      <w:bookmarkEnd w:id="6"/>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17"/>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kern w:val="2"/>
                <w:sz w:val="24"/>
                <w:szCs w:val="24"/>
                <w:lang w:val="en-US" w:eastAsia="zh-CN" w:bidi="ar-SA"/>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bCs/>
                <w:kern w:val="2"/>
                <w:sz w:val="24"/>
                <w:szCs w:val="24"/>
                <w:lang w:val="en-US" w:eastAsia="zh-CN" w:bidi="ar-SA"/>
              </w:rPr>
            </w:pPr>
            <w:r>
              <w:rPr>
                <w:rFonts w:hint="eastAsia" w:ascii="宋体" w:hAnsi="宋体" w:cs="宋体"/>
                <w:b/>
                <w:bCs/>
                <w:sz w:val="24"/>
              </w:rPr>
              <w:t>项目属性</w:t>
            </w:r>
          </w:p>
        </w:tc>
        <w:tc>
          <w:tcPr>
            <w:tcW w:w="65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eastAsia="宋体" w:cs="宋体"/>
                <w:kern w:val="2"/>
                <w:sz w:val="24"/>
                <w:szCs w:val="24"/>
                <w:lang w:val="en-US" w:eastAsia="zh-CN" w:bidi="ar-SA"/>
              </w:rPr>
            </w:pP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p>
            <w:pPr>
              <w:snapToGrid w:val="0"/>
              <w:spacing w:line="360" w:lineRule="auto"/>
              <w:jc w:val="center"/>
              <w:rPr>
                <w:rFonts w:hint="eastAsia" w:ascii="宋体" w:hAnsi="宋体" w:eastAsia="宋体" w:cs="宋体"/>
                <w:kern w:val="2"/>
                <w:sz w:val="24"/>
                <w:szCs w:val="24"/>
                <w:lang w:val="en-US" w:eastAsia="zh-CN" w:bidi="ar-SA"/>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bCs/>
                <w:kern w:val="2"/>
                <w:sz w:val="24"/>
                <w:szCs w:val="24"/>
                <w:lang w:val="en-US" w:eastAsia="zh-CN" w:bidi="ar-SA"/>
              </w:rPr>
            </w:pPr>
            <w:r>
              <w:rPr>
                <w:rFonts w:hint="eastAsia" w:ascii="宋体" w:hAnsi="宋体" w:cs="宋体"/>
                <w:b/>
                <w:bCs/>
                <w:sz w:val="24"/>
              </w:rPr>
              <w:t>采购标的及其对应的中小企业划分标准所属行业</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FF0000"/>
                <w:kern w:val="0"/>
                <w:sz w:val="24"/>
              </w:rPr>
            </w:pPr>
            <w:r>
              <w:rPr>
                <w:rFonts w:hint="eastAsia" w:ascii="宋体" w:hAnsi="宋体" w:cs="宋体"/>
                <w:color w:val="auto"/>
                <w:kern w:val="0"/>
                <w:sz w:val="24"/>
              </w:rPr>
              <w:t>标的：</w:t>
            </w:r>
            <w:r>
              <w:rPr>
                <w:rFonts w:hint="eastAsia" w:cs="Arial" w:asciiTheme="minorEastAsia" w:hAnsiTheme="minorEastAsia" w:eastAsiaTheme="minorEastAsia"/>
                <w:color w:val="auto"/>
                <w:kern w:val="0"/>
                <w:sz w:val="24"/>
                <w:highlight w:val="none"/>
                <w:u w:val="single"/>
                <w:lang w:eastAsia="zh-CN"/>
              </w:rPr>
              <w:t>桐庐县房地产管理处（直管公房、保障性住房及房改房）日常零星维修项目</w:t>
            </w:r>
            <w:r>
              <w:rPr>
                <w:rFonts w:hint="eastAsia" w:ascii="宋体" w:hAnsi="宋体" w:cs="宋体"/>
                <w:color w:val="auto"/>
                <w:kern w:val="0"/>
                <w:sz w:val="24"/>
              </w:rPr>
              <w:t>，属于</w:t>
            </w:r>
            <w:r>
              <w:rPr>
                <w:rFonts w:hint="eastAsia" w:cs="Arial" w:asciiTheme="minorEastAsia" w:hAnsiTheme="minorEastAsia" w:eastAsiaTheme="minorEastAsia"/>
                <w:color w:val="auto"/>
                <w:kern w:val="0"/>
                <w:sz w:val="24"/>
                <w:highlight w:val="none"/>
                <w:u w:val="single"/>
                <w:lang w:eastAsia="zh-CN"/>
              </w:rPr>
              <w:t>建筑业</w:t>
            </w:r>
            <w:r>
              <w:rPr>
                <w:rFonts w:hint="eastAsia" w:cs="Arial" w:asciiTheme="minorEastAsia" w:hAnsiTheme="minorEastAsia" w:eastAsiaTheme="minorEastAsia"/>
                <w:color w:val="auto"/>
                <w:kern w:val="0"/>
                <w:sz w:val="24"/>
                <w:highlight w:val="none"/>
                <w:u w:val="single"/>
              </w:rPr>
              <w:t>行业</w:t>
            </w:r>
            <w:r>
              <w:rPr>
                <w:rFonts w:hint="eastAsia" w:ascii="宋体" w:hAnsi="宋体" w:cs="宋体"/>
                <w:color w:val="auto"/>
                <w:kern w:val="0"/>
                <w:sz w:val="24"/>
              </w:rPr>
              <w:t>；</w:t>
            </w:r>
          </w:p>
          <w:p>
            <w:pPr>
              <w:snapToGrid w:val="0"/>
              <w:spacing w:line="360" w:lineRule="auto"/>
              <w:rPr>
                <w:rFonts w:hint="eastAsia" w:ascii="宋体" w:hAnsi="宋体" w:eastAsia="宋体" w:cs="宋体"/>
                <w:kern w:val="2"/>
                <w:sz w:val="24"/>
                <w:szCs w:val="24"/>
                <w:lang w:val="en-US" w:eastAsia="zh-CN" w:bidi="ar-SA"/>
              </w:rPr>
            </w:pPr>
            <w:r>
              <w:rPr>
                <w:rFonts w:hint="eastAsia" w:ascii="宋体" w:hAnsi="宋体" w:cs="宋体"/>
                <w:kern w:val="0"/>
                <w:sz w:val="24"/>
              </w:rPr>
              <w:t>中小企业划型标准详见：工信部联企业〔2011〕300号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firstLine="240" w:firstLineChars="100"/>
              <w:rPr>
                <w:rFonts w:hint="eastAsia" w:ascii="宋体" w:hAnsi="宋体" w:eastAsia="宋体" w:cs="宋体"/>
                <w:kern w:val="2"/>
                <w:sz w:val="24"/>
                <w:szCs w:val="24"/>
                <w:lang w:val="en-US" w:eastAsia="zh-CN" w:bidi="ar-SA"/>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bCs/>
                <w:kern w:val="2"/>
                <w:sz w:val="24"/>
                <w:szCs w:val="24"/>
                <w:lang w:val="en-US" w:eastAsia="zh-CN" w:bidi="ar-SA"/>
              </w:rPr>
            </w:pPr>
            <w:r>
              <w:rPr>
                <w:rFonts w:hint="eastAsia" w:ascii="宋体" w:hAnsi="宋体" w:cs="宋体"/>
                <w:b/>
                <w:bCs/>
                <w:sz w:val="24"/>
              </w:rPr>
              <w:t>是否允许采购进口产品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hint="eastAsia" w:ascii="宋体" w:hAnsi="宋体" w:eastAsia="宋体" w:cs="宋体"/>
                <w:kern w:val="2"/>
                <w:sz w:val="24"/>
                <w:szCs w:val="24"/>
                <w:lang w:val="en-US" w:eastAsia="zh-CN" w:bidi="ar-SA"/>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kern w:val="2"/>
                <w:sz w:val="24"/>
                <w:szCs w:val="24"/>
                <w:lang w:val="en-US" w:eastAsia="zh-CN" w:bidi="ar-SA"/>
              </w:rPr>
            </w:pPr>
            <w:r>
              <w:rPr>
                <w:rFonts w:hint="eastAsia" w:ascii="宋体" w:hAnsi="宋体" w:cs="宋体"/>
                <w:b/>
                <w:sz w:val="24"/>
              </w:rPr>
              <w:t>分包</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A</w:t>
            </w:r>
            <w:r>
              <w:rPr>
                <w:rFonts w:hint="eastAsia" w:ascii="宋体" w:hAnsi="宋体" w:cs="宋体"/>
                <w:sz w:val="24"/>
              </w:rPr>
              <w:t>同意将检测资质外的检测项目</w:t>
            </w:r>
            <w:r>
              <w:rPr>
                <w:rFonts w:hint="eastAsia" w:ascii="宋体" w:hAnsi="宋体" w:cs="宋体"/>
                <w:sz w:val="24"/>
                <w:lang w:eastAsia="zh-CN"/>
              </w:rPr>
              <w:t>进行分包</w:t>
            </w:r>
            <w:r>
              <w:rPr>
                <w:rFonts w:hint="eastAsia" w:ascii="宋体" w:hAnsi="宋体" w:cs="宋体"/>
                <w:sz w:val="24"/>
              </w:rPr>
              <w:t>；检测单位应具有相应项目的检测资质。</w:t>
            </w:r>
          </w:p>
          <w:p>
            <w:pPr>
              <w:spacing w:line="360" w:lineRule="auto"/>
              <w:rPr>
                <w:rFonts w:hint="eastAsia" w:ascii="宋体" w:hAnsi="宋体" w:eastAsia="宋体" w:cs="宋体"/>
                <w:kern w:val="2"/>
                <w:sz w:val="24"/>
                <w:szCs w:val="24"/>
                <w:lang w:val="en-US" w:eastAsia="zh-CN" w:bidi="ar-SA"/>
              </w:rPr>
            </w:pPr>
            <w:r>
              <w:rPr>
                <w:rFonts w:hint="eastAsia" w:ascii="宋体" w:hAnsi="宋体" w:cs="宋体"/>
                <w:kern w:val="0"/>
                <w:sz w:val="24"/>
              </w:rPr>
              <w:t xml:space="preserve"> </w:t>
            </w:r>
            <w:sdt>
              <w:sdtPr>
                <w:rPr>
                  <w:rFonts w:hint="eastAsia" w:ascii="宋体" w:hAnsi="宋体" w:cs="宋体"/>
                  <w:kern w:val="0"/>
                  <w:sz w:val="24"/>
                </w:rPr>
                <w:id w:val="-1276331357"/>
                <w:showingPlcHdr/>
              </w:sdtPr>
              <w:sdtEndPr>
                <w:rPr>
                  <w:rFonts w:hint="eastAsia" w:ascii="宋体" w:hAnsi="宋体" w:cs="宋体"/>
                  <w:kern w:val="0"/>
                  <w:sz w:val="24"/>
                </w:rPr>
              </w:sdtEndPr>
              <w:sdtContent>
                <w:r>
                  <w:rPr>
                    <w:rFonts w:ascii="Wingdings" w:hAnsi="Wingdings" w:cs="宋体"/>
                    <w:kern w:val="0"/>
                    <w:sz w:val="24"/>
                  </w:rPr>
                  <w:sym w:font="Wingdings" w:char="00FE"/>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kern w:val="2"/>
                <w:sz w:val="24"/>
                <w:szCs w:val="24"/>
                <w:lang w:val="en-US" w:eastAsia="zh-CN" w:bidi="ar-SA"/>
              </w:rPr>
            </w:pPr>
            <w:r>
              <w:rPr>
                <w:rFonts w:hint="eastAsia" w:ascii="宋体" w:hAnsi="宋体" w:cs="宋体"/>
                <w:b/>
                <w:sz w:val="24"/>
              </w:rPr>
              <w:t>开标前答疑会或现场考察</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kern w:val="2"/>
                <w:sz w:val="24"/>
                <w:szCs w:val="20"/>
                <w:lang w:val="en-US" w:eastAsia="zh-CN" w:bidi="ar-SA"/>
              </w:rPr>
            </w:pPr>
            <w:sdt>
              <w:sdtPr>
                <w:rPr>
                  <w:rFonts w:hint="eastAsia" w:ascii="宋体" w:hAnsi="宋体" w:cs="宋体"/>
                  <w:kern w:val="0"/>
                  <w:sz w:val="24"/>
                </w:rPr>
                <w:id w:val="-212966419"/>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eastAsia="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kern w:val="2"/>
                <w:sz w:val="24"/>
                <w:szCs w:val="24"/>
                <w:lang w:val="en-US" w:eastAsia="zh-CN" w:bidi="ar-SA"/>
              </w:rPr>
            </w:pPr>
            <w:r>
              <w:rPr>
                <w:rFonts w:hint="eastAsia" w:ascii="宋体" w:hAnsi="宋体" w:cs="宋体"/>
                <w:sz w:val="24"/>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kern w:val="2"/>
                <w:sz w:val="24"/>
                <w:szCs w:val="24"/>
                <w:lang w:val="en-US" w:eastAsia="zh-CN" w:bidi="ar-SA"/>
              </w:rPr>
            </w:pPr>
            <w:r>
              <w:rPr>
                <w:rFonts w:hint="eastAsia" w:ascii="宋体" w:hAnsi="宋体" w:eastAsia="宋体" w:cs="宋体"/>
                <w:b/>
                <w:sz w:val="24"/>
              </w:rPr>
              <w:t>样品提供</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b/>
                <w:kern w:val="2"/>
                <w:sz w:val="24"/>
                <w:szCs w:val="24"/>
                <w:lang w:val="en-US" w:eastAsia="zh-CN" w:bidi="ar-SA"/>
              </w:rPr>
            </w:pPr>
            <w:sdt>
              <w:sdtPr>
                <w:rPr>
                  <w:rFonts w:hint="eastAsia" w:ascii="宋体" w:hAnsi="宋体" w:cs="宋体"/>
                  <w:kern w:val="0"/>
                  <w:sz w:val="24"/>
                </w:rPr>
                <w:id w:val="-163994648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7"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kern w:val="2"/>
                <w:sz w:val="24"/>
                <w:szCs w:val="24"/>
                <w:lang w:val="en-US" w:eastAsia="zh-CN" w:bidi="ar-SA"/>
              </w:rPr>
            </w:pPr>
            <w:r>
              <w:rPr>
                <w:rFonts w:hint="eastAsia" w:ascii="宋体" w:hAnsi="宋体" w:eastAsia="宋体" w:cs="宋体"/>
                <w:b/>
                <w:sz w:val="24"/>
              </w:rPr>
              <w:t>方案讲解演示</w:t>
            </w:r>
          </w:p>
        </w:tc>
        <w:tc>
          <w:tcPr>
            <w:tcW w:w="6506" w:type="dxa"/>
            <w:tcBorders>
              <w:top w:val="single" w:color="000000" w:sz="8" w:space="0"/>
              <w:left w:val="single" w:color="000000" w:sz="2" w:space="0"/>
              <w:bottom w:val="single" w:color="000000" w:sz="8" w:space="0"/>
              <w:right w:val="single" w:color="000000" w:sz="8" w:space="0"/>
            </w:tcBorders>
            <w:vAlign w:val="center"/>
          </w:tcPr>
          <w:p>
            <w:pPr>
              <w:pStyle w:val="4"/>
              <w:ind w:left="432" w:leftChars="0" w:hanging="432" w:firstLineChars="0"/>
              <w:rPr>
                <w:rFonts w:hint="eastAsia" w:ascii="FangSong_GB2312" w:hAnsi="仿宋" w:eastAsia="FangSong_GB2312" w:cs="Times New Roman"/>
                <w:b/>
                <w:bCs/>
                <w:kern w:val="2"/>
                <w:sz w:val="32"/>
                <w:szCs w:val="32"/>
                <w:lang w:val="en-US" w:eastAsia="zh-CN" w:bidi="ar-SA"/>
              </w:rPr>
            </w:pPr>
            <w:sdt>
              <w:sdtPr>
                <w:rPr>
                  <w:rFonts w:hint="eastAsia" w:ascii="宋体" w:hAnsi="宋体" w:cs="宋体"/>
                  <w:kern w:val="0"/>
                  <w:sz w:val="24"/>
                </w:rPr>
                <w:id w:val="1174071719"/>
              </w:sdtPr>
              <w:sdtEndPr>
                <w:rPr>
                  <w:rFonts w:hint="eastAsia" w:ascii="宋体" w:hAnsi="宋体" w:cs="宋体"/>
                  <w:kern w:val="0"/>
                  <w:sz w:val="24"/>
                </w:rPr>
              </w:sdtEndPr>
              <w:sdtContent>
                <w:sdt>
                  <w:sdtPr>
                    <w:rPr>
                      <w:rFonts w:hint="eastAsia" w:ascii="宋体" w:hAnsi="宋体" w:cs="宋体"/>
                      <w:kern w:val="0"/>
                      <w:sz w:val="24"/>
                    </w:rPr>
                    <w:id w:val="-745085441"/>
                  </w:sdtPr>
                  <w:sdtEndPr>
                    <w:rPr>
                      <w:rFonts w:hint="eastAsia" w:ascii="宋体" w:hAnsi="宋体" w:cs="宋体"/>
                      <w:kern w:val="0"/>
                      <w:sz w:val="24"/>
                    </w:rPr>
                  </w:sdtEndPr>
                  <w:sdtContent>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b w:val="0"/>
                          <w:bCs w:val="0"/>
                          <w:kern w:val="0"/>
                          <w:sz w:val="24"/>
                        </w:rPr>
                      </w:sdtEndPr>
                      <w:sdtContent>
                        <w:r>
                          <w:rPr>
                            <w:rFonts w:hint="eastAsia" w:ascii="Wingdings" w:hAnsi="Wingdings" w:cs="宋体"/>
                            <w:b w:val="0"/>
                            <w:bCs w:val="0"/>
                            <w:kern w:val="0"/>
                            <w:sz w:val="24"/>
                          </w:rPr>
                          <w:t>þ</w:t>
                        </w:r>
                      </w:sdtContent>
                    </w:sdt>
                    <w:r>
                      <w:rPr>
                        <w:rFonts w:hint="eastAsia" w:ascii="宋体" w:hAnsi="宋体" w:eastAsia="宋体" w:cs="宋体"/>
                        <w:b w:val="0"/>
                        <w:bCs w:val="0"/>
                        <w:kern w:val="0"/>
                        <w:sz w:val="24"/>
                      </w:rPr>
                      <w:t>A</w:t>
                    </w:r>
                    <w:r>
                      <w:rPr>
                        <w:rFonts w:hint="eastAsia" w:ascii="宋体" w:hAnsi="宋体" w:eastAsia="宋体" w:cs="宋体"/>
                        <w:b w:val="0"/>
                        <w:bCs w:val="0"/>
                        <w:kern w:val="0"/>
                        <w:sz w:val="24"/>
                        <w:lang w:val="en-US" w:eastAsia="zh-CN"/>
                      </w:rPr>
                      <w:t>不组织</w:t>
                    </w:r>
                    <w:r>
                      <w:rPr>
                        <w:rFonts w:hint="eastAsia" w:ascii="宋体" w:hAnsi="宋体" w:eastAsia="宋体" w:cs="宋体"/>
                        <w:b w:val="0"/>
                        <w:bCs w:val="0"/>
                        <w:sz w:val="24"/>
                      </w:rPr>
                      <w:t>。</w:t>
                    </w:r>
                  </w:sdtContent>
                </w:sdt>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eastAsia" w:ascii="宋体" w:hAnsi="宋体" w:eastAsia="宋体" w:cs="宋体"/>
                <w:sz w:val="24"/>
                <w:lang w:eastAsia="zh-CN"/>
              </w:rPr>
            </w:pPr>
            <w:r>
              <w:rPr>
                <w:rFonts w:hint="eastAsia" w:ascii="宋体" w:hAnsi="宋体" w:cs="宋体"/>
                <w:sz w:val="24"/>
                <w:lang w:val="en-US" w:eastAsia="zh-CN"/>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506"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506"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9</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eastAsia="宋体" w:cs="宋体"/>
                <w:b/>
                <w:kern w:val="2"/>
                <w:sz w:val="24"/>
                <w:szCs w:val="24"/>
                <w:lang w:val="en-US" w:eastAsia="zh-CN" w:bidi="ar-SA"/>
              </w:rPr>
            </w:pPr>
            <w:r>
              <w:rPr>
                <w:rFonts w:hint="eastAsia" w:ascii="宋体" w:hAnsi="宋体" w:cs="宋体"/>
                <w:b/>
                <w:sz w:val="24"/>
              </w:rPr>
              <w:t>节能产品、环境标志产品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kern w:val="2"/>
                <w:sz w:val="24"/>
                <w:szCs w:val="24"/>
                <w:lang w:val="en-US" w:eastAsia="zh-CN" w:bidi="ar-SA"/>
              </w:rPr>
            </w:pPr>
            <w:r>
              <w:rPr>
                <w:rFonts w:hint="eastAsia" w:ascii="宋体" w:hAnsi="宋体" w:cs="宋体"/>
                <w:sz w:val="24"/>
              </w:rPr>
              <w:t>1</w:t>
            </w:r>
            <w:r>
              <w:rPr>
                <w:rFonts w:hint="eastAsia" w:ascii="宋体" w:hAnsi="宋体" w:cs="宋体"/>
                <w:sz w:val="24"/>
                <w:lang w:val="en-US" w:eastAsia="zh-CN"/>
              </w:rPr>
              <w:t>0</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kern w:val="2"/>
                <w:sz w:val="24"/>
                <w:szCs w:val="24"/>
                <w:lang w:val="en-US" w:eastAsia="zh-CN" w:bidi="ar-SA"/>
              </w:rPr>
            </w:pPr>
            <w:r>
              <w:rPr>
                <w:rFonts w:hint="eastAsia" w:ascii="宋体" w:hAnsi="宋体" w:cs="宋体"/>
                <w:b/>
                <w:sz w:val="24"/>
              </w:rPr>
              <w:t>报价要求</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。投标文件中价格全部采用折扣率报价。招标文件未列明，而投标人认为必需的费用也需列入报价。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eastAsia="宋体" w:cs="宋体"/>
                <w:kern w:val="2"/>
                <w:sz w:val="24"/>
                <w:szCs w:val="24"/>
                <w:lang w:val="en-US" w:eastAsia="zh-CN" w:bidi="ar-SA"/>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ascii="宋体" w:hAnsi="宋体" w:cs="宋体"/>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jc w:val="center"/>
              <w:rPr>
                <w:rFonts w:ascii="宋体" w:hAnsi="宋体" w:cs="宋体"/>
              </w:rPr>
            </w:pP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备份投标文件送达地点和签收人员</w:t>
            </w:r>
          </w:p>
        </w:tc>
        <w:tc>
          <w:tcPr>
            <w:tcW w:w="6506" w:type="dxa"/>
            <w:tcBorders>
              <w:top w:val="single" w:color="000000" w:sz="8" w:space="0"/>
              <w:left w:val="single" w:color="000000" w:sz="2" w:space="0"/>
              <w:bottom w:val="single" w:color="000000" w:sz="8" w:space="0"/>
              <w:right w:val="single" w:color="000000" w:sz="8" w:space="0"/>
            </w:tcBorders>
            <w:vAlign w:val="center"/>
          </w:tcPr>
          <w:p>
            <w:pPr>
              <w:pStyle w:val="9"/>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u w:val="single"/>
                <w:lang w:val="en-US" w:eastAsia="zh-CN"/>
              </w:rPr>
              <w:t>杭州市</w:t>
            </w:r>
            <w:r>
              <w:rPr>
                <w:rFonts w:hint="eastAsia" w:hAnsi="宋体" w:cs="宋体"/>
                <w:sz w:val="24"/>
                <w:u w:val="single"/>
                <w:lang w:eastAsia="zh-CN"/>
              </w:rPr>
              <w:t>桐庐县城南街道迎春南路61号萧商大厦20楼</w:t>
            </w:r>
            <w:r>
              <w:rPr>
                <w:rFonts w:hint="eastAsia" w:hAnsi="宋体" w:cs="宋体"/>
                <w:kern w:val="28"/>
                <w:sz w:val="24"/>
                <w:szCs w:val="24"/>
              </w:rPr>
              <w:t>；备份投标文件签收人员：</w:t>
            </w:r>
            <w:r>
              <w:rPr>
                <w:rFonts w:hint="eastAsia" w:hAnsi="宋体" w:cs="宋体"/>
                <w:kern w:val="28"/>
                <w:sz w:val="24"/>
                <w:szCs w:val="24"/>
                <w:u w:val="single"/>
                <w:lang w:eastAsia="zh-CN"/>
              </w:rPr>
              <w:t>王超</w:t>
            </w:r>
            <w:r>
              <w:rPr>
                <w:rFonts w:hint="eastAsia" w:hAnsi="宋体" w:cs="宋体"/>
                <w:kern w:val="28"/>
                <w:sz w:val="24"/>
                <w:szCs w:val="24"/>
              </w:rPr>
              <w:t>，联系电话：</w:t>
            </w:r>
            <w:r>
              <w:rPr>
                <w:rFonts w:hint="eastAsia" w:hAnsi="宋体" w:cs="宋体"/>
                <w:sz w:val="24"/>
                <w:u w:val="single"/>
                <w:lang w:eastAsia="zh-CN"/>
              </w:rPr>
              <w:t>13758248175</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pacing w:line="360" w:lineRule="auto"/>
              <w:jc w:val="center"/>
              <w:rPr>
                <w:rFonts w:ascii="宋体" w:hAnsi="宋体" w:cs="宋体"/>
                <w:b/>
                <w:sz w:val="24"/>
              </w:rPr>
            </w:pPr>
            <w:r>
              <w:rPr>
                <w:rFonts w:hint="eastAsia" w:ascii="宋体" w:hAnsi="宋体" w:cs="宋体"/>
                <w:b/>
                <w:bCs/>
                <w:sz w:val="24"/>
              </w:rPr>
              <w:t>代理服务费</w:t>
            </w:r>
          </w:p>
        </w:tc>
        <w:tc>
          <w:tcPr>
            <w:tcW w:w="6506" w:type="dxa"/>
            <w:tcBorders>
              <w:top w:val="single" w:color="000000" w:sz="8" w:space="0"/>
              <w:left w:val="single" w:color="000000" w:sz="2" w:space="0"/>
              <w:bottom w:val="single" w:color="000000" w:sz="8" w:space="0"/>
              <w:right w:val="single" w:color="000000" w:sz="8" w:space="0"/>
            </w:tcBorders>
            <w:vAlign w:val="center"/>
          </w:tcPr>
          <w:p>
            <w:pPr>
              <w:widowControl/>
              <w:spacing w:line="360" w:lineRule="auto"/>
              <w:jc w:val="left"/>
              <w:rPr>
                <w:rFonts w:ascii="宋体" w:hAnsi="宋体" w:cs="宋体"/>
                <w:snapToGrid w:val="0"/>
                <w:kern w:val="28"/>
                <w:sz w:val="24"/>
              </w:rPr>
            </w:pPr>
            <w:r>
              <w:rPr>
                <w:rFonts w:hint="eastAsia" w:ascii="宋体" w:hAnsi="宋体" w:cs="宋体"/>
                <w:bCs/>
                <w:sz w:val="24"/>
              </w:rPr>
              <w:t>本次采购的招标代理服务费</w:t>
            </w:r>
            <w:r>
              <w:rPr>
                <w:rFonts w:hint="eastAsia" w:cs="宋体" w:asciiTheme="minorEastAsia" w:hAnsiTheme="minorEastAsia" w:eastAsiaTheme="minorEastAsia"/>
                <w:snapToGrid w:val="0"/>
                <w:kern w:val="28"/>
                <w:sz w:val="24"/>
              </w:rPr>
              <w:t>按</w:t>
            </w:r>
            <w:r>
              <w:rPr>
                <w:rFonts w:hint="eastAsia" w:cs="宋体" w:asciiTheme="minorEastAsia" w:hAnsiTheme="minorEastAsia" w:eastAsiaTheme="minorEastAsia"/>
                <w:snapToGrid w:val="0"/>
                <w:kern w:val="28"/>
                <w:sz w:val="24"/>
                <w:lang w:val="en-US" w:eastAsia="zh-CN"/>
              </w:rPr>
              <w:t>8000元</w:t>
            </w:r>
            <w:r>
              <w:rPr>
                <w:rFonts w:hint="eastAsia" w:ascii="宋体" w:hAnsi="宋体" w:cs="宋体"/>
                <w:bCs/>
                <w:sz w:val="24"/>
              </w:rPr>
              <w:t>收取；由中标（成交）供应商在领取中标通知书前一次性支付给代理公司，上述费用应含在投标报价中（不得单独列项），供应商在投标报价中考虑上述费用。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bCs/>
                <w:sz w:val="24"/>
              </w:rPr>
            </w:pPr>
            <w:r>
              <w:rPr>
                <w:rFonts w:hint="eastAsia" w:ascii="宋体" w:hAnsi="宋体" w:cs="宋体"/>
                <w:bCs/>
                <w:sz w:val="24"/>
              </w:rPr>
              <w:t>无</w:t>
            </w:r>
          </w:p>
        </w:tc>
      </w:tr>
    </w:tbl>
    <w:p>
      <w:pPr>
        <w:snapToGrid w:val="0"/>
        <w:spacing w:line="360" w:lineRule="auto"/>
        <w:jc w:val="center"/>
        <w:rPr>
          <w:rFonts w:ascii="宋体" w:hAnsi="宋体" w:cs="宋体"/>
          <w:b/>
          <w:sz w:val="32"/>
          <w:szCs w:val="20"/>
        </w:rPr>
      </w:pPr>
    </w:p>
    <w:bookmarkEnd w:id="7"/>
    <w:p>
      <w:pPr>
        <w:adjustRightInd/>
        <w:spacing w:line="360" w:lineRule="auto"/>
        <w:ind w:firstLine="3845" w:firstLineChars="1197"/>
        <w:outlineLvl w:val="0"/>
        <w:rPr>
          <w:rFonts w:hint="eastAsia" w:ascii="宋体" w:hAnsi="宋体" w:cs="宋体"/>
          <w:b/>
          <w:sz w:val="32"/>
          <w:szCs w:val="20"/>
        </w:rPr>
      </w:pPr>
      <w:bookmarkStart w:id="8" w:name="_Toc164416483"/>
      <w:bookmarkStart w:id="9" w:name="第三部分"/>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系指实质性要求条款，“★”系产品采购项目中单一产品或核心产品，“</w:t>
      </w:r>
      <w:sdt>
        <w:sdtPr>
          <w:rPr>
            <w:rFonts w:hint="eastAsia" w:ascii="宋体" w:hAnsi="宋体" w:cs="宋体"/>
            <w:kern w:val="0"/>
            <w:sz w:val="24"/>
          </w:rPr>
          <w:id w:val="51297023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3.3.2.2在工程采购项目中，工程由中小企业承建，即工程施工单位为中小企业；</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-20%（招标文件第四部分评标办法明确具体的扣除比例，未明确的，给予20%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b/>
          <w:sz w:val="24"/>
        </w:rPr>
      </w:pPr>
      <w:r>
        <w:rPr>
          <w:rFonts w:hint="eastAsia" w:ascii="宋体" w:hAnsi="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4.2供应商质疑</w:t>
      </w:r>
    </w:p>
    <w:p>
      <w:pPr>
        <w:pStyle w:val="9"/>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9"/>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4.2.2.2对采购过程提出质疑的，质疑期限为各采购程序环节结束之日起计算。对同一采购程序环节的质疑，供应商须一次性提出。</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4.2.2.3对采购结果提出质疑的，质疑期限自采购结果公告期限届满之日起计算。</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4.2.3供应商提出质疑应当提交质疑函和必要的证明材料。质疑函应当包括下列内容：</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4.2.3.1供应商的姓名或者名称、地址、邮编、联系人及联系电话；</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4.2.3.2质疑项目的名称、编号；</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4.2.3.3具体、明确的质疑事项和与质疑事项相关的请求；</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4.2.3.4事实依据；</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4.2.3.5必要的法律依据；</w:t>
      </w:r>
    </w:p>
    <w:p>
      <w:pPr>
        <w:pStyle w:val="9"/>
        <w:spacing w:line="360" w:lineRule="auto"/>
        <w:ind w:firstLine="480" w:firstLineChars="200"/>
        <w:rPr>
          <w:rFonts w:hAnsi="宋体" w:cs="宋体"/>
          <w:kern w:val="0"/>
          <w:sz w:val="24"/>
          <w:lang w:val="zh-CN"/>
        </w:rPr>
      </w:pPr>
      <w:r>
        <w:rPr>
          <w:rFonts w:hint="eastAsia" w:hAnsi="宋体" w:cs="宋体"/>
          <w:kern w:val="0"/>
          <w:sz w:val="24"/>
          <w:lang w:val="zh-CN"/>
        </w:rPr>
        <w:t>4.2.3.6提出质疑的日期。</w:t>
      </w:r>
    </w:p>
    <w:p>
      <w:pPr>
        <w:pStyle w:val="9"/>
        <w:spacing w:line="360" w:lineRule="auto"/>
        <w:ind w:firstLine="480" w:firstLineChars="200"/>
        <w:rPr>
          <w:rFonts w:hAnsi="宋体" w:cs="宋体"/>
        </w:rPr>
      </w:pPr>
      <w:r>
        <w:rPr>
          <w:rFonts w:hint="eastAsia" w:hAnsi="宋体" w:cs="宋体"/>
          <w:kern w:val="0"/>
          <w:sz w:val="24"/>
          <w:lang w:val="zh-CN"/>
        </w:rPr>
        <w:t>供应商提交的质疑函需一式三份。供应商为自然人的，应当由本人签字；供应商为法人或者其他组织的，应当由法定代表人、主要负责人，或者其授权代表签字或者盖章，并加盖公章。</w:t>
      </w:r>
    </w:p>
    <w:p>
      <w:pPr>
        <w:pStyle w:val="22"/>
        <w:shd w:val="clear" w:color="auto" w:fill="FFFFFF"/>
        <w:snapToGrid w:val="0"/>
        <w:spacing w:after="240" w:afterAutospacing="0" w:line="360" w:lineRule="auto"/>
        <w:ind w:firstLine="400"/>
        <w:contextualSpacing/>
      </w:pPr>
      <w:r>
        <w:rPr>
          <w:rFonts w:hint="eastAsia"/>
        </w:rPr>
        <w:t>质疑函范本及制作说明详见附件2。</w:t>
      </w:r>
    </w:p>
    <w:p>
      <w:pPr>
        <w:pStyle w:val="22"/>
        <w:shd w:val="clear" w:color="auto" w:fill="FFFFFF"/>
        <w:snapToGrid w:val="0"/>
        <w:spacing w:after="240" w:afterAutospacing="0" w:line="360" w:lineRule="auto"/>
        <w:ind w:firstLine="400"/>
        <w:contextualSpacing/>
      </w:pPr>
      <w:r>
        <w:rPr>
          <w:rFonts w:hint="eastAsia"/>
          <w:lang w:val="zh-CN"/>
        </w:rPr>
        <w:t>4.2</w:t>
      </w:r>
      <w:r>
        <w:rPr>
          <w:rFonts w:hint="eastAsia"/>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22"/>
        <w:shd w:val="clear" w:color="auto" w:fill="FFFFFF"/>
        <w:snapToGrid w:val="0"/>
        <w:spacing w:after="240" w:afterAutospacing="0" w:line="360" w:lineRule="auto"/>
        <w:ind w:firstLine="400"/>
        <w:contextualSpacing/>
      </w:pPr>
      <w:r>
        <w:rPr>
          <w:rFonts w:hint="eastAsia"/>
          <w:lang w:val="zh-CN"/>
        </w:rPr>
        <w:t>4.2</w:t>
      </w:r>
      <w:r>
        <w:rPr>
          <w:rFonts w:hint="eastAsia"/>
        </w:rPr>
        <w:t>.5询问或者质疑事项可能影响采购结果的，采购人应当暂停签订合同，已经签订合同的，应当中止履行合同。</w:t>
      </w:r>
    </w:p>
    <w:p>
      <w:pPr>
        <w:pStyle w:val="22"/>
        <w:shd w:val="clear" w:color="auto" w:fill="FFFFFF"/>
        <w:snapToGrid w:val="0"/>
        <w:spacing w:after="240" w:afterAutospacing="0" w:line="360" w:lineRule="auto"/>
        <w:ind w:firstLine="480" w:firstLineChars="200"/>
        <w:contextualSpacing/>
        <w:rPr>
          <w:lang w:val="zh-CN"/>
        </w:rPr>
      </w:pPr>
      <w:r>
        <w:rPr>
          <w:rFonts w:hint="eastAsia"/>
          <w:lang w:val="zh-CN"/>
        </w:rPr>
        <w:t>4.3供应商投诉</w:t>
      </w:r>
    </w:p>
    <w:p>
      <w:pPr>
        <w:pStyle w:val="22"/>
        <w:shd w:val="clear" w:color="auto" w:fill="FFFFFF"/>
        <w:snapToGrid w:val="0"/>
        <w:spacing w:after="240" w:afterAutospacing="0" w:line="360" w:lineRule="auto"/>
        <w:ind w:firstLine="400"/>
        <w:contextualSpacing/>
      </w:pPr>
      <w:r>
        <w:rPr>
          <w:rFonts w:hint="eastAsia"/>
        </w:rPr>
        <w:t>4.3.1质疑供应商对采购人、采购机构的答复不满意或者采购人、采购机构未在规定的时间内作出答复的，可以在答复期满后十五个工作日内向同级政府采购监督管理部门提出投诉。</w:t>
      </w:r>
    </w:p>
    <w:p>
      <w:pPr>
        <w:pStyle w:val="22"/>
        <w:shd w:val="clear" w:color="auto" w:fill="FFFFFF"/>
        <w:snapToGrid w:val="0"/>
        <w:spacing w:after="240" w:afterAutospacing="0" w:line="360" w:lineRule="auto"/>
        <w:ind w:firstLine="400"/>
        <w:contextualSpacing/>
      </w:pPr>
      <w:r>
        <w:rPr>
          <w:rFonts w:hint="eastAsia"/>
        </w:rPr>
        <w:t>4.3.</w:t>
      </w:r>
      <w:r>
        <w:rPr>
          <w:rFonts w:hint="eastAsia"/>
          <w:lang w:val="zh-CN"/>
        </w:rPr>
        <w:t>2</w:t>
      </w:r>
      <w:r>
        <w:rPr>
          <w:rFonts w:hint="eastAsia"/>
        </w:rPr>
        <w:t>供应商投诉的事项不得超出已质疑事项的范围，基于质疑答复内容提出的投诉事项除外。</w:t>
      </w:r>
    </w:p>
    <w:p>
      <w:pPr>
        <w:pStyle w:val="22"/>
        <w:shd w:val="clear" w:color="auto" w:fill="FFFFFF"/>
        <w:snapToGrid w:val="0"/>
        <w:spacing w:after="240" w:afterAutospacing="0" w:line="360" w:lineRule="auto"/>
        <w:ind w:firstLine="400"/>
        <w:contextualSpacing/>
      </w:pPr>
      <w:r>
        <w:rPr>
          <w:rFonts w:hint="eastAsia"/>
        </w:rPr>
        <w:t>4.3.3供应商投诉应当有明确的请求和必要的证明材料。</w:t>
      </w:r>
    </w:p>
    <w:p>
      <w:pPr>
        <w:pStyle w:val="22"/>
        <w:shd w:val="clear" w:color="auto" w:fill="FFFFFF"/>
        <w:snapToGrid w:val="0"/>
        <w:spacing w:after="240" w:afterAutospacing="0" w:line="360" w:lineRule="auto"/>
        <w:ind w:firstLine="400"/>
        <w:contextualSpacing/>
      </w:pPr>
      <w:r>
        <w:rPr>
          <w:rFonts w:hint="eastAsia"/>
        </w:rPr>
        <w:t>4.3.5 以联合体形式参加政府采购活动的，其投诉应当由组成联合体的所有供应商共同提出。</w:t>
      </w:r>
    </w:p>
    <w:p>
      <w:pPr>
        <w:pStyle w:val="22"/>
        <w:shd w:val="clear" w:color="auto" w:fill="FFFFFF"/>
        <w:snapToGrid w:val="0"/>
        <w:spacing w:after="240" w:afterAutospacing="0" w:line="360" w:lineRule="auto"/>
        <w:ind w:firstLine="400"/>
        <w:contextualSpacing/>
      </w:pPr>
      <w:r>
        <w:rPr>
          <w:rFonts w:hint="eastAsia"/>
        </w:rPr>
        <w:t>投诉书范本及制作说明详见附件3。</w:t>
      </w:r>
    </w:p>
    <w:p>
      <w:pPr>
        <w:pStyle w:val="22"/>
        <w:shd w:val="clear" w:color="auto" w:fill="FFFFFF"/>
        <w:snapToGrid w:val="0"/>
        <w:spacing w:after="240" w:afterAutospacing="0" w:line="360" w:lineRule="auto"/>
        <w:ind w:firstLine="400"/>
        <w:contextualSpacing/>
      </w:pPr>
    </w:p>
    <w:p>
      <w:pPr>
        <w:pStyle w:val="22"/>
        <w:shd w:val="clear" w:color="auto" w:fill="FFFFFF"/>
        <w:snapToGrid w:val="0"/>
        <w:spacing w:after="240" w:afterAutospacing="0" w:line="360" w:lineRule="auto"/>
        <w:ind w:firstLine="400"/>
        <w:contextualSpacing/>
        <w:jc w:val="center"/>
        <w:rPr>
          <w:b/>
          <w:sz w:val="30"/>
          <w:szCs w:val="20"/>
        </w:rPr>
      </w:pPr>
      <w:r>
        <w:rPr>
          <w:rFonts w:hint="eastAsia"/>
          <w:b/>
          <w:sz w:val="30"/>
          <w:szCs w:val="20"/>
        </w:rPr>
        <w:t>二、招标文件的构成、澄清、修改</w:t>
      </w:r>
    </w:p>
    <w:p>
      <w:pPr>
        <w:pStyle w:val="9"/>
        <w:spacing w:line="360" w:lineRule="auto"/>
        <w:rPr>
          <w:rFonts w:hAnsi="宋体" w:cs="宋体"/>
          <w:b/>
          <w:sz w:val="24"/>
          <w:szCs w:val="24"/>
        </w:rPr>
      </w:pPr>
      <w:r>
        <w:rPr>
          <w:rFonts w:hint="eastAsia" w:hAnsi="宋体" w:cs="宋体"/>
          <w:b/>
          <w:sz w:val="24"/>
          <w:szCs w:val="24"/>
        </w:rPr>
        <w:t>5．招标文件的构成</w:t>
      </w:r>
    </w:p>
    <w:p>
      <w:pPr>
        <w:pStyle w:val="9"/>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9"/>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9"/>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9"/>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9"/>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9"/>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9"/>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9"/>
        <w:spacing w:line="360" w:lineRule="auto"/>
        <w:rPr>
          <w:rFonts w:hAnsi="宋体" w:cs="宋体"/>
          <w:b/>
          <w:sz w:val="24"/>
          <w:szCs w:val="24"/>
        </w:rPr>
      </w:pPr>
      <w:r>
        <w:rPr>
          <w:rFonts w:hint="eastAsia" w:hAnsi="宋体" w:cs="宋体"/>
          <w:b/>
          <w:sz w:val="24"/>
          <w:szCs w:val="24"/>
        </w:rPr>
        <w:t>6. 招标文件的澄清、修改</w:t>
      </w:r>
    </w:p>
    <w:p>
      <w:pPr>
        <w:pStyle w:val="23"/>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pPr>
        <w:pStyle w:val="23"/>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snapToGrid w:val="0"/>
        <w:spacing w:before="0"/>
        <w:ind w:firstLine="480"/>
        <w:rPr>
          <w:rFonts w:ascii="宋体" w:hAnsi="宋体" w:cs="宋体"/>
        </w:rPr>
      </w:pPr>
    </w:p>
    <w:p>
      <w:pPr>
        <w:adjustRightInd/>
        <w:spacing w:line="360" w:lineRule="auto"/>
        <w:jc w:val="center"/>
        <w:outlineLvl w:val="0"/>
        <w:rPr>
          <w:rFonts w:hint="eastAsia" w:ascii="宋体" w:hAnsi="宋体" w:cs="宋体"/>
          <w:b/>
          <w:sz w:val="30"/>
          <w:szCs w:val="20"/>
        </w:rPr>
        <w:sectPr>
          <w:footerReference r:id="rId10" w:type="first"/>
          <w:footerReference r:id="rId9" w:type="default"/>
          <w:pgSz w:w="11906" w:h="16838"/>
          <w:pgMar w:top="1440" w:right="1418" w:bottom="1440" w:left="1418" w:header="851" w:footer="992" w:gutter="0"/>
          <w:pgBorders>
            <w:top w:val="none" w:sz="0" w:space="0"/>
            <w:left w:val="none" w:sz="0" w:space="0"/>
            <w:bottom w:val="none" w:sz="0" w:space="0"/>
            <w:right w:val="none" w:sz="0" w:space="0"/>
          </w:pgBorders>
          <w:pgNumType w:fmt="decimal" w:start="1"/>
          <w:cols w:space="0" w:num="1"/>
          <w:titlePg/>
          <w:docGrid w:linePitch="312" w:charSpace="0"/>
        </w:sectPr>
      </w:pP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9"/>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9"/>
        <w:spacing w:line="360" w:lineRule="auto"/>
        <w:rPr>
          <w:rFonts w:hAnsi="宋体" w:cs="宋体"/>
          <w:b/>
          <w:sz w:val="24"/>
          <w:szCs w:val="24"/>
        </w:rPr>
      </w:pPr>
      <w:r>
        <w:rPr>
          <w:rFonts w:hint="eastAsia" w:hAnsi="宋体" w:cs="宋体"/>
          <w:b/>
          <w:sz w:val="24"/>
          <w:szCs w:val="24"/>
        </w:rPr>
        <w:t>8.开标前答疑会或现场考察</w:t>
      </w:r>
    </w:p>
    <w:p>
      <w:pPr>
        <w:pStyle w:val="9"/>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9"/>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9"/>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9"/>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hint="eastAsia" w:ascii="宋体" w:hAnsi="宋体" w:eastAsia="宋体" w:cs="宋体"/>
          <w:sz w:val="24"/>
          <w:lang w:eastAsia="zh-CN"/>
        </w:rPr>
      </w:pPr>
      <w:r>
        <w:rPr>
          <w:rFonts w:hint="eastAsia" w:ascii="宋体" w:hAnsi="宋体" w:cs="宋体"/>
          <w:sz w:val="24"/>
        </w:rPr>
        <w:t>11.1.1提供有效的营业执照副本并加盖公章（或事业单位法人登记证或其他工商等登记证明材料）</w:t>
      </w:r>
      <w:r>
        <w:rPr>
          <w:rFonts w:hint="eastAsia" w:ascii="宋体" w:hAnsi="宋体" w:cs="宋体"/>
          <w:sz w:val="24"/>
          <w:lang w:eastAsia="zh-CN"/>
        </w:rPr>
        <w:t>；</w:t>
      </w:r>
    </w:p>
    <w:p>
      <w:pPr>
        <w:snapToGrid w:val="0"/>
        <w:spacing w:line="360" w:lineRule="auto"/>
        <w:ind w:firstLine="960" w:firstLineChars="400"/>
        <w:rPr>
          <w:rFonts w:hint="eastAsia" w:ascii="宋体" w:hAnsi="宋体" w:cs="宋体"/>
          <w:sz w:val="24"/>
        </w:rPr>
      </w:pPr>
      <w:r>
        <w:rPr>
          <w:rFonts w:hint="eastAsia" w:ascii="宋体" w:hAnsi="宋体" w:cs="宋体"/>
          <w:sz w:val="24"/>
        </w:rPr>
        <w:t>11.1.2符合参加政府采购活动应当具备的一般条件的承诺函；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3</w:t>
      </w:r>
      <w:r>
        <w:rPr>
          <w:rFonts w:hint="eastAsia" w:ascii="宋体" w:hAnsi="宋体" w:cs="宋体"/>
          <w:sz w:val="24"/>
          <w:lang w:eastAsia="zh-CN"/>
        </w:rPr>
        <w:t>联合协议（如有）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4</w:t>
      </w:r>
      <w:r>
        <w:rPr>
          <w:rFonts w:hint="eastAsia" w:ascii="宋体" w:hAnsi="宋体" w:cs="宋体"/>
          <w:sz w:val="24"/>
        </w:rPr>
        <w:t>落实政府采购政策需满足的资格要求；</w:t>
      </w:r>
    </w:p>
    <w:p>
      <w:pPr>
        <w:snapToGrid w:val="0"/>
        <w:spacing w:line="360" w:lineRule="auto"/>
        <w:ind w:firstLine="960" w:firstLineChars="400"/>
        <w:rPr>
          <w:rFonts w:hint="eastAsia" w:ascii="宋体" w:hAnsi="宋体" w:eastAsia="宋体" w:cs="宋体"/>
          <w:sz w:val="24"/>
          <w:lang w:eastAsia="zh-CN"/>
        </w:rPr>
      </w:pPr>
      <w:r>
        <w:rPr>
          <w:rFonts w:hint="eastAsia" w:ascii="宋体" w:hAnsi="宋体" w:cs="宋体"/>
          <w:sz w:val="24"/>
        </w:rPr>
        <w:t>11.1.</w:t>
      </w:r>
      <w:r>
        <w:rPr>
          <w:rFonts w:hint="eastAsia" w:ascii="宋体" w:hAnsi="宋体" w:cs="宋体"/>
          <w:sz w:val="24"/>
          <w:lang w:val="en-US" w:eastAsia="zh-CN"/>
        </w:rPr>
        <w:t>5</w:t>
      </w:r>
      <w:r>
        <w:rPr>
          <w:rFonts w:hint="eastAsia" w:ascii="宋体" w:hAnsi="宋体" w:cs="宋体"/>
          <w:sz w:val="24"/>
        </w:rPr>
        <w:t>本项目的特定资格要求</w:t>
      </w:r>
      <w:r>
        <w:rPr>
          <w:rFonts w:hint="eastAsia" w:ascii="宋体" w:hAnsi="宋体" w:cs="宋体"/>
          <w:sz w:val="24"/>
          <w:lang w:eastAsia="zh-CN"/>
        </w:rPr>
        <w:t>；</w:t>
      </w:r>
    </w:p>
    <w:p>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2商务技术</w:t>
      </w:r>
      <w:r>
        <w:rPr>
          <w:rFonts w:hint="eastAsia" w:ascii="宋体" w:hAnsi="宋体" w:cs="宋体"/>
          <w:b/>
          <w:bCs/>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11.2.3符合性审查资料；</w:t>
      </w:r>
    </w:p>
    <w:p>
      <w:pPr>
        <w:snapToGrid w:val="0"/>
        <w:spacing w:line="360" w:lineRule="auto"/>
        <w:ind w:firstLine="960" w:firstLineChars="400"/>
        <w:rPr>
          <w:rFonts w:ascii="宋体" w:hAnsi="宋体" w:cs="宋体"/>
          <w:sz w:val="24"/>
        </w:rPr>
      </w:pPr>
      <w:r>
        <w:rPr>
          <w:rFonts w:hint="eastAsia" w:ascii="宋体" w:hAnsi="宋体" w:cs="宋体"/>
          <w:sz w:val="24"/>
        </w:rPr>
        <w:t>11.2.4评标标准相应的商务技术资料；</w:t>
      </w:r>
    </w:p>
    <w:p>
      <w:pPr>
        <w:snapToGrid w:val="0"/>
        <w:spacing w:line="360" w:lineRule="auto"/>
        <w:ind w:firstLine="960" w:firstLineChars="400"/>
        <w:rPr>
          <w:rFonts w:ascii="宋体" w:hAnsi="宋体" w:cs="宋体"/>
          <w:sz w:val="24"/>
          <w:lang w:val="zh-CN"/>
        </w:rPr>
      </w:pPr>
      <w:r>
        <w:rPr>
          <w:rFonts w:hint="eastAsia" w:ascii="宋体" w:hAnsi="宋体" w:cs="宋体"/>
          <w:sz w:val="24"/>
        </w:rPr>
        <w:t>11.2.5</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仿宋_GB2312"/>
          <w:color w:val="auto"/>
          <w:sz w:val="24"/>
        </w:rPr>
      </w:pPr>
      <w:r>
        <w:rPr>
          <w:rFonts w:ascii="宋体" w:hAnsi="宋体" w:cs="仿宋_GB2312"/>
          <w:color w:val="auto"/>
          <w:sz w:val="24"/>
        </w:rPr>
        <w:t>11.3.</w:t>
      </w:r>
      <w:r>
        <w:rPr>
          <w:rFonts w:hint="eastAsia" w:ascii="宋体" w:hAnsi="宋体" w:cs="仿宋_GB2312"/>
          <w:color w:val="auto"/>
          <w:sz w:val="24"/>
        </w:rPr>
        <w:t>2</w:t>
      </w:r>
      <w:r>
        <w:rPr>
          <w:rFonts w:ascii="宋体" w:hAnsi="宋体" w:cs="仿宋_GB2312"/>
          <w:color w:val="auto"/>
          <w:sz w:val="24"/>
        </w:rPr>
        <w:t>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23"/>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宋体" w:hAnsi="宋体" w:cs="宋体"/>
          <w:b/>
        </w:rPr>
        <w:t>▲</w:t>
      </w:r>
      <w:r>
        <w:rPr>
          <w:rFonts w:hint="eastAsia" w:ascii="宋体" w:hAnsi="宋体" w:cs="宋体"/>
          <w:b/>
          <w:sz w:val="24"/>
          <w:szCs w:val="20"/>
        </w:rPr>
        <w:t>投标文件未按规定的格式编制的，投标无效；</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23"/>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23"/>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23"/>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23"/>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23"/>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23"/>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23"/>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pPr>
        <w:pStyle w:val="9"/>
        <w:spacing w:line="360" w:lineRule="auto"/>
        <w:rPr>
          <w:rFonts w:hAnsi="宋体" w:cs="宋体"/>
          <w:b/>
          <w:sz w:val="24"/>
          <w:szCs w:val="24"/>
        </w:rPr>
      </w:pPr>
      <w:r>
        <w:rPr>
          <w:rFonts w:hint="eastAsia" w:hAnsi="宋体" w:cs="宋体"/>
          <w:b/>
          <w:sz w:val="24"/>
          <w:szCs w:val="24"/>
        </w:rPr>
        <w:t>15.备份投标文件</w:t>
      </w:r>
    </w:p>
    <w:p>
      <w:pPr>
        <w:pStyle w:val="9"/>
        <w:spacing w:line="360" w:lineRule="auto"/>
        <w:ind w:firstLine="480" w:firstLineChars="20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r>
        <w:rPr>
          <w:rFonts w:hint="eastAsia" w:cs="仿宋_GB2312" w:asciiTheme="minorEastAsia" w:hAnsiTheme="minorEastAsia" w:eastAsiaTheme="minorEastAsia"/>
          <w:bCs/>
          <w:sz w:val="24"/>
          <w:szCs w:val="24"/>
        </w:rPr>
        <w:t>如遇备份投标文件无法正常打开的，导致投标失败，由投标人自行负责。</w:t>
      </w:r>
    </w:p>
    <w:p>
      <w:pPr>
        <w:pStyle w:val="9"/>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DVD光盘或U盘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9"/>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pPr>
        <w:pStyle w:val="9"/>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pPr>
        <w:pStyle w:val="9"/>
        <w:spacing w:line="360" w:lineRule="auto"/>
        <w:ind w:firstLine="479" w:firstLineChars="199"/>
        <w:rPr>
          <w:rFonts w:hAnsi="宋体" w:cs="宋体"/>
          <w:b/>
          <w:sz w:val="24"/>
          <w:szCs w:val="24"/>
        </w:rPr>
      </w:pPr>
      <w:r>
        <w:rPr>
          <w:rFonts w:hint="eastAsia" w:hAnsi="宋体" w:cs="宋体"/>
          <w:b/>
          <w:sz w:val="24"/>
          <w:szCs w:val="24"/>
        </w:rPr>
        <w:t>15.5投标人仅提交备份投标文件，没有在电子交易平台传输递交投标文件的，投标无效。</w:t>
      </w:r>
    </w:p>
    <w:p>
      <w:pPr>
        <w:pStyle w:val="23"/>
        <w:spacing w:before="0"/>
        <w:ind w:firstLine="0" w:firstLineChars="0"/>
        <w:rPr>
          <w:rFonts w:ascii="宋体" w:hAnsi="宋体" w:cs="宋体"/>
          <w:b/>
          <w:szCs w:val="24"/>
        </w:rPr>
      </w:pPr>
      <w:r>
        <w:rPr>
          <w:rFonts w:hint="eastAsia" w:ascii="宋体" w:hAnsi="宋体" w:cs="宋体"/>
          <w:b/>
          <w:szCs w:val="24"/>
        </w:rPr>
        <w:t>16.投标文件的无效处理</w:t>
      </w:r>
    </w:p>
    <w:p>
      <w:pPr>
        <w:pStyle w:val="8"/>
        <w:spacing w:line="360" w:lineRule="auto"/>
        <w:ind w:firstLine="360" w:firstLineChars="150"/>
        <w:rPr>
          <w:rFonts w:cs="宋体"/>
          <w:szCs w:val="21"/>
        </w:rPr>
      </w:pPr>
      <w:r>
        <w:rPr>
          <w:rFonts w:hint="eastAsia" w:cs="宋体"/>
          <w:szCs w:val="21"/>
        </w:rPr>
        <w:t>有招标文件第四部分</w:t>
      </w:r>
      <w:r>
        <w:rPr>
          <w:rFonts w:hint="eastAsia" w:cs="宋体"/>
        </w:rPr>
        <w:t>第13项规定</w:t>
      </w:r>
      <w:r>
        <w:rPr>
          <w:rFonts w:hint="eastAsia" w:cs="宋体"/>
          <w:szCs w:val="21"/>
        </w:rPr>
        <w:t>的情形之一的，投标无效：</w:t>
      </w:r>
    </w:p>
    <w:p>
      <w:pPr>
        <w:pStyle w:val="23"/>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23"/>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23"/>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pPr>
        <w:pStyle w:val="23"/>
        <w:spacing w:before="0"/>
        <w:ind w:firstLine="480"/>
        <w:rPr>
          <w:rFonts w:ascii="宋体" w:hAnsi="宋体" w:cs="宋体"/>
        </w:rPr>
      </w:pPr>
    </w:p>
    <w:p>
      <w:pPr>
        <w:pStyle w:val="23"/>
        <w:spacing w:before="0"/>
        <w:ind w:firstLine="1928" w:firstLineChars="600"/>
        <w:rPr>
          <w:rFonts w:hint="eastAsia" w:ascii="宋体" w:hAnsi="宋体" w:cs="宋体"/>
          <w:b/>
          <w:sz w:val="32"/>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pStyle w:val="23"/>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24"/>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pPr>
        <w:pStyle w:val="24"/>
        <w:spacing w:before="0" w:line="360" w:lineRule="auto"/>
        <w:ind w:left="0" w:firstLine="480" w:firstLineChars="200"/>
        <w:contextualSpacing/>
        <w:rPr>
          <w:rFonts w:ascii="宋体" w:hAnsi="宋体" w:cs="宋体"/>
          <w:b/>
          <w:bCs/>
          <w:sz w:val="24"/>
        </w:rPr>
      </w:pPr>
      <w:r>
        <w:rPr>
          <w:rFonts w:hint="eastAsia" w:ascii="宋体" w:hAnsi="宋体" w:cs="宋体"/>
          <w:sz w:val="24"/>
        </w:rPr>
        <w:t>18.1采购机构按照招标文件规定的时间通过电子交易平台组织开标，所有投标人均应当准时在线参加。</w:t>
      </w:r>
      <w:r>
        <w:rPr>
          <w:rFonts w:hint="eastAsia" w:ascii="宋体" w:hAnsi="宋体" w:cs="宋体"/>
          <w:b/>
          <w:bCs/>
          <w:sz w:val="24"/>
        </w:rPr>
        <w:t>投标人不足3家的，不得开标。</w:t>
      </w:r>
    </w:p>
    <w:p>
      <w:pPr>
        <w:pStyle w:val="24"/>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pPr>
        <w:pStyle w:val="24"/>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pStyle w:val="24"/>
        <w:spacing w:before="0" w:line="360" w:lineRule="auto"/>
        <w:ind w:left="0" w:firstLine="0"/>
        <w:contextualSpacing/>
        <w:rPr>
          <w:rFonts w:ascii="宋体" w:hAnsi="宋体" w:cs="宋体"/>
          <w:b/>
          <w:sz w:val="24"/>
          <w:szCs w:val="24"/>
        </w:rPr>
      </w:pPr>
      <w:r>
        <w:rPr>
          <w:rFonts w:hint="eastAsia" w:ascii="宋体" w:hAnsi="宋体" w:cs="宋体"/>
          <w:b/>
          <w:sz w:val="24"/>
          <w:szCs w:val="24"/>
        </w:rPr>
        <w:t>19、资格审查</w:t>
      </w:r>
    </w:p>
    <w:p>
      <w:pPr>
        <w:pStyle w:val="23"/>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采购人或采购机构依据法律法规和招标文件的规定，对投标人的基本资格条件、特定资格条件进行审查。</w:t>
      </w:r>
    </w:p>
    <w:p>
      <w:pPr>
        <w:pStyle w:val="23"/>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23"/>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pPr>
        <w:pStyle w:val="23"/>
        <w:spacing w:before="0"/>
        <w:ind w:firstLine="480"/>
        <w:rPr>
          <w:rFonts w:ascii="宋体" w:hAnsi="宋体" w:cs="宋体"/>
          <w:b/>
          <w:bCs/>
        </w:rPr>
      </w:pPr>
      <w:r>
        <w:rPr>
          <w:rFonts w:hint="eastAsia" w:ascii="宋体" w:hAnsi="宋体" w:cs="宋体"/>
          <w:b/>
          <w:bCs/>
          <w:kern w:val="0"/>
          <w:szCs w:val="24"/>
        </w:rPr>
        <w:t>19.</w:t>
      </w:r>
      <w:r>
        <w:rPr>
          <w:rFonts w:hint="eastAsia" w:ascii="宋体" w:hAnsi="宋体" w:cs="宋体"/>
          <w:b/>
          <w:bCs/>
        </w:rPr>
        <w:t>5合格投标人不足3家的，不再评标。</w:t>
      </w:r>
    </w:p>
    <w:p>
      <w:pPr>
        <w:pStyle w:val="23"/>
        <w:spacing w:before="0"/>
        <w:ind w:firstLine="0" w:firstLineChars="0"/>
        <w:rPr>
          <w:rFonts w:ascii="宋体" w:hAnsi="宋体" w:cs="宋体"/>
          <w:b/>
          <w:szCs w:val="24"/>
        </w:rPr>
      </w:pPr>
      <w:r>
        <w:rPr>
          <w:rFonts w:hint="eastAsia" w:ascii="宋体" w:hAnsi="宋体" w:cs="宋体"/>
          <w:b/>
          <w:szCs w:val="24"/>
        </w:rPr>
        <w:t>20、信用信息查询</w:t>
      </w:r>
    </w:p>
    <w:p>
      <w:pPr>
        <w:pStyle w:val="23"/>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20.1信用信息查询渠道及截止时间：采购机构将通过“信用中国”网站(www.creditchina.gov.cn)、中国政府采购网(www.ccgp.gov.cn)渠道查询投标人投标截止时间当天的信用记录。</w:t>
      </w:r>
    </w:p>
    <w:p>
      <w:pPr>
        <w:pStyle w:val="23"/>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23"/>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23"/>
        <w:spacing w:before="0"/>
        <w:ind w:firstLine="480"/>
        <w:rPr>
          <w:rFonts w:ascii="宋体" w:hAnsi="宋体" w:cs="宋体"/>
          <w:kern w:val="0"/>
          <w:szCs w:val="24"/>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hAnsi="宋体" w:cs="宋体"/>
          <w:b/>
          <w:sz w:val="36"/>
          <w:szCs w:val="36"/>
        </w:rPr>
      </w:pPr>
    </w:p>
    <w:p>
      <w:pPr>
        <w:snapToGrid w:val="0"/>
        <w:spacing w:line="360" w:lineRule="auto"/>
        <w:jc w:val="center"/>
        <w:outlineLvl w:val="0"/>
        <w:rPr>
          <w:rFonts w:hint="eastAsia" w:ascii="宋体" w:hAnsi="宋体" w:cs="宋体"/>
          <w:b/>
          <w:sz w:val="36"/>
          <w:szCs w:val="36"/>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0"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8"/>
        <w:spacing w:line="360" w:lineRule="auto"/>
        <w:ind w:left="479" w:hanging="479" w:hangingChars="199"/>
        <w:rPr>
          <w:rFonts w:cs="宋体"/>
          <w:b/>
        </w:rPr>
      </w:pPr>
      <w:r>
        <w:rPr>
          <w:rFonts w:hint="eastAsia" w:cs="宋体"/>
          <w:b/>
        </w:rPr>
        <w:t>22. 确定中标供应商</w:t>
      </w:r>
    </w:p>
    <w:p>
      <w:pPr>
        <w:pStyle w:val="23"/>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pPr>
        <w:pStyle w:val="23"/>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1" w:name="_Hlk101184471"/>
      <w:r>
        <w:rPr>
          <w:rFonts w:hint="eastAsia" w:ascii="宋体" w:hAnsi="宋体" w:cs="宋体"/>
          <w:sz w:val="24"/>
          <w:highlight w:val="none"/>
        </w:rPr>
        <w:t>资格审查情况、评审专家抽取规则、符合性审查情况、</w:t>
      </w:r>
      <w:bookmarkEnd w:id="11"/>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8"/>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合同主要条款详见第五部分拟签订的合同文本。（具体合同文本以实际签署的为准）</w:t>
      </w:r>
    </w:p>
    <w:p>
      <w:pPr>
        <w:pStyle w:val="8"/>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pPr>
        <w:pStyle w:val="23"/>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23"/>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23"/>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23"/>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8"/>
        <w:spacing w:line="360" w:lineRule="auto"/>
        <w:ind w:left="479" w:hanging="479" w:hangingChars="199"/>
        <w:rPr>
          <w:rFonts w:cs="宋体"/>
          <w:b/>
        </w:rPr>
      </w:pPr>
      <w:r>
        <w:rPr>
          <w:rFonts w:hint="eastAsia" w:cs="宋体"/>
          <w:b/>
        </w:rPr>
        <w:t>26. 履约保证金</w:t>
      </w:r>
    </w:p>
    <w:p>
      <w:pPr>
        <w:snapToGrid w:val="0"/>
        <w:spacing w:line="360" w:lineRule="auto"/>
        <w:ind w:firstLine="480" w:firstLineChars="200"/>
        <w:rPr>
          <w:rFonts w:hint="eastAsia" w:ascii="宋体" w:hAnsi="宋体" w:eastAsia="宋体" w:cs="宋体"/>
          <w:kern w:val="2"/>
          <w:sz w:val="24"/>
          <w:szCs w:val="20"/>
          <w:lang w:val="en-US" w:eastAsia="zh-CN" w:bidi="ar-SA"/>
        </w:rPr>
      </w:pPr>
      <w:r>
        <w:rPr>
          <w:rFonts w:hint="eastAsia" w:ascii="宋体" w:hAnsi="宋体" w:cs="宋体"/>
          <w:kern w:val="2"/>
          <w:sz w:val="24"/>
          <w:szCs w:val="20"/>
          <w:lang w:val="en-US" w:eastAsia="zh-CN" w:bidi="ar-SA"/>
        </w:rPr>
        <w:t>26.1</w:t>
      </w:r>
      <w:r>
        <w:rPr>
          <w:rFonts w:hint="eastAsia" w:ascii="宋体" w:hAnsi="宋体" w:eastAsia="宋体" w:cs="宋体"/>
          <w:kern w:val="2"/>
          <w:sz w:val="24"/>
          <w:szCs w:val="20"/>
          <w:lang w:val="en-US" w:eastAsia="zh-CN" w:bidi="ar-SA"/>
        </w:rPr>
        <w:t>中标供应商在签订合同时缴纳合同总价的0.1%给采购人作为履约保证金，履约保证金可以以银行履约保函或保险公司保函形式或公对公转账（汇款）形式提交，合同履行完毕后如无质量索赔事件无息退还。</w:t>
      </w:r>
    </w:p>
    <w:p>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八、电子交易活动的中止</w:t>
      </w:r>
    </w:p>
    <w:p>
      <w:pPr>
        <w:pStyle w:val="23"/>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pPr>
        <w:pStyle w:val="23"/>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23"/>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23"/>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23"/>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23"/>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23"/>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8"/>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0"/>
    <w:p>
      <w:pPr>
        <w:tabs>
          <w:tab w:val="left" w:pos="0"/>
        </w:tabs>
        <w:spacing w:line="360" w:lineRule="auto"/>
        <w:ind w:firstLine="480"/>
        <w:rPr>
          <w:rFonts w:ascii="宋体" w:hAnsi="宋体" w:cs="宋体"/>
          <w:kern w:val="0"/>
          <w:sz w:val="24"/>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bookmarkStart w:id="12" w:name="_Hlt75236011"/>
      <w:bookmarkEnd w:id="12"/>
      <w:bookmarkStart w:id="13" w:name="_Hlt74707468"/>
      <w:bookmarkEnd w:id="13"/>
      <w:bookmarkStart w:id="14" w:name="_Hlt75236290"/>
      <w:bookmarkEnd w:id="14"/>
      <w:bookmarkStart w:id="15" w:name="_Hlt74730295"/>
      <w:bookmarkEnd w:id="15"/>
      <w:bookmarkStart w:id="16" w:name="_Hlt68057669"/>
      <w:bookmarkEnd w:id="16"/>
      <w:bookmarkStart w:id="17" w:name="_Hlt68072990"/>
      <w:bookmarkEnd w:id="17"/>
      <w:bookmarkStart w:id="18" w:name="_Hlt68403820"/>
      <w:bookmarkEnd w:id="18"/>
      <w:bookmarkStart w:id="19" w:name="_Hlt74729768"/>
      <w:bookmarkEnd w:id="19"/>
      <w:bookmarkStart w:id="20" w:name="_Hlt68072998"/>
      <w:bookmarkEnd w:id="20"/>
      <w:bookmarkStart w:id="21" w:name="_Hlt68073093"/>
      <w:bookmarkEnd w:id="21"/>
      <w:bookmarkStart w:id="22" w:name="_Hlt75236101"/>
      <w:bookmarkEnd w:id="22"/>
      <w:bookmarkStart w:id="23" w:name="_Hlt74714665"/>
      <w:bookmarkEnd w:id="23"/>
    </w:p>
    <w:bookmarkEnd w:id="8"/>
    <w:bookmarkEnd w:id="9"/>
    <w:p>
      <w:pPr>
        <w:spacing w:line="360" w:lineRule="auto"/>
        <w:jc w:val="center"/>
        <w:outlineLvl w:val="0"/>
        <w:rPr>
          <w:rFonts w:ascii="宋体" w:hAnsi="宋体" w:cs="宋体"/>
          <w:b/>
          <w:sz w:val="36"/>
          <w:szCs w:val="36"/>
        </w:rPr>
      </w:pPr>
      <w:bookmarkStart w:id="24" w:name="第四部分"/>
      <w:r>
        <w:rPr>
          <w:rFonts w:hint="eastAsia" w:ascii="宋体" w:hAnsi="宋体" w:cs="宋体"/>
          <w:b/>
          <w:sz w:val="36"/>
          <w:szCs w:val="36"/>
        </w:rPr>
        <w:t>第三部分   采购需求</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b/>
          <w:bCs/>
          <w:sz w:val="24"/>
        </w:rPr>
      </w:pPr>
      <w:r>
        <w:rPr>
          <w:rFonts w:hint="eastAsia" w:ascii="宋体" w:hAnsi="宋体" w:cs="宋体"/>
          <w:b/>
          <w:bCs/>
          <w:sz w:val="24"/>
        </w:rPr>
        <w:t>一、项目概况</w:t>
      </w:r>
    </w:p>
    <w:p>
      <w:pPr>
        <w:pStyle w:val="5"/>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sz w:val="24"/>
          <w:lang w:eastAsia="zh-CN"/>
        </w:rPr>
      </w:pPr>
      <w:r>
        <w:rPr>
          <w:rFonts w:hint="eastAsia" w:hAnsi="宋体" w:cs="宋体"/>
          <w:sz w:val="24"/>
          <w:lang w:val="en-US" w:eastAsia="zh-CN"/>
        </w:rPr>
        <w:t>1、</w:t>
      </w:r>
      <w:r>
        <w:rPr>
          <w:rFonts w:hint="eastAsia" w:ascii="宋体" w:hAnsi="宋体" w:cs="宋体"/>
          <w:sz w:val="24"/>
        </w:rPr>
        <w:t>本工程位于桐庐县</w:t>
      </w:r>
      <w:r>
        <w:rPr>
          <w:rFonts w:hint="eastAsia" w:hAnsi="宋体" w:cs="宋体"/>
          <w:sz w:val="24"/>
          <w:lang w:eastAsia="zh-CN"/>
        </w:rPr>
        <w:t>。</w:t>
      </w:r>
    </w:p>
    <w:p>
      <w:pPr>
        <w:pStyle w:val="5"/>
        <w:keepNext w:val="0"/>
        <w:keepLines w:val="0"/>
        <w:pageBreakBefore w:val="0"/>
        <w:kinsoku/>
        <w:wordWrap/>
        <w:overflowPunct/>
        <w:topLinePunct w:val="0"/>
        <w:autoSpaceDE/>
        <w:autoSpaceDN/>
        <w:bidi w:val="0"/>
        <w:spacing w:line="440" w:lineRule="exact"/>
        <w:ind w:firstLine="480"/>
        <w:textAlignment w:val="auto"/>
        <w:rPr>
          <w:rFonts w:hint="eastAsia" w:cs="宋体" w:asciiTheme="minorEastAsia" w:hAnsiTheme="minorEastAsia" w:eastAsiaTheme="minorEastAsia"/>
          <w:bCs/>
          <w:sz w:val="24"/>
          <w:highlight w:val="none"/>
          <w:lang w:val="en-US" w:eastAsia="zh-CN"/>
        </w:rPr>
      </w:pPr>
      <w:r>
        <w:rPr>
          <w:rFonts w:hint="eastAsia" w:hAnsi="宋体" w:cs="宋体"/>
          <w:sz w:val="24"/>
          <w:lang w:val="en-US" w:eastAsia="zh-CN"/>
        </w:rPr>
        <w:t>2、</w:t>
      </w:r>
      <w:r>
        <w:rPr>
          <w:rFonts w:hint="eastAsia" w:ascii="宋体" w:hAnsi="宋体" w:cs="宋体"/>
          <w:sz w:val="24"/>
        </w:rPr>
        <w:t>合同服务期限：</w:t>
      </w:r>
      <w:r>
        <w:rPr>
          <w:rFonts w:hint="eastAsia" w:cs="宋体" w:asciiTheme="minorEastAsia" w:hAnsiTheme="minorEastAsia" w:eastAsiaTheme="minorEastAsia"/>
          <w:bCs/>
          <w:sz w:val="24"/>
          <w:highlight w:val="none"/>
          <w:lang w:val="en-US" w:eastAsia="zh-CN"/>
        </w:rPr>
        <w:t>（1）自合同签订起一年，或履约期限内工程量按实结算，最高不超过140万元（房改房维修工程费用不计入本合同份额）。年度合同期满后，采购人根据合同履行情况可选择与中标供应商续签一年合同，且合同价款不予调整（按中标价）。</w:t>
      </w:r>
    </w:p>
    <w:p>
      <w:pPr>
        <w:pStyle w:val="5"/>
        <w:keepNext w:val="0"/>
        <w:keepLines w:val="0"/>
        <w:pageBreakBefore w:val="0"/>
        <w:kinsoku/>
        <w:wordWrap/>
        <w:overflowPunct/>
        <w:topLinePunct w:val="0"/>
        <w:autoSpaceDE/>
        <w:autoSpaceDN/>
        <w:bidi w:val="0"/>
        <w:spacing w:line="440" w:lineRule="exact"/>
        <w:ind w:firstLine="480"/>
        <w:textAlignment w:val="auto"/>
        <w:rPr>
          <w:rFonts w:hint="eastAsia" w:cs="宋体" w:asciiTheme="minorEastAsia" w:hAnsiTheme="minorEastAsia" w:eastAsiaTheme="minorEastAsia"/>
          <w:bCs/>
          <w:sz w:val="24"/>
          <w:highlight w:val="none"/>
          <w:lang w:val="en-US" w:eastAsia="zh-CN"/>
        </w:rPr>
      </w:pPr>
      <w:r>
        <w:rPr>
          <w:rFonts w:hint="eastAsia" w:cs="宋体" w:asciiTheme="minorEastAsia" w:hAnsiTheme="minorEastAsia" w:eastAsiaTheme="minorEastAsia"/>
          <w:bCs/>
          <w:sz w:val="24"/>
          <w:highlight w:val="none"/>
          <w:lang w:val="en-US" w:eastAsia="zh-CN"/>
        </w:rPr>
        <w:t>（2）本次招标预算金额为一年零星维修费用。</w:t>
      </w:r>
    </w:p>
    <w:p>
      <w:pPr>
        <w:pStyle w:val="5"/>
        <w:keepNext w:val="0"/>
        <w:keepLines w:val="0"/>
        <w:pageBreakBefore w:val="0"/>
        <w:kinsoku/>
        <w:wordWrap/>
        <w:overflowPunct/>
        <w:topLinePunct w:val="0"/>
        <w:autoSpaceDE/>
        <w:autoSpaceDN/>
        <w:bidi w:val="0"/>
        <w:spacing w:line="440" w:lineRule="exact"/>
        <w:ind w:firstLine="480"/>
        <w:textAlignment w:val="auto"/>
        <w:rPr>
          <w:rFonts w:hint="default" w:cs="宋体" w:asciiTheme="minorEastAsia" w:hAnsiTheme="minorEastAsia" w:eastAsiaTheme="minorEastAsia"/>
          <w:bCs/>
          <w:color w:val="FF0000"/>
          <w:sz w:val="24"/>
          <w:highlight w:val="none"/>
          <w:lang w:val="en-US" w:eastAsia="zh-CN"/>
        </w:rPr>
      </w:pPr>
      <w:r>
        <w:rPr>
          <w:rFonts w:hint="eastAsia" w:cs="宋体" w:asciiTheme="minorEastAsia" w:hAnsiTheme="minorEastAsia" w:eastAsiaTheme="minorEastAsia"/>
          <w:bCs/>
          <w:sz w:val="24"/>
          <w:highlight w:val="none"/>
          <w:lang w:val="en-US" w:eastAsia="zh-CN"/>
        </w:rPr>
        <w:t>（3）一年合同期满因采购人未获得县财政预算批复，采购人应提前30天书面通知供应商，合同到期终止不再延续。</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lang w:val="en-US" w:eastAsia="zh-CN"/>
        </w:rPr>
        <w:t>3、</w:t>
      </w:r>
      <w:r>
        <w:rPr>
          <w:rFonts w:hint="eastAsia" w:ascii="宋体" w:hAnsi="宋体" w:cs="宋体"/>
          <w:sz w:val="24"/>
          <w:highlight w:val="none"/>
        </w:rPr>
        <w:t>施工工期：根据甲方安排的时间段进行施工（包括日常指定时间段、应急加夜班等时间），并保证如期完成工程施工。</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b/>
          <w:bCs/>
          <w:sz w:val="24"/>
          <w:highlight w:val="none"/>
        </w:rPr>
      </w:pPr>
      <w:r>
        <w:rPr>
          <w:rFonts w:hint="eastAsia" w:ascii="宋体" w:hAnsi="宋体" w:cs="宋体"/>
          <w:b/>
          <w:bCs/>
          <w:sz w:val="24"/>
          <w:highlight w:val="none"/>
        </w:rPr>
        <w:t>二、采购内容</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yellow"/>
          <w:lang w:eastAsia="zh-CN"/>
        </w:rPr>
      </w:pPr>
      <w:r>
        <w:rPr>
          <w:rFonts w:hint="eastAsia" w:ascii="宋体" w:hAnsi="宋体" w:cs="宋体"/>
          <w:sz w:val="24"/>
          <w:highlight w:val="none"/>
        </w:rPr>
        <w:t>桐庐县直管公房、保障性住房及房改房的日常房屋修补、楼道粉刷、地面修补、下水管道更换、屋顶及地下室防水治理、装修维修等零星维修。</w:t>
      </w:r>
      <w:r>
        <w:rPr>
          <w:rFonts w:hint="eastAsia" w:ascii="宋体" w:hAnsi="宋体" w:cs="宋体"/>
          <w:sz w:val="24"/>
          <w:highlight w:val="none"/>
          <w:lang w:eastAsia="zh-CN"/>
        </w:rPr>
        <w:t>本次招标确定房改房</w:t>
      </w:r>
      <w:r>
        <w:rPr>
          <w:rFonts w:hint="eastAsia" w:ascii="宋体" w:hAnsi="宋体" w:cs="宋体"/>
          <w:sz w:val="24"/>
          <w:highlight w:val="none"/>
        </w:rPr>
        <w:t>维修</w:t>
      </w:r>
      <w:r>
        <w:rPr>
          <w:rFonts w:hint="eastAsia" w:ascii="宋体" w:hAnsi="宋体" w:cs="宋体"/>
          <w:sz w:val="24"/>
          <w:highlight w:val="none"/>
          <w:lang w:eastAsia="zh-CN"/>
        </w:rPr>
        <w:t>施工单位，但房改房</w:t>
      </w:r>
      <w:r>
        <w:rPr>
          <w:rFonts w:hint="eastAsia" w:ascii="宋体" w:hAnsi="宋体" w:cs="宋体"/>
          <w:sz w:val="24"/>
          <w:highlight w:val="none"/>
        </w:rPr>
        <w:t>维修工程</w:t>
      </w:r>
      <w:r>
        <w:rPr>
          <w:rFonts w:hint="eastAsia" w:ascii="宋体" w:hAnsi="宋体" w:cs="宋体"/>
          <w:sz w:val="24"/>
          <w:highlight w:val="none"/>
          <w:lang w:eastAsia="zh-CN"/>
        </w:rPr>
        <w:t>费用</w:t>
      </w:r>
      <w:r>
        <w:rPr>
          <w:rFonts w:hint="eastAsia" w:ascii="宋体" w:hAnsi="宋体" w:cs="宋体"/>
          <w:sz w:val="24"/>
          <w:highlight w:val="none"/>
        </w:rPr>
        <w:t>不计入本</w:t>
      </w:r>
      <w:r>
        <w:rPr>
          <w:rFonts w:hint="eastAsia" w:ascii="宋体" w:hAnsi="宋体" w:cs="宋体"/>
          <w:sz w:val="24"/>
          <w:highlight w:val="none"/>
          <w:lang w:eastAsia="zh-CN"/>
        </w:rPr>
        <w:t>合同份额。</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b/>
          <w:bCs/>
          <w:sz w:val="24"/>
          <w:highlight w:val="none"/>
        </w:rPr>
      </w:pPr>
      <w:r>
        <w:rPr>
          <w:rFonts w:hint="eastAsia" w:ascii="宋体" w:hAnsi="宋体" w:cs="宋体"/>
          <w:b/>
          <w:bCs/>
          <w:sz w:val="24"/>
          <w:highlight w:val="none"/>
        </w:rPr>
        <w:t>三、质量要求及其他说明</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1</w:t>
      </w:r>
      <w:r>
        <w:rPr>
          <w:rFonts w:hint="eastAsia" w:ascii="宋体" w:hAnsi="宋体" w:cs="宋体"/>
          <w:sz w:val="24"/>
          <w:highlight w:val="none"/>
          <w:lang w:eastAsia="zh-CN"/>
        </w:rPr>
        <w:t>）</w:t>
      </w:r>
      <w:r>
        <w:rPr>
          <w:rFonts w:hint="eastAsia" w:ascii="宋体" w:hAnsi="宋体" w:cs="宋体"/>
          <w:sz w:val="24"/>
          <w:highlight w:val="none"/>
        </w:rPr>
        <w:t>本次招标的工程质量要求符合工程验收合格标准。</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2</w:t>
      </w:r>
      <w:r>
        <w:rPr>
          <w:rFonts w:hint="eastAsia" w:ascii="宋体" w:hAnsi="宋体" w:cs="宋体"/>
          <w:sz w:val="24"/>
          <w:highlight w:val="none"/>
          <w:lang w:eastAsia="zh-CN"/>
        </w:rPr>
        <w:t>）</w:t>
      </w:r>
      <w:r>
        <w:rPr>
          <w:rFonts w:hint="eastAsia" w:ascii="宋体" w:hAnsi="宋体" w:cs="宋体"/>
          <w:sz w:val="24"/>
          <w:highlight w:val="none"/>
        </w:rPr>
        <w:t>中标单位应在工程竣工验收一个月内向招标人提交完整的竣工验收资料肆份。</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3</w:t>
      </w:r>
      <w:r>
        <w:rPr>
          <w:rFonts w:hint="eastAsia" w:ascii="宋体" w:hAnsi="宋体" w:cs="宋体"/>
          <w:sz w:val="24"/>
          <w:highlight w:val="none"/>
          <w:lang w:eastAsia="zh-CN"/>
        </w:rPr>
        <w:t>）</w:t>
      </w:r>
      <w:r>
        <w:rPr>
          <w:rFonts w:hint="eastAsia" w:ascii="宋体" w:hAnsi="宋体" w:cs="宋体"/>
          <w:sz w:val="24"/>
          <w:highlight w:val="none"/>
        </w:rPr>
        <w:t>中标单位完工场地清理后，场地要符合招标单位和监理单位的现场代表的要求。</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none"/>
          <w:lang w:eastAsia="zh-CN"/>
        </w:rPr>
      </w:pPr>
      <w:r>
        <w:rPr>
          <w:rFonts w:hint="eastAsia" w:ascii="宋体" w:hAnsi="宋体" w:cs="宋体"/>
          <w:sz w:val="24"/>
          <w:highlight w:val="none"/>
          <w:lang w:eastAsia="zh-CN"/>
        </w:rPr>
        <w:t>（</w:t>
      </w:r>
      <w:r>
        <w:rPr>
          <w:rFonts w:hint="eastAsia" w:ascii="宋体" w:hAnsi="宋体" w:cs="宋体"/>
          <w:sz w:val="24"/>
          <w:highlight w:val="none"/>
          <w:lang w:val="en-US" w:eastAsia="zh-CN"/>
        </w:rPr>
        <w:t>4</w:t>
      </w:r>
      <w:r>
        <w:rPr>
          <w:rFonts w:hint="eastAsia" w:ascii="宋体" w:hAnsi="宋体" w:cs="宋体"/>
          <w:sz w:val="24"/>
          <w:highlight w:val="none"/>
          <w:lang w:eastAsia="zh-CN"/>
        </w:rPr>
        <w:t>）</w:t>
      </w:r>
      <w:r>
        <w:rPr>
          <w:rFonts w:hint="eastAsia" w:ascii="宋体" w:hAnsi="宋体" w:cs="宋体"/>
          <w:sz w:val="24"/>
          <w:highlight w:val="none"/>
        </w:rPr>
        <w:t>本项目为零星维修项目，中标单位必须在</w:t>
      </w:r>
      <w:r>
        <w:rPr>
          <w:rFonts w:hint="eastAsia" w:ascii="宋体" w:hAnsi="宋体" w:cs="宋体"/>
          <w:sz w:val="24"/>
          <w:highlight w:val="none"/>
          <w:lang w:eastAsia="zh-CN"/>
        </w:rPr>
        <w:t>中标后</w:t>
      </w:r>
      <w:r>
        <w:rPr>
          <w:rFonts w:hint="eastAsia" w:ascii="宋体" w:hAnsi="宋体" w:cs="宋体"/>
          <w:sz w:val="24"/>
          <w:highlight w:val="none"/>
          <w:lang w:val="en-US" w:eastAsia="zh-CN"/>
        </w:rPr>
        <w:t>10天内在</w:t>
      </w:r>
      <w:r>
        <w:rPr>
          <w:rFonts w:hint="eastAsia" w:ascii="宋体" w:hAnsi="宋体" w:cs="宋体"/>
          <w:sz w:val="24"/>
          <w:highlight w:val="none"/>
        </w:rPr>
        <w:t>桐庐县城区设立</w:t>
      </w:r>
      <w:r>
        <w:rPr>
          <w:rFonts w:hint="eastAsia" w:ascii="宋体" w:hAnsi="宋体" w:cs="宋体"/>
          <w:sz w:val="24"/>
          <w:highlight w:val="none"/>
          <w:lang w:eastAsia="zh-CN"/>
        </w:rPr>
        <w:t>固定</w:t>
      </w:r>
      <w:r>
        <w:rPr>
          <w:rFonts w:hint="eastAsia" w:ascii="宋体" w:hAnsi="宋体" w:cs="宋体"/>
          <w:sz w:val="24"/>
          <w:highlight w:val="none"/>
        </w:rPr>
        <w:t>办公场所</w:t>
      </w:r>
      <w:r>
        <w:rPr>
          <w:rFonts w:hint="eastAsia" w:ascii="宋体" w:hAnsi="宋体" w:cs="宋体"/>
          <w:sz w:val="24"/>
          <w:highlight w:val="none"/>
          <w:lang w:eastAsia="zh-CN"/>
        </w:rPr>
        <w:t>以及派驻固定的工作人员</w:t>
      </w:r>
      <w:r>
        <w:rPr>
          <w:rFonts w:hint="eastAsia" w:ascii="宋体" w:hAnsi="宋体" w:cs="宋体"/>
          <w:sz w:val="24"/>
          <w:highlight w:val="none"/>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cs="宋体"/>
          <w:sz w:val="24"/>
          <w:highlight w:val="none"/>
          <w:lang w:eastAsia="zh-CN"/>
        </w:rPr>
        <w:t>（</w:t>
      </w:r>
      <w:r>
        <w:rPr>
          <w:rFonts w:hint="eastAsia" w:ascii="宋体" w:hAnsi="宋体" w:cs="宋体"/>
          <w:sz w:val="24"/>
          <w:highlight w:val="none"/>
          <w:lang w:val="en-US" w:eastAsia="zh-CN"/>
        </w:rPr>
        <w:t>5</w:t>
      </w:r>
      <w:r>
        <w:rPr>
          <w:rFonts w:hint="eastAsia" w:ascii="宋体" w:hAnsi="宋体" w:cs="宋体"/>
          <w:sz w:val="24"/>
          <w:highlight w:val="none"/>
          <w:lang w:eastAsia="zh-CN"/>
        </w:rPr>
        <w:t>）</w:t>
      </w:r>
      <w:r>
        <w:rPr>
          <w:rFonts w:hint="eastAsia" w:ascii="宋体" w:hAnsi="宋体" w:cs="宋体"/>
          <w:sz w:val="24"/>
          <w:highlight w:val="none"/>
        </w:rPr>
        <w:t>项目服务期内容，中标单位必须在接到采购人书面通知后30分钟内作出现场响应，1天内实施维修施工</w:t>
      </w:r>
      <w:r>
        <w:rPr>
          <w:rFonts w:hint="eastAsia" w:ascii="宋体" w:hAnsi="宋体" w:cs="宋体"/>
          <w:sz w:val="24"/>
          <w:highlight w:val="none"/>
          <w:lang w:eastAsia="zh-CN"/>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6</w:t>
      </w:r>
      <w:r>
        <w:rPr>
          <w:rFonts w:hint="eastAsia" w:ascii="宋体" w:hAnsi="宋体" w:cs="宋体"/>
          <w:sz w:val="24"/>
          <w:highlight w:val="none"/>
          <w:lang w:eastAsia="zh-CN"/>
        </w:rPr>
        <w:t>）</w:t>
      </w:r>
      <w:r>
        <w:rPr>
          <w:rFonts w:hint="eastAsia" w:ascii="宋体" w:hAnsi="宋体" w:cs="宋体"/>
          <w:sz w:val="24"/>
          <w:highlight w:val="none"/>
        </w:rPr>
        <w:t>不服从采购人的施工项目不能在规定时间内进行维修施工的或未按规定工期内完工的；采购人有权取消其维修资格。</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b/>
          <w:bCs/>
          <w:sz w:val="24"/>
          <w:highlight w:val="none"/>
        </w:rPr>
      </w:pPr>
      <w:r>
        <w:rPr>
          <w:rFonts w:hint="eastAsia" w:ascii="宋体" w:hAnsi="宋体" w:cs="宋体"/>
          <w:b/>
          <w:bCs/>
          <w:sz w:val="24"/>
          <w:highlight w:val="none"/>
        </w:rPr>
        <w:t>四、工程安全事项及违约责任</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（1）中标单位应严格执行各项国家有关规定，有关技术人员必须持证上岗。 中标单位应实施严格的各类安全防护措施，做好安民告示，设置必要的施工警戒标志，线杆保护措施，做好施工照明、看守和警卫工作，有毒气体防护措施，并对工程施工现场的安全负责，接受招标单位和监理单位的现场代表对安全措施的监督。中标单位在施工期间，若发生与本工程相关的安全事故，一切法律和经济责任均由中标单位承担，招标单位概不负责。</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（2）施工期间中标单位应密切注意气象预报，及时采取防范措施，防止暴风雨、洪水、雷电、冰冻等造成工程损害，中标单位不得以除地震等不可抗力以外的自然灾害为由提出索赔要求。</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b/>
          <w:bCs/>
          <w:sz w:val="24"/>
          <w:highlight w:val="none"/>
        </w:rPr>
      </w:pPr>
      <w:r>
        <w:rPr>
          <w:rFonts w:hint="eastAsia" w:ascii="宋体" w:hAnsi="宋体" w:cs="宋体"/>
          <w:b/>
          <w:bCs/>
          <w:sz w:val="24"/>
          <w:highlight w:val="none"/>
          <w:lang w:eastAsia="zh-CN"/>
        </w:rPr>
        <w:t>五</w:t>
      </w:r>
      <w:r>
        <w:rPr>
          <w:rFonts w:hint="eastAsia" w:ascii="宋体" w:hAnsi="宋体" w:cs="宋体"/>
          <w:b/>
          <w:bCs/>
          <w:sz w:val="24"/>
          <w:highlight w:val="none"/>
        </w:rPr>
        <w:t>、商务条款</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sz w:val="24"/>
          <w:highlight w:val="none"/>
        </w:rPr>
      </w:pPr>
      <w:r>
        <w:rPr>
          <w:rFonts w:hint="eastAsia" w:ascii="宋体" w:hAnsi="宋体" w:cs="宋体"/>
          <w:b/>
          <w:bCs/>
          <w:sz w:val="24"/>
          <w:highlight w:val="none"/>
        </w:rPr>
        <w:t>1、项目预算价的计价、编制和结算依据</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(1)招标文件、施工图及其它有关资料。</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none"/>
          <w:lang w:eastAsia="zh-CN"/>
        </w:rPr>
      </w:pPr>
      <w:r>
        <w:rPr>
          <w:rFonts w:hint="eastAsia" w:ascii="宋体" w:hAnsi="宋体" w:cs="宋体"/>
          <w:sz w:val="24"/>
          <w:highlight w:val="none"/>
        </w:rPr>
        <w:t>(2)关于印发《杭州市建设工程工程量清单计价实施细则》（2018年修订) 的通知（杭建市发〔2018〕578号）；《浙江省建设工程计价规则》（2018版)；《浙江省房屋建筑与装饰工程预算定额（2018版)》；《浙江省通用安装工程预算定额(2018版)》；《浙江省市政工程预算定额定额（2018版)》；《浙江省建设工程计 价规则》（2018版)等</w:t>
      </w:r>
      <w:r>
        <w:rPr>
          <w:rFonts w:hint="eastAsia" w:ascii="宋体" w:hAnsi="宋体" w:cs="宋体"/>
          <w:sz w:val="24"/>
          <w:highlight w:val="none"/>
          <w:lang w:eastAsia="zh-CN"/>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none"/>
          <w:lang w:eastAsia="zh-CN"/>
        </w:rPr>
      </w:pPr>
      <w:r>
        <w:rPr>
          <w:rFonts w:hint="eastAsia" w:ascii="宋体" w:hAnsi="宋体" w:cs="宋体"/>
          <w:sz w:val="24"/>
          <w:highlight w:val="none"/>
        </w:rPr>
        <w:t>(3)工程类别为建筑工程</w:t>
      </w:r>
      <w:r>
        <w:rPr>
          <w:rFonts w:hint="eastAsia" w:ascii="宋体" w:hAnsi="宋体" w:cs="宋体"/>
          <w:sz w:val="24"/>
          <w:highlight w:val="none"/>
          <w:lang w:eastAsia="zh-CN"/>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highlight w:val="none"/>
        </w:rPr>
      </w:pPr>
      <w:r>
        <w:rPr>
          <w:rFonts w:ascii="宋体" w:hAnsi="宋体" w:cs="宋体"/>
          <w:sz w:val="24"/>
          <w:highlight w:val="none"/>
        </w:rPr>
        <w:t>(</w:t>
      </w:r>
      <w:r>
        <w:rPr>
          <w:rFonts w:hint="eastAsia" w:ascii="宋体" w:hAnsi="宋体" w:cs="宋体"/>
          <w:sz w:val="24"/>
          <w:highlight w:val="none"/>
        </w:rPr>
        <w:t>4</w:t>
      </w:r>
      <w:r>
        <w:rPr>
          <w:rFonts w:ascii="宋体" w:hAnsi="宋体" w:cs="宋体"/>
          <w:sz w:val="24"/>
          <w:highlight w:val="none"/>
        </w:rPr>
        <w:t>)本工程预算材料按施工期</w:t>
      </w:r>
      <w:r>
        <w:rPr>
          <w:rFonts w:hint="eastAsia" w:ascii="宋体" w:hAnsi="宋体" w:cs="宋体"/>
          <w:sz w:val="24"/>
          <w:highlight w:val="none"/>
        </w:rPr>
        <w:t>《</w:t>
      </w:r>
      <w:r>
        <w:rPr>
          <w:rFonts w:ascii="宋体" w:hAnsi="宋体" w:cs="宋体"/>
          <w:sz w:val="24"/>
          <w:highlight w:val="none"/>
        </w:rPr>
        <w:t>桐庐</w:t>
      </w:r>
      <w:r>
        <w:rPr>
          <w:rFonts w:hint="eastAsia" w:ascii="宋体" w:hAnsi="宋体" w:cs="宋体"/>
          <w:sz w:val="24"/>
          <w:highlight w:val="none"/>
        </w:rPr>
        <w:t>造价</w:t>
      </w:r>
      <w:r>
        <w:rPr>
          <w:rFonts w:ascii="宋体" w:hAnsi="宋体" w:cs="宋体"/>
          <w:sz w:val="24"/>
          <w:highlight w:val="none"/>
        </w:rPr>
        <w:t>信息</w:t>
      </w:r>
      <w:r>
        <w:rPr>
          <w:rFonts w:hint="eastAsia" w:ascii="宋体" w:hAnsi="宋体" w:cs="宋体"/>
          <w:sz w:val="24"/>
          <w:highlight w:val="none"/>
        </w:rPr>
        <w:t>》</w:t>
      </w:r>
      <w:r>
        <w:rPr>
          <w:rFonts w:ascii="宋体" w:hAnsi="宋体" w:cs="宋体"/>
          <w:sz w:val="24"/>
          <w:highlight w:val="none"/>
        </w:rPr>
        <w:t>、《浙江造价信息》 编制；其它无定额子目或无价材料按市场价格经监理单位审查认可并报招标人审核签证后，最终由跟踪审计单位或估算审计单位审定后确定。</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highlight w:val="none"/>
        </w:rPr>
      </w:pPr>
      <w:r>
        <w:rPr>
          <w:rFonts w:ascii="宋体" w:hAnsi="宋体" w:cs="宋体"/>
          <w:sz w:val="24"/>
          <w:highlight w:val="none"/>
        </w:rPr>
        <w:t>(</w:t>
      </w:r>
      <w:r>
        <w:rPr>
          <w:rFonts w:hint="eastAsia" w:ascii="宋体" w:hAnsi="宋体" w:cs="宋体"/>
          <w:sz w:val="24"/>
          <w:highlight w:val="none"/>
        </w:rPr>
        <w:t>5</w:t>
      </w:r>
      <w:r>
        <w:rPr>
          <w:rFonts w:ascii="宋体" w:hAnsi="宋体" w:cs="宋体"/>
          <w:sz w:val="24"/>
          <w:highlight w:val="none"/>
        </w:rPr>
        <w:t>)与建设项目相关的标准、规范、技术资料、建设单位提供的图纸及建设单位要求。</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none"/>
          <w:lang w:eastAsia="zh-CN"/>
        </w:rPr>
      </w:pPr>
      <w:r>
        <w:rPr>
          <w:rFonts w:ascii="宋体" w:hAnsi="宋体" w:cs="宋体"/>
          <w:sz w:val="24"/>
          <w:highlight w:val="none"/>
        </w:rPr>
        <w:t>(</w:t>
      </w:r>
      <w:r>
        <w:rPr>
          <w:rFonts w:hint="eastAsia" w:ascii="宋体" w:hAnsi="宋体" w:cs="宋体"/>
          <w:sz w:val="24"/>
          <w:highlight w:val="none"/>
        </w:rPr>
        <w:t>6</w:t>
      </w:r>
      <w:r>
        <w:rPr>
          <w:rFonts w:ascii="宋体" w:hAnsi="宋体" w:cs="宋体"/>
          <w:sz w:val="24"/>
          <w:highlight w:val="none"/>
        </w:rPr>
        <w:t>)浙江省、市建设行政主管部门以及工程造价管理机构颁发的现行相关计价办法和计价规定</w:t>
      </w:r>
      <w:r>
        <w:rPr>
          <w:rFonts w:hint="eastAsia" w:ascii="宋体" w:hAnsi="宋体" w:cs="宋体"/>
          <w:sz w:val="24"/>
          <w:highlight w:val="none"/>
          <w:lang w:eastAsia="zh-CN"/>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highlight w:val="none"/>
        </w:rPr>
      </w:pPr>
      <w:r>
        <w:rPr>
          <w:rFonts w:ascii="宋体" w:hAnsi="宋体" w:cs="宋体"/>
          <w:sz w:val="24"/>
          <w:highlight w:val="none"/>
        </w:rPr>
        <w:t>(</w:t>
      </w:r>
      <w:r>
        <w:rPr>
          <w:rFonts w:hint="eastAsia" w:ascii="宋体" w:hAnsi="宋体" w:cs="宋体"/>
          <w:sz w:val="24"/>
          <w:highlight w:val="none"/>
        </w:rPr>
        <w:t>7</w:t>
      </w:r>
      <w:r>
        <w:rPr>
          <w:rFonts w:ascii="宋体" w:hAnsi="宋体" w:cs="宋体"/>
          <w:sz w:val="24"/>
          <w:highlight w:val="none"/>
        </w:rPr>
        <w:t>)工程量按经监理和招标人签证后的实测实量联系单、施工图和设计变更单按实结算。</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z w:val="24"/>
          <w:highlight w:val="none"/>
          <w:lang w:eastAsia="zh-CN"/>
        </w:rPr>
      </w:pPr>
      <w:r>
        <w:rPr>
          <w:rFonts w:ascii="宋体" w:hAnsi="宋体" w:cs="宋体"/>
          <w:sz w:val="24"/>
          <w:highlight w:val="none"/>
        </w:rPr>
        <w:t>(</w:t>
      </w:r>
      <w:r>
        <w:rPr>
          <w:rFonts w:hint="eastAsia" w:ascii="宋体" w:hAnsi="宋体" w:cs="宋体"/>
          <w:sz w:val="24"/>
          <w:highlight w:val="none"/>
        </w:rPr>
        <w:t>8</w:t>
      </w:r>
      <w:r>
        <w:rPr>
          <w:rFonts w:ascii="宋体" w:hAnsi="宋体" w:cs="宋体"/>
          <w:sz w:val="24"/>
          <w:highlight w:val="none"/>
        </w:rPr>
        <w:t>)施工组织措施费、综合费用按《浙江省建设工程计价规则（2018) 版》及造价管理部门颁发的有关最新调整文件规定的弹性区间费率中值计算</w:t>
      </w:r>
      <w:r>
        <w:rPr>
          <w:rFonts w:hint="eastAsia" w:ascii="宋体" w:hAnsi="宋体" w:cs="宋体"/>
          <w:sz w:val="24"/>
          <w:highlight w:val="none"/>
          <w:lang w:eastAsia="zh-CN"/>
        </w:rPr>
        <w:t>。</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b/>
          <w:bCs/>
          <w:sz w:val="24"/>
          <w:highlight w:val="none"/>
        </w:rPr>
      </w:pPr>
      <w:r>
        <w:rPr>
          <w:rFonts w:ascii="宋体" w:hAnsi="宋体" w:cs="宋体"/>
          <w:b/>
          <w:bCs/>
          <w:sz w:val="24"/>
          <w:highlight w:val="none"/>
        </w:rPr>
        <w:t>(</w:t>
      </w:r>
      <w:r>
        <w:rPr>
          <w:rFonts w:hint="eastAsia" w:ascii="宋体" w:hAnsi="宋体" w:cs="宋体"/>
          <w:b/>
          <w:bCs/>
          <w:sz w:val="24"/>
          <w:highlight w:val="none"/>
        </w:rPr>
        <w:t>9</w:t>
      </w:r>
      <w:r>
        <w:rPr>
          <w:rFonts w:ascii="宋体" w:hAnsi="宋体" w:cs="宋体"/>
          <w:b/>
          <w:bCs/>
          <w:sz w:val="24"/>
          <w:highlight w:val="none"/>
        </w:rPr>
        <w:t>)不服从采购人的施工项目不能在规定时间内进行维修施工的或未按规定工期内完工的；采购人有权取消其维修资格。</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bCs/>
          <w:sz w:val="24"/>
          <w:highlight w:val="none"/>
          <w:lang w:eastAsia="zh-CN"/>
        </w:rPr>
      </w:pPr>
      <w:r>
        <w:rPr>
          <w:rFonts w:ascii="宋体" w:hAnsi="宋体" w:cs="宋体"/>
          <w:sz w:val="24"/>
          <w:highlight w:val="none"/>
        </w:rPr>
        <w:t>(</w:t>
      </w:r>
      <w:r>
        <w:rPr>
          <w:rFonts w:hint="eastAsia" w:ascii="宋体" w:hAnsi="宋体" w:cs="宋体"/>
          <w:sz w:val="24"/>
          <w:highlight w:val="none"/>
          <w:lang w:val="en-US" w:eastAsia="zh-CN"/>
        </w:rPr>
        <w:t>10</w:t>
      </w:r>
      <w:r>
        <w:rPr>
          <w:rFonts w:ascii="宋体" w:hAnsi="宋体" w:cs="宋体"/>
          <w:sz w:val="24"/>
          <w:highlight w:val="none"/>
        </w:rPr>
        <w:t>)</w:t>
      </w:r>
      <w:r>
        <w:rPr>
          <w:rFonts w:hint="eastAsia" w:ascii="宋体" w:hAnsi="宋体" w:cs="宋体"/>
          <w:sz w:val="24"/>
          <w:highlight w:val="none"/>
          <w:lang w:eastAsia="zh-CN"/>
        </w:rPr>
        <w:t>根据</w:t>
      </w:r>
      <w:r>
        <w:rPr>
          <w:rFonts w:hint="eastAsia" w:ascii="宋体" w:hAnsi="宋体" w:cs="宋体"/>
          <w:sz w:val="24"/>
          <w:highlight w:val="none"/>
          <w:lang w:val="en-US" w:eastAsia="zh-CN"/>
        </w:rPr>
        <w:t>2020年桐庐县房地产管理处房屋零星维修管理办法桐房[2020]15号</w:t>
      </w:r>
      <w:r>
        <w:rPr>
          <w:rFonts w:hint="eastAsia" w:ascii="宋体" w:hAnsi="宋体" w:cs="宋体"/>
          <w:sz w:val="24"/>
          <w:highlight w:val="none"/>
          <w:lang w:eastAsia="zh-CN"/>
        </w:rPr>
        <w:t>。</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b/>
          <w:bCs/>
          <w:sz w:val="24"/>
          <w:highlight w:val="none"/>
        </w:rPr>
      </w:pPr>
      <w:r>
        <w:rPr>
          <w:rFonts w:ascii="宋体" w:hAnsi="宋体" w:cs="宋体"/>
          <w:b/>
          <w:bCs/>
          <w:sz w:val="24"/>
          <w:highlight w:val="none"/>
        </w:rPr>
        <w:t>2、技术规范</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highlight w:val="none"/>
        </w:rPr>
      </w:pPr>
      <w:r>
        <w:rPr>
          <w:rFonts w:ascii="宋体" w:hAnsi="宋体" w:cs="宋体"/>
          <w:sz w:val="24"/>
          <w:highlight w:val="none"/>
        </w:rPr>
        <w:t>依据设计施工图纸和技术文件要求，本工程项目的材料、设备、施工必须达到现行中华人民共和国及省、市、行业的一切有关法规、规范的要求，如设计施工图纸、技术文件、标准及规范要求有出入则以比较严格者为准。未详之标准请按照工程设计文件要求和当地建设行政主管部门的现行规定执行。</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bCs/>
          <w:sz w:val="24"/>
          <w:highlight w:val="none"/>
          <w:lang w:eastAsia="zh-CN"/>
        </w:rPr>
      </w:pPr>
      <w:r>
        <w:rPr>
          <w:rFonts w:ascii="宋体" w:hAnsi="宋体" w:cs="宋体"/>
          <w:b/>
          <w:bCs/>
          <w:sz w:val="24"/>
          <w:highlight w:val="none"/>
        </w:rPr>
        <w:t>3、付款方式</w:t>
      </w:r>
      <w:r>
        <w:rPr>
          <w:rFonts w:hint="eastAsia" w:ascii="宋体" w:hAnsi="宋体" w:cs="宋体"/>
          <w:b/>
          <w:bCs/>
          <w:sz w:val="24"/>
          <w:highlight w:val="none"/>
          <w:lang w:eastAsia="zh-CN"/>
        </w:rPr>
        <w:t>及时间</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rPr>
      </w:pPr>
      <w:r>
        <w:rPr>
          <w:rFonts w:hint="eastAsia" w:ascii="宋体" w:hAnsi="宋体" w:cs="宋体"/>
          <w:sz w:val="24"/>
        </w:rPr>
        <w:t>（1）工程价款结算时按招标人初审后的每个工程预算价（工程预算由承包单位在完成每个工程后提供)乘以折扣系数进行结算。折扣系数为中标折扣系数。</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rPr>
      </w:pPr>
      <w:r>
        <w:rPr>
          <w:rFonts w:hint="eastAsia" w:ascii="宋体" w:hAnsi="宋体" w:cs="宋体"/>
          <w:sz w:val="24"/>
        </w:rPr>
        <w:t>（2）工程竣工后，工程量按实结算，经审计后，支付工程款。</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rPr>
      </w:pPr>
      <w:r>
        <w:rPr>
          <w:rFonts w:hint="eastAsia" w:ascii="宋体" w:hAnsi="宋体" w:cs="宋体"/>
          <w:sz w:val="24"/>
        </w:rPr>
        <w:t>（3）合同终止约定：中标单位未按招标人要求时间以及工作内容完成施工项目情况超过 3次以上的，招标人有权终止合同。</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highlight w:val="none"/>
          <w:lang w:eastAsia="zh-CN"/>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w:t>
      </w:r>
      <w:r>
        <w:rPr>
          <w:rFonts w:hint="eastAsia" w:ascii="宋体" w:hAnsi="宋体" w:cs="宋体"/>
          <w:sz w:val="24"/>
          <w:lang w:eastAsia="zh-CN"/>
        </w:rPr>
        <w:t>付款周期：</w:t>
      </w:r>
      <w:r>
        <w:rPr>
          <w:rFonts w:hint="eastAsia" w:ascii="宋体" w:hAnsi="宋体" w:cs="宋体"/>
          <w:sz w:val="24"/>
          <w:highlight w:val="none"/>
          <w:lang w:eastAsia="zh-CN"/>
        </w:rPr>
        <w:t>一季度结算一次，待采购人审计后按审计金额一次性付清。</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lang w:val="en-US" w:eastAsia="zh-CN"/>
        </w:rPr>
      </w:pPr>
      <w:r>
        <w:rPr>
          <w:rFonts w:hint="eastAsia" w:ascii="宋体" w:hAnsi="宋体" w:cs="宋体"/>
          <w:sz w:val="24"/>
          <w:lang w:eastAsia="zh-CN"/>
        </w:rPr>
        <w:t>注：折扣率最高限价：</w:t>
      </w:r>
      <w:r>
        <w:rPr>
          <w:rFonts w:hint="eastAsia" w:ascii="宋体" w:hAnsi="宋体" w:cs="宋体"/>
          <w:sz w:val="24"/>
          <w:lang w:val="en-US" w:eastAsia="zh-CN"/>
        </w:rPr>
        <w:t>100</w:t>
      </w:r>
      <w:r>
        <w:rPr>
          <w:rFonts w:hint="eastAsia" w:ascii="宋体" w:hAnsi="宋体" w:cs="宋体"/>
          <w:sz w:val="24"/>
          <w:lang w:eastAsia="zh-CN"/>
        </w:rPr>
        <w:t>%。投标报价采用折扣率形式，折扣率必须≤</w:t>
      </w:r>
      <w:r>
        <w:rPr>
          <w:rFonts w:hint="eastAsia" w:ascii="宋体" w:hAnsi="宋体" w:cs="宋体"/>
          <w:sz w:val="24"/>
          <w:lang w:val="en-US" w:eastAsia="zh-CN"/>
        </w:rPr>
        <w:t>10</w:t>
      </w:r>
      <w:r>
        <w:rPr>
          <w:rFonts w:hint="eastAsia" w:ascii="宋体" w:hAnsi="宋体" w:cs="宋体"/>
          <w:sz w:val="24"/>
          <w:lang w:eastAsia="zh-CN"/>
        </w:rPr>
        <w:t>0%，折扣率未≤</w:t>
      </w:r>
      <w:r>
        <w:rPr>
          <w:rFonts w:hint="eastAsia" w:ascii="宋体" w:hAnsi="宋体" w:cs="宋体"/>
          <w:sz w:val="24"/>
          <w:lang w:val="en-US" w:eastAsia="zh-CN"/>
        </w:rPr>
        <w:t>10</w:t>
      </w:r>
      <w:r>
        <w:rPr>
          <w:rFonts w:hint="eastAsia" w:ascii="宋体" w:hAnsi="宋体" w:cs="宋体"/>
          <w:sz w:val="24"/>
          <w:lang w:eastAsia="zh-CN"/>
        </w:rPr>
        <w:t>0%的作无效标处理（即折扣率≤</w:t>
      </w:r>
      <w:r>
        <w:rPr>
          <w:rFonts w:hint="eastAsia" w:ascii="宋体" w:hAnsi="宋体" w:cs="宋体"/>
          <w:sz w:val="24"/>
          <w:lang w:val="en-US" w:eastAsia="zh-CN"/>
        </w:rPr>
        <w:t>10</w:t>
      </w:r>
      <w:r>
        <w:rPr>
          <w:rFonts w:hint="eastAsia" w:ascii="宋体" w:hAnsi="宋体" w:cs="宋体"/>
          <w:sz w:val="24"/>
          <w:lang w:eastAsia="zh-CN"/>
        </w:rPr>
        <w:t>0%为有效报价；如折扣率88%，即打8.8折）。</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ascii="宋体" w:hAnsi="宋体" w:cs="宋体"/>
          <w:b/>
          <w:bCs/>
          <w:sz w:val="24"/>
        </w:rPr>
      </w:pPr>
      <w:r>
        <w:rPr>
          <w:rFonts w:hint="eastAsia" w:ascii="宋体" w:hAnsi="宋体" w:cs="宋体"/>
          <w:b/>
          <w:bCs/>
          <w:sz w:val="24"/>
          <w:lang w:eastAsia="zh-CN"/>
        </w:rPr>
        <w:t>六</w:t>
      </w:r>
      <w:r>
        <w:rPr>
          <w:rFonts w:ascii="宋体" w:hAnsi="宋体" w:cs="宋体"/>
          <w:b/>
          <w:bCs/>
          <w:sz w:val="24"/>
        </w:rPr>
        <w:t>、质量保证</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rPr>
      </w:pPr>
      <w:r>
        <w:rPr>
          <w:rFonts w:ascii="宋体" w:hAnsi="宋体" w:cs="宋体"/>
          <w:sz w:val="24"/>
        </w:rPr>
        <w:t>本项目质量保修期为2年，质量保修期从工程实际竣工验收合格之日算起。分单项竣工验收的工程，按单项工程分别计算质量保修期。</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rPr>
      </w:pPr>
      <w:r>
        <w:rPr>
          <w:rFonts w:ascii="宋体" w:hAnsi="宋体" w:cs="宋体"/>
          <w:sz w:val="24"/>
        </w:rPr>
        <w:t>(1)属于保修范围、内容的项目，承包人应当在接到保修通知之日起7天内派人保修。承包人不在约定期限内派人保修的，发包人可以委托他人修理。</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rPr>
      </w:pPr>
      <w:r>
        <w:rPr>
          <w:rFonts w:ascii="宋体" w:hAnsi="宋体" w:cs="宋体"/>
          <w:sz w:val="24"/>
        </w:rPr>
        <w:t>(2)发生紧急事故需抢修的，承包人在接到事故通知后，应当立即到达事故现场抢修。</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rPr>
      </w:pPr>
      <w:r>
        <w:rPr>
          <w:rFonts w:ascii="宋体" w:hAnsi="宋体" w:cs="宋体"/>
          <w:sz w:val="24"/>
        </w:rPr>
        <w:t>(3)对于涉及结构安全的质量问题，应当按照《建设工程质量管理条例》 的规定，立即向当地建设行政主管部门和有关部门报告，采取安全防范措施，并由原设计人或者具有相应资质等级的设计人提出保修方案，承包人实施保修。</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rPr>
      </w:pPr>
      <w:r>
        <w:rPr>
          <w:rFonts w:ascii="宋体" w:hAnsi="宋体" w:cs="宋体"/>
          <w:sz w:val="24"/>
        </w:rPr>
        <w:t>(4)质量保修完成后，由发包人组织验收。</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z w:val="24"/>
          <w:lang w:eastAsia="zh-CN"/>
        </w:rPr>
      </w:pPr>
      <w:r>
        <w:rPr>
          <w:rFonts w:ascii="宋体" w:hAnsi="宋体" w:cs="宋体"/>
          <w:sz w:val="24"/>
        </w:rPr>
        <w:t>(5)在国家规定的工程合理使用期限内，因承包人原因致使工程在合理使用期限内造成人身和财产损害的，承包人应承担损害赔偿责任</w:t>
      </w:r>
      <w:r>
        <w:rPr>
          <w:rFonts w:hint="eastAsia" w:ascii="宋体" w:hAnsi="宋体" w:cs="宋体"/>
          <w:sz w:val="24"/>
          <w:lang w:eastAsia="zh-CN"/>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ascii="宋体" w:hAnsi="宋体" w:cs="宋体"/>
          <w:b/>
          <w:bCs/>
          <w:sz w:val="24"/>
        </w:rPr>
      </w:pPr>
      <w:r>
        <w:rPr>
          <w:rFonts w:hint="eastAsia" w:ascii="宋体" w:hAnsi="宋体" w:cs="宋体"/>
          <w:b/>
          <w:bCs/>
          <w:sz w:val="24"/>
          <w:lang w:eastAsia="zh-CN"/>
        </w:rPr>
        <w:t>七</w:t>
      </w:r>
      <w:r>
        <w:rPr>
          <w:rFonts w:ascii="宋体" w:hAnsi="宋体" w:cs="宋体"/>
          <w:b/>
          <w:bCs/>
          <w:sz w:val="24"/>
        </w:rPr>
        <w:t>、工期要求</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rPr>
      </w:pPr>
      <w:r>
        <w:rPr>
          <w:rFonts w:ascii="宋体" w:hAnsi="宋体" w:cs="宋体"/>
          <w:sz w:val="24"/>
        </w:rPr>
        <w:t>1、工程期：施工工期：根据甲方安排的时间段进行施工（包括日常指定时</w:t>
      </w:r>
    </w:p>
    <w:p>
      <w:pPr>
        <w:keepNext w:val="0"/>
        <w:keepLines w:val="0"/>
        <w:pageBreakBefore w:val="0"/>
        <w:widowControl w:val="0"/>
        <w:kinsoku/>
        <w:wordWrap/>
        <w:overflowPunct/>
        <w:topLinePunct w:val="0"/>
        <w:autoSpaceDE/>
        <w:autoSpaceDN/>
        <w:bidi w:val="0"/>
        <w:snapToGrid/>
        <w:spacing w:line="440" w:lineRule="exact"/>
        <w:textAlignment w:val="auto"/>
        <w:rPr>
          <w:rFonts w:ascii="宋体" w:hAnsi="宋体" w:cs="宋体"/>
          <w:sz w:val="24"/>
        </w:rPr>
      </w:pPr>
      <w:r>
        <w:rPr>
          <w:rFonts w:ascii="宋体" w:hAnsi="宋体" w:cs="宋体"/>
          <w:sz w:val="24"/>
        </w:rPr>
        <w:t>间段、应急加夜班等时间），并保证如期完成工程施工。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cs="宋体"/>
          <w:sz w:val="24"/>
        </w:rPr>
      </w:pPr>
      <w:r>
        <w:rPr>
          <w:rFonts w:ascii="宋体" w:hAnsi="宋体" w:cs="宋体"/>
          <w:sz w:val="24"/>
        </w:rPr>
        <w:t>实施地点：采购人指定地点。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color w:val="000000"/>
          <w:kern w:val="0"/>
          <w:sz w:val="24"/>
          <w:lang w:eastAsia="zh-CN"/>
        </w:rPr>
      </w:pPr>
      <w:r>
        <w:rPr>
          <w:rFonts w:hint="eastAsia" w:ascii="宋体" w:hAnsi="宋体" w:cs="宋体"/>
          <w:b/>
          <w:color w:val="000000"/>
          <w:kern w:val="0"/>
          <w:sz w:val="24"/>
          <w:lang w:eastAsia="zh-CN"/>
        </w:rPr>
        <w:t>八</w:t>
      </w:r>
      <w:r>
        <w:rPr>
          <w:rFonts w:hint="eastAsia" w:ascii="宋体" w:hAnsi="宋体" w:cs="宋体"/>
          <w:b/>
          <w:color w:val="000000"/>
          <w:kern w:val="0"/>
          <w:sz w:val="24"/>
        </w:rPr>
        <w:t>、</w:t>
      </w:r>
      <w:r>
        <w:rPr>
          <w:rFonts w:hint="eastAsia" w:ascii="宋体" w:hAnsi="宋体" w:cs="宋体"/>
          <w:b/>
          <w:color w:val="000000"/>
          <w:kern w:val="0"/>
          <w:sz w:val="24"/>
          <w:lang w:eastAsia="zh-CN"/>
        </w:rPr>
        <w:t>其它</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rPr>
      </w:pPr>
      <w:r>
        <w:rPr>
          <w:rFonts w:hint="eastAsia" w:ascii="宋体" w:hAnsi="宋体" w:cs="宋体"/>
          <w:sz w:val="24"/>
        </w:rPr>
        <w:t>中标供应商在签订合同时缴纳合同总价的0.1%给采购人作为履约保证金，履约保证金可以以银行履约保函或保险公司保函形式或公对公转账（汇款）形式提交，合同履行完毕后如无质量索赔事件无息退还。</w:t>
      </w:r>
    </w:p>
    <w:p>
      <w:pPr>
        <w:snapToGrid w:val="0"/>
        <w:spacing w:line="360" w:lineRule="auto"/>
        <w:jc w:val="center"/>
        <w:rPr>
          <w:rFonts w:hint="eastAsia" w:ascii="宋体" w:hAnsi="宋体" w:cs="宋体"/>
          <w:b/>
          <w:sz w:val="36"/>
          <w:szCs w:val="36"/>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pPr>
        <w:snapToGrid w:val="0"/>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25" w:name="_Toc184313283"/>
      <w:bookmarkEnd w:id="25"/>
      <w:bookmarkStart w:id="26" w:name="_Toc184312092"/>
      <w:bookmarkEnd w:id="26"/>
      <w:bookmarkStart w:id="27" w:name="_Toc184308102"/>
      <w:bookmarkEnd w:id="27"/>
      <w:bookmarkStart w:id="28" w:name="_Toc184314419"/>
      <w:bookmarkEnd w:id="28"/>
      <w:bookmarkStart w:id="29" w:name="_Toc184314434"/>
      <w:bookmarkEnd w:id="29"/>
      <w:bookmarkStart w:id="30" w:name="_Toc184312079"/>
      <w:bookmarkEnd w:id="30"/>
      <w:bookmarkStart w:id="31" w:name="_Toc184314447"/>
      <w:bookmarkEnd w:id="31"/>
      <w:bookmarkStart w:id="32" w:name="_Toc184313249"/>
      <w:bookmarkEnd w:id="32"/>
      <w:bookmarkStart w:id="33" w:name="_Toc184313258"/>
      <w:bookmarkEnd w:id="33"/>
      <w:bookmarkStart w:id="34" w:name="_Toc184312084"/>
      <w:bookmarkEnd w:id="34"/>
      <w:bookmarkStart w:id="35" w:name="_Toc184308105"/>
      <w:bookmarkEnd w:id="35"/>
      <w:bookmarkStart w:id="36" w:name="_Toc184310275"/>
      <w:bookmarkEnd w:id="36"/>
      <w:bookmarkStart w:id="37" w:name="_Toc184313284"/>
      <w:bookmarkEnd w:id="37"/>
      <w:bookmarkStart w:id="38" w:name="_Toc184308061"/>
      <w:bookmarkEnd w:id="38"/>
      <w:bookmarkStart w:id="39" w:name="_Toc184310341"/>
      <w:bookmarkEnd w:id="39"/>
      <w:bookmarkStart w:id="40" w:name="_Toc184310282"/>
      <w:bookmarkEnd w:id="40"/>
      <w:bookmarkStart w:id="41" w:name="_Toc184312073"/>
      <w:bookmarkEnd w:id="41"/>
      <w:bookmarkStart w:id="42" w:name="_Toc184314420"/>
      <w:bookmarkEnd w:id="42"/>
      <w:bookmarkStart w:id="43" w:name="_Toc184313270"/>
      <w:bookmarkEnd w:id="43"/>
      <w:bookmarkStart w:id="44" w:name="_Toc184313245"/>
      <w:bookmarkEnd w:id="44"/>
      <w:bookmarkStart w:id="45" w:name="_Toc184310313"/>
      <w:bookmarkEnd w:id="45"/>
      <w:bookmarkStart w:id="46" w:name="_Toc184310322"/>
      <w:bookmarkEnd w:id="46"/>
      <w:bookmarkStart w:id="47" w:name="_Toc184310332"/>
      <w:bookmarkEnd w:id="47"/>
      <w:bookmarkStart w:id="48" w:name="_Toc184313241"/>
      <w:bookmarkEnd w:id="48"/>
      <w:bookmarkStart w:id="49" w:name="_Toc184314444"/>
      <w:bookmarkEnd w:id="49"/>
      <w:bookmarkStart w:id="50" w:name="_Toc184310336"/>
      <w:bookmarkEnd w:id="50"/>
      <w:bookmarkStart w:id="51" w:name="_Toc184308084"/>
      <w:bookmarkEnd w:id="51"/>
      <w:bookmarkStart w:id="52" w:name="_Toc184308085"/>
      <w:bookmarkEnd w:id="52"/>
      <w:bookmarkStart w:id="53" w:name="_Toc184308108"/>
      <w:bookmarkEnd w:id="53"/>
      <w:bookmarkStart w:id="54" w:name="_Toc184313306"/>
      <w:bookmarkEnd w:id="54"/>
      <w:bookmarkStart w:id="55" w:name="_Toc184308091"/>
      <w:bookmarkEnd w:id="55"/>
      <w:bookmarkStart w:id="56" w:name="_Toc184310288"/>
      <w:bookmarkEnd w:id="56"/>
      <w:bookmarkStart w:id="57" w:name="_Toc184314423"/>
      <w:bookmarkEnd w:id="57"/>
      <w:bookmarkStart w:id="58" w:name="_Toc184314469"/>
      <w:bookmarkEnd w:id="58"/>
      <w:bookmarkStart w:id="59" w:name="_Toc184308103"/>
      <w:bookmarkEnd w:id="59"/>
      <w:bookmarkStart w:id="60" w:name="_Toc184310323"/>
      <w:bookmarkEnd w:id="60"/>
      <w:bookmarkStart w:id="61" w:name="_Toc184312074"/>
      <w:bookmarkEnd w:id="61"/>
      <w:bookmarkStart w:id="62" w:name="_Toc184312101"/>
      <w:bookmarkEnd w:id="62"/>
      <w:bookmarkStart w:id="63" w:name="_Toc184312072"/>
      <w:bookmarkEnd w:id="63"/>
      <w:bookmarkStart w:id="64" w:name="_Toc184312094"/>
      <w:bookmarkEnd w:id="64"/>
      <w:bookmarkStart w:id="65" w:name="_Toc184310306"/>
      <w:bookmarkEnd w:id="65"/>
      <w:bookmarkStart w:id="66" w:name="_Toc184314474"/>
      <w:bookmarkEnd w:id="66"/>
      <w:bookmarkStart w:id="67" w:name="_Toc184314462"/>
      <w:bookmarkEnd w:id="67"/>
      <w:bookmarkStart w:id="68" w:name="_Toc184314479"/>
      <w:bookmarkEnd w:id="68"/>
      <w:bookmarkStart w:id="69" w:name="_Toc184314416"/>
      <w:bookmarkEnd w:id="69"/>
      <w:bookmarkStart w:id="70" w:name="_Toc184314421"/>
      <w:bookmarkEnd w:id="70"/>
      <w:bookmarkStart w:id="71" w:name="_Toc184312113"/>
      <w:bookmarkEnd w:id="71"/>
      <w:bookmarkStart w:id="72" w:name="_Toc184308094"/>
      <w:bookmarkEnd w:id="72"/>
      <w:bookmarkStart w:id="73" w:name="_Toc184312116"/>
      <w:bookmarkEnd w:id="73"/>
      <w:bookmarkStart w:id="74" w:name="_Toc184312139"/>
      <w:bookmarkEnd w:id="74"/>
      <w:bookmarkStart w:id="75" w:name="_Toc184308096"/>
      <w:bookmarkEnd w:id="75"/>
      <w:bookmarkStart w:id="76" w:name="_Toc184312136"/>
      <w:bookmarkEnd w:id="76"/>
      <w:bookmarkStart w:id="77" w:name="_Toc184313279"/>
      <w:bookmarkEnd w:id="77"/>
      <w:bookmarkStart w:id="78" w:name="_Toc184313287"/>
      <w:bookmarkEnd w:id="78"/>
      <w:bookmarkStart w:id="79" w:name="_Toc184312120"/>
      <w:bookmarkEnd w:id="79"/>
      <w:bookmarkStart w:id="80" w:name="_Toc184312115"/>
      <w:bookmarkEnd w:id="80"/>
      <w:bookmarkStart w:id="81" w:name="_Toc184308090"/>
      <w:bookmarkEnd w:id="81"/>
      <w:bookmarkStart w:id="82" w:name="_Toc184310331"/>
      <w:bookmarkEnd w:id="82"/>
      <w:bookmarkStart w:id="83" w:name="_Toc184310312"/>
      <w:bookmarkEnd w:id="83"/>
      <w:bookmarkStart w:id="84" w:name="_Toc184312135"/>
      <w:bookmarkEnd w:id="84"/>
      <w:bookmarkStart w:id="85" w:name="_Toc184308058"/>
      <w:bookmarkEnd w:id="85"/>
      <w:bookmarkStart w:id="86" w:name="_Toc184314425"/>
      <w:bookmarkEnd w:id="86"/>
      <w:bookmarkStart w:id="87" w:name="_Toc184310343"/>
      <w:bookmarkEnd w:id="87"/>
      <w:bookmarkStart w:id="88" w:name="_Toc184312078"/>
      <w:bookmarkEnd w:id="88"/>
      <w:bookmarkStart w:id="89" w:name="_Toc184313240"/>
      <w:bookmarkEnd w:id="89"/>
      <w:bookmarkStart w:id="90" w:name="_Toc184310287"/>
      <w:bookmarkEnd w:id="90"/>
      <w:bookmarkStart w:id="91" w:name="_Toc184313266"/>
      <w:bookmarkEnd w:id="91"/>
      <w:bookmarkStart w:id="92" w:name="_Toc184308065"/>
      <w:bookmarkEnd w:id="92"/>
      <w:bookmarkStart w:id="93" w:name="_Toc184308067"/>
      <w:bookmarkEnd w:id="93"/>
      <w:bookmarkStart w:id="94" w:name="_Toc184314456"/>
      <w:bookmarkEnd w:id="94"/>
      <w:bookmarkStart w:id="95" w:name="_Toc184312118"/>
      <w:bookmarkEnd w:id="95"/>
      <w:bookmarkStart w:id="96" w:name="_Toc184313307"/>
      <w:bookmarkEnd w:id="96"/>
      <w:bookmarkStart w:id="97" w:name="_Toc184308060"/>
      <w:bookmarkEnd w:id="97"/>
      <w:bookmarkStart w:id="98" w:name="_Toc184312086"/>
      <w:bookmarkEnd w:id="98"/>
      <w:bookmarkStart w:id="99" w:name="_Toc184313244"/>
      <w:bookmarkEnd w:id="99"/>
      <w:bookmarkStart w:id="100" w:name="_Toc184308107"/>
      <w:bookmarkEnd w:id="100"/>
      <w:bookmarkStart w:id="101" w:name="_Toc184314449"/>
      <w:bookmarkEnd w:id="101"/>
      <w:bookmarkStart w:id="102" w:name="_Toc184308049"/>
      <w:bookmarkEnd w:id="102"/>
      <w:bookmarkStart w:id="103" w:name="_Toc184314477"/>
      <w:bookmarkEnd w:id="103"/>
      <w:bookmarkStart w:id="104" w:name="_Toc184308093"/>
      <w:bookmarkEnd w:id="104"/>
      <w:bookmarkStart w:id="105" w:name="_Toc184310321"/>
      <w:bookmarkEnd w:id="105"/>
      <w:bookmarkStart w:id="106" w:name="_Toc184308101"/>
      <w:bookmarkEnd w:id="106"/>
      <w:bookmarkStart w:id="107" w:name="_Toc184314430"/>
      <w:bookmarkEnd w:id="107"/>
      <w:bookmarkStart w:id="108" w:name="_Toc184313269"/>
      <w:bookmarkEnd w:id="108"/>
      <w:bookmarkStart w:id="109" w:name="_Toc184312107"/>
      <w:bookmarkEnd w:id="109"/>
      <w:bookmarkStart w:id="110" w:name="_Toc184313310"/>
      <w:bookmarkEnd w:id="110"/>
      <w:bookmarkStart w:id="111" w:name="_Toc184310338"/>
      <w:bookmarkEnd w:id="111"/>
      <w:bookmarkStart w:id="112" w:name="_Toc184310276"/>
      <w:bookmarkEnd w:id="112"/>
      <w:bookmarkStart w:id="113" w:name="_Toc184313265"/>
      <w:bookmarkEnd w:id="113"/>
      <w:bookmarkStart w:id="114" w:name="_Toc184314472"/>
      <w:bookmarkEnd w:id="114"/>
      <w:bookmarkStart w:id="115" w:name="_Toc184310304"/>
      <w:bookmarkEnd w:id="115"/>
      <w:bookmarkStart w:id="116" w:name="_Toc184314466"/>
      <w:bookmarkEnd w:id="116"/>
      <w:bookmarkStart w:id="117" w:name="_Toc184313295"/>
      <w:bookmarkEnd w:id="117"/>
      <w:bookmarkStart w:id="118" w:name="_Toc184313238"/>
      <w:bookmarkEnd w:id="118"/>
      <w:bookmarkStart w:id="119" w:name="_Toc184314443"/>
      <w:bookmarkEnd w:id="119"/>
      <w:bookmarkStart w:id="120" w:name="_Toc184314463"/>
      <w:bookmarkEnd w:id="120"/>
      <w:bookmarkStart w:id="121" w:name="_Toc184314437"/>
      <w:bookmarkEnd w:id="121"/>
      <w:bookmarkStart w:id="122" w:name="_Toc184310333"/>
      <w:bookmarkEnd w:id="122"/>
      <w:bookmarkStart w:id="123" w:name="_Toc184310316"/>
      <w:bookmarkEnd w:id="123"/>
      <w:bookmarkStart w:id="124" w:name="_Toc184308046"/>
      <w:bookmarkEnd w:id="124"/>
      <w:bookmarkStart w:id="125" w:name="_Toc184312106"/>
      <w:bookmarkEnd w:id="125"/>
      <w:bookmarkStart w:id="126" w:name="_Toc184308050"/>
      <w:bookmarkEnd w:id="126"/>
      <w:bookmarkStart w:id="127" w:name="_Toc184312102"/>
      <w:bookmarkEnd w:id="127"/>
      <w:bookmarkStart w:id="128" w:name="_Toc184312125"/>
      <w:bookmarkEnd w:id="128"/>
      <w:bookmarkStart w:id="129" w:name="_Toc184308080"/>
      <w:bookmarkEnd w:id="129"/>
      <w:bookmarkStart w:id="130" w:name="_Toc184312105"/>
      <w:bookmarkEnd w:id="130"/>
      <w:bookmarkStart w:id="131" w:name="_Toc184312100"/>
      <w:bookmarkEnd w:id="131"/>
      <w:bookmarkStart w:id="132" w:name="_Toc184313254"/>
      <w:bookmarkEnd w:id="132"/>
      <w:bookmarkStart w:id="133" w:name="_Toc184314465"/>
      <w:bookmarkEnd w:id="133"/>
      <w:bookmarkStart w:id="134" w:name="_Toc184314426"/>
      <w:bookmarkEnd w:id="134"/>
      <w:bookmarkStart w:id="135" w:name="_Toc184308095"/>
      <w:bookmarkEnd w:id="135"/>
      <w:bookmarkStart w:id="136" w:name="_Toc184312111"/>
      <w:bookmarkEnd w:id="136"/>
      <w:bookmarkStart w:id="137" w:name="_Toc184313272"/>
      <w:bookmarkEnd w:id="137"/>
      <w:bookmarkStart w:id="138" w:name="_Toc184312127"/>
      <w:bookmarkEnd w:id="138"/>
      <w:bookmarkStart w:id="139" w:name="_Toc184312069"/>
      <w:bookmarkEnd w:id="139"/>
      <w:bookmarkStart w:id="140" w:name="_Toc184313281"/>
      <w:bookmarkEnd w:id="140"/>
      <w:bookmarkStart w:id="141" w:name="_Toc184314471"/>
      <w:bookmarkEnd w:id="141"/>
      <w:bookmarkStart w:id="142" w:name="_Toc184308045"/>
      <w:bookmarkEnd w:id="142"/>
      <w:bookmarkStart w:id="143" w:name="_Toc184313290"/>
      <w:bookmarkEnd w:id="143"/>
      <w:bookmarkStart w:id="144" w:name="_Toc184314475"/>
      <w:bookmarkEnd w:id="144"/>
      <w:bookmarkStart w:id="145" w:name="_Toc184308047"/>
      <w:bookmarkEnd w:id="145"/>
      <w:bookmarkStart w:id="146" w:name="_Toc184310340"/>
      <w:bookmarkEnd w:id="146"/>
      <w:bookmarkStart w:id="147" w:name="_Toc184313264"/>
      <w:bookmarkEnd w:id="147"/>
      <w:bookmarkStart w:id="148" w:name="_Toc184313273"/>
      <w:bookmarkEnd w:id="148"/>
      <w:bookmarkStart w:id="149" w:name="_Toc184308044"/>
      <w:bookmarkEnd w:id="149"/>
      <w:bookmarkStart w:id="150" w:name="_Toc184310299"/>
      <w:bookmarkEnd w:id="150"/>
      <w:bookmarkStart w:id="151" w:name="_Toc184308040"/>
      <w:bookmarkEnd w:id="151"/>
      <w:bookmarkStart w:id="152" w:name="_Toc184310279"/>
      <w:bookmarkEnd w:id="152"/>
      <w:bookmarkStart w:id="153" w:name="_Toc184313309"/>
      <w:bookmarkEnd w:id="153"/>
      <w:bookmarkStart w:id="154" w:name="_Toc184310289"/>
      <w:bookmarkEnd w:id="154"/>
      <w:bookmarkStart w:id="155" w:name="_Toc184312104"/>
      <w:bookmarkEnd w:id="155"/>
      <w:bookmarkStart w:id="156" w:name="_Toc184308097"/>
      <w:bookmarkEnd w:id="156"/>
      <w:bookmarkStart w:id="157" w:name="_Toc184310314"/>
      <w:bookmarkEnd w:id="157"/>
      <w:bookmarkStart w:id="158" w:name="_Toc184308072"/>
      <w:bookmarkEnd w:id="158"/>
      <w:bookmarkStart w:id="159" w:name="_Toc184310278"/>
      <w:bookmarkEnd w:id="159"/>
      <w:bookmarkStart w:id="160" w:name="_Toc184313298"/>
      <w:bookmarkEnd w:id="160"/>
      <w:bookmarkStart w:id="161" w:name="_Toc184308106"/>
      <w:bookmarkEnd w:id="161"/>
      <w:bookmarkStart w:id="162" w:name="_Toc184308056"/>
      <w:bookmarkEnd w:id="162"/>
      <w:bookmarkStart w:id="163" w:name="_Toc184310326"/>
      <w:bookmarkEnd w:id="163"/>
      <w:bookmarkStart w:id="164" w:name="_Toc184312128"/>
      <w:bookmarkEnd w:id="164"/>
      <w:bookmarkStart w:id="165" w:name="_Toc184308088"/>
      <w:bookmarkEnd w:id="165"/>
      <w:bookmarkStart w:id="166" w:name="_Toc184308081"/>
      <w:bookmarkEnd w:id="166"/>
      <w:bookmarkStart w:id="167" w:name="_Toc184314467"/>
      <w:bookmarkEnd w:id="167"/>
      <w:bookmarkStart w:id="168" w:name="_Toc184312119"/>
      <w:bookmarkEnd w:id="168"/>
      <w:bookmarkStart w:id="169" w:name="_Toc184313277"/>
      <w:bookmarkEnd w:id="169"/>
      <w:bookmarkStart w:id="170" w:name="_Toc184310293"/>
      <w:bookmarkEnd w:id="170"/>
      <w:bookmarkStart w:id="171" w:name="_Toc184310309"/>
      <w:bookmarkEnd w:id="171"/>
      <w:bookmarkStart w:id="172" w:name="_Toc184312089"/>
      <w:bookmarkEnd w:id="172"/>
      <w:bookmarkStart w:id="173" w:name="_Toc184313252"/>
      <w:bookmarkEnd w:id="173"/>
      <w:bookmarkStart w:id="174" w:name="_Toc184308051"/>
      <w:bookmarkEnd w:id="174"/>
      <w:bookmarkStart w:id="175" w:name="_Toc184313243"/>
      <w:bookmarkEnd w:id="175"/>
      <w:bookmarkStart w:id="176" w:name="_Toc184308052"/>
      <w:bookmarkEnd w:id="176"/>
      <w:bookmarkStart w:id="177" w:name="_Toc184314450"/>
      <w:bookmarkEnd w:id="177"/>
      <w:bookmarkStart w:id="178" w:name="_Toc184310320"/>
      <w:bookmarkEnd w:id="178"/>
      <w:bookmarkStart w:id="179" w:name="_Toc184314435"/>
      <w:bookmarkEnd w:id="179"/>
      <w:bookmarkStart w:id="180" w:name="_Toc184308074"/>
      <w:bookmarkEnd w:id="180"/>
      <w:bookmarkStart w:id="181" w:name="_Toc184312131"/>
      <w:bookmarkEnd w:id="181"/>
      <w:bookmarkStart w:id="182" w:name="_Toc184313271"/>
      <w:bookmarkEnd w:id="182"/>
      <w:bookmarkStart w:id="183" w:name="_Toc184308078"/>
      <w:bookmarkEnd w:id="183"/>
      <w:bookmarkStart w:id="184" w:name="_Toc184313276"/>
      <w:bookmarkEnd w:id="184"/>
      <w:bookmarkStart w:id="185" w:name="_Toc184308082"/>
      <w:bookmarkEnd w:id="185"/>
      <w:bookmarkStart w:id="186" w:name="_Toc184310280"/>
      <w:bookmarkEnd w:id="186"/>
      <w:bookmarkStart w:id="187" w:name="_Toc184310277"/>
      <w:bookmarkEnd w:id="187"/>
      <w:bookmarkStart w:id="188" w:name="_Toc184308041"/>
      <w:bookmarkEnd w:id="188"/>
      <w:bookmarkStart w:id="189" w:name="_Toc184308048"/>
      <w:bookmarkEnd w:id="189"/>
      <w:bookmarkStart w:id="190" w:name="_Toc184314432"/>
      <w:bookmarkEnd w:id="190"/>
      <w:bookmarkStart w:id="191" w:name="_Toc184314424"/>
      <w:bookmarkEnd w:id="191"/>
      <w:bookmarkStart w:id="192" w:name="_Toc184314482"/>
      <w:bookmarkEnd w:id="192"/>
      <w:bookmarkStart w:id="193" w:name="_Toc184308071"/>
      <w:bookmarkEnd w:id="193"/>
      <w:bookmarkStart w:id="194" w:name="_Toc184313302"/>
      <w:bookmarkEnd w:id="194"/>
      <w:bookmarkStart w:id="195" w:name="_Toc184312088"/>
      <w:bookmarkEnd w:id="195"/>
      <w:bookmarkStart w:id="196" w:name="_Toc184313301"/>
      <w:bookmarkEnd w:id="196"/>
      <w:bookmarkStart w:id="197" w:name="_Toc184312075"/>
      <w:bookmarkEnd w:id="197"/>
      <w:bookmarkStart w:id="198" w:name="_Toc184312096"/>
      <w:bookmarkEnd w:id="198"/>
      <w:bookmarkStart w:id="199" w:name="_Toc184312112"/>
      <w:bookmarkEnd w:id="199"/>
      <w:bookmarkStart w:id="200" w:name="_Toc184314459"/>
      <w:bookmarkEnd w:id="200"/>
      <w:bookmarkStart w:id="201" w:name="_Toc184313261"/>
      <w:bookmarkEnd w:id="201"/>
      <w:bookmarkStart w:id="202" w:name="_Toc184313296"/>
      <w:bookmarkEnd w:id="202"/>
      <w:bookmarkStart w:id="203" w:name="_Toc184314453"/>
      <w:bookmarkEnd w:id="203"/>
      <w:bookmarkStart w:id="204" w:name="_Toc184310284"/>
      <w:bookmarkEnd w:id="204"/>
      <w:bookmarkStart w:id="205" w:name="_Toc184312067"/>
      <w:bookmarkEnd w:id="205"/>
      <w:bookmarkStart w:id="206" w:name="_Toc184314436"/>
      <w:bookmarkEnd w:id="206"/>
      <w:bookmarkStart w:id="207" w:name="_Toc184314410"/>
      <w:bookmarkEnd w:id="207"/>
      <w:bookmarkStart w:id="208" w:name="_Toc184312099"/>
      <w:bookmarkEnd w:id="208"/>
      <w:bookmarkStart w:id="209" w:name="_Toc184314452"/>
      <w:bookmarkEnd w:id="209"/>
      <w:bookmarkStart w:id="210" w:name="_Toc184312133"/>
      <w:bookmarkEnd w:id="210"/>
      <w:bookmarkStart w:id="211" w:name="_Toc184312114"/>
      <w:bookmarkEnd w:id="211"/>
      <w:bookmarkStart w:id="212" w:name="_Toc184312137"/>
      <w:bookmarkEnd w:id="212"/>
      <w:bookmarkStart w:id="213" w:name="_Toc184313259"/>
      <w:bookmarkEnd w:id="213"/>
      <w:bookmarkStart w:id="214" w:name="_Toc184312122"/>
      <w:bookmarkEnd w:id="214"/>
      <w:bookmarkStart w:id="215" w:name="_Toc184308070"/>
      <w:bookmarkEnd w:id="215"/>
      <w:bookmarkStart w:id="216" w:name="_Toc184308087"/>
      <w:bookmarkEnd w:id="216"/>
      <w:bookmarkStart w:id="217" w:name="_Toc184312109"/>
      <w:bookmarkEnd w:id="217"/>
      <w:bookmarkStart w:id="218" w:name="_Toc184308083"/>
      <w:bookmarkEnd w:id="218"/>
      <w:bookmarkStart w:id="219" w:name="_Toc184313250"/>
      <w:bookmarkEnd w:id="219"/>
      <w:bookmarkStart w:id="220" w:name="_Toc184312068"/>
      <w:bookmarkEnd w:id="220"/>
      <w:bookmarkStart w:id="221" w:name="_Toc184313274"/>
      <w:bookmarkEnd w:id="221"/>
      <w:bookmarkStart w:id="222" w:name="_Toc184314439"/>
      <w:bookmarkEnd w:id="222"/>
      <w:bookmarkStart w:id="223" w:name="_Toc184308054"/>
      <w:bookmarkEnd w:id="223"/>
      <w:bookmarkStart w:id="224" w:name="_Toc184314457"/>
      <w:bookmarkEnd w:id="224"/>
      <w:bookmarkStart w:id="225" w:name="_Toc184314455"/>
      <w:bookmarkEnd w:id="225"/>
      <w:bookmarkStart w:id="226" w:name="_Toc184313286"/>
      <w:bookmarkEnd w:id="226"/>
      <w:bookmarkStart w:id="227" w:name="_Toc184310334"/>
      <w:bookmarkEnd w:id="227"/>
      <w:bookmarkStart w:id="228" w:name="_Toc184310303"/>
      <w:bookmarkEnd w:id="228"/>
      <w:bookmarkStart w:id="229" w:name="_Toc184312091"/>
      <w:bookmarkEnd w:id="229"/>
      <w:bookmarkStart w:id="230" w:name="_Toc184310297"/>
      <w:bookmarkEnd w:id="230"/>
      <w:bookmarkStart w:id="231" w:name="_Toc184313294"/>
      <w:bookmarkEnd w:id="231"/>
      <w:bookmarkStart w:id="232" w:name="_Toc184314470"/>
      <w:bookmarkEnd w:id="232"/>
      <w:bookmarkStart w:id="233" w:name="_Toc184308055"/>
      <w:bookmarkEnd w:id="233"/>
      <w:bookmarkStart w:id="234" w:name="_Toc184310335"/>
      <w:bookmarkEnd w:id="234"/>
      <w:bookmarkStart w:id="235" w:name="_Toc184308036"/>
      <w:bookmarkEnd w:id="235"/>
      <w:bookmarkStart w:id="236" w:name="_Toc184308037"/>
      <w:bookmarkEnd w:id="236"/>
      <w:bookmarkStart w:id="237" w:name="_Toc184310327"/>
      <w:bookmarkEnd w:id="237"/>
      <w:bookmarkStart w:id="238" w:name="_Toc184314451"/>
      <w:bookmarkEnd w:id="238"/>
      <w:bookmarkStart w:id="239" w:name="_Toc184310300"/>
      <w:bookmarkEnd w:id="239"/>
      <w:bookmarkStart w:id="240" w:name="_Toc184314458"/>
      <w:bookmarkEnd w:id="240"/>
      <w:bookmarkStart w:id="241" w:name="_Toc184310330"/>
      <w:bookmarkEnd w:id="241"/>
      <w:bookmarkStart w:id="242" w:name="_Toc184310305"/>
      <w:bookmarkEnd w:id="242"/>
      <w:bookmarkStart w:id="243" w:name="_Toc184313247"/>
      <w:bookmarkEnd w:id="243"/>
      <w:bookmarkStart w:id="244" w:name="_Toc184312085"/>
      <w:bookmarkEnd w:id="244"/>
      <w:bookmarkStart w:id="245" w:name="_Toc184314481"/>
      <w:bookmarkEnd w:id="245"/>
      <w:bookmarkStart w:id="246" w:name="_Toc184310295"/>
      <w:bookmarkEnd w:id="246"/>
      <w:bookmarkStart w:id="247" w:name="_Toc184310294"/>
      <w:bookmarkEnd w:id="247"/>
      <w:bookmarkStart w:id="248" w:name="_Toc184313304"/>
      <w:bookmarkEnd w:id="248"/>
      <w:bookmarkStart w:id="249" w:name="_Toc184312083"/>
      <w:bookmarkEnd w:id="249"/>
      <w:bookmarkStart w:id="250" w:name="_Toc184313263"/>
      <w:bookmarkEnd w:id="250"/>
      <w:bookmarkStart w:id="251" w:name="_Toc184314478"/>
      <w:bookmarkEnd w:id="251"/>
      <w:bookmarkStart w:id="252" w:name="_Toc184308039"/>
      <w:bookmarkEnd w:id="252"/>
      <w:bookmarkStart w:id="253" w:name="_Toc184312098"/>
      <w:bookmarkEnd w:id="253"/>
      <w:bookmarkStart w:id="254" w:name="_Toc184313289"/>
      <w:bookmarkEnd w:id="254"/>
      <w:bookmarkStart w:id="255" w:name="_Toc184310292"/>
      <w:bookmarkEnd w:id="255"/>
      <w:bookmarkStart w:id="256" w:name="_Toc184312103"/>
      <w:bookmarkEnd w:id="256"/>
      <w:bookmarkStart w:id="257" w:name="_Toc184312129"/>
      <w:bookmarkEnd w:id="257"/>
      <w:bookmarkStart w:id="258" w:name="_Toc184310337"/>
      <w:bookmarkEnd w:id="258"/>
      <w:bookmarkStart w:id="259" w:name="_Toc184312108"/>
      <w:bookmarkEnd w:id="259"/>
      <w:bookmarkStart w:id="260" w:name="_Toc184313288"/>
      <w:bookmarkEnd w:id="260"/>
      <w:bookmarkStart w:id="261" w:name="_Toc184314460"/>
      <w:bookmarkEnd w:id="261"/>
      <w:bookmarkStart w:id="262" w:name="_Toc184314429"/>
      <w:bookmarkEnd w:id="262"/>
      <w:bookmarkStart w:id="263" w:name="_Toc184308075"/>
      <w:bookmarkEnd w:id="263"/>
      <w:bookmarkStart w:id="264" w:name="_Toc184314428"/>
      <w:bookmarkEnd w:id="264"/>
      <w:bookmarkStart w:id="265" w:name="_Toc184310296"/>
      <w:bookmarkEnd w:id="265"/>
      <w:bookmarkStart w:id="266" w:name="_Toc184308038"/>
      <w:bookmarkEnd w:id="266"/>
      <w:bookmarkStart w:id="267" w:name="_Toc184310281"/>
      <w:bookmarkEnd w:id="267"/>
      <w:bookmarkStart w:id="268" w:name="_Toc184313278"/>
      <w:bookmarkEnd w:id="268"/>
      <w:bookmarkStart w:id="269" w:name="_Toc184313239"/>
      <w:bookmarkEnd w:id="269"/>
      <w:bookmarkStart w:id="270" w:name="_Toc184314431"/>
      <w:bookmarkEnd w:id="270"/>
      <w:bookmarkStart w:id="271" w:name="_Toc184312077"/>
      <w:bookmarkEnd w:id="271"/>
      <w:bookmarkStart w:id="272" w:name="_Toc184312071"/>
      <w:bookmarkEnd w:id="272"/>
      <w:bookmarkStart w:id="273" w:name="_Toc184312134"/>
      <w:bookmarkEnd w:id="273"/>
      <w:bookmarkStart w:id="274" w:name="_Toc184314480"/>
      <w:bookmarkEnd w:id="274"/>
      <w:bookmarkStart w:id="275" w:name="_Toc184310283"/>
      <w:bookmarkEnd w:id="275"/>
      <w:bookmarkStart w:id="276" w:name="_Toc184310302"/>
      <w:bookmarkEnd w:id="276"/>
      <w:bookmarkStart w:id="277" w:name="_Toc184310328"/>
      <w:bookmarkEnd w:id="277"/>
      <w:bookmarkStart w:id="278" w:name="_Toc184312117"/>
      <w:bookmarkEnd w:id="278"/>
      <w:bookmarkStart w:id="279" w:name="_Toc184310315"/>
      <w:bookmarkEnd w:id="279"/>
      <w:bookmarkStart w:id="280" w:name="_Toc184308079"/>
      <w:bookmarkEnd w:id="280"/>
      <w:bookmarkStart w:id="281" w:name="_Toc184312126"/>
      <w:bookmarkEnd w:id="281"/>
      <w:bookmarkStart w:id="282" w:name="_Toc184310311"/>
      <w:bookmarkEnd w:id="282"/>
      <w:bookmarkStart w:id="283" w:name="_Toc184308073"/>
      <w:bookmarkEnd w:id="283"/>
      <w:bookmarkStart w:id="284" w:name="_Toc184314411"/>
      <w:bookmarkEnd w:id="284"/>
      <w:bookmarkStart w:id="285" w:name="_Toc184312132"/>
      <w:bookmarkEnd w:id="285"/>
      <w:bookmarkStart w:id="286" w:name="_Toc184313305"/>
      <w:bookmarkEnd w:id="286"/>
      <w:bookmarkStart w:id="287" w:name="_Toc184313285"/>
      <w:bookmarkEnd w:id="287"/>
      <w:bookmarkStart w:id="288" w:name="_Toc184308092"/>
      <w:bookmarkEnd w:id="288"/>
      <w:bookmarkStart w:id="289" w:name="_Toc184312081"/>
      <w:bookmarkEnd w:id="289"/>
      <w:bookmarkStart w:id="290" w:name="_Toc184312124"/>
      <w:bookmarkEnd w:id="290"/>
      <w:bookmarkStart w:id="291" w:name="_Toc184313297"/>
      <w:bookmarkEnd w:id="291"/>
      <w:bookmarkStart w:id="292" w:name="_Toc184310274"/>
      <w:bookmarkEnd w:id="292"/>
      <w:bookmarkStart w:id="293" w:name="_Toc184310342"/>
      <w:bookmarkEnd w:id="293"/>
      <w:bookmarkStart w:id="294" w:name="_Toc184313299"/>
      <w:bookmarkEnd w:id="294"/>
      <w:bookmarkStart w:id="295" w:name="_Toc184314412"/>
      <w:bookmarkEnd w:id="295"/>
      <w:bookmarkStart w:id="296" w:name="_Toc184314438"/>
      <w:bookmarkEnd w:id="296"/>
      <w:bookmarkStart w:id="297" w:name="_Toc184312095"/>
      <w:bookmarkEnd w:id="297"/>
      <w:bookmarkStart w:id="298" w:name="_Toc184310324"/>
      <w:bookmarkEnd w:id="298"/>
      <w:bookmarkStart w:id="299" w:name="_Toc184314476"/>
      <w:bookmarkEnd w:id="299"/>
      <w:bookmarkStart w:id="300" w:name="_Toc184313308"/>
      <w:bookmarkEnd w:id="300"/>
      <w:bookmarkStart w:id="301" w:name="_Toc184308098"/>
      <w:bookmarkEnd w:id="301"/>
      <w:bookmarkStart w:id="302" w:name="_Toc184314454"/>
      <w:bookmarkEnd w:id="302"/>
      <w:bookmarkStart w:id="303" w:name="_Toc184312110"/>
      <w:bookmarkEnd w:id="303"/>
      <w:bookmarkStart w:id="304" w:name="_Toc184312087"/>
      <w:bookmarkEnd w:id="304"/>
      <w:bookmarkStart w:id="305" w:name="_Toc184310290"/>
      <w:bookmarkEnd w:id="305"/>
      <w:bookmarkStart w:id="306" w:name="_Toc184314440"/>
      <w:bookmarkEnd w:id="306"/>
      <w:bookmarkStart w:id="307" w:name="_Toc184314427"/>
      <w:bookmarkEnd w:id="307"/>
      <w:bookmarkStart w:id="308" w:name="_Toc184310329"/>
      <w:bookmarkEnd w:id="308"/>
      <w:bookmarkStart w:id="309" w:name="_Toc184312093"/>
      <w:bookmarkEnd w:id="309"/>
      <w:bookmarkStart w:id="310" w:name="_Toc184314418"/>
      <w:bookmarkEnd w:id="310"/>
      <w:bookmarkStart w:id="311" w:name="_Toc184310273"/>
      <w:bookmarkEnd w:id="311"/>
      <w:bookmarkStart w:id="312" w:name="_Toc184313282"/>
      <w:bookmarkEnd w:id="312"/>
      <w:bookmarkStart w:id="313" w:name="_Toc184313260"/>
      <w:bookmarkEnd w:id="313"/>
      <w:bookmarkStart w:id="314" w:name="_Toc184308077"/>
      <w:bookmarkEnd w:id="314"/>
      <w:bookmarkStart w:id="315" w:name="_Toc184313293"/>
      <w:bookmarkEnd w:id="315"/>
      <w:bookmarkStart w:id="316" w:name="_Toc184314441"/>
      <w:bookmarkEnd w:id="316"/>
      <w:bookmarkStart w:id="317" w:name="_Toc184314422"/>
      <w:bookmarkEnd w:id="317"/>
      <w:bookmarkStart w:id="318" w:name="_Toc184308042"/>
      <w:bookmarkEnd w:id="318"/>
      <w:bookmarkStart w:id="319" w:name="_Toc184310298"/>
      <w:bookmarkEnd w:id="319"/>
      <w:bookmarkStart w:id="320" w:name="_Toc184312138"/>
      <w:bookmarkEnd w:id="320"/>
      <w:bookmarkStart w:id="321" w:name="_Toc184308104"/>
      <w:bookmarkEnd w:id="321"/>
      <w:bookmarkStart w:id="322" w:name="_Toc184312080"/>
      <w:bookmarkEnd w:id="322"/>
      <w:bookmarkStart w:id="323" w:name="_Toc184308062"/>
      <w:bookmarkEnd w:id="323"/>
      <w:bookmarkStart w:id="324" w:name="_Toc184310318"/>
      <w:bookmarkEnd w:id="324"/>
      <w:bookmarkStart w:id="325" w:name="_Toc184313303"/>
      <w:bookmarkEnd w:id="325"/>
      <w:bookmarkStart w:id="326" w:name="_Toc184313275"/>
      <w:bookmarkEnd w:id="326"/>
      <w:bookmarkStart w:id="327" w:name="_Toc184312076"/>
      <w:bookmarkEnd w:id="327"/>
      <w:bookmarkStart w:id="328" w:name="_Toc184310307"/>
      <w:bookmarkEnd w:id="328"/>
      <w:bookmarkStart w:id="329" w:name="_Toc184313253"/>
      <w:bookmarkEnd w:id="329"/>
      <w:bookmarkStart w:id="330" w:name="_Toc184314442"/>
      <w:bookmarkEnd w:id="330"/>
      <w:bookmarkStart w:id="331" w:name="_Toc184314445"/>
      <w:bookmarkEnd w:id="331"/>
      <w:bookmarkStart w:id="332" w:name="_Toc184308053"/>
      <w:bookmarkEnd w:id="332"/>
      <w:bookmarkStart w:id="333" w:name="_Toc184308066"/>
      <w:bookmarkEnd w:id="333"/>
      <w:bookmarkStart w:id="334" w:name="_Toc184313257"/>
      <w:bookmarkEnd w:id="334"/>
      <w:bookmarkStart w:id="335" w:name="_Toc184310319"/>
      <w:bookmarkEnd w:id="335"/>
      <w:bookmarkStart w:id="336" w:name="_Toc184308043"/>
      <w:bookmarkEnd w:id="336"/>
      <w:bookmarkStart w:id="337" w:name="_Toc184313300"/>
      <w:bookmarkEnd w:id="337"/>
      <w:bookmarkStart w:id="338" w:name="_Toc184313248"/>
      <w:bookmarkEnd w:id="338"/>
      <w:bookmarkStart w:id="339" w:name="_Toc184308089"/>
      <w:bookmarkEnd w:id="339"/>
      <w:bookmarkStart w:id="340" w:name="_Toc184314446"/>
      <w:bookmarkEnd w:id="340"/>
      <w:bookmarkStart w:id="341" w:name="_Toc184310339"/>
      <w:bookmarkEnd w:id="341"/>
      <w:bookmarkStart w:id="342" w:name="_Toc184310344"/>
      <w:bookmarkEnd w:id="342"/>
      <w:bookmarkStart w:id="343" w:name="_Toc184314461"/>
      <w:bookmarkEnd w:id="343"/>
      <w:bookmarkStart w:id="344" w:name="_Toc184313256"/>
      <w:bookmarkEnd w:id="344"/>
      <w:bookmarkStart w:id="345" w:name="_Toc184314417"/>
      <w:bookmarkEnd w:id="345"/>
      <w:bookmarkStart w:id="346" w:name="_Toc184313246"/>
      <w:bookmarkEnd w:id="346"/>
      <w:bookmarkStart w:id="347" w:name="_Toc184312123"/>
      <w:bookmarkEnd w:id="347"/>
      <w:bookmarkStart w:id="348" w:name="_Toc184310285"/>
      <w:bookmarkEnd w:id="348"/>
      <w:bookmarkStart w:id="349" w:name="_Toc184308063"/>
      <w:bookmarkEnd w:id="349"/>
      <w:bookmarkStart w:id="350" w:name="_Toc184308064"/>
      <w:bookmarkEnd w:id="350"/>
      <w:bookmarkStart w:id="351" w:name="_Toc184310286"/>
      <w:bookmarkEnd w:id="351"/>
      <w:bookmarkStart w:id="352" w:name="_Toc184308069"/>
      <w:bookmarkEnd w:id="352"/>
      <w:bookmarkStart w:id="353" w:name="_Toc184308068"/>
      <w:bookmarkEnd w:id="353"/>
      <w:bookmarkStart w:id="354" w:name="_Toc184314468"/>
      <w:bookmarkEnd w:id="354"/>
      <w:bookmarkStart w:id="355" w:name="_Toc184313291"/>
      <w:bookmarkEnd w:id="355"/>
      <w:bookmarkStart w:id="356" w:name="_Toc184314414"/>
      <w:bookmarkEnd w:id="356"/>
      <w:bookmarkStart w:id="357" w:name="_Toc184310325"/>
      <w:bookmarkEnd w:id="357"/>
      <w:bookmarkStart w:id="358" w:name="_Toc184310301"/>
      <w:bookmarkEnd w:id="358"/>
      <w:bookmarkStart w:id="359" w:name="_Toc184313251"/>
      <w:bookmarkEnd w:id="359"/>
      <w:bookmarkStart w:id="360" w:name="_Toc184310291"/>
      <w:bookmarkEnd w:id="360"/>
      <w:bookmarkStart w:id="361" w:name="_Toc184308100"/>
      <w:bookmarkEnd w:id="361"/>
      <w:bookmarkStart w:id="362" w:name="_Toc184310308"/>
      <w:bookmarkEnd w:id="362"/>
      <w:bookmarkStart w:id="363" w:name="_Toc184314433"/>
      <w:bookmarkEnd w:id="363"/>
      <w:bookmarkStart w:id="364" w:name="_Toc184313292"/>
      <w:bookmarkEnd w:id="364"/>
      <w:bookmarkStart w:id="365" w:name="_Toc184314473"/>
      <w:bookmarkEnd w:id="365"/>
      <w:bookmarkStart w:id="366" w:name="_Toc184310272"/>
      <w:bookmarkEnd w:id="366"/>
      <w:bookmarkStart w:id="367" w:name="_Toc184312097"/>
      <w:bookmarkEnd w:id="367"/>
      <w:bookmarkStart w:id="368" w:name="_Toc184310317"/>
      <w:bookmarkEnd w:id="368"/>
      <w:bookmarkStart w:id="369" w:name="_Toc184308086"/>
      <w:bookmarkEnd w:id="369"/>
      <w:bookmarkStart w:id="370" w:name="_Toc184312090"/>
      <w:bookmarkEnd w:id="370"/>
      <w:bookmarkStart w:id="371" w:name="_Toc184312130"/>
      <w:bookmarkEnd w:id="371"/>
      <w:bookmarkStart w:id="372" w:name="_Toc184308059"/>
      <w:bookmarkEnd w:id="372"/>
      <w:bookmarkStart w:id="373" w:name="_Toc184313255"/>
      <w:bookmarkEnd w:id="373"/>
      <w:bookmarkStart w:id="374" w:name="_Toc184314413"/>
      <w:bookmarkEnd w:id="374"/>
      <w:bookmarkStart w:id="375" w:name="_Toc184310310"/>
      <w:bookmarkEnd w:id="375"/>
      <w:bookmarkStart w:id="376" w:name="_Toc184308057"/>
      <w:bookmarkEnd w:id="376"/>
      <w:bookmarkStart w:id="377" w:name="_Toc184314448"/>
      <w:bookmarkEnd w:id="377"/>
      <w:bookmarkStart w:id="378" w:name="_Toc184313242"/>
      <w:bookmarkEnd w:id="378"/>
      <w:bookmarkStart w:id="379" w:name="_Toc184313268"/>
      <w:bookmarkEnd w:id="379"/>
      <w:bookmarkStart w:id="380" w:name="_Toc184312070"/>
      <w:bookmarkEnd w:id="380"/>
      <w:bookmarkStart w:id="381" w:name="_Toc184312082"/>
      <w:bookmarkEnd w:id="381"/>
      <w:bookmarkStart w:id="382" w:name="_Toc184313280"/>
      <w:bookmarkEnd w:id="382"/>
      <w:bookmarkStart w:id="383" w:name="_Toc184314415"/>
      <w:bookmarkEnd w:id="383"/>
      <w:bookmarkStart w:id="384" w:name="_Toc184313267"/>
      <w:bookmarkEnd w:id="384"/>
      <w:bookmarkStart w:id="385" w:name="_Toc184314464"/>
      <w:bookmarkEnd w:id="385"/>
      <w:bookmarkStart w:id="386" w:name="_Toc184308076"/>
      <w:bookmarkEnd w:id="386"/>
      <w:bookmarkStart w:id="387" w:name="_Toc184313262"/>
      <w:bookmarkEnd w:id="387"/>
      <w:bookmarkStart w:id="388" w:name="_Toc184308099"/>
      <w:bookmarkEnd w:id="388"/>
      <w:bookmarkStart w:id="389" w:name="_Toc184312121"/>
      <w:bookmarkEnd w:id="389"/>
      <w:r>
        <w:rPr>
          <w:rFonts w:hint="eastAsia" w:ascii="宋体" w:hAnsi="宋体" w:cs="宋体"/>
          <w:b/>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17"/>
        <w:tblW w:w="1036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35"/>
        <w:gridCol w:w="8179"/>
        <w:gridCol w:w="8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3"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宋体" w:hAnsi="宋体" w:cs="宋体"/>
                <w:sz w:val="24"/>
              </w:rPr>
            </w:pPr>
            <w:r>
              <w:rPr>
                <w:rFonts w:hint="eastAsia" w:ascii="宋体" w:hAnsi="宋体" w:cs="宋体"/>
                <w:b/>
                <w:bCs/>
                <w:sz w:val="24"/>
              </w:rPr>
              <w:t>评分项目</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宋体" w:hAnsi="宋体" w:cs="宋体"/>
                <w:sz w:val="24"/>
              </w:rPr>
            </w:pPr>
            <w:r>
              <w:rPr>
                <w:rFonts w:hint="eastAsia" w:ascii="宋体" w:hAnsi="宋体" w:cs="宋体"/>
                <w:b/>
                <w:bCs/>
                <w:sz w:val="24"/>
              </w:rPr>
              <w:t>评分内容和标准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ascii="Calibri" w:hAnsi="Calibri"/>
              </w:rPr>
            </w:pPr>
            <w:r>
              <w:rPr>
                <w:rFonts w:hint="eastAsia" w:ascii="宋体" w:hAnsi="宋体" w:cs="宋体"/>
                <w:b/>
                <w:bCs/>
                <w:sz w:val="24"/>
              </w:rPr>
              <w:t>分值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9"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cs="宋体"/>
                <w:kern w:val="2"/>
                <w:sz w:val="24"/>
                <w:szCs w:val="24"/>
                <w:lang w:val="zh-CN" w:eastAsia="zh-CN" w:bidi="ar-SA"/>
              </w:rPr>
            </w:pPr>
            <w:r>
              <w:rPr>
                <w:rFonts w:hint="eastAsia" w:ascii="宋体" w:hAnsi="宋体" w:cs="宋体"/>
                <w:sz w:val="24"/>
                <w:lang w:val="zh-TW"/>
              </w:rPr>
              <w:t>认证证书</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val="zh-CN"/>
              </w:rPr>
            </w:pPr>
            <w:r>
              <w:rPr>
                <w:rFonts w:hint="eastAsia" w:ascii="宋体" w:hAnsi="宋体" w:cs="宋体"/>
                <w:sz w:val="24"/>
                <w:lang w:val="zh-CN"/>
              </w:rPr>
              <w:t>供应商具有有效的质量管理体系认证证书、环境管理体系认证证书、职业健康安全管理体系认证证书，每类证书得</w:t>
            </w:r>
            <w:r>
              <w:rPr>
                <w:rFonts w:hint="eastAsia" w:ascii="宋体" w:hAnsi="宋体" w:cs="宋体"/>
                <w:sz w:val="24"/>
              </w:rPr>
              <w:t>1</w:t>
            </w:r>
            <w:r>
              <w:rPr>
                <w:rFonts w:hint="eastAsia" w:ascii="宋体" w:hAnsi="宋体" w:cs="宋体"/>
                <w:sz w:val="24"/>
                <w:lang w:val="zh-CN"/>
              </w:rPr>
              <w:t>分，最高得</w:t>
            </w:r>
            <w:r>
              <w:rPr>
                <w:rFonts w:hint="eastAsia" w:ascii="宋体" w:hAnsi="宋体" w:cs="宋体"/>
                <w:sz w:val="24"/>
              </w:rPr>
              <w:t>3</w:t>
            </w:r>
            <w:r>
              <w:rPr>
                <w:rFonts w:hint="eastAsia" w:ascii="宋体" w:hAnsi="宋体" w:cs="宋体"/>
                <w:sz w:val="24"/>
                <w:lang w:val="zh-CN"/>
              </w:rPr>
              <w:t>分。</w:t>
            </w:r>
          </w:p>
          <w:p>
            <w:pPr>
              <w:widowControl/>
              <w:spacing w:line="360" w:lineRule="auto"/>
              <w:jc w:val="left"/>
              <w:rPr>
                <w:rFonts w:hint="eastAsia" w:ascii="宋体" w:hAnsi="宋体" w:cs="宋体"/>
                <w:kern w:val="2"/>
                <w:sz w:val="24"/>
                <w:szCs w:val="24"/>
                <w:lang w:val="zh-CN" w:eastAsia="zh-CN" w:bidi="ar-SA"/>
              </w:rPr>
            </w:pPr>
            <w:r>
              <w:rPr>
                <w:rFonts w:hint="eastAsia" w:ascii="宋体" w:hAnsi="宋体" w:cs="宋体"/>
                <w:sz w:val="24"/>
                <w:lang w:val="zh-CN"/>
              </w:rPr>
              <w:t>注：须提供有效期内相关证书复印件加盖公章，未提供的不得分。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eastAsia" w:ascii="宋体" w:hAnsi="宋体" w:cs="宋体"/>
                <w:kern w:val="2"/>
                <w:sz w:val="24"/>
                <w:szCs w:val="24"/>
                <w:lang w:val="en-US" w:eastAsia="zh-CN" w:bidi="ar-SA"/>
              </w:rPr>
            </w:pPr>
            <w:r>
              <w:rPr>
                <w:rFonts w:hint="eastAsia" w:ascii="宋体" w:hAnsi="宋体" w:cs="宋体"/>
                <w:sz w:val="24"/>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1"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eastAsia="宋体" w:cs="宋体"/>
                <w:sz w:val="24"/>
                <w:lang w:val="zh-TW" w:eastAsia="zh-CN"/>
              </w:rPr>
            </w:pPr>
            <w:r>
              <w:rPr>
                <w:rFonts w:hint="eastAsia" w:ascii="宋体" w:hAnsi="宋体" w:cs="宋体"/>
                <w:sz w:val="24"/>
                <w:lang w:val="zh-TW" w:eastAsia="zh-CN"/>
              </w:rPr>
              <w:t>企业业绩</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val="zh-CN"/>
              </w:rPr>
            </w:pPr>
            <w:r>
              <w:rPr>
                <w:rFonts w:hint="eastAsia" w:ascii="宋体" w:hAnsi="宋体" w:cs="宋体"/>
                <w:sz w:val="24"/>
                <w:lang w:val="zh-CN"/>
              </w:rPr>
              <w:t>投标人须提供20</w:t>
            </w:r>
            <w:r>
              <w:rPr>
                <w:rFonts w:hint="eastAsia" w:ascii="宋体" w:hAnsi="宋体" w:cs="宋体"/>
                <w:sz w:val="24"/>
                <w:lang w:val="en-US" w:eastAsia="zh-CN"/>
              </w:rPr>
              <w:t>21</w:t>
            </w:r>
            <w:r>
              <w:rPr>
                <w:rFonts w:hint="eastAsia" w:ascii="宋体" w:hAnsi="宋体" w:cs="宋体"/>
                <w:sz w:val="24"/>
                <w:lang w:val="zh-CN"/>
              </w:rPr>
              <w:t>年1月1日(以合同签订时间为准)至今类似零星维修项目的实施业绩，每提供一个得</w:t>
            </w:r>
            <w:r>
              <w:rPr>
                <w:rFonts w:hint="eastAsia" w:ascii="宋体" w:hAnsi="宋体" w:cs="宋体"/>
                <w:sz w:val="24"/>
                <w:lang w:val="en-US" w:eastAsia="zh-CN"/>
              </w:rPr>
              <w:t>0.2</w:t>
            </w:r>
            <w:r>
              <w:rPr>
                <w:rFonts w:hint="eastAsia" w:ascii="宋体" w:hAnsi="宋体" w:cs="宋体"/>
                <w:sz w:val="24"/>
                <w:lang w:val="zh-CN"/>
              </w:rPr>
              <w:t>分，最高得</w:t>
            </w:r>
            <w:r>
              <w:rPr>
                <w:rFonts w:hint="eastAsia" w:ascii="宋体" w:hAnsi="宋体" w:cs="宋体"/>
                <w:sz w:val="24"/>
                <w:lang w:val="en-US" w:eastAsia="zh-CN"/>
              </w:rPr>
              <w:t>1</w:t>
            </w:r>
            <w:r>
              <w:rPr>
                <w:rFonts w:hint="eastAsia" w:ascii="宋体" w:hAnsi="宋体" w:cs="宋体"/>
                <w:sz w:val="24"/>
                <w:lang w:val="zh-CN"/>
              </w:rPr>
              <w:t>分。</w:t>
            </w:r>
          </w:p>
          <w:p>
            <w:pPr>
              <w:widowControl/>
              <w:spacing w:line="360" w:lineRule="auto"/>
              <w:jc w:val="left"/>
              <w:rPr>
                <w:rFonts w:hint="eastAsia" w:ascii="宋体" w:hAnsi="宋体" w:cs="宋体"/>
                <w:sz w:val="24"/>
                <w:lang w:val="zh-CN"/>
              </w:rPr>
            </w:pPr>
            <w:r>
              <w:rPr>
                <w:rFonts w:hint="eastAsia" w:ascii="宋体" w:hAnsi="宋体" w:cs="宋体"/>
                <w:sz w:val="24"/>
                <w:lang w:val="zh-CN"/>
              </w:rPr>
              <w:t>注：须提供相关中标通知书</w:t>
            </w:r>
            <w:r>
              <w:rPr>
                <w:rFonts w:hint="eastAsia" w:ascii="宋体" w:hAnsi="宋体" w:cs="宋体"/>
                <w:sz w:val="24"/>
                <w:lang w:val="zh-CN" w:eastAsia="zh-CN"/>
              </w:rPr>
              <w:t>及</w:t>
            </w:r>
            <w:r>
              <w:rPr>
                <w:rFonts w:hint="eastAsia" w:ascii="宋体" w:hAnsi="宋体" w:cs="宋体"/>
                <w:sz w:val="24"/>
                <w:lang w:val="zh-CN"/>
              </w:rPr>
              <w:t>合同复印件加盖公章，不提供不得分。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eastAsia" w:ascii="宋体" w:hAnsi="宋体" w:eastAsia="宋体" w:cs="宋体"/>
                <w:sz w:val="24"/>
                <w:lang w:val="en-US" w:eastAsia="zh-CN"/>
              </w:rPr>
            </w:pPr>
            <w:r>
              <w:rPr>
                <w:rFonts w:hint="eastAsia" w:ascii="宋体" w:hAnsi="宋体" w:cs="宋体"/>
                <w:sz w:val="24"/>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9"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eastAsia="宋体" w:cs="宋体"/>
                <w:kern w:val="2"/>
                <w:sz w:val="24"/>
                <w:szCs w:val="24"/>
                <w:lang w:val="zh-CN" w:eastAsia="zh-CN" w:bidi="ar-SA"/>
              </w:rPr>
            </w:pPr>
            <w:r>
              <w:rPr>
                <w:rFonts w:hint="eastAsia" w:ascii="宋体" w:hAnsi="宋体" w:cs="宋体"/>
                <w:sz w:val="24"/>
                <w:lang w:val="zh-TW" w:eastAsia="zh-CN"/>
              </w:rPr>
              <w:t>企业荣誉</w:t>
            </w:r>
          </w:p>
        </w:tc>
        <w:tc>
          <w:tcPr>
            <w:tcW w:w="8179" w:type="dxa"/>
            <w:tcBorders>
              <w:top w:val="single" w:color="auto" w:sz="4" w:space="0"/>
              <w:left w:val="single" w:color="auto" w:sz="4" w:space="0"/>
              <w:bottom w:val="single" w:color="auto" w:sz="4" w:space="0"/>
              <w:right w:val="single" w:color="auto" w:sz="4" w:space="0"/>
            </w:tcBorders>
            <w:noWrap w:val="0"/>
            <w:vAlign w:val="top"/>
          </w:tcPr>
          <w:p>
            <w:pPr>
              <w:widowControl/>
              <w:spacing w:line="360" w:lineRule="auto"/>
              <w:jc w:val="left"/>
              <w:rPr>
                <w:rFonts w:hint="default" w:ascii="宋体" w:hAnsi="宋体" w:eastAsia="宋体" w:cs="宋体"/>
                <w:sz w:val="24"/>
                <w:highlight w:val="none"/>
                <w:lang w:val="en-US" w:eastAsia="zh-CN"/>
              </w:rPr>
            </w:pPr>
            <w:r>
              <w:rPr>
                <w:rFonts w:hint="eastAsia" w:ascii="宋体" w:hAnsi="宋体" w:cs="宋体"/>
                <w:sz w:val="24"/>
                <w:highlight w:val="none"/>
                <w:lang w:val="zh-TW"/>
              </w:rPr>
              <w:t>供应商具有20</w:t>
            </w:r>
            <w:r>
              <w:rPr>
                <w:rFonts w:hint="eastAsia" w:ascii="宋体" w:hAnsi="宋体" w:cs="宋体"/>
                <w:sz w:val="24"/>
                <w:highlight w:val="none"/>
                <w:lang w:val="en-US" w:eastAsia="zh-CN"/>
              </w:rPr>
              <w:t>21</w:t>
            </w:r>
            <w:r>
              <w:rPr>
                <w:rFonts w:hint="eastAsia" w:ascii="宋体" w:hAnsi="宋体" w:cs="宋体"/>
                <w:sz w:val="24"/>
                <w:highlight w:val="none"/>
                <w:lang w:val="zh-TW"/>
              </w:rPr>
              <w:t>年1月1日至今获得</w:t>
            </w:r>
            <w:r>
              <w:rPr>
                <w:rFonts w:hint="eastAsia" w:ascii="宋体" w:hAnsi="宋体" w:cs="宋体"/>
                <w:sz w:val="24"/>
                <w:highlight w:val="none"/>
                <w:lang w:val="zh-TW" w:eastAsia="zh-CN"/>
              </w:rPr>
              <w:t>市</w:t>
            </w:r>
            <w:r>
              <w:rPr>
                <w:rFonts w:hint="eastAsia" w:ascii="宋体" w:hAnsi="宋体" w:cs="宋体"/>
                <w:sz w:val="24"/>
                <w:highlight w:val="none"/>
                <w:lang w:val="zh-TW"/>
              </w:rPr>
              <w:t>优质工程（或</w:t>
            </w:r>
            <w:r>
              <w:rPr>
                <w:rFonts w:hint="eastAsia" w:ascii="宋体" w:hAnsi="宋体" w:cs="宋体"/>
                <w:sz w:val="24"/>
                <w:highlight w:val="none"/>
                <w:lang w:val="zh-TW" w:eastAsia="zh-CN"/>
              </w:rPr>
              <w:t>市</w:t>
            </w:r>
            <w:r>
              <w:rPr>
                <w:rFonts w:hint="eastAsia" w:ascii="宋体" w:hAnsi="宋体" w:cs="宋体"/>
                <w:sz w:val="24"/>
                <w:highlight w:val="none"/>
                <w:lang w:val="zh-TW"/>
              </w:rPr>
              <w:t>标化)</w:t>
            </w:r>
            <w:r>
              <w:rPr>
                <w:rFonts w:hint="eastAsia" w:ascii="宋体" w:hAnsi="宋体" w:cs="宋体"/>
                <w:sz w:val="24"/>
                <w:highlight w:val="none"/>
                <w:lang w:val="zh-TW" w:eastAsia="zh-CN"/>
              </w:rPr>
              <w:t>及以上的得</w:t>
            </w:r>
            <w:r>
              <w:rPr>
                <w:rFonts w:hint="eastAsia" w:ascii="宋体" w:hAnsi="宋体" w:cs="宋体"/>
                <w:sz w:val="24"/>
                <w:highlight w:val="none"/>
                <w:lang w:val="en-US" w:eastAsia="zh-CN"/>
              </w:rPr>
              <w:t>3</w:t>
            </w:r>
            <w:r>
              <w:rPr>
                <w:rFonts w:hint="eastAsia" w:ascii="宋体" w:hAnsi="宋体" w:cs="宋体"/>
                <w:sz w:val="24"/>
                <w:highlight w:val="none"/>
                <w:lang w:val="zh-TW"/>
              </w:rPr>
              <w:t>分，获得县优质工程（或县标化)的</w:t>
            </w:r>
            <w:r>
              <w:rPr>
                <w:rFonts w:hint="eastAsia" w:ascii="宋体" w:hAnsi="宋体" w:cs="宋体"/>
                <w:sz w:val="24"/>
                <w:highlight w:val="none"/>
                <w:lang w:val="zh-TW" w:eastAsia="zh-CN"/>
              </w:rPr>
              <w:t>得</w:t>
            </w:r>
            <w:r>
              <w:rPr>
                <w:rFonts w:hint="eastAsia" w:ascii="宋体" w:hAnsi="宋体" w:cs="宋体"/>
                <w:sz w:val="24"/>
                <w:highlight w:val="none"/>
                <w:lang w:val="zh-TW"/>
              </w:rPr>
              <w:t>2分</w:t>
            </w:r>
            <w:r>
              <w:rPr>
                <w:rFonts w:hint="eastAsia" w:ascii="宋体" w:hAnsi="宋体" w:cs="宋体"/>
                <w:sz w:val="24"/>
                <w:highlight w:val="none"/>
                <w:lang w:val="zh-TW" w:eastAsia="zh-CN"/>
              </w:rPr>
              <w:t>。本项最高得</w:t>
            </w:r>
            <w:r>
              <w:rPr>
                <w:rFonts w:hint="eastAsia" w:ascii="宋体" w:hAnsi="宋体" w:cs="宋体"/>
                <w:sz w:val="24"/>
                <w:highlight w:val="none"/>
                <w:lang w:val="en-US" w:eastAsia="zh-CN"/>
              </w:rPr>
              <w:t>5分。</w:t>
            </w:r>
          </w:p>
          <w:p>
            <w:pPr>
              <w:widowControl/>
              <w:spacing w:line="360" w:lineRule="auto"/>
              <w:jc w:val="left"/>
              <w:rPr>
                <w:rFonts w:hint="eastAsia" w:ascii="宋体" w:hAnsi="宋体" w:cs="宋体"/>
                <w:kern w:val="2"/>
                <w:sz w:val="24"/>
                <w:szCs w:val="24"/>
                <w:highlight w:val="none"/>
                <w:lang w:val="zh-CN" w:eastAsia="zh-CN" w:bidi="ar-SA"/>
              </w:rPr>
            </w:pPr>
            <w:r>
              <w:rPr>
                <w:rFonts w:hint="eastAsia" w:ascii="宋体" w:hAnsi="宋体" w:cs="宋体"/>
                <w:sz w:val="24"/>
                <w:highlight w:val="none"/>
                <w:lang w:val="zh-TW"/>
              </w:rPr>
              <w:t>注：提供相关证明材料，不提供不得分。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335" w:type="dxa"/>
            <w:vMerge w:val="restart"/>
            <w:tcBorders>
              <w:top w:val="single" w:color="auto" w:sz="4" w:space="0"/>
              <w:left w:val="single" w:color="auto" w:sz="4" w:space="0"/>
              <w:right w:val="single" w:color="auto" w:sz="4" w:space="0"/>
            </w:tcBorders>
            <w:noWrap w:val="0"/>
            <w:vAlign w:val="center"/>
          </w:tcPr>
          <w:p>
            <w:pPr>
              <w:widowControl/>
              <w:spacing w:line="240" w:lineRule="auto"/>
              <w:jc w:val="center"/>
              <w:rPr>
                <w:rFonts w:hint="eastAsia" w:ascii="宋体" w:hAnsi="宋体" w:cs="宋体"/>
                <w:sz w:val="24"/>
                <w:lang w:val="zh-TW"/>
              </w:rPr>
            </w:pPr>
            <w:r>
              <w:rPr>
                <w:rFonts w:hint="eastAsia" w:ascii="宋体" w:hAnsi="宋体" w:cs="宋体"/>
                <w:sz w:val="24"/>
                <w:lang w:val="zh-CN"/>
              </w:rPr>
              <w:t>人员配备情况</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val="zh-CN"/>
              </w:rPr>
            </w:pPr>
            <w:r>
              <w:rPr>
                <w:rFonts w:hint="eastAsia" w:ascii="宋体" w:hAnsi="宋体" w:cs="宋体"/>
                <w:sz w:val="24"/>
                <w:lang w:val="zh-CN"/>
              </w:rPr>
              <w:t>项目负责人具有建筑工程专业二级建造师的，得</w:t>
            </w:r>
            <w:r>
              <w:rPr>
                <w:rFonts w:hint="eastAsia" w:ascii="宋体" w:hAnsi="宋体" w:cs="宋体"/>
                <w:sz w:val="24"/>
                <w:lang w:val="en-US" w:eastAsia="zh-CN"/>
              </w:rPr>
              <w:t>2</w:t>
            </w:r>
            <w:r>
              <w:rPr>
                <w:rFonts w:hint="eastAsia" w:ascii="宋体" w:hAnsi="宋体" w:cs="宋体"/>
                <w:sz w:val="24"/>
                <w:lang w:val="zh-CN"/>
              </w:rPr>
              <w:t>分，最高得</w:t>
            </w:r>
            <w:r>
              <w:rPr>
                <w:rFonts w:hint="eastAsia" w:ascii="宋体" w:hAnsi="宋体" w:cs="宋体"/>
                <w:sz w:val="24"/>
                <w:lang w:val="en-US" w:eastAsia="zh-CN"/>
              </w:rPr>
              <w:t>2</w:t>
            </w:r>
            <w:r>
              <w:rPr>
                <w:rFonts w:hint="eastAsia" w:ascii="宋体" w:hAnsi="宋体" w:cs="宋体"/>
                <w:sz w:val="24"/>
                <w:lang w:val="zh-CN"/>
              </w:rPr>
              <w:t>分。</w:t>
            </w:r>
          </w:p>
          <w:p>
            <w:pPr>
              <w:widowControl/>
              <w:spacing w:line="360" w:lineRule="auto"/>
              <w:jc w:val="left"/>
              <w:rPr>
                <w:rFonts w:hint="eastAsia" w:ascii="宋体" w:hAnsi="宋体" w:cs="宋体"/>
                <w:sz w:val="24"/>
                <w:lang w:val="zh-CN"/>
              </w:rPr>
            </w:pPr>
            <w:r>
              <w:rPr>
                <w:rFonts w:hint="eastAsia" w:ascii="宋体" w:hAnsi="宋体" w:cs="宋体"/>
                <w:sz w:val="24"/>
                <w:lang w:val="zh-CN"/>
              </w:rPr>
              <w:t>注：人员必须为本单位在职人员，须提供社保证明、相关证书复印件，未提供或少提供的不得分。</w:t>
            </w:r>
          </w:p>
        </w:tc>
        <w:tc>
          <w:tcPr>
            <w:tcW w:w="851" w:type="dxa"/>
            <w:tcBorders>
              <w:top w:val="single" w:color="auto" w:sz="4" w:space="0"/>
              <w:left w:val="single" w:color="auto" w:sz="4" w:space="0"/>
              <w:right w:val="single" w:color="auto" w:sz="4" w:space="0"/>
            </w:tcBorders>
            <w:noWrap w:val="0"/>
            <w:vAlign w:val="center"/>
          </w:tcPr>
          <w:p>
            <w:pPr>
              <w:tabs>
                <w:tab w:val="left" w:pos="630"/>
              </w:tabs>
              <w:spacing w:line="240" w:lineRule="auto"/>
              <w:jc w:val="center"/>
              <w:rPr>
                <w:rFonts w:hint="eastAsia" w:ascii="宋体" w:hAnsi="宋体" w:cs="宋体"/>
                <w:sz w:val="24"/>
                <w:lang w:val="en-US" w:eastAsia="zh-CN"/>
              </w:rPr>
            </w:pPr>
            <w:r>
              <w:rPr>
                <w:rFonts w:hint="eastAsia" w:ascii="宋体" w:hAnsi="宋体" w:cs="宋体"/>
                <w:sz w:val="24"/>
                <w:lang w:val="en-US" w:eastAsia="zh-CN"/>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6"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rPr>
              <w:t>技术负责人具有工程类高级职称的得</w:t>
            </w:r>
            <w:r>
              <w:rPr>
                <w:rFonts w:hint="eastAsia" w:ascii="宋体" w:hAnsi="宋体" w:cs="宋体"/>
                <w:sz w:val="24"/>
                <w:lang w:val="en-US" w:eastAsia="zh-CN"/>
              </w:rPr>
              <w:t>2</w:t>
            </w:r>
            <w:r>
              <w:rPr>
                <w:rFonts w:hint="eastAsia" w:ascii="宋体" w:hAnsi="宋体" w:cs="宋体"/>
                <w:sz w:val="24"/>
              </w:rPr>
              <w:t>分，具有工程类中级职称的得</w:t>
            </w:r>
            <w:r>
              <w:rPr>
                <w:rFonts w:hint="eastAsia" w:ascii="宋体" w:hAnsi="宋体" w:cs="宋体"/>
                <w:sz w:val="24"/>
                <w:lang w:val="en-US" w:eastAsia="zh-CN"/>
              </w:rPr>
              <w:t>1</w:t>
            </w:r>
            <w:r>
              <w:rPr>
                <w:rFonts w:hint="eastAsia" w:ascii="宋体" w:hAnsi="宋体" w:cs="宋体"/>
                <w:sz w:val="24"/>
              </w:rPr>
              <w:t>分，最高得</w:t>
            </w:r>
            <w:r>
              <w:rPr>
                <w:rFonts w:hint="eastAsia" w:ascii="宋体" w:hAnsi="宋体" w:cs="宋体"/>
                <w:sz w:val="24"/>
                <w:lang w:val="en-US" w:eastAsia="zh-CN"/>
              </w:rPr>
              <w:t>2</w:t>
            </w:r>
            <w:r>
              <w:rPr>
                <w:rFonts w:hint="eastAsia" w:ascii="宋体" w:hAnsi="宋体" w:cs="宋体"/>
                <w:sz w:val="24"/>
              </w:rPr>
              <w:t>分。</w:t>
            </w:r>
          </w:p>
          <w:p>
            <w:pPr>
              <w:widowControl/>
              <w:spacing w:line="360" w:lineRule="auto"/>
              <w:jc w:val="left"/>
              <w:rPr>
                <w:rFonts w:hint="eastAsia" w:ascii="宋体" w:hAnsi="宋体" w:cs="宋体"/>
                <w:sz w:val="24"/>
                <w:lang w:val="zh-CN"/>
              </w:rPr>
            </w:pPr>
            <w:r>
              <w:rPr>
                <w:rFonts w:hint="eastAsia" w:ascii="宋体" w:hAnsi="宋体" w:cs="宋体"/>
                <w:sz w:val="24"/>
                <w:lang w:eastAsia="zh-CN"/>
              </w:rPr>
              <w:t>注：</w:t>
            </w:r>
            <w:r>
              <w:rPr>
                <w:rFonts w:hint="eastAsia" w:ascii="宋体" w:hAnsi="宋体" w:cs="宋体"/>
                <w:sz w:val="24"/>
              </w:rPr>
              <w:t>人员必须为本单位在职人员，</w:t>
            </w:r>
            <w:r>
              <w:rPr>
                <w:rFonts w:hint="eastAsia" w:ascii="宋体" w:hAnsi="宋体" w:cs="宋体"/>
                <w:sz w:val="24"/>
                <w:lang w:eastAsia="zh-CN"/>
              </w:rPr>
              <w:t>须</w:t>
            </w:r>
            <w:r>
              <w:rPr>
                <w:rFonts w:hint="eastAsia" w:ascii="宋体" w:hAnsi="宋体" w:cs="宋体"/>
                <w:sz w:val="24"/>
              </w:rPr>
              <w:t>提供社保证明、相关证书复印件，未提供或少提供的不得分</w:t>
            </w:r>
            <w:r>
              <w:rPr>
                <w:rFonts w:hint="eastAsia" w:ascii="宋体" w:hAnsi="宋体" w:cs="宋体"/>
                <w:sz w:val="24"/>
                <w:lang w:eastAsia="zh-CN"/>
              </w:rPr>
              <w:t>。</w:t>
            </w:r>
          </w:p>
        </w:tc>
        <w:tc>
          <w:tcPr>
            <w:tcW w:w="851" w:type="dxa"/>
            <w:tcBorders>
              <w:left w:val="single" w:color="auto" w:sz="4" w:space="0"/>
              <w:right w:val="single" w:color="auto" w:sz="4" w:space="0"/>
            </w:tcBorders>
            <w:noWrap w:val="0"/>
            <w:vAlign w:val="center"/>
          </w:tcPr>
          <w:p>
            <w:pPr>
              <w:tabs>
                <w:tab w:val="left" w:pos="630"/>
              </w:tabs>
              <w:spacing w:line="240" w:lineRule="auto"/>
              <w:jc w:val="center"/>
              <w:rPr>
                <w:rFonts w:hint="eastAsia" w:ascii="宋体" w:hAnsi="宋体" w:eastAsia="宋体" w:cs="宋体"/>
                <w:sz w:val="24"/>
                <w:lang w:val="zh-CN" w:eastAsia="zh-CN"/>
              </w:rPr>
            </w:pPr>
            <w:r>
              <w:rPr>
                <w:rFonts w:hint="eastAsia" w:ascii="宋体" w:hAnsi="宋体" w:cs="宋体"/>
                <w:sz w:val="24"/>
                <w:lang w:val="en-US" w:eastAsia="zh-CN"/>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6"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eastAsia="zh-CN"/>
              </w:rPr>
            </w:pPr>
            <w:r>
              <w:rPr>
                <w:rFonts w:hint="eastAsia" w:ascii="宋体" w:hAnsi="宋体" w:cs="宋体"/>
                <w:sz w:val="24"/>
                <w:lang w:eastAsia="zh-CN"/>
              </w:rPr>
              <w:t>配备造价工程师的，一级造价工程师得</w:t>
            </w:r>
            <w:r>
              <w:rPr>
                <w:rFonts w:hint="eastAsia" w:ascii="宋体" w:hAnsi="宋体" w:cs="宋体"/>
                <w:sz w:val="24"/>
                <w:lang w:val="en-US" w:eastAsia="zh-CN"/>
              </w:rPr>
              <w:t>2</w:t>
            </w:r>
            <w:r>
              <w:rPr>
                <w:rFonts w:hint="eastAsia" w:ascii="宋体" w:hAnsi="宋体" w:cs="宋体"/>
                <w:sz w:val="24"/>
                <w:lang w:eastAsia="zh-CN"/>
              </w:rPr>
              <w:t>分，二级造价工程师的得1分，未配备不得分。最高得</w:t>
            </w:r>
            <w:r>
              <w:rPr>
                <w:rFonts w:hint="eastAsia" w:ascii="宋体" w:hAnsi="宋体" w:cs="宋体"/>
                <w:sz w:val="24"/>
                <w:lang w:val="en-US" w:eastAsia="zh-CN"/>
              </w:rPr>
              <w:t>2</w:t>
            </w:r>
            <w:r>
              <w:rPr>
                <w:rFonts w:hint="eastAsia" w:ascii="宋体" w:hAnsi="宋体" w:cs="宋体"/>
                <w:sz w:val="24"/>
                <w:lang w:eastAsia="zh-CN"/>
              </w:rPr>
              <w:t>分。</w:t>
            </w:r>
          </w:p>
          <w:p>
            <w:pPr>
              <w:widowControl/>
              <w:spacing w:line="360" w:lineRule="auto"/>
              <w:jc w:val="left"/>
              <w:rPr>
                <w:rFonts w:hint="eastAsia" w:ascii="宋体" w:hAnsi="宋体" w:cs="宋体"/>
                <w:sz w:val="24"/>
                <w:lang w:eastAsia="zh-CN"/>
              </w:rPr>
            </w:pPr>
            <w:r>
              <w:rPr>
                <w:rFonts w:hint="eastAsia" w:ascii="宋体" w:hAnsi="宋体" w:cs="宋体"/>
                <w:sz w:val="24"/>
                <w:lang w:eastAsia="zh-CN"/>
              </w:rPr>
              <w:t>注：人员必须为本单位在职人员，须提供社保证明、相关证书复印件，未提供或少提供的不得分。</w:t>
            </w:r>
          </w:p>
        </w:tc>
        <w:tc>
          <w:tcPr>
            <w:tcW w:w="851" w:type="dxa"/>
            <w:tcBorders>
              <w:left w:val="single" w:color="auto" w:sz="4" w:space="0"/>
              <w:right w:val="single" w:color="auto" w:sz="4" w:space="0"/>
            </w:tcBorders>
            <w:noWrap w:val="0"/>
            <w:vAlign w:val="center"/>
          </w:tcPr>
          <w:p>
            <w:pPr>
              <w:tabs>
                <w:tab w:val="left" w:pos="630"/>
              </w:tabs>
              <w:spacing w:line="240" w:lineRule="auto"/>
              <w:jc w:val="center"/>
              <w:rPr>
                <w:rFonts w:hint="eastAsia" w:ascii="宋体" w:hAnsi="宋体" w:eastAsia="宋体" w:cs="宋体"/>
                <w:sz w:val="24"/>
                <w:lang w:val="en-US" w:eastAsia="zh-CN"/>
              </w:rPr>
            </w:pPr>
            <w:r>
              <w:rPr>
                <w:rFonts w:hint="eastAsia" w:ascii="宋体" w:hAnsi="宋体" w:cs="宋体"/>
                <w:sz w:val="24"/>
                <w:lang w:val="en-US" w:eastAsia="zh-CN"/>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6" w:hRule="atLeast"/>
          <w:jc w:val="center"/>
        </w:trPr>
        <w:tc>
          <w:tcPr>
            <w:tcW w:w="1335" w:type="dxa"/>
            <w:vMerge w:val="continue"/>
            <w:tcBorders>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val="zh-CN"/>
              </w:rPr>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eastAsia="宋体" w:cs="宋体"/>
                <w:sz w:val="24"/>
                <w:lang w:eastAsia="zh-CN"/>
              </w:rPr>
            </w:pPr>
            <w:r>
              <w:rPr>
                <w:rFonts w:hint="eastAsia" w:ascii="宋体" w:hAnsi="宋体" w:cs="宋体"/>
                <w:sz w:val="24"/>
              </w:rPr>
              <w:t>项目组成员（除</w:t>
            </w:r>
            <w:r>
              <w:rPr>
                <w:rFonts w:hint="eastAsia" w:ascii="宋体" w:hAnsi="宋体" w:cs="宋体"/>
                <w:sz w:val="24"/>
                <w:lang w:eastAsia="zh-CN"/>
              </w:rPr>
              <w:t>项目负责人</w:t>
            </w:r>
            <w:r>
              <w:rPr>
                <w:rFonts w:hint="eastAsia" w:ascii="宋体" w:hAnsi="宋体" w:cs="宋体"/>
                <w:sz w:val="24"/>
              </w:rPr>
              <w:t>和</w:t>
            </w:r>
            <w:r>
              <w:rPr>
                <w:rFonts w:hint="eastAsia" w:ascii="宋体" w:hAnsi="宋体" w:cs="宋体"/>
                <w:sz w:val="24"/>
                <w:lang w:eastAsia="zh-CN"/>
              </w:rPr>
              <w:t>技术负责人</w:t>
            </w:r>
            <w:r>
              <w:rPr>
                <w:rFonts w:hint="eastAsia" w:ascii="宋体" w:hAnsi="宋体" w:cs="宋体"/>
                <w:sz w:val="24"/>
              </w:rPr>
              <w:t>以外）至少配备</w:t>
            </w:r>
            <w:r>
              <w:rPr>
                <w:rFonts w:hint="eastAsia" w:ascii="宋体" w:hAnsi="宋体" w:cs="宋体"/>
                <w:sz w:val="24"/>
                <w:lang w:eastAsia="zh-CN"/>
              </w:rPr>
              <w:t>土建</w:t>
            </w:r>
            <w:r>
              <w:rPr>
                <w:rFonts w:hint="eastAsia" w:ascii="宋体" w:hAnsi="宋体" w:cs="宋体"/>
                <w:sz w:val="24"/>
              </w:rPr>
              <w:t>专业施工员、质量员、安全员各1名，配备不足的不得分，本项最高3分</w:t>
            </w:r>
            <w:r>
              <w:rPr>
                <w:rFonts w:hint="eastAsia" w:ascii="宋体" w:hAnsi="宋体" w:cs="宋体"/>
                <w:sz w:val="24"/>
                <w:lang w:eastAsia="zh-CN"/>
              </w:rPr>
              <w:t>。</w:t>
            </w:r>
          </w:p>
          <w:p>
            <w:pPr>
              <w:widowControl/>
              <w:spacing w:line="360" w:lineRule="auto"/>
              <w:jc w:val="left"/>
              <w:rPr>
                <w:rFonts w:hint="eastAsia" w:ascii="宋体" w:hAnsi="宋体" w:cs="宋体"/>
                <w:sz w:val="24"/>
                <w:lang w:val="zh-CN"/>
              </w:rPr>
            </w:pPr>
            <w:r>
              <w:rPr>
                <w:rFonts w:hint="eastAsia" w:ascii="宋体" w:hAnsi="宋体" w:cs="宋体"/>
                <w:sz w:val="24"/>
                <w:lang w:eastAsia="zh-CN"/>
              </w:rPr>
              <w:t>注：</w:t>
            </w:r>
            <w:r>
              <w:rPr>
                <w:rFonts w:hint="eastAsia" w:ascii="宋体" w:hAnsi="宋体" w:cs="宋体"/>
                <w:sz w:val="24"/>
              </w:rPr>
              <w:t>以上人员不重复得分，人员必须为本单位在职人员，须提供社保证明、相关证书复印件，</w:t>
            </w:r>
            <w:r>
              <w:rPr>
                <w:rFonts w:hint="eastAsia" w:ascii="宋体" w:hAnsi="宋体" w:cs="宋体"/>
                <w:sz w:val="24"/>
                <w:lang w:val="zh-CN"/>
              </w:rPr>
              <w:t>未提供或少提供的不得分。</w:t>
            </w:r>
          </w:p>
        </w:tc>
        <w:tc>
          <w:tcPr>
            <w:tcW w:w="851" w:type="dxa"/>
            <w:tcBorders>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eastAsia" w:ascii="宋体" w:hAnsi="宋体" w:cs="宋体"/>
                <w:sz w:val="24"/>
                <w:lang w:val="zh-CN"/>
              </w:rPr>
            </w:pPr>
            <w:r>
              <w:rPr>
                <w:rFonts w:hint="eastAsia" w:ascii="宋体" w:hAnsi="宋体" w:cs="宋体"/>
                <w:sz w:val="24"/>
                <w:lang w:val="en-US" w:eastAsia="zh-CN"/>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0" w:hRule="atLeast"/>
          <w:jc w:val="center"/>
        </w:trPr>
        <w:tc>
          <w:tcPr>
            <w:tcW w:w="1335" w:type="dxa"/>
            <w:vMerge w:val="restart"/>
            <w:tcBorders>
              <w:top w:val="single" w:color="auto" w:sz="4" w:space="0"/>
              <w:left w:val="single" w:color="auto" w:sz="4" w:space="0"/>
              <w:right w:val="single" w:color="auto" w:sz="4" w:space="0"/>
            </w:tcBorders>
            <w:noWrap w:val="0"/>
            <w:vAlign w:val="center"/>
          </w:tcPr>
          <w:p>
            <w:pPr>
              <w:widowControl/>
              <w:spacing w:line="240" w:lineRule="auto"/>
              <w:jc w:val="center"/>
              <w:rPr>
                <w:rFonts w:hint="eastAsia" w:ascii="宋体" w:hAnsi="宋体" w:cs="宋体"/>
                <w:sz w:val="24"/>
              </w:rPr>
            </w:pPr>
            <w:r>
              <w:rPr>
                <w:rFonts w:hint="eastAsia" w:ascii="宋体" w:hAnsi="宋体" w:cs="宋体"/>
                <w:sz w:val="24"/>
                <w:lang w:val="zh-CN"/>
              </w:rPr>
              <w:t>施工组织设计</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both"/>
              <w:rPr>
                <w:rFonts w:hint="eastAsia" w:ascii="宋体" w:hAnsi="宋体" w:eastAsia="宋体" w:cs="宋体"/>
                <w:sz w:val="24"/>
                <w:lang w:val="zh-CN"/>
              </w:rPr>
            </w:pPr>
            <w:r>
              <w:rPr>
                <w:rFonts w:hint="eastAsia" w:ascii="宋体" w:hAnsi="宋体" w:eastAsia="宋体" w:cs="宋体"/>
                <w:sz w:val="24"/>
                <w:lang w:val="en-US" w:eastAsia="zh-CN"/>
              </w:rPr>
              <w:t>根据本项目提出的施工组织设计总体方案是否科学、合理、可行。</w:t>
            </w:r>
          </w:p>
        </w:tc>
        <w:tc>
          <w:tcPr>
            <w:tcW w:w="851" w:type="dxa"/>
            <w:tcBorders>
              <w:top w:val="single" w:color="auto" w:sz="4" w:space="0"/>
              <w:left w:val="single" w:color="auto" w:sz="4" w:space="0"/>
              <w:right w:val="single" w:color="auto" w:sz="4" w:space="0"/>
            </w:tcBorders>
            <w:noWrap w:val="0"/>
            <w:vAlign w:val="center"/>
          </w:tcPr>
          <w:p>
            <w:pPr>
              <w:tabs>
                <w:tab w:val="left" w:pos="630"/>
              </w:tabs>
              <w:spacing w:line="240" w:lineRule="auto"/>
              <w:jc w:val="center"/>
              <w:rPr>
                <w:rFonts w:hint="default" w:ascii="宋体" w:hAnsi="宋体" w:eastAsia="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0"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both"/>
              <w:rPr>
                <w:rFonts w:hint="eastAsia" w:ascii="宋体" w:hAnsi="宋体" w:eastAsia="宋体" w:cs="宋体"/>
                <w:sz w:val="24"/>
                <w:lang w:val="zh-CN"/>
              </w:rPr>
            </w:pPr>
            <w:r>
              <w:rPr>
                <w:rFonts w:hint="eastAsia" w:ascii="宋体" w:hAnsi="宋体" w:eastAsia="宋体" w:cs="宋体"/>
                <w:sz w:val="24"/>
                <w:lang w:val="en-US" w:eastAsia="zh-CN"/>
              </w:rPr>
              <w:t>针对本项目提出的主要施工方案是否合理、可行。</w:t>
            </w:r>
          </w:p>
        </w:tc>
        <w:tc>
          <w:tcPr>
            <w:tcW w:w="851" w:type="dxa"/>
            <w:tcBorders>
              <w:left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rPr>
                <w:rFonts w:hint="eastAsia" w:ascii="宋体" w:hAnsi="宋体" w:cs="宋体"/>
                <w:color w:val="000000"/>
                <w:sz w:val="24"/>
                <w:lang w:val="zh-CN"/>
              </w:rPr>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both"/>
              <w:rPr>
                <w:rFonts w:hint="eastAsia" w:ascii="宋体" w:hAnsi="宋体" w:eastAsia="宋体" w:cs="宋体"/>
                <w:sz w:val="24"/>
                <w:lang w:val="zh-CN"/>
              </w:rPr>
            </w:pPr>
            <w:r>
              <w:rPr>
                <w:rFonts w:hint="eastAsia" w:ascii="宋体" w:hAnsi="宋体" w:eastAsia="宋体" w:cs="宋体"/>
                <w:sz w:val="24"/>
                <w:lang w:val="en-US" w:eastAsia="zh-CN"/>
              </w:rPr>
              <w:t>机械</w:t>
            </w:r>
            <w:r>
              <w:rPr>
                <w:rFonts w:hint="eastAsia" w:ascii="宋体" w:hAnsi="宋体" w:cs="宋体"/>
                <w:sz w:val="24"/>
                <w:lang w:val="en-US" w:eastAsia="zh-CN"/>
              </w:rPr>
              <w:t>设备和人员</w:t>
            </w:r>
            <w:r>
              <w:rPr>
                <w:rFonts w:hint="eastAsia" w:ascii="宋体" w:hAnsi="宋体" w:eastAsia="宋体" w:cs="宋体"/>
                <w:sz w:val="24"/>
                <w:lang w:val="en-US" w:eastAsia="zh-CN"/>
              </w:rPr>
              <w:t>配置的合理性。</w:t>
            </w:r>
          </w:p>
        </w:tc>
        <w:tc>
          <w:tcPr>
            <w:tcW w:w="851" w:type="dxa"/>
            <w:tcBorders>
              <w:left w:val="single" w:color="auto" w:sz="4" w:space="0"/>
              <w:right w:val="single" w:color="auto" w:sz="4" w:space="0"/>
            </w:tcBorders>
            <w:noWrap w:val="0"/>
            <w:vAlign w:val="center"/>
          </w:tcPr>
          <w:p>
            <w:pPr>
              <w:widowControl/>
              <w:spacing w:line="360" w:lineRule="auto"/>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9"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cs="宋体"/>
                <w:sz w:val="24"/>
              </w:rPr>
            </w:pPr>
            <w:r>
              <w:rPr>
                <w:rFonts w:hint="eastAsia" w:ascii="宋体" w:hAnsi="宋体" w:cs="宋体"/>
                <w:sz w:val="24"/>
                <w:lang w:val="zh-CN"/>
              </w:rPr>
              <w:t>重点难点分析</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kern w:val="0"/>
                <w:sz w:val="24"/>
                <w:lang w:bidi="ar"/>
              </w:rPr>
            </w:pPr>
            <w:r>
              <w:rPr>
                <w:rFonts w:hint="eastAsia" w:ascii="宋体" w:hAnsi="宋体" w:cs="宋体"/>
                <w:kern w:val="0"/>
                <w:sz w:val="24"/>
                <w:lang w:bidi="ar"/>
              </w:rPr>
              <w:t>针对本项目零星维修项目的</w:t>
            </w:r>
            <w:r>
              <w:rPr>
                <w:rFonts w:hint="eastAsia" w:ascii="宋体" w:hAnsi="宋体" w:cs="宋体"/>
                <w:sz w:val="24"/>
                <w:lang w:val="zh-CN"/>
              </w:rPr>
              <w:t>特点和重点难点分析及应对措施进行评审。</w:t>
            </w:r>
          </w:p>
        </w:tc>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default" w:ascii="宋体" w:hAnsi="宋体" w:eastAsia="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9"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cs="宋体"/>
                <w:sz w:val="24"/>
              </w:rPr>
            </w:pPr>
            <w:r>
              <w:rPr>
                <w:rFonts w:hint="eastAsia" w:ascii="宋体" w:hAnsi="宋体" w:cs="宋体"/>
                <w:sz w:val="24"/>
                <w:lang w:val="zh-CN"/>
              </w:rPr>
              <w:t>组织架构</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lang w:val="zh-CN"/>
              </w:rPr>
              <w:t>供应商具有完善的组织架构，清晰简要地列出主要管理流程，包括内部管理制度（</w:t>
            </w:r>
            <w:r>
              <w:rPr>
                <w:rFonts w:hint="eastAsia" w:ascii="宋体" w:hAnsi="宋体" w:cs="宋体"/>
                <w:sz w:val="24"/>
              </w:rPr>
              <w:t>1</w:t>
            </w:r>
            <w:r>
              <w:rPr>
                <w:rFonts w:hint="eastAsia" w:ascii="宋体" w:hAnsi="宋体" w:cs="宋体"/>
                <w:sz w:val="24"/>
                <w:lang w:val="zh-CN"/>
              </w:rPr>
              <w:t>分）、运作流程图（</w:t>
            </w:r>
            <w:r>
              <w:rPr>
                <w:rFonts w:hint="eastAsia" w:ascii="宋体" w:hAnsi="宋体" w:cs="宋体"/>
                <w:sz w:val="24"/>
              </w:rPr>
              <w:t>1</w:t>
            </w:r>
            <w:r>
              <w:rPr>
                <w:rFonts w:hint="eastAsia" w:ascii="宋体" w:hAnsi="宋体" w:cs="宋体"/>
                <w:sz w:val="24"/>
                <w:lang w:val="zh-CN"/>
              </w:rPr>
              <w:t>分）、监督机制（</w:t>
            </w:r>
            <w:r>
              <w:rPr>
                <w:rFonts w:hint="eastAsia" w:ascii="宋体" w:hAnsi="宋体" w:cs="宋体"/>
                <w:sz w:val="24"/>
              </w:rPr>
              <w:t>1</w:t>
            </w:r>
            <w:r>
              <w:rPr>
                <w:rFonts w:hint="eastAsia" w:ascii="宋体" w:hAnsi="宋体" w:cs="宋体"/>
                <w:sz w:val="24"/>
                <w:lang w:val="zh-CN"/>
              </w:rPr>
              <w:t>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eastAsia="宋体" w:cs="宋体"/>
                <w:sz w:val="24"/>
                <w:lang w:eastAsia="zh-CN"/>
              </w:rPr>
            </w:pPr>
            <w:r>
              <w:rPr>
                <w:rFonts w:hint="eastAsia" w:ascii="宋体" w:hAnsi="宋体" w:cs="宋体"/>
                <w:sz w:val="24"/>
                <w:lang w:val="en-US" w:eastAsia="zh-CN"/>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79"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cs="宋体"/>
                <w:sz w:val="24"/>
              </w:rPr>
            </w:pPr>
            <w:r>
              <w:rPr>
                <w:rFonts w:hint="eastAsia" w:ascii="宋体" w:hAnsi="宋体" w:cs="宋体"/>
                <w:sz w:val="24"/>
                <w:lang w:val="zh-CN"/>
              </w:rPr>
              <w:t>应急预案</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lang w:val="zh-CN"/>
              </w:rPr>
              <w:t>对项目实施可能遇到的各类突发问题及其设立应急处理方案，根据方案合理、可行等进行综合评审。</w:t>
            </w:r>
          </w:p>
        </w:tc>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sz w:val="24"/>
                <w:lang w:eastAsia="zh-CN"/>
              </w:rPr>
            </w:pPr>
            <w:r>
              <w:rPr>
                <w:rFonts w:hint="eastAsia" w:ascii="宋体" w:hAnsi="宋体" w:cs="宋体"/>
                <w:snapToGrid w:val="0"/>
                <w:kern w:val="0"/>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restart"/>
            <w:tcBorders>
              <w:top w:val="single" w:color="auto" w:sz="4" w:space="0"/>
              <w:left w:val="single" w:color="auto" w:sz="4" w:space="0"/>
              <w:right w:val="single" w:color="auto" w:sz="4" w:space="0"/>
            </w:tcBorders>
            <w:noWrap w:val="0"/>
            <w:vAlign w:val="center"/>
          </w:tcPr>
          <w:p>
            <w:pPr>
              <w:widowControl/>
              <w:spacing w:line="240" w:lineRule="auto"/>
              <w:jc w:val="center"/>
              <w:rPr>
                <w:rFonts w:hint="eastAsia" w:ascii="宋体" w:hAnsi="宋体" w:cs="宋体"/>
                <w:sz w:val="24"/>
              </w:rPr>
            </w:pPr>
            <w:r>
              <w:rPr>
                <w:rFonts w:hint="eastAsia" w:ascii="宋体" w:hAnsi="宋体" w:cs="宋体"/>
                <w:sz w:val="24"/>
                <w:lang w:val="zh-CN"/>
              </w:rPr>
              <w:t>服务保障措施</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rPr>
              <w:t>完成本项目的质量保障措施</w:t>
            </w:r>
            <w:r>
              <w:rPr>
                <w:rFonts w:hint="eastAsia" w:ascii="宋体" w:hAnsi="宋体" w:cs="宋体"/>
                <w:sz w:val="24"/>
                <w:lang w:eastAsia="zh-CN"/>
              </w:rPr>
              <w:t>。</w:t>
            </w:r>
          </w:p>
        </w:tc>
        <w:tc>
          <w:tcPr>
            <w:tcW w:w="851" w:type="dxa"/>
            <w:tcBorders>
              <w:top w:val="single" w:color="auto" w:sz="4" w:space="0"/>
              <w:left w:val="single" w:color="auto" w:sz="4" w:space="0"/>
              <w:right w:val="single" w:color="auto" w:sz="4" w:space="0"/>
            </w:tcBorders>
            <w:noWrap w:val="0"/>
            <w:vAlign w:val="center"/>
          </w:tcPr>
          <w:p>
            <w:pPr>
              <w:adjustRightInd w:val="0"/>
              <w:snapToGrid w:val="0"/>
              <w:spacing w:line="360" w:lineRule="exact"/>
              <w:jc w:val="center"/>
              <w:rPr>
                <w:rFonts w:hint="default" w:ascii="宋体" w:hAnsi="宋体" w:eastAsia="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rPr>
              <w:t>完成本项目的安全保障措施</w:t>
            </w:r>
            <w:r>
              <w:rPr>
                <w:rFonts w:hint="eastAsia" w:ascii="宋体" w:hAnsi="宋体" w:cs="宋体"/>
                <w:sz w:val="24"/>
                <w:lang w:eastAsia="zh-CN"/>
              </w:rPr>
              <w:t>。</w:t>
            </w:r>
          </w:p>
        </w:tc>
        <w:tc>
          <w:tcPr>
            <w:tcW w:w="851" w:type="dxa"/>
            <w:tcBorders>
              <w:left w:val="single" w:color="auto" w:sz="4" w:space="0"/>
              <w:right w:val="single" w:color="auto" w:sz="4" w:space="0"/>
            </w:tcBorders>
            <w:noWrap w:val="0"/>
            <w:vAlign w:val="center"/>
          </w:tcPr>
          <w:p>
            <w:pPr>
              <w:widowControl/>
              <w:spacing w:line="360" w:lineRule="auto"/>
              <w:jc w:val="center"/>
              <w:rPr>
                <w:rFonts w:hint="eastAsia" w:ascii="宋体" w:hAnsi="宋体" w:eastAsia="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eastAsia="宋体" w:cs="宋体"/>
                <w:sz w:val="24"/>
                <w:lang w:eastAsia="zh-CN"/>
              </w:rPr>
              <w:t>完成本项目对成品保护的保障措施。</w:t>
            </w:r>
          </w:p>
        </w:tc>
        <w:tc>
          <w:tcPr>
            <w:tcW w:w="851" w:type="dxa"/>
            <w:tcBorders>
              <w:left w:val="single" w:color="auto" w:sz="4" w:space="0"/>
              <w:right w:val="single" w:color="auto" w:sz="4" w:space="0"/>
            </w:tcBorders>
            <w:noWrap w:val="0"/>
            <w:vAlign w:val="center"/>
          </w:tcPr>
          <w:p>
            <w:pPr>
              <w:widowControl/>
              <w:spacing w:line="360" w:lineRule="auto"/>
              <w:jc w:val="center"/>
              <w:rPr>
                <w:rFonts w:hint="default" w:ascii="宋体" w:hAnsi="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eastAsia="宋体" w:cs="宋体"/>
                <w:sz w:val="24"/>
                <w:lang w:eastAsia="zh-CN"/>
              </w:rPr>
            </w:pPr>
            <w:r>
              <w:rPr>
                <w:rFonts w:hint="eastAsia" w:ascii="宋体" w:hAnsi="宋体" w:eastAsia="宋体" w:cs="宋体"/>
                <w:sz w:val="24"/>
                <w:lang w:eastAsia="zh-CN"/>
              </w:rPr>
              <w:t>完成本项目所需材料的进货渠道。</w:t>
            </w:r>
          </w:p>
        </w:tc>
        <w:tc>
          <w:tcPr>
            <w:tcW w:w="851" w:type="dxa"/>
            <w:tcBorders>
              <w:left w:val="single" w:color="auto" w:sz="4" w:space="0"/>
              <w:right w:val="single" w:color="auto" w:sz="4" w:space="0"/>
            </w:tcBorders>
            <w:noWrap w:val="0"/>
            <w:vAlign w:val="center"/>
          </w:tcPr>
          <w:p>
            <w:pPr>
              <w:widowControl/>
              <w:spacing w:line="360" w:lineRule="auto"/>
              <w:jc w:val="center"/>
              <w:rPr>
                <w:rFonts w:hint="default" w:ascii="宋体" w:hAnsi="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eastAsia="宋体" w:cs="宋体"/>
                <w:sz w:val="24"/>
                <w:lang w:eastAsia="zh-CN"/>
              </w:rPr>
            </w:pPr>
            <w:r>
              <w:rPr>
                <w:rFonts w:hint="eastAsia" w:ascii="宋体" w:hAnsi="宋体" w:cs="宋体"/>
                <w:sz w:val="24"/>
                <w:lang w:eastAsia="zh-CN"/>
              </w:rPr>
              <w:t>完成本项目的</w:t>
            </w:r>
            <w:r>
              <w:rPr>
                <w:rFonts w:hint="eastAsia" w:ascii="宋体" w:hAnsi="宋体" w:cs="宋体"/>
                <w:sz w:val="24"/>
              </w:rPr>
              <w:t>工期进度的</w:t>
            </w:r>
            <w:r>
              <w:rPr>
                <w:rFonts w:hint="eastAsia" w:ascii="宋体" w:hAnsi="宋体" w:cs="宋体"/>
                <w:sz w:val="24"/>
                <w:lang w:eastAsia="zh-CN"/>
              </w:rPr>
              <w:t>保障</w:t>
            </w:r>
            <w:r>
              <w:rPr>
                <w:rFonts w:hint="eastAsia" w:ascii="宋体" w:hAnsi="宋体" w:cs="宋体"/>
                <w:sz w:val="24"/>
              </w:rPr>
              <w:t>措施</w:t>
            </w:r>
            <w:r>
              <w:rPr>
                <w:rFonts w:hint="eastAsia" w:ascii="宋体" w:hAnsi="宋体" w:cs="宋体"/>
                <w:sz w:val="24"/>
                <w:lang w:eastAsia="zh-CN"/>
              </w:rPr>
              <w:t>。</w:t>
            </w:r>
          </w:p>
        </w:tc>
        <w:tc>
          <w:tcPr>
            <w:tcW w:w="851" w:type="dxa"/>
            <w:tcBorders>
              <w:left w:val="single" w:color="auto" w:sz="4" w:space="0"/>
              <w:right w:val="single" w:color="auto" w:sz="4" w:space="0"/>
            </w:tcBorders>
            <w:noWrap w:val="0"/>
            <w:vAlign w:val="center"/>
          </w:tcPr>
          <w:p>
            <w:pPr>
              <w:widowControl/>
              <w:spacing w:line="360" w:lineRule="auto"/>
              <w:jc w:val="center"/>
              <w:rPr>
                <w:rFonts w:hint="eastAsia" w:ascii="宋体" w:hAnsi="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37"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pPr>
          </w:p>
        </w:tc>
        <w:tc>
          <w:tcPr>
            <w:tcW w:w="8179" w:type="dxa"/>
            <w:tcBorders>
              <w:top w:val="single" w:color="auto" w:sz="4" w:space="0"/>
              <w:left w:val="single" w:color="auto" w:sz="4" w:space="0"/>
              <w:right w:val="single" w:color="auto" w:sz="4" w:space="0"/>
            </w:tcBorders>
            <w:noWrap w:val="0"/>
            <w:vAlign w:val="center"/>
          </w:tcPr>
          <w:p>
            <w:pPr>
              <w:widowControl/>
              <w:spacing w:line="360" w:lineRule="auto"/>
              <w:jc w:val="left"/>
              <w:rPr>
                <w:rFonts w:hint="eastAsia" w:ascii="宋体" w:hAnsi="宋体" w:eastAsia="宋体" w:cs="宋体"/>
                <w:sz w:val="24"/>
                <w:lang w:eastAsia="zh-CN"/>
              </w:rPr>
            </w:pPr>
            <w:r>
              <w:rPr>
                <w:rFonts w:hint="eastAsia" w:ascii="宋体" w:hAnsi="宋体" w:eastAsia="宋体" w:cs="宋体"/>
                <w:sz w:val="24"/>
                <w:lang w:eastAsia="zh-CN"/>
              </w:rPr>
              <w:t>完成本项目所选用材料的环保性。</w:t>
            </w:r>
          </w:p>
        </w:tc>
        <w:tc>
          <w:tcPr>
            <w:tcW w:w="851" w:type="dxa"/>
            <w:tcBorders>
              <w:left w:val="single" w:color="auto" w:sz="4" w:space="0"/>
              <w:right w:val="single" w:color="auto" w:sz="4" w:space="0"/>
            </w:tcBorders>
            <w:noWrap w:val="0"/>
            <w:vAlign w:val="center"/>
          </w:tcPr>
          <w:p>
            <w:pPr>
              <w:widowControl/>
              <w:spacing w:line="360" w:lineRule="auto"/>
              <w:jc w:val="center"/>
              <w:rPr>
                <w:rFonts w:hint="default" w:ascii="宋体" w:hAnsi="宋体" w:cs="宋体"/>
                <w:sz w:val="24"/>
                <w:lang w:val="en-US" w:eastAsia="zh-CN"/>
              </w:rPr>
            </w:pPr>
            <w:r>
              <w:rPr>
                <w:rFonts w:hint="eastAsia" w:ascii="宋体" w:hAnsi="宋体" w:cs="宋体"/>
                <w:sz w:val="24"/>
                <w:lang w:val="en-US" w:eastAsia="zh-CN"/>
              </w:rP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rPr>
              <w:t>完成本项目的环境保护、文明施工的保障措施。</w:t>
            </w:r>
          </w:p>
        </w:tc>
        <w:tc>
          <w:tcPr>
            <w:tcW w:w="851" w:type="dxa"/>
            <w:tcBorders>
              <w:left w:val="single" w:color="auto" w:sz="4" w:space="0"/>
              <w:right w:val="single" w:color="auto" w:sz="4" w:space="0"/>
            </w:tcBorders>
            <w:noWrap w:val="0"/>
            <w:vAlign w:val="center"/>
          </w:tcPr>
          <w:p>
            <w:pPr>
              <w:widowControl/>
              <w:spacing w:line="360" w:lineRule="auto"/>
              <w:jc w:val="center"/>
              <w:rPr>
                <w:rFonts w:hint="eastAsia" w:ascii="宋体" w:hAnsi="宋体" w:eastAsia="宋体" w:cs="宋体"/>
                <w:sz w:val="24"/>
                <w:lang w:val="en-US" w:eastAsia="zh-CN"/>
              </w:rPr>
            </w:pPr>
            <w:r>
              <w:rPr>
                <w:rFonts w:hint="eastAsia" w:ascii="宋体" w:hAnsi="宋体" w:cs="宋体"/>
                <w:sz w:val="24"/>
                <w:lang w:val="en-US" w:eastAsia="zh-CN"/>
              </w:rP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35" w:type="dxa"/>
            <w:vMerge w:val="continue"/>
            <w:tcBorders>
              <w:left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rPr>
              <w:t>完成本项目的减少扰民噪音、降低环境污染技术措施</w:t>
            </w:r>
            <w:r>
              <w:rPr>
                <w:rFonts w:hint="eastAsia" w:ascii="宋体" w:hAnsi="宋体" w:cs="宋体"/>
                <w:sz w:val="24"/>
                <w:lang w:eastAsia="zh-CN"/>
              </w:rPr>
              <w:t>。</w:t>
            </w:r>
          </w:p>
        </w:tc>
        <w:tc>
          <w:tcPr>
            <w:tcW w:w="851" w:type="dxa"/>
            <w:tcBorders>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宋体" w:hAnsi="宋体" w:eastAsia="宋体" w:cs="宋体"/>
                <w:sz w:val="24"/>
                <w:lang w:val="en-US" w:eastAsia="zh-CN"/>
              </w:rPr>
            </w:pPr>
            <w:r>
              <w:rPr>
                <w:rFonts w:hint="eastAsia" w:ascii="宋体" w:hAnsi="宋体" w:cs="宋体"/>
                <w:sz w:val="24"/>
                <w:lang w:val="en-US" w:eastAsia="zh-CN"/>
              </w:rP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cs="宋体"/>
                <w:sz w:val="24"/>
              </w:rPr>
            </w:pPr>
            <w:r>
              <w:rPr>
                <w:rFonts w:hint="eastAsia" w:ascii="宋体" w:hAnsi="宋体" w:cs="宋体"/>
                <w:sz w:val="24"/>
                <w:lang w:val="zh-CN"/>
              </w:rPr>
              <w:t>服务承诺</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rPr>
            </w:pPr>
            <w:r>
              <w:rPr>
                <w:rFonts w:hint="eastAsia" w:ascii="宋体" w:hAnsi="宋体" w:cs="宋体"/>
                <w:sz w:val="24"/>
                <w:lang w:val="zh-CN"/>
              </w:rPr>
              <w:t>投标人需承诺，在收到招标人通知（包含微信、电话等口头通知）24小时内响应（与招标人现场确认），72小时内组织人员维修；突发应急任务需在1小时内响应，</w:t>
            </w:r>
            <w:r>
              <w:rPr>
                <w:rFonts w:hint="eastAsia" w:ascii="宋体" w:hAnsi="宋体" w:cs="宋体"/>
                <w:sz w:val="24"/>
                <w:lang w:val="en-US" w:eastAsia="zh-CN"/>
              </w:rPr>
              <w:t>2</w:t>
            </w:r>
            <w:r>
              <w:rPr>
                <w:rFonts w:hint="eastAsia" w:ascii="宋体" w:hAnsi="宋体" w:cs="宋体"/>
                <w:sz w:val="24"/>
                <w:lang w:val="zh-CN"/>
              </w:rPr>
              <w:t>小时内组织人员维修，并根据以上承诺内容制定相应方案。</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eastAsia" w:ascii="宋体" w:hAnsi="宋体" w:eastAsia="宋体" w:cs="宋体"/>
                <w:sz w:val="24"/>
                <w:lang w:eastAsia="zh-CN"/>
              </w:rPr>
            </w:pPr>
            <w:r>
              <w:rPr>
                <w:rFonts w:hint="eastAsia" w:ascii="宋体" w:hAnsi="宋体" w:cs="宋体"/>
                <w:sz w:val="24"/>
                <w:lang w:val="en-US" w:eastAsia="zh-CN"/>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cs="宋体"/>
                <w:sz w:val="24"/>
                <w:lang w:val="zh-CN"/>
              </w:rPr>
            </w:pPr>
            <w:r>
              <w:rPr>
                <w:rFonts w:hint="eastAsia" w:ascii="宋体" w:hAnsi="宋体" w:cs="宋体"/>
                <w:sz w:val="24"/>
                <w:lang w:val="zh-CN"/>
              </w:rPr>
              <w:t>合理化建议</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val="zh-CN"/>
              </w:rPr>
            </w:pPr>
            <w:r>
              <w:rPr>
                <w:rFonts w:hint="eastAsia" w:ascii="宋体" w:hAnsi="宋体" w:cs="宋体"/>
                <w:sz w:val="24"/>
                <w:lang w:val="zh-CN"/>
              </w:rPr>
              <w:t>根据本项目实际情况提出合理化建议,依据建议的合理性、可行性、科学性进行打分，最高得</w:t>
            </w:r>
            <w:r>
              <w:rPr>
                <w:rFonts w:hint="eastAsia" w:ascii="宋体" w:hAnsi="宋体" w:cs="宋体"/>
                <w:sz w:val="24"/>
                <w:lang w:val="en-US" w:eastAsia="zh-CN"/>
              </w:rPr>
              <w:t>3</w:t>
            </w:r>
            <w:r>
              <w:rPr>
                <w:rFonts w:hint="eastAsia" w:ascii="宋体" w:hAnsi="宋体" w:cs="宋体"/>
                <w:sz w:val="24"/>
                <w:lang w:val="zh-CN"/>
              </w:rPr>
              <w:t>分。</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default" w:ascii="宋体" w:hAnsi="宋体" w:cs="宋体"/>
                <w:sz w:val="24"/>
                <w:lang w:val="en-US" w:eastAsia="zh-CN"/>
              </w:rPr>
            </w:pPr>
            <w:r>
              <w:rPr>
                <w:rFonts w:hint="eastAsia" w:ascii="宋体" w:hAnsi="宋体" w:cs="宋体"/>
                <w:sz w:val="24"/>
                <w:lang w:val="en-US" w:eastAsia="zh-CN"/>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1335"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宋体" w:hAnsi="宋体" w:cs="宋体"/>
                <w:sz w:val="24"/>
                <w:lang w:val="en-US" w:eastAsia="zh-CN"/>
              </w:rPr>
            </w:pPr>
            <w:r>
              <w:rPr>
                <w:rFonts w:hint="eastAsia" w:ascii="宋体" w:hAnsi="宋体" w:cs="宋体"/>
                <w:sz w:val="24"/>
                <w:lang w:val="en-US" w:eastAsia="zh-CN"/>
              </w:rPr>
              <w:t>报价</w:t>
            </w:r>
          </w:p>
        </w:tc>
        <w:tc>
          <w:tcPr>
            <w:tcW w:w="817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hint="eastAsia" w:ascii="宋体" w:hAnsi="宋体" w:cs="宋体"/>
                <w:sz w:val="24"/>
                <w:lang w:val="zh-CN"/>
              </w:rPr>
            </w:pPr>
            <w:r>
              <w:rPr>
                <w:rFonts w:hint="eastAsia" w:ascii="宋体" w:hAnsi="宋体" w:cs="宋体"/>
                <w:sz w:val="24"/>
                <w:lang w:val="zh-CN"/>
              </w:rPr>
              <w:t>有效投标报价的最低</w:t>
            </w:r>
            <w:r>
              <w:rPr>
                <w:rFonts w:hint="eastAsia" w:ascii="宋体" w:hAnsi="宋体" w:cs="宋体"/>
                <w:sz w:val="24"/>
                <w:lang w:val="en-US" w:eastAsia="zh-CN"/>
              </w:rPr>
              <w:t>报价折扣系数</w:t>
            </w:r>
            <w:r>
              <w:rPr>
                <w:rFonts w:hint="eastAsia" w:ascii="宋体" w:hAnsi="宋体" w:cs="宋体"/>
                <w:sz w:val="24"/>
                <w:lang w:val="zh-CN"/>
              </w:rPr>
              <w:t>作为评标基准价，其最低</w:t>
            </w:r>
            <w:r>
              <w:rPr>
                <w:rFonts w:hint="eastAsia" w:ascii="宋体" w:hAnsi="宋体" w:cs="宋体"/>
                <w:sz w:val="24"/>
                <w:lang w:val="en-US" w:eastAsia="zh-CN"/>
              </w:rPr>
              <w:t>报价折扣系数</w:t>
            </w:r>
            <w:r>
              <w:rPr>
                <w:rFonts w:hint="eastAsia" w:ascii="宋体" w:hAnsi="宋体" w:cs="宋体"/>
                <w:sz w:val="24"/>
                <w:lang w:val="zh-CN"/>
              </w:rPr>
              <w:t>为满分；按［投标报价得分=（评标基准价/投标报价）*</w:t>
            </w:r>
            <w:r>
              <w:rPr>
                <w:rFonts w:hint="eastAsia" w:ascii="宋体" w:hAnsi="宋体" w:cs="宋体"/>
                <w:sz w:val="24"/>
                <w:lang w:val="en-US" w:eastAsia="zh-CN"/>
              </w:rPr>
              <w:t>10</w:t>
            </w:r>
            <w:r>
              <w:rPr>
                <w:rFonts w:hint="eastAsia" w:ascii="宋体" w:hAnsi="宋体" w:cs="宋体"/>
                <w:sz w:val="24"/>
                <w:lang w:val="zh-CN"/>
              </w:rPr>
              <w:t>］的计算公式计算。</w:t>
            </w:r>
          </w:p>
          <w:p>
            <w:pPr>
              <w:widowControl/>
              <w:spacing w:line="360" w:lineRule="auto"/>
              <w:jc w:val="left"/>
              <w:rPr>
                <w:rFonts w:hint="eastAsia" w:ascii="宋体" w:hAnsi="宋体" w:cs="宋体"/>
                <w:sz w:val="24"/>
                <w:lang w:val="zh-CN"/>
              </w:rPr>
            </w:pPr>
            <w:r>
              <w:rPr>
                <w:rFonts w:hint="eastAsia" w:ascii="宋体" w:hAnsi="宋体" w:cs="宋体"/>
                <w:sz w:val="24"/>
                <w:lang w:val="zh-CN"/>
              </w:rPr>
              <w:t>评标过程中，不得去掉报价中的最高报价和最低报价。</w:t>
            </w:r>
          </w:p>
          <w:p>
            <w:pPr>
              <w:widowControl/>
              <w:spacing w:line="360" w:lineRule="auto"/>
              <w:jc w:val="left"/>
              <w:rPr>
                <w:rFonts w:hint="eastAsia" w:ascii="宋体" w:hAnsi="宋体" w:cs="宋体"/>
                <w:sz w:val="24"/>
                <w:lang w:val="zh-CN"/>
              </w:rPr>
            </w:pPr>
            <w:r>
              <w:rPr>
                <w:rFonts w:hint="eastAsia" w:ascii="宋体" w:hAnsi="宋体" w:cs="宋体"/>
                <w:sz w:val="24"/>
                <w:lang w:val="zh-CN"/>
              </w:rPr>
              <w:t>因落实政府采购政策需要进行价格调整的，以调整后的价格计算评标基准价和投标报价。</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630"/>
              </w:tabs>
              <w:spacing w:line="240" w:lineRule="auto"/>
              <w:jc w:val="center"/>
              <w:rPr>
                <w:rFonts w:hint="default" w:ascii="宋体" w:hAnsi="宋体" w:cs="宋体"/>
                <w:sz w:val="24"/>
                <w:lang w:val="en-US" w:eastAsia="zh-CN"/>
              </w:rPr>
            </w:pPr>
            <w:r>
              <w:rPr>
                <w:rFonts w:hint="eastAsia" w:ascii="宋体" w:hAnsi="宋体" w:cs="宋体"/>
                <w:sz w:val="24"/>
                <w:lang w:val="en-US" w:eastAsia="zh-CN"/>
              </w:rPr>
              <w:t>10</w:t>
            </w:r>
          </w:p>
        </w:tc>
      </w:tr>
    </w:tbl>
    <w:p/>
    <w:p>
      <w:pPr>
        <w:pStyle w:val="2"/>
      </w:pPr>
    </w:p>
    <w:p>
      <w:pPr>
        <w:pStyle w:val="2"/>
      </w:pPr>
    </w:p>
    <w:p>
      <w:pPr>
        <w:snapToGrid w:val="0"/>
        <w:spacing w:line="360" w:lineRule="auto"/>
        <w:rPr>
          <w:rFonts w:hint="eastAsia"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p>
    <w:p>
      <w:pPr>
        <w:numPr>
          <w:ilvl w:val="0"/>
          <w:numId w:val="2"/>
        </w:numPr>
        <w:snapToGrid w:val="0"/>
        <w:spacing w:line="360" w:lineRule="auto"/>
        <w:ind w:firstLine="720" w:firstLineChars="300"/>
        <w:rPr>
          <w:rFonts w:hint="eastAsia" w:ascii="宋体" w:hAnsi="宋体" w:cs="宋体"/>
          <w:sz w:val="24"/>
        </w:rPr>
      </w:pP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ind w:firstLine="723" w:firstLineChars="300"/>
        <w:rPr>
          <w:rFonts w:ascii="宋体" w:hAnsi="宋体" w:cs="宋体"/>
          <w:sz w:val="24"/>
        </w:rPr>
      </w:pPr>
      <w:r>
        <w:rPr>
          <w:rFonts w:hint="eastAsia" w:ascii="宋体" w:hAnsi="宋体" w:cs="宋体"/>
          <w:b/>
          <w:sz w:val="24"/>
        </w:rPr>
        <w:t>2、</w:t>
      </w:r>
      <w:r>
        <w:rPr>
          <w:rFonts w:hint="eastAsia" w:ascii="宋体" w:hAnsi="宋体" w:cs="宋体"/>
          <w:sz w:val="24"/>
        </w:rPr>
        <w:t>投标人提供的合同、证书等资料弄虚作假的，报政府采购监督部门查处。</w:t>
      </w:r>
    </w:p>
    <w:p>
      <w:pPr>
        <w:snapToGrid w:val="0"/>
        <w:spacing w:line="360" w:lineRule="auto"/>
        <w:ind w:firstLine="723" w:firstLineChars="300"/>
      </w:pPr>
      <w:r>
        <w:rPr>
          <w:rFonts w:hint="eastAsia" w:ascii="宋体" w:hAnsi="宋体" w:cs="宋体"/>
          <w:b/>
          <w:sz w:val="24"/>
        </w:rPr>
        <w:t>3、</w:t>
      </w:r>
      <w:r>
        <w:rPr>
          <w:rFonts w:hint="eastAsia" w:ascii="宋体" w:hAnsi="宋体" w:cs="宋体"/>
          <w:sz w:val="24"/>
        </w:rPr>
        <w:t>以上评分项目，以投标人在投标书中做出的书面承诺或加盖公章的相关材料复印件为准。若未按上述要求提供书面及相关材料，或提供的书面及相关材料与事实不符，或提供的书面及相关材料无法提供完整的投标响应信息的均不给分。任何由于投标人原因导致书面及相关材料缺失、字迹模糊无法分辨、内容错漏的情形，均可能导致该投标人的评审项失分。</w:t>
      </w:r>
    </w:p>
    <w:p>
      <w:pPr>
        <w:snapToGrid w:val="0"/>
        <w:spacing w:line="360" w:lineRule="auto"/>
        <w:jc w:val="left"/>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jc w:val="left"/>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2.评标标准：</w:t>
      </w:r>
      <w:r>
        <w:rPr>
          <w:rFonts w:hint="eastAsia" w:ascii="宋体" w:hAnsi="宋体" w:cs="宋体"/>
          <w:kern w:val="0"/>
          <w:sz w:val="24"/>
        </w:rPr>
        <w:t>见评标办法前附表。</w:t>
      </w:r>
    </w:p>
    <w:p>
      <w:pPr>
        <w:spacing w:line="360" w:lineRule="auto"/>
        <w:jc w:val="left"/>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23"/>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23"/>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23"/>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23"/>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23"/>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23"/>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23"/>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23"/>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kern w:val="0"/>
          <w:szCs w:val="24"/>
          <w:lang w:eastAsia="zh-CN"/>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23"/>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8"/>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pPr>
        <w:pStyle w:val="4"/>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8"/>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8"/>
        <w:snapToGrid w:val="0"/>
        <w:spacing w:line="360" w:lineRule="auto"/>
        <w:rPr>
          <w:rFonts w:cs="宋体"/>
        </w:rPr>
      </w:pPr>
      <w:r>
        <w:rPr>
          <w:rFonts w:hint="eastAsia" w:cs="宋体"/>
        </w:rPr>
        <w:t>5.1符合专业条件的供应商或者对招标文件作实质响应的供应商不足3家的；</w:t>
      </w:r>
    </w:p>
    <w:p>
      <w:pPr>
        <w:pStyle w:val="8"/>
        <w:snapToGrid w:val="0"/>
        <w:spacing w:line="360" w:lineRule="auto"/>
        <w:rPr>
          <w:rFonts w:cs="宋体"/>
        </w:rPr>
      </w:pPr>
      <w:r>
        <w:rPr>
          <w:rFonts w:hint="eastAsia" w:cs="宋体"/>
        </w:rPr>
        <w:t>5.2出现影响采购公正的违法、违规行为的；</w:t>
      </w:r>
    </w:p>
    <w:p>
      <w:pPr>
        <w:pStyle w:val="8"/>
        <w:snapToGrid w:val="0"/>
        <w:spacing w:line="360" w:lineRule="auto"/>
        <w:rPr>
          <w:rFonts w:cs="宋体"/>
        </w:rPr>
      </w:pPr>
      <w:r>
        <w:rPr>
          <w:rFonts w:hint="eastAsia" w:cs="宋体"/>
        </w:rPr>
        <w:t>5.3投标人的报价均超过了采购预算，采购人不能支付的；</w:t>
      </w:r>
    </w:p>
    <w:p>
      <w:pPr>
        <w:pStyle w:val="8"/>
        <w:snapToGrid w:val="0"/>
        <w:spacing w:line="360" w:lineRule="auto"/>
        <w:rPr>
          <w:rFonts w:cs="宋体"/>
        </w:rPr>
      </w:pPr>
      <w:r>
        <w:rPr>
          <w:rFonts w:hint="eastAsia" w:cs="宋体"/>
        </w:rPr>
        <w:t>5.4因重大变故，采购任务取消的。</w:t>
      </w:r>
    </w:p>
    <w:p>
      <w:pPr>
        <w:pStyle w:val="8"/>
        <w:snapToGrid w:val="0"/>
        <w:spacing w:line="360" w:lineRule="auto"/>
        <w:rPr>
          <w:rFonts w:cs="宋体"/>
        </w:rPr>
      </w:pPr>
      <w:r>
        <w:rPr>
          <w:rFonts w:hint="eastAsia" w:cs="宋体"/>
        </w:rPr>
        <w:t>废标后，采购机构应当将废标理由通知所有投标人。</w:t>
      </w:r>
    </w:p>
    <w:p>
      <w:pPr>
        <w:pStyle w:val="8"/>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8"/>
        <w:snapToGrid w:val="0"/>
        <w:spacing w:line="360" w:lineRule="auto"/>
        <w:ind w:firstLine="590" w:firstLineChars="245"/>
        <w:rPr>
          <w:rFonts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pPr>
        <w:pStyle w:val="8"/>
        <w:keepNext w:val="0"/>
        <w:keepLines w:val="0"/>
        <w:pageBreakBefore w:val="0"/>
        <w:widowControl w:val="0"/>
        <w:kinsoku/>
        <w:wordWrap/>
        <w:overflowPunct/>
        <w:topLinePunct w:val="0"/>
        <w:autoSpaceDE/>
        <w:autoSpaceDN/>
        <w:bidi w:val="0"/>
        <w:adjustRightInd w:val="0"/>
        <w:snapToGrid w:val="0"/>
        <w:spacing w:line="340" w:lineRule="exact"/>
        <w:ind w:firstLine="600" w:firstLineChars="250"/>
        <w:textAlignment w:val="auto"/>
        <w:rPr>
          <w:rFonts w:cs="宋体"/>
        </w:rPr>
      </w:pPr>
      <w:r>
        <w:rPr>
          <w:rFonts w:hint="eastAsia" w:cs="宋体"/>
        </w:rPr>
        <w:t>7.1未确定中标或者中标人的，终止本次政府采购活动，重新开展政府采购活动。</w:t>
      </w:r>
    </w:p>
    <w:p>
      <w:pPr>
        <w:pStyle w:val="8"/>
        <w:keepNext w:val="0"/>
        <w:keepLines w:val="0"/>
        <w:pageBreakBefore w:val="0"/>
        <w:widowControl w:val="0"/>
        <w:kinsoku/>
        <w:wordWrap/>
        <w:overflowPunct/>
        <w:topLinePunct w:val="0"/>
        <w:autoSpaceDE/>
        <w:autoSpaceDN/>
        <w:bidi w:val="0"/>
        <w:adjustRightInd w:val="0"/>
        <w:snapToGrid w:val="0"/>
        <w:spacing w:line="340" w:lineRule="exact"/>
        <w:ind w:firstLine="600" w:firstLineChars="250"/>
        <w:textAlignment w:val="auto"/>
        <w:rPr>
          <w:rFonts w:cs="宋体"/>
        </w:rPr>
      </w:pPr>
      <w:r>
        <w:rPr>
          <w:rFonts w:hint="eastAsia" w:cs="宋体"/>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8"/>
        <w:keepNext w:val="0"/>
        <w:keepLines w:val="0"/>
        <w:pageBreakBefore w:val="0"/>
        <w:widowControl w:val="0"/>
        <w:kinsoku/>
        <w:wordWrap/>
        <w:overflowPunct/>
        <w:topLinePunct w:val="0"/>
        <w:autoSpaceDE/>
        <w:autoSpaceDN/>
        <w:bidi w:val="0"/>
        <w:adjustRightInd w:val="0"/>
        <w:snapToGrid w:val="0"/>
        <w:spacing w:line="340" w:lineRule="exact"/>
        <w:ind w:firstLine="600" w:firstLineChars="250"/>
        <w:textAlignment w:val="auto"/>
        <w:rPr>
          <w:rFonts w:cs="宋体"/>
        </w:rPr>
      </w:pPr>
      <w:r>
        <w:rPr>
          <w:rFonts w:hint="eastAsia" w:cs="宋体"/>
        </w:rPr>
        <w:t>7.3政府采购合同已签订但尚未履行的，撤销合同，从合格的中标或者成交候选人中另行确定中标或者中标人；没有合格的中标或者成交候选人的，重新开展政府采购活动。</w:t>
      </w:r>
    </w:p>
    <w:p>
      <w:pPr>
        <w:pStyle w:val="8"/>
        <w:keepNext w:val="0"/>
        <w:keepLines w:val="0"/>
        <w:pageBreakBefore w:val="0"/>
        <w:widowControl w:val="0"/>
        <w:kinsoku/>
        <w:wordWrap/>
        <w:overflowPunct/>
        <w:topLinePunct w:val="0"/>
        <w:autoSpaceDE/>
        <w:autoSpaceDN/>
        <w:bidi w:val="0"/>
        <w:adjustRightInd w:val="0"/>
        <w:snapToGrid w:val="0"/>
        <w:spacing w:line="340" w:lineRule="exact"/>
        <w:textAlignment w:val="auto"/>
        <w:rPr>
          <w:rFonts w:cs="宋体"/>
        </w:rPr>
      </w:pPr>
      <w:r>
        <w:rPr>
          <w:rFonts w:hint="eastAsia" w:cs="宋体"/>
        </w:rPr>
        <w:t>7.4政府采购合同已经履行，给采购人、供应商造成损失的，由责任人承担赔偿责任。</w:t>
      </w:r>
    </w:p>
    <w:p>
      <w:pPr>
        <w:pStyle w:val="8"/>
        <w:keepNext w:val="0"/>
        <w:keepLines w:val="0"/>
        <w:pageBreakBefore w:val="0"/>
        <w:widowControl w:val="0"/>
        <w:kinsoku/>
        <w:wordWrap/>
        <w:overflowPunct/>
        <w:topLinePunct w:val="0"/>
        <w:autoSpaceDE/>
        <w:autoSpaceDN/>
        <w:bidi w:val="0"/>
        <w:adjustRightInd w:val="0"/>
        <w:snapToGrid w:val="0"/>
        <w:spacing w:line="340" w:lineRule="exact"/>
        <w:textAlignment w:val="auto"/>
        <w:rPr>
          <w:rFonts w:hint="eastAsia" w:cs="宋体"/>
        </w:rPr>
      </w:pPr>
      <w:r>
        <w:rPr>
          <w:rFonts w:hint="eastAsia" w:cs="宋体"/>
        </w:rPr>
        <w:t>7.5政府采购当事人有其他违反政府采购法</w:t>
      </w:r>
      <w:r>
        <w:rPr>
          <w:rFonts w:hint="eastAsia" w:cs="宋体"/>
          <w:kern w:val="0"/>
        </w:rPr>
        <w:t>或者政府采购法实施条例等法律法规规定</w:t>
      </w:r>
      <w:r>
        <w:rPr>
          <w:rFonts w:hint="eastAsia" w:cs="宋体"/>
        </w:rPr>
        <w:t>的行为，经改正后仍然影响或者可能影响中标、成交结果或者依法被认定为中标、成交无效的，依照7.1-7.4规定处理。</w:t>
      </w:r>
    </w:p>
    <w:bookmarkEnd w:id="24"/>
    <w:p>
      <w:pPr>
        <w:spacing w:line="360" w:lineRule="auto"/>
        <w:jc w:val="both"/>
        <w:outlineLvl w:val="0"/>
        <w:rPr>
          <w:rFonts w:hint="eastAsia" w:ascii="宋体" w:hAnsi="宋体" w:eastAsia="宋体" w:cs="宋体"/>
          <w:b/>
          <w:sz w:val="36"/>
          <w:szCs w:val="36"/>
        </w:rPr>
      </w:pPr>
      <w:bookmarkStart w:id="390" w:name="_Toc86217003"/>
      <w:bookmarkStart w:id="391" w:name="第五部分"/>
    </w:p>
    <w:p>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（仅供参考，具体以合同签订为准）</w:t>
      </w:r>
    </w:p>
    <w:p>
      <w:pPr>
        <w:spacing w:line="480" w:lineRule="auto"/>
        <w:jc w:val="center"/>
        <w:rPr>
          <w:rFonts w:ascii="宋体" w:hAnsi="宋体" w:cs="宋体"/>
          <w:b/>
          <w:sz w:val="28"/>
          <w:szCs w:val="28"/>
        </w:rPr>
      </w:pPr>
    </w:p>
    <w:p>
      <w:pPr>
        <w:spacing w:line="480" w:lineRule="auto"/>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25"/>
        <w:rPr>
          <w:rFonts w:ascii="宋体" w:hAnsi="宋体" w:cs="宋体"/>
          <w:szCs w:val="24"/>
        </w:rPr>
      </w:pPr>
    </w:p>
    <w:p>
      <w:pPr>
        <w:pStyle w:val="25"/>
        <w:ind w:left="0" w:leftChars="0" w:firstLine="0" w:firstLineChars="0"/>
        <w:rPr>
          <w:rFonts w:ascii="宋体" w:hAnsi="宋体" w:cs="宋体"/>
          <w:szCs w:val="24"/>
        </w:rPr>
      </w:pPr>
    </w:p>
    <w:p>
      <w:pPr>
        <w:pStyle w:val="25"/>
        <w:ind w:left="0" w:leftChars="0" w:firstLine="0" w:firstLineChars="0"/>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26"/>
        <w:spacing w:before="120" w:line="22" w:lineRule="atLeast"/>
        <w:rPr>
          <w:rFonts w:ascii="宋体" w:hAnsi="宋体" w:eastAsia="宋体" w:cs="宋体"/>
          <w:szCs w:val="24"/>
        </w:rPr>
      </w:pPr>
    </w:p>
    <w:p>
      <w:pPr>
        <w:pStyle w:val="26"/>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kern w:val="0"/>
          <w:sz w:val="24"/>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keepNext w:val="0"/>
        <w:keepLines w:val="0"/>
        <w:pageBreakBefore w:val="0"/>
        <w:widowControl w:val="0"/>
        <w:kinsoku/>
        <w:wordWrap/>
        <w:overflowPunct/>
        <w:topLinePunct w:val="0"/>
        <w:autoSpaceDN/>
        <w:bidi w:val="0"/>
        <w:adjustRightInd w:val="0"/>
        <w:spacing w:line="540" w:lineRule="exact"/>
        <w:ind w:firstLine="480" w:firstLineChars="200"/>
        <w:textAlignment w:val="auto"/>
        <w:rPr>
          <w:rFonts w:ascii="宋体" w:hAnsi="宋体" w:cs="宋体"/>
          <w:sz w:val="24"/>
        </w:rPr>
      </w:pPr>
      <w:r>
        <w:rPr>
          <w:rFonts w:hint="eastAsia" w:ascii="宋体" w:hAnsi="宋体" w:cs="宋体"/>
          <w:sz w:val="24"/>
          <w:lang w:val="zh-CN"/>
        </w:rPr>
        <w:t>年月日</w:t>
      </w:r>
      <w:r>
        <w:rPr>
          <w:rFonts w:hint="eastAsia" w:ascii="宋体" w:hAnsi="宋体" w:cs="宋体"/>
          <w:sz w:val="24"/>
        </w:rPr>
        <w:t>，</w:t>
      </w:r>
      <w:r>
        <w:rPr>
          <w:rFonts w:hint="eastAsia" w:ascii="宋体" w:hAnsi="宋体" w:cs="宋体"/>
          <w:sz w:val="24"/>
          <w:u w:val="single"/>
        </w:rPr>
        <w:t xml:space="preserve">   （采购人）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（项目名称）   </w:t>
      </w:r>
      <w:r>
        <w:rPr>
          <w:rFonts w:hint="eastAsia" w:ascii="宋体" w:hAnsi="宋体" w:cs="宋体"/>
          <w:sz w:val="24"/>
        </w:rPr>
        <w:t>项目进行了采购。经评定，</w:t>
      </w:r>
      <w:r>
        <w:rPr>
          <w:rFonts w:hint="eastAsia" w:ascii="宋体" w:hAnsi="宋体" w:cs="宋体"/>
          <w:sz w:val="24"/>
          <w:u w:val="single"/>
        </w:rPr>
        <w:t xml:space="preserve">   （中标供应商名称）</w:t>
      </w:r>
      <w:r>
        <w:rPr>
          <w:rFonts w:hint="eastAsia" w:ascii="宋体" w:hAnsi="宋体" w:cs="宋体"/>
          <w:sz w:val="24"/>
        </w:rPr>
        <w:t>为该项目中标供应商。现于中标通知书发出之日起三十日内，按照采购文件确定的事项签订本合同。</w:t>
      </w:r>
    </w:p>
    <w:p>
      <w:pPr>
        <w:keepNext w:val="0"/>
        <w:keepLines w:val="0"/>
        <w:pageBreakBefore w:val="0"/>
        <w:widowControl w:val="0"/>
        <w:kinsoku/>
        <w:wordWrap/>
        <w:overflowPunct/>
        <w:topLinePunct w:val="0"/>
        <w:autoSpaceDN/>
        <w:bidi w:val="0"/>
        <w:adjustRightInd w:val="0"/>
        <w:spacing w:line="540" w:lineRule="exact"/>
        <w:ind w:firstLine="480" w:firstLineChars="200"/>
        <w:textAlignment w:val="auto"/>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keepNext w:val="0"/>
        <w:keepLines w:val="0"/>
        <w:pageBreakBefore w:val="0"/>
        <w:widowControl w:val="0"/>
        <w:kinsoku/>
        <w:wordWrap/>
        <w:overflowPunct/>
        <w:topLinePunct w:val="0"/>
        <w:autoSpaceDN/>
        <w:bidi w:val="0"/>
        <w:adjustRightInd w:val="0"/>
        <w:spacing w:line="540" w:lineRule="exact"/>
        <w:ind w:firstLine="458" w:firstLineChars="200"/>
        <w:textAlignment w:val="auto"/>
        <w:rPr>
          <w:rFonts w:ascii="宋体" w:hAnsi="宋体" w:cs="宋体"/>
          <w:b/>
          <w:spacing w:val="-6"/>
          <w:sz w:val="24"/>
        </w:rPr>
      </w:pPr>
      <w:r>
        <w:rPr>
          <w:rFonts w:hint="eastAsia" w:ascii="宋体" w:hAnsi="宋体" w:cs="宋体"/>
          <w:b/>
          <w:spacing w:val="-6"/>
          <w:sz w:val="24"/>
        </w:rPr>
        <w:t>第一条：服务内容</w:t>
      </w:r>
    </w:p>
    <w:tbl>
      <w:tblPr>
        <w:tblStyle w:val="17"/>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557"/>
        <w:gridCol w:w="992"/>
        <w:gridCol w:w="1559"/>
        <w:gridCol w:w="3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81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r>
              <w:rPr>
                <w:rFonts w:hint="eastAsia" w:ascii="宋体" w:hAnsi="宋体" w:cs="宋体"/>
                <w:spacing w:val="-6"/>
                <w:sz w:val="24"/>
              </w:rPr>
              <w:t>序号</w:t>
            </w:r>
          </w:p>
        </w:tc>
        <w:tc>
          <w:tcPr>
            <w:tcW w:w="25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r>
              <w:rPr>
                <w:rFonts w:hint="eastAsia" w:ascii="宋体" w:hAnsi="宋体" w:cs="宋体"/>
                <w:spacing w:val="-6"/>
                <w:sz w:val="24"/>
              </w:rPr>
              <w:t>服务内容</w:t>
            </w:r>
          </w:p>
        </w:tc>
        <w:tc>
          <w:tcPr>
            <w:tcW w:w="9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r>
              <w:rPr>
                <w:rFonts w:hint="eastAsia" w:ascii="宋体" w:hAnsi="宋体" w:cs="宋体"/>
                <w:spacing w:val="-6"/>
                <w:sz w:val="24"/>
              </w:rPr>
              <w:t>数量</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r>
              <w:rPr>
                <w:rFonts w:hint="eastAsia" w:ascii="宋体" w:hAnsi="宋体" w:cs="宋体"/>
                <w:spacing w:val="-6"/>
                <w:sz w:val="24"/>
              </w:rPr>
              <w:t>金额</w:t>
            </w:r>
          </w:p>
        </w:tc>
        <w:tc>
          <w:tcPr>
            <w:tcW w:w="34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hint="eastAsia" w:ascii="宋体" w:hAnsi="宋体" w:eastAsia="宋体" w:cs="宋体"/>
                <w:spacing w:val="-6"/>
                <w:sz w:val="24"/>
                <w:lang w:val="en-US" w:eastAsia="zh-CN"/>
              </w:rPr>
            </w:pPr>
            <w:r>
              <w:rPr>
                <w:rFonts w:hint="eastAsia" w:ascii="宋体" w:hAnsi="宋体" w:cs="宋体"/>
                <w:spacing w:val="-6"/>
                <w:sz w:val="24"/>
              </w:rPr>
              <w:t>中标</w:t>
            </w:r>
            <w:r>
              <w:rPr>
                <w:rFonts w:hint="eastAsia" w:ascii="宋体" w:hAnsi="宋体" w:cs="宋体"/>
                <w:spacing w:val="-6"/>
                <w:sz w:val="24"/>
                <w:lang w:eastAsia="zh-CN"/>
              </w:rPr>
              <w:t>折扣率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1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r>
              <w:rPr>
                <w:rFonts w:hint="eastAsia" w:ascii="宋体" w:hAnsi="宋体" w:cs="宋体"/>
                <w:spacing w:val="-6"/>
                <w:sz w:val="24"/>
              </w:rPr>
              <w:t>1</w:t>
            </w:r>
          </w:p>
        </w:tc>
        <w:tc>
          <w:tcPr>
            <w:tcW w:w="25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ind w:left="178" w:leftChars="85"/>
              <w:jc w:val="center"/>
              <w:textAlignment w:val="auto"/>
              <w:rPr>
                <w:rFonts w:ascii="宋体" w:hAnsi="宋体" w:cs="宋体"/>
                <w:spacing w:val="-6"/>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p>
        </w:tc>
        <w:tc>
          <w:tcPr>
            <w:tcW w:w="34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N/>
              <w:bidi w:val="0"/>
              <w:adjustRightInd w:val="0"/>
              <w:spacing w:line="540" w:lineRule="exact"/>
              <w:jc w:val="center"/>
              <w:textAlignment w:val="auto"/>
              <w:rPr>
                <w:rFonts w:ascii="宋体" w:hAnsi="宋体" w:cs="宋体"/>
                <w:spacing w:val="-6"/>
                <w:sz w:val="24"/>
              </w:rPr>
            </w:pPr>
          </w:p>
        </w:tc>
      </w:tr>
    </w:tbl>
    <w:p>
      <w:pPr>
        <w:keepNext w:val="0"/>
        <w:keepLines w:val="0"/>
        <w:pageBreakBefore w:val="0"/>
        <w:widowControl w:val="0"/>
        <w:kinsoku/>
        <w:wordWrap/>
        <w:overflowPunct/>
        <w:topLinePunct w:val="0"/>
        <w:autoSpaceDN/>
        <w:bidi w:val="0"/>
        <w:adjustRightInd w:val="0"/>
        <w:snapToGrid w:val="0"/>
        <w:spacing w:line="540" w:lineRule="exact"/>
        <w:ind w:firstLine="456" w:firstLineChars="200"/>
        <w:textAlignment w:val="auto"/>
        <w:rPr>
          <w:rFonts w:ascii="宋体" w:hAnsi="宋体" w:cs="宋体"/>
          <w:spacing w:val="-6"/>
          <w:sz w:val="24"/>
        </w:rPr>
      </w:pPr>
      <w:r>
        <w:rPr>
          <w:rFonts w:hint="eastAsia" w:ascii="宋体" w:hAnsi="宋体" w:cs="宋体"/>
          <w:spacing w:val="-6"/>
          <w:sz w:val="24"/>
        </w:rPr>
        <w:t>注：投标报价应包括投标总报价是指综合费用，包括人员工资、交通、住宿、税金、保险、</w:t>
      </w:r>
      <w:r>
        <w:rPr>
          <w:rFonts w:hint="eastAsia" w:ascii="宋体" w:hAnsi="宋体" w:cs="宋体"/>
          <w:spacing w:val="-6"/>
          <w:sz w:val="24"/>
          <w:lang w:eastAsia="zh-CN"/>
        </w:rPr>
        <w:t>材料、</w:t>
      </w:r>
      <w:r>
        <w:rPr>
          <w:rFonts w:hint="eastAsia" w:ascii="宋体" w:hAnsi="宋体" w:cs="宋体"/>
          <w:spacing w:val="-6"/>
          <w:sz w:val="24"/>
        </w:rPr>
        <w:t>验收、报审过程中以及在履行本合同时的现场踏勘、资料收集、调查等的全部费用。</w:t>
      </w:r>
    </w:p>
    <w:p>
      <w:pPr>
        <w:keepNext w:val="0"/>
        <w:keepLines w:val="0"/>
        <w:pageBreakBefore w:val="0"/>
        <w:widowControl w:val="0"/>
        <w:kinsoku/>
        <w:wordWrap/>
        <w:overflowPunct/>
        <w:topLinePunct w:val="0"/>
        <w:autoSpaceDN/>
        <w:bidi w:val="0"/>
        <w:adjustRightInd w:val="0"/>
        <w:snapToGrid w:val="0"/>
        <w:spacing w:line="540" w:lineRule="exact"/>
        <w:ind w:firstLine="458" w:firstLineChars="200"/>
        <w:textAlignment w:val="auto"/>
        <w:rPr>
          <w:rFonts w:ascii="宋体" w:hAnsi="宋体" w:cs="宋体"/>
          <w:b/>
          <w:spacing w:val="-6"/>
          <w:sz w:val="24"/>
        </w:rPr>
      </w:pPr>
      <w:r>
        <w:rPr>
          <w:rFonts w:hint="eastAsia" w:ascii="宋体" w:hAnsi="宋体" w:cs="宋体"/>
          <w:b/>
          <w:spacing w:val="-6"/>
          <w:sz w:val="24"/>
        </w:rPr>
        <w:t>第二条：服务期限：</w:t>
      </w:r>
    </w:p>
    <w:p>
      <w:pPr>
        <w:keepNext w:val="0"/>
        <w:keepLines w:val="0"/>
        <w:pageBreakBefore w:val="0"/>
        <w:widowControl w:val="0"/>
        <w:kinsoku/>
        <w:wordWrap/>
        <w:overflowPunct/>
        <w:topLinePunct w:val="0"/>
        <w:autoSpaceDN/>
        <w:bidi w:val="0"/>
        <w:adjustRightInd w:val="0"/>
        <w:snapToGrid w:val="0"/>
        <w:spacing w:line="540" w:lineRule="exact"/>
        <w:ind w:firstLine="458" w:firstLineChars="200"/>
        <w:textAlignment w:val="auto"/>
        <w:rPr>
          <w:rFonts w:ascii="宋体" w:hAnsi="宋体" w:cs="宋体"/>
          <w:bCs/>
          <w:spacing w:val="-6"/>
          <w:sz w:val="24"/>
        </w:rPr>
      </w:pPr>
      <w:r>
        <w:rPr>
          <w:rFonts w:hint="eastAsia" w:ascii="宋体" w:hAnsi="宋体" w:cs="宋体"/>
          <w:b/>
          <w:spacing w:val="-6"/>
          <w:sz w:val="24"/>
        </w:rPr>
        <w:t>第三条：执行技术标准：</w:t>
      </w:r>
      <w:r>
        <w:rPr>
          <w:rFonts w:hint="eastAsia" w:ascii="宋体" w:hAnsi="宋体" w:cs="宋体"/>
          <w:bCs/>
          <w:spacing w:val="-6"/>
          <w:sz w:val="24"/>
        </w:rPr>
        <w:t>提交成果必须符合国家相关规程和规范要求</w:t>
      </w:r>
    </w:p>
    <w:p>
      <w:pPr>
        <w:keepNext w:val="0"/>
        <w:keepLines w:val="0"/>
        <w:pageBreakBefore w:val="0"/>
        <w:widowControl w:val="0"/>
        <w:kinsoku/>
        <w:wordWrap/>
        <w:overflowPunct/>
        <w:topLinePunct w:val="0"/>
        <w:autoSpaceDN/>
        <w:bidi w:val="0"/>
        <w:adjustRightInd w:val="0"/>
        <w:snapToGrid w:val="0"/>
        <w:spacing w:line="540" w:lineRule="exact"/>
        <w:ind w:firstLine="458" w:firstLineChars="200"/>
        <w:textAlignment w:val="auto"/>
        <w:rPr>
          <w:rFonts w:ascii="宋体" w:hAnsi="宋体" w:cs="宋体"/>
          <w:b/>
          <w:sz w:val="24"/>
        </w:rPr>
      </w:pPr>
      <w:r>
        <w:rPr>
          <w:rFonts w:hint="eastAsia" w:ascii="宋体" w:hAnsi="宋体" w:cs="宋体"/>
          <w:b/>
          <w:spacing w:val="-6"/>
          <w:sz w:val="24"/>
        </w:rPr>
        <w:t>第四条：付款方式：</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textAlignment w:val="auto"/>
        <w:rPr>
          <w:rFonts w:ascii="宋体" w:hAnsi="宋体" w:cs="宋体"/>
          <w:b/>
          <w:sz w:val="24"/>
        </w:rPr>
      </w:pPr>
      <w:r>
        <w:rPr>
          <w:rFonts w:hint="eastAsia" w:ascii="宋体" w:hAnsi="宋体" w:cs="宋体"/>
          <w:b/>
          <w:sz w:val="24"/>
        </w:rPr>
        <w:t>第五条：履约保证金</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textAlignment w:val="auto"/>
        <w:rPr>
          <w:rFonts w:ascii="宋体" w:hAnsi="宋体" w:cs="宋体"/>
          <w:b/>
          <w:sz w:val="24"/>
        </w:rPr>
      </w:pPr>
      <w:r>
        <w:rPr>
          <w:rFonts w:hint="eastAsia" w:ascii="宋体" w:hAnsi="宋体" w:cs="宋体"/>
          <w:b/>
          <w:sz w:val="24"/>
        </w:rPr>
        <w:t>第六条：知识产权</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乙方应保证提供服务过程中不会侵犯任何第三方的知识产权。</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textAlignment w:val="auto"/>
        <w:rPr>
          <w:rFonts w:ascii="宋体" w:hAnsi="宋体" w:cs="宋体"/>
          <w:b/>
          <w:sz w:val="24"/>
        </w:rPr>
      </w:pPr>
      <w:r>
        <w:rPr>
          <w:rFonts w:hint="eastAsia" w:ascii="宋体" w:hAnsi="宋体" w:cs="宋体"/>
          <w:b/>
          <w:sz w:val="24"/>
        </w:rPr>
        <w:t>第七条：转包或分包</w:t>
      </w:r>
    </w:p>
    <w:p>
      <w:pPr>
        <w:keepNext w:val="0"/>
        <w:keepLines w:val="0"/>
        <w:pageBreakBefore w:val="0"/>
        <w:widowControl w:val="0"/>
        <w:kinsoku/>
        <w:wordWrap/>
        <w:overflowPunct/>
        <w:topLinePunct w:val="0"/>
        <w:autoSpaceDN/>
        <w:bidi w:val="0"/>
        <w:adjustRightInd w:val="0"/>
        <w:spacing w:line="540" w:lineRule="exact"/>
        <w:ind w:firstLine="480" w:firstLineChars="200"/>
        <w:textAlignment w:val="auto"/>
        <w:rPr>
          <w:rFonts w:ascii="宋体" w:hAnsi="宋体" w:cs="宋体"/>
          <w:bCs/>
          <w:sz w:val="24"/>
        </w:rPr>
      </w:pPr>
      <w:r>
        <w:rPr>
          <w:rFonts w:hint="eastAsia" w:ascii="宋体" w:hAnsi="宋体" w:cs="宋体"/>
          <w:bCs/>
          <w:sz w:val="24"/>
        </w:rPr>
        <w:t>乙方不得部分转让或分包或全部转让其应履行的合同义务。</w:t>
      </w:r>
    </w:p>
    <w:p>
      <w:pPr>
        <w:keepNext w:val="0"/>
        <w:keepLines w:val="0"/>
        <w:pageBreakBefore w:val="0"/>
        <w:widowControl w:val="0"/>
        <w:kinsoku/>
        <w:wordWrap/>
        <w:overflowPunct/>
        <w:topLinePunct w:val="0"/>
        <w:autoSpaceDN/>
        <w:bidi w:val="0"/>
        <w:adjustRightInd w:val="0"/>
        <w:spacing w:line="540" w:lineRule="exact"/>
        <w:ind w:firstLine="482" w:firstLineChars="200"/>
        <w:textAlignment w:val="auto"/>
        <w:rPr>
          <w:rFonts w:ascii="宋体" w:hAnsi="宋体" w:cs="宋体"/>
          <w:b/>
          <w:bCs/>
          <w:sz w:val="24"/>
        </w:rPr>
      </w:pPr>
      <w:r>
        <w:rPr>
          <w:rFonts w:hint="eastAsia" w:ascii="宋体" w:hAnsi="宋体" w:cs="宋体"/>
          <w:b/>
          <w:sz w:val="24"/>
        </w:rPr>
        <w:t>第八条：</w:t>
      </w:r>
      <w:r>
        <w:rPr>
          <w:rFonts w:hint="eastAsia" w:ascii="宋体" w:hAnsi="宋体" w:cs="宋体"/>
          <w:b/>
          <w:bCs/>
          <w:sz w:val="24"/>
        </w:rPr>
        <w:t>税费</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本合同执行中相关的一切税费均由乙方负担。</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textAlignment w:val="auto"/>
        <w:rPr>
          <w:rFonts w:ascii="宋体" w:hAnsi="宋体" w:cs="宋体"/>
          <w:b/>
          <w:sz w:val="24"/>
        </w:rPr>
      </w:pPr>
      <w:r>
        <w:rPr>
          <w:rFonts w:hint="eastAsia" w:ascii="宋体" w:hAnsi="宋体" w:cs="宋体"/>
          <w:b/>
          <w:sz w:val="24"/>
        </w:rPr>
        <w:t>第九条：验收</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1、验收按国家有关的规定、规范进行。</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2、验收费用由乙方承担。</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textAlignment w:val="auto"/>
        <w:rPr>
          <w:rFonts w:ascii="宋体" w:hAnsi="宋体" w:cs="宋体"/>
          <w:b/>
          <w:sz w:val="24"/>
        </w:rPr>
      </w:pPr>
      <w:r>
        <w:rPr>
          <w:rFonts w:hint="eastAsia" w:ascii="宋体" w:hAnsi="宋体" w:cs="宋体"/>
          <w:b/>
          <w:sz w:val="24"/>
        </w:rPr>
        <w:t>第十条：售后服务</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cs="宋体"/>
          <w:b/>
          <w:sz w:val="24"/>
        </w:rPr>
      </w:pPr>
      <w:r>
        <w:rPr>
          <w:rFonts w:hint="eastAsia" w:ascii="宋体" w:hAnsi="宋体"/>
          <w:sz w:val="24"/>
        </w:rPr>
        <w:t>在服务质保期内，乙方应该确保服务范围内的质量标准符合本招标文件要求。当出现问题时，投标人应承诺在</w:t>
      </w:r>
      <w:r>
        <w:rPr>
          <w:rFonts w:hint="eastAsia" w:ascii="宋体" w:hAnsi="宋体"/>
          <w:sz w:val="24"/>
          <w:lang w:val="en-US" w:eastAsia="zh-CN"/>
        </w:rPr>
        <w:t xml:space="preserve"> </w:t>
      </w:r>
      <w:r>
        <w:rPr>
          <w:rFonts w:hint="eastAsia" w:ascii="宋体" w:hAnsi="宋体"/>
          <w:sz w:val="24"/>
        </w:rPr>
        <w:t>小时内响应并提出解决方案，</w:t>
      </w:r>
      <w:r>
        <w:rPr>
          <w:rFonts w:hint="eastAsia" w:ascii="宋体" w:hAnsi="宋体"/>
          <w:sz w:val="24"/>
          <w:lang w:val="en-US" w:eastAsia="zh-CN"/>
        </w:rPr>
        <w:t xml:space="preserve"> </w:t>
      </w:r>
      <w:r>
        <w:rPr>
          <w:rFonts w:hint="eastAsia" w:ascii="宋体" w:hAnsi="宋体"/>
          <w:sz w:val="24"/>
        </w:rPr>
        <w:t xml:space="preserve">小时之内到现场对存在问题进行处理，并提出相应措施。                                             </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jc w:val="left"/>
        <w:textAlignment w:val="auto"/>
        <w:rPr>
          <w:rFonts w:ascii="宋体" w:hAnsi="宋体" w:cs="宋体"/>
          <w:bCs/>
          <w:kern w:val="0"/>
          <w:sz w:val="24"/>
        </w:rPr>
      </w:pPr>
      <w:r>
        <w:rPr>
          <w:rFonts w:hint="eastAsia" w:ascii="宋体" w:hAnsi="宋体" w:cs="宋体"/>
          <w:b/>
          <w:sz w:val="24"/>
        </w:rPr>
        <w:t>第十一条：</w:t>
      </w:r>
      <w:r>
        <w:rPr>
          <w:rFonts w:hint="eastAsia" w:ascii="宋体" w:hAnsi="宋体" w:cs="宋体"/>
          <w:bCs/>
          <w:kern w:val="0"/>
          <w:sz w:val="24"/>
        </w:rPr>
        <w:t>乙方承担完成本招标项目的一切费用(包括不可预见费用)和市场风险。</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jc w:val="left"/>
        <w:textAlignment w:val="auto"/>
        <w:rPr>
          <w:rFonts w:ascii="仿宋" w:hAnsi="仿宋" w:eastAsia="仿宋"/>
          <w:sz w:val="24"/>
          <w:u w:val="single"/>
        </w:rPr>
      </w:pPr>
      <w:r>
        <w:rPr>
          <w:rFonts w:hint="eastAsia" w:ascii="宋体" w:hAnsi="宋体" w:cs="宋体"/>
          <w:b/>
          <w:sz w:val="24"/>
        </w:rPr>
        <w:t xml:space="preserve">第十二条：其他约定：              </w:t>
      </w:r>
    </w:p>
    <w:p>
      <w:pPr>
        <w:keepNext w:val="0"/>
        <w:keepLines w:val="0"/>
        <w:pageBreakBefore w:val="0"/>
        <w:widowControl w:val="0"/>
        <w:kinsoku/>
        <w:wordWrap/>
        <w:overflowPunct/>
        <w:topLinePunct w:val="0"/>
        <w:autoSpaceDN/>
        <w:bidi w:val="0"/>
        <w:adjustRightInd w:val="0"/>
        <w:spacing w:line="540" w:lineRule="exact"/>
        <w:ind w:firstLine="482" w:firstLineChars="200"/>
        <w:textAlignment w:val="auto"/>
        <w:rPr>
          <w:rFonts w:ascii="宋体" w:hAnsi="宋体" w:cs="宋体"/>
          <w:b/>
          <w:bCs/>
          <w:sz w:val="24"/>
        </w:rPr>
      </w:pPr>
      <w:r>
        <w:rPr>
          <w:rFonts w:hint="eastAsia" w:ascii="宋体" w:hAnsi="宋体" w:cs="宋体"/>
          <w:b/>
          <w:sz w:val="24"/>
        </w:rPr>
        <w:t>第十三条：</w:t>
      </w:r>
      <w:r>
        <w:rPr>
          <w:rFonts w:hint="eastAsia" w:ascii="宋体" w:hAnsi="宋体" w:cs="宋体"/>
          <w:b/>
          <w:bCs/>
          <w:sz w:val="24"/>
          <w:lang w:val="zh-CN"/>
        </w:rPr>
        <w:t>甲方的责任与义务</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1、</w:t>
      </w:r>
      <w:r>
        <w:rPr>
          <w:rFonts w:hint="eastAsia" w:ascii="宋体" w:hAnsi="宋体"/>
          <w:sz w:val="24"/>
        </w:rPr>
        <w:t>甲方应当主要负责项目的所有外部关系的联系与协调，为乙方工作提供良好的外部条件。</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2、</w:t>
      </w:r>
      <w:r>
        <w:rPr>
          <w:rFonts w:hint="eastAsia" w:ascii="宋体" w:hAnsi="宋体"/>
          <w:sz w:val="24"/>
        </w:rPr>
        <w:t>甲方应当按双方约定的内容和时间，向乙方提供与项目有关的资料。</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3、</w:t>
      </w:r>
      <w:r>
        <w:rPr>
          <w:rFonts w:hint="eastAsia" w:ascii="宋体" w:hAnsi="宋体"/>
          <w:sz w:val="24"/>
        </w:rPr>
        <w:t>甲方应授权一名熟悉本项目情况、能迅速做出决定的项目代表，负责与乙方联系。更换代表，要提前通知乙方。</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4、</w:t>
      </w:r>
      <w:r>
        <w:rPr>
          <w:rFonts w:hint="eastAsia" w:ascii="宋体" w:hAnsi="宋体"/>
          <w:sz w:val="24"/>
        </w:rPr>
        <w:t>甲方有与乙方订立补充合同的签订权。</w:t>
      </w:r>
    </w:p>
    <w:p>
      <w:pPr>
        <w:keepNext w:val="0"/>
        <w:keepLines w:val="0"/>
        <w:pageBreakBefore w:val="0"/>
        <w:widowControl w:val="0"/>
        <w:kinsoku/>
        <w:wordWrap/>
        <w:overflowPunct/>
        <w:topLinePunct w:val="0"/>
        <w:autoSpaceDN/>
        <w:bidi w:val="0"/>
        <w:adjustRightInd w:val="0"/>
        <w:spacing w:line="540" w:lineRule="exact"/>
        <w:ind w:firstLine="482" w:firstLineChars="200"/>
        <w:textAlignment w:val="auto"/>
        <w:rPr>
          <w:rFonts w:ascii="宋体" w:hAnsi="宋体" w:cs="宋体"/>
          <w:b/>
          <w:bCs/>
          <w:sz w:val="24"/>
        </w:rPr>
      </w:pPr>
      <w:r>
        <w:rPr>
          <w:rFonts w:hint="eastAsia" w:ascii="宋体" w:hAnsi="宋体" w:cs="宋体"/>
          <w:b/>
          <w:sz w:val="24"/>
        </w:rPr>
        <w:t>第十四条：</w:t>
      </w:r>
      <w:r>
        <w:rPr>
          <w:rFonts w:hint="eastAsia" w:ascii="宋体" w:hAnsi="宋体" w:cs="宋体"/>
          <w:b/>
          <w:bCs/>
          <w:sz w:val="24"/>
          <w:lang w:val="zh-CN"/>
        </w:rPr>
        <w:t>乙方的责任与义务</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1、</w:t>
      </w:r>
      <w:r>
        <w:rPr>
          <w:rFonts w:hint="eastAsia" w:ascii="宋体" w:hAnsi="宋体"/>
          <w:sz w:val="24"/>
        </w:rPr>
        <w:t>根据投标文件的承诺向甲方委派项目组人员。</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2、</w:t>
      </w:r>
      <w:r>
        <w:rPr>
          <w:rFonts w:hint="eastAsia" w:ascii="宋体" w:hAnsi="宋体"/>
          <w:sz w:val="24"/>
        </w:rPr>
        <w:t>在履行本合同义务的期间，应运用合理的技能，认真、勤奋的工作。</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3、</w:t>
      </w:r>
      <w:r>
        <w:rPr>
          <w:rFonts w:hint="eastAsia" w:ascii="宋体" w:hAnsi="宋体"/>
          <w:sz w:val="24"/>
        </w:rPr>
        <w:t>在本合同期内或合同终止后，未征得有关方同意，不得泄露与本项目、本合同有关的技术、资料等，不得以任何形式侵害甲方的知识产权。</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lang w:val="en-US" w:eastAsia="zh-CN"/>
        </w:rPr>
        <w:t>4、</w:t>
      </w:r>
      <w:r>
        <w:rPr>
          <w:rFonts w:hint="eastAsia" w:ascii="宋体" w:hAnsi="宋体"/>
          <w:sz w:val="24"/>
        </w:rPr>
        <w:t>负责处理好与相关项目实施单位的协调工作。</w:t>
      </w:r>
    </w:p>
    <w:p>
      <w:pPr>
        <w:keepNext w:val="0"/>
        <w:keepLines w:val="0"/>
        <w:pageBreakBefore w:val="0"/>
        <w:widowControl w:val="0"/>
        <w:kinsoku/>
        <w:wordWrap/>
        <w:overflowPunct/>
        <w:topLinePunct w:val="0"/>
        <w:autoSpaceDN/>
        <w:bidi w:val="0"/>
        <w:adjustRightInd w:val="0"/>
        <w:spacing w:line="540" w:lineRule="exact"/>
        <w:ind w:firstLine="482" w:firstLineChars="200"/>
        <w:textAlignment w:val="auto"/>
        <w:rPr>
          <w:rFonts w:ascii="宋体" w:hAnsi="宋体" w:cs="宋体"/>
          <w:b/>
          <w:sz w:val="24"/>
        </w:rPr>
      </w:pPr>
      <w:r>
        <w:rPr>
          <w:rFonts w:hint="eastAsia" w:ascii="宋体" w:hAnsi="宋体" w:cs="宋体"/>
          <w:b/>
          <w:sz w:val="24"/>
        </w:rPr>
        <w:t>第十五条  违约责任</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1、由于乙方原因(除不可抗力外)不能按期交付合同标的，对超出交付期的每一天，乙方应按合同总价款的千分之三承担违约金，在合同款支付时一次性扣除。若超出交付期十天(含十天)以上的，甲方有权终止合同，质量保证金不予退还。</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2、乙方按合同要求将成果送达甲方后，经验收合格后，甲方超出付款期支付项目款的，每逾一天，甲方应向乙方支付合同金额的千分之三的滞纳金。甲方无正当理由拒收合同标的、拒付项目款的，应向乙方偿付合同总价千分之五的违约金。</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3、由于乙方原因导致甲方有重大损失的，责任由乙方承担，并依法追究其经济责任和法律责任。</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jc w:val="left"/>
        <w:textAlignment w:val="auto"/>
        <w:rPr>
          <w:rFonts w:ascii="宋体" w:hAnsi="宋体" w:cs="宋体"/>
          <w:b/>
          <w:sz w:val="24"/>
        </w:rPr>
      </w:pPr>
      <w:r>
        <w:rPr>
          <w:rFonts w:hint="eastAsia" w:ascii="宋体" w:hAnsi="宋体" w:cs="宋体"/>
          <w:b/>
          <w:sz w:val="24"/>
        </w:rPr>
        <w:t>第十六条：不可抗力事件处理</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1</w:t>
      </w:r>
      <w:r>
        <w:rPr>
          <w:rFonts w:hint="eastAsia" w:ascii="宋体" w:hAnsi="宋体"/>
          <w:sz w:val="24"/>
          <w:lang w:eastAsia="zh-CN"/>
        </w:rPr>
        <w:t>、</w:t>
      </w:r>
      <w:r>
        <w:rPr>
          <w:rFonts w:hint="eastAsia" w:ascii="宋体" w:hAnsi="宋体"/>
          <w:sz w:val="24"/>
        </w:rPr>
        <w:t>在合同有效期内，任何一方因不可抗力事件导致不能履行合同，则合同履行期可延长，其延长期与不可抗力影响期相同。</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2</w:t>
      </w:r>
      <w:r>
        <w:rPr>
          <w:rFonts w:hint="eastAsia" w:ascii="宋体" w:hAnsi="宋体"/>
          <w:sz w:val="24"/>
          <w:lang w:eastAsia="zh-CN"/>
        </w:rPr>
        <w:t>、</w:t>
      </w:r>
      <w:r>
        <w:rPr>
          <w:rFonts w:hint="eastAsia" w:ascii="宋体" w:hAnsi="宋体"/>
          <w:sz w:val="24"/>
        </w:rPr>
        <w:t>不可抗力事件发生后，应立即通知对方，并寄送有关权威机构出具的证明。</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3</w:t>
      </w:r>
      <w:r>
        <w:rPr>
          <w:rFonts w:hint="eastAsia" w:ascii="宋体" w:hAnsi="宋体"/>
          <w:sz w:val="24"/>
          <w:lang w:eastAsia="zh-CN"/>
        </w:rPr>
        <w:t>、</w:t>
      </w:r>
      <w:r>
        <w:rPr>
          <w:rFonts w:hint="eastAsia" w:ascii="宋体" w:hAnsi="宋体"/>
          <w:sz w:val="24"/>
        </w:rPr>
        <w:t>不可抗力事件延续120天以上，双方应通过友好协商，确定是否继续履行合同。</w:t>
      </w:r>
    </w:p>
    <w:p>
      <w:pPr>
        <w:keepNext w:val="0"/>
        <w:keepLines w:val="0"/>
        <w:pageBreakBefore w:val="0"/>
        <w:widowControl w:val="0"/>
        <w:kinsoku/>
        <w:wordWrap/>
        <w:overflowPunct/>
        <w:topLinePunct w:val="0"/>
        <w:autoSpaceDE w:val="0"/>
        <w:autoSpaceDN/>
        <w:bidi w:val="0"/>
        <w:adjustRightInd w:val="0"/>
        <w:spacing w:line="540" w:lineRule="exact"/>
        <w:ind w:firstLine="482" w:firstLineChars="200"/>
        <w:jc w:val="left"/>
        <w:textAlignment w:val="auto"/>
        <w:rPr>
          <w:rFonts w:ascii="宋体" w:hAnsi="宋体" w:cs="宋体"/>
          <w:b/>
          <w:sz w:val="24"/>
        </w:rPr>
      </w:pPr>
      <w:r>
        <w:rPr>
          <w:rFonts w:hint="eastAsia" w:ascii="宋体" w:hAnsi="宋体" w:cs="宋体"/>
          <w:b/>
          <w:sz w:val="24"/>
        </w:rPr>
        <w:t>第十七条：争议的解决</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1</w:t>
      </w:r>
      <w:r>
        <w:rPr>
          <w:rFonts w:hint="eastAsia" w:ascii="宋体" w:hAnsi="宋体"/>
          <w:sz w:val="24"/>
          <w:lang w:eastAsia="zh-CN"/>
        </w:rPr>
        <w:t>、</w:t>
      </w:r>
      <w:r>
        <w:rPr>
          <w:rFonts w:hint="eastAsia" w:ascii="宋体" w:hAnsi="宋体"/>
          <w:sz w:val="24"/>
        </w:rPr>
        <w:t>因质量问题发生争议的，由甲方委托有关技术部门进行质量鉴定，该鉴定的结论甲乙双方应当接受，各方均有权直接向对方索赔，并签订书面处理协议书，报相关部门备案。</w:t>
      </w:r>
    </w:p>
    <w:p>
      <w:pPr>
        <w:keepNext w:val="0"/>
        <w:keepLines w:val="0"/>
        <w:pageBreakBefore w:val="0"/>
        <w:widowControl w:val="0"/>
        <w:kinsoku/>
        <w:wordWrap/>
        <w:overflowPunct/>
        <w:topLinePunct w:val="0"/>
        <w:autoSpaceDE w:val="0"/>
        <w:autoSpaceDN/>
        <w:bidi w:val="0"/>
        <w:adjustRightInd w:val="0"/>
        <w:spacing w:line="540" w:lineRule="exact"/>
        <w:ind w:firstLine="480" w:firstLineChars="200"/>
        <w:textAlignment w:val="auto"/>
        <w:rPr>
          <w:rFonts w:ascii="宋体" w:hAnsi="宋体"/>
          <w:sz w:val="24"/>
        </w:rPr>
      </w:pPr>
      <w:r>
        <w:rPr>
          <w:rFonts w:hint="eastAsia" w:ascii="宋体" w:hAnsi="宋体"/>
          <w:sz w:val="24"/>
        </w:rPr>
        <w:t>2</w:t>
      </w:r>
      <w:r>
        <w:rPr>
          <w:rFonts w:hint="eastAsia" w:ascii="宋体" w:hAnsi="宋体"/>
          <w:sz w:val="24"/>
          <w:lang w:eastAsia="zh-CN"/>
        </w:rPr>
        <w:t>、</w:t>
      </w:r>
      <w:r>
        <w:rPr>
          <w:rFonts w:hint="eastAsia" w:ascii="宋体" w:hAnsi="宋体"/>
          <w:sz w:val="24"/>
        </w:rPr>
        <w:t>双方无法通过协商解决合同争议的，任何一方有权向</w:t>
      </w:r>
      <w:r>
        <w:rPr>
          <w:rFonts w:hint="eastAsia" w:ascii="宋体" w:hAnsi="宋体"/>
          <w:sz w:val="24"/>
          <w:lang w:eastAsia="zh-CN"/>
        </w:rPr>
        <w:t>桐庐县</w:t>
      </w:r>
      <w:r>
        <w:rPr>
          <w:rFonts w:hint="eastAsia" w:ascii="宋体" w:hAnsi="宋体"/>
          <w:sz w:val="24"/>
        </w:rPr>
        <w:t>人民法院提起诉讼。</w:t>
      </w:r>
    </w:p>
    <w:p>
      <w:pPr>
        <w:keepNext w:val="0"/>
        <w:keepLines w:val="0"/>
        <w:pageBreakBefore w:val="0"/>
        <w:widowControl w:val="0"/>
        <w:kinsoku/>
        <w:wordWrap/>
        <w:overflowPunct/>
        <w:topLinePunct w:val="0"/>
        <w:autoSpaceDN/>
        <w:bidi w:val="0"/>
        <w:adjustRightInd w:val="0"/>
        <w:snapToGrid w:val="0"/>
        <w:spacing w:line="540" w:lineRule="exact"/>
        <w:ind w:right="-514" w:rightChars="-245" w:firstLine="458" w:firstLineChars="200"/>
        <w:textAlignment w:val="auto"/>
        <w:rPr>
          <w:rFonts w:ascii="宋体" w:hAnsi="宋体" w:cs="宋体"/>
          <w:b/>
          <w:spacing w:val="-6"/>
          <w:sz w:val="24"/>
        </w:rPr>
      </w:pPr>
      <w:r>
        <w:rPr>
          <w:rFonts w:hint="eastAsia" w:ascii="宋体" w:hAnsi="宋体" w:cs="宋体"/>
          <w:b/>
          <w:spacing w:val="-6"/>
          <w:sz w:val="24"/>
        </w:rPr>
        <w:t>第十八条：合同生效</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1</w:t>
      </w:r>
      <w:r>
        <w:rPr>
          <w:rFonts w:hint="eastAsia" w:ascii="宋体" w:hAnsi="宋体" w:cs="宋体"/>
          <w:spacing w:val="-6"/>
          <w:sz w:val="24"/>
          <w:lang w:eastAsia="zh-CN"/>
        </w:rPr>
        <w:t>、</w:t>
      </w:r>
      <w:r>
        <w:rPr>
          <w:rFonts w:hint="eastAsia" w:ascii="宋体" w:hAnsi="宋体" w:cs="宋体"/>
          <w:spacing w:val="-6"/>
          <w:sz w:val="24"/>
        </w:rPr>
        <w:t>合同经甲方、乙方法定代表人或授权代表签字并加盖单位公章后生效。</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2</w:t>
      </w:r>
      <w:r>
        <w:rPr>
          <w:rFonts w:hint="eastAsia" w:ascii="宋体" w:hAnsi="宋体" w:cs="宋体"/>
          <w:spacing w:val="-6"/>
          <w:sz w:val="24"/>
          <w:lang w:eastAsia="zh-CN"/>
        </w:rPr>
        <w:t>、</w:t>
      </w:r>
      <w:r>
        <w:rPr>
          <w:rFonts w:hint="eastAsia" w:ascii="宋体" w:hAnsi="宋体" w:cs="宋体"/>
          <w:spacing w:val="-6"/>
          <w:sz w:val="24"/>
        </w:rPr>
        <w:t>本合同未尽事宜，遵照《中华人民共和国民法典》有关条文执行。</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3</w:t>
      </w:r>
      <w:r>
        <w:rPr>
          <w:rFonts w:hint="eastAsia" w:ascii="宋体" w:hAnsi="宋体" w:cs="宋体"/>
          <w:spacing w:val="-6"/>
          <w:sz w:val="24"/>
          <w:lang w:eastAsia="zh-CN"/>
        </w:rPr>
        <w:t>、</w:t>
      </w:r>
      <w:r>
        <w:rPr>
          <w:rFonts w:hint="eastAsia" w:ascii="宋体" w:hAnsi="宋体" w:cs="宋体"/>
          <w:spacing w:val="-6"/>
          <w:sz w:val="24"/>
        </w:rPr>
        <w:t>本合同一式六份，甲方、乙方各执二份，监管和代理机构各执一份。</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4</w:t>
      </w:r>
      <w:r>
        <w:rPr>
          <w:rFonts w:hint="eastAsia" w:ascii="宋体" w:hAnsi="宋体" w:cs="宋体"/>
          <w:spacing w:val="-6"/>
          <w:sz w:val="24"/>
          <w:lang w:eastAsia="zh-CN"/>
        </w:rPr>
        <w:t>、</w:t>
      </w:r>
      <w:r>
        <w:rPr>
          <w:rFonts w:hint="eastAsia" w:ascii="宋体" w:hAnsi="宋体" w:cs="宋体"/>
          <w:spacing w:val="-6"/>
          <w:sz w:val="24"/>
        </w:rPr>
        <w:t>相关招投标文件、询标承诺等与本合同具有同等法律效力。</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hint="eastAsia" w:ascii="宋体" w:hAnsi="宋体" w:cs="宋体"/>
          <w:spacing w:val="-6"/>
          <w:sz w:val="24"/>
        </w:rPr>
      </w:pP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甲方（公章）：                       乙方（公章）：</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法定代表人或受委托人（签字或盖章）   法定代表人或受委托人（签字或盖章）</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地址：                               地址：</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textAlignment w:val="auto"/>
        <w:rPr>
          <w:rFonts w:ascii="宋体" w:hAnsi="宋体" w:cs="宋体"/>
          <w:spacing w:val="-6"/>
          <w:sz w:val="24"/>
        </w:rPr>
      </w:pPr>
      <w:r>
        <w:rPr>
          <w:rFonts w:hint="eastAsia" w:ascii="宋体" w:hAnsi="宋体" w:cs="宋体"/>
          <w:spacing w:val="-6"/>
          <w:sz w:val="24"/>
        </w:rPr>
        <w:t>电话：                               电话：</w:t>
      </w:r>
    </w:p>
    <w:p>
      <w:pPr>
        <w:keepNext w:val="0"/>
        <w:keepLines w:val="0"/>
        <w:pageBreakBefore w:val="0"/>
        <w:widowControl w:val="0"/>
        <w:kinsoku/>
        <w:wordWrap/>
        <w:overflowPunct/>
        <w:topLinePunct w:val="0"/>
        <w:autoSpaceDN/>
        <w:bidi w:val="0"/>
        <w:adjustRightInd w:val="0"/>
        <w:snapToGrid w:val="0"/>
        <w:spacing w:line="540" w:lineRule="exact"/>
        <w:ind w:right="23" w:rightChars="11" w:firstLine="456" w:firstLineChars="200"/>
        <w:jc w:val="right"/>
        <w:textAlignment w:val="auto"/>
        <w:rPr>
          <w:rFonts w:ascii="宋体" w:hAnsi="宋体" w:cs="宋体"/>
          <w:spacing w:val="-6"/>
          <w:sz w:val="24"/>
        </w:rPr>
      </w:pPr>
      <w:r>
        <w:rPr>
          <w:rFonts w:hint="eastAsia" w:ascii="宋体" w:hAnsi="宋体" w:cs="宋体"/>
          <w:spacing w:val="-6"/>
          <w:sz w:val="24"/>
        </w:rPr>
        <w:t>签约时间：    年  月  日</w:t>
      </w:r>
    </w:p>
    <w:p>
      <w:pPr>
        <w:widowControl/>
        <w:overflowPunct w:val="0"/>
        <w:autoSpaceDE w:val="0"/>
        <w:autoSpaceDN w:val="0"/>
        <w:snapToGrid w:val="0"/>
        <w:spacing w:before="156" w:line="440" w:lineRule="exact"/>
        <w:ind w:left="-2" w:leftChars="-1"/>
        <w:jc w:val="left"/>
        <w:textAlignment w:val="baseline"/>
        <w:rPr>
          <w:rFonts w:ascii="宋体" w:hAnsi="宋体" w:cs="宋体"/>
          <w:b/>
          <w:sz w:val="36"/>
          <w:szCs w:val="20"/>
        </w:rPr>
      </w:pPr>
    </w:p>
    <w:p/>
    <w:p>
      <w:pPr>
        <w:pStyle w:val="13"/>
      </w:pPr>
    </w:p>
    <w:p>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0"/>
      <w:bookmarkEnd w:id="391"/>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（1）提供有效的营业执照副本并加盖公章（或事业单位法人登记证或其他工商等登记证明材料）……………………………………………………………………………</w:t>
      </w:r>
      <w:r>
        <w:rPr>
          <w:rFonts w:hint="eastAsia" w:ascii="宋体" w:hAnsi="宋体" w:cs="宋体"/>
          <w:sz w:val="24"/>
          <w:lang w:val="en-US" w:eastAsia="zh-CN"/>
        </w:rPr>
        <w:t xml:space="preserve"> </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（2）符合参加政府采购活动应当具备的一般条件的承诺函………………………（页码）（</w:t>
      </w:r>
      <w:r>
        <w:rPr>
          <w:rFonts w:hint="eastAsia" w:ascii="宋体" w:hAnsi="宋体" w:cs="宋体"/>
          <w:sz w:val="24"/>
          <w:lang w:val="en-US" w:eastAsia="zh-CN"/>
        </w:rPr>
        <w:t>3</w:t>
      </w:r>
      <w:r>
        <w:rPr>
          <w:rFonts w:hint="eastAsia" w:ascii="宋体" w:hAnsi="宋体" w:cs="宋体"/>
          <w:sz w:val="24"/>
        </w:rPr>
        <w:t>）</w:t>
      </w:r>
      <w:r>
        <w:rPr>
          <w:rFonts w:hint="eastAsia" w:ascii="宋体" w:hAnsi="宋体" w:cs="宋体"/>
          <w:sz w:val="24"/>
          <w:lang w:eastAsia="zh-CN"/>
        </w:rPr>
        <w:t>联合协议（如有）</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w:t>
      </w:r>
      <w:r>
        <w:rPr>
          <w:rFonts w:hint="eastAsia" w:ascii="宋体" w:hAnsi="宋体" w:cs="宋体"/>
          <w:sz w:val="24"/>
          <w:lang w:val="en-US" w:eastAsia="zh-CN"/>
        </w:rPr>
        <w:t xml:space="preserve">  </w:t>
      </w:r>
      <w:r>
        <w:rPr>
          <w:rFonts w:hint="eastAsia" w:ascii="宋体" w:hAnsi="宋体" w:cs="宋体"/>
          <w:sz w:val="24"/>
        </w:rPr>
        <w:t>…………</w:t>
      </w:r>
      <w:r>
        <w:rPr>
          <w:rFonts w:hint="eastAsia" w:ascii="宋体" w:hAnsi="宋体" w:cs="宋体"/>
          <w:sz w:val="24"/>
          <w:lang w:val="en-US" w:eastAsia="zh-CN"/>
        </w:rPr>
        <w:t xml:space="preserve"> </w:t>
      </w:r>
      <w:r>
        <w:rPr>
          <w:rFonts w:hint="eastAsia" w:ascii="宋体" w:hAnsi="宋体" w:cs="宋体"/>
          <w:sz w:val="24"/>
        </w:rPr>
        <w:t>……………………………………………（页码）</w:t>
      </w:r>
    </w:p>
    <w:p>
      <w:pPr>
        <w:spacing w:line="360" w:lineRule="auto"/>
        <w:ind w:firstLine="480" w:firstLineChars="200"/>
        <w:rPr>
          <w:rFonts w:ascii="宋体" w:hAnsi="宋体" w:cs="宋体"/>
          <w:sz w:val="24"/>
        </w:rPr>
      </w:pPr>
    </w:p>
    <w:p>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jc w:val="center"/>
        <w:rPr>
          <w:rFonts w:hint="eastAsia" w:ascii="宋体" w:hAnsi="宋体" w:cs="宋体"/>
          <w:kern w:val="0"/>
          <w:sz w:val="24"/>
          <w:lang w:val="en-US" w:eastAsia="zh-CN"/>
        </w:rPr>
      </w:pPr>
      <w:r>
        <w:rPr>
          <w:rFonts w:hint="eastAsia" w:ascii="宋体" w:hAnsi="宋体" w:cs="宋体"/>
          <w:kern w:val="0"/>
          <w:sz w:val="24"/>
          <w:lang w:val="en-US" w:eastAsia="zh-CN"/>
        </w:rPr>
        <w:t xml:space="preserve">                                      </w:t>
      </w:r>
    </w:p>
    <w:p>
      <w:pPr>
        <w:snapToGrid w:val="0"/>
        <w:spacing w:line="360" w:lineRule="auto"/>
        <w:jc w:val="center"/>
        <w:rPr>
          <w:rFonts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lang w:val="en-US" w:eastAsia="zh-CN"/>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二、联合协议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lang w:eastAsia="zh-CN"/>
        </w:rPr>
        <w:t>三</w:t>
      </w:r>
      <w:r>
        <w:rPr>
          <w:rFonts w:hint="eastAsia" w:ascii="宋体" w:hAnsi="宋体" w:cs="宋体"/>
          <w:b/>
          <w:kern w:val="0"/>
          <w:sz w:val="32"/>
          <w:szCs w:val="32"/>
        </w:rPr>
        <w:t>、落实政府采购政策需满足的资格要求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 xml:space="preserve">.专门面向中小企业，货物全部由符合政策要求的中小企业（或小微企业）制造或者服务全部由符合政策要求的中小企业（或小微企业）承接的，提供相应的中小企业声明函（附件5）。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宋体" w:hAnsi="宋体" w:cs="宋体"/>
          <w:b/>
          <w:sz w:val="24"/>
        </w:rPr>
      </w:pPr>
    </w:p>
    <w:p>
      <w:pPr>
        <w:snapToGrid w:val="0"/>
        <w:spacing w:before="50" w:after="50" w:line="360" w:lineRule="auto"/>
        <w:jc w:val="center"/>
        <w:rPr>
          <w:rFonts w:ascii="宋体" w:hAnsi="宋体" w:cs="宋体"/>
          <w:b/>
          <w:sz w:val="24"/>
        </w:rPr>
      </w:pPr>
    </w:p>
    <w:p>
      <w:pPr>
        <w:widowControl/>
        <w:spacing w:line="360" w:lineRule="auto"/>
        <w:jc w:val="both"/>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lang w:eastAsia="zh-CN"/>
        </w:rPr>
        <w:t>四</w:t>
      </w:r>
      <w:r>
        <w:rPr>
          <w:rFonts w:hint="eastAsia" w:ascii="宋体" w:hAnsi="宋体" w:cs="宋体"/>
          <w:b/>
          <w:kern w:val="0"/>
          <w:sz w:val="32"/>
          <w:szCs w:val="32"/>
        </w:rPr>
        <w:t>、本项目的特定资格要求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hint="eastAsia" w:ascii="宋体" w:hAnsi="宋体" w:cs="宋体"/>
          <w:b/>
          <w:kern w:val="0"/>
          <w:sz w:val="32"/>
          <w:szCs w:val="32"/>
          <w:lang w:eastAsia="zh-CN"/>
        </w:rPr>
        <w:sectPr>
          <w:headerReference r:id="rId12" w:type="first"/>
          <w:footerReference r:id="rId14" w:type="first"/>
          <w:headerReference r:id="rId11" w:type="default"/>
          <w:footerReference r:id="rId13"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spacing w:line="360" w:lineRule="auto"/>
        <w:ind w:right="420"/>
        <w:jc w:val="center"/>
        <w:rPr>
          <w:rFonts w:hint="eastAsia" w:ascii="宋体" w:hAnsi="宋体" w:cs="宋体"/>
          <w:b/>
          <w:kern w:val="0"/>
          <w:sz w:val="36"/>
          <w:szCs w:val="36"/>
        </w:rPr>
      </w:pPr>
    </w:p>
    <w:p>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（3）符合性审查资料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（4）评标标准相应的商务技术资料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（5）</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pStyle w:val="15"/>
        <w:rPr>
          <w:rFonts w:ascii="宋体" w:hAnsi="宋体" w:cs="宋体"/>
          <w:b/>
          <w:kern w:val="0"/>
          <w:sz w:val="32"/>
          <w:szCs w:val="32"/>
        </w:rPr>
      </w:pPr>
    </w:p>
    <w:p>
      <w:pPr>
        <w:pStyle w:val="7"/>
        <w:rPr>
          <w:rFonts w:ascii="宋体" w:hAnsi="宋体" w:cs="宋体"/>
          <w:b/>
          <w:kern w:val="0"/>
          <w:sz w:val="32"/>
          <w:szCs w:val="32"/>
        </w:rPr>
      </w:pPr>
    </w:p>
    <w:p>
      <w:pPr>
        <w:pStyle w:val="13"/>
      </w:pPr>
    </w:p>
    <w:p>
      <w:pPr>
        <w:snapToGrid w:val="0"/>
        <w:spacing w:line="360" w:lineRule="auto"/>
        <w:jc w:val="both"/>
        <w:outlineLvl w:val="0"/>
        <w:rPr>
          <w:rFonts w:ascii="宋体" w:hAnsi="宋体" w:cs="宋体"/>
          <w:b/>
          <w:kern w:val="0"/>
          <w:sz w:val="32"/>
          <w:szCs w:val="32"/>
        </w:rPr>
      </w:pPr>
    </w:p>
    <w:p>
      <w:pPr>
        <w:snapToGrid w:val="0"/>
        <w:spacing w:line="360" w:lineRule="auto"/>
        <w:jc w:val="center"/>
        <w:outlineLvl w:val="0"/>
        <w:rPr>
          <w:rFonts w:hint="eastAsia" w:ascii="宋体" w:hAnsi="宋体" w:cs="宋体"/>
          <w:b/>
          <w:kern w:val="0"/>
          <w:sz w:val="32"/>
          <w:szCs w:val="32"/>
        </w:rPr>
      </w:pP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lang w:val="en-US" w:eastAsia="zh-CN"/>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ind w:left="210" w:leftChars="100" w:firstLine="480" w:firstLineChars="200"/>
        <w:rPr>
          <w:rFonts w:ascii="宋体" w:hAnsi="宋体" w:cs="宋体"/>
          <w:sz w:val="24"/>
        </w:rPr>
      </w:pPr>
      <w:r>
        <w:rPr>
          <w:rFonts w:hint="eastAsia" w:ascii="宋体" w:hAnsi="宋体" w:cs="宋体"/>
          <w:sz w:val="24"/>
        </w:rPr>
        <w:t>2.1资格文件：</w:t>
      </w:r>
    </w:p>
    <w:p>
      <w:pPr>
        <w:snapToGrid w:val="0"/>
        <w:ind w:left="420" w:leftChars="200" w:firstLine="480" w:firstLineChars="200"/>
        <w:rPr>
          <w:rFonts w:ascii="宋体" w:hAnsi="宋体" w:cs="宋体"/>
          <w:sz w:val="24"/>
        </w:rPr>
      </w:pPr>
      <w:r>
        <w:rPr>
          <w:rFonts w:hint="eastAsia" w:ascii="宋体" w:hAnsi="宋体" w:cs="宋体"/>
          <w:sz w:val="24"/>
        </w:rPr>
        <w:t>2.1.1提供有效的营业执照副本并加盖公章（或事业单位法人登记证或其他工商等登记证明材料）；</w:t>
      </w:r>
    </w:p>
    <w:p>
      <w:pPr>
        <w:snapToGrid w:val="0"/>
        <w:ind w:left="420" w:leftChars="200" w:firstLine="480" w:firstLineChars="200"/>
        <w:rPr>
          <w:rFonts w:hint="eastAsia" w:ascii="宋体" w:hAnsi="宋体" w:cs="宋体"/>
          <w:sz w:val="24"/>
        </w:rPr>
      </w:pPr>
      <w:r>
        <w:rPr>
          <w:rFonts w:hint="eastAsia" w:ascii="宋体" w:hAnsi="宋体" w:cs="宋体"/>
          <w:sz w:val="24"/>
        </w:rPr>
        <w:t>2.1.2符合参加政府采购活动应当具备的一般条件的承诺函；</w:t>
      </w:r>
    </w:p>
    <w:p>
      <w:pPr>
        <w:snapToGrid w:val="0"/>
        <w:ind w:left="420" w:leftChars="200" w:firstLine="480" w:firstLineChars="200"/>
        <w:rPr>
          <w:rFonts w:ascii="宋体" w:hAnsi="宋体" w:cs="宋体"/>
          <w:sz w:val="24"/>
        </w:rPr>
      </w:pPr>
      <w:r>
        <w:rPr>
          <w:rFonts w:hint="eastAsia" w:ascii="宋体" w:hAnsi="宋体" w:cs="宋体"/>
          <w:sz w:val="24"/>
        </w:rPr>
        <w:t>2.1.</w:t>
      </w:r>
      <w:r>
        <w:rPr>
          <w:rFonts w:hint="eastAsia" w:ascii="宋体" w:hAnsi="宋体" w:cs="宋体"/>
          <w:sz w:val="24"/>
          <w:lang w:val="en-US" w:eastAsia="zh-CN"/>
        </w:rPr>
        <w:t>3</w:t>
      </w:r>
      <w:r>
        <w:rPr>
          <w:rFonts w:hint="eastAsia" w:ascii="宋体" w:hAnsi="宋体" w:cs="宋体"/>
          <w:sz w:val="24"/>
          <w:lang w:eastAsia="zh-CN"/>
        </w:rPr>
        <w:t>联合协议（如有）</w:t>
      </w:r>
      <w:r>
        <w:rPr>
          <w:rFonts w:hint="eastAsia" w:ascii="宋体" w:hAnsi="宋体" w:cs="宋体"/>
          <w:sz w:val="24"/>
        </w:rPr>
        <w:t>；</w:t>
      </w:r>
    </w:p>
    <w:p>
      <w:pPr>
        <w:snapToGrid w:val="0"/>
        <w:ind w:left="420" w:leftChars="200" w:firstLine="480" w:firstLineChars="200"/>
        <w:rPr>
          <w:rFonts w:ascii="宋体" w:hAnsi="宋体" w:cs="宋体"/>
          <w:sz w:val="24"/>
        </w:rPr>
      </w:pPr>
      <w:r>
        <w:rPr>
          <w:rFonts w:hint="eastAsia" w:ascii="宋体" w:hAnsi="宋体" w:cs="宋体"/>
          <w:sz w:val="24"/>
        </w:rPr>
        <w:t>2.1.</w:t>
      </w:r>
      <w:r>
        <w:rPr>
          <w:rFonts w:hint="eastAsia" w:ascii="宋体" w:hAnsi="宋体" w:cs="宋体"/>
          <w:sz w:val="24"/>
          <w:lang w:val="en-US" w:eastAsia="zh-CN"/>
        </w:rPr>
        <w:t>4</w:t>
      </w:r>
      <w:r>
        <w:rPr>
          <w:rFonts w:hint="eastAsia" w:ascii="宋体" w:hAnsi="宋体" w:cs="宋体"/>
          <w:sz w:val="24"/>
        </w:rPr>
        <w:t>落实政府采购政策需满足的资格要求；</w:t>
      </w:r>
    </w:p>
    <w:p>
      <w:pPr>
        <w:snapToGrid w:val="0"/>
        <w:ind w:left="420" w:leftChars="200" w:firstLine="480" w:firstLineChars="200"/>
        <w:rPr>
          <w:rFonts w:hint="eastAsia" w:ascii="宋体" w:hAnsi="宋体" w:eastAsia="宋体" w:cs="宋体"/>
          <w:sz w:val="24"/>
          <w:lang w:eastAsia="zh-CN"/>
        </w:rPr>
      </w:pPr>
      <w:r>
        <w:rPr>
          <w:rFonts w:hint="eastAsia" w:ascii="宋体" w:hAnsi="宋体" w:cs="宋体"/>
          <w:sz w:val="24"/>
        </w:rPr>
        <w:t>2.1.</w:t>
      </w:r>
      <w:r>
        <w:rPr>
          <w:rFonts w:hint="eastAsia" w:ascii="宋体" w:hAnsi="宋体" w:cs="宋体"/>
          <w:sz w:val="24"/>
          <w:lang w:val="en-US" w:eastAsia="zh-CN"/>
        </w:rPr>
        <w:t>5</w:t>
      </w:r>
      <w:r>
        <w:rPr>
          <w:rFonts w:hint="eastAsia" w:ascii="宋体" w:hAnsi="宋体" w:cs="宋体"/>
          <w:sz w:val="24"/>
        </w:rPr>
        <w:t>本项目的特定资格要求</w:t>
      </w:r>
      <w:r>
        <w:rPr>
          <w:rFonts w:hint="eastAsia" w:ascii="宋体" w:hAnsi="宋体" w:cs="宋体"/>
          <w:sz w:val="24"/>
          <w:lang w:eastAsia="zh-CN"/>
        </w:rPr>
        <w:t>；</w:t>
      </w:r>
    </w:p>
    <w:p>
      <w:pPr>
        <w:snapToGrid w:val="0"/>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pPr>
        <w:snapToGrid w:val="0"/>
        <w:ind w:left="420" w:leftChars="200" w:firstLine="480" w:firstLineChars="200"/>
        <w:rPr>
          <w:rFonts w:ascii="宋体" w:hAnsi="宋体" w:cs="宋体"/>
          <w:sz w:val="24"/>
        </w:rPr>
      </w:pPr>
      <w:r>
        <w:rPr>
          <w:rFonts w:hint="eastAsia" w:ascii="宋体" w:hAnsi="宋体" w:cs="宋体"/>
          <w:sz w:val="24"/>
        </w:rPr>
        <w:t>2.2.1投标函；</w:t>
      </w:r>
    </w:p>
    <w:p>
      <w:pPr>
        <w:snapToGrid w:val="0"/>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ind w:left="420" w:leftChars="200" w:firstLine="480" w:firstLineChars="200"/>
        <w:rPr>
          <w:rFonts w:ascii="宋体" w:hAnsi="宋体" w:cs="宋体"/>
          <w:sz w:val="24"/>
        </w:rPr>
      </w:pPr>
      <w:r>
        <w:rPr>
          <w:rFonts w:hint="eastAsia" w:ascii="宋体" w:hAnsi="宋体" w:cs="宋体"/>
          <w:sz w:val="24"/>
        </w:rPr>
        <w:t>2.2.3符合性审查资料；</w:t>
      </w:r>
    </w:p>
    <w:p>
      <w:pPr>
        <w:snapToGrid w:val="0"/>
        <w:ind w:left="420" w:leftChars="200" w:firstLine="480" w:firstLineChars="200"/>
        <w:rPr>
          <w:rFonts w:ascii="宋体" w:hAnsi="宋体" w:cs="宋体"/>
          <w:sz w:val="24"/>
        </w:rPr>
      </w:pPr>
      <w:r>
        <w:rPr>
          <w:rFonts w:hint="eastAsia" w:ascii="宋体" w:hAnsi="宋体" w:cs="宋体"/>
          <w:sz w:val="24"/>
        </w:rPr>
        <w:t>2.2.4评标标准相应的商务技术资料；</w:t>
      </w:r>
    </w:p>
    <w:p>
      <w:pPr>
        <w:snapToGrid w:val="0"/>
        <w:ind w:left="420" w:leftChars="200" w:firstLine="480" w:firstLineChars="200"/>
        <w:rPr>
          <w:rFonts w:ascii="宋体" w:hAnsi="宋体" w:cs="宋体"/>
          <w:sz w:val="24"/>
          <w:lang w:val="zh-CN"/>
        </w:rPr>
      </w:pPr>
      <w:r>
        <w:rPr>
          <w:rFonts w:hint="eastAsia" w:ascii="宋体" w:hAnsi="宋体" w:cs="宋体"/>
          <w:sz w:val="24"/>
        </w:rPr>
        <w:t>2.2.5</w:t>
      </w:r>
      <w:r>
        <w:rPr>
          <w:rFonts w:hint="eastAsia" w:ascii="宋体" w:hAnsi="宋体" w:cs="宋体"/>
          <w:sz w:val="24"/>
          <w:lang w:val="zh-CN"/>
        </w:rPr>
        <w:t>政府采购供应商廉洁自律承诺书；</w:t>
      </w:r>
    </w:p>
    <w:p>
      <w:pPr>
        <w:snapToGrid w:val="0"/>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ind w:left="420" w:leftChars="200" w:firstLine="480" w:firstLineChars="200"/>
        <w:rPr>
          <w:rFonts w:ascii="宋体" w:hAnsi="宋体" w:cs="宋体"/>
          <w:sz w:val="24"/>
        </w:rPr>
      </w:pPr>
      <w:r>
        <w:rPr>
          <w:rFonts w:hint="eastAsia" w:ascii="宋体" w:hAnsi="宋体" w:cs="宋体"/>
          <w:sz w:val="24"/>
        </w:rPr>
        <w:t>2.3.1开标一览表（报价表）；</w:t>
      </w:r>
    </w:p>
    <w:p>
      <w:pPr>
        <w:snapToGrid w:val="0"/>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jc w:val="both"/>
        <w:rPr>
          <w:rFonts w:hint="eastAsia" w:ascii="宋体" w:hAnsi="宋体" w:cs="宋体"/>
          <w:b/>
          <w:kern w:val="0"/>
          <w:sz w:val="32"/>
          <w:szCs w:val="32"/>
          <w:lang w:val="zh-CN"/>
        </w:rPr>
      </w:pPr>
    </w:p>
    <w:p>
      <w:pPr>
        <w:jc w:val="center"/>
        <w:rPr>
          <w:rFonts w:hint="eastAsia" w:ascii="宋体" w:hAnsi="宋体" w:cs="宋体"/>
          <w:b/>
          <w:kern w:val="0"/>
          <w:sz w:val="32"/>
          <w:szCs w:val="32"/>
          <w:lang w:val="zh-CN"/>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p>
    <w:p>
      <w:pPr>
        <w:snapToGrid w:val="0"/>
        <w:spacing w:line="360" w:lineRule="auto"/>
        <w:jc w:val="center"/>
        <w:rPr>
          <w:rFonts w:ascii="宋体" w:hAnsi="宋体" w:cs="宋体"/>
        </w:rPr>
      </w:pPr>
      <w:r>
        <w:rPr>
          <w:rFonts w:hint="eastAsia" w:ascii="宋体" w:hAnsi="宋体" w:cs="宋体"/>
          <w:b/>
          <w:kern w:val="0"/>
          <w:sz w:val="32"/>
          <w:szCs w:val="32"/>
          <w:lang w:val="zh-CN"/>
        </w:rPr>
        <w:t>授权委托书</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autoSpaceDE w:val="0"/>
        <w:autoSpaceDN w:val="0"/>
        <w:spacing w:line="360" w:lineRule="auto"/>
        <w:ind w:firstLine="643" w:firstLineChars="200"/>
        <w:jc w:val="both"/>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27"/>
        <w:spacing w:line="360" w:lineRule="auto"/>
        <w:rPr>
          <w:rFonts w:hAnsi="宋体" w:cs="宋体"/>
          <w:bCs/>
          <w:sz w:val="24"/>
        </w:rPr>
      </w:pPr>
      <w:r>
        <w:rPr>
          <w:rFonts w:hint="eastAsia" w:hAnsi="宋体" w:cs="宋体"/>
          <w:bCs/>
          <w:sz w:val="24"/>
        </w:rPr>
        <w:t>身份证件扫描件：</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27"/>
              <w:adjustRightInd w:val="0"/>
              <w:spacing w:line="360" w:lineRule="auto"/>
              <w:rPr>
                <w:rFonts w:hAnsi="宋体" w:cs="宋体"/>
                <w:bCs/>
                <w:sz w:val="24"/>
              </w:rPr>
            </w:pPr>
            <w:r>
              <w:rPr>
                <w:rFonts w:hint="eastAsia" w:hAnsi="宋体" w:cs="宋体"/>
                <w:bCs/>
                <w:sz w:val="24"/>
              </w:rPr>
              <w:t>正面：                                 反面：</w:t>
            </w:r>
          </w:p>
          <w:p>
            <w:pPr>
              <w:pStyle w:val="27"/>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both"/>
        <w:rPr>
          <w:rFonts w:hint="eastAsia" w:ascii="宋体" w:hAnsi="宋体" w:cs="宋体"/>
          <w:b/>
          <w:kern w:val="0"/>
          <w:sz w:val="32"/>
          <w:szCs w:val="32"/>
        </w:rPr>
      </w:pPr>
    </w:p>
    <w:p>
      <w:pPr>
        <w:jc w:val="center"/>
        <w:rPr>
          <w:rFonts w:hint="eastAsia" w:ascii="宋体" w:hAnsi="宋体" w:cs="宋体"/>
          <w:b/>
          <w:kern w:val="0"/>
          <w:sz w:val="32"/>
          <w:szCs w:val="32"/>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jc w:val="center"/>
        <w:rPr>
          <w:rFonts w:ascii="宋体" w:hAnsi="宋体" w:cs="宋体"/>
          <w:b/>
          <w:kern w:val="0"/>
          <w:sz w:val="32"/>
          <w:szCs w:val="32"/>
        </w:rPr>
      </w:pPr>
      <w:r>
        <w:rPr>
          <w:rFonts w:hint="eastAsia" w:ascii="宋体" w:hAnsi="宋体" w:cs="宋体"/>
          <w:b/>
          <w:kern w:val="0"/>
          <w:sz w:val="32"/>
          <w:szCs w:val="32"/>
        </w:rPr>
        <w:t>三、符合性审查资料</w:t>
      </w:r>
    </w:p>
    <w:p>
      <w:pPr>
        <w:jc w:val="center"/>
        <w:rPr>
          <w:rFonts w:ascii="宋体" w:hAnsi="宋体" w:cs="宋体"/>
          <w:b/>
          <w:kern w:val="0"/>
          <w:sz w:val="32"/>
          <w:szCs w:val="32"/>
        </w:rPr>
      </w:pPr>
    </w:p>
    <w:tbl>
      <w:tblPr>
        <w:tblStyle w:val="17"/>
        <w:tblW w:w="9668"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08"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08" w:type="dxa"/>
            <w:vAlign w:val="center"/>
          </w:tcPr>
          <w:p>
            <w:pPr>
              <w:jc w:val="center"/>
              <w:rPr>
                <w:rFonts w:ascii="宋体" w:hAnsi="宋体" w:cs="宋体"/>
                <w:sz w:val="24"/>
              </w:rPr>
            </w:pPr>
            <w:r>
              <w:rPr>
                <w:rFonts w:hint="eastAsia" w:ascii="宋体" w:hAnsi="宋体" w:cs="宋体"/>
                <w:sz w:val="24"/>
              </w:rPr>
              <w:t>1</w:t>
            </w:r>
          </w:p>
        </w:tc>
        <w:tc>
          <w:tcPr>
            <w:tcW w:w="4991" w:type="dxa"/>
            <w:vAlign w:val="center"/>
          </w:tcPr>
          <w:p>
            <w:pPr>
              <w:spacing w:line="360" w:lineRule="auto"/>
              <w:jc w:val="both"/>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08" w:type="dxa"/>
            <w:vAlign w:val="center"/>
          </w:tcPr>
          <w:p>
            <w:pPr>
              <w:spacing w:line="360" w:lineRule="auto"/>
              <w:jc w:val="center"/>
              <w:rPr>
                <w:rFonts w:ascii="宋体" w:hAnsi="宋体" w:cs="宋体"/>
                <w:sz w:val="24"/>
              </w:rPr>
            </w:pPr>
            <w:r>
              <w:rPr>
                <w:rFonts w:hint="eastAsia" w:ascii="宋体" w:hAnsi="宋体" w:cs="宋体"/>
                <w:sz w:val="24"/>
              </w:rPr>
              <w:t>2</w:t>
            </w:r>
          </w:p>
        </w:tc>
        <w:tc>
          <w:tcPr>
            <w:tcW w:w="4991" w:type="dxa"/>
            <w:vAlign w:val="center"/>
          </w:tcPr>
          <w:p>
            <w:pPr>
              <w:spacing w:line="360" w:lineRule="auto"/>
              <w:jc w:val="both"/>
              <w:rPr>
                <w:rFonts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c>
          <w:tcPr>
            <w:tcW w:w="1418" w:type="dxa"/>
            <w:vAlign w:val="top"/>
          </w:tcPr>
          <w:p>
            <w:pPr>
              <w:rPr>
                <w:rFonts w:ascii="宋体" w:hAnsi="宋体" w:cs="宋体"/>
                <w:sz w:val="24"/>
              </w:rPr>
            </w:pPr>
          </w:p>
          <w:p>
            <w:pPr>
              <w:rPr>
                <w:rFonts w:ascii="宋体" w:hAnsi="宋体" w:cs="宋体"/>
                <w:sz w:val="24"/>
              </w:rPr>
            </w:pPr>
          </w:p>
          <w:p>
            <w:pPr>
              <w:rPr>
                <w:rFonts w:ascii="宋体" w:hAnsi="宋体" w:cs="宋体"/>
                <w:sz w:val="24"/>
              </w:rPr>
            </w:pPr>
            <w:r>
              <w:rPr>
                <w:rFonts w:hint="eastAsia" w:ascii="宋体" w:hAnsi="宋体" w:cs="宋体"/>
                <w:sz w:val="24"/>
              </w:rPr>
              <w:t>见投标文件</w:t>
            </w:r>
          </w:p>
          <w:p>
            <w:pPr>
              <w:pStyle w:val="4"/>
              <w:ind w:left="432" w:leftChars="0" w:hanging="432" w:firstLineChars="0"/>
              <w:rPr>
                <w:rFonts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u w:val="single"/>
                <w:lang w:val="en-US" w:eastAsia="zh-CN"/>
              </w:rPr>
              <w:t>/</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08" w:type="dxa"/>
            <w:vAlign w:val="center"/>
          </w:tcPr>
          <w:p>
            <w:pPr>
              <w:jc w:val="center"/>
              <w:rPr>
                <w:rFonts w:ascii="宋体" w:hAnsi="宋体" w:cs="宋体"/>
                <w:sz w:val="24"/>
              </w:rPr>
            </w:pPr>
            <w:r>
              <w:rPr>
                <w:rFonts w:hint="eastAsia" w:ascii="宋体" w:hAnsi="宋体" w:cs="宋体"/>
                <w:sz w:val="24"/>
              </w:rPr>
              <w:t>3</w:t>
            </w:r>
          </w:p>
        </w:tc>
        <w:tc>
          <w:tcPr>
            <w:tcW w:w="4991" w:type="dxa"/>
            <w:vAlign w:val="center"/>
          </w:tcPr>
          <w:p>
            <w:pPr>
              <w:spacing w:line="360" w:lineRule="auto"/>
              <w:jc w:val="both"/>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vAlign w:val="top"/>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08" w:type="dxa"/>
            <w:vAlign w:val="center"/>
          </w:tcPr>
          <w:p>
            <w:pPr>
              <w:jc w:val="center"/>
              <w:rPr>
                <w:rFonts w:ascii="宋体" w:hAnsi="宋体" w:cs="宋体"/>
                <w:sz w:val="24"/>
              </w:rPr>
            </w:pPr>
            <w:r>
              <w:rPr>
                <w:rFonts w:hint="eastAsia" w:ascii="宋体" w:hAnsi="宋体" w:cs="宋体"/>
                <w:sz w:val="24"/>
              </w:rPr>
              <w:t>4</w:t>
            </w:r>
          </w:p>
        </w:tc>
        <w:tc>
          <w:tcPr>
            <w:tcW w:w="4991" w:type="dxa"/>
            <w:vAlign w:val="center"/>
          </w:tcPr>
          <w:p>
            <w:pPr>
              <w:spacing w:line="360" w:lineRule="auto"/>
              <w:jc w:val="both"/>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四、评标标准相应的商务技术资料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ind w:firstLine="1911" w:firstLineChars="595"/>
        <w:rPr>
          <w:rFonts w:hint="eastAsia"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lang w:eastAsia="zh-CN"/>
        </w:rPr>
        <w:t>五</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进行项目建设或其他经营活动，并通报监管部门。由此引起的相应损失均由我单位承担。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pPr>
    </w:p>
    <w:p>
      <w:pPr>
        <w:spacing w:line="360" w:lineRule="auto"/>
        <w:jc w:val="center"/>
        <w:rPr>
          <w:rFonts w:ascii="宋体" w:hAnsi="宋体" w:cs="宋体"/>
          <w:b/>
          <w:bCs/>
          <w:sz w:val="24"/>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29"/>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pStyle w:val="29"/>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开标一览表（报价表）(单位均为折扣</w:t>
      </w:r>
      <w:r>
        <w:rPr>
          <w:rFonts w:hint="eastAsia" w:ascii="宋体" w:hAnsi="宋体" w:cs="宋体"/>
          <w:b/>
          <w:kern w:val="0"/>
          <w:sz w:val="24"/>
          <w:lang w:val="en-US" w:eastAsia="zh-CN"/>
        </w:rPr>
        <w:t>系数%</w:t>
      </w:r>
      <w:r>
        <w:rPr>
          <w:rFonts w:hint="eastAsia" w:ascii="宋体" w:hAnsi="宋体" w:cs="宋体"/>
          <w:b/>
          <w:kern w:val="0"/>
          <w:sz w:val="24"/>
          <w:lang w:val="zh-CN"/>
        </w:rPr>
        <w:t>)</w:t>
      </w:r>
    </w:p>
    <w:tbl>
      <w:tblPr>
        <w:tblStyle w:val="17"/>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076"/>
        <w:gridCol w:w="1434"/>
        <w:gridCol w:w="1813"/>
        <w:gridCol w:w="2035"/>
        <w:gridCol w:w="2321"/>
        <w:gridCol w:w="1512"/>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3076"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434"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813" w:type="dxa"/>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035" w:type="dxa"/>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2321" w:type="dxa"/>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512"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highlight w:val="none"/>
              </w:rPr>
              <w:t>服务人数</w:t>
            </w:r>
          </w:p>
        </w:tc>
        <w:tc>
          <w:tcPr>
            <w:tcW w:w="2126"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sz w:val="24"/>
              </w:rPr>
            </w:pPr>
            <w:r>
              <w:rPr>
                <w:rFonts w:hint="eastAsia" w:ascii="宋体" w:hAnsi="宋体" w:cs="宋体"/>
                <w:sz w:val="24"/>
              </w:rPr>
              <w:t>1</w:t>
            </w:r>
          </w:p>
        </w:tc>
        <w:tc>
          <w:tcPr>
            <w:tcW w:w="3076" w:type="dxa"/>
            <w:vAlign w:val="center"/>
          </w:tcPr>
          <w:p>
            <w:pPr>
              <w:snapToGrid w:val="0"/>
              <w:spacing w:line="360" w:lineRule="auto"/>
              <w:jc w:val="center"/>
              <w:rPr>
                <w:rFonts w:ascii="宋体" w:hAnsi="宋体" w:cs="宋体"/>
                <w:sz w:val="24"/>
              </w:rPr>
            </w:pPr>
          </w:p>
        </w:tc>
        <w:tc>
          <w:tcPr>
            <w:tcW w:w="1434" w:type="dxa"/>
            <w:vAlign w:val="center"/>
          </w:tcPr>
          <w:p>
            <w:pPr>
              <w:snapToGrid w:val="0"/>
              <w:spacing w:line="360" w:lineRule="auto"/>
              <w:jc w:val="center"/>
              <w:rPr>
                <w:rFonts w:ascii="宋体" w:hAnsi="宋体" w:cs="宋体"/>
                <w:sz w:val="24"/>
              </w:rPr>
            </w:pPr>
          </w:p>
        </w:tc>
        <w:tc>
          <w:tcPr>
            <w:tcW w:w="1813" w:type="dxa"/>
            <w:vAlign w:val="center"/>
          </w:tcPr>
          <w:p>
            <w:pPr>
              <w:snapToGrid w:val="0"/>
              <w:spacing w:line="360" w:lineRule="auto"/>
              <w:jc w:val="center"/>
              <w:rPr>
                <w:rFonts w:ascii="宋体" w:hAnsi="宋体" w:cs="宋体"/>
                <w:sz w:val="24"/>
              </w:rPr>
            </w:pPr>
          </w:p>
        </w:tc>
        <w:tc>
          <w:tcPr>
            <w:tcW w:w="2035" w:type="dxa"/>
            <w:vAlign w:val="center"/>
          </w:tcPr>
          <w:p>
            <w:pPr>
              <w:snapToGrid w:val="0"/>
              <w:spacing w:line="360" w:lineRule="auto"/>
              <w:jc w:val="center"/>
              <w:rPr>
                <w:rFonts w:ascii="宋体" w:hAnsi="宋体" w:cs="宋体"/>
                <w:sz w:val="24"/>
              </w:rPr>
            </w:pPr>
          </w:p>
        </w:tc>
        <w:tc>
          <w:tcPr>
            <w:tcW w:w="2321" w:type="dxa"/>
            <w:vAlign w:val="center"/>
          </w:tcPr>
          <w:p>
            <w:pPr>
              <w:spacing w:line="360" w:lineRule="auto"/>
              <w:jc w:val="center"/>
              <w:rPr>
                <w:rFonts w:ascii="宋体" w:hAnsi="宋体" w:cs="宋体"/>
                <w:sz w:val="24"/>
              </w:rPr>
            </w:pPr>
          </w:p>
        </w:tc>
        <w:tc>
          <w:tcPr>
            <w:tcW w:w="1512"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sz w:val="24"/>
              </w:rPr>
            </w:pPr>
            <w:r>
              <w:rPr>
                <w:rFonts w:hint="eastAsia" w:ascii="宋体" w:hAnsi="宋体" w:cs="宋体"/>
                <w:sz w:val="24"/>
              </w:rPr>
              <w:t>2</w:t>
            </w:r>
          </w:p>
        </w:tc>
        <w:tc>
          <w:tcPr>
            <w:tcW w:w="3076" w:type="dxa"/>
            <w:vAlign w:val="center"/>
          </w:tcPr>
          <w:p>
            <w:pPr>
              <w:snapToGrid w:val="0"/>
              <w:spacing w:line="360" w:lineRule="auto"/>
              <w:jc w:val="center"/>
              <w:rPr>
                <w:rFonts w:ascii="宋体" w:hAnsi="宋体" w:cs="宋体"/>
                <w:sz w:val="24"/>
              </w:rPr>
            </w:pPr>
          </w:p>
        </w:tc>
        <w:tc>
          <w:tcPr>
            <w:tcW w:w="1434" w:type="dxa"/>
            <w:vAlign w:val="center"/>
          </w:tcPr>
          <w:p>
            <w:pPr>
              <w:snapToGrid w:val="0"/>
              <w:spacing w:line="360" w:lineRule="auto"/>
              <w:jc w:val="center"/>
              <w:rPr>
                <w:rFonts w:ascii="宋体" w:hAnsi="宋体" w:cs="宋体"/>
                <w:sz w:val="24"/>
              </w:rPr>
            </w:pPr>
          </w:p>
        </w:tc>
        <w:tc>
          <w:tcPr>
            <w:tcW w:w="1813" w:type="dxa"/>
            <w:vAlign w:val="center"/>
          </w:tcPr>
          <w:p>
            <w:pPr>
              <w:snapToGrid w:val="0"/>
              <w:spacing w:line="360" w:lineRule="auto"/>
              <w:jc w:val="center"/>
              <w:rPr>
                <w:rFonts w:ascii="宋体" w:hAnsi="宋体" w:cs="宋体"/>
                <w:sz w:val="24"/>
              </w:rPr>
            </w:pPr>
          </w:p>
        </w:tc>
        <w:tc>
          <w:tcPr>
            <w:tcW w:w="2035" w:type="dxa"/>
            <w:vAlign w:val="center"/>
          </w:tcPr>
          <w:p>
            <w:pPr>
              <w:snapToGrid w:val="0"/>
              <w:spacing w:line="360" w:lineRule="auto"/>
              <w:jc w:val="center"/>
              <w:rPr>
                <w:rFonts w:ascii="宋体" w:hAnsi="宋体" w:cs="宋体"/>
                <w:sz w:val="24"/>
              </w:rPr>
            </w:pPr>
          </w:p>
        </w:tc>
        <w:tc>
          <w:tcPr>
            <w:tcW w:w="2321" w:type="dxa"/>
            <w:vAlign w:val="center"/>
          </w:tcPr>
          <w:p>
            <w:pPr>
              <w:spacing w:line="360" w:lineRule="auto"/>
              <w:jc w:val="center"/>
              <w:rPr>
                <w:rFonts w:ascii="宋体" w:hAnsi="宋体" w:cs="宋体"/>
                <w:sz w:val="24"/>
              </w:rPr>
            </w:pPr>
          </w:p>
        </w:tc>
        <w:tc>
          <w:tcPr>
            <w:tcW w:w="1512"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sz w:val="24"/>
                <w:lang w:eastAsia="zh-CN"/>
              </w:rPr>
            </w:pPr>
            <w:r>
              <w:rPr>
                <w:rFonts w:hint="eastAsia" w:ascii="宋体" w:hAnsi="宋体" w:cs="宋体"/>
                <w:sz w:val="24"/>
                <w:lang w:val="en-US" w:eastAsia="zh-CN"/>
              </w:rPr>
              <w:t>3</w:t>
            </w:r>
          </w:p>
        </w:tc>
        <w:tc>
          <w:tcPr>
            <w:tcW w:w="3076" w:type="dxa"/>
            <w:vAlign w:val="center"/>
          </w:tcPr>
          <w:p>
            <w:pPr>
              <w:snapToGrid w:val="0"/>
              <w:spacing w:line="360" w:lineRule="auto"/>
              <w:jc w:val="center"/>
              <w:rPr>
                <w:rFonts w:ascii="宋体" w:hAnsi="宋体" w:cs="宋体"/>
                <w:sz w:val="24"/>
              </w:rPr>
            </w:pPr>
          </w:p>
        </w:tc>
        <w:tc>
          <w:tcPr>
            <w:tcW w:w="1434" w:type="dxa"/>
            <w:vAlign w:val="center"/>
          </w:tcPr>
          <w:p>
            <w:pPr>
              <w:snapToGrid w:val="0"/>
              <w:spacing w:line="360" w:lineRule="auto"/>
              <w:jc w:val="center"/>
              <w:rPr>
                <w:rFonts w:ascii="宋体" w:hAnsi="宋体" w:cs="宋体"/>
                <w:sz w:val="24"/>
              </w:rPr>
            </w:pPr>
          </w:p>
        </w:tc>
        <w:tc>
          <w:tcPr>
            <w:tcW w:w="1813" w:type="dxa"/>
            <w:vAlign w:val="center"/>
          </w:tcPr>
          <w:p>
            <w:pPr>
              <w:snapToGrid w:val="0"/>
              <w:spacing w:line="360" w:lineRule="auto"/>
              <w:jc w:val="center"/>
              <w:rPr>
                <w:rFonts w:ascii="宋体" w:hAnsi="宋体" w:cs="宋体"/>
                <w:sz w:val="24"/>
              </w:rPr>
            </w:pPr>
          </w:p>
        </w:tc>
        <w:tc>
          <w:tcPr>
            <w:tcW w:w="2035" w:type="dxa"/>
            <w:vAlign w:val="center"/>
          </w:tcPr>
          <w:p>
            <w:pPr>
              <w:snapToGrid w:val="0"/>
              <w:spacing w:line="360" w:lineRule="auto"/>
              <w:jc w:val="center"/>
              <w:rPr>
                <w:rFonts w:ascii="宋体" w:hAnsi="宋体" w:cs="宋体"/>
                <w:sz w:val="24"/>
              </w:rPr>
            </w:pPr>
          </w:p>
        </w:tc>
        <w:tc>
          <w:tcPr>
            <w:tcW w:w="2321" w:type="dxa"/>
            <w:vAlign w:val="center"/>
          </w:tcPr>
          <w:p>
            <w:pPr>
              <w:spacing w:line="360" w:lineRule="auto"/>
              <w:jc w:val="center"/>
              <w:rPr>
                <w:rFonts w:ascii="宋体" w:hAnsi="宋体" w:cs="宋体"/>
                <w:sz w:val="24"/>
              </w:rPr>
            </w:pPr>
          </w:p>
        </w:tc>
        <w:tc>
          <w:tcPr>
            <w:tcW w:w="1512"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sz w:val="24"/>
                <w:lang w:val="en-US" w:eastAsia="zh-CN"/>
              </w:rPr>
            </w:pPr>
            <w:r>
              <w:rPr>
                <w:rFonts w:hint="eastAsia" w:ascii="宋体" w:hAnsi="宋体" w:cs="宋体"/>
                <w:sz w:val="24"/>
                <w:lang w:val="en-US" w:eastAsia="zh-CN"/>
              </w:rPr>
              <w:t>4</w:t>
            </w:r>
          </w:p>
        </w:tc>
        <w:tc>
          <w:tcPr>
            <w:tcW w:w="3076" w:type="dxa"/>
            <w:vAlign w:val="center"/>
          </w:tcPr>
          <w:p>
            <w:pPr>
              <w:snapToGrid w:val="0"/>
              <w:spacing w:line="360" w:lineRule="auto"/>
              <w:jc w:val="center"/>
              <w:rPr>
                <w:rFonts w:ascii="宋体" w:hAnsi="宋体" w:cs="宋体"/>
                <w:sz w:val="24"/>
              </w:rPr>
            </w:pPr>
          </w:p>
        </w:tc>
        <w:tc>
          <w:tcPr>
            <w:tcW w:w="1434" w:type="dxa"/>
            <w:vAlign w:val="center"/>
          </w:tcPr>
          <w:p>
            <w:pPr>
              <w:snapToGrid w:val="0"/>
              <w:spacing w:line="360" w:lineRule="auto"/>
              <w:jc w:val="center"/>
              <w:rPr>
                <w:rFonts w:ascii="宋体" w:hAnsi="宋体" w:cs="宋体"/>
                <w:sz w:val="24"/>
              </w:rPr>
            </w:pPr>
          </w:p>
        </w:tc>
        <w:tc>
          <w:tcPr>
            <w:tcW w:w="1813" w:type="dxa"/>
            <w:vAlign w:val="center"/>
          </w:tcPr>
          <w:p>
            <w:pPr>
              <w:snapToGrid w:val="0"/>
              <w:spacing w:line="360" w:lineRule="auto"/>
              <w:jc w:val="center"/>
              <w:rPr>
                <w:rFonts w:ascii="宋体" w:hAnsi="宋体" w:cs="宋体"/>
                <w:sz w:val="24"/>
              </w:rPr>
            </w:pPr>
          </w:p>
        </w:tc>
        <w:tc>
          <w:tcPr>
            <w:tcW w:w="2035" w:type="dxa"/>
            <w:vAlign w:val="center"/>
          </w:tcPr>
          <w:p>
            <w:pPr>
              <w:snapToGrid w:val="0"/>
              <w:spacing w:line="360" w:lineRule="auto"/>
              <w:jc w:val="center"/>
              <w:rPr>
                <w:rFonts w:ascii="宋体" w:hAnsi="宋体" w:cs="宋体"/>
                <w:sz w:val="24"/>
              </w:rPr>
            </w:pPr>
          </w:p>
        </w:tc>
        <w:tc>
          <w:tcPr>
            <w:tcW w:w="2321" w:type="dxa"/>
            <w:vAlign w:val="center"/>
          </w:tcPr>
          <w:p>
            <w:pPr>
              <w:spacing w:line="360" w:lineRule="auto"/>
              <w:jc w:val="center"/>
              <w:rPr>
                <w:rFonts w:ascii="宋体" w:hAnsi="宋体" w:cs="宋体"/>
                <w:sz w:val="24"/>
              </w:rPr>
            </w:pPr>
          </w:p>
        </w:tc>
        <w:tc>
          <w:tcPr>
            <w:tcW w:w="1512"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sz w:val="24"/>
                <w:lang w:val="en-US" w:eastAsia="zh-CN"/>
              </w:rPr>
            </w:pPr>
            <w:r>
              <w:rPr>
                <w:rFonts w:hint="eastAsia" w:ascii="宋体" w:hAnsi="宋体" w:cs="宋体"/>
                <w:sz w:val="24"/>
                <w:lang w:val="en-US" w:eastAsia="zh-CN"/>
              </w:rPr>
              <w:t>5</w:t>
            </w:r>
          </w:p>
        </w:tc>
        <w:tc>
          <w:tcPr>
            <w:tcW w:w="3076" w:type="dxa"/>
            <w:vAlign w:val="center"/>
          </w:tcPr>
          <w:p>
            <w:pPr>
              <w:snapToGrid w:val="0"/>
              <w:spacing w:line="360" w:lineRule="auto"/>
              <w:jc w:val="center"/>
              <w:rPr>
                <w:rFonts w:ascii="宋体" w:hAnsi="宋体" w:cs="宋体"/>
                <w:sz w:val="24"/>
              </w:rPr>
            </w:pPr>
          </w:p>
        </w:tc>
        <w:tc>
          <w:tcPr>
            <w:tcW w:w="1434" w:type="dxa"/>
            <w:vAlign w:val="center"/>
          </w:tcPr>
          <w:p>
            <w:pPr>
              <w:snapToGrid w:val="0"/>
              <w:spacing w:line="360" w:lineRule="auto"/>
              <w:jc w:val="center"/>
              <w:rPr>
                <w:rFonts w:ascii="宋体" w:hAnsi="宋体" w:cs="宋体"/>
                <w:sz w:val="24"/>
              </w:rPr>
            </w:pPr>
          </w:p>
        </w:tc>
        <w:tc>
          <w:tcPr>
            <w:tcW w:w="1813" w:type="dxa"/>
            <w:vAlign w:val="center"/>
          </w:tcPr>
          <w:p>
            <w:pPr>
              <w:snapToGrid w:val="0"/>
              <w:spacing w:line="360" w:lineRule="auto"/>
              <w:jc w:val="center"/>
              <w:rPr>
                <w:rFonts w:ascii="宋体" w:hAnsi="宋体" w:cs="宋体"/>
                <w:sz w:val="24"/>
              </w:rPr>
            </w:pPr>
          </w:p>
        </w:tc>
        <w:tc>
          <w:tcPr>
            <w:tcW w:w="2035" w:type="dxa"/>
            <w:vAlign w:val="center"/>
          </w:tcPr>
          <w:p>
            <w:pPr>
              <w:snapToGrid w:val="0"/>
              <w:spacing w:line="360" w:lineRule="auto"/>
              <w:jc w:val="center"/>
              <w:rPr>
                <w:rFonts w:ascii="宋体" w:hAnsi="宋体" w:cs="宋体"/>
                <w:sz w:val="24"/>
              </w:rPr>
            </w:pPr>
          </w:p>
        </w:tc>
        <w:tc>
          <w:tcPr>
            <w:tcW w:w="2321" w:type="dxa"/>
            <w:vAlign w:val="center"/>
          </w:tcPr>
          <w:p>
            <w:pPr>
              <w:spacing w:line="360" w:lineRule="auto"/>
              <w:jc w:val="center"/>
              <w:rPr>
                <w:rFonts w:ascii="宋体" w:hAnsi="宋体" w:cs="宋体"/>
                <w:sz w:val="24"/>
              </w:rPr>
            </w:pPr>
          </w:p>
        </w:tc>
        <w:tc>
          <w:tcPr>
            <w:tcW w:w="1512"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default" w:ascii="宋体" w:hAnsi="宋体" w:cs="宋体"/>
                <w:sz w:val="24"/>
                <w:lang w:val="en-US" w:eastAsia="zh-CN"/>
              </w:rPr>
            </w:pPr>
            <w:r>
              <w:rPr>
                <w:rFonts w:hint="eastAsia" w:ascii="宋体" w:hAnsi="宋体" w:cs="宋体"/>
                <w:sz w:val="24"/>
                <w:lang w:val="en-US" w:eastAsia="zh-CN"/>
              </w:rPr>
              <w:t>6</w:t>
            </w:r>
          </w:p>
        </w:tc>
        <w:tc>
          <w:tcPr>
            <w:tcW w:w="3076" w:type="dxa"/>
            <w:vAlign w:val="center"/>
          </w:tcPr>
          <w:p>
            <w:pPr>
              <w:snapToGrid w:val="0"/>
              <w:spacing w:line="360" w:lineRule="auto"/>
              <w:jc w:val="center"/>
              <w:rPr>
                <w:rFonts w:hint="eastAsia" w:cs="宋体" w:asciiTheme="minorEastAsia" w:hAnsiTheme="minorEastAsia" w:eastAsiaTheme="minorEastAsia"/>
                <w:sz w:val="24"/>
                <w:lang w:val="en-US" w:eastAsia="zh-CN"/>
              </w:rPr>
            </w:pPr>
          </w:p>
        </w:tc>
        <w:tc>
          <w:tcPr>
            <w:tcW w:w="1434" w:type="dxa"/>
            <w:vAlign w:val="center"/>
          </w:tcPr>
          <w:p>
            <w:pPr>
              <w:snapToGrid w:val="0"/>
              <w:spacing w:line="360" w:lineRule="auto"/>
              <w:jc w:val="center"/>
              <w:rPr>
                <w:rFonts w:ascii="宋体" w:hAnsi="宋体" w:cs="宋体"/>
                <w:sz w:val="24"/>
              </w:rPr>
            </w:pPr>
          </w:p>
        </w:tc>
        <w:tc>
          <w:tcPr>
            <w:tcW w:w="1813" w:type="dxa"/>
            <w:vAlign w:val="center"/>
          </w:tcPr>
          <w:p>
            <w:pPr>
              <w:snapToGrid w:val="0"/>
              <w:spacing w:line="360" w:lineRule="auto"/>
              <w:jc w:val="center"/>
              <w:rPr>
                <w:rFonts w:ascii="宋体" w:hAnsi="宋体" w:cs="宋体"/>
                <w:sz w:val="24"/>
              </w:rPr>
            </w:pPr>
          </w:p>
        </w:tc>
        <w:tc>
          <w:tcPr>
            <w:tcW w:w="2035" w:type="dxa"/>
            <w:vAlign w:val="center"/>
          </w:tcPr>
          <w:p>
            <w:pPr>
              <w:snapToGrid w:val="0"/>
              <w:spacing w:line="360" w:lineRule="auto"/>
              <w:jc w:val="center"/>
              <w:rPr>
                <w:rFonts w:ascii="宋体" w:hAnsi="宋体" w:cs="宋体"/>
                <w:sz w:val="24"/>
              </w:rPr>
            </w:pPr>
          </w:p>
        </w:tc>
        <w:tc>
          <w:tcPr>
            <w:tcW w:w="2321" w:type="dxa"/>
            <w:vAlign w:val="center"/>
          </w:tcPr>
          <w:p>
            <w:pPr>
              <w:spacing w:line="360" w:lineRule="auto"/>
              <w:jc w:val="center"/>
              <w:rPr>
                <w:rFonts w:ascii="宋体" w:hAnsi="宋体" w:cs="宋体"/>
                <w:sz w:val="24"/>
              </w:rPr>
            </w:pPr>
          </w:p>
        </w:tc>
        <w:tc>
          <w:tcPr>
            <w:tcW w:w="1512"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140" w:type="dxa"/>
            <w:gridSpan w:val="4"/>
            <w:vAlign w:val="center"/>
          </w:tcPr>
          <w:p>
            <w:pPr>
              <w:spacing w:line="360" w:lineRule="auto"/>
              <w:jc w:val="center"/>
              <w:rPr>
                <w:rFonts w:ascii="宋体" w:hAnsi="宋体" w:cs="宋体"/>
                <w:b/>
                <w:sz w:val="24"/>
              </w:rPr>
            </w:pPr>
            <w:r>
              <w:rPr>
                <w:rFonts w:hint="eastAsia" w:ascii="宋体" w:hAnsi="宋体" w:cs="宋体"/>
                <w:b/>
                <w:sz w:val="24"/>
              </w:rPr>
              <w:t>投标</w:t>
            </w:r>
            <w:r>
              <w:rPr>
                <w:rFonts w:hint="eastAsia" w:ascii="宋体" w:hAnsi="宋体" w:cs="宋体"/>
                <w:b/>
                <w:sz w:val="24"/>
                <w:lang w:eastAsia="zh-CN"/>
              </w:rPr>
              <w:t>折扣系数</w:t>
            </w:r>
            <w:r>
              <w:rPr>
                <w:rFonts w:hint="eastAsia" w:ascii="宋体" w:hAnsi="宋体" w:cs="宋体"/>
                <w:b/>
                <w:sz w:val="24"/>
              </w:rPr>
              <w:t>（小写）</w:t>
            </w:r>
          </w:p>
        </w:tc>
        <w:tc>
          <w:tcPr>
            <w:tcW w:w="7994" w:type="dxa"/>
            <w:gridSpan w:val="4"/>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140" w:type="dxa"/>
            <w:gridSpan w:val="4"/>
            <w:vAlign w:val="center"/>
          </w:tcPr>
          <w:p>
            <w:pPr>
              <w:spacing w:line="360" w:lineRule="auto"/>
              <w:jc w:val="center"/>
              <w:rPr>
                <w:rFonts w:ascii="宋体" w:hAnsi="宋体" w:cs="宋体"/>
                <w:b/>
                <w:sz w:val="24"/>
              </w:rPr>
            </w:pPr>
            <w:r>
              <w:rPr>
                <w:rFonts w:hint="eastAsia" w:ascii="宋体" w:hAnsi="宋体" w:cs="宋体"/>
                <w:b/>
                <w:sz w:val="24"/>
              </w:rPr>
              <w:t>投标</w:t>
            </w:r>
            <w:r>
              <w:rPr>
                <w:rFonts w:hint="eastAsia" w:ascii="宋体" w:hAnsi="宋体" w:cs="宋体"/>
                <w:b/>
                <w:sz w:val="24"/>
                <w:lang w:eastAsia="zh-CN"/>
              </w:rPr>
              <w:t>折扣系数</w:t>
            </w:r>
            <w:r>
              <w:rPr>
                <w:rFonts w:hint="eastAsia" w:ascii="宋体" w:hAnsi="宋体" w:cs="宋体"/>
                <w:b/>
                <w:sz w:val="24"/>
              </w:rPr>
              <w:t>（大写）</w:t>
            </w:r>
          </w:p>
        </w:tc>
        <w:tc>
          <w:tcPr>
            <w:tcW w:w="7994" w:type="dxa"/>
            <w:gridSpan w:val="4"/>
          </w:tcPr>
          <w:p>
            <w:pPr>
              <w:spacing w:line="360" w:lineRule="auto"/>
              <w:jc w:val="center"/>
              <w:rPr>
                <w:rFonts w:ascii="宋体" w:hAnsi="宋体" w:cs="宋体"/>
                <w:sz w:val="24"/>
              </w:rPr>
            </w:pPr>
          </w:p>
        </w:tc>
      </w:tr>
    </w:tbl>
    <w:p>
      <w:pPr>
        <w:spacing w:line="360" w:lineRule="auto"/>
        <w:ind w:left="-2" w:leftChars="-1" w:firstLine="480" w:firstLineChars="200"/>
        <w:rPr>
          <w:rFonts w:ascii="宋体" w:hAnsi="宋体" w:cs="宋体"/>
          <w:color w:val="auto"/>
          <w:kern w:val="0"/>
          <w:sz w:val="24"/>
          <w:lang w:val="zh-CN"/>
        </w:rPr>
      </w:pPr>
      <w:r>
        <w:rPr>
          <w:rFonts w:hint="eastAsia" w:ascii="宋体" w:hAnsi="宋体" w:cs="宋体"/>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采购人将以合同形式有偿取得货物或服务，不接受投标人给予的赠品、回扣或者与采购无关的其他商品、服务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w:t>
      </w:r>
      <w:r>
        <w:rPr>
          <w:rFonts w:hint="eastAsia" w:ascii="宋体" w:hAnsi="宋体" w:cs="宋体"/>
          <w:kern w:val="0"/>
          <w:sz w:val="24"/>
          <w:highlight w:val="none"/>
          <w:lang w:val="zh-CN"/>
        </w:rPr>
        <w:t>名称、服务范围、服务要求、服务时间、服务标准</w:t>
      </w:r>
      <w:r>
        <w:rPr>
          <w:rFonts w:hint="eastAsia" w:ascii="宋体" w:hAnsi="宋体" w:cs="宋体"/>
          <w:kern w:val="0"/>
          <w:sz w:val="24"/>
          <w:lang w:val="zh-CN"/>
        </w:rPr>
        <w:t>等予以公示。</w:t>
      </w:r>
    </w:p>
    <w:p>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29"/>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spacing w:line="360" w:lineRule="auto"/>
        <w:ind w:left="4620" w:leftChars="2200"/>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投标人全称（电子签章）：</w:t>
      </w:r>
    </w:p>
    <w:p>
      <w:pPr>
        <w:spacing w:line="360" w:lineRule="auto"/>
        <w:ind w:left="4620" w:leftChars="2200"/>
        <w:jc w:val="center"/>
        <w:rPr>
          <w:rFonts w:hint="eastAsia" w:ascii="宋体" w:hAnsi="宋体" w:cs="宋体"/>
          <w:kern w:val="0"/>
          <w:sz w:val="24"/>
          <w:lang w:val="zh-CN"/>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
      <w:pPr>
        <w:pStyle w:val="29"/>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宋体" w:hAnsi="宋体" w:cs="宋体"/>
          <w:b/>
          <w:sz w:val="24"/>
          <w:lang w:val="en-US" w:eastAsia="zh-CN"/>
        </w:rPr>
        <w:t>5</w:t>
      </w:r>
      <w:r>
        <w:rPr>
          <w:rFonts w:hint="eastAsia" w:ascii="宋体" w:hAnsi="宋体" w:cs="宋体"/>
          <w:b/>
          <w:sz w:val="24"/>
        </w:rPr>
        <w:t>）。]</w:t>
      </w:r>
    </w:p>
    <w:p>
      <w:pPr>
        <w:pStyle w:val="29"/>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rPr>
          <w:rFonts w:ascii="宋体" w:hAnsi="宋体" w:cs="宋体"/>
          <w:b/>
          <w:kern w:val="0"/>
          <w:sz w:val="36"/>
          <w:szCs w:val="36"/>
        </w:rPr>
      </w:pPr>
    </w:p>
    <w:p>
      <w:pPr>
        <w:tabs>
          <w:tab w:val="left" w:pos="8085"/>
        </w:tabs>
        <w:spacing w:line="360" w:lineRule="auto"/>
        <w:ind w:firstLine="1285" w:firstLineChars="400"/>
        <w:jc w:val="left"/>
        <w:rPr>
          <w:rFonts w:ascii="宋体" w:hAnsi="宋体" w:cs="宋体"/>
          <w:b/>
          <w:sz w:val="32"/>
          <w:szCs w:val="32"/>
        </w:rPr>
      </w:pPr>
    </w:p>
    <w:p>
      <w:pPr>
        <w:tabs>
          <w:tab w:val="left" w:pos="8085"/>
        </w:tabs>
        <w:spacing w:line="360" w:lineRule="auto"/>
        <w:ind w:firstLine="1285" w:firstLineChars="400"/>
        <w:jc w:val="left"/>
        <w:rPr>
          <w:rFonts w:ascii="宋体" w:hAnsi="宋体" w:cs="宋体"/>
          <w:b/>
          <w:sz w:val="32"/>
          <w:szCs w:val="32"/>
        </w:rPr>
      </w:pPr>
      <w:r>
        <w:rPr>
          <w:rFonts w:hint="eastAsia" w:ascii="宋体" w:hAnsi="宋体" w:cs="宋体"/>
          <w:b/>
          <w:sz w:val="32"/>
          <w:szCs w:val="32"/>
        </w:rPr>
        <w:t>政府采购支持中小企业信用融资相关事项通知</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宋体" w:hAnsi="宋体" w:cs="宋体"/>
          <w:kern w:val="0"/>
          <w:sz w:val="24"/>
          <w:lang w:val="zh-CN"/>
        </w:rPr>
      </w:pPr>
      <w:r>
        <w:rPr>
          <w:rFonts w:hint="eastAsia" w:ascii="宋体" w:hAnsi="宋体" w:cs="宋体"/>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宋体" w:hAnsi="宋体" w:cs="宋体"/>
          <w:b/>
          <w:sz w:val="24"/>
        </w:rPr>
      </w:pPr>
      <w:r>
        <w:rPr>
          <w:rFonts w:hint="eastAsia" w:ascii="宋体" w:hAnsi="宋体" w:cs="宋体"/>
          <w:b/>
          <w:sz w:val="24"/>
        </w:rPr>
        <w:t>一、适用对象</w:t>
      </w:r>
    </w:p>
    <w:p>
      <w:pPr>
        <w:spacing w:line="360" w:lineRule="auto"/>
        <w:ind w:firstLine="480" w:firstLineChars="200"/>
        <w:rPr>
          <w:rFonts w:ascii="宋体" w:hAnsi="宋体" w:cs="宋体"/>
          <w:sz w:val="24"/>
        </w:rPr>
      </w:pPr>
      <w:r>
        <w:rPr>
          <w:rFonts w:hint="eastAsia" w:ascii="宋体" w:hAnsi="宋体" w:cs="宋体"/>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ascii="宋体" w:hAnsi="宋体" w:cs="宋体"/>
          <w:b/>
          <w:sz w:val="24"/>
        </w:rPr>
      </w:pPr>
      <w:r>
        <w:rPr>
          <w:rFonts w:hint="eastAsia" w:ascii="宋体" w:hAnsi="宋体" w:cs="宋体"/>
          <w:b/>
          <w:sz w:val="24"/>
        </w:rPr>
        <w:t>二、相关信息获取方式</w:t>
      </w:r>
    </w:p>
    <w:p>
      <w:pPr>
        <w:spacing w:line="360" w:lineRule="auto"/>
        <w:ind w:firstLine="480" w:firstLineChars="200"/>
        <w:rPr>
          <w:rFonts w:ascii="宋体" w:hAnsi="宋体" w:cs="宋体"/>
          <w:sz w:val="24"/>
        </w:rPr>
      </w:pPr>
      <w:r>
        <w:rPr>
          <w:rFonts w:hint="eastAsia" w:ascii="宋体" w:hAnsi="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宋体" w:hAnsi="宋体" w:cs="宋体"/>
          <w:b/>
          <w:sz w:val="24"/>
        </w:rPr>
      </w:pPr>
      <w:r>
        <w:rPr>
          <w:rFonts w:hint="eastAsia" w:ascii="宋体" w:hAnsi="宋体" w:cs="宋体"/>
          <w:b/>
          <w:sz w:val="24"/>
        </w:rPr>
        <w:t>三、　政府采购信用融资操作流程：</w:t>
      </w:r>
    </w:p>
    <w:p>
      <w:pPr>
        <w:spacing w:line="360" w:lineRule="auto"/>
        <w:ind w:firstLine="960" w:firstLineChars="400"/>
        <w:rPr>
          <w:rFonts w:ascii="宋体" w:hAnsi="宋体" w:cs="宋体"/>
          <w:sz w:val="24"/>
        </w:rPr>
      </w:pPr>
      <w:r>
        <w:rPr>
          <w:rFonts w:hint="eastAsia" w:ascii="宋体" w:hAnsi="宋体" w:cs="宋体"/>
          <w:sz w:val="24"/>
        </w:rPr>
        <w:t>（一）线上融资模式：</w:t>
      </w:r>
    </w:p>
    <w:p>
      <w:pPr>
        <w:spacing w:line="360" w:lineRule="auto"/>
        <w:ind w:firstLine="480" w:firstLineChars="200"/>
        <w:rPr>
          <w:rFonts w:ascii="宋体" w:hAnsi="宋体" w:cs="宋体"/>
          <w:sz w:val="24"/>
        </w:rPr>
      </w:pPr>
      <w:r>
        <w:rPr>
          <w:rFonts w:hint="eastAsia" w:ascii="宋体" w:hAnsi="宋体" w:cs="宋体"/>
          <w:sz w:val="24"/>
        </w:rPr>
        <w:t>　　1.供应商根据合作银行提供的方案，自行选择金融产品，并办理开户等手续；</w:t>
      </w:r>
    </w:p>
    <w:p>
      <w:pPr>
        <w:spacing w:line="360" w:lineRule="auto"/>
        <w:ind w:firstLine="480" w:firstLineChars="200"/>
        <w:rPr>
          <w:rFonts w:ascii="宋体" w:hAnsi="宋体" w:cs="宋体"/>
          <w:sz w:val="24"/>
        </w:rPr>
      </w:pPr>
      <w:r>
        <w:rPr>
          <w:rFonts w:hint="eastAsia" w:ascii="宋体" w:hAnsi="宋体" w:cs="宋体"/>
          <w:sz w:val="24"/>
        </w:rPr>
        <w:t>　　2.供应商中标后，可通过杭州市政府采购网或“浙里办”测算授信额度；</w:t>
      </w:r>
    </w:p>
    <w:p>
      <w:pPr>
        <w:spacing w:line="360" w:lineRule="auto"/>
        <w:ind w:firstLine="480" w:firstLineChars="200"/>
        <w:rPr>
          <w:rFonts w:ascii="宋体" w:hAnsi="宋体" w:cs="宋体"/>
          <w:sz w:val="24"/>
        </w:rPr>
      </w:pPr>
      <w:r>
        <w:rPr>
          <w:rFonts w:hint="eastAsia" w:ascii="宋体" w:hAnsi="宋体" w:cs="宋体"/>
          <w:sz w:val="24"/>
        </w:rPr>
        <w:t>　　3.采购合同签订后，供应商在杭州市政府采购网或“浙里办”向合作银行发出融资申请；</w:t>
      </w:r>
    </w:p>
    <w:p>
      <w:pPr>
        <w:spacing w:line="360" w:lineRule="auto"/>
        <w:ind w:firstLine="480" w:firstLineChars="200"/>
        <w:rPr>
          <w:rFonts w:ascii="宋体" w:hAnsi="宋体" w:cs="宋体"/>
          <w:sz w:val="24"/>
        </w:rPr>
      </w:pPr>
      <w:r>
        <w:rPr>
          <w:rFonts w:hint="eastAsia" w:ascii="宋体" w:hAnsi="宋体" w:cs="宋体"/>
          <w:sz w:val="24"/>
        </w:rPr>
        <w:t>　　4.审批通过后，在线办理放贷手续。</w:t>
      </w:r>
    </w:p>
    <w:p>
      <w:pPr>
        <w:spacing w:line="360" w:lineRule="auto"/>
        <w:ind w:firstLine="480" w:firstLineChars="200"/>
        <w:rPr>
          <w:rFonts w:ascii="宋体" w:hAnsi="宋体" w:cs="宋体"/>
          <w:sz w:val="24"/>
        </w:rPr>
      </w:pPr>
      <w:r>
        <w:rPr>
          <w:rFonts w:hint="eastAsia" w:ascii="宋体" w:hAnsi="宋体" w:cs="宋体"/>
          <w:sz w:val="24"/>
        </w:rPr>
        <w:t>　　（二）线下融资模式：</w:t>
      </w:r>
    </w:p>
    <w:p>
      <w:pPr>
        <w:spacing w:line="360" w:lineRule="auto"/>
        <w:ind w:firstLine="480" w:firstLineChars="200"/>
        <w:rPr>
          <w:rFonts w:ascii="宋体" w:hAnsi="宋体" w:cs="宋体"/>
          <w:sz w:val="24"/>
        </w:rPr>
      </w:pPr>
      <w:r>
        <w:rPr>
          <w:rFonts w:hint="eastAsia" w:ascii="宋体" w:hAnsi="宋体" w:cs="宋体"/>
          <w:sz w:val="24"/>
        </w:rPr>
        <w:t>　　1.供应商根据合作银行提供的方案，自行选择金融产品，向合作银行提出信用资格预审，并办理开户等手续；</w:t>
      </w:r>
    </w:p>
    <w:p>
      <w:pPr>
        <w:spacing w:line="360" w:lineRule="auto"/>
        <w:ind w:firstLine="480" w:firstLineChars="200"/>
        <w:rPr>
          <w:rFonts w:ascii="宋体" w:hAnsi="宋体" w:cs="宋体"/>
          <w:sz w:val="24"/>
        </w:rPr>
      </w:pPr>
      <w:r>
        <w:rPr>
          <w:rFonts w:hint="eastAsia" w:ascii="宋体" w:hAnsi="宋体" w:cs="宋体"/>
          <w:sz w:val="24"/>
        </w:rPr>
        <w:t>　　2.采购合同签订后，供应商在杭州市政府采购网或“浙里办”向合作银行发出融资申请；</w:t>
      </w:r>
    </w:p>
    <w:p>
      <w:pPr>
        <w:spacing w:line="360" w:lineRule="auto"/>
        <w:ind w:firstLine="480" w:firstLineChars="200"/>
        <w:rPr>
          <w:rFonts w:ascii="宋体" w:hAnsi="宋体" w:cs="宋体"/>
          <w:sz w:val="24"/>
        </w:rPr>
      </w:pPr>
      <w:r>
        <w:rPr>
          <w:rFonts w:hint="eastAsia" w:ascii="宋体" w:hAnsi="宋体" w:cs="宋体"/>
          <w:sz w:val="24"/>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宋体" w:hAnsi="宋体" w:cs="宋体"/>
          <w:sz w:val="24"/>
        </w:rPr>
      </w:pPr>
      <w:r>
        <w:rPr>
          <w:rFonts w:hint="eastAsia" w:ascii="宋体" w:hAnsi="宋体" w:cs="宋体"/>
          <w:sz w:val="24"/>
        </w:rPr>
        <w:t>　　4.审批通过后，合作银行应按照合作备忘录中约定的审批放款期限和优惠利率及时予以放款。</w:t>
      </w:r>
    </w:p>
    <w:p>
      <w:pPr>
        <w:pStyle w:val="4"/>
        <w:numPr>
          <w:ilvl w:val="255"/>
          <w:numId w:val="0"/>
        </w:numPr>
        <w:ind w:firstLine="960" w:firstLineChars="4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pPr>
        <w:pStyle w:val="4"/>
        <w:numPr>
          <w:ilvl w:val="255"/>
          <w:numId w:val="0"/>
        </w:numPr>
        <w:ind w:firstLine="960" w:firstLineChars="4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pPr>
        <w:spacing w:line="360" w:lineRule="auto"/>
        <w:ind w:firstLine="482" w:firstLineChars="200"/>
        <w:rPr>
          <w:rFonts w:ascii="宋体" w:hAnsi="宋体" w:cs="宋体"/>
          <w:b/>
          <w:sz w:val="24"/>
        </w:rPr>
      </w:pPr>
      <w:r>
        <w:rPr>
          <w:rFonts w:hint="eastAsia" w:ascii="宋体" w:hAnsi="宋体" w:cs="宋体"/>
          <w:b/>
          <w:sz w:val="24"/>
        </w:rPr>
        <w:t>四、注意事项</w:t>
      </w:r>
    </w:p>
    <w:p>
      <w:pPr>
        <w:spacing w:line="360" w:lineRule="auto"/>
        <w:ind w:firstLine="480" w:firstLineChars="200"/>
        <w:rPr>
          <w:rFonts w:ascii="宋体" w:hAnsi="宋体" w:cs="宋体"/>
          <w:sz w:val="24"/>
        </w:rPr>
      </w:pPr>
      <w:r>
        <w:rPr>
          <w:rFonts w:hint="eastAsia" w:ascii="宋体" w:hAnsi="宋体" w:cs="宋体"/>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ascii="宋体" w:hAnsi="宋体" w:cs="宋体"/>
          <w:sz w:val="24"/>
        </w:rPr>
      </w:pPr>
      <w:r>
        <w:rPr>
          <w:rFonts w:hint="eastAsia" w:ascii="宋体" w:hAnsi="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ascii="宋体" w:hAnsi="宋体" w:cs="宋体"/>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392" w:name="_Toc465665161"/>
      <w:r>
        <w:rPr>
          <w:rFonts w:hint="eastAsia" w:ascii="宋体" w:hAnsi="宋体" w:cs="宋体"/>
        </w:rPr>
        <w:t>附件</w:t>
      </w:r>
      <w:bookmarkEnd w:id="392"/>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393" w:name="OLE_LINK14"/>
      <w:bookmarkStart w:id="394" w:name="OLE_LINK13"/>
      <w:r>
        <w:rPr>
          <w:rFonts w:hint="eastAsia" w:ascii="宋体" w:hAnsi="宋体" w:cs="宋体"/>
          <w:b/>
          <w:spacing w:val="6"/>
          <w:sz w:val="32"/>
          <w:szCs w:val="32"/>
        </w:rPr>
        <w:t>残疾人福利性单位声明函</w:t>
      </w:r>
    </w:p>
    <w:bookmarkEnd w:id="393"/>
    <w:bookmarkEnd w:id="394"/>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pStyle w:val="15"/>
        <w:ind w:firstLine="420"/>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rPr>
      </w:pPr>
      <w:r>
        <w:rPr>
          <w:rFonts w:hint="eastAsia" w:ascii="宋体" w:hAnsi="宋体" w:cs="宋体"/>
          <w:sz w:val="24"/>
          <w:u w:val="single"/>
        </w:rPr>
        <w:t>（采购人）、（采购代理机构）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WQDz/YAAAACgEAAA8AAAAAAAAAAQAgAAAAIgAAAGRycy9kb3ducmV2&#10;LnhtbFBLAQIUABQAAAAIAIdO4kASEoPkNQIAAI0EAAAOAAAAAAAAAAEAIAAAACcBAABkcnMvZTJv&#10;RG9jLnhtbFBLBQYAAAAABgAGAFkBAADOBQAAAAA=&#10;">
                <v:fill on="t" focussize="0,0"/>
                <v:stroke color="#000000" miterlimit="2" joinstyle="miter"/>
                <v:imagedata o:title=""/>
                <o:lock v:ext="edit" aspectratio="f"/>
                <v:textbox>
                  <w:txbxContent>
                    <w:p/>
                  </w:txbxContent>
                </v:textbox>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txbxContent>
                </v:textbox>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rPr>
          <w:rFonts w:ascii="宋体" w:hAnsi="宋体" w:cs="宋体"/>
          <w:b/>
          <w:spacing w:val="6"/>
          <w:sz w:val="32"/>
          <w:szCs w:val="32"/>
        </w:rPr>
      </w:pPr>
    </w:p>
    <w:p>
      <w:pPr>
        <w:autoSpaceDE w:val="0"/>
        <w:autoSpaceDN w:val="0"/>
        <w:jc w:val="center"/>
        <w:rPr>
          <w:rFonts w:hint="eastAsia" w:ascii="宋体" w:hAnsi="宋体" w:cs="宋体"/>
          <w:b/>
          <w:spacing w:val="6"/>
          <w:sz w:val="32"/>
          <w:szCs w:val="32"/>
          <w:lang w:val="zh-CN" w:eastAsia="zh-CN"/>
        </w:rPr>
      </w:pPr>
      <w:r>
        <w:rPr>
          <w:rFonts w:hint="eastAsia" w:ascii="宋体" w:hAnsi="宋体" w:cs="宋体"/>
          <w:b/>
          <w:spacing w:val="6"/>
          <w:sz w:val="32"/>
          <w:szCs w:val="32"/>
          <w:lang w:val="en-US" w:eastAsia="zh-CN"/>
        </w:rPr>
        <w:t>附件5：</w:t>
      </w:r>
      <w:r>
        <w:rPr>
          <w:rFonts w:hint="eastAsia" w:ascii="宋体" w:hAnsi="宋体" w:cs="宋体"/>
          <w:b/>
          <w:spacing w:val="6"/>
          <w:sz w:val="32"/>
          <w:szCs w:val="32"/>
          <w:lang w:val="zh-CN" w:eastAsia="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hint="eastAsia" w:ascii="宋体" w:hAnsi="宋体" w:cs="宋体"/>
          <w:b/>
          <w:spacing w:val="6"/>
          <w:sz w:val="32"/>
          <w:szCs w:val="32"/>
        </w:rPr>
        <w:sectPr>
          <w:headerReference r:id="rId20" w:type="first"/>
          <w:footerReference r:id="rId23" w:type="first"/>
          <w:headerReference r:id="rId19" w:type="default"/>
          <w:footerReference r:id="rId21" w:type="default"/>
          <w:footerReference r:id="rId22" w:type="even"/>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w:t>
      </w:r>
      <w:r>
        <w:rPr>
          <w:rFonts w:hint="eastAsia" w:ascii="宋体" w:hAnsi="宋体" w:cs="宋体"/>
          <w:b/>
          <w:spacing w:val="6"/>
          <w:sz w:val="32"/>
          <w:szCs w:val="32"/>
          <w:lang w:val="en-US" w:eastAsia="zh-CN"/>
        </w:rPr>
        <w:t>6</w:t>
      </w:r>
      <w:r>
        <w:rPr>
          <w:rFonts w:hint="eastAsia" w:ascii="宋体" w:hAnsi="宋体" w:cs="宋体"/>
          <w:b/>
          <w:spacing w:val="6"/>
          <w:sz w:val="32"/>
          <w:szCs w:val="32"/>
        </w:rPr>
        <w:t>：</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r>
        <w:rPr>
          <w:rFonts w:hint="eastAsia" w:ascii="宋体" w:hAnsi="宋体" w:cs="宋体"/>
          <w:b/>
          <w:sz w:val="32"/>
          <w:szCs w:val="32"/>
        </w:rPr>
        <w:t>中小企业声明函（工程、服务）</w:t>
      </w:r>
    </w:p>
    <w:p>
      <w:pPr>
        <w:spacing w:line="360" w:lineRule="auto"/>
        <w:rPr>
          <w:rFonts w:ascii="宋体" w:hAnsi="宋体" w:cs="宋体"/>
        </w:rPr>
      </w:pPr>
    </w:p>
    <w:p>
      <w:pPr>
        <w:spacing w:line="360" w:lineRule="auto"/>
        <w:ind w:firstLine="360" w:firstLineChars="150"/>
        <w:jc w:val="left"/>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ascii="宋体" w:hAnsi="宋体" w:eastAsia="宋体" w:cs="宋体"/>
          <w:lang w:val="en-US"/>
        </w:rPr>
      </w:pPr>
    </w:p>
    <w:p>
      <w:pPr>
        <w:spacing w:line="360" w:lineRule="auto"/>
        <w:rPr>
          <w:rFonts w:ascii="宋体" w:hAnsi="宋体" w:cs="宋体"/>
          <w:bCs/>
          <w:sz w:val="24"/>
        </w:rPr>
      </w:pPr>
    </w:p>
    <w:p/>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68002039"/>
      <w:docPartObj>
        <w:docPartGallery w:val="autotext"/>
      </w:docPartObj>
    </w:sdtPr>
    <w:sdtContent>
      <w:p>
        <w:pPr>
          <w:pStyle w:val="10"/>
          <w:jc w:val="cente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29</w:t>
        </w:r>
        <w:r>
          <w:rPr>
            <w:sz w:val="21"/>
            <w:szCs w:val="21"/>
          </w:rPr>
          <w:fldChar w:fldCharType="end"/>
        </w:r>
      </w:p>
    </w:sdtContent>
  </w:sdt>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10"/>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68002039"/>
      <w:docPartObj>
        <w:docPartGallery w:val="autotext"/>
      </w:docPartObj>
    </w:sdtPr>
    <w:sdtContent>
      <w:p>
        <w:pPr>
          <w:pStyle w:val="10"/>
          <w:jc w:val="cente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29</w:t>
        </w:r>
        <w:r>
          <w:rPr>
            <w:sz w:val="21"/>
            <w:szCs w:val="21"/>
          </w:rPr>
          <w:fldChar w:fldCharType="end"/>
        </w:r>
      </w:p>
    </w:sdtContent>
  </w:sdt>
  <w:p>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10"/>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p>
    <w:pPr>
      <w:pStyle w:val="1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10"/>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35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35</w:t>
                    </w:r>
                    <w:r>
                      <w:fldChar w:fldCharType="end"/>
                    </w:r>
                    <w:r>
                      <w:t xml:space="preserve"> 页</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34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34</w:t>
                    </w:r>
                    <w:r>
                      <w:fldChar w:fldCharType="end"/>
                    </w:r>
                    <w:r>
                      <w:t xml:space="preserve"> 页</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10"/>
                    </w:pP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50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50</w:t>
                    </w:r>
                    <w:r>
                      <w:fldChar w:fldCharType="end"/>
                    </w:r>
                    <w:r>
                      <w:t xml:space="preserve"> 页</w:t>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48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48</w:t>
                    </w:r>
                    <w:r>
                      <w:fldChar w:fldCharType="end"/>
                    </w:r>
                    <w:r>
                      <w:t xml:space="preserve"> 页</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52</w:t>
                    </w:r>
                    <w:r>
                      <w:fldChar w:fldCharType="end"/>
                    </w:r>
                    <w:r>
                      <w:t xml:space="preserve"> 页</w:t>
                    </w:r>
                  </w:p>
                </w:txbxContent>
              </v:textbox>
            </v:shape>
          </w:pict>
        </mc:Fallback>
      </mc:AlternateContent>
    </w:r>
  </w:p>
  <w:p>
    <w:pPr>
      <w:pStyle w:val="10"/>
      <w:rPr>
        <w:rFonts w:ascii="FangSong_GB2312" w:eastAsia="FangSong_GB2312"/>
        <w:szCs w:val="24"/>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right" w:y="1"/>
      <w:rPr>
        <w:rStyle w:val="20"/>
      </w:rPr>
    </w:pPr>
    <w:r>
      <w:fldChar w:fldCharType="begin"/>
    </w:r>
    <w:r>
      <w:rPr>
        <w:rStyle w:val="20"/>
      </w:rPr>
      <w:instrText xml:space="preserve">PAGE  </w:instrText>
    </w:r>
    <w:r>
      <w:fldChar w:fldCharType="end"/>
    </w:r>
  </w:p>
  <w:p>
    <w:pPr>
      <w:pStyle w:val="1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rFonts w:ascii="FangSong_GB2312" w:eastAsia="FangSong_GB2312"/>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51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51</w:t>
                    </w:r>
                    <w:r>
                      <w:fldChar w:fldCharType="end"/>
                    </w:r>
                    <w:r>
                      <w:t xml:space="preserve"> 页</w:t>
                    </w: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pPr>
                      <w:pStyle w:val="10"/>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center" w:pos="4535"/>
        <w:tab w:val="right" w:pos="9070"/>
      </w:tabs>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both"/>
      <w:rPr>
        <w:rFonts w:ascii="FangSong_GB2312" w:eastAsia="FangSong_GB2312"/>
        <w:b/>
        <w:i/>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right"/>
      <w:rPr>
        <w:rFonts w:ascii="FangSong_GB2312" w:eastAsia="FangSong_GB2312"/>
        <w:b/>
        <w:i/>
        <w:u w:val="single"/>
      </w:rPr>
    </w:pPr>
  </w:p>
  <w:p>
    <w:pPr>
      <w:pBdr>
        <w:bottom w:val="none" w:color="auto" w:sz="0" w:space="0"/>
      </w:pBdr>
      <w:rPr>
        <w:rFonts w:ascii="FangSong_GB2312" w:eastAsia="FangSong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both"/>
      <w:rPr>
        <w:rFonts w:ascii="FangSong_GB2312" w:eastAsia="FangSong_GB2312"/>
        <w:b/>
        <w:i/>
        <w:iCs/>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both"/>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77A15C"/>
    <w:multiLevelType w:val="singleLevel"/>
    <w:tmpl w:val="FD77A15C"/>
    <w:lvl w:ilvl="0" w:tentative="0">
      <w:start w:val="1"/>
      <w:numFmt w:val="decimal"/>
      <w:suff w:val="nothing"/>
      <w:lvlText w:val="%1、"/>
      <w:lvlJc w:val="left"/>
    </w:lvl>
  </w:abstractNum>
  <w:abstractNum w:abstractNumId="1">
    <w:nsid w:val="0072CC07"/>
    <w:multiLevelType w:val="singleLevel"/>
    <w:tmpl w:val="0072CC07"/>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3YzNlZjU4MDc3ZDUxMmFiOTU0ZDE3Njc1YTdkMjEifQ=="/>
  </w:docVars>
  <w:rsids>
    <w:rsidRoot w:val="00000000"/>
    <w:rsid w:val="00CD3536"/>
    <w:rsid w:val="015C48BA"/>
    <w:rsid w:val="01DD3C4D"/>
    <w:rsid w:val="023215B6"/>
    <w:rsid w:val="02994018"/>
    <w:rsid w:val="03174F3D"/>
    <w:rsid w:val="035166A0"/>
    <w:rsid w:val="03703875"/>
    <w:rsid w:val="03AB76DF"/>
    <w:rsid w:val="047A39D5"/>
    <w:rsid w:val="06AC3F29"/>
    <w:rsid w:val="08803584"/>
    <w:rsid w:val="0AFF2E86"/>
    <w:rsid w:val="0C1B3CF0"/>
    <w:rsid w:val="0CE00A95"/>
    <w:rsid w:val="0DB6090C"/>
    <w:rsid w:val="0E6059EA"/>
    <w:rsid w:val="0EDD7268"/>
    <w:rsid w:val="10482BD9"/>
    <w:rsid w:val="105E064F"/>
    <w:rsid w:val="10AD6EE0"/>
    <w:rsid w:val="118440E5"/>
    <w:rsid w:val="12A52565"/>
    <w:rsid w:val="12CC7AF2"/>
    <w:rsid w:val="15C2342E"/>
    <w:rsid w:val="165617CF"/>
    <w:rsid w:val="16777D74"/>
    <w:rsid w:val="16C531D6"/>
    <w:rsid w:val="16EA10E2"/>
    <w:rsid w:val="18C4126B"/>
    <w:rsid w:val="1A710F7F"/>
    <w:rsid w:val="1A7F18ED"/>
    <w:rsid w:val="1D70381C"/>
    <w:rsid w:val="1D7B30ED"/>
    <w:rsid w:val="1DC51D0D"/>
    <w:rsid w:val="1F8452B0"/>
    <w:rsid w:val="204A474C"/>
    <w:rsid w:val="22245803"/>
    <w:rsid w:val="22A306E5"/>
    <w:rsid w:val="230C7A96"/>
    <w:rsid w:val="2472601F"/>
    <w:rsid w:val="24861ACA"/>
    <w:rsid w:val="24973CD7"/>
    <w:rsid w:val="24F1163A"/>
    <w:rsid w:val="25A22934"/>
    <w:rsid w:val="25AF18F6"/>
    <w:rsid w:val="26BC7A25"/>
    <w:rsid w:val="26F044F9"/>
    <w:rsid w:val="274E68CF"/>
    <w:rsid w:val="277D5407"/>
    <w:rsid w:val="27C21AF2"/>
    <w:rsid w:val="280671AA"/>
    <w:rsid w:val="28551EE0"/>
    <w:rsid w:val="2A0616E3"/>
    <w:rsid w:val="2B1E480B"/>
    <w:rsid w:val="2B7B1C5D"/>
    <w:rsid w:val="2C70553A"/>
    <w:rsid w:val="2CD45AC9"/>
    <w:rsid w:val="2EBB3BCC"/>
    <w:rsid w:val="2F0957D2"/>
    <w:rsid w:val="2F560A17"/>
    <w:rsid w:val="2FAD2601"/>
    <w:rsid w:val="2FD348B6"/>
    <w:rsid w:val="2FE34C02"/>
    <w:rsid w:val="318B6972"/>
    <w:rsid w:val="331A1D5C"/>
    <w:rsid w:val="33D47D4F"/>
    <w:rsid w:val="33EF31E8"/>
    <w:rsid w:val="34572B3B"/>
    <w:rsid w:val="34DA5C46"/>
    <w:rsid w:val="34EC7728"/>
    <w:rsid w:val="36413AA3"/>
    <w:rsid w:val="37702892"/>
    <w:rsid w:val="37EC744F"/>
    <w:rsid w:val="39E60BE9"/>
    <w:rsid w:val="3A4F2C33"/>
    <w:rsid w:val="3B1479D8"/>
    <w:rsid w:val="3C120E6A"/>
    <w:rsid w:val="3D8E75CE"/>
    <w:rsid w:val="3DDA2813"/>
    <w:rsid w:val="3E410AE4"/>
    <w:rsid w:val="3E4660FB"/>
    <w:rsid w:val="3ED2798E"/>
    <w:rsid w:val="418F600A"/>
    <w:rsid w:val="43CF26EE"/>
    <w:rsid w:val="43E91A02"/>
    <w:rsid w:val="441D16AC"/>
    <w:rsid w:val="451A3E3D"/>
    <w:rsid w:val="453B44DF"/>
    <w:rsid w:val="455619A8"/>
    <w:rsid w:val="4629258A"/>
    <w:rsid w:val="46623CEE"/>
    <w:rsid w:val="47556B7D"/>
    <w:rsid w:val="48270D4B"/>
    <w:rsid w:val="48A04659"/>
    <w:rsid w:val="48B60321"/>
    <w:rsid w:val="48EE7ABB"/>
    <w:rsid w:val="4900334A"/>
    <w:rsid w:val="49576789"/>
    <w:rsid w:val="49997A26"/>
    <w:rsid w:val="4B09298A"/>
    <w:rsid w:val="4B0E66C1"/>
    <w:rsid w:val="4C6B4F7E"/>
    <w:rsid w:val="4CEA2347"/>
    <w:rsid w:val="4CF1041B"/>
    <w:rsid w:val="4D553C64"/>
    <w:rsid w:val="4DDA060D"/>
    <w:rsid w:val="4E1E04FA"/>
    <w:rsid w:val="4FBA34DD"/>
    <w:rsid w:val="4FE70DC0"/>
    <w:rsid w:val="50547574"/>
    <w:rsid w:val="50E0418D"/>
    <w:rsid w:val="54085ED4"/>
    <w:rsid w:val="54137D24"/>
    <w:rsid w:val="55366A71"/>
    <w:rsid w:val="579B705F"/>
    <w:rsid w:val="58A46B3B"/>
    <w:rsid w:val="58AB5080"/>
    <w:rsid w:val="591250FF"/>
    <w:rsid w:val="59E52169"/>
    <w:rsid w:val="5A5654C0"/>
    <w:rsid w:val="5AC13355"/>
    <w:rsid w:val="5BC60969"/>
    <w:rsid w:val="5C3D2493"/>
    <w:rsid w:val="5D30024A"/>
    <w:rsid w:val="5D973E25"/>
    <w:rsid w:val="5F6D7533"/>
    <w:rsid w:val="5FD96977"/>
    <w:rsid w:val="601B0D3D"/>
    <w:rsid w:val="605406F3"/>
    <w:rsid w:val="64346872"/>
    <w:rsid w:val="656628AA"/>
    <w:rsid w:val="65BA6903"/>
    <w:rsid w:val="65F31E15"/>
    <w:rsid w:val="667967BE"/>
    <w:rsid w:val="68435627"/>
    <w:rsid w:val="68A11FFC"/>
    <w:rsid w:val="69833542"/>
    <w:rsid w:val="69A25FCB"/>
    <w:rsid w:val="69CE6E20"/>
    <w:rsid w:val="6AE34B4E"/>
    <w:rsid w:val="6C0C7883"/>
    <w:rsid w:val="6C4E4249"/>
    <w:rsid w:val="6D056FFD"/>
    <w:rsid w:val="6D196C93"/>
    <w:rsid w:val="6D32277E"/>
    <w:rsid w:val="6D51738E"/>
    <w:rsid w:val="6FC82564"/>
    <w:rsid w:val="6FE3114C"/>
    <w:rsid w:val="70640A8B"/>
    <w:rsid w:val="72FD42D3"/>
    <w:rsid w:val="740143C2"/>
    <w:rsid w:val="75AA6994"/>
    <w:rsid w:val="75BA46FD"/>
    <w:rsid w:val="75D966A2"/>
    <w:rsid w:val="76593F16"/>
    <w:rsid w:val="77DD7593"/>
    <w:rsid w:val="79501600"/>
    <w:rsid w:val="79733540"/>
    <w:rsid w:val="7A236D15"/>
    <w:rsid w:val="7A8B6668"/>
    <w:rsid w:val="7BAC2D3A"/>
    <w:rsid w:val="7DDF73F6"/>
    <w:rsid w:val="7F322033"/>
    <w:rsid w:val="7F405C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character" w:default="1" w:styleId="19">
    <w:name w:val="Default Paragraph Font"/>
    <w:autoRedefine/>
    <w:semiHidden/>
    <w:qFormat/>
    <w:uiPriority w:val="0"/>
  </w:style>
  <w:style w:type="table" w:default="1" w:styleId="17">
    <w:name w:val="Normal Table"/>
    <w:autoRedefine/>
    <w:semiHidden/>
    <w:qFormat/>
    <w:uiPriority w:val="0"/>
    <w:tblPr>
      <w:tblCellMar>
        <w:top w:w="0" w:type="dxa"/>
        <w:left w:w="108" w:type="dxa"/>
        <w:bottom w:w="0" w:type="dxa"/>
        <w:right w:w="108" w:type="dxa"/>
      </w:tblCellMar>
    </w:tblPr>
  </w:style>
  <w:style w:type="paragraph" w:customStyle="1" w:styleId="2">
    <w:name w:val="_Style 3"/>
    <w:basedOn w:val="1"/>
    <w:autoRedefine/>
    <w:qFormat/>
    <w:uiPriority w:val="0"/>
    <w:pPr>
      <w:adjustRightInd/>
      <w:ind w:firstLine="420" w:firstLineChars="200"/>
    </w:pPr>
    <w:rPr>
      <w:rFonts w:eastAsia="仿宋_GB2312"/>
      <w:sz w:val="28"/>
    </w:rPr>
  </w:style>
  <w:style w:type="paragraph" w:styleId="5">
    <w:name w:val="Normal Indent"/>
    <w:basedOn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w:basedOn w:val="1"/>
    <w:next w:val="7"/>
    <w:autoRedefine/>
    <w:qFormat/>
    <w:uiPriority w:val="0"/>
    <w:pPr>
      <w:autoSpaceDE w:val="0"/>
      <w:autoSpaceDN w:val="0"/>
      <w:spacing w:line="360" w:lineRule="auto"/>
    </w:pPr>
    <w:rPr>
      <w:rFonts w:ascii="宋体" w:hAnsi="Arial" w:cs="Arial"/>
      <w:snapToGrid w:val="0"/>
      <w:sz w:val="24"/>
      <w:szCs w:val="21"/>
      <w:lang w:val="zh-CN"/>
    </w:rPr>
  </w:style>
  <w:style w:type="paragraph" w:styleId="7">
    <w:name w:val="Body Text First Indent"/>
    <w:basedOn w:val="6"/>
    <w:next w:val="1"/>
    <w:autoRedefine/>
    <w:qFormat/>
    <w:uiPriority w:val="0"/>
    <w:pPr>
      <w:ind w:firstLine="420"/>
    </w:pPr>
    <w:rPr>
      <w:rFonts w:hAnsi="Calibri" w:cs="Times New Roman"/>
      <w:snapToGrid/>
      <w:szCs w:val="20"/>
    </w:rPr>
  </w:style>
  <w:style w:type="paragraph" w:styleId="8">
    <w:name w:val="Body Text Indent"/>
    <w:basedOn w:val="1"/>
    <w:next w:val="1"/>
    <w:autoRedefine/>
    <w:qFormat/>
    <w:uiPriority w:val="0"/>
    <w:pPr>
      <w:spacing w:line="480" w:lineRule="exact"/>
      <w:ind w:firstLine="480" w:firstLineChars="200"/>
    </w:pPr>
    <w:rPr>
      <w:rFonts w:ascii="宋体" w:hAnsi="宋体"/>
      <w:sz w:val="24"/>
    </w:rPr>
  </w:style>
  <w:style w:type="paragraph" w:styleId="9">
    <w:name w:val="Plain Text"/>
    <w:basedOn w:val="1"/>
    <w:next w:val="1"/>
    <w:autoRedefine/>
    <w:qFormat/>
    <w:uiPriority w:val="0"/>
    <w:rPr>
      <w:rFonts w:ascii="宋体" w:hAnsi="Courier New" w:cs="Arial"/>
      <w:snapToGrid w:val="0"/>
      <w:szCs w:val="21"/>
    </w:rPr>
  </w:style>
  <w:style w:type="paragraph" w:styleId="10">
    <w:name w:val="footer"/>
    <w:basedOn w:val="1"/>
    <w:autoRedefine/>
    <w:qFormat/>
    <w:uiPriority w:val="99"/>
    <w:pPr>
      <w:tabs>
        <w:tab w:val="center" w:pos="4153"/>
        <w:tab w:val="right" w:pos="8306"/>
      </w:tabs>
      <w:snapToGrid w:val="0"/>
      <w:jc w:val="left"/>
    </w:pPr>
    <w:rPr>
      <w:sz w:val="18"/>
      <w:szCs w:val="18"/>
    </w:rPr>
  </w:style>
  <w:style w:type="paragraph" w:styleId="11">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autoRedefine/>
    <w:qFormat/>
    <w:uiPriority w:val="0"/>
  </w:style>
  <w:style w:type="paragraph" w:styleId="13">
    <w:name w:val="toc 6"/>
    <w:basedOn w:val="1"/>
    <w:next w:val="1"/>
    <w:autoRedefine/>
    <w:qFormat/>
    <w:uiPriority w:val="0"/>
    <w:pPr>
      <w:ind w:left="2100" w:leftChars="1000"/>
    </w:pPr>
  </w:style>
  <w:style w:type="paragraph" w:styleId="14">
    <w:name w:val="Title"/>
    <w:basedOn w:val="1"/>
    <w:autoRedefine/>
    <w:qFormat/>
    <w:uiPriority w:val="10"/>
    <w:pPr>
      <w:widowControl/>
      <w:overflowPunct w:val="0"/>
      <w:autoSpaceDE w:val="0"/>
      <w:autoSpaceDN w:val="0"/>
      <w:jc w:val="center"/>
      <w:textAlignment w:val="baseline"/>
    </w:pPr>
    <w:rPr>
      <w:b/>
      <w:kern w:val="0"/>
      <w:sz w:val="24"/>
      <w:szCs w:val="20"/>
      <w:lang w:val="en-GB"/>
    </w:rPr>
  </w:style>
  <w:style w:type="paragraph" w:styleId="15">
    <w:name w:val="Body Text First Indent 2"/>
    <w:basedOn w:val="8"/>
    <w:next w:val="16"/>
    <w:autoRedefine/>
    <w:qFormat/>
    <w:uiPriority w:val="0"/>
    <w:pPr>
      <w:adjustRightInd/>
      <w:spacing w:after="120" w:line="240" w:lineRule="auto"/>
      <w:ind w:left="420" w:leftChars="200" w:firstLine="210"/>
    </w:pPr>
    <w:rPr>
      <w:sz w:val="21"/>
    </w:rPr>
  </w:style>
  <w:style w:type="paragraph" w:customStyle="1" w:styleId="16">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table" w:styleId="18">
    <w:name w:val="Table Grid"/>
    <w:basedOn w:val="17"/>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page number"/>
    <w:basedOn w:val="19"/>
    <w:autoRedefine/>
    <w:qFormat/>
    <w:uiPriority w:val="0"/>
    <w:rPr>
      <w:rFonts w:ascii="Arial" w:hAnsi="Arial" w:eastAsia="黑体" w:cs="Arial"/>
      <w:snapToGrid w:val="0"/>
      <w:kern w:val="0"/>
      <w:szCs w:val="21"/>
    </w:rPr>
  </w:style>
  <w:style w:type="character" w:styleId="21">
    <w:name w:val="Hyperlink"/>
    <w:autoRedefine/>
    <w:qFormat/>
    <w:uiPriority w:val="99"/>
    <w:rPr>
      <w:rFonts w:ascii="Arial" w:hAnsi="Arial" w:eastAsia="黑体" w:cs="Arial"/>
      <w:snapToGrid w:val="0"/>
      <w:color w:val="000000"/>
      <w:kern w:val="0"/>
      <w:sz w:val="18"/>
      <w:szCs w:val="18"/>
      <w:u w:val="none"/>
    </w:rPr>
  </w:style>
  <w:style w:type="paragraph" w:customStyle="1" w:styleId="22">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
    <w:name w:val="正文2"/>
    <w:basedOn w:val="1"/>
    <w:autoRedefine/>
    <w:qFormat/>
    <w:uiPriority w:val="0"/>
    <w:pPr>
      <w:spacing w:before="156" w:line="360" w:lineRule="auto"/>
      <w:ind w:firstLine="510" w:firstLineChars="200"/>
    </w:pPr>
    <w:rPr>
      <w:sz w:val="24"/>
      <w:szCs w:val="20"/>
    </w:rPr>
  </w:style>
  <w:style w:type="paragraph" w:customStyle="1" w:styleId="2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
    <w:name w:val="正文缩进1"/>
    <w:basedOn w:val="1"/>
    <w:next w:val="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6">
    <w:name w:val="索引 11"/>
    <w:basedOn w:val="1"/>
    <w:next w:val="1"/>
    <w:autoRedefine/>
    <w:qFormat/>
    <w:uiPriority w:val="99"/>
    <w:pPr>
      <w:adjustRightInd/>
      <w:spacing w:line="360" w:lineRule="auto"/>
    </w:pPr>
    <w:rPr>
      <w:rFonts w:ascii="FangSong_GB2312" w:eastAsia="FangSong_GB2312"/>
      <w:sz w:val="24"/>
      <w:szCs w:val="20"/>
    </w:rPr>
  </w:style>
  <w:style w:type="paragraph" w:customStyle="1" w:styleId="27">
    <w:name w:val="纯文本_0_0"/>
    <w:basedOn w:val="28"/>
    <w:autoRedefine/>
    <w:qFormat/>
    <w:uiPriority w:val="0"/>
    <w:rPr>
      <w:rFonts w:ascii="宋体" w:hAnsi="Courier New"/>
      <w:szCs w:val="21"/>
    </w:rPr>
  </w:style>
  <w:style w:type="paragraph" w:customStyle="1" w:styleId="2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3.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28907</Words>
  <Characters>30335</Characters>
  <Lines>0</Lines>
  <Paragraphs>0</Paragraphs>
  <TotalTime>105</TotalTime>
  <ScaleCrop>false</ScaleCrop>
  <LinksUpToDate>false</LinksUpToDate>
  <CharactersWithSpaces>34120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2023-04-23T04:28:00Z</dcterms:created>
  <dc:creator>Administrator</dc:creator>
  <cp:lastModifiedBy>王超</cp:lastModifiedBy>
  <dcterms:modified xsi:type="dcterms:W3CDTF">2024-05-29T06:25:20Z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37F12127077641E4A62F1672FDCE6D7F_12</vt:lpwstr>
  </property>
</Properties>
</file>